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3"/>
        <w:gridCol w:w="4483"/>
      </w:tblGrid>
      <w:tr w:rsidR="003413EB" w14:paraId="4BD3DE2A" w14:textId="77777777" w:rsidTr="00647E8A">
        <w:tc>
          <w:tcPr>
            <w:tcW w:w="4868" w:type="dxa"/>
          </w:tcPr>
          <w:p w14:paraId="5C75FE63" w14:textId="77777777" w:rsidR="003413EB" w:rsidRDefault="003413EB" w:rsidP="00647E8A">
            <w:pPr>
              <w:spacing w:after="0"/>
              <w:rPr>
                <w:noProof/>
                <w:sz w:val="48"/>
                <w:szCs w:val="48"/>
              </w:rPr>
            </w:pPr>
            <w:r>
              <w:rPr>
                <w:noProof/>
              </w:rPr>
              <w:drawing>
                <wp:inline distT="0" distB="0" distL="0" distR="0" wp14:anchorId="65E214D0" wp14:editId="2D456820">
                  <wp:extent cx="1285875" cy="504825"/>
                  <wp:effectExtent l="0" t="0" r="9525" b="9525"/>
                  <wp:docPr id="6" name="Picture 6" descr="GMCA Black logo expanded"/>
                  <wp:cNvGraphicFramePr/>
                  <a:graphic xmlns:a="http://schemas.openxmlformats.org/drawingml/2006/main">
                    <a:graphicData uri="http://schemas.openxmlformats.org/drawingml/2006/picture">
                      <pic:pic xmlns:pic="http://schemas.openxmlformats.org/drawingml/2006/picture">
                        <pic:nvPicPr>
                          <pic:cNvPr id="1" name="Picture 1" descr="GMCA Black logo expanded"/>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504825"/>
                          </a:xfrm>
                          <a:prstGeom prst="rect">
                            <a:avLst/>
                          </a:prstGeom>
                          <a:noFill/>
                        </pic:spPr>
                      </pic:pic>
                    </a:graphicData>
                  </a:graphic>
                </wp:inline>
              </w:drawing>
            </w:r>
          </w:p>
        </w:tc>
        <w:tc>
          <w:tcPr>
            <w:tcW w:w="4869" w:type="dxa"/>
          </w:tcPr>
          <w:p w14:paraId="35AD138D" w14:textId="77777777" w:rsidR="003413EB" w:rsidRDefault="003413EB" w:rsidP="00647E8A">
            <w:pPr>
              <w:spacing w:after="0"/>
              <w:jc w:val="right"/>
              <w:rPr>
                <w:noProof/>
                <w:sz w:val="48"/>
                <w:szCs w:val="48"/>
              </w:rPr>
            </w:pPr>
            <w:r w:rsidRPr="001646CC">
              <w:rPr>
                <w:noProof/>
                <w:sz w:val="48"/>
                <w:szCs w:val="48"/>
              </w:rPr>
              <w:drawing>
                <wp:inline distT="0" distB="0" distL="0" distR="0" wp14:anchorId="5AB85111" wp14:editId="6C0AD0EA">
                  <wp:extent cx="981075" cy="535346"/>
                  <wp:effectExtent l="0" t="0" r="0" b="0"/>
                  <wp:docPr id="19" name="Picture 19" descr="C:\Users\Lindsey.Keech.GMWDA\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C:\Users\Lindsey.Keech.GMWDA\Desktop\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8198" cy="550146"/>
                          </a:xfrm>
                          <a:prstGeom prst="rect">
                            <a:avLst/>
                          </a:prstGeom>
                          <a:noFill/>
                          <a:ln>
                            <a:noFill/>
                          </a:ln>
                        </pic:spPr>
                      </pic:pic>
                    </a:graphicData>
                  </a:graphic>
                </wp:inline>
              </w:drawing>
            </w:r>
          </w:p>
        </w:tc>
      </w:tr>
    </w:tbl>
    <w:p w14:paraId="19FED836" w14:textId="77777777" w:rsidR="003413EB" w:rsidRDefault="003413EB" w:rsidP="003413EB">
      <w:pPr>
        <w:pStyle w:val="Default"/>
        <w:jc w:val="center"/>
        <w:rPr>
          <w:b/>
          <w:sz w:val="22"/>
          <w:szCs w:val="22"/>
        </w:rPr>
      </w:pPr>
    </w:p>
    <w:p w14:paraId="60B9591F" w14:textId="77777777" w:rsidR="003413EB" w:rsidRPr="003413EB" w:rsidRDefault="003413EB" w:rsidP="003413EB">
      <w:pPr>
        <w:pStyle w:val="Default"/>
        <w:jc w:val="center"/>
        <w:rPr>
          <w:b/>
          <w:sz w:val="22"/>
          <w:szCs w:val="22"/>
        </w:rPr>
      </w:pPr>
      <w:r w:rsidRPr="003413EB">
        <w:rPr>
          <w:b/>
          <w:sz w:val="22"/>
          <w:szCs w:val="22"/>
        </w:rPr>
        <w:t>Greater Manchester Waste Disposal Authority</w:t>
      </w:r>
    </w:p>
    <w:p w14:paraId="419CDB5E" w14:textId="77777777" w:rsidR="003413EB" w:rsidRPr="003413EB" w:rsidRDefault="003413EB" w:rsidP="003413EB">
      <w:pPr>
        <w:pStyle w:val="Default"/>
        <w:rPr>
          <w:sz w:val="22"/>
          <w:szCs w:val="22"/>
        </w:rPr>
      </w:pPr>
    </w:p>
    <w:p w14:paraId="39988E93" w14:textId="77777777" w:rsidR="003413EB" w:rsidRPr="003413EB" w:rsidRDefault="003413EB" w:rsidP="003413EB">
      <w:pPr>
        <w:pStyle w:val="Default"/>
        <w:jc w:val="center"/>
        <w:rPr>
          <w:sz w:val="22"/>
          <w:szCs w:val="22"/>
        </w:rPr>
      </w:pPr>
      <w:r w:rsidRPr="003413EB">
        <w:rPr>
          <w:sz w:val="22"/>
          <w:szCs w:val="22"/>
        </w:rPr>
        <w:t>Notice of the Commencement of the Period for the Exercise of Public Rights</w:t>
      </w:r>
    </w:p>
    <w:p w14:paraId="2CA266AF" w14:textId="77777777" w:rsidR="003413EB" w:rsidRPr="003413EB" w:rsidRDefault="003413EB" w:rsidP="003413EB">
      <w:pPr>
        <w:pStyle w:val="Default"/>
        <w:jc w:val="center"/>
        <w:rPr>
          <w:sz w:val="22"/>
          <w:szCs w:val="22"/>
        </w:rPr>
      </w:pPr>
    </w:p>
    <w:p w14:paraId="6D4A13C6" w14:textId="77777777" w:rsidR="003413EB" w:rsidRPr="003413EB" w:rsidRDefault="003413EB" w:rsidP="003413EB">
      <w:pPr>
        <w:pStyle w:val="Default"/>
        <w:jc w:val="center"/>
        <w:rPr>
          <w:sz w:val="22"/>
          <w:szCs w:val="22"/>
        </w:rPr>
      </w:pPr>
      <w:r w:rsidRPr="003413EB">
        <w:rPr>
          <w:sz w:val="22"/>
          <w:szCs w:val="22"/>
        </w:rPr>
        <w:t>The Local Audit and Accountability Act 2014</w:t>
      </w:r>
    </w:p>
    <w:p w14:paraId="4DE588B7" w14:textId="77777777" w:rsidR="003413EB" w:rsidRPr="003413EB" w:rsidRDefault="003413EB" w:rsidP="003413EB">
      <w:pPr>
        <w:pStyle w:val="Default"/>
        <w:jc w:val="center"/>
        <w:rPr>
          <w:sz w:val="22"/>
          <w:szCs w:val="22"/>
        </w:rPr>
      </w:pPr>
      <w:r w:rsidRPr="003413EB">
        <w:rPr>
          <w:sz w:val="22"/>
          <w:szCs w:val="22"/>
        </w:rPr>
        <w:t>The Accounts and Audit Regulations 2015</w:t>
      </w:r>
    </w:p>
    <w:p w14:paraId="79BAC2FF" w14:textId="77777777" w:rsidR="003413EB" w:rsidRPr="003413EB" w:rsidRDefault="003413EB" w:rsidP="003413EB">
      <w:pPr>
        <w:pStyle w:val="Default"/>
        <w:rPr>
          <w:sz w:val="22"/>
          <w:szCs w:val="22"/>
        </w:rPr>
      </w:pPr>
    </w:p>
    <w:p w14:paraId="6A73DCA7" w14:textId="5977F6BC" w:rsidR="0014577E" w:rsidRDefault="003413EB" w:rsidP="0014577E">
      <w:pPr>
        <w:pStyle w:val="Default"/>
        <w:rPr>
          <w:sz w:val="22"/>
          <w:szCs w:val="22"/>
        </w:rPr>
      </w:pPr>
      <w:r w:rsidRPr="003413EB">
        <w:rPr>
          <w:sz w:val="22"/>
          <w:szCs w:val="22"/>
        </w:rPr>
        <w:t>Notice is hereby given that the unaudited statement of accou</w:t>
      </w:r>
      <w:r>
        <w:rPr>
          <w:sz w:val="22"/>
          <w:szCs w:val="22"/>
        </w:rPr>
        <w:t xml:space="preserve">nts for the year ended 31 March </w:t>
      </w:r>
      <w:r w:rsidRPr="003413EB">
        <w:rPr>
          <w:sz w:val="22"/>
          <w:szCs w:val="22"/>
        </w:rPr>
        <w:t xml:space="preserve">2018 has been published on the </w:t>
      </w:r>
      <w:r>
        <w:rPr>
          <w:sz w:val="22"/>
          <w:szCs w:val="22"/>
        </w:rPr>
        <w:t>Authority</w:t>
      </w:r>
      <w:r w:rsidRPr="003413EB">
        <w:rPr>
          <w:sz w:val="22"/>
          <w:szCs w:val="22"/>
        </w:rPr>
        <w:t xml:space="preserve">’s website at: </w:t>
      </w:r>
    </w:p>
    <w:p w14:paraId="3230768F" w14:textId="77777777" w:rsidR="0014577E" w:rsidRPr="0014577E" w:rsidRDefault="0014577E" w:rsidP="0014577E">
      <w:pPr>
        <w:pStyle w:val="Default"/>
        <w:rPr>
          <w:sz w:val="22"/>
          <w:szCs w:val="22"/>
        </w:rPr>
      </w:pPr>
    </w:p>
    <w:p w14:paraId="4314A344" w14:textId="79E4E8E7" w:rsidR="003413EB" w:rsidRDefault="0014577E" w:rsidP="0014577E">
      <w:pPr>
        <w:pStyle w:val="Default"/>
        <w:rPr>
          <w:sz w:val="22"/>
          <w:szCs w:val="22"/>
        </w:rPr>
      </w:pPr>
      <w:hyperlink r:id="rId10" w:history="1">
        <w:r>
          <w:rPr>
            <w:rStyle w:val="Hyperlink"/>
          </w:rPr>
          <w:t>https://www.gmwda.gov.uk/wp-content/uploads/2017/01/A_201718_Statement_of_Accounts_Subject_to_Audit.pdf</w:t>
        </w:r>
      </w:hyperlink>
    </w:p>
    <w:p w14:paraId="44CE8674" w14:textId="77777777" w:rsidR="0014577E" w:rsidRPr="003413EB" w:rsidRDefault="0014577E" w:rsidP="003413EB">
      <w:pPr>
        <w:pStyle w:val="Default"/>
        <w:rPr>
          <w:sz w:val="22"/>
          <w:szCs w:val="22"/>
        </w:rPr>
      </w:pPr>
    </w:p>
    <w:p w14:paraId="09C85181" w14:textId="77777777" w:rsidR="003413EB" w:rsidRDefault="003413EB" w:rsidP="003413EB">
      <w:pPr>
        <w:pStyle w:val="Default"/>
        <w:rPr>
          <w:sz w:val="22"/>
          <w:szCs w:val="22"/>
        </w:rPr>
      </w:pPr>
      <w:r w:rsidRPr="003413EB">
        <w:rPr>
          <w:sz w:val="22"/>
          <w:szCs w:val="22"/>
        </w:rPr>
        <w:t>The statement of accounts is unaudite</w:t>
      </w:r>
      <w:r>
        <w:rPr>
          <w:sz w:val="22"/>
          <w:szCs w:val="22"/>
        </w:rPr>
        <w:t>d and may be subject to change.</w:t>
      </w:r>
    </w:p>
    <w:p w14:paraId="64EB879F" w14:textId="77777777" w:rsidR="003413EB" w:rsidRPr="003413EB" w:rsidRDefault="003413EB" w:rsidP="003413EB">
      <w:pPr>
        <w:pStyle w:val="Default"/>
        <w:rPr>
          <w:sz w:val="22"/>
          <w:szCs w:val="22"/>
        </w:rPr>
      </w:pPr>
    </w:p>
    <w:p w14:paraId="3ABEBCB9" w14:textId="77777777" w:rsidR="003413EB" w:rsidRDefault="003413EB" w:rsidP="003413EB">
      <w:pPr>
        <w:pStyle w:val="Default"/>
        <w:rPr>
          <w:sz w:val="22"/>
          <w:szCs w:val="22"/>
        </w:rPr>
      </w:pPr>
      <w:r w:rsidRPr="003413EB">
        <w:rPr>
          <w:sz w:val="22"/>
          <w:szCs w:val="22"/>
        </w:rPr>
        <w:t xml:space="preserve">Notice is given that from 1 June to 12 July 2018 between </w:t>
      </w:r>
      <w:r>
        <w:rPr>
          <w:sz w:val="22"/>
          <w:szCs w:val="22"/>
        </w:rPr>
        <w:t xml:space="preserve">8.40 a.m. and 4.30 p.m. Mondays </w:t>
      </w:r>
      <w:r w:rsidRPr="003413EB">
        <w:rPr>
          <w:sz w:val="22"/>
          <w:szCs w:val="22"/>
        </w:rPr>
        <w:t xml:space="preserve">to Fridays, any person interested or any journalist (any person who produces </w:t>
      </w:r>
      <w:r>
        <w:rPr>
          <w:sz w:val="22"/>
          <w:szCs w:val="22"/>
        </w:rPr>
        <w:t xml:space="preserve">for publication </w:t>
      </w:r>
      <w:r w:rsidRPr="003413EB">
        <w:rPr>
          <w:sz w:val="22"/>
          <w:szCs w:val="22"/>
        </w:rPr>
        <w:t>journalistic material, whether paid to do so or otherwise) m</w:t>
      </w:r>
      <w:r>
        <w:rPr>
          <w:sz w:val="22"/>
          <w:szCs w:val="22"/>
        </w:rPr>
        <w:t xml:space="preserve">ay on reasonable notice inspect </w:t>
      </w:r>
      <w:r w:rsidRPr="003413EB">
        <w:rPr>
          <w:sz w:val="22"/>
          <w:szCs w:val="22"/>
        </w:rPr>
        <w:t xml:space="preserve">and make copies of the accounts of </w:t>
      </w:r>
      <w:r>
        <w:rPr>
          <w:sz w:val="22"/>
          <w:szCs w:val="22"/>
        </w:rPr>
        <w:t>the Authority</w:t>
      </w:r>
      <w:r w:rsidRPr="003413EB">
        <w:rPr>
          <w:sz w:val="22"/>
          <w:szCs w:val="22"/>
        </w:rPr>
        <w:t xml:space="preserve"> for t</w:t>
      </w:r>
      <w:r>
        <w:rPr>
          <w:sz w:val="22"/>
          <w:szCs w:val="22"/>
        </w:rPr>
        <w:t xml:space="preserve">he year ended 31 March 2018 and </w:t>
      </w:r>
      <w:r w:rsidRPr="003413EB">
        <w:rPr>
          <w:sz w:val="22"/>
          <w:szCs w:val="22"/>
        </w:rPr>
        <w:t>all books, deeds, contracts, bills, vouchers and receipts, ex</w:t>
      </w:r>
      <w:r>
        <w:rPr>
          <w:sz w:val="22"/>
          <w:szCs w:val="22"/>
        </w:rPr>
        <w:t xml:space="preserve">cept as provided for in Section </w:t>
      </w:r>
      <w:r w:rsidRPr="003413EB">
        <w:rPr>
          <w:sz w:val="22"/>
          <w:szCs w:val="22"/>
        </w:rPr>
        <w:t>26(4) to 26(6) of the Local Audit and Accountability Act 2</w:t>
      </w:r>
      <w:r>
        <w:rPr>
          <w:sz w:val="22"/>
          <w:szCs w:val="22"/>
        </w:rPr>
        <w:t xml:space="preserve">014 in relation to commercially </w:t>
      </w:r>
      <w:r w:rsidRPr="003413EB">
        <w:rPr>
          <w:sz w:val="22"/>
          <w:szCs w:val="22"/>
        </w:rPr>
        <w:t xml:space="preserve">confidential and personal information. </w:t>
      </w:r>
    </w:p>
    <w:p w14:paraId="425AD681" w14:textId="77777777" w:rsidR="003413EB" w:rsidRPr="003413EB" w:rsidRDefault="003413EB" w:rsidP="003413EB">
      <w:pPr>
        <w:pStyle w:val="Default"/>
        <w:rPr>
          <w:sz w:val="22"/>
          <w:szCs w:val="22"/>
        </w:rPr>
      </w:pPr>
    </w:p>
    <w:p w14:paraId="31E3EFC7" w14:textId="77777777" w:rsidR="003413EB" w:rsidRDefault="003413EB" w:rsidP="003413EB">
      <w:pPr>
        <w:pStyle w:val="Default"/>
        <w:rPr>
          <w:sz w:val="22"/>
          <w:szCs w:val="22"/>
        </w:rPr>
      </w:pPr>
      <w:r w:rsidRPr="003413EB">
        <w:rPr>
          <w:sz w:val="22"/>
          <w:szCs w:val="22"/>
        </w:rPr>
        <w:t>The accounts and other documents will be available for inspection at the address belo</w:t>
      </w:r>
      <w:r>
        <w:rPr>
          <w:sz w:val="22"/>
          <w:szCs w:val="22"/>
        </w:rPr>
        <w:t>w, or otherwise by arrangement.</w:t>
      </w:r>
    </w:p>
    <w:p w14:paraId="107261C3" w14:textId="77777777" w:rsidR="003413EB" w:rsidRPr="003413EB" w:rsidRDefault="003413EB" w:rsidP="003413EB">
      <w:pPr>
        <w:pStyle w:val="Default"/>
        <w:rPr>
          <w:sz w:val="22"/>
          <w:szCs w:val="22"/>
        </w:rPr>
      </w:pPr>
    </w:p>
    <w:p w14:paraId="0F1D3FB9" w14:textId="77777777" w:rsidR="003413EB" w:rsidRDefault="003413EB" w:rsidP="003413EB">
      <w:pPr>
        <w:pStyle w:val="Default"/>
        <w:rPr>
          <w:sz w:val="22"/>
          <w:szCs w:val="22"/>
        </w:rPr>
      </w:pPr>
      <w:r w:rsidRPr="003413EB">
        <w:rPr>
          <w:sz w:val="22"/>
          <w:szCs w:val="22"/>
        </w:rPr>
        <w:t xml:space="preserve">Notice is given that from 1 June to 12 July 2018 the auditor, at the request of a local government elector for the </w:t>
      </w:r>
      <w:r>
        <w:rPr>
          <w:sz w:val="22"/>
          <w:szCs w:val="22"/>
        </w:rPr>
        <w:t>Authority</w:t>
      </w:r>
      <w:r w:rsidRPr="003413EB">
        <w:rPr>
          <w:sz w:val="22"/>
          <w:szCs w:val="22"/>
        </w:rPr>
        <w:t xml:space="preserve">’s area, will give the elector or his representative an opportunity to question him about the accounts. </w:t>
      </w:r>
    </w:p>
    <w:p w14:paraId="7022536D" w14:textId="77777777" w:rsidR="003413EB" w:rsidRPr="003413EB" w:rsidRDefault="003413EB" w:rsidP="003413EB">
      <w:pPr>
        <w:pStyle w:val="Default"/>
        <w:rPr>
          <w:sz w:val="22"/>
          <w:szCs w:val="22"/>
        </w:rPr>
      </w:pPr>
    </w:p>
    <w:p w14:paraId="6FE777C7" w14:textId="77777777" w:rsidR="003413EB" w:rsidRDefault="003413EB" w:rsidP="003413EB">
      <w:pPr>
        <w:pStyle w:val="Default"/>
        <w:rPr>
          <w:sz w:val="22"/>
          <w:szCs w:val="22"/>
        </w:rPr>
      </w:pPr>
      <w:r w:rsidRPr="003413EB">
        <w:rPr>
          <w:sz w:val="22"/>
          <w:szCs w:val="22"/>
        </w:rPr>
        <w:t xml:space="preserve">Notice is given that from 1 June to 12 July 2018, any such elector may make objections to the auditor, under section 27 of the Local Audit and Accountability Act 2014, relating to any matter where the auditor could take action under: </w:t>
      </w:r>
    </w:p>
    <w:p w14:paraId="1DEAFED0" w14:textId="77777777" w:rsidR="003413EB" w:rsidRPr="003413EB" w:rsidRDefault="003413EB" w:rsidP="003413EB">
      <w:pPr>
        <w:pStyle w:val="Default"/>
        <w:rPr>
          <w:sz w:val="22"/>
          <w:szCs w:val="22"/>
        </w:rPr>
      </w:pPr>
    </w:p>
    <w:p w14:paraId="5B3E2C3B" w14:textId="77777777" w:rsidR="003413EB" w:rsidRPr="003413EB" w:rsidRDefault="003413EB" w:rsidP="003413EB">
      <w:pPr>
        <w:pStyle w:val="Default"/>
        <w:numPr>
          <w:ilvl w:val="0"/>
          <w:numId w:val="3"/>
        </w:numPr>
        <w:spacing w:after="50"/>
        <w:ind w:left="567" w:hanging="567"/>
        <w:rPr>
          <w:sz w:val="22"/>
          <w:szCs w:val="22"/>
        </w:rPr>
      </w:pPr>
      <w:r w:rsidRPr="003413EB">
        <w:rPr>
          <w:sz w:val="22"/>
          <w:szCs w:val="22"/>
        </w:rPr>
        <w:t xml:space="preserve">Section 28 of the Local Audit and Accountability Act 2014, namely, to apply to the court for a declaration that an item in the accounts is contrary to law, and/or </w:t>
      </w:r>
    </w:p>
    <w:p w14:paraId="7B33B5E3" w14:textId="77777777" w:rsidR="003413EB" w:rsidRPr="003413EB" w:rsidRDefault="003413EB" w:rsidP="003413EB">
      <w:pPr>
        <w:pStyle w:val="Default"/>
        <w:numPr>
          <w:ilvl w:val="0"/>
          <w:numId w:val="3"/>
        </w:numPr>
        <w:ind w:left="567" w:hanging="567"/>
        <w:rPr>
          <w:sz w:val="22"/>
          <w:szCs w:val="22"/>
        </w:rPr>
      </w:pPr>
      <w:r w:rsidRPr="003413EB">
        <w:rPr>
          <w:sz w:val="22"/>
          <w:szCs w:val="22"/>
        </w:rPr>
        <w:t xml:space="preserve">Section 24 and paragraph 1 of Schedule 7 of the Local Audit and Accountability Act 2014, namely, to make a report in the public interest. </w:t>
      </w:r>
    </w:p>
    <w:p w14:paraId="09D5B93C" w14:textId="77777777" w:rsidR="003413EB" w:rsidRPr="003413EB" w:rsidRDefault="003413EB" w:rsidP="003413EB">
      <w:pPr>
        <w:pStyle w:val="Default"/>
        <w:rPr>
          <w:sz w:val="22"/>
          <w:szCs w:val="22"/>
        </w:rPr>
      </w:pPr>
    </w:p>
    <w:p w14:paraId="672FD855" w14:textId="77777777" w:rsidR="003413EB" w:rsidRDefault="003413EB" w:rsidP="003413EB">
      <w:pPr>
        <w:pStyle w:val="Default"/>
        <w:rPr>
          <w:sz w:val="22"/>
          <w:szCs w:val="22"/>
        </w:rPr>
      </w:pPr>
      <w:r w:rsidRPr="003413EB">
        <w:rPr>
          <w:sz w:val="22"/>
          <w:szCs w:val="22"/>
        </w:rPr>
        <w:t>No objection may be made unless the auditor has previously received written notice of the proposed objection, specifying the facts on which the objecto</w:t>
      </w:r>
      <w:bookmarkStart w:id="0" w:name="_GoBack"/>
      <w:bookmarkEnd w:id="0"/>
      <w:r w:rsidRPr="003413EB">
        <w:rPr>
          <w:sz w:val="22"/>
          <w:szCs w:val="22"/>
        </w:rPr>
        <w:t xml:space="preserve">r relies and the grounds on which the objection is being made. A copy of that written notice must also be sent to the </w:t>
      </w:r>
      <w:r>
        <w:rPr>
          <w:sz w:val="22"/>
          <w:szCs w:val="22"/>
        </w:rPr>
        <w:t>Authority</w:t>
      </w:r>
      <w:r w:rsidRPr="003413EB">
        <w:rPr>
          <w:sz w:val="22"/>
          <w:szCs w:val="22"/>
        </w:rPr>
        <w:t xml:space="preserve"> at the address below. </w:t>
      </w:r>
    </w:p>
    <w:p w14:paraId="318B3528" w14:textId="77777777" w:rsidR="003413EB" w:rsidRPr="003413EB" w:rsidRDefault="003413EB" w:rsidP="003413EB">
      <w:pPr>
        <w:pStyle w:val="Default"/>
        <w:rPr>
          <w:sz w:val="22"/>
          <w:szCs w:val="22"/>
        </w:rPr>
      </w:pPr>
    </w:p>
    <w:p w14:paraId="4483182C" w14:textId="77777777" w:rsidR="003413EB" w:rsidRDefault="003413EB" w:rsidP="003413EB">
      <w:pPr>
        <w:pStyle w:val="Default"/>
        <w:rPr>
          <w:sz w:val="22"/>
          <w:szCs w:val="22"/>
        </w:rPr>
      </w:pPr>
      <w:r w:rsidRPr="003413EB">
        <w:rPr>
          <w:sz w:val="22"/>
          <w:szCs w:val="22"/>
        </w:rPr>
        <w:t xml:space="preserve">Notice is given that the auditor is Grant Thornton UK LLP, 4 Hardman Street, Spinningfields, Manchester, M3 3EB to whom any questions and notices of objection should be addressed. </w:t>
      </w:r>
    </w:p>
    <w:p w14:paraId="74432540" w14:textId="77777777" w:rsidR="003413EB" w:rsidRPr="003413EB" w:rsidRDefault="003413EB" w:rsidP="003413EB">
      <w:pPr>
        <w:pStyle w:val="Default"/>
        <w:rPr>
          <w:sz w:val="22"/>
          <w:szCs w:val="22"/>
        </w:rPr>
      </w:pPr>
    </w:p>
    <w:p w14:paraId="4EF8FD36" w14:textId="77777777" w:rsidR="003413EB" w:rsidRDefault="003413EB" w:rsidP="003413EB">
      <w:pPr>
        <w:spacing w:after="0" w:afterAutospacing="0"/>
        <w:rPr>
          <w:rFonts w:cs="Arial"/>
        </w:rPr>
      </w:pPr>
      <w:r>
        <w:rPr>
          <w:rFonts w:cs="Arial"/>
        </w:rPr>
        <w:t>Richard Paver</w:t>
      </w:r>
    </w:p>
    <w:p w14:paraId="4116EF49" w14:textId="77777777" w:rsidR="003413EB" w:rsidRDefault="003413EB" w:rsidP="003413EB">
      <w:pPr>
        <w:spacing w:after="0" w:afterAutospacing="0"/>
        <w:rPr>
          <w:rFonts w:cs="Arial"/>
        </w:rPr>
      </w:pPr>
      <w:r>
        <w:rPr>
          <w:rFonts w:cs="Arial"/>
        </w:rPr>
        <w:t>Treasurer</w:t>
      </w:r>
    </w:p>
    <w:p w14:paraId="27E6A83A" w14:textId="77777777" w:rsidR="003413EB" w:rsidRDefault="003413EB" w:rsidP="003413EB">
      <w:pPr>
        <w:spacing w:after="0" w:afterAutospacing="0"/>
        <w:rPr>
          <w:rFonts w:cs="Arial"/>
        </w:rPr>
      </w:pPr>
      <w:r>
        <w:rPr>
          <w:rFonts w:cs="Arial"/>
        </w:rPr>
        <w:t>Greater Manchester Combined Authority</w:t>
      </w:r>
    </w:p>
    <w:p w14:paraId="56D07157" w14:textId="77777777" w:rsidR="003413EB" w:rsidRDefault="003413EB" w:rsidP="003413EB">
      <w:pPr>
        <w:spacing w:after="0" w:afterAutospacing="0"/>
        <w:rPr>
          <w:rFonts w:cs="Arial"/>
        </w:rPr>
      </w:pPr>
      <w:r>
        <w:rPr>
          <w:rFonts w:cs="Arial"/>
        </w:rPr>
        <w:t>1</w:t>
      </w:r>
      <w:r w:rsidRPr="003413EB">
        <w:rPr>
          <w:rFonts w:cs="Arial"/>
          <w:vertAlign w:val="superscript"/>
        </w:rPr>
        <w:t>st</w:t>
      </w:r>
      <w:r>
        <w:rPr>
          <w:rFonts w:cs="Arial"/>
        </w:rPr>
        <w:t xml:space="preserve"> Floor Churchgate House</w:t>
      </w:r>
    </w:p>
    <w:p w14:paraId="15990042" w14:textId="77777777" w:rsidR="003413EB" w:rsidRDefault="003413EB" w:rsidP="003413EB">
      <w:pPr>
        <w:spacing w:after="0" w:afterAutospacing="0"/>
        <w:rPr>
          <w:rFonts w:cs="Arial"/>
        </w:rPr>
      </w:pPr>
      <w:r>
        <w:rPr>
          <w:rFonts w:cs="Arial"/>
        </w:rPr>
        <w:t>56 Oxford Street</w:t>
      </w:r>
    </w:p>
    <w:p w14:paraId="29AB9BCD" w14:textId="77777777" w:rsidR="003413EB" w:rsidRDefault="003413EB" w:rsidP="003413EB">
      <w:pPr>
        <w:spacing w:after="0" w:afterAutospacing="0"/>
        <w:rPr>
          <w:rFonts w:cs="Arial"/>
        </w:rPr>
      </w:pPr>
      <w:r>
        <w:rPr>
          <w:rFonts w:cs="Arial"/>
        </w:rPr>
        <w:t>Manchester</w:t>
      </w:r>
    </w:p>
    <w:p w14:paraId="3784C750" w14:textId="77777777" w:rsidR="003413EB" w:rsidRPr="003413EB" w:rsidRDefault="003413EB" w:rsidP="003413EB">
      <w:pPr>
        <w:spacing w:after="0" w:afterAutospacing="0"/>
        <w:rPr>
          <w:rFonts w:cs="Arial"/>
        </w:rPr>
      </w:pPr>
      <w:r>
        <w:rPr>
          <w:rFonts w:cs="Arial"/>
        </w:rPr>
        <w:t>M1 6EU</w:t>
      </w:r>
    </w:p>
    <w:sectPr w:rsidR="003413EB" w:rsidRPr="003413EB" w:rsidSect="0014577E">
      <w:pgSz w:w="11906" w:h="16838"/>
      <w:pgMar w:top="709"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54E47"/>
    <w:multiLevelType w:val="hybridMultilevel"/>
    <w:tmpl w:val="5BC64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97877"/>
    <w:multiLevelType w:val="hybridMultilevel"/>
    <w:tmpl w:val="5CEA06F6"/>
    <w:lvl w:ilvl="0" w:tplc="700CE5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E3786D"/>
    <w:multiLevelType w:val="hybridMultilevel"/>
    <w:tmpl w:val="5F329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3EB"/>
    <w:rsid w:val="0014577E"/>
    <w:rsid w:val="00165FA7"/>
    <w:rsid w:val="002C699D"/>
    <w:rsid w:val="003413EB"/>
    <w:rsid w:val="00C25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69A3A"/>
  <w15:chartTrackingRefBased/>
  <w15:docId w15:val="{71F01C24-E1DB-4B84-8D47-2DF73CC3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713"/>
    <w:pPr>
      <w:spacing w:after="100" w:afterAutospacing="1"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13E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413EB"/>
    <w:rPr>
      <w:color w:val="0563C1" w:themeColor="hyperlink"/>
      <w:u w:val="single"/>
    </w:rPr>
  </w:style>
  <w:style w:type="table" w:styleId="TableGrid">
    <w:name w:val="Table Grid"/>
    <w:basedOn w:val="TableNormal"/>
    <w:uiPriority w:val="59"/>
    <w:rsid w:val="003413EB"/>
    <w:pPr>
      <w:spacing w:after="0" w:line="240" w:lineRule="auto"/>
    </w:pPr>
    <w:rPr>
      <w:rFonts w:ascii="Corbel" w:eastAsia="Corbel" w:hAnsi="Corbe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83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gmwda.gov.uk/wp-content/uploads/2017/01/A_201718_Statement_of_Accounts_Subject_to_Audit.pdf"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ff42d450be34ba39f6dc945634f4bfe xmlns="eda6d618-15d9-42af-87fb-65bd9a9383d3">
      <Terms xmlns="http://schemas.microsoft.com/office/infopath/2007/PartnerControls">
        <TermInfo xmlns="http://schemas.microsoft.com/office/infopath/2007/PartnerControls">
          <TermName>2017/18</TermName>
          <TermId>d95b7464-606e-4ab6-89f9-e85c20168d8c</TermId>
        </TermInfo>
      </Terms>
    </lff42d450be34ba39f6dc945634f4bfe>
    <TaxCatchAll xmlns="395bd08e-1fb3-4ee4-83f3-9fab84db6205">
      <Value>10</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BAD18ED0F6AD448B19A589828D9412" ma:contentTypeVersion="5" ma:contentTypeDescription="Create a new document." ma:contentTypeScope="" ma:versionID="39de379f2617f024b3c3dc21f510347e">
  <xsd:schema xmlns:xsd="http://www.w3.org/2001/XMLSchema" xmlns:xs="http://www.w3.org/2001/XMLSchema" xmlns:p="http://schemas.microsoft.com/office/2006/metadata/properties" xmlns:ns2="eda6d618-15d9-42af-87fb-65bd9a9383d3" xmlns:ns3="395bd08e-1fb3-4ee4-83f3-9fab84db6205" targetNamespace="http://schemas.microsoft.com/office/2006/metadata/properties" ma:root="true" ma:fieldsID="a5cbd3ca4f942c648c948204d8426b1a" ns2:_="" ns3:_="">
    <xsd:import namespace="eda6d618-15d9-42af-87fb-65bd9a9383d3"/>
    <xsd:import namespace="395bd08e-1fb3-4ee4-83f3-9fab84db6205"/>
    <xsd:element name="properties">
      <xsd:complexType>
        <xsd:sequence>
          <xsd:element name="documentManagement">
            <xsd:complexType>
              <xsd:all>
                <xsd:element ref="ns2:lff42d450be34ba39f6dc945634f4bfe" minOccurs="0"/>
                <xsd:element ref="ns3:TaxCatchAll"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6d618-15d9-42af-87fb-65bd9a9383d3" elementFormDefault="qualified">
    <xsd:import namespace="http://schemas.microsoft.com/office/2006/documentManagement/types"/>
    <xsd:import namespace="http://schemas.microsoft.com/office/infopath/2007/PartnerControls"/>
    <xsd:element name="lff42d450be34ba39f6dc945634f4bfe" ma:index="9" ma:taxonomy="true" ma:internalName="lff42d450be34ba39f6dc945634f4bfe" ma:taxonomyFieldName="Year" ma:displayName="Year" ma:default="" ma:fieldId="{5ff42d45-0be3-4ba3-9f6d-c945634f4bfe}" ma:sspId="14b5735e-5143-4c02-be0f-58e3fd509170" ma:termSetId="98b56e56-9b3f-4bb4-bfd1-8f1b5cfff0a9" ma:anchorId="00000000-0000-0000-0000-000000000000" ma:open="false" ma:isKeyword="false">
      <xsd:complexType>
        <xsd:sequence>
          <xsd:element ref="pc:Terms" minOccurs="0" maxOccurs="1"/>
        </xsd:sequence>
      </xsd:complex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5bd08e-1fb3-4ee4-83f3-9fab84db6205"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7f51ae79-6de1-4a45-aef0-5fb56a071315}" ma:internalName="TaxCatchAll" ma:showField="CatchAllData" ma:web="395bd08e-1fb3-4ee4-83f3-9fab84db62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357420-A9FD-4E4D-98D2-4A8A1BEBFFE7}">
  <ds:schemaRefs>
    <ds:schemaRef ds:uri="http://schemas.openxmlformats.org/package/2006/metadata/core-properties"/>
    <ds:schemaRef ds:uri="http://purl.org/dc/terms/"/>
    <ds:schemaRef ds:uri="http://www.w3.org/XML/1998/namespace"/>
    <ds:schemaRef ds:uri="eda6d618-15d9-42af-87fb-65bd9a9383d3"/>
    <ds:schemaRef ds:uri="http://schemas.microsoft.com/office/2006/documentManagement/types"/>
    <ds:schemaRef ds:uri="http://schemas.microsoft.com/office/2006/metadata/properties"/>
    <ds:schemaRef ds:uri="http://purl.org/dc/elements/1.1/"/>
    <ds:schemaRef ds:uri="http://schemas.microsoft.com/office/infopath/2007/PartnerControls"/>
    <ds:schemaRef ds:uri="395bd08e-1fb3-4ee4-83f3-9fab84db6205"/>
    <ds:schemaRef ds:uri="http://purl.org/dc/dcmitype/"/>
  </ds:schemaRefs>
</ds:datastoreItem>
</file>

<file path=customXml/itemProps2.xml><?xml version="1.0" encoding="utf-8"?>
<ds:datastoreItem xmlns:ds="http://schemas.openxmlformats.org/officeDocument/2006/customXml" ds:itemID="{35D7FF37-DEDF-4CD8-B874-120CAA849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6d618-15d9-42af-87fb-65bd9a9383d3"/>
    <ds:schemaRef ds:uri="395bd08e-1fb3-4ee4-83f3-9fab84db6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8B9BF8-190C-486A-9933-A12A2A331A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Greater Manchester Fire &amp; Rescue Service</Company>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Keech</dc:creator>
  <cp:keywords/>
  <dc:description/>
  <cp:lastModifiedBy>Lindsey Keech</cp:lastModifiedBy>
  <cp:revision>3</cp:revision>
  <dcterms:created xsi:type="dcterms:W3CDTF">2018-05-31T08:05:00Z</dcterms:created>
  <dcterms:modified xsi:type="dcterms:W3CDTF">2018-05-31T11:45:00Z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0x010100F4BAD18ED0F6AD448B19A589828D9412</vt:lpwstr>
  </property>
  <property fmtid="{D5CDD505-2E9C-101B-9397-08002B2CF9AE}" pid="3" name="Year">
    <vt:lpwstr>10;#2017/18|d95b7464-606e-4ab6-89f9-e85c20168d8c</vt:lpwstr>
  </property>
</Properties>
</file>