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E65E0" w:rsidRPr="00CE65E0" w14:paraId="009DF549" w14:textId="77777777" w:rsidTr="007616C2">
        <w:trPr>
          <w:trHeight w:val="8218"/>
        </w:trPr>
        <w:tc>
          <w:tcPr>
            <w:tcW w:w="9016" w:type="dxa"/>
            <w:tcBorders>
              <w:bottom w:val="single" w:sz="12" w:space="0" w:color="auto"/>
            </w:tcBorders>
            <w:vAlign w:val="bottom"/>
          </w:tcPr>
          <w:p w14:paraId="570298F6" w14:textId="5CEA111F" w:rsidR="00CE65E0" w:rsidRPr="00CE65E0" w:rsidRDefault="00CE65E0" w:rsidP="00411FFF">
            <w:pPr>
              <w:spacing w:after="2880" w:line="360" w:lineRule="auto"/>
              <w:ind w:right="-613"/>
              <w:jc w:val="right"/>
              <w:rPr>
                <w:rFonts w:cs="Arial"/>
                <w:b/>
                <w:sz w:val="60"/>
                <w:szCs w:val="60"/>
              </w:rPr>
            </w:pPr>
            <w:r w:rsidRPr="00CE65E0">
              <w:rPr>
                <w:rFonts w:cs="Arial"/>
              </w:rPr>
              <w:br w:type="page"/>
            </w:r>
          </w:p>
          <w:p w14:paraId="19B2EF95" w14:textId="77777777" w:rsidR="00CE65E0" w:rsidRPr="00CE65E0" w:rsidRDefault="00CE65E0" w:rsidP="00CE65E0">
            <w:pPr>
              <w:pStyle w:val="Heading1"/>
              <w:spacing w:line="360" w:lineRule="auto"/>
              <w:outlineLvl w:val="0"/>
              <w:rPr>
                <w:rFonts w:ascii="Arial" w:hAnsi="Arial" w:cs="Arial"/>
                <w:sz w:val="72"/>
                <w:szCs w:val="72"/>
              </w:rPr>
            </w:pPr>
            <w:r w:rsidRPr="00CE65E0">
              <w:rPr>
                <w:rFonts w:ascii="Arial" w:hAnsi="Arial" w:cs="Arial"/>
                <w:color w:val="595959" w:themeColor="text1" w:themeTint="A6"/>
                <w:sz w:val="72"/>
                <w:szCs w:val="72"/>
              </w:rPr>
              <w:t xml:space="preserve">Economic Forecasts for </w:t>
            </w:r>
            <w:r w:rsidRPr="00CE65E0">
              <w:rPr>
                <w:rFonts w:ascii="Arial" w:hAnsi="Arial" w:cs="Arial"/>
                <w:color w:val="595959" w:themeColor="text1" w:themeTint="A6"/>
                <w:sz w:val="72"/>
                <w:szCs w:val="72"/>
              </w:rPr>
              <w:br/>
              <w:t>Greater Manchester</w:t>
            </w:r>
          </w:p>
        </w:tc>
      </w:tr>
      <w:tr w:rsidR="00CE65E0" w:rsidRPr="00CE65E0" w14:paraId="56B9E0A6" w14:textId="77777777" w:rsidTr="007616C2">
        <w:tc>
          <w:tcPr>
            <w:tcW w:w="9016" w:type="dxa"/>
            <w:tcBorders>
              <w:top w:val="single" w:sz="12" w:space="0" w:color="auto"/>
            </w:tcBorders>
          </w:tcPr>
          <w:p w14:paraId="46D78FF1" w14:textId="77777777" w:rsidR="00CE65E0" w:rsidRPr="00CE65E0" w:rsidRDefault="00CE65E0" w:rsidP="00CE65E0">
            <w:pPr>
              <w:spacing w:line="360" w:lineRule="auto"/>
              <w:ind w:right="-613"/>
              <w:rPr>
                <w:rFonts w:cs="Arial"/>
              </w:rPr>
            </w:pPr>
          </w:p>
        </w:tc>
      </w:tr>
      <w:tr w:rsidR="00CE65E0" w:rsidRPr="00CE65E0" w14:paraId="066B6FD2" w14:textId="77777777" w:rsidTr="007616C2">
        <w:trPr>
          <w:trHeight w:val="286"/>
        </w:trPr>
        <w:tc>
          <w:tcPr>
            <w:tcW w:w="9016" w:type="dxa"/>
            <w:vAlign w:val="center"/>
          </w:tcPr>
          <w:p w14:paraId="33EC2C47" w14:textId="77777777" w:rsidR="00CE65E0" w:rsidRPr="00CE65E0" w:rsidRDefault="00CE65E0" w:rsidP="00CE65E0">
            <w:pPr>
              <w:spacing w:line="360" w:lineRule="auto"/>
              <w:ind w:right="-613"/>
              <w:rPr>
                <w:rFonts w:cs="Arial"/>
              </w:rPr>
            </w:pPr>
          </w:p>
        </w:tc>
      </w:tr>
      <w:tr w:rsidR="00CE65E0" w:rsidRPr="00CE65E0" w14:paraId="34D97765" w14:textId="77777777" w:rsidTr="007616C2">
        <w:trPr>
          <w:trHeight w:val="454"/>
        </w:trPr>
        <w:tc>
          <w:tcPr>
            <w:tcW w:w="9016" w:type="dxa"/>
            <w:vAlign w:val="center"/>
          </w:tcPr>
          <w:p w14:paraId="62AD7E77" w14:textId="77777777" w:rsidR="00CE65E0" w:rsidRPr="00CE65E0" w:rsidRDefault="00CE65E0" w:rsidP="00CE65E0">
            <w:pPr>
              <w:spacing w:line="360" w:lineRule="auto"/>
              <w:ind w:right="-613"/>
              <w:rPr>
                <w:rFonts w:cs="Arial"/>
              </w:rPr>
            </w:pPr>
            <w:r w:rsidRPr="00CE65E0">
              <w:rPr>
                <w:rFonts w:cs="Arial"/>
              </w:rPr>
              <w:t>February 2020</w:t>
            </w:r>
          </w:p>
        </w:tc>
      </w:tr>
    </w:tbl>
    <w:p w14:paraId="6CB134E8" w14:textId="77777777" w:rsidR="00CE65E0" w:rsidRPr="00CE65E0" w:rsidRDefault="00CE65E0" w:rsidP="00CE65E0">
      <w:pPr>
        <w:ind w:right="-613"/>
        <w:rPr>
          <w:rFonts w:cs="Arial"/>
        </w:rPr>
      </w:pPr>
    </w:p>
    <w:p w14:paraId="33520EF2" w14:textId="654788B6" w:rsidR="00CE65E0" w:rsidRPr="00CE65E0" w:rsidRDefault="00CE65E0" w:rsidP="00CE65E0">
      <w:pPr>
        <w:rPr>
          <w:rFonts w:cs="Arial"/>
        </w:rPr>
      </w:pPr>
    </w:p>
    <w:p w14:paraId="41F2EB3F" w14:textId="4B298628" w:rsidR="00CE65E0" w:rsidRDefault="00CE65E0" w:rsidP="00CE65E0">
      <w:pPr>
        <w:rPr>
          <w:rFonts w:cs="Arial"/>
        </w:rPr>
      </w:pPr>
      <w:r>
        <w:rPr>
          <w:rFonts w:cs="Arial"/>
        </w:rPr>
        <w:br w:type="page"/>
      </w:r>
    </w:p>
    <w:p w14:paraId="0E0F582D" w14:textId="71C4E623" w:rsidR="00CE65E0" w:rsidRDefault="00CE65E0" w:rsidP="00CE65E0">
      <w:pPr>
        <w:pStyle w:val="Heading2"/>
      </w:pPr>
      <w:bookmarkStart w:id="0" w:name="_Toc73519675"/>
      <w:r>
        <w:lastRenderedPageBreak/>
        <w:t>Table of Contents</w:t>
      </w:r>
      <w:bookmarkEnd w:id="0"/>
    </w:p>
    <w:p w14:paraId="29BDC67A" w14:textId="77777777" w:rsidR="00CE65E0" w:rsidRPr="00CE65E0" w:rsidRDefault="00CE65E0" w:rsidP="00CE65E0"/>
    <w:p w14:paraId="06145E38" w14:textId="17F6088E" w:rsidR="00B62F92" w:rsidRDefault="00B62F92">
      <w:pPr>
        <w:pStyle w:val="TOC1"/>
        <w:tabs>
          <w:tab w:val="right" w:leader="dot" w:pos="9016"/>
        </w:tabs>
        <w:rPr>
          <w:rFonts w:asciiTheme="minorHAnsi" w:eastAsiaTheme="minorEastAsia" w:hAnsiTheme="minorHAnsi"/>
          <w:noProof/>
          <w:sz w:val="22"/>
          <w:lang w:eastAsia="en-GB"/>
        </w:rPr>
      </w:pPr>
      <w:r>
        <w:rPr>
          <w:rFonts w:cs="Arial"/>
        </w:rPr>
        <w:fldChar w:fldCharType="begin"/>
      </w:r>
      <w:r>
        <w:rPr>
          <w:rFonts w:cs="Arial"/>
        </w:rPr>
        <w:instrText xml:space="preserve"> TOC \h \z \u \t "Heading 2,1" </w:instrText>
      </w:r>
      <w:r>
        <w:rPr>
          <w:rFonts w:cs="Arial"/>
        </w:rPr>
        <w:fldChar w:fldCharType="separate"/>
      </w:r>
      <w:hyperlink w:anchor="_Toc73519675" w:history="1">
        <w:r w:rsidRPr="00AB7AA8">
          <w:rPr>
            <w:rStyle w:val="Hyperlink"/>
            <w:noProof/>
          </w:rPr>
          <w:t>Table of Contents</w:t>
        </w:r>
        <w:r>
          <w:rPr>
            <w:noProof/>
            <w:webHidden/>
          </w:rPr>
          <w:tab/>
        </w:r>
        <w:r>
          <w:rPr>
            <w:noProof/>
            <w:webHidden/>
          </w:rPr>
          <w:fldChar w:fldCharType="begin"/>
        </w:r>
        <w:r>
          <w:rPr>
            <w:noProof/>
            <w:webHidden/>
          </w:rPr>
          <w:instrText xml:space="preserve"> PAGEREF _Toc73519675 \h </w:instrText>
        </w:r>
        <w:r>
          <w:rPr>
            <w:noProof/>
            <w:webHidden/>
          </w:rPr>
        </w:r>
        <w:r>
          <w:rPr>
            <w:noProof/>
            <w:webHidden/>
          </w:rPr>
          <w:fldChar w:fldCharType="separate"/>
        </w:r>
        <w:r>
          <w:rPr>
            <w:noProof/>
            <w:webHidden/>
          </w:rPr>
          <w:t>2</w:t>
        </w:r>
        <w:r>
          <w:rPr>
            <w:noProof/>
            <w:webHidden/>
          </w:rPr>
          <w:fldChar w:fldCharType="end"/>
        </w:r>
      </w:hyperlink>
    </w:p>
    <w:p w14:paraId="566F3B92" w14:textId="51A41FFE" w:rsidR="00B62F92" w:rsidRDefault="00B62F92">
      <w:pPr>
        <w:pStyle w:val="TOC1"/>
        <w:tabs>
          <w:tab w:val="left" w:pos="440"/>
          <w:tab w:val="right" w:leader="dot" w:pos="9016"/>
        </w:tabs>
        <w:rPr>
          <w:rFonts w:asciiTheme="minorHAnsi" w:eastAsiaTheme="minorEastAsia" w:hAnsiTheme="minorHAnsi"/>
          <w:noProof/>
          <w:sz w:val="22"/>
          <w:lang w:eastAsia="en-GB"/>
        </w:rPr>
      </w:pPr>
      <w:hyperlink w:anchor="_Toc73519676" w:history="1">
        <w:r w:rsidRPr="00AB7AA8">
          <w:rPr>
            <w:rStyle w:val="Hyperlink"/>
            <w:noProof/>
          </w:rPr>
          <w:t>1.</w:t>
        </w:r>
        <w:r>
          <w:rPr>
            <w:rFonts w:asciiTheme="minorHAnsi" w:eastAsiaTheme="minorEastAsia" w:hAnsiTheme="minorHAnsi"/>
            <w:noProof/>
            <w:sz w:val="22"/>
            <w:lang w:eastAsia="en-GB"/>
          </w:rPr>
          <w:tab/>
        </w:r>
        <w:r w:rsidRPr="00AB7AA8">
          <w:rPr>
            <w:rStyle w:val="Hyperlink"/>
            <w:noProof/>
          </w:rPr>
          <w:t>Executive Summary</w:t>
        </w:r>
        <w:r>
          <w:rPr>
            <w:noProof/>
            <w:webHidden/>
          </w:rPr>
          <w:tab/>
        </w:r>
        <w:r>
          <w:rPr>
            <w:noProof/>
            <w:webHidden/>
          </w:rPr>
          <w:fldChar w:fldCharType="begin"/>
        </w:r>
        <w:r>
          <w:rPr>
            <w:noProof/>
            <w:webHidden/>
          </w:rPr>
          <w:instrText xml:space="preserve"> PAGEREF _Toc73519676 \h </w:instrText>
        </w:r>
        <w:r>
          <w:rPr>
            <w:noProof/>
            <w:webHidden/>
          </w:rPr>
        </w:r>
        <w:r>
          <w:rPr>
            <w:noProof/>
            <w:webHidden/>
          </w:rPr>
          <w:fldChar w:fldCharType="separate"/>
        </w:r>
        <w:r>
          <w:rPr>
            <w:noProof/>
            <w:webHidden/>
          </w:rPr>
          <w:t>3</w:t>
        </w:r>
        <w:r>
          <w:rPr>
            <w:noProof/>
            <w:webHidden/>
          </w:rPr>
          <w:fldChar w:fldCharType="end"/>
        </w:r>
      </w:hyperlink>
    </w:p>
    <w:p w14:paraId="044D36D8" w14:textId="7D702D2F" w:rsidR="00B62F92" w:rsidRDefault="00B62F92">
      <w:pPr>
        <w:pStyle w:val="TOC1"/>
        <w:tabs>
          <w:tab w:val="left" w:pos="440"/>
          <w:tab w:val="right" w:leader="dot" w:pos="9016"/>
        </w:tabs>
        <w:rPr>
          <w:rFonts w:asciiTheme="minorHAnsi" w:eastAsiaTheme="minorEastAsia" w:hAnsiTheme="minorHAnsi"/>
          <w:noProof/>
          <w:sz w:val="22"/>
          <w:lang w:eastAsia="en-GB"/>
        </w:rPr>
      </w:pPr>
      <w:hyperlink w:anchor="_Toc73519677" w:history="1">
        <w:r w:rsidRPr="00AB7AA8">
          <w:rPr>
            <w:rStyle w:val="Hyperlink"/>
            <w:noProof/>
          </w:rPr>
          <w:t>2.</w:t>
        </w:r>
        <w:r>
          <w:rPr>
            <w:rFonts w:asciiTheme="minorHAnsi" w:eastAsiaTheme="minorEastAsia" w:hAnsiTheme="minorHAnsi"/>
            <w:noProof/>
            <w:sz w:val="22"/>
            <w:lang w:eastAsia="en-GB"/>
          </w:rPr>
          <w:tab/>
        </w:r>
        <w:r w:rsidRPr="00AB7AA8">
          <w:rPr>
            <w:rStyle w:val="Hyperlink"/>
            <w:noProof/>
          </w:rPr>
          <w:t>Introduction</w:t>
        </w:r>
        <w:r>
          <w:rPr>
            <w:noProof/>
            <w:webHidden/>
          </w:rPr>
          <w:tab/>
        </w:r>
        <w:r>
          <w:rPr>
            <w:noProof/>
            <w:webHidden/>
          </w:rPr>
          <w:fldChar w:fldCharType="begin"/>
        </w:r>
        <w:r>
          <w:rPr>
            <w:noProof/>
            <w:webHidden/>
          </w:rPr>
          <w:instrText xml:space="preserve"> PAGEREF _Toc73519677 \h </w:instrText>
        </w:r>
        <w:r>
          <w:rPr>
            <w:noProof/>
            <w:webHidden/>
          </w:rPr>
        </w:r>
        <w:r>
          <w:rPr>
            <w:noProof/>
            <w:webHidden/>
          </w:rPr>
          <w:fldChar w:fldCharType="separate"/>
        </w:r>
        <w:r>
          <w:rPr>
            <w:noProof/>
            <w:webHidden/>
          </w:rPr>
          <w:t>9</w:t>
        </w:r>
        <w:r>
          <w:rPr>
            <w:noProof/>
            <w:webHidden/>
          </w:rPr>
          <w:fldChar w:fldCharType="end"/>
        </w:r>
      </w:hyperlink>
    </w:p>
    <w:p w14:paraId="213DB80A" w14:textId="7D9A73D0" w:rsidR="00B62F92" w:rsidRDefault="00B62F92">
      <w:pPr>
        <w:pStyle w:val="TOC1"/>
        <w:tabs>
          <w:tab w:val="left" w:pos="440"/>
          <w:tab w:val="right" w:leader="dot" w:pos="9016"/>
        </w:tabs>
        <w:rPr>
          <w:rFonts w:asciiTheme="minorHAnsi" w:eastAsiaTheme="minorEastAsia" w:hAnsiTheme="minorHAnsi"/>
          <w:noProof/>
          <w:sz w:val="22"/>
          <w:lang w:eastAsia="en-GB"/>
        </w:rPr>
      </w:pPr>
      <w:hyperlink w:anchor="_Toc73519678" w:history="1">
        <w:r w:rsidRPr="00AB7AA8">
          <w:rPr>
            <w:rStyle w:val="Hyperlink"/>
            <w:noProof/>
          </w:rPr>
          <w:t>3.</w:t>
        </w:r>
        <w:r>
          <w:rPr>
            <w:rFonts w:asciiTheme="minorHAnsi" w:eastAsiaTheme="minorEastAsia" w:hAnsiTheme="minorHAnsi"/>
            <w:noProof/>
            <w:sz w:val="22"/>
            <w:lang w:eastAsia="en-GB"/>
          </w:rPr>
          <w:tab/>
        </w:r>
        <w:r w:rsidRPr="00AB7AA8">
          <w:rPr>
            <w:rStyle w:val="Hyperlink"/>
            <w:noProof/>
          </w:rPr>
          <w:t>GMFM-2019 baseline forecast</w:t>
        </w:r>
        <w:r>
          <w:rPr>
            <w:noProof/>
            <w:webHidden/>
          </w:rPr>
          <w:tab/>
        </w:r>
        <w:r>
          <w:rPr>
            <w:noProof/>
            <w:webHidden/>
          </w:rPr>
          <w:fldChar w:fldCharType="begin"/>
        </w:r>
        <w:r>
          <w:rPr>
            <w:noProof/>
            <w:webHidden/>
          </w:rPr>
          <w:instrText xml:space="preserve"> PAGEREF _Toc73519678 \h </w:instrText>
        </w:r>
        <w:r>
          <w:rPr>
            <w:noProof/>
            <w:webHidden/>
          </w:rPr>
        </w:r>
        <w:r>
          <w:rPr>
            <w:noProof/>
            <w:webHidden/>
          </w:rPr>
          <w:fldChar w:fldCharType="separate"/>
        </w:r>
        <w:r>
          <w:rPr>
            <w:noProof/>
            <w:webHidden/>
          </w:rPr>
          <w:t>11</w:t>
        </w:r>
        <w:r>
          <w:rPr>
            <w:noProof/>
            <w:webHidden/>
          </w:rPr>
          <w:fldChar w:fldCharType="end"/>
        </w:r>
      </w:hyperlink>
    </w:p>
    <w:p w14:paraId="57CA1A9E" w14:textId="2F08B3E9" w:rsidR="00B62F92" w:rsidRDefault="00B62F92">
      <w:pPr>
        <w:pStyle w:val="TOC1"/>
        <w:tabs>
          <w:tab w:val="right" w:leader="dot" w:pos="9016"/>
        </w:tabs>
        <w:rPr>
          <w:rFonts w:asciiTheme="minorHAnsi" w:eastAsiaTheme="minorEastAsia" w:hAnsiTheme="minorHAnsi"/>
          <w:noProof/>
          <w:sz w:val="22"/>
          <w:lang w:eastAsia="en-GB"/>
        </w:rPr>
      </w:pPr>
      <w:hyperlink w:anchor="_Toc73519679" w:history="1">
        <w:r w:rsidRPr="00AB7AA8">
          <w:rPr>
            <w:rStyle w:val="Hyperlink"/>
            <w:noProof/>
          </w:rPr>
          <w:t>4. Accelerated Growth Scenario - 2019</w:t>
        </w:r>
        <w:r>
          <w:rPr>
            <w:noProof/>
            <w:webHidden/>
          </w:rPr>
          <w:tab/>
        </w:r>
        <w:r>
          <w:rPr>
            <w:noProof/>
            <w:webHidden/>
          </w:rPr>
          <w:fldChar w:fldCharType="begin"/>
        </w:r>
        <w:r>
          <w:rPr>
            <w:noProof/>
            <w:webHidden/>
          </w:rPr>
          <w:instrText xml:space="preserve"> PAGEREF _Toc73519679 \h </w:instrText>
        </w:r>
        <w:r>
          <w:rPr>
            <w:noProof/>
            <w:webHidden/>
          </w:rPr>
        </w:r>
        <w:r>
          <w:rPr>
            <w:noProof/>
            <w:webHidden/>
          </w:rPr>
          <w:fldChar w:fldCharType="separate"/>
        </w:r>
        <w:r>
          <w:rPr>
            <w:noProof/>
            <w:webHidden/>
          </w:rPr>
          <w:t>22</w:t>
        </w:r>
        <w:r>
          <w:rPr>
            <w:noProof/>
            <w:webHidden/>
          </w:rPr>
          <w:fldChar w:fldCharType="end"/>
        </w:r>
      </w:hyperlink>
    </w:p>
    <w:p w14:paraId="7F6C0812" w14:textId="65FC622D" w:rsidR="00B62F92" w:rsidRDefault="00B62F92">
      <w:pPr>
        <w:pStyle w:val="TOC1"/>
        <w:tabs>
          <w:tab w:val="right" w:leader="dot" w:pos="9016"/>
        </w:tabs>
        <w:rPr>
          <w:rFonts w:asciiTheme="minorHAnsi" w:eastAsiaTheme="minorEastAsia" w:hAnsiTheme="minorHAnsi"/>
          <w:noProof/>
          <w:sz w:val="22"/>
          <w:lang w:eastAsia="en-GB"/>
        </w:rPr>
      </w:pPr>
      <w:hyperlink w:anchor="_Toc73519680" w:history="1">
        <w:r w:rsidRPr="00AB7AA8">
          <w:rPr>
            <w:rStyle w:val="Hyperlink"/>
            <w:noProof/>
          </w:rPr>
          <w:t>5. Annex 1: Data sources</w:t>
        </w:r>
        <w:r>
          <w:rPr>
            <w:noProof/>
            <w:webHidden/>
          </w:rPr>
          <w:tab/>
        </w:r>
        <w:r>
          <w:rPr>
            <w:noProof/>
            <w:webHidden/>
          </w:rPr>
          <w:fldChar w:fldCharType="begin"/>
        </w:r>
        <w:r>
          <w:rPr>
            <w:noProof/>
            <w:webHidden/>
          </w:rPr>
          <w:instrText xml:space="preserve"> PAGEREF _Toc73519680 \h </w:instrText>
        </w:r>
        <w:r>
          <w:rPr>
            <w:noProof/>
            <w:webHidden/>
          </w:rPr>
        </w:r>
        <w:r>
          <w:rPr>
            <w:noProof/>
            <w:webHidden/>
          </w:rPr>
          <w:fldChar w:fldCharType="separate"/>
        </w:r>
        <w:r>
          <w:rPr>
            <w:noProof/>
            <w:webHidden/>
          </w:rPr>
          <w:t>32</w:t>
        </w:r>
        <w:r>
          <w:rPr>
            <w:noProof/>
            <w:webHidden/>
          </w:rPr>
          <w:fldChar w:fldCharType="end"/>
        </w:r>
      </w:hyperlink>
    </w:p>
    <w:p w14:paraId="6E7E9139" w14:textId="750D5014" w:rsidR="00B62F92" w:rsidRDefault="00B62F92">
      <w:pPr>
        <w:pStyle w:val="TOC1"/>
        <w:tabs>
          <w:tab w:val="right" w:leader="dot" w:pos="9016"/>
        </w:tabs>
        <w:rPr>
          <w:rFonts w:asciiTheme="minorHAnsi" w:eastAsiaTheme="minorEastAsia" w:hAnsiTheme="minorHAnsi"/>
          <w:noProof/>
          <w:sz w:val="22"/>
          <w:lang w:eastAsia="en-GB"/>
        </w:rPr>
      </w:pPr>
      <w:hyperlink w:anchor="_Toc73519681" w:history="1">
        <w:r w:rsidRPr="00AB7AA8">
          <w:rPr>
            <w:rStyle w:val="Hyperlink"/>
            <w:noProof/>
          </w:rPr>
          <w:t>6. Annex 2: Comparison of forecasts and summary of Brexit impact assessments</w:t>
        </w:r>
        <w:r>
          <w:rPr>
            <w:noProof/>
            <w:webHidden/>
          </w:rPr>
          <w:tab/>
        </w:r>
        <w:r>
          <w:rPr>
            <w:noProof/>
            <w:webHidden/>
          </w:rPr>
          <w:fldChar w:fldCharType="begin"/>
        </w:r>
        <w:r>
          <w:rPr>
            <w:noProof/>
            <w:webHidden/>
          </w:rPr>
          <w:instrText xml:space="preserve"> PAGEREF _Toc73519681 \h </w:instrText>
        </w:r>
        <w:r>
          <w:rPr>
            <w:noProof/>
            <w:webHidden/>
          </w:rPr>
        </w:r>
        <w:r>
          <w:rPr>
            <w:noProof/>
            <w:webHidden/>
          </w:rPr>
          <w:fldChar w:fldCharType="separate"/>
        </w:r>
        <w:r>
          <w:rPr>
            <w:noProof/>
            <w:webHidden/>
          </w:rPr>
          <w:t>33</w:t>
        </w:r>
        <w:r>
          <w:rPr>
            <w:noProof/>
            <w:webHidden/>
          </w:rPr>
          <w:fldChar w:fldCharType="end"/>
        </w:r>
      </w:hyperlink>
    </w:p>
    <w:p w14:paraId="130C8BD8" w14:textId="08962D20" w:rsidR="007616C2" w:rsidRDefault="00B62F92" w:rsidP="00CE65E0">
      <w:pPr>
        <w:rPr>
          <w:rFonts w:cs="Arial"/>
        </w:rPr>
      </w:pPr>
      <w:r>
        <w:rPr>
          <w:rFonts w:cs="Arial"/>
        </w:rPr>
        <w:fldChar w:fldCharType="end"/>
      </w:r>
    </w:p>
    <w:p w14:paraId="2836DD9F" w14:textId="57D4ABD3" w:rsidR="00CE65E0" w:rsidRDefault="00CE65E0" w:rsidP="00CE65E0">
      <w:pPr>
        <w:rPr>
          <w:rFonts w:cs="Arial"/>
        </w:rPr>
      </w:pPr>
    </w:p>
    <w:p w14:paraId="14D09133" w14:textId="205F1950" w:rsidR="00CE65E0" w:rsidRDefault="00CE65E0" w:rsidP="00CE65E0">
      <w:pPr>
        <w:rPr>
          <w:rFonts w:cs="Arial"/>
        </w:rPr>
      </w:pPr>
      <w:r>
        <w:rPr>
          <w:rFonts w:cs="Arial"/>
        </w:rPr>
        <w:br w:type="page"/>
      </w:r>
    </w:p>
    <w:p w14:paraId="7B5AC5FC" w14:textId="63BF88E5" w:rsidR="00CE65E0" w:rsidRDefault="00CE65E0" w:rsidP="003D0912">
      <w:pPr>
        <w:pStyle w:val="Heading2"/>
        <w:numPr>
          <w:ilvl w:val="0"/>
          <w:numId w:val="3"/>
        </w:numPr>
      </w:pPr>
      <w:bookmarkStart w:id="1" w:name="_Toc73519676"/>
      <w:r>
        <w:lastRenderedPageBreak/>
        <w:t>Executive Summary</w:t>
      </w:r>
      <w:bookmarkEnd w:id="1"/>
    </w:p>
    <w:p w14:paraId="76E49697" w14:textId="7CC40D6F" w:rsidR="00CE65E0" w:rsidRDefault="00CE65E0" w:rsidP="0043481D">
      <w:pPr>
        <w:pStyle w:val="Heading3"/>
      </w:pPr>
      <w:r w:rsidRPr="00CE65E0">
        <w:t>Background</w:t>
      </w:r>
    </w:p>
    <w:p w14:paraId="084463EC" w14:textId="77777777" w:rsidR="0043481D" w:rsidRPr="0043481D" w:rsidRDefault="0043481D" w:rsidP="0043481D"/>
    <w:p w14:paraId="3A722281" w14:textId="0AF9306A" w:rsidR="00CE65E0" w:rsidRPr="00CE65E0" w:rsidRDefault="003D0912" w:rsidP="00CE65E0">
      <w:r>
        <w:t>1.1.</w:t>
      </w:r>
      <w:r>
        <w:tab/>
      </w:r>
      <w:r w:rsidR="00CE65E0" w:rsidRPr="00CE65E0">
        <w:t>This report presents the results of the Greater Manchester Forecasting Model 2019 (GMFM-2019) produced in October 2019. In addition to the GMFM, which is a baseline scenario, this report also provides the results of the Accelerated Growth Scenario (AGS) for Greater Manchester (GM) produced in February 2020. This shows a future where improvements to the skills base, innovation, and transport boost GVA, employment, and productivity growth across the North. GM’s economy both drives, and benefits from, this growth.</w:t>
      </w:r>
    </w:p>
    <w:p w14:paraId="47A28E3F" w14:textId="24B75AD9" w:rsidR="00CE65E0" w:rsidRPr="00CE65E0" w:rsidRDefault="003D0912" w:rsidP="00CE65E0">
      <w:r>
        <w:t>1.2.</w:t>
      </w:r>
      <w:r>
        <w:tab/>
      </w:r>
      <w:r w:rsidR="00CE65E0" w:rsidRPr="00CE65E0">
        <w:t>The GMFM is produced by an independent forecasting firm, Oxford Economics, and uses assumptions from their world and UK economic models, including the latest views on productivity, employment growth, and major risks – as far as they were understood up to the end of 2019 – such as Brexit. These are detailed in the main report, including a reasoned justification for the growth rates used throughout the analysis.</w:t>
      </w:r>
    </w:p>
    <w:p w14:paraId="4237E97E" w14:textId="2CC00669" w:rsidR="00CE65E0" w:rsidRPr="00CE65E0" w:rsidRDefault="003D0912" w:rsidP="00CE65E0">
      <w:r>
        <w:t>1.3.</w:t>
      </w:r>
      <w:r>
        <w:tab/>
      </w:r>
      <w:r w:rsidR="00CE65E0" w:rsidRPr="00CE65E0">
        <w:t xml:space="preserve">The analysis focuses on the main GMFM variables, which </w:t>
      </w:r>
      <w:proofErr w:type="gramStart"/>
      <w:r w:rsidR="00CE65E0" w:rsidRPr="00CE65E0">
        <w:t>include:</w:t>
      </w:r>
      <w:proofErr w:type="gramEnd"/>
      <w:r w:rsidR="00CE65E0" w:rsidRPr="00CE65E0">
        <w:t xml:space="preserve"> economic output (GVA); employment; productivity (GVA per employment), resident employment rates (the proportion of residents working), and population size. </w:t>
      </w:r>
    </w:p>
    <w:p w14:paraId="7605621C" w14:textId="7D487150" w:rsidR="00CE65E0" w:rsidRPr="00CE65E0" w:rsidRDefault="003D0912" w:rsidP="00CE65E0">
      <w:r>
        <w:t>1.4.</w:t>
      </w:r>
      <w:r>
        <w:tab/>
      </w:r>
      <w:r w:rsidR="00CE65E0" w:rsidRPr="00CE65E0">
        <w:t xml:space="preserve">The main timeframe for forecasts is 2017 to 2037. This is consistent with the </w:t>
      </w:r>
      <w:proofErr w:type="gramStart"/>
      <w:r w:rsidR="00CE65E0" w:rsidRPr="00CE65E0">
        <w:t>20 year</w:t>
      </w:r>
      <w:proofErr w:type="gramEnd"/>
      <w:r w:rsidR="00CE65E0" w:rsidRPr="00CE65E0">
        <w:t xml:space="preserve"> horizon provided in all previous GMFM reports, and includes - as its starting point - the latest ‘actual’ ONS data inputs (not provisional data) for GVA, employment, and population at the time of writing.  </w:t>
      </w:r>
    </w:p>
    <w:p w14:paraId="4791B61F" w14:textId="202D0E61" w:rsidR="00CE65E0" w:rsidRDefault="00CE65E0" w:rsidP="0043481D">
      <w:pPr>
        <w:pStyle w:val="Heading3"/>
      </w:pPr>
      <w:r w:rsidRPr="00CE65E0">
        <w:t>GMFM-2019 Main findings</w:t>
      </w:r>
    </w:p>
    <w:p w14:paraId="7B8D74BA" w14:textId="77777777" w:rsidR="0043481D" w:rsidRPr="0043481D" w:rsidRDefault="0043481D" w:rsidP="0043481D"/>
    <w:p w14:paraId="3C04971B" w14:textId="643F8923" w:rsidR="00CE65E0" w:rsidRPr="00CE65E0" w:rsidRDefault="003D0912" w:rsidP="00CE65E0">
      <w:r>
        <w:t>1.5.</w:t>
      </w:r>
      <w:r>
        <w:tab/>
      </w:r>
      <w:r w:rsidR="00CE65E0" w:rsidRPr="00CE65E0">
        <w:t>GMFM-2019 shows GVA growing at 1.6 % per year up to 2037, 0.1% points less than the rate of growth forecast in the previous GMFM-2018 model.</w:t>
      </w:r>
    </w:p>
    <w:p w14:paraId="1725CA77" w14:textId="7A81E51D" w:rsidR="00CE65E0" w:rsidRPr="00CE65E0" w:rsidRDefault="003D0912" w:rsidP="00CE65E0">
      <w:r>
        <w:lastRenderedPageBreak/>
        <w:t>1.6.</w:t>
      </w:r>
      <w:r>
        <w:tab/>
      </w:r>
      <w:r w:rsidR="00CE65E0" w:rsidRPr="00CE65E0">
        <w:t xml:space="preserve">Productivity is forecast to grow at an average annual rate of 1.0%, slower than the GMFM-2018 forecast of 1.3%. There is a risk that productivity growth regresses further, particularly if Brexit results in lower inflows of FDI. </w:t>
      </w:r>
    </w:p>
    <w:p w14:paraId="1FD5010A" w14:textId="10C9B8C0" w:rsidR="00CE65E0" w:rsidRPr="00CE65E0" w:rsidRDefault="003D0912" w:rsidP="00CE65E0">
      <w:r>
        <w:t>1.7.</w:t>
      </w:r>
      <w:r>
        <w:tab/>
      </w:r>
      <w:r w:rsidR="00CE65E0" w:rsidRPr="00CE65E0">
        <w:t>Total employment is forecast to grow at 0.6% per year in GM, equating to a net increase of 183,000 jobs between 2017 and 2037, compared to 122,100 in the previous GMFM-2018 published model.</w:t>
      </w:r>
    </w:p>
    <w:p w14:paraId="49958CE3" w14:textId="291E4EEF" w:rsidR="00CE65E0" w:rsidRPr="00CE65E0" w:rsidRDefault="003D0912" w:rsidP="00CE65E0">
      <w:r>
        <w:t>1.8.</w:t>
      </w:r>
      <w:r>
        <w:tab/>
      </w:r>
      <w:r w:rsidR="00CE65E0" w:rsidRPr="00CE65E0">
        <w:t>Employment growth is largely driven by Business, Financial, and Professional Services - accounting for 45% of the net increase in the total number of jobs in GM up to 2037.</w:t>
      </w:r>
    </w:p>
    <w:p w14:paraId="094AB969" w14:textId="555EA4B1" w:rsidR="00CE65E0" w:rsidRPr="00CE65E0" w:rsidRDefault="003D0912" w:rsidP="00CE65E0">
      <w:r>
        <w:t>1.9.</w:t>
      </w:r>
      <w:r>
        <w:tab/>
      </w:r>
      <w:r w:rsidR="00CE65E0" w:rsidRPr="00CE65E0">
        <w:t xml:space="preserve">Sectors are broadly similar in their employment prospects compared to the previous published results, with stronger jobs growth in Logistics, Business, Financial and Professional services, Construction, and Health and Social </w:t>
      </w:r>
      <w:proofErr w:type="gramStart"/>
      <w:r w:rsidR="00CE65E0" w:rsidRPr="00CE65E0">
        <w:t>Care;</w:t>
      </w:r>
      <w:proofErr w:type="gramEnd"/>
      <w:r w:rsidR="00CE65E0" w:rsidRPr="00CE65E0">
        <w:t xml:space="preserve"> and slightly slower growth in Wholesale and Retail, and Hospitality and Tourism.</w:t>
      </w:r>
    </w:p>
    <w:p w14:paraId="12B79590" w14:textId="74E0A54A" w:rsidR="00CE65E0" w:rsidRPr="00CE65E0" w:rsidRDefault="003D0912" w:rsidP="00CE65E0">
      <w:r>
        <w:t>1.10.</w:t>
      </w:r>
      <w:r>
        <w:tab/>
      </w:r>
      <w:r w:rsidR="00CE65E0" w:rsidRPr="00CE65E0">
        <w:t>The baseline forecast suggests that total population will grow by 184,900 from 2017 to 2037, up 3,600 compared to GMFM-2018.</w:t>
      </w:r>
    </w:p>
    <w:p w14:paraId="27F1736E" w14:textId="77DD82AD" w:rsidR="00CE65E0" w:rsidRPr="00CE65E0" w:rsidRDefault="003D0912" w:rsidP="00CE65E0">
      <w:r>
        <w:t>1.11.</w:t>
      </w:r>
      <w:r>
        <w:tab/>
      </w:r>
      <w:r w:rsidR="00CE65E0" w:rsidRPr="00CE65E0">
        <w:t xml:space="preserve">GMFM-2019 forecasts a net increase of 127,300 GM residents in employment between 2017 and 2037. The resident employment rate (proportion of residents aged 16-64 in employment) in GM is forecast to reach 76.8% by 2037. </w:t>
      </w:r>
    </w:p>
    <w:p w14:paraId="74E60CB0" w14:textId="3589837B" w:rsidR="00CE65E0" w:rsidRDefault="00CE65E0" w:rsidP="0043481D">
      <w:pPr>
        <w:pStyle w:val="Heading3"/>
      </w:pPr>
      <w:r w:rsidRPr="00CE65E0">
        <w:t>Accelerated Growth Scenario (AGS)</w:t>
      </w:r>
    </w:p>
    <w:p w14:paraId="7785E763" w14:textId="77777777" w:rsidR="0043481D" w:rsidRPr="0043481D" w:rsidRDefault="0043481D" w:rsidP="0043481D"/>
    <w:p w14:paraId="3881B1F3" w14:textId="501C5857" w:rsidR="00CE65E0" w:rsidRPr="00CE65E0" w:rsidRDefault="003D0912" w:rsidP="003D0912">
      <w:r>
        <w:t>1.12.</w:t>
      </w:r>
      <w:r>
        <w:tab/>
      </w:r>
      <w:r w:rsidR="00CE65E0" w:rsidRPr="00CE65E0">
        <w:t>GVA is forecast to grow at an average annual rate of 2.4% between 2017 and 2037 (compared to UK average of 1.6%). Under the AGS, GM is projected to grow faster than the UK – reflecting the city-region’s ambitions to help drive growth across the Northern Powerhouse. This is equivalent to an additional £38.9 billion of economic activity in GM by 2037.</w:t>
      </w:r>
    </w:p>
    <w:p w14:paraId="62949469" w14:textId="5A92298B" w:rsidR="00CE65E0" w:rsidRPr="00CE65E0" w:rsidRDefault="003D0912" w:rsidP="00CE65E0">
      <w:r>
        <w:t>1.13.</w:t>
      </w:r>
      <w:r>
        <w:tab/>
      </w:r>
      <w:r w:rsidR="00CE65E0" w:rsidRPr="00CE65E0">
        <w:t xml:space="preserve">Stronger GVA growth is supported by a strong shift towards higher value sectors. This means productivity growth in GM is stronger in the AGS scenario than the baseline forecast, averaging productivity growth of 1.5% per year from 2017 to </w:t>
      </w:r>
      <w:r w:rsidR="00CE65E0" w:rsidRPr="00CE65E0">
        <w:lastRenderedPageBreak/>
        <w:t xml:space="preserve">2037. It also reflects the fact that faster economic growth is assumed to be supported by investments that boost overall productivity. </w:t>
      </w:r>
    </w:p>
    <w:p w14:paraId="790E77E0" w14:textId="06955BB9" w:rsidR="00CE65E0" w:rsidRPr="00CE65E0" w:rsidRDefault="003D0912" w:rsidP="00CE65E0">
      <w:r>
        <w:t>1.14.</w:t>
      </w:r>
      <w:r>
        <w:tab/>
      </w:r>
      <w:r w:rsidR="00CE65E0" w:rsidRPr="00CE65E0">
        <w:t>Total employment in GM is forecast to rise by 260,100 between 2017 and 2037 in the AGS-2019 scenario, (197,000 in AGS-2018), equivalent to 77,100 more jobs than the GMFM-2019 baseline; and 63,100 more than last year’s AGS.</w:t>
      </w:r>
    </w:p>
    <w:p w14:paraId="3B19D69E" w14:textId="4D5779FD" w:rsidR="00CE65E0" w:rsidRPr="00CE65E0" w:rsidRDefault="003D0912" w:rsidP="00CE65E0">
      <w:r>
        <w:t>1.15.</w:t>
      </w:r>
      <w:r>
        <w:tab/>
      </w:r>
      <w:r w:rsidR="00CE65E0" w:rsidRPr="00CE65E0">
        <w:t>Population growth is stronger in the AGS scenario than in the baseline forecast. Total population is projected to rise by 295,700 from 2017 to 2037, of which 110,800 is the additional uplift compared to the GMFM-2019 baseline.</w:t>
      </w:r>
    </w:p>
    <w:p w14:paraId="694B4A2E" w14:textId="2B112692" w:rsidR="00CE65E0" w:rsidRPr="00CE65E0" w:rsidRDefault="003D0912" w:rsidP="00CE65E0">
      <w:r>
        <w:t>1.16.</w:t>
      </w:r>
      <w:r>
        <w:tab/>
      </w:r>
      <w:r w:rsidR="00CE65E0" w:rsidRPr="00CE65E0">
        <w:t xml:space="preserve">The AGS assumes that </w:t>
      </w:r>
      <w:proofErr w:type="gramStart"/>
      <w:r w:rsidR="00CE65E0" w:rsidRPr="00CE65E0">
        <w:t>the majority of</w:t>
      </w:r>
      <w:proofErr w:type="gramEnd"/>
      <w:r w:rsidR="00CE65E0" w:rsidRPr="00CE65E0">
        <w:t xml:space="preserve"> new jobs will be taken by GM residents. Adjusting for residents that may hold more than one job, this equates to an additional 80,300 GM residents in employment in 2037 compared with the baseline scenario. </w:t>
      </w:r>
      <w:r w:rsidR="00CE65E0" w:rsidRPr="00CE65E0">
        <w:br w:type="page"/>
      </w:r>
    </w:p>
    <w:p w14:paraId="0869BE4D" w14:textId="670ABBC5" w:rsidR="00CE65E0" w:rsidRDefault="00CE65E0" w:rsidP="0043481D">
      <w:pPr>
        <w:pStyle w:val="Heading3"/>
      </w:pPr>
      <w:r w:rsidRPr="00CE65E0">
        <w:lastRenderedPageBreak/>
        <w:t>Key tables</w:t>
      </w:r>
    </w:p>
    <w:p w14:paraId="21D269AE" w14:textId="77777777" w:rsidR="0043481D" w:rsidRPr="0043481D" w:rsidRDefault="0043481D" w:rsidP="0043481D"/>
    <w:p w14:paraId="5BB63F8D" w14:textId="38994218" w:rsidR="00CE65E0" w:rsidRPr="00B62F92" w:rsidRDefault="003D0912" w:rsidP="00CE65E0">
      <w:pPr>
        <w:rPr>
          <w:i/>
        </w:rPr>
      </w:pPr>
      <w:r>
        <w:t>1.17.</w:t>
      </w:r>
      <w:r>
        <w:tab/>
      </w:r>
      <w:r w:rsidR="007616C2">
        <w:t xml:space="preserve">Table 1: </w:t>
      </w:r>
      <w:r w:rsidR="00CE65E0" w:rsidRPr="00CE65E0">
        <w:t>Headline growth</w:t>
      </w:r>
      <w:r w:rsidR="0043481D">
        <w:t xml:space="preserve"> in GM</w:t>
      </w:r>
      <w:r w:rsidR="00CE65E0" w:rsidRPr="00CE65E0">
        <w:t>,</w:t>
      </w:r>
      <w:r w:rsidR="0043481D">
        <w:t xml:space="preserve"> based on the</w:t>
      </w:r>
      <w:r w:rsidR="00CE65E0" w:rsidRPr="00CE65E0">
        <w:t xml:space="preserve"> GMFM-2019 and AGS-2019, 2017 to 2037</w:t>
      </w:r>
      <w:r w:rsidR="00B62F92">
        <w:t xml:space="preserve">. </w:t>
      </w:r>
      <w:r w:rsidR="00B62F92" w:rsidRPr="00CE65E0">
        <w:rPr>
          <w:i/>
        </w:rPr>
        <w:t>Source: Oxford Economics GMFM-2019, AGS-2019</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line growth in GM, based on the GMFM-2019 and AGS-2019, 2017 to 2037"/>
        <w:tblDescription w:val="Table showing absolute increase/decrease and % annual growth for economic measures for two differing models of the economy between 2017 and 2037."/>
      </w:tblPr>
      <w:tblGrid>
        <w:gridCol w:w="1702"/>
        <w:gridCol w:w="2126"/>
        <w:gridCol w:w="1985"/>
        <w:gridCol w:w="2050"/>
        <w:gridCol w:w="1918"/>
      </w:tblGrid>
      <w:tr w:rsidR="0043481D" w:rsidRPr="00CE65E0" w14:paraId="0A2EDEB0" w14:textId="77777777" w:rsidTr="0043481D">
        <w:trPr>
          <w:trHeight w:val="284"/>
        </w:trPr>
        <w:tc>
          <w:tcPr>
            <w:tcW w:w="1702" w:type="dxa"/>
            <w:shd w:val="clear" w:color="auto" w:fill="000000"/>
            <w:vAlign w:val="center"/>
          </w:tcPr>
          <w:p w14:paraId="0AA8CA15" w14:textId="6AB135A1" w:rsidR="0043481D" w:rsidRPr="00E5372F" w:rsidRDefault="00411FFF" w:rsidP="00CE65E0">
            <w:pPr>
              <w:rPr>
                <w:b/>
                <w:bCs/>
              </w:rPr>
            </w:pPr>
            <w:r>
              <w:rPr>
                <w:b/>
                <w:bCs/>
              </w:rPr>
              <w:t>Measures</w:t>
            </w:r>
          </w:p>
        </w:tc>
        <w:tc>
          <w:tcPr>
            <w:tcW w:w="2126" w:type="dxa"/>
            <w:shd w:val="clear" w:color="auto" w:fill="000000"/>
            <w:vAlign w:val="center"/>
          </w:tcPr>
          <w:p w14:paraId="085D3710" w14:textId="16265430" w:rsidR="0043481D" w:rsidRPr="00E5372F" w:rsidRDefault="0043481D" w:rsidP="00CE65E0">
            <w:pPr>
              <w:rPr>
                <w:b/>
                <w:bCs/>
              </w:rPr>
            </w:pPr>
            <w:r w:rsidRPr="00E5372F">
              <w:rPr>
                <w:b/>
                <w:bCs/>
              </w:rPr>
              <w:t>Net increase/</w:t>
            </w:r>
            <w:r w:rsidRPr="00E5372F">
              <w:rPr>
                <w:b/>
                <w:bCs/>
              </w:rPr>
              <w:br/>
              <w:t>decrease between 2017 and 2037, based on the GMFM-2019 model</w:t>
            </w:r>
          </w:p>
        </w:tc>
        <w:tc>
          <w:tcPr>
            <w:tcW w:w="1985" w:type="dxa"/>
            <w:shd w:val="clear" w:color="auto" w:fill="000000" w:themeFill="text1"/>
            <w:vAlign w:val="center"/>
          </w:tcPr>
          <w:p w14:paraId="7B161376" w14:textId="52CCE586" w:rsidR="0043481D" w:rsidRPr="00E5372F" w:rsidRDefault="0043481D" w:rsidP="00CE65E0">
            <w:pPr>
              <w:rPr>
                <w:b/>
                <w:bCs/>
              </w:rPr>
            </w:pPr>
            <w:r w:rsidRPr="00E5372F">
              <w:rPr>
                <w:b/>
                <w:bCs/>
              </w:rPr>
              <w:t xml:space="preserve">% Compound </w:t>
            </w:r>
            <w:r w:rsidRPr="00E5372F">
              <w:rPr>
                <w:b/>
                <w:bCs/>
              </w:rPr>
              <w:br/>
              <w:t>Annual Growth between 2017 and 2037, based on the GMFM-2019 model</w:t>
            </w:r>
          </w:p>
        </w:tc>
        <w:tc>
          <w:tcPr>
            <w:tcW w:w="2050" w:type="dxa"/>
            <w:shd w:val="clear" w:color="auto" w:fill="000000"/>
            <w:vAlign w:val="center"/>
          </w:tcPr>
          <w:p w14:paraId="18F58DFB" w14:textId="198E2119" w:rsidR="0043481D" w:rsidRPr="00E5372F" w:rsidRDefault="0043481D" w:rsidP="00CE65E0">
            <w:pPr>
              <w:rPr>
                <w:b/>
                <w:bCs/>
              </w:rPr>
            </w:pPr>
            <w:r w:rsidRPr="00E5372F">
              <w:rPr>
                <w:b/>
                <w:bCs/>
              </w:rPr>
              <w:t>Net increase/</w:t>
            </w:r>
            <w:r w:rsidRPr="00E5372F">
              <w:rPr>
                <w:b/>
                <w:bCs/>
              </w:rPr>
              <w:br/>
              <w:t>decrease between 2017 and 2037, based on the AGS-2019 model</w:t>
            </w:r>
          </w:p>
        </w:tc>
        <w:tc>
          <w:tcPr>
            <w:tcW w:w="1918" w:type="dxa"/>
            <w:tcBorders>
              <w:right w:val="single" w:sz="12" w:space="0" w:color="auto"/>
            </w:tcBorders>
            <w:shd w:val="clear" w:color="auto" w:fill="000000"/>
            <w:vAlign w:val="center"/>
          </w:tcPr>
          <w:p w14:paraId="1F549041" w14:textId="06789DAC" w:rsidR="0043481D" w:rsidRPr="00E5372F" w:rsidRDefault="0043481D" w:rsidP="00CE65E0">
            <w:pPr>
              <w:rPr>
                <w:b/>
                <w:bCs/>
              </w:rPr>
            </w:pPr>
            <w:r w:rsidRPr="00E5372F">
              <w:rPr>
                <w:b/>
                <w:bCs/>
              </w:rPr>
              <w:t xml:space="preserve">% Compound </w:t>
            </w:r>
            <w:r w:rsidRPr="00E5372F">
              <w:rPr>
                <w:b/>
                <w:bCs/>
              </w:rPr>
              <w:br/>
              <w:t>Annual Growth between 2017 and 2037, based on the AGS-2019 model</w:t>
            </w:r>
          </w:p>
        </w:tc>
      </w:tr>
      <w:tr w:rsidR="0043481D" w:rsidRPr="00CE65E0" w14:paraId="37743259" w14:textId="77777777" w:rsidTr="0043481D">
        <w:trPr>
          <w:trHeight w:val="284"/>
        </w:trPr>
        <w:tc>
          <w:tcPr>
            <w:tcW w:w="1702" w:type="dxa"/>
            <w:tcBorders>
              <w:top w:val="single" w:sz="12" w:space="0" w:color="auto"/>
              <w:left w:val="single" w:sz="12" w:space="0" w:color="auto"/>
              <w:right w:val="single" w:sz="12" w:space="0" w:color="auto"/>
            </w:tcBorders>
            <w:shd w:val="clear" w:color="auto" w:fill="auto"/>
            <w:vAlign w:val="center"/>
          </w:tcPr>
          <w:p w14:paraId="5B2274DD" w14:textId="77777777" w:rsidR="0043481D" w:rsidRPr="00CE65E0" w:rsidRDefault="0043481D" w:rsidP="00CE65E0">
            <w:r w:rsidRPr="00CE65E0">
              <w:t>GVA</w:t>
            </w:r>
          </w:p>
        </w:tc>
        <w:tc>
          <w:tcPr>
            <w:tcW w:w="2126" w:type="dxa"/>
            <w:tcBorders>
              <w:top w:val="single" w:sz="12" w:space="0" w:color="auto"/>
              <w:left w:val="single" w:sz="12" w:space="0" w:color="auto"/>
              <w:right w:val="single" w:sz="4" w:space="0" w:color="auto"/>
            </w:tcBorders>
            <w:vAlign w:val="center"/>
          </w:tcPr>
          <w:p w14:paraId="53EA342D" w14:textId="77777777" w:rsidR="0043481D" w:rsidRPr="00CE65E0" w:rsidRDefault="0043481D" w:rsidP="00CE65E0">
            <w:r w:rsidRPr="00CE65E0">
              <w:t>£23.9bn</w:t>
            </w:r>
          </w:p>
        </w:tc>
        <w:tc>
          <w:tcPr>
            <w:tcW w:w="1985" w:type="dxa"/>
            <w:tcBorders>
              <w:top w:val="single" w:sz="12" w:space="0" w:color="auto"/>
              <w:left w:val="single" w:sz="4" w:space="0" w:color="auto"/>
              <w:right w:val="single" w:sz="12" w:space="0" w:color="auto"/>
            </w:tcBorders>
            <w:vAlign w:val="center"/>
          </w:tcPr>
          <w:p w14:paraId="5AE07FC8" w14:textId="77777777" w:rsidR="0043481D" w:rsidRPr="00CE65E0" w:rsidRDefault="0043481D" w:rsidP="00CE65E0">
            <w:r w:rsidRPr="00CE65E0">
              <w:t>1.6%</w:t>
            </w:r>
          </w:p>
        </w:tc>
        <w:tc>
          <w:tcPr>
            <w:tcW w:w="2050" w:type="dxa"/>
            <w:tcBorders>
              <w:top w:val="single" w:sz="12" w:space="0" w:color="auto"/>
              <w:left w:val="single" w:sz="12" w:space="0" w:color="auto"/>
            </w:tcBorders>
            <w:shd w:val="clear" w:color="auto" w:fill="auto"/>
            <w:vAlign w:val="center"/>
          </w:tcPr>
          <w:p w14:paraId="719308E6" w14:textId="77777777" w:rsidR="0043481D" w:rsidRPr="00CE65E0" w:rsidRDefault="0043481D" w:rsidP="00CE65E0">
            <w:pPr>
              <w:rPr>
                <w:lang w:val="en-US"/>
              </w:rPr>
            </w:pPr>
            <w:r w:rsidRPr="00CE65E0">
              <w:rPr>
                <w:color w:val="000000" w:themeColor="text1"/>
                <w:lang w:val="en-US"/>
              </w:rPr>
              <w:t>£38.9bn</w:t>
            </w:r>
          </w:p>
        </w:tc>
        <w:tc>
          <w:tcPr>
            <w:tcW w:w="1918" w:type="dxa"/>
            <w:tcBorders>
              <w:top w:val="single" w:sz="12" w:space="0" w:color="auto"/>
              <w:right w:val="single" w:sz="12" w:space="0" w:color="auto"/>
            </w:tcBorders>
            <w:shd w:val="clear" w:color="auto" w:fill="auto"/>
            <w:vAlign w:val="center"/>
          </w:tcPr>
          <w:p w14:paraId="30C95950" w14:textId="77777777" w:rsidR="0043481D" w:rsidRPr="00CE65E0" w:rsidRDefault="0043481D" w:rsidP="00CE65E0">
            <w:r w:rsidRPr="00CE65E0">
              <w:rPr>
                <w:color w:val="000000" w:themeColor="text1"/>
              </w:rPr>
              <w:t>2.4%</w:t>
            </w:r>
          </w:p>
        </w:tc>
      </w:tr>
      <w:tr w:rsidR="0043481D" w:rsidRPr="00CE65E0" w14:paraId="73BB0F0D" w14:textId="77777777" w:rsidTr="0043481D">
        <w:trPr>
          <w:trHeight w:val="284"/>
        </w:trPr>
        <w:tc>
          <w:tcPr>
            <w:tcW w:w="1702" w:type="dxa"/>
            <w:tcBorders>
              <w:left w:val="single" w:sz="12" w:space="0" w:color="auto"/>
              <w:right w:val="single" w:sz="12" w:space="0" w:color="auto"/>
            </w:tcBorders>
            <w:shd w:val="clear" w:color="auto" w:fill="auto"/>
            <w:vAlign w:val="center"/>
          </w:tcPr>
          <w:p w14:paraId="747522D7" w14:textId="77777777" w:rsidR="0043481D" w:rsidRPr="00CE65E0" w:rsidRDefault="0043481D" w:rsidP="00CE65E0">
            <w:r w:rsidRPr="00CE65E0">
              <w:t>Productivity</w:t>
            </w:r>
          </w:p>
        </w:tc>
        <w:tc>
          <w:tcPr>
            <w:tcW w:w="2126" w:type="dxa"/>
            <w:tcBorders>
              <w:left w:val="single" w:sz="12" w:space="0" w:color="auto"/>
              <w:right w:val="single" w:sz="4" w:space="0" w:color="auto"/>
            </w:tcBorders>
            <w:vAlign w:val="center"/>
          </w:tcPr>
          <w:p w14:paraId="4CC680A0" w14:textId="77777777" w:rsidR="0043481D" w:rsidRPr="00CE65E0" w:rsidRDefault="0043481D" w:rsidP="00CE65E0">
            <w:r w:rsidRPr="00CE65E0">
              <w:t>£9,600</w:t>
            </w:r>
          </w:p>
        </w:tc>
        <w:tc>
          <w:tcPr>
            <w:tcW w:w="1985" w:type="dxa"/>
            <w:tcBorders>
              <w:left w:val="single" w:sz="4" w:space="0" w:color="auto"/>
              <w:right w:val="single" w:sz="12" w:space="0" w:color="auto"/>
            </w:tcBorders>
            <w:vAlign w:val="center"/>
          </w:tcPr>
          <w:p w14:paraId="764150F7" w14:textId="77777777" w:rsidR="0043481D" w:rsidRPr="00CE65E0" w:rsidRDefault="0043481D" w:rsidP="00CE65E0">
            <w:r w:rsidRPr="00CE65E0">
              <w:t>1.0%</w:t>
            </w:r>
          </w:p>
        </w:tc>
        <w:tc>
          <w:tcPr>
            <w:tcW w:w="2050" w:type="dxa"/>
            <w:tcBorders>
              <w:left w:val="single" w:sz="12" w:space="0" w:color="auto"/>
            </w:tcBorders>
            <w:shd w:val="clear" w:color="auto" w:fill="auto"/>
            <w:vAlign w:val="center"/>
          </w:tcPr>
          <w:p w14:paraId="42CC0193" w14:textId="77777777" w:rsidR="0043481D" w:rsidRPr="00CE65E0" w:rsidRDefault="0043481D" w:rsidP="00CE65E0">
            <w:r w:rsidRPr="00CE65E0">
              <w:rPr>
                <w:color w:val="000000" w:themeColor="text1"/>
              </w:rPr>
              <w:t>£15,900</w:t>
            </w:r>
          </w:p>
        </w:tc>
        <w:tc>
          <w:tcPr>
            <w:tcW w:w="1918" w:type="dxa"/>
            <w:tcBorders>
              <w:right w:val="single" w:sz="12" w:space="0" w:color="auto"/>
            </w:tcBorders>
            <w:shd w:val="clear" w:color="auto" w:fill="auto"/>
            <w:vAlign w:val="center"/>
          </w:tcPr>
          <w:p w14:paraId="27654955" w14:textId="77777777" w:rsidR="0043481D" w:rsidRPr="00CE65E0" w:rsidRDefault="0043481D" w:rsidP="00CE65E0">
            <w:r w:rsidRPr="00CE65E0">
              <w:rPr>
                <w:color w:val="000000" w:themeColor="text1"/>
              </w:rPr>
              <w:t>1.5%</w:t>
            </w:r>
          </w:p>
        </w:tc>
      </w:tr>
      <w:tr w:rsidR="0043481D" w:rsidRPr="00CE65E0" w14:paraId="24E45667" w14:textId="77777777" w:rsidTr="0043481D">
        <w:trPr>
          <w:trHeight w:val="284"/>
        </w:trPr>
        <w:tc>
          <w:tcPr>
            <w:tcW w:w="1702" w:type="dxa"/>
            <w:tcBorders>
              <w:left w:val="single" w:sz="12" w:space="0" w:color="auto"/>
              <w:right w:val="single" w:sz="12" w:space="0" w:color="auto"/>
            </w:tcBorders>
            <w:shd w:val="clear" w:color="auto" w:fill="auto"/>
            <w:vAlign w:val="center"/>
          </w:tcPr>
          <w:p w14:paraId="510040E5" w14:textId="77777777" w:rsidR="0043481D" w:rsidRPr="00CE65E0" w:rsidRDefault="0043481D" w:rsidP="00CE65E0">
            <w:r w:rsidRPr="00CE65E0">
              <w:t>Employment</w:t>
            </w:r>
          </w:p>
        </w:tc>
        <w:tc>
          <w:tcPr>
            <w:tcW w:w="2126" w:type="dxa"/>
            <w:tcBorders>
              <w:left w:val="single" w:sz="12" w:space="0" w:color="auto"/>
              <w:right w:val="single" w:sz="4" w:space="0" w:color="auto"/>
            </w:tcBorders>
            <w:vAlign w:val="center"/>
          </w:tcPr>
          <w:p w14:paraId="11C673CD" w14:textId="77777777" w:rsidR="0043481D" w:rsidRPr="00CE65E0" w:rsidRDefault="0043481D" w:rsidP="00CE65E0">
            <w:r w:rsidRPr="00CE65E0">
              <w:t>183,100</w:t>
            </w:r>
          </w:p>
        </w:tc>
        <w:tc>
          <w:tcPr>
            <w:tcW w:w="1985" w:type="dxa"/>
            <w:tcBorders>
              <w:left w:val="single" w:sz="4" w:space="0" w:color="auto"/>
              <w:right w:val="single" w:sz="12" w:space="0" w:color="auto"/>
            </w:tcBorders>
            <w:vAlign w:val="center"/>
          </w:tcPr>
          <w:p w14:paraId="05553473" w14:textId="77777777" w:rsidR="0043481D" w:rsidRPr="00CE65E0" w:rsidRDefault="0043481D" w:rsidP="00CE65E0">
            <w:r w:rsidRPr="00CE65E0">
              <w:t>0.6%</w:t>
            </w:r>
          </w:p>
        </w:tc>
        <w:tc>
          <w:tcPr>
            <w:tcW w:w="2050" w:type="dxa"/>
            <w:tcBorders>
              <w:left w:val="single" w:sz="12" w:space="0" w:color="auto"/>
            </w:tcBorders>
            <w:shd w:val="clear" w:color="auto" w:fill="auto"/>
            <w:vAlign w:val="center"/>
          </w:tcPr>
          <w:p w14:paraId="30C9E35D" w14:textId="77777777" w:rsidR="0043481D" w:rsidRPr="00CE65E0" w:rsidRDefault="0043481D" w:rsidP="00CE65E0">
            <w:r w:rsidRPr="00CE65E0">
              <w:rPr>
                <w:color w:val="000000" w:themeColor="text1"/>
              </w:rPr>
              <w:t>260,100</w:t>
            </w:r>
          </w:p>
        </w:tc>
        <w:tc>
          <w:tcPr>
            <w:tcW w:w="1918" w:type="dxa"/>
            <w:tcBorders>
              <w:right w:val="single" w:sz="12" w:space="0" w:color="auto"/>
            </w:tcBorders>
            <w:shd w:val="clear" w:color="auto" w:fill="auto"/>
            <w:vAlign w:val="center"/>
          </w:tcPr>
          <w:p w14:paraId="4C243A7B" w14:textId="77777777" w:rsidR="0043481D" w:rsidRPr="00CE65E0" w:rsidRDefault="0043481D" w:rsidP="00CE65E0">
            <w:r w:rsidRPr="00CE65E0">
              <w:rPr>
                <w:color w:val="000000" w:themeColor="text1"/>
              </w:rPr>
              <w:t>0.8%</w:t>
            </w:r>
          </w:p>
        </w:tc>
      </w:tr>
      <w:tr w:rsidR="0043481D" w:rsidRPr="00CE65E0" w14:paraId="713CCDA0" w14:textId="77777777" w:rsidTr="0043481D">
        <w:trPr>
          <w:trHeight w:val="284"/>
        </w:trPr>
        <w:tc>
          <w:tcPr>
            <w:tcW w:w="1702" w:type="dxa"/>
            <w:tcBorders>
              <w:left w:val="single" w:sz="12" w:space="0" w:color="auto"/>
              <w:bottom w:val="single" w:sz="12" w:space="0" w:color="auto"/>
              <w:right w:val="single" w:sz="12" w:space="0" w:color="auto"/>
            </w:tcBorders>
            <w:shd w:val="clear" w:color="auto" w:fill="auto"/>
            <w:vAlign w:val="center"/>
          </w:tcPr>
          <w:p w14:paraId="5ACDCE19" w14:textId="77777777" w:rsidR="0043481D" w:rsidRPr="00CE65E0" w:rsidRDefault="0043481D" w:rsidP="00CE65E0">
            <w:r w:rsidRPr="00CE65E0">
              <w:t>Population</w:t>
            </w:r>
          </w:p>
        </w:tc>
        <w:tc>
          <w:tcPr>
            <w:tcW w:w="2126" w:type="dxa"/>
            <w:tcBorders>
              <w:left w:val="single" w:sz="12" w:space="0" w:color="auto"/>
              <w:bottom w:val="single" w:sz="12" w:space="0" w:color="auto"/>
              <w:right w:val="single" w:sz="4" w:space="0" w:color="auto"/>
            </w:tcBorders>
            <w:vAlign w:val="center"/>
          </w:tcPr>
          <w:p w14:paraId="24687511" w14:textId="77777777" w:rsidR="0043481D" w:rsidRPr="00CE65E0" w:rsidRDefault="0043481D" w:rsidP="00CE65E0">
            <w:r w:rsidRPr="00CE65E0">
              <w:t>184,900</w:t>
            </w:r>
          </w:p>
        </w:tc>
        <w:tc>
          <w:tcPr>
            <w:tcW w:w="1985" w:type="dxa"/>
            <w:tcBorders>
              <w:left w:val="single" w:sz="4" w:space="0" w:color="auto"/>
              <w:bottom w:val="single" w:sz="12" w:space="0" w:color="auto"/>
              <w:right w:val="single" w:sz="12" w:space="0" w:color="auto"/>
            </w:tcBorders>
            <w:vAlign w:val="center"/>
          </w:tcPr>
          <w:p w14:paraId="565FDACD" w14:textId="77777777" w:rsidR="0043481D" w:rsidRPr="00CE65E0" w:rsidRDefault="0043481D" w:rsidP="00CE65E0">
            <w:r w:rsidRPr="00CE65E0">
              <w:t>0.3%</w:t>
            </w:r>
          </w:p>
        </w:tc>
        <w:tc>
          <w:tcPr>
            <w:tcW w:w="2050" w:type="dxa"/>
            <w:tcBorders>
              <w:left w:val="single" w:sz="12" w:space="0" w:color="auto"/>
              <w:bottom w:val="single" w:sz="12" w:space="0" w:color="auto"/>
            </w:tcBorders>
            <w:shd w:val="clear" w:color="auto" w:fill="auto"/>
            <w:vAlign w:val="center"/>
          </w:tcPr>
          <w:p w14:paraId="3659CB35" w14:textId="77777777" w:rsidR="0043481D" w:rsidRPr="00CE65E0" w:rsidRDefault="0043481D" w:rsidP="00CE65E0">
            <w:r w:rsidRPr="00CE65E0">
              <w:rPr>
                <w:color w:val="000000" w:themeColor="text1"/>
              </w:rPr>
              <w:t>295,700</w:t>
            </w:r>
          </w:p>
        </w:tc>
        <w:tc>
          <w:tcPr>
            <w:tcW w:w="1918" w:type="dxa"/>
            <w:tcBorders>
              <w:bottom w:val="single" w:sz="12" w:space="0" w:color="auto"/>
              <w:right w:val="single" w:sz="12" w:space="0" w:color="auto"/>
            </w:tcBorders>
            <w:shd w:val="clear" w:color="auto" w:fill="auto"/>
            <w:vAlign w:val="center"/>
          </w:tcPr>
          <w:p w14:paraId="2DD576D6" w14:textId="77777777" w:rsidR="0043481D" w:rsidRPr="00CE65E0" w:rsidRDefault="0043481D" w:rsidP="00CE65E0">
            <w:r w:rsidRPr="00CE65E0">
              <w:rPr>
                <w:color w:val="000000" w:themeColor="text1"/>
              </w:rPr>
              <w:t>0.5%</w:t>
            </w:r>
          </w:p>
        </w:tc>
      </w:tr>
    </w:tbl>
    <w:p w14:paraId="644980B4" w14:textId="77777777" w:rsidR="00B62F92" w:rsidRDefault="00B62F92" w:rsidP="00CE65E0"/>
    <w:p w14:paraId="4B5ADC8F" w14:textId="77777777" w:rsidR="00B62F92" w:rsidRPr="00CE65E0" w:rsidRDefault="003D0912" w:rsidP="00B62F92">
      <w:pPr>
        <w:rPr>
          <w:i/>
        </w:rPr>
      </w:pPr>
      <w:r>
        <w:t>1.18.</w:t>
      </w:r>
      <w:r>
        <w:tab/>
      </w:r>
      <w:r w:rsidR="007616C2">
        <w:t xml:space="preserve">Table 2: </w:t>
      </w:r>
      <w:r w:rsidR="00CE65E0" w:rsidRPr="00CE65E0">
        <w:t>Baseline GMFM-2019 forecast for GVA and employment by main sectors in GM, 2017 to 2037</w:t>
      </w:r>
      <w:r w:rsidR="00B62F92">
        <w:t xml:space="preserve">. </w:t>
      </w:r>
      <w:r w:rsidR="00B62F92" w:rsidRPr="00CE65E0">
        <w:rPr>
          <w:i/>
        </w:rPr>
        <w:t>Source: Oxford Economics GMFM-2019. Main sectors defined by GMCA, excludes agriculture and utilities</w:t>
      </w:r>
    </w:p>
    <w:p w14:paraId="316729F6" w14:textId="77CC4312" w:rsidR="00CE65E0" w:rsidRPr="00CE65E0" w:rsidRDefault="00CE65E0" w:rsidP="00CE65E0"/>
    <w:tbl>
      <w:tblPr>
        <w:tblW w:w="10217" w:type="dxa"/>
        <w:tblInd w:w="-299" w:type="dxa"/>
        <w:tblLayout w:type="fixed"/>
        <w:tblLook w:val="04A0" w:firstRow="1" w:lastRow="0" w:firstColumn="1" w:lastColumn="0" w:noHBand="0" w:noVBand="1"/>
        <w:tblCaption w:val="Baseline GMFM-2019 forecast for GVA and employment by main sectors in GM, 2017 to 2037"/>
        <w:tblDescription w:val="Table showing GMFM-2019's forecast changes in GVA and employment, as a number and an annual % change, between 2017 and 2037. The predictions show that the largest % growth in GVA is expected in Creative and Digital Industries, while Construction is forecast to see the largest % gorwth in employment."/>
      </w:tblPr>
      <w:tblGrid>
        <w:gridCol w:w="2694"/>
        <w:gridCol w:w="2126"/>
        <w:gridCol w:w="1843"/>
        <w:gridCol w:w="1701"/>
        <w:gridCol w:w="1853"/>
      </w:tblGrid>
      <w:tr w:rsidR="00CE65E0" w:rsidRPr="00CE65E0" w14:paraId="41F83CCC" w14:textId="77777777" w:rsidTr="0043481D">
        <w:trPr>
          <w:trHeight w:val="798"/>
        </w:trPr>
        <w:tc>
          <w:tcPr>
            <w:tcW w:w="2694" w:type="dxa"/>
            <w:tcBorders>
              <w:top w:val="single" w:sz="4" w:space="0" w:color="auto"/>
              <w:left w:val="single" w:sz="12" w:space="0" w:color="auto"/>
              <w:bottom w:val="single" w:sz="4" w:space="0" w:color="auto"/>
              <w:right w:val="single" w:sz="12" w:space="0" w:color="auto"/>
            </w:tcBorders>
            <w:shd w:val="clear" w:color="auto" w:fill="000000"/>
            <w:noWrap/>
            <w:vAlign w:val="center"/>
            <w:hideMark/>
          </w:tcPr>
          <w:p w14:paraId="62F02B8D" w14:textId="7C7023A4" w:rsidR="00CE65E0" w:rsidRPr="00E5372F" w:rsidRDefault="00411FFF" w:rsidP="00CE65E0">
            <w:pPr>
              <w:rPr>
                <w:b/>
                <w:bCs/>
                <w:color w:val="FFFFFF"/>
              </w:rPr>
            </w:pPr>
            <w:r>
              <w:rPr>
                <w:b/>
                <w:bCs/>
              </w:rPr>
              <w:t>Sector</w:t>
            </w:r>
          </w:p>
        </w:tc>
        <w:tc>
          <w:tcPr>
            <w:tcW w:w="2126"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32C39C16" w14:textId="433B80EF" w:rsidR="00CE65E0" w:rsidRPr="00E5372F" w:rsidRDefault="00CE65E0" w:rsidP="00CE65E0">
            <w:pPr>
              <w:rPr>
                <w:b/>
                <w:bCs/>
                <w:color w:val="FFFFFF"/>
              </w:rPr>
            </w:pPr>
            <w:r w:rsidRPr="00E5372F">
              <w:rPr>
                <w:b/>
                <w:bCs/>
              </w:rPr>
              <w:t xml:space="preserve">Net </w:t>
            </w:r>
            <w:r w:rsidR="0043481D" w:rsidRPr="00E5372F">
              <w:rPr>
                <w:b/>
                <w:bCs/>
              </w:rPr>
              <w:t xml:space="preserve">GVA </w:t>
            </w:r>
            <w:r w:rsidRPr="00E5372F">
              <w:rPr>
                <w:b/>
                <w:bCs/>
              </w:rPr>
              <w:t>increase/</w:t>
            </w:r>
            <w:r w:rsidRPr="00E5372F">
              <w:rPr>
                <w:b/>
                <w:bCs/>
              </w:rPr>
              <w:br/>
              <w:t>decrease (millions)</w:t>
            </w:r>
            <w:r w:rsidR="0043481D" w:rsidRPr="00E5372F">
              <w:rPr>
                <w:b/>
                <w:bCs/>
              </w:rPr>
              <w:t xml:space="preserve"> between 2017 and 2037</w:t>
            </w:r>
          </w:p>
        </w:tc>
        <w:tc>
          <w:tcPr>
            <w:tcW w:w="1843" w:type="dxa"/>
            <w:tcBorders>
              <w:top w:val="single" w:sz="4" w:space="0" w:color="auto"/>
              <w:left w:val="nil"/>
              <w:bottom w:val="single" w:sz="4" w:space="0" w:color="auto"/>
              <w:right w:val="single" w:sz="12" w:space="0" w:color="auto"/>
            </w:tcBorders>
            <w:shd w:val="clear" w:color="auto" w:fill="000000"/>
            <w:noWrap/>
            <w:vAlign w:val="center"/>
          </w:tcPr>
          <w:p w14:paraId="1547C5FF" w14:textId="4975CBE4" w:rsidR="00CE65E0" w:rsidRPr="00E5372F" w:rsidRDefault="00CE65E0" w:rsidP="00CE65E0">
            <w:pPr>
              <w:rPr>
                <w:b/>
                <w:bCs/>
                <w:color w:val="FFFFFF"/>
              </w:rPr>
            </w:pPr>
            <w:r w:rsidRPr="00E5372F">
              <w:rPr>
                <w:b/>
                <w:bCs/>
              </w:rPr>
              <w:t>% Compound Annual Growth</w:t>
            </w:r>
            <w:r w:rsidR="0043481D" w:rsidRPr="00E5372F">
              <w:rPr>
                <w:b/>
                <w:bCs/>
              </w:rPr>
              <w:t xml:space="preserve"> in GVA between 2017 and 2037</w:t>
            </w:r>
          </w:p>
        </w:tc>
        <w:tc>
          <w:tcPr>
            <w:tcW w:w="1701" w:type="dxa"/>
            <w:tcBorders>
              <w:top w:val="single" w:sz="4" w:space="0" w:color="auto"/>
              <w:left w:val="single" w:sz="12" w:space="0" w:color="auto"/>
              <w:bottom w:val="single" w:sz="4" w:space="0" w:color="auto"/>
              <w:right w:val="single" w:sz="4" w:space="0" w:color="auto"/>
            </w:tcBorders>
            <w:shd w:val="clear" w:color="auto" w:fill="000000"/>
            <w:noWrap/>
            <w:vAlign w:val="center"/>
            <w:hideMark/>
          </w:tcPr>
          <w:p w14:paraId="7D837E7B" w14:textId="1D1E26FB" w:rsidR="00CE65E0" w:rsidRPr="00E5372F" w:rsidRDefault="00CE65E0" w:rsidP="00CE65E0">
            <w:pPr>
              <w:rPr>
                <w:b/>
                <w:bCs/>
                <w:color w:val="FFFFFF"/>
              </w:rPr>
            </w:pPr>
            <w:r w:rsidRPr="00E5372F">
              <w:rPr>
                <w:b/>
                <w:bCs/>
              </w:rPr>
              <w:t>Net</w:t>
            </w:r>
            <w:r w:rsidR="0043481D" w:rsidRPr="00E5372F">
              <w:rPr>
                <w:b/>
                <w:bCs/>
              </w:rPr>
              <w:t xml:space="preserve"> employment</w:t>
            </w:r>
            <w:r w:rsidRPr="00E5372F">
              <w:rPr>
                <w:b/>
                <w:bCs/>
              </w:rPr>
              <w:t xml:space="preserve"> increase/</w:t>
            </w:r>
            <w:r w:rsidRPr="00E5372F">
              <w:rPr>
                <w:b/>
                <w:bCs/>
              </w:rPr>
              <w:br/>
              <w:t>decrease</w:t>
            </w:r>
            <w:r w:rsidR="0043481D" w:rsidRPr="00E5372F">
              <w:rPr>
                <w:b/>
                <w:bCs/>
              </w:rPr>
              <w:t xml:space="preserve"> between </w:t>
            </w:r>
            <w:r w:rsidR="0043481D" w:rsidRPr="00E5372F">
              <w:rPr>
                <w:b/>
                <w:bCs/>
              </w:rPr>
              <w:lastRenderedPageBreak/>
              <w:t>2017 and 2037</w:t>
            </w:r>
          </w:p>
        </w:tc>
        <w:tc>
          <w:tcPr>
            <w:tcW w:w="1853" w:type="dxa"/>
            <w:tcBorders>
              <w:top w:val="single" w:sz="4" w:space="0" w:color="auto"/>
              <w:left w:val="nil"/>
              <w:bottom w:val="single" w:sz="4" w:space="0" w:color="auto"/>
              <w:right w:val="single" w:sz="12" w:space="0" w:color="auto"/>
            </w:tcBorders>
            <w:shd w:val="clear" w:color="auto" w:fill="000000"/>
            <w:noWrap/>
            <w:vAlign w:val="center"/>
            <w:hideMark/>
          </w:tcPr>
          <w:p w14:paraId="38983363" w14:textId="57CCE290" w:rsidR="00CE65E0" w:rsidRPr="00E5372F" w:rsidRDefault="00CE65E0" w:rsidP="00CE65E0">
            <w:pPr>
              <w:rPr>
                <w:b/>
                <w:bCs/>
                <w:color w:val="FFFFFF"/>
              </w:rPr>
            </w:pPr>
            <w:r w:rsidRPr="00E5372F">
              <w:rPr>
                <w:b/>
                <w:bCs/>
              </w:rPr>
              <w:lastRenderedPageBreak/>
              <w:t>% Compound Annual Growth</w:t>
            </w:r>
            <w:r w:rsidR="0043481D" w:rsidRPr="00E5372F">
              <w:rPr>
                <w:b/>
                <w:bCs/>
              </w:rPr>
              <w:t xml:space="preserve"> in employment between 2017 and 2037</w:t>
            </w:r>
          </w:p>
        </w:tc>
      </w:tr>
      <w:tr w:rsidR="00CE65E0" w:rsidRPr="00CE65E0" w14:paraId="3C89D5D1"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CBFFF65" w14:textId="77777777" w:rsidR="00CE65E0" w:rsidRPr="00CE65E0" w:rsidRDefault="00CE65E0" w:rsidP="00CE65E0">
            <w:pPr>
              <w:rPr>
                <w:bCs/>
                <w:color w:val="000000"/>
                <w:lang w:eastAsia="en-GB"/>
              </w:rPr>
            </w:pPr>
            <w:r w:rsidRPr="00CE65E0">
              <w:rPr>
                <w:bCs/>
                <w:color w:val="000000"/>
                <w:lang w:eastAsia="en-GB"/>
              </w:rPr>
              <w:t>Construction</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B5889B" w14:textId="77777777" w:rsidR="00CE65E0" w:rsidRPr="00CE65E0" w:rsidRDefault="00CE65E0" w:rsidP="00CE65E0">
            <w:pPr>
              <w:rPr>
                <w:lang w:eastAsia="en-GB"/>
              </w:rPr>
            </w:pPr>
            <w:r w:rsidRPr="00CE65E0">
              <w:rPr>
                <w:lang w:eastAsia="en-GB"/>
              </w:rPr>
              <w:t>£965.2m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4B465DA7" w14:textId="77777777" w:rsidR="00CE65E0" w:rsidRPr="00CE65E0" w:rsidRDefault="00CE65E0" w:rsidP="00CE65E0">
            <w:pPr>
              <w:rPr>
                <w:lang w:eastAsia="en-GB"/>
              </w:rPr>
            </w:pPr>
            <w:r w:rsidRPr="00CE65E0">
              <w:rPr>
                <w:lang w:eastAsia="en-GB"/>
              </w:rPr>
              <w:t>1.1%</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583A41C" w14:textId="77777777" w:rsidR="00CE65E0" w:rsidRPr="00CE65E0" w:rsidRDefault="00CE65E0" w:rsidP="00CE65E0">
            <w:pPr>
              <w:rPr>
                <w:lang w:eastAsia="en-GB"/>
              </w:rPr>
            </w:pPr>
            <w:r w:rsidRPr="00CE65E0">
              <w:rPr>
                <w:lang w:eastAsia="en-GB"/>
              </w:rPr>
              <w:t>26,000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063BBB37" w14:textId="77777777" w:rsidR="00CE65E0" w:rsidRPr="00CE65E0" w:rsidRDefault="00CE65E0" w:rsidP="00CE65E0">
            <w:pPr>
              <w:rPr>
                <w:lang w:eastAsia="en-GB"/>
              </w:rPr>
            </w:pPr>
            <w:r w:rsidRPr="00CE65E0">
              <w:rPr>
                <w:lang w:eastAsia="en-GB"/>
              </w:rPr>
              <w:t>1.3%</w:t>
            </w:r>
          </w:p>
        </w:tc>
      </w:tr>
      <w:tr w:rsidR="00CE65E0" w:rsidRPr="00CE65E0" w14:paraId="2EEF6DBD"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EDC8C8B" w14:textId="77777777" w:rsidR="00CE65E0" w:rsidRPr="00CE65E0" w:rsidRDefault="00CE65E0" w:rsidP="00CE65E0">
            <w:pPr>
              <w:rPr>
                <w:bCs/>
                <w:color w:val="000000"/>
                <w:lang w:eastAsia="en-GB"/>
              </w:rPr>
            </w:pPr>
            <w:r w:rsidRPr="00CE65E0">
              <w:rPr>
                <w:bCs/>
                <w:color w:val="000000"/>
                <w:lang w:eastAsia="en-GB"/>
              </w:rPr>
              <w:t>Manufacturing</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086D43" w14:textId="77777777" w:rsidR="00CE65E0" w:rsidRPr="00CE65E0" w:rsidRDefault="00CE65E0" w:rsidP="00CE65E0">
            <w:pPr>
              <w:rPr>
                <w:lang w:eastAsia="en-GB"/>
              </w:rPr>
            </w:pPr>
            <w:r w:rsidRPr="00CE65E0">
              <w:rPr>
                <w:lang w:eastAsia="en-GB"/>
              </w:rPr>
              <w:t>£1,490m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64548917" w14:textId="77777777" w:rsidR="00CE65E0" w:rsidRPr="00CE65E0" w:rsidRDefault="00CE65E0" w:rsidP="00CE65E0">
            <w:pPr>
              <w:rPr>
                <w:lang w:eastAsia="en-GB"/>
              </w:rPr>
            </w:pPr>
            <w:r w:rsidRPr="00CE65E0">
              <w:rPr>
                <w:lang w:eastAsia="en-GB"/>
              </w:rPr>
              <w:t>0.9%</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1C2AD3" w14:textId="77777777" w:rsidR="00CE65E0" w:rsidRPr="00CE65E0" w:rsidRDefault="00CE65E0" w:rsidP="00CE65E0">
            <w:pPr>
              <w:rPr>
                <w:lang w:eastAsia="en-GB"/>
              </w:rPr>
            </w:pPr>
            <w:r w:rsidRPr="00CE65E0">
              <w:rPr>
                <w:lang w:eastAsia="en-GB"/>
              </w:rPr>
              <w:t>-21,200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45A3909B" w14:textId="77777777" w:rsidR="00CE65E0" w:rsidRPr="00CE65E0" w:rsidRDefault="00CE65E0" w:rsidP="00CE65E0">
            <w:pPr>
              <w:rPr>
                <w:lang w:eastAsia="en-GB"/>
              </w:rPr>
            </w:pPr>
            <w:r w:rsidRPr="00CE65E0">
              <w:rPr>
                <w:lang w:eastAsia="en-GB"/>
              </w:rPr>
              <w:t>-0.9%</w:t>
            </w:r>
          </w:p>
        </w:tc>
      </w:tr>
      <w:tr w:rsidR="00CE65E0" w:rsidRPr="00CE65E0" w14:paraId="1CB0C3BB"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251C6ED" w14:textId="77777777" w:rsidR="00CE65E0" w:rsidRPr="00CE65E0" w:rsidRDefault="00CE65E0" w:rsidP="00CE65E0">
            <w:pPr>
              <w:rPr>
                <w:bCs/>
                <w:color w:val="000000"/>
                <w:lang w:eastAsia="en-GB"/>
              </w:rPr>
            </w:pPr>
            <w:r w:rsidRPr="00CE65E0">
              <w:rPr>
                <w:bCs/>
                <w:color w:val="000000"/>
                <w:lang w:eastAsia="en-GB"/>
              </w:rPr>
              <w:t>Logistics (transport and storage)</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492EB8" w14:textId="77777777" w:rsidR="00CE65E0" w:rsidRPr="00CE65E0" w:rsidRDefault="00CE65E0" w:rsidP="00CE65E0">
            <w:pPr>
              <w:rPr>
                <w:lang w:eastAsia="en-GB"/>
              </w:rPr>
            </w:pPr>
            <w:r w:rsidRPr="00CE65E0">
              <w:rPr>
                <w:lang w:eastAsia="en-GB"/>
              </w:rPr>
              <w:t>£1,110m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4091FA4C" w14:textId="77777777" w:rsidR="00CE65E0" w:rsidRPr="00CE65E0" w:rsidRDefault="00CE65E0" w:rsidP="00CE65E0">
            <w:pPr>
              <w:rPr>
                <w:lang w:eastAsia="en-GB"/>
              </w:rPr>
            </w:pPr>
            <w:r w:rsidRPr="00CE65E0">
              <w:rPr>
                <w:lang w:eastAsia="en-GB"/>
              </w:rPr>
              <w:t>1.4%</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3C0AF4" w14:textId="77777777" w:rsidR="00CE65E0" w:rsidRPr="00CE65E0" w:rsidRDefault="00CE65E0" w:rsidP="00CE65E0">
            <w:pPr>
              <w:rPr>
                <w:lang w:eastAsia="en-GB"/>
              </w:rPr>
            </w:pPr>
            <w:r w:rsidRPr="00CE65E0">
              <w:rPr>
                <w:lang w:eastAsia="en-GB"/>
              </w:rPr>
              <w:t>12,200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097D0836" w14:textId="77777777" w:rsidR="00CE65E0" w:rsidRPr="00CE65E0" w:rsidRDefault="00CE65E0" w:rsidP="00CE65E0">
            <w:pPr>
              <w:rPr>
                <w:lang w:eastAsia="en-GB"/>
              </w:rPr>
            </w:pPr>
            <w:r w:rsidRPr="00CE65E0">
              <w:rPr>
                <w:lang w:eastAsia="en-GB"/>
              </w:rPr>
              <w:t>0.7%</w:t>
            </w:r>
          </w:p>
        </w:tc>
      </w:tr>
      <w:tr w:rsidR="00CE65E0" w:rsidRPr="00CE65E0" w14:paraId="720EA7E0"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45194AE" w14:textId="77777777" w:rsidR="00CE65E0" w:rsidRPr="00CE65E0" w:rsidRDefault="00CE65E0" w:rsidP="00CE65E0">
            <w:pPr>
              <w:rPr>
                <w:bCs/>
                <w:color w:val="000000"/>
                <w:lang w:eastAsia="en-GB"/>
              </w:rPr>
            </w:pPr>
            <w:r w:rsidRPr="00CE65E0">
              <w:rPr>
                <w:bCs/>
                <w:color w:val="000000"/>
                <w:lang w:eastAsia="en-GB"/>
              </w:rPr>
              <w:t>Wholesale and retail</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C1B673" w14:textId="77777777" w:rsidR="00CE65E0" w:rsidRPr="00CE65E0" w:rsidRDefault="00CE65E0" w:rsidP="00CE65E0">
            <w:pPr>
              <w:rPr>
                <w:lang w:eastAsia="en-GB"/>
              </w:rPr>
            </w:pPr>
            <w:r w:rsidRPr="00CE65E0">
              <w:rPr>
                <w:lang w:eastAsia="en-GB"/>
              </w:rPr>
              <w:t>£2,932m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0A810816" w14:textId="77777777" w:rsidR="00CE65E0" w:rsidRPr="00CE65E0" w:rsidRDefault="00CE65E0" w:rsidP="00CE65E0">
            <w:pPr>
              <w:rPr>
                <w:lang w:eastAsia="en-GB"/>
              </w:rPr>
            </w:pPr>
            <w:r w:rsidRPr="00CE65E0">
              <w:rPr>
                <w:lang w:eastAsia="en-GB"/>
              </w:rPr>
              <w:t>1.7%</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1FF136" w14:textId="77777777" w:rsidR="00CE65E0" w:rsidRPr="00CE65E0" w:rsidRDefault="00CE65E0" w:rsidP="00CE65E0">
            <w:pPr>
              <w:rPr>
                <w:lang w:eastAsia="en-GB"/>
              </w:rPr>
            </w:pPr>
            <w:r w:rsidRPr="00CE65E0">
              <w:rPr>
                <w:lang w:eastAsia="en-GB"/>
              </w:rPr>
              <w:t>18,500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4B756774" w14:textId="77777777" w:rsidR="00CE65E0" w:rsidRPr="00CE65E0" w:rsidRDefault="00CE65E0" w:rsidP="00CE65E0">
            <w:pPr>
              <w:rPr>
                <w:lang w:eastAsia="en-GB"/>
              </w:rPr>
            </w:pPr>
            <w:r w:rsidRPr="00CE65E0">
              <w:rPr>
                <w:lang w:eastAsia="en-GB"/>
              </w:rPr>
              <w:t>0.4%</w:t>
            </w:r>
          </w:p>
        </w:tc>
      </w:tr>
      <w:tr w:rsidR="00CE65E0" w:rsidRPr="00CE65E0" w14:paraId="4D8EF759"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74B3B4E" w14:textId="77777777" w:rsidR="00CE65E0" w:rsidRPr="00CE65E0" w:rsidRDefault="00CE65E0" w:rsidP="00CE65E0">
            <w:pPr>
              <w:rPr>
                <w:bCs/>
                <w:color w:val="000000"/>
                <w:lang w:eastAsia="en-GB"/>
              </w:rPr>
            </w:pPr>
            <w:r w:rsidRPr="00CE65E0">
              <w:rPr>
                <w:bCs/>
                <w:color w:val="000000"/>
                <w:lang w:eastAsia="en-GB"/>
              </w:rPr>
              <w:t>Other personal services</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2EEDC9" w14:textId="77777777" w:rsidR="00CE65E0" w:rsidRPr="00CE65E0" w:rsidRDefault="00CE65E0" w:rsidP="00CE65E0">
            <w:pPr>
              <w:rPr>
                <w:lang w:eastAsia="en-GB"/>
              </w:rPr>
            </w:pPr>
            <w:r w:rsidRPr="00CE65E0">
              <w:rPr>
                <w:lang w:eastAsia="en-GB"/>
              </w:rPr>
              <w:t>£253m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0F6518AE" w14:textId="77777777" w:rsidR="00CE65E0" w:rsidRPr="00CE65E0" w:rsidRDefault="00CE65E0" w:rsidP="00CE65E0">
            <w:pPr>
              <w:rPr>
                <w:lang w:eastAsia="en-GB"/>
              </w:rPr>
            </w:pPr>
            <w:r w:rsidRPr="00CE65E0">
              <w:rPr>
                <w:lang w:eastAsia="en-GB"/>
              </w:rPr>
              <w:t>1.2%</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708AD3" w14:textId="77777777" w:rsidR="00CE65E0" w:rsidRPr="00CE65E0" w:rsidRDefault="00CE65E0" w:rsidP="00CE65E0">
            <w:pPr>
              <w:rPr>
                <w:lang w:eastAsia="en-GB"/>
              </w:rPr>
            </w:pPr>
            <w:r w:rsidRPr="00CE65E0">
              <w:rPr>
                <w:lang w:eastAsia="en-GB"/>
              </w:rPr>
              <w:t>5,800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5C8AA2A8" w14:textId="77777777" w:rsidR="00CE65E0" w:rsidRPr="00CE65E0" w:rsidRDefault="00CE65E0" w:rsidP="00CE65E0">
            <w:pPr>
              <w:rPr>
                <w:lang w:eastAsia="en-GB"/>
              </w:rPr>
            </w:pPr>
            <w:r w:rsidRPr="00CE65E0">
              <w:rPr>
                <w:lang w:eastAsia="en-GB"/>
              </w:rPr>
              <w:t>1.0%</w:t>
            </w:r>
          </w:p>
        </w:tc>
      </w:tr>
      <w:tr w:rsidR="00CE65E0" w:rsidRPr="00CE65E0" w14:paraId="38E0DA94"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0B3F5E4" w14:textId="77777777" w:rsidR="00CE65E0" w:rsidRPr="00CE65E0" w:rsidRDefault="00CE65E0" w:rsidP="00CE65E0">
            <w:pPr>
              <w:rPr>
                <w:bCs/>
                <w:color w:val="000000"/>
                <w:lang w:eastAsia="en-GB"/>
              </w:rPr>
            </w:pPr>
            <w:r w:rsidRPr="00CE65E0">
              <w:rPr>
                <w:bCs/>
                <w:color w:val="000000"/>
                <w:lang w:eastAsia="en-GB"/>
              </w:rPr>
              <w:t>Business, financial, professional services</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ECD62A" w14:textId="77777777" w:rsidR="00CE65E0" w:rsidRPr="00CE65E0" w:rsidRDefault="00CE65E0" w:rsidP="00CE65E0">
            <w:pPr>
              <w:rPr>
                <w:lang w:eastAsia="en-GB"/>
              </w:rPr>
            </w:pPr>
            <w:r w:rsidRPr="00CE65E0">
              <w:rPr>
                <w:lang w:eastAsia="en-GB"/>
              </w:rPr>
              <w:t>£9,946m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22E0D4CA" w14:textId="77777777" w:rsidR="00CE65E0" w:rsidRPr="00CE65E0" w:rsidRDefault="00CE65E0" w:rsidP="00CE65E0">
            <w:pPr>
              <w:rPr>
                <w:lang w:eastAsia="en-GB"/>
              </w:rPr>
            </w:pPr>
            <w:r w:rsidRPr="00CE65E0">
              <w:rPr>
                <w:lang w:eastAsia="en-GB"/>
              </w:rPr>
              <w:t>2.1%</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500BF5" w14:textId="77777777" w:rsidR="00CE65E0" w:rsidRPr="00CE65E0" w:rsidRDefault="00CE65E0" w:rsidP="00CE65E0">
            <w:pPr>
              <w:rPr>
                <w:lang w:eastAsia="en-GB"/>
              </w:rPr>
            </w:pPr>
            <w:r w:rsidRPr="00CE65E0">
              <w:rPr>
                <w:lang w:eastAsia="en-GB"/>
              </w:rPr>
              <w:t>81,900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67E78B88" w14:textId="77777777" w:rsidR="00CE65E0" w:rsidRPr="00CE65E0" w:rsidRDefault="00CE65E0" w:rsidP="00CE65E0">
            <w:pPr>
              <w:rPr>
                <w:lang w:eastAsia="en-GB"/>
              </w:rPr>
            </w:pPr>
            <w:r w:rsidRPr="00CE65E0">
              <w:rPr>
                <w:lang w:eastAsia="en-GB"/>
              </w:rPr>
              <w:t>1.2%</w:t>
            </w:r>
          </w:p>
        </w:tc>
      </w:tr>
      <w:tr w:rsidR="00CE65E0" w:rsidRPr="00CE65E0" w14:paraId="3E0D4EAB"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52E2CCB" w14:textId="77777777" w:rsidR="00CE65E0" w:rsidRPr="00CE65E0" w:rsidRDefault="00CE65E0" w:rsidP="00CE65E0">
            <w:pPr>
              <w:rPr>
                <w:bCs/>
                <w:color w:val="000000"/>
                <w:lang w:eastAsia="en-GB"/>
              </w:rPr>
            </w:pPr>
            <w:r w:rsidRPr="00CE65E0">
              <w:rPr>
                <w:bCs/>
                <w:color w:val="000000"/>
                <w:lang w:eastAsia="en-GB"/>
              </w:rPr>
              <w:t>Creative and digital industries</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793718" w14:textId="77777777" w:rsidR="00CE65E0" w:rsidRPr="00CE65E0" w:rsidRDefault="00CE65E0" w:rsidP="00CE65E0">
            <w:pPr>
              <w:rPr>
                <w:lang w:eastAsia="en-GB"/>
              </w:rPr>
            </w:pPr>
            <w:r w:rsidRPr="00CE65E0">
              <w:rPr>
                <w:lang w:eastAsia="en-GB"/>
              </w:rPr>
              <w:t>£2,641m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00437B46" w14:textId="77777777" w:rsidR="00CE65E0" w:rsidRPr="00CE65E0" w:rsidRDefault="00CE65E0" w:rsidP="00CE65E0">
            <w:pPr>
              <w:rPr>
                <w:lang w:eastAsia="en-GB"/>
              </w:rPr>
            </w:pPr>
            <w:r w:rsidRPr="00CE65E0">
              <w:rPr>
                <w:lang w:eastAsia="en-GB"/>
              </w:rPr>
              <w:t>2.4%</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DCE11B" w14:textId="77777777" w:rsidR="00CE65E0" w:rsidRPr="00CE65E0" w:rsidRDefault="00CE65E0" w:rsidP="00CE65E0">
            <w:pPr>
              <w:rPr>
                <w:lang w:eastAsia="en-GB"/>
              </w:rPr>
            </w:pPr>
            <w:r w:rsidRPr="00CE65E0">
              <w:rPr>
                <w:lang w:eastAsia="en-GB"/>
              </w:rPr>
              <w:t>12,800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2FB496E3" w14:textId="77777777" w:rsidR="00CE65E0" w:rsidRPr="00CE65E0" w:rsidRDefault="00CE65E0" w:rsidP="00CE65E0">
            <w:pPr>
              <w:rPr>
                <w:lang w:eastAsia="en-GB"/>
              </w:rPr>
            </w:pPr>
            <w:r w:rsidRPr="00CE65E0">
              <w:rPr>
                <w:lang w:eastAsia="en-GB"/>
              </w:rPr>
              <w:t>0.7%</w:t>
            </w:r>
          </w:p>
        </w:tc>
      </w:tr>
      <w:tr w:rsidR="00CE65E0" w:rsidRPr="00CE65E0" w14:paraId="31E5CFC1"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F8FC58C" w14:textId="77777777" w:rsidR="00CE65E0" w:rsidRPr="00CE65E0" w:rsidRDefault="00CE65E0" w:rsidP="00CE65E0">
            <w:pPr>
              <w:rPr>
                <w:bCs/>
                <w:color w:val="000000"/>
                <w:lang w:eastAsia="en-GB"/>
              </w:rPr>
            </w:pPr>
            <w:r w:rsidRPr="00CE65E0">
              <w:rPr>
                <w:bCs/>
                <w:color w:val="000000"/>
                <w:lang w:eastAsia="en-GB"/>
              </w:rPr>
              <w:t xml:space="preserve">Hospitality, </w:t>
            </w:r>
            <w:proofErr w:type="gramStart"/>
            <w:r w:rsidRPr="00CE65E0">
              <w:rPr>
                <w:bCs/>
                <w:color w:val="000000"/>
                <w:lang w:eastAsia="en-GB"/>
              </w:rPr>
              <w:t>tourism</w:t>
            </w:r>
            <w:proofErr w:type="gramEnd"/>
            <w:r w:rsidRPr="00CE65E0">
              <w:rPr>
                <w:bCs/>
                <w:color w:val="000000"/>
                <w:lang w:eastAsia="en-GB"/>
              </w:rPr>
              <w:t xml:space="preserve"> and sport</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9A5403" w14:textId="77777777" w:rsidR="00CE65E0" w:rsidRPr="00CE65E0" w:rsidRDefault="00CE65E0" w:rsidP="00CE65E0">
            <w:pPr>
              <w:rPr>
                <w:lang w:eastAsia="en-GB"/>
              </w:rPr>
            </w:pPr>
            <w:r w:rsidRPr="00CE65E0">
              <w:rPr>
                <w:lang w:eastAsia="en-GB"/>
              </w:rPr>
              <w:t>£1,190m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6095F438" w14:textId="77777777" w:rsidR="00CE65E0" w:rsidRPr="00CE65E0" w:rsidRDefault="00CE65E0" w:rsidP="00CE65E0">
            <w:pPr>
              <w:rPr>
                <w:lang w:eastAsia="en-GB"/>
              </w:rPr>
            </w:pPr>
            <w:r w:rsidRPr="00CE65E0">
              <w:rPr>
                <w:lang w:eastAsia="en-GB"/>
              </w:rPr>
              <w:t>1.6%</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C6EF38" w14:textId="77777777" w:rsidR="00CE65E0" w:rsidRPr="00CE65E0" w:rsidRDefault="00CE65E0" w:rsidP="00CE65E0">
            <w:pPr>
              <w:rPr>
                <w:lang w:eastAsia="en-GB"/>
              </w:rPr>
            </w:pPr>
            <w:r w:rsidRPr="00CE65E0">
              <w:rPr>
                <w:lang w:eastAsia="en-GB"/>
              </w:rPr>
              <w:t>22,800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31D4203F" w14:textId="77777777" w:rsidR="00CE65E0" w:rsidRPr="00CE65E0" w:rsidRDefault="00CE65E0" w:rsidP="00CE65E0">
            <w:pPr>
              <w:rPr>
                <w:lang w:eastAsia="en-GB"/>
              </w:rPr>
            </w:pPr>
            <w:r w:rsidRPr="00CE65E0">
              <w:rPr>
                <w:lang w:eastAsia="en-GB"/>
              </w:rPr>
              <w:t>0.9%</w:t>
            </w:r>
          </w:p>
        </w:tc>
      </w:tr>
      <w:tr w:rsidR="00CE65E0" w:rsidRPr="00CE65E0" w14:paraId="6F74BCAC"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85FE1CC" w14:textId="77777777" w:rsidR="00CE65E0" w:rsidRPr="00CE65E0" w:rsidRDefault="00CE65E0" w:rsidP="00CE65E0">
            <w:pPr>
              <w:rPr>
                <w:bCs/>
                <w:color w:val="000000"/>
                <w:lang w:eastAsia="en-GB"/>
              </w:rPr>
            </w:pPr>
            <w:r w:rsidRPr="00CE65E0">
              <w:rPr>
                <w:bCs/>
                <w:color w:val="000000"/>
                <w:lang w:eastAsia="en-GB"/>
              </w:rPr>
              <w:t>Education</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664245" w14:textId="77777777" w:rsidR="00CE65E0" w:rsidRPr="00CE65E0" w:rsidRDefault="00CE65E0" w:rsidP="00CE65E0">
            <w:pPr>
              <w:rPr>
                <w:lang w:eastAsia="en-GB"/>
              </w:rPr>
            </w:pPr>
            <w:r w:rsidRPr="00CE65E0">
              <w:rPr>
                <w:lang w:eastAsia="en-GB"/>
              </w:rPr>
              <w:t>£66m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7B09583C" w14:textId="77777777" w:rsidR="00CE65E0" w:rsidRPr="00CE65E0" w:rsidRDefault="00CE65E0" w:rsidP="00CE65E0">
            <w:pPr>
              <w:rPr>
                <w:lang w:eastAsia="en-GB"/>
              </w:rPr>
            </w:pPr>
            <w:r w:rsidRPr="00CE65E0">
              <w:rPr>
                <w:lang w:eastAsia="en-GB"/>
              </w:rPr>
              <w:t>0.1%</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8AE9B6" w14:textId="77777777" w:rsidR="00CE65E0" w:rsidRPr="00CE65E0" w:rsidRDefault="00CE65E0" w:rsidP="00CE65E0">
            <w:pPr>
              <w:rPr>
                <w:lang w:eastAsia="en-GB"/>
              </w:rPr>
            </w:pPr>
            <w:r w:rsidRPr="00CE65E0">
              <w:rPr>
                <w:lang w:eastAsia="en-GB"/>
              </w:rPr>
              <w:t>200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5C34C4F4" w14:textId="77777777" w:rsidR="00CE65E0" w:rsidRPr="00CE65E0" w:rsidRDefault="00CE65E0" w:rsidP="00CE65E0">
            <w:pPr>
              <w:rPr>
                <w:lang w:eastAsia="en-GB"/>
              </w:rPr>
            </w:pPr>
            <w:r w:rsidRPr="00CE65E0">
              <w:rPr>
                <w:lang w:eastAsia="en-GB"/>
              </w:rPr>
              <w:t>0.0%</w:t>
            </w:r>
          </w:p>
        </w:tc>
      </w:tr>
      <w:tr w:rsidR="00CE65E0" w:rsidRPr="00CE65E0" w14:paraId="74791826" w14:textId="77777777" w:rsidTr="0043481D">
        <w:trPr>
          <w:trHeight w:val="276"/>
        </w:trPr>
        <w:tc>
          <w:tcPr>
            <w:tcW w:w="269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C77123C" w14:textId="77777777" w:rsidR="00CE65E0" w:rsidRPr="00CE65E0" w:rsidRDefault="00CE65E0" w:rsidP="00CE65E0">
            <w:pPr>
              <w:rPr>
                <w:bCs/>
                <w:color w:val="000000"/>
                <w:lang w:eastAsia="en-GB"/>
              </w:rPr>
            </w:pPr>
            <w:r w:rsidRPr="00CE65E0">
              <w:rPr>
                <w:bCs/>
                <w:color w:val="000000"/>
                <w:lang w:eastAsia="en-GB"/>
              </w:rPr>
              <w:t>Health and social care</w:t>
            </w:r>
          </w:p>
        </w:tc>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037C76" w14:textId="77777777" w:rsidR="00CE65E0" w:rsidRPr="00CE65E0" w:rsidRDefault="00CE65E0" w:rsidP="00CE65E0">
            <w:pPr>
              <w:rPr>
                <w:lang w:eastAsia="en-GB"/>
              </w:rPr>
            </w:pPr>
            <w:r w:rsidRPr="00CE65E0">
              <w:rPr>
                <w:lang w:eastAsia="en-GB"/>
              </w:rPr>
              <w:t>£2,596m</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33CA8DAA" w14:textId="77777777" w:rsidR="00CE65E0" w:rsidRPr="00CE65E0" w:rsidRDefault="00CE65E0" w:rsidP="00CE65E0">
            <w:pPr>
              <w:rPr>
                <w:lang w:eastAsia="en-GB"/>
              </w:rPr>
            </w:pPr>
            <w:r w:rsidRPr="00CE65E0">
              <w:rPr>
                <w:lang w:eastAsia="en-GB"/>
              </w:rPr>
              <w:t>1.7%</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98194" w14:textId="77777777" w:rsidR="00CE65E0" w:rsidRPr="00CE65E0" w:rsidRDefault="00CE65E0" w:rsidP="00CE65E0">
            <w:pPr>
              <w:rPr>
                <w:lang w:eastAsia="en-GB"/>
              </w:rPr>
            </w:pPr>
            <w:r w:rsidRPr="00CE65E0">
              <w:rPr>
                <w:lang w:eastAsia="en-GB"/>
              </w:rPr>
              <w:t>28,600</w:t>
            </w:r>
          </w:p>
        </w:tc>
        <w:tc>
          <w:tcPr>
            <w:tcW w:w="1853" w:type="dxa"/>
            <w:tcBorders>
              <w:top w:val="single" w:sz="4" w:space="0" w:color="auto"/>
              <w:left w:val="nil"/>
              <w:bottom w:val="single" w:sz="4" w:space="0" w:color="auto"/>
              <w:right w:val="single" w:sz="12" w:space="0" w:color="auto"/>
            </w:tcBorders>
            <w:shd w:val="clear" w:color="auto" w:fill="auto"/>
            <w:noWrap/>
            <w:vAlign w:val="center"/>
            <w:hideMark/>
          </w:tcPr>
          <w:p w14:paraId="0DDD0E45" w14:textId="77777777" w:rsidR="00CE65E0" w:rsidRPr="00CE65E0" w:rsidRDefault="00CE65E0" w:rsidP="00CE65E0">
            <w:pPr>
              <w:rPr>
                <w:lang w:eastAsia="en-GB"/>
              </w:rPr>
            </w:pPr>
            <w:r w:rsidRPr="00CE65E0">
              <w:rPr>
                <w:lang w:eastAsia="en-GB"/>
              </w:rPr>
              <w:t>0.7%</w:t>
            </w:r>
          </w:p>
        </w:tc>
      </w:tr>
      <w:tr w:rsidR="00CE65E0" w:rsidRPr="00CE65E0" w14:paraId="3309970B" w14:textId="77777777" w:rsidTr="0043481D">
        <w:trPr>
          <w:trHeight w:val="276"/>
        </w:trPr>
        <w:tc>
          <w:tcPr>
            <w:tcW w:w="2694"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4A054A7" w14:textId="77777777" w:rsidR="00CE65E0" w:rsidRPr="00CE65E0" w:rsidRDefault="00CE65E0" w:rsidP="00CE65E0">
            <w:pPr>
              <w:rPr>
                <w:bCs/>
                <w:color w:val="000000"/>
                <w:lang w:eastAsia="en-GB"/>
              </w:rPr>
            </w:pPr>
            <w:r w:rsidRPr="00CE65E0">
              <w:rPr>
                <w:bCs/>
                <w:color w:val="000000"/>
                <w:lang w:eastAsia="en-GB"/>
              </w:rPr>
              <w:t>Public administration</w:t>
            </w:r>
          </w:p>
        </w:tc>
        <w:tc>
          <w:tcPr>
            <w:tcW w:w="212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5DC6567" w14:textId="77777777" w:rsidR="00CE65E0" w:rsidRPr="00CE65E0" w:rsidRDefault="00CE65E0" w:rsidP="00CE65E0">
            <w:pPr>
              <w:rPr>
                <w:lang w:eastAsia="en-GB"/>
              </w:rPr>
            </w:pPr>
            <w:r w:rsidRPr="00CE65E0">
              <w:rPr>
                <w:lang w:eastAsia="en-GB"/>
              </w:rPr>
              <w:t>-£177m</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232B1F59" w14:textId="77777777" w:rsidR="00CE65E0" w:rsidRPr="00CE65E0" w:rsidRDefault="00CE65E0" w:rsidP="00CE65E0">
            <w:pPr>
              <w:rPr>
                <w:lang w:eastAsia="en-GB"/>
              </w:rPr>
            </w:pPr>
            <w:r w:rsidRPr="00CE65E0">
              <w:rPr>
                <w:lang w:eastAsia="en-GB"/>
              </w:rPr>
              <w:t>-0.3%</w:t>
            </w:r>
          </w:p>
        </w:tc>
        <w:tc>
          <w:tcPr>
            <w:tcW w:w="170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85E67C8" w14:textId="77777777" w:rsidR="00CE65E0" w:rsidRPr="00CE65E0" w:rsidRDefault="00CE65E0" w:rsidP="00CE65E0">
            <w:pPr>
              <w:rPr>
                <w:lang w:eastAsia="en-GB"/>
              </w:rPr>
            </w:pPr>
            <w:r w:rsidRPr="00CE65E0">
              <w:rPr>
                <w:lang w:eastAsia="en-GB"/>
              </w:rPr>
              <w:t>-4,700</w:t>
            </w:r>
          </w:p>
        </w:tc>
        <w:tc>
          <w:tcPr>
            <w:tcW w:w="1853" w:type="dxa"/>
            <w:tcBorders>
              <w:top w:val="single" w:sz="4" w:space="0" w:color="auto"/>
              <w:left w:val="nil"/>
              <w:bottom w:val="single" w:sz="12" w:space="0" w:color="auto"/>
              <w:right w:val="single" w:sz="12" w:space="0" w:color="auto"/>
            </w:tcBorders>
            <w:shd w:val="clear" w:color="auto" w:fill="auto"/>
            <w:noWrap/>
            <w:vAlign w:val="center"/>
            <w:hideMark/>
          </w:tcPr>
          <w:p w14:paraId="68C04450" w14:textId="77777777" w:rsidR="00CE65E0" w:rsidRPr="00CE65E0" w:rsidRDefault="00CE65E0" w:rsidP="00CE65E0">
            <w:pPr>
              <w:rPr>
                <w:lang w:eastAsia="en-GB"/>
              </w:rPr>
            </w:pPr>
            <w:r w:rsidRPr="00CE65E0">
              <w:rPr>
                <w:lang w:eastAsia="en-GB"/>
              </w:rPr>
              <w:t>-0.4%</w:t>
            </w:r>
          </w:p>
        </w:tc>
      </w:tr>
    </w:tbl>
    <w:p w14:paraId="039CD2DF" w14:textId="77777777" w:rsidR="00B62F92" w:rsidRDefault="00B62F92" w:rsidP="00CE65E0"/>
    <w:p w14:paraId="167BD17A" w14:textId="77777777" w:rsidR="006F69A4" w:rsidRDefault="003D0912" w:rsidP="006F69A4">
      <w:pPr>
        <w:rPr>
          <w:i/>
        </w:rPr>
      </w:pPr>
      <w:r>
        <w:t>1.19.</w:t>
      </w:r>
      <w:r>
        <w:tab/>
      </w:r>
      <w:r w:rsidR="007616C2">
        <w:t xml:space="preserve">Table 3: </w:t>
      </w:r>
      <w:r w:rsidR="00CE65E0" w:rsidRPr="00CE65E0">
        <w:t>AGS-2019 forecast for GVA and employment by main sectors in GM, 2017 to 2037</w:t>
      </w:r>
      <w:r w:rsidR="006F69A4">
        <w:t xml:space="preserve">. </w:t>
      </w:r>
      <w:r w:rsidR="006F69A4" w:rsidRPr="00CE65E0">
        <w:rPr>
          <w:i/>
        </w:rPr>
        <w:t>Source: Oxford Economics GMFM-2019. Main sectors defined by GMCA, excludes agriculture and utilities</w:t>
      </w:r>
    </w:p>
    <w:p w14:paraId="61C72988" w14:textId="271FF8C2" w:rsidR="00CE65E0" w:rsidRPr="00CE65E0" w:rsidRDefault="00CE65E0" w:rsidP="00CE65E0">
      <w:pPr>
        <w:rPr>
          <w:color w:val="FF0000"/>
        </w:rPr>
      </w:pPr>
    </w:p>
    <w:tbl>
      <w:tblPr>
        <w:tblW w:w="10197" w:type="dxa"/>
        <w:tblInd w:w="-289" w:type="dxa"/>
        <w:tblLayout w:type="fixed"/>
        <w:tblLook w:val="04A0" w:firstRow="1" w:lastRow="0" w:firstColumn="1" w:lastColumn="0" w:noHBand="0" w:noVBand="1"/>
        <w:tblCaption w:val="Baseline AGS-2019 forecast for GVA and employment by main sectors in GM, 2017 to 2037"/>
        <w:tblDescription w:val="Table showing the AGS-2019's forecast changes in GVA and employment, as a number and an annual % change, between 2017 and 2037. The predictions show that the largest growth in GVA and employment is expected in Creative and Digital Industries, to a greater extent than the GMFM-2019."/>
      </w:tblPr>
      <w:tblGrid>
        <w:gridCol w:w="2684"/>
        <w:gridCol w:w="1985"/>
        <w:gridCol w:w="1842"/>
        <w:gridCol w:w="1843"/>
        <w:gridCol w:w="1843"/>
      </w:tblGrid>
      <w:tr w:rsidR="00CE65E0" w:rsidRPr="00CE65E0" w14:paraId="7FE15679" w14:textId="77777777" w:rsidTr="00E5372F">
        <w:trPr>
          <w:trHeight w:val="417"/>
        </w:trPr>
        <w:tc>
          <w:tcPr>
            <w:tcW w:w="2684" w:type="dxa"/>
            <w:tcBorders>
              <w:top w:val="single" w:sz="4" w:space="0" w:color="auto"/>
              <w:left w:val="single" w:sz="12" w:space="0" w:color="auto"/>
              <w:bottom w:val="single" w:sz="4" w:space="0" w:color="auto"/>
              <w:right w:val="single" w:sz="12" w:space="0" w:color="auto"/>
            </w:tcBorders>
            <w:shd w:val="clear" w:color="auto" w:fill="000000"/>
            <w:noWrap/>
            <w:vAlign w:val="center"/>
            <w:hideMark/>
          </w:tcPr>
          <w:p w14:paraId="6E0148F8" w14:textId="77777777" w:rsidR="00CE65E0" w:rsidRPr="00E5372F" w:rsidRDefault="00CE65E0" w:rsidP="00CE65E0">
            <w:pPr>
              <w:rPr>
                <w:b/>
                <w:bCs/>
                <w:color w:val="FFFFFF"/>
              </w:rPr>
            </w:pPr>
            <w:r w:rsidRPr="00E5372F">
              <w:rPr>
                <w:b/>
                <w:bCs/>
                <w:color w:val="FFFFFF"/>
              </w:rPr>
              <w:t>Measure</w:t>
            </w:r>
          </w:p>
        </w:tc>
        <w:tc>
          <w:tcPr>
            <w:tcW w:w="1985"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425952D2" w14:textId="1C6E01AF" w:rsidR="00CE65E0" w:rsidRPr="00E5372F" w:rsidRDefault="00CE65E0" w:rsidP="00CE65E0">
            <w:pPr>
              <w:rPr>
                <w:b/>
                <w:bCs/>
                <w:color w:val="FFFFFF"/>
              </w:rPr>
            </w:pPr>
            <w:r w:rsidRPr="00E5372F">
              <w:rPr>
                <w:b/>
                <w:bCs/>
              </w:rPr>
              <w:t xml:space="preserve">Net </w:t>
            </w:r>
            <w:r w:rsidR="0043481D" w:rsidRPr="00E5372F">
              <w:rPr>
                <w:b/>
                <w:bCs/>
              </w:rPr>
              <w:t xml:space="preserve">GVA </w:t>
            </w:r>
            <w:r w:rsidRPr="00E5372F">
              <w:rPr>
                <w:b/>
                <w:bCs/>
              </w:rPr>
              <w:t>increase/</w:t>
            </w:r>
            <w:r w:rsidRPr="00E5372F">
              <w:rPr>
                <w:b/>
                <w:bCs/>
              </w:rPr>
              <w:br/>
              <w:t xml:space="preserve">decrease </w:t>
            </w:r>
            <w:r w:rsidRPr="00E5372F">
              <w:rPr>
                <w:b/>
                <w:bCs/>
              </w:rPr>
              <w:lastRenderedPageBreak/>
              <w:t>(millions)</w:t>
            </w:r>
            <w:r w:rsidR="0043481D" w:rsidRPr="00E5372F">
              <w:rPr>
                <w:b/>
                <w:bCs/>
              </w:rPr>
              <w:t xml:space="preserve"> between 2017 and 2037</w:t>
            </w:r>
          </w:p>
        </w:tc>
        <w:tc>
          <w:tcPr>
            <w:tcW w:w="1842" w:type="dxa"/>
            <w:tcBorders>
              <w:top w:val="single" w:sz="4" w:space="0" w:color="auto"/>
              <w:left w:val="nil"/>
              <w:bottom w:val="single" w:sz="4" w:space="0" w:color="auto"/>
              <w:right w:val="single" w:sz="12" w:space="0" w:color="auto"/>
            </w:tcBorders>
            <w:shd w:val="clear" w:color="auto" w:fill="000000"/>
            <w:noWrap/>
            <w:vAlign w:val="center"/>
          </w:tcPr>
          <w:p w14:paraId="77CB1E86" w14:textId="4E9898FA" w:rsidR="00CE65E0" w:rsidRPr="00E5372F" w:rsidRDefault="00CE65E0" w:rsidP="00CE65E0">
            <w:pPr>
              <w:rPr>
                <w:b/>
                <w:bCs/>
                <w:color w:val="FFFFFF"/>
              </w:rPr>
            </w:pPr>
            <w:r w:rsidRPr="00E5372F">
              <w:rPr>
                <w:b/>
                <w:bCs/>
              </w:rPr>
              <w:lastRenderedPageBreak/>
              <w:t>% Compound Annual Growth</w:t>
            </w:r>
            <w:r w:rsidR="0043481D" w:rsidRPr="00E5372F">
              <w:rPr>
                <w:b/>
                <w:bCs/>
              </w:rPr>
              <w:t xml:space="preserve"> in </w:t>
            </w:r>
            <w:r w:rsidR="0043481D" w:rsidRPr="00E5372F">
              <w:rPr>
                <w:b/>
                <w:bCs/>
              </w:rPr>
              <w:lastRenderedPageBreak/>
              <w:t>GVA between 2017 and 2037</w:t>
            </w:r>
          </w:p>
        </w:tc>
        <w:tc>
          <w:tcPr>
            <w:tcW w:w="1843"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465EEB86" w14:textId="21D5EBBA" w:rsidR="00CE65E0" w:rsidRPr="00E5372F" w:rsidRDefault="00CE65E0" w:rsidP="00CE65E0">
            <w:pPr>
              <w:rPr>
                <w:b/>
                <w:bCs/>
                <w:color w:val="FFFFFF"/>
              </w:rPr>
            </w:pPr>
            <w:r w:rsidRPr="00E5372F">
              <w:rPr>
                <w:b/>
                <w:bCs/>
              </w:rPr>
              <w:lastRenderedPageBreak/>
              <w:t xml:space="preserve">Net </w:t>
            </w:r>
            <w:r w:rsidR="0043481D" w:rsidRPr="00E5372F">
              <w:rPr>
                <w:b/>
                <w:bCs/>
              </w:rPr>
              <w:t>employment i</w:t>
            </w:r>
            <w:r w:rsidRPr="00E5372F">
              <w:rPr>
                <w:b/>
                <w:bCs/>
              </w:rPr>
              <w:t>ncrease/</w:t>
            </w:r>
            <w:r w:rsidRPr="00E5372F">
              <w:rPr>
                <w:b/>
                <w:bCs/>
              </w:rPr>
              <w:br/>
            </w:r>
            <w:r w:rsidRPr="00E5372F">
              <w:rPr>
                <w:b/>
                <w:bCs/>
              </w:rPr>
              <w:lastRenderedPageBreak/>
              <w:t>decrease</w:t>
            </w:r>
            <w:r w:rsidR="0043481D" w:rsidRPr="00E5372F">
              <w:rPr>
                <w:b/>
                <w:bCs/>
              </w:rPr>
              <w:t xml:space="preserve"> between 2017 and 2037</w:t>
            </w:r>
          </w:p>
        </w:tc>
        <w:tc>
          <w:tcPr>
            <w:tcW w:w="1843" w:type="dxa"/>
            <w:tcBorders>
              <w:top w:val="single" w:sz="4" w:space="0" w:color="auto"/>
              <w:left w:val="nil"/>
              <w:bottom w:val="single" w:sz="4" w:space="0" w:color="auto"/>
              <w:right w:val="single" w:sz="12" w:space="0" w:color="auto"/>
            </w:tcBorders>
            <w:shd w:val="clear" w:color="auto" w:fill="000000"/>
            <w:noWrap/>
            <w:vAlign w:val="center"/>
          </w:tcPr>
          <w:p w14:paraId="427E3C6F" w14:textId="20424E3A" w:rsidR="00CE65E0" w:rsidRPr="00E5372F" w:rsidRDefault="00CE65E0" w:rsidP="00CE65E0">
            <w:pPr>
              <w:rPr>
                <w:b/>
                <w:bCs/>
                <w:color w:val="FFFFFF"/>
              </w:rPr>
            </w:pPr>
            <w:r w:rsidRPr="00E5372F">
              <w:rPr>
                <w:b/>
                <w:bCs/>
              </w:rPr>
              <w:lastRenderedPageBreak/>
              <w:t>% Compound Annual Growth</w:t>
            </w:r>
            <w:r w:rsidR="0043481D" w:rsidRPr="00E5372F">
              <w:rPr>
                <w:b/>
                <w:bCs/>
              </w:rPr>
              <w:t xml:space="preserve"> in </w:t>
            </w:r>
            <w:r w:rsidR="0043481D" w:rsidRPr="00E5372F">
              <w:rPr>
                <w:b/>
                <w:bCs/>
              </w:rPr>
              <w:lastRenderedPageBreak/>
              <w:t>employment between 2017 and 2037</w:t>
            </w:r>
          </w:p>
        </w:tc>
      </w:tr>
      <w:tr w:rsidR="00CE65E0" w:rsidRPr="00CE65E0" w14:paraId="16EB4B9B"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C98D498" w14:textId="77777777" w:rsidR="00CE65E0" w:rsidRPr="00CE65E0" w:rsidRDefault="00CE65E0" w:rsidP="00CE65E0">
            <w:pPr>
              <w:rPr>
                <w:bCs/>
                <w:color w:val="000000"/>
                <w:lang w:eastAsia="en-GB"/>
              </w:rPr>
            </w:pPr>
            <w:r w:rsidRPr="00CE65E0">
              <w:rPr>
                <w:bCs/>
                <w:color w:val="000000"/>
                <w:lang w:eastAsia="en-GB"/>
              </w:rPr>
              <w:lastRenderedPageBreak/>
              <w:t>Construction</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20C7E6" w14:textId="77777777" w:rsidR="00CE65E0" w:rsidRPr="00CE65E0" w:rsidRDefault="00CE65E0" w:rsidP="00CE65E0">
            <w:pPr>
              <w:rPr>
                <w:lang w:eastAsia="en-GB"/>
              </w:rPr>
            </w:pPr>
            <w:r w:rsidRPr="00CE65E0">
              <w:rPr>
                <w:lang w:eastAsia="en-GB"/>
              </w:rPr>
              <w:t>£1,515m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0AA1A5FD" w14:textId="77777777" w:rsidR="00CE65E0" w:rsidRPr="00CE65E0" w:rsidRDefault="00CE65E0" w:rsidP="00CE65E0">
            <w:pPr>
              <w:rPr>
                <w:lang w:eastAsia="en-GB"/>
              </w:rPr>
            </w:pPr>
            <w:r w:rsidRPr="00CE65E0">
              <w:rPr>
                <w:lang w:eastAsia="en-GB"/>
              </w:rPr>
              <w:t>1.7%</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698FCE" w14:textId="77777777" w:rsidR="00CE65E0" w:rsidRPr="00CE65E0" w:rsidRDefault="00CE65E0" w:rsidP="00CE65E0">
            <w:pPr>
              <w:rPr>
                <w:lang w:eastAsia="en-GB"/>
              </w:rPr>
            </w:pPr>
            <w:r w:rsidRPr="00CE65E0">
              <w:rPr>
                <w:lang w:eastAsia="en-GB"/>
              </w:rPr>
              <w:t>29,000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4ABEDB2E" w14:textId="77777777" w:rsidR="00CE65E0" w:rsidRPr="00CE65E0" w:rsidRDefault="00CE65E0" w:rsidP="00CE65E0">
            <w:pPr>
              <w:rPr>
                <w:lang w:eastAsia="en-GB"/>
              </w:rPr>
            </w:pPr>
            <w:r w:rsidRPr="00CE65E0">
              <w:rPr>
                <w:lang w:eastAsia="en-GB"/>
              </w:rPr>
              <w:t>1.5%</w:t>
            </w:r>
          </w:p>
        </w:tc>
      </w:tr>
      <w:tr w:rsidR="00CE65E0" w:rsidRPr="00CE65E0" w14:paraId="1A827AC8"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BC02F41" w14:textId="77777777" w:rsidR="00CE65E0" w:rsidRPr="00CE65E0" w:rsidRDefault="00CE65E0" w:rsidP="00CE65E0">
            <w:pPr>
              <w:rPr>
                <w:bCs/>
                <w:color w:val="000000"/>
                <w:lang w:eastAsia="en-GB"/>
              </w:rPr>
            </w:pPr>
            <w:r w:rsidRPr="00CE65E0">
              <w:rPr>
                <w:bCs/>
                <w:color w:val="000000"/>
                <w:lang w:eastAsia="en-GB"/>
              </w:rPr>
              <w:t>Manufacturing</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E1C86C" w14:textId="77777777" w:rsidR="00CE65E0" w:rsidRPr="00CE65E0" w:rsidRDefault="00CE65E0" w:rsidP="00CE65E0">
            <w:pPr>
              <w:rPr>
                <w:lang w:eastAsia="en-GB"/>
              </w:rPr>
            </w:pPr>
            <w:r w:rsidRPr="00CE65E0">
              <w:rPr>
                <w:lang w:eastAsia="en-GB"/>
              </w:rPr>
              <w:t>£2,652m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ED2C215" w14:textId="77777777" w:rsidR="00CE65E0" w:rsidRPr="00CE65E0" w:rsidRDefault="00CE65E0" w:rsidP="00CE65E0">
            <w:pPr>
              <w:rPr>
                <w:lang w:eastAsia="en-GB"/>
              </w:rPr>
            </w:pPr>
            <w:r w:rsidRPr="00CE65E0">
              <w:rPr>
                <w:lang w:eastAsia="en-GB"/>
              </w:rPr>
              <w:t>1.5%</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6C7A5F" w14:textId="77777777" w:rsidR="00CE65E0" w:rsidRPr="00CE65E0" w:rsidRDefault="00CE65E0" w:rsidP="00CE65E0">
            <w:pPr>
              <w:rPr>
                <w:lang w:eastAsia="en-GB"/>
              </w:rPr>
            </w:pPr>
            <w:r w:rsidRPr="00CE65E0">
              <w:rPr>
                <w:lang w:eastAsia="en-GB"/>
              </w:rPr>
              <w:t>-20,600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0A9F40B8" w14:textId="77777777" w:rsidR="00CE65E0" w:rsidRPr="00CE65E0" w:rsidRDefault="00CE65E0" w:rsidP="00CE65E0">
            <w:pPr>
              <w:rPr>
                <w:lang w:eastAsia="en-GB"/>
              </w:rPr>
            </w:pPr>
            <w:r w:rsidRPr="00CE65E0">
              <w:rPr>
                <w:lang w:eastAsia="en-GB"/>
              </w:rPr>
              <w:t>-0.9%</w:t>
            </w:r>
          </w:p>
        </w:tc>
      </w:tr>
      <w:tr w:rsidR="00CE65E0" w:rsidRPr="00CE65E0" w14:paraId="42600266"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AAD1D61" w14:textId="77777777" w:rsidR="00CE65E0" w:rsidRPr="00CE65E0" w:rsidRDefault="00CE65E0" w:rsidP="00CE65E0">
            <w:pPr>
              <w:rPr>
                <w:bCs/>
                <w:color w:val="000000"/>
                <w:lang w:eastAsia="en-GB"/>
              </w:rPr>
            </w:pPr>
            <w:r w:rsidRPr="00CE65E0">
              <w:rPr>
                <w:bCs/>
                <w:color w:val="000000"/>
                <w:lang w:eastAsia="en-GB"/>
              </w:rPr>
              <w:t>Logistics (transport and storage)</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4CDA17" w14:textId="77777777" w:rsidR="00CE65E0" w:rsidRPr="00CE65E0" w:rsidRDefault="00CE65E0" w:rsidP="00CE65E0">
            <w:pPr>
              <w:rPr>
                <w:lang w:eastAsia="en-GB"/>
              </w:rPr>
            </w:pPr>
            <w:r w:rsidRPr="00CE65E0">
              <w:rPr>
                <w:lang w:eastAsia="en-GB"/>
              </w:rPr>
              <w:t>£2,032m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6557ABF9" w14:textId="77777777" w:rsidR="00CE65E0" w:rsidRPr="00CE65E0" w:rsidRDefault="00CE65E0" w:rsidP="00CE65E0">
            <w:pPr>
              <w:rPr>
                <w:lang w:eastAsia="en-GB"/>
              </w:rPr>
            </w:pPr>
            <w:r w:rsidRPr="00CE65E0">
              <w:rPr>
                <w:lang w:eastAsia="en-GB"/>
              </w:rPr>
              <w:t>2.4%</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6D66F7" w14:textId="77777777" w:rsidR="00CE65E0" w:rsidRPr="00CE65E0" w:rsidRDefault="00CE65E0" w:rsidP="00CE65E0">
            <w:pPr>
              <w:rPr>
                <w:lang w:eastAsia="en-GB"/>
              </w:rPr>
            </w:pPr>
            <w:r w:rsidRPr="00CE65E0">
              <w:rPr>
                <w:lang w:eastAsia="en-GB"/>
              </w:rPr>
              <w:t>20,900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53140711" w14:textId="77777777" w:rsidR="00CE65E0" w:rsidRPr="00CE65E0" w:rsidRDefault="00CE65E0" w:rsidP="00CE65E0">
            <w:pPr>
              <w:rPr>
                <w:lang w:eastAsia="en-GB"/>
              </w:rPr>
            </w:pPr>
            <w:r w:rsidRPr="00CE65E0">
              <w:rPr>
                <w:lang w:eastAsia="en-GB"/>
              </w:rPr>
              <w:t>1.1%</w:t>
            </w:r>
          </w:p>
        </w:tc>
      </w:tr>
      <w:tr w:rsidR="00CE65E0" w:rsidRPr="00CE65E0" w14:paraId="103345C0"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848DA1E" w14:textId="77777777" w:rsidR="00CE65E0" w:rsidRPr="00CE65E0" w:rsidRDefault="00CE65E0" w:rsidP="00CE65E0">
            <w:pPr>
              <w:rPr>
                <w:bCs/>
                <w:color w:val="000000"/>
                <w:lang w:eastAsia="en-GB"/>
              </w:rPr>
            </w:pPr>
            <w:r w:rsidRPr="00CE65E0">
              <w:rPr>
                <w:bCs/>
                <w:color w:val="000000"/>
                <w:lang w:eastAsia="en-GB"/>
              </w:rPr>
              <w:t>Wholesale and retail</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E4B3A7" w14:textId="77777777" w:rsidR="00CE65E0" w:rsidRPr="00CE65E0" w:rsidRDefault="00CE65E0" w:rsidP="00CE65E0">
            <w:pPr>
              <w:rPr>
                <w:lang w:eastAsia="en-GB"/>
              </w:rPr>
            </w:pPr>
            <w:r w:rsidRPr="00CE65E0">
              <w:rPr>
                <w:lang w:eastAsia="en-GB"/>
              </w:rPr>
              <w:t>£4,048m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69CCBFCB" w14:textId="77777777" w:rsidR="00CE65E0" w:rsidRPr="00CE65E0" w:rsidRDefault="00CE65E0" w:rsidP="00CE65E0">
            <w:pPr>
              <w:rPr>
                <w:lang w:eastAsia="en-GB"/>
              </w:rPr>
            </w:pPr>
            <w:r w:rsidRPr="00CE65E0">
              <w:rPr>
                <w:lang w:eastAsia="en-GB"/>
              </w:rPr>
              <w:t>2.3%</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EE6BC70" w14:textId="77777777" w:rsidR="00CE65E0" w:rsidRPr="00CE65E0" w:rsidRDefault="00CE65E0" w:rsidP="00CE65E0">
            <w:pPr>
              <w:rPr>
                <w:lang w:eastAsia="en-GB"/>
              </w:rPr>
            </w:pPr>
            <w:r w:rsidRPr="00CE65E0">
              <w:rPr>
                <w:lang w:eastAsia="en-GB"/>
              </w:rPr>
              <w:t>26,800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24D811E5" w14:textId="77777777" w:rsidR="00CE65E0" w:rsidRPr="00CE65E0" w:rsidRDefault="00CE65E0" w:rsidP="00CE65E0">
            <w:pPr>
              <w:rPr>
                <w:lang w:eastAsia="en-GB"/>
              </w:rPr>
            </w:pPr>
            <w:r w:rsidRPr="00CE65E0">
              <w:rPr>
                <w:lang w:eastAsia="en-GB"/>
              </w:rPr>
              <w:t>0.6%</w:t>
            </w:r>
          </w:p>
        </w:tc>
      </w:tr>
      <w:tr w:rsidR="00CE65E0" w:rsidRPr="00CE65E0" w14:paraId="44BDFB7D"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A079C23" w14:textId="77777777" w:rsidR="00CE65E0" w:rsidRPr="00CE65E0" w:rsidRDefault="00CE65E0" w:rsidP="00CE65E0">
            <w:pPr>
              <w:rPr>
                <w:bCs/>
                <w:color w:val="000000"/>
                <w:lang w:eastAsia="en-GB"/>
              </w:rPr>
            </w:pPr>
            <w:r w:rsidRPr="00CE65E0">
              <w:rPr>
                <w:bCs/>
                <w:color w:val="000000"/>
                <w:lang w:eastAsia="en-GB"/>
              </w:rPr>
              <w:t>Personal services</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FDA5D6" w14:textId="77777777" w:rsidR="00CE65E0" w:rsidRPr="00CE65E0" w:rsidRDefault="00CE65E0" w:rsidP="00CE65E0">
            <w:pPr>
              <w:rPr>
                <w:lang w:eastAsia="en-GB"/>
              </w:rPr>
            </w:pPr>
            <w:r w:rsidRPr="00CE65E0">
              <w:rPr>
                <w:lang w:eastAsia="en-GB"/>
              </w:rPr>
              <w:t>£394m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0DCFC249" w14:textId="77777777" w:rsidR="00CE65E0" w:rsidRPr="00CE65E0" w:rsidRDefault="00CE65E0" w:rsidP="00CE65E0">
            <w:pPr>
              <w:rPr>
                <w:lang w:eastAsia="en-GB"/>
              </w:rPr>
            </w:pPr>
            <w:r w:rsidRPr="00CE65E0">
              <w:rPr>
                <w:lang w:eastAsia="en-GB"/>
              </w:rPr>
              <w:t>1.7%</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5D1F31" w14:textId="77777777" w:rsidR="00CE65E0" w:rsidRPr="00CE65E0" w:rsidRDefault="00CE65E0" w:rsidP="00CE65E0">
            <w:pPr>
              <w:rPr>
                <w:lang w:eastAsia="en-GB"/>
              </w:rPr>
            </w:pPr>
            <w:r w:rsidRPr="00CE65E0">
              <w:rPr>
                <w:lang w:eastAsia="en-GB"/>
              </w:rPr>
              <w:t>6,900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6D828F3D" w14:textId="77777777" w:rsidR="00CE65E0" w:rsidRPr="00CE65E0" w:rsidRDefault="00CE65E0" w:rsidP="00CE65E0">
            <w:pPr>
              <w:rPr>
                <w:lang w:eastAsia="en-GB"/>
              </w:rPr>
            </w:pPr>
            <w:r w:rsidRPr="00CE65E0">
              <w:rPr>
                <w:lang w:eastAsia="en-GB"/>
              </w:rPr>
              <w:t>1.2%</w:t>
            </w:r>
          </w:p>
        </w:tc>
      </w:tr>
      <w:tr w:rsidR="00CE65E0" w:rsidRPr="00CE65E0" w14:paraId="02EEE9DB"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765CCA4" w14:textId="77777777" w:rsidR="00CE65E0" w:rsidRPr="00CE65E0" w:rsidRDefault="00CE65E0" w:rsidP="00CE65E0">
            <w:pPr>
              <w:rPr>
                <w:bCs/>
                <w:color w:val="000000"/>
                <w:lang w:eastAsia="en-GB"/>
              </w:rPr>
            </w:pPr>
            <w:r w:rsidRPr="00CE65E0">
              <w:rPr>
                <w:bCs/>
                <w:color w:val="000000"/>
                <w:lang w:eastAsia="en-GB"/>
              </w:rPr>
              <w:t>Business, financial, professional services</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688E70" w14:textId="77777777" w:rsidR="00CE65E0" w:rsidRPr="00CE65E0" w:rsidRDefault="00CE65E0" w:rsidP="00CE65E0">
            <w:pPr>
              <w:rPr>
                <w:lang w:eastAsia="en-GB"/>
              </w:rPr>
            </w:pPr>
            <w:r w:rsidRPr="00CE65E0">
              <w:rPr>
                <w:lang w:eastAsia="en-GB"/>
              </w:rPr>
              <w:t>£16,516m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712D36E0" w14:textId="77777777" w:rsidR="00CE65E0" w:rsidRPr="00CE65E0" w:rsidRDefault="00CE65E0" w:rsidP="00CE65E0">
            <w:pPr>
              <w:rPr>
                <w:lang w:eastAsia="en-GB"/>
              </w:rPr>
            </w:pPr>
            <w:r w:rsidRPr="00CE65E0">
              <w:rPr>
                <w:lang w:eastAsia="en-GB"/>
              </w:rPr>
              <w:t>2.5%</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E9F278F" w14:textId="77777777" w:rsidR="00CE65E0" w:rsidRPr="00CE65E0" w:rsidRDefault="00CE65E0" w:rsidP="00CE65E0">
            <w:pPr>
              <w:rPr>
                <w:lang w:eastAsia="en-GB"/>
              </w:rPr>
            </w:pPr>
            <w:r w:rsidRPr="00CE65E0">
              <w:rPr>
                <w:lang w:eastAsia="en-GB"/>
              </w:rPr>
              <w:t>100,300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6ABD8046" w14:textId="77777777" w:rsidR="00CE65E0" w:rsidRPr="00CE65E0" w:rsidRDefault="00CE65E0" w:rsidP="00CE65E0">
            <w:pPr>
              <w:rPr>
                <w:lang w:eastAsia="en-GB"/>
              </w:rPr>
            </w:pPr>
            <w:r w:rsidRPr="00CE65E0">
              <w:rPr>
                <w:lang w:eastAsia="en-GB"/>
              </w:rPr>
              <w:t>1.4%</w:t>
            </w:r>
          </w:p>
        </w:tc>
      </w:tr>
      <w:tr w:rsidR="00CE65E0" w:rsidRPr="00CE65E0" w14:paraId="0785728B"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28E23AB" w14:textId="77777777" w:rsidR="00CE65E0" w:rsidRPr="00CE65E0" w:rsidRDefault="00CE65E0" w:rsidP="00CE65E0">
            <w:pPr>
              <w:rPr>
                <w:bCs/>
                <w:color w:val="000000"/>
                <w:lang w:eastAsia="en-GB"/>
              </w:rPr>
            </w:pPr>
            <w:r w:rsidRPr="00CE65E0">
              <w:rPr>
                <w:bCs/>
                <w:color w:val="000000"/>
                <w:lang w:eastAsia="en-GB"/>
              </w:rPr>
              <w:t>Creative and digital industries</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FB17F0" w14:textId="77777777" w:rsidR="00CE65E0" w:rsidRPr="00CE65E0" w:rsidRDefault="00CE65E0" w:rsidP="00CE65E0">
            <w:pPr>
              <w:rPr>
                <w:lang w:eastAsia="en-GB"/>
              </w:rPr>
            </w:pPr>
            <w:r w:rsidRPr="00CE65E0">
              <w:rPr>
                <w:lang w:eastAsia="en-GB"/>
              </w:rPr>
              <w:t>£4,523m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58D2213C" w14:textId="77777777" w:rsidR="00CE65E0" w:rsidRPr="00CE65E0" w:rsidRDefault="00CE65E0" w:rsidP="00CE65E0">
            <w:pPr>
              <w:rPr>
                <w:lang w:eastAsia="en-GB"/>
              </w:rPr>
            </w:pPr>
            <w:r w:rsidRPr="00CE65E0">
              <w:rPr>
                <w:lang w:eastAsia="en-GB"/>
              </w:rPr>
              <w:t>3.6%</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51ECD7" w14:textId="77777777" w:rsidR="00CE65E0" w:rsidRPr="00CE65E0" w:rsidRDefault="00CE65E0" w:rsidP="00CE65E0">
            <w:pPr>
              <w:rPr>
                <w:lang w:eastAsia="en-GB"/>
              </w:rPr>
            </w:pPr>
            <w:r w:rsidRPr="00CE65E0">
              <w:rPr>
                <w:lang w:eastAsia="en-GB"/>
              </w:rPr>
              <w:t>18,600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31F7B91E" w14:textId="77777777" w:rsidR="00CE65E0" w:rsidRPr="00CE65E0" w:rsidRDefault="00CE65E0" w:rsidP="00CE65E0">
            <w:pPr>
              <w:rPr>
                <w:lang w:eastAsia="en-GB"/>
              </w:rPr>
            </w:pPr>
            <w:r w:rsidRPr="00CE65E0">
              <w:rPr>
                <w:lang w:eastAsia="en-GB"/>
              </w:rPr>
              <w:t>1.0%</w:t>
            </w:r>
          </w:p>
        </w:tc>
      </w:tr>
      <w:tr w:rsidR="00CE65E0" w:rsidRPr="00CE65E0" w14:paraId="23CBF7A3"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587EC47" w14:textId="77777777" w:rsidR="00CE65E0" w:rsidRPr="00CE65E0" w:rsidRDefault="00CE65E0" w:rsidP="00CE65E0">
            <w:pPr>
              <w:rPr>
                <w:bCs/>
                <w:color w:val="000000"/>
                <w:lang w:eastAsia="en-GB"/>
              </w:rPr>
            </w:pPr>
            <w:r w:rsidRPr="00CE65E0">
              <w:rPr>
                <w:bCs/>
                <w:color w:val="000000"/>
                <w:lang w:eastAsia="en-GB"/>
              </w:rPr>
              <w:t xml:space="preserve">Hospitality, </w:t>
            </w:r>
            <w:proofErr w:type="gramStart"/>
            <w:r w:rsidRPr="00CE65E0">
              <w:rPr>
                <w:bCs/>
                <w:color w:val="000000"/>
                <w:lang w:eastAsia="en-GB"/>
              </w:rPr>
              <w:t>tourism</w:t>
            </w:r>
            <w:proofErr w:type="gramEnd"/>
            <w:r w:rsidRPr="00CE65E0">
              <w:rPr>
                <w:bCs/>
                <w:color w:val="000000"/>
                <w:lang w:eastAsia="en-GB"/>
              </w:rPr>
              <w:t xml:space="preserve"> and sport</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8038F5" w14:textId="77777777" w:rsidR="00CE65E0" w:rsidRPr="00CE65E0" w:rsidRDefault="00CE65E0" w:rsidP="00CE65E0">
            <w:pPr>
              <w:rPr>
                <w:lang w:eastAsia="en-GB"/>
              </w:rPr>
            </w:pPr>
            <w:r w:rsidRPr="00CE65E0">
              <w:rPr>
                <w:lang w:eastAsia="en-GB"/>
              </w:rPr>
              <w:t>£1,770m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5415EEB0" w14:textId="77777777" w:rsidR="00CE65E0" w:rsidRPr="00CE65E0" w:rsidRDefault="00CE65E0" w:rsidP="00CE65E0">
            <w:pPr>
              <w:rPr>
                <w:lang w:eastAsia="en-GB"/>
              </w:rPr>
            </w:pPr>
            <w:r w:rsidRPr="00CE65E0">
              <w:rPr>
                <w:lang w:eastAsia="en-GB"/>
              </w:rPr>
              <w:t>2.3%</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72AE0D" w14:textId="77777777" w:rsidR="00CE65E0" w:rsidRPr="00CE65E0" w:rsidRDefault="00CE65E0" w:rsidP="00CE65E0">
            <w:pPr>
              <w:rPr>
                <w:lang w:eastAsia="en-GB"/>
              </w:rPr>
            </w:pPr>
            <w:r w:rsidRPr="00CE65E0">
              <w:rPr>
                <w:lang w:eastAsia="en-GB"/>
              </w:rPr>
              <w:t>27,300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128C19F1" w14:textId="77777777" w:rsidR="00CE65E0" w:rsidRPr="00CE65E0" w:rsidRDefault="00CE65E0" w:rsidP="00CE65E0">
            <w:pPr>
              <w:rPr>
                <w:lang w:eastAsia="en-GB"/>
              </w:rPr>
            </w:pPr>
            <w:r w:rsidRPr="00CE65E0">
              <w:rPr>
                <w:lang w:eastAsia="en-GB"/>
              </w:rPr>
              <w:t>1.1%</w:t>
            </w:r>
          </w:p>
        </w:tc>
      </w:tr>
      <w:tr w:rsidR="00CE65E0" w:rsidRPr="00CE65E0" w14:paraId="5597FD1E"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2E7EDD2" w14:textId="77777777" w:rsidR="00CE65E0" w:rsidRPr="00CE65E0" w:rsidRDefault="00CE65E0" w:rsidP="00CE65E0">
            <w:pPr>
              <w:rPr>
                <w:bCs/>
                <w:color w:val="000000"/>
                <w:lang w:eastAsia="en-GB"/>
              </w:rPr>
            </w:pPr>
            <w:r w:rsidRPr="00CE65E0">
              <w:rPr>
                <w:bCs/>
                <w:color w:val="000000"/>
                <w:lang w:eastAsia="en-GB"/>
              </w:rPr>
              <w:t>Education</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9B87AC" w14:textId="77777777" w:rsidR="00CE65E0" w:rsidRPr="00CE65E0" w:rsidRDefault="00CE65E0" w:rsidP="00CE65E0">
            <w:pPr>
              <w:rPr>
                <w:lang w:eastAsia="en-GB"/>
              </w:rPr>
            </w:pPr>
            <w:r w:rsidRPr="00CE65E0">
              <w:rPr>
                <w:lang w:eastAsia="en-GB"/>
              </w:rPr>
              <w:t>£481m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7B0D163" w14:textId="77777777" w:rsidR="00CE65E0" w:rsidRPr="00CE65E0" w:rsidRDefault="00CE65E0" w:rsidP="00CE65E0">
            <w:pPr>
              <w:rPr>
                <w:lang w:eastAsia="en-GB"/>
              </w:rPr>
            </w:pPr>
            <w:r w:rsidRPr="00CE65E0">
              <w:rPr>
                <w:lang w:eastAsia="en-GB"/>
              </w:rPr>
              <w:t>0.5%</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5D9F33" w14:textId="77777777" w:rsidR="00CE65E0" w:rsidRPr="00CE65E0" w:rsidRDefault="00CE65E0" w:rsidP="00CE65E0">
            <w:pPr>
              <w:rPr>
                <w:lang w:eastAsia="en-GB"/>
              </w:rPr>
            </w:pPr>
            <w:r w:rsidRPr="00CE65E0">
              <w:rPr>
                <w:lang w:eastAsia="en-GB"/>
              </w:rPr>
              <w:t>12,700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53B1585E" w14:textId="77777777" w:rsidR="00CE65E0" w:rsidRPr="00CE65E0" w:rsidRDefault="00CE65E0" w:rsidP="00CE65E0">
            <w:pPr>
              <w:rPr>
                <w:lang w:eastAsia="en-GB"/>
              </w:rPr>
            </w:pPr>
            <w:r w:rsidRPr="00CE65E0">
              <w:rPr>
                <w:lang w:eastAsia="en-GB"/>
              </w:rPr>
              <w:t>0.5%</w:t>
            </w:r>
          </w:p>
        </w:tc>
      </w:tr>
      <w:tr w:rsidR="00CE65E0" w:rsidRPr="00CE65E0" w14:paraId="2B72EB83" w14:textId="77777777" w:rsidTr="00E5372F">
        <w:trPr>
          <w:trHeight w:val="284"/>
        </w:trPr>
        <w:tc>
          <w:tcPr>
            <w:tcW w:w="268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2D6421D" w14:textId="77777777" w:rsidR="00CE65E0" w:rsidRPr="00CE65E0" w:rsidRDefault="00CE65E0" w:rsidP="00CE65E0">
            <w:pPr>
              <w:rPr>
                <w:bCs/>
                <w:color w:val="000000"/>
                <w:lang w:eastAsia="en-GB"/>
              </w:rPr>
            </w:pPr>
            <w:r w:rsidRPr="00CE65E0">
              <w:rPr>
                <w:bCs/>
                <w:color w:val="000000"/>
                <w:lang w:eastAsia="en-GB"/>
              </w:rPr>
              <w:t>Health and social care</w:t>
            </w:r>
          </w:p>
        </w:tc>
        <w:tc>
          <w:tcPr>
            <w:tcW w:w="198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B320B0" w14:textId="77777777" w:rsidR="00CE65E0" w:rsidRPr="00CE65E0" w:rsidRDefault="00CE65E0" w:rsidP="00CE65E0">
            <w:pPr>
              <w:rPr>
                <w:lang w:eastAsia="en-GB"/>
              </w:rPr>
            </w:pPr>
            <w:r w:rsidRPr="00CE65E0">
              <w:rPr>
                <w:lang w:eastAsia="en-GB"/>
              </w:rPr>
              <w:t>£3,556m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62F9C4B8" w14:textId="77777777" w:rsidR="00CE65E0" w:rsidRPr="00CE65E0" w:rsidRDefault="00CE65E0" w:rsidP="00CE65E0">
            <w:pPr>
              <w:rPr>
                <w:lang w:eastAsia="en-GB"/>
              </w:rPr>
            </w:pPr>
            <w:r w:rsidRPr="00CE65E0">
              <w:rPr>
                <w:lang w:eastAsia="en-GB"/>
              </w:rPr>
              <w:t>2.3%</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FCBD4F" w14:textId="77777777" w:rsidR="00CE65E0" w:rsidRPr="00CE65E0" w:rsidRDefault="00CE65E0" w:rsidP="00CE65E0">
            <w:pPr>
              <w:rPr>
                <w:lang w:eastAsia="en-GB"/>
              </w:rPr>
            </w:pPr>
            <w:r w:rsidRPr="00CE65E0">
              <w:rPr>
                <w:lang w:eastAsia="en-GB"/>
              </w:rPr>
              <w:t>37,700</w:t>
            </w:r>
          </w:p>
        </w:tc>
        <w:tc>
          <w:tcPr>
            <w:tcW w:w="1843" w:type="dxa"/>
            <w:tcBorders>
              <w:top w:val="single" w:sz="4" w:space="0" w:color="auto"/>
              <w:left w:val="nil"/>
              <w:bottom w:val="single" w:sz="4" w:space="0" w:color="auto"/>
              <w:right w:val="single" w:sz="12" w:space="0" w:color="auto"/>
            </w:tcBorders>
            <w:shd w:val="clear" w:color="auto" w:fill="auto"/>
            <w:noWrap/>
            <w:vAlign w:val="center"/>
          </w:tcPr>
          <w:p w14:paraId="54F739D8" w14:textId="77777777" w:rsidR="00CE65E0" w:rsidRPr="00CE65E0" w:rsidRDefault="00CE65E0" w:rsidP="00CE65E0">
            <w:pPr>
              <w:rPr>
                <w:lang w:eastAsia="en-GB"/>
              </w:rPr>
            </w:pPr>
            <w:r w:rsidRPr="00CE65E0">
              <w:rPr>
                <w:lang w:eastAsia="en-GB"/>
              </w:rPr>
              <w:t>0.9%</w:t>
            </w:r>
          </w:p>
        </w:tc>
      </w:tr>
      <w:tr w:rsidR="00CE65E0" w:rsidRPr="00CE65E0" w14:paraId="0241B189" w14:textId="77777777" w:rsidTr="00E5372F">
        <w:trPr>
          <w:trHeight w:val="284"/>
        </w:trPr>
        <w:tc>
          <w:tcPr>
            <w:tcW w:w="2684"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72C1C479" w14:textId="77777777" w:rsidR="00CE65E0" w:rsidRPr="00CE65E0" w:rsidRDefault="00CE65E0" w:rsidP="00CE65E0">
            <w:pPr>
              <w:rPr>
                <w:bCs/>
                <w:color w:val="000000"/>
                <w:lang w:eastAsia="en-GB"/>
              </w:rPr>
            </w:pPr>
            <w:r w:rsidRPr="00CE65E0">
              <w:rPr>
                <w:bCs/>
                <w:color w:val="000000"/>
                <w:lang w:eastAsia="en-GB"/>
              </w:rPr>
              <w:t>Public administration</w:t>
            </w:r>
          </w:p>
        </w:tc>
        <w:tc>
          <w:tcPr>
            <w:tcW w:w="198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9B4587" w14:textId="77777777" w:rsidR="00CE65E0" w:rsidRPr="00CE65E0" w:rsidRDefault="00CE65E0" w:rsidP="00CE65E0">
            <w:pPr>
              <w:rPr>
                <w:lang w:eastAsia="en-GB"/>
              </w:rPr>
            </w:pPr>
            <w:r w:rsidRPr="00CE65E0">
              <w:rPr>
                <w:lang w:eastAsia="en-GB"/>
              </w:rPr>
              <w:t>£220m</w:t>
            </w:r>
          </w:p>
        </w:tc>
        <w:tc>
          <w:tcPr>
            <w:tcW w:w="1842" w:type="dxa"/>
            <w:tcBorders>
              <w:top w:val="single" w:sz="4" w:space="0" w:color="auto"/>
              <w:left w:val="nil"/>
              <w:bottom w:val="single" w:sz="12" w:space="0" w:color="auto"/>
              <w:right w:val="single" w:sz="12" w:space="0" w:color="auto"/>
            </w:tcBorders>
            <w:shd w:val="clear" w:color="auto" w:fill="auto"/>
            <w:noWrap/>
            <w:vAlign w:val="center"/>
          </w:tcPr>
          <w:p w14:paraId="75C71159" w14:textId="77777777" w:rsidR="00CE65E0" w:rsidRPr="00CE65E0" w:rsidRDefault="00CE65E0" w:rsidP="00CE65E0">
            <w:pPr>
              <w:rPr>
                <w:lang w:eastAsia="en-GB"/>
              </w:rPr>
            </w:pPr>
            <w:r w:rsidRPr="00CE65E0">
              <w:rPr>
                <w:lang w:eastAsia="en-GB"/>
              </w:rPr>
              <w:t>0.4%</w:t>
            </w:r>
          </w:p>
        </w:tc>
        <w:tc>
          <w:tcPr>
            <w:tcW w:w="1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0F18435" w14:textId="77777777" w:rsidR="00CE65E0" w:rsidRPr="00CE65E0" w:rsidRDefault="00CE65E0" w:rsidP="00CE65E0">
            <w:pPr>
              <w:rPr>
                <w:lang w:eastAsia="en-GB"/>
              </w:rPr>
            </w:pPr>
            <w:r w:rsidRPr="00CE65E0">
              <w:rPr>
                <w:lang w:eastAsia="en-GB"/>
              </w:rPr>
              <w:t>300</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7C69CF46" w14:textId="77777777" w:rsidR="00CE65E0" w:rsidRPr="00CE65E0" w:rsidRDefault="00CE65E0" w:rsidP="00CE65E0">
            <w:pPr>
              <w:rPr>
                <w:lang w:eastAsia="en-GB"/>
              </w:rPr>
            </w:pPr>
            <w:r w:rsidRPr="00CE65E0">
              <w:rPr>
                <w:lang w:eastAsia="en-GB"/>
              </w:rPr>
              <w:t>0.0%</w:t>
            </w:r>
          </w:p>
        </w:tc>
      </w:tr>
    </w:tbl>
    <w:p w14:paraId="75147641" w14:textId="2D09A4CF" w:rsidR="00E5372F" w:rsidRDefault="00E5372F">
      <w:pPr>
        <w:rPr>
          <w:i/>
        </w:rPr>
      </w:pPr>
      <w:r>
        <w:rPr>
          <w:i/>
        </w:rPr>
        <w:br w:type="page"/>
      </w:r>
    </w:p>
    <w:p w14:paraId="6ABC5FCB" w14:textId="16E8CC66" w:rsidR="00E5372F" w:rsidRDefault="003D0912" w:rsidP="00E5372F">
      <w:pPr>
        <w:pStyle w:val="Heading2"/>
      </w:pPr>
      <w:bookmarkStart w:id="2" w:name="_Toc73519677"/>
      <w:r>
        <w:lastRenderedPageBreak/>
        <w:t>2</w:t>
      </w:r>
      <w:r w:rsidR="00E5372F">
        <w:t>.</w:t>
      </w:r>
      <w:r w:rsidR="00E5372F">
        <w:tab/>
        <w:t>Introduction</w:t>
      </w:r>
      <w:bookmarkEnd w:id="2"/>
    </w:p>
    <w:p w14:paraId="57B3D566" w14:textId="77777777" w:rsidR="00E5372F" w:rsidRDefault="00E5372F" w:rsidP="00E5372F">
      <w:pPr>
        <w:pStyle w:val="Heading3"/>
      </w:pPr>
      <w:r>
        <w:t>Background</w:t>
      </w:r>
    </w:p>
    <w:p w14:paraId="290E7E0D" w14:textId="21FED3DB" w:rsidR="00E5372F" w:rsidRDefault="003D0912" w:rsidP="00E5372F">
      <w:r>
        <w:t>2</w:t>
      </w:r>
      <w:r w:rsidR="00E5372F">
        <w:t>.1.</w:t>
      </w:r>
      <w:r w:rsidR="00E5372F">
        <w:tab/>
        <w:t xml:space="preserve">Greater Manchester (GM) has consistently invested in developing a robust evidence base to inform strategy and policy development. Since 2005, a central part of this evidence base has been the Greater Manchester Forecasting Model (GMFM). </w:t>
      </w:r>
    </w:p>
    <w:p w14:paraId="2C0683F4" w14:textId="003C6853" w:rsidR="00E5372F" w:rsidRDefault="003D0912" w:rsidP="00E5372F">
      <w:r>
        <w:t>2</w:t>
      </w:r>
      <w:r w:rsidR="00E5372F">
        <w:t>.2.</w:t>
      </w:r>
      <w:r w:rsidR="00E5372F">
        <w:tab/>
        <w:t xml:space="preserve">Updated annually, the GMFM provides economic and demographic forecasts for GM local authorities and benchmark UK cities, regions, and nations. The GMFM has been produced by Oxford Economics (OE) since 2005, and is part of, and fully consistent with, their suite of global, national, and regional models. </w:t>
      </w:r>
    </w:p>
    <w:p w14:paraId="1100E935" w14:textId="0D5280D0" w:rsidR="00E5372F" w:rsidRDefault="003D0912" w:rsidP="00E5372F">
      <w:r>
        <w:t>2</w:t>
      </w:r>
      <w:r w:rsidR="00E5372F">
        <w:t>.3.</w:t>
      </w:r>
      <w:r w:rsidR="00E5372F">
        <w:tab/>
        <w:t xml:space="preserve">The main model outputs are a set of ‘baseline case’ forecasts (GMFM-2019) representing ‘business as usual’ - which </w:t>
      </w:r>
      <w:proofErr w:type="gramStart"/>
      <w:r w:rsidR="00E5372F">
        <w:t>take into account</w:t>
      </w:r>
      <w:proofErr w:type="gramEnd"/>
      <w:r w:rsidR="00E5372F">
        <w:t xml:space="preserve"> risks such as the UK’s long-term productivity challenge - and the modelled risks from Brexit</w:t>
      </w:r>
      <w:r w:rsidR="00E5372F">
        <w:rPr>
          <w:rStyle w:val="FootnoteReference"/>
        </w:rPr>
        <w:footnoteReference w:id="1"/>
      </w:r>
      <w:r w:rsidR="00E5372F">
        <w:t xml:space="preserve">.   </w:t>
      </w:r>
    </w:p>
    <w:p w14:paraId="6AFF4741" w14:textId="5D729C61" w:rsidR="00E5372F" w:rsidRDefault="003D0912" w:rsidP="00E5372F">
      <w:r>
        <w:t>2</w:t>
      </w:r>
      <w:r w:rsidR="00E5372F">
        <w:t>.4.</w:t>
      </w:r>
      <w:r w:rsidR="00E5372F">
        <w:tab/>
        <w:t>The GMFM includes the following main variables:</w:t>
      </w:r>
    </w:p>
    <w:p w14:paraId="5E5D80DF" w14:textId="72AB7BE6" w:rsidR="00E5372F" w:rsidRDefault="00E5372F" w:rsidP="009C6187">
      <w:pPr>
        <w:pStyle w:val="ListParagraph"/>
        <w:numPr>
          <w:ilvl w:val="0"/>
          <w:numId w:val="7"/>
        </w:numPr>
      </w:pPr>
      <w:r>
        <w:t>Total economic output, referred to as real-Gross Value Added (GVA)</w:t>
      </w:r>
      <w:r>
        <w:rPr>
          <w:rStyle w:val="FootnoteReference"/>
        </w:rPr>
        <w:footnoteReference w:id="2"/>
      </w:r>
      <w:r>
        <w:t xml:space="preserve">, which includes the profits and wages (less costs) of goods produced in </w:t>
      </w:r>
      <w:proofErr w:type="gramStart"/>
      <w:r>
        <w:t>GM;</w:t>
      </w:r>
      <w:proofErr w:type="gramEnd"/>
    </w:p>
    <w:p w14:paraId="4425D962" w14:textId="0B5FA1C2" w:rsidR="00E5372F" w:rsidRDefault="00E5372F" w:rsidP="009C6187">
      <w:pPr>
        <w:pStyle w:val="ListParagraph"/>
        <w:numPr>
          <w:ilvl w:val="0"/>
          <w:numId w:val="7"/>
        </w:numPr>
      </w:pPr>
      <w:r>
        <w:t xml:space="preserve">Total employment within GM, including employees and the self-employed, broken down by industry </w:t>
      </w:r>
      <w:proofErr w:type="gramStart"/>
      <w:r>
        <w:t>sector;</w:t>
      </w:r>
      <w:proofErr w:type="gramEnd"/>
    </w:p>
    <w:p w14:paraId="7B114D6E" w14:textId="40CF0AD9" w:rsidR="00E5372F" w:rsidRDefault="00E5372F" w:rsidP="009C6187">
      <w:pPr>
        <w:pStyle w:val="ListParagraph"/>
        <w:numPr>
          <w:ilvl w:val="0"/>
          <w:numId w:val="7"/>
        </w:numPr>
      </w:pPr>
      <w:r>
        <w:t xml:space="preserve">Productivity, calculated by dividing total economic output (GVA) by total </w:t>
      </w:r>
      <w:proofErr w:type="gramStart"/>
      <w:r>
        <w:t>employment;</w:t>
      </w:r>
      <w:proofErr w:type="gramEnd"/>
    </w:p>
    <w:p w14:paraId="61D46414" w14:textId="7585AFCE" w:rsidR="00E5372F" w:rsidRDefault="00E5372F" w:rsidP="009C6187">
      <w:pPr>
        <w:pStyle w:val="ListParagraph"/>
        <w:numPr>
          <w:ilvl w:val="0"/>
          <w:numId w:val="7"/>
        </w:numPr>
      </w:pPr>
      <w:r>
        <w:t>Resident employment and unemployment numbers and rates</w:t>
      </w:r>
    </w:p>
    <w:p w14:paraId="2C103B7E" w14:textId="3D08A61D" w:rsidR="00E5372F" w:rsidRDefault="00E5372F" w:rsidP="009C6187">
      <w:pPr>
        <w:pStyle w:val="ListParagraph"/>
        <w:numPr>
          <w:ilvl w:val="0"/>
          <w:numId w:val="7"/>
        </w:numPr>
      </w:pPr>
      <w:r>
        <w:t>Employment by main occupational group and highest level of qualification</w:t>
      </w:r>
    </w:p>
    <w:p w14:paraId="05C71DA7" w14:textId="7A0EFC7F" w:rsidR="00E5372F" w:rsidRDefault="00E5372F" w:rsidP="009C6187">
      <w:pPr>
        <w:pStyle w:val="ListParagraph"/>
        <w:numPr>
          <w:ilvl w:val="0"/>
          <w:numId w:val="7"/>
        </w:numPr>
      </w:pPr>
      <w:r>
        <w:t>Population, total and by broad age group; and net migration across all ages.</w:t>
      </w:r>
    </w:p>
    <w:p w14:paraId="42C95115" w14:textId="6586DC4E" w:rsidR="00E5372F" w:rsidRDefault="003D0912" w:rsidP="00E5372F">
      <w:r>
        <w:t>2</w:t>
      </w:r>
      <w:r w:rsidR="00E5372F">
        <w:t>.5.</w:t>
      </w:r>
      <w:r w:rsidR="00E5372F">
        <w:tab/>
        <w:t xml:space="preserve">The GMFM is the starting point for looking at scenarios or alternate futures. OE were commissioned to update the Accelerated Growth Scenario (AGS-2019) for GM. The AGS shows a future where improvements to the skills base, innovation, </w:t>
      </w:r>
      <w:r w:rsidR="00E5372F">
        <w:lastRenderedPageBreak/>
        <w:t>and transport boost GVA, employment, and productivity growth across the Northern Powerhouse. GM’s economy both drives, and benefits from, this growth.</w:t>
      </w:r>
    </w:p>
    <w:p w14:paraId="40385C0F" w14:textId="0685A2F5" w:rsidR="00E5372F" w:rsidRDefault="003D0912" w:rsidP="00E5372F">
      <w:r>
        <w:t>2</w:t>
      </w:r>
      <w:r w:rsidR="00E5372F">
        <w:t>.6.</w:t>
      </w:r>
      <w:r w:rsidR="00E5372F">
        <w:tab/>
        <w:t>This report is accompanied by a detailed data release providing historic and forecast data for all Gross Value Added (GVA), employment, and population variables for both the GMFM-2019 and AGS-2019. These can be downloaded from the GMCA website.</w:t>
      </w:r>
    </w:p>
    <w:p w14:paraId="4D308596" w14:textId="77777777" w:rsidR="00E5372F" w:rsidRDefault="00E5372F" w:rsidP="00E5372F">
      <w:pPr>
        <w:pStyle w:val="Heading3"/>
      </w:pPr>
      <w:r>
        <w:t>Report structure</w:t>
      </w:r>
    </w:p>
    <w:p w14:paraId="5981B909" w14:textId="78941CFE" w:rsidR="00E5372F" w:rsidRDefault="003D0912" w:rsidP="00E5372F">
      <w:r>
        <w:t>2</w:t>
      </w:r>
      <w:r w:rsidR="00E5372F">
        <w:t>.7.</w:t>
      </w:r>
      <w:r w:rsidR="00E5372F">
        <w:tab/>
        <w:t>The remainder of this report is set out as follows:</w:t>
      </w:r>
    </w:p>
    <w:p w14:paraId="60A47D89" w14:textId="77777777" w:rsidR="00E5372F" w:rsidRDefault="00E5372F" w:rsidP="00E5372F">
      <w:r>
        <w:t>•</w:t>
      </w:r>
      <w:r>
        <w:tab/>
        <w:t xml:space="preserve">Section 2 provides the main assumptions and headlines from the GMFM-2019 </w:t>
      </w:r>
      <w:proofErr w:type="gramStart"/>
      <w:r>
        <w:t>forecast;</w:t>
      </w:r>
      <w:proofErr w:type="gramEnd"/>
    </w:p>
    <w:p w14:paraId="2170E6DC" w14:textId="77777777" w:rsidR="00E5372F" w:rsidRDefault="00E5372F" w:rsidP="00E5372F">
      <w:r>
        <w:t>•</w:t>
      </w:r>
      <w:r>
        <w:tab/>
        <w:t xml:space="preserve">Section 3 provides the main assumptions and headlines from the AGS-2019 </w:t>
      </w:r>
      <w:proofErr w:type="gramStart"/>
      <w:r>
        <w:t>scenario;</w:t>
      </w:r>
      <w:proofErr w:type="gramEnd"/>
    </w:p>
    <w:p w14:paraId="03554398" w14:textId="77777777" w:rsidR="00E5372F" w:rsidRDefault="00E5372F" w:rsidP="00E5372F">
      <w:r>
        <w:t>•</w:t>
      </w:r>
      <w:r>
        <w:tab/>
        <w:t xml:space="preserve">Annex 1 shows a list of the main data sources which form the inputs to the GMFM and </w:t>
      </w:r>
      <w:proofErr w:type="gramStart"/>
      <w:r>
        <w:t>AGS;</w:t>
      </w:r>
      <w:proofErr w:type="gramEnd"/>
      <w:r>
        <w:t xml:space="preserve"> </w:t>
      </w:r>
    </w:p>
    <w:p w14:paraId="66046327" w14:textId="39E22922" w:rsidR="00E5372F" w:rsidRDefault="00E5372F" w:rsidP="00E5372F">
      <w:r>
        <w:t>•</w:t>
      </w:r>
      <w:r>
        <w:tab/>
        <w:t xml:space="preserve">Annex 2 shows a comparison of the GMFM/Oxford Economics forecasts with those of other forecasters.  </w:t>
      </w:r>
    </w:p>
    <w:p w14:paraId="3450E32E" w14:textId="1E282FC8" w:rsidR="003D0912" w:rsidRDefault="003D0912">
      <w:r>
        <w:br w:type="page"/>
      </w:r>
    </w:p>
    <w:p w14:paraId="64D2129D" w14:textId="29945881" w:rsidR="003D0912" w:rsidRDefault="003D0912" w:rsidP="003D0912">
      <w:pPr>
        <w:pStyle w:val="Heading2"/>
      </w:pPr>
      <w:bookmarkStart w:id="3" w:name="_Toc73519678"/>
      <w:r>
        <w:lastRenderedPageBreak/>
        <w:t>3.</w:t>
      </w:r>
      <w:r>
        <w:tab/>
        <w:t>GMFM-2019 baseline forecast</w:t>
      </w:r>
      <w:bookmarkEnd w:id="3"/>
    </w:p>
    <w:p w14:paraId="6A20F91C" w14:textId="77777777" w:rsidR="003D0912" w:rsidRDefault="003D0912" w:rsidP="003D0912">
      <w:pPr>
        <w:pStyle w:val="Heading3"/>
      </w:pPr>
      <w:r>
        <w:t>Introduction</w:t>
      </w:r>
    </w:p>
    <w:p w14:paraId="06BDDDDB" w14:textId="416E3822" w:rsidR="003D0912" w:rsidRDefault="003D0912" w:rsidP="003D0912">
      <w:r>
        <w:t>3.1</w:t>
      </w:r>
      <w:r w:rsidR="00202D46">
        <w:t>.</w:t>
      </w:r>
      <w:r>
        <w:tab/>
        <w:t>This section presents the latest forecasts produced in the GMFM-2019. It includes a summary of the key assumptions underpinning the baseline forecasts; a comparison of the projected level of growth for the UK by OE and other leading forecasters, and headline forecasts for GVA, employment, unemployment, and population.</w:t>
      </w:r>
    </w:p>
    <w:p w14:paraId="154B5F52" w14:textId="77777777" w:rsidR="009C6187" w:rsidRDefault="009C6187" w:rsidP="009C6187">
      <w:pPr>
        <w:pStyle w:val="Heading3"/>
      </w:pPr>
      <w:r>
        <w:t>Key messages</w:t>
      </w:r>
    </w:p>
    <w:p w14:paraId="079482AB" w14:textId="6D557AA3" w:rsidR="009C6187" w:rsidRDefault="009C6187" w:rsidP="009C6187">
      <w:pPr>
        <w:pStyle w:val="ListParagraph"/>
        <w:numPr>
          <w:ilvl w:val="0"/>
          <w:numId w:val="5"/>
        </w:numPr>
      </w:pPr>
      <w:r w:rsidRPr="009C6187">
        <w:rPr>
          <w:b/>
          <w:bCs/>
        </w:rPr>
        <w:t>GMFM-2019</w:t>
      </w:r>
      <w:r>
        <w:t xml:space="preserve"> shows </w:t>
      </w:r>
      <w:r w:rsidRPr="009C6187">
        <w:rPr>
          <w:b/>
          <w:bCs/>
        </w:rPr>
        <w:t>GVA</w:t>
      </w:r>
      <w:r>
        <w:t xml:space="preserve"> growing at 1.6% per year up to 2037, 0.1% points less than the rate of growth forecast in the previous GMFM-2018 model.</w:t>
      </w:r>
    </w:p>
    <w:p w14:paraId="67657E3C" w14:textId="2CD61CA0" w:rsidR="009C6187" w:rsidRDefault="009C6187" w:rsidP="009C6187">
      <w:pPr>
        <w:pStyle w:val="ListParagraph"/>
        <w:numPr>
          <w:ilvl w:val="0"/>
          <w:numId w:val="5"/>
        </w:numPr>
      </w:pPr>
      <w:r w:rsidRPr="009C6187">
        <w:rPr>
          <w:b/>
          <w:bCs/>
        </w:rPr>
        <w:t>Productivity</w:t>
      </w:r>
      <w:r>
        <w:t xml:space="preserve"> is forecast to grow at an average annual rate of 1.0%, slower than the GMFM-2018 forecast of 1.3% per year. </w:t>
      </w:r>
    </w:p>
    <w:p w14:paraId="3BA8B2C4" w14:textId="565576DD" w:rsidR="009C6187" w:rsidRDefault="009C6187" w:rsidP="009C6187">
      <w:pPr>
        <w:pStyle w:val="ListParagraph"/>
        <w:numPr>
          <w:ilvl w:val="0"/>
          <w:numId w:val="5"/>
        </w:numPr>
      </w:pPr>
      <w:r w:rsidRPr="009C6187">
        <w:rPr>
          <w:b/>
          <w:bCs/>
        </w:rPr>
        <w:t>Total employment</w:t>
      </w:r>
      <w:r>
        <w:t xml:space="preserve"> is forecast to grow at 0.6% per year in GM, equating to a net increase of 183,000 jobs between 2017 and 2037, compared to 122,100 in the previous GMFM-2018 model.</w:t>
      </w:r>
    </w:p>
    <w:p w14:paraId="51DEE36B" w14:textId="003B8D31" w:rsidR="009C6187" w:rsidRDefault="009C6187" w:rsidP="009C6187">
      <w:pPr>
        <w:pStyle w:val="ListParagraph"/>
        <w:numPr>
          <w:ilvl w:val="0"/>
          <w:numId w:val="5"/>
        </w:numPr>
      </w:pPr>
      <w:r w:rsidRPr="009C6187">
        <w:rPr>
          <w:b/>
          <w:bCs/>
        </w:rPr>
        <w:t xml:space="preserve">Employment growth </w:t>
      </w:r>
      <w:r>
        <w:t>is largely driven by Business, Financial, and Professional Services - accounting for 45% of the net increase in the total number of jobs in GM up to 2037.</w:t>
      </w:r>
    </w:p>
    <w:p w14:paraId="6EC74E05" w14:textId="64A0F019" w:rsidR="009C6187" w:rsidRDefault="009C6187" w:rsidP="009C6187">
      <w:pPr>
        <w:pStyle w:val="ListParagraph"/>
        <w:numPr>
          <w:ilvl w:val="0"/>
          <w:numId w:val="5"/>
        </w:numPr>
      </w:pPr>
      <w:r w:rsidRPr="009C6187">
        <w:rPr>
          <w:b/>
          <w:bCs/>
        </w:rPr>
        <w:t>Job losses in Manufacturing</w:t>
      </w:r>
      <w:r>
        <w:t xml:space="preserve"> are forecast (a decrease of 21,200 between 2017 and 2037), however productivity improvements (particularly in Advanced Manufacturing) continue to drive GVA growth in the industry.</w:t>
      </w:r>
    </w:p>
    <w:p w14:paraId="6F0900F6" w14:textId="3BDE0145" w:rsidR="009C6187" w:rsidRDefault="009C6187" w:rsidP="009C6187">
      <w:pPr>
        <w:pStyle w:val="ListParagraph"/>
        <w:numPr>
          <w:ilvl w:val="0"/>
          <w:numId w:val="5"/>
        </w:numPr>
      </w:pPr>
      <w:r>
        <w:t xml:space="preserve">Sectors are broadly similar in their employment prospects compared to the previous published results, with </w:t>
      </w:r>
      <w:r w:rsidRPr="009C6187">
        <w:rPr>
          <w:b/>
          <w:bCs/>
        </w:rPr>
        <w:t xml:space="preserve">stronger jobs growth in Logistics, Business, Financial and Professional services, Construction, and Health and Social </w:t>
      </w:r>
      <w:proofErr w:type="gramStart"/>
      <w:r w:rsidRPr="009C6187">
        <w:rPr>
          <w:b/>
          <w:bCs/>
        </w:rPr>
        <w:t>Care;</w:t>
      </w:r>
      <w:proofErr w:type="gramEnd"/>
      <w:r w:rsidRPr="009C6187">
        <w:rPr>
          <w:b/>
          <w:bCs/>
        </w:rPr>
        <w:t xml:space="preserve"> and slightly slower growth in Wholesale and Retail, and Hospitality and Tourism.</w:t>
      </w:r>
      <w:r>
        <w:t xml:space="preserve"> </w:t>
      </w:r>
    </w:p>
    <w:p w14:paraId="4776D3FB" w14:textId="301E2FF8" w:rsidR="009C6187" w:rsidRPr="009C6187" w:rsidRDefault="009C6187" w:rsidP="009C6187">
      <w:pPr>
        <w:pStyle w:val="ListParagraph"/>
        <w:numPr>
          <w:ilvl w:val="0"/>
          <w:numId w:val="5"/>
        </w:numPr>
        <w:rPr>
          <w:b/>
          <w:bCs/>
        </w:rPr>
      </w:pPr>
      <w:r w:rsidRPr="009C6187">
        <w:rPr>
          <w:b/>
          <w:bCs/>
        </w:rPr>
        <w:t xml:space="preserve">The baseline forecast suggests that total population will grow by 184,900 from 2017 to 2037, up 3,600 compared to GMFM-2018. </w:t>
      </w:r>
    </w:p>
    <w:p w14:paraId="42ECC762" w14:textId="7664A778" w:rsidR="009C6187" w:rsidRDefault="009C6187" w:rsidP="009C6187">
      <w:pPr>
        <w:pStyle w:val="ListParagraph"/>
        <w:numPr>
          <w:ilvl w:val="0"/>
          <w:numId w:val="5"/>
        </w:numPr>
      </w:pPr>
      <w:r>
        <w:t xml:space="preserve">GMFM-2019 forecasts a net increase of 127,300 GM </w:t>
      </w:r>
      <w:r w:rsidRPr="009C6187">
        <w:rPr>
          <w:b/>
          <w:bCs/>
        </w:rPr>
        <w:t>residents in employment</w:t>
      </w:r>
      <w:r>
        <w:t xml:space="preserve"> between 2017 and 2037. The </w:t>
      </w:r>
      <w:r w:rsidRPr="009C6187">
        <w:rPr>
          <w:b/>
          <w:bCs/>
        </w:rPr>
        <w:t>resident employment rate</w:t>
      </w:r>
      <w:r>
        <w:t xml:space="preserve"> </w:t>
      </w:r>
      <w:r>
        <w:lastRenderedPageBreak/>
        <w:t>(proportion of residents aged 16-64 in employment) in GM is forecast to reach 76.8% by 2037.</w:t>
      </w:r>
    </w:p>
    <w:p w14:paraId="4CB35271" w14:textId="77777777" w:rsidR="009C6187" w:rsidRDefault="009C6187" w:rsidP="009C6187">
      <w:pPr>
        <w:pStyle w:val="Heading3"/>
      </w:pPr>
      <w:r>
        <w:t>Forecast modelling assumptions</w:t>
      </w:r>
    </w:p>
    <w:p w14:paraId="166E9A76" w14:textId="77777777" w:rsidR="009C6187" w:rsidRDefault="009C6187" w:rsidP="00202D46">
      <w:pPr>
        <w:pStyle w:val="Heading4"/>
      </w:pPr>
      <w:r>
        <w:t>Macro economy</w:t>
      </w:r>
    </w:p>
    <w:p w14:paraId="2C2867D3" w14:textId="4B02C6DC" w:rsidR="009C6187" w:rsidRDefault="00202D46" w:rsidP="009C6187">
      <w:r>
        <w:t>3</w:t>
      </w:r>
      <w:r w:rsidR="009C6187">
        <w:t>.2</w:t>
      </w:r>
      <w:r>
        <w:t>.</w:t>
      </w:r>
      <w:r w:rsidR="009C6187">
        <w:tab/>
      </w:r>
      <w:r w:rsidR="009C6187" w:rsidRPr="00FC59D7">
        <w:rPr>
          <w:b/>
          <w:bCs/>
        </w:rPr>
        <w:t>Oxford Economics (OE) remain cautious about the forecast pace of growth in the UK in the medium term to 2022</w:t>
      </w:r>
      <w:r w:rsidR="009C6187">
        <w:t xml:space="preserve">. In the February 2020 HMT comparison of independent forecasting organisations’ medium-term GDP growth forecasts (detailed in Annex 2), OE suggests growth of 1.0% in 2020, 1.9% in 2021, and 1.7% in 2022. This is </w:t>
      </w:r>
      <w:proofErr w:type="gramStart"/>
      <w:r w:rsidR="009C6187">
        <w:t>similar to</w:t>
      </w:r>
      <w:proofErr w:type="gramEnd"/>
      <w:r w:rsidR="009C6187">
        <w:t xml:space="preserve"> the Office for Budget Responsibility (OBR) forecast in March 2020 which stood at 1.1% for 2020, 1.8% for 2021 and 1.5% for 2022</w:t>
      </w:r>
      <w:r w:rsidR="005E3764">
        <w:rPr>
          <w:rStyle w:val="FootnoteReference"/>
        </w:rPr>
        <w:footnoteReference w:id="3"/>
      </w:r>
      <w:r w:rsidR="009C6187">
        <w:t xml:space="preserve">.  OE’s GMFM forecast assumes that UK productivity growth averages 1.1% a year over the next five years, which would be stronger than the average seen since the global financial crisis, but well below pre-crisis norms. </w:t>
      </w:r>
    </w:p>
    <w:p w14:paraId="2523E405" w14:textId="77777777" w:rsidR="009C6187" w:rsidRDefault="009C6187" w:rsidP="00202D46">
      <w:pPr>
        <w:pStyle w:val="Heading4"/>
      </w:pPr>
      <w:r>
        <w:t xml:space="preserve">The productivity </w:t>
      </w:r>
      <w:proofErr w:type="gramStart"/>
      <w:r>
        <w:t>puzzle</w:t>
      </w:r>
      <w:proofErr w:type="gramEnd"/>
    </w:p>
    <w:p w14:paraId="6CEF498A" w14:textId="30CD4C39" w:rsidR="009C6187" w:rsidRDefault="00202D46" w:rsidP="009C6187">
      <w:r>
        <w:t>3</w:t>
      </w:r>
      <w:r w:rsidR="009C6187">
        <w:t>.3</w:t>
      </w:r>
      <w:r>
        <w:t>.</w:t>
      </w:r>
      <w:r w:rsidR="009C6187">
        <w:tab/>
        <w:t xml:space="preserve">In the period since the global financial crisis, productivity growth has consistently fallen short of expectations. </w:t>
      </w:r>
      <w:r w:rsidR="009C6187" w:rsidRPr="00FC59D7">
        <w:rPr>
          <w:b/>
          <w:bCs/>
        </w:rPr>
        <w:t xml:space="preserve">It is increasingly unrealistic to forecast that productivity will consistently regain pre-crisis growth </w:t>
      </w:r>
      <w:proofErr w:type="gramStart"/>
      <w:r w:rsidR="009C6187" w:rsidRPr="00FC59D7">
        <w:rPr>
          <w:b/>
          <w:bCs/>
        </w:rPr>
        <w:t>rates, when</w:t>
      </w:r>
      <w:proofErr w:type="gramEnd"/>
      <w:r w:rsidR="009C6187" w:rsidRPr="00FC59D7">
        <w:rPr>
          <w:b/>
          <w:bCs/>
        </w:rPr>
        <w:t xml:space="preserve"> the reality continues to suggest otherwise.</w:t>
      </w:r>
      <w:r w:rsidR="009C6187">
        <w:t xml:space="preserve"> Furthermore, the persistence of low interest rates, and little prospect for impactful increases over the next few years, means corporate insolvency rates have stayed low. This means that weak firms have been more likely to continue trading, rather than being wound up and replaced by more dynamic organisations</w:t>
      </w:r>
      <w:r w:rsidR="005E3764">
        <w:rPr>
          <w:rStyle w:val="FootnoteReference"/>
        </w:rPr>
        <w:footnoteReference w:id="4"/>
      </w:r>
      <w:r w:rsidR="009C6187">
        <w:t xml:space="preserve">. </w:t>
      </w:r>
    </w:p>
    <w:p w14:paraId="32E5160A" w14:textId="5371447A" w:rsidR="009C6187" w:rsidRDefault="00202D46" w:rsidP="009C6187">
      <w:r>
        <w:t>3</w:t>
      </w:r>
      <w:r w:rsidR="009C6187">
        <w:t>.4</w:t>
      </w:r>
      <w:r>
        <w:t>.</w:t>
      </w:r>
      <w:r w:rsidR="009C6187">
        <w:tab/>
        <w:t>Evidence from the BoE points to a permanent, structural rather than cyclical, slow-down in UK productivity</w:t>
      </w:r>
      <w:r w:rsidR="005E3764">
        <w:rPr>
          <w:rStyle w:val="FootnoteReference"/>
        </w:rPr>
        <w:footnoteReference w:id="5"/>
      </w:r>
      <w:r w:rsidR="009C6187">
        <w:t xml:space="preserve">.  </w:t>
      </w:r>
      <w:r w:rsidR="009C6187" w:rsidRPr="00FC59D7">
        <w:rPr>
          <w:b/>
          <w:bCs/>
        </w:rPr>
        <w:t>OE expect labour productivity growth in the UK to average 1.1% per year from 2017 to 2037 – lower than the growth of 1.3% per year forecast in GMFM-2018 for the same period.</w:t>
      </w:r>
      <w:r w:rsidR="009C6187">
        <w:t xml:space="preserve">  In the immediate short term, </w:t>
      </w:r>
      <w:r w:rsidR="009C6187">
        <w:lastRenderedPageBreak/>
        <w:t xml:space="preserve">there are heightened risks that productivity may slow as investment in capital could be withheld until the full implications of Brexit are clear. In the longer term, </w:t>
      </w:r>
      <w:r w:rsidR="009C6187" w:rsidRPr="00FC59D7">
        <w:rPr>
          <w:b/>
          <w:bCs/>
        </w:rPr>
        <w:t>slower productivity growth than in the period prior to the recession is likely to be the main constraint on growth.</w:t>
      </w:r>
    </w:p>
    <w:p w14:paraId="198B4E7C" w14:textId="77777777" w:rsidR="009C6187" w:rsidRDefault="009C6187" w:rsidP="009C6187"/>
    <w:p w14:paraId="104E9E27" w14:textId="77777777" w:rsidR="009C6187" w:rsidRDefault="009C6187" w:rsidP="00202D46">
      <w:pPr>
        <w:pStyle w:val="Heading4"/>
      </w:pPr>
      <w:r>
        <w:t>Brexit risks</w:t>
      </w:r>
    </w:p>
    <w:p w14:paraId="3315ED00" w14:textId="13350260" w:rsidR="009C6187" w:rsidRDefault="00202D46" w:rsidP="009C6187">
      <w:r>
        <w:t>3</w:t>
      </w:r>
      <w:r w:rsidR="009C6187">
        <w:t>.5</w:t>
      </w:r>
      <w:r>
        <w:t>.</w:t>
      </w:r>
      <w:r w:rsidR="009C6187">
        <w:tab/>
      </w:r>
      <w:r w:rsidR="009C6187" w:rsidRPr="00FC59D7">
        <w:rPr>
          <w:b/>
          <w:bCs/>
        </w:rPr>
        <w:t>The baseline GMFM forecast incorporates Oxford Economics’ assessment of Brexit’s impact on economic growth, both for Greater Manchester and across the UK.</w:t>
      </w:r>
      <w:r w:rsidR="009C6187">
        <w:t xml:space="preserve"> OE’s assumption is that the ultimate withdrawal agreement will include an open-ended UK-EU customs union which remains in place for a prolonged period. Under these </w:t>
      </w:r>
      <w:proofErr w:type="gramStart"/>
      <w:r w:rsidR="009C6187">
        <w:t>assumptions</w:t>
      </w:r>
      <w:proofErr w:type="gramEnd"/>
      <w:r w:rsidR="009C6187">
        <w:t xml:space="preserve"> OE anticipate that GDP growth will average 1.5% over the forecast period to 2037. However, OE have modelled the impact of a no-deal scenario and found that additional trade frictions and a sizeable depreciation of sterling would cause a significant slowdown in the UK economy, even if fiscal and monetary policy are loosened. They found that GDP growth would be 0.7% points a year below the baseline forecast over the next three years under this scenario.</w:t>
      </w:r>
    </w:p>
    <w:p w14:paraId="6B31E0A1" w14:textId="197B841C" w:rsidR="009C6187" w:rsidRDefault="00202D46" w:rsidP="009C6187">
      <w:r>
        <w:t>3</w:t>
      </w:r>
      <w:r w:rsidR="009C6187">
        <w:t>.6</w:t>
      </w:r>
      <w:r>
        <w:t>.</w:t>
      </w:r>
      <w:r w:rsidR="009C6187">
        <w:tab/>
        <w:t>The UK’s departure from the EU is expected to weigh on productivity growth, with negative effects building over time. Reasons for this include:</w:t>
      </w:r>
    </w:p>
    <w:p w14:paraId="73837333" w14:textId="58A58829" w:rsidR="009C6187" w:rsidRDefault="009C6187" w:rsidP="00202D46">
      <w:pPr>
        <w:pStyle w:val="ListParagraph"/>
        <w:numPr>
          <w:ilvl w:val="0"/>
          <w:numId w:val="5"/>
        </w:numPr>
      </w:pPr>
      <w:r w:rsidRPr="00FC59D7">
        <w:rPr>
          <w:b/>
          <w:bCs/>
        </w:rPr>
        <w:t>Trade disruption</w:t>
      </w:r>
      <w:r>
        <w:t xml:space="preserve">: While empirical research points to a positive relationship between the degree of trade openness and productivity, the UK is likely to see some trade disruption post-Brexit for the following reasons: </w:t>
      </w:r>
    </w:p>
    <w:p w14:paraId="14E76F54" w14:textId="3F4F4EDB" w:rsidR="009C6187" w:rsidRDefault="009C6187" w:rsidP="00202D46">
      <w:pPr>
        <w:pStyle w:val="ListParagraph"/>
        <w:numPr>
          <w:ilvl w:val="0"/>
          <w:numId w:val="10"/>
        </w:numPr>
      </w:pPr>
      <w:r w:rsidRPr="00FC59D7">
        <w:rPr>
          <w:b/>
          <w:bCs/>
        </w:rPr>
        <w:t>Friction in trade and supply chains</w:t>
      </w:r>
      <w:r>
        <w:t xml:space="preserve">: Whilst the forecast assumes the UK will be able to agree tariff-free trade across a range of goods sectors, non-tariff barriers (such as enforcement of different market standards and regulations) are likely to build over time as the UK develops its own standards, moving away from EU regulations. </w:t>
      </w:r>
    </w:p>
    <w:p w14:paraId="0DA6B07A" w14:textId="3C45FA9E" w:rsidR="009C6187" w:rsidRDefault="009C6187" w:rsidP="00202D46">
      <w:pPr>
        <w:pStyle w:val="ListParagraph"/>
        <w:numPr>
          <w:ilvl w:val="0"/>
          <w:numId w:val="10"/>
        </w:numPr>
      </w:pPr>
      <w:r w:rsidRPr="00FC59D7">
        <w:rPr>
          <w:b/>
          <w:bCs/>
        </w:rPr>
        <w:t>Other non-tariff barriers and border checks</w:t>
      </w:r>
      <w:r>
        <w:t xml:space="preserve">: It is likely that some form of customs checks will be introduced, </w:t>
      </w:r>
      <w:proofErr w:type="gramStart"/>
      <w:r>
        <w:t>in particular to</w:t>
      </w:r>
      <w:proofErr w:type="gramEnd"/>
      <w:r>
        <w:t xml:space="preserve"> demonstrate </w:t>
      </w:r>
      <w:r>
        <w:lastRenderedPageBreak/>
        <w:t xml:space="preserve">regulatory compliance and “rules of origin”. The extra administrative costs and delays will add to the cost of trade. </w:t>
      </w:r>
    </w:p>
    <w:p w14:paraId="4ECCEC52" w14:textId="58B95BA1" w:rsidR="009C6187" w:rsidRDefault="009C6187" w:rsidP="00202D46">
      <w:pPr>
        <w:pStyle w:val="ListParagraph"/>
        <w:numPr>
          <w:ilvl w:val="0"/>
          <w:numId w:val="10"/>
        </w:numPr>
      </w:pPr>
      <w:r w:rsidRPr="00FC59D7">
        <w:rPr>
          <w:b/>
          <w:bCs/>
        </w:rPr>
        <w:t>Loss of trade agreements</w:t>
      </w:r>
      <w:r>
        <w:t>: When the UK left the EU, it ceased to be part of free trade agreements that it previously accessed through its membership of the EU. Some of these have been “rolled-over” but many are yet to be determined. Changes in the UK’s relationship with the EU will also bring about shifts in the UK’s comparative advantage which are likely to have a negative impact on productivity.</w:t>
      </w:r>
    </w:p>
    <w:p w14:paraId="2692E1E1" w14:textId="6EF161DE" w:rsidR="009C6187" w:rsidRDefault="009C6187" w:rsidP="00202D46">
      <w:pPr>
        <w:pStyle w:val="ListParagraph"/>
        <w:numPr>
          <w:ilvl w:val="0"/>
          <w:numId w:val="5"/>
        </w:numPr>
      </w:pPr>
      <w:r w:rsidRPr="00FC59D7">
        <w:rPr>
          <w:b/>
          <w:bCs/>
        </w:rPr>
        <w:t>Reduction in FDI</w:t>
      </w:r>
      <w:r>
        <w:t xml:space="preserve">: Foreign direct investment (FDI) is generally thought to enhance economy-wide productivity. Brexit is likely to make the UK a less attractive destination for FDI, as it is likely to dampen the UK’s long term growth prospects (and thus potential rates of return), as well as no longer offering firms a gateway to EU markets, alongside wider issues such as reduced skills availability and regulatory uncertainty, which could contribute to firms’ decisions to invest elsewhere. </w:t>
      </w:r>
    </w:p>
    <w:p w14:paraId="6BF03147" w14:textId="2B65C154" w:rsidR="009C6187" w:rsidRDefault="009C6187" w:rsidP="00202D46">
      <w:pPr>
        <w:pStyle w:val="ListParagraph"/>
        <w:numPr>
          <w:ilvl w:val="0"/>
          <w:numId w:val="5"/>
        </w:numPr>
      </w:pPr>
      <w:r w:rsidRPr="00FC59D7">
        <w:rPr>
          <w:b/>
          <w:bCs/>
        </w:rPr>
        <w:t>Weaker business investment</w:t>
      </w:r>
      <w:r>
        <w:t xml:space="preserve">: Brexit uncertainty also weighs on business investment which has been weak in the UK for </w:t>
      </w:r>
      <w:proofErr w:type="gramStart"/>
      <w:r>
        <w:t>a number of</w:t>
      </w:r>
      <w:proofErr w:type="gramEnd"/>
      <w:r>
        <w:t xml:space="preserve"> years. Investment intentions are subdued, with Brexit-related uncertainty a key factor. This is likely to persist until the UK’s future trading relationship with the EU becomes clearer. Therefore, investment growth is likely to remain constrained in the short term. </w:t>
      </w:r>
    </w:p>
    <w:p w14:paraId="0E799112" w14:textId="63CECAD9" w:rsidR="009C6187" w:rsidRDefault="009C6187" w:rsidP="00202D46">
      <w:pPr>
        <w:pStyle w:val="ListParagraph"/>
        <w:numPr>
          <w:ilvl w:val="0"/>
          <w:numId w:val="5"/>
        </w:numPr>
      </w:pPr>
      <w:r w:rsidRPr="00FC59D7">
        <w:rPr>
          <w:b/>
          <w:bCs/>
        </w:rPr>
        <w:t>Lower immigration</w:t>
      </w:r>
      <w:r>
        <w:t>: A more restrictive points-based immigration policy is being introduced following the transition period, which may discourage EU and non-EU citizens from coming to work in the UK. Migration statistics already show a significant net fall in EU8 workers coming to work in the UK.</w:t>
      </w:r>
    </w:p>
    <w:p w14:paraId="23859FA3" w14:textId="77777777" w:rsidR="005E3764" w:rsidRDefault="005E3764" w:rsidP="005E3764">
      <w:pPr>
        <w:pStyle w:val="Heading3"/>
      </w:pPr>
      <w:r>
        <w:t>Headline economic indicators</w:t>
      </w:r>
    </w:p>
    <w:p w14:paraId="5849FBF8" w14:textId="0B01E953" w:rsidR="005E3764" w:rsidRDefault="007616C2" w:rsidP="005E3764">
      <w:r>
        <w:t>3</w:t>
      </w:r>
      <w:r w:rsidR="005E3764">
        <w:t>.7</w:t>
      </w:r>
      <w:r>
        <w:t>.</w:t>
      </w:r>
      <w:r w:rsidR="005E3764">
        <w:tab/>
      </w:r>
      <w:r w:rsidR="005E3764" w:rsidRPr="00FC59D7">
        <w:rPr>
          <w:b/>
          <w:bCs/>
        </w:rPr>
        <w:t>Total GVA</w:t>
      </w:r>
      <w:r w:rsidR="005E3764">
        <w:t xml:space="preserve"> in GM stood at £65.6 billion in 2017 (latest actual, as opposed to forecast, data in the GMFM-2019). In the baseline forecast, GVA is forecast to grow at an average annual rate of 1.6% per year up to 2037, slightly above the UK </w:t>
      </w:r>
      <w:r w:rsidR="005E3764">
        <w:lastRenderedPageBreak/>
        <w:t>average of 1.5%. This is equivalent to an additional £23.9 billion of economic activity in GM’s economy by 2037</w:t>
      </w:r>
      <w:r w:rsidR="005E3764">
        <w:rPr>
          <w:rStyle w:val="FootnoteReference"/>
        </w:rPr>
        <w:footnoteReference w:id="6"/>
      </w:r>
      <w:r w:rsidR="005E3764">
        <w:t xml:space="preserve">.  </w:t>
      </w:r>
    </w:p>
    <w:p w14:paraId="29543093" w14:textId="1A685DB1" w:rsidR="005E3764" w:rsidRDefault="007616C2" w:rsidP="005E3764">
      <w:r>
        <w:t>3</w:t>
      </w:r>
      <w:r w:rsidR="005E3764">
        <w:t>.8</w:t>
      </w:r>
      <w:r>
        <w:t>.</w:t>
      </w:r>
      <w:r w:rsidR="005E3764">
        <w:tab/>
      </w:r>
      <w:r w:rsidR="005E3764" w:rsidRPr="00FC59D7">
        <w:rPr>
          <w:b/>
          <w:bCs/>
        </w:rPr>
        <w:t>Labour productivity</w:t>
      </w:r>
      <w:r w:rsidR="005E3764">
        <w:t xml:space="preserve"> (expressed as GVA per employment) in GM stood at £45,300 in 2017 (latest actual). It is forecast to grow at 1.0% per annum (0.3% points less per year than GMFM-2018).</w:t>
      </w:r>
    </w:p>
    <w:p w14:paraId="0F48E3AA" w14:textId="5D5F741A" w:rsidR="005E3764" w:rsidRDefault="007616C2" w:rsidP="005E3764">
      <w:r>
        <w:t>3</w:t>
      </w:r>
      <w:r w:rsidR="005E3764">
        <w:t>.9</w:t>
      </w:r>
      <w:r>
        <w:t>.</w:t>
      </w:r>
      <w:r w:rsidR="005E3764">
        <w:tab/>
      </w:r>
      <w:r w:rsidR="005E3764" w:rsidRPr="00FC59D7">
        <w:rPr>
          <w:b/>
          <w:bCs/>
        </w:rPr>
        <w:t>Total employment</w:t>
      </w:r>
      <w:r w:rsidR="005E3764">
        <w:t xml:space="preserve"> in GM stood at 1.4 million in </w:t>
      </w:r>
      <w:proofErr w:type="gramStart"/>
      <w:r w:rsidR="005E3764">
        <w:t>2017, and</w:t>
      </w:r>
      <w:proofErr w:type="gramEnd"/>
      <w:r w:rsidR="005E3764">
        <w:t xml:space="preserve"> is forecast to rise by 183,000 by 2037 (60,900 more than the previous GMFM-2018). Employment will grow at an annual average of 0.6% per year compared to the UK average of 0.4% per annum up to 2037.</w:t>
      </w:r>
    </w:p>
    <w:p w14:paraId="3F2E7206" w14:textId="51E0BA25" w:rsidR="005E3764" w:rsidRPr="007616C2" w:rsidRDefault="007616C2" w:rsidP="005E3764">
      <w:r w:rsidRPr="007616C2">
        <w:t>3.10.</w:t>
      </w:r>
      <w:r w:rsidRPr="007616C2">
        <w:tab/>
      </w:r>
      <w:r w:rsidR="005E3764" w:rsidRPr="007616C2">
        <w:t xml:space="preserve"> </w:t>
      </w:r>
      <w:r>
        <w:t xml:space="preserve">Table 4: </w:t>
      </w:r>
      <w:r w:rsidR="005E3764" w:rsidRPr="007616C2">
        <w:t>GMFM-2019 baseline forecasts for GM (latest vs previous model)</w:t>
      </w:r>
      <w:r w:rsidR="00FC59D7">
        <w:t>.</w:t>
      </w:r>
      <w:r w:rsidR="00FC59D7" w:rsidRPr="00FC59D7">
        <w:t xml:space="preserve"> </w:t>
      </w:r>
      <w:r w:rsidR="00FC59D7" w:rsidRPr="00FC59D7">
        <w:rPr>
          <w:i/>
          <w:iCs/>
        </w:rPr>
        <w:t>Source: Oxford Economics GMFM-2019 vs GMFM-2018 (GMFM-2019 in 2016 constant prices, GMFM-2018 in 2015 prices</w:t>
      </w:r>
      <w:r w:rsidR="00FC59D7">
        <w:t xml:space="preserve"> </w:t>
      </w:r>
    </w:p>
    <w:tbl>
      <w:tblPr>
        <w:tblW w:w="92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MFM baseline forecasts for GM (latest vs previous models)"/>
        <w:tblDescription w:val="Table showing how the forecasting of key economic measures for GM between 2017 and 2037 have changed between the latest GMFM-2019 model and the previous GMFM-2018 model. This includes both net change and % annual growth - the latest model forecasts slightly smaller increases in GVA and Productivity than the previous model, but slightly larger increases in Employment and Population."/>
      </w:tblPr>
      <w:tblGrid>
        <w:gridCol w:w="1559"/>
        <w:gridCol w:w="1903"/>
        <w:gridCol w:w="1932"/>
        <w:gridCol w:w="1917"/>
        <w:gridCol w:w="1918"/>
      </w:tblGrid>
      <w:tr w:rsidR="007616C2" w:rsidRPr="00AF0D7B" w14:paraId="0611D4F3" w14:textId="77777777" w:rsidTr="007616C2">
        <w:trPr>
          <w:trHeight w:val="284"/>
        </w:trPr>
        <w:tc>
          <w:tcPr>
            <w:tcW w:w="1559" w:type="dxa"/>
            <w:shd w:val="clear" w:color="auto" w:fill="000000"/>
            <w:vAlign w:val="center"/>
          </w:tcPr>
          <w:p w14:paraId="2362B285" w14:textId="77777777" w:rsidR="007616C2" w:rsidRPr="00AF0D7B" w:rsidRDefault="007616C2" w:rsidP="007616C2">
            <w:r w:rsidRPr="00AF0D7B">
              <w:t>Measure:</w:t>
            </w:r>
          </w:p>
        </w:tc>
        <w:tc>
          <w:tcPr>
            <w:tcW w:w="1903" w:type="dxa"/>
            <w:shd w:val="clear" w:color="auto" w:fill="000000"/>
            <w:vAlign w:val="center"/>
          </w:tcPr>
          <w:p w14:paraId="1C675815" w14:textId="04441DE2" w:rsidR="007616C2" w:rsidRPr="00AF0D7B" w:rsidRDefault="007616C2" w:rsidP="007616C2">
            <w:r w:rsidRPr="00AF0D7B">
              <w:t>Net increase/</w:t>
            </w:r>
            <w:r w:rsidRPr="00AF0D7B">
              <w:br/>
              <w:t>decrease</w:t>
            </w:r>
            <w:r>
              <w:t xml:space="preserve"> between 2017 and 2037, based on the GMFM-2019 Model</w:t>
            </w:r>
          </w:p>
        </w:tc>
        <w:tc>
          <w:tcPr>
            <w:tcW w:w="1932" w:type="dxa"/>
            <w:shd w:val="clear" w:color="auto" w:fill="000000" w:themeFill="text1"/>
            <w:vAlign w:val="center"/>
          </w:tcPr>
          <w:p w14:paraId="43AAE735" w14:textId="5984DE59" w:rsidR="007616C2" w:rsidRPr="00AF0D7B" w:rsidRDefault="007616C2" w:rsidP="007616C2">
            <w:r w:rsidRPr="00AF0D7B">
              <w:t xml:space="preserve">% Compound </w:t>
            </w:r>
            <w:r w:rsidRPr="00AF0D7B">
              <w:br/>
              <w:t>Annual Growth</w:t>
            </w:r>
            <w:r>
              <w:t xml:space="preserve"> between 2017 and 2037, based on the GMFM-2019 Model</w:t>
            </w:r>
          </w:p>
        </w:tc>
        <w:tc>
          <w:tcPr>
            <w:tcW w:w="1917" w:type="dxa"/>
            <w:shd w:val="clear" w:color="auto" w:fill="000000"/>
            <w:vAlign w:val="center"/>
          </w:tcPr>
          <w:p w14:paraId="0E74C455" w14:textId="1034063B" w:rsidR="007616C2" w:rsidRPr="00AF0D7B" w:rsidRDefault="007616C2" w:rsidP="007616C2">
            <w:r w:rsidRPr="00AF0D7B">
              <w:t>Net increase/</w:t>
            </w:r>
            <w:r w:rsidRPr="00AF0D7B">
              <w:br/>
              <w:t>decrease</w:t>
            </w:r>
            <w:r>
              <w:t xml:space="preserve"> between 2017 and 2037, based on the GMFM-2018 Model</w:t>
            </w:r>
          </w:p>
        </w:tc>
        <w:tc>
          <w:tcPr>
            <w:tcW w:w="1918" w:type="dxa"/>
            <w:tcBorders>
              <w:right w:val="single" w:sz="12" w:space="0" w:color="auto"/>
            </w:tcBorders>
            <w:shd w:val="clear" w:color="auto" w:fill="000000"/>
            <w:vAlign w:val="center"/>
          </w:tcPr>
          <w:p w14:paraId="309CAFD2" w14:textId="7CCB3630" w:rsidR="007616C2" w:rsidRPr="00AF0D7B" w:rsidRDefault="007616C2" w:rsidP="007616C2">
            <w:r w:rsidRPr="00AF0D7B">
              <w:t xml:space="preserve">% Compound </w:t>
            </w:r>
            <w:r w:rsidRPr="00AF0D7B">
              <w:br/>
              <w:t>Annual Growth</w:t>
            </w:r>
            <w:r>
              <w:t xml:space="preserve"> between 2017 and 2037, based on the GMFM-2018 Model</w:t>
            </w:r>
          </w:p>
        </w:tc>
      </w:tr>
      <w:tr w:rsidR="007616C2" w:rsidRPr="00AF0D7B" w14:paraId="4B51D910" w14:textId="77777777" w:rsidTr="007616C2">
        <w:trPr>
          <w:trHeight w:val="284"/>
        </w:trPr>
        <w:tc>
          <w:tcPr>
            <w:tcW w:w="1559" w:type="dxa"/>
            <w:tcBorders>
              <w:top w:val="single" w:sz="12" w:space="0" w:color="auto"/>
              <w:left w:val="single" w:sz="12" w:space="0" w:color="auto"/>
              <w:right w:val="single" w:sz="12" w:space="0" w:color="auto"/>
            </w:tcBorders>
            <w:shd w:val="clear" w:color="auto" w:fill="auto"/>
            <w:vAlign w:val="center"/>
          </w:tcPr>
          <w:p w14:paraId="0BFE5776" w14:textId="77777777" w:rsidR="007616C2" w:rsidRPr="00AF0D7B" w:rsidRDefault="007616C2" w:rsidP="007616C2">
            <w:r w:rsidRPr="00AF0D7B">
              <w:t>GVA</w:t>
            </w:r>
          </w:p>
        </w:tc>
        <w:tc>
          <w:tcPr>
            <w:tcW w:w="1903" w:type="dxa"/>
            <w:tcBorders>
              <w:top w:val="single" w:sz="12" w:space="0" w:color="auto"/>
              <w:left w:val="single" w:sz="12" w:space="0" w:color="auto"/>
              <w:right w:val="single" w:sz="4" w:space="0" w:color="auto"/>
            </w:tcBorders>
            <w:vAlign w:val="center"/>
          </w:tcPr>
          <w:p w14:paraId="376E0357" w14:textId="77777777" w:rsidR="007616C2" w:rsidRPr="00AF0D7B" w:rsidRDefault="007616C2" w:rsidP="007616C2">
            <w:r>
              <w:t>+£23,873 million</w:t>
            </w:r>
          </w:p>
        </w:tc>
        <w:tc>
          <w:tcPr>
            <w:tcW w:w="1932" w:type="dxa"/>
            <w:tcBorders>
              <w:top w:val="single" w:sz="12" w:space="0" w:color="auto"/>
              <w:left w:val="single" w:sz="4" w:space="0" w:color="auto"/>
              <w:right w:val="single" w:sz="12" w:space="0" w:color="auto"/>
            </w:tcBorders>
            <w:vAlign w:val="center"/>
          </w:tcPr>
          <w:p w14:paraId="1282E04C" w14:textId="77777777" w:rsidR="007616C2" w:rsidRPr="00AF0D7B" w:rsidRDefault="007616C2" w:rsidP="007616C2">
            <w:r>
              <w:t>1.6</w:t>
            </w:r>
            <w:r w:rsidRPr="00AF0D7B">
              <w:t>%</w:t>
            </w:r>
          </w:p>
        </w:tc>
        <w:tc>
          <w:tcPr>
            <w:tcW w:w="1917" w:type="dxa"/>
            <w:tcBorders>
              <w:top w:val="single" w:sz="12" w:space="0" w:color="auto"/>
              <w:left w:val="single" w:sz="12" w:space="0" w:color="auto"/>
              <w:right w:val="single" w:sz="4" w:space="0" w:color="auto"/>
            </w:tcBorders>
            <w:vAlign w:val="center"/>
          </w:tcPr>
          <w:p w14:paraId="41E38639" w14:textId="77777777" w:rsidR="007616C2" w:rsidRPr="00AF0D7B" w:rsidRDefault="007616C2" w:rsidP="007616C2">
            <w:r>
              <w:t>+£25,4</w:t>
            </w:r>
            <w:r w:rsidRPr="00AF0D7B">
              <w:t>00 million</w:t>
            </w:r>
          </w:p>
        </w:tc>
        <w:tc>
          <w:tcPr>
            <w:tcW w:w="1918" w:type="dxa"/>
            <w:tcBorders>
              <w:top w:val="single" w:sz="12" w:space="0" w:color="auto"/>
              <w:left w:val="single" w:sz="4" w:space="0" w:color="auto"/>
              <w:right w:val="single" w:sz="12" w:space="0" w:color="auto"/>
            </w:tcBorders>
            <w:vAlign w:val="center"/>
          </w:tcPr>
          <w:p w14:paraId="50A0FE8A" w14:textId="77777777" w:rsidR="007616C2" w:rsidRPr="00AF0D7B" w:rsidRDefault="007616C2" w:rsidP="007616C2">
            <w:r w:rsidRPr="00AF0D7B">
              <w:t>1.7%</w:t>
            </w:r>
          </w:p>
        </w:tc>
      </w:tr>
      <w:tr w:rsidR="007616C2" w:rsidRPr="00AF0D7B" w14:paraId="08CBA232" w14:textId="77777777" w:rsidTr="007616C2">
        <w:trPr>
          <w:trHeight w:val="284"/>
        </w:trPr>
        <w:tc>
          <w:tcPr>
            <w:tcW w:w="1559" w:type="dxa"/>
            <w:tcBorders>
              <w:left w:val="single" w:sz="12" w:space="0" w:color="auto"/>
              <w:right w:val="single" w:sz="12" w:space="0" w:color="auto"/>
            </w:tcBorders>
            <w:shd w:val="clear" w:color="auto" w:fill="auto"/>
            <w:vAlign w:val="center"/>
          </w:tcPr>
          <w:p w14:paraId="289C5233" w14:textId="77777777" w:rsidR="007616C2" w:rsidRPr="00AF0D7B" w:rsidRDefault="007616C2" w:rsidP="007616C2">
            <w:r w:rsidRPr="00AF0D7B">
              <w:t>Productivity</w:t>
            </w:r>
          </w:p>
        </w:tc>
        <w:tc>
          <w:tcPr>
            <w:tcW w:w="1903" w:type="dxa"/>
            <w:tcBorders>
              <w:left w:val="single" w:sz="12" w:space="0" w:color="auto"/>
              <w:right w:val="single" w:sz="4" w:space="0" w:color="auto"/>
            </w:tcBorders>
            <w:vAlign w:val="center"/>
          </w:tcPr>
          <w:p w14:paraId="100A277A" w14:textId="77777777" w:rsidR="007616C2" w:rsidRPr="00AF0D7B" w:rsidRDefault="007616C2" w:rsidP="007616C2">
            <w:r>
              <w:t>+£9</w:t>
            </w:r>
            <w:r w:rsidRPr="00AF0D7B">
              <w:t>,600</w:t>
            </w:r>
          </w:p>
        </w:tc>
        <w:tc>
          <w:tcPr>
            <w:tcW w:w="1932" w:type="dxa"/>
            <w:tcBorders>
              <w:left w:val="single" w:sz="4" w:space="0" w:color="auto"/>
              <w:right w:val="single" w:sz="12" w:space="0" w:color="auto"/>
            </w:tcBorders>
            <w:vAlign w:val="center"/>
          </w:tcPr>
          <w:p w14:paraId="70992897" w14:textId="77777777" w:rsidR="007616C2" w:rsidRPr="00AF0D7B" w:rsidRDefault="007616C2" w:rsidP="007616C2">
            <w:r>
              <w:t>1.0</w:t>
            </w:r>
            <w:r w:rsidRPr="00AF0D7B">
              <w:t>%</w:t>
            </w:r>
          </w:p>
        </w:tc>
        <w:tc>
          <w:tcPr>
            <w:tcW w:w="1917" w:type="dxa"/>
            <w:tcBorders>
              <w:left w:val="single" w:sz="12" w:space="0" w:color="auto"/>
              <w:right w:val="single" w:sz="4" w:space="0" w:color="auto"/>
            </w:tcBorders>
            <w:vAlign w:val="center"/>
          </w:tcPr>
          <w:p w14:paraId="3EB72EAE" w14:textId="77777777" w:rsidR="007616C2" w:rsidRPr="00AF0D7B" w:rsidRDefault="007616C2" w:rsidP="007616C2">
            <w:r>
              <w:t>+£12,8</w:t>
            </w:r>
            <w:r w:rsidRPr="00AF0D7B">
              <w:t>00</w:t>
            </w:r>
          </w:p>
        </w:tc>
        <w:tc>
          <w:tcPr>
            <w:tcW w:w="1918" w:type="dxa"/>
            <w:tcBorders>
              <w:left w:val="single" w:sz="4" w:space="0" w:color="auto"/>
              <w:right w:val="single" w:sz="12" w:space="0" w:color="auto"/>
            </w:tcBorders>
            <w:vAlign w:val="center"/>
          </w:tcPr>
          <w:p w14:paraId="14868C93" w14:textId="77777777" w:rsidR="007616C2" w:rsidRPr="00AF0D7B" w:rsidRDefault="007616C2" w:rsidP="007616C2">
            <w:r w:rsidRPr="00AF0D7B">
              <w:t>1.3%</w:t>
            </w:r>
          </w:p>
        </w:tc>
      </w:tr>
      <w:tr w:rsidR="007616C2" w:rsidRPr="00AF0D7B" w14:paraId="25F1FC41" w14:textId="77777777" w:rsidTr="007616C2">
        <w:trPr>
          <w:trHeight w:val="284"/>
        </w:trPr>
        <w:tc>
          <w:tcPr>
            <w:tcW w:w="1559" w:type="dxa"/>
            <w:tcBorders>
              <w:left w:val="single" w:sz="12" w:space="0" w:color="auto"/>
              <w:right w:val="single" w:sz="12" w:space="0" w:color="auto"/>
            </w:tcBorders>
            <w:shd w:val="clear" w:color="auto" w:fill="auto"/>
            <w:vAlign w:val="center"/>
          </w:tcPr>
          <w:p w14:paraId="0E799607" w14:textId="77777777" w:rsidR="007616C2" w:rsidRPr="00AF0D7B" w:rsidRDefault="007616C2" w:rsidP="007616C2">
            <w:r w:rsidRPr="00AF0D7B">
              <w:t>Employment</w:t>
            </w:r>
          </w:p>
        </w:tc>
        <w:tc>
          <w:tcPr>
            <w:tcW w:w="1903" w:type="dxa"/>
            <w:tcBorders>
              <w:left w:val="single" w:sz="12" w:space="0" w:color="auto"/>
              <w:right w:val="single" w:sz="4" w:space="0" w:color="auto"/>
            </w:tcBorders>
            <w:vAlign w:val="center"/>
          </w:tcPr>
          <w:p w14:paraId="697D449C" w14:textId="77777777" w:rsidR="007616C2" w:rsidRPr="00AF0D7B" w:rsidRDefault="007616C2" w:rsidP="007616C2">
            <w:r>
              <w:t>+183,000</w:t>
            </w:r>
          </w:p>
        </w:tc>
        <w:tc>
          <w:tcPr>
            <w:tcW w:w="1932" w:type="dxa"/>
            <w:tcBorders>
              <w:left w:val="single" w:sz="4" w:space="0" w:color="auto"/>
              <w:right w:val="single" w:sz="12" w:space="0" w:color="auto"/>
            </w:tcBorders>
            <w:vAlign w:val="center"/>
          </w:tcPr>
          <w:p w14:paraId="05BE0C1D" w14:textId="77777777" w:rsidR="007616C2" w:rsidRPr="00AF0D7B" w:rsidRDefault="007616C2" w:rsidP="007616C2">
            <w:r>
              <w:t>0.6</w:t>
            </w:r>
            <w:r w:rsidRPr="00AF0D7B">
              <w:t>%</w:t>
            </w:r>
          </w:p>
        </w:tc>
        <w:tc>
          <w:tcPr>
            <w:tcW w:w="1917" w:type="dxa"/>
            <w:tcBorders>
              <w:left w:val="single" w:sz="12" w:space="0" w:color="auto"/>
              <w:right w:val="single" w:sz="4" w:space="0" w:color="auto"/>
            </w:tcBorders>
            <w:vAlign w:val="center"/>
          </w:tcPr>
          <w:p w14:paraId="66E3562D" w14:textId="77777777" w:rsidR="007616C2" w:rsidRPr="00AF0D7B" w:rsidRDefault="007616C2" w:rsidP="007616C2">
            <w:r>
              <w:t>+122</w:t>
            </w:r>
            <w:r w:rsidRPr="00AF0D7B">
              <w:t>,100</w:t>
            </w:r>
          </w:p>
        </w:tc>
        <w:tc>
          <w:tcPr>
            <w:tcW w:w="1918" w:type="dxa"/>
            <w:tcBorders>
              <w:left w:val="single" w:sz="4" w:space="0" w:color="auto"/>
              <w:right w:val="single" w:sz="12" w:space="0" w:color="auto"/>
            </w:tcBorders>
            <w:vAlign w:val="center"/>
          </w:tcPr>
          <w:p w14:paraId="3A6DEB8B" w14:textId="77777777" w:rsidR="007616C2" w:rsidRPr="00AF0D7B" w:rsidRDefault="007616C2" w:rsidP="007616C2">
            <w:r w:rsidRPr="00AF0D7B">
              <w:t>0.5%</w:t>
            </w:r>
          </w:p>
        </w:tc>
      </w:tr>
      <w:tr w:rsidR="007616C2" w:rsidRPr="00AF0D7B" w14:paraId="3FF88CBC" w14:textId="77777777" w:rsidTr="007616C2">
        <w:trPr>
          <w:trHeight w:val="284"/>
        </w:trPr>
        <w:tc>
          <w:tcPr>
            <w:tcW w:w="1559" w:type="dxa"/>
            <w:tcBorders>
              <w:left w:val="single" w:sz="12" w:space="0" w:color="auto"/>
              <w:bottom w:val="single" w:sz="12" w:space="0" w:color="auto"/>
              <w:right w:val="single" w:sz="12" w:space="0" w:color="auto"/>
            </w:tcBorders>
            <w:shd w:val="clear" w:color="auto" w:fill="auto"/>
            <w:vAlign w:val="center"/>
          </w:tcPr>
          <w:p w14:paraId="3F2D3454" w14:textId="77777777" w:rsidR="007616C2" w:rsidRPr="00AF0D7B" w:rsidRDefault="007616C2" w:rsidP="007616C2">
            <w:r w:rsidRPr="00AF0D7B">
              <w:t>Population</w:t>
            </w:r>
          </w:p>
        </w:tc>
        <w:tc>
          <w:tcPr>
            <w:tcW w:w="1903" w:type="dxa"/>
            <w:tcBorders>
              <w:left w:val="single" w:sz="12" w:space="0" w:color="auto"/>
              <w:bottom w:val="single" w:sz="12" w:space="0" w:color="auto"/>
              <w:right w:val="single" w:sz="4" w:space="0" w:color="auto"/>
            </w:tcBorders>
            <w:vAlign w:val="center"/>
          </w:tcPr>
          <w:p w14:paraId="443D400D" w14:textId="77777777" w:rsidR="007616C2" w:rsidRPr="00AF0D7B" w:rsidRDefault="007616C2" w:rsidP="007616C2">
            <w:r>
              <w:t>+184,9</w:t>
            </w:r>
            <w:r w:rsidRPr="00AF0D7B">
              <w:t>00</w:t>
            </w:r>
          </w:p>
        </w:tc>
        <w:tc>
          <w:tcPr>
            <w:tcW w:w="1932" w:type="dxa"/>
            <w:tcBorders>
              <w:left w:val="single" w:sz="4" w:space="0" w:color="auto"/>
              <w:bottom w:val="single" w:sz="12" w:space="0" w:color="auto"/>
              <w:right w:val="single" w:sz="12" w:space="0" w:color="auto"/>
            </w:tcBorders>
            <w:vAlign w:val="center"/>
          </w:tcPr>
          <w:p w14:paraId="7CCEFBC6" w14:textId="77777777" w:rsidR="007616C2" w:rsidRPr="00AF0D7B" w:rsidRDefault="007616C2" w:rsidP="007616C2">
            <w:r w:rsidRPr="00AF0D7B">
              <w:t>0.3%</w:t>
            </w:r>
          </w:p>
        </w:tc>
        <w:tc>
          <w:tcPr>
            <w:tcW w:w="1917" w:type="dxa"/>
            <w:tcBorders>
              <w:left w:val="single" w:sz="12" w:space="0" w:color="auto"/>
              <w:bottom w:val="single" w:sz="12" w:space="0" w:color="auto"/>
              <w:right w:val="single" w:sz="4" w:space="0" w:color="auto"/>
            </w:tcBorders>
            <w:vAlign w:val="center"/>
          </w:tcPr>
          <w:p w14:paraId="2B9DDEF4" w14:textId="77777777" w:rsidR="007616C2" w:rsidRPr="00AF0D7B" w:rsidRDefault="007616C2" w:rsidP="007616C2">
            <w:r>
              <w:t>+181,3</w:t>
            </w:r>
            <w:r w:rsidRPr="00AF0D7B">
              <w:t>00</w:t>
            </w:r>
          </w:p>
        </w:tc>
        <w:tc>
          <w:tcPr>
            <w:tcW w:w="1918" w:type="dxa"/>
            <w:tcBorders>
              <w:left w:val="single" w:sz="4" w:space="0" w:color="auto"/>
              <w:bottom w:val="single" w:sz="12" w:space="0" w:color="auto"/>
              <w:right w:val="single" w:sz="12" w:space="0" w:color="auto"/>
            </w:tcBorders>
            <w:vAlign w:val="center"/>
          </w:tcPr>
          <w:p w14:paraId="627F1293" w14:textId="77777777" w:rsidR="007616C2" w:rsidRPr="00AF0D7B" w:rsidRDefault="007616C2" w:rsidP="007616C2">
            <w:r w:rsidRPr="00AF0D7B">
              <w:t>0.3%</w:t>
            </w:r>
          </w:p>
        </w:tc>
      </w:tr>
    </w:tbl>
    <w:p w14:paraId="7CA1DB2C" w14:textId="77777777" w:rsidR="00FC59D7" w:rsidRDefault="00FC59D7" w:rsidP="007616C2"/>
    <w:p w14:paraId="25EC581F" w14:textId="6B1B6540" w:rsidR="007616C2" w:rsidRPr="001E5153" w:rsidRDefault="001E5153" w:rsidP="007616C2">
      <w:r>
        <w:lastRenderedPageBreak/>
        <w:t>3.11. Table 5</w:t>
      </w:r>
      <w:r w:rsidR="007616C2" w:rsidRPr="001E5153">
        <w:t>: GMFM-2019 baseline forecasts for the UK (latest vs previous model)</w:t>
      </w:r>
      <w:r w:rsidR="00FC59D7">
        <w:t>.</w:t>
      </w:r>
      <w:r w:rsidR="00FC59D7" w:rsidRPr="00FC59D7">
        <w:t xml:space="preserve"> </w:t>
      </w:r>
      <w:r w:rsidR="00FC59D7" w:rsidRPr="00FC59D7">
        <w:rPr>
          <w:i/>
          <w:iCs/>
        </w:rPr>
        <w:t>Source: Oxford Economics GMFM-2019 vs GMFM-2018 (GMFM-2019 in 2016 constant prices, GMFM-2018 in 2015 prices</w:t>
      </w:r>
    </w:p>
    <w:tbl>
      <w:tblPr>
        <w:tblW w:w="92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MFM baseline forecasts for the UK (latest vs previous models)"/>
        <w:tblDescription w:val="Table showing how the forecasting of key economic measures for the UK between 2017 and 2037 have changed between the latest GMFM-2019 model and the previous GMFM-2018 model. This includes both net change and % annual growth - the latest model forecasts slightly smaller increases in GVA and Productivity than the previous model, but slightly larger increases in Employment and Population."/>
      </w:tblPr>
      <w:tblGrid>
        <w:gridCol w:w="1559"/>
        <w:gridCol w:w="1903"/>
        <w:gridCol w:w="1932"/>
        <w:gridCol w:w="1917"/>
        <w:gridCol w:w="1918"/>
      </w:tblGrid>
      <w:tr w:rsidR="007616C2" w:rsidRPr="00AF0D7B" w14:paraId="1A30C8B1" w14:textId="77777777" w:rsidTr="007616C2">
        <w:trPr>
          <w:trHeight w:val="284"/>
        </w:trPr>
        <w:tc>
          <w:tcPr>
            <w:tcW w:w="1559" w:type="dxa"/>
            <w:shd w:val="clear" w:color="auto" w:fill="000000"/>
            <w:vAlign w:val="center"/>
          </w:tcPr>
          <w:p w14:paraId="4F36B831" w14:textId="77777777" w:rsidR="007616C2" w:rsidRPr="00AF0D7B" w:rsidRDefault="007616C2" w:rsidP="007616C2">
            <w:r w:rsidRPr="00AF0D7B">
              <w:t>Measure:</w:t>
            </w:r>
          </w:p>
        </w:tc>
        <w:tc>
          <w:tcPr>
            <w:tcW w:w="1903" w:type="dxa"/>
            <w:shd w:val="clear" w:color="auto" w:fill="000000"/>
            <w:vAlign w:val="center"/>
          </w:tcPr>
          <w:p w14:paraId="014501B4" w14:textId="77777777" w:rsidR="007616C2" w:rsidRPr="00AF0D7B" w:rsidRDefault="007616C2" w:rsidP="007616C2">
            <w:r w:rsidRPr="00AF0D7B">
              <w:t>Net increase/</w:t>
            </w:r>
            <w:r w:rsidRPr="00AF0D7B">
              <w:br/>
              <w:t>decrease</w:t>
            </w:r>
            <w:r>
              <w:t xml:space="preserve"> between 2017 and 2037, based on the GMFM-2019 Model</w:t>
            </w:r>
          </w:p>
        </w:tc>
        <w:tc>
          <w:tcPr>
            <w:tcW w:w="1932" w:type="dxa"/>
            <w:shd w:val="clear" w:color="auto" w:fill="000000" w:themeFill="text1"/>
            <w:vAlign w:val="center"/>
          </w:tcPr>
          <w:p w14:paraId="4F5EF7F5" w14:textId="77777777" w:rsidR="007616C2" w:rsidRPr="00AF0D7B" w:rsidRDefault="007616C2" w:rsidP="007616C2">
            <w:r w:rsidRPr="00AF0D7B">
              <w:t xml:space="preserve">% Compound </w:t>
            </w:r>
            <w:r w:rsidRPr="00AF0D7B">
              <w:br/>
              <w:t>Annual Growth</w:t>
            </w:r>
            <w:r>
              <w:t xml:space="preserve"> between 2017 and 2037, based on the GMFM-2019 Model</w:t>
            </w:r>
          </w:p>
        </w:tc>
        <w:tc>
          <w:tcPr>
            <w:tcW w:w="1917" w:type="dxa"/>
            <w:shd w:val="clear" w:color="auto" w:fill="000000"/>
            <w:vAlign w:val="center"/>
          </w:tcPr>
          <w:p w14:paraId="095B5A3C" w14:textId="77777777" w:rsidR="007616C2" w:rsidRPr="00AF0D7B" w:rsidRDefault="007616C2" w:rsidP="007616C2">
            <w:r w:rsidRPr="00AF0D7B">
              <w:t>Net increase/</w:t>
            </w:r>
            <w:r w:rsidRPr="00AF0D7B">
              <w:br/>
              <w:t>decrease</w:t>
            </w:r>
            <w:r>
              <w:t xml:space="preserve"> between 2017 and 2037, based on the GMFM-2018 Model</w:t>
            </w:r>
          </w:p>
        </w:tc>
        <w:tc>
          <w:tcPr>
            <w:tcW w:w="1918" w:type="dxa"/>
            <w:tcBorders>
              <w:right w:val="single" w:sz="12" w:space="0" w:color="auto"/>
            </w:tcBorders>
            <w:shd w:val="clear" w:color="auto" w:fill="000000"/>
            <w:vAlign w:val="center"/>
          </w:tcPr>
          <w:p w14:paraId="10A161C7" w14:textId="77777777" w:rsidR="007616C2" w:rsidRPr="00AF0D7B" w:rsidRDefault="007616C2" w:rsidP="007616C2">
            <w:r w:rsidRPr="00AF0D7B">
              <w:t xml:space="preserve">% Compound </w:t>
            </w:r>
            <w:r w:rsidRPr="00AF0D7B">
              <w:br/>
              <w:t>Annual Growth</w:t>
            </w:r>
            <w:r>
              <w:t xml:space="preserve"> between 2017 and 2037, based on the GMFM-2018 Model</w:t>
            </w:r>
          </w:p>
        </w:tc>
      </w:tr>
      <w:tr w:rsidR="007616C2" w:rsidRPr="00AF0D7B" w14:paraId="1F74235E" w14:textId="77777777" w:rsidTr="007616C2">
        <w:trPr>
          <w:trHeight w:val="284"/>
        </w:trPr>
        <w:tc>
          <w:tcPr>
            <w:tcW w:w="1559" w:type="dxa"/>
            <w:tcBorders>
              <w:top w:val="single" w:sz="12" w:space="0" w:color="auto"/>
              <w:left w:val="single" w:sz="12" w:space="0" w:color="auto"/>
              <w:right w:val="single" w:sz="12" w:space="0" w:color="auto"/>
            </w:tcBorders>
            <w:shd w:val="clear" w:color="auto" w:fill="auto"/>
            <w:vAlign w:val="center"/>
          </w:tcPr>
          <w:p w14:paraId="18E7B2A2" w14:textId="77777777" w:rsidR="007616C2" w:rsidRPr="00AF0D7B" w:rsidRDefault="007616C2" w:rsidP="007616C2">
            <w:r w:rsidRPr="00AF0D7B">
              <w:t>GVA</w:t>
            </w:r>
          </w:p>
        </w:tc>
        <w:tc>
          <w:tcPr>
            <w:tcW w:w="1903" w:type="dxa"/>
            <w:tcBorders>
              <w:top w:val="single" w:sz="12" w:space="0" w:color="auto"/>
              <w:left w:val="single" w:sz="12" w:space="0" w:color="auto"/>
              <w:right w:val="single" w:sz="4" w:space="0" w:color="auto"/>
            </w:tcBorders>
            <w:shd w:val="clear" w:color="auto" w:fill="auto"/>
            <w:vAlign w:val="center"/>
          </w:tcPr>
          <w:p w14:paraId="0BBCAFB8" w14:textId="77777777" w:rsidR="007616C2" w:rsidRPr="00AF0D7B" w:rsidRDefault="007616C2" w:rsidP="007616C2">
            <w:r>
              <w:t>+</w:t>
            </w:r>
            <w:r w:rsidRPr="00AF0D7B">
              <w:t>£</w:t>
            </w:r>
            <w:r>
              <w:t>597,851</w:t>
            </w:r>
            <w:r w:rsidRPr="00AF0D7B">
              <w:t xml:space="preserve"> million</w:t>
            </w:r>
          </w:p>
        </w:tc>
        <w:tc>
          <w:tcPr>
            <w:tcW w:w="1932" w:type="dxa"/>
            <w:tcBorders>
              <w:top w:val="single" w:sz="12" w:space="0" w:color="auto"/>
              <w:left w:val="single" w:sz="4" w:space="0" w:color="auto"/>
              <w:right w:val="single" w:sz="12" w:space="0" w:color="auto"/>
            </w:tcBorders>
            <w:shd w:val="clear" w:color="auto" w:fill="auto"/>
            <w:vAlign w:val="center"/>
          </w:tcPr>
          <w:p w14:paraId="60ADE887" w14:textId="77777777" w:rsidR="007616C2" w:rsidRPr="00AF0D7B" w:rsidRDefault="007616C2" w:rsidP="007616C2">
            <w:r w:rsidRPr="00AF0D7B">
              <w:t>1</w:t>
            </w:r>
            <w:r>
              <w:t>.5</w:t>
            </w:r>
            <w:r w:rsidRPr="00AF0D7B">
              <w:t>%</w:t>
            </w:r>
          </w:p>
        </w:tc>
        <w:tc>
          <w:tcPr>
            <w:tcW w:w="1917" w:type="dxa"/>
            <w:tcBorders>
              <w:top w:val="single" w:sz="12" w:space="0" w:color="auto"/>
              <w:left w:val="single" w:sz="12" w:space="0" w:color="auto"/>
              <w:right w:val="single" w:sz="4" w:space="0" w:color="auto"/>
            </w:tcBorders>
            <w:shd w:val="clear" w:color="auto" w:fill="auto"/>
            <w:vAlign w:val="center"/>
          </w:tcPr>
          <w:p w14:paraId="0ABE7636" w14:textId="77777777" w:rsidR="007616C2" w:rsidRPr="00AF0D7B" w:rsidRDefault="007616C2" w:rsidP="007616C2">
            <w:r>
              <w:t>+</w:t>
            </w:r>
            <w:r w:rsidRPr="00AF0D7B">
              <w:t>£</w:t>
            </w:r>
            <w:r>
              <w:t>689,739</w:t>
            </w:r>
            <w:r w:rsidRPr="00AF0D7B">
              <w:t xml:space="preserve"> million</w:t>
            </w:r>
          </w:p>
        </w:tc>
        <w:tc>
          <w:tcPr>
            <w:tcW w:w="1918" w:type="dxa"/>
            <w:tcBorders>
              <w:top w:val="single" w:sz="12" w:space="0" w:color="auto"/>
              <w:left w:val="single" w:sz="4" w:space="0" w:color="auto"/>
              <w:right w:val="single" w:sz="12" w:space="0" w:color="auto"/>
            </w:tcBorders>
            <w:shd w:val="clear" w:color="auto" w:fill="auto"/>
            <w:vAlign w:val="center"/>
          </w:tcPr>
          <w:p w14:paraId="47C9B010" w14:textId="77777777" w:rsidR="007616C2" w:rsidRPr="00AF0D7B" w:rsidRDefault="007616C2" w:rsidP="007616C2">
            <w:r w:rsidRPr="00AF0D7B">
              <w:t>1.7%</w:t>
            </w:r>
          </w:p>
        </w:tc>
      </w:tr>
      <w:tr w:rsidR="007616C2" w:rsidRPr="00AF0D7B" w14:paraId="45A1D7B7" w14:textId="77777777" w:rsidTr="007616C2">
        <w:trPr>
          <w:trHeight w:val="284"/>
        </w:trPr>
        <w:tc>
          <w:tcPr>
            <w:tcW w:w="1559" w:type="dxa"/>
            <w:tcBorders>
              <w:left w:val="single" w:sz="12" w:space="0" w:color="auto"/>
              <w:right w:val="single" w:sz="12" w:space="0" w:color="auto"/>
            </w:tcBorders>
            <w:shd w:val="clear" w:color="auto" w:fill="auto"/>
            <w:vAlign w:val="center"/>
          </w:tcPr>
          <w:p w14:paraId="7AB96BEC" w14:textId="77777777" w:rsidR="007616C2" w:rsidRPr="00AF0D7B" w:rsidRDefault="007616C2" w:rsidP="007616C2">
            <w:r w:rsidRPr="00AF0D7B">
              <w:t>Productivity</w:t>
            </w:r>
          </w:p>
        </w:tc>
        <w:tc>
          <w:tcPr>
            <w:tcW w:w="1903" w:type="dxa"/>
            <w:tcBorders>
              <w:left w:val="single" w:sz="12" w:space="0" w:color="auto"/>
              <w:right w:val="single" w:sz="4" w:space="0" w:color="auto"/>
            </w:tcBorders>
            <w:shd w:val="clear" w:color="auto" w:fill="auto"/>
            <w:vAlign w:val="center"/>
          </w:tcPr>
          <w:p w14:paraId="366E409C" w14:textId="77777777" w:rsidR="007616C2" w:rsidRPr="00AF0D7B" w:rsidRDefault="007616C2" w:rsidP="007616C2">
            <w:r>
              <w:t>+£12,4</w:t>
            </w:r>
            <w:r w:rsidRPr="00AF0D7B">
              <w:t>00</w:t>
            </w:r>
          </w:p>
        </w:tc>
        <w:tc>
          <w:tcPr>
            <w:tcW w:w="1932" w:type="dxa"/>
            <w:tcBorders>
              <w:left w:val="single" w:sz="4" w:space="0" w:color="auto"/>
              <w:right w:val="single" w:sz="12" w:space="0" w:color="auto"/>
            </w:tcBorders>
            <w:shd w:val="clear" w:color="auto" w:fill="auto"/>
            <w:vAlign w:val="center"/>
          </w:tcPr>
          <w:p w14:paraId="3EB16E86" w14:textId="77777777" w:rsidR="007616C2" w:rsidRPr="00AF0D7B" w:rsidRDefault="007616C2" w:rsidP="007616C2">
            <w:r>
              <w:t>1.1</w:t>
            </w:r>
            <w:r w:rsidRPr="00AF0D7B">
              <w:t>%</w:t>
            </w:r>
          </w:p>
        </w:tc>
        <w:tc>
          <w:tcPr>
            <w:tcW w:w="1917" w:type="dxa"/>
            <w:tcBorders>
              <w:left w:val="single" w:sz="12" w:space="0" w:color="auto"/>
              <w:right w:val="single" w:sz="4" w:space="0" w:color="auto"/>
            </w:tcBorders>
            <w:shd w:val="clear" w:color="auto" w:fill="auto"/>
            <w:vAlign w:val="center"/>
          </w:tcPr>
          <w:p w14:paraId="37E9D9F4" w14:textId="77777777" w:rsidR="007616C2" w:rsidRPr="00AF0D7B" w:rsidRDefault="007616C2" w:rsidP="007616C2">
            <w:r>
              <w:t>+£15,4</w:t>
            </w:r>
            <w:r w:rsidRPr="00AF0D7B">
              <w:t>00</w:t>
            </w:r>
          </w:p>
        </w:tc>
        <w:tc>
          <w:tcPr>
            <w:tcW w:w="1918" w:type="dxa"/>
            <w:tcBorders>
              <w:left w:val="single" w:sz="4" w:space="0" w:color="auto"/>
              <w:right w:val="single" w:sz="12" w:space="0" w:color="auto"/>
            </w:tcBorders>
            <w:shd w:val="clear" w:color="auto" w:fill="auto"/>
            <w:vAlign w:val="center"/>
          </w:tcPr>
          <w:p w14:paraId="215B463A" w14:textId="77777777" w:rsidR="007616C2" w:rsidRPr="00AF0D7B" w:rsidRDefault="007616C2" w:rsidP="007616C2">
            <w:r>
              <w:t>1.4</w:t>
            </w:r>
            <w:r w:rsidRPr="00AF0D7B">
              <w:t>%</w:t>
            </w:r>
          </w:p>
        </w:tc>
      </w:tr>
      <w:tr w:rsidR="007616C2" w:rsidRPr="00AF0D7B" w14:paraId="7AAAF152" w14:textId="77777777" w:rsidTr="007616C2">
        <w:trPr>
          <w:trHeight w:val="284"/>
        </w:trPr>
        <w:tc>
          <w:tcPr>
            <w:tcW w:w="1559" w:type="dxa"/>
            <w:tcBorders>
              <w:left w:val="single" w:sz="12" w:space="0" w:color="auto"/>
              <w:right w:val="single" w:sz="12" w:space="0" w:color="auto"/>
            </w:tcBorders>
            <w:shd w:val="clear" w:color="auto" w:fill="auto"/>
            <w:vAlign w:val="center"/>
          </w:tcPr>
          <w:p w14:paraId="05C2C341" w14:textId="77777777" w:rsidR="007616C2" w:rsidRPr="00AF0D7B" w:rsidRDefault="007616C2" w:rsidP="007616C2">
            <w:r w:rsidRPr="00AF0D7B">
              <w:t>Employment</w:t>
            </w:r>
          </w:p>
        </w:tc>
        <w:tc>
          <w:tcPr>
            <w:tcW w:w="1903" w:type="dxa"/>
            <w:tcBorders>
              <w:left w:val="single" w:sz="12" w:space="0" w:color="auto"/>
              <w:right w:val="single" w:sz="4" w:space="0" w:color="auto"/>
            </w:tcBorders>
            <w:shd w:val="clear" w:color="auto" w:fill="auto"/>
            <w:vAlign w:val="center"/>
          </w:tcPr>
          <w:p w14:paraId="1BC9567A" w14:textId="77777777" w:rsidR="007616C2" w:rsidRPr="00AF0D7B" w:rsidRDefault="007616C2" w:rsidP="007616C2">
            <w:r>
              <w:t>+2,706,1</w:t>
            </w:r>
            <w:r w:rsidRPr="00AF0D7B">
              <w:t>00</w:t>
            </w:r>
          </w:p>
        </w:tc>
        <w:tc>
          <w:tcPr>
            <w:tcW w:w="1932" w:type="dxa"/>
            <w:tcBorders>
              <w:left w:val="single" w:sz="4" w:space="0" w:color="auto"/>
              <w:right w:val="single" w:sz="12" w:space="0" w:color="auto"/>
            </w:tcBorders>
            <w:shd w:val="clear" w:color="auto" w:fill="auto"/>
            <w:vAlign w:val="center"/>
          </w:tcPr>
          <w:p w14:paraId="16075333" w14:textId="77777777" w:rsidR="007616C2" w:rsidRPr="00AF0D7B" w:rsidRDefault="007616C2" w:rsidP="007616C2">
            <w:r w:rsidRPr="00AF0D7B">
              <w:t>0.4%</w:t>
            </w:r>
          </w:p>
        </w:tc>
        <w:tc>
          <w:tcPr>
            <w:tcW w:w="1917" w:type="dxa"/>
            <w:tcBorders>
              <w:left w:val="single" w:sz="12" w:space="0" w:color="auto"/>
              <w:right w:val="single" w:sz="4" w:space="0" w:color="auto"/>
            </w:tcBorders>
            <w:shd w:val="clear" w:color="auto" w:fill="auto"/>
            <w:vAlign w:val="center"/>
          </w:tcPr>
          <w:p w14:paraId="320F8CF1" w14:textId="77777777" w:rsidR="007616C2" w:rsidRPr="00AF0D7B" w:rsidRDefault="007616C2" w:rsidP="007616C2">
            <w:r>
              <w:t>+2,299</w:t>
            </w:r>
            <w:r w:rsidRPr="00AF0D7B">
              <w:t>,000</w:t>
            </w:r>
          </w:p>
        </w:tc>
        <w:tc>
          <w:tcPr>
            <w:tcW w:w="1918" w:type="dxa"/>
            <w:tcBorders>
              <w:left w:val="single" w:sz="4" w:space="0" w:color="auto"/>
              <w:right w:val="single" w:sz="12" w:space="0" w:color="auto"/>
            </w:tcBorders>
            <w:shd w:val="clear" w:color="auto" w:fill="auto"/>
            <w:vAlign w:val="center"/>
          </w:tcPr>
          <w:p w14:paraId="199EC2FC" w14:textId="77777777" w:rsidR="007616C2" w:rsidRPr="00AF0D7B" w:rsidRDefault="007616C2" w:rsidP="007616C2">
            <w:r>
              <w:t>0.3</w:t>
            </w:r>
            <w:r w:rsidRPr="00AF0D7B">
              <w:t>%</w:t>
            </w:r>
          </w:p>
        </w:tc>
      </w:tr>
      <w:tr w:rsidR="007616C2" w:rsidRPr="00AF0D7B" w14:paraId="6062067A" w14:textId="77777777" w:rsidTr="00FC59D7">
        <w:trPr>
          <w:trHeight w:val="284"/>
        </w:trPr>
        <w:tc>
          <w:tcPr>
            <w:tcW w:w="1559" w:type="dxa"/>
            <w:tcBorders>
              <w:left w:val="single" w:sz="12" w:space="0" w:color="auto"/>
              <w:right w:val="single" w:sz="12" w:space="0" w:color="auto"/>
            </w:tcBorders>
            <w:shd w:val="clear" w:color="auto" w:fill="auto"/>
            <w:vAlign w:val="center"/>
          </w:tcPr>
          <w:p w14:paraId="0490E04D" w14:textId="77777777" w:rsidR="007616C2" w:rsidRPr="00AF0D7B" w:rsidRDefault="007616C2" w:rsidP="007616C2">
            <w:r w:rsidRPr="00AF0D7B">
              <w:t>Population</w:t>
            </w:r>
          </w:p>
        </w:tc>
        <w:tc>
          <w:tcPr>
            <w:tcW w:w="1903" w:type="dxa"/>
            <w:tcBorders>
              <w:left w:val="single" w:sz="12" w:space="0" w:color="auto"/>
              <w:right w:val="single" w:sz="4" w:space="0" w:color="auto"/>
            </w:tcBorders>
            <w:shd w:val="clear" w:color="auto" w:fill="auto"/>
            <w:vAlign w:val="center"/>
          </w:tcPr>
          <w:p w14:paraId="44F9A145" w14:textId="77777777" w:rsidR="007616C2" w:rsidRPr="00AF0D7B" w:rsidRDefault="007616C2" w:rsidP="007616C2">
            <w:r>
              <w:t>+4,835,4</w:t>
            </w:r>
            <w:r w:rsidRPr="00AF0D7B">
              <w:t>00</w:t>
            </w:r>
          </w:p>
        </w:tc>
        <w:tc>
          <w:tcPr>
            <w:tcW w:w="1932" w:type="dxa"/>
            <w:tcBorders>
              <w:left w:val="single" w:sz="4" w:space="0" w:color="auto"/>
              <w:right w:val="single" w:sz="12" w:space="0" w:color="auto"/>
            </w:tcBorders>
            <w:shd w:val="clear" w:color="auto" w:fill="auto"/>
            <w:vAlign w:val="center"/>
          </w:tcPr>
          <w:p w14:paraId="37ACAFDB" w14:textId="77777777" w:rsidR="007616C2" w:rsidRPr="00AF0D7B" w:rsidRDefault="007616C2" w:rsidP="007616C2">
            <w:r w:rsidRPr="00AF0D7B">
              <w:t>0.4%</w:t>
            </w:r>
          </w:p>
        </w:tc>
        <w:tc>
          <w:tcPr>
            <w:tcW w:w="1917" w:type="dxa"/>
            <w:tcBorders>
              <w:left w:val="single" w:sz="12" w:space="0" w:color="auto"/>
              <w:right w:val="single" w:sz="4" w:space="0" w:color="auto"/>
            </w:tcBorders>
            <w:shd w:val="clear" w:color="auto" w:fill="auto"/>
            <w:vAlign w:val="center"/>
          </w:tcPr>
          <w:p w14:paraId="76E32B96" w14:textId="77777777" w:rsidR="007616C2" w:rsidRPr="00AF0D7B" w:rsidRDefault="007616C2" w:rsidP="007616C2">
            <w:r>
              <w:t>+4,647,1</w:t>
            </w:r>
            <w:r w:rsidRPr="00AF0D7B">
              <w:t>00</w:t>
            </w:r>
          </w:p>
        </w:tc>
        <w:tc>
          <w:tcPr>
            <w:tcW w:w="1918" w:type="dxa"/>
            <w:tcBorders>
              <w:left w:val="single" w:sz="4" w:space="0" w:color="auto"/>
              <w:right w:val="single" w:sz="12" w:space="0" w:color="auto"/>
            </w:tcBorders>
            <w:shd w:val="clear" w:color="auto" w:fill="auto"/>
            <w:vAlign w:val="center"/>
          </w:tcPr>
          <w:p w14:paraId="040C2131" w14:textId="77777777" w:rsidR="007616C2" w:rsidRPr="00AF0D7B" w:rsidRDefault="007616C2" w:rsidP="007616C2">
            <w:r>
              <w:t>0.3</w:t>
            </w:r>
            <w:r w:rsidRPr="00AF0D7B">
              <w:t>%</w:t>
            </w:r>
          </w:p>
        </w:tc>
      </w:tr>
    </w:tbl>
    <w:p w14:paraId="2CC3AE93" w14:textId="77777777" w:rsidR="00FC59D7" w:rsidRDefault="00FC59D7" w:rsidP="00FC59D7"/>
    <w:p w14:paraId="1FCEBC42" w14:textId="2FE62FC7" w:rsidR="007616C2" w:rsidRDefault="007616C2" w:rsidP="007616C2">
      <w:pPr>
        <w:pStyle w:val="Heading3"/>
      </w:pPr>
      <w:r>
        <w:t>Growth by industry sector</w:t>
      </w:r>
    </w:p>
    <w:p w14:paraId="5918FC07" w14:textId="78F24000" w:rsidR="007616C2" w:rsidRDefault="001E5153" w:rsidP="007616C2">
      <w:r>
        <w:t>3</w:t>
      </w:r>
      <w:r w:rsidR="007616C2">
        <w:t>.1</w:t>
      </w:r>
      <w:r>
        <w:t>2</w:t>
      </w:r>
      <w:r w:rsidR="007616C2">
        <w:tab/>
        <w:t xml:space="preserve">Employment growth in the UK is expected to continue to be driven by the service sectors, with continued job losses in manufacturing (but rising GVA through productivity growth). Within GM, GVA growth will be heavily dependent on private services driving overall growth. The main sectors in terms of </w:t>
      </w:r>
      <w:r w:rsidR="007616C2" w:rsidRPr="00FC59D7">
        <w:rPr>
          <w:b/>
          <w:bCs/>
        </w:rPr>
        <w:t>GVA growth</w:t>
      </w:r>
      <w:r w:rsidR="007616C2">
        <w:t xml:space="preserve"> (difference in levels from 2017 to 2037 for GMCA defined sectors) are:</w:t>
      </w:r>
    </w:p>
    <w:p w14:paraId="2E898065" w14:textId="2189C0E2" w:rsidR="007616C2" w:rsidRDefault="007616C2" w:rsidP="001E5153">
      <w:pPr>
        <w:pStyle w:val="ListParagraph"/>
        <w:numPr>
          <w:ilvl w:val="0"/>
          <w:numId w:val="5"/>
        </w:numPr>
      </w:pPr>
      <w:r w:rsidRPr="003B0EEC">
        <w:rPr>
          <w:b/>
          <w:bCs/>
        </w:rPr>
        <w:t>Business, Financial, and Professional Services</w:t>
      </w:r>
      <w:r>
        <w:t>: +£9,946m (2.1% growth per annum</w:t>
      </w:r>
      <w:proofErr w:type="gramStart"/>
      <w:r>
        <w:t>);</w:t>
      </w:r>
      <w:proofErr w:type="gramEnd"/>
      <w:r>
        <w:t xml:space="preserve"> </w:t>
      </w:r>
    </w:p>
    <w:p w14:paraId="6C0F7316" w14:textId="59C6420A" w:rsidR="007616C2" w:rsidRDefault="007616C2" w:rsidP="001E5153">
      <w:pPr>
        <w:pStyle w:val="ListParagraph"/>
        <w:numPr>
          <w:ilvl w:val="0"/>
          <w:numId w:val="5"/>
        </w:numPr>
      </w:pPr>
      <w:r w:rsidRPr="003B0EEC">
        <w:rPr>
          <w:b/>
          <w:bCs/>
        </w:rPr>
        <w:t>Wholesale and Retail</w:t>
      </w:r>
      <w:r>
        <w:t>: +£2,932m (1.7% growth per annum</w:t>
      </w:r>
      <w:proofErr w:type="gramStart"/>
      <w:r>
        <w:t>);</w:t>
      </w:r>
      <w:proofErr w:type="gramEnd"/>
      <w:r>
        <w:t xml:space="preserve"> </w:t>
      </w:r>
    </w:p>
    <w:p w14:paraId="27BF0F60" w14:textId="7636D845" w:rsidR="007616C2" w:rsidRDefault="007616C2" w:rsidP="001E5153">
      <w:pPr>
        <w:pStyle w:val="ListParagraph"/>
        <w:numPr>
          <w:ilvl w:val="0"/>
          <w:numId w:val="5"/>
        </w:numPr>
      </w:pPr>
      <w:r w:rsidRPr="003B0EEC">
        <w:rPr>
          <w:b/>
          <w:bCs/>
        </w:rPr>
        <w:t>Creative and Digital Industries</w:t>
      </w:r>
      <w:r>
        <w:t xml:space="preserve">: +£2,641m (2.4% growth per annum). </w:t>
      </w:r>
    </w:p>
    <w:p w14:paraId="67BD9D6E" w14:textId="71271A45" w:rsidR="007616C2" w:rsidRDefault="001E5153" w:rsidP="007616C2">
      <w:r>
        <w:lastRenderedPageBreak/>
        <w:t>3</w:t>
      </w:r>
      <w:r w:rsidR="007616C2">
        <w:t>.1</w:t>
      </w:r>
      <w:r>
        <w:t>3</w:t>
      </w:r>
      <w:r w:rsidR="007616C2">
        <w:tab/>
        <w:t xml:space="preserve">The latest forecast shows that long-term trends for </w:t>
      </w:r>
      <w:r w:rsidR="007616C2" w:rsidRPr="003B0EEC">
        <w:rPr>
          <w:b/>
          <w:bCs/>
        </w:rPr>
        <w:t>employment growth</w:t>
      </w:r>
      <w:r w:rsidR="007616C2">
        <w:t xml:space="preserve"> by key sector in GM remain largely unchanged. The main sectors in terms of employment growth are:</w:t>
      </w:r>
    </w:p>
    <w:p w14:paraId="704D70B5" w14:textId="22A612FB" w:rsidR="007616C2" w:rsidRDefault="007616C2" w:rsidP="001E5153">
      <w:pPr>
        <w:pStyle w:val="ListParagraph"/>
        <w:numPr>
          <w:ilvl w:val="0"/>
          <w:numId w:val="5"/>
        </w:numPr>
      </w:pPr>
      <w:r w:rsidRPr="003B0EEC">
        <w:rPr>
          <w:b/>
          <w:bCs/>
        </w:rPr>
        <w:t>Business, Financial and Professional services</w:t>
      </w:r>
      <w:r>
        <w:t>: +81,890 (1.2% per annum</w:t>
      </w:r>
      <w:proofErr w:type="gramStart"/>
      <w:r>
        <w:t>);</w:t>
      </w:r>
      <w:proofErr w:type="gramEnd"/>
      <w:r>
        <w:t xml:space="preserve"> </w:t>
      </w:r>
    </w:p>
    <w:p w14:paraId="65E9B13C" w14:textId="2FF08A64" w:rsidR="007616C2" w:rsidRDefault="007616C2" w:rsidP="001E5153">
      <w:pPr>
        <w:pStyle w:val="ListParagraph"/>
        <w:numPr>
          <w:ilvl w:val="0"/>
          <w:numId w:val="5"/>
        </w:numPr>
      </w:pPr>
      <w:r w:rsidRPr="003B0EEC">
        <w:rPr>
          <w:b/>
          <w:bCs/>
        </w:rPr>
        <w:t>Health and Social Care</w:t>
      </w:r>
      <w:r>
        <w:t>: +28,600 (0.7% per annum)</w:t>
      </w:r>
    </w:p>
    <w:p w14:paraId="514130C6" w14:textId="6EDA89E0" w:rsidR="007616C2" w:rsidRDefault="007616C2" w:rsidP="001E5153">
      <w:pPr>
        <w:pStyle w:val="ListParagraph"/>
        <w:numPr>
          <w:ilvl w:val="0"/>
          <w:numId w:val="5"/>
        </w:numPr>
      </w:pPr>
      <w:r w:rsidRPr="003B0EEC">
        <w:rPr>
          <w:b/>
          <w:bCs/>
        </w:rPr>
        <w:t>Hospitality, Tourism, Sport</w:t>
      </w:r>
      <w:r>
        <w:t>: +22,830 (0.9% per annum)</w:t>
      </w:r>
    </w:p>
    <w:p w14:paraId="4CF8FDEF" w14:textId="1CD3C057" w:rsidR="007616C2" w:rsidRDefault="007616C2" w:rsidP="001E5153">
      <w:pPr>
        <w:pStyle w:val="ListParagraph"/>
        <w:numPr>
          <w:ilvl w:val="0"/>
          <w:numId w:val="5"/>
        </w:numPr>
      </w:pPr>
      <w:r w:rsidRPr="003B0EEC">
        <w:rPr>
          <w:b/>
          <w:bCs/>
        </w:rPr>
        <w:t>Wholesale and Retail</w:t>
      </w:r>
      <w:r>
        <w:t>: +18,520 (0.4% per annum).</w:t>
      </w:r>
    </w:p>
    <w:p w14:paraId="679D38EA" w14:textId="65BFD32E" w:rsidR="007616C2" w:rsidRDefault="001E5153" w:rsidP="007616C2">
      <w:r>
        <w:t>3</w:t>
      </w:r>
      <w:r w:rsidR="007616C2">
        <w:t>.1</w:t>
      </w:r>
      <w:r>
        <w:t>4</w:t>
      </w:r>
      <w:r w:rsidR="007616C2">
        <w:tab/>
        <w:t>Further job losses are forecast in GM’s manufacturing sector as productivity improvements result in labour being substituted by technology; and the baseline forecast suggests that 4,700 jobs will be lost in GM’s Public Administration up to 2037.</w:t>
      </w:r>
    </w:p>
    <w:p w14:paraId="4C933FF1" w14:textId="77777777" w:rsidR="00FC59D7" w:rsidRPr="00AF0D7B" w:rsidRDefault="001E5153" w:rsidP="00FC59D7">
      <w:r>
        <w:t>3.15.</w:t>
      </w:r>
      <w:r>
        <w:tab/>
        <w:t>Table 6</w:t>
      </w:r>
      <w:r w:rsidRPr="00AF0D7B">
        <w:t>: Baseline GMFM-201</w:t>
      </w:r>
      <w:r>
        <w:t>9</w:t>
      </w:r>
      <w:r w:rsidRPr="00AF0D7B">
        <w:t xml:space="preserve"> forecast by main sectors in GM, net increase 201</w:t>
      </w:r>
      <w:r>
        <w:t>7</w:t>
      </w:r>
      <w:r w:rsidRPr="00AF0D7B">
        <w:t xml:space="preserve"> to 203</w:t>
      </w:r>
      <w:r>
        <w:t>7</w:t>
      </w:r>
      <w:r w:rsidR="00FC59D7">
        <w:t xml:space="preserve">. </w:t>
      </w:r>
      <w:r w:rsidR="00FC59D7" w:rsidRPr="00AF0D7B">
        <w:rPr>
          <w:i/>
        </w:rPr>
        <w:t>Source: Oxford Economics GMFM</w:t>
      </w:r>
      <w:r w:rsidR="00FC59D7">
        <w:rPr>
          <w:i/>
        </w:rPr>
        <w:t>-2019</w:t>
      </w:r>
      <w:r w:rsidR="00FC59D7" w:rsidRPr="00AF0D7B">
        <w:rPr>
          <w:i/>
        </w:rPr>
        <w:t>. Main industry sectors defined by GMCA</w:t>
      </w:r>
      <w:r w:rsidR="00FC59D7" w:rsidRPr="00AF0D7B">
        <w:t xml:space="preserve"> </w:t>
      </w:r>
    </w:p>
    <w:p w14:paraId="5CADDDAC" w14:textId="4808D2D2" w:rsidR="001E5153" w:rsidRDefault="001E5153" w:rsidP="001E5153"/>
    <w:tbl>
      <w:tblPr>
        <w:tblW w:w="10207" w:type="dxa"/>
        <w:tblInd w:w="-289" w:type="dxa"/>
        <w:tblLayout w:type="fixed"/>
        <w:tblLook w:val="04A0" w:firstRow="1" w:lastRow="0" w:firstColumn="1" w:lastColumn="0" w:noHBand="0" w:noVBand="1"/>
        <w:tblCaption w:val="Baseline GMFM-2019 forecast by main sectors in GM, net increase 2017 to 2037"/>
        <w:tblDescription w:val="Table showing GMFM-2019's forecast changes in GVA and employment, as a number and an annual % change, between 2017 and 2037. The predictions show that the largest % growth in GVA is expected in Creative and Digital Industries, while Construction is forecast to see the largest % growth in employment."/>
      </w:tblPr>
      <w:tblGrid>
        <w:gridCol w:w="2968"/>
        <w:gridCol w:w="1984"/>
        <w:gridCol w:w="1701"/>
        <w:gridCol w:w="1843"/>
        <w:gridCol w:w="1711"/>
      </w:tblGrid>
      <w:tr w:rsidR="001E5153" w:rsidRPr="00AF0D7B" w14:paraId="72DDAE1C" w14:textId="77777777" w:rsidTr="001E5153">
        <w:trPr>
          <w:trHeight w:val="798"/>
        </w:trPr>
        <w:tc>
          <w:tcPr>
            <w:tcW w:w="2968" w:type="dxa"/>
            <w:tcBorders>
              <w:top w:val="single" w:sz="4" w:space="0" w:color="auto"/>
              <w:left w:val="single" w:sz="12" w:space="0" w:color="auto"/>
              <w:bottom w:val="single" w:sz="4" w:space="0" w:color="auto"/>
              <w:right w:val="single" w:sz="12" w:space="0" w:color="auto"/>
            </w:tcBorders>
            <w:shd w:val="clear" w:color="auto" w:fill="000000"/>
            <w:noWrap/>
            <w:vAlign w:val="center"/>
            <w:hideMark/>
          </w:tcPr>
          <w:p w14:paraId="50896D92" w14:textId="74B72E55" w:rsidR="001E5153" w:rsidRPr="001E5153" w:rsidRDefault="001E5153" w:rsidP="001E5153">
            <w:pPr>
              <w:rPr>
                <w:b/>
                <w:bCs/>
              </w:rPr>
            </w:pPr>
            <w:r w:rsidRPr="001E5153">
              <w:rPr>
                <w:b/>
                <w:bCs/>
              </w:rPr>
              <w:t>GMCA-Defined Sectors</w:t>
            </w:r>
          </w:p>
        </w:tc>
        <w:tc>
          <w:tcPr>
            <w:tcW w:w="1984"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433D58E6" w14:textId="166B9E53" w:rsidR="001E5153" w:rsidRPr="001E5153" w:rsidRDefault="001E5153" w:rsidP="001E5153">
            <w:pPr>
              <w:rPr>
                <w:b/>
                <w:bCs/>
              </w:rPr>
            </w:pPr>
            <w:r w:rsidRPr="001E5153">
              <w:rPr>
                <w:b/>
                <w:bCs/>
              </w:rPr>
              <w:t>Net increase/</w:t>
            </w:r>
            <w:r w:rsidRPr="001E5153">
              <w:rPr>
                <w:b/>
                <w:bCs/>
              </w:rPr>
              <w:br/>
              <w:t>decrease (millions)</w:t>
            </w:r>
            <w:r w:rsidRPr="001E5153">
              <w:rPr>
                <w:b/>
                <w:bCs/>
              </w:rPr>
              <w:t xml:space="preserve"> in GVA, between 2017 and 2037</w:t>
            </w:r>
          </w:p>
        </w:tc>
        <w:tc>
          <w:tcPr>
            <w:tcW w:w="1701" w:type="dxa"/>
            <w:tcBorders>
              <w:top w:val="single" w:sz="4" w:space="0" w:color="auto"/>
              <w:left w:val="nil"/>
              <w:bottom w:val="single" w:sz="4" w:space="0" w:color="auto"/>
              <w:right w:val="single" w:sz="12" w:space="0" w:color="auto"/>
            </w:tcBorders>
            <w:shd w:val="clear" w:color="auto" w:fill="000000"/>
            <w:noWrap/>
            <w:vAlign w:val="center"/>
          </w:tcPr>
          <w:p w14:paraId="238847BF" w14:textId="02EF1F0E" w:rsidR="001E5153" w:rsidRPr="001E5153" w:rsidRDefault="001E5153" w:rsidP="001E5153">
            <w:pPr>
              <w:rPr>
                <w:b/>
                <w:bCs/>
              </w:rPr>
            </w:pPr>
            <w:r w:rsidRPr="001E5153">
              <w:rPr>
                <w:b/>
                <w:bCs/>
              </w:rPr>
              <w:t>% Compound Annual Growth</w:t>
            </w:r>
            <w:r w:rsidRPr="001E5153">
              <w:rPr>
                <w:b/>
                <w:bCs/>
              </w:rPr>
              <w:t xml:space="preserve"> in GVA, between 2017 and 2037</w:t>
            </w:r>
          </w:p>
        </w:tc>
        <w:tc>
          <w:tcPr>
            <w:tcW w:w="1843" w:type="dxa"/>
            <w:tcBorders>
              <w:top w:val="single" w:sz="4" w:space="0" w:color="auto"/>
              <w:left w:val="single" w:sz="12" w:space="0" w:color="auto"/>
              <w:bottom w:val="single" w:sz="4" w:space="0" w:color="auto"/>
              <w:right w:val="single" w:sz="4" w:space="0" w:color="auto"/>
            </w:tcBorders>
            <w:shd w:val="clear" w:color="auto" w:fill="000000"/>
            <w:noWrap/>
            <w:vAlign w:val="center"/>
            <w:hideMark/>
          </w:tcPr>
          <w:p w14:paraId="3E353C35" w14:textId="7D331C84" w:rsidR="001E5153" w:rsidRPr="001E5153" w:rsidRDefault="001E5153" w:rsidP="001E5153">
            <w:pPr>
              <w:rPr>
                <w:b/>
                <w:bCs/>
              </w:rPr>
            </w:pPr>
            <w:r w:rsidRPr="001E5153">
              <w:rPr>
                <w:b/>
                <w:bCs/>
              </w:rPr>
              <w:t>Net increase/</w:t>
            </w:r>
            <w:r w:rsidRPr="001E5153">
              <w:rPr>
                <w:b/>
                <w:bCs/>
              </w:rPr>
              <w:br/>
              <w:t>decrease</w:t>
            </w:r>
            <w:r w:rsidRPr="001E5153">
              <w:rPr>
                <w:b/>
                <w:bCs/>
              </w:rPr>
              <w:t xml:space="preserve"> in employment, between 2017 and 2037</w:t>
            </w:r>
          </w:p>
        </w:tc>
        <w:tc>
          <w:tcPr>
            <w:tcW w:w="1711" w:type="dxa"/>
            <w:tcBorders>
              <w:top w:val="single" w:sz="4" w:space="0" w:color="auto"/>
              <w:left w:val="nil"/>
              <w:bottom w:val="single" w:sz="4" w:space="0" w:color="auto"/>
              <w:right w:val="single" w:sz="12" w:space="0" w:color="auto"/>
            </w:tcBorders>
            <w:shd w:val="clear" w:color="auto" w:fill="000000"/>
            <w:noWrap/>
            <w:vAlign w:val="center"/>
            <w:hideMark/>
          </w:tcPr>
          <w:p w14:paraId="1B53A495" w14:textId="139E9147" w:rsidR="001E5153" w:rsidRPr="001E5153" w:rsidRDefault="001E5153" w:rsidP="001E5153">
            <w:pPr>
              <w:rPr>
                <w:b/>
                <w:bCs/>
              </w:rPr>
            </w:pPr>
            <w:r w:rsidRPr="001E5153">
              <w:rPr>
                <w:b/>
                <w:bCs/>
              </w:rPr>
              <w:t>% Compound Annual Growth</w:t>
            </w:r>
            <w:r w:rsidRPr="001E5153">
              <w:rPr>
                <w:b/>
                <w:bCs/>
              </w:rPr>
              <w:t xml:space="preserve"> in employment, between 2017 and 2037</w:t>
            </w:r>
          </w:p>
        </w:tc>
      </w:tr>
      <w:tr w:rsidR="001E5153" w:rsidRPr="00AF0D7B" w14:paraId="5A87D6ED"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E28E11B" w14:textId="77777777" w:rsidR="001E5153" w:rsidRPr="00AF0D7B" w:rsidRDefault="001E5153" w:rsidP="001E5153">
            <w:pPr>
              <w:rPr>
                <w:bCs/>
                <w:color w:val="000000"/>
                <w:lang w:eastAsia="en-GB"/>
              </w:rPr>
            </w:pPr>
            <w:r w:rsidRPr="00AF0D7B">
              <w:rPr>
                <w:bCs/>
                <w:color w:val="000000"/>
                <w:lang w:eastAsia="en-GB"/>
              </w:rPr>
              <w:t>Construction</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50C0FF" w14:textId="77777777" w:rsidR="001E5153" w:rsidRPr="00AF0D7B" w:rsidRDefault="001E5153" w:rsidP="001E5153">
            <w:pPr>
              <w:rPr>
                <w:lang w:eastAsia="en-GB"/>
              </w:rPr>
            </w:pPr>
            <w:r w:rsidRPr="00AF0D7B">
              <w:rPr>
                <w:lang w:eastAsia="en-GB"/>
              </w:rPr>
              <w:t>£9</w:t>
            </w:r>
            <w:r>
              <w:rPr>
                <w:lang w:eastAsia="en-GB"/>
              </w:rPr>
              <w:t>65.2</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1208B79A" w14:textId="77777777" w:rsidR="001E5153" w:rsidRPr="00AF0D7B" w:rsidRDefault="001E5153" w:rsidP="001E5153">
            <w:pPr>
              <w:rPr>
                <w:lang w:eastAsia="en-GB"/>
              </w:rPr>
            </w:pPr>
            <w:r w:rsidRPr="00AF0D7B">
              <w:rPr>
                <w:lang w:eastAsia="en-GB"/>
              </w:rPr>
              <w:t>1.1%</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7854ED" w14:textId="77777777" w:rsidR="001E5153" w:rsidRPr="00AF0D7B" w:rsidRDefault="001E5153" w:rsidP="001E5153">
            <w:pPr>
              <w:rPr>
                <w:lang w:eastAsia="en-GB"/>
              </w:rPr>
            </w:pPr>
            <w:r>
              <w:rPr>
                <w:lang w:eastAsia="en-GB"/>
              </w:rPr>
              <w:t>26,000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6A5F0676" w14:textId="77777777" w:rsidR="001E5153" w:rsidRPr="00AF0D7B" w:rsidRDefault="001E5153" w:rsidP="001E5153">
            <w:pPr>
              <w:rPr>
                <w:lang w:eastAsia="en-GB"/>
              </w:rPr>
            </w:pPr>
            <w:r>
              <w:rPr>
                <w:lang w:eastAsia="en-GB"/>
              </w:rPr>
              <w:t>1.3</w:t>
            </w:r>
            <w:r w:rsidRPr="00AF0D7B">
              <w:rPr>
                <w:lang w:eastAsia="en-GB"/>
              </w:rPr>
              <w:t>%</w:t>
            </w:r>
          </w:p>
        </w:tc>
      </w:tr>
      <w:tr w:rsidR="001E5153" w:rsidRPr="00AF0D7B" w14:paraId="2C6AB257"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84D17D1" w14:textId="77777777" w:rsidR="001E5153" w:rsidRPr="00AF0D7B" w:rsidRDefault="001E5153" w:rsidP="001E5153">
            <w:pPr>
              <w:rPr>
                <w:bCs/>
                <w:color w:val="000000"/>
                <w:lang w:eastAsia="en-GB"/>
              </w:rPr>
            </w:pPr>
            <w:r w:rsidRPr="00AF0D7B">
              <w:rPr>
                <w:bCs/>
                <w:color w:val="000000"/>
                <w:lang w:eastAsia="en-GB"/>
              </w:rPr>
              <w:t>Manufacturing</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977EF9" w14:textId="77777777" w:rsidR="001E5153" w:rsidRPr="00AF0D7B" w:rsidRDefault="001E5153" w:rsidP="001E5153">
            <w:pPr>
              <w:rPr>
                <w:lang w:eastAsia="en-GB"/>
              </w:rPr>
            </w:pPr>
            <w:r w:rsidRPr="00AF0D7B">
              <w:rPr>
                <w:lang w:eastAsia="en-GB"/>
              </w:rPr>
              <w:t>£</w:t>
            </w:r>
            <w:r>
              <w:rPr>
                <w:lang w:eastAsia="en-GB"/>
              </w:rPr>
              <w:t>1,490m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3EEEEC53" w14:textId="77777777" w:rsidR="001E5153" w:rsidRPr="00AF0D7B" w:rsidRDefault="001E5153" w:rsidP="001E5153">
            <w:pPr>
              <w:rPr>
                <w:lang w:eastAsia="en-GB"/>
              </w:rPr>
            </w:pPr>
            <w:r>
              <w:rPr>
                <w:lang w:eastAsia="en-GB"/>
              </w:rPr>
              <w:t>0.9</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ED0C22" w14:textId="77777777" w:rsidR="001E5153" w:rsidRPr="00AF0D7B" w:rsidRDefault="001E5153" w:rsidP="001E5153">
            <w:pPr>
              <w:rPr>
                <w:lang w:eastAsia="en-GB"/>
              </w:rPr>
            </w:pPr>
            <w:r>
              <w:rPr>
                <w:lang w:eastAsia="en-GB"/>
              </w:rPr>
              <w:t>-21,200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16F76858" w14:textId="77777777" w:rsidR="001E5153" w:rsidRPr="00AF0D7B" w:rsidRDefault="001E5153" w:rsidP="001E5153">
            <w:pPr>
              <w:rPr>
                <w:lang w:eastAsia="en-GB"/>
              </w:rPr>
            </w:pPr>
            <w:r>
              <w:rPr>
                <w:lang w:eastAsia="en-GB"/>
              </w:rPr>
              <w:t>-0.9</w:t>
            </w:r>
            <w:r w:rsidRPr="00AF0D7B">
              <w:rPr>
                <w:lang w:eastAsia="en-GB"/>
              </w:rPr>
              <w:t>%</w:t>
            </w:r>
          </w:p>
        </w:tc>
      </w:tr>
      <w:tr w:rsidR="001E5153" w:rsidRPr="00AF0D7B" w14:paraId="53397496"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4487A31" w14:textId="77777777" w:rsidR="001E5153" w:rsidRPr="00AF0D7B" w:rsidRDefault="001E5153" w:rsidP="001E5153">
            <w:pPr>
              <w:rPr>
                <w:bCs/>
                <w:color w:val="000000"/>
                <w:lang w:eastAsia="en-GB"/>
              </w:rPr>
            </w:pPr>
            <w:r w:rsidRPr="00AF0D7B">
              <w:rPr>
                <w:bCs/>
                <w:color w:val="000000"/>
                <w:lang w:eastAsia="en-GB"/>
              </w:rPr>
              <w:t>Logistics (transport and storage)</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B846153" w14:textId="77777777" w:rsidR="001E5153" w:rsidRPr="00AF0D7B" w:rsidRDefault="001E5153" w:rsidP="001E5153">
            <w:pPr>
              <w:rPr>
                <w:lang w:eastAsia="en-GB"/>
              </w:rPr>
            </w:pPr>
            <w:r w:rsidRPr="00AF0D7B">
              <w:rPr>
                <w:lang w:eastAsia="en-GB"/>
              </w:rPr>
              <w:t>£</w:t>
            </w:r>
            <w:r>
              <w:rPr>
                <w:lang w:eastAsia="en-GB"/>
              </w:rPr>
              <w:t>1,110m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6096777B" w14:textId="77777777" w:rsidR="001E5153" w:rsidRPr="00AF0D7B" w:rsidRDefault="001E5153" w:rsidP="001E5153">
            <w:pPr>
              <w:rPr>
                <w:lang w:eastAsia="en-GB"/>
              </w:rPr>
            </w:pPr>
            <w:r w:rsidRPr="00AF0D7B">
              <w:rPr>
                <w:lang w:eastAsia="en-GB"/>
              </w:rPr>
              <w:t>1</w:t>
            </w:r>
            <w:r>
              <w:rPr>
                <w:lang w:eastAsia="en-GB"/>
              </w:rPr>
              <w:t>.4</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728AB8" w14:textId="77777777" w:rsidR="001E5153" w:rsidRPr="00AF0D7B" w:rsidRDefault="001E5153" w:rsidP="001E5153">
            <w:pPr>
              <w:rPr>
                <w:lang w:eastAsia="en-GB"/>
              </w:rPr>
            </w:pPr>
            <w:r>
              <w:rPr>
                <w:lang w:eastAsia="en-GB"/>
              </w:rPr>
              <w:t>12</w:t>
            </w:r>
            <w:r w:rsidRPr="00AF0D7B">
              <w:rPr>
                <w:lang w:eastAsia="en-GB"/>
              </w:rPr>
              <w:t>,200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504070F0" w14:textId="77777777" w:rsidR="001E5153" w:rsidRPr="00AF0D7B" w:rsidRDefault="001E5153" w:rsidP="001E5153">
            <w:pPr>
              <w:rPr>
                <w:lang w:eastAsia="en-GB"/>
              </w:rPr>
            </w:pPr>
            <w:r>
              <w:rPr>
                <w:lang w:eastAsia="en-GB"/>
              </w:rPr>
              <w:t>0.7</w:t>
            </w:r>
            <w:r w:rsidRPr="00AF0D7B">
              <w:rPr>
                <w:lang w:eastAsia="en-GB"/>
              </w:rPr>
              <w:t>%</w:t>
            </w:r>
          </w:p>
        </w:tc>
      </w:tr>
      <w:tr w:rsidR="001E5153" w:rsidRPr="00AF0D7B" w14:paraId="52779829"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E3A90AE" w14:textId="77777777" w:rsidR="001E5153" w:rsidRPr="00AF0D7B" w:rsidRDefault="001E5153" w:rsidP="001E5153">
            <w:pPr>
              <w:rPr>
                <w:bCs/>
                <w:color w:val="000000"/>
                <w:lang w:eastAsia="en-GB"/>
              </w:rPr>
            </w:pPr>
            <w:r w:rsidRPr="00AF0D7B">
              <w:rPr>
                <w:bCs/>
                <w:color w:val="000000"/>
                <w:lang w:eastAsia="en-GB"/>
              </w:rPr>
              <w:lastRenderedPageBreak/>
              <w:t>Wholesale and retail</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CD5C86" w14:textId="77777777" w:rsidR="001E5153" w:rsidRPr="00AF0D7B" w:rsidRDefault="001E5153" w:rsidP="001E5153">
            <w:pPr>
              <w:rPr>
                <w:lang w:eastAsia="en-GB"/>
              </w:rPr>
            </w:pPr>
            <w:r>
              <w:rPr>
                <w:lang w:eastAsia="en-GB"/>
              </w:rPr>
              <w:t>£2,933</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6C633713" w14:textId="77777777" w:rsidR="001E5153" w:rsidRPr="00AF0D7B" w:rsidRDefault="001E5153" w:rsidP="001E5153">
            <w:pPr>
              <w:rPr>
                <w:lang w:eastAsia="en-GB"/>
              </w:rPr>
            </w:pPr>
            <w:r w:rsidRPr="00AF0D7B">
              <w:rPr>
                <w:lang w:eastAsia="en-GB"/>
              </w:rPr>
              <w:t>1.7%</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44CF29" w14:textId="77777777" w:rsidR="001E5153" w:rsidRPr="00AF0D7B" w:rsidRDefault="001E5153" w:rsidP="001E5153">
            <w:pPr>
              <w:rPr>
                <w:lang w:eastAsia="en-GB"/>
              </w:rPr>
            </w:pPr>
            <w:r>
              <w:rPr>
                <w:lang w:eastAsia="en-GB"/>
              </w:rPr>
              <w:t>18,5</w:t>
            </w:r>
            <w:r w:rsidRPr="00AF0D7B">
              <w:rPr>
                <w:lang w:eastAsia="en-GB"/>
              </w:rPr>
              <w:t>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2BCC2A18" w14:textId="77777777" w:rsidR="001E5153" w:rsidRPr="00AF0D7B" w:rsidRDefault="001E5153" w:rsidP="001E5153">
            <w:pPr>
              <w:rPr>
                <w:lang w:eastAsia="en-GB"/>
              </w:rPr>
            </w:pPr>
            <w:r w:rsidRPr="00AF0D7B">
              <w:rPr>
                <w:lang w:eastAsia="en-GB"/>
              </w:rPr>
              <w:t>0.4%</w:t>
            </w:r>
          </w:p>
        </w:tc>
      </w:tr>
      <w:tr w:rsidR="001E5153" w:rsidRPr="00AF0D7B" w14:paraId="06CA5FAD"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11534A3" w14:textId="77777777" w:rsidR="001E5153" w:rsidRPr="00AF0D7B" w:rsidRDefault="001E5153" w:rsidP="001E5153">
            <w:pPr>
              <w:rPr>
                <w:bCs/>
                <w:color w:val="000000"/>
                <w:lang w:eastAsia="en-GB"/>
              </w:rPr>
            </w:pPr>
            <w:r w:rsidRPr="00AF0D7B">
              <w:rPr>
                <w:bCs/>
                <w:color w:val="000000"/>
                <w:lang w:eastAsia="en-GB"/>
              </w:rPr>
              <w:t>Other personal services</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5911F97" w14:textId="77777777" w:rsidR="001E5153" w:rsidRPr="00AF0D7B" w:rsidRDefault="001E5153" w:rsidP="001E5153">
            <w:pPr>
              <w:rPr>
                <w:lang w:eastAsia="en-GB"/>
              </w:rPr>
            </w:pPr>
            <w:r w:rsidRPr="00AF0D7B">
              <w:rPr>
                <w:lang w:eastAsia="en-GB"/>
              </w:rPr>
              <w:t>£</w:t>
            </w:r>
            <w:r>
              <w:rPr>
                <w:lang w:eastAsia="en-GB"/>
              </w:rPr>
              <w:t>253</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1B75BD8C" w14:textId="77777777" w:rsidR="001E5153" w:rsidRPr="00AF0D7B" w:rsidRDefault="001E5153" w:rsidP="001E5153">
            <w:pPr>
              <w:rPr>
                <w:lang w:eastAsia="en-GB"/>
              </w:rPr>
            </w:pPr>
            <w:r>
              <w:rPr>
                <w:lang w:eastAsia="en-GB"/>
              </w:rPr>
              <w:t>1.2</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F56799" w14:textId="77777777" w:rsidR="001E5153" w:rsidRPr="00AF0D7B" w:rsidRDefault="001E5153" w:rsidP="001E5153">
            <w:pPr>
              <w:rPr>
                <w:lang w:eastAsia="en-GB"/>
              </w:rPr>
            </w:pPr>
            <w:r w:rsidRPr="00AF0D7B">
              <w:rPr>
                <w:lang w:eastAsia="en-GB"/>
              </w:rPr>
              <w:t>5</w:t>
            </w:r>
            <w:r>
              <w:rPr>
                <w:lang w:eastAsia="en-GB"/>
              </w:rPr>
              <w:t>,8</w:t>
            </w:r>
            <w:r w:rsidRPr="00AF0D7B">
              <w:rPr>
                <w:lang w:eastAsia="en-GB"/>
              </w:rPr>
              <w:t>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779413D9" w14:textId="77777777" w:rsidR="001E5153" w:rsidRPr="00AF0D7B" w:rsidRDefault="001E5153" w:rsidP="001E5153">
            <w:pPr>
              <w:rPr>
                <w:lang w:eastAsia="en-GB"/>
              </w:rPr>
            </w:pPr>
            <w:r>
              <w:rPr>
                <w:lang w:eastAsia="en-GB"/>
              </w:rPr>
              <w:t>1.0</w:t>
            </w:r>
            <w:r w:rsidRPr="00AF0D7B">
              <w:rPr>
                <w:lang w:eastAsia="en-GB"/>
              </w:rPr>
              <w:t>%</w:t>
            </w:r>
          </w:p>
        </w:tc>
      </w:tr>
      <w:tr w:rsidR="001E5153" w:rsidRPr="00AF0D7B" w14:paraId="56789173"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CC51C6F" w14:textId="77777777" w:rsidR="001E5153" w:rsidRPr="00AF0D7B" w:rsidRDefault="001E5153" w:rsidP="001E5153">
            <w:pPr>
              <w:rPr>
                <w:bCs/>
                <w:color w:val="000000"/>
                <w:lang w:eastAsia="en-GB"/>
              </w:rPr>
            </w:pPr>
            <w:r w:rsidRPr="00AF0D7B">
              <w:rPr>
                <w:bCs/>
                <w:color w:val="000000"/>
                <w:lang w:eastAsia="en-GB"/>
              </w:rPr>
              <w:t>Business, financial, professional services</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E084B9" w14:textId="77777777" w:rsidR="001E5153" w:rsidRPr="00AF0D7B" w:rsidRDefault="001E5153" w:rsidP="001E5153">
            <w:pPr>
              <w:rPr>
                <w:lang w:eastAsia="en-GB"/>
              </w:rPr>
            </w:pPr>
            <w:r>
              <w:rPr>
                <w:lang w:eastAsia="en-GB"/>
              </w:rPr>
              <w:t>£9,946</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5050821A" w14:textId="77777777" w:rsidR="001E5153" w:rsidRPr="00AF0D7B" w:rsidRDefault="001E5153" w:rsidP="001E5153">
            <w:pPr>
              <w:rPr>
                <w:lang w:eastAsia="en-GB"/>
              </w:rPr>
            </w:pPr>
            <w:r>
              <w:rPr>
                <w:lang w:eastAsia="en-GB"/>
              </w:rPr>
              <w:t>2.1</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9BF191" w14:textId="77777777" w:rsidR="001E5153" w:rsidRPr="00AF0D7B" w:rsidRDefault="001E5153" w:rsidP="001E5153">
            <w:pPr>
              <w:rPr>
                <w:lang w:eastAsia="en-GB"/>
              </w:rPr>
            </w:pPr>
            <w:r>
              <w:rPr>
                <w:lang w:eastAsia="en-GB"/>
              </w:rPr>
              <w:t>81,900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688F2483" w14:textId="77777777" w:rsidR="001E5153" w:rsidRPr="00AF0D7B" w:rsidRDefault="001E5153" w:rsidP="001E5153">
            <w:pPr>
              <w:rPr>
                <w:lang w:eastAsia="en-GB"/>
              </w:rPr>
            </w:pPr>
            <w:r>
              <w:rPr>
                <w:lang w:eastAsia="en-GB"/>
              </w:rPr>
              <w:t>1.2</w:t>
            </w:r>
            <w:r w:rsidRPr="00AF0D7B">
              <w:rPr>
                <w:lang w:eastAsia="en-GB"/>
              </w:rPr>
              <w:t>%</w:t>
            </w:r>
          </w:p>
        </w:tc>
      </w:tr>
      <w:tr w:rsidR="001E5153" w:rsidRPr="00AF0D7B" w14:paraId="397E6DE6"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A70DD24" w14:textId="77777777" w:rsidR="001E5153" w:rsidRPr="00AF0D7B" w:rsidRDefault="001E5153" w:rsidP="001E5153">
            <w:pPr>
              <w:rPr>
                <w:bCs/>
                <w:color w:val="000000"/>
                <w:lang w:eastAsia="en-GB"/>
              </w:rPr>
            </w:pPr>
            <w:r w:rsidRPr="00AF0D7B">
              <w:rPr>
                <w:bCs/>
                <w:color w:val="000000"/>
                <w:lang w:eastAsia="en-GB"/>
              </w:rPr>
              <w:t>Creative and digital industries</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E08B4B" w14:textId="77777777" w:rsidR="001E5153" w:rsidRPr="00AF0D7B" w:rsidRDefault="001E5153" w:rsidP="001E5153">
            <w:pPr>
              <w:rPr>
                <w:lang w:eastAsia="en-GB"/>
              </w:rPr>
            </w:pPr>
            <w:r>
              <w:rPr>
                <w:lang w:eastAsia="en-GB"/>
              </w:rPr>
              <w:t>£2,641</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6F4C6E39" w14:textId="77777777" w:rsidR="001E5153" w:rsidRPr="00AF0D7B" w:rsidRDefault="001E5153" w:rsidP="001E5153">
            <w:pPr>
              <w:rPr>
                <w:lang w:eastAsia="en-GB"/>
              </w:rPr>
            </w:pPr>
            <w:r>
              <w:rPr>
                <w:lang w:eastAsia="en-GB"/>
              </w:rPr>
              <w:t>2.4</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2D6077" w14:textId="77777777" w:rsidR="001E5153" w:rsidRPr="00AF0D7B" w:rsidRDefault="001E5153" w:rsidP="001E5153">
            <w:pPr>
              <w:rPr>
                <w:lang w:eastAsia="en-GB"/>
              </w:rPr>
            </w:pPr>
            <w:r>
              <w:rPr>
                <w:lang w:eastAsia="en-GB"/>
              </w:rPr>
              <w:t>12,8</w:t>
            </w:r>
            <w:r w:rsidRPr="00AF0D7B">
              <w:rPr>
                <w:lang w:eastAsia="en-GB"/>
              </w:rPr>
              <w:t>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01DA9478" w14:textId="77777777" w:rsidR="001E5153" w:rsidRPr="00AF0D7B" w:rsidRDefault="001E5153" w:rsidP="001E5153">
            <w:pPr>
              <w:rPr>
                <w:lang w:eastAsia="en-GB"/>
              </w:rPr>
            </w:pPr>
            <w:r w:rsidRPr="00AF0D7B">
              <w:rPr>
                <w:lang w:eastAsia="en-GB"/>
              </w:rPr>
              <w:t>0.7%</w:t>
            </w:r>
          </w:p>
        </w:tc>
      </w:tr>
      <w:tr w:rsidR="001E5153" w:rsidRPr="00AF0D7B" w14:paraId="6D4F60A0"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24AF423" w14:textId="77777777" w:rsidR="001E5153" w:rsidRPr="00AF0D7B" w:rsidRDefault="001E5153" w:rsidP="001E5153">
            <w:pPr>
              <w:rPr>
                <w:bCs/>
                <w:color w:val="000000"/>
                <w:lang w:eastAsia="en-GB"/>
              </w:rPr>
            </w:pPr>
            <w:r w:rsidRPr="00AF0D7B">
              <w:rPr>
                <w:bCs/>
                <w:color w:val="000000"/>
                <w:lang w:eastAsia="en-GB"/>
              </w:rPr>
              <w:t xml:space="preserve">Hospitality, </w:t>
            </w:r>
            <w:proofErr w:type="gramStart"/>
            <w:r w:rsidRPr="00AF0D7B">
              <w:rPr>
                <w:bCs/>
                <w:color w:val="000000"/>
                <w:lang w:eastAsia="en-GB"/>
              </w:rPr>
              <w:t>tourism</w:t>
            </w:r>
            <w:proofErr w:type="gramEnd"/>
            <w:r w:rsidRPr="00AF0D7B">
              <w:rPr>
                <w:bCs/>
                <w:color w:val="000000"/>
                <w:lang w:eastAsia="en-GB"/>
              </w:rPr>
              <w:t xml:space="preserve"> and sport</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84BC8E" w14:textId="77777777" w:rsidR="001E5153" w:rsidRPr="00AF0D7B" w:rsidRDefault="001E5153" w:rsidP="001E5153">
            <w:pPr>
              <w:rPr>
                <w:lang w:eastAsia="en-GB"/>
              </w:rPr>
            </w:pPr>
            <w:r>
              <w:rPr>
                <w:lang w:eastAsia="en-GB"/>
              </w:rPr>
              <w:t>£1,190</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0F426543" w14:textId="77777777" w:rsidR="001E5153" w:rsidRPr="00AF0D7B" w:rsidRDefault="001E5153" w:rsidP="001E5153">
            <w:pPr>
              <w:rPr>
                <w:lang w:eastAsia="en-GB"/>
              </w:rPr>
            </w:pPr>
            <w:r>
              <w:rPr>
                <w:lang w:eastAsia="en-GB"/>
              </w:rPr>
              <w:t>1.6</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336E5F" w14:textId="77777777" w:rsidR="001E5153" w:rsidRPr="00AF0D7B" w:rsidRDefault="001E5153" w:rsidP="001E5153">
            <w:pPr>
              <w:rPr>
                <w:lang w:eastAsia="en-GB"/>
              </w:rPr>
            </w:pPr>
            <w:r>
              <w:rPr>
                <w:lang w:eastAsia="en-GB"/>
              </w:rPr>
              <w:t>22,8</w:t>
            </w:r>
            <w:r w:rsidRPr="00AF0D7B">
              <w:rPr>
                <w:lang w:eastAsia="en-GB"/>
              </w:rPr>
              <w:t>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2D1DDA60" w14:textId="77777777" w:rsidR="001E5153" w:rsidRPr="00AF0D7B" w:rsidRDefault="001E5153" w:rsidP="001E5153">
            <w:pPr>
              <w:rPr>
                <w:lang w:eastAsia="en-GB"/>
              </w:rPr>
            </w:pPr>
            <w:r w:rsidRPr="00AF0D7B">
              <w:rPr>
                <w:lang w:eastAsia="en-GB"/>
              </w:rPr>
              <w:t>0.9%</w:t>
            </w:r>
          </w:p>
        </w:tc>
      </w:tr>
      <w:tr w:rsidR="001E5153" w:rsidRPr="00AF0D7B" w14:paraId="46BA3103"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93AD7F8" w14:textId="77777777" w:rsidR="001E5153" w:rsidRPr="00AF0D7B" w:rsidRDefault="001E5153" w:rsidP="001E5153">
            <w:pPr>
              <w:rPr>
                <w:bCs/>
                <w:color w:val="000000"/>
                <w:lang w:eastAsia="en-GB"/>
              </w:rPr>
            </w:pPr>
            <w:r w:rsidRPr="00AF0D7B">
              <w:rPr>
                <w:bCs/>
                <w:color w:val="000000"/>
                <w:lang w:eastAsia="en-GB"/>
              </w:rPr>
              <w:t>Education</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7C0E4E" w14:textId="77777777" w:rsidR="001E5153" w:rsidRPr="00AF0D7B" w:rsidRDefault="001E5153" w:rsidP="001E5153">
            <w:pPr>
              <w:rPr>
                <w:lang w:eastAsia="en-GB"/>
              </w:rPr>
            </w:pPr>
            <w:r>
              <w:rPr>
                <w:lang w:eastAsia="en-GB"/>
              </w:rPr>
              <w:t>£66</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0F3D6536" w14:textId="77777777" w:rsidR="001E5153" w:rsidRPr="00AF0D7B" w:rsidRDefault="001E5153" w:rsidP="001E5153">
            <w:pPr>
              <w:rPr>
                <w:lang w:eastAsia="en-GB"/>
              </w:rPr>
            </w:pPr>
            <w:r>
              <w:rPr>
                <w:lang w:eastAsia="en-GB"/>
              </w:rPr>
              <w:t>0.1</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6075CD" w14:textId="77777777" w:rsidR="001E5153" w:rsidRPr="00AF0D7B" w:rsidRDefault="001E5153" w:rsidP="001E5153">
            <w:pPr>
              <w:rPr>
                <w:lang w:eastAsia="en-GB"/>
              </w:rPr>
            </w:pPr>
            <w:r>
              <w:rPr>
                <w:lang w:eastAsia="en-GB"/>
              </w:rPr>
              <w:t>-200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2C940CC2" w14:textId="77777777" w:rsidR="001E5153" w:rsidRPr="00AF0D7B" w:rsidRDefault="001E5153" w:rsidP="001E5153">
            <w:pPr>
              <w:rPr>
                <w:lang w:eastAsia="en-GB"/>
              </w:rPr>
            </w:pPr>
            <w:r>
              <w:rPr>
                <w:lang w:eastAsia="en-GB"/>
              </w:rPr>
              <w:t>0.0</w:t>
            </w:r>
            <w:r w:rsidRPr="00AF0D7B">
              <w:rPr>
                <w:lang w:eastAsia="en-GB"/>
              </w:rPr>
              <w:t>%</w:t>
            </w:r>
          </w:p>
        </w:tc>
      </w:tr>
      <w:tr w:rsidR="001E5153" w:rsidRPr="00AF0D7B" w14:paraId="7B84826A" w14:textId="77777777" w:rsidTr="001E5153">
        <w:trPr>
          <w:trHeight w:val="276"/>
        </w:trPr>
        <w:tc>
          <w:tcPr>
            <w:tcW w:w="296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FF72551" w14:textId="77777777" w:rsidR="001E5153" w:rsidRPr="00AF0D7B" w:rsidRDefault="001E5153" w:rsidP="001E5153">
            <w:pPr>
              <w:rPr>
                <w:bCs/>
                <w:color w:val="000000"/>
                <w:lang w:eastAsia="en-GB"/>
              </w:rPr>
            </w:pPr>
            <w:r w:rsidRPr="00AF0D7B">
              <w:rPr>
                <w:bCs/>
                <w:color w:val="000000"/>
                <w:lang w:eastAsia="en-GB"/>
              </w:rPr>
              <w:t>Health and social care</w:t>
            </w:r>
          </w:p>
        </w:tc>
        <w:tc>
          <w:tcPr>
            <w:tcW w:w="19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5F7D79" w14:textId="77777777" w:rsidR="001E5153" w:rsidRPr="00AF0D7B" w:rsidRDefault="001E5153" w:rsidP="001E5153">
            <w:pPr>
              <w:rPr>
                <w:lang w:eastAsia="en-GB"/>
              </w:rPr>
            </w:pPr>
            <w:r>
              <w:rPr>
                <w:lang w:eastAsia="en-GB"/>
              </w:rPr>
              <w:t>£2,596</w:t>
            </w:r>
            <w:r w:rsidRPr="00AF0D7B">
              <w:rPr>
                <w:lang w:eastAsia="en-GB"/>
              </w:rPr>
              <w:t>m</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255D7E46" w14:textId="77777777" w:rsidR="001E5153" w:rsidRPr="00AF0D7B" w:rsidRDefault="001E5153" w:rsidP="001E5153">
            <w:pPr>
              <w:rPr>
                <w:lang w:eastAsia="en-GB"/>
              </w:rPr>
            </w:pPr>
            <w:r>
              <w:rPr>
                <w:lang w:eastAsia="en-GB"/>
              </w:rPr>
              <w:t>1.7</w:t>
            </w:r>
            <w:r w:rsidRPr="00AF0D7B">
              <w:rPr>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C20BE4" w14:textId="77777777" w:rsidR="001E5153" w:rsidRPr="00AF0D7B" w:rsidRDefault="001E5153" w:rsidP="001E5153">
            <w:pPr>
              <w:rPr>
                <w:lang w:eastAsia="en-GB"/>
              </w:rPr>
            </w:pPr>
            <w:r>
              <w:rPr>
                <w:lang w:eastAsia="en-GB"/>
              </w:rPr>
              <w:t>28,6</w:t>
            </w:r>
            <w:r w:rsidRPr="00AF0D7B">
              <w:rPr>
                <w:lang w:eastAsia="en-GB"/>
              </w:rPr>
              <w:t>00</w:t>
            </w:r>
          </w:p>
        </w:tc>
        <w:tc>
          <w:tcPr>
            <w:tcW w:w="1711" w:type="dxa"/>
            <w:tcBorders>
              <w:top w:val="single" w:sz="4" w:space="0" w:color="auto"/>
              <w:left w:val="nil"/>
              <w:bottom w:val="single" w:sz="4" w:space="0" w:color="auto"/>
              <w:right w:val="single" w:sz="12" w:space="0" w:color="auto"/>
            </w:tcBorders>
            <w:shd w:val="clear" w:color="auto" w:fill="auto"/>
            <w:noWrap/>
            <w:vAlign w:val="center"/>
            <w:hideMark/>
          </w:tcPr>
          <w:p w14:paraId="454ECFBE" w14:textId="77777777" w:rsidR="001E5153" w:rsidRPr="00AF0D7B" w:rsidRDefault="001E5153" w:rsidP="001E5153">
            <w:pPr>
              <w:rPr>
                <w:lang w:eastAsia="en-GB"/>
              </w:rPr>
            </w:pPr>
            <w:r>
              <w:rPr>
                <w:lang w:eastAsia="en-GB"/>
              </w:rPr>
              <w:t>0.7</w:t>
            </w:r>
            <w:r w:rsidRPr="00AF0D7B">
              <w:rPr>
                <w:lang w:eastAsia="en-GB"/>
              </w:rPr>
              <w:t>%</w:t>
            </w:r>
          </w:p>
        </w:tc>
      </w:tr>
      <w:tr w:rsidR="001E5153" w:rsidRPr="00AF0D7B" w14:paraId="729E23B8" w14:textId="77777777" w:rsidTr="001E5153">
        <w:trPr>
          <w:trHeight w:val="276"/>
        </w:trPr>
        <w:tc>
          <w:tcPr>
            <w:tcW w:w="2968"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258C06E8" w14:textId="77777777" w:rsidR="001E5153" w:rsidRPr="00AF0D7B" w:rsidRDefault="001E5153" w:rsidP="001E5153">
            <w:pPr>
              <w:rPr>
                <w:bCs/>
                <w:color w:val="000000"/>
                <w:lang w:eastAsia="en-GB"/>
              </w:rPr>
            </w:pPr>
            <w:r w:rsidRPr="00AF0D7B">
              <w:rPr>
                <w:bCs/>
                <w:color w:val="000000"/>
                <w:lang w:eastAsia="en-GB"/>
              </w:rPr>
              <w:t>Public administration</w:t>
            </w:r>
          </w:p>
        </w:tc>
        <w:tc>
          <w:tcPr>
            <w:tcW w:w="198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7F1C96D" w14:textId="77777777" w:rsidR="001E5153" w:rsidRPr="00AF0D7B" w:rsidRDefault="001E5153" w:rsidP="001E5153">
            <w:pPr>
              <w:rPr>
                <w:lang w:eastAsia="en-GB"/>
              </w:rPr>
            </w:pPr>
            <w:r>
              <w:rPr>
                <w:lang w:eastAsia="en-GB"/>
              </w:rPr>
              <w:t>-£177</w:t>
            </w:r>
            <w:r w:rsidRPr="00AF0D7B">
              <w:rPr>
                <w:lang w:eastAsia="en-GB"/>
              </w:rPr>
              <w:t>m</w:t>
            </w:r>
          </w:p>
        </w:tc>
        <w:tc>
          <w:tcPr>
            <w:tcW w:w="1701" w:type="dxa"/>
            <w:tcBorders>
              <w:top w:val="single" w:sz="4" w:space="0" w:color="auto"/>
              <w:left w:val="nil"/>
              <w:bottom w:val="single" w:sz="12" w:space="0" w:color="auto"/>
              <w:right w:val="single" w:sz="12" w:space="0" w:color="auto"/>
            </w:tcBorders>
            <w:shd w:val="clear" w:color="auto" w:fill="auto"/>
            <w:noWrap/>
            <w:vAlign w:val="center"/>
          </w:tcPr>
          <w:p w14:paraId="61C91796" w14:textId="77777777" w:rsidR="001E5153" w:rsidRPr="00AF0D7B" w:rsidRDefault="001E5153" w:rsidP="001E5153">
            <w:pPr>
              <w:rPr>
                <w:lang w:eastAsia="en-GB"/>
              </w:rPr>
            </w:pPr>
            <w:r w:rsidRPr="00AF0D7B">
              <w:rPr>
                <w:lang w:eastAsia="en-GB"/>
              </w:rPr>
              <w:t>-0.3%</w:t>
            </w:r>
          </w:p>
        </w:tc>
        <w:tc>
          <w:tcPr>
            <w:tcW w:w="184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A9AD026" w14:textId="77777777" w:rsidR="001E5153" w:rsidRPr="00AF0D7B" w:rsidRDefault="001E5153" w:rsidP="001E5153">
            <w:pPr>
              <w:rPr>
                <w:lang w:eastAsia="en-GB"/>
              </w:rPr>
            </w:pPr>
            <w:r>
              <w:rPr>
                <w:lang w:eastAsia="en-GB"/>
              </w:rPr>
              <w:t>-4,7</w:t>
            </w:r>
            <w:r w:rsidRPr="00AF0D7B">
              <w:rPr>
                <w:lang w:eastAsia="en-GB"/>
              </w:rPr>
              <w:t>0</w:t>
            </w:r>
            <w:r>
              <w:rPr>
                <w:lang w:eastAsia="en-GB"/>
              </w:rPr>
              <w:t>0</w:t>
            </w:r>
          </w:p>
        </w:tc>
        <w:tc>
          <w:tcPr>
            <w:tcW w:w="1711" w:type="dxa"/>
            <w:tcBorders>
              <w:top w:val="single" w:sz="4" w:space="0" w:color="auto"/>
              <w:left w:val="nil"/>
              <w:bottom w:val="single" w:sz="12" w:space="0" w:color="auto"/>
              <w:right w:val="single" w:sz="12" w:space="0" w:color="auto"/>
            </w:tcBorders>
            <w:shd w:val="clear" w:color="auto" w:fill="auto"/>
            <w:noWrap/>
            <w:vAlign w:val="center"/>
            <w:hideMark/>
          </w:tcPr>
          <w:p w14:paraId="203028E9" w14:textId="77777777" w:rsidR="001E5153" w:rsidRPr="00AF0D7B" w:rsidRDefault="001E5153" w:rsidP="001E5153">
            <w:pPr>
              <w:rPr>
                <w:lang w:eastAsia="en-GB"/>
              </w:rPr>
            </w:pPr>
            <w:r>
              <w:rPr>
                <w:lang w:eastAsia="en-GB"/>
              </w:rPr>
              <w:t>-0.4</w:t>
            </w:r>
            <w:r w:rsidRPr="00AF0D7B">
              <w:rPr>
                <w:lang w:eastAsia="en-GB"/>
              </w:rPr>
              <w:t>%</w:t>
            </w:r>
          </w:p>
        </w:tc>
      </w:tr>
    </w:tbl>
    <w:p w14:paraId="7FBD5D52" w14:textId="77777777" w:rsidR="003B0EEC" w:rsidRDefault="003B0EEC" w:rsidP="003B0EEC"/>
    <w:p w14:paraId="28152289" w14:textId="5D8984ED" w:rsidR="001E5153" w:rsidRPr="00C62BB8" w:rsidRDefault="001E5153" w:rsidP="001E5153">
      <w:pPr>
        <w:pStyle w:val="Heading3"/>
      </w:pPr>
      <w:r w:rsidRPr="00C62BB8">
        <w:t>Resident employment rate and unemployment</w:t>
      </w:r>
    </w:p>
    <w:p w14:paraId="4DDA9A1D" w14:textId="32D6F1D8" w:rsidR="001E5153" w:rsidRPr="00AF0D7B" w:rsidRDefault="001E5153" w:rsidP="001E5153">
      <w:r>
        <w:t>3.1</w:t>
      </w:r>
      <w:r w:rsidR="003B0EEC">
        <w:t>6</w:t>
      </w:r>
      <w:r>
        <w:t>.</w:t>
      </w:r>
      <w:r>
        <w:tab/>
      </w:r>
      <w:r w:rsidRPr="00AF0D7B">
        <w:t>In terms of</w:t>
      </w:r>
      <w:r w:rsidRPr="00AF0D7B">
        <w:rPr>
          <w:b/>
        </w:rPr>
        <w:t xml:space="preserve"> resident employment</w:t>
      </w:r>
      <w:r w:rsidRPr="00AF0D7B">
        <w:t xml:space="preserve"> (jobs taken by </w:t>
      </w:r>
      <w:r>
        <w:t>GM residents</w:t>
      </w:r>
      <w:r w:rsidRPr="00AF0D7B">
        <w:t>), the long-term view – encompassing 201</w:t>
      </w:r>
      <w:r>
        <w:t>7</w:t>
      </w:r>
      <w:r w:rsidRPr="00AF0D7B">
        <w:t xml:space="preserve"> to 203</w:t>
      </w:r>
      <w:r>
        <w:t>7</w:t>
      </w:r>
      <w:r w:rsidRPr="00AF0D7B">
        <w:t xml:space="preserve"> – highlights an additional </w:t>
      </w:r>
      <w:r>
        <w:t>127,300 residents in employment (down</w:t>
      </w:r>
      <w:r w:rsidRPr="00AF0D7B">
        <w:t xml:space="preserve"> from </w:t>
      </w:r>
      <w:r>
        <w:t>134</w:t>
      </w:r>
      <w:r w:rsidRPr="00AF0D7B">
        <w:t>,</w:t>
      </w:r>
      <w:r>
        <w:t>8</w:t>
      </w:r>
      <w:r w:rsidRPr="00AF0D7B">
        <w:t xml:space="preserve">00 </w:t>
      </w:r>
      <w:r>
        <w:t>in GMFM-2018</w:t>
      </w:r>
      <w:r w:rsidRPr="00AF0D7B">
        <w:t xml:space="preserve">), </w:t>
      </w:r>
      <w:r w:rsidRPr="00AF0D7B">
        <w:rPr>
          <w:color w:val="000000" w:themeColor="text1"/>
        </w:rPr>
        <w:t>growing at 0.</w:t>
      </w:r>
      <w:r>
        <w:rPr>
          <w:color w:val="000000" w:themeColor="text1"/>
        </w:rPr>
        <w:t>4</w:t>
      </w:r>
      <w:r w:rsidRPr="00AF0D7B">
        <w:rPr>
          <w:color w:val="000000" w:themeColor="text1"/>
        </w:rPr>
        <w:t>% per year</w:t>
      </w:r>
      <w:r w:rsidRPr="00AF0D7B">
        <w:t xml:space="preserve">, </w:t>
      </w:r>
      <w:r>
        <w:t>in line with the UK average.</w:t>
      </w:r>
    </w:p>
    <w:p w14:paraId="56573B27" w14:textId="6B29AEC4" w:rsidR="001E5153" w:rsidRPr="00AF0D7B" w:rsidRDefault="001E5153" w:rsidP="001E5153">
      <w:r>
        <w:t>3.</w:t>
      </w:r>
      <w:r w:rsidR="003B0EEC">
        <w:t>17</w:t>
      </w:r>
      <w:r>
        <w:t>.</w:t>
      </w:r>
      <w:r>
        <w:tab/>
      </w:r>
      <w:r w:rsidRPr="00AF0D7B">
        <w:t xml:space="preserve">The GM </w:t>
      </w:r>
      <w:r w:rsidRPr="00AF0D7B">
        <w:rPr>
          <w:b/>
        </w:rPr>
        <w:t xml:space="preserve">resident employment rate </w:t>
      </w:r>
      <w:r w:rsidRPr="00AF0D7B">
        <w:t xml:space="preserve">is forecast to increase from </w:t>
      </w:r>
      <w:r>
        <w:t>72.0</w:t>
      </w:r>
      <w:r w:rsidRPr="00AF0D7B">
        <w:t>% in 201</w:t>
      </w:r>
      <w:r>
        <w:t>7</w:t>
      </w:r>
      <w:r w:rsidRPr="00AF0D7B">
        <w:t xml:space="preserve"> to 7</w:t>
      </w:r>
      <w:r>
        <w:t>6.8</w:t>
      </w:r>
      <w:r w:rsidRPr="00AF0D7B">
        <w:t>% by 203</w:t>
      </w:r>
      <w:r>
        <w:t>7</w:t>
      </w:r>
      <w:r w:rsidRPr="00AF0D7B">
        <w:t xml:space="preserve">, compared with </w:t>
      </w:r>
      <w:r>
        <w:t>78.6</w:t>
      </w:r>
      <w:r w:rsidRPr="00AF0D7B">
        <w:t>% in the UK</w:t>
      </w:r>
      <w:r>
        <w:t xml:space="preserve"> in 2037</w:t>
      </w:r>
      <w:r w:rsidRPr="00AF0D7B">
        <w:t xml:space="preserve">. Greater Manchester’s economic performance will be sufficient to narrow, but not close, the </w:t>
      </w:r>
      <w:r>
        <w:t>gap with the UK on this measure.</w:t>
      </w:r>
    </w:p>
    <w:p w14:paraId="6B85213B" w14:textId="5A7407C0" w:rsidR="001E5153" w:rsidRPr="00AF0D7B" w:rsidRDefault="001E5153" w:rsidP="001E5153">
      <w:r>
        <w:t>3.</w:t>
      </w:r>
      <w:r w:rsidR="003B0EEC">
        <w:t>18</w:t>
      </w:r>
      <w:r>
        <w:t>.</w:t>
      </w:r>
      <w:r>
        <w:tab/>
      </w:r>
      <w:r w:rsidRPr="00AF0D7B">
        <w:t xml:space="preserve">A similar trend is forecast for </w:t>
      </w:r>
      <w:r w:rsidRPr="00AF0D7B">
        <w:rPr>
          <w:b/>
        </w:rPr>
        <w:t>unemployment</w:t>
      </w:r>
      <w:r w:rsidRPr="00AF0D7B">
        <w:t xml:space="preserve">. The </w:t>
      </w:r>
      <w:r>
        <w:t xml:space="preserve">unemployment rate in </w:t>
      </w:r>
      <w:r w:rsidRPr="00AF0D7B">
        <w:t xml:space="preserve">Greater Manchester is projected to be </w:t>
      </w:r>
      <w:r>
        <w:t>3.5% in 2037, lower than 2017</w:t>
      </w:r>
      <w:r w:rsidRPr="00AF0D7B">
        <w:t>’s f</w:t>
      </w:r>
      <w:r>
        <w:t>igure of 4.5</w:t>
      </w:r>
      <w:r w:rsidRPr="00AF0D7B">
        <w:t xml:space="preserve">%. The comparable unemployment </w:t>
      </w:r>
      <w:r>
        <w:t>rate for the UK in 2037 is 3.5</w:t>
      </w:r>
      <w:r w:rsidRPr="00AF0D7B">
        <w:t>%.</w:t>
      </w:r>
    </w:p>
    <w:p w14:paraId="27444480" w14:textId="77777777" w:rsidR="003B0EEC" w:rsidRPr="00AF0D7B" w:rsidRDefault="001E5153" w:rsidP="003B0EEC">
      <w:pPr>
        <w:rPr>
          <w:lang w:val="en-US"/>
        </w:rPr>
      </w:pPr>
      <w:r>
        <w:rPr>
          <w:bCs/>
        </w:rPr>
        <w:t>3.</w:t>
      </w:r>
      <w:r w:rsidR="003B0EEC">
        <w:rPr>
          <w:bCs/>
        </w:rPr>
        <w:t>19.</w:t>
      </w:r>
      <w:r>
        <w:rPr>
          <w:bCs/>
        </w:rPr>
        <w:tab/>
      </w:r>
      <w:r w:rsidR="00C53867">
        <w:rPr>
          <w:bCs/>
        </w:rPr>
        <w:t>Table 7</w:t>
      </w:r>
      <w:r w:rsidRPr="001E5153">
        <w:rPr>
          <w:bCs/>
        </w:rPr>
        <w:t>: Baseline GMFM-2019 forecast resident employment 2017 to 2037</w:t>
      </w:r>
      <w:r w:rsidR="003B0EEC">
        <w:rPr>
          <w:bCs/>
        </w:rPr>
        <w:t xml:space="preserve">. </w:t>
      </w:r>
      <w:r w:rsidR="003B0EEC" w:rsidRPr="00AF0D7B">
        <w:rPr>
          <w:i/>
        </w:rPr>
        <w:t>Source: Oxford Economics GMFM</w:t>
      </w:r>
      <w:r w:rsidR="003B0EEC">
        <w:rPr>
          <w:i/>
        </w:rPr>
        <w:t>-2019</w:t>
      </w:r>
    </w:p>
    <w:p w14:paraId="6D58BB02" w14:textId="0104A7E3" w:rsidR="001E5153" w:rsidRPr="001E5153" w:rsidRDefault="001E5153" w:rsidP="001E5153">
      <w:pPr>
        <w:rPr>
          <w:bCs/>
        </w:rPr>
      </w:pPr>
    </w:p>
    <w:tbl>
      <w:tblPr>
        <w:tblW w:w="10207" w:type="dxa"/>
        <w:tblInd w:w="-299" w:type="dxa"/>
        <w:tblLayout w:type="fixed"/>
        <w:tblLook w:val="04A0" w:firstRow="1" w:lastRow="0" w:firstColumn="1" w:lastColumn="0" w:noHBand="0" w:noVBand="1"/>
        <w:tblCaption w:val="Baseline GMFM-2019 forecast resident employment 2017 to 2037"/>
        <w:tblDescription w:val="Table showing GMFM-2019's forecast net and % Annual Change for resident employment and unemployment, for both GM and the UK, between 2017 and 2037. Changes in GM are in line with that of the UK."/>
      </w:tblPr>
      <w:tblGrid>
        <w:gridCol w:w="1418"/>
        <w:gridCol w:w="2197"/>
        <w:gridCol w:w="2197"/>
        <w:gridCol w:w="2197"/>
        <w:gridCol w:w="2198"/>
      </w:tblGrid>
      <w:tr w:rsidR="001E5153" w:rsidRPr="00AF0D7B" w14:paraId="2C1480D9" w14:textId="77777777" w:rsidTr="001E5153">
        <w:trPr>
          <w:trHeight w:val="367"/>
        </w:trPr>
        <w:tc>
          <w:tcPr>
            <w:tcW w:w="1418" w:type="dxa"/>
            <w:tcBorders>
              <w:top w:val="single" w:sz="12" w:space="0" w:color="auto"/>
              <w:left w:val="single" w:sz="12" w:space="0" w:color="auto"/>
              <w:bottom w:val="single" w:sz="4" w:space="0" w:color="auto"/>
              <w:right w:val="single" w:sz="12" w:space="0" w:color="auto"/>
            </w:tcBorders>
            <w:shd w:val="clear" w:color="auto" w:fill="000000"/>
            <w:noWrap/>
            <w:vAlign w:val="center"/>
            <w:hideMark/>
          </w:tcPr>
          <w:p w14:paraId="11E571F1" w14:textId="7502DBB7" w:rsidR="001E5153" w:rsidRPr="00AF0D7B" w:rsidRDefault="001E5153" w:rsidP="001E5153">
            <w:pPr>
              <w:rPr>
                <w:b/>
                <w:color w:val="FFFFFF"/>
              </w:rPr>
            </w:pPr>
            <w:r>
              <w:rPr>
                <w:b/>
                <w:color w:val="FFFFFF"/>
              </w:rPr>
              <w:t>Location</w:t>
            </w:r>
          </w:p>
        </w:tc>
        <w:tc>
          <w:tcPr>
            <w:tcW w:w="2197" w:type="dxa"/>
            <w:tcBorders>
              <w:top w:val="single" w:sz="12" w:space="0" w:color="auto"/>
              <w:left w:val="single" w:sz="12" w:space="0" w:color="auto"/>
              <w:bottom w:val="single" w:sz="4" w:space="0" w:color="auto"/>
              <w:right w:val="single" w:sz="4" w:space="0" w:color="auto"/>
            </w:tcBorders>
            <w:shd w:val="clear" w:color="auto" w:fill="000000"/>
            <w:noWrap/>
            <w:vAlign w:val="center"/>
          </w:tcPr>
          <w:p w14:paraId="2A50E9B8" w14:textId="150489CF" w:rsidR="001E5153" w:rsidRPr="00AF0D7B" w:rsidRDefault="001E5153" w:rsidP="001E5153">
            <w:pPr>
              <w:rPr>
                <w:b/>
                <w:color w:val="FFFFFF"/>
              </w:rPr>
            </w:pPr>
            <w:r w:rsidRPr="00AF0D7B">
              <w:rPr>
                <w:b/>
              </w:rPr>
              <w:t>Net increase/</w:t>
            </w:r>
            <w:r w:rsidRPr="00AF0D7B">
              <w:rPr>
                <w:b/>
              </w:rPr>
              <w:br/>
              <w:t>decrease</w:t>
            </w:r>
            <w:r>
              <w:rPr>
                <w:b/>
              </w:rPr>
              <w:t xml:space="preserve"> in resident employment between 2017 and 2037</w:t>
            </w:r>
          </w:p>
        </w:tc>
        <w:tc>
          <w:tcPr>
            <w:tcW w:w="2197" w:type="dxa"/>
            <w:tcBorders>
              <w:top w:val="single" w:sz="12" w:space="0" w:color="auto"/>
              <w:left w:val="nil"/>
              <w:bottom w:val="single" w:sz="4" w:space="0" w:color="auto"/>
              <w:right w:val="single" w:sz="12" w:space="0" w:color="auto"/>
            </w:tcBorders>
            <w:shd w:val="clear" w:color="auto" w:fill="000000"/>
            <w:noWrap/>
            <w:vAlign w:val="center"/>
          </w:tcPr>
          <w:p w14:paraId="7D22F009" w14:textId="39B5B1F0" w:rsidR="001E5153" w:rsidRPr="00AF0D7B" w:rsidRDefault="001E5153" w:rsidP="001E5153">
            <w:pPr>
              <w:rPr>
                <w:b/>
                <w:color w:val="FFFFFF"/>
              </w:rPr>
            </w:pPr>
            <w:r w:rsidRPr="00AF0D7B">
              <w:rPr>
                <w:b/>
              </w:rPr>
              <w:t>% Compound Annual Growth</w:t>
            </w:r>
            <w:r>
              <w:rPr>
                <w:b/>
              </w:rPr>
              <w:t xml:space="preserve"> in resident employment between 2017 and 2037</w:t>
            </w:r>
          </w:p>
        </w:tc>
        <w:tc>
          <w:tcPr>
            <w:tcW w:w="2197" w:type="dxa"/>
            <w:tcBorders>
              <w:top w:val="single" w:sz="12" w:space="0" w:color="auto"/>
              <w:left w:val="single" w:sz="12" w:space="0" w:color="auto"/>
              <w:bottom w:val="single" w:sz="4" w:space="0" w:color="auto"/>
              <w:right w:val="single" w:sz="4" w:space="0" w:color="auto"/>
            </w:tcBorders>
            <w:shd w:val="clear" w:color="auto" w:fill="000000"/>
            <w:noWrap/>
            <w:vAlign w:val="center"/>
            <w:hideMark/>
          </w:tcPr>
          <w:p w14:paraId="405F9250" w14:textId="48C518BC" w:rsidR="001E5153" w:rsidRPr="00AF0D7B" w:rsidRDefault="001E5153" w:rsidP="001E5153">
            <w:pPr>
              <w:rPr>
                <w:b/>
                <w:color w:val="FFFFFF"/>
              </w:rPr>
            </w:pPr>
            <w:r w:rsidRPr="00AF0D7B">
              <w:rPr>
                <w:b/>
              </w:rPr>
              <w:t>Net increase/</w:t>
            </w:r>
            <w:r w:rsidRPr="00AF0D7B">
              <w:rPr>
                <w:b/>
              </w:rPr>
              <w:br/>
              <w:t>decrease</w:t>
            </w:r>
            <w:r>
              <w:rPr>
                <w:b/>
              </w:rPr>
              <w:t xml:space="preserve"> in (ILO) unemployment between 2017 and 2037</w:t>
            </w:r>
          </w:p>
        </w:tc>
        <w:tc>
          <w:tcPr>
            <w:tcW w:w="2198" w:type="dxa"/>
            <w:tcBorders>
              <w:top w:val="single" w:sz="12" w:space="0" w:color="auto"/>
              <w:left w:val="nil"/>
              <w:bottom w:val="single" w:sz="4" w:space="0" w:color="auto"/>
              <w:right w:val="single" w:sz="12" w:space="0" w:color="auto"/>
            </w:tcBorders>
            <w:shd w:val="clear" w:color="auto" w:fill="000000"/>
            <w:noWrap/>
            <w:vAlign w:val="center"/>
            <w:hideMark/>
          </w:tcPr>
          <w:p w14:paraId="2D7CE972" w14:textId="776B4C5F" w:rsidR="001E5153" w:rsidRPr="00AF0D7B" w:rsidRDefault="001E5153" w:rsidP="001E5153">
            <w:pPr>
              <w:rPr>
                <w:b/>
                <w:color w:val="FFFFFF"/>
              </w:rPr>
            </w:pPr>
            <w:r w:rsidRPr="00AF0D7B">
              <w:rPr>
                <w:b/>
              </w:rPr>
              <w:t>% Compound Annual Growth</w:t>
            </w:r>
            <w:r>
              <w:rPr>
                <w:b/>
              </w:rPr>
              <w:t xml:space="preserve"> in (ILO) unemployment between 2017 and 2037</w:t>
            </w:r>
          </w:p>
        </w:tc>
      </w:tr>
      <w:tr w:rsidR="001E5153" w:rsidRPr="00AF0D7B" w14:paraId="057BBCD1" w14:textId="77777777" w:rsidTr="001E5153">
        <w:trPr>
          <w:trHeight w:val="276"/>
        </w:trPr>
        <w:tc>
          <w:tcPr>
            <w:tcW w:w="141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D50C2DB" w14:textId="77777777" w:rsidR="001E5153" w:rsidRPr="00AF0D7B" w:rsidRDefault="001E5153" w:rsidP="001E5153">
            <w:pPr>
              <w:rPr>
                <w:b/>
              </w:rPr>
            </w:pPr>
            <w:r w:rsidRPr="00AF0D7B">
              <w:rPr>
                <w:b/>
              </w:rPr>
              <w:t>GM</w:t>
            </w:r>
          </w:p>
        </w:tc>
        <w:tc>
          <w:tcPr>
            <w:tcW w:w="219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50332F" w14:textId="77777777" w:rsidR="001E5153" w:rsidRPr="00AF0D7B" w:rsidRDefault="001E5153" w:rsidP="001E5153">
            <w:r>
              <w:t>127,300</w:t>
            </w:r>
          </w:p>
        </w:tc>
        <w:tc>
          <w:tcPr>
            <w:tcW w:w="2197" w:type="dxa"/>
            <w:tcBorders>
              <w:top w:val="single" w:sz="4" w:space="0" w:color="auto"/>
              <w:left w:val="nil"/>
              <w:bottom w:val="single" w:sz="4" w:space="0" w:color="auto"/>
              <w:right w:val="single" w:sz="12" w:space="0" w:color="auto"/>
            </w:tcBorders>
            <w:shd w:val="clear" w:color="auto" w:fill="auto"/>
            <w:noWrap/>
            <w:vAlign w:val="center"/>
          </w:tcPr>
          <w:p w14:paraId="75C87401" w14:textId="77777777" w:rsidR="001E5153" w:rsidRPr="00AF0D7B" w:rsidRDefault="001E5153" w:rsidP="001E5153">
            <w:r w:rsidRPr="00AF0D7B">
              <w:t>0</w:t>
            </w:r>
            <w:r>
              <w:t>.4</w:t>
            </w:r>
            <w:r w:rsidRPr="00AF0D7B">
              <w:t>%</w:t>
            </w:r>
          </w:p>
        </w:tc>
        <w:tc>
          <w:tcPr>
            <w:tcW w:w="219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1733B7" w14:textId="77777777" w:rsidR="001E5153" w:rsidRPr="00AF0D7B" w:rsidRDefault="001E5153" w:rsidP="001E5153">
            <w:r w:rsidRPr="00AF0D7B">
              <w:t>-</w:t>
            </w:r>
            <w:r>
              <w:t>9,000</w:t>
            </w:r>
          </w:p>
        </w:tc>
        <w:tc>
          <w:tcPr>
            <w:tcW w:w="2198" w:type="dxa"/>
            <w:tcBorders>
              <w:top w:val="single" w:sz="4" w:space="0" w:color="auto"/>
              <w:left w:val="nil"/>
              <w:bottom w:val="single" w:sz="4" w:space="0" w:color="auto"/>
              <w:right w:val="single" w:sz="12" w:space="0" w:color="auto"/>
            </w:tcBorders>
            <w:shd w:val="clear" w:color="auto" w:fill="auto"/>
            <w:noWrap/>
            <w:vAlign w:val="center"/>
          </w:tcPr>
          <w:p w14:paraId="6327B5F1" w14:textId="77777777" w:rsidR="001E5153" w:rsidRPr="00AF0D7B" w:rsidRDefault="001E5153" w:rsidP="001E5153">
            <w:r w:rsidRPr="00AF0D7B">
              <w:t>-0.</w:t>
            </w:r>
            <w:r>
              <w:t>8</w:t>
            </w:r>
            <w:r w:rsidRPr="00AF0D7B">
              <w:t>%</w:t>
            </w:r>
          </w:p>
        </w:tc>
      </w:tr>
      <w:tr w:rsidR="001E5153" w:rsidRPr="00AF0D7B" w14:paraId="02BBFD05" w14:textId="77777777" w:rsidTr="001E5153">
        <w:trPr>
          <w:trHeight w:val="276"/>
        </w:trPr>
        <w:tc>
          <w:tcPr>
            <w:tcW w:w="1418"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77073E5E" w14:textId="77777777" w:rsidR="001E5153" w:rsidRPr="00AF0D7B" w:rsidRDefault="001E5153" w:rsidP="001E5153">
            <w:pPr>
              <w:rPr>
                <w:b/>
              </w:rPr>
            </w:pPr>
            <w:r w:rsidRPr="00AF0D7B">
              <w:rPr>
                <w:b/>
              </w:rPr>
              <w:t>UK</w:t>
            </w:r>
          </w:p>
        </w:tc>
        <w:tc>
          <w:tcPr>
            <w:tcW w:w="2197"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BF08EF0" w14:textId="77777777" w:rsidR="001E5153" w:rsidRPr="00AF0D7B" w:rsidRDefault="001E5153" w:rsidP="001E5153">
            <w:r w:rsidRPr="00AF0D7B">
              <w:t>2,</w:t>
            </w:r>
            <w:r>
              <w:t>639,4</w:t>
            </w:r>
            <w:r w:rsidRPr="00AF0D7B">
              <w:t>00</w:t>
            </w:r>
          </w:p>
        </w:tc>
        <w:tc>
          <w:tcPr>
            <w:tcW w:w="2197" w:type="dxa"/>
            <w:tcBorders>
              <w:top w:val="single" w:sz="4" w:space="0" w:color="auto"/>
              <w:left w:val="nil"/>
              <w:bottom w:val="single" w:sz="12" w:space="0" w:color="auto"/>
              <w:right w:val="single" w:sz="12" w:space="0" w:color="auto"/>
            </w:tcBorders>
            <w:shd w:val="clear" w:color="auto" w:fill="auto"/>
            <w:noWrap/>
            <w:vAlign w:val="center"/>
          </w:tcPr>
          <w:p w14:paraId="06A87185" w14:textId="77777777" w:rsidR="001E5153" w:rsidRPr="00AF0D7B" w:rsidRDefault="001E5153" w:rsidP="001E5153">
            <w:r w:rsidRPr="00AF0D7B">
              <w:t>0.4%</w:t>
            </w:r>
          </w:p>
        </w:tc>
        <w:tc>
          <w:tcPr>
            <w:tcW w:w="2197"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717B730" w14:textId="77777777" w:rsidR="001E5153" w:rsidRPr="00AF0D7B" w:rsidRDefault="001E5153" w:rsidP="001E5153">
            <w:r>
              <w:t>-215,500</w:t>
            </w:r>
          </w:p>
        </w:tc>
        <w:tc>
          <w:tcPr>
            <w:tcW w:w="2198" w:type="dxa"/>
            <w:tcBorders>
              <w:top w:val="single" w:sz="4" w:space="0" w:color="auto"/>
              <w:left w:val="nil"/>
              <w:bottom w:val="single" w:sz="12" w:space="0" w:color="auto"/>
              <w:right w:val="single" w:sz="12" w:space="0" w:color="auto"/>
            </w:tcBorders>
            <w:shd w:val="clear" w:color="auto" w:fill="auto"/>
            <w:noWrap/>
            <w:vAlign w:val="center"/>
          </w:tcPr>
          <w:p w14:paraId="33DB64EF" w14:textId="77777777" w:rsidR="001E5153" w:rsidRPr="00AF0D7B" w:rsidRDefault="001E5153" w:rsidP="001E5153">
            <w:r>
              <w:t>-0.8</w:t>
            </w:r>
            <w:r w:rsidRPr="00AF0D7B">
              <w:t>%</w:t>
            </w:r>
          </w:p>
        </w:tc>
      </w:tr>
    </w:tbl>
    <w:p w14:paraId="406ABC08" w14:textId="77777777" w:rsidR="003B0EEC" w:rsidRDefault="003B0EEC" w:rsidP="003B0EEC"/>
    <w:p w14:paraId="25909C68" w14:textId="2AA96A96" w:rsidR="001E5153" w:rsidRPr="00CE1E2C" w:rsidRDefault="001E5153" w:rsidP="001E5153">
      <w:pPr>
        <w:pStyle w:val="Heading3"/>
      </w:pPr>
      <w:r w:rsidRPr="00CE1E2C">
        <w:t>Population and migration</w:t>
      </w:r>
    </w:p>
    <w:p w14:paraId="37CCF5B5" w14:textId="05BE1A3C" w:rsidR="001E5153" w:rsidRPr="00AF0D7B" w:rsidRDefault="001E5153" w:rsidP="001E5153">
      <w:pPr>
        <w:rPr>
          <w:color w:val="000000" w:themeColor="text1"/>
        </w:rPr>
      </w:pPr>
      <w:r>
        <w:t>3.2</w:t>
      </w:r>
      <w:r w:rsidR="003B0EEC">
        <w:t>0</w:t>
      </w:r>
      <w:r>
        <w:t>.</w:t>
      </w:r>
      <w:r>
        <w:tab/>
      </w:r>
      <w:r w:rsidRPr="003B0EEC">
        <w:rPr>
          <w:b/>
          <w:bCs/>
        </w:rPr>
        <w:t>The baseline forecast suggests that total population will grow by 184,900 from 2017 to 2037</w:t>
      </w:r>
      <w:r w:rsidRPr="00AF0D7B">
        <w:t>,</w:t>
      </w:r>
      <w:r w:rsidRPr="00AF0D7B">
        <w:rPr>
          <w:rStyle w:val="FootnoteReference"/>
          <w:rFonts w:cs="Arial"/>
          <w:b/>
          <w:color w:val="000000"/>
          <w:sz w:val="18"/>
          <w:szCs w:val="18"/>
        </w:rPr>
        <w:footnoteReference w:id="7"/>
      </w:r>
      <w:r>
        <w:t xml:space="preserve"> </w:t>
      </w:r>
      <w:r w:rsidRPr="000A1B03">
        <w:t>up 3,600 compared to GMFM-2018.</w:t>
      </w:r>
      <w:r w:rsidRPr="00AF0D7B">
        <w:t xml:space="preserve">  </w:t>
      </w:r>
    </w:p>
    <w:p w14:paraId="4CFAF5DF" w14:textId="0AD2BB54" w:rsidR="001E5153" w:rsidRPr="00AF0D7B" w:rsidRDefault="001E5153" w:rsidP="001E5153">
      <w:pPr>
        <w:rPr>
          <w:color w:val="000000" w:themeColor="text1"/>
        </w:rPr>
      </w:pPr>
      <w:r>
        <w:rPr>
          <w:color w:val="000000" w:themeColor="text1"/>
        </w:rPr>
        <w:t>3.2</w:t>
      </w:r>
      <w:r w:rsidR="003B0EEC">
        <w:rPr>
          <w:color w:val="000000" w:themeColor="text1"/>
        </w:rPr>
        <w:t>1</w:t>
      </w:r>
      <w:r>
        <w:rPr>
          <w:color w:val="000000" w:themeColor="text1"/>
        </w:rPr>
        <w:t>.</w:t>
      </w:r>
      <w:r>
        <w:rPr>
          <w:color w:val="000000" w:themeColor="text1"/>
        </w:rPr>
        <w:tab/>
      </w:r>
      <w:r w:rsidRPr="00AF0D7B">
        <w:rPr>
          <w:color w:val="000000" w:themeColor="text1"/>
        </w:rPr>
        <w:t xml:space="preserve">The number of </w:t>
      </w:r>
      <w:r w:rsidRPr="003B0EEC">
        <w:rPr>
          <w:b/>
          <w:bCs/>
          <w:color w:val="000000" w:themeColor="text1"/>
        </w:rPr>
        <w:t>working age residents</w:t>
      </w:r>
      <w:r w:rsidRPr="00AF0D7B">
        <w:rPr>
          <w:color w:val="000000" w:themeColor="text1"/>
        </w:rPr>
        <w:t>, defined as those aged 16 to 64, is forecast to show a modest rise over the next 10 years, before falling back after 2028, and therefore the working age population of GM is forecast to be just under 1.8 million in 203</w:t>
      </w:r>
      <w:r>
        <w:rPr>
          <w:color w:val="000000" w:themeColor="text1"/>
        </w:rPr>
        <w:t>7</w:t>
      </w:r>
      <w:r w:rsidRPr="00AF0D7B">
        <w:rPr>
          <w:color w:val="000000" w:themeColor="text1"/>
        </w:rPr>
        <w:t xml:space="preserve">, </w:t>
      </w:r>
      <w:proofErr w:type="gramStart"/>
      <w:r w:rsidRPr="00AF0D7B">
        <w:rPr>
          <w:color w:val="000000" w:themeColor="text1"/>
        </w:rPr>
        <w:t>similar to</w:t>
      </w:r>
      <w:proofErr w:type="gramEnd"/>
      <w:r w:rsidRPr="00AF0D7B">
        <w:rPr>
          <w:color w:val="000000" w:themeColor="text1"/>
        </w:rPr>
        <w:t xml:space="preserve"> the </w:t>
      </w:r>
      <w:r>
        <w:rPr>
          <w:color w:val="000000" w:themeColor="text1"/>
        </w:rPr>
        <w:t>2017</w:t>
      </w:r>
      <w:r w:rsidRPr="00AF0D7B">
        <w:rPr>
          <w:color w:val="000000" w:themeColor="text1"/>
        </w:rPr>
        <w:t xml:space="preserve"> level.</w:t>
      </w:r>
    </w:p>
    <w:p w14:paraId="52B7530A" w14:textId="4E740628" w:rsidR="001E5153" w:rsidRPr="00375846" w:rsidRDefault="001E5153" w:rsidP="001E5153">
      <w:r>
        <w:t>3.2</w:t>
      </w:r>
      <w:r w:rsidR="003B0EEC">
        <w:t>2</w:t>
      </w:r>
      <w:r>
        <w:t>.</w:t>
      </w:r>
      <w:r>
        <w:tab/>
      </w:r>
      <w:r w:rsidRPr="003B0EEC">
        <w:rPr>
          <w:b/>
          <w:bCs/>
        </w:rPr>
        <w:t>Future population growth in GM is underpinned by positive natural change</w:t>
      </w:r>
      <w:r w:rsidRPr="00AF0D7B">
        <w:t xml:space="preserve"> (</w:t>
      </w:r>
      <w:proofErr w:type="gramStart"/>
      <w:r w:rsidRPr="00AF0D7B">
        <w:t>i.e.</w:t>
      </w:r>
      <w:proofErr w:type="gramEnd"/>
      <w:r w:rsidRPr="00AF0D7B">
        <w:t xml:space="preserve"> more births than deaths)</w:t>
      </w:r>
      <w:r>
        <w:t xml:space="preserve">. Meanwhile, </w:t>
      </w:r>
      <w:r w:rsidRPr="003B0EEC">
        <w:rPr>
          <w:b/>
          <w:bCs/>
        </w:rPr>
        <w:t>net migration</w:t>
      </w:r>
      <w:r w:rsidRPr="00375846">
        <w:t xml:space="preserve"> in Greater Manchester is expected to continue to fall as the UK government adopts a more restrictive immigration policy and the UK’s growth premium over other countries wanes. The levels of migration are forecast to fall steeply from 3,800 in 2018 to -700 by 2021 at which point the rate of decline slows</w:t>
      </w:r>
      <w:r>
        <w:t>,</w:t>
      </w:r>
      <w:r w:rsidRPr="00375846">
        <w:t xml:space="preserve"> </w:t>
      </w:r>
      <w:r>
        <w:t xml:space="preserve">but overall levels of migration continue to decline, </w:t>
      </w:r>
      <w:r w:rsidRPr="00375846">
        <w:t xml:space="preserve">with migration eventually reaching -3,900 in 2037. </w:t>
      </w:r>
    </w:p>
    <w:p w14:paraId="145132F5" w14:textId="7BB7B795" w:rsidR="003B0EEC" w:rsidRPr="00AF0D7B" w:rsidRDefault="00C53867" w:rsidP="003B0EEC">
      <w:pPr>
        <w:rPr>
          <w:i/>
        </w:rPr>
      </w:pPr>
      <w:r>
        <w:t>3.2</w:t>
      </w:r>
      <w:r w:rsidR="003B0EEC">
        <w:t>3</w:t>
      </w:r>
      <w:r>
        <w:t>.</w:t>
      </w:r>
      <w:r>
        <w:tab/>
        <w:t>Table 8</w:t>
      </w:r>
      <w:r w:rsidRPr="00AF0D7B">
        <w:t xml:space="preserve">: Baseline </w:t>
      </w:r>
      <w:r>
        <w:t>GMFM</w:t>
      </w:r>
      <w:r w:rsidRPr="00AF0D7B">
        <w:t xml:space="preserve"> forecast population, 201</w:t>
      </w:r>
      <w:r>
        <w:t>7</w:t>
      </w:r>
      <w:r w:rsidRPr="00AF0D7B">
        <w:t xml:space="preserve"> to 203</w:t>
      </w:r>
      <w:r>
        <w:t>7</w:t>
      </w:r>
      <w:r w:rsidR="003B0EEC">
        <w:t xml:space="preserve">. </w:t>
      </w:r>
      <w:r w:rsidR="003B0EEC" w:rsidRPr="00AF0D7B">
        <w:rPr>
          <w:i/>
        </w:rPr>
        <w:t>Source: Oxford Economics GMFM-2018</w:t>
      </w:r>
    </w:p>
    <w:p w14:paraId="0537474B" w14:textId="0A1C9B3A" w:rsidR="00C53867" w:rsidRPr="00AF0D7B" w:rsidRDefault="00C53867" w:rsidP="00C53867"/>
    <w:tbl>
      <w:tblPr>
        <w:tblW w:w="10197" w:type="dxa"/>
        <w:tblInd w:w="-289" w:type="dxa"/>
        <w:tblLayout w:type="fixed"/>
        <w:tblLook w:val="04A0" w:firstRow="1" w:lastRow="0" w:firstColumn="1" w:lastColumn="0" w:noHBand="0" w:noVBand="1"/>
        <w:tblCaption w:val="Baseline GMFM forecast population, 2017 to 2037"/>
        <w:tblDescription w:val="Table showing forecast population change, % Annual Change in population, and net migration change between 2017 and 2037. The data is presented for both GM and the UK, and compared the figures from the latest GMFM-2019 model with the previous GMFM-2018 model to show a higher population increase, along with greater emigration, in the newer model."/>
      </w:tblPr>
      <w:tblGrid>
        <w:gridCol w:w="983"/>
        <w:gridCol w:w="1535"/>
        <w:gridCol w:w="1536"/>
        <w:gridCol w:w="1536"/>
        <w:gridCol w:w="1535"/>
        <w:gridCol w:w="1536"/>
        <w:gridCol w:w="1536"/>
      </w:tblGrid>
      <w:tr w:rsidR="00C53867" w:rsidRPr="00AF0D7B" w14:paraId="1F12269F" w14:textId="77777777" w:rsidTr="00C53867">
        <w:trPr>
          <w:trHeight w:val="704"/>
        </w:trPr>
        <w:tc>
          <w:tcPr>
            <w:tcW w:w="983" w:type="dxa"/>
            <w:tcBorders>
              <w:top w:val="single" w:sz="4" w:space="0" w:color="auto"/>
              <w:left w:val="single" w:sz="12" w:space="0" w:color="auto"/>
              <w:bottom w:val="single" w:sz="4" w:space="0" w:color="auto"/>
              <w:right w:val="single" w:sz="12" w:space="0" w:color="auto"/>
            </w:tcBorders>
            <w:shd w:val="clear" w:color="auto" w:fill="000000"/>
            <w:noWrap/>
            <w:vAlign w:val="center"/>
            <w:hideMark/>
          </w:tcPr>
          <w:p w14:paraId="69FCB288" w14:textId="7FFEE743" w:rsidR="00C53867" w:rsidRPr="00C53867" w:rsidRDefault="00C53867" w:rsidP="00C53867">
            <w:pPr>
              <w:rPr>
                <w:b/>
                <w:bCs/>
              </w:rPr>
            </w:pPr>
            <w:r w:rsidRPr="00C53867">
              <w:rPr>
                <w:b/>
                <w:bCs/>
              </w:rPr>
              <w:t>Location</w:t>
            </w:r>
          </w:p>
        </w:tc>
        <w:tc>
          <w:tcPr>
            <w:tcW w:w="1535"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1E5A09BD" w14:textId="0B7F8F8D" w:rsidR="00C53867" w:rsidRPr="00C53867" w:rsidRDefault="00C53867" w:rsidP="00C53867">
            <w:pPr>
              <w:rPr>
                <w:b/>
                <w:bCs/>
              </w:rPr>
            </w:pPr>
            <w:r w:rsidRPr="00C53867">
              <w:rPr>
                <w:b/>
                <w:bCs/>
              </w:rPr>
              <w:t>Population net increase/</w:t>
            </w:r>
            <w:r w:rsidRPr="00C53867">
              <w:rPr>
                <w:b/>
                <w:bCs/>
              </w:rPr>
              <w:br/>
              <w:t>decrease</w:t>
            </w:r>
            <w:r w:rsidRPr="00C53867">
              <w:rPr>
                <w:b/>
                <w:bCs/>
              </w:rPr>
              <w:t xml:space="preserve"> between 2017 and 2037, based on GMFM-2019</w:t>
            </w:r>
          </w:p>
        </w:tc>
        <w:tc>
          <w:tcPr>
            <w:tcW w:w="1536" w:type="dxa"/>
            <w:tcBorders>
              <w:top w:val="single" w:sz="4" w:space="0" w:color="auto"/>
              <w:left w:val="nil"/>
              <w:bottom w:val="single" w:sz="4" w:space="0" w:color="auto"/>
              <w:right w:val="single" w:sz="12" w:space="0" w:color="auto"/>
            </w:tcBorders>
            <w:shd w:val="clear" w:color="auto" w:fill="000000"/>
            <w:noWrap/>
            <w:vAlign w:val="center"/>
          </w:tcPr>
          <w:p w14:paraId="7F345493" w14:textId="12AA2FF8" w:rsidR="00C53867" w:rsidRPr="00C53867" w:rsidRDefault="00C53867" w:rsidP="00C53867">
            <w:pPr>
              <w:rPr>
                <w:b/>
                <w:bCs/>
              </w:rPr>
            </w:pPr>
            <w:r w:rsidRPr="00C53867">
              <w:rPr>
                <w:b/>
                <w:bCs/>
              </w:rPr>
              <w:t>Population</w:t>
            </w:r>
            <w:r w:rsidRPr="00C53867">
              <w:rPr>
                <w:b/>
                <w:bCs/>
              </w:rPr>
              <w:br/>
              <w:t>% Compound Annual Growth</w:t>
            </w:r>
            <w:r w:rsidRPr="00C53867">
              <w:rPr>
                <w:b/>
                <w:bCs/>
              </w:rPr>
              <w:t xml:space="preserve"> between 2017 and 2037, based on GMFM-2019</w:t>
            </w:r>
          </w:p>
        </w:tc>
        <w:tc>
          <w:tcPr>
            <w:tcW w:w="1536" w:type="dxa"/>
            <w:tcBorders>
              <w:top w:val="single" w:sz="4" w:space="0" w:color="auto"/>
              <w:left w:val="single" w:sz="12" w:space="0" w:color="auto"/>
              <w:bottom w:val="single" w:sz="4" w:space="0" w:color="auto"/>
              <w:right w:val="single" w:sz="12" w:space="0" w:color="auto"/>
            </w:tcBorders>
            <w:shd w:val="clear" w:color="auto" w:fill="000000"/>
            <w:vAlign w:val="center"/>
          </w:tcPr>
          <w:p w14:paraId="159D7F18" w14:textId="6EB58EBF" w:rsidR="00C53867" w:rsidRPr="00C53867" w:rsidRDefault="00C53867" w:rsidP="00C53867">
            <w:pPr>
              <w:rPr>
                <w:b/>
                <w:bCs/>
              </w:rPr>
            </w:pPr>
            <w:r w:rsidRPr="00C53867">
              <w:rPr>
                <w:b/>
                <w:bCs/>
              </w:rPr>
              <w:t xml:space="preserve">Net migration </w:t>
            </w:r>
            <w:proofErr w:type="gramStart"/>
            <w:r w:rsidRPr="00C53867">
              <w:rPr>
                <w:b/>
                <w:bCs/>
              </w:rPr>
              <w:t>change</w:t>
            </w:r>
            <w:proofErr w:type="gramEnd"/>
            <w:r w:rsidRPr="00C53867">
              <w:rPr>
                <w:b/>
                <w:bCs/>
              </w:rPr>
              <w:t xml:space="preserve"> between 2017 and 2037, based on GMFM-2019</w:t>
            </w:r>
          </w:p>
        </w:tc>
        <w:tc>
          <w:tcPr>
            <w:tcW w:w="1535" w:type="dxa"/>
            <w:tcBorders>
              <w:top w:val="single" w:sz="4" w:space="0" w:color="auto"/>
              <w:left w:val="single" w:sz="12" w:space="0" w:color="auto"/>
              <w:bottom w:val="single" w:sz="4" w:space="0" w:color="auto"/>
              <w:right w:val="single" w:sz="12" w:space="0" w:color="auto"/>
            </w:tcBorders>
            <w:shd w:val="clear" w:color="auto" w:fill="000000"/>
            <w:vAlign w:val="center"/>
          </w:tcPr>
          <w:p w14:paraId="56218094" w14:textId="1DCFC1BE" w:rsidR="00C53867" w:rsidRPr="00C53867" w:rsidRDefault="00C53867" w:rsidP="00C53867">
            <w:pPr>
              <w:rPr>
                <w:b/>
                <w:bCs/>
              </w:rPr>
            </w:pPr>
            <w:r w:rsidRPr="00C53867">
              <w:rPr>
                <w:b/>
                <w:bCs/>
              </w:rPr>
              <w:t>Population net increase/</w:t>
            </w:r>
            <w:r w:rsidRPr="00C53867">
              <w:rPr>
                <w:b/>
                <w:bCs/>
              </w:rPr>
              <w:br/>
              <w:t>decrease</w:t>
            </w:r>
            <w:r w:rsidRPr="00C53867">
              <w:rPr>
                <w:b/>
                <w:bCs/>
              </w:rPr>
              <w:t xml:space="preserve"> between 2017 and 2037, based on GMFM-2018.</w:t>
            </w:r>
          </w:p>
        </w:tc>
        <w:tc>
          <w:tcPr>
            <w:tcW w:w="1536" w:type="dxa"/>
            <w:tcBorders>
              <w:top w:val="single" w:sz="4" w:space="0" w:color="auto"/>
              <w:left w:val="single" w:sz="12" w:space="0" w:color="auto"/>
              <w:bottom w:val="single" w:sz="4" w:space="0" w:color="auto"/>
              <w:right w:val="single" w:sz="12" w:space="0" w:color="auto"/>
            </w:tcBorders>
            <w:shd w:val="clear" w:color="auto" w:fill="000000"/>
            <w:vAlign w:val="center"/>
          </w:tcPr>
          <w:p w14:paraId="5E4E84D5" w14:textId="4BD0380B" w:rsidR="00C53867" w:rsidRPr="00C53867" w:rsidRDefault="00C53867" w:rsidP="00C53867">
            <w:pPr>
              <w:rPr>
                <w:b/>
                <w:bCs/>
              </w:rPr>
            </w:pPr>
            <w:r w:rsidRPr="00C53867">
              <w:rPr>
                <w:b/>
                <w:bCs/>
              </w:rPr>
              <w:t>Population</w:t>
            </w:r>
            <w:r w:rsidRPr="00C53867">
              <w:rPr>
                <w:b/>
                <w:bCs/>
              </w:rPr>
              <w:br/>
              <w:t>% Compound Annual Growth</w:t>
            </w:r>
            <w:r w:rsidRPr="00C53867">
              <w:rPr>
                <w:b/>
                <w:bCs/>
              </w:rPr>
              <w:t>, between 2017 and 2037, based on GMFM-2018</w:t>
            </w:r>
          </w:p>
        </w:tc>
        <w:tc>
          <w:tcPr>
            <w:tcW w:w="1536" w:type="dxa"/>
            <w:tcBorders>
              <w:top w:val="single" w:sz="4" w:space="0" w:color="auto"/>
              <w:left w:val="single" w:sz="12" w:space="0" w:color="auto"/>
              <w:bottom w:val="single" w:sz="4" w:space="0" w:color="auto"/>
              <w:right w:val="single" w:sz="12" w:space="0" w:color="auto"/>
            </w:tcBorders>
            <w:shd w:val="clear" w:color="auto" w:fill="000000"/>
            <w:noWrap/>
            <w:vAlign w:val="center"/>
          </w:tcPr>
          <w:p w14:paraId="054ABBC5" w14:textId="59BB0B99" w:rsidR="00C53867" w:rsidRPr="00C53867" w:rsidRDefault="00C53867" w:rsidP="00C53867">
            <w:pPr>
              <w:rPr>
                <w:b/>
                <w:bCs/>
              </w:rPr>
            </w:pPr>
            <w:r w:rsidRPr="00C53867">
              <w:rPr>
                <w:b/>
                <w:bCs/>
              </w:rPr>
              <w:t xml:space="preserve">Net migration </w:t>
            </w:r>
            <w:proofErr w:type="gramStart"/>
            <w:r w:rsidRPr="00C53867">
              <w:rPr>
                <w:b/>
                <w:bCs/>
              </w:rPr>
              <w:t>change</w:t>
            </w:r>
            <w:proofErr w:type="gramEnd"/>
            <w:r w:rsidRPr="00C53867">
              <w:rPr>
                <w:b/>
                <w:bCs/>
              </w:rPr>
              <w:t xml:space="preserve"> between 2017 and 2037, based on GMFM-2018.</w:t>
            </w:r>
          </w:p>
        </w:tc>
      </w:tr>
      <w:tr w:rsidR="00C53867" w:rsidRPr="00AF0D7B" w14:paraId="3BDB5C86" w14:textId="77777777" w:rsidTr="00C53867">
        <w:trPr>
          <w:trHeight w:val="276"/>
        </w:trPr>
        <w:tc>
          <w:tcPr>
            <w:tcW w:w="983"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C2B3D04" w14:textId="77777777" w:rsidR="00C53867" w:rsidRPr="00AF0D7B" w:rsidRDefault="00C53867" w:rsidP="00C53867">
            <w:r w:rsidRPr="00AF0D7B">
              <w:t>GM</w:t>
            </w:r>
          </w:p>
        </w:tc>
        <w:tc>
          <w:tcPr>
            <w:tcW w:w="15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1D08D3C" w14:textId="77777777" w:rsidR="00C53867" w:rsidRPr="00AF0D7B" w:rsidRDefault="00C53867" w:rsidP="00C53867">
            <w:r>
              <w:t>184,900</w:t>
            </w:r>
          </w:p>
        </w:tc>
        <w:tc>
          <w:tcPr>
            <w:tcW w:w="1536" w:type="dxa"/>
            <w:tcBorders>
              <w:top w:val="single" w:sz="4" w:space="0" w:color="auto"/>
              <w:left w:val="nil"/>
              <w:bottom w:val="single" w:sz="4" w:space="0" w:color="auto"/>
              <w:right w:val="single" w:sz="12" w:space="0" w:color="auto"/>
            </w:tcBorders>
            <w:shd w:val="clear" w:color="auto" w:fill="auto"/>
            <w:noWrap/>
            <w:vAlign w:val="center"/>
          </w:tcPr>
          <w:p w14:paraId="08C6F4EB" w14:textId="77777777" w:rsidR="00C53867" w:rsidRPr="00AF0D7B" w:rsidRDefault="00C53867" w:rsidP="00C53867">
            <w:r w:rsidRPr="00AF0D7B">
              <w:t>0</w:t>
            </w:r>
            <w:r>
              <w:t>.3</w:t>
            </w:r>
            <w:r w:rsidRPr="00AF0D7B">
              <w:t>%</w:t>
            </w:r>
          </w:p>
        </w:tc>
        <w:tc>
          <w:tcPr>
            <w:tcW w:w="1536" w:type="dxa"/>
            <w:tcBorders>
              <w:top w:val="single" w:sz="4" w:space="0" w:color="auto"/>
              <w:left w:val="single" w:sz="12" w:space="0" w:color="auto"/>
              <w:bottom w:val="single" w:sz="4" w:space="0" w:color="auto"/>
              <w:right w:val="single" w:sz="12" w:space="0" w:color="auto"/>
            </w:tcBorders>
            <w:shd w:val="clear" w:color="auto" w:fill="auto"/>
            <w:vAlign w:val="center"/>
          </w:tcPr>
          <w:p w14:paraId="53AE7EBD" w14:textId="77777777" w:rsidR="00C53867" w:rsidRPr="00AF0D7B" w:rsidRDefault="00C53867" w:rsidP="00C53867">
            <w:pPr>
              <w:rPr>
                <w:color w:val="000000" w:themeColor="text1"/>
              </w:rPr>
            </w:pPr>
            <w:r w:rsidRPr="00AF0D7B">
              <w:rPr>
                <w:color w:val="000000" w:themeColor="text1"/>
              </w:rPr>
              <w:t>-1</w:t>
            </w:r>
            <w:r>
              <w:rPr>
                <w:color w:val="000000" w:themeColor="text1"/>
              </w:rPr>
              <w:t>0,100</w:t>
            </w:r>
          </w:p>
        </w:tc>
        <w:tc>
          <w:tcPr>
            <w:tcW w:w="1535" w:type="dxa"/>
            <w:tcBorders>
              <w:top w:val="single" w:sz="4" w:space="0" w:color="auto"/>
              <w:left w:val="single" w:sz="12" w:space="0" w:color="auto"/>
              <w:bottom w:val="single" w:sz="4" w:space="0" w:color="auto"/>
              <w:right w:val="single" w:sz="4" w:space="0" w:color="auto"/>
            </w:tcBorders>
            <w:shd w:val="clear" w:color="auto" w:fill="auto"/>
            <w:vAlign w:val="center"/>
          </w:tcPr>
          <w:p w14:paraId="6840E84F" w14:textId="77777777" w:rsidR="00C53867" w:rsidRPr="00AF0D7B" w:rsidRDefault="00C53867" w:rsidP="00C53867">
            <w:pPr>
              <w:rPr>
                <w:color w:val="000000" w:themeColor="text1"/>
              </w:rPr>
            </w:pPr>
            <w:r>
              <w:rPr>
                <w:color w:val="000000" w:themeColor="text1"/>
              </w:rPr>
              <w:t>181,3</w:t>
            </w:r>
            <w:r w:rsidRPr="00AF0D7B">
              <w:rPr>
                <w:color w:val="000000" w:themeColor="text1"/>
              </w:rPr>
              <w:t>00</w:t>
            </w:r>
          </w:p>
        </w:tc>
        <w:tc>
          <w:tcPr>
            <w:tcW w:w="1536" w:type="dxa"/>
            <w:tcBorders>
              <w:top w:val="single" w:sz="4" w:space="0" w:color="auto"/>
              <w:left w:val="nil"/>
              <w:bottom w:val="single" w:sz="4" w:space="0" w:color="auto"/>
              <w:right w:val="single" w:sz="12" w:space="0" w:color="auto"/>
            </w:tcBorders>
            <w:shd w:val="clear" w:color="auto" w:fill="auto"/>
            <w:vAlign w:val="center"/>
          </w:tcPr>
          <w:p w14:paraId="1D1CFBC3" w14:textId="77777777" w:rsidR="00C53867" w:rsidRPr="00AF0D7B" w:rsidRDefault="00C53867" w:rsidP="00C53867">
            <w:pPr>
              <w:rPr>
                <w:color w:val="000000" w:themeColor="text1"/>
              </w:rPr>
            </w:pPr>
            <w:r w:rsidRPr="00AF0D7B">
              <w:rPr>
                <w:color w:val="000000" w:themeColor="text1"/>
              </w:rPr>
              <w:t>0.3%</w:t>
            </w:r>
          </w:p>
        </w:tc>
        <w:tc>
          <w:tcPr>
            <w:tcW w:w="153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BF3323E" w14:textId="77777777" w:rsidR="00C53867" w:rsidRPr="00AF0D7B" w:rsidRDefault="00C53867" w:rsidP="00C53867">
            <w:pPr>
              <w:rPr>
                <w:color w:val="000000" w:themeColor="text1"/>
              </w:rPr>
            </w:pPr>
            <w:r>
              <w:rPr>
                <w:color w:val="000000" w:themeColor="text1"/>
              </w:rPr>
              <w:t>-6,3</w:t>
            </w:r>
            <w:r w:rsidRPr="00AF0D7B">
              <w:rPr>
                <w:color w:val="000000" w:themeColor="text1"/>
              </w:rPr>
              <w:t>00</w:t>
            </w:r>
          </w:p>
        </w:tc>
      </w:tr>
      <w:tr w:rsidR="00C53867" w:rsidRPr="00AF0D7B" w14:paraId="21A10413" w14:textId="77777777" w:rsidTr="00C53867">
        <w:trPr>
          <w:trHeight w:val="276"/>
        </w:trPr>
        <w:tc>
          <w:tcPr>
            <w:tcW w:w="983"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9795F03" w14:textId="77777777" w:rsidR="00C53867" w:rsidRPr="00AF0D7B" w:rsidRDefault="00C53867" w:rsidP="00C53867">
            <w:r w:rsidRPr="00AF0D7B">
              <w:t>UK</w:t>
            </w:r>
          </w:p>
        </w:tc>
        <w:tc>
          <w:tcPr>
            <w:tcW w:w="153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03EEA3A" w14:textId="77777777" w:rsidR="00C53867" w:rsidRPr="00AF0D7B" w:rsidRDefault="00C53867" w:rsidP="00C53867">
            <w:r>
              <w:t>4</w:t>
            </w:r>
            <w:r w:rsidRPr="00AF0D7B">
              <w:t>,</w:t>
            </w:r>
            <w:r>
              <w:t>835,4</w:t>
            </w:r>
            <w:r w:rsidRPr="00AF0D7B">
              <w:t>00</w:t>
            </w:r>
          </w:p>
        </w:tc>
        <w:tc>
          <w:tcPr>
            <w:tcW w:w="1536" w:type="dxa"/>
            <w:tcBorders>
              <w:top w:val="single" w:sz="4" w:space="0" w:color="auto"/>
              <w:left w:val="nil"/>
              <w:bottom w:val="single" w:sz="12" w:space="0" w:color="auto"/>
              <w:right w:val="single" w:sz="12" w:space="0" w:color="auto"/>
            </w:tcBorders>
            <w:shd w:val="clear" w:color="auto" w:fill="auto"/>
            <w:noWrap/>
            <w:vAlign w:val="center"/>
          </w:tcPr>
          <w:p w14:paraId="38ACA1BD" w14:textId="77777777" w:rsidR="00C53867" w:rsidRPr="00AF0D7B" w:rsidRDefault="00C53867" w:rsidP="00C53867">
            <w:r w:rsidRPr="00AF0D7B">
              <w:t>0.4%</w:t>
            </w:r>
          </w:p>
        </w:tc>
        <w:tc>
          <w:tcPr>
            <w:tcW w:w="1536" w:type="dxa"/>
            <w:tcBorders>
              <w:top w:val="single" w:sz="4" w:space="0" w:color="auto"/>
              <w:left w:val="single" w:sz="12" w:space="0" w:color="auto"/>
              <w:bottom w:val="single" w:sz="12" w:space="0" w:color="auto"/>
              <w:right w:val="single" w:sz="12" w:space="0" w:color="auto"/>
            </w:tcBorders>
            <w:shd w:val="clear" w:color="auto" w:fill="auto"/>
            <w:vAlign w:val="center"/>
          </w:tcPr>
          <w:p w14:paraId="51C5B470" w14:textId="77777777" w:rsidR="00C53867" w:rsidRPr="00AF0D7B" w:rsidRDefault="00C53867" w:rsidP="00C53867">
            <w:pPr>
              <w:rPr>
                <w:color w:val="000000" w:themeColor="text1"/>
              </w:rPr>
            </w:pPr>
            <w:r w:rsidRPr="00AF0D7B">
              <w:rPr>
                <w:color w:val="000000" w:themeColor="text1"/>
              </w:rPr>
              <w:t>-</w:t>
            </w:r>
            <w:r>
              <w:rPr>
                <w:color w:val="000000" w:themeColor="text1"/>
              </w:rPr>
              <w:t>139,600</w:t>
            </w:r>
          </w:p>
        </w:tc>
        <w:tc>
          <w:tcPr>
            <w:tcW w:w="1535" w:type="dxa"/>
            <w:tcBorders>
              <w:top w:val="single" w:sz="4" w:space="0" w:color="auto"/>
              <w:left w:val="single" w:sz="12" w:space="0" w:color="auto"/>
              <w:bottom w:val="single" w:sz="12" w:space="0" w:color="auto"/>
              <w:right w:val="single" w:sz="4" w:space="0" w:color="auto"/>
            </w:tcBorders>
            <w:shd w:val="clear" w:color="auto" w:fill="auto"/>
            <w:vAlign w:val="center"/>
          </w:tcPr>
          <w:p w14:paraId="28A8124B" w14:textId="77777777" w:rsidR="00C53867" w:rsidRPr="00AF0D7B" w:rsidRDefault="00C53867" w:rsidP="00C53867">
            <w:pPr>
              <w:rPr>
                <w:color w:val="000000" w:themeColor="text1"/>
              </w:rPr>
            </w:pPr>
            <w:r>
              <w:rPr>
                <w:color w:val="000000" w:themeColor="text1"/>
              </w:rPr>
              <w:t>4,647,1</w:t>
            </w:r>
            <w:r w:rsidRPr="00AF0D7B">
              <w:rPr>
                <w:color w:val="000000" w:themeColor="text1"/>
              </w:rPr>
              <w:t>00</w:t>
            </w:r>
          </w:p>
        </w:tc>
        <w:tc>
          <w:tcPr>
            <w:tcW w:w="1536" w:type="dxa"/>
            <w:tcBorders>
              <w:top w:val="single" w:sz="4" w:space="0" w:color="auto"/>
              <w:left w:val="nil"/>
              <w:bottom w:val="single" w:sz="12" w:space="0" w:color="auto"/>
              <w:right w:val="single" w:sz="12" w:space="0" w:color="auto"/>
            </w:tcBorders>
            <w:shd w:val="clear" w:color="auto" w:fill="auto"/>
            <w:vAlign w:val="center"/>
          </w:tcPr>
          <w:p w14:paraId="52D28669" w14:textId="77777777" w:rsidR="00C53867" w:rsidRPr="00AF0D7B" w:rsidRDefault="00C53867" w:rsidP="00C53867">
            <w:pPr>
              <w:rPr>
                <w:color w:val="000000" w:themeColor="text1"/>
              </w:rPr>
            </w:pPr>
            <w:r>
              <w:rPr>
                <w:color w:val="000000" w:themeColor="text1"/>
              </w:rPr>
              <w:t>0.3</w:t>
            </w:r>
            <w:r w:rsidRPr="00AF0D7B">
              <w:rPr>
                <w:color w:val="000000" w:themeColor="text1"/>
              </w:rPr>
              <w:t>%</w:t>
            </w:r>
          </w:p>
        </w:tc>
        <w:tc>
          <w:tcPr>
            <w:tcW w:w="153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17B48B4" w14:textId="77777777" w:rsidR="00C53867" w:rsidRPr="00AF0D7B" w:rsidRDefault="00C53867" w:rsidP="00C53867">
            <w:pPr>
              <w:rPr>
                <w:color w:val="000000" w:themeColor="text1"/>
              </w:rPr>
            </w:pPr>
            <w:r>
              <w:rPr>
                <w:color w:val="000000" w:themeColor="text1"/>
              </w:rPr>
              <w:t>-140</w:t>
            </w:r>
            <w:r w:rsidRPr="00AF0D7B">
              <w:rPr>
                <w:color w:val="000000" w:themeColor="text1"/>
              </w:rPr>
              <w:t>,000</w:t>
            </w:r>
          </w:p>
        </w:tc>
      </w:tr>
    </w:tbl>
    <w:p w14:paraId="536A2A9B" w14:textId="77777777" w:rsidR="003B0EEC" w:rsidRDefault="003B0EEC" w:rsidP="003B0EEC"/>
    <w:p w14:paraId="03310C2C" w14:textId="067BB8B8" w:rsidR="00C53867" w:rsidRPr="00B94DB0" w:rsidRDefault="00C53867" w:rsidP="00C53867">
      <w:pPr>
        <w:pStyle w:val="Heading3"/>
      </w:pPr>
      <w:r w:rsidRPr="00B94DB0">
        <w:t>Comparison with other forecasts</w:t>
      </w:r>
    </w:p>
    <w:p w14:paraId="0BAC9D93" w14:textId="01623CD8" w:rsidR="00C53867" w:rsidRPr="00B94DB0" w:rsidRDefault="00C53867" w:rsidP="00C53867">
      <w:pPr>
        <w:rPr>
          <w:color w:val="000000" w:themeColor="text1"/>
        </w:rPr>
      </w:pPr>
      <w:r>
        <w:rPr>
          <w:color w:val="000000" w:themeColor="text1"/>
        </w:rPr>
        <w:t>3.2</w:t>
      </w:r>
      <w:r w:rsidR="003B0EEC">
        <w:rPr>
          <w:color w:val="000000" w:themeColor="text1"/>
        </w:rPr>
        <w:t>4</w:t>
      </w:r>
      <w:r>
        <w:rPr>
          <w:color w:val="000000" w:themeColor="text1"/>
        </w:rPr>
        <w:t>.</w:t>
      </w:r>
      <w:r>
        <w:rPr>
          <w:color w:val="000000" w:themeColor="text1"/>
        </w:rPr>
        <w:tab/>
      </w:r>
      <w:r w:rsidRPr="00B94DB0">
        <w:rPr>
          <w:color w:val="000000" w:themeColor="text1"/>
        </w:rPr>
        <w:t xml:space="preserve">To ensure that the GMFM is ‘stress tested’ against other forecasts, GMCA have reviewed HM Treasury monthly compilation of forecasts (included in Annex 2); and carried out a further comparison of OE’s </w:t>
      </w:r>
      <w:proofErr w:type="gramStart"/>
      <w:r w:rsidRPr="00B94DB0">
        <w:rPr>
          <w:color w:val="000000" w:themeColor="text1"/>
        </w:rPr>
        <w:t>twenty year</w:t>
      </w:r>
      <w:proofErr w:type="gramEnd"/>
      <w:r w:rsidRPr="00B94DB0">
        <w:rPr>
          <w:color w:val="000000" w:themeColor="text1"/>
        </w:rPr>
        <w:t xml:space="preserve"> forecasts with those produced by Experian</w:t>
      </w:r>
      <w:r w:rsidRPr="00B94DB0">
        <w:rPr>
          <w:rStyle w:val="FootnoteReference"/>
          <w:rFonts w:cs="Arial"/>
          <w:color w:val="000000" w:themeColor="text1"/>
          <w:sz w:val="18"/>
          <w:szCs w:val="18"/>
        </w:rPr>
        <w:footnoteReference w:id="8"/>
      </w:r>
      <w:r w:rsidRPr="00B94DB0">
        <w:rPr>
          <w:color w:val="000000" w:themeColor="text1"/>
        </w:rPr>
        <w:t xml:space="preserve">. </w:t>
      </w:r>
    </w:p>
    <w:p w14:paraId="7825BC9C" w14:textId="0986957B" w:rsidR="00C53867" w:rsidRPr="00584277" w:rsidRDefault="00C53867" w:rsidP="00C53867">
      <w:pPr>
        <w:rPr>
          <w:color w:val="000000" w:themeColor="text1"/>
        </w:rPr>
      </w:pPr>
      <w:r>
        <w:rPr>
          <w:color w:val="000000" w:themeColor="text1"/>
        </w:rPr>
        <w:t>3.2</w:t>
      </w:r>
      <w:r w:rsidR="003B0EEC">
        <w:rPr>
          <w:color w:val="000000" w:themeColor="text1"/>
        </w:rPr>
        <w:t>5</w:t>
      </w:r>
      <w:r>
        <w:rPr>
          <w:color w:val="000000" w:themeColor="text1"/>
        </w:rPr>
        <w:t>.</w:t>
      </w:r>
      <w:r>
        <w:rPr>
          <w:color w:val="000000" w:themeColor="text1"/>
        </w:rPr>
        <w:tab/>
      </w:r>
      <w:r w:rsidRPr="00584277">
        <w:rPr>
          <w:color w:val="000000" w:themeColor="text1"/>
        </w:rPr>
        <w:t xml:space="preserve">As shown in figure 8, both baseline forecasts are broadly similar in terms of growth rates.  Experian forecasts slightly slower productivity growth than GMFM-2019, but higher population and employment growth. Total GVA growth levels forecast by Experian are around £0.1 billion </w:t>
      </w:r>
      <w:r>
        <w:rPr>
          <w:color w:val="000000" w:themeColor="text1"/>
        </w:rPr>
        <w:t>higher</w:t>
      </w:r>
      <w:r w:rsidRPr="00584277">
        <w:rPr>
          <w:color w:val="000000" w:themeColor="text1"/>
        </w:rPr>
        <w:t xml:space="preserve"> than GMFM-2019 over the </w:t>
      </w:r>
      <w:proofErr w:type="gramStart"/>
      <w:r w:rsidRPr="00584277">
        <w:rPr>
          <w:color w:val="000000" w:themeColor="text1"/>
        </w:rPr>
        <w:t>twenty year</w:t>
      </w:r>
      <w:proofErr w:type="gramEnd"/>
      <w:r w:rsidRPr="00584277">
        <w:rPr>
          <w:color w:val="000000" w:themeColor="text1"/>
        </w:rPr>
        <w:t xml:space="preserve"> period.</w:t>
      </w:r>
    </w:p>
    <w:p w14:paraId="5AC1A3F2" w14:textId="17D66997" w:rsidR="00C53867" w:rsidRPr="003F1997" w:rsidRDefault="00C53867" w:rsidP="00C53867">
      <w:r>
        <w:lastRenderedPageBreak/>
        <w:t>3.2</w:t>
      </w:r>
      <w:r w:rsidR="003B0EEC">
        <w:t>6</w:t>
      </w:r>
      <w:r>
        <w:t>.</w:t>
      </w:r>
      <w:r>
        <w:tab/>
        <w:t>Table 9</w:t>
      </w:r>
      <w:r w:rsidRPr="003F1997">
        <w:t>: Comparison of GMFM and Experian baseline forecasts, 2017 to 2037</w:t>
      </w:r>
    </w:p>
    <w:tbl>
      <w:tblPr>
        <w:tblW w:w="97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arison of GMFM and Experian baseline forecasts, 2017 to 2037"/>
        <w:tblDescription w:val="Table comparing the GMFM-2019 model to the Experian-2019 model. The table shows net increase/decrease and % Compound Annual growth for a range of key economic measures between 2017 and 2037 for each model. GVA is similar in both models, while the GMFM model shows slightly higher productivity growth and slightly lower Employment and Population growth."/>
      </w:tblPr>
      <w:tblGrid>
        <w:gridCol w:w="1559"/>
        <w:gridCol w:w="2059"/>
        <w:gridCol w:w="2059"/>
        <w:gridCol w:w="2059"/>
        <w:gridCol w:w="2060"/>
      </w:tblGrid>
      <w:tr w:rsidR="00C53867" w:rsidRPr="004F7EA8" w14:paraId="3EAC3421" w14:textId="77777777" w:rsidTr="0013153A">
        <w:trPr>
          <w:trHeight w:val="284"/>
        </w:trPr>
        <w:tc>
          <w:tcPr>
            <w:tcW w:w="1559" w:type="dxa"/>
            <w:shd w:val="clear" w:color="auto" w:fill="000000"/>
            <w:vAlign w:val="center"/>
          </w:tcPr>
          <w:p w14:paraId="180CFC21" w14:textId="77777777" w:rsidR="00C53867" w:rsidRPr="003F1997" w:rsidRDefault="00C53867" w:rsidP="00C53867">
            <w:r w:rsidRPr="003F1997">
              <w:t>Measure:</w:t>
            </w:r>
          </w:p>
        </w:tc>
        <w:tc>
          <w:tcPr>
            <w:tcW w:w="2059" w:type="dxa"/>
            <w:shd w:val="clear" w:color="auto" w:fill="000000"/>
            <w:vAlign w:val="center"/>
          </w:tcPr>
          <w:p w14:paraId="45312C72" w14:textId="5E82CBF8" w:rsidR="00C53867" w:rsidRPr="00E84A16" w:rsidRDefault="00C53867" w:rsidP="00C53867">
            <w:r w:rsidRPr="00E84A16">
              <w:t>Net increase/</w:t>
            </w:r>
            <w:r w:rsidRPr="00E84A16">
              <w:br/>
              <w:t>decrease</w:t>
            </w:r>
            <w:r w:rsidR="00E15B24">
              <w:t xml:space="preserve"> between 2017 and 2037, based on GMFM-2019.</w:t>
            </w:r>
          </w:p>
        </w:tc>
        <w:tc>
          <w:tcPr>
            <w:tcW w:w="2059" w:type="dxa"/>
            <w:shd w:val="clear" w:color="auto" w:fill="000000" w:themeFill="text1"/>
            <w:vAlign w:val="center"/>
          </w:tcPr>
          <w:p w14:paraId="0A82DC92" w14:textId="373DCCFC" w:rsidR="00C53867" w:rsidRPr="00E84A16" w:rsidRDefault="00C53867" w:rsidP="00C53867">
            <w:r w:rsidRPr="00E84A16">
              <w:t xml:space="preserve">% Compound </w:t>
            </w:r>
            <w:r w:rsidRPr="00E84A16">
              <w:br/>
              <w:t>Annual Growth</w:t>
            </w:r>
            <w:r w:rsidR="00E15B24">
              <w:t xml:space="preserve"> between 2017 and 2037, based on GMFM-2019</w:t>
            </w:r>
          </w:p>
        </w:tc>
        <w:tc>
          <w:tcPr>
            <w:tcW w:w="2059" w:type="dxa"/>
            <w:shd w:val="clear" w:color="auto" w:fill="000000"/>
            <w:vAlign w:val="center"/>
          </w:tcPr>
          <w:p w14:paraId="595487A2" w14:textId="76C7C2E8" w:rsidR="00C53867" w:rsidRPr="00E84A16" w:rsidRDefault="00C53867" w:rsidP="00C53867">
            <w:r w:rsidRPr="00E84A16">
              <w:t>Net increase/</w:t>
            </w:r>
            <w:r w:rsidRPr="00E84A16">
              <w:br/>
              <w:t>decrease</w:t>
            </w:r>
            <w:r w:rsidR="00E15B24">
              <w:t xml:space="preserve"> between 2017 and 2037, based on Experian-2019</w:t>
            </w:r>
          </w:p>
        </w:tc>
        <w:tc>
          <w:tcPr>
            <w:tcW w:w="2060" w:type="dxa"/>
            <w:tcBorders>
              <w:right w:val="single" w:sz="12" w:space="0" w:color="auto"/>
            </w:tcBorders>
            <w:shd w:val="clear" w:color="auto" w:fill="000000"/>
            <w:vAlign w:val="center"/>
          </w:tcPr>
          <w:p w14:paraId="1AE42D57" w14:textId="6F26D6DD" w:rsidR="00C53867" w:rsidRPr="00E84A16" w:rsidRDefault="00C53867" w:rsidP="00C53867">
            <w:r w:rsidRPr="00E84A16">
              <w:t xml:space="preserve">% Compound </w:t>
            </w:r>
            <w:r w:rsidRPr="00E84A16">
              <w:br/>
              <w:t>Annual Growth</w:t>
            </w:r>
            <w:r w:rsidR="00E15B24">
              <w:t xml:space="preserve"> between 2017 and 2037, based on Experian-2019</w:t>
            </w:r>
          </w:p>
        </w:tc>
      </w:tr>
      <w:tr w:rsidR="00C53867" w:rsidRPr="004F7EA8" w14:paraId="6A94BEEA" w14:textId="77777777" w:rsidTr="0013153A">
        <w:trPr>
          <w:trHeight w:val="284"/>
        </w:trPr>
        <w:tc>
          <w:tcPr>
            <w:tcW w:w="1559" w:type="dxa"/>
            <w:tcBorders>
              <w:top w:val="single" w:sz="12" w:space="0" w:color="auto"/>
              <w:left w:val="single" w:sz="12" w:space="0" w:color="auto"/>
              <w:right w:val="single" w:sz="12" w:space="0" w:color="auto"/>
            </w:tcBorders>
            <w:shd w:val="clear" w:color="auto" w:fill="auto"/>
            <w:vAlign w:val="center"/>
          </w:tcPr>
          <w:p w14:paraId="212E0508" w14:textId="77777777" w:rsidR="00C53867" w:rsidRPr="003F1997" w:rsidRDefault="00C53867" w:rsidP="00C53867">
            <w:r w:rsidRPr="003F1997">
              <w:t>GVA</w:t>
            </w:r>
          </w:p>
        </w:tc>
        <w:tc>
          <w:tcPr>
            <w:tcW w:w="2059" w:type="dxa"/>
            <w:tcBorders>
              <w:top w:val="single" w:sz="12" w:space="0" w:color="auto"/>
              <w:left w:val="single" w:sz="12" w:space="0" w:color="auto"/>
              <w:right w:val="single" w:sz="4" w:space="0" w:color="auto"/>
            </w:tcBorders>
            <w:vAlign w:val="center"/>
          </w:tcPr>
          <w:p w14:paraId="7D83DA5F" w14:textId="77777777" w:rsidR="00C53867" w:rsidRPr="003F1997" w:rsidRDefault="00C53867" w:rsidP="00C53867">
            <w:r w:rsidRPr="003F1997">
              <w:t>£23,873 million</w:t>
            </w:r>
          </w:p>
        </w:tc>
        <w:tc>
          <w:tcPr>
            <w:tcW w:w="2059" w:type="dxa"/>
            <w:tcBorders>
              <w:top w:val="single" w:sz="12" w:space="0" w:color="auto"/>
              <w:left w:val="single" w:sz="4" w:space="0" w:color="auto"/>
              <w:right w:val="single" w:sz="12" w:space="0" w:color="auto"/>
            </w:tcBorders>
            <w:vAlign w:val="center"/>
          </w:tcPr>
          <w:p w14:paraId="465D5FE1" w14:textId="77777777" w:rsidR="00C53867" w:rsidRPr="003F1997" w:rsidRDefault="00C53867" w:rsidP="00C53867">
            <w:r w:rsidRPr="003F1997">
              <w:t>1.6%</w:t>
            </w:r>
          </w:p>
        </w:tc>
        <w:tc>
          <w:tcPr>
            <w:tcW w:w="2059" w:type="dxa"/>
            <w:tcBorders>
              <w:top w:val="single" w:sz="12" w:space="0" w:color="auto"/>
              <w:left w:val="single" w:sz="12" w:space="0" w:color="auto"/>
            </w:tcBorders>
            <w:shd w:val="clear" w:color="auto" w:fill="D9D9D9" w:themeFill="background1" w:themeFillShade="D9"/>
            <w:vAlign w:val="center"/>
          </w:tcPr>
          <w:p w14:paraId="07340DD6" w14:textId="77777777" w:rsidR="00C53867" w:rsidRPr="009C2A08" w:rsidRDefault="00C53867" w:rsidP="00C53867">
            <w:pPr>
              <w:rPr>
                <w:lang w:val="en-US"/>
              </w:rPr>
            </w:pPr>
            <w:r w:rsidRPr="009C2A08">
              <w:t>£24,028 million</w:t>
            </w:r>
          </w:p>
        </w:tc>
        <w:tc>
          <w:tcPr>
            <w:tcW w:w="2060" w:type="dxa"/>
            <w:tcBorders>
              <w:top w:val="single" w:sz="12" w:space="0" w:color="auto"/>
              <w:right w:val="single" w:sz="12" w:space="0" w:color="auto"/>
            </w:tcBorders>
            <w:shd w:val="clear" w:color="auto" w:fill="D9D9D9" w:themeFill="background1" w:themeFillShade="D9"/>
            <w:vAlign w:val="center"/>
          </w:tcPr>
          <w:p w14:paraId="73038F13" w14:textId="77777777" w:rsidR="00C53867" w:rsidRPr="009C2A08" w:rsidRDefault="00C53867" w:rsidP="00C53867">
            <w:r w:rsidRPr="009C2A08">
              <w:t>1.6%</w:t>
            </w:r>
          </w:p>
        </w:tc>
      </w:tr>
      <w:tr w:rsidR="00C53867" w:rsidRPr="004F7EA8" w14:paraId="325A0E9B" w14:textId="77777777" w:rsidTr="0013153A">
        <w:trPr>
          <w:trHeight w:val="284"/>
        </w:trPr>
        <w:tc>
          <w:tcPr>
            <w:tcW w:w="1559" w:type="dxa"/>
            <w:tcBorders>
              <w:left w:val="single" w:sz="12" w:space="0" w:color="auto"/>
              <w:right w:val="single" w:sz="12" w:space="0" w:color="auto"/>
            </w:tcBorders>
            <w:shd w:val="clear" w:color="auto" w:fill="auto"/>
            <w:vAlign w:val="center"/>
          </w:tcPr>
          <w:p w14:paraId="676D1051" w14:textId="77777777" w:rsidR="00C53867" w:rsidRPr="003F1997" w:rsidRDefault="00C53867" w:rsidP="00C53867">
            <w:r w:rsidRPr="003F1997">
              <w:t>Productivity</w:t>
            </w:r>
          </w:p>
        </w:tc>
        <w:tc>
          <w:tcPr>
            <w:tcW w:w="2059" w:type="dxa"/>
            <w:tcBorders>
              <w:left w:val="single" w:sz="12" w:space="0" w:color="auto"/>
              <w:right w:val="single" w:sz="4" w:space="0" w:color="auto"/>
            </w:tcBorders>
            <w:vAlign w:val="center"/>
          </w:tcPr>
          <w:p w14:paraId="5E17D02F" w14:textId="77777777" w:rsidR="00C53867" w:rsidRPr="003F1997" w:rsidRDefault="00C53867" w:rsidP="00C53867">
            <w:r w:rsidRPr="003F1997">
              <w:t>£9,600</w:t>
            </w:r>
          </w:p>
        </w:tc>
        <w:tc>
          <w:tcPr>
            <w:tcW w:w="2059" w:type="dxa"/>
            <w:tcBorders>
              <w:left w:val="single" w:sz="4" w:space="0" w:color="auto"/>
              <w:right w:val="single" w:sz="12" w:space="0" w:color="auto"/>
            </w:tcBorders>
            <w:vAlign w:val="center"/>
          </w:tcPr>
          <w:p w14:paraId="529A9655" w14:textId="77777777" w:rsidR="00C53867" w:rsidRPr="003F1997" w:rsidRDefault="00C53867" w:rsidP="00C53867">
            <w:r w:rsidRPr="003F1997">
              <w:t>1.0%</w:t>
            </w:r>
          </w:p>
        </w:tc>
        <w:tc>
          <w:tcPr>
            <w:tcW w:w="2059" w:type="dxa"/>
            <w:tcBorders>
              <w:left w:val="single" w:sz="12" w:space="0" w:color="auto"/>
            </w:tcBorders>
            <w:shd w:val="clear" w:color="auto" w:fill="D9D9D9" w:themeFill="background1" w:themeFillShade="D9"/>
            <w:vAlign w:val="center"/>
          </w:tcPr>
          <w:p w14:paraId="0F860D01" w14:textId="77777777" w:rsidR="00C53867" w:rsidRPr="00F8100F" w:rsidRDefault="00C53867" w:rsidP="00C53867">
            <w:r w:rsidRPr="00F8100F">
              <w:t>£8,500</w:t>
            </w:r>
          </w:p>
        </w:tc>
        <w:tc>
          <w:tcPr>
            <w:tcW w:w="2060" w:type="dxa"/>
            <w:tcBorders>
              <w:right w:val="single" w:sz="12" w:space="0" w:color="auto"/>
            </w:tcBorders>
            <w:shd w:val="clear" w:color="auto" w:fill="D9D9D9" w:themeFill="background1" w:themeFillShade="D9"/>
            <w:vAlign w:val="center"/>
          </w:tcPr>
          <w:p w14:paraId="24AD95D7" w14:textId="77777777" w:rsidR="00C53867" w:rsidRPr="00F8100F" w:rsidRDefault="00C53867" w:rsidP="00C53867">
            <w:r w:rsidRPr="00F8100F">
              <w:t>0.9%</w:t>
            </w:r>
          </w:p>
        </w:tc>
      </w:tr>
      <w:tr w:rsidR="00C53867" w:rsidRPr="004F7EA8" w14:paraId="0170970C" w14:textId="77777777" w:rsidTr="0013153A">
        <w:trPr>
          <w:trHeight w:val="284"/>
        </w:trPr>
        <w:tc>
          <w:tcPr>
            <w:tcW w:w="1559" w:type="dxa"/>
            <w:tcBorders>
              <w:left w:val="single" w:sz="12" w:space="0" w:color="auto"/>
              <w:right w:val="single" w:sz="12" w:space="0" w:color="auto"/>
            </w:tcBorders>
            <w:shd w:val="clear" w:color="auto" w:fill="auto"/>
            <w:vAlign w:val="center"/>
          </w:tcPr>
          <w:p w14:paraId="43EF1E4F" w14:textId="77777777" w:rsidR="00C53867" w:rsidRPr="003F1997" w:rsidRDefault="00C53867" w:rsidP="00C53867">
            <w:r w:rsidRPr="003F1997">
              <w:t>Employment</w:t>
            </w:r>
          </w:p>
        </w:tc>
        <w:tc>
          <w:tcPr>
            <w:tcW w:w="2059" w:type="dxa"/>
            <w:tcBorders>
              <w:left w:val="single" w:sz="12" w:space="0" w:color="auto"/>
              <w:right w:val="single" w:sz="4" w:space="0" w:color="auto"/>
            </w:tcBorders>
            <w:vAlign w:val="center"/>
          </w:tcPr>
          <w:p w14:paraId="476A99E9" w14:textId="77777777" w:rsidR="00C53867" w:rsidRPr="003F1997" w:rsidRDefault="00C53867" w:rsidP="00C53867">
            <w:r w:rsidRPr="003F1997">
              <w:t>183,000</w:t>
            </w:r>
          </w:p>
        </w:tc>
        <w:tc>
          <w:tcPr>
            <w:tcW w:w="2059" w:type="dxa"/>
            <w:tcBorders>
              <w:left w:val="single" w:sz="4" w:space="0" w:color="auto"/>
              <w:right w:val="single" w:sz="12" w:space="0" w:color="auto"/>
            </w:tcBorders>
            <w:vAlign w:val="center"/>
          </w:tcPr>
          <w:p w14:paraId="5F9F57FC" w14:textId="77777777" w:rsidR="00C53867" w:rsidRPr="003F1997" w:rsidRDefault="00C53867" w:rsidP="00C53867">
            <w:r w:rsidRPr="003F1997">
              <w:t>0.6%</w:t>
            </w:r>
          </w:p>
        </w:tc>
        <w:tc>
          <w:tcPr>
            <w:tcW w:w="2059" w:type="dxa"/>
            <w:tcBorders>
              <w:left w:val="single" w:sz="12" w:space="0" w:color="auto"/>
            </w:tcBorders>
            <w:shd w:val="clear" w:color="auto" w:fill="D9D9D9" w:themeFill="background1" w:themeFillShade="D9"/>
            <w:vAlign w:val="center"/>
          </w:tcPr>
          <w:p w14:paraId="7EFF3E4D" w14:textId="77777777" w:rsidR="00C53867" w:rsidRPr="009C2A08" w:rsidRDefault="00C53867" w:rsidP="00C53867">
            <w:r w:rsidRPr="009C2A08">
              <w:t>220,000</w:t>
            </w:r>
          </w:p>
        </w:tc>
        <w:tc>
          <w:tcPr>
            <w:tcW w:w="2060" w:type="dxa"/>
            <w:tcBorders>
              <w:right w:val="single" w:sz="12" w:space="0" w:color="auto"/>
            </w:tcBorders>
            <w:shd w:val="clear" w:color="auto" w:fill="D9D9D9" w:themeFill="background1" w:themeFillShade="D9"/>
            <w:vAlign w:val="center"/>
          </w:tcPr>
          <w:p w14:paraId="2106156C" w14:textId="77777777" w:rsidR="00C53867" w:rsidRPr="009C2A08" w:rsidRDefault="00C53867" w:rsidP="00C53867">
            <w:r w:rsidRPr="009C2A08">
              <w:t>0.7%</w:t>
            </w:r>
          </w:p>
        </w:tc>
      </w:tr>
      <w:tr w:rsidR="00C53867" w:rsidRPr="004F7EA8" w14:paraId="222DC5C9" w14:textId="77777777" w:rsidTr="0013153A">
        <w:trPr>
          <w:trHeight w:val="284"/>
        </w:trPr>
        <w:tc>
          <w:tcPr>
            <w:tcW w:w="1559" w:type="dxa"/>
            <w:tcBorders>
              <w:left w:val="single" w:sz="12" w:space="0" w:color="auto"/>
              <w:bottom w:val="single" w:sz="12" w:space="0" w:color="auto"/>
              <w:right w:val="single" w:sz="12" w:space="0" w:color="auto"/>
            </w:tcBorders>
            <w:shd w:val="clear" w:color="auto" w:fill="auto"/>
            <w:vAlign w:val="center"/>
          </w:tcPr>
          <w:p w14:paraId="575F4D6C" w14:textId="77777777" w:rsidR="00C53867" w:rsidRPr="003F1997" w:rsidRDefault="00C53867" w:rsidP="00C53867">
            <w:r w:rsidRPr="003F1997">
              <w:t>Population</w:t>
            </w:r>
          </w:p>
        </w:tc>
        <w:tc>
          <w:tcPr>
            <w:tcW w:w="2059" w:type="dxa"/>
            <w:tcBorders>
              <w:left w:val="single" w:sz="12" w:space="0" w:color="auto"/>
              <w:bottom w:val="single" w:sz="12" w:space="0" w:color="auto"/>
              <w:right w:val="single" w:sz="4" w:space="0" w:color="auto"/>
            </w:tcBorders>
            <w:vAlign w:val="center"/>
          </w:tcPr>
          <w:p w14:paraId="7E2A0C90" w14:textId="77777777" w:rsidR="00C53867" w:rsidRPr="003F1997" w:rsidRDefault="00C53867" w:rsidP="00C53867">
            <w:r w:rsidRPr="003F1997">
              <w:t>184,900</w:t>
            </w:r>
          </w:p>
        </w:tc>
        <w:tc>
          <w:tcPr>
            <w:tcW w:w="2059" w:type="dxa"/>
            <w:tcBorders>
              <w:left w:val="single" w:sz="4" w:space="0" w:color="auto"/>
              <w:bottom w:val="single" w:sz="12" w:space="0" w:color="auto"/>
              <w:right w:val="single" w:sz="12" w:space="0" w:color="auto"/>
            </w:tcBorders>
            <w:vAlign w:val="center"/>
          </w:tcPr>
          <w:p w14:paraId="2E30DDEF" w14:textId="77777777" w:rsidR="00C53867" w:rsidRPr="003F1997" w:rsidRDefault="00C53867" w:rsidP="00C53867">
            <w:r w:rsidRPr="003F1997">
              <w:t>0.3%</w:t>
            </w:r>
          </w:p>
        </w:tc>
        <w:tc>
          <w:tcPr>
            <w:tcW w:w="2059" w:type="dxa"/>
            <w:tcBorders>
              <w:left w:val="single" w:sz="12" w:space="0" w:color="auto"/>
              <w:bottom w:val="single" w:sz="12" w:space="0" w:color="auto"/>
            </w:tcBorders>
            <w:shd w:val="clear" w:color="auto" w:fill="D9D9D9" w:themeFill="background1" w:themeFillShade="D9"/>
            <w:vAlign w:val="center"/>
          </w:tcPr>
          <w:p w14:paraId="23BEE9C6" w14:textId="77777777" w:rsidR="00C53867" w:rsidRPr="000F7F27" w:rsidRDefault="00C53867" w:rsidP="00C53867">
            <w:r w:rsidRPr="000F7F27">
              <w:t>232,000</w:t>
            </w:r>
          </w:p>
        </w:tc>
        <w:tc>
          <w:tcPr>
            <w:tcW w:w="2060" w:type="dxa"/>
            <w:tcBorders>
              <w:bottom w:val="single" w:sz="12" w:space="0" w:color="auto"/>
              <w:right w:val="single" w:sz="12" w:space="0" w:color="auto"/>
            </w:tcBorders>
            <w:shd w:val="clear" w:color="auto" w:fill="D9D9D9" w:themeFill="background1" w:themeFillShade="D9"/>
            <w:vAlign w:val="center"/>
          </w:tcPr>
          <w:p w14:paraId="6E1B2380" w14:textId="77777777" w:rsidR="00C53867" w:rsidRPr="000F7F27" w:rsidRDefault="00C53867" w:rsidP="00C53867">
            <w:r w:rsidRPr="000F7F27">
              <w:t>0.4%</w:t>
            </w:r>
          </w:p>
        </w:tc>
      </w:tr>
    </w:tbl>
    <w:p w14:paraId="5109733B" w14:textId="77777777" w:rsidR="00C53867" w:rsidRPr="00584277" w:rsidRDefault="00C53867" w:rsidP="00C53867">
      <w:pPr>
        <w:rPr>
          <w:i/>
        </w:rPr>
      </w:pPr>
      <w:r w:rsidRPr="00584277">
        <w:rPr>
          <w:i/>
        </w:rPr>
        <w:t>Source: Oxford Economics GMFM-2019 vs Experian-2019 (both models in 2016 constant prices)</w:t>
      </w:r>
    </w:p>
    <w:p w14:paraId="729675A6" w14:textId="3671AA98" w:rsidR="00C53867" w:rsidRPr="00F67120" w:rsidRDefault="00E15B24" w:rsidP="00C53867">
      <w:pPr>
        <w:rPr>
          <w:i/>
        </w:rPr>
      </w:pPr>
      <w:r>
        <w:rPr>
          <w:color w:val="000000" w:themeColor="text1"/>
        </w:rPr>
        <w:t>3.30.</w:t>
      </w:r>
      <w:r>
        <w:rPr>
          <w:color w:val="000000" w:themeColor="text1"/>
        </w:rPr>
        <w:tab/>
      </w:r>
      <w:r w:rsidR="00C53867" w:rsidRPr="00F67120">
        <w:rPr>
          <w:color w:val="000000" w:themeColor="text1"/>
        </w:rPr>
        <w:t xml:space="preserve">Annex 2 also includes HM Treasury’s comparison of the main UK forecasters, providing </w:t>
      </w:r>
      <w:r w:rsidR="00C53867" w:rsidRPr="003B0EEC">
        <w:rPr>
          <w:b/>
          <w:bCs/>
          <w:color w:val="000000" w:themeColor="text1"/>
        </w:rPr>
        <w:t>medium-term forecasts covering the period up to 2023</w:t>
      </w:r>
      <w:r w:rsidR="00C53867" w:rsidRPr="00F67120">
        <w:rPr>
          <w:color w:val="000000" w:themeColor="text1"/>
        </w:rPr>
        <w:t xml:space="preserve">. The data shows that OE have a comparatively conservative view of growth in the short-term, with growth rebounding temporarily in 2021, before slowing down again over 2022 and 2023. OE’s central UK forecast for 2020 (February 2020) of 1.0% is slightly below the independent forecasters’ average of 1.2%. </w:t>
      </w:r>
    </w:p>
    <w:p w14:paraId="4CED531C" w14:textId="40A32795" w:rsidR="00E15B24" w:rsidRDefault="00E15B24">
      <w:r>
        <w:br w:type="page"/>
      </w:r>
    </w:p>
    <w:p w14:paraId="7C60D5B4" w14:textId="44DCA689" w:rsidR="00E15B24" w:rsidRPr="00AF0D7B" w:rsidRDefault="00E15B24" w:rsidP="00E15B24">
      <w:pPr>
        <w:pStyle w:val="Heading2"/>
      </w:pPr>
      <w:bookmarkStart w:id="4" w:name="_Toc32931961"/>
      <w:bookmarkStart w:id="5" w:name="_Toc73519679"/>
      <w:r>
        <w:lastRenderedPageBreak/>
        <w:t xml:space="preserve">4. </w:t>
      </w:r>
      <w:r w:rsidRPr="00AF0D7B">
        <w:t>Accelerated Growth Scenario - 201</w:t>
      </w:r>
      <w:r>
        <w:t>9</w:t>
      </w:r>
      <w:bookmarkEnd w:id="4"/>
      <w:bookmarkEnd w:id="5"/>
    </w:p>
    <w:p w14:paraId="070F3403" w14:textId="77777777" w:rsidR="00E15B24" w:rsidRPr="00C62BB8" w:rsidRDefault="00E15B24" w:rsidP="00E15B24">
      <w:pPr>
        <w:pStyle w:val="Heading3"/>
      </w:pPr>
      <w:r w:rsidRPr="00C62BB8">
        <w:t>Introduction</w:t>
      </w:r>
    </w:p>
    <w:p w14:paraId="6D4B0578" w14:textId="31F832B9" w:rsidR="00E15B24" w:rsidRPr="00AF0D7B" w:rsidRDefault="00E15B24" w:rsidP="00E15B24">
      <w:r>
        <w:t>4.1.</w:t>
      </w:r>
      <w:r>
        <w:tab/>
      </w:r>
      <w:r w:rsidRPr="00AF0D7B">
        <w:t>This section presents the results of an Accel</w:t>
      </w:r>
      <w:r>
        <w:t>erated Growth Scenario (AGS-2019</w:t>
      </w:r>
      <w:r w:rsidRPr="00AF0D7B">
        <w:t xml:space="preserve">) for GM, including the rationale for the scenario’s development, and impacts on the economy over and </w:t>
      </w:r>
      <w:r>
        <w:t>above those forecast by GMFM-2019</w:t>
      </w:r>
      <w:r w:rsidRPr="00AF0D7B">
        <w:t>.</w:t>
      </w:r>
    </w:p>
    <w:p w14:paraId="1EDBA498" w14:textId="77777777" w:rsidR="00E15B24" w:rsidRDefault="00E15B24" w:rsidP="00E15B24">
      <w:pPr>
        <w:pStyle w:val="Heading3"/>
      </w:pPr>
      <w:r>
        <w:t>Key messages</w:t>
      </w:r>
    </w:p>
    <w:p w14:paraId="6B460EC4" w14:textId="637AD0D5" w:rsidR="00E15B24" w:rsidRDefault="00E15B24" w:rsidP="00E15B24">
      <w:pPr>
        <w:pStyle w:val="ListParagraph"/>
        <w:numPr>
          <w:ilvl w:val="0"/>
          <w:numId w:val="16"/>
        </w:numPr>
      </w:pPr>
      <w:r w:rsidRPr="003B0EEC">
        <w:rPr>
          <w:b/>
          <w:bCs/>
        </w:rPr>
        <w:t>In addition to the baseline forecast, OE was commissioned by the GMCA to produce an ‘Accelerated Growth Scenario’ (AGS-2019) for GM</w:t>
      </w:r>
      <w:r>
        <w:t>. This shows a future where improvements to the skills base, innovation, and transport boost GVA, employment, and productivity growth across the North. GM’s economy drives and benefits from this growth.</w:t>
      </w:r>
    </w:p>
    <w:p w14:paraId="79B17434" w14:textId="56A2B98E" w:rsidR="00E15B24" w:rsidRDefault="00E15B24" w:rsidP="00E15B24">
      <w:pPr>
        <w:pStyle w:val="ListParagraph"/>
        <w:numPr>
          <w:ilvl w:val="0"/>
          <w:numId w:val="16"/>
        </w:numPr>
      </w:pPr>
      <w:r>
        <w:t xml:space="preserve">In the AGS-2019 scenario, </w:t>
      </w:r>
      <w:r w:rsidRPr="003B0EEC">
        <w:rPr>
          <w:b/>
          <w:bCs/>
        </w:rPr>
        <w:t>GVA is forecast to grow at an average annual rate of 2.4% between 2017 and 2037 (the UK at 1.5%)</w:t>
      </w:r>
      <w:r>
        <w:t>. GM would therefore grow faster than the UK up to 2037 – reflecting GM’s ambitions to help narrow the ‘productivity growth gap’ with the UK average. This is equivalent to an additional £38.9 billion (2016 prices) of economic activity in GM’s economy by 2037.</w:t>
      </w:r>
    </w:p>
    <w:p w14:paraId="27C3EA99" w14:textId="0C3D3D59" w:rsidR="00E15B24" w:rsidRPr="003B0EEC" w:rsidRDefault="00E15B24" w:rsidP="00E15B24">
      <w:pPr>
        <w:pStyle w:val="ListParagraph"/>
        <w:numPr>
          <w:ilvl w:val="0"/>
          <w:numId w:val="16"/>
        </w:numPr>
        <w:rPr>
          <w:b/>
          <w:bCs/>
        </w:rPr>
      </w:pPr>
      <w:r w:rsidRPr="003B0EEC">
        <w:rPr>
          <w:b/>
          <w:bCs/>
        </w:rPr>
        <w:t>Stronger GVA growth is supported by a strong shift towards higher value sectors</w:t>
      </w:r>
      <w:r>
        <w:t xml:space="preserve">. This means productivity growth in GM is stronger in the AGS scenario than the baseline forecast, </w:t>
      </w:r>
      <w:r w:rsidRPr="003B0EEC">
        <w:rPr>
          <w:b/>
          <w:bCs/>
        </w:rPr>
        <w:t>averaging productivity growth of 1.5% per year from 2017 to 2037 – compared with 1.0% per year in the baseline GMFM-2019.</w:t>
      </w:r>
    </w:p>
    <w:p w14:paraId="220BC53A" w14:textId="5D175405" w:rsidR="00E15B24" w:rsidRDefault="00E15B24" w:rsidP="00E15B24">
      <w:pPr>
        <w:pStyle w:val="ListParagraph"/>
        <w:numPr>
          <w:ilvl w:val="0"/>
          <w:numId w:val="16"/>
        </w:numPr>
      </w:pPr>
      <w:r w:rsidRPr="003B0EEC">
        <w:rPr>
          <w:b/>
          <w:bCs/>
        </w:rPr>
        <w:t>Total employment</w:t>
      </w:r>
      <w:r>
        <w:t xml:space="preserve"> in Greater Manchester is forecast to rise by </w:t>
      </w:r>
      <w:r w:rsidRPr="003B0EEC">
        <w:rPr>
          <w:b/>
          <w:bCs/>
        </w:rPr>
        <w:t>260,000</w:t>
      </w:r>
      <w:r>
        <w:t xml:space="preserve"> between 2017 and 2037 in the AGS-2019 scenario, (197,000 in AGS-2018), equivalent to </w:t>
      </w:r>
      <w:r w:rsidRPr="003B0EEC">
        <w:rPr>
          <w:b/>
          <w:bCs/>
        </w:rPr>
        <w:t>77,000 more jobs than the GMFM-2019 baseline</w:t>
      </w:r>
      <w:r>
        <w:t>; and 63,000 more than last year’s AGS.</w:t>
      </w:r>
    </w:p>
    <w:p w14:paraId="389A0D26" w14:textId="5C6DE70B" w:rsidR="00E15B24" w:rsidRDefault="00E15B24" w:rsidP="00E15B24">
      <w:pPr>
        <w:pStyle w:val="ListParagraph"/>
        <w:numPr>
          <w:ilvl w:val="0"/>
          <w:numId w:val="16"/>
        </w:numPr>
      </w:pPr>
      <w:r w:rsidRPr="003B0EEC">
        <w:rPr>
          <w:b/>
          <w:bCs/>
        </w:rPr>
        <w:t>Population growth</w:t>
      </w:r>
      <w:r>
        <w:t xml:space="preserve"> is stronger in the AGS scenario than in the baseline forecast. Total population is projected to rise by 296,000 from 2017 to 2037. </w:t>
      </w:r>
      <w:r>
        <w:lastRenderedPageBreak/>
        <w:t xml:space="preserve">This is 111,000 people more than the GMFM-2019 baseline projection. Population growth in AGS-2019 is economically driven </w:t>
      </w:r>
      <w:proofErr w:type="gramStart"/>
      <w:r>
        <w:t>i.e.</w:t>
      </w:r>
      <w:proofErr w:type="gramEnd"/>
      <w:r>
        <w:t xml:space="preserve"> determined by assumptions around GVA growth, jobs growth, and resident employment rate. </w:t>
      </w:r>
    </w:p>
    <w:p w14:paraId="4E3257D8" w14:textId="6556B050" w:rsidR="001E5153" w:rsidRDefault="00E15B24" w:rsidP="00E15B24">
      <w:pPr>
        <w:pStyle w:val="ListParagraph"/>
        <w:numPr>
          <w:ilvl w:val="0"/>
          <w:numId w:val="16"/>
        </w:numPr>
      </w:pPr>
      <w:r>
        <w:t xml:space="preserve">AGS assumes that </w:t>
      </w:r>
      <w:proofErr w:type="gramStart"/>
      <w:r>
        <w:t>a majority of</w:t>
      </w:r>
      <w:proofErr w:type="gramEnd"/>
      <w:r>
        <w:t xml:space="preserve"> new jobs will be taken by GM residents. Adjusting for residents that may hold more than one job (and commuting), this equates to </w:t>
      </w:r>
      <w:r w:rsidRPr="00005BF1">
        <w:rPr>
          <w:b/>
          <w:bCs/>
        </w:rPr>
        <w:t>an additional 80,000 GM residents in employment compared with the GMF</w:t>
      </w:r>
      <w:r w:rsidR="00005BF1">
        <w:rPr>
          <w:b/>
          <w:bCs/>
        </w:rPr>
        <w:t xml:space="preserve">M-2019 baseline. </w:t>
      </w:r>
      <w:r w:rsidR="00005BF1">
        <w:t>(The equivalent figure from the GMFM-2018 and AGS-2017 was 73,000 GM residents)</w:t>
      </w:r>
    </w:p>
    <w:p w14:paraId="5D69C8CF" w14:textId="77777777" w:rsidR="00820AD0" w:rsidRPr="00C62BB8" w:rsidRDefault="00820AD0" w:rsidP="00820AD0">
      <w:pPr>
        <w:pStyle w:val="Heading3"/>
      </w:pPr>
      <w:r w:rsidRPr="00C62BB8">
        <w:t>Accelerated Growth Scenario assumptions</w:t>
      </w:r>
    </w:p>
    <w:p w14:paraId="3E499CFE" w14:textId="616E816A" w:rsidR="00820AD0" w:rsidRPr="00AF0D7B" w:rsidRDefault="00820AD0" w:rsidP="00820AD0">
      <w:pPr>
        <w:rPr>
          <w:b/>
        </w:rPr>
      </w:pPr>
      <w:r>
        <w:t>4.2.</w:t>
      </w:r>
      <w:r>
        <w:tab/>
      </w:r>
      <w:r w:rsidRPr="00AF0D7B">
        <w:t xml:space="preserve">OE were commissioned to produce an ‘Accelerated Growth Scenario’ (AGS) for GM. </w:t>
      </w:r>
      <w:r>
        <w:t>The AGS-2019</w:t>
      </w:r>
      <w:r w:rsidRPr="00AF0D7B">
        <w:t xml:space="preserve"> provides a projection for the GM economy that is stronger than the baseline </w:t>
      </w:r>
      <w:proofErr w:type="gramStart"/>
      <w:r w:rsidRPr="00AF0D7B">
        <w:t>forecast, and</w:t>
      </w:r>
      <w:proofErr w:type="gramEnd"/>
      <w:r w:rsidRPr="00AF0D7B">
        <w:t xml:space="preserve"> reflects a future where the city plays a lead role in driving forward growth ambitions for the North of England.  </w:t>
      </w:r>
    </w:p>
    <w:p w14:paraId="2918966A" w14:textId="5F09A49C" w:rsidR="00820AD0" w:rsidRPr="00786DFB" w:rsidRDefault="00820AD0" w:rsidP="00820AD0">
      <w:pPr>
        <w:rPr>
          <w:b/>
        </w:rPr>
      </w:pPr>
      <w:r>
        <w:t>4.3.</w:t>
      </w:r>
      <w:r>
        <w:tab/>
      </w:r>
      <w:r w:rsidRPr="00AF0D7B">
        <w:t xml:space="preserve">The AGS is consistent with the long-term </w:t>
      </w:r>
      <w:r>
        <w:t xml:space="preserve">economic </w:t>
      </w:r>
      <w:r w:rsidRPr="00AF0D7B">
        <w:t>ambitions for the ‘Northern Powerhouse’ as set out in the Northern Powerhouse Independent Economic Review</w:t>
      </w:r>
      <w:r>
        <w:t xml:space="preserve"> (NPIER)</w:t>
      </w:r>
      <w:r w:rsidRPr="00AF0D7B">
        <w:t>.</w:t>
      </w:r>
      <w:r>
        <w:rPr>
          <w:rStyle w:val="FootnoteReference"/>
          <w:rFonts w:cs="Arial"/>
          <w:sz w:val="18"/>
          <w:szCs w:val="18"/>
        </w:rPr>
        <w:footnoteReference w:id="9"/>
      </w:r>
      <w:r>
        <w:t xml:space="preserve"> It aligns with the GVA output and employment growth rates that would enable GM to support transformational growth across the Northern Powerhouse projected by the NPIER. </w:t>
      </w:r>
      <w:r w:rsidRPr="00AF0D7B">
        <w:t>The AGS also builds upon the growth sectors in which GM is expected to have a comparative advantage, including evidence from Sector Deep Dives (2016)</w:t>
      </w:r>
      <w:r>
        <w:t>,</w:t>
      </w:r>
      <w:r w:rsidRPr="00AF0D7B">
        <w:t xml:space="preserve"> Productivity in Greater Manchester (2017)</w:t>
      </w:r>
      <w:r>
        <w:t xml:space="preserve"> and Greater Manchester Independent Prosperity Review (2019).</w:t>
      </w:r>
    </w:p>
    <w:p w14:paraId="2F4F27B1" w14:textId="77777777" w:rsidR="00820AD0" w:rsidRPr="00C62BB8" w:rsidRDefault="00820AD0" w:rsidP="00820AD0">
      <w:pPr>
        <w:pStyle w:val="Heading3"/>
      </w:pPr>
      <w:r>
        <w:t xml:space="preserve">AGS - </w:t>
      </w:r>
      <w:r w:rsidRPr="00C62BB8">
        <w:t>Headline impacts</w:t>
      </w:r>
    </w:p>
    <w:p w14:paraId="0AB27A36" w14:textId="284F2706" w:rsidR="00820AD0" w:rsidRPr="00AF0D7B" w:rsidRDefault="00820AD0" w:rsidP="00820AD0">
      <w:r>
        <w:t>4.4.</w:t>
      </w:r>
      <w:r>
        <w:tab/>
      </w:r>
      <w:r w:rsidRPr="00005BF1">
        <w:rPr>
          <w:b/>
          <w:bCs/>
        </w:rPr>
        <w:t>In the AGS-2019 scenario, the GM economy is forecast to grow at an average annual rate of 2.4% between 2017 and 2037. This is equivalent to an additional £38.9 billion of economic activity</w:t>
      </w:r>
      <w:r w:rsidRPr="00AF0D7B">
        <w:t xml:space="preserve"> (measured in constant 201</w:t>
      </w:r>
      <w:r>
        <w:t>6</w:t>
      </w:r>
      <w:r w:rsidRPr="00AF0D7B">
        <w:t xml:space="preserve"> prices), and the growth rate is significantly ab</w:t>
      </w:r>
      <w:r>
        <w:t>ove the baseline forecast of 1.6</w:t>
      </w:r>
      <w:r w:rsidRPr="00AF0D7B">
        <w:t xml:space="preserve">% per year. </w:t>
      </w:r>
      <w:r>
        <w:lastRenderedPageBreak/>
        <w:t xml:space="preserve">Under this scenario, </w:t>
      </w:r>
      <w:r w:rsidRPr="00AF0D7B">
        <w:t>GM</w:t>
      </w:r>
      <w:r>
        <w:t xml:space="preserve"> is forecast to</w:t>
      </w:r>
      <w:r w:rsidRPr="00AF0D7B">
        <w:t xml:space="preserve"> grow faster than the </w:t>
      </w:r>
      <w:r>
        <w:t xml:space="preserve">baseline </w:t>
      </w:r>
      <w:r w:rsidRPr="00AF0D7B">
        <w:t>UK</w:t>
      </w:r>
      <w:r>
        <w:t xml:space="preserve"> growth</w:t>
      </w:r>
      <w:r w:rsidRPr="00AF0D7B">
        <w:t xml:space="preserve"> (1.</w:t>
      </w:r>
      <w:r>
        <w:t>6</w:t>
      </w:r>
      <w:r w:rsidRPr="00AF0D7B">
        <w:t>%) up to 203</w:t>
      </w:r>
      <w:r>
        <w:t>7</w:t>
      </w:r>
      <w:r w:rsidRPr="00AF0D7B">
        <w:t>.</w:t>
      </w:r>
      <w:r w:rsidRPr="00AF0D7B">
        <w:rPr>
          <w:rStyle w:val="FootnoteReference"/>
          <w:rFonts w:cs="Arial"/>
          <w:color w:val="000000" w:themeColor="text1"/>
          <w:sz w:val="18"/>
          <w:szCs w:val="18"/>
        </w:rPr>
        <w:footnoteReference w:id="10"/>
      </w:r>
    </w:p>
    <w:p w14:paraId="7DFB9192" w14:textId="4F85D5A1" w:rsidR="00820AD0" w:rsidRPr="00AF0D7B" w:rsidRDefault="00820AD0" w:rsidP="00820AD0">
      <w:r>
        <w:t>4.5.</w:t>
      </w:r>
      <w:r>
        <w:tab/>
        <w:t>Table 10</w:t>
      </w:r>
      <w:r>
        <w:t xml:space="preserve">: </w:t>
      </w:r>
      <w:r w:rsidRPr="00AF0D7B">
        <w:t>Accelerated Growth Scenario for GM</w:t>
      </w: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celerated Growth Scenario for GM"/>
        <w:tblDescription w:val="Table indicating how the AGS-2019 differs from the GMFM-2019 across key economic measures. The forecast is shown in absolute terms and % Compound Annual Growth, and then compared to the figures from the GMFM-2019 to indicate how the forecast is accelerated."/>
      </w:tblPr>
      <w:tblGrid>
        <w:gridCol w:w="1559"/>
        <w:gridCol w:w="2793"/>
        <w:gridCol w:w="2793"/>
        <w:gridCol w:w="2793"/>
      </w:tblGrid>
      <w:tr w:rsidR="00820AD0" w:rsidRPr="00AF0D7B" w14:paraId="07FF36E3" w14:textId="77777777" w:rsidTr="0013153A">
        <w:trPr>
          <w:trHeight w:val="284"/>
        </w:trPr>
        <w:tc>
          <w:tcPr>
            <w:tcW w:w="1559" w:type="dxa"/>
            <w:shd w:val="clear" w:color="auto" w:fill="000000"/>
            <w:vAlign w:val="center"/>
          </w:tcPr>
          <w:p w14:paraId="370C804E" w14:textId="77777777" w:rsidR="00820AD0" w:rsidRPr="00AF0D7B" w:rsidRDefault="00820AD0" w:rsidP="00820AD0">
            <w:r w:rsidRPr="00AF0D7B">
              <w:t>Measure:</w:t>
            </w:r>
          </w:p>
        </w:tc>
        <w:tc>
          <w:tcPr>
            <w:tcW w:w="2793" w:type="dxa"/>
            <w:shd w:val="clear" w:color="auto" w:fill="000000"/>
            <w:vAlign w:val="center"/>
          </w:tcPr>
          <w:p w14:paraId="75A30A52" w14:textId="66E1304B" w:rsidR="00820AD0" w:rsidRPr="00AF0D7B" w:rsidRDefault="00820AD0" w:rsidP="00820AD0">
            <w:r w:rsidRPr="00AF0D7B">
              <w:t>Net increase/decrease</w:t>
            </w:r>
            <w:r>
              <w:t xml:space="preserve"> between 2017 and 2037</w:t>
            </w:r>
          </w:p>
        </w:tc>
        <w:tc>
          <w:tcPr>
            <w:tcW w:w="2793" w:type="dxa"/>
            <w:tcBorders>
              <w:right w:val="single" w:sz="12" w:space="0" w:color="auto"/>
            </w:tcBorders>
            <w:shd w:val="clear" w:color="auto" w:fill="000000"/>
            <w:vAlign w:val="center"/>
          </w:tcPr>
          <w:p w14:paraId="0ACFF1C4" w14:textId="74A8F6DA" w:rsidR="00820AD0" w:rsidRPr="00AF0D7B" w:rsidRDefault="00820AD0" w:rsidP="00820AD0">
            <w:r w:rsidRPr="00AF0D7B">
              <w:t xml:space="preserve">% Compound </w:t>
            </w:r>
            <w:r w:rsidRPr="00AF0D7B">
              <w:br/>
              <w:t>Annual Growth Rate</w:t>
            </w:r>
            <w:r>
              <w:t xml:space="preserve"> between 2017 and 2037</w:t>
            </w:r>
          </w:p>
        </w:tc>
        <w:tc>
          <w:tcPr>
            <w:tcW w:w="2793" w:type="dxa"/>
            <w:tcBorders>
              <w:left w:val="single" w:sz="12" w:space="0" w:color="auto"/>
            </w:tcBorders>
            <w:shd w:val="clear" w:color="auto" w:fill="000000"/>
            <w:vAlign w:val="center"/>
          </w:tcPr>
          <w:p w14:paraId="667A96FC" w14:textId="77777777" w:rsidR="00820AD0" w:rsidRPr="00AF0D7B" w:rsidRDefault="00820AD0" w:rsidP="00820AD0">
            <w:r w:rsidRPr="00AF0D7B">
              <w:t>Difference</w:t>
            </w:r>
            <w:r>
              <w:t xml:space="preserve"> between </w:t>
            </w:r>
            <w:r>
              <w:br/>
              <w:t>GMFM-2019 and AGS-2019</w:t>
            </w:r>
          </w:p>
        </w:tc>
      </w:tr>
      <w:tr w:rsidR="00820AD0" w:rsidRPr="00AF0D7B" w14:paraId="05A918B3" w14:textId="77777777" w:rsidTr="0013153A">
        <w:trPr>
          <w:trHeight w:val="284"/>
        </w:trPr>
        <w:tc>
          <w:tcPr>
            <w:tcW w:w="1559" w:type="dxa"/>
            <w:tcBorders>
              <w:top w:val="single" w:sz="12" w:space="0" w:color="auto"/>
              <w:left w:val="single" w:sz="12" w:space="0" w:color="auto"/>
              <w:right w:val="single" w:sz="12" w:space="0" w:color="auto"/>
            </w:tcBorders>
            <w:shd w:val="clear" w:color="auto" w:fill="auto"/>
            <w:vAlign w:val="center"/>
          </w:tcPr>
          <w:p w14:paraId="4B2B9D99" w14:textId="77777777" w:rsidR="00820AD0" w:rsidRPr="00AF0D7B" w:rsidRDefault="00820AD0" w:rsidP="00820AD0">
            <w:r w:rsidRPr="00AF0D7B">
              <w:t>GVA</w:t>
            </w:r>
          </w:p>
        </w:tc>
        <w:tc>
          <w:tcPr>
            <w:tcW w:w="2793" w:type="dxa"/>
            <w:tcBorders>
              <w:top w:val="single" w:sz="12" w:space="0" w:color="auto"/>
              <w:left w:val="single" w:sz="12" w:space="0" w:color="auto"/>
            </w:tcBorders>
            <w:shd w:val="clear" w:color="auto" w:fill="auto"/>
            <w:vAlign w:val="center"/>
          </w:tcPr>
          <w:p w14:paraId="6349E04E" w14:textId="77777777" w:rsidR="00820AD0" w:rsidRPr="00AF0D7B" w:rsidRDefault="00820AD0" w:rsidP="00820AD0">
            <w:pPr>
              <w:rPr>
                <w:color w:val="000000" w:themeColor="text1"/>
                <w:lang w:val="en-US"/>
              </w:rPr>
            </w:pPr>
            <w:r>
              <w:rPr>
                <w:color w:val="000000" w:themeColor="text1"/>
                <w:lang w:val="en-US"/>
              </w:rPr>
              <w:t>£39</w:t>
            </w:r>
            <w:r w:rsidRPr="00AF0D7B">
              <w:rPr>
                <w:color w:val="000000" w:themeColor="text1"/>
                <w:lang w:val="en-US"/>
              </w:rPr>
              <w:t>,800 million</w:t>
            </w:r>
          </w:p>
        </w:tc>
        <w:tc>
          <w:tcPr>
            <w:tcW w:w="2793" w:type="dxa"/>
            <w:tcBorders>
              <w:top w:val="single" w:sz="12" w:space="0" w:color="auto"/>
              <w:right w:val="single" w:sz="12" w:space="0" w:color="auto"/>
            </w:tcBorders>
            <w:shd w:val="clear" w:color="auto" w:fill="auto"/>
            <w:vAlign w:val="center"/>
          </w:tcPr>
          <w:p w14:paraId="242EF57E" w14:textId="77777777" w:rsidR="00820AD0" w:rsidRPr="00AF0D7B" w:rsidRDefault="00820AD0" w:rsidP="00820AD0">
            <w:pPr>
              <w:rPr>
                <w:color w:val="000000" w:themeColor="text1"/>
              </w:rPr>
            </w:pPr>
            <w:r>
              <w:rPr>
                <w:color w:val="000000" w:themeColor="text1"/>
              </w:rPr>
              <w:t>2.4</w:t>
            </w:r>
            <w:r w:rsidRPr="00AF0D7B">
              <w:rPr>
                <w:color w:val="000000" w:themeColor="text1"/>
              </w:rPr>
              <w:t>%</w:t>
            </w:r>
          </w:p>
        </w:tc>
        <w:tc>
          <w:tcPr>
            <w:tcW w:w="2793" w:type="dxa"/>
            <w:tcBorders>
              <w:top w:val="single" w:sz="12" w:space="0" w:color="auto"/>
              <w:left w:val="single" w:sz="12" w:space="0" w:color="auto"/>
            </w:tcBorders>
            <w:shd w:val="clear" w:color="auto" w:fill="auto"/>
            <w:vAlign w:val="center"/>
          </w:tcPr>
          <w:p w14:paraId="388C9E7E" w14:textId="77777777" w:rsidR="00820AD0" w:rsidRPr="00AF0D7B" w:rsidRDefault="00820AD0" w:rsidP="00820AD0">
            <w:pPr>
              <w:rPr>
                <w:color w:val="000000" w:themeColor="text1"/>
              </w:rPr>
            </w:pPr>
            <w:r>
              <w:rPr>
                <w:color w:val="000000" w:themeColor="text1"/>
              </w:rPr>
              <w:t xml:space="preserve">£15,000 million higher </w:t>
            </w:r>
          </w:p>
        </w:tc>
      </w:tr>
      <w:tr w:rsidR="00820AD0" w:rsidRPr="00AF0D7B" w14:paraId="5DCC457C" w14:textId="77777777" w:rsidTr="0013153A">
        <w:trPr>
          <w:trHeight w:val="284"/>
        </w:trPr>
        <w:tc>
          <w:tcPr>
            <w:tcW w:w="1559" w:type="dxa"/>
            <w:tcBorders>
              <w:left w:val="single" w:sz="12" w:space="0" w:color="auto"/>
              <w:right w:val="single" w:sz="12" w:space="0" w:color="auto"/>
            </w:tcBorders>
            <w:shd w:val="clear" w:color="auto" w:fill="auto"/>
            <w:vAlign w:val="center"/>
          </w:tcPr>
          <w:p w14:paraId="43254519" w14:textId="77777777" w:rsidR="00820AD0" w:rsidRPr="00AF0D7B" w:rsidRDefault="00820AD0" w:rsidP="00820AD0">
            <w:r w:rsidRPr="00AF0D7B">
              <w:t>Productivity</w:t>
            </w:r>
          </w:p>
        </w:tc>
        <w:tc>
          <w:tcPr>
            <w:tcW w:w="2793" w:type="dxa"/>
            <w:tcBorders>
              <w:left w:val="single" w:sz="12" w:space="0" w:color="auto"/>
            </w:tcBorders>
            <w:shd w:val="clear" w:color="auto" w:fill="auto"/>
            <w:vAlign w:val="center"/>
          </w:tcPr>
          <w:p w14:paraId="07D8A128" w14:textId="77777777" w:rsidR="00820AD0" w:rsidRPr="00AF0D7B" w:rsidRDefault="00820AD0" w:rsidP="00820AD0">
            <w:pPr>
              <w:rPr>
                <w:color w:val="000000" w:themeColor="text1"/>
              </w:rPr>
            </w:pPr>
            <w:r>
              <w:rPr>
                <w:color w:val="000000" w:themeColor="text1"/>
              </w:rPr>
              <w:t>£15</w:t>
            </w:r>
            <w:r w:rsidRPr="00AF0D7B">
              <w:rPr>
                <w:color w:val="000000" w:themeColor="text1"/>
              </w:rPr>
              <w:t>,900</w:t>
            </w:r>
          </w:p>
        </w:tc>
        <w:tc>
          <w:tcPr>
            <w:tcW w:w="2793" w:type="dxa"/>
            <w:tcBorders>
              <w:right w:val="single" w:sz="12" w:space="0" w:color="auto"/>
            </w:tcBorders>
            <w:shd w:val="clear" w:color="auto" w:fill="auto"/>
            <w:vAlign w:val="center"/>
          </w:tcPr>
          <w:p w14:paraId="1CAB438A" w14:textId="77777777" w:rsidR="00820AD0" w:rsidRPr="00AF0D7B" w:rsidRDefault="00820AD0" w:rsidP="00820AD0">
            <w:pPr>
              <w:rPr>
                <w:color w:val="000000" w:themeColor="text1"/>
              </w:rPr>
            </w:pPr>
            <w:r>
              <w:rPr>
                <w:color w:val="000000" w:themeColor="text1"/>
              </w:rPr>
              <w:t>1.5</w:t>
            </w:r>
            <w:r w:rsidRPr="00AF0D7B">
              <w:rPr>
                <w:color w:val="000000" w:themeColor="text1"/>
              </w:rPr>
              <w:t>%</w:t>
            </w:r>
          </w:p>
        </w:tc>
        <w:tc>
          <w:tcPr>
            <w:tcW w:w="2793" w:type="dxa"/>
            <w:tcBorders>
              <w:left w:val="single" w:sz="12" w:space="0" w:color="auto"/>
            </w:tcBorders>
            <w:shd w:val="clear" w:color="auto" w:fill="auto"/>
            <w:vAlign w:val="center"/>
          </w:tcPr>
          <w:p w14:paraId="714ACDF6" w14:textId="77777777" w:rsidR="00820AD0" w:rsidRPr="00AF0D7B" w:rsidRDefault="00820AD0" w:rsidP="00820AD0">
            <w:pPr>
              <w:rPr>
                <w:color w:val="000000" w:themeColor="text1"/>
              </w:rPr>
            </w:pPr>
            <w:r>
              <w:rPr>
                <w:color w:val="000000" w:themeColor="text1"/>
              </w:rPr>
              <w:t>£6,300</w:t>
            </w:r>
            <w:r w:rsidRPr="00AF0D7B">
              <w:rPr>
                <w:color w:val="000000" w:themeColor="text1"/>
              </w:rPr>
              <w:t xml:space="preserve"> higher</w:t>
            </w:r>
          </w:p>
        </w:tc>
      </w:tr>
      <w:tr w:rsidR="00820AD0" w:rsidRPr="00AF0D7B" w14:paraId="399DCF0E" w14:textId="77777777" w:rsidTr="0013153A">
        <w:trPr>
          <w:trHeight w:val="284"/>
        </w:trPr>
        <w:tc>
          <w:tcPr>
            <w:tcW w:w="1559" w:type="dxa"/>
            <w:tcBorders>
              <w:left w:val="single" w:sz="12" w:space="0" w:color="auto"/>
              <w:right w:val="single" w:sz="12" w:space="0" w:color="auto"/>
            </w:tcBorders>
            <w:shd w:val="clear" w:color="auto" w:fill="auto"/>
            <w:vAlign w:val="center"/>
          </w:tcPr>
          <w:p w14:paraId="00928E47" w14:textId="77777777" w:rsidR="00820AD0" w:rsidRPr="00AF0D7B" w:rsidRDefault="00820AD0" w:rsidP="00820AD0">
            <w:r w:rsidRPr="00AF0D7B">
              <w:t>Employment</w:t>
            </w:r>
          </w:p>
        </w:tc>
        <w:tc>
          <w:tcPr>
            <w:tcW w:w="2793" w:type="dxa"/>
            <w:tcBorders>
              <w:left w:val="single" w:sz="12" w:space="0" w:color="auto"/>
            </w:tcBorders>
            <w:shd w:val="clear" w:color="auto" w:fill="auto"/>
            <w:vAlign w:val="center"/>
          </w:tcPr>
          <w:p w14:paraId="1168E04F" w14:textId="77777777" w:rsidR="00820AD0" w:rsidRPr="00AF0D7B" w:rsidRDefault="00820AD0" w:rsidP="00820AD0">
            <w:pPr>
              <w:rPr>
                <w:color w:val="000000" w:themeColor="text1"/>
              </w:rPr>
            </w:pPr>
            <w:r>
              <w:rPr>
                <w:color w:val="000000" w:themeColor="text1"/>
              </w:rPr>
              <w:t>260,000</w:t>
            </w:r>
          </w:p>
        </w:tc>
        <w:tc>
          <w:tcPr>
            <w:tcW w:w="2793" w:type="dxa"/>
            <w:tcBorders>
              <w:right w:val="single" w:sz="12" w:space="0" w:color="auto"/>
            </w:tcBorders>
            <w:shd w:val="clear" w:color="auto" w:fill="auto"/>
            <w:vAlign w:val="center"/>
          </w:tcPr>
          <w:p w14:paraId="7F71F81C" w14:textId="77777777" w:rsidR="00820AD0" w:rsidRPr="00AF0D7B" w:rsidRDefault="00820AD0" w:rsidP="00820AD0">
            <w:pPr>
              <w:rPr>
                <w:color w:val="000000" w:themeColor="text1"/>
              </w:rPr>
            </w:pPr>
            <w:r>
              <w:rPr>
                <w:color w:val="000000" w:themeColor="text1"/>
              </w:rPr>
              <w:t>0.8</w:t>
            </w:r>
            <w:r w:rsidRPr="00AF0D7B">
              <w:rPr>
                <w:color w:val="000000" w:themeColor="text1"/>
              </w:rPr>
              <w:t>%</w:t>
            </w:r>
          </w:p>
        </w:tc>
        <w:tc>
          <w:tcPr>
            <w:tcW w:w="2793" w:type="dxa"/>
            <w:tcBorders>
              <w:left w:val="single" w:sz="12" w:space="0" w:color="auto"/>
            </w:tcBorders>
            <w:shd w:val="clear" w:color="auto" w:fill="auto"/>
            <w:vAlign w:val="center"/>
          </w:tcPr>
          <w:p w14:paraId="52484577" w14:textId="77777777" w:rsidR="00820AD0" w:rsidRPr="00AF0D7B" w:rsidRDefault="00820AD0" w:rsidP="00820AD0">
            <w:pPr>
              <w:rPr>
                <w:color w:val="000000" w:themeColor="text1"/>
              </w:rPr>
            </w:pPr>
            <w:r>
              <w:rPr>
                <w:color w:val="000000" w:themeColor="text1"/>
              </w:rPr>
              <w:t>77,0</w:t>
            </w:r>
            <w:r w:rsidRPr="00AF0D7B">
              <w:rPr>
                <w:color w:val="000000" w:themeColor="text1"/>
              </w:rPr>
              <w:t>00 higher</w:t>
            </w:r>
          </w:p>
        </w:tc>
      </w:tr>
      <w:tr w:rsidR="00820AD0" w:rsidRPr="00AF0D7B" w14:paraId="29DAACD9" w14:textId="77777777" w:rsidTr="0013153A">
        <w:trPr>
          <w:trHeight w:val="284"/>
        </w:trPr>
        <w:tc>
          <w:tcPr>
            <w:tcW w:w="1559" w:type="dxa"/>
            <w:tcBorders>
              <w:left w:val="single" w:sz="12" w:space="0" w:color="auto"/>
              <w:bottom w:val="single" w:sz="12" w:space="0" w:color="auto"/>
              <w:right w:val="single" w:sz="12" w:space="0" w:color="auto"/>
            </w:tcBorders>
            <w:shd w:val="clear" w:color="auto" w:fill="auto"/>
            <w:vAlign w:val="center"/>
          </w:tcPr>
          <w:p w14:paraId="761D2A58" w14:textId="77777777" w:rsidR="00820AD0" w:rsidRPr="00AF0D7B" w:rsidRDefault="00820AD0" w:rsidP="00820AD0">
            <w:r w:rsidRPr="00AF0D7B">
              <w:t>Population</w:t>
            </w:r>
          </w:p>
        </w:tc>
        <w:tc>
          <w:tcPr>
            <w:tcW w:w="2793" w:type="dxa"/>
            <w:tcBorders>
              <w:left w:val="single" w:sz="12" w:space="0" w:color="auto"/>
              <w:bottom w:val="single" w:sz="12" w:space="0" w:color="auto"/>
            </w:tcBorders>
            <w:shd w:val="clear" w:color="auto" w:fill="auto"/>
            <w:vAlign w:val="center"/>
          </w:tcPr>
          <w:p w14:paraId="57EE5F23" w14:textId="77777777" w:rsidR="00820AD0" w:rsidRPr="00AF0D7B" w:rsidRDefault="00820AD0" w:rsidP="00820AD0">
            <w:pPr>
              <w:rPr>
                <w:color w:val="000000" w:themeColor="text1"/>
              </w:rPr>
            </w:pPr>
            <w:r>
              <w:rPr>
                <w:color w:val="000000" w:themeColor="text1"/>
              </w:rPr>
              <w:t>296</w:t>
            </w:r>
            <w:r w:rsidRPr="00AF0D7B">
              <w:rPr>
                <w:color w:val="000000" w:themeColor="text1"/>
              </w:rPr>
              <w:t>,000</w:t>
            </w:r>
          </w:p>
        </w:tc>
        <w:tc>
          <w:tcPr>
            <w:tcW w:w="2793" w:type="dxa"/>
            <w:tcBorders>
              <w:bottom w:val="single" w:sz="12" w:space="0" w:color="auto"/>
              <w:right w:val="single" w:sz="12" w:space="0" w:color="auto"/>
            </w:tcBorders>
            <w:shd w:val="clear" w:color="auto" w:fill="auto"/>
            <w:vAlign w:val="center"/>
          </w:tcPr>
          <w:p w14:paraId="6EC4B494" w14:textId="77777777" w:rsidR="00820AD0" w:rsidRPr="00AF0D7B" w:rsidRDefault="00820AD0" w:rsidP="00820AD0">
            <w:pPr>
              <w:rPr>
                <w:color w:val="000000" w:themeColor="text1"/>
              </w:rPr>
            </w:pPr>
            <w:r>
              <w:rPr>
                <w:color w:val="000000" w:themeColor="text1"/>
              </w:rPr>
              <w:t>0.5</w:t>
            </w:r>
            <w:r w:rsidRPr="00AF0D7B">
              <w:rPr>
                <w:color w:val="000000" w:themeColor="text1"/>
              </w:rPr>
              <w:t>%</w:t>
            </w:r>
          </w:p>
        </w:tc>
        <w:tc>
          <w:tcPr>
            <w:tcW w:w="2793" w:type="dxa"/>
            <w:tcBorders>
              <w:left w:val="single" w:sz="12" w:space="0" w:color="auto"/>
              <w:bottom w:val="single" w:sz="12" w:space="0" w:color="auto"/>
            </w:tcBorders>
            <w:shd w:val="clear" w:color="auto" w:fill="auto"/>
            <w:vAlign w:val="center"/>
          </w:tcPr>
          <w:p w14:paraId="0B507D11" w14:textId="77777777" w:rsidR="00820AD0" w:rsidRPr="00AF0D7B" w:rsidRDefault="00820AD0" w:rsidP="00820AD0">
            <w:pPr>
              <w:rPr>
                <w:color w:val="000000" w:themeColor="text1"/>
              </w:rPr>
            </w:pPr>
            <w:r>
              <w:rPr>
                <w:color w:val="000000" w:themeColor="text1"/>
              </w:rPr>
              <w:t>110,8</w:t>
            </w:r>
            <w:r w:rsidRPr="00AF0D7B">
              <w:rPr>
                <w:color w:val="000000" w:themeColor="text1"/>
              </w:rPr>
              <w:t>00 higher</w:t>
            </w:r>
          </w:p>
        </w:tc>
      </w:tr>
    </w:tbl>
    <w:p w14:paraId="4525D919" w14:textId="77777777" w:rsidR="00820AD0" w:rsidRDefault="00820AD0" w:rsidP="00820AD0">
      <w:r w:rsidRPr="00AF0D7B">
        <w:t>Source: Oxf</w:t>
      </w:r>
      <w:r>
        <w:t>ord Economics AGS-2019 and GMFM-2019</w:t>
      </w:r>
    </w:p>
    <w:p w14:paraId="0F55EFE8" w14:textId="77777777" w:rsidR="00005BF1" w:rsidRPr="00005BF1" w:rsidRDefault="00820AD0" w:rsidP="00005BF1">
      <w:pPr>
        <w:autoSpaceDE w:val="0"/>
        <w:autoSpaceDN w:val="0"/>
        <w:adjustRightInd w:val="0"/>
        <w:spacing w:after="240"/>
        <w:rPr>
          <w:i/>
          <w:iCs/>
        </w:rPr>
      </w:pPr>
      <w:r>
        <w:t xml:space="preserve">4.6. </w:t>
      </w:r>
      <w:r w:rsidRPr="00AF0D7B">
        <w:t xml:space="preserve">Figure 1: </w:t>
      </w:r>
      <w:r>
        <w:t xml:space="preserve">GVA </w:t>
      </w:r>
      <w:r w:rsidRPr="00AF0D7B">
        <w:t>in Greater Manchester, 201</w:t>
      </w:r>
      <w:r>
        <w:t>7</w:t>
      </w:r>
      <w:r w:rsidRPr="00AF0D7B">
        <w:t xml:space="preserve"> to 203</w:t>
      </w:r>
      <w:r>
        <w:t>7</w:t>
      </w:r>
      <w:r w:rsidR="00005BF1">
        <w:t xml:space="preserve">. </w:t>
      </w:r>
      <w:r w:rsidR="00005BF1" w:rsidRPr="00005BF1">
        <w:rPr>
          <w:i/>
          <w:iCs/>
        </w:rPr>
        <w:t>Source: Oxford Economics GMFM-2019. AGS-2019.</w:t>
      </w:r>
    </w:p>
    <w:p w14:paraId="135498E4" w14:textId="77777777" w:rsidR="00820AD0" w:rsidRPr="00AF0D7B" w:rsidRDefault="00820AD0" w:rsidP="00820AD0">
      <w:pPr>
        <w:autoSpaceDE w:val="0"/>
        <w:autoSpaceDN w:val="0"/>
        <w:adjustRightInd w:val="0"/>
        <w:spacing w:after="240"/>
        <w:rPr>
          <w:rFonts w:cs="Arial"/>
          <w:i/>
          <w:sz w:val="18"/>
          <w:szCs w:val="18"/>
        </w:rPr>
      </w:pPr>
      <w:r>
        <w:rPr>
          <w:noProof/>
          <w:lang w:eastAsia="en-GB"/>
        </w:rPr>
        <w:drawing>
          <wp:inline distT="0" distB="0" distL="0" distR="0" wp14:anchorId="2E783799" wp14:editId="0B329F90">
            <wp:extent cx="5731510" cy="2900045"/>
            <wp:effectExtent l="0" t="0" r="0" b="0"/>
            <wp:docPr id="4" name="Chart 4" descr="Chart showing how the GVA forecast differs between the AGS-2019 and the GMFM-2019. The chart starts from 2005 for the GMFM baseline, with a line depicting the AGS scenario splitting off at 2017 that then travels up to 2037 at a steeper gradient than the GMFM.">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83DC88" w14:textId="602D1F58" w:rsidR="00820AD0" w:rsidRPr="00DD1383" w:rsidRDefault="00820AD0" w:rsidP="00820AD0">
      <w:r>
        <w:lastRenderedPageBreak/>
        <w:t>4.7.</w:t>
      </w:r>
      <w:r>
        <w:tab/>
      </w:r>
      <w:r w:rsidRPr="00005BF1">
        <w:rPr>
          <w:b/>
          <w:bCs/>
        </w:rPr>
        <w:t>The services sector is forecast to account for about 90% of future GVA growth in Greater Manchester under the AGS 2019 scenario.</w:t>
      </w:r>
      <w:r w:rsidRPr="00DD1383">
        <w:t xml:space="preserve"> The largest contributions are expected to come from </w:t>
      </w:r>
      <w:r>
        <w:t xml:space="preserve">Business, Financial and </w:t>
      </w:r>
      <w:r w:rsidRPr="00DD1383">
        <w:t>Professional Services</w:t>
      </w:r>
      <w:r>
        <w:t xml:space="preserve"> (42</w:t>
      </w:r>
      <w:r w:rsidRPr="00DD1383">
        <w:t>% of the net inc</w:t>
      </w:r>
      <w:r>
        <w:t>rease between the levels in 2017 and 2037</w:t>
      </w:r>
      <w:r w:rsidRPr="00DD1383">
        <w:t>)</w:t>
      </w:r>
      <w:r>
        <w:t xml:space="preserve">, and Wholesale &amp; Retail </w:t>
      </w:r>
      <w:r w:rsidRPr="00DD1383">
        <w:t>sectors</w:t>
      </w:r>
      <w:r>
        <w:t xml:space="preserve"> (10</w:t>
      </w:r>
      <w:r w:rsidRPr="00DD1383">
        <w:t>% of the total net increase).</w:t>
      </w:r>
      <w:r w:rsidRPr="00DD1383">
        <w:rPr>
          <w:color w:val="000000" w:themeColor="text1"/>
        </w:rPr>
        <w:t xml:space="preserve"> Digital Industries are </w:t>
      </w:r>
      <w:r>
        <w:rPr>
          <w:color w:val="000000" w:themeColor="text1"/>
        </w:rPr>
        <w:t xml:space="preserve">the sub-sector </w:t>
      </w:r>
      <w:r w:rsidRPr="00DD1383">
        <w:rPr>
          <w:color w:val="000000" w:themeColor="text1"/>
        </w:rPr>
        <w:t>forecast to grow the fastest - by 4</w:t>
      </w:r>
      <w:r>
        <w:rPr>
          <w:color w:val="000000" w:themeColor="text1"/>
        </w:rPr>
        <w:t>.2</w:t>
      </w:r>
      <w:r w:rsidRPr="00DD1383">
        <w:rPr>
          <w:color w:val="000000" w:themeColor="text1"/>
        </w:rPr>
        <w:t>% per year from 201</w:t>
      </w:r>
      <w:r>
        <w:rPr>
          <w:color w:val="000000" w:themeColor="text1"/>
        </w:rPr>
        <w:t>7</w:t>
      </w:r>
      <w:r w:rsidRPr="00DD1383">
        <w:rPr>
          <w:color w:val="000000" w:themeColor="text1"/>
        </w:rPr>
        <w:t xml:space="preserve"> to 203</w:t>
      </w:r>
      <w:r>
        <w:rPr>
          <w:color w:val="000000" w:themeColor="text1"/>
        </w:rPr>
        <w:t>7</w:t>
      </w:r>
      <w:r w:rsidRPr="00DD1383">
        <w:rPr>
          <w:color w:val="000000" w:themeColor="text1"/>
        </w:rPr>
        <w:t>.</w:t>
      </w:r>
    </w:p>
    <w:p w14:paraId="5DB0011B" w14:textId="6F248701" w:rsidR="00820AD0" w:rsidRPr="00812A81" w:rsidRDefault="00820AD0" w:rsidP="00820AD0">
      <w:r>
        <w:t>4.8.</w:t>
      </w:r>
      <w:r>
        <w:tab/>
      </w:r>
      <w:r w:rsidRPr="00005BF1">
        <w:rPr>
          <w:b/>
          <w:bCs/>
        </w:rPr>
        <w:t xml:space="preserve">All major sectors provide a positive contribution to growth in the AGS-2019 </w:t>
      </w:r>
      <w:proofErr w:type="gramStart"/>
      <w:r w:rsidRPr="00005BF1">
        <w:rPr>
          <w:b/>
          <w:bCs/>
        </w:rPr>
        <w:t>scenario, and</w:t>
      </w:r>
      <w:proofErr w:type="gramEnd"/>
      <w:r w:rsidRPr="00005BF1">
        <w:rPr>
          <w:b/>
          <w:bCs/>
        </w:rPr>
        <w:t xml:space="preserve"> grow faster than in the baseline forecast</w:t>
      </w:r>
      <w:r w:rsidRPr="00812A81">
        <w:t>. At the same time, much of the public sector, as well as construction, and manufacturing in aggregate, will still account for a smaller share of the Greater Manchester economy in 2037 than they do currently. However, within the public sector, Human Health &amp; Social Care is likely to grow broadly in line with the overall economy, as a growing elderly population underpins rising demand for healthcare.</w:t>
      </w:r>
    </w:p>
    <w:p w14:paraId="44274F63" w14:textId="0C32716F" w:rsidR="00820AD0" w:rsidRDefault="00820AD0" w:rsidP="00820AD0">
      <w:r>
        <w:t>4.9.</w:t>
      </w:r>
      <w:r>
        <w:tab/>
      </w:r>
      <w:r w:rsidRPr="00005BF1">
        <w:rPr>
          <w:b/>
          <w:bCs/>
        </w:rPr>
        <w:t>Overall productivity growth in GM is higher under the AGS 2019 scenario than the baseline, partly reflecting a shift towards higher-value sectors, but also because faster growth is assumed to be supported by investments into skills, infrastructure and innovation that boost overall productivity</w:t>
      </w:r>
      <w:r>
        <w:t>.</w:t>
      </w:r>
      <w:r w:rsidRPr="00AF0D7B">
        <w:t xml:space="preserve"> Average labou</w:t>
      </w:r>
      <w:r>
        <w:t>r productivity would grow at 1.5% per year, compared with 1.0</w:t>
      </w:r>
      <w:r w:rsidRPr="00AF0D7B">
        <w:t xml:space="preserve">% per year in the </w:t>
      </w:r>
      <w:r>
        <w:t>GMFM-2019</w:t>
      </w:r>
      <w:r w:rsidRPr="00AF0D7B">
        <w:t xml:space="preserve"> baseline. </w:t>
      </w:r>
    </w:p>
    <w:p w14:paraId="331D6175" w14:textId="1690A9B6" w:rsidR="00820AD0" w:rsidRDefault="00820AD0" w:rsidP="00820AD0">
      <w:pPr>
        <w:rPr>
          <w:color w:val="000000" w:themeColor="text1"/>
        </w:rPr>
      </w:pPr>
      <w:r>
        <w:t>4.10.</w:t>
      </w:r>
      <w:r w:rsidR="00A7544D">
        <w:tab/>
      </w:r>
      <w:r w:rsidRPr="00005BF1">
        <w:rPr>
          <w:b/>
          <w:bCs/>
        </w:rPr>
        <w:t>The strongest productivity growth by sector in the AGS –2.8% per year in the period to 2037 – is forecast in the Digital Industries sub-sector</w:t>
      </w:r>
      <w:r w:rsidRPr="00315438">
        <w:t xml:space="preserve">. The Financial Services sub-sector and </w:t>
      </w:r>
      <w:proofErr w:type="gramStart"/>
      <w:r w:rsidRPr="00315438">
        <w:t>all of</w:t>
      </w:r>
      <w:proofErr w:type="gramEnd"/>
      <w:r w:rsidRPr="00315438">
        <w:t xml:space="preserve"> the Manufacturing sub-sectors will also exceed the average productivity growth of 1.5% per year across the whole economy. </w:t>
      </w:r>
      <w:r w:rsidRPr="00315438">
        <w:rPr>
          <w:color w:val="000000" w:themeColor="text1"/>
        </w:rPr>
        <w:t xml:space="preserve">The weakest forecast rates of productivity growth in the AGS are in Public Administration, Education and Construction. </w:t>
      </w:r>
    </w:p>
    <w:p w14:paraId="602D9FB2" w14:textId="77777777" w:rsidR="00005BF1" w:rsidRPr="00AF0D7B" w:rsidRDefault="00A7544D" w:rsidP="00005BF1">
      <w:pPr>
        <w:rPr>
          <w:i/>
        </w:rPr>
      </w:pPr>
      <w:r>
        <w:t>4.11.</w:t>
      </w:r>
      <w:r>
        <w:tab/>
        <w:t>Table</w:t>
      </w:r>
      <w:r>
        <w:t xml:space="preserve"> 1</w:t>
      </w:r>
      <w:r>
        <w:t>1</w:t>
      </w:r>
      <w:r>
        <w:t>: AGS-2019</w:t>
      </w:r>
      <w:r w:rsidRPr="00AF0D7B">
        <w:t xml:space="preserve"> forecast </w:t>
      </w:r>
      <w:r>
        <w:t>by main sectors in GM</w:t>
      </w:r>
      <w:r w:rsidRPr="00AF0D7B">
        <w:t xml:space="preserve">, </w:t>
      </w:r>
      <w:r>
        <w:t>2017 to 2037</w:t>
      </w:r>
      <w:r w:rsidR="00005BF1">
        <w:t xml:space="preserve">. </w:t>
      </w:r>
      <w:r w:rsidR="00005BF1" w:rsidRPr="00AF0D7B">
        <w:rPr>
          <w:i/>
        </w:rPr>
        <w:t xml:space="preserve">Source: Oxford Economics </w:t>
      </w:r>
      <w:r w:rsidR="00005BF1">
        <w:rPr>
          <w:i/>
        </w:rPr>
        <w:t>AGS-2019</w:t>
      </w:r>
      <w:r w:rsidR="00005BF1" w:rsidRPr="00AF0D7B">
        <w:rPr>
          <w:i/>
        </w:rPr>
        <w:t xml:space="preserve">. </w:t>
      </w:r>
    </w:p>
    <w:p w14:paraId="50E011E8" w14:textId="51544F6C" w:rsidR="00A7544D" w:rsidRPr="00AF0D7B" w:rsidRDefault="00A7544D" w:rsidP="00A7544D"/>
    <w:tbl>
      <w:tblPr>
        <w:tblW w:w="10197" w:type="dxa"/>
        <w:tblInd w:w="-289" w:type="dxa"/>
        <w:tblLayout w:type="fixed"/>
        <w:tblLook w:val="04A0" w:firstRow="1" w:lastRow="0" w:firstColumn="1" w:lastColumn="0" w:noHBand="0" w:noVBand="1"/>
        <w:tblCaption w:val="AGS-2019 forecast by main sectors in GM, 2017 to 2037"/>
        <w:tblDescription w:val="Table showing the forecast net and % Compound Annual Growth for GVA and employment between 2017 and 2037, based on the AGS-2019 model. These measures are shown for GMCA-defined industry sectors, with the greatest % growth in GVA forecast for Creative and Digital Industries and the greatest % growth in employment forecast in Construction."/>
      </w:tblPr>
      <w:tblGrid>
        <w:gridCol w:w="2826"/>
        <w:gridCol w:w="1843"/>
        <w:gridCol w:w="1842"/>
        <w:gridCol w:w="1843"/>
        <w:gridCol w:w="250"/>
        <w:gridCol w:w="1593"/>
      </w:tblGrid>
      <w:tr w:rsidR="00A7544D" w:rsidRPr="00AF0D7B" w14:paraId="52657BBD" w14:textId="77777777" w:rsidTr="00172719">
        <w:trPr>
          <w:trHeight w:val="417"/>
        </w:trPr>
        <w:tc>
          <w:tcPr>
            <w:tcW w:w="2826" w:type="dxa"/>
            <w:tcBorders>
              <w:top w:val="single" w:sz="4" w:space="0" w:color="auto"/>
              <w:left w:val="single" w:sz="12" w:space="0" w:color="auto"/>
              <w:bottom w:val="single" w:sz="4" w:space="0" w:color="auto"/>
              <w:right w:val="single" w:sz="12" w:space="0" w:color="auto"/>
            </w:tcBorders>
            <w:shd w:val="clear" w:color="auto" w:fill="000000"/>
            <w:noWrap/>
            <w:vAlign w:val="center"/>
            <w:hideMark/>
          </w:tcPr>
          <w:p w14:paraId="02E7259D" w14:textId="0B3372DC" w:rsidR="00A7544D" w:rsidRPr="00AF0D7B" w:rsidRDefault="00BE58E0" w:rsidP="00A7544D">
            <w:pPr>
              <w:rPr>
                <w:color w:val="FFFFFF"/>
              </w:rPr>
            </w:pPr>
            <w:r w:rsidRPr="00AF0D7B">
              <w:rPr>
                <w:color w:val="FFFFFF"/>
              </w:rPr>
              <w:lastRenderedPageBreak/>
              <w:t>Broad industry sector (GMCA definition)</w:t>
            </w:r>
          </w:p>
        </w:tc>
        <w:tc>
          <w:tcPr>
            <w:tcW w:w="1843"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789AA7FC" w14:textId="7D972F0A" w:rsidR="00A7544D" w:rsidRPr="00AF0D7B" w:rsidRDefault="00A7544D" w:rsidP="00A7544D">
            <w:pPr>
              <w:rPr>
                <w:color w:val="FFFFFF"/>
              </w:rPr>
            </w:pPr>
            <w:r w:rsidRPr="00AF0D7B">
              <w:t>Net increase/</w:t>
            </w:r>
            <w:r w:rsidRPr="00AF0D7B">
              <w:br/>
              <w:t>decrease (millions)</w:t>
            </w:r>
            <w:r w:rsidR="0025682B">
              <w:t xml:space="preserve"> in GVA between 2017 and 2037</w:t>
            </w:r>
          </w:p>
        </w:tc>
        <w:tc>
          <w:tcPr>
            <w:tcW w:w="1842" w:type="dxa"/>
            <w:tcBorders>
              <w:top w:val="single" w:sz="4" w:space="0" w:color="auto"/>
              <w:left w:val="nil"/>
              <w:bottom w:val="single" w:sz="4" w:space="0" w:color="auto"/>
              <w:right w:val="single" w:sz="12" w:space="0" w:color="auto"/>
            </w:tcBorders>
            <w:shd w:val="clear" w:color="auto" w:fill="000000"/>
            <w:noWrap/>
            <w:vAlign w:val="center"/>
          </w:tcPr>
          <w:p w14:paraId="602B7857" w14:textId="005355FC" w:rsidR="00A7544D" w:rsidRPr="00AF0D7B" w:rsidRDefault="00A7544D" w:rsidP="00A7544D">
            <w:pPr>
              <w:rPr>
                <w:color w:val="FFFFFF"/>
              </w:rPr>
            </w:pPr>
            <w:r w:rsidRPr="00AF0D7B">
              <w:t>% Compound Annual Growth</w:t>
            </w:r>
            <w:r w:rsidR="00BE58E0">
              <w:t xml:space="preserve"> in GVA between 2017 and 2037</w:t>
            </w:r>
          </w:p>
        </w:tc>
        <w:tc>
          <w:tcPr>
            <w:tcW w:w="1843"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7EB493DE" w14:textId="42A2DFC7" w:rsidR="00A7544D" w:rsidRPr="00AF0D7B" w:rsidRDefault="00A7544D" w:rsidP="00A7544D">
            <w:pPr>
              <w:rPr>
                <w:color w:val="FFFFFF"/>
              </w:rPr>
            </w:pPr>
            <w:r w:rsidRPr="00AF0D7B">
              <w:t>Net increase/</w:t>
            </w:r>
            <w:r w:rsidRPr="00AF0D7B">
              <w:br/>
              <w:t>decrease</w:t>
            </w:r>
            <w:r w:rsidR="00BE58E0">
              <w:t xml:space="preserve"> in employment between 2017 and 2037</w:t>
            </w:r>
          </w:p>
        </w:tc>
        <w:tc>
          <w:tcPr>
            <w:tcW w:w="1843" w:type="dxa"/>
            <w:gridSpan w:val="2"/>
            <w:tcBorders>
              <w:top w:val="single" w:sz="4" w:space="0" w:color="auto"/>
              <w:left w:val="nil"/>
              <w:bottom w:val="single" w:sz="4" w:space="0" w:color="auto"/>
              <w:right w:val="single" w:sz="12" w:space="0" w:color="auto"/>
            </w:tcBorders>
            <w:shd w:val="clear" w:color="auto" w:fill="000000"/>
            <w:noWrap/>
            <w:vAlign w:val="center"/>
          </w:tcPr>
          <w:p w14:paraId="7099ABEC" w14:textId="5655C870" w:rsidR="00A7544D" w:rsidRPr="00AF0D7B" w:rsidRDefault="00A7544D" w:rsidP="00A7544D">
            <w:pPr>
              <w:rPr>
                <w:color w:val="FFFFFF"/>
              </w:rPr>
            </w:pPr>
            <w:r w:rsidRPr="00AF0D7B">
              <w:t>% Compound Annual Growth</w:t>
            </w:r>
            <w:r w:rsidR="00BE58E0">
              <w:t xml:space="preserve"> in employment between 2017 and 2037</w:t>
            </w:r>
          </w:p>
        </w:tc>
      </w:tr>
      <w:tr w:rsidR="00A7544D" w:rsidRPr="00AF0D7B" w14:paraId="1A03E39D"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337BEAF" w14:textId="77777777" w:rsidR="00A7544D" w:rsidRPr="00AF0D7B" w:rsidRDefault="00A7544D" w:rsidP="00A7544D">
            <w:pPr>
              <w:rPr>
                <w:bCs/>
                <w:color w:val="000000"/>
                <w:lang w:eastAsia="en-GB"/>
              </w:rPr>
            </w:pPr>
            <w:r w:rsidRPr="00AF0D7B">
              <w:rPr>
                <w:bCs/>
                <w:color w:val="000000"/>
                <w:lang w:eastAsia="en-GB"/>
              </w:rPr>
              <w:t>Construction</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9AFEE4" w14:textId="77777777" w:rsidR="00A7544D" w:rsidRPr="00AF0D7B" w:rsidRDefault="00A7544D" w:rsidP="00A7544D">
            <w:pPr>
              <w:rPr>
                <w:lang w:eastAsia="en-GB"/>
              </w:rPr>
            </w:pPr>
            <w:r>
              <w:rPr>
                <w:lang w:eastAsia="en-GB"/>
              </w:rPr>
              <w:t>£1,510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513136F6" w14:textId="77777777" w:rsidR="00A7544D" w:rsidRPr="00AF0D7B" w:rsidRDefault="00A7544D" w:rsidP="00A7544D">
            <w:pPr>
              <w:rPr>
                <w:lang w:eastAsia="en-GB"/>
              </w:rPr>
            </w:pPr>
            <w:r>
              <w:rPr>
                <w:lang w:eastAsia="en-GB"/>
              </w:rPr>
              <w:t>1.7</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681655CE" w14:textId="77777777" w:rsidR="00A7544D" w:rsidRPr="00AF0D7B" w:rsidRDefault="00A7544D" w:rsidP="00A7544D">
            <w:pPr>
              <w:rPr>
                <w:lang w:eastAsia="en-GB"/>
              </w:rPr>
            </w:pPr>
            <w:r>
              <w:rPr>
                <w:lang w:eastAsia="en-GB"/>
              </w:rPr>
              <w:t>29,000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3BE6A2E4" w14:textId="77777777" w:rsidR="00A7544D" w:rsidRPr="00AF0D7B" w:rsidRDefault="00A7544D" w:rsidP="00A7544D">
            <w:pPr>
              <w:rPr>
                <w:lang w:eastAsia="en-GB"/>
              </w:rPr>
            </w:pPr>
            <w:r>
              <w:rPr>
                <w:lang w:eastAsia="en-GB"/>
              </w:rPr>
              <w:t>1.5</w:t>
            </w:r>
            <w:r w:rsidRPr="00AF0D7B">
              <w:rPr>
                <w:lang w:eastAsia="en-GB"/>
              </w:rPr>
              <w:t>%</w:t>
            </w:r>
          </w:p>
        </w:tc>
      </w:tr>
      <w:tr w:rsidR="00A7544D" w:rsidRPr="00AF0D7B" w14:paraId="094F4125"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23FCF42" w14:textId="77777777" w:rsidR="00A7544D" w:rsidRPr="00AF0D7B" w:rsidRDefault="00A7544D" w:rsidP="00A7544D">
            <w:pPr>
              <w:rPr>
                <w:bCs/>
                <w:color w:val="000000"/>
                <w:lang w:eastAsia="en-GB"/>
              </w:rPr>
            </w:pPr>
            <w:r w:rsidRPr="00AF0D7B">
              <w:rPr>
                <w:bCs/>
                <w:color w:val="000000"/>
                <w:lang w:eastAsia="en-GB"/>
              </w:rPr>
              <w:t>Manufacturing</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4FEECEC" w14:textId="77777777" w:rsidR="00A7544D" w:rsidRPr="00AF0D7B" w:rsidRDefault="00A7544D" w:rsidP="00A7544D">
            <w:pPr>
              <w:rPr>
                <w:lang w:eastAsia="en-GB"/>
              </w:rPr>
            </w:pPr>
            <w:r>
              <w:rPr>
                <w:lang w:eastAsia="en-GB"/>
              </w:rPr>
              <w:t>£2,650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2D3DA53" w14:textId="77777777" w:rsidR="00A7544D" w:rsidRPr="00AF0D7B" w:rsidRDefault="00A7544D" w:rsidP="00A7544D">
            <w:pPr>
              <w:rPr>
                <w:lang w:eastAsia="en-GB"/>
              </w:rPr>
            </w:pPr>
            <w:r>
              <w:rPr>
                <w:lang w:eastAsia="en-GB"/>
              </w:rPr>
              <w:t>1.5</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546B6BA8" w14:textId="77777777" w:rsidR="00A7544D" w:rsidRPr="00AF0D7B" w:rsidRDefault="00A7544D" w:rsidP="00A7544D">
            <w:pPr>
              <w:rPr>
                <w:lang w:eastAsia="en-GB"/>
              </w:rPr>
            </w:pPr>
            <w:r>
              <w:rPr>
                <w:lang w:eastAsia="en-GB"/>
              </w:rPr>
              <w:t>-20,600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380DED24" w14:textId="77777777" w:rsidR="00A7544D" w:rsidRPr="00AF0D7B" w:rsidRDefault="00A7544D" w:rsidP="00A7544D">
            <w:pPr>
              <w:rPr>
                <w:lang w:eastAsia="en-GB"/>
              </w:rPr>
            </w:pPr>
            <w:r>
              <w:rPr>
                <w:lang w:eastAsia="en-GB"/>
              </w:rPr>
              <w:t>-0.9</w:t>
            </w:r>
            <w:r w:rsidRPr="00AF0D7B">
              <w:rPr>
                <w:lang w:eastAsia="en-GB"/>
              </w:rPr>
              <w:t>%</w:t>
            </w:r>
          </w:p>
        </w:tc>
      </w:tr>
      <w:tr w:rsidR="00A7544D" w:rsidRPr="00AF0D7B" w14:paraId="54745F3D"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082CB5C" w14:textId="77777777" w:rsidR="00A7544D" w:rsidRPr="00AF0D7B" w:rsidRDefault="00A7544D" w:rsidP="00A7544D">
            <w:pPr>
              <w:rPr>
                <w:bCs/>
                <w:color w:val="000000"/>
                <w:lang w:eastAsia="en-GB"/>
              </w:rPr>
            </w:pPr>
            <w:r w:rsidRPr="00AF0D7B">
              <w:rPr>
                <w:bCs/>
                <w:color w:val="000000"/>
                <w:lang w:eastAsia="en-GB"/>
              </w:rPr>
              <w:t>Logistics (transport and storage)</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C0549F" w14:textId="77777777" w:rsidR="00A7544D" w:rsidRPr="00AF0D7B" w:rsidRDefault="00A7544D" w:rsidP="00A7544D">
            <w:pPr>
              <w:rPr>
                <w:lang w:eastAsia="en-GB"/>
              </w:rPr>
            </w:pPr>
            <w:r>
              <w:rPr>
                <w:lang w:eastAsia="en-GB"/>
              </w:rPr>
              <w:t>£2,030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117B4D8D" w14:textId="77777777" w:rsidR="00A7544D" w:rsidRPr="00AF0D7B" w:rsidRDefault="00A7544D" w:rsidP="00A7544D">
            <w:pPr>
              <w:rPr>
                <w:lang w:eastAsia="en-GB"/>
              </w:rPr>
            </w:pPr>
            <w:r>
              <w:rPr>
                <w:lang w:eastAsia="en-GB"/>
              </w:rPr>
              <w:t>2.4</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425AE261" w14:textId="77777777" w:rsidR="00A7544D" w:rsidRPr="00AF0D7B" w:rsidRDefault="00A7544D" w:rsidP="00A7544D">
            <w:pPr>
              <w:rPr>
                <w:lang w:eastAsia="en-GB"/>
              </w:rPr>
            </w:pPr>
            <w:r>
              <w:rPr>
                <w:lang w:eastAsia="en-GB"/>
              </w:rPr>
              <w:t>20,900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33AB7A02" w14:textId="77777777" w:rsidR="00A7544D" w:rsidRPr="00AF0D7B" w:rsidRDefault="00A7544D" w:rsidP="00A7544D">
            <w:pPr>
              <w:rPr>
                <w:lang w:eastAsia="en-GB"/>
              </w:rPr>
            </w:pPr>
            <w:r>
              <w:rPr>
                <w:lang w:eastAsia="en-GB"/>
              </w:rPr>
              <w:t>1.1</w:t>
            </w:r>
            <w:r w:rsidRPr="00AF0D7B">
              <w:rPr>
                <w:lang w:eastAsia="en-GB"/>
              </w:rPr>
              <w:t>%</w:t>
            </w:r>
          </w:p>
        </w:tc>
      </w:tr>
      <w:tr w:rsidR="00A7544D" w:rsidRPr="00AF0D7B" w14:paraId="3B17EA33"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F769010" w14:textId="77777777" w:rsidR="00A7544D" w:rsidRPr="00AF0D7B" w:rsidRDefault="00A7544D" w:rsidP="00A7544D">
            <w:pPr>
              <w:rPr>
                <w:bCs/>
                <w:color w:val="000000"/>
                <w:lang w:eastAsia="en-GB"/>
              </w:rPr>
            </w:pPr>
            <w:r w:rsidRPr="00AF0D7B">
              <w:rPr>
                <w:bCs/>
                <w:color w:val="000000"/>
                <w:lang w:eastAsia="en-GB"/>
              </w:rPr>
              <w:t>Wholesale and retail</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28174AD" w14:textId="77777777" w:rsidR="00A7544D" w:rsidRPr="00AF0D7B" w:rsidRDefault="00A7544D" w:rsidP="00A7544D">
            <w:pPr>
              <w:rPr>
                <w:lang w:eastAsia="en-GB"/>
              </w:rPr>
            </w:pPr>
            <w:r>
              <w:rPr>
                <w:lang w:eastAsia="en-GB"/>
              </w:rPr>
              <w:t>£4,050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B65F9E6" w14:textId="77777777" w:rsidR="00A7544D" w:rsidRPr="00AF0D7B" w:rsidRDefault="00A7544D" w:rsidP="00A7544D">
            <w:pPr>
              <w:rPr>
                <w:lang w:eastAsia="en-GB"/>
              </w:rPr>
            </w:pPr>
            <w:r>
              <w:rPr>
                <w:lang w:eastAsia="en-GB"/>
              </w:rPr>
              <w:t>2.3</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2230B95C" w14:textId="77777777" w:rsidR="00A7544D" w:rsidRPr="00AF0D7B" w:rsidRDefault="00A7544D" w:rsidP="00A7544D">
            <w:pPr>
              <w:rPr>
                <w:lang w:eastAsia="en-GB"/>
              </w:rPr>
            </w:pPr>
            <w:r>
              <w:rPr>
                <w:lang w:eastAsia="en-GB"/>
              </w:rPr>
              <w:t>26,800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4243B8DE" w14:textId="77777777" w:rsidR="00A7544D" w:rsidRPr="00AF0D7B" w:rsidRDefault="00A7544D" w:rsidP="00A7544D">
            <w:pPr>
              <w:rPr>
                <w:lang w:eastAsia="en-GB"/>
              </w:rPr>
            </w:pPr>
            <w:r>
              <w:rPr>
                <w:lang w:eastAsia="en-GB"/>
              </w:rPr>
              <w:t>0.6</w:t>
            </w:r>
            <w:r w:rsidRPr="00AF0D7B">
              <w:rPr>
                <w:lang w:eastAsia="en-GB"/>
              </w:rPr>
              <w:t>%</w:t>
            </w:r>
          </w:p>
        </w:tc>
      </w:tr>
      <w:tr w:rsidR="00A7544D" w:rsidRPr="00AF0D7B" w14:paraId="3B15911F"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F80804B" w14:textId="77777777" w:rsidR="00A7544D" w:rsidRPr="00AF0D7B" w:rsidRDefault="00A7544D" w:rsidP="00A7544D">
            <w:pPr>
              <w:rPr>
                <w:bCs/>
                <w:color w:val="000000"/>
                <w:lang w:eastAsia="en-GB"/>
              </w:rPr>
            </w:pPr>
            <w:r w:rsidRPr="00AF0D7B">
              <w:rPr>
                <w:bCs/>
                <w:color w:val="000000"/>
                <w:lang w:eastAsia="en-GB"/>
              </w:rPr>
              <w:t>Personal services</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C687F4" w14:textId="77777777" w:rsidR="00A7544D" w:rsidRPr="00AF0D7B" w:rsidRDefault="00A7544D" w:rsidP="00A7544D">
            <w:pPr>
              <w:rPr>
                <w:lang w:eastAsia="en-GB"/>
              </w:rPr>
            </w:pPr>
            <w:r>
              <w:rPr>
                <w:lang w:eastAsia="en-GB"/>
              </w:rPr>
              <w:t>£390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1E5A52CA" w14:textId="77777777" w:rsidR="00A7544D" w:rsidRPr="00AF0D7B" w:rsidRDefault="00A7544D" w:rsidP="00A7544D">
            <w:pPr>
              <w:rPr>
                <w:lang w:eastAsia="en-GB"/>
              </w:rPr>
            </w:pPr>
            <w:r>
              <w:rPr>
                <w:lang w:eastAsia="en-GB"/>
              </w:rPr>
              <w:t>1.7</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A26DD3D" w14:textId="77777777" w:rsidR="00A7544D" w:rsidRPr="00AF0D7B" w:rsidRDefault="00A7544D" w:rsidP="00A7544D">
            <w:pPr>
              <w:rPr>
                <w:lang w:eastAsia="en-GB"/>
              </w:rPr>
            </w:pPr>
            <w:r>
              <w:rPr>
                <w:lang w:eastAsia="en-GB"/>
              </w:rPr>
              <w:t>6,900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10021613" w14:textId="77777777" w:rsidR="00A7544D" w:rsidRPr="00AF0D7B" w:rsidRDefault="00A7544D" w:rsidP="00A7544D">
            <w:pPr>
              <w:rPr>
                <w:lang w:eastAsia="en-GB"/>
              </w:rPr>
            </w:pPr>
            <w:r>
              <w:rPr>
                <w:lang w:eastAsia="en-GB"/>
              </w:rPr>
              <w:t>1.2</w:t>
            </w:r>
            <w:r w:rsidRPr="00AF0D7B">
              <w:rPr>
                <w:lang w:eastAsia="en-GB"/>
              </w:rPr>
              <w:t>%</w:t>
            </w:r>
          </w:p>
        </w:tc>
      </w:tr>
      <w:tr w:rsidR="00A7544D" w:rsidRPr="00AF0D7B" w14:paraId="670CE99E"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56D3145" w14:textId="77777777" w:rsidR="00A7544D" w:rsidRPr="00AF0D7B" w:rsidRDefault="00A7544D" w:rsidP="00A7544D">
            <w:pPr>
              <w:rPr>
                <w:bCs/>
                <w:color w:val="000000"/>
                <w:lang w:eastAsia="en-GB"/>
              </w:rPr>
            </w:pPr>
            <w:r w:rsidRPr="00AF0D7B">
              <w:rPr>
                <w:bCs/>
                <w:color w:val="000000"/>
                <w:lang w:eastAsia="en-GB"/>
              </w:rPr>
              <w:t>Business, financial, professional services</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080A33" w14:textId="77777777" w:rsidR="00A7544D" w:rsidRPr="00AF0D7B" w:rsidRDefault="00A7544D" w:rsidP="00A7544D">
            <w:pPr>
              <w:rPr>
                <w:lang w:eastAsia="en-GB"/>
              </w:rPr>
            </w:pPr>
            <w:r>
              <w:rPr>
                <w:lang w:eastAsia="en-GB"/>
              </w:rPr>
              <w:t>£16,520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147BE9BF" w14:textId="77777777" w:rsidR="00A7544D" w:rsidRPr="00AF0D7B" w:rsidRDefault="00A7544D" w:rsidP="00A7544D">
            <w:pPr>
              <w:rPr>
                <w:lang w:eastAsia="en-GB"/>
              </w:rPr>
            </w:pPr>
            <w:r>
              <w:rPr>
                <w:lang w:eastAsia="en-GB"/>
              </w:rPr>
              <w:t>3.1</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0C30619" w14:textId="77777777" w:rsidR="00A7544D" w:rsidRPr="00AF0D7B" w:rsidRDefault="00A7544D" w:rsidP="00A7544D">
            <w:pPr>
              <w:rPr>
                <w:lang w:eastAsia="en-GB"/>
              </w:rPr>
            </w:pPr>
            <w:r>
              <w:rPr>
                <w:lang w:eastAsia="en-GB"/>
              </w:rPr>
              <w:t>100,300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04CDD264" w14:textId="77777777" w:rsidR="00A7544D" w:rsidRPr="00AF0D7B" w:rsidRDefault="00A7544D" w:rsidP="00A7544D">
            <w:pPr>
              <w:rPr>
                <w:lang w:eastAsia="en-GB"/>
              </w:rPr>
            </w:pPr>
            <w:r>
              <w:rPr>
                <w:lang w:eastAsia="en-GB"/>
              </w:rPr>
              <w:t>1.4</w:t>
            </w:r>
            <w:r w:rsidRPr="00AF0D7B">
              <w:rPr>
                <w:lang w:eastAsia="en-GB"/>
              </w:rPr>
              <w:t>%</w:t>
            </w:r>
          </w:p>
        </w:tc>
      </w:tr>
      <w:tr w:rsidR="00A7544D" w:rsidRPr="00AF0D7B" w14:paraId="60DEFC33"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56B4170" w14:textId="77777777" w:rsidR="00A7544D" w:rsidRPr="00AF0D7B" w:rsidRDefault="00A7544D" w:rsidP="00A7544D">
            <w:pPr>
              <w:rPr>
                <w:bCs/>
                <w:color w:val="000000"/>
                <w:lang w:eastAsia="en-GB"/>
              </w:rPr>
            </w:pPr>
            <w:r w:rsidRPr="00AF0D7B">
              <w:rPr>
                <w:bCs/>
                <w:color w:val="000000"/>
                <w:lang w:eastAsia="en-GB"/>
              </w:rPr>
              <w:t>Creative and digital industries</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BA6D3C" w14:textId="77777777" w:rsidR="00A7544D" w:rsidRPr="00AF0D7B" w:rsidRDefault="00A7544D" w:rsidP="00A7544D">
            <w:pPr>
              <w:rPr>
                <w:lang w:eastAsia="en-GB"/>
              </w:rPr>
            </w:pPr>
            <w:r>
              <w:rPr>
                <w:lang w:eastAsia="en-GB"/>
              </w:rPr>
              <w:t>£4,520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0FD60E7" w14:textId="77777777" w:rsidR="00A7544D" w:rsidRPr="00AF0D7B" w:rsidRDefault="00A7544D" w:rsidP="00A7544D">
            <w:pPr>
              <w:rPr>
                <w:lang w:eastAsia="en-GB"/>
              </w:rPr>
            </w:pPr>
            <w:r>
              <w:rPr>
                <w:lang w:eastAsia="en-GB"/>
              </w:rPr>
              <w:t>3.6</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537B4A0B" w14:textId="77777777" w:rsidR="00A7544D" w:rsidRPr="00AF0D7B" w:rsidRDefault="00A7544D" w:rsidP="00A7544D">
            <w:pPr>
              <w:rPr>
                <w:lang w:eastAsia="en-GB"/>
              </w:rPr>
            </w:pPr>
            <w:r>
              <w:rPr>
                <w:lang w:eastAsia="en-GB"/>
              </w:rPr>
              <w:t>18,600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3BD476D1" w14:textId="77777777" w:rsidR="00A7544D" w:rsidRPr="00AF0D7B" w:rsidRDefault="00A7544D" w:rsidP="00A7544D">
            <w:pPr>
              <w:rPr>
                <w:lang w:eastAsia="en-GB"/>
              </w:rPr>
            </w:pPr>
            <w:r>
              <w:rPr>
                <w:lang w:eastAsia="en-GB"/>
              </w:rPr>
              <w:t>1.0</w:t>
            </w:r>
            <w:r w:rsidRPr="00AF0D7B">
              <w:rPr>
                <w:lang w:eastAsia="en-GB"/>
              </w:rPr>
              <w:t>%</w:t>
            </w:r>
          </w:p>
        </w:tc>
      </w:tr>
      <w:tr w:rsidR="00A7544D" w:rsidRPr="00AF0D7B" w14:paraId="16B2606F"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57E2D48" w14:textId="77777777" w:rsidR="00A7544D" w:rsidRPr="00AF0D7B" w:rsidRDefault="00A7544D" w:rsidP="00A7544D">
            <w:pPr>
              <w:rPr>
                <w:bCs/>
                <w:color w:val="000000"/>
                <w:lang w:eastAsia="en-GB"/>
              </w:rPr>
            </w:pPr>
            <w:r w:rsidRPr="00AF0D7B">
              <w:rPr>
                <w:bCs/>
                <w:color w:val="000000"/>
                <w:lang w:eastAsia="en-GB"/>
              </w:rPr>
              <w:t xml:space="preserve">Hospitality, </w:t>
            </w:r>
            <w:proofErr w:type="gramStart"/>
            <w:r w:rsidRPr="00AF0D7B">
              <w:rPr>
                <w:bCs/>
                <w:color w:val="000000"/>
                <w:lang w:eastAsia="en-GB"/>
              </w:rPr>
              <w:t>tourism</w:t>
            </w:r>
            <w:proofErr w:type="gramEnd"/>
            <w:r w:rsidRPr="00AF0D7B">
              <w:rPr>
                <w:bCs/>
                <w:color w:val="000000"/>
                <w:lang w:eastAsia="en-GB"/>
              </w:rPr>
              <w:t xml:space="preserve"> and sport</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9C0D8E" w14:textId="77777777" w:rsidR="00A7544D" w:rsidRPr="00AF0D7B" w:rsidRDefault="00A7544D" w:rsidP="00A7544D">
            <w:pPr>
              <w:rPr>
                <w:lang w:eastAsia="en-GB"/>
              </w:rPr>
            </w:pPr>
            <w:r>
              <w:rPr>
                <w:lang w:eastAsia="en-GB"/>
              </w:rPr>
              <w:t>£1,770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61C0D7BA" w14:textId="77777777" w:rsidR="00A7544D" w:rsidRPr="00AF0D7B" w:rsidRDefault="00A7544D" w:rsidP="00A7544D">
            <w:pPr>
              <w:rPr>
                <w:lang w:eastAsia="en-GB"/>
              </w:rPr>
            </w:pPr>
            <w:r>
              <w:rPr>
                <w:lang w:eastAsia="en-GB"/>
              </w:rPr>
              <w:t>2.3</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3E20DDED" w14:textId="77777777" w:rsidR="00A7544D" w:rsidRPr="00AF0D7B" w:rsidRDefault="00A7544D" w:rsidP="00A7544D">
            <w:pPr>
              <w:rPr>
                <w:lang w:eastAsia="en-GB"/>
              </w:rPr>
            </w:pPr>
            <w:r>
              <w:rPr>
                <w:lang w:eastAsia="en-GB"/>
              </w:rPr>
              <w:t>27,300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0DEEA165" w14:textId="77777777" w:rsidR="00A7544D" w:rsidRPr="00AF0D7B" w:rsidRDefault="00A7544D" w:rsidP="00A7544D">
            <w:pPr>
              <w:rPr>
                <w:lang w:eastAsia="en-GB"/>
              </w:rPr>
            </w:pPr>
            <w:r>
              <w:rPr>
                <w:lang w:eastAsia="en-GB"/>
              </w:rPr>
              <w:t>1.1</w:t>
            </w:r>
            <w:r w:rsidRPr="00AF0D7B">
              <w:rPr>
                <w:lang w:eastAsia="en-GB"/>
              </w:rPr>
              <w:t>%</w:t>
            </w:r>
          </w:p>
        </w:tc>
      </w:tr>
      <w:tr w:rsidR="00A7544D" w:rsidRPr="00AF0D7B" w14:paraId="47C93C9F"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42A3367" w14:textId="77777777" w:rsidR="00A7544D" w:rsidRPr="00AF0D7B" w:rsidRDefault="00A7544D" w:rsidP="00A7544D">
            <w:pPr>
              <w:rPr>
                <w:bCs/>
                <w:color w:val="000000"/>
                <w:lang w:eastAsia="en-GB"/>
              </w:rPr>
            </w:pPr>
            <w:r w:rsidRPr="00AF0D7B">
              <w:rPr>
                <w:bCs/>
                <w:color w:val="000000"/>
                <w:lang w:eastAsia="en-GB"/>
              </w:rPr>
              <w:t>Education</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02CF48" w14:textId="77777777" w:rsidR="00A7544D" w:rsidRPr="00AF0D7B" w:rsidRDefault="00A7544D" w:rsidP="00A7544D">
            <w:pPr>
              <w:rPr>
                <w:lang w:eastAsia="en-GB"/>
              </w:rPr>
            </w:pPr>
            <w:r>
              <w:rPr>
                <w:lang w:eastAsia="en-GB"/>
              </w:rPr>
              <w:t>£480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70D6E754" w14:textId="77777777" w:rsidR="00A7544D" w:rsidRPr="00AF0D7B" w:rsidRDefault="00A7544D" w:rsidP="00A7544D">
            <w:pPr>
              <w:rPr>
                <w:lang w:eastAsia="en-GB"/>
              </w:rPr>
            </w:pPr>
            <w:r>
              <w:rPr>
                <w:lang w:eastAsia="en-GB"/>
              </w:rPr>
              <w:t>0.5</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F756A30" w14:textId="77777777" w:rsidR="00A7544D" w:rsidRPr="00AF0D7B" w:rsidRDefault="00A7544D" w:rsidP="00A7544D">
            <w:pPr>
              <w:rPr>
                <w:lang w:eastAsia="en-GB"/>
              </w:rPr>
            </w:pPr>
            <w:r>
              <w:rPr>
                <w:lang w:eastAsia="en-GB"/>
              </w:rPr>
              <w:t>12,700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5677AA33" w14:textId="77777777" w:rsidR="00A7544D" w:rsidRPr="00AF0D7B" w:rsidRDefault="00A7544D" w:rsidP="00A7544D">
            <w:pPr>
              <w:rPr>
                <w:lang w:eastAsia="en-GB"/>
              </w:rPr>
            </w:pPr>
            <w:r>
              <w:rPr>
                <w:lang w:eastAsia="en-GB"/>
              </w:rPr>
              <w:t>0.5</w:t>
            </w:r>
            <w:r w:rsidRPr="00AF0D7B">
              <w:rPr>
                <w:lang w:eastAsia="en-GB"/>
              </w:rPr>
              <w:t>%</w:t>
            </w:r>
          </w:p>
        </w:tc>
      </w:tr>
      <w:tr w:rsidR="00A7544D" w:rsidRPr="00AF0D7B" w14:paraId="018F29B5" w14:textId="77777777" w:rsidTr="00172719">
        <w:trPr>
          <w:trHeight w:val="284"/>
        </w:trPr>
        <w:tc>
          <w:tcPr>
            <w:tcW w:w="28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E276E4A" w14:textId="77777777" w:rsidR="00A7544D" w:rsidRPr="00AF0D7B" w:rsidRDefault="00A7544D" w:rsidP="00A7544D">
            <w:pPr>
              <w:rPr>
                <w:bCs/>
                <w:color w:val="000000"/>
                <w:lang w:eastAsia="en-GB"/>
              </w:rPr>
            </w:pPr>
            <w:r w:rsidRPr="00AF0D7B">
              <w:rPr>
                <w:bCs/>
                <w:color w:val="000000"/>
                <w:lang w:eastAsia="en-GB"/>
              </w:rPr>
              <w:t>Health and social care</w:t>
            </w:r>
          </w:p>
        </w:tc>
        <w:tc>
          <w:tcPr>
            <w:tcW w:w="1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BECE26" w14:textId="77777777" w:rsidR="00A7544D" w:rsidRPr="00AF0D7B" w:rsidRDefault="00A7544D" w:rsidP="00A7544D">
            <w:pPr>
              <w:rPr>
                <w:lang w:eastAsia="en-GB"/>
              </w:rPr>
            </w:pPr>
            <w:r>
              <w:rPr>
                <w:lang w:eastAsia="en-GB"/>
              </w:rPr>
              <w:t>£3,560</w:t>
            </w:r>
            <w:r w:rsidRPr="00AF0D7B">
              <w:rPr>
                <w:lang w:eastAsia="en-GB"/>
              </w:rPr>
              <w:t>m</w:t>
            </w:r>
          </w:p>
        </w:tc>
        <w:tc>
          <w:tcPr>
            <w:tcW w:w="1842" w:type="dxa"/>
            <w:tcBorders>
              <w:top w:val="single" w:sz="4" w:space="0" w:color="auto"/>
              <w:left w:val="nil"/>
              <w:bottom w:val="single" w:sz="4" w:space="0" w:color="auto"/>
              <w:right w:val="single" w:sz="12" w:space="0" w:color="auto"/>
            </w:tcBorders>
            <w:shd w:val="clear" w:color="auto" w:fill="auto"/>
            <w:noWrap/>
            <w:vAlign w:val="center"/>
          </w:tcPr>
          <w:p w14:paraId="47F7434C" w14:textId="77777777" w:rsidR="00A7544D" w:rsidRPr="00AF0D7B" w:rsidRDefault="00A7544D" w:rsidP="00A7544D">
            <w:pPr>
              <w:rPr>
                <w:lang w:eastAsia="en-GB"/>
              </w:rPr>
            </w:pPr>
            <w:r>
              <w:rPr>
                <w:lang w:eastAsia="en-GB"/>
              </w:rPr>
              <w:t>2.3</w:t>
            </w:r>
            <w:r w:rsidRPr="00AF0D7B">
              <w:rPr>
                <w:lang w:eastAsia="en-GB"/>
              </w:rPr>
              <w:t>%</w:t>
            </w:r>
          </w:p>
        </w:tc>
        <w:tc>
          <w:tcPr>
            <w:tcW w:w="2093"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3DD9CFD" w14:textId="77777777" w:rsidR="00A7544D" w:rsidRPr="00AF0D7B" w:rsidRDefault="00A7544D" w:rsidP="00A7544D">
            <w:pPr>
              <w:rPr>
                <w:lang w:eastAsia="en-GB"/>
              </w:rPr>
            </w:pPr>
            <w:r>
              <w:rPr>
                <w:lang w:eastAsia="en-GB"/>
              </w:rPr>
              <w:t>37,700</w:t>
            </w:r>
          </w:p>
        </w:tc>
        <w:tc>
          <w:tcPr>
            <w:tcW w:w="1593" w:type="dxa"/>
            <w:tcBorders>
              <w:top w:val="single" w:sz="4" w:space="0" w:color="auto"/>
              <w:left w:val="nil"/>
              <w:bottom w:val="single" w:sz="4" w:space="0" w:color="auto"/>
              <w:right w:val="single" w:sz="12" w:space="0" w:color="auto"/>
            </w:tcBorders>
            <w:shd w:val="clear" w:color="auto" w:fill="auto"/>
            <w:noWrap/>
            <w:vAlign w:val="center"/>
          </w:tcPr>
          <w:p w14:paraId="17DC82B5" w14:textId="77777777" w:rsidR="00A7544D" w:rsidRPr="00AF0D7B" w:rsidRDefault="00A7544D" w:rsidP="00A7544D">
            <w:pPr>
              <w:rPr>
                <w:lang w:eastAsia="en-GB"/>
              </w:rPr>
            </w:pPr>
            <w:r>
              <w:rPr>
                <w:lang w:eastAsia="en-GB"/>
              </w:rPr>
              <w:t>0.9</w:t>
            </w:r>
            <w:r w:rsidRPr="00AF0D7B">
              <w:rPr>
                <w:lang w:eastAsia="en-GB"/>
              </w:rPr>
              <w:t>%</w:t>
            </w:r>
          </w:p>
        </w:tc>
      </w:tr>
      <w:tr w:rsidR="00A7544D" w:rsidRPr="00AF0D7B" w14:paraId="23340D22" w14:textId="77777777" w:rsidTr="00172719">
        <w:trPr>
          <w:trHeight w:val="284"/>
        </w:trPr>
        <w:tc>
          <w:tcPr>
            <w:tcW w:w="2826"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C3FB0F6" w14:textId="77777777" w:rsidR="00A7544D" w:rsidRPr="00AF0D7B" w:rsidRDefault="00A7544D" w:rsidP="00A7544D">
            <w:pPr>
              <w:rPr>
                <w:bCs/>
                <w:color w:val="000000"/>
                <w:lang w:eastAsia="en-GB"/>
              </w:rPr>
            </w:pPr>
            <w:r w:rsidRPr="00AF0D7B">
              <w:rPr>
                <w:bCs/>
                <w:color w:val="000000"/>
                <w:lang w:eastAsia="en-GB"/>
              </w:rPr>
              <w:t>Public administration</w:t>
            </w:r>
          </w:p>
        </w:tc>
        <w:tc>
          <w:tcPr>
            <w:tcW w:w="1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274ADA6" w14:textId="77777777" w:rsidR="00A7544D" w:rsidRPr="00AF0D7B" w:rsidRDefault="00A7544D" w:rsidP="00A7544D">
            <w:pPr>
              <w:rPr>
                <w:lang w:eastAsia="en-GB"/>
              </w:rPr>
            </w:pPr>
            <w:r>
              <w:rPr>
                <w:lang w:eastAsia="en-GB"/>
              </w:rPr>
              <w:t>£220</w:t>
            </w:r>
            <w:r w:rsidRPr="00AF0D7B">
              <w:rPr>
                <w:lang w:eastAsia="en-GB"/>
              </w:rPr>
              <w:t>m</w:t>
            </w:r>
          </w:p>
        </w:tc>
        <w:tc>
          <w:tcPr>
            <w:tcW w:w="1842" w:type="dxa"/>
            <w:tcBorders>
              <w:top w:val="single" w:sz="4" w:space="0" w:color="auto"/>
              <w:left w:val="nil"/>
              <w:bottom w:val="single" w:sz="12" w:space="0" w:color="auto"/>
              <w:right w:val="single" w:sz="12" w:space="0" w:color="auto"/>
            </w:tcBorders>
            <w:shd w:val="clear" w:color="auto" w:fill="auto"/>
            <w:noWrap/>
            <w:vAlign w:val="center"/>
          </w:tcPr>
          <w:p w14:paraId="3136AE6B" w14:textId="77777777" w:rsidR="00A7544D" w:rsidRPr="00AF0D7B" w:rsidRDefault="00A7544D" w:rsidP="00A7544D">
            <w:pPr>
              <w:rPr>
                <w:lang w:eastAsia="en-GB"/>
              </w:rPr>
            </w:pPr>
            <w:r>
              <w:rPr>
                <w:lang w:eastAsia="en-GB"/>
              </w:rPr>
              <w:t>0.4</w:t>
            </w:r>
            <w:r w:rsidRPr="00AF0D7B">
              <w:rPr>
                <w:lang w:eastAsia="en-GB"/>
              </w:rPr>
              <w:t>%</w:t>
            </w:r>
          </w:p>
        </w:tc>
        <w:tc>
          <w:tcPr>
            <w:tcW w:w="2093"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19CE150B" w14:textId="77777777" w:rsidR="00A7544D" w:rsidRPr="00AF0D7B" w:rsidRDefault="00A7544D" w:rsidP="00A7544D">
            <w:pPr>
              <w:rPr>
                <w:lang w:eastAsia="en-GB"/>
              </w:rPr>
            </w:pPr>
            <w:r>
              <w:rPr>
                <w:lang w:eastAsia="en-GB"/>
              </w:rPr>
              <w:t>300</w:t>
            </w:r>
          </w:p>
        </w:tc>
        <w:tc>
          <w:tcPr>
            <w:tcW w:w="1593" w:type="dxa"/>
            <w:tcBorders>
              <w:top w:val="single" w:sz="4" w:space="0" w:color="auto"/>
              <w:left w:val="nil"/>
              <w:bottom w:val="single" w:sz="12" w:space="0" w:color="auto"/>
              <w:right w:val="single" w:sz="12" w:space="0" w:color="auto"/>
            </w:tcBorders>
            <w:shd w:val="clear" w:color="auto" w:fill="auto"/>
            <w:noWrap/>
            <w:vAlign w:val="center"/>
          </w:tcPr>
          <w:p w14:paraId="1209F621" w14:textId="77777777" w:rsidR="00A7544D" w:rsidRPr="00AF0D7B" w:rsidRDefault="00A7544D" w:rsidP="00A7544D">
            <w:pPr>
              <w:rPr>
                <w:lang w:eastAsia="en-GB"/>
              </w:rPr>
            </w:pPr>
            <w:r>
              <w:rPr>
                <w:lang w:eastAsia="en-GB"/>
              </w:rPr>
              <w:t>0.0</w:t>
            </w:r>
            <w:r w:rsidRPr="00AF0D7B">
              <w:rPr>
                <w:lang w:eastAsia="en-GB"/>
              </w:rPr>
              <w:t>%</w:t>
            </w:r>
          </w:p>
        </w:tc>
      </w:tr>
    </w:tbl>
    <w:p w14:paraId="5A7E7C34" w14:textId="77777777" w:rsidR="00A7544D" w:rsidRDefault="00A7544D" w:rsidP="00A7544D"/>
    <w:p w14:paraId="416FAF15" w14:textId="1C9B6331" w:rsidR="00A7544D" w:rsidRPr="00147644" w:rsidRDefault="00D042C5" w:rsidP="00A7544D">
      <w:r>
        <w:t>4.12.</w:t>
      </w:r>
      <w:r>
        <w:tab/>
      </w:r>
      <w:r w:rsidR="00A7544D">
        <w:t xml:space="preserve">Table </w:t>
      </w:r>
      <w:r w:rsidR="00A7544D" w:rsidRPr="00AF0D7B">
        <w:t>12</w:t>
      </w:r>
      <w:r w:rsidR="00A7544D">
        <w:t>: AGS-2019</w:t>
      </w:r>
      <w:r w:rsidR="00A7544D" w:rsidRPr="00AF0D7B">
        <w:t xml:space="preserve"> </w:t>
      </w:r>
      <w:r w:rsidR="00A7544D">
        <w:t>vs GMFM-2019 – Additional growth in G</w:t>
      </w:r>
      <w:r w:rsidR="00A7544D" w:rsidRPr="00AF0D7B">
        <w:t>VA and employment</w:t>
      </w:r>
      <w:r w:rsidR="00A7544D">
        <w:t xml:space="preserve"> i</w:t>
      </w:r>
      <w:r w:rsidR="00A7544D" w:rsidRPr="00AF0D7B">
        <w:t xml:space="preserve">n GM, </w:t>
      </w:r>
      <w:r w:rsidR="00A7544D">
        <w:t>by 2037</w:t>
      </w:r>
      <w:r>
        <w:rPr>
          <w:rStyle w:val="FootnoteReference"/>
        </w:rPr>
        <w:footnoteReference w:id="11"/>
      </w:r>
      <w:r w:rsidR="00005BF1">
        <w:t xml:space="preserve">. </w:t>
      </w:r>
      <w:r w:rsidR="00005BF1" w:rsidRPr="00AF0D7B">
        <w:rPr>
          <w:i/>
        </w:rPr>
        <w:t>So</w:t>
      </w:r>
      <w:r w:rsidR="00005BF1">
        <w:rPr>
          <w:i/>
        </w:rPr>
        <w:t>urce: Oxford Economics GMFM-2019; AGS-2019</w:t>
      </w:r>
      <w:r w:rsidR="00005BF1" w:rsidRPr="00AF0D7B">
        <w:rPr>
          <w:i/>
        </w:rPr>
        <w:t>.</w:t>
      </w:r>
    </w:p>
    <w:tbl>
      <w:tblPr>
        <w:tblW w:w="10197" w:type="dxa"/>
        <w:tblInd w:w="-289" w:type="dxa"/>
        <w:tblLayout w:type="fixed"/>
        <w:tblLook w:val="04A0" w:firstRow="1" w:lastRow="0" w:firstColumn="1" w:lastColumn="0" w:noHBand="0" w:noVBand="1"/>
        <w:tblCaption w:val="AGS - Additional growth in GVA and Employment in GM by 2037"/>
        <w:tblDescription w:val="Table showing how the AGS-2019 forecast predicts additional growth in different industry sectors, when compared to the GMFM-2019. The largest forecast boost in GVA and employment can be seen in Business, financial, professional services, while Manufacturing and Public administration are  forecasted smaller job losses."/>
      </w:tblPr>
      <w:tblGrid>
        <w:gridCol w:w="3828"/>
        <w:gridCol w:w="3184"/>
        <w:gridCol w:w="3185"/>
      </w:tblGrid>
      <w:tr w:rsidR="00A7544D" w:rsidRPr="00AF0D7B" w14:paraId="18D43563" w14:textId="77777777" w:rsidTr="0013153A">
        <w:trPr>
          <w:trHeight w:val="616"/>
        </w:trPr>
        <w:tc>
          <w:tcPr>
            <w:tcW w:w="3828" w:type="dxa"/>
            <w:tcBorders>
              <w:top w:val="single" w:sz="4" w:space="0" w:color="auto"/>
              <w:left w:val="single" w:sz="12" w:space="0" w:color="auto"/>
              <w:bottom w:val="single" w:sz="4" w:space="0" w:color="auto"/>
              <w:right w:val="single" w:sz="12" w:space="0" w:color="auto"/>
            </w:tcBorders>
            <w:shd w:val="clear" w:color="auto" w:fill="000000"/>
            <w:noWrap/>
            <w:vAlign w:val="center"/>
          </w:tcPr>
          <w:p w14:paraId="47229013" w14:textId="03C7C9A0" w:rsidR="00A7544D" w:rsidRPr="00655282" w:rsidRDefault="00D042C5" w:rsidP="00A7544D">
            <w:pPr>
              <w:rPr>
                <w:color w:val="FFFFFF"/>
              </w:rPr>
            </w:pPr>
            <w:r w:rsidRPr="00655282">
              <w:rPr>
                <w:color w:val="FFFFFF"/>
              </w:rPr>
              <w:lastRenderedPageBreak/>
              <w:t>Broad industry sector (GMCA definition)</w:t>
            </w:r>
          </w:p>
        </w:tc>
        <w:tc>
          <w:tcPr>
            <w:tcW w:w="3184" w:type="dxa"/>
            <w:tcBorders>
              <w:top w:val="single" w:sz="4" w:space="0" w:color="auto"/>
              <w:left w:val="single" w:sz="12" w:space="0" w:color="auto"/>
              <w:bottom w:val="single" w:sz="4" w:space="0" w:color="auto"/>
              <w:right w:val="single" w:sz="4" w:space="0" w:color="auto"/>
            </w:tcBorders>
            <w:shd w:val="clear" w:color="auto" w:fill="000000"/>
            <w:noWrap/>
            <w:vAlign w:val="center"/>
          </w:tcPr>
          <w:p w14:paraId="13FE0751" w14:textId="4EB9D120" w:rsidR="00A7544D" w:rsidRPr="00655282" w:rsidRDefault="00D042C5" w:rsidP="00A7544D">
            <w:pPr>
              <w:rPr>
                <w:color w:val="FFFFFF"/>
              </w:rPr>
            </w:pPr>
            <w:r>
              <w:t>GVA g</w:t>
            </w:r>
            <w:r w:rsidR="00A7544D" w:rsidRPr="00655282">
              <w:t>rowth per annum in addition to the baseline by 2037</w:t>
            </w:r>
          </w:p>
        </w:tc>
        <w:tc>
          <w:tcPr>
            <w:tcW w:w="3185" w:type="dxa"/>
            <w:tcBorders>
              <w:top w:val="single" w:sz="4" w:space="0" w:color="auto"/>
              <w:left w:val="nil"/>
              <w:bottom w:val="single" w:sz="4" w:space="0" w:color="auto"/>
              <w:right w:val="single" w:sz="12" w:space="0" w:color="auto"/>
            </w:tcBorders>
            <w:shd w:val="clear" w:color="auto" w:fill="000000"/>
            <w:noWrap/>
            <w:vAlign w:val="center"/>
          </w:tcPr>
          <w:p w14:paraId="136B5CCF" w14:textId="12AA8E15" w:rsidR="00A7544D" w:rsidRPr="00655282" w:rsidRDefault="00D042C5" w:rsidP="00A7544D">
            <w:pPr>
              <w:rPr>
                <w:i/>
                <w:color w:val="FFFFFF"/>
              </w:rPr>
            </w:pPr>
            <w:r>
              <w:t>Employment g</w:t>
            </w:r>
            <w:r w:rsidR="00A7544D" w:rsidRPr="00655282">
              <w:t>rowth in addition to the baseline by 2037</w:t>
            </w:r>
          </w:p>
        </w:tc>
      </w:tr>
      <w:tr w:rsidR="00A7544D" w:rsidRPr="00AF0D7B" w14:paraId="2A837639"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010D5AF" w14:textId="77777777" w:rsidR="00A7544D" w:rsidRPr="002F4265" w:rsidRDefault="00A7544D" w:rsidP="00A7544D">
            <w:pPr>
              <w:rPr>
                <w:bCs/>
                <w:color w:val="000000"/>
                <w:lang w:eastAsia="en-GB"/>
              </w:rPr>
            </w:pPr>
            <w:r w:rsidRPr="002F4265">
              <w:rPr>
                <w:bCs/>
                <w:color w:val="000000"/>
                <w:lang w:eastAsia="en-GB"/>
              </w:rPr>
              <w:t>Construction</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0E24F53" w14:textId="77777777" w:rsidR="00A7544D" w:rsidRPr="00F855B8" w:rsidRDefault="00A7544D" w:rsidP="00A7544D">
            <w:pPr>
              <w:rPr>
                <w:lang w:eastAsia="en-GB"/>
              </w:rPr>
            </w:pPr>
            <w:r w:rsidRPr="00F855B8">
              <w:rPr>
                <w:lang w:eastAsia="en-GB"/>
              </w:rPr>
              <w:t>£550m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4509F832" w14:textId="77777777" w:rsidR="00A7544D" w:rsidRPr="002F4265" w:rsidRDefault="00A7544D" w:rsidP="00A7544D">
            <w:pPr>
              <w:rPr>
                <w:lang w:eastAsia="en-GB"/>
              </w:rPr>
            </w:pPr>
            <w:r w:rsidRPr="002F4265">
              <w:rPr>
                <w:lang w:eastAsia="en-GB"/>
              </w:rPr>
              <w:t>3,000</w:t>
            </w:r>
          </w:p>
        </w:tc>
      </w:tr>
      <w:tr w:rsidR="00A7544D" w:rsidRPr="00AF0D7B" w14:paraId="7678FA23"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05B3D4E" w14:textId="77777777" w:rsidR="00A7544D" w:rsidRPr="002F4265" w:rsidRDefault="00A7544D" w:rsidP="00A7544D">
            <w:pPr>
              <w:rPr>
                <w:bCs/>
                <w:color w:val="000000"/>
                <w:lang w:eastAsia="en-GB"/>
              </w:rPr>
            </w:pPr>
            <w:r w:rsidRPr="002F4265">
              <w:rPr>
                <w:bCs/>
                <w:color w:val="000000"/>
                <w:lang w:eastAsia="en-GB"/>
              </w:rPr>
              <w:t>Manufacturing</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74B8F96" w14:textId="77777777" w:rsidR="00A7544D" w:rsidRPr="00F855B8" w:rsidRDefault="00A7544D" w:rsidP="00A7544D">
            <w:pPr>
              <w:rPr>
                <w:lang w:eastAsia="en-GB"/>
              </w:rPr>
            </w:pPr>
            <w:r w:rsidRPr="00F855B8">
              <w:rPr>
                <w:lang w:eastAsia="en-GB"/>
              </w:rPr>
              <w:t>£1,160m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48D03473" w14:textId="77777777" w:rsidR="00A7544D" w:rsidRPr="002F4265" w:rsidRDefault="00A7544D" w:rsidP="00A7544D">
            <w:pPr>
              <w:rPr>
                <w:lang w:eastAsia="en-GB"/>
              </w:rPr>
            </w:pPr>
            <w:r w:rsidRPr="002F4265">
              <w:rPr>
                <w:lang w:eastAsia="en-GB"/>
              </w:rPr>
              <w:t>1,000 fewer jobs lost</w:t>
            </w:r>
          </w:p>
        </w:tc>
      </w:tr>
      <w:tr w:rsidR="00A7544D" w:rsidRPr="00AF0D7B" w14:paraId="74F2F82A"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A21132B" w14:textId="77777777" w:rsidR="00A7544D" w:rsidRPr="002F4265" w:rsidRDefault="00A7544D" w:rsidP="00A7544D">
            <w:pPr>
              <w:rPr>
                <w:bCs/>
                <w:color w:val="000000"/>
                <w:lang w:eastAsia="en-GB"/>
              </w:rPr>
            </w:pPr>
            <w:r w:rsidRPr="002F4265">
              <w:rPr>
                <w:bCs/>
                <w:color w:val="000000"/>
                <w:lang w:eastAsia="en-GB"/>
              </w:rPr>
              <w:t>Logistics (transport and storage)</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E9153E" w14:textId="77777777" w:rsidR="00A7544D" w:rsidRPr="00F855B8" w:rsidRDefault="00A7544D" w:rsidP="00A7544D">
            <w:pPr>
              <w:rPr>
                <w:lang w:eastAsia="en-GB"/>
              </w:rPr>
            </w:pPr>
            <w:r w:rsidRPr="00F855B8">
              <w:rPr>
                <w:lang w:eastAsia="en-GB"/>
              </w:rPr>
              <w:t>£920m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65E09CF9" w14:textId="77777777" w:rsidR="00A7544D" w:rsidRPr="002F4265" w:rsidRDefault="00A7544D" w:rsidP="00A7544D">
            <w:pPr>
              <w:rPr>
                <w:lang w:eastAsia="en-GB"/>
              </w:rPr>
            </w:pPr>
            <w:r w:rsidRPr="002F4265">
              <w:rPr>
                <w:lang w:eastAsia="en-GB"/>
              </w:rPr>
              <w:t>9,000</w:t>
            </w:r>
          </w:p>
        </w:tc>
      </w:tr>
      <w:tr w:rsidR="00A7544D" w:rsidRPr="00AF0D7B" w14:paraId="7514B1AB"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8274FD5" w14:textId="77777777" w:rsidR="00A7544D" w:rsidRPr="002F4265" w:rsidRDefault="00A7544D" w:rsidP="00A7544D">
            <w:pPr>
              <w:rPr>
                <w:bCs/>
                <w:color w:val="000000"/>
                <w:lang w:eastAsia="en-GB"/>
              </w:rPr>
            </w:pPr>
            <w:r w:rsidRPr="002F4265">
              <w:rPr>
                <w:bCs/>
                <w:color w:val="000000"/>
                <w:lang w:eastAsia="en-GB"/>
              </w:rPr>
              <w:t>Wholesale and retail</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E5980" w14:textId="77777777" w:rsidR="00A7544D" w:rsidRPr="00F855B8" w:rsidRDefault="00A7544D" w:rsidP="00A7544D">
            <w:pPr>
              <w:rPr>
                <w:lang w:eastAsia="en-GB"/>
              </w:rPr>
            </w:pPr>
            <w:r w:rsidRPr="00F855B8">
              <w:rPr>
                <w:lang w:eastAsia="en-GB"/>
              </w:rPr>
              <w:t>£1,110m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182C430B" w14:textId="77777777" w:rsidR="00A7544D" w:rsidRPr="002F4265" w:rsidRDefault="00A7544D" w:rsidP="00A7544D">
            <w:pPr>
              <w:rPr>
                <w:lang w:eastAsia="en-GB"/>
              </w:rPr>
            </w:pPr>
            <w:r w:rsidRPr="002F4265">
              <w:rPr>
                <w:lang w:eastAsia="en-GB"/>
              </w:rPr>
              <w:t>8,000</w:t>
            </w:r>
          </w:p>
        </w:tc>
      </w:tr>
      <w:tr w:rsidR="00A7544D" w:rsidRPr="00AF0D7B" w14:paraId="73735A51"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5F0E190" w14:textId="77777777" w:rsidR="00A7544D" w:rsidRPr="002F4265" w:rsidRDefault="00A7544D" w:rsidP="00A7544D">
            <w:pPr>
              <w:rPr>
                <w:bCs/>
                <w:color w:val="000000"/>
                <w:lang w:eastAsia="en-GB"/>
              </w:rPr>
            </w:pPr>
            <w:r w:rsidRPr="002F4265">
              <w:rPr>
                <w:bCs/>
                <w:color w:val="000000"/>
                <w:lang w:eastAsia="en-GB"/>
              </w:rPr>
              <w:t>Personal services</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50A0F46" w14:textId="77777777" w:rsidR="00A7544D" w:rsidRPr="00F855B8" w:rsidRDefault="00A7544D" w:rsidP="00A7544D">
            <w:pPr>
              <w:rPr>
                <w:lang w:eastAsia="en-GB"/>
              </w:rPr>
            </w:pPr>
            <w:r w:rsidRPr="00F855B8">
              <w:rPr>
                <w:lang w:eastAsia="en-GB"/>
              </w:rPr>
              <w:t>£140m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1DF8F8F4" w14:textId="77777777" w:rsidR="00A7544D" w:rsidRPr="002F4265" w:rsidRDefault="00A7544D" w:rsidP="00A7544D">
            <w:pPr>
              <w:rPr>
                <w:lang w:eastAsia="en-GB"/>
              </w:rPr>
            </w:pPr>
            <w:r w:rsidRPr="002F4265">
              <w:rPr>
                <w:lang w:eastAsia="en-GB"/>
              </w:rPr>
              <w:t>1,000</w:t>
            </w:r>
          </w:p>
        </w:tc>
      </w:tr>
      <w:tr w:rsidR="00A7544D" w:rsidRPr="00AF0D7B" w14:paraId="6BCB381D"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B5CBFAD" w14:textId="77777777" w:rsidR="00A7544D" w:rsidRPr="002F4265" w:rsidRDefault="00A7544D" w:rsidP="00A7544D">
            <w:pPr>
              <w:rPr>
                <w:bCs/>
                <w:color w:val="000000"/>
                <w:lang w:eastAsia="en-GB"/>
              </w:rPr>
            </w:pPr>
            <w:r w:rsidRPr="002F4265">
              <w:rPr>
                <w:bCs/>
                <w:color w:val="000000"/>
                <w:lang w:eastAsia="en-GB"/>
              </w:rPr>
              <w:t>Business, financial, professional services</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321934" w14:textId="77777777" w:rsidR="00A7544D" w:rsidRPr="00F855B8" w:rsidRDefault="00A7544D" w:rsidP="00A7544D">
            <w:pPr>
              <w:rPr>
                <w:lang w:eastAsia="en-GB"/>
              </w:rPr>
            </w:pPr>
            <w:r w:rsidRPr="00F855B8">
              <w:rPr>
                <w:lang w:eastAsia="en-GB"/>
              </w:rPr>
              <w:t>£6,570m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3CFDB310" w14:textId="77777777" w:rsidR="00A7544D" w:rsidRPr="002F4265" w:rsidRDefault="00A7544D" w:rsidP="00A7544D">
            <w:pPr>
              <w:rPr>
                <w:lang w:eastAsia="en-GB"/>
              </w:rPr>
            </w:pPr>
            <w:r w:rsidRPr="002F4265">
              <w:rPr>
                <w:lang w:eastAsia="en-GB"/>
              </w:rPr>
              <w:t>18,000</w:t>
            </w:r>
          </w:p>
        </w:tc>
      </w:tr>
      <w:tr w:rsidR="00A7544D" w:rsidRPr="00AF0D7B" w14:paraId="3535D866"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E349F6D" w14:textId="77777777" w:rsidR="00A7544D" w:rsidRPr="002F4265" w:rsidRDefault="00A7544D" w:rsidP="00A7544D">
            <w:pPr>
              <w:rPr>
                <w:bCs/>
                <w:color w:val="000000"/>
                <w:lang w:eastAsia="en-GB"/>
              </w:rPr>
            </w:pPr>
            <w:r w:rsidRPr="002F4265">
              <w:rPr>
                <w:bCs/>
                <w:color w:val="000000"/>
                <w:lang w:eastAsia="en-GB"/>
              </w:rPr>
              <w:t>Creative and digital industries</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3D51234" w14:textId="77777777" w:rsidR="00A7544D" w:rsidRPr="00F855B8" w:rsidRDefault="00A7544D" w:rsidP="00A7544D">
            <w:pPr>
              <w:rPr>
                <w:lang w:eastAsia="en-GB"/>
              </w:rPr>
            </w:pPr>
            <w:r w:rsidRPr="00F855B8">
              <w:rPr>
                <w:lang w:eastAsia="en-GB"/>
              </w:rPr>
              <w:t>£1,880m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50284D99" w14:textId="77777777" w:rsidR="00A7544D" w:rsidRPr="002F4265" w:rsidRDefault="00A7544D" w:rsidP="00A7544D">
            <w:pPr>
              <w:rPr>
                <w:lang w:eastAsia="en-GB"/>
              </w:rPr>
            </w:pPr>
            <w:r w:rsidRPr="002F4265">
              <w:rPr>
                <w:lang w:eastAsia="en-GB"/>
              </w:rPr>
              <w:t>6,000</w:t>
            </w:r>
          </w:p>
        </w:tc>
      </w:tr>
      <w:tr w:rsidR="00A7544D" w:rsidRPr="00AF0D7B" w14:paraId="5E31F0D1"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DBB9785" w14:textId="77777777" w:rsidR="00A7544D" w:rsidRPr="002F4265" w:rsidRDefault="00A7544D" w:rsidP="00A7544D">
            <w:pPr>
              <w:rPr>
                <w:bCs/>
                <w:color w:val="000000"/>
                <w:lang w:eastAsia="en-GB"/>
              </w:rPr>
            </w:pPr>
            <w:r w:rsidRPr="002F4265">
              <w:rPr>
                <w:bCs/>
                <w:color w:val="000000"/>
                <w:lang w:eastAsia="en-GB"/>
              </w:rPr>
              <w:t xml:space="preserve">Hospitality, </w:t>
            </w:r>
            <w:proofErr w:type="gramStart"/>
            <w:r w:rsidRPr="002F4265">
              <w:rPr>
                <w:bCs/>
                <w:color w:val="000000"/>
                <w:lang w:eastAsia="en-GB"/>
              </w:rPr>
              <w:t>tourism</w:t>
            </w:r>
            <w:proofErr w:type="gramEnd"/>
            <w:r w:rsidRPr="002F4265">
              <w:rPr>
                <w:bCs/>
                <w:color w:val="000000"/>
                <w:lang w:eastAsia="en-GB"/>
              </w:rPr>
              <w:t xml:space="preserve"> and sport</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B0BAAF" w14:textId="77777777" w:rsidR="00A7544D" w:rsidRPr="00F855B8" w:rsidRDefault="00A7544D" w:rsidP="00A7544D">
            <w:pPr>
              <w:rPr>
                <w:lang w:eastAsia="en-GB"/>
              </w:rPr>
            </w:pPr>
            <w:r w:rsidRPr="00F855B8">
              <w:rPr>
                <w:lang w:eastAsia="en-GB"/>
              </w:rPr>
              <w:t>£580m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26F69EAC" w14:textId="77777777" w:rsidR="00A7544D" w:rsidRPr="002F4265" w:rsidRDefault="00A7544D" w:rsidP="00A7544D">
            <w:pPr>
              <w:rPr>
                <w:lang w:eastAsia="en-GB"/>
              </w:rPr>
            </w:pPr>
            <w:r w:rsidRPr="002F4265">
              <w:rPr>
                <w:lang w:eastAsia="en-GB"/>
              </w:rPr>
              <w:t>4,000</w:t>
            </w:r>
          </w:p>
        </w:tc>
      </w:tr>
      <w:tr w:rsidR="00A7544D" w:rsidRPr="00AF0D7B" w14:paraId="75456AA1"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CF074F1" w14:textId="77777777" w:rsidR="00A7544D" w:rsidRPr="002F4265" w:rsidRDefault="00A7544D" w:rsidP="00A7544D">
            <w:pPr>
              <w:rPr>
                <w:bCs/>
                <w:color w:val="000000"/>
                <w:lang w:eastAsia="en-GB"/>
              </w:rPr>
            </w:pPr>
            <w:r w:rsidRPr="002F4265">
              <w:rPr>
                <w:bCs/>
                <w:color w:val="000000"/>
                <w:lang w:eastAsia="en-GB"/>
              </w:rPr>
              <w:t>Education</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C3146B" w14:textId="77777777" w:rsidR="00A7544D" w:rsidRPr="00F855B8" w:rsidRDefault="00A7544D" w:rsidP="00A7544D">
            <w:pPr>
              <w:rPr>
                <w:lang w:eastAsia="en-GB"/>
              </w:rPr>
            </w:pPr>
            <w:r w:rsidRPr="00F855B8">
              <w:rPr>
                <w:lang w:eastAsia="en-GB"/>
              </w:rPr>
              <w:t>£410m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29F34907" w14:textId="77777777" w:rsidR="00A7544D" w:rsidRPr="002F4265" w:rsidRDefault="00A7544D" w:rsidP="00A7544D">
            <w:pPr>
              <w:rPr>
                <w:lang w:eastAsia="en-GB"/>
              </w:rPr>
            </w:pPr>
            <w:r w:rsidRPr="002F4265">
              <w:rPr>
                <w:lang w:eastAsia="en-GB"/>
              </w:rPr>
              <w:t>12,000</w:t>
            </w:r>
          </w:p>
        </w:tc>
      </w:tr>
      <w:tr w:rsidR="00A7544D" w:rsidRPr="00AF0D7B" w14:paraId="572D1504" w14:textId="77777777" w:rsidTr="0013153A">
        <w:trPr>
          <w:trHeight w:val="284"/>
        </w:trPr>
        <w:tc>
          <w:tcPr>
            <w:tcW w:w="3828"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318A192" w14:textId="77777777" w:rsidR="00A7544D" w:rsidRPr="002F4265" w:rsidRDefault="00A7544D" w:rsidP="00A7544D">
            <w:pPr>
              <w:rPr>
                <w:bCs/>
                <w:color w:val="000000"/>
                <w:lang w:eastAsia="en-GB"/>
              </w:rPr>
            </w:pPr>
            <w:r w:rsidRPr="002F4265">
              <w:rPr>
                <w:bCs/>
                <w:color w:val="000000"/>
                <w:lang w:eastAsia="en-GB"/>
              </w:rPr>
              <w:t>Health and social care</w:t>
            </w:r>
          </w:p>
        </w:tc>
        <w:tc>
          <w:tcPr>
            <w:tcW w:w="318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2FB13E9" w14:textId="77777777" w:rsidR="00A7544D" w:rsidRPr="00F855B8" w:rsidRDefault="00A7544D" w:rsidP="00A7544D">
            <w:pPr>
              <w:rPr>
                <w:lang w:eastAsia="en-GB"/>
              </w:rPr>
            </w:pPr>
            <w:r w:rsidRPr="00F855B8">
              <w:rPr>
                <w:lang w:eastAsia="en-GB"/>
              </w:rPr>
              <w:t>£960m</w:t>
            </w:r>
          </w:p>
        </w:tc>
        <w:tc>
          <w:tcPr>
            <w:tcW w:w="3185" w:type="dxa"/>
            <w:tcBorders>
              <w:top w:val="single" w:sz="4" w:space="0" w:color="auto"/>
              <w:left w:val="nil"/>
              <w:bottom w:val="single" w:sz="4" w:space="0" w:color="auto"/>
              <w:right w:val="single" w:sz="12" w:space="0" w:color="auto"/>
            </w:tcBorders>
            <w:shd w:val="clear" w:color="auto" w:fill="auto"/>
            <w:noWrap/>
            <w:vAlign w:val="center"/>
          </w:tcPr>
          <w:p w14:paraId="5537C27D" w14:textId="77777777" w:rsidR="00A7544D" w:rsidRPr="002F4265" w:rsidRDefault="00A7544D" w:rsidP="00A7544D">
            <w:pPr>
              <w:rPr>
                <w:lang w:eastAsia="en-GB"/>
              </w:rPr>
            </w:pPr>
            <w:r w:rsidRPr="002F4265">
              <w:rPr>
                <w:lang w:eastAsia="en-GB"/>
              </w:rPr>
              <w:t>9,000</w:t>
            </w:r>
          </w:p>
        </w:tc>
      </w:tr>
      <w:tr w:rsidR="00A7544D" w:rsidRPr="00AF0D7B" w14:paraId="73A70919" w14:textId="77777777" w:rsidTr="0013153A">
        <w:trPr>
          <w:trHeight w:val="284"/>
        </w:trPr>
        <w:tc>
          <w:tcPr>
            <w:tcW w:w="3828"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778C31F6" w14:textId="77777777" w:rsidR="00A7544D" w:rsidRPr="002F4265" w:rsidRDefault="00A7544D" w:rsidP="00A7544D">
            <w:pPr>
              <w:rPr>
                <w:bCs/>
                <w:color w:val="000000"/>
                <w:lang w:eastAsia="en-GB"/>
              </w:rPr>
            </w:pPr>
            <w:r w:rsidRPr="002F4265">
              <w:rPr>
                <w:bCs/>
                <w:color w:val="000000"/>
                <w:lang w:eastAsia="en-GB"/>
              </w:rPr>
              <w:t>Public administration</w:t>
            </w:r>
          </w:p>
        </w:tc>
        <w:tc>
          <w:tcPr>
            <w:tcW w:w="318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8659FB4" w14:textId="77777777" w:rsidR="00A7544D" w:rsidRPr="00F855B8" w:rsidRDefault="00A7544D" w:rsidP="00A7544D">
            <w:pPr>
              <w:rPr>
                <w:lang w:eastAsia="en-GB"/>
              </w:rPr>
            </w:pPr>
            <w:r w:rsidRPr="00F855B8">
              <w:rPr>
                <w:lang w:eastAsia="en-GB"/>
              </w:rPr>
              <w:t>£400m</w:t>
            </w:r>
          </w:p>
        </w:tc>
        <w:tc>
          <w:tcPr>
            <w:tcW w:w="3185" w:type="dxa"/>
            <w:tcBorders>
              <w:top w:val="single" w:sz="4" w:space="0" w:color="auto"/>
              <w:left w:val="nil"/>
              <w:bottom w:val="single" w:sz="12" w:space="0" w:color="auto"/>
              <w:right w:val="single" w:sz="12" w:space="0" w:color="auto"/>
            </w:tcBorders>
            <w:shd w:val="clear" w:color="auto" w:fill="auto"/>
            <w:noWrap/>
            <w:vAlign w:val="center"/>
          </w:tcPr>
          <w:p w14:paraId="4DACA79D" w14:textId="77777777" w:rsidR="00A7544D" w:rsidRPr="002F4265" w:rsidRDefault="00A7544D" w:rsidP="00A7544D">
            <w:pPr>
              <w:rPr>
                <w:lang w:eastAsia="en-GB"/>
              </w:rPr>
            </w:pPr>
            <w:r w:rsidRPr="002F4265">
              <w:rPr>
                <w:lang w:eastAsia="en-GB"/>
              </w:rPr>
              <w:t>5,000 fewer jobs lost</w:t>
            </w:r>
          </w:p>
        </w:tc>
      </w:tr>
    </w:tbl>
    <w:p w14:paraId="6A1506D4" w14:textId="4F402D85" w:rsidR="00A7544D" w:rsidRPr="00AF0D7B" w:rsidRDefault="00A7544D" w:rsidP="00A7544D">
      <w:pPr>
        <w:rPr>
          <w:i/>
        </w:rPr>
      </w:pPr>
    </w:p>
    <w:p w14:paraId="59D22C76" w14:textId="77777777" w:rsidR="00D042C5" w:rsidRPr="00394FF1" w:rsidRDefault="00D042C5" w:rsidP="00D042C5">
      <w:pPr>
        <w:pStyle w:val="Heading3"/>
      </w:pPr>
      <w:r w:rsidRPr="00394FF1">
        <w:t>Accelerated growth in employment</w:t>
      </w:r>
    </w:p>
    <w:p w14:paraId="6F008C6C" w14:textId="78A79A7B" w:rsidR="00D042C5" w:rsidRPr="00AF0D7B" w:rsidRDefault="00D042C5" w:rsidP="00D042C5">
      <w:r>
        <w:t>4.13.</w:t>
      </w:r>
      <w:r>
        <w:tab/>
      </w:r>
      <w:r w:rsidRPr="00984EC7">
        <w:rPr>
          <w:b/>
          <w:bCs/>
        </w:rPr>
        <w:t>The number of jobs in GM is forecast to rise by 260,000 between 2017 and 2037 in the AGS-2019, equivalent to 77,100 more jobs than in the baseline forecast</w:t>
      </w:r>
      <w:r w:rsidRPr="00AF0D7B">
        <w:t>. This represents an average annual growth rate of 0.</w:t>
      </w:r>
      <w:r>
        <w:t>8%,</w:t>
      </w:r>
      <w:r w:rsidRPr="00AF0D7B">
        <w:t xml:space="preserve"> higher than the </w:t>
      </w:r>
      <w:r>
        <w:t xml:space="preserve">GM </w:t>
      </w:r>
      <w:r w:rsidRPr="00AF0D7B">
        <w:t>baseline (</w:t>
      </w:r>
      <w:r>
        <w:t>0.6</w:t>
      </w:r>
      <w:r w:rsidRPr="00AF0D7B">
        <w:t>%) and the UK</w:t>
      </w:r>
      <w:r>
        <w:t xml:space="preserve"> baseline (0.4%)</w:t>
      </w:r>
      <w:r w:rsidRPr="00AF0D7B">
        <w:t>.</w:t>
      </w:r>
    </w:p>
    <w:p w14:paraId="3F37E10C" w14:textId="77777777" w:rsidR="00005BF1" w:rsidRPr="00005BF1" w:rsidRDefault="00D042C5" w:rsidP="00005BF1">
      <w:pPr>
        <w:autoSpaceDE w:val="0"/>
        <w:autoSpaceDN w:val="0"/>
        <w:adjustRightInd w:val="0"/>
        <w:spacing w:after="240"/>
        <w:rPr>
          <w:i/>
          <w:iCs/>
        </w:rPr>
      </w:pPr>
      <w:r>
        <w:t>4.14.</w:t>
      </w:r>
      <w:r>
        <w:tab/>
      </w:r>
      <w:r w:rsidRPr="00AF0D7B">
        <w:t xml:space="preserve">Figure </w:t>
      </w:r>
      <w:r w:rsidR="00C029F7">
        <w:t>2</w:t>
      </w:r>
      <w:r w:rsidRPr="00AF0D7B">
        <w:t xml:space="preserve">: </w:t>
      </w:r>
      <w:r>
        <w:t>Total e</w:t>
      </w:r>
      <w:r w:rsidRPr="00AF0D7B">
        <w:t>mployment in Greater Manchester, 201</w:t>
      </w:r>
      <w:r>
        <w:t>7</w:t>
      </w:r>
      <w:r w:rsidRPr="00AF0D7B">
        <w:t xml:space="preserve"> to 203</w:t>
      </w:r>
      <w:r>
        <w:t>7</w:t>
      </w:r>
      <w:r w:rsidR="00005BF1">
        <w:t xml:space="preserve">. </w:t>
      </w:r>
      <w:r w:rsidR="00005BF1" w:rsidRPr="00005BF1">
        <w:rPr>
          <w:i/>
          <w:iCs/>
        </w:rPr>
        <w:t>Source: Oxford Economics GMFM-2019. AGS-2019.</w:t>
      </w:r>
    </w:p>
    <w:p w14:paraId="25D66764" w14:textId="5DC14E5E" w:rsidR="00D042C5" w:rsidRPr="00AF0D7B" w:rsidRDefault="00D042C5" w:rsidP="00D042C5"/>
    <w:p w14:paraId="2D492991" w14:textId="77777777" w:rsidR="00D042C5" w:rsidRPr="00AF0D7B" w:rsidRDefault="00D042C5" w:rsidP="00D042C5">
      <w:pPr>
        <w:rPr>
          <w:rFonts w:cs="Arial"/>
          <w:sz w:val="18"/>
          <w:szCs w:val="18"/>
        </w:rPr>
      </w:pPr>
      <w:r>
        <w:rPr>
          <w:noProof/>
          <w:lang w:eastAsia="en-GB"/>
        </w:rPr>
        <w:lastRenderedPageBreak/>
        <w:drawing>
          <wp:inline distT="0" distB="0" distL="0" distR="0" wp14:anchorId="3EE62B14" wp14:editId="18CDC3CD">
            <wp:extent cx="5731510" cy="2900045"/>
            <wp:effectExtent l="0" t="0" r="0" b="0"/>
            <wp:docPr id="1" name="Chart 1" descr="Chart showing how employment forecasts differ between the AGS-2019 and the GMFM-2019. The chart starts from 2005 for the GMFM baseline, with a line depicting the AGS scenario splitting off at 2017 that then travels up to 2037 at a steeper gradient than the GMFM.">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2E39E5" w14:textId="2AEC10F9" w:rsidR="00D042C5" w:rsidRPr="00AF0D7B" w:rsidRDefault="00DA1512" w:rsidP="00D042C5">
      <w:r w:rsidRPr="00DA1512">
        <w:rPr>
          <w:bCs/>
        </w:rPr>
        <w:t>4.15.</w:t>
      </w:r>
      <w:r>
        <w:rPr>
          <w:b/>
        </w:rPr>
        <w:tab/>
      </w:r>
      <w:r w:rsidR="00D042C5" w:rsidRPr="00AF0D7B">
        <w:rPr>
          <w:b/>
        </w:rPr>
        <w:t>Job creation is concentrated in the services sector</w:t>
      </w:r>
      <w:r w:rsidR="00D042C5" w:rsidRPr="00AF0D7B">
        <w:t xml:space="preserve"> – </w:t>
      </w:r>
      <w:proofErr w:type="gramStart"/>
      <w:r w:rsidR="00D042C5" w:rsidRPr="00AF0D7B">
        <w:t>in particular within</w:t>
      </w:r>
      <w:proofErr w:type="gramEnd"/>
      <w:r w:rsidR="00D042C5" w:rsidRPr="00AF0D7B">
        <w:t xml:space="preserve"> Business, Financial, and Professional Services – forecast in AGS-201</w:t>
      </w:r>
      <w:r w:rsidR="00D042C5">
        <w:t>9</w:t>
      </w:r>
      <w:r w:rsidR="00D042C5" w:rsidRPr="00AF0D7B">
        <w:t xml:space="preserve"> to account for</w:t>
      </w:r>
      <w:r w:rsidR="00D042C5">
        <w:t xml:space="preserve"> almost</w:t>
      </w:r>
      <w:r w:rsidR="00D042C5" w:rsidRPr="00AF0D7B">
        <w:t xml:space="preserve"> </w:t>
      </w:r>
      <w:r w:rsidR="00D042C5">
        <w:t xml:space="preserve">40% </w:t>
      </w:r>
      <w:r w:rsidR="00D042C5" w:rsidRPr="00AF0D7B">
        <w:t>of net additional job creation in GM in the period to 203</w:t>
      </w:r>
      <w:r w:rsidR="00D042C5">
        <w:t>7</w:t>
      </w:r>
      <w:r w:rsidR="00D042C5" w:rsidRPr="00AF0D7B">
        <w:t xml:space="preserve"> (totalling</w:t>
      </w:r>
      <w:r w:rsidR="00D042C5">
        <w:t xml:space="preserve"> an additional 100,0</w:t>
      </w:r>
      <w:r w:rsidR="00D042C5" w:rsidRPr="00AF0D7B">
        <w:t>00</w:t>
      </w:r>
      <w:r w:rsidR="00D042C5">
        <w:t xml:space="preserve"> jobs</w:t>
      </w:r>
      <w:r w:rsidR="00D042C5" w:rsidRPr="00AF0D7B">
        <w:t xml:space="preserve">). </w:t>
      </w:r>
    </w:p>
    <w:p w14:paraId="5D6FDCBB" w14:textId="2ACCDFCA" w:rsidR="00D042C5" w:rsidRDefault="00DA1512" w:rsidP="00D042C5">
      <w:r w:rsidRPr="00DA1512">
        <w:rPr>
          <w:bCs/>
        </w:rPr>
        <w:t>4.16.</w:t>
      </w:r>
      <w:r>
        <w:rPr>
          <w:b/>
        </w:rPr>
        <w:tab/>
      </w:r>
      <w:r w:rsidR="00D042C5" w:rsidRPr="00AF0D7B">
        <w:rPr>
          <w:b/>
        </w:rPr>
        <w:t>Within Business, Financial, and Professional Services</w:t>
      </w:r>
      <w:r w:rsidR="00D042C5" w:rsidRPr="00AF0D7B" w:rsidDel="00D508AB">
        <w:t xml:space="preserve"> </w:t>
      </w:r>
      <w:r w:rsidR="00D042C5" w:rsidRPr="00AF0D7B">
        <w:t>sub-sectors,</w:t>
      </w:r>
      <w:r w:rsidR="00D042C5">
        <w:t xml:space="preserve"> just over 41,000</w:t>
      </w:r>
      <w:r w:rsidR="00D042C5" w:rsidRPr="00AF0D7B">
        <w:t xml:space="preserve"> of these additional jobs are forecast to be created in Professional Servi</w:t>
      </w:r>
      <w:r w:rsidR="00D042C5">
        <w:t>ces (including Legal &amp; Accounting activities</w:t>
      </w:r>
      <w:r w:rsidR="00D042C5" w:rsidRPr="00AF0D7B">
        <w:t>,</w:t>
      </w:r>
      <w:r w:rsidR="00D042C5">
        <w:t xml:space="preserve"> Management Consultancy activities and Real Estate activities</w:t>
      </w:r>
      <w:r w:rsidR="00D042C5" w:rsidRPr="00AF0D7B">
        <w:t xml:space="preserve">) and </w:t>
      </w:r>
      <w:r w:rsidR="00D042C5">
        <w:t>37</w:t>
      </w:r>
      <w:r w:rsidR="00D042C5" w:rsidRPr="00AF0D7B">
        <w:t>,000 within Business Services</w:t>
      </w:r>
      <w:r w:rsidR="00D042C5">
        <w:t>.</w:t>
      </w:r>
    </w:p>
    <w:p w14:paraId="2773EA45" w14:textId="1F9761DB" w:rsidR="00D042C5" w:rsidRDefault="00DA1512" w:rsidP="00D042C5">
      <w:r>
        <w:rPr>
          <w:bCs/>
        </w:rPr>
        <w:t>4.17.</w:t>
      </w:r>
      <w:r>
        <w:rPr>
          <w:bCs/>
        </w:rPr>
        <w:tab/>
      </w:r>
      <w:r w:rsidR="00D042C5">
        <w:rPr>
          <w:b/>
        </w:rPr>
        <w:t>Employment growth is also strong in the AGS within Creative and Digital Industries,</w:t>
      </w:r>
      <w:r w:rsidR="00D042C5">
        <w:t xml:space="preserve"> </w:t>
      </w:r>
      <w:proofErr w:type="gramStart"/>
      <w:r w:rsidR="00D042C5">
        <w:t>in particular within</w:t>
      </w:r>
      <w:proofErr w:type="gramEnd"/>
      <w:r w:rsidR="00D042C5">
        <w:t xml:space="preserve"> Digital Industries, growing at 1.3</w:t>
      </w:r>
      <w:r w:rsidR="00D042C5" w:rsidRPr="00F54A33">
        <w:t>% per annum</w:t>
      </w:r>
      <w:r w:rsidR="00D042C5">
        <w:t xml:space="preserve">, a net increase of 13,000 jobs between 2017 and 2037; and in </w:t>
      </w:r>
      <w:r w:rsidR="00D042C5">
        <w:rPr>
          <w:b/>
        </w:rPr>
        <w:t>Creative</w:t>
      </w:r>
      <w:r w:rsidR="00D042C5" w:rsidRPr="00AF0D7B">
        <w:rPr>
          <w:b/>
        </w:rPr>
        <w:t xml:space="preserve"> Industries,</w:t>
      </w:r>
      <w:r w:rsidR="00D042C5" w:rsidRPr="00AF0D7B">
        <w:t xml:space="preserve"> where the number of jobs is forecast to grow by </w:t>
      </w:r>
      <w:r w:rsidR="00D042C5">
        <w:t>6,000 up to 2037 (0.6</w:t>
      </w:r>
      <w:r w:rsidR="00D042C5" w:rsidRPr="00AF0D7B">
        <w:t>% per year</w:t>
      </w:r>
      <w:r w:rsidR="00D042C5">
        <w:t>)</w:t>
      </w:r>
      <w:r w:rsidR="00D042C5" w:rsidRPr="00F54A33">
        <w:t xml:space="preserve">.  </w:t>
      </w:r>
    </w:p>
    <w:p w14:paraId="24EF27F8" w14:textId="52EEBF14" w:rsidR="00D042C5" w:rsidRPr="00AF0D7B" w:rsidRDefault="00DA1512" w:rsidP="00D042C5">
      <w:r>
        <w:rPr>
          <w:bCs/>
        </w:rPr>
        <w:t>4.18.</w:t>
      </w:r>
      <w:r>
        <w:rPr>
          <w:bCs/>
        </w:rPr>
        <w:tab/>
      </w:r>
      <w:r w:rsidR="00D042C5">
        <w:rPr>
          <w:b/>
        </w:rPr>
        <w:t xml:space="preserve">Construction is also forecast to see strong employment growth in the AGS, </w:t>
      </w:r>
      <w:r w:rsidR="00D042C5" w:rsidRPr="00F54A33">
        <w:t xml:space="preserve">increasing </w:t>
      </w:r>
      <w:r w:rsidR="00D042C5">
        <w:t>by 29,000</w:t>
      </w:r>
      <w:r w:rsidR="00D042C5" w:rsidRPr="00AF0D7B">
        <w:t xml:space="preserve"> </w:t>
      </w:r>
      <w:r w:rsidR="00D042C5">
        <w:t xml:space="preserve">from 2017 to 2037 </w:t>
      </w:r>
      <w:r w:rsidR="00D042C5" w:rsidRPr="00AF0D7B">
        <w:t>(</w:t>
      </w:r>
      <w:r w:rsidR="00D042C5">
        <w:t>at 1.5</w:t>
      </w:r>
      <w:r w:rsidR="00D042C5" w:rsidRPr="00AF0D7B">
        <w:t>% per year)</w:t>
      </w:r>
      <w:r w:rsidR="00D042C5">
        <w:t>.</w:t>
      </w:r>
    </w:p>
    <w:p w14:paraId="05DD12D7" w14:textId="3941CAC6" w:rsidR="00D042C5" w:rsidRPr="00AF0D7B" w:rsidRDefault="00DA1512" w:rsidP="00D042C5">
      <w:r>
        <w:t>4.19.</w:t>
      </w:r>
      <w:r>
        <w:tab/>
      </w:r>
      <w:r w:rsidR="00D042C5" w:rsidRPr="00AF0D7B">
        <w:t xml:space="preserve">The outlook is mixed elsewhere in the private sector. </w:t>
      </w:r>
      <w:r w:rsidR="00D042C5" w:rsidRPr="00AF0D7B">
        <w:rPr>
          <w:b/>
        </w:rPr>
        <w:t xml:space="preserve">Wholesale &amp; Retail Trade is currently </w:t>
      </w:r>
      <w:r w:rsidR="00D042C5">
        <w:rPr>
          <w:b/>
        </w:rPr>
        <w:t xml:space="preserve">one of </w:t>
      </w:r>
      <w:r w:rsidR="00D042C5" w:rsidRPr="00AF0D7B">
        <w:rPr>
          <w:b/>
        </w:rPr>
        <w:t>the largest employer</w:t>
      </w:r>
      <w:r w:rsidR="00D042C5">
        <w:rPr>
          <w:b/>
        </w:rPr>
        <w:t>s</w:t>
      </w:r>
      <w:r w:rsidR="00D042C5" w:rsidRPr="00AF0D7B">
        <w:rPr>
          <w:b/>
        </w:rPr>
        <w:t xml:space="preserve"> in GM, and this is expected to remain the case</w:t>
      </w:r>
      <w:r w:rsidR="00D042C5" w:rsidRPr="00AF0D7B">
        <w:t xml:space="preserve">, with an additional </w:t>
      </w:r>
      <w:r w:rsidR="00D042C5">
        <w:t>37,000</w:t>
      </w:r>
      <w:r w:rsidR="00D042C5" w:rsidRPr="00AF0D7B">
        <w:t xml:space="preserve"> jobs by 203</w:t>
      </w:r>
      <w:r w:rsidR="00D042C5">
        <w:t>7</w:t>
      </w:r>
      <w:r w:rsidR="00D042C5" w:rsidRPr="00AF0D7B">
        <w:t xml:space="preserve">. But the pace of job creation in this sector is </w:t>
      </w:r>
      <w:r w:rsidR="00D042C5">
        <w:t xml:space="preserve">slower than that across </w:t>
      </w:r>
      <w:r w:rsidR="00D042C5" w:rsidRPr="00AF0D7B">
        <w:t>the total economy</w:t>
      </w:r>
      <w:r w:rsidR="00D042C5">
        <w:t>, at 0.6% per year under the AGS</w:t>
      </w:r>
      <w:r w:rsidR="00D042C5" w:rsidRPr="00AF0D7B">
        <w:t xml:space="preserve">. </w:t>
      </w:r>
    </w:p>
    <w:p w14:paraId="0D2868FF" w14:textId="6532F253" w:rsidR="00D042C5" w:rsidRPr="00AF0D7B" w:rsidRDefault="00DA1512" w:rsidP="00D042C5">
      <w:r>
        <w:rPr>
          <w:bCs/>
        </w:rPr>
        <w:lastRenderedPageBreak/>
        <w:t>4.20.</w:t>
      </w:r>
      <w:r>
        <w:rPr>
          <w:bCs/>
        </w:rPr>
        <w:tab/>
      </w:r>
      <w:r w:rsidR="00D042C5" w:rsidRPr="00AF0D7B">
        <w:rPr>
          <w:b/>
        </w:rPr>
        <w:t>The employment outlook is weaker for Manufacturing.</w:t>
      </w:r>
      <w:r w:rsidR="00D042C5" w:rsidRPr="00AF0D7B">
        <w:t xml:space="preserve"> The number of jobs in the sector is forecast to fall by</w:t>
      </w:r>
      <w:r w:rsidR="00D042C5">
        <w:t xml:space="preserve"> 21,000</w:t>
      </w:r>
      <w:r w:rsidR="00D042C5" w:rsidRPr="00AF0D7B">
        <w:t xml:space="preserve"> </w:t>
      </w:r>
      <w:r w:rsidR="00D042C5">
        <w:t xml:space="preserve">(0.9% decline per year) </w:t>
      </w:r>
      <w:r w:rsidR="00D042C5" w:rsidRPr="00AF0D7B">
        <w:t>between 201</w:t>
      </w:r>
      <w:r w:rsidR="00D042C5">
        <w:t>7</w:t>
      </w:r>
      <w:r w:rsidR="00D042C5" w:rsidRPr="00AF0D7B">
        <w:t xml:space="preserve"> and 203</w:t>
      </w:r>
      <w:r w:rsidR="00D042C5">
        <w:t>7</w:t>
      </w:r>
      <w:r w:rsidR="00D042C5" w:rsidRPr="00AF0D7B">
        <w:t xml:space="preserve"> in AGS-201</w:t>
      </w:r>
      <w:r w:rsidR="00D042C5">
        <w:t>9</w:t>
      </w:r>
      <w:r w:rsidR="00D042C5" w:rsidRPr="00AF0D7B">
        <w:t xml:space="preserve">, as the adoption of new technologies means rising activity can be accommodated by fewer workers. </w:t>
      </w:r>
      <w:r w:rsidR="00D042C5">
        <w:t xml:space="preserve">However, AGS-2019 predicts a slightly lower level of job losses in Manufacturing compared to the GMFM-2019 baseline. </w:t>
      </w:r>
    </w:p>
    <w:p w14:paraId="46CB55E7" w14:textId="2AACBF36" w:rsidR="00A7544D" w:rsidRPr="00D042C5" w:rsidRDefault="00DA1512" w:rsidP="00D042C5">
      <w:pPr>
        <w:rPr>
          <w:iCs/>
        </w:rPr>
      </w:pPr>
      <w:r>
        <w:rPr>
          <w:bCs/>
        </w:rPr>
        <w:t>4.21.</w:t>
      </w:r>
      <w:r>
        <w:rPr>
          <w:bCs/>
        </w:rPr>
        <w:tab/>
      </w:r>
      <w:r w:rsidR="00D042C5" w:rsidRPr="00AF0D7B">
        <w:rPr>
          <w:b/>
        </w:rPr>
        <w:t>Public sector employment is forecast to rise in the AGS-201</w:t>
      </w:r>
      <w:r w:rsidR="00D042C5">
        <w:rPr>
          <w:b/>
        </w:rPr>
        <w:t>9</w:t>
      </w:r>
      <w:r w:rsidR="00D042C5" w:rsidRPr="00AF0D7B">
        <w:rPr>
          <w:b/>
        </w:rPr>
        <w:t xml:space="preserve"> scenario, but with job creation slower than the total economy average.</w:t>
      </w:r>
      <w:r w:rsidR="00D042C5" w:rsidRPr="00AF0D7B">
        <w:t xml:space="preserve"> New jobs here will be concentrated in Health &amp; Social Care sector, accounting for </w:t>
      </w:r>
      <w:r w:rsidR="00D042C5">
        <w:t>over 37,000</w:t>
      </w:r>
      <w:r w:rsidR="00D042C5" w:rsidRPr="00AF0D7B">
        <w:t xml:space="preserve"> more jobs by 203</w:t>
      </w:r>
      <w:r w:rsidR="00D042C5">
        <w:t>7</w:t>
      </w:r>
      <w:r w:rsidR="00D042C5" w:rsidRPr="00AF0D7B">
        <w:t xml:space="preserve"> – in contrast to</w:t>
      </w:r>
      <w:r w:rsidR="00D042C5">
        <w:t xml:space="preserve"> almost no job growth in Public Administration, but modest growth in Education with an extra 13,000 jobs by 2037.</w:t>
      </w:r>
    </w:p>
    <w:p w14:paraId="6075686C" w14:textId="77777777" w:rsidR="00DA1512" w:rsidRPr="00C62BB8" w:rsidRDefault="00DA1512" w:rsidP="00DA1512">
      <w:pPr>
        <w:pStyle w:val="Heading3"/>
      </w:pPr>
      <w:r w:rsidRPr="00C62BB8">
        <w:t>Population and resident employment</w:t>
      </w:r>
    </w:p>
    <w:p w14:paraId="1333D7E5" w14:textId="77777777" w:rsidR="00DA1512" w:rsidRPr="00AF0D7B" w:rsidRDefault="00DA1512" w:rsidP="00DA1512">
      <w:pPr>
        <w:pStyle w:val="Heading4"/>
      </w:pPr>
      <w:r w:rsidRPr="00AF0D7B">
        <w:t>Population projections</w:t>
      </w:r>
    </w:p>
    <w:p w14:paraId="46EE2BCE" w14:textId="64D5B93F" w:rsidR="00DA1512" w:rsidRPr="004F6C57" w:rsidRDefault="00DA1512" w:rsidP="00DA1512">
      <w:r>
        <w:t>4.22.</w:t>
      </w:r>
      <w:r>
        <w:tab/>
      </w:r>
      <w:r w:rsidRPr="00DA1512">
        <w:rPr>
          <w:b/>
          <w:bCs/>
        </w:rPr>
        <w:t>The AGS-2019 scenario adopts an economically driven population forecast which is determined by ambitions for economic growth (GVA and employment growth) and an increase in the resident employment rate. The scenario suggests that the total population of GM will rise to over 3 million by 2037, an increase of 296,000 on the 2017 level, and 110,800 more than the baseline GMFM-2019.</w:t>
      </w:r>
      <w:r w:rsidRPr="004F6C57">
        <w:t xml:space="preserve"> The rise in the number of working-age residents, defined a</w:t>
      </w:r>
      <w:r>
        <w:t>s those aged 16 to 64, is 87,000</w:t>
      </w:r>
      <w:r w:rsidRPr="004F6C57">
        <w:t xml:space="preserve"> </w:t>
      </w:r>
      <w:r>
        <w:t>between 2017 and 2037</w:t>
      </w:r>
      <w:r w:rsidRPr="004F6C57">
        <w:t>. Th</w:t>
      </w:r>
      <w:r>
        <w:t>is compares to a rise of 185,000</w:t>
      </w:r>
      <w:r w:rsidRPr="004F6C57">
        <w:t xml:space="preserve"> in the total population, and a </w:t>
      </w:r>
      <w:r>
        <w:t xml:space="preserve">rise of 4,000 </w:t>
      </w:r>
      <w:r w:rsidRPr="004F6C57">
        <w:t xml:space="preserve">in the working-age </w:t>
      </w:r>
      <w:r>
        <w:t>16-to-</w:t>
      </w:r>
      <w:proofErr w:type="gramStart"/>
      <w:r>
        <w:t>64 year old</w:t>
      </w:r>
      <w:proofErr w:type="gramEnd"/>
      <w:r>
        <w:t xml:space="preserve"> </w:t>
      </w:r>
      <w:r w:rsidRPr="004F6C57">
        <w:t>population</w:t>
      </w:r>
      <w:r>
        <w:t>,</w:t>
      </w:r>
      <w:r w:rsidRPr="004F6C57">
        <w:t xml:space="preserve"> under the </w:t>
      </w:r>
      <w:r>
        <w:t xml:space="preserve">GMFM-2019 </w:t>
      </w:r>
      <w:r w:rsidRPr="004F6C57">
        <w:t>baseline forecast.</w:t>
      </w:r>
    </w:p>
    <w:p w14:paraId="3A135FD8" w14:textId="0C27D392" w:rsidR="00DA1512" w:rsidRDefault="00DA1512" w:rsidP="00DA1512">
      <w:r>
        <w:t>4.23.</w:t>
      </w:r>
      <w:r>
        <w:tab/>
      </w:r>
      <w:r w:rsidRPr="00CD767D">
        <w:t>The difference between the baseline and scenario projection is largely explained by the migration assumptions used in each. The baseline forecast incorporates Oxford Economics’ expectations for net migration to Greater Manchester to be negative in the medium-to-long term. The population forecast for the AGS 2019 scenario has positive migration into the medium and longer term, resulting in greater population growth over the entire forecast period.</w:t>
      </w:r>
    </w:p>
    <w:p w14:paraId="55DE247C" w14:textId="19470259" w:rsidR="00DA1512" w:rsidRPr="00AF0D7B" w:rsidRDefault="00DA1512" w:rsidP="00DA1512">
      <w:r>
        <w:t>4.24.</w:t>
      </w:r>
      <w:r>
        <w:tab/>
      </w:r>
      <w:r w:rsidRPr="00AF0D7B">
        <w:t xml:space="preserve">Figure </w:t>
      </w:r>
      <w:r w:rsidR="00C029F7">
        <w:t>3</w:t>
      </w:r>
      <w:r w:rsidRPr="00AF0D7B">
        <w:t xml:space="preserve">: </w:t>
      </w:r>
      <w:r>
        <w:t>Total population in Greater Manchester, 2017 to 2037</w:t>
      </w:r>
    </w:p>
    <w:p w14:paraId="462A7E2A" w14:textId="77777777" w:rsidR="00DA1512" w:rsidRPr="00A56445" w:rsidRDefault="00DA1512" w:rsidP="00DA1512">
      <w:r>
        <w:rPr>
          <w:noProof/>
          <w:lang w:eastAsia="en-GB"/>
        </w:rPr>
        <w:lastRenderedPageBreak/>
        <w:drawing>
          <wp:inline distT="0" distB="0" distL="0" distR="0" wp14:anchorId="42DFD8FE" wp14:editId="77EA072E">
            <wp:extent cx="5731510" cy="2900045"/>
            <wp:effectExtent l="0" t="0" r="0" b="0"/>
            <wp:docPr id="5" name="Chart 5" descr="Chart showing how population forecasts differ between the AGS-2019 and the GMFM-2019. The chart starts from 2005 for the GMFM baseline, with a line depicting the AGS scenario splitting off at 2017 that then travels up to 2037 at a slightly steeper gradient than the GMFM.">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36F848" w14:textId="77777777" w:rsidR="00DA1512" w:rsidRPr="00AF0D7B" w:rsidRDefault="00DA1512" w:rsidP="00DA1512">
      <w:pPr>
        <w:pStyle w:val="Heading4"/>
      </w:pPr>
      <w:r w:rsidRPr="00AF0D7B">
        <w:t>Resident employment</w:t>
      </w:r>
    </w:p>
    <w:p w14:paraId="7B2A4999" w14:textId="65C0DFBB" w:rsidR="00DA1512" w:rsidRPr="00AF0D7B" w:rsidRDefault="00C029F7" w:rsidP="00DA1512">
      <w:r>
        <w:t>4.25.</w:t>
      </w:r>
      <w:r>
        <w:tab/>
      </w:r>
      <w:r w:rsidR="00DA1512" w:rsidRPr="00C029F7">
        <w:rPr>
          <w:b/>
          <w:bCs/>
        </w:rPr>
        <w:t>Employment in Greater Manchester is forecast to rise by 260,100 between 2017 and 2037 under the AGS 2019 scenario – 77,100 more jobs than under the GMFM-2019 baseline forecast</w:t>
      </w:r>
      <w:r w:rsidR="00DA1512" w:rsidRPr="00AF0D7B">
        <w:t xml:space="preserve">. To understand the implications of this scenario on </w:t>
      </w:r>
      <w:r w:rsidR="00DA1512">
        <w:t>GM’s</w:t>
      </w:r>
      <w:r w:rsidR="00DA1512" w:rsidRPr="00AF0D7B">
        <w:t xml:space="preserve"> residents, it is necessary to </w:t>
      </w:r>
      <w:r w:rsidR="00DA1512">
        <w:t>reconcile this additional increase in employment with the population forecast in this scenario, by assessing</w:t>
      </w:r>
      <w:r w:rsidR="00DA1512" w:rsidRPr="00AF0D7B">
        <w:t xml:space="preserve"> who might fill these additional jobs, and what the associated impact will be on the resident employment rate and unemployment. </w:t>
      </w:r>
    </w:p>
    <w:p w14:paraId="205670D7" w14:textId="237FBCE1" w:rsidR="00DA1512" w:rsidRPr="00AF0D7B" w:rsidRDefault="00C029F7" w:rsidP="00DA1512">
      <w:r>
        <w:t>4.26.</w:t>
      </w:r>
      <w:r>
        <w:tab/>
      </w:r>
      <w:r w:rsidR="00DA1512" w:rsidRPr="00AF0D7B">
        <w:t>The first step is to quantify how many additional workers will be required to fill the extra jobs created in GM. The transformation from jobs to workers is necessary as a relatively small proportion of workers</w:t>
      </w:r>
      <w:r w:rsidR="00DA1512">
        <w:t xml:space="preserve"> </w:t>
      </w:r>
      <w:r w:rsidR="00DA1512" w:rsidRPr="00AF0D7B">
        <w:t>hold more than one job</w:t>
      </w:r>
      <w:r w:rsidR="00DA1512">
        <w:t xml:space="preserve">. </w:t>
      </w:r>
      <w:r w:rsidR="00DA1512" w:rsidRPr="00AF0D7B">
        <w:t xml:space="preserve">This means the total number of additional people required to work in Greater Manchester will be lower than the number of additional jobs. </w:t>
      </w:r>
      <w:r w:rsidR="00DA1512" w:rsidRPr="00C029F7">
        <w:rPr>
          <w:b/>
          <w:bCs/>
        </w:rPr>
        <w:t xml:space="preserve">Under the AGS 2019 scenario, the additional 77,100 jobs created in GM above the baseline forecast is equivalent to 74,000 workers. </w:t>
      </w:r>
    </w:p>
    <w:p w14:paraId="2F339E21" w14:textId="5DDCDAF2" w:rsidR="00DA1512" w:rsidRDefault="00C029F7" w:rsidP="00DA1512">
      <w:r>
        <w:t>4.27.</w:t>
      </w:r>
      <w:r>
        <w:tab/>
      </w:r>
      <w:proofErr w:type="gramStart"/>
      <w:r w:rsidR="00DA1512" w:rsidRPr="004F6C57">
        <w:t>The majority of</w:t>
      </w:r>
      <w:proofErr w:type="gramEnd"/>
      <w:r w:rsidR="00DA1512" w:rsidRPr="004F6C57">
        <w:t xml:space="preserve"> the additional people working in GM will also be resident in the area, with the remaining roles filled by people commuting into the city-region. The 2011 Census showed around nine of every 10 jobs in Greater Manchester were held by </w:t>
      </w:r>
      <w:proofErr w:type="gramStart"/>
      <w:r w:rsidR="00DA1512" w:rsidRPr="004F6C57">
        <w:t>local residents</w:t>
      </w:r>
      <w:proofErr w:type="gramEnd"/>
      <w:r w:rsidR="00DA1512" w:rsidRPr="004F6C57">
        <w:t xml:space="preserve">, </w:t>
      </w:r>
      <w:r w:rsidR="00DA1512" w:rsidRPr="00C029F7">
        <w:rPr>
          <w:b/>
          <w:bCs/>
        </w:rPr>
        <w:t>and the AGS 2019 scenario assumes this ratio is maintained</w:t>
      </w:r>
      <w:r w:rsidR="00DA1512" w:rsidRPr="00A56445">
        <w:t xml:space="preserve">. </w:t>
      </w:r>
      <w:r w:rsidR="00DA1512" w:rsidRPr="00742341">
        <w:lastRenderedPageBreak/>
        <w:t>This i</w:t>
      </w:r>
      <w:r w:rsidR="00DA1512" w:rsidRPr="004F6C57">
        <w:t xml:space="preserve">s applied to the number of additional workers in the area, to calculate how many will be residents of GM. </w:t>
      </w:r>
    </w:p>
    <w:p w14:paraId="6A463067" w14:textId="6EEBBE38" w:rsidR="00DA1512" w:rsidRDefault="00C029F7" w:rsidP="00DA1512">
      <w:r>
        <w:t>4.28.</w:t>
      </w:r>
      <w:r>
        <w:tab/>
      </w:r>
      <w:r w:rsidR="00DA1512" w:rsidRPr="004F6C57">
        <w:t>Another feature of the AGS 201</w:t>
      </w:r>
      <w:r w:rsidR="00DA1512">
        <w:t>9</w:t>
      </w:r>
      <w:r w:rsidR="00DA1512" w:rsidRPr="004F6C57">
        <w:t xml:space="preserve"> scenario is that the wider northern region achieves faster growth than anticipated under the baseline scenario. Therefore, residents of GM will also benefit from additional employment opportunities in the wider region, and this again is quantified using information on commuting patterns from the 2011 Census. </w:t>
      </w:r>
    </w:p>
    <w:p w14:paraId="21BBC626" w14:textId="68A71E04" w:rsidR="00DA1512" w:rsidRPr="003B18C0" w:rsidRDefault="00C029F7" w:rsidP="00DA1512">
      <w:r>
        <w:t>4.29.</w:t>
      </w:r>
      <w:r>
        <w:tab/>
      </w:r>
      <w:r w:rsidR="00DA1512" w:rsidRPr="00441765">
        <w:t>AGS 2019</w:t>
      </w:r>
      <w:r w:rsidR="00DA1512">
        <w:t xml:space="preserve"> scenario has also been adjusted to reflect an assumption that the gap between the resident employment rate in GM and the UK average will narrows (but not fully close) by 2037 under the AGS scenario. The AGS projects the GM resident employment rate to</w:t>
      </w:r>
      <w:r w:rsidR="00DA1512" w:rsidRPr="003B18C0">
        <w:t xml:space="preserve"> rise from 72.0% in 2017 to 77.6% in 2037, a slightly larger increase than the baseline forecast (up to 76.8% in 2037) but still behind the UK average resident employment rate of 78.6% in 2037. </w:t>
      </w:r>
    </w:p>
    <w:p w14:paraId="3BAD5468" w14:textId="04A366B7" w:rsidR="00DA1512" w:rsidRPr="002A41BA" w:rsidRDefault="00C029F7" w:rsidP="00DA1512">
      <w:r>
        <w:t>4.30.</w:t>
      </w:r>
      <w:r>
        <w:tab/>
      </w:r>
      <w:r w:rsidR="00DA1512" w:rsidRPr="00C029F7">
        <w:rPr>
          <w:b/>
          <w:bCs/>
        </w:rPr>
        <w:t>Bringing these strands together results in an additional 80,300 Greater Manchester residents in employment in 2037 under the AGS 2019 scenario, compared with the baseline forecast. This equates to a total of 1.56 million GM residents in employment by 2037.</w:t>
      </w:r>
      <w:r w:rsidR="00DA1512" w:rsidRPr="00742341">
        <w:t xml:space="preserve">  </w:t>
      </w:r>
      <w:r w:rsidR="00DA1512" w:rsidRPr="002A41BA">
        <w:t>Formerly non-employed working-age residents will account for the majority of the additional 80,300 Greater Manchester residents</w:t>
      </w:r>
      <w:r w:rsidR="00DA1512">
        <w:t xml:space="preserve"> employed</w:t>
      </w:r>
      <w:r w:rsidR="00DA1512" w:rsidRPr="002A41BA">
        <w:t xml:space="preserve"> in 2037. These people may previously have been unemployed or economically inactive. </w:t>
      </w:r>
    </w:p>
    <w:p w14:paraId="038BE0E4" w14:textId="44F5CA0F" w:rsidR="00DA1512" w:rsidRDefault="00C029F7" w:rsidP="00DA1512">
      <w:r>
        <w:t>4.31.</w:t>
      </w:r>
      <w:r>
        <w:tab/>
      </w:r>
      <w:r w:rsidR="00DA1512" w:rsidRPr="00C029F7">
        <w:rPr>
          <w:b/>
          <w:bCs/>
        </w:rPr>
        <w:t>The assumptions adopted under the AGS 2019 scenario are that 15% of the additional resident workers will be residents who were previously unemployed, and 75% will be residents aged 16-to-64 who were neither employed or registered unemployed (</w:t>
      </w:r>
      <w:proofErr w:type="gramStart"/>
      <w:r w:rsidR="00DA1512" w:rsidRPr="00C029F7">
        <w:rPr>
          <w:b/>
          <w:bCs/>
        </w:rPr>
        <w:t>i.e.</w:t>
      </w:r>
      <w:proofErr w:type="gramEnd"/>
      <w:r w:rsidR="00DA1512" w:rsidRPr="00C029F7">
        <w:rPr>
          <w:b/>
          <w:bCs/>
        </w:rPr>
        <w:t xml:space="preserve"> economically inactive working age residents, such as full-time students, those looking after family/home, those who are temporarily or long-term sick, those who have retired early, and the long-term unemployed).</w:t>
      </w:r>
      <w:r w:rsidR="00DA1512" w:rsidRPr="004F6C57">
        <w:t xml:space="preserve"> </w:t>
      </w:r>
      <w:r w:rsidR="00DA1512">
        <w:t>T</w:t>
      </w:r>
      <w:r w:rsidR="00DA1512" w:rsidRPr="004F6C57">
        <w:t xml:space="preserve">hese proportions recognise there are significantly more people in the second group than the first, and that job creation benefits the economically inactive as well as the unemployed. </w:t>
      </w:r>
    </w:p>
    <w:p w14:paraId="283F4CC4" w14:textId="6AF03913" w:rsidR="00DA1512" w:rsidRPr="004F6C57" w:rsidRDefault="00C029F7" w:rsidP="00DA1512">
      <w:r>
        <w:lastRenderedPageBreak/>
        <w:t>4.32.</w:t>
      </w:r>
      <w:r>
        <w:tab/>
      </w:r>
      <w:r w:rsidR="00DA1512" w:rsidRPr="00C029F7">
        <w:rPr>
          <w:b/>
          <w:bCs/>
        </w:rPr>
        <w:t>The final 10% of the additional 80,300 Greater Manchester residents in employment by 2037 are assumed to be people aged over 64.</w:t>
      </w:r>
      <w:r w:rsidR="00DA1512" w:rsidRPr="004F6C57">
        <w:t xml:space="preserve"> This reflects the fact that concerns over the sufficiency of pension provision, improved health among older age groups, and increases in the state retirement age have contributed to an increase in the proportion of jobs held by older workers. </w:t>
      </w:r>
    </w:p>
    <w:p w14:paraId="51B79968" w14:textId="20D459C0" w:rsidR="00820AD0" w:rsidRDefault="00C029F7" w:rsidP="00820AD0">
      <w:r>
        <w:t>4.33.</w:t>
      </w:r>
      <w:r>
        <w:tab/>
      </w:r>
      <w:r w:rsidR="00DA1512" w:rsidRPr="004F6C57">
        <w:t xml:space="preserve">Under this scenario, </w:t>
      </w:r>
      <w:r w:rsidR="00DA1512" w:rsidRPr="00C029F7">
        <w:rPr>
          <w:b/>
          <w:bCs/>
        </w:rPr>
        <w:t>GM’s rising employment rate is underpinned by a combination of factors, including economic forces (stronger economic growth, and employment opportunities drawing people into the labour market) and demographic factors (such as progressively weaker growth in the working-age population, and higher participation amongst older age groups).</w:t>
      </w:r>
      <w:r w:rsidR="00DA1512" w:rsidRPr="004F6C57">
        <w:t xml:space="preserve"> A rising employment rate is also consistent with</w:t>
      </w:r>
      <w:r w:rsidR="00DA1512">
        <w:t>, and further supported by,</w:t>
      </w:r>
      <w:r w:rsidR="00DA1512" w:rsidRPr="004F6C57">
        <w:t xml:space="preserve"> local policy interventions aimed at</w:t>
      </w:r>
      <w:r w:rsidR="00DA1512">
        <w:t xml:space="preserve"> boosting</w:t>
      </w:r>
      <w:r w:rsidR="00DA1512" w:rsidRPr="004F6C57">
        <w:t xml:space="preserve"> participation </w:t>
      </w:r>
      <w:r w:rsidR="00DA1512">
        <w:t>and employment.</w:t>
      </w:r>
    </w:p>
    <w:p w14:paraId="0D83CE27" w14:textId="148878E0" w:rsidR="00C029F7" w:rsidRDefault="00C029F7">
      <w:r>
        <w:br w:type="page"/>
      </w:r>
    </w:p>
    <w:p w14:paraId="11E0A384" w14:textId="4CA3896D" w:rsidR="00C029F7" w:rsidRPr="00AF0D7B" w:rsidRDefault="00C029F7" w:rsidP="00C029F7">
      <w:pPr>
        <w:pStyle w:val="Heading2"/>
      </w:pPr>
      <w:bookmarkStart w:id="6" w:name="_Toc32931962"/>
      <w:bookmarkStart w:id="7" w:name="_Toc73519680"/>
      <w:r>
        <w:lastRenderedPageBreak/>
        <w:t xml:space="preserve">5. </w:t>
      </w:r>
      <w:r w:rsidRPr="00AF0D7B">
        <w:t>Annex 1: Data sources</w:t>
      </w:r>
      <w:bookmarkEnd w:id="6"/>
      <w:bookmarkEnd w:id="7"/>
    </w:p>
    <w:p w14:paraId="71EDC23C" w14:textId="344BB3F9" w:rsidR="00C029F7" w:rsidRPr="00AF0D7B" w:rsidRDefault="00C029F7" w:rsidP="00C029F7">
      <w:r>
        <w:t>5.1.</w:t>
      </w:r>
      <w:r>
        <w:tab/>
      </w:r>
      <w:r w:rsidRPr="00AF0D7B">
        <w:t xml:space="preserve">This publication is accompanied by a release of the following datasets: </w:t>
      </w:r>
    </w:p>
    <w:p w14:paraId="49417C58" w14:textId="77777777" w:rsidR="00C029F7" w:rsidRPr="00AF0D7B" w:rsidRDefault="00C029F7" w:rsidP="00C029F7">
      <w:pPr>
        <w:pStyle w:val="ListParagraph"/>
        <w:numPr>
          <w:ilvl w:val="0"/>
          <w:numId w:val="19"/>
        </w:numPr>
      </w:pPr>
      <w:r w:rsidRPr="00AF0D7B">
        <w:t>GVA by: Greater Manchester Combined Authority defined sectors; and detailed sub-sectors within the model build (50 industries)</w:t>
      </w:r>
    </w:p>
    <w:p w14:paraId="704C223E" w14:textId="77777777" w:rsidR="00C029F7" w:rsidRPr="00AF0D7B" w:rsidRDefault="00C029F7" w:rsidP="00C029F7">
      <w:pPr>
        <w:pStyle w:val="ListParagraph"/>
        <w:numPr>
          <w:ilvl w:val="0"/>
          <w:numId w:val="19"/>
        </w:numPr>
      </w:pPr>
      <w:r w:rsidRPr="00AF0D7B">
        <w:t>Employees and employment by: Greater Manchester Combined Authority defined sectors; and detailed sub-sectors within the model build (50 industries)</w:t>
      </w:r>
    </w:p>
    <w:p w14:paraId="33CAA267" w14:textId="77777777" w:rsidR="00C029F7" w:rsidRPr="00AF0D7B" w:rsidRDefault="00C029F7" w:rsidP="00C029F7">
      <w:pPr>
        <w:pStyle w:val="ListParagraph"/>
        <w:numPr>
          <w:ilvl w:val="0"/>
          <w:numId w:val="19"/>
        </w:numPr>
      </w:pPr>
      <w:r w:rsidRPr="00AF0D7B">
        <w:t>Productivity by: Greater Manchester Combined Authority defined sectors; and detailed sub-sectors within the model build (50 industries)</w:t>
      </w:r>
    </w:p>
    <w:p w14:paraId="7FC5293F" w14:textId="77777777" w:rsidR="00C029F7" w:rsidRDefault="00C029F7" w:rsidP="00C029F7">
      <w:pPr>
        <w:pStyle w:val="ListParagraph"/>
        <w:numPr>
          <w:ilvl w:val="0"/>
          <w:numId w:val="19"/>
        </w:numPr>
      </w:pPr>
      <w:r w:rsidRPr="00AF0D7B">
        <w:t>Population by 4 categories (working age, 15-74 years, children and over retirement age)</w:t>
      </w:r>
    </w:p>
    <w:p w14:paraId="49CC624D" w14:textId="77777777" w:rsidR="00C029F7" w:rsidRPr="00C51E6F" w:rsidRDefault="00C029F7" w:rsidP="00C029F7">
      <w:pPr>
        <w:pStyle w:val="ListParagraph"/>
        <w:numPr>
          <w:ilvl w:val="0"/>
          <w:numId w:val="19"/>
        </w:numPr>
      </w:pPr>
      <w:r w:rsidRPr="00C51E6F">
        <w:t xml:space="preserve">Employment by major occupation group and qualification level </w:t>
      </w:r>
    </w:p>
    <w:p w14:paraId="40E40D19" w14:textId="77777777" w:rsidR="00C029F7" w:rsidRPr="00AF0D7B" w:rsidRDefault="00C029F7" w:rsidP="00C029F7">
      <w:pPr>
        <w:pStyle w:val="ListParagraph"/>
        <w:numPr>
          <w:ilvl w:val="0"/>
          <w:numId w:val="19"/>
        </w:numPr>
      </w:pPr>
      <w:r w:rsidRPr="00AF0D7B">
        <w:t>Expansion demand, replacement demand, and total net demand for jobs per year, by</w:t>
      </w:r>
      <w:r>
        <w:t xml:space="preserve"> industry sector and by broad occupation group</w:t>
      </w:r>
    </w:p>
    <w:p w14:paraId="07D74BDB" w14:textId="33742D40" w:rsidR="00C029F7" w:rsidRPr="00AF0D7B" w:rsidRDefault="00C029F7" w:rsidP="00C029F7">
      <w:r>
        <w:t>5.2.</w:t>
      </w:r>
      <w:r>
        <w:tab/>
      </w:r>
      <w:r w:rsidRPr="00AF0D7B">
        <w:t>New source data included in the report:</w:t>
      </w:r>
    </w:p>
    <w:p w14:paraId="6985C6E1" w14:textId="77777777" w:rsidR="00C029F7" w:rsidRPr="00AF0D7B" w:rsidRDefault="00C029F7" w:rsidP="00C029F7">
      <w:pPr>
        <w:pStyle w:val="ListParagraph"/>
        <w:numPr>
          <w:ilvl w:val="0"/>
          <w:numId w:val="20"/>
        </w:numPr>
      </w:pPr>
      <w:r w:rsidRPr="00AF0D7B">
        <w:t>New global,</w:t>
      </w:r>
      <w:r>
        <w:t xml:space="preserve"> UK, North West outlooks</w:t>
      </w:r>
      <w:r w:rsidRPr="00AF0D7B">
        <w:t>, including Brexit and UK productivity assumptions (amongst others detailed in the report).</w:t>
      </w:r>
    </w:p>
    <w:p w14:paraId="4C2B9A07" w14:textId="77777777" w:rsidR="00C029F7" w:rsidRPr="00AF0D7B" w:rsidRDefault="00C029F7" w:rsidP="00C029F7">
      <w:pPr>
        <w:pStyle w:val="ListParagraph"/>
        <w:numPr>
          <w:ilvl w:val="0"/>
          <w:numId w:val="20"/>
        </w:numPr>
      </w:pPr>
      <w:r w:rsidRPr="00AF0D7B">
        <w:t>Business Reg</w:t>
      </w:r>
      <w:r>
        <w:t>ister and Employment Survey (2017</w:t>
      </w:r>
      <w:r w:rsidRPr="00AF0D7B">
        <w:t>)</w:t>
      </w:r>
    </w:p>
    <w:p w14:paraId="3FC0D4C9" w14:textId="77777777" w:rsidR="00C029F7" w:rsidRPr="00AF0D7B" w:rsidRDefault="00C029F7" w:rsidP="00C029F7">
      <w:pPr>
        <w:pStyle w:val="ListParagraph"/>
        <w:numPr>
          <w:ilvl w:val="0"/>
          <w:numId w:val="20"/>
        </w:numPr>
      </w:pPr>
      <w:r>
        <w:t>M</w:t>
      </w:r>
      <w:r w:rsidRPr="00AF0D7B">
        <w:t>id-year population estimates (201</w:t>
      </w:r>
      <w:r>
        <w:t>7 and 2018</w:t>
      </w:r>
      <w:r w:rsidRPr="00AF0D7B">
        <w:t>)</w:t>
      </w:r>
    </w:p>
    <w:p w14:paraId="63AFFF7B" w14:textId="77777777" w:rsidR="00C029F7" w:rsidRPr="00AF0D7B" w:rsidRDefault="00C029F7" w:rsidP="00C029F7">
      <w:pPr>
        <w:pStyle w:val="ListParagraph"/>
        <w:numPr>
          <w:ilvl w:val="0"/>
          <w:numId w:val="20"/>
        </w:numPr>
      </w:pPr>
      <w:r w:rsidRPr="00AF0D7B">
        <w:t>Earnings (201</w:t>
      </w:r>
      <w:r>
        <w:t>8</w:t>
      </w:r>
      <w:r w:rsidRPr="00AF0D7B">
        <w:t>)</w:t>
      </w:r>
    </w:p>
    <w:p w14:paraId="71E8F111" w14:textId="77777777" w:rsidR="00C029F7" w:rsidRPr="00AF0D7B" w:rsidRDefault="00C029F7" w:rsidP="00C029F7">
      <w:pPr>
        <w:pStyle w:val="ListParagraph"/>
        <w:numPr>
          <w:ilvl w:val="0"/>
          <w:numId w:val="20"/>
        </w:numPr>
      </w:pPr>
      <w:r w:rsidRPr="00AF0D7B">
        <w:t>Resident employment (201</w:t>
      </w:r>
      <w:r>
        <w:t>8 and revised 2012-2017</w:t>
      </w:r>
      <w:r w:rsidRPr="00AF0D7B">
        <w:t>)</w:t>
      </w:r>
    </w:p>
    <w:p w14:paraId="1074FBC9" w14:textId="77777777" w:rsidR="00C029F7" w:rsidRPr="00AF0D7B" w:rsidRDefault="00C029F7" w:rsidP="00C029F7">
      <w:pPr>
        <w:pStyle w:val="ListParagraph"/>
        <w:numPr>
          <w:ilvl w:val="0"/>
          <w:numId w:val="20"/>
        </w:numPr>
      </w:pPr>
      <w:r w:rsidRPr="00AF0D7B">
        <w:t>Unemployment (201</w:t>
      </w:r>
      <w:r>
        <w:t>8</w:t>
      </w:r>
      <w:r w:rsidRPr="00AF0D7B">
        <w:t>)</w:t>
      </w:r>
    </w:p>
    <w:p w14:paraId="72EC02FE" w14:textId="77777777" w:rsidR="00C029F7" w:rsidRDefault="00C029F7" w:rsidP="00C029F7">
      <w:pPr>
        <w:pStyle w:val="ListParagraph"/>
        <w:numPr>
          <w:ilvl w:val="0"/>
          <w:numId w:val="20"/>
        </w:numPr>
      </w:pPr>
      <w:r>
        <w:t>Chain-linked balanced</w:t>
      </w:r>
      <w:r w:rsidRPr="00AF0D7B">
        <w:t xml:space="preserve"> GVA </w:t>
      </w:r>
      <w:r>
        <w:t xml:space="preserve">by Local Authority </w:t>
      </w:r>
      <w:r w:rsidRPr="00AF0D7B">
        <w:t>(</w:t>
      </w:r>
      <w:r>
        <w:t>1998-2017</w:t>
      </w:r>
      <w:r w:rsidRPr="00AF0D7B">
        <w:t>)</w:t>
      </w:r>
    </w:p>
    <w:p w14:paraId="633BB438" w14:textId="77777777" w:rsidR="00C029F7" w:rsidRPr="007A52F7" w:rsidRDefault="00C029F7" w:rsidP="00C029F7">
      <w:pPr>
        <w:pStyle w:val="ListParagraph"/>
        <w:numPr>
          <w:ilvl w:val="0"/>
          <w:numId w:val="20"/>
        </w:numPr>
      </w:pPr>
      <w:r w:rsidRPr="007A52F7">
        <w:t>Gross Disposable Household Income (1997 – 2017)</w:t>
      </w:r>
    </w:p>
    <w:p w14:paraId="5291E085" w14:textId="5D74121C" w:rsidR="00C029F7" w:rsidRDefault="00C029F7">
      <w:pPr>
        <w:rPr>
          <w:rFonts w:eastAsiaTheme="majorEastAsia"/>
          <w:kern w:val="22"/>
          <w:lang w:val="en-US"/>
        </w:rPr>
      </w:pPr>
      <w:r>
        <w:rPr>
          <w:rFonts w:eastAsiaTheme="majorEastAsia"/>
          <w:kern w:val="22"/>
          <w:lang w:val="en-US"/>
        </w:rPr>
        <w:br w:type="page"/>
      </w:r>
    </w:p>
    <w:p w14:paraId="7D412472" w14:textId="177B7F65" w:rsidR="00C029F7" w:rsidRPr="006D76DE" w:rsidRDefault="00C029F7" w:rsidP="00C029F7">
      <w:pPr>
        <w:pStyle w:val="Heading2"/>
      </w:pPr>
      <w:bookmarkStart w:id="8" w:name="_Toc32931963"/>
      <w:bookmarkStart w:id="9" w:name="_Toc73519681"/>
      <w:r>
        <w:lastRenderedPageBreak/>
        <w:t xml:space="preserve">6. </w:t>
      </w:r>
      <w:r w:rsidRPr="006D76DE">
        <w:t>Annex 2: Comparison of forecasts and summary of Brexit impact assessments</w:t>
      </w:r>
      <w:bookmarkEnd w:id="8"/>
      <w:bookmarkEnd w:id="9"/>
    </w:p>
    <w:p w14:paraId="472011CA" w14:textId="3A8DA1B0" w:rsidR="00C029F7" w:rsidRPr="00AF0D7B" w:rsidRDefault="00C029F7" w:rsidP="00C029F7">
      <w:r>
        <w:t>6.1.</w:t>
      </w:r>
      <w:r>
        <w:tab/>
      </w:r>
      <w:r w:rsidRPr="00AF0D7B">
        <w:t>UK GDP</w:t>
      </w:r>
      <w:r>
        <w:t xml:space="preserve"> (% change) m</w:t>
      </w:r>
      <w:r w:rsidRPr="00AF0D7B">
        <w:t>edium term forecasts from independent fo</w:t>
      </w:r>
      <w:r>
        <w:t>recasters, published February 2020</w:t>
      </w:r>
      <w:r>
        <w:t xml:space="preserve">. </w:t>
      </w:r>
      <w:r w:rsidRPr="00C029F7">
        <w:t>Source: HMT (February 2020): Forecasts for the UK economy</w:t>
      </w:r>
      <w:r w:rsidR="00B62F92">
        <w:t>. Rankings for each year are in ascending order, with 1 being the lowest.</w:t>
      </w:r>
    </w:p>
    <w:tbl>
      <w:tblPr>
        <w:tblStyle w:val="TableGrid"/>
        <w:tblW w:w="993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UK GDP (% change) medium term forecasts from independent forecasters"/>
        <w:tblDescription w:val="Table showing different forecasters predictions for how the UK's GDP will change from 2020 to 2023. The predictions for each year are ranked by how much they believe GDP will grow."/>
      </w:tblPr>
      <w:tblGrid>
        <w:gridCol w:w="2671"/>
        <w:gridCol w:w="893"/>
        <w:gridCol w:w="899"/>
        <w:gridCol w:w="893"/>
        <w:gridCol w:w="899"/>
        <w:gridCol w:w="894"/>
        <w:gridCol w:w="991"/>
        <w:gridCol w:w="894"/>
        <w:gridCol w:w="899"/>
      </w:tblGrid>
      <w:tr w:rsidR="00C029F7" w:rsidRPr="00984205" w14:paraId="7AEB6449" w14:textId="77777777" w:rsidTr="0013153A">
        <w:trPr>
          <w:trHeight w:val="227"/>
        </w:trPr>
        <w:tc>
          <w:tcPr>
            <w:tcW w:w="2671" w:type="dxa"/>
            <w:tcBorders>
              <w:right w:val="single" w:sz="12" w:space="0" w:color="auto"/>
            </w:tcBorders>
            <w:shd w:val="clear" w:color="auto" w:fill="000000" w:themeFill="text1"/>
            <w:vAlign w:val="center"/>
          </w:tcPr>
          <w:p w14:paraId="77074BF9" w14:textId="2028AC6A" w:rsidR="00C029F7" w:rsidRPr="00984205" w:rsidRDefault="00C029F7" w:rsidP="00C029F7">
            <w:r>
              <w:t>Forecaster</w:t>
            </w:r>
          </w:p>
        </w:tc>
        <w:tc>
          <w:tcPr>
            <w:tcW w:w="893" w:type="dxa"/>
            <w:tcBorders>
              <w:top w:val="single" w:sz="4" w:space="0" w:color="auto"/>
              <w:left w:val="single" w:sz="12" w:space="0" w:color="auto"/>
              <w:bottom w:val="single" w:sz="4" w:space="0" w:color="auto"/>
            </w:tcBorders>
            <w:shd w:val="clear" w:color="auto" w:fill="000000" w:themeFill="text1"/>
            <w:vAlign w:val="center"/>
          </w:tcPr>
          <w:p w14:paraId="6DFA7A01" w14:textId="117C3245" w:rsidR="00C029F7" w:rsidRPr="00984205" w:rsidRDefault="00C029F7" w:rsidP="00C029F7">
            <w:r>
              <w:t xml:space="preserve">2020 </w:t>
            </w:r>
            <w:r w:rsidRPr="00984205">
              <w:t>%</w:t>
            </w:r>
          </w:p>
        </w:tc>
        <w:tc>
          <w:tcPr>
            <w:tcW w:w="899" w:type="dxa"/>
            <w:tcBorders>
              <w:top w:val="single" w:sz="4" w:space="0" w:color="auto"/>
              <w:bottom w:val="single" w:sz="4" w:space="0" w:color="auto"/>
              <w:right w:val="single" w:sz="12" w:space="0" w:color="auto"/>
            </w:tcBorders>
            <w:shd w:val="clear" w:color="auto" w:fill="000000" w:themeFill="text1"/>
            <w:vAlign w:val="center"/>
          </w:tcPr>
          <w:p w14:paraId="3D275D98" w14:textId="76E0DF9F" w:rsidR="00C029F7" w:rsidRPr="00984205" w:rsidRDefault="00C029F7" w:rsidP="00C029F7">
            <w:r>
              <w:t xml:space="preserve">2020 </w:t>
            </w:r>
            <w:r w:rsidRPr="00984205">
              <w:t>Rank</w:t>
            </w:r>
          </w:p>
        </w:tc>
        <w:tc>
          <w:tcPr>
            <w:tcW w:w="893" w:type="dxa"/>
            <w:tcBorders>
              <w:left w:val="single" w:sz="12" w:space="0" w:color="auto"/>
            </w:tcBorders>
            <w:shd w:val="clear" w:color="auto" w:fill="000000" w:themeFill="text1"/>
            <w:vAlign w:val="center"/>
          </w:tcPr>
          <w:p w14:paraId="2A3E52FB" w14:textId="77EC679E" w:rsidR="00C029F7" w:rsidRPr="00984205" w:rsidRDefault="00C029F7" w:rsidP="00C029F7">
            <w:r>
              <w:t xml:space="preserve">2021 </w:t>
            </w:r>
            <w:r w:rsidRPr="00984205">
              <w:t>%</w:t>
            </w:r>
          </w:p>
        </w:tc>
        <w:tc>
          <w:tcPr>
            <w:tcW w:w="899" w:type="dxa"/>
            <w:tcBorders>
              <w:right w:val="single" w:sz="12" w:space="0" w:color="auto"/>
            </w:tcBorders>
            <w:shd w:val="clear" w:color="auto" w:fill="000000" w:themeFill="text1"/>
            <w:vAlign w:val="center"/>
          </w:tcPr>
          <w:p w14:paraId="34023AF4" w14:textId="1244377B" w:rsidR="00C029F7" w:rsidRPr="00984205" w:rsidRDefault="00C029F7" w:rsidP="00C029F7">
            <w:r>
              <w:t xml:space="preserve">2021 </w:t>
            </w:r>
            <w:r w:rsidRPr="00984205">
              <w:t>Rank</w:t>
            </w:r>
          </w:p>
        </w:tc>
        <w:tc>
          <w:tcPr>
            <w:tcW w:w="894" w:type="dxa"/>
            <w:tcBorders>
              <w:top w:val="single" w:sz="4" w:space="0" w:color="auto"/>
              <w:left w:val="single" w:sz="12" w:space="0" w:color="auto"/>
              <w:bottom w:val="single" w:sz="4" w:space="0" w:color="auto"/>
            </w:tcBorders>
            <w:shd w:val="clear" w:color="auto" w:fill="000000" w:themeFill="text1"/>
            <w:vAlign w:val="center"/>
          </w:tcPr>
          <w:p w14:paraId="549C7F53" w14:textId="78CF1F46" w:rsidR="00C029F7" w:rsidRPr="00984205" w:rsidRDefault="00C029F7" w:rsidP="00C029F7">
            <w:r>
              <w:t xml:space="preserve">2022 </w:t>
            </w:r>
            <w:r w:rsidRPr="00984205">
              <w:t>%</w:t>
            </w:r>
          </w:p>
        </w:tc>
        <w:tc>
          <w:tcPr>
            <w:tcW w:w="991" w:type="dxa"/>
            <w:tcBorders>
              <w:top w:val="single" w:sz="4" w:space="0" w:color="auto"/>
              <w:bottom w:val="single" w:sz="4" w:space="0" w:color="auto"/>
              <w:right w:val="single" w:sz="12" w:space="0" w:color="auto"/>
            </w:tcBorders>
            <w:shd w:val="clear" w:color="auto" w:fill="000000" w:themeFill="text1"/>
            <w:vAlign w:val="center"/>
          </w:tcPr>
          <w:p w14:paraId="12CD8772" w14:textId="678DC3F5" w:rsidR="00C029F7" w:rsidRPr="00984205" w:rsidRDefault="00C029F7" w:rsidP="00C029F7">
            <w:r>
              <w:t xml:space="preserve">2022 </w:t>
            </w:r>
            <w:r w:rsidRPr="00984205">
              <w:t>Rank</w:t>
            </w:r>
          </w:p>
        </w:tc>
        <w:tc>
          <w:tcPr>
            <w:tcW w:w="894" w:type="dxa"/>
            <w:tcBorders>
              <w:left w:val="single" w:sz="12" w:space="0" w:color="auto"/>
            </w:tcBorders>
            <w:shd w:val="clear" w:color="auto" w:fill="000000" w:themeFill="text1"/>
            <w:vAlign w:val="center"/>
          </w:tcPr>
          <w:p w14:paraId="71D1D04A" w14:textId="26581EF1" w:rsidR="00C029F7" w:rsidRPr="00984205" w:rsidRDefault="00C029F7" w:rsidP="00C029F7">
            <w:r>
              <w:t xml:space="preserve">2023 </w:t>
            </w:r>
            <w:r w:rsidRPr="00984205">
              <w:t>%</w:t>
            </w:r>
          </w:p>
        </w:tc>
        <w:tc>
          <w:tcPr>
            <w:tcW w:w="899" w:type="dxa"/>
            <w:shd w:val="clear" w:color="auto" w:fill="000000" w:themeFill="text1"/>
            <w:vAlign w:val="center"/>
          </w:tcPr>
          <w:p w14:paraId="1930A9B6" w14:textId="29B428B0" w:rsidR="00C029F7" w:rsidRPr="00984205" w:rsidRDefault="00C029F7" w:rsidP="00C029F7">
            <w:r>
              <w:t xml:space="preserve">2023 </w:t>
            </w:r>
            <w:r w:rsidRPr="00984205">
              <w:t>Rank</w:t>
            </w:r>
          </w:p>
        </w:tc>
      </w:tr>
      <w:tr w:rsidR="00C029F7" w:rsidRPr="00984205" w14:paraId="5B7BE772" w14:textId="77777777" w:rsidTr="0013153A">
        <w:trPr>
          <w:trHeight w:val="227"/>
        </w:trPr>
        <w:tc>
          <w:tcPr>
            <w:tcW w:w="2671" w:type="dxa"/>
            <w:tcBorders>
              <w:right w:val="single" w:sz="12" w:space="0" w:color="auto"/>
            </w:tcBorders>
            <w:vAlign w:val="center"/>
          </w:tcPr>
          <w:p w14:paraId="33733510" w14:textId="77777777" w:rsidR="00C029F7" w:rsidRPr="00984205" w:rsidRDefault="00C029F7" w:rsidP="00C029F7">
            <w:r w:rsidRPr="00984205">
              <w:t xml:space="preserve">Beacon Economic Forecasting </w:t>
            </w:r>
          </w:p>
        </w:tc>
        <w:tc>
          <w:tcPr>
            <w:tcW w:w="893" w:type="dxa"/>
            <w:tcBorders>
              <w:top w:val="single" w:sz="4" w:space="0" w:color="auto"/>
              <w:left w:val="single" w:sz="12" w:space="0" w:color="auto"/>
              <w:bottom w:val="single" w:sz="4" w:space="0" w:color="auto"/>
            </w:tcBorders>
            <w:vAlign w:val="center"/>
          </w:tcPr>
          <w:p w14:paraId="65C77A0E" w14:textId="77777777" w:rsidR="00C029F7" w:rsidRPr="00984205" w:rsidRDefault="00C029F7" w:rsidP="00C029F7">
            <w:r>
              <w:t>1.8</w:t>
            </w:r>
          </w:p>
        </w:tc>
        <w:tc>
          <w:tcPr>
            <w:tcW w:w="899" w:type="dxa"/>
            <w:tcBorders>
              <w:top w:val="single" w:sz="4" w:space="0" w:color="auto"/>
              <w:bottom w:val="single" w:sz="4" w:space="0" w:color="auto"/>
              <w:right w:val="single" w:sz="12" w:space="0" w:color="auto"/>
            </w:tcBorders>
            <w:vAlign w:val="bottom"/>
          </w:tcPr>
          <w:p w14:paraId="30A263B9" w14:textId="77777777" w:rsidR="00C029F7" w:rsidRPr="00984205" w:rsidRDefault="00C029F7" w:rsidP="00C029F7">
            <w:r>
              <w:t>5</w:t>
            </w:r>
          </w:p>
        </w:tc>
        <w:tc>
          <w:tcPr>
            <w:tcW w:w="893" w:type="dxa"/>
            <w:tcBorders>
              <w:left w:val="single" w:sz="12" w:space="0" w:color="auto"/>
            </w:tcBorders>
            <w:vAlign w:val="center"/>
          </w:tcPr>
          <w:p w14:paraId="60D8749D" w14:textId="77777777" w:rsidR="00C029F7" w:rsidRPr="00984205" w:rsidRDefault="00C029F7" w:rsidP="00C029F7">
            <w:r>
              <w:t>1.8</w:t>
            </w:r>
          </w:p>
        </w:tc>
        <w:tc>
          <w:tcPr>
            <w:tcW w:w="899" w:type="dxa"/>
            <w:tcBorders>
              <w:right w:val="single" w:sz="12" w:space="0" w:color="auto"/>
            </w:tcBorders>
            <w:vAlign w:val="bottom"/>
          </w:tcPr>
          <w:p w14:paraId="6AFEA504" w14:textId="77777777" w:rsidR="00C029F7" w:rsidRPr="00984205" w:rsidRDefault="00C029F7" w:rsidP="00C029F7">
            <w:r>
              <w:t>5</w:t>
            </w:r>
          </w:p>
        </w:tc>
        <w:tc>
          <w:tcPr>
            <w:tcW w:w="894" w:type="dxa"/>
            <w:tcBorders>
              <w:top w:val="single" w:sz="4" w:space="0" w:color="auto"/>
              <w:left w:val="single" w:sz="12" w:space="0" w:color="auto"/>
              <w:bottom w:val="single" w:sz="4" w:space="0" w:color="auto"/>
            </w:tcBorders>
            <w:vAlign w:val="center"/>
          </w:tcPr>
          <w:p w14:paraId="460D7F91" w14:textId="77777777" w:rsidR="00C029F7" w:rsidRPr="00984205" w:rsidRDefault="00C029F7" w:rsidP="00C029F7">
            <w:r>
              <w:t>2.1</w:t>
            </w:r>
          </w:p>
        </w:tc>
        <w:tc>
          <w:tcPr>
            <w:tcW w:w="991" w:type="dxa"/>
            <w:tcBorders>
              <w:top w:val="single" w:sz="4" w:space="0" w:color="auto"/>
              <w:bottom w:val="single" w:sz="4" w:space="0" w:color="auto"/>
              <w:right w:val="single" w:sz="12" w:space="0" w:color="auto"/>
            </w:tcBorders>
            <w:vAlign w:val="bottom"/>
          </w:tcPr>
          <w:p w14:paraId="0EE3B3EC" w14:textId="77777777" w:rsidR="00C029F7" w:rsidRPr="00984205" w:rsidRDefault="00C029F7" w:rsidP="00C029F7">
            <w:r>
              <w:t>5</w:t>
            </w:r>
          </w:p>
        </w:tc>
        <w:tc>
          <w:tcPr>
            <w:tcW w:w="894" w:type="dxa"/>
            <w:tcBorders>
              <w:left w:val="single" w:sz="12" w:space="0" w:color="auto"/>
            </w:tcBorders>
            <w:vAlign w:val="center"/>
          </w:tcPr>
          <w:p w14:paraId="507A1AD5" w14:textId="77777777" w:rsidR="00C029F7" w:rsidRPr="00984205" w:rsidRDefault="00C029F7" w:rsidP="00C029F7">
            <w:r>
              <w:t>2.2</w:t>
            </w:r>
          </w:p>
        </w:tc>
        <w:tc>
          <w:tcPr>
            <w:tcW w:w="899" w:type="dxa"/>
            <w:vAlign w:val="bottom"/>
          </w:tcPr>
          <w:p w14:paraId="77643CC2" w14:textId="77777777" w:rsidR="00C029F7" w:rsidRPr="00984205" w:rsidRDefault="00C029F7" w:rsidP="00C029F7">
            <w:r>
              <w:t>6</w:t>
            </w:r>
          </w:p>
        </w:tc>
      </w:tr>
      <w:tr w:rsidR="00C029F7" w:rsidRPr="00984205" w14:paraId="7A9877EB" w14:textId="77777777" w:rsidTr="0013153A">
        <w:trPr>
          <w:trHeight w:val="227"/>
        </w:trPr>
        <w:tc>
          <w:tcPr>
            <w:tcW w:w="2671" w:type="dxa"/>
            <w:tcBorders>
              <w:right w:val="single" w:sz="12" w:space="0" w:color="auto"/>
            </w:tcBorders>
            <w:vAlign w:val="center"/>
          </w:tcPr>
          <w:p w14:paraId="3B6ADBC1" w14:textId="77777777" w:rsidR="00C029F7" w:rsidRPr="00984205" w:rsidRDefault="00C029F7" w:rsidP="00C029F7">
            <w:r w:rsidRPr="00984205">
              <w:t>CEBR</w:t>
            </w:r>
          </w:p>
        </w:tc>
        <w:tc>
          <w:tcPr>
            <w:tcW w:w="893" w:type="dxa"/>
            <w:tcBorders>
              <w:top w:val="single" w:sz="4" w:space="0" w:color="auto"/>
              <w:left w:val="single" w:sz="12" w:space="0" w:color="auto"/>
              <w:bottom w:val="single" w:sz="4" w:space="0" w:color="auto"/>
            </w:tcBorders>
            <w:vAlign w:val="center"/>
          </w:tcPr>
          <w:p w14:paraId="0D7D3EB4" w14:textId="77777777" w:rsidR="00C029F7" w:rsidRPr="00984205" w:rsidRDefault="00C029F7" w:rsidP="00C029F7">
            <w:r>
              <w:t>-</w:t>
            </w:r>
          </w:p>
        </w:tc>
        <w:tc>
          <w:tcPr>
            <w:tcW w:w="899" w:type="dxa"/>
            <w:tcBorders>
              <w:top w:val="single" w:sz="4" w:space="0" w:color="auto"/>
              <w:bottom w:val="single" w:sz="4" w:space="0" w:color="auto"/>
              <w:right w:val="single" w:sz="12" w:space="0" w:color="auto"/>
            </w:tcBorders>
            <w:vAlign w:val="bottom"/>
          </w:tcPr>
          <w:p w14:paraId="18DB2CBA" w14:textId="77777777" w:rsidR="00C029F7" w:rsidRPr="00984205" w:rsidRDefault="00C029F7" w:rsidP="00C029F7">
            <w:r>
              <w:t>-</w:t>
            </w:r>
          </w:p>
        </w:tc>
        <w:tc>
          <w:tcPr>
            <w:tcW w:w="893" w:type="dxa"/>
            <w:tcBorders>
              <w:left w:val="single" w:sz="12" w:space="0" w:color="auto"/>
            </w:tcBorders>
            <w:vAlign w:val="center"/>
          </w:tcPr>
          <w:p w14:paraId="2B4F8AED" w14:textId="77777777" w:rsidR="00C029F7" w:rsidRPr="00984205" w:rsidRDefault="00C029F7" w:rsidP="00C029F7">
            <w:r>
              <w:t>-</w:t>
            </w:r>
          </w:p>
        </w:tc>
        <w:tc>
          <w:tcPr>
            <w:tcW w:w="899" w:type="dxa"/>
            <w:tcBorders>
              <w:right w:val="single" w:sz="12" w:space="0" w:color="auto"/>
            </w:tcBorders>
            <w:vAlign w:val="bottom"/>
          </w:tcPr>
          <w:p w14:paraId="25917825" w14:textId="77777777" w:rsidR="00C029F7" w:rsidRPr="00984205" w:rsidRDefault="00C029F7" w:rsidP="00C029F7">
            <w:r>
              <w:t>-</w:t>
            </w:r>
          </w:p>
        </w:tc>
        <w:tc>
          <w:tcPr>
            <w:tcW w:w="894" w:type="dxa"/>
            <w:tcBorders>
              <w:top w:val="single" w:sz="4" w:space="0" w:color="auto"/>
              <w:left w:val="single" w:sz="12" w:space="0" w:color="auto"/>
              <w:bottom w:val="single" w:sz="4" w:space="0" w:color="auto"/>
            </w:tcBorders>
            <w:vAlign w:val="center"/>
          </w:tcPr>
          <w:p w14:paraId="58BAF94F" w14:textId="77777777" w:rsidR="00C029F7" w:rsidRPr="00984205" w:rsidRDefault="00C029F7" w:rsidP="00C029F7">
            <w:r>
              <w:t>1.7</w:t>
            </w:r>
          </w:p>
        </w:tc>
        <w:tc>
          <w:tcPr>
            <w:tcW w:w="991" w:type="dxa"/>
            <w:tcBorders>
              <w:top w:val="single" w:sz="4" w:space="0" w:color="auto"/>
              <w:bottom w:val="single" w:sz="4" w:space="0" w:color="auto"/>
              <w:right w:val="single" w:sz="12" w:space="0" w:color="auto"/>
            </w:tcBorders>
            <w:vAlign w:val="bottom"/>
          </w:tcPr>
          <w:p w14:paraId="17FB2BAF" w14:textId="77777777" w:rsidR="00C029F7" w:rsidRPr="00984205" w:rsidRDefault="00C029F7" w:rsidP="00C029F7">
            <w:r>
              <w:t>3</w:t>
            </w:r>
          </w:p>
        </w:tc>
        <w:tc>
          <w:tcPr>
            <w:tcW w:w="894" w:type="dxa"/>
            <w:tcBorders>
              <w:left w:val="single" w:sz="12" w:space="0" w:color="auto"/>
            </w:tcBorders>
            <w:vAlign w:val="center"/>
          </w:tcPr>
          <w:p w14:paraId="19C7A634" w14:textId="77777777" w:rsidR="00C029F7" w:rsidRPr="00984205" w:rsidRDefault="00C029F7" w:rsidP="00C029F7">
            <w:r w:rsidRPr="00984205">
              <w:t>1.6</w:t>
            </w:r>
          </w:p>
        </w:tc>
        <w:tc>
          <w:tcPr>
            <w:tcW w:w="899" w:type="dxa"/>
            <w:vAlign w:val="bottom"/>
          </w:tcPr>
          <w:p w14:paraId="1B3FD343" w14:textId="77777777" w:rsidR="00C029F7" w:rsidRPr="00984205" w:rsidRDefault="00C029F7" w:rsidP="00C029F7">
            <w:r>
              <w:t>2</w:t>
            </w:r>
          </w:p>
        </w:tc>
      </w:tr>
      <w:tr w:rsidR="00C029F7" w:rsidRPr="00984205" w14:paraId="0370793D" w14:textId="77777777" w:rsidTr="0013153A">
        <w:trPr>
          <w:trHeight w:val="227"/>
        </w:trPr>
        <w:tc>
          <w:tcPr>
            <w:tcW w:w="2671" w:type="dxa"/>
            <w:tcBorders>
              <w:right w:val="single" w:sz="12" w:space="0" w:color="auto"/>
            </w:tcBorders>
            <w:vAlign w:val="center"/>
          </w:tcPr>
          <w:p w14:paraId="463D769F" w14:textId="77777777" w:rsidR="00C029F7" w:rsidRPr="00984205" w:rsidRDefault="00C029F7" w:rsidP="00C029F7">
            <w:r w:rsidRPr="00984205">
              <w:t>Experian</w:t>
            </w:r>
          </w:p>
        </w:tc>
        <w:tc>
          <w:tcPr>
            <w:tcW w:w="893" w:type="dxa"/>
            <w:tcBorders>
              <w:top w:val="single" w:sz="4" w:space="0" w:color="auto"/>
              <w:left w:val="single" w:sz="12" w:space="0" w:color="auto"/>
              <w:bottom w:val="single" w:sz="4" w:space="0" w:color="auto"/>
            </w:tcBorders>
            <w:vAlign w:val="center"/>
          </w:tcPr>
          <w:p w14:paraId="3EFC7C2A" w14:textId="77777777" w:rsidR="00C029F7" w:rsidRPr="00984205" w:rsidRDefault="00C029F7" w:rsidP="00C029F7">
            <w:r>
              <w:t>1.3</w:t>
            </w:r>
          </w:p>
        </w:tc>
        <w:tc>
          <w:tcPr>
            <w:tcW w:w="899" w:type="dxa"/>
            <w:tcBorders>
              <w:top w:val="single" w:sz="4" w:space="0" w:color="auto"/>
              <w:bottom w:val="single" w:sz="4" w:space="0" w:color="auto"/>
              <w:right w:val="single" w:sz="12" w:space="0" w:color="auto"/>
            </w:tcBorders>
            <w:vAlign w:val="bottom"/>
          </w:tcPr>
          <w:p w14:paraId="77343F41" w14:textId="77777777" w:rsidR="00C029F7" w:rsidRPr="00984205" w:rsidRDefault="00C029F7" w:rsidP="00C029F7">
            <w:r>
              <w:t>4</w:t>
            </w:r>
          </w:p>
        </w:tc>
        <w:tc>
          <w:tcPr>
            <w:tcW w:w="893" w:type="dxa"/>
            <w:tcBorders>
              <w:left w:val="single" w:sz="12" w:space="0" w:color="auto"/>
            </w:tcBorders>
            <w:vAlign w:val="center"/>
          </w:tcPr>
          <w:p w14:paraId="2A6BA550" w14:textId="77777777" w:rsidR="00C029F7" w:rsidRPr="00984205" w:rsidRDefault="00C029F7" w:rsidP="00C029F7">
            <w:r>
              <w:t>1.7</w:t>
            </w:r>
          </w:p>
        </w:tc>
        <w:tc>
          <w:tcPr>
            <w:tcW w:w="899" w:type="dxa"/>
            <w:tcBorders>
              <w:right w:val="single" w:sz="12" w:space="0" w:color="auto"/>
            </w:tcBorders>
            <w:vAlign w:val="bottom"/>
          </w:tcPr>
          <w:p w14:paraId="7EB1BBE9" w14:textId="77777777" w:rsidR="00C029F7" w:rsidRPr="00984205" w:rsidRDefault="00C029F7" w:rsidP="00C029F7">
            <w:r>
              <w:t>4</w:t>
            </w:r>
          </w:p>
        </w:tc>
        <w:tc>
          <w:tcPr>
            <w:tcW w:w="894" w:type="dxa"/>
            <w:tcBorders>
              <w:top w:val="single" w:sz="4" w:space="0" w:color="auto"/>
              <w:left w:val="single" w:sz="12" w:space="0" w:color="auto"/>
              <w:bottom w:val="single" w:sz="4" w:space="0" w:color="auto"/>
            </w:tcBorders>
            <w:vAlign w:val="center"/>
          </w:tcPr>
          <w:p w14:paraId="0382CF49" w14:textId="77777777" w:rsidR="00C029F7" w:rsidRPr="00984205" w:rsidRDefault="00C029F7" w:rsidP="00C029F7">
            <w:r>
              <w:t>1.7</w:t>
            </w:r>
          </w:p>
        </w:tc>
        <w:tc>
          <w:tcPr>
            <w:tcW w:w="991" w:type="dxa"/>
            <w:tcBorders>
              <w:top w:val="single" w:sz="4" w:space="0" w:color="auto"/>
              <w:bottom w:val="single" w:sz="4" w:space="0" w:color="auto"/>
              <w:right w:val="single" w:sz="12" w:space="0" w:color="auto"/>
            </w:tcBorders>
            <w:vAlign w:val="bottom"/>
          </w:tcPr>
          <w:p w14:paraId="4C56DDE3" w14:textId="77777777" w:rsidR="00C029F7" w:rsidRPr="00984205" w:rsidRDefault="00C029F7" w:rsidP="00C029F7">
            <w:r>
              <w:t>3</w:t>
            </w:r>
          </w:p>
        </w:tc>
        <w:tc>
          <w:tcPr>
            <w:tcW w:w="894" w:type="dxa"/>
            <w:tcBorders>
              <w:left w:val="single" w:sz="12" w:space="0" w:color="auto"/>
            </w:tcBorders>
            <w:vAlign w:val="center"/>
          </w:tcPr>
          <w:p w14:paraId="3B8B3A69" w14:textId="77777777" w:rsidR="00C029F7" w:rsidRPr="00984205" w:rsidRDefault="00C029F7" w:rsidP="00C029F7">
            <w:r>
              <w:t>1.8</w:t>
            </w:r>
          </w:p>
        </w:tc>
        <w:tc>
          <w:tcPr>
            <w:tcW w:w="899" w:type="dxa"/>
            <w:vAlign w:val="bottom"/>
          </w:tcPr>
          <w:p w14:paraId="674CAC07" w14:textId="77777777" w:rsidR="00C029F7" w:rsidRPr="00984205" w:rsidRDefault="00C029F7" w:rsidP="00C029F7">
            <w:r>
              <w:t>4</w:t>
            </w:r>
          </w:p>
        </w:tc>
      </w:tr>
      <w:tr w:rsidR="00C029F7" w:rsidRPr="00984205" w14:paraId="1F7BB5E8" w14:textId="77777777" w:rsidTr="0013153A">
        <w:trPr>
          <w:trHeight w:val="227"/>
        </w:trPr>
        <w:tc>
          <w:tcPr>
            <w:tcW w:w="2671" w:type="dxa"/>
            <w:tcBorders>
              <w:right w:val="single" w:sz="12" w:space="0" w:color="auto"/>
            </w:tcBorders>
            <w:vAlign w:val="center"/>
          </w:tcPr>
          <w:p w14:paraId="0CE7D3D5" w14:textId="77777777" w:rsidR="00C029F7" w:rsidRPr="00984205" w:rsidRDefault="00C029F7" w:rsidP="00C029F7">
            <w:r>
              <w:t>Commerzbank</w:t>
            </w:r>
          </w:p>
        </w:tc>
        <w:tc>
          <w:tcPr>
            <w:tcW w:w="893" w:type="dxa"/>
            <w:tcBorders>
              <w:top w:val="single" w:sz="4" w:space="0" w:color="auto"/>
              <w:left w:val="single" w:sz="12" w:space="0" w:color="auto"/>
              <w:bottom w:val="single" w:sz="4" w:space="0" w:color="auto"/>
            </w:tcBorders>
            <w:vAlign w:val="center"/>
          </w:tcPr>
          <w:p w14:paraId="34B64E79" w14:textId="77777777" w:rsidR="00C029F7" w:rsidRPr="00984205" w:rsidRDefault="00C029F7" w:rsidP="00C029F7">
            <w:r>
              <w:t>1.1</w:t>
            </w:r>
          </w:p>
        </w:tc>
        <w:tc>
          <w:tcPr>
            <w:tcW w:w="899" w:type="dxa"/>
            <w:tcBorders>
              <w:top w:val="single" w:sz="4" w:space="0" w:color="auto"/>
              <w:bottom w:val="single" w:sz="4" w:space="0" w:color="auto"/>
              <w:right w:val="single" w:sz="12" w:space="0" w:color="auto"/>
            </w:tcBorders>
            <w:vAlign w:val="bottom"/>
          </w:tcPr>
          <w:p w14:paraId="50ED455B" w14:textId="77777777" w:rsidR="00C029F7" w:rsidRPr="00984205" w:rsidRDefault="00C029F7" w:rsidP="00C029F7">
            <w:r>
              <w:t>2</w:t>
            </w:r>
          </w:p>
        </w:tc>
        <w:tc>
          <w:tcPr>
            <w:tcW w:w="893" w:type="dxa"/>
            <w:tcBorders>
              <w:left w:val="single" w:sz="12" w:space="0" w:color="auto"/>
            </w:tcBorders>
            <w:vAlign w:val="center"/>
          </w:tcPr>
          <w:p w14:paraId="398AA640" w14:textId="77777777" w:rsidR="00C029F7" w:rsidRPr="00984205" w:rsidRDefault="00C029F7" w:rsidP="00C029F7">
            <w:r>
              <w:t>1.4</w:t>
            </w:r>
          </w:p>
        </w:tc>
        <w:tc>
          <w:tcPr>
            <w:tcW w:w="899" w:type="dxa"/>
            <w:tcBorders>
              <w:right w:val="single" w:sz="12" w:space="0" w:color="auto"/>
            </w:tcBorders>
            <w:vAlign w:val="bottom"/>
          </w:tcPr>
          <w:p w14:paraId="1718B833" w14:textId="77777777" w:rsidR="00C029F7" w:rsidRPr="00984205" w:rsidRDefault="00C029F7" w:rsidP="00C029F7">
            <w:r>
              <w:t>1</w:t>
            </w:r>
          </w:p>
        </w:tc>
        <w:tc>
          <w:tcPr>
            <w:tcW w:w="894" w:type="dxa"/>
            <w:tcBorders>
              <w:top w:val="single" w:sz="4" w:space="0" w:color="auto"/>
              <w:left w:val="single" w:sz="12" w:space="0" w:color="auto"/>
              <w:bottom w:val="single" w:sz="4" w:space="0" w:color="auto"/>
            </w:tcBorders>
            <w:vAlign w:val="center"/>
          </w:tcPr>
          <w:p w14:paraId="2A5F32ED" w14:textId="77777777" w:rsidR="00C029F7" w:rsidRPr="00984205" w:rsidRDefault="00C029F7" w:rsidP="00C029F7">
            <w:r>
              <w:t>1.4</w:t>
            </w:r>
          </w:p>
        </w:tc>
        <w:tc>
          <w:tcPr>
            <w:tcW w:w="991" w:type="dxa"/>
            <w:tcBorders>
              <w:top w:val="single" w:sz="4" w:space="0" w:color="auto"/>
              <w:bottom w:val="single" w:sz="4" w:space="0" w:color="auto"/>
              <w:right w:val="single" w:sz="12" w:space="0" w:color="auto"/>
            </w:tcBorders>
            <w:vAlign w:val="bottom"/>
          </w:tcPr>
          <w:p w14:paraId="213182FE" w14:textId="77777777" w:rsidR="00C029F7" w:rsidRPr="00984205" w:rsidRDefault="00C029F7" w:rsidP="00C029F7">
            <w:r>
              <w:t>1</w:t>
            </w:r>
          </w:p>
        </w:tc>
        <w:tc>
          <w:tcPr>
            <w:tcW w:w="894" w:type="dxa"/>
            <w:tcBorders>
              <w:left w:val="single" w:sz="12" w:space="0" w:color="auto"/>
            </w:tcBorders>
            <w:vAlign w:val="center"/>
          </w:tcPr>
          <w:p w14:paraId="037B1C66" w14:textId="77777777" w:rsidR="00C029F7" w:rsidRPr="00984205" w:rsidRDefault="00C029F7" w:rsidP="00C029F7">
            <w:r>
              <w:t>1.4</w:t>
            </w:r>
          </w:p>
        </w:tc>
        <w:tc>
          <w:tcPr>
            <w:tcW w:w="899" w:type="dxa"/>
            <w:vAlign w:val="bottom"/>
          </w:tcPr>
          <w:p w14:paraId="24FD2B88" w14:textId="77777777" w:rsidR="00C029F7" w:rsidRPr="00984205" w:rsidRDefault="00C029F7" w:rsidP="00C029F7">
            <w:r>
              <w:t>1</w:t>
            </w:r>
          </w:p>
        </w:tc>
      </w:tr>
      <w:tr w:rsidR="00C029F7" w:rsidRPr="00984205" w14:paraId="30B9FBB3" w14:textId="77777777" w:rsidTr="0013153A">
        <w:trPr>
          <w:trHeight w:val="227"/>
        </w:trPr>
        <w:tc>
          <w:tcPr>
            <w:tcW w:w="2671" w:type="dxa"/>
            <w:tcBorders>
              <w:right w:val="single" w:sz="12" w:space="0" w:color="auto"/>
            </w:tcBorders>
            <w:vAlign w:val="center"/>
          </w:tcPr>
          <w:p w14:paraId="67FE5348" w14:textId="77777777" w:rsidR="00C029F7" w:rsidRPr="00984205" w:rsidRDefault="00C029F7" w:rsidP="00C029F7">
            <w:r w:rsidRPr="00984205">
              <w:t>L</w:t>
            </w:r>
            <w:r>
              <w:t>iverpool Macro R</w:t>
            </w:r>
            <w:r w:rsidRPr="00984205">
              <w:t>esearch</w:t>
            </w:r>
          </w:p>
        </w:tc>
        <w:tc>
          <w:tcPr>
            <w:tcW w:w="893" w:type="dxa"/>
            <w:tcBorders>
              <w:top w:val="single" w:sz="4" w:space="0" w:color="auto"/>
              <w:left w:val="single" w:sz="12" w:space="0" w:color="auto"/>
              <w:bottom w:val="single" w:sz="4" w:space="0" w:color="auto"/>
            </w:tcBorders>
            <w:vAlign w:val="center"/>
          </w:tcPr>
          <w:p w14:paraId="22CDCE5F" w14:textId="77777777" w:rsidR="00C029F7" w:rsidRPr="00984205" w:rsidRDefault="00C029F7" w:rsidP="00C029F7">
            <w:r>
              <w:t>1.9</w:t>
            </w:r>
          </w:p>
        </w:tc>
        <w:tc>
          <w:tcPr>
            <w:tcW w:w="899" w:type="dxa"/>
            <w:tcBorders>
              <w:top w:val="single" w:sz="4" w:space="0" w:color="auto"/>
              <w:bottom w:val="single" w:sz="4" w:space="0" w:color="auto"/>
              <w:right w:val="single" w:sz="12" w:space="0" w:color="auto"/>
            </w:tcBorders>
            <w:vAlign w:val="bottom"/>
          </w:tcPr>
          <w:p w14:paraId="4C72C47D" w14:textId="77777777" w:rsidR="00C029F7" w:rsidRPr="00984205" w:rsidRDefault="00C029F7" w:rsidP="00C029F7">
            <w:r>
              <w:t>6</w:t>
            </w:r>
          </w:p>
        </w:tc>
        <w:tc>
          <w:tcPr>
            <w:tcW w:w="893" w:type="dxa"/>
            <w:tcBorders>
              <w:left w:val="single" w:sz="12" w:space="0" w:color="auto"/>
            </w:tcBorders>
            <w:vAlign w:val="center"/>
          </w:tcPr>
          <w:p w14:paraId="69E8CF2B" w14:textId="77777777" w:rsidR="00C029F7" w:rsidRPr="00984205" w:rsidRDefault="00C029F7" w:rsidP="00C029F7">
            <w:r>
              <w:t>1.9</w:t>
            </w:r>
          </w:p>
        </w:tc>
        <w:tc>
          <w:tcPr>
            <w:tcW w:w="899" w:type="dxa"/>
            <w:tcBorders>
              <w:right w:val="single" w:sz="12" w:space="0" w:color="auto"/>
            </w:tcBorders>
            <w:vAlign w:val="bottom"/>
          </w:tcPr>
          <w:p w14:paraId="236083B5" w14:textId="77777777" w:rsidR="00C029F7" w:rsidRPr="00984205" w:rsidRDefault="00C029F7" w:rsidP="00C029F7">
            <w:r>
              <w:t>6</w:t>
            </w:r>
          </w:p>
        </w:tc>
        <w:tc>
          <w:tcPr>
            <w:tcW w:w="894" w:type="dxa"/>
            <w:tcBorders>
              <w:top w:val="single" w:sz="4" w:space="0" w:color="auto"/>
              <w:left w:val="single" w:sz="12" w:space="0" w:color="auto"/>
              <w:bottom w:val="single" w:sz="4" w:space="0" w:color="auto"/>
            </w:tcBorders>
            <w:vAlign w:val="center"/>
          </w:tcPr>
          <w:p w14:paraId="48A97D7C" w14:textId="77777777" w:rsidR="00C029F7" w:rsidRPr="00984205" w:rsidRDefault="00C029F7" w:rsidP="00C029F7">
            <w:r>
              <w:t>2.1</w:t>
            </w:r>
          </w:p>
        </w:tc>
        <w:tc>
          <w:tcPr>
            <w:tcW w:w="991" w:type="dxa"/>
            <w:tcBorders>
              <w:top w:val="single" w:sz="4" w:space="0" w:color="auto"/>
              <w:bottom w:val="single" w:sz="4" w:space="0" w:color="auto"/>
              <w:right w:val="single" w:sz="12" w:space="0" w:color="auto"/>
            </w:tcBorders>
            <w:vAlign w:val="bottom"/>
          </w:tcPr>
          <w:p w14:paraId="293FE9DF" w14:textId="77777777" w:rsidR="00C029F7" w:rsidRPr="00984205" w:rsidRDefault="00C029F7" w:rsidP="00C029F7">
            <w:r>
              <w:t>5</w:t>
            </w:r>
          </w:p>
        </w:tc>
        <w:tc>
          <w:tcPr>
            <w:tcW w:w="894" w:type="dxa"/>
            <w:tcBorders>
              <w:left w:val="single" w:sz="12" w:space="0" w:color="auto"/>
            </w:tcBorders>
            <w:vAlign w:val="center"/>
          </w:tcPr>
          <w:p w14:paraId="13FBD21A" w14:textId="77777777" w:rsidR="00C029F7" w:rsidRPr="00984205" w:rsidRDefault="00C029F7" w:rsidP="00C029F7">
            <w:r>
              <w:t>2.1</w:t>
            </w:r>
          </w:p>
        </w:tc>
        <w:tc>
          <w:tcPr>
            <w:tcW w:w="899" w:type="dxa"/>
            <w:vAlign w:val="bottom"/>
          </w:tcPr>
          <w:p w14:paraId="3EB7EADD" w14:textId="77777777" w:rsidR="00C029F7" w:rsidRPr="00984205" w:rsidRDefault="00C029F7" w:rsidP="00C029F7">
            <w:r>
              <w:t>5</w:t>
            </w:r>
          </w:p>
        </w:tc>
      </w:tr>
      <w:tr w:rsidR="00C029F7" w:rsidRPr="00984205" w14:paraId="6E6FD55F" w14:textId="77777777" w:rsidTr="0013153A">
        <w:trPr>
          <w:trHeight w:val="227"/>
        </w:trPr>
        <w:tc>
          <w:tcPr>
            <w:tcW w:w="2671" w:type="dxa"/>
            <w:tcBorders>
              <w:right w:val="single" w:sz="12" w:space="0" w:color="auto"/>
            </w:tcBorders>
            <w:vAlign w:val="center"/>
          </w:tcPr>
          <w:p w14:paraId="69F9CC94" w14:textId="77777777" w:rsidR="00C029F7" w:rsidRPr="00984205" w:rsidRDefault="00C029F7" w:rsidP="00C029F7">
            <w:r w:rsidRPr="00984205">
              <w:t>NIESR</w:t>
            </w:r>
          </w:p>
        </w:tc>
        <w:tc>
          <w:tcPr>
            <w:tcW w:w="893" w:type="dxa"/>
            <w:tcBorders>
              <w:top w:val="single" w:sz="4" w:space="0" w:color="auto"/>
              <w:left w:val="single" w:sz="12" w:space="0" w:color="auto"/>
              <w:bottom w:val="single" w:sz="4" w:space="0" w:color="auto"/>
            </w:tcBorders>
            <w:vAlign w:val="center"/>
          </w:tcPr>
          <w:p w14:paraId="2F2A3FB4" w14:textId="77777777" w:rsidR="00C029F7" w:rsidRPr="00984205" w:rsidRDefault="00C029F7" w:rsidP="00C029F7">
            <w:r>
              <w:t>1.3</w:t>
            </w:r>
          </w:p>
        </w:tc>
        <w:tc>
          <w:tcPr>
            <w:tcW w:w="899" w:type="dxa"/>
            <w:tcBorders>
              <w:top w:val="single" w:sz="4" w:space="0" w:color="auto"/>
              <w:bottom w:val="single" w:sz="4" w:space="0" w:color="auto"/>
              <w:right w:val="single" w:sz="12" w:space="0" w:color="auto"/>
            </w:tcBorders>
            <w:vAlign w:val="bottom"/>
          </w:tcPr>
          <w:p w14:paraId="02DAB27D" w14:textId="77777777" w:rsidR="00C029F7" w:rsidRPr="00984205" w:rsidRDefault="00C029F7" w:rsidP="00C029F7">
            <w:r>
              <w:t>4</w:t>
            </w:r>
          </w:p>
        </w:tc>
        <w:tc>
          <w:tcPr>
            <w:tcW w:w="893" w:type="dxa"/>
            <w:tcBorders>
              <w:left w:val="single" w:sz="12" w:space="0" w:color="auto"/>
            </w:tcBorders>
            <w:vAlign w:val="center"/>
          </w:tcPr>
          <w:p w14:paraId="1AFE0D93" w14:textId="77777777" w:rsidR="00C029F7" w:rsidRPr="00984205" w:rsidRDefault="00C029F7" w:rsidP="00C029F7">
            <w:r>
              <w:t>1.6</w:t>
            </w:r>
          </w:p>
        </w:tc>
        <w:tc>
          <w:tcPr>
            <w:tcW w:w="899" w:type="dxa"/>
            <w:tcBorders>
              <w:right w:val="single" w:sz="12" w:space="0" w:color="auto"/>
            </w:tcBorders>
            <w:vAlign w:val="bottom"/>
          </w:tcPr>
          <w:p w14:paraId="1F5B81AB" w14:textId="77777777" w:rsidR="00C029F7" w:rsidRPr="00984205" w:rsidRDefault="00C029F7" w:rsidP="00C029F7">
            <w:r>
              <w:t>3</w:t>
            </w:r>
          </w:p>
        </w:tc>
        <w:tc>
          <w:tcPr>
            <w:tcW w:w="894" w:type="dxa"/>
            <w:tcBorders>
              <w:top w:val="single" w:sz="4" w:space="0" w:color="auto"/>
              <w:left w:val="single" w:sz="12" w:space="0" w:color="auto"/>
              <w:bottom w:val="single" w:sz="4" w:space="0" w:color="auto"/>
            </w:tcBorders>
            <w:vAlign w:val="center"/>
          </w:tcPr>
          <w:p w14:paraId="148A4F9F" w14:textId="77777777" w:rsidR="00C029F7" w:rsidRPr="00984205" w:rsidRDefault="00C029F7" w:rsidP="00C029F7">
            <w:r>
              <w:t>1.6</w:t>
            </w:r>
          </w:p>
        </w:tc>
        <w:tc>
          <w:tcPr>
            <w:tcW w:w="991" w:type="dxa"/>
            <w:tcBorders>
              <w:top w:val="single" w:sz="4" w:space="0" w:color="auto"/>
              <w:bottom w:val="single" w:sz="4" w:space="0" w:color="auto"/>
              <w:right w:val="single" w:sz="12" w:space="0" w:color="auto"/>
            </w:tcBorders>
            <w:vAlign w:val="bottom"/>
          </w:tcPr>
          <w:p w14:paraId="191D39B7" w14:textId="77777777" w:rsidR="00C029F7" w:rsidRPr="00984205" w:rsidRDefault="00C029F7" w:rsidP="00C029F7">
            <w:r>
              <w:t>2</w:t>
            </w:r>
          </w:p>
        </w:tc>
        <w:tc>
          <w:tcPr>
            <w:tcW w:w="894" w:type="dxa"/>
            <w:tcBorders>
              <w:left w:val="single" w:sz="12" w:space="0" w:color="auto"/>
            </w:tcBorders>
            <w:vAlign w:val="center"/>
          </w:tcPr>
          <w:p w14:paraId="113BE8BE" w14:textId="77777777" w:rsidR="00C029F7" w:rsidRPr="00984205" w:rsidRDefault="00C029F7" w:rsidP="00C029F7">
            <w:r>
              <w:t>1.8</w:t>
            </w:r>
          </w:p>
        </w:tc>
        <w:tc>
          <w:tcPr>
            <w:tcW w:w="899" w:type="dxa"/>
            <w:vAlign w:val="bottom"/>
          </w:tcPr>
          <w:p w14:paraId="425C6A89" w14:textId="77777777" w:rsidR="00C029F7" w:rsidRPr="00984205" w:rsidRDefault="00C029F7" w:rsidP="00C029F7">
            <w:r>
              <w:t>4</w:t>
            </w:r>
          </w:p>
        </w:tc>
      </w:tr>
      <w:tr w:rsidR="00C029F7" w:rsidRPr="00984205" w14:paraId="6E18AAA7" w14:textId="77777777" w:rsidTr="0013153A">
        <w:trPr>
          <w:trHeight w:val="227"/>
        </w:trPr>
        <w:tc>
          <w:tcPr>
            <w:tcW w:w="2671" w:type="dxa"/>
            <w:tcBorders>
              <w:right w:val="single" w:sz="12" w:space="0" w:color="auto"/>
            </w:tcBorders>
            <w:shd w:val="clear" w:color="auto" w:fill="FFD966" w:themeFill="accent4" w:themeFillTint="99"/>
            <w:vAlign w:val="center"/>
          </w:tcPr>
          <w:p w14:paraId="535981EA" w14:textId="77777777" w:rsidR="00C029F7" w:rsidRPr="00984205" w:rsidRDefault="00C029F7" w:rsidP="00C029F7">
            <w:r w:rsidRPr="00984205">
              <w:t>Oxford Economics</w:t>
            </w:r>
          </w:p>
        </w:tc>
        <w:tc>
          <w:tcPr>
            <w:tcW w:w="893" w:type="dxa"/>
            <w:tcBorders>
              <w:top w:val="single" w:sz="4" w:space="0" w:color="auto"/>
              <w:left w:val="single" w:sz="12" w:space="0" w:color="auto"/>
              <w:bottom w:val="single" w:sz="4" w:space="0" w:color="auto"/>
            </w:tcBorders>
            <w:shd w:val="clear" w:color="auto" w:fill="FFD966" w:themeFill="accent4" w:themeFillTint="99"/>
            <w:vAlign w:val="center"/>
          </w:tcPr>
          <w:p w14:paraId="2BD9D722" w14:textId="77777777" w:rsidR="00C029F7" w:rsidRPr="00984205" w:rsidRDefault="00C029F7" w:rsidP="00C029F7">
            <w:r>
              <w:t>1.0</w:t>
            </w:r>
          </w:p>
        </w:tc>
        <w:tc>
          <w:tcPr>
            <w:tcW w:w="899" w:type="dxa"/>
            <w:tcBorders>
              <w:top w:val="single" w:sz="4" w:space="0" w:color="auto"/>
              <w:bottom w:val="single" w:sz="4" w:space="0" w:color="auto"/>
              <w:right w:val="single" w:sz="12" w:space="0" w:color="auto"/>
            </w:tcBorders>
            <w:shd w:val="clear" w:color="auto" w:fill="FFD966" w:themeFill="accent4" w:themeFillTint="99"/>
            <w:vAlign w:val="bottom"/>
          </w:tcPr>
          <w:p w14:paraId="5F1F071F" w14:textId="77777777" w:rsidR="00C029F7" w:rsidRPr="00984205" w:rsidRDefault="00C029F7" w:rsidP="00C029F7">
            <w:r>
              <w:t>1</w:t>
            </w:r>
          </w:p>
        </w:tc>
        <w:tc>
          <w:tcPr>
            <w:tcW w:w="893" w:type="dxa"/>
            <w:tcBorders>
              <w:left w:val="single" w:sz="12" w:space="0" w:color="auto"/>
            </w:tcBorders>
            <w:shd w:val="clear" w:color="auto" w:fill="FFD966" w:themeFill="accent4" w:themeFillTint="99"/>
            <w:vAlign w:val="center"/>
          </w:tcPr>
          <w:p w14:paraId="44610CF3" w14:textId="77777777" w:rsidR="00C029F7" w:rsidRPr="00984205" w:rsidRDefault="00C029F7" w:rsidP="00C029F7">
            <w:r>
              <w:t>1.9</w:t>
            </w:r>
          </w:p>
        </w:tc>
        <w:tc>
          <w:tcPr>
            <w:tcW w:w="899" w:type="dxa"/>
            <w:tcBorders>
              <w:right w:val="single" w:sz="12" w:space="0" w:color="auto"/>
            </w:tcBorders>
            <w:shd w:val="clear" w:color="auto" w:fill="FFD966" w:themeFill="accent4" w:themeFillTint="99"/>
            <w:vAlign w:val="bottom"/>
          </w:tcPr>
          <w:p w14:paraId="5A3A9434" w14:textId="77777777" w:rsidR="00C029F7" w:rsidRPr="00984205" w:rsidRDefault="00C029F7" w:rsidP="00C029F7">
            <w:r>
              <w:t>7</w:t>
            </w:r>
          </w:p>
        </w:tc>
        <w:tc>
          <w:tcPr>
            <w:tcW w:w="894" w:type="dxa"/>
            <w:tcBorders>
              <w:top w:val="single" w:sz="4" w:space="0" w:color="auto"/>
              <w:left w:val="single" w:sz="12" w:space="0" w:color="auto"/>
              <w:bottom w:val="single" w:sz="4" w:space="0" w:color="auto"/>
            </w:tcBorders>
            <w:shd w:val="clear" w:color="auto" w:fill="FFD966" w:themeFill="accent4" w:themeFillTint="99"/>
            <w:vAlign w:val="center"/>
          </w:tcPr>
          <w:p w14:paraId="14546523" w14:textId="77777777" w:rsidR="00C029F7" w:rsidRPr="00984205" w:rsidRDefault="00C029F7" w:rsidP="00C029F7">
            <w:r>
              <w:t>1.7</w:t>
            </w:r>
          </w:p>
        </w:tc>
        <w:tc>
          <w:tcPr>
            <w:tcW w:w="991" w:type="dxa"/>
            <w:tcBorders>
              <w:top w:val="single" w:sz="4" w:space="0" w:color="auto"/>
              <w:bottom w:val="single" w:sz="4" w:space="0" w:color="auto"/>
              <w:right w:val="single" w:sz="12" w:space="0" w:color="auto"/>
            </w:tcBorders>
            <w:shd w:val="clear" w:color="auto" w:fill="FFD966" w:themeFill="accent4" w:themeFillTint="99"/>
            <w:vAlign w:val="bottom"/>
          </w:tcPr>
          <w:p w14:paraId="04B8A5D1" w14:textId="77777777" w:rsidR="00C029F7" w:rsidRPr="00984205" w:rsidRDefault="00C029F7" w:rsidP="00C029F7">
            <w:r>
              <w:t>3</w:t>
            </w:r>
          </w:p>
        </w:tc>
        <w:tc>
          <w:tcPr>
            <w:tcW w:w="894" w:type="dxa"/>
            <w:tcBorders>
              <w:left w:val="single" w:sz="12" w:space="0" w:color="auto"/>
            </w:tcBorders>
            <w:shd w:val="clear" w:color="auto" w:fill="FFD966" w:themeFill="accent4" w:themeFillTint="99"/>
            <w:vAlign w:val="center"/>
          </w:tcPr>
          <w:p w14:paraId="3ABDFBF2" w14:textId="77777777" w:rsidR="00C029F7" w:rsidRPr="00984205" w:rsidRDefault="00C029F7" w:rsidP="00C029F7">
            <w:r>
              <w:t>1.4</w:t>
            </w:r>
          </w:p>
        </w:tc>
        <w:tc>
          <w:tcPr>
            <w:tcW w:w="899" w:type="dxa"/>
            <w:shd w:val="clear" w:color="auto" w:fill="FFD966" w:themeFill="accent4" w:themeFillTint="99"/>
            <w:vAlign w:val="bottom"/>
          </w:tcPr>
          <w:p w14:paraId="25775586" w14:textId="77777777" w:rsidR="00C029F7" w:rsidRPr="00984205" w:rsidRDefault="00C029F7" w:rsidP="00C029F7">
            <w:r>
              <w:t>1</w:t>
            </w:r>
          </w:p>
        </w:tc>
      </w:tr>
      <w:tr w:rsidR="00C029F7" w:rsidRPr="00984205" w14:paraId="35CE63F6" w14:textId="77777777" w:rsidTr="0013153A">
        <w:trPr>
          <w:trHeight w:val="227"/>
        </w:trPr>
        <w:tc>
          <w:tcPr>
            <w:tcW w:w="2671" w:type="dxa"/>
            <w:tcBorders>
              <w:right w:val="single" w:sz="12" w:space="0" w:color="auto"/>
            </w:tcBorders>
            <w:vAlign w:val="center"/>
          </w:tcPr>
          <w:p w14:paraId="4357B29E" w14:textId="77777777" w:rsidR="00C029F7" w:rsidRPr="00984205" w:rsidRDefault="00C029F7" w:rsidP="00C029F7">
            <w:r w:rsidRPr="00984205">
              <w:t>PwC</w:t>
            </w:r>
          </w:p>
        </w:tc>
        <w:tc>
          <w:tcPr>
            <w:tcW w:w="893" w:type="dxa"/>
            <w:tcBorders>
              <w:top w:val="single" w:sz="4" w:space="0" w:color="auto"/>
              <w:left w:val="single" w:sz="12" w:space="0" w:color="auto"/>
              <w:bottom w:val="single" w:sz="4" w:space="0" w:color="auto"/>
            </w:tcBorders>
            <w:vAlign w:val="center"/>
          </w:tcPr>
          <w:p w14:paraId="166C2B3F" w14:textId="77777777" w:rsidR="00C029F7" w:rsidRPr="00984205" w:rsidRDefault="00C029F7" w:rsidP="00C029F7">
            <w:r>
              <w:t>1.2</w:t>
            </w:r>
          </w:p>
        </w:tc>
        <w:tc>
          <w:tcPr>
            <w:tcW w:w="899" w:type="dxa"/>
            <w:tcBorders>
              <w:top w:val="single" w:sz="4" w:space="0" w:color="auto"/>
              <w:bottom w:val="single" w:sz="4" w:space="0" w:color="auto"/>
              <w:right w:val="single" w:sz="12" w:space="0" w:color="auto"/>
            </w:tcBorders>
            <w:vAlign w:val="bottom"/>
          </w:tcPr>
          <w:p w14:paraId="4EC3CD2D" w14:textId="77777777" w:rsidR="00C029F7" w:rsidRPr="00984205" w:rsidRDefault="00C029F7" w:rsidP="00C029F7">
            <w:r>
              <w:t>3</w:t>
            </w:r>
          </w:p>
        </w:tc>
        <w:tc>
          <w:tcPr>
            <w:tcW w:w="893" w:type="dxa"/>
            <w:tcBorders>
              <w:left w:val="single" w:sz="12" w:space="0" w:color="auto"/>
            </w:tcBorders>
            <w:vAlign w:val="center"/>
          </w:tcPr>
          <w:p w14:paraId="48A32784" w14:textId="77777777" w:rsidR="00C029F7" w:rsidRPr="00984205" w:rsidRDefault="00C029F7" w:rsidP="00C029F7">
            <w:r>
              <w:t>1.4</w:t>
            </w:r>
          </w:p>
        </w:tc>
        <w:tc>
          <w:tcPr>
            <w:tcW w:w="899" w:type="dxa"/>
            <w:tcBorders>
              <w:right w:val="single" w:sz="12" w:space="0" w:color="auto"/>
            </w:tcBorders>
            <w:vAlign w:val="bottom"/>
          </w:tcPr>
          <w:p w14:paraId="362FC992" w14:textId="77777777" w:rsidR="00C029F7" w:rsidRPr="00984205" w:rsidRDefault="00C029F7" w:rsidP="00C029F7">
            <w:r>
              <w:t>1</w:t>
            </w:r>
          </w:p>
        </w:tc>
        <w:tc>
          <w:tcPr>
            <w:tcW w:w="894" w:type="dxa"/>
            <w:tcBorders>
              <w:top w:val="single" w:sz="4" w:space="0" w:color="auto"/>
              <w:left w:val="single" w:sz="12" w:space="0" w:color="auto"/>
              <w:bottom w:val="single" w:sz="4" w:space="0" w:color="auto"/>
            </w:tcBorders>
            <w:vAlign w:val="center"/>
          </w:tcPr>
          <w:p w14:paraId="6254BEFA" w14:textId="77777777" w:rsidR="00C029F7" w:rsidRPr="00984205" w:rsidRDefault="00C029F7" w:rsidP="00C029F7">
            <w:r w:rsidRPr="00984205">
              <w:t>-</w:t>
            </w:r>
          </w:p>
        </w:tc>
        <w:tc>
          <w:tcPr>
            <w:tcW w:w="991" w:type="dxa"/>
            <w:tcBorders>
              <w:top w:val="single" w:sz="4" w:space="0" w:color="auto"/>
              <w:bottom w:val="single" w:sz="4" w:space="0" w:color="auto"/>
              <w:right w:val="single" w:sz="12" w:space="0" w:color="auto"/>
            </w:tcBorders>
            <w:vAlign w:val="bottom"/>
          </w:tcPr>
          <w:p w14:paraId="682F6DF6" w14:textId="77777777" w:rsidR="00C029F7" w:rsidRPr="00984205" w:rsidRDefault="00C029F7" w:rsidP="00C029F7">
            <w:r>
              <w:t>-</w:t>
            </w:r>
          </w:p>
        </w:tc>
        <w:tc>
          <w:tcPr>
            <w:tcW w:w="894" w:type="dxa"/>
            <w:tcBorders>
              <w:left w:val="single" w:sz="12" w:space="0" w:color="auto"/>
            </w:tcBorders>
            <w:vAlign w:val="center"/>
          </w:tcPr>
          <w:p w14:paraId="7E9A5AD8" w14:textId="77777777" w:rsidR="00C029F7" w:rsidRPr="00984205" w:rsidRDefault="00C029F7" w:rsidP="00C029F7">
            <w:r w:rsidRPr="00984205">
              <w:t>-</w:t>
            </w:r>
          </w:p>
        </w:tc>
        <w:tc>
          <w:tcPr>
            <w:tcW w:w="899" w:type="dxa"/>
            <w:vAlign w:val="bottom"/>
          </w:tcPr>
          <w:p w14:paraId="029C0091" w14:textId="77777777" w:rsidR="00C029F7" w:rsidRPr="00984205" w:rsidRDefault="00C029F7" w:rsidP="00C029F7">
            <w:r>
              <w:t>-</w:t>
            </w:r>
          </w:p>
        </w:tc>
      </w:tr>
      <w:tr w:rsidR="00C029F7" w:rsidRPr="00984205" w14:paraId="0D25C8EF" w14:textId="77777777" w:rsidTr="0013153A">
        <w:trPr>
          <w:trHeight w:val="227"/>
        </w:trPr>
        <w:tc>
          <w:tcPr>
            <w:tcW w:w="2671" w:type="dxa"/>
            <w:tcBorders>
              <w:right w:val="single" w:sz="12" w:space="0" w:color="auto"/>
            </w:tcBorders>
            <w:vAlign w:val="center"/>
          </w:tcPr>
          <w:p w14:paraId="49DDB16E" w14:textId="77777777" w:rsidR="00C029F7" w:rsidRPr="00984205" w:rsidRDefault="00C029F7" w:rsidP="00C029F7">
            <w:r>
              <w:t xml:space="preserve">EY </w:t>
            </w:r>
            <w:r w:rsidRPr="00984205">
              <w:t>ITEM Club</w:t>
            </w:r>
          </w:p>
        </w:tc>
        <w:tc>
          <w:tcPr>
            <w:tcW w:w="893" w:type="dxa"/>
            <w:tcBorders>
              <w:top w:val="single" w:sz="4" w:space="0" w:color="auto"/>
              <w:left w:val="single" w:sz="12" w:space="0" w:color="auto"/>
              <w:bottom w:val="single" w:sz="4" w:space="0" w:color="auto"/>
            </w:tcBorders>
            <w:vAlign w:val="center"/>
          </w:tcPr>
          <w:p w14:paraId="58ECAA5E" w14:textId="77777777" w:rsidR="00C029F7" w:rsidRPr="00984205" w:rsidRDefault="00C029F7" w:rsidP="00C029F7">
            <w:r>
              <w:t>1.2</w:t>
            </w:r>
          </w:p>
        </w:tc>
        <w:tc>
          <w:tcPr>
            <w:tcW w:w="899" w:type="dxa"/>
            <w:tcBorders>
              <w:top w:val="single" w:sz="4" w:space="0" w:color="auto"/>
              <w:bottom w:val="single" w:sz="4" w:space="0" w:color="auto"/>
              <w:right w:val="single" w:sz="12" w:space="0" w:color="auto"/>
            </w:tcBorders>
            <w:vAlign w:val="bottom"/>
          </w:tcPr>
          <w:p w14:paraId="0A50B716" w14:textId="77777777" w:rsidR="00C029F7" w:rsidRPr="00984205" w:rsidRDefault="00C029F7" w:rsidP="00C029F7">
            <w:r>
              <w:t>3</w:t>
            </w:r>
          </w:p>
        </w:tc>
        <w:tc>
          <w:tcPr>
            <w:tcW w:w="893" w:type="dxa"/>
            <w:tcBorders>
              <w:left w:val="single" w:sz="12" w:space="0" w:color="auto"/>
            </w:tcBorders>
            <w:vAlign w:val="center"/>
          </w:tcPr>
          <w:p w14:paraId="558C7FC9" w14:textId="77777777" w:rsidR="00C029F7" w:rsidRPr="00984205" w:rsidRDefault="00C029F7" w:rsidP="00C029F7">
            <w:r>
              <w:t>1.7</w:t>
            </w:r>
          </w:p>
        </w:tc>
        <w:tc>
          <w:tcPr>
            <w:tcW w:w="899" w:type="dxa"/>
            <w:tcBorders>
              <w:right w:val="single" w:sz="12" w:space="0" w:color="auto"/>
            </w:tcBorders>
            <w:vAlign w:val="bottom"/>
          </w:tcPr>
          <w:p w14:paraId="0A0F3616" w14:textId="77777777" w:rsidR="00C029F7" w:rsidRPr="00984205" w:rsidRDefault="00C029F7" w:rsidP="00C029F7">
            <w:r>
              <w:t>4</w:t>
            </w:r>
          </w:p>
        </w:tc>
        <w:tc>
          <w:tcPr>
            <w:tcW w:w="894" w:type="dxa"/>
            <w:tcBorders>
              <w:top w:val="single" w:sz="4" w:space="0" w:color="auto"/>
              <w:left w:val="single" w:sz="12" w:space="0" w:color="auto"/>
              <w:bottom w:val="single" w:sz="4" w:space="0" w:color="auto"/>
            </w:tcBorders>
            <w:vAlign w:val="center"/>
          </w:tcPr>
          <w:p w14:paraId="049AAB55" w14:textId="77777777" w:rsidR="00C029F7" w:rsidRPr="00984205" w:rsidRDefault="00C029F7" w:rsidP="00C029F7">
            <w:r>
              <w:t>1.8</w:t>
            </w:r>
          </w:p>
        </w:tc>
        <w:tc>
          <w:tcPr>
            <w:tcW w:w="991" w:type="dxa"/>
            <w:tcBorders>
              <w:top w:val="single" w:sz="4" w:space="0" w:color="auto"/>
              <w:bottom w:val="single" w:sz="4" w:space="0" w:color="auto"/>
              <w:right w:val="single" w:sz="12" w:space="0" w:color="auto"/>
            </w:tcBorders>
            <w:vAlign w:val="bottom"/>
          </w:tcPr>
          <w:p w14:paraId="3CAB9E57" w14:textId="77777777" w:rsidR="00C029F7" w:rsidRPr="00984205" w:rsidRDefault="00C029F7" w:rsidP="00C029F7">
            <w:r>
              <w:t>4</w:t>
            </w:r>
          </w:p>
        </w:tc>
        <w:tc>
          <w:tcPr>
            <w:tcW w:w="894" w:type="dxa"/>
            <w:tcBorders>
              <w:left w:val="single" w:sz="12" w:space="0" w:color="auto"/>
            </w:tcBorders>
            <w:vAlign w:val="center"/>
          </w:tcPr>
          <w:p w14:paraId="1EE64DDE" w14:textId="77777777" w:rsidR="00C029F7" w:rsidRPr="00984205" w:rsidRDefault="00C029F7" w:rsidP="00C029F7">
            <w:r>
              <w:t>1.7</w:t>
            </w:r>
          </w:p>
        </w:tc>
        <w:tc>
          <w:tcPr>
            <w:tcW w:w="899" w:type="dxa"/>
            <w:vAlign w:val="bottom"/>
          </w:tcPr>
          <w:p w14:paraId="04460476" w14:textId="77777777" w:rsidR="00C029F7" w:rsidRPr="00984205" w:rsidRDefault="00C029F7" w:rsidP="00C029F7">
            <w:r>
              <w:t>3</w:t>
            </w:r>
          </w:p>
        </w:tc>
      </w:tr>
      <w:tr w:rsidR="00C029F7" w:rsidRPr="00984205" w14:paraId="051B9A6C" w14:textId="77777777" w:rsidTr="0013153A">
        <w:trPr>
          <w:trHeight w:val="227"/>
        </w:trPr>
        <w:tc>
          <w:tcPr>
            <w:tcW w:w="2671" w:type="dxa"/>
            <w:tcBorders>
              <w:bottom w:val="single" w:sz="12" w:space="0" w:color="auto"/>
              <w:right w:val="single" w:sz="12" w:space="0" w:color="auto"/>
            </w:tcBorders>
            <w:vAlign w:val="center"/>
          </w:tcPr>
          <w:p w14:paraId="7D9A36C9" w14:textId="77777777" w:rsidR="00C029F7" w:rsidRPr="00984205" w:rsidRDefault="00C029F7" w:rsidP="00C029F7">
            <w:r>
              <w:t>Kern Consulting</w:t>
            </w:r>
          </w:p>
        </w:tc>
        <w:tc>
          <w:tcPr>
            <w:tcW w:w="893" w:type="dxa"/>
            <w:tcBorders>
              <w:top w:val="single" w:sz="4" w:space="0" w:color="auto"/>
              <w:left w:val="single" w:sz="12" w:space="0" w:color="auto"/>
              <w:bottom w:val="single" w:sz="12" w:space="0" w:color="auto"/>
            </w:tcBorders>
            <w:vAlign w:val="center"/>
          </w:tcPr>
          <w:p w14:paraId="2034C58B" w14:textId="77777777" w:rsidR="00C029F7" w:rsidRPr="00984205" w:rsidRDefault="00C029F7" w:rsidP="00C029F7">
            <w:r>
              <w:t>1.2</w:t>
            </w:r>
          </w:p>
        </w:tc>
        <w:tc>
          <w:tcPr>
            <w:tcW w:w="899" w:type="dxa"/>
            <w:tcBorders>
              <w:top w:val="single" w:sz="4" w:space="0" w:color="auto"/>
              <w:bottom w:val="single" w:sz="12" w:space="0" w:color="auto"/>
              <w:right w:val="single" w:sz="12" w:space="0" w:color="auto"/>
            </w:tcBorders>
            <w:vAlign w:val="bottom"/>
          </w:tcPr>
          <w:p w14:paraId="238B172D" w14:textId="77777777" w:rsidR="00C029F7" w:rsidRPr="00984205" w:rsidRDefault="00C029F7" w:rsidP="00C029F7">
            <w:r>
              <w:t>3</w:t>
            </w:r>
          </w:p>
        </w:tc>
        <w:tc>
          <w:tcPr>
            <w:tcW w:w="893" w:type="dxa"/>
            <w:tcBorders>
              <w:left w:val="single" w:sz="12" w:space="0" w:color="auto"/>
              <w:bottom w:val="single" w:sz="12" w:space="0" w:color="auto"/>
            </w:tcBorders>
            <w:vAlign w:val="center"/>
          </w:tcPr>
          <w:p w14:paraId="2A04DD3C" w14:textId="77777777" w:rsidR="00C029F7" w:rsidRPr="00984205" w:rsidRDefault="00C029F7" w:rsidP="00C029F7">
            <w:r>
              <w:t>1.5</w:t>
            </w:r>
          </w:p>
        </w:tc>
        <w:tc>
          <w:tcPr>
            <w:tcW w:w="899" w:type="dxa"/>
            <w:tcBorders>
              <w:bottom w:val="single" w:sz="12" w:space="0" w:color="auto"/>
              <w:right w:val="single" w:sz="12" w:space="0" w:color="auto"/>
            </w:tcBorders>
            <w:vAlign w:val="bottom"/>
          </w:tcPr>
          <w:p w14:paraId="17A81001" w14:textId="77777777" w:rsidR="00C029F7" w:rsidRPr="00984205" w:rsidRDefault="00C029F7" w:rsidP="00C029F7">
            <w:r>
              <w:t>2</w:t>
            </w:r>
          </w:p>
        </w:tc>
        <w:tc>
          <w:tcPr>
            <w:tcW w:w="894" w:type="dxa"/>
            <w:tcBorders>
              <w:top w:val="single" w:sz="4" w:space="0" w:color="auto"/>
              <w:left w:val="single" w:sz="12" w:space="0" w:color="auto"/>
              <w:bottom w:val="single" w:sz="12" w:space="0" w:color="auto"/>
            </w:tcBorders>
            <w:vAlign w:val="center"/>
          </w:tcPr>
          <w:p w14:paraId="257ABB99" w14:textId="77777777" w:rsidR="00C029F7" w:rsidRPr="00984205" w:rsidRDefault="00C029F7" w:rsidP="00C029F7">
            <w:r>
              <w:t>1.7</w:t>
            </w:r>
          </w:p>
        </w:tc>
        <w:tc>
          <w:tcPr>
            <w:tcW w:w="991" w:type="dxa"/>
            <w:tcBorders>
              <w:top w:val="single" w:sz="4" w:space="0" w:color="auto"/>
              <w:bottom w:val="single" w:sz="12" w:space="0" w:color="auto"/>
              <w:right w:val="single" w:sz="12" w:space="0" w:color="auto"/>
            </w:tcBorders>
            <w:vAlign w:val="bottom"/>
          </w:tcPr>
          <w:p w14:paraId="707BB020" w14:textId="77777777" w:rsidR="00C029F7" w:rsidRPr="00984205" w:rsidRDefault="00C029F7" w:rsidP="00C029F7">
            <w:r>
              <w:t>3</w:t>
            </w:r>
          </w:p>
        </w:tc>
        <w:tc>
          <w:tcPr>
            <w:tcW w:w="894" w:type="dxa"/>
            <w:tcBorders>
              <w:left w:val="single" w:sz="12" w:space="0" w:color="auto"/>
              <w:bottom w:val="single" w:sz="12" w:space="0" w:color="auto"/>
            </w:tcBorders>
            <w:vAlign w:val="center"/>
          </w:tcPr>
          <w:p w14:paraId="5420A9C5" w14:textId="77777777" w:rsidR="00C029F7" w:rsidRPr="00984205" w:rsidRDefault="00C029F7" w:rsidP="00C029F7">
            <w:r>
              <w:t>1.8</w:t>
            </w:r>
          </w:p>
        </w:tc>
        <w:tc>
          <w:tcPr>
            <w:tcW w:w="899" w:type="dxa"/>
            <w:tcBorders>
              <w:bottom w:val="single" w:sz="12" w:space="0" w:color="auto"/>
            </w:tcBorders>
            <w:vAlign w:val="bottom"/>
          </w:tcPr>
          <w:p w14:paraId="041DC502" w14:textId="77777777" w:rsidR="00C029F7" w:rsidRPr="00984205" w:rsidRDefault="00C029F7" w:rsidP="00C029F7">
            <w:r>
              <w:t>4</w:t>
            </w:r>
          </w:p>
        </w:tc>
      </w:tr>
    </w:tbl>
    <w:p w14:paraId="4E1E01DE" w14:textId="77777777" w:rsidR="00C029F7" w:rsidRDefault="00C029F7" w:rsidP="00C029F7">
      <w:pPr>
        <w:rPr>
          <w:i/>
        </w:rPr>
      </w:pPr>
    </w:p>
    <w:p w14:paraId="084DD342" w14:textId="55175713" w:rsidR="00C029F7" w:rsidRPr="00C029F7" w:rsidRDefault="00C029F7" w:rsidP="00C029F7">
      <w:pPr>
        <w:rPr>
          <w:iCs/>
        </w:rPr>
      </w:pPr>
      <w:r w:rsidRPr="00C029F7">
        <w:rPr>
          <w:iCs/>
        </w:rPr>
        <w:t>6.2.</w:t>
      </w:r>
      <w:r w:rsidRPr="00C029F7">
        <w:rPr>
          <w:iCs/>
        </w:rPr>
        <w:tab/>
        <w:t xml:space="preserve">Figure 4: </w:t>
      </w:r>
      <w:r w:rsidRPr="00C029F7">
        <w:rPr>
          <w:iCs/>
        </w:rPr>
        <w:t>Forecast long-term impact of Brexit on GDP relative to remaining in the EU</w:t>
      </w:r>
      <w:r w:rsidR="00984EC7">
        <w:rPr>
          <w:iCs/>
        </w:rPr>
        <w:t>.</w:t>
      </w:r>
      <w:r w:rsidRPr="00C029F7">
        <w:rPr>
          <w:iCs/>
        </w:rPr>
        <w:t xml:space="preserve"> </w:t>
      </w:r>
      <w:r w:rsidRPr="00984EC7">
        <w:rPr>
          <w:i/>
        </w:rPr>
        <w:t>Source: Institute for Government</w:t>
      </w:r>
    </w:p>
    <w:p w14:paraId="48E7ABBD" w14:textId="7F4745E0" w:rsidR="00C029F7" w:rsidRPr="00984EC7" w:rsidRDefault="00C029F7" w:rsidP="00820AD0">
      <w:r w:rsidRPr="00984205">
        <w:rPr>
          <w:noProof/>
          <w:lang w:eastAsia="en-GB"/>
        </w:rPr>
        <w:lastRenderedPageBreak/>
        <w:drawing>
          <wp:inline distT="0" distB="0" distL="0" distR="0" wp14:anchorId="3309408A" wp14:editId="6555C1FA">
            <wp:extent cx="5409227" cy="2446317"/>
            <wp:effectExtent l="0" t="0" r="1270" b="0"/>
            <wp:docPr id="2" name="Picture 2" descr="Chart showing the impact of Brexit on UK GDP, according to different scenarios and different forecasts. The impact is shown relative to the predicted GDP should the UK remain in the EU, and the majority predict a drop in GDP between 0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howing the impact of Brexit on UK GDP, according to different scenarios and different forecasts. The impact is shown relative to the predicted GDP should the UK remain in the EU, and the majority predict a drop in GDP between 0 and -5%."/>
                    <pic:cNvPicPr/>
                  </pic:nvPicPr>
                  <pic:blipFill>
                    <a:blip r:embed="rId11"/>
                    <a:stretch>
                      <a:fillRect/>
                    </a:stretch>
                  </pic:blipFill>
                  <pic:spPr>
                    <a:xfrm>
                      <a:off x="0" y="0"/>
                      <a:ext cx="5466866" cy="2472384"/>
                    </a:xfrm>
                    <a:prstGeom prst="rect">
                      <a:avLst/>
                    </a:prstGeom>
                  </pic:spPr>
                </pic:pic>
              </a:graphicData>
            </a:graphic>
          </wp:inline>
        </w:drawing>
      </w:r>
    </w:p>
    <w:sectPr w:rsidR="00C029F7" w:rsidRPr="00984EC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C464" w14:textId="77777777" w:rsidR="007616C2" w:rsidRDefault="007616C2" w:rsidP="00E5372F">
      <w:pPr>
        <w:spacing w:after="0" w:line="240" w:lineRule="auto"/>
      </w:pPr>
      <w:r>
        <w:separator/>
      </w:r>
    </w:p>
  </w:endnote>
  <w:endnote w:type="continuationSeparator" w:id="0">
    <w:p w14:paraId="26A6B22A" w14:textId="77777777" w:rsidR="007616C2" w:rsidRDefault="007616C2" w:rsidP="00E5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E9EB" w14:textId="77777777" w:rsidR="007616C2" w:rsidRDefault="007616C2" w:rsidP="00E5372F">
      <w:pPr>
        <w:spacing w:after="0" w:line="240" w:lineRule="auto"/>
      </w:pPr>
      <w:r>
        <w:separator/>
      </w:r>
    </w:p>
  </w:footnote>
  <w:footnote w:type="continuationSeparator" w:id="0">
    <w:p w14:paraId="74AD35CE" w14:textId="77777777" w:rsidR="007616C2" w:rsidRDefault="007616C2" w:rsidP="00E5372F">
      <w:pPr>
        <w:spacing w:after="0" w:line="240" w:lineRule="auto"/>
      </w:pPr>
      <w:r>
        <w:continuationSeparator/>
      </w:r>
    </w:p>
  </w:footnote>
  <w:footnote w:id="1">
    <w:p w14:paraId="48DA8099" w14:textId="2DD8843D" w:rsidR="007616C2" w:rsidRDefault="007616C2">
      <w:pPr>
        <w:pStyle w:val="FootnoteText"/>
      </w:pPr>
      <w:r>
        <w:rPr>
          <w:rStyle w:val="FootnoteReference"/>
        </w:rPr>
        <w:footnoteRef/>
      </w:r>
      <w:r>
        <w:t xml:space="preserve"> </w:t>
      </w:r>
      <w:r w:rsidRPr="00E5372F">
        <w:t>More detail on Brexit is included in the main body of the report. The assumptions are based on Oxford Economics’ view on the risks of Brexit in mid-2019.</w:t>
      </w:r>
    </w:p>
  </w:footnote>
  <w:footnote w:id="2">
    <w:p w14:paraId="6E001BAB" w14:textId="4B4675CD" w:rsidR="007616C2" w:rsidRDefault="007616C2">
      <w:pPr>
        <w:pStyle w:val="FootnoteText"/>
      </w:pPr>
      <w:r>
        <w:rPr>
          <w:rStyle w:val="FootnoteReference"/>
        </w:rPr>
        <w:footnoteRef/>
      </w:r>
      <w:r>
        <w:t xml:space="preserve"> </w:t>
      </w:r>
      <w:r w:rsidRPr="00E5372F">
        <w:t>Real GVA – figures expressed as constant prices, removing the effects of inflation, and using regional deflators</w:t>
      </w:r>
    </w:p>
  </w:footnote>
  <w:footnote w:id="3">
    <w:p w14:paraId="4493C502" w14:textId="2E5CC2E1" w:rsidR="007616C2" w:rsidRDefault="007616C2">
      <w:pPr>
        <w:pStyle w:val="FootnoteText"/>
      </w:pPr>
      <w:r>
        <w:rPr>
          <w:rStyle w:val="FootnoteReference"/>
        </w:rPr>
        <w:footnoteRef/>
      </w:r>
      <w:r>
        <w:t xml:space="preserve"> </w:t>
      </w:r>
      <w:r w:rsidRPr="005E3764">
        <w:t>Office for Budget Responsibility (March 2020): Economic and Fiscal Outlook</w:t>
      </w:r>
      <w:r>
        <w:t xml:space="preserve"> </w:t>
      </w:r>
      <w:hyperlink r:id="rId1" w:history="1">
        <w:r>
          <w:rPr>
            <w:rStyle w:val="Hyperlink"/>
          </w:rPr>
          <w:t>Economic and fiscal outlook - March 2020 - Office for Budget Responsibility (obr.uk)</w:t>
        </w:r>
      </w:hyperlink>
    </w:p>
  </w:footnote>
  <w:footnote w:id="4">
    <w:p w14:paraId="4EF1F9E1" w14:textId="5A22D19F" w:rsidR="007616C2" w:rsidRDefault="007616C2">
      <w:pPr>
        <w:pStyle w:val="FootnoteText"/>
      </w:pPr>
      <w:r>
        <w:rPr>
          <w:rStyle w:val="FootnoteReference"/>
        </w:rPr>
        <w:footnoteRef/>
      </w:r>
      <w:r>
        <w:t xml:space="preserve"> </w:t>
      </w:r>
      <w:r w:rsidRPr="005E3764">
        <w:t>Source: BoE (2018): The UK’s Productivity Problem – Speech by Andrew Haldane;</w:t>
      </w:r>
      <w:r>
        <w:t xml:space="preserve"> </w:t>
      </w:r>
      <w:hyperlink r:id="rId2" w:history="1">
        <w:r>
          <w:rPr>
            <w:rStyle w:val="Hyperlink"/>
          </w:rPr>
          <w:t>The UK’s Productivity Problem: Hub No Spokes (bankofengland.co.uk)</w:t>
        </w:r>
      </w:hyperlink>
      <w:r>
        <w:t xml:space="preserve"> </w:t>
      </w:r>
      <w:r w:rsidRPr="005E3764">
        <w:t>Further analysis is presented in the Greater Manchester Independent Prosperity Review – Audit of Productivity</w:t>
      </w:r>
    </w:p>
  </w:footnote>
  <w:footnote w:id="5">
    <w:p w14:paraId="3B5CD99B" w14:textId="7639198E" w:rsidR="007616C2" w:rsidRDefault="007616C2">
      <w:pPr>
        <w:pStyle w:val="FootnoteText"/>
      </w:pPr>
      <w:r>
        <w:rPr>
          <w:rStyle w:val="FootnoteReference"/>
        </w:rPr>
        <w:footnoteRef/>
      </w:r>
      <w:r>
        <w:t xml:space="preserve"> Ibid</w:t>
      </w:r>
    </w:p>
  </w:footnote>
  <w:footnote w:id="6">
    <w:p w14:paraId="7EEAE195" w14:textId="3AD17458" w:rsidR="007616C2" w:rsidRDefault="007616C2">
      <w:pPr>
        <w:pStyle w:val="FootnoteText"/>
      </w:pPr>
      <w:r>
        <w:rPr>
          <w:rStyle w:val="FootnoteReference"/>
        </w:rPr>
        <w:footnoteRef/>
      </w:r>
      <w:r>
        <w:t xml:space="preserve"> </w:t>
      </w:r>
      <w:r w:rsidRPr="005E3764">
        <w:t xml:space="preserve">  GMFM-2019 GVA is expressed in 2016 constant prices</w:t>
      </w:r>
    </w:p>
  </w:footnote>
  <w:footnote w:id="7">
    <w:p w14:paraId="5DF9771B" w14:textId="77777777" w:rsidR="001E5153" w:rsidRPr="00786DFB" w:rsidRDefault="001E5153" w:rsidP="001E5153">
      <w:pPr>
        <w:pStyle w:val="FootnoteText"/>
        <w:rPr>
          <w:szCs w:val="16"/>
        </w:rPr>
      </w:pPr>
      <w:r w:rsidRPr="00786DFB">
        <w:rPr>
          <w:rStyle w:val="FootnoteReference"/>
          <w:szCs w:val="16"/>
        </w:rPr>
        <w:footnoteRef/>
      </w:r>
      <w:r w:rsidRPr="00786DFB">
        <w:rPr>
          <w:szCs w:val="16"/>
        </w:rPr>
        <w:t xml:space="preserve"> Equivalent to just under 10,000 additional residents per year over the 20-year period.</w:t>
      </w:r>
    </w:p>
  </w:footnote>
  <w:footnote w:id="8">
    <w:p w14:paraId="112C4BA2" w14:textId="77777777" w:rsidR="00C53867" w:rsidRPr="00786DFB" w:rsidRDefault="00C53867" w:rsidP="00C53867">
      <w:pPr>
        <w:pStyle w:val="FootnoteText"/>
        <w:rPr>
          <w:szCs w:val="16"/>
        </w:rPr>
      </w:pPr>
      <w:r w:rsidRPr="00786DFB">
        <w:rPr>
          <w:rStyle w:val="FootnoteReference"/>
          <w:szCs w:val="16"/>
        </w:rPr>
        <w:footnoteRef/>
      </w:r>
      <w:r w:rsidRPr="00786DFB">
        <w:rPr>
          <w:szCs w:val="16"/>
        </w:rPr>
        <w:t xml:space="preserve"> </w:t>
      </w:r>
      <w:r>
        <w:rPr>
          <w:rFonts w:cs="Arial"/>
          <w:color w:val="000000" w:themeColor="text1"/>
          <w:szCs w:val="16"/>
        </w:rPr>
        <w:t>December 2019 Experian regional economic forecasts (Conservative manifesto scenario) for GVA, employment, and productivity; September 2019 Experian regional economic forecasts for population</w:t>
      </w:r>
    </w:p>
  </w:footnote>
  <w:footnote w:id="9">
    <w:p w14:paraId="7C0712F9" w14:textId="6F543667" w:rsidR="00820AD0" w:rsidRDefault="00820AD0" w:rsidP="00820AD0">
      <w:pPr>
        <w:pStyle w:val="FootnoteText"/>
      </w:pPr>
      <w:r>
        <w:rPr>
          <w:rStyle w:val="FootnoteReference"/>
        </w:rPr>
        <w:footnoteRef/>
      </w:r>
      <w:r>
        <w:t xml:space="preserve"> </w:t>
      </w:r>
      <w:hyperlink r:id="rId3" w:history="1">
        <w:r>
          <w:rPr>
            <w:rStyle w:val="Hyperlink"/>
          </w:rPr>
          <w:t>Northern Powerhouse Independent Economic Review - Executive Summary</w:t>
        </w:r>
      </w:hyperlink>
    </w:p>
  </w:footnote>
  <w:footnote w:id="10">
    <w:p w14:paraId="366FE4DA" w14:textId="77777777" w:rsidR="00820AD0" w:rsidRDefault="00820AD0" w:rsidP="00820AD0">
      <w:pPr>
        <w:pStyle w:val="FootnoteText"/>
      </w:pPr>
      <w:r>
        <w:rPr>
          <w:rStyle w:val="FootnoteReference"/>
        </w:rPr>
        <w:footnoteRef/>
      </w:r>
      <w:r>
        <w:t xml:space="preserve"> Note the UK grows slightly faster in the AGS than the GMFM 2019 baseline, due to stronger growth in the North boosting overall UK economic growth</w:t>
      </w:r>
    </w:p>
  </w:footnote>
  <w:footnote w:id="11">
    <w:p w14:paraId="67F69BF9" w14:textId="3C46C50F" w:rsidR="00D042C5" w:rsidRDefault="00D042C5">
      <w:pPr>
        <w:pStyle w:val="FootnoteText"/>
      </w:pPr>
      <w:r>
        <w:rPr>
          <w:rStyle w:val="FootnoteReference"/>
        </w:rPr>
        <w:footnoteRef/>
      </w:r>
      <w:r>
        <w:t xml:space="preserve"> </w:t>
      </w:r>
      <w:r w:rsidRPr="00D042C5">
        <w:t>GVA show impacts in 2037 vs level recorded in GM in 2017, and additionality during 2037. For total GVA impact over time by sector requires totalling additionality every year to 2037 expressed as a Net Present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C892" w14:textId="2114BD9E" w:rsidR="00411FFF" w:rsidRDefault="00411FFF" w:rsidP="00411FFF">
    <w:pPr>
      <w:pStyle w:val="Header"/>
      <w:jc w:val="right"/>
    </w:pPr>
    <w:r w:rsidRPr="00CE65E0">
      <w:rPr>
        <w:rFonts w:cs="Arial"/>
        <w:b/>
        <w:noProof/>
        <w:sz w:val="60"/>
        <w:szCs w:val="60"/>
        <w:lang w:eastAsia="en-GB"/>
      </w:rPr>
      <w:drawing>
        <wp:inline distT="0" distB="0" distL="0" distR="0" wp14:anchorId="33BB0754" wp14:editId="2914EC72">
          <wp:extent cx="2731770" cy="848995"/>
          <wp:effectExtent l="0" t="0" r="0" b="8255"/>
          <wp:docPr id="9" name="Picture 9" descr="Logo for the Greater Manchester Combined Authority (G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for the Greater Manchester Combined Authority (GM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1770" cy="8489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D1D"/>
    <w:multiLevelType w:val="hybridMultilevel"/>
    <w:tmpl w:val="917A69CE"/>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B0D91"/>
    <w:multiLevelType w:val="multilevel"/>
    <w:tmpl w:val="278EB83C"/>
    <w:lvl w:ilvl="0">
      <w:start w:val="1"/>
      <w:numFmt w:val="decimal"/>
      <w:lvlText w:val="%1"/>
      <w:lvlJc w:val="left"/>
      <w:pPr>
        <w:tabs>
          <w:tab w:val="num" w:pos="567"/>
        </w:tabs>
        <w:ind w:left="567" w:hanging="567"/>
      </w:pPr>
      <w:rPr>
        <w:rFonts w:ascii="Arial" w:hAnsi="Arial" w:hint="default"/>
        <w:b/>
        <w:i w:val="0"/>
        <w:color w:val="808080" w:themeColor="background1" w:themeShade="80"/>
        <w:sz w:val="48"/>
        <w:szCs w:val="28"/>
      </w:rPr>
    </w:lvl>
    <w:lvl w:ilvl="1">
      <w:start w:val="1"/>
      <w:numFmt w:val="bullet"/>
      <w:lvlText w:val=""/>
      <w:lvlJc w:val="left"/>
      <w:pPr>
        <w:tabs>
          <w:tab w:val="num" w:pos="1004"/>
        </w:tabs>
        <w:ind w:left="1004" w:hanging="720"/>
      </w:pPr>
      <w:rPr>
        <w:rFonts w:ascii="Symbol" w:hAnsi="Symbol" w:hint="default"/>
        <w:b/>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2">
      <w:start w:val="1"/>
      <w:numFmt w:val="bullet"/>
      <w:lvlText w:val=""/>
      <w:lvlJc w:val="left"/>
      <w:pPr>
        <w:tabs>
          <w:tab w:val="num" w:pos="927"/>
        </w:tabs>
        <w:ind w:left="907" w:hanging="340"/>
      </w:pPr>
      <w:rPr>
        <w:rFonts w:ascii="Symbol" w:hAnsi="Symbol" w:hint="default"/>
        <w:color w:val="808080"/>
      </w:rPr>
    </w:lvl>
    <w:lvl w:ilvl="3">
      <w:start w:val="1"/>
      <w:numFmt w:val="bullet"/>
      <w:lvlText w:val="-"/>
      <w:lvlJc w:val="left"/>
      <w:pPr>
        <w:tabs>
          <w:tab w:val="num" w:pos="1607"/>
        </w:tabs>
        <w:ind w:left="1588" w:hanging="341"/>
      </w:pPr>
      <w:rPr>
        <w:rFonts w:ascii="Symbol" w:hAnsi="Symbol" w:hint="default"/>
        <w:b/>
        <w:i w:val="0"/>
        <w:color w:val="80808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13FE1D6F"/>
    <w:multiLevelType w:val="multilevel"/>
    <w:tmpl w:val="846A5DF0"/>
    <w:lvl w:ilvl="0">
      <w:start w:val="1"/>
      <w:numFmt w:val="decimal"/>
      <w:lvlText w:val="%1"/>
      <w:lvlJc w:val="left"/>
      <w:pPr>
        <w:tabs>
          <w:tab w:val="num" w:pos="567"/>
        </w:tabs>
        <w:ind w:left="567" w:hanging="567"/>
      </w:pPr>
      <w:rPr>
        <w:rFonts w:ascii="Arial" w:hAnsi="Arial" w:hint="default"/>
        <w:b/>
        <w:i w:val="0"/>
        <w:color w:val="808080" w:themeColor="background1" w:themeShade="80"/>
        <w:sz w:val="48"/>
        <w:szCs w:val="28"/>
      </w:rPr>
    </w:lvl>
    <w:lvl w:ilvl="1">
      <w:start w:val="1"/>
      <w:numFmt w:val="decimal"/>
      <w:lvlText w:val="%1.%2"/>
      <w:lvlJc w:val="left"/>
      <w:pPr>
        <w:tabs>
          <w:tab w:val="num" w:pos="1146"/>
        </w:tabs>
        <w:ind w:left="1146" w:hanging="720"/>
      </w:pPr>
      <w:rPr>
        <w:rFonts w:cs="Times New Roman" w:hint="default"/>
        <w:b/>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2">
      <w:start w:val="1"/>
      <w:numFmt w:val="bullet"/>
      <w:lvlText w:val=""/>
      <w:lvlJc w:val="left"/>
      <w:pPr>
        <w:tabs>
          <w:tab w:val="num" w:pos="927"/>
        </w:tabs>
        <w:ind w:left="907" w:hanging="340"/>
      </w:pPr>
      <w:rPr>
        <w:rFonts w:ascii="Symbol" w:hAnsi="Symbol" w:hint="default"/>
        <w:color w:val="808080"/>
      </w:rPr>
    </w:lvl>
    <w:lvl w:ilvl="3">
      <w:start w:val="1"/>
      <w:numFmt w:val="bullet"/>
      <w:lvlText w:val="-"/>
      <w:lvlJc w:val="left"/>
      <w:pPr>
        <w:tabs>
          <w:tab w:val="num" w:pos="1607"/>
        </w:tabs>
        <w:ind w:left="1588" w:hanging="341"/>
      </w:pPr>
      <w:rPr>
        <w:rFonts w:ascii="Symbol" w:hAnsi="Symbol" w:hint="default"/>
        <w:b/>
        <w:i w:val="0"/>
        <w:color w:val="80808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32872095"/>
    <w:multiLevelType w:val="hybridMultilevel"/>
    <w:tmpl w:val="6402F8CE"/>
    <w:lvl w:ilvl="0" w:tplc="BA1EA3A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F54402"/>
    <w:multiLevelType w:val="multilevel"/>
    <w:tmpl w:val="76D65704"/>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C6D4D"/>
    <w:multiLevelType w:val="hybridMultilevel"/>
    <w:tmpl w:val="B02C3EDE"/>
    <w:lvl w:ilvl="0" w:tplc="BA1EA3A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063C8E"/>
    <w:multiLevelType w:val="hybridMultilevel"/>
    <w:tmpl w:val="A654872A"/>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8580D"/>
    <w:multiLevelType w:val="hybridMultilevel"/>
    <w:tmpl w:val="534A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33E54"/>
    <w:multiLevelType w:val="hybridMultilevel"/>
    <w:tmpl w:val="9A96F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2D6A"/>
    <w:multiLevelType w:val="multilevel"/>
    <w:tmpl w:val="9F983738"/>
    <w:lvl w:ilvl="0">
      <w:start w:val="1"/>
      <w:numFmt w:val="decimal"/>
      <w:lvlText w:val="%1."/>
      <w:lvlJc w:val="left"/>
      <w:pPr>
        <w:ind w:left="1080" w:hanging="72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9BF565C"/>
    <w:multiLevelType w:val="hybridMultilevel"/>
    <w:tmpl w:val="BF14D990"/>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114FE"/>
    <w:multiLevelType w:val="hybridMultilevel"/>
    <w:tmpl w:val="30C2FEA0"/>
    <w:lvl w:ilvl="0" w:tplc="28EEAF2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D2657B"/>
    <w:multiLevelType w:val="hybridMultilevel"/>
    <w:tmpl w:val="C186D16A"/>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171A7"/>
    <w:multiLevelType w:val="hybridMultilevel"/>
    <w:tmpl w:val="D178A364"/>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0351A"/>
    <w:multiLevelType w:val="hybridMultilevel"/>
    <w:tmpl w:val="B23E9402"/>
    <w:lvl w:ilvl="0" w:tplc="A70E58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A30622"/>
    <w:multiLevelType w:val="hybridMultilevel"/>
    <w:tmpl w:val="F80C7D2E"/>
    <w:lvl w:ilvl="0" w:tplc="08090003">
      <w:start w:val="1"/>
      <w:numFmt w:val="bullet"/>
      <w:lvlText w:val="o"/>
      <w:lvlJc w:val="left"/>
      <w:pPr>
        <w:ind w:left="1440" w:hanging="72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E06346"/>
    <w:multiLevelType w:val="hybridMultilevel"/>
    <w:tmpl w:val="7A78ACCC"/>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A4134"/>
    <w:multiLevelType w:val="hybridMultilevel"/>
    <w:tmpl w:val="2F94CAF8"/>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03B2D"/>
    <w:multiLevelType w:val="multilevel"/>
    <w:tmpl w:val="2C6237F4"/>
    <w:lvl w:ilvl="0">
      <w:start w:val="1"/>
      <w:numFmt w:val="decimal"/>
      <w:lvlText w:val="%1"/>
      <w:lvlJc w:val="left"/>
      <w:pPr>
        <w:tabs>
          <w:tab w:val="num" w:pos="567"/>
        </w:tabs>
        <w:ind w:left="567" w:hanging="567"/>
      </w:pPr>
      <w:rPr>
        <w:rFonts w:cs="Times New Roman" w:hint="default"/>
        <w:color w:val="auto"/>
        <w:sz w:val="28"/>
        <w:szCs w:val="28"/>
      </w:rPr>
    </w:lvl>
    <w:lvl w:ilvl="1">
      <w:start w:val="1"/>
      <w:numFmt w:val="decimal"/>
      <w:pStyle w:val="Style2"/>
      <w:lvlText w:val="%1.%2"/>
      <w:lvlJc w:val="left"/>
      <w:pPr>
        <w:tabs>
          <w:tab w:val="num" w:pos="720"/>
        </w:tabs>
        <w:ind w:left="720" w:hanging="720"/>
      </w:pPr>
      <w:rPr>
        <w:rFonts w:cs="Times New Roman"/>
        <w:b/>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2">
      <w:start w:val="1"/>
      <w:numFmt w:val="bullet"/>
      <w:lvlText w:val=""/>
      <w:lvlJc w:val="left"/>
      <w:pPr>
        <w:tabs>
          <w:tab w:val="num" w:pos="927"/>
        </w:tabs>
        <w:ind w:left="907" w:hanging="340"/>
      </w:pPr>
      <w:rPr>
        <w:rFonts w:ascii="Symbol" w:hAnsi="Symbol" w:hint="default"/>
        <w:color w:val="808080"/>
      </w:rPr>
    </w:lvl>
    <w:lvl w:ilvl="3">
      <w:start w:val="1"/>
      <w:numFmt w:val="bullet"/>
      <w:lvlText w:val="-"/>
      <w:lvlJc w:val="left"/>
      <w:pPr>
        <w:tabs>
          <w:tab w:val="num" w:pos="1607"/>
        </w:tabs>
        <w:ind w:left="1588" w:hanging="341"/>
      </w:pPr>
      <w:rPr>
        <w:rFonts w:ascii="Symbol" w:hAnsi="Symbol" w:hint="default"/>
        <w:b/>
        <w:i w:val="0"/>
        <w:color w:val="808080"/>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15:restartNumberingAfterBreak="0">
    <w:nsid w:val="71191ACA"/>
    <w:multiLevelType w:val="hybridMultilevel"/>
    <w:tmpl w:val="EB68AE62"/>
    <w:lvl w:ilvl="0" w:tplc="65E20AC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9"/>
  </w:num>
  <w:num w:numId="4">
    <w:abstractNumId w:val="7"/>
  </w:num>
  <w:num w:numId="5">
    <w:abstractNumId w:val="0"/>
  </w:num>
  <w:num w:numId="6">
    <w:abstractNumId w:val="10"/>
  </w:num>
  <w:num w:numId="7">
    <w:abstractNumId w:val="5"/>
  </w:num>
  <w:num w:numId="8">
    <w:abstractNumId w:val="3"/>
  </w:num>
  <w:num w:numId="9">
    <w:abstractNumId w:val="14"/>
  </w:num>
  <w:num w:numId="10">
    <w:abstractNumId w:val="15"/>
  </w:num>
  <w:num w:numId="11">
    <w:abstractNumId w:val="8"/>
  </w:num>
  <w:num w:numId="12">
    <w:abstractNumId w:val="17"/>
  </w:num>
  <w:num w:numId="13">
    <w:abstractNumId w:val="2"/>
  </w:num>
  <w:num w:numId="14">
    <w:abstractNumId w:val="1"/>
  </w:num>
  <w:num w:numId="15">
    <w:abstractNumId w:val="16"/>
  </w:num>
  <w:num w:numId="16">
    <w:abstractNumId w:val="12"/>
  </w:num>
  <w:num w:numId="17">
    <w:abstractNumId w:val="11"/>
  </w:num>
  <w:num w:numId="18">
    <w:abstractNumId w:val="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E0"/>
    <w:rsid w:val="00005BF1"/>
    <w:rsid w:val="000B5363"/>
    <w:rsid w:val="00172719"/>
    <w:rsid w:val="001E5153"/>
    <w:rsid w:val="00202D46"/>
    <w:rsid w:val="0025682B"/>
    <w:rsid w:val="003B0EEC"/>
    <w:rsid w:val="003D0912"/>
    <w:rsid w:val="00411FFF"/>
    <w:rsid w:val="0043481D"/>
    <w:rsid w:val="005E3764"/>
    <w:rsid w:val="006F69A4"/>
    <w:rsid w:val="007616C2"/>
    <w:rsid w:val="00820AD0"/>
    <w:rsid w:val="00984EC7"/>
    <w:rsid w:val="009C6187"/>
    <w:rsid w:val="00A7544D"/>
    <w:rsid w:val="00B62F92"/>
    <w:rsid w:val="00BE58E0"/>
    <w:rsid w:val="00C029F7"/>
    <w:rsid w:val="00C53867"/>
    <w:rsid w:val="00CE65E0"/>
    <w:rsid w:val="00D042C5"/>
    <w:rsid w:val="00DA1512"/>
    <w:rsid w:val="00E15B24"/>
    <w:rsid w:val="00E5372F"/>
    <w:rsid w:val="00EB70C3"/>
    <w:rsid w:val="00F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891A"/>
  <w15:chartTrackingRefBased/>
  <w15:docId w15:val="{05858933-5DF4-4865-95EC-FD2DAC14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E0"/>
    <w:rPr>
      <w:rFonts w:ascii="Arial" w:hAnsi="Arial"/>
      <w:sz w:val="24"/>
    </w:rPr>
  </w:style>
  <w:style w:type="paragraph" w:styleId="Heading1">
    <w:name w:val="heading 1"/>
    <w:basedOn w:val="Normal"/>
    <w:next w:val="Normal"/>
    <w:link w:val="Heading1Char"/>
    <w:uiPriority w:val="9"/>
    <w:qFormat/>
    <w:rsid w:val="00CE6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5E0"/>
    <w:pPr>
      <w:keepNext/>
      <w:keepLines/>
      <w:spacing w:before="40" w:after="0"/>
      <w:outlineLvl w:val="1"/>
    </w:pPr>
    <w:rPr>
      <w:rFonts w:eastAsiaTheme="majorEastAsia" w:cstheme="majorBidi"/>
      <w:b/>
      <w:color w:val="0EB8A8"/>
      <w:sz w:val="52"/>
      <w:szCs w:val="26"/>
    </w:rPr>
  </w:style>
  <w:style w:type="paragraph" w:styleId="Heading3">
    <w:name w:val="heading 3"/>
    <w:basedOn w:val="Normal"/>
    <w:next w:val="Normal"/>
    <w:link w:val="Heading3Char"/>
    <w:uiPriority w:val="9"/>
    <w:unhideWhenUsed/>
    <w:qFormat/>
    <w:rsid w:val="00CE65E0"/>
    <w:pPr>
      <w:keepNext/>
      <w:keepLines/>
      <w:spacing w:before="40" w:after="0"/>
      <w:outlineLvl w:val="2"/>
    </w:pPr>
    <w:rPr>
      <w:rFonts w:eastAsiaTheme="majorEastAsia" w:cstheme="majorBidi"/>
      <w:b/>
      <w:color w:val="000000" w:themeColor="text1"/>
      <w:sz w:val="32"/>
      <w:szCs w:val="24"/>
    </w:rPr>
  </w:style>
  <w:style w:type="paragraph" w:styleId="Heading4">
    <w:name w:val="heading 4"/>
    <w:basedOn w:val="Normal"/>
    <w:next w:val="Normal"/>
    <w:link w:val="Heading4Char"/>
    <w:uiPriority w:val="9"/>
    <w:unhideWhenUsed/>
    <w:qFormat/>
    <w:rsid w:val="00202D46"/>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5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65E0"/>
    <w:rPr>
      <w:rFonts w:ascii="Arial" w:eastAsiaTheme="majorEastAsia" w:hAnsi="Arial" w:cstheme="majorBidi"/>
      <w:b/>
      <w:color w:val="0EB8A8"/>
      <w:sz w:val="52"/>
      <w:szCs w:val="26"/>
    </w:rPr>
  </w:style>
  <w:style w:type="character" w:customStyle="1" w:styleId="Heading3Char">
    <w:name w:val="Heading 3 Char"/>
    <w:basedOn w:val="DefaultParagraphFont"/>
    <w:link w:val="Heading3"/>
    <w:uiPriority w:val="9"/>
    <w:rsid w:val="00CE65E0"/>
    <w:rPr>
      <w:rFonts w:ascii="Arial" w:eastAsiaTheme="majorEastAsia" w:hAnsi="Arial" w:cstheme="majorBidi"/>
      <w:b/>
      <w:color w:val="000000" w:themeColor="text1"/>
      <w:sz w:val="32"/>
      <w:szCs w:val="24"/>
    </w:rPr>
  </w:style>
  <w:style w:type="paragraph" w:customStyle="1" w:styleId="Style2">
    <w:name w:val="Style2"/>
    <w:basedOn w:val="Normal"/>
    <w:link w:val="Style2Char"/>
    <w:rsid w:val="00CE65E0"/>
    <w:pPr>
      <w:numPr>
        <w:ilvl w:val="1"/>
        <w:numId w:val="1"/>
      </w:numPr>
      <w:tabs>
        <w:tab w:val="left" w:pos="8364"/>
      </w:tabs>
      <w:spacing w:after="120" w:line="288" w:lineRule="auto"/>
      <w:ind w:right="-51"/>
      <w:jc w:val="both"/>
    </w:pPr>
    <w:rPr>
      <w:rFonts w:eastAsia="Times New Roman" w:cs="Times New Roman"/>
      <w:szCs w:val="18"/>
    </w:rPr>
  </w:style>
  <w:style w:type="character" w:customStyle="1" w:styleId="Style2Char">
    <w:name w:val="Style2 Char"/>
    <w:basedOn w:val="DefaultParagraphFont"/>
    <w:link w:val="Style2"/>
    <w:rsid w:val="00CE65E0"/>
    <w:rPr>
      <w:rFonts w:ascii="Arial" w:eastAsia="Times New Roman" w:hAnsi="Arial" w:cs="Times New Roman"/>
      <w:szCs w:val="18"/>
    </w:rPr>
  </w:style>
  <w:style w:type="paragraph" w:styleId="TOC1">
    <w:name w:val="toc 1"/>
    <w:basedOn w:val="Normal"/>
    <w:next w:val="Normal"/>
    <w:autoRedefine/>
    <w:uiPriority w:val="39"/>
    <w:unhideWhenUsed/>
    <w:rsid w:val="00CE65E0"/>
    <w:pPr>
      <w:spacing w:after="100"/>
    </w:pPr>
  </w:style>
  <w:style w:type="character" w:styleId="Hyperlink">
    <w:name w:val="Hyperlink"/>
    <w:basedOn w:val="DefaultParagraphFont"/>
    <w:uiPriority w:val="99"/>
    <w:unhideWhenUsed/>
    <w:rsid w:val="00CE65E0"/>
    <w:rPr>
      <w:color w:val="0563C1" w:themeColor="hyperlink"/>
      <w:u w:val="single"/>
    </w:rPr>
  </w:style>
  <w:style w:type="character" w:styleId="CommentReference">
    <w:name w:val="annotation reference"/>
    <w:basedOn w:val="DefaultParagraphFont"/>
    <w:uiPriority w:val="99"/>
    <w:semiHidden/>
    <w:unhideWhenUsed/>
    <w:rsid w:val="0043481D"/>
    <w:rPr>
      <w:sz w:val="16"/>
      <w:szCs w:val="16"/>
    </w:rPr>
  </w:style>
  <w:style w:type="paragraph" w:styleId="CommentText">
    <w:name w:val="annotation text"/>
    <w:basedOn w:val="Normal"/>
    <w:link w:val="CommentTextChar"/>
    <w:uiPriority w:val="99"/>
    <w:semiHidden/>
    <w:unhideWhenUsed/>
    <w:rsid w:val="0043481D"/>
    <w:pPr>
      <w:spacing w:line="240" w:lineRule="auto"/>
    </w:pPr>
    <w:rPr>
      <w:sz w:val="20"/>
      <w:szCs w:val="20"/>
    </w:rPr>
  </w:style>
  <w:style w:type="character" w:customStyle="1" w:styleId="CommentTextChar">
    <w:name w:val="Comment Text Char"/>
    <w:basedOn w:val="DefaultParagraphFont"/>
    <w:link w:val="CommentText"/>
    <w:uiPriority w:val="99"/>
    <w:semiHidden/>
    <w:rsid w:val="004348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481D"/>
    <w:rPr>
      <w:b/>
      <w:bCs/>
    </w:rPr>
  </w:style>
  <w:style w:type="character" w:customStyle="1" w:styleId="CommentSubjectChar">
    <w:name w:val="Comment Subject Char"/>
    <w:basedOn w:val="CommentTextChar"/>
    <w:link w:val="CommentSubject"/>
    <w:uiPriority w:val="99"/>
    <w:semiHidden/>
    <w:rsid w:val="0043481D"/>
    <w:rPr>
      <w:rFonts w:ascii="Arial" w:hAnsi="Arial"/>
      <w:b/>
      <w:bCs/>
      <w:sz w:val="20"/>
      <w:szCs w:val="20"/>
    </w:rPr>
  </w:style>
  <w:style w:type="paragraph" w:styleId="FootnoteText">
    <w:name w:val="footnote text"/>
    <w:aliases w:val="EKOS Footnote Text,Fußnote"/>
    <w:basedOn w:val="Normal"/>
    <w:link w:val="FootnoteTextChar"/>
    <w:unhideWhenUsed/>
    <w:rsid w:val="00E5372F"/>
    <w:pPr>
      <w:spacing w:after="0" w:line="240" w:lineRule="auto"/>
    </w:pPr>
    <w:rPr>
      <w:sz w:val="20"/>
      <w:szCs w:val="20"/>
    </w:rPr>
  </w:style>
  <w:style w:type="character" w:customStyle="1" w:styleId="FootnoteTextChar">
    <w:name w:val="Footnote Text Char"/>
    <w:aliases w:val="EKOS Footnote Text Char,Fußnote Char"/>
    <w:basedOn w:val="DefaultParagraphFont"/>
    <w:link w:val="FootnoteText"/>
    <w:rsid w:val="00E5372F"/>
    <w:rPr>
      <w:rFonts w:ascii="Arial" w:hAnsi="Arial"/>
      <w:sz w:val="20"/>
      <w:szCs w:val="20"/>
    </w:rPr>
  </w:style>
  <w:style w:type="character" w:styleId="FootnoteReference">
    <w:name w:val="footnote reference"/>
    <w:aliases w:val="Footnote Reference (caveat),Footnote Reference Number"/>
    <w:basedOn w:val="DefaultParagraphFont"/>
    <w:unhideWhenUsed/>
    <w:rsid w:val="00E5372F"/>
    <w:rPr>
      <w:vertAlign w:val="superscript"/>
    </w:rPr>
  </w:style>
  <w:style w:type="paragraph" w:styleId="ListParagraph">
    <w:name w:val="List Paragraph"/>
    <w:basedOn w:val="Normal"/>
    <w:uiPriority w:val="34"/>
    <w:qFormat/>
    <w:rsid w:val="003D0912"/>
    <w:pPr>
      <w:ind w:left="720"/>
      <w:contextualSpacing/>
    </w:pPr>
  </w:style>
  <w:style w:type="paragraph" w:styleId="TOC2">
    <w:name w:val="toc 2"/>
    <w:basedOn w:val="Normal"/>
    <w:next w:val="Normal"/>
    <w:autoRedefine/>
    <w:uiPriority w:val="39"/>
    <w:unhideWhenUsed/>
    <w:rsid w:val="009C6187"/>
    <w:pPr>
      <w:spacing w:after="100"/>
      <w:ind w:left="240"/>
    </w:pPr>
  </w:style>
  <w:style w:type="character" w:customStyle="1" w:styleId="Heading4Char">
    <w:name w:val="Heading 4 Char"/>
    <w:basedOn w:val="DefaultParagraphFont"/>
    <w:link w:val="Heading4"/>
    <w:uiPriority w:val="9"/>
    <w:rsid w:val="00202D46"/>
    <w:rPr>
      <w:rFonts w:ascii="Arial" w:eastAsiaTheme="majorEastAsia" w:hAnsi="Arial" w:cstheme="majorBidi"/>
      <w:b/>
      <w:iCs/>
      <w:sz w:val="28"/>
    </w:rPr>
  </w:style>
  <w:style w:type="character" w:styleId="FollowedHyperlink">
    <w:name w:val="FollowedHyperlink"/>
    <w:basedOn w:val="DefaultParagraphFont"/>
    <w:uiPriority w:val="99"/>
    <w:semiHidden/>
    <w:unhideWhenUsed/>
    <w:rsid w:val="00820AD0"/>
    <w:rPr>
      <w:color w:val="954F72" w:themeColor="followedHyperlink"/>
      <w:u w:val="single"/>
    </w:rPr>
  </w:style>
  <w:style w:type="paragraph" w:styleId="Header">
    <w:name w:val="header"/>
    <w:basedOn w:val="Normal"/>
    <w:link w:val="HeaderChar"/>
    <w:uiPriority w:val="99"/>
    <w:unhideWhenUsed/>
    <w:rsid w:val="004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FFF"/>
    <w:rPr>
      <w:rFonts w:ascii="Arial" w:hAnsi="Arial"/>
      <w:sz w:val="24"/>
    </w:rPr>
  </w:style>
  <w:style w:type="paragraph" w:styleId="Footer">
    <w:name w:val="footer"/>
    <w:basedOn w:val="Normal"/>
    <w:link w:val="FooterChar"/>
    <w:uiPriority w:val="99"/>
    <w:unhideWhenUsed/>
    <w:rsid w:val="004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FF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qw.co.uk/files/5414/6723/8824/16987_-_TfN_-_NPH_IER_-_Executive_Summary_-_Final_24_June_2016.pdf" TargetMode="External"/><Relationship Id="rId2" Type="http://schemas.openxmlformats.org/officeDocument/2006/relationships/hyperlink" Target="https://www.bankofengland.co.uk/-/media/boe/files/speech/2018/the-uks-productivity-problem-hub-no-spokes-speech-by-andy-haldane.pdf" TargetMode="External"/><Relationship Id="rId1" Type="http://schemas.openxmlformats.org/officeDocument/2006/relationships/hyperlink" Target="https://obr.uk/efo/economic-and-fiscal-outlook-march-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jack.james\AppData\Local\Microsoft\Windows\INetCache\Content.Outlook\AUI25TCE\AGS%202019%20results_extend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jack.james\AppData\Local\Microsoft\Windows\INetCache\Content.Outlook\AUI25TCE\AGS%202019%20results_extend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76386558237592E-2"/>
          <c:y val="0.19169909509671226"/>
          <c:w val="0.91292300962379702"/>
          <c:h val="0.64820486126271659"/>
        </c:manualLayout>
      </c:layout>
      <c:lineChart>
        <c:grouping val="standard"/>
        <c:varyColors val="0"/>
        <c:ser>
          <c:idx val="0"/>
          <c:order val="0"/>
          <c:tx>
            <c:strRef>
              <c:f>'[AGS 2019 results_extended.xlsx]Key Comparison'!$A$13</c:f>
              <c:strCache>
                <c:ptCount val="1"/>
                <c:pt idx="0">
                  <c:v>AGS 2019 scenario</c:v>
                </c:pt>
              </c:strCache>
            </c:strRef>
          </c:tx>
          <c:spPr>
            <a:ln w="31750" cap="rnd">
              <a:solidFill>
                <a:srgbClr val="FFF00D"/>
              </a:solidFill>
              <a:round/>
            </a:ln>
          </c:spPr>
          <c:marker>
            <c:symbol val="none"/>
          </c:marker>
          <c:cat>
            <c:numRef>
              <c:f>'[AGS 2019 results_extended.xlsx]Key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extLst/>
            </c:numRef>
          </c:cat>
          <c:val>
            <c:numRef>
              <c:f>'[AGS 2019 results_extended.xlsx]Key Comparison'!$F$13:$BA$13</c:f>
              <c:numCache>
                <c:formatCode>#,##0.0</c:formatCode>
                <c:ptCount val="34"/>
                <c:pt idx="0">
                  <c:v>56720.785848568201</c:v>
                </c:pt>
                <c:pt idx="1">
                  <c:v>58861.564164401498</c:v>
                </c:pt>
                <c:pt idx="2">
                  <c:v>60318.336002996002</c:v>
                </c:pt>
                <c:pt idx="3">
                  <c:v>59807.990165940399</c:v>
                </c:pt>
                <c:pt idx="4">
                  <c:v>58268.132039387398</c:v>
                </c:pt>
                <c:pt idx="5">
                  <c:v>58793.3242074749</c:v>
                </c:pt>
                <c:pt idx="6">
                  <c:v>58384.012514972303</c:v>
                </c:pt>
                <c:pt idx="7">
                  <c:v>59607.161817550499</c:v>
                </c:pt>
                <c:pt idx="8">
                  <c:v>60326.002602068802</c:v>
                </c:pt>
                <c:pt idx="9">
                  <c:v>60854.813703705498</c:v>
                </c:pt>
                <c:pt idx="10">
                  <c:v>62934.478246500898</c:v>
                </c:pt>
                <c:pt idx="11">
                  <c:v>64177.128645237397</c:v>
                </c:pt>
                <c:pt idx="12">
                  <c:v>65568.146233701307</c:v>
                </c:pt>
                <c:pt idx="13">
                  <c:v>66952.682501090894</c:v>
                </c:pt>
                <c:pt idx="14">
                  <c:v>68466.37052601359</c:v>
                </c:pt>
                <c:pt idx="15">
                  <c:v>69800.913195922636</c:v>
                </c:pt>
                <c:pt idx="16">
                  <c:v>71231.182394219359</c:v>
                </c:pt>
                <c:pt idx="17">
                  <c:v>72825.546242545941</c:v>
                </c:pt>
                <c:pt idx="18">
                  <c:v>74516.872544184123</c:v>
                </c:pt>
                <c:pt idx="19">
                  <c:v>76254.202622265759</c:v>
                </c:pt>
                <c:pt idx="20">
                  <c:v>78119.810804542067</c:v>
                </c:pt>
                <c:pt idx="21">
                  <c:v>80067.872328169804</c:v>
                </c:pt>
                <c:pt idx="22">
                  <c:v>82119.710086438106</c:v>
                </c:pt>
                <c:pt idx="23">
                  <c:v>84191.182925853558</c:v>
                </c:pt>
                <c:pt idx="24">
                  <c:v>86287.158823887934</c:v>
                </c:pt>
                <c:pt idx="25">
                  <c:v>88425.541811441624</c:v>
                </c:pt>
                <c:pt idx="26">
                  <c:v>90608.096749785152</c:v>
                </c:pt>
                <c:pt idx="27">
                  <c:v>92886.369219156302</c:v>
                </c:pt>
                <c:pt idx="28">
                  <c:v>95201.366428762616</c:v>
                </c:pt>
                <c:pt idx="29">
                  <c:v>97580.730020342264</c:v>
                </c:pt>
                <c:pt idx="30">
                  <c:v>99893.638701239994</c:v>
                </c:pt>
                <c:pt idx="31">
                  <c:v>102206.37230887431</c:v>
                </c:pt>
                <c:pt idx="32">
                  <c:v>104492.55111382772</c:v>
                </c:pt>
                <c:pt idx="33">
                  <c:v>106752.2415174153</c:v>
                </c:pt>
              </c:numCache>
              <c:extLst/>
            </c:numRef>
          </c:val>
          <c:smooth val="0"/>
          <c:extLst>
            <c:ext xmlns:c16="http://schemas.microsoft.com/office/drawing/2014/chart" uri="{C3380CC4-5D6E-409C-BE32-E72D297353CC}">
              <c16:uniqueId val="{00000000-672C-4975-B521-537ADF57B277}"/>
            </c:ext>
          </c:extLst>
        </c:ser>
        <c:ser>
          <c:idx val="1"/>
          <c:order val="1"/>
          <c:tx>
            <c:strRef>
              <c:f>'[AGS 2019 results_extended.xlsx]Key Comparison'!$A$12</c:f>
              <c:strCache>
                <c:ptCount val="1"/>
                <c:pt idx="0">
                  <c:v>GMFM 2019 baseline</c:v>
                </c:pt>
              </c:strCache>
            </c:strRef>
          </c:tx>
          <c:spPr>
            <a:ln w="31750">
              <a:solidFill>
                <a:srgbClr val="7D7C7D"/>
              </a:solidFill>
            </a:ln>
          </c:spPr>
          <c:marker>
            <c:symbol val="none"/>
          </c:marker>
          <c:cat>
            <c:numRef>
              <c:f>'[AGS 2019 results_extended.xlsx]Key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extLst/>
            </c:numRef>
          </c:cat>
          <c:val>
            <c:numRef>
              <c:f>'[AGS 2019 results_extended.xlsx]Key Comparison'!$F$12:$BA$12</c:f>
              <c:numCache>
                <c:formatCode>#,##0.0</c:formatCode>
                <c:ptCount val="34"/>
                <c:pt idx="0">
                  <c:v>56720.785848568201</c:v>
                </c:pt>
                <c:pt idx="1">
                  <c:v>58861.564164401498</c:v>
                </c:pt>
                <c:pt idx="2">
                  <c:v>60318.336002996002</c:v>
                </c:pt>
                <c:pt idx="3">
                  <c:v>59807.990165940399</c:v>
                </c:pt>
                <c:pt idx="4">
                  <c:v>58268.132039387398</c:v>
                </c:pt>
                <c:pt idx="5">
                  <c:v>58793.3242074749</c:v>
                </c:pt>
                <c:pt idx="6">
                  <c:v>58384.012514972303</c:v>
                </c:pt>
                <c:pt idx="7">
                  <c:v>59607.161817550499</c:v>
                </c:pt>
                <c:pt idx="8">
                  <c:v>60326.002602068802</c:v>
                </c:pt>
                <c:pt idx="9">
                  <c:v>60854.813703705498</c:v>
                </c:pt>
                <c:pt idx="10">
                  <c:v>62934.478246500898</c:v>
                </c:pt>
                <c:pt idx="11">
                  <c:v>64177.128645237397</c:v>
                </c:pt>
                <c:pt idx="12">
                  <c:v>65568.146233701307</c:v>
                </c:pt>
                <c:pt idx="13">
                  <c:v>66952.682501090894</c:v>
                </c:pt>
                <c:pt idx="14">
                  <c:v>68449.579522267799</c:v>
                </c:pt>
                <c:pt idx="15">
                  <c:v>69656.006982851104</c:v>
                </c:pt>
                <c:pt idx="16">
                  <c:v>71017.9167318244</c:v>
                </c:pt>
                <c:pt idx="17">
                  <c:v>72408.209418827493</c:v>
                </c:pt>
                <c:pt idx="18">
                  <c:v>73793.576448260996</c:v>
                </c:pt>
                <c:pt idx="19">
                  <c:v>75107.062673686203</c:v>
                </c:pt>
                <c:pt idx="20">
                  <c:v>76277.5143540227</c:v>
                </c:pt>
                <c:pt idx="21">
                  <c:v>77399.429878229494</c:v>
                </c:pt>
                <c:pt idx="22">
                  <c:v>78523.036489915496</c:v>
                </c:pt>
                <c:pt idx="23">
                  <c:v>79644.577753917096</c:v>
                </c:pt>
                <c:pt idx="24">
                  <c:v>80776.197102209102</c:v>
                </c:pt>
                <c:pt idx="25">
                  <c:v>81913.739010437697</c:v>
                </c:pt>
                <c:pt idx="26">
                  <c:v>83012.566797621897</c:v>
                </c:pt>
                <c:pt idx="27">
                  <c:v>84085.0043555382</c:v>
                </c:pt>
                <c:pt idx="28">
                  <c:v>85155.813600262394</c:v>
                </c:pt>
                <c:pt idx="29">
                  <c:v>86226.762953830796</c:v>
                </c:pt>
                <c:pt idx="30">
                  <c:v>87297.8575213476</c:v>
                </c:pt>
                <c:pt idx="31">
                  <c:v>88368.7502352601</c:v>
                </c:pt>
                <c:pt idx="32">
                  <c:v>89441.119214886698</c:v>
                </c:pt>
                <c:pt idx="33">
                  <c:v>90516.341428701402</c:v>
                </c:pt>
              </c:numCache>
              <c:extLst/>
            </c:numRef>
          </c:val>
          <c:smooth val="0"/>
          <c:extLst>
            <c:ext xmlns:c16="http://schemas.microsoft.com/office/drawing/2014/chart" uri="{C3380CC4-5D6E-409C-BE32-E72D297353CC}">
              <c16:uniqueId val="{00000001-672C-4975-B521-537ADF57B277}"/>
            </c:ext>
          </c:extLst>
        </c:ser>
        <c:dLbls>
          <c:showLegendKey val="0"/>
          <c:showVal val="0"/>
          <c:showCatName val="0"/>
          <c:showSerName val="0"/>
          <c:showPercent val="0"/>
          <c:showBubbleSize val="0"/>
        </c:dLbls>
        <c:smooth val="0"/>
        <c:axId val="154175360"/>
        <c:axId val="155935104"/>
      </c:lineChart>
      <c:catAx>
        <c:axId val="154175360"/>
        <c:scaling>
          <c:orientation val="minMax"/>
        </c:scaling>
        <c:delete val="0"/>
        <c:axPos val="b"/>
        <c:numFmt formatCode="General" sourceLinked="1"/>
        <c:majorTickMark val="out"/>
        <c:minorTickMark val="none"/>
        <c:tickLblPos val="low"/>
        <c:spPr>
          <a:ln w="9525">
            <a:solidFill>
              <a:srgbClr val="7B7C77"/>
            </a:solidFill>
          </a:ln>
        </c:spPr>
        <c:crossAx val="155935104"/>
        <c:crosses val="autoZero"/>
        <c:auto val="1"/>
        <c:lblAlgn val="ctr"/>
        <c:lblOffset val="100"/>
        <c:tickLblSkip val="5"/>
        <c:tickMarkSkip val="1"/>
        <c:noMultiLvlLbl val="0"/>
      </c:catAx>
      <c:valAx>
        <c:axId val="155935104"/>
        <c:scaling>
          <c:orientation val="minMax"/>
        </c:scaling>
        <c:delete val="0"/>
        <c:axPos val="l"/>
        <c:majorGridlines>
          <c:spPr>
            <a:ln w="3175">
              <a:noFill/>
            </a:ln>
          </c:spPr>
        </c:majorGridlines>
        <c:numFmt formatCode="#,##0" sourceLinked="0"/>
        <c:majorTickMark val="out"/>
        <c:minorTickMark val="none"/>
        <c:tickLblPos val="nextTo"/>
        <c:spPr>
          <a:ln>
            <a:solidFill>
              <a:srgbClr val="7B7C77"/>
            </a:solidFill>
          </a:ln>
        </c:spPr>
        <c:crossAx val="154175360"/>
        <c:crosses val="autoZero"/>
        <c:crossBetween val="midCat"/>
      </c:valAx>
      <c:spPr>
        <a:solidFill>
          <a:srgbClr val="FFFFFF"/>
        </a:solidFill>
      </c:spPr>
    </c:plotArea>
    <c:legend>
      <c:legendPos val="t"/>
      <c:layout>
        <c:manualLayout>
          <c:xMode val="edge"/>
          <c:yMode val="edge"/>
          <c:x val="0.36561595759919785"/>
          <c:y val="9.3562081572137648E-2"/>
          <c:w val="0.49505476507274893"/>
          <c:h val="9.3449074939091256E-2"/>
        </c:manualLayout>
      </c:layou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noFill/>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76386558237592E-2"/>
          <c:y val="0.19169909509671226"/>
          <c:w val="0.91292300962379702"/>
          <c:h val="0.64820486126271659"/>
        </c:manualLayout>
      </c:layout>
      <c:lineChart>
        <c:grouping val="standard"/>
        <c:varyColors val="0"/>
        <c:ser>
          <c:idx val="0"/>
          <c:order val="0"/>
          <c:tx>
            <c:strRef>
              <c:f>'[AGS 2019 results_extended.xlsx]Key Comparison'!$A$13</c:f>
              <c:strCache>
                <c:ptCount val="1"/>
                <c:pt idx="0">
                  <c:v>AGS 2019 scenario</c:v>
                </c:pt>
              </c:strCache>
            </c:strRef>
          </c:tx>
          <c:spPr>
            <a:ln w="31750" cap="rnd">
              <a:solidFill>
                <a:srgbClr val="FFFF00"/>
              </a:solidFill>
              <a:round/>
            </a:ln>
          </c:spPr>
          <c:marker>
            <c:symbol val="none"/>
          </c:marker>
          <c:cat>
            <c:numRef>
              <c:f>'[AGS 2019 results_extended.xlsx]Key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extLst/>
            </c:numRef>
          </c:cat>
          <c:val>
            <c:numRef>
              <c:f>'[AGS 2019 results_extended.xlsx]Key Comparison'!$F$13:$BA$13</c:f>
              <c:numCache>
                <c:formatCode>#,##0.0</c:formatCode>
                <c:ptCount val="34"/>
                <c:pt idx="0">
                  <c:v>1317.01282298111</c:v>
                </c:pt>
                <c:pt idx="1">
                  <c:v>1312.71404289925</c:v>
                </c:pt>
                <c:pt idx="2">
                  <c:v>1330.7558973034099</c:v>
                </c:pt>
                <c:pt idx="3">
                  <c:v>1328.90997771652</c:v>
                </c:pt>
                <c:pt idx="4">
                  <c:v>1316.3801856262601</c:v>
                </c:pt>
                <c:pt idx="5">
                  <c:v>1303.3092576761601</c:v>
                </c:pt>
                <c:pt idx="6">
                  <c:v>1293.9617289632399</c:v>
                </c:pt>
                <c:pt idx="7">
                  <c:v>1312.85379519447</c:v>
                </c:pt>
                <c:pt idx="8">
                  <c:v>1336.2267409011099</c:v>
                </c:pt>
                <c:pt idx="9">
                  <c:v>1363.27740517758</c:v>
                </c:pt>
                <c:pt idx="10">
                  <c:v>1381.9363119839099</c:v>
                </c:pt>
                <c:pt idx="11">
                  <c:v>1420.1212096829599</c:v>
                </c:pt>
                <c:pt idx="12">
                  <c:v>1448.38378468005</c:v>
                </c:pt>
                <c:pt idx="13">
                  <c:v>1488.6339596687401</c:v>
                </c:pt>
                <c:pt idx="14">
                  <c:v>1520.2013362593416</c:v>
                </c:pt>
                <c:pt idx="15">
                  <c:v>1535.3716770601611</c:v>
                </c:pt>
                <c:pt idx="16">
                  <c:v>1551.754417903082</c:v>
                </c:pt>
                <c:pt idx="17">
                  <c:v>1566.3484490503613</c:v>
                </c:pt>
                <c:pt idx="18">
                  <c:v>1579.8119613334691</c:v>
                </c:pt>
                <c:pt idx="19">
                  <c:v>1591.1898099942719</c:v>
                </c:pt>
                <c:pt idx="20">
                  <c:v>1600.2813927836467</c:v>
                </c:pt>
                <c:pt idx="21">
                  <c:v>1609.0629741357982</c:v>
                </c:pt>
                <c:pt idx="22">
                  <c:v>1618.2210618536449</c:v>
                </c:pt>
                <c:pt idx="23">
                  <c:v>1627.4073052009112</c:v>
                </c:pt>
                <c:pt idx="24">
                  <c:v>1636.6518639586666</c:v>
                </c:pt>
                <c:pt idx="25">
                  <c:v>1646.0966833230459</c:v>
                </c:pt>
                <c:pt idx="26">
                  <c:v>1654.7326673818054</c:v>
                </c:pt>
                <c:pt idx="27">
                  <c:v>1663.2862347368361</c:v>
                </c:pt>
                <c:pt idx="28">
                  <c:v>1672.1150798712292</c:v>
                </c:pt>
                <c:pt idx="29">
                  <c:v>1681.3328056940882</c:v>
                </c:pt>
                <c:pt idx="30">
                  <c:v>1690.3523930080389</c:v>
                </c:pt>
                <c:pt idx="31">
                  <c:v>1699.4544589353729</c:v>
                </c:pt>
                <c:pt idx="32">
                  <c:v>1708.476472290087</c:v>
                </c:pt>
                <c:pt idx="33">
                  <c:v>1717.4364352396792</c:v>
                </c:pt>
              </c:numCache>
              <c:extLst/>
            </c:numRef>
          </c:val>
          <c:smooth val="0"/>
          <c:extLst>
            <c:ext xmlns:c16="http://schemas.microsoft.com/office/drawing/2014/chart" uri="{C3380CC4-5D6E-409C-BE32-E72D297353CC}">
              <c16:uniqueId val="{00000000-0A21-47D9-B7EA-0B5F52DEFFEC}"/>
            </c:ext>
          </c:extLst>
        </c:ser>
        <c:ser>
          <c:idx val="1"/>
          <c:order val="1"/>
          <c:tx>
            <c:strRef>
              <c:f>'[AGS 2019 results_extended.xlsx]Key Comparison'!$A$12</c:f>
              <c:strCache>
                <c:ptCount val="1"/>
                <c:pt idx="0">
                  <c:v>GMFM 2019 baseline</c:v>
                </c:pt>
              </c:strCache>
            </c:strRef>
          </c:tx>
          <c:spPr>
            <a:ln w="31750">
              <a:solidFill>
                <a:srgbClr val="7D7C7D"/>
              </a:solidFill>
            </a:ln>
          </c:spPr>
          <c:marker>
            <c:symbol val="none"/>
          </c:marker>
          <c:cat>
            <c:numRef>
              <c:f>'[AGS 2019 results_extended.xlsx]Key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extLst/>
            </c:numRef>
          </c:cat>
          <c:val>
            <c:numRef>
              <c:f>'[AGS 2019 results_extended.xlsx]Key Comparison'!$F$12:$BA$12</c:f>
              <c:numCache>
                <c:formatCode>#,##0.0</c:formatCode>
                <c:ptCount val="34"/>
                <c:pt idx="0">
                  <c:v>1317.01282298111</c:v>
                </c:pt>
                <c:pt idx="1">
                  <c:v>1312.71404289925</c:v>
                </c:pt>
                <c:pt idx="2">
                  <c:v>1330.7558973034099</c:v>
                </c:pt>
                <c:pt idx="3">
                  <c:v>1328.90997771652</c:v>
                </c:pt>
                <c:pt idx="4">
                  <c:v>1316.3801856262601</c:v>
                </c:pt>
                <c:pt idx="5">
                  <c:v>1303.3092576761601</c:v>
                </c:pt>
                <c:pt idx="6">
                  <c:v>1293.9617289632399</c:v>
                </c:pt>
                <c:pt idx="7">
                  <c:v>1312.85379519447</c:v>
                </c:pt>
                <c:pt idx="8">
                  <c:v>1336.2267409011099</c:v>
                </c:pt>
                <c:pt idx="9">
                  <c:v>1363.27740517758</c:v>
                </c:pt>
                <c:pt idx="10">
                  <c:v>1381.9363119839099</c:v>
                </c:pt>
                <c:pt idx="11">
                  <c:v>1420.1212096829599</c:v>
                </c:pt>
                <c:pt idx="12">
                  <c:v>1448.38378468005</c:v>
                </c:pt>
                <c:pt idx="13">
                  <c:v>1488.6339596687401</c:v>
                </c:pt>
                <c:pt idx="14">
                  <c:v>1519.81960374402</c:v>
                </c:pt>
                <c:pt idx="15">
                  <c:v>1534.26146634063</c:v>
                </c:pt>
                <c:pt idx="16">
                  <c:v>1550.1059567653499</c:v>
                </c:pt>
                <c:pt idx="17">
                  <c:v>1563.71364082076</c:v>
                </c:pt>
                <c:pt idx="18">
                  <c:v>1575.5882068206799</c:v>
                </c:pt>
                <c:pt idx="19">
                  <c:v>1584.82382147256</c:v>
                </c:pt>
                <c:pt idx="20">
                  <c:v>1590.50516133048</c:v>
                </c:pt>
                <c:pt idx="21">
                  <c:v>1595.2459462255199</c:v>
                </c:pt>
                <c:pt idx="22">
                  <c:v>1599.8628817543799</c:v>
                </c:pt>
                <c:pt idx="23">
                  <c:v>1604.3730186027899</c:v>
                </c:pt>
                <c:pt idx="24">
                  <c:v>1608.8305437655499</c:v>
                </c:pt>
                <c:pt idx="25">
                  <c:v>1613.2700741753899</c:v>
                </c:pt>
                <c:pt idx="26">
                  <c:v>1616.4549296182599</c:v>
                </c:pt>
                <c:pt idx="27">
                  <c:v>1618.91345281024</c:v>
                </c:pt>
                <c:pt idx="28">
                  <c:v>1621.3878476172699</c:v>
                </c:pt>
                <c:pt idx="29">
                  <c:v>1623.8656357042801</c:v>
                </c:pt>
                <c:pt idx="30">
                  <c:v>1626.3695852969099</c:v>
                </c:pt>
                <c:pt idx="31">
                  <c:v>1628.8806099983501</c:v>
                </c:pt>
                <c:pt idx="32">
                  <c:v>1631.38139604198</c:v>
                </c:pt>
                <c:pt idx="33">
                  <c:v>1633.8864901015199</c:v>
                </c:pt>
              </c:numCache>
              <c:extLst/>
            </c:numRef>
          </c:val>
          <c:smooth val="0"/>
          <c:extLst>
            <c:ext xmlns:c16="http://schemas.microsoft.com/office/drawing/2014/chart" uri="{C3380CC4-5D6E-409C-BE32-E72D297353CC}">
              <c16:uniqueId val="{00000001-0A21-47D9-B7EA-0B5F52DEFFEC}"/>
            </c:ext>
          </c:extLst>
        </c:ser>
        <c:dLbls>
          <c:showLegendKey val="0"/>
          <c:showVal val="0"/>
          <c:showCatName val="0"/>
          <c:showSerName val="0"/>
          <c:showPercent val="0"/>
          <c:showBubbleSize val="0"/>
        </c:dLbls>
        <c:smooth val="0"/>
        <c:axId val="154175360"/>
        <c:axId val="155935104"/>
      </c:lineChart>
      <c:catAx>
        <c:axId val="154175360"/>
        <c:scaling>
          <c:orientation val="minMax"/>
        </c:scaling>
        <c:delete val="0"/>
        <c:axPos val="b"/>
        <c:numFmt formatCode="General" sourceLinked="1"/>
        <c:majorTickMark val="out"/>
        <c:minorTickMark val="none"/>
        <c:tickLblPos val="low"/>
        <c:spPr>
          <a:ln w="9525">
            <a:solidFill>
              <a:srgbClr val="7B7C77"/>
            </a:solidFill>
          </a:ln>
        </c:spPr>
        <c:crossAx val="155935104"/>
        <c:crosses val="autoZero"/>
        <c:auto val="1"/>
        <c:lblAlgn val="ctr"/>
        <c:lblOffset val="100"/>
        <c:tickLblSkip val="5"/>
        <c:tickMarkSkip val="1"/>
        <c:noMultiLvlLbl val="0"/>
      </c:catAx>
      <c:valAx>
        <c:axId val="155935104"/>
        <c:scaling>
          <c:orientation val="minMax"/>
        </c:scaling>
        <c:delete val="0"/>
        <c:axPos val="l"/>
        <c:majorGridlines>
          <c:spPr>
            <a:ln w="3175">
              <a:noFill/>
            </a:ln>
          </c:spPr>
        </c:majorGridlines>
        <c:numFmt formatCode="#,##0" sourceLinked="0"/>
        <c:majorTickMark val="out"/>
        <c:minorTickMark val="none"/>
        <c:tickLblPos val="nextTo"/>
        <c:spPr>
          <a:ln>
            <a:solidFill>
              <a:srgbClr val="7B7C77"/>
            </a:solidFill>
          </a:ln>
        </c:spPr>
        <c:crossAx val="154175360"/>
        <c:crosses val="autoZero"/>
        <c:crossBetween val="midCat"/>
      </c:valAx>
      <c:spPr>
        <a:solidFill>
          <a:srgbClr val="FFFFFF"/>
        </a:solidFill>
      </c:spPr>
    </c:plotArea>
    <c:legend>
      <c:legendPos val="t"/>
      <c:layout>
        <c:manualLayout>
          <c:xMode val="edge"/>
          <c:yMode val="edge"/>
          <c:x val="0.36561595759919785"/>
          <c:y val="9.3562081572137648E-2"/>
          <c:w val="0.49505476507274893"/>
          <c:h val="9.3449074939091256E-2"/>
        </c:manualLayout>
      </c:layou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noFill/>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76386558237592E-2"/>
          <c:y val="0.19169909509671226"/>
          <c:w val="0.91292300962379702"/>
          <c:h val="0.64820486126271659"/>
        </c:manualLayout>
      </c:layout>
      <c:lineChart>
        <c:grouping val="standard"/>
        <c:varyColors val="0"/>
        <c:ser>
          <c:idx val="0"/>
          <c:order val="0"/>
          <c:tx>
            <c:strRef>
              <c:f>'Key Comparison'!$A$13</c:f>
              <c:strCache>
                <c:ptCount val="1"/>
                <c:pt idx="0">
                  <c:v>AGS 2019 scenario</c:v>
                </c:pt>
              </c:strCache>
            </c:strRef>
          </c:tx>
          <c:spPr>
            <a:ln w="31750" cap="rnd">
              <a:solidFill>
                <a:srgbClr val="FFF00D"/>
              </a:solidFill>
              <a:round/>
            </a:ln>
          </c:spPr>
          <c:marker>
            <c:symbol val="none"/>
          </c:marker>
          <c:cat>
            <c:numRef>
              <c:f>'Key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numRef>
          </c:cat>
          <c:val>
            <c:numRef>
              <c:f>'Key Comparison'!$F$13:$BA$13</c:f>
              <c:numCache>
                <c:formatCode>#,##0.0</c:formatCode>
                <c:ptCount val="34"/>
                <c:pt idx="0">
                  <c:v>2564.3972421359199</c:v>
                </c:pt>
                <c:pt idx="1">
                  <c:v>2582.6837893564498</c:v>
                </c:pt>
                <c:pt idx="2">
                  <c:v>2599.0807559612099</c:v>
                </c:pt>
                <c:pt idx="3">
                  <c:v>2620.4070202941598</c:v>
                </c:pt>
                <c:pt idx="4">
                  <c:v>2640.1103680360202</c:v>
                </c:pt>
                <c:pt idx="5">
                  <c:v>2662.0727731704301</c:v>
                </c:pt>
                <c:pt idx="6">
                  <c:v>2685.587957016</c:v>
                </c:pt>
                <c:pt idx="7">
                  <c:v>2701.5790613038698</c:v>
                </c:pt>
                <c:pt idx="8">
                  <c:v>2713.7738996164699</c:v>
                </c:pt>
                <c:pt idx="9">
                  <c:v>2730.32493132529</c:v>
                </c:pt>
                <c:pt idx="10">
                  <c:v>2754.2190652956101</c:v>
                </c:pt>
                <c:pt idx="11">
                  <c:v>2781.04595397802</c:v>
                </c:pt>
                <c:pt idx="12">
                  <c:v>2799.0009616775301</c:v>
                </c:pt>
                <c:pt idx="13">
                  <c:v>2812.77089265329</c:v>
                </c:pt>
                <c:pt idx="14">
                  <c:v>2832.4051128759806</c:v>
                </c:pt>
                <c:pt idx="15">
                  <c:v>2849.7820128703388</c:v>
                </c:pt>
                <c:pt idx="16">
                  <c:v>2865.0154514368801</c:v>
                </c:pt>
                <c:pt idx="17">
                  <c:v>2879.8387745733057</c:v>
                </c:pt>
                <c:pt idx="18">
                  <c:v>2894.7754436202435</c:v>
                </c:pt>
                <c:pt idx="19">
                  <c:v>2909.6620077252528</c:v>
                </c:pt>
                <c:pt idx="20">
                  <c:v>2924.0173669854648</c:v>
                </c:pt>
                <c:pt idx="21">
                  <c:v>2938.4357103455773</c:v>
                </c:pt>
                <c:pt idx="22">
                  <c:v>2952.5987681801466</c:v>
                </c:pt>
                <c:pt idx="23">
                  <c:v>2966.3761424136878</c:v>
                </c:pt>
                <c:pt idx="24">
                  <c:v>2979.8967827165216</c:v>
                </c:pt>
                <c:pt idx="25">
                  <c:v>2993.303058156007</c:v>
                </c:pt>
                <c:pt idx="26">
                  <c:v>3006.7214029084698</c:v>
                </c:pt>
                <c:pt idx="27">
                  <c:v>3020.6496548477467</c:v>
                </c:pt>
                <c:pt idx="28">
                  <c:v>3034.4720136058677</c:v>
                </c:pt>
                <c:pt idx="29">
                  <c:v>3048.9525443284892</c:v>
                </c:pt>
                <c:pt idx="30">
                  <c:v>3064.0053130367883</c:v>
                </c:pt>
                <c:pt idx="31">
                  <c:v>3078.7572655065678</c:v>
                </c:pt>
                <c:pt idx="32">
                  <c:v>3094.7</c:v>
                </c:pt>
                <c:pt idx="33">
                  <c:v>3103.6887975707164</c:v>
                </c:pt>
              </c:numCache>
            </c:numRef>
          </c:val>
          <c:smooth val="0"/>
          <c:extLst>
            <c:ext xmlns:c16="http://schemas.microsoft.com/office/drawing/2014/chart" uri="{C3380CC4-5D6E-409C-BE32-E72D297353CC}">
              <c16:uniqueId val="{00000000-12DA-4432-9B92-8402FF26CB07}"/>
            </c:ext>
          </c:extLst>
        </c:ser>
        <c:ser>
          <c:idx val="1"/>
          <c:order val="1"/>
          <c:tx>
            <c:strRef>
              <c:f>'Key Comparison'!$A$12</c:f>
              <c:strCache>
                <c:ptCount val="1"/>
                <c:pt idx="0">
                  <c:v>GMFM 2019 baseline</c:v>
                </c:pt>
              </c:strCache>
            </c:strRef>
          </c:tx>
          <c:spPr>
            <a:ln w="31750">
              <a:solidFill>
                <a:srgbClr val="7D7C7D"/>
              </a:solidFill>
            </a:ln>
          </c:spPr>
          <c:marker>
            <c:symbol val="none"/>
          </c:marker>
          <c:cat>
            <c:numRef>
              <c:f>'Key Comparison'!$F$9:$BA$9</c:f>
              <c:numCache>
                <c:formatCode>General</c:formatCode>
                <c:ptCount val="3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pt idx="32">
                  <c:v>2037</c:v>
                </c:pt>
                <c:pt idx="33">
                  <c:v>2038</c:v>
                </c:pt>
              </c:numCache>
            </c:numRef>
          </c:cat>
          <c:val>
            <c:numRef>
              <c:f>'Key Comparison'!$F$12:$BA$12</c:f>
              <c:numCache>
                <c:formatCode>#,##0.0</c:formatCode>
                <c:ptCount val="34"/>
                <c:pt idx="0">
                  <c:v>2564.3972421359199</c:v>
                </c:pt>
                <c:pt idx="1">
                  <c:v>2582.6837893564498</c:v>
                </c:pt>
                <c:pt idx="2">
                  <c:v>2599.0807559612099</c:v>
                </c:pt>
                <c:pt idx="3">
                  <c:v>2620.4070202941598</c:v>
                </c:pt>
                <c:pt idx="4">
                  <c:v>2640.1103680360202</c:v>
                </c:pt>
                <c:pt idx="5">
                  <c:v>2662.0727731704301</c:v>
                </c:pt>
                <c:pt idx="6">
                  <c:v>2685.587957016</c:v>
                </c:pt>
                <c:pt idx="7">
                  <c:v>2701.5790613038698</c:v>
                </c:pt>
                <c:pt idx="8">
                  <c:v>2713.7738996164699</c:v>
                </c:pt>
                <c:pt idx="9">
                  <c:v>2730.32493132529</c:v>
                </c:pt>
                <c:pt idx="10">
                  <c:v>2754.2190652956101</c:v>
                </c:pt>
                <c:pt idx="11">
                  <c:v>2781.04595397802</c:v>
                </c:pt>
                <c:pt idx="12">
                  <c:v>2799.0009616775301</c:v>
                </c:pt>
                <c:pt idx="13">
                  <c:v>2812.77089265329</c:v>
                </c:pt>
                <c:pt idx="14">
                  <c:v>2829.2381722431501</c:v>
                </c:pt>
                <c:pt idx="15">
                  <c:v>2843.1512309203499</c:v>
                </c:pt>
                <c:pt idx="16">
                  <c:v>2854.80909135305</c:v>
                </c:pt>
                <c:pt idx="17">
                  <c:v>2865.9376504178399</c:v>
                </c:pt>
                <c:pt idx="18">
                  <c:v>2877.0521497354998</c:v>
                </c:pt>
                <c:pt idx="19">
                  <c:v>2887.8334204275802</c:v>
                </c:pt>
                <c:pt idx="20">
                  <c:v>2897.7550628018298</c:v>
                </c:pt>
                <c:pt idx="21">
                  <c:v>2907.3541486772001</c:v>
                </c:pt>
                <c:pt idx="22">
                  <c:v>2916.4788918686299</c:v>
                </c:pt>
                <c:pt idx="23">
                  <c:v>2924.9780317141199</c:v>
                </c:pt>
                <c:pt idx="24">
                  <c:v>2932.9565259095002</c:v>
                </c:pt>
                <c:pt idx="25">
                  <c:v>2940.5289633411398</c:v>
                </c:pt>
                <c:pt idx="26">
                  <c:v>2947.7893679742101</c:v>
                </c:pt>
                <c:pt idx="27">
                  <c:v>2954.7899372791699</c:v>
                </c:pt>
                <c:pt idx="28">
                  <c:v>2961.2227678940199</c:v>
                </c:pt>
                <c:pt idx="29">
                  <c:v>2967.1769199897899</c:v>
                </c:pt>
                <c:pt idx="30">
                  <c:v>2972.9927785189998</c:v>
                </c:pt>
                <c:pt idx="31">
                  <c:v>2978.5078208096902</c:v>
                </c:pt>
                <c:pt idx="32">
                  <c:v>2983.8570778509302</c:v>
                </c:pt>
                <c:pt idx="33">
                  <c:v>2988.9188677304201</c:v>
                </c:pt>
              </c:numCache>
            </c:numRef>
          </c:val>
          <c:smooth val="0"/>
          <c:extLst>
            <c:ext xmlns:c16="http://schemas.microsoft.com/office/drawing/2014/chart" uri="{C3380CC4-5D6E-409C-BE32-E72D297353CC}">
              <c16:uniqueId val="{00000001-12DA-4432-9B92-8402FF26CB07}"/>
            </c:ext>
          </c:extLst>
        </c:ser>
        <c:dLbls>
          <c:showLegendKey val="0"/>
          <c:showVal val="0"/>
          <c:showCatName val="0"/>
          <c:showSerName val="0"/>
          <c:showPercent val="0"/>
          <c:showBubbleSize val="0"/>
        </c:dLbls>
        <c:smooth val="0"/>
        <c:axId val="154175360"/>
        <c:axId val="155935104"/>
      </c:lineChart>
      <c:catAx>
        <c:axId val="154175360"/>
        <c:scaling>
          <c:orientation val="minMax"/>
        </c:scaling>
        <c:delete val="0"/>
        <c:axPos val="b"/>
        <c:numFmt formatCode="General" sourceLinked="1"/>
        <c:majorTickMark val="out"/>
        <c:minorTickMark val="none"/>
        <c:tickLblPos val="low"/>
        <c:spPr>
          <a:ln w="9525">
            <a:solidFill>
              <a:srgbClr val="7B7C77"/>
            </a:solidFill>
          </a:ln>
        </c:spPr>
        <c:crossAx val="155935104"/>
        <c:crosses val="autoZero"/>
        <c:auto val="1"/>
        <c:lblAlgn val="ctr"/>
        <c:lblOffset val="100"/>
        <c:tickLblSkip val="5"/>
        <c:tickMarkSkip val="1"/>
        <c:noMultiLvlLbl val="0"/>
      </c:catAx>
      <c:valAx>
        <c:axId val="155935104"/>
        <c:scaling>
          <c:orientation val="minMax"/>
        </c:scaling>
        <c:delete val="0"/>
        <c:axPos val="l"/>
        <c:majorGridlines>
          <c:spPr>
            <a:ln w="3175">
              <a:noFill/>
            </a:ln>
          </c:spPr>
        </c:majorGridlines>
        <c:numFmt formatCode="#,##0" sourceLinked="0"/>
        <c:majorTickMark val="out"/>
        <c:minorTickMark val="none"/>
        <c:tickLblPos val="nextTo"/>
        <c:spPr>
          <a:ln>
            <a:solidFill>
              <a:srgbClr val="7B7C77"/>
            </a:solidFill>
          </a:ln>
        </c:spPr>
        <c:crossAx val="154175360"/>
        <c:crosses val="autoZero"/>
        <c:crossBetween val="midCat"/>
      </c:valAx>
      <c:spPr>
        <a:solidFill>
          <a:srgbClr val="FFFFFF"/>
        </a:solidFill>
      </c:spPr>
    </c:plotArea>
    <c:legend>
      <c:legendPos val="t"/>
      <c:layout>
        <c:manualLayout>
          <c:xMode val="edge"/>
          <c:yMode val="edge"/>
          <c:x val="0.36561595759919785"/>
          <c:y val="9.3562081572137648E-2"/>
          <c:w val="0.49505476507274893"/>
          <c:h val="9.3449074939091256E-2"/>
        </c:manualLayout>
      </c:layou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noFill/>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0.93427</cdr:y>
    </cdr:from>
    <cdr:to>
      <cdr:x>1.13408E-5</cdr:x>
      <cdr:y>1</cdr:y>
    </cdr:to>
    <cdr:sp macro="" textlink="">
      <cdr:nvSpPr>
        <cdr:cNvPr id="3" name="TextBox 1">
          <a:extLst xmlns:a="http://schemas.openxmlformats.org/drawingml/2006/main">
            <a:ext uri="{FF2B5EF4-FFF2-40B4-BE49-F238E27FC236}">
              <a16:creationId xmlns:a16="http://schemas.microsoft.com/office/drawing/2014/main" id="{7D914A48-E497-4EB6-B18A-4B5219E02609}"/>
            </a:ext>
          </a:extLst>
        </cdr:cNvPr>
        <cdr:cNvSpPr txBox="1"/>
      </cdr:nvSpPr>
      <cdr:spPr>
        <a:xfrm xmlns:a="http://schemas.openxmlformats.org/drawingml/2006/main">
          <a:off x="0" y="2709424"/>
          <a:ext cx="65" cy="19062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36000" rIns="0" bIns="36000" rtlCol="0" anchor="b" anchorCtr="0">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sz="800" b="0" i="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0.00534</cdr:x>
      <cdr:y>0.1083</cdr:y>
    </cdr:from>
    <cdr:to>
      <cdr:x>0.41935</cdr:x>
      <cdr:y>0.17781</cdr:y>
    </cdr:to>
    <cdr:sp macro="" textlink="">
      <cdr:nvSpPr>
        <cdr:cNvPr id="4"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32268" y="319966"/>
          <a:ext cx="2501721" cy="205368"/>
        </a:xfrm>
        <a:prstGeom xmlns:a="http://schemas.openxmlformats.org/drawingml/2006/main" prst="rect">
          <a:avLst/>
        </a:prstGeom>
      </cdr:spPr>
      <cdr:txBody>
        <a:bodyPr xmlns:a="http://schemas.openxmlformats.org/drawingml/2006/main" vertOverflow="overflow" horzOverflow="overflow" wrap="square" lIns="0" tIns="36000" bIns="36000" rtlCol="0">
          <a:spAutoFit/>
        </a:bodyPr>
        <a:lstStyle xmlns:a="http://schemas.openxmlformats.org/drawingml/2006/main"/>
        <a:p xmlns:a="http://schemas.openxmlformats.org/drawingml/2006/main">
          <a:fld id="{403BBC46-86AE-4E4E-AC74-D838F626DDB6}" type="TxLink">
            <a:rPr lang="en-US" sz="900" b="0" i="0" u="none" strike="noStrike">
              <a:solidFill>
                <a:srgbClr val="000000"/>
              </a:solidFill>
              <a:latin typeface="Arial"/>
              <a:cs typeface="Arial"/>
            </a:rPr>
            <a:pPr/>
            <a:t>£ millions, 2016 prices</a:t>
          </a:fld>
          <a:endParaRPr lang="en-GB"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cdr:y>
    </cdr:from>
    <cdr:to>
      <cdr:x>0.089</cdr:x>
      <cdr:y>0.10328</cdr:y>
    </cdr:to>
    <cdr:sp macro="" textlink="">
      <cdr:nvSpPr>
        <cdr:cNvPr id="5"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0" y="0"/>
          <a:ext cx="525593" cy="308665"/>
        </a:xfrm>
        <a:prstGeom xmlns:a="http://schemas.openxmlformats.org/drawingml/2006/main" prst="rect">
          <a:avLst/>
        </a:prstGeom>
      </cdr:spPr>
      <cdr:txBody>
        <a:bodyPr xmlns:a="http://schemas.openxmlformats.org/drawingml/2006/main" wrap="none" lIns="0" tIns="36000" bIns="36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DDC877B7-868D-4AF3-B51A-98DE97B9D922}" type="TxLink">
            <a:rPr lang="en-US" sz="1600" b="0" i="0" u="none" strike="noStrike">
              <a:solidFill>
                <a:srgbClr val="000000"/>
              </a:solidFill>
              <a:latin typeface="Arial"/>
              <a:cs typeface="Arial"/>
            </a:rPr>
            <a:pPr/>
            <a:t>GVA</a:t>
          </a:fld>
          <a:endParaRPr lang="en-GB" sz="1600" b="1">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0.01658</cdr:x>
      <cdr:y>0.93427</cdr:y>
    </cdr:from>
    <cdr:to>
      <cdr:x>0.01659</cdr:x>
      <cdr:y>1</cdr:y>
    </cdr:to>
    <cdr:sp macro="" textlink="">
      <cdr:nvSpPr>
        <cdr:cNvPr id="3" name="TextBox 1">
          <a:extLst xmlns:a="http://schemas.openxmlformats.org/drawingml/2006/main">
            <a:ext uri="{FF2B5EF4-FFF2-40B4-BE49-F238E27FC236}">
              <a16:creationId xmlns:a16="http://schemas.microsoft.com/office/drawing/2014/main" id="{7D914A48-E497-4EB6-B18A-4B5219E02609}"/>
            </a:ext>
          </a:extLst>
        </cdr:cNvPr>
        <cdr:cNvSpPr txBox="1"/>
      </cdr:nvSpPr>
      <cdr:spPr>
        <a:xfrm xmlns:a="http://schemas.openxmlformats.org/drawingml/2006/main">
          <a:off x="95002" y="2709424"/>
          <a:ext cx="65" cy="19062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36000" rIns="0" bIns="36000" rtlCol="0" anchor="b" anchorCtr="0">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sz="800" b="0" i="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0.00534</cdr:x>
      <cdr:y>0.1083</cdr:y>
    </cdr:from>
    <cdr:to>
      <cdr:x>0.41935</cdr:x>
      <cdr:y>0.17781</cdr:y>
    </cdr:to>
    <cdr:sp macro="" textlink="">
      <cdr:nvSpPr>
        <cdr:cNvPr id="4"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32268" y="319966"/>
          <a:ext cx="2501721" cy="205368"/>
        </a:xfrm>
        <a:prstGeom xmlns:a="http://schemas.openxmlformats.org/drawingml/2006/main" prst="rect">
          <a:avLst/>
        </a:prstGeom>
      </cdr:spPr>
      <cdr:txBody>
        <a:bodyPr xmlns:a="http://schemas.openxmlformats.org/drawingml/2006/main" vertOverflow="overflow" horzOverflow="overflow" wrap="square" lIns="0" tIns="36000" bIns="36000" rtlCol="0">
          <a:spAutoFit/>
        </a:bodyPr>
        <a:lstStyle xmlns:a="http://schemas.openxmlformats.org/drawingml/2006/main"/>
        <a:p xmlns:a="http://schemas.openxmlformats.org/drawingml/2006/main">
          <a:fld id="{403BBC46-86AE-4E4E-AC74-D838F626DDB6}" type="TxLink">
            <a:rPr lang="en-US" sz="900" b="0" i="0" u="none" strike="noStrike">
              <a:solidFill>
                <a:srgbClr val="000000"/>
              </a:solidFill>
              <a:latin typeface="Arial"/>
              <a:cs typeface="Arial"/>
            </a:rPr>
            <a:pPr/>
            <a:t>thousands</a:t>
          </a:fld>
          <a:endParaRPr lang="en-GB"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cdr:y>
    </cdr:from>
    <cdr:to>
      <cdr:x>0.089</cdr:x>
      <cdr:y>0.10328</cdr:y>
    </cdr:to>
    <cdr:sp macro="" textlink="">
      <cdr:nvSpPr>
        <cdr:cNvPr id="5"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0" y="0"/>
          <a:ext cx="525593" cy="308665"/>
        </a:xfrm>
        <a:prstGeom xmlns:a="http://schemas.openxmlformats.org/drawingml/2006/main" prst="rect">
          <a:avLst/>
        </a:prstGeom>
      </cdr:spPr>
      <cdr:txBody>
        <a:bodyPr xmlns:a="http://schemas.openxmlformats.org/drawingml/2006/main" wrap="none" lIns="0" tIns="36000" bIns="36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DDC877B7-868D-4AF3-B51A-98DE97B9D922}" type="TxLink">
            <a:rPr lang="en-US" sz="1600" b="0" i="0" u="none" strike="noStrike">
              <a:solidFill>
                <a:srgbClr val="000000"/>
              </a:solidFill>
              <a:latin typeface="Arial"/>
              <a:cs typeface="Arial"/>
            </a:rPr>
            <a:pPr/>
            <a:t>Total employment</a:t>
          </a:fld>
          <a:endParaRPr lang="en-GB" sz="1600" b="1">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0.91223</cdr:y>
    </cdr:from>
    <cdr:to>
      <cdr:x>0.16606</cdr:x>
      <cdr:y>1</cdr:y>
    </cdr:to>
    <cdr:sp macro="" textlink="">
      <cdr:nvSpPr>
        <cdr:cNvPr id="3" name="TextBox 1">
          <a:extLst xmlns:a="http://schemas.openxmlformats.org/drawingml/2006/main">
            <a:ext uri="{FF2B5EF4-FFF2-40B4-BE49-F238E27FC236}">
              <a16:creationId xmlns:a16="http://schemas.microsoft.com/office/drawing/2014/main" id="{7D914A48-E497-4EB6-B18A-4B5219E02609}"/>
            </a:ext>
          </a:extLst>
        </cdr:cNvPr>
        <cdr:cNvSpPr txBox="1"/>
      </cdr:nvSpPr>
      <cdr:spPr>
        <a:xfrm xmlns:a="http://schemas.openxmlformats.org/drawingml/2006/main">
          <a:off x="0" y="1981199"/>
          <a:ext cx="695575" cy="19062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36000" rIns="0" bIns="36000" rtlCol="0" anchor="b" anchorCtr="0">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b="0" i="0">
              <a:latin typeface="Arial" panose="020B0604020202020204" pitchFamily="34" charset="0"/>
              <a:cs typeface="Arial" panose="020B0604020202020204" pitchFamily="34" charset="0"/>
            </a:rPr>
            <a:t>Source: GMFM</a:t>
          </a:r>
        </a:p>
      </cdr:txBody>
    </cdr:sp>
  </cdr:relSizeAnchor>
  <cdr:relSizeAnchor xmlns:cdr="http://schemas.openxmlformats.org/drawingml/2006/chartDrawing">
    <cdr:from>
      <cdr:x>0.00534</cdr:x>
      <cdr:y>0.1083</cdr:y>
    </cdr:from>
    <cdr:to>
      <cdr:x>0.41935</cdr:x>
      <cdr:y>0.17781</cdr:y>
    </cdr:to>
    <cdr:sp macro="" textlink="">
      <cdr:nvSpPr>
        <cdr:cNvPr id="4"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32268" y="319966"/>
          <a:ext cx="2501721" cy="205368"/>
        </a:xfrm>
        <a:prstGeom xmlns:a="http://schemas.openxmlformats.org/drawingml/2006/main" prst="rect">
          <a:avLst/>
        </a:prstGeom>
      </cdr:spPr>
      <cdr:txBody>
        <a:bodyPr xmlns:a="http://schemas.openxmlformats.org/drawingml/2006/main" vertOverflow="overflow" horzOverflow="overflow" wrap="square" lIns="0" tIns="36000" bIns="36000" rtlCol="0">
          <a:spAutoFit/>
        </a:bodyPr>
        <a:lstStyle xmlns:a="http://schemas.openxmlformats.org/drawingml/2006/main"/>
        <a:p xmlns:a="http://schemas.openxmlformats.org/drawingml/2006/main">
          <a:fld id="{403BBC46-86AE-4E4E-AC74-D838F626DDB6}" type="TxLink">
            <a:rPr lang="en-US" sz="900" b="0" i="0" u="none" strike="noStrike">
              <a:solidFill>
                <a:srgbClr val="000000"/>
              </a:solidFill>
              <a:latin typeface="Arial"/>
              <a:cs typeface="Arial"/>
            </a:rPr>
            <a:pPr/>
            <a:t>thousands</a:t>
          </a:fld>
          <a:endParaRPr lang="en-GB"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cdr:y>
    </cdr:from>
    <cdr:to>
      <cdr:x>0.29181</cdr:x>
      <cdr:y>0.10328</cdr:y>
    </cdr:to>
    <cdr:sp macro="" textlink="">
      <cdr:nvSpPr>
        <cdr:cNvPr id="5" name="TextBox 2">
          <a:extLst xmlns:a="http://schemas.openxmlformats.org/drawingml/2006/main">
            <a:ext uri="{FF2B5EF4-FFF2-40B4-BE49-F238E27FC236}">
              <a16:creationId xmlns:a16="http://schemas.microsoft.com/office/drawing/2014/main" id="{CCEFA688-18B2-4F06-BBD3-C1038F182599}"/>
            </a:ext>
          </a:extLst>
        </cdr:cNvPr>
        <cdr:cNvSpPr txBox="1"/>
      </cdr:nvSpPr>
      <cdr:spPr>
        <a:xfrm xmlns:a="http://schemas.openxmlformats.org/drawingml/2006/main">
          <a:off x="0" y="0"/>
          <a:ext cx="1723292" cy="308665"/>
        </a:xfrm>
        <a:prstGeom xmlns:a="http://schemas.openxmlformats.org/drawingml/2006/main" prst="rect">
          <a:avLst/>
        </a:prstGeom>
      </cdr:spPr>
      <cdr:txBody>
        <a:bodyPr xmlns:a="http://schemas.openxmlformats.org/drawingml/2006/main" wrap="none" lIns="0" tIns="36000" bIns="36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DDC877B7-868D-4AF3-B51A-98DE97B9D922}" type="TxLink">
            <a:rPr lang="en-US" sz="1600" b="0" i="0" u="none" strike="noStrike">
              <a:solidFill>
                <a:srgbClr val="000000"/>
              </a:solidFill>
              <a:latin typeface="Arial"/>
              <a:cs typeface="Arial"/>
            </a:rPr>
            <a:pPr/>
            <a:t>Total Population</a:t>
          </a:fld>
          <a:endParaRPr lang="en-GB" sz="1600" b="1">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A035-17F3-4C95-B3CB-060070A0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35</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Kellett, Adam</dc:creator>
  <cp:keywords/>
  <dc:description/>
  <cp:lastModifiedBy>Kellett, Adam</cp:lastModifiedBy>
  <cp:revision>2</cp:revision>
  <dcterms:created xsi:type="dcterms:W3CDTF">2021-06-01T14:13:00Z</dcterms:created>
  <dcterms:modified xsi:type="dcterms:W3CDTF">2021-06-02T09:36:00Z</dcterms:modified>
</cp:coreProperties>
</file>