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78" w:displacedByCustomXml="next"/>
    <w:bookmarkStart w:id="1" w:name="_Toc61294764" w:displacedByCustomXml="next"/>
    <w:bookmarkStart w:id="2" w:name="_Toc61984580" w:displacedByCustomXml="next"/>
    <w:sdt>
      <w:sdtPr>
        <w:rPr>
          <w:rFonts w:eastAsiaTheme="minorHAnsi" w:cstheme="minorBidi"/>
          <w:b w:val="0"/>
          <w:bCs w:val="0"/>
          <w:noProof w:val="0"/>
          <w:color w:val="000000" w:themeColor="text1"/>
          <w:sz w:val="24"/>
          <w:szCs w:val="22"/>
        </w:rPr>
        <w:id w:val="-869606675"/>
        <w:docPartObj>
          <w:docPartGallery w:val="Cover Pages"/>
          <w:docPartUnique/>
        </w:docPartObj>
      </w:sdtPr>
      <w:sdtEndPr/>
      <w:sdtContent>
        <w:p w14:paraId="3BC1816C" w14:textId="3ADC9D4D" w:rsidR="00C44501" w:rsidRPr="008B260F" w:rsidRDefault="00DF610A" w:rsidP="0053030C">
          <w:pPr>
            <w:pStyle w:val="Heading1"/>
            <w:spacing w:before="3240"/>
            <w:rPr>
              <w:rFonts w:eastAsiaTheme="minorHAnsi" w:cstheme="minorBidi"/>
              <w:b w:val="0"/>
              <w:bCs w:val="0"/>
              <w:noProof w:val="0"/>
              <w:color w:val="000000" w:themeColor="text1"/>
              <w:sz w:val="24"/>
              <w:szCs w:val="22"/>
            </w:rPr>
          </w:pPr>
          <w:r w:rsidRPr="00F451EF">
            <w:drawing>
              <wp:anchor distT="0" distB="0" distL="114300" distR="114300" simplePos="0" relativeHeight="251657728" behindDoc="1" locked="1" layoutInCell="1" allowOverlap="0" wp14:anchorId="31B983E9" wp14:editId="30FF9AA0">
                <wp:simplePos x="0" y="0"/>
                <wp:positionH relativeFrom="page">
                  <wp:align>left</wp:align>
                </wp:positionH>
                <wp:positionV relativeFrom="page">
                  <wp:align>top</wp:align>
                </wp:positionV>
                <wp:extent cx="7665720" cy="10844530"/>
                <wp:effectExtent l="0" t="0" r="0" b="0"/>
                <wp:wrapNone/>
                <wp:docPr id="2"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65720" cy="10844530"/>
                        </a:xfrm>
                        <a:prstGeom prst="rect">
                          <a:avLst/>
                        </a:prstGeom>
                        <a:noFill/>
                      </pic:spPr>
                    </pic:pic>
                  </a:graphicData>
                </a:graphic>
                <wp14:sizeRelH relativeFrom="margin">
                  <wp14:pctWidth>0</wp14:pctWidth>
                </wp14:sizeRelH>
                <wp14:sizeRelV relativeFrom="margin">
                  <wp14:pctHeight>0</wp14:pctHeight>
                </wp14:sizeRelV>
              </wp:anchor>
            </w:drawing>
          </w:r>
          <w:bookmarkStart w:id="3" w:name="_Toc61294763"/>
          <w:bookmarkStart w:id="4" w:name="_Toc61984579"/>
          <w:bookmarkEnd w:id="0"/>
          <w:r w:rsidR="00F451EF" w:rsidRPr="00F451EF">
            <w:t>Chapter Three : Boosting trade and reducing barriers to data flows</w:t>
          </w:r>
          <w:bookmarkEnd w:id="3"/>
          <w:bookmarkEnd w:id="4"/>
        </w:p>
        <w:p w14:paraId="19C66FC4" w14:textId="77777777" w:rsidR="00F451EF" w:rsidRPr="00F451EF" w:rsidRDefault="00F451EF">
          <w:pPr>
            <w:rPr>
              <w:rFonts w:cs="Arial"/>
              <w:color w:val="FFFFFF" w:themeColor="background1"/>
              <w:sz w:val="36"/>
              <w:szCs w:val="36"/>
            </w:rPr>
          </w:pPr>
        </w:p>
        <w:p w14:paraId="098EE5ED" w14:textId="1408F27D" w:rsidR="00C44501" w:rsidRPr="00F451EF" w:rsidRDefault="00F451EF">
          <w:pPr>
            <w:rPr>
              <w:rFonts w:cs="Arial"/>
              <w:b/>
              <w:bCs/>
              <w:noProof/>
            </w:rPr>
          </w:pPr>
          <w:r w:rsidRPr="00F451EF">
            <w:rPr>
              <w:rFonts w:cs="Arial"/>
              <w:color w:val="FFFFFF" w:themeColor="background1"/>
              <w:sz w:val="36"/>
              <w:szCs w:val="36"/>
            </w:rPr>
            <w:t>1</w:t>
          </w:r>
          <w:r w:rsidR="00EA6BA0">
            <w:rPr>
              <w:rFonts w:cs="Arial"/>
              <w:color w:val="FFFFFF" w:themeColor="background1"/>
              <w:sz w:val="36"/>
              <w:szCs w:val="36"/>
            </w:rPr>
            <w:t>7</w:t>
          </w:r>
          <w:r w:rsidRPr="00F451EF">
            <w:rPr>
              <w:rFonts w:cs="Arial"/>
              <w:color w:val="FFFFFF" w:themeColor="background1"/>
              <w:sz w:val="36"/>
              <w:szCs w:val="36"/>
            </w:rPr>
            <w:t>.12.21</w:t>
          </w:r>
          <w:r w:rsidR="00DF610A" w:rsidRPr="00F451EF">
            <w:rPr>
              <w:rFonts w:cs="Arial"/>
              <w:color w:val="FFFFFF" w:themeColor="background1"/>
              <w:sz w:val="36"/>
              <w:szCs w:val="36"/>
            </w:rPr>
            <w:t xml:space="preserve"> </w:t>
          </w:r>
        </w:p>
      </w:sdtContent>
    </w:sdt>
    <w:p w14:paraId="4A1778D5" w14:textId="41FCE28E" w:rsidR="00C44501" w:rsidRPr="00F451EF" w:rsidRDefault="00DF610A">
      <w:pPr>
        <w:spacing w:after="0" w:line="240" w:lineRule="auto"/>
        <w:textAlignment w:val="baseline"/>
        <w:rPr>
          <w:rFonts w:eastAsia="Times New Roman" w:cs="Arial"/>
          <w:color w:val="auto"/>
          <w:sz w:val="18"/>
          <w:szCs w:val="18"/>
          <w:lang w:eastAsia="en-GB"/>
        </w:rPr>
      </w:pPr>
      <w:r w:rsidRPr="00F451EF">
        <w:rPr>
          <w:rFonts w:cs="Arial"/>
        </w:rPr>
        <w:br w:type="page"/>
      </w:r>
    </w:p>
    <w:p w14:paraId="28C6F191" w14:textId="50E75A07" w:rsidR="00C44501" w:rsidRPr="00F451EF" w:rsidRDefault="00DF610A" w:rsidP="008B260F">
      <w:pPr>
        <w:pStyle w:val="Heading2"/>
        <w:rPr>
          <w:lang w:eastAsia="en-GB"/>
        </w:rPr>
      </w:pPr>
      <w:r w:rsidRPr="00F451EF">
        <w:rPr>
          <w:lang w:eastAsia="en-GB"/>
        </w:rPr>
        <w:lastRenderedPageBreak/>
        <w:t>3.1 Introduction </w:t>
      </w:r>
      <w:r w:rsidR="00A074B1">
        <w:rPr>
          <w:lang w:eastAsia="en-GB"/>
        </w:rPr>
        <w:t xml:space="preserve"> </w:t>
      </w:r>
    </w:p>
    <w:p w14:paraId="732E1A78" w14:textId="785559EB"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No questions </w:t>
      </w:r>
      <w:r w:rsidR="00A074B1">
        <w:rPr>
          <w:rFonts w:eastAsia="Times New Roman" w:cs="Arial"/>
          <w:lang w:eastAsia="en-GB"/>
        </w:rPr>
        <w:t xml:space="preserve"> </w:t>
      </w:r>
    </w:p>
    <w:p w14:paraId="6D25ABFA" w14:textId="5A04DC2F" w:rsidR="00C44501" w:rsidRPr="00F451EF" w:rsidRDefault="00DF610A" w:rsidP="008B260F">
      <w:pPr>
        <w:pStyle w:val="Heading2"/>
        <w:rPr>
          <w:lang w:eastAsia="en-GB"/>
        </w:rPr>
      </w:pPr>
      <w:r w:rsidRPr="00F451EF">
        <w:rPr>
          <w:lang w:eastAsia="en-GB"/>
        </w:rPr>
        <w:t>3.2 Adequacy </w:t>
      </w:r>
      <w:r w:rsidR="00A074B1">
        <w:rPr>
          <w:lang w:eastAsia="en-GB"/>
        </w:rPr>
        <w:t xml:space="preserve"> </w:t>
      </w:r>
    </w:p>
    <w:p w14:paraId="59437E45" w14:textId="5A2895AB" w:rsidR="00C44501" w:rsidRPr="00F451EF" w:rsidRDefault="00DF610A" w:rsidP="008B260F">
      <w:pPr>
        <w:pStyle w:val="Heading3"/>
        <w:rPr>
          <w:lang w:eastAsia="en-GB"/>
        </w:rPr>
      </w:pPr>
      <w:r w:rsidRPr="00F451EF">
        <w:rPr>
          <w:lang w:eastAsia="en-GB"/>
        </w:rPr>
        <w:t>Q3.2.1.</w:t>
      </w:r>
      <w:r w:rsidR="00A074B1">
        <w:rPr>
          <w:lang w:eastAsia="en-GB"/>
        </w:rPr>
        <w:t xml:space="preserve"> </w:t>
      </w:r>
      <w:r w:rsidRPr="00F451EF">
        <w:rPr>
          <w:lang w:eastAsia="en-GB"/>
        </w:rPr>
        <w:t>To what extent do you agree that the UK's future approach to adequacy decisions should be risk-based and focused on outcomes?</w:t>
      </w:r>
      <w:r w:rsidR="00A074B1">
        <w:rPr>
          <w:lang w:eastAsia="en-GB"/>
        </w:rPr>
        <w:t xml:space="preserve">  </w:t>
      </w:r>
    </w:p>
    <w:p w14:paraId="50F665FC" w14:textId="7777777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Somewhat Agree</w:t>
      </w:r>
    </w:p>
    <w:p w14:paraId="570C2407" w14:textId="3AC98A16" w:rsidR="00C44501" w:rsidRPr="00F451EF" w:rsidRDefault="00DF610A" w:rsidP="008B260F">
      <w:pPr>
        <w:pStyle w:val="Heading4"/>
        <w:rPr>
          <w:lang w:eastAsia="en-GB"/>
        </w:rPr>
      </w:pPr>
      <w:r w:rsidRPr="00F451EF">
        <w:rPr>
          <w:lang w:eastAsia="en-GB"/>
        </w:rPr>
        <w:t>Q3.2.1a.</w:t>
      </w:r>
      <w:r w:rsidR="00A074B1">
        <w:rPr>
          <w:lang w:eastAsia="en-GB"/>
        </w:rPr>
        <w:t xml:space="preserve"> </w:t>
      </w:r>
      <w:r w:rsidRPr="00F451EF">
        <w:rPr>
          <w:lang w:eastAsia="en-GB"/>
        </w:rPr>
        <w:t>Please explain your answer and provide supporting evidence if possible.</w:t>
      </w:r>
      <w:r w:rsidR="00A074B1">
        <w:rPr>
          <w:lang w:eastAsia="en-GB"/>
        </w:rPr>
        <w:t xml:space="preserve">  </w:t>
      </w:r>
    </w:p>
    <w:p w14:paraId="2E8A23AF" w14:textId="3F4D671C"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A</w:t>
      </w:r>
      <w:r w:rsidR="00A074B1">
        <w:rPr>
          <w:rFonts w:eastAsia="Times New Roman" w:cs="Arial"/>
          <w:lang w:eastAsia="en-GB"/>
        </w:rPr>
        <w:t xml:space="preserve"> </w:t>
      </w:r>
      <w:r w:rsidRPr="00F451EF">
        <w:rPr>
          <w:rFonts w:eastAsia="Times New Roman" w:cs="Arial"/>
          <w:lang w:eastAsia="en-GB"/>
        </w:rPr>
        <w:t>risk-based approach focused on outcomes needs to fully consider</w:t>
      </w:r>
      <w:r w:rsidR="00A074B1">
        <w:rPr>
          <w:rFonts w:eastAsia="Times New Roman" w:cs="Arial"/>
          <w:lang w:eastAsia="en-GB"/>
        </w:rPr>
        <w:t xml:space="preserve"> </w:t>
      </w:r>
      <w:r w:rsidRPr="00F451EF">
        <w:rPr>
          <w:rFonts w:eastAsia="Times New Roman" w:cs="Arial"/>
          <w:lang w:eastAsia="en-GB"/>
        </w:rPr>
        <w:t>data ethics, rights, freedoms and privacy risks.  It is important that the rights of data subjects are at the heart of adequacy.</w:t>
      </w:r>
    </w:p>
    <w:p w14:paraId="654DFA21" w14:textId="729C1E3D"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Clarity is required on</w:t>
      </w:r>
      <w:r w:rsidR="00A074B1">
        <w:rPr>
          <w:rFonts w:eastAsia="Times New Roman" w:cs="Arial"/>
          <w:lang w:eastAsia="en-GB"/>
        </w:rPr>
        <w:t xml:space="preserve"> </w:t>
      </w:r>
      <w:r w:rsidRPr="00F451EF">
        <w:rPr>
          <w:rFonts w:eastAsia="Times New Roman" w:cs="Arial"/>
          <w:lang w:eastAsia="en-GB"/>
        </w:rPr>
        <w:t>what is considered immaterial with a focus on ensuring that any risks that impact the individual</w:t>
      </w:r>
      <w:r w:rsidR="00A074B1">
        <w:rPr>
          <w:rFonts w:eastAsia="Times New Roman" w:cs="Arial"/>
          <w:lang w:eastAsia="en-GB"/>
        </w:rPr>
        <w:t xml:space="preserve"> </w:t>
      </w:r>
      <w:r w:rsidRPr="00F451EF">
        <w:rPr>
          <w:rFonts w:eastAsia="Times New Roman" w:cs="Arial"/>
          <w:lang w:eastAsia="en-GB"/>
        </w:rPr>
        <w:t>are still taken seriously.</w:t>
      </w:r>
      <w:r w:rsidR="00A074B1">
        <w:rPr>
          <w:rFonts w:eastAsia="Times New Roman" w:cs="Arial"/>
          <w:lang w:eastAsia="en-GB"/>
        </w:rPr>
        <w:t xml:space="preserve">  </w:t>
      </w:r>
      <w:r w:rsidRPr="00F451EF">
        <w:rPr>
          <w:rFonts w:eastAsia="Times New Roman" w:cs="Arial"/>
          <w:lang w:eastAsia="en-GB"/>
        </w:rPr>
        <w:t xml:space="preserve"> There are also some key considerations in terms of what redress the data subject and UK based controllers would have if things went</w:t>
      </w:r>
      <w:r w:rsidR="00A074B1">
        <w:rPr>
          <w:rFonts w:eastAsia="Times New Roman" w:cs="Arial"/>
          <w:lang w:eastAsia="en-GB"/>
        </w:rPr>
        <w:t xml:space="preserve"> </w:t>
      </w:r>
      <w:r w:rsidRPr="00F451EF">
        <w:rPr>
          <w:rFonts w:eastAsia="Times New Roman" w:cs="Arial"/>
          <w:lang w:eastAsia="en-GB"/>
        </w:rPr>
        <w:t>wrong which are not yet clear within this section.</w:t>
      </w:r>
      <w:r w:rsidR="00A074B1">
        <w:rPr>
          <w:rFonts w:eastAsia="Times New Roman" w:cs="Arial"/>
          <w:lang w:eastAsia="en-GB"/>
        </w:rPr>
        <w:t xml:space="preserve"> </w:t>
      </w:r>
    </w:p>
    <w:p w14:paraId="3B75E74D" w14:textId="6780398A" w:rsidR="00C44501" w:rsidRPr="00F451EF" w:rsidRDefault="00DF610A" w:rsidP="008B260F">
      <w:pPr>
        <w:pStyle w:val="Heading3"/>
        <w:rPr>
          <w:lang w:eastAsia="en-GB"/>
        </w:rPr>
      </w:pPr>
      <w:r w:rsidRPr="00F451EF">
        <w:rPr>
          <w:lang w:eastAsia="en-GB"/>
        </w:rPr>
        <w:t>Q3.2.2.</w:t>
      </w:r>
      <w:r w:rsidR="00A074B1">
        <w:rPr>
          <w:lang w:eastAsia="en-GB"/>
        </w:rPr>
        <w:t xml:space="preserve"> </w:t>
      </w:r>
      <w:r w:rsidRPr="00F451EF">
        <w:rPr>
          <w:lang w:eastAsia="en-GB"/>
        </w:rPr>
        <w:t>To what extent do you agree that the government should consider making adequacy regulations for groups of countries, regions and multilateral frameworks?</w:t>
      </w:r>
      <w:r w:rsidR="00A074B1">
        <w:rPr>
          <w:lang w:eastAsia="en-GB"/>
        </w:rPr>
        <w:t xml:space="preserve">  </w:t>
      </w:r>
    </w:p>
    <w:p w14:paraId="26BD48E4" w14:textId="7777777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Neither Agree nor Disagree</w:t>
      </w:r>
    </w:p>
    <w:p w14:paraId="531D55E2" w14:textId="5E38609A" w:rsidR="00C44501" w:rsidRPr="00F451EF" w:rsidRDefault="00DF610A" w:rsidP="008B260F">
      <w:pPr>
        <w:pStyle w:val="Heading4"/>
        <w:rPr>
          <w:lang w:eastAsia="en-GB"/>
        </w:rPr>
      </w:pPr>
      <w:r w:rsidRPr="00F451EF">
        <w:rPr>
          <w:lang w:eastAsia="en-GB"/>
        </w:rPr>
        <w:t>Q3.2.2a.</w:t>
      </w:r>
      <w:r w:rsidR="00A074B1">
        <w:rPr>
          <w:lang w:eastAsia="en-GB"/>
        </w:rPr>
        <w:t xml:space="preserve"> </w:t>
      </w:r>
      <w:r w:rsidRPr="00F451EF">
        <w:rPr>
          <w:lang w:eastAsia="en-GB"/>
        </w:rPr>
        <w:t>Please explain your</w:t>
      </w:r>
      <w:r w:rsidR="00A074B1">
        <w:rPr>
          <w:lang w:eastAsia="en-GB"/>
        </w:rPr>
        <w:t xml:space="preserve"> </w:t>
      </w:r>
      <w:r w:rsidRPr="00F451EF">
        <w:rPr>
          <w:lang w:eastAsia="en-GB"/>
        </w:rPr>
        <w:t>answer and</w:t>
      </w:r>
      <w:r w:rsidR="00A074B1">
        <w:rPr>
          <w:lang w:eastAsia="en-GB"/>
        </w:rPr>
        <w:t xml:space="preserve"> </w:t>
      </w:r>
      <w:r w:rsidRPr="00F451EF">
        <w:rPr>
          <w:lang w:eastAsia="en-GB"/>
        </w:rPr>
        <w:t>provide supporting evidence where possible.</w:t>
      </w:r>
      <w:r w:rsidR="00A074B1">
        <w:rPr>
          <w:lang w:eastAsia="en-GB"/>
        </w:rPr>
        <w:t xml:space="preserve">  </w:t>
      </w:r>
    </w:p>
    <w:p w14:paraId="40C59415" w14:textId="4BBDF9D0" w:rsidR="00C44501" w:rsidRPr="00F451EF" w:rsidRDefault="00DF610A" w:rsidP="000852B4">
      <w:pPr>
        <w:textAlignment w:val="baseline"/>
        <w:rPr>
          <w:rFonts w:eastAsia="Times New Roman" w:cs="Arial"/>
          <w:lang w:eastAsia="en-GB"/>
        </w:rPr>
      </w:pPr>
      <w:r w:rsidRPr="00F451EF">
        <w:rPr>
          <w:rFonts w:eastAsia="Times New Roman" w:cs="Arial"/>
          <w:lang w:eastAsia="en-GB"/>
        </w:rPr>
        <w:t>This needs to be independently regulated and any group assessment will need to be</w:t>
      </w:r>
      <w:r w:rsidR="00A074B1">
        <w:rPr>
          <w:rFonts w:eastAsia="Times New Roman" w:cs="Arial"/>
          <w:lang w:eastAsia="en-GB"/>
        </w:rPr>
        <w:t xml:space="preserve"> </w:t>
      </w:r>
      <w:r w:rsidRPr="00F451EF">
        <w:rPr>
          <w:rFonts w:eastAsia="Times New Roman" w:cs="Arial"/>
          <w:lang w:eastAsia="en-GB"/>
        </w:rPr>
        <w:t>adequately</w:t>
      </w:r>
      <w:r w:rsidR="00A074B1">
        <w:rPr>
          <w:rFonts w:eastAsia="Times New Roman" w:cs="Arial"/>
          <w:lang w:eastAsia="en-GB"/>
        </w:rPr>
        <w:t xml:space="preserve"> </w:t>
      </w:r>
      <w:r w:rsidRPr="00F451EF">
        <w:rPr>
          <w:rFonts w:eastAsia="Times New Roman" w:cs="Arial"/>
          <w:lang w:eastAsia="en-GB"/>
        </w:rPr>
        <w:t>reviewed.</w:t>
      </w:r>
      <w:r w:rsidR="00A074B1">
        <w:rPr>
          <w:rFonts w:eastAsia="Times New Roman" w:cs="Arial"/>
          <w:lang w:eastAsia="en-GB"/>
        </w:rPr>
        <w:t xml:space="preserve">  </w:t>
      </w:r>
      <w:r w:rsidRPr="00F451EF">
        <w:rPr>
          <w:rFonts w:eastAsia="Times New Roman" w:cs="Arial"/>
          <w:lang w:eastAsia="en-GB"/>
        </w:rPr>
        <w:t xml:space="preserve">Grouping of countries or regions may not provide a detailed </w:t>
      </w:r>
      <w:r w:rsidRPr="00F451EF">
        <w:rPr>
          <w:rFonts w:eastAsia="Times New Roman" w:cs="Arial"/>
          <w:lang w:eastAsia="en-GB"/>
        </w:rPr>
        <w:lastRenderedPageBreak/>
        <w:t>enough view of each country’s approach to data protection, leading to oversight or sharing data</w:t>
      </w:r>
      <w:r w:rsidR="00A074B1">
        <w:rPr>
          <w:rFonts w:eastAsia="Times New Roman" w:cs="Arial"/>
          <w:lang w:eastAsia="en-GB"/>
        </w:rPr>
        <w:t xml:space="preserve"> </w:t>
      </w:r>
      <w:r w:rsidRPr="00F451EF">
        <w:rPr>
          <w:rFonts w:eastAsia="Times New Roman" w:cs="Arial"/>
          <w:lang w:eastAsia="en-GB"/>
        </w:rPr>
        <w:t>unlawfully.</w:t>
      </w:r>
      <w:r w:rsidR="00A074B1">
        <w:rPr>
          <w:rFonts w:eastAsia="Times New Roman" w:cs="Arial"/>
          <w:lang w:eastAsia="en-GB"/>
        </w:rPr>
        <w:t xml:space="preserve"> </w:t>
      </w:r>
    </w:p>
    <w:p w14:paraId="43AAA510" w14:textId="200E6FB5" w:rsidR="00C44501" w:rsidRPr="00225844" w:rsidRDefault="00DF610A" w:rsidP="000852B4">
      <w:pPr>
        <w:textAlignment w:val="baseline"/>
        <w:rPr>
          <w:rFonts w:eastAsia="Times New Roman" w:cs="Arial"/>
          <w:lang w:eastAsia="en-GB"/>
        </w:rPr>
      </w:pPr>
      <w:r w:rsidRPr="00F451EF">
        <w:rPr>
          <w:rFonts w:eastAsia="Times New Roman" w:cs="Arial"/>
          <w:lang w:eastAsia="en-GB"/>
        </w:rPr>
        <w:t>Those making adequacy agreements need to ensure that all parties of the group have appropriate legislation. They should also be able to reflect changes to a single</w:t>
      </w:r>
      <w:r w:rsidR="00A074B1">
        <w:rPr>
          <w:rFonts w:eastAsia="Times New Roman" w:cs="Arial"/>
          <w:lang w:eastAsia="en-GB"/>
        </w:rPr>
        <w:t xml:space="preserve"> </w:t>
      </w:r>
      <w:r w:rsidRPr="00F451EF">
        <w:rPr>
          <w:rFonts w:eastAsia="Times New Roman" w:cs="Arial"/>
          <w:lang w:eastAsia="en-GB"/>
        </w:rPr>
        <w:t>country within a group.  Collective assessment and ranking would be a concern unless the group has the same legislation in place (such as with the EU).</w:t>
      </w:r>
      <w:r w:rsidR="00A074B1">
        <w:rPr>
          <w:rFonts w:eastAsia="Times New Roman" w:cs="Arial"/>
          <w:lang w:eastAsia="en-GB"/>
        </w:rPr>
        <w:t xml:space="preserve">  </w:t>
      </w:r>
    </w:p>
    <w:p w14:paraId="048B365A" w14:textId="0701C3CA" w:rsidR="00C44501" w:rsidRPr="00F451EF" w:rsidRDefault="00DF610A" w:rsidP="008B260F">
      <w:pPr>
        <w:pStyle w:val="Heading3"/>
        <w:rPr>
          <w:szCs w:val="36"/>
          <w:lang w:eastAsia="en-GB"/>
        </w:rPr>
      </w:pPr>
      <w:r w:rsidRPr="00F451EF">
        <w:rPr>
          <w:lang w:eastAsia="en-GB"/>
        </w:rPr>
        <w:t>Q3.2.3.</w:t>
      </w:r>
      <w:r w:rsidR="00A074B1">
        <w:rPr>
          <w:lang w:eastAsia="en-GB"/>
        </w:rPr>
        <w:t xml:space="preserve"> </w:t>
      </w:r>
      <w:r w:rsidRPr="00F451EF">
        <w:rPr>
          <w:lang w:eastAsia="en-GB"/>
        </w:rPr>
        <w:t>To what extent do you agree with the proposal to strengthen ongoing monitoring of adequacy regulations and relax the requirement to review adequacy regulations every four years</w:t>
      </w:r>
      <w:r w:rsidRPr="00F451EF">
        <w:rPr>
          <w:szCs w:val="36"/>
          <w:lang w:eastAsia="en-GB"/>
        </w:rPr>
        <w:t>?</w:t>
      </w:r>
      <w:r w:rsidR="00A074B1">
        <w:rPr>
          <w:szCs w:val="36"/>
          <w:lang w:eastAsia="en-GB"/>
        </w:rPr>
        <w:t xml:space="preserve">  </w:t>
      </w:r>
    </w:p>
    <w:p w14:paraId="76897AAF" w14:textId="7777777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Somewhat Disagree</w:t>
      </w:r>
    </w:p>
    <w:p w14:paraId="5EAD0806" w14:textId="56BDB192" w:rsidR="00C44501" w:rsidRPr="00F451EF" w:rsidRDefault="00DF610A" w:rsidP="008B260F">
      <w:pPr>
        <w:pStyle w:val="Heading4"/>
        <w:rPr>
          <w:lang w:eastAsia="en-GB"/>
        </w:rPr>
      </w:pPr>
      <w:r w:rsidRPr="00F451EF">
        <w:rPr>
          <w:lang w:eastAsia="en-GB"/>
        </w:rPr>
        <w:t>Q3.2.3a.</w:t>
      </w:r>
      <w:r w:rsidR="00A074B1">
        <w:rPr>
          <w:lang w:eastAsia="en-GB"/>
        </w:rPr>
        <w:t xml:space="preserve"> </w:t>
      </w:r>
      <w:r w:rsidRPr="00F451EF">
        <w:rPr>
          <w:lang w:eastAsia="en-GB"/>
        </w:rPr>
        <w:t>Please explain your</w:t>
      </w:r>
      <w:r w:rsidR="00A074B1">
        <w:rPr>
          <w:lang w:eastAsia="en-GB"/>
        </w:rPr>
        <w:t xml:space="preserve"> </w:t>
      </w:r>
      <w:r w:rsidR="000852B4" w:rsidRPr="00F451EF">
        <w:rPr>
          <w:lang w:eastAsia="en-GB"/>
        </w:rPr>
        <w:t>answer and</w:t>
      </w:r>
      <w:r w:rsidR="00A074B1">
        <w:rPr>
          <w:lang w:eastAsia="en-GB"/>
        </w:rPr>
        <w:t xml:space="preserve"> </w:t>
      </w:r>
      <w:r w:rsidRPr="00F451EF">
        <w:rPr>
          <w:lang w:eastAsia="en-GB"/>
        </w:rPr>
        <w:t>provide supporting evidence where possible.</w:t>
      </w:r>
      <w:r w:rsidR="00A074B1">
        <w:rPr>
          <w:lang w:eastAsia="en-GB"/>
        </w:rPr>
        <w:t xml:space="preserve">  </w:t>
      </w:r>
    </w:p>
    <w:p w14:paraId="0B713E64" w14:textId="7F1FF5EE"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Improved monitoring is supported, but continual activity can lead to complacency and an influenced</w:t>
      </w:r>
      <w:r w:rsidR="00A074B1">
        <w:rPr>
          <w:rFonts w:eastAsia="Times New Roman" w:cs="Arial"/>
          <w:lang w:eastAsia="en-GB"/>
        </w:rPr>
        <w:t xml:space="preserve"> </w:t>
      </w:r>
      <w:r w:rsidRPr="00F451EF">
        <w:rPr>
          <w:rFonts w:eastAsia="Times New Roman" w:cs="Arial"/>
          <w:lang w:eastAsia="en-GB"/>
        </w:rPr>
        <w:t>view on the</w:t>
      </w:r>
      <w:r w:rsidR="00A074B1">
        <w:rPr>
          <w:rFonts w:eastAsia="Times New Roman" w:cs="Arial"/>
          <w:lang w:eastAsia="en-GB"/>
        </w:rPr>
        <w:t xml:space="preserve"> </w:t>
      </w:r>
      <w:r w:rsidRPr="00F451EF">
        <w:rPr>
          <w:rFonts w:eastAsia="Times New Roman" w:cs="Arial"/>
          <w:lang w:eastAsia="en-GB"/>
        </w:rPr>
        <w:t>regulations.</w:t>
      </w:r>
      <w:r w:rsidR="00A074B1">
        <w:rPr>
          <w:rFonts w:eastAsia="Times New Roman" w:cs="Arial"/>
          <w:lang w:eastAsia="en-GB"/>
        </w:rPr>
        <w:t xml:space="preserve"> </w:t>
      </w:r>
      <w:r w:rsidRPr="00F451EF">
        <w:rPr>
          <w:rFonts w:eastAsia="Times New Roman" w:cs="Arial"/>
          <w:lang w:eastAsia="en-GB"/>
        </w:rPr>
        <w:t>We would like to see</w:t>
      </w:r>
      <w:r w:rsidR="00A074B1">
        <w:rPr>
          <w:rFonts w:eastAsia="Times New Roman" w:cs="Arial"/>
          <w:lang w:eastAsia="en-GB"/>
        </w:rPr>
        <w:t xml:space="preserve"> </w:t>
      </w:r>
      <w:r w:rsidRPr="00F451EF">
        <w:rPr>
          <w:rFonts w:eastAsia="Times New Roman" w:cs="Arial"/>
          <w:lang w:eastAsia="en-GB"/>
        </w:rPr>
        <w:t>both in ideal circumstances.  A set review date provides focus and</w:t>
      </w:r>
      <w:r w:rsidR="00A074B1">
        <w:rPr>
          <w:rFonts w:eastAsia="Times New Roman" w:cs="Arial"/>
          <w:lang w:eastAsia="en-GB"/>
        </w:rPr>
        <w:t xml:space="preserve"> </w:t>
      </w:r>
      <w:r w:rsidRPr="00F451EF">
        <w:rPr>
          <w:rFonts w:eastAsia="Times New Roman" w:cs="Arial"/>
          <w:lang w:eastAsia="en-GB"/>
        </w:rPr>
        <w:t>consistency</w:t>
      </w:r>
      <w:r w:rsidR="00A074B1">
        <w:rPr>
          <w:rFonts w:eastAsia="Times New Roman" w:cs="Arial"/>
          <w:lang w:eastAsia="en-GB"/>
        </w:rPr>
        <w:t xml:space="preserve"> </w:t>
      </w:r>
      <w:r w:rsidRPr="00F451EF">
        <w:rPr>
          <w:rFonts w:eastAsia="Times New Roman" w:cs="Arial"/>
          <w:lang w:eastAsia="en-GB"/>
        </w:rPr>
        <w:t>in reviewing</w:t>
      </w:r>
      <w:r w:rsidR="00A074B1">
        <w:rPr>
          <w:rFonts w:eastAsia="Times New Roman" w:cs="Arial"/>
          <w:lang w:eastAsia="en-GB"/>
        </w:rPr>
        <w:t xml:space="preserve"> </w:t>
      </w:r>
      <w:r w:rsidRPr="00F451EF">
        <w:rPr>
          <w:rFonts w:eastAsia="Times New Roman" w:cs="Arial"/>
          <w:lang w:eastAsia="en-GB"/>
        </w:rPr>
        <w:t>regulations as a whole, whereas</w:t>
      </w:r>
      <w:r w:rsidR="00A074B1">
        <w:rPr>
          <w:rFonts w:eastAsia="Times New Roman" w:cs="Arial"/>
          <w:lang w:eastAsia="en-GB"/>
        </w:rPr>
        <w:t xml:space="preserve"> </w:t>
      </w:r>
      <w:r w:rsidRPr="00F451EF">
        <w:rPr>
          <w:rFonts w:eastAsia="Times New Roman" w:cs="Arial"/>
          <w:lang w:eastAsia="en-GB"/>
        </w:rPr>
        <w:t>monitoring has better reactivity to individual events which may affect only parts of regulations, which can cause the regulation</w:t>
      </w:r>
      <w:r w:rsidR="00A074B1">
        <w:rPr>
          <w:rFonts w:eastAsia="Times New Roman" w:cs="Arial"/>
          <w:lang w:eastAsia="en-GB"/>
        </w:rPr>
        <w:t xml:space="preserve"> </w:t>
      </w:r>
      <w:r w:rsidRPr="00F451EF">
        <w:rPr>
          <w:rFonts w:eastAsia="Times New Roman" w:cs="Arial"/>
          <w:lang w:eastAsia="en-GB"/>
        </w:rPr>
        <w:t>as a whole to</w:t>
      </w:r>
      <w:r w:rsidR="00A074B1">
        <w:rPr>
          <w:rFonts w:eastAsia="Times New Roman" w:cs="Arial"/>
          <w:lang w:eastAsia="en-GB"/>
        </w:rPr>
        <w:t xml:space="preserve"> </w:t>
      </w:r>
      <w:r w:rsidRPr="00F451EF">
        <w:rPr>
          <w:rFonts w:eastAsia="Times New Roman" w:cs="Arial"/>
          <w:lang w:eastAsia="en-GB"/>
        </w:rPr>
        <w:t>become disparate</w:t>
      </w:r>
      <w:r w:rsidR="00A074B1">
        <w:rPr>
          <w:rFonts w:eastAsia="Times New Roman" w:cs="Arial"/>
          <w:lang w:eastAsia="en-GB"/>
        </w:rPr>
        <w:t xml:space="preserve"> </w:t>
      </w:r>
      <w:r w:rsidRPr="00F451EF">
        <w:rPr>
          <w:rFonts w:eastAsia="Times New Roman" w:cs="Arial"/>
          <w:lang w:eastAsia="en-GB"/>
        </w:rPr>
        <w:t>or contradictory</w:t>
      </w:r>
      <w:r w:rsidR="00A074B1">
        <w:rPr>
          <w:rFonts w:eastAsia="Times New Roman" w:cs="Arial"/>
          <w:lang w:eastAsia="en-GB"/>
        </w:rPr>
        <w:t xml:space="preserve"> </w:t>
      </w:r>
      <w:r w:rsidRPr="00F451EF">
        <w:rPr>
          <w:rFonts w:eastAsia="Times New Roman" w:cs="Arial"/>
          <w:lang w:eastAsia="en-GB"/>
        </w:rPr>
        <w:t>without regular full review.</w:t>
      </w:r>
      <w:r w:rsidR="00A074B1">
        <w:rPr>
          <w:rFonts w:eastAsia="Times New Roman" w:cs="Arial"/>
          <w:lang w:eastAsia="en-GB"/>
        </w:rPr>
        <w:t xml:space="preserve">  </w:t>
      </w:r>
    </w:p>
    <w:p w14:paraId="684B985C" w14:textId="029D6D6B"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This combined with a risk based, outcome focused and grouping of countries in adequacy review appears to be a weaker approach to</w:t>
      </w:r>
      <w:r w:rsidR="00A074B1">
        <w:rPr>
          <w:rFonts w:eastAsia="Times New Roman" w:cs="Arial"/>
          <w:lang w:eastAsia="en-GB"/>
        </w:rPr>
        <w:t xml:space="preserve"> </w:t>
      </w:r>
      <w:r w:rsidRPr="00F451EF">
        <w:rPr>
          <w:rFonts w:eastAsia="Times New Roman" w:cs="Arial"/>
          <w:lang w:eastAsia="en-GB"/>
        </w:rPr>
        <w:t>data protection as a whole.</w:t>
      </w:r>
      <w:r w:rsidR="00A074B1">
        <w:rPr>
          <w:rFonts w:eastAsia="Times New Roman" w:cs="Arial"/>
          <w:lang w:eastAsia="en-GB"/>
        </w:rPr>
        <w:t xml:space="preserve">  </w:t>
      </w:r>
    </w:p>
    <w:p w14:paraId="06739DE1" w14:textId="79B0D4C8"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We</w:t>
      </w:r>
      <w:r w:rsidR="00A074B1">
        <w:rPr>
          <w:rFonts w:eastAsia="Times New Roman" w:cs="Arial"/>
          <w:lang w:eastAsia="en-GB"/>
        </w:rPr>
        <w:t xml:space="preserve"> </w:t>
      </w:r>
      <w:r w:rsidRPr="00F451EF">
        <w:rPr>
          <w:rFonts w:eastAsia="Times New Roman" w:cs="Arial"/>
          <w:lang w:eastAsia="en-GB"/>
        </w:rPr>
        <w:t>support the intention to</w:t>
      </w:r>
      <w:r w:rsidR="00A074B1">
        <w:rPr>
          <w:rFonts w:eastAsia="Times New Roman" w:cs="Arial"/>
          <w:lang w:eastAsia="en-GB"/>
        </w:rPr>
        <w:t xml:space="preserve"> </w:t>
      </w:r>
      <w:r w:rsidRPr="00F451EF">
        <w:rPr>
          <w:rFonts w:eastAsia="Times New Roman" w:cs="Arial"/>
          <w:lang w:eastAsia="en-GB"/>
        </w:rPr>
        <w:t>operate a more pragmatic system but don’t consider four years too</w:t>
      </w:r>
      <w:r w:rsidR="00A074B1">
        <w:rPr>
          <w:rFonts w:eastAsia="Times New Roman" w:cs="Arial"/>
          <w:lang w:eastAsia="en-GB"/>
        </w:rPr>
        <w:t xml:space="preserve"> </w:t>
      </w:r>
      <w:r w:rsidRPr="00F451EF">
        <w:rPr>
          <w:rFonts w:eastAsia="Times New Roman" w:cs="Arial"/>
          <w:lang w:eastAsia="en-GB"/>
        </w:rPr>
        <w:t>onerous when</w:t>
      </w:r>
      <w:r w:rsidR="00A074B1">
        <w:rPr>
          <w:rFonts w:eastAsia="Times New Roman" w:cs="Arial"/>
          <w:lang w:eastAsia="en-GB"/>
        </w:rPr>
        <w:t xml:space="preserve"> </w:t>
      </w:r>
      <w:r w:rsidRPr="00F451EF">
        <w:rPr>
          <w:rFonts w:eastAsia="Times New Roman" w:cs="Arial"/>
          <w:lang w:eastAsia="en-GB"/>
        </w:rPr>
        <w:t>technology can move at such speed and regulations may need to move to match that or</w:t>
      </w:r>
      <w:r w:rsidR="00A074B1">
        <w:rPr>
          <w:rFonts w:eastAsia="Times New Roman" w:cs="Arial"/>
          <w:lang w:eastAsia="en-GB"/>
        </w:rPr>
        <w:t xml:space="preserve"> </w:t>
      </w:r>
      <w:r w:rsidRPr="00F451EF">
        <w:rPr>
          <w:rFonts w:eastAsia="Times New Roman" w:cs="Arial"/>
          <w:lang w:eastAsia="en-GB"/>
        </w:rPr>
        <w:t>take into account</w:t>
      </w:r>
      <w:r w:rsidR="00A074B1">
        <w:rPr>
          <w:rFonts w:eastAsia="Times New Roman" w:cs="Arial"/>
          <w:lang w:eastAsia="en-GB"/>
        </w:rPr>
        <w:t xml:space="preserve"> </w:t>
      </w:r>
      <w:r w:rsidRPr="00F451EF">
        <w:rPr>
          <w:rFonts w:eastAsia="Times New Roman" w:cs="Arial"/>
          <w:lang w:eastAsia="en-GB"/>
        </w:rPr>
        <w:t>emerging issues or new risks.</w:t>
      </w:r>
      <w:r w:rsidR="00A074B1">
        <w:rPr>
          <w:rFonts w:eastAsia="Times New Roman" w:cs="Arial"/>
          <w:lang w:eastAsia="en-GB"/>
        </w:rPr>
        <w:t xml:space="preserve">  </w:t>
      </w:r>
    </w:p>
    <w:p w14:paraId="706032AC" w14:textId="47242C16" w:rsidR="00C44501" w:rsidRPr="00F451EF" w:rsidRDefault="00DF610A" w:rsidP="008B260F">
      <w:pPr>
        <w:pStyle w:val="Heading3"/>
        <w:rPr>
          <w:lang w:eastAsia="en-GB"/>
        </w:rPr>
      </w:pPr>
      <w:r w:rsidRPr="00F451EF">
        <w:rPr>
          <w:lang w:eastAsia="en-GB"/>
        </w:rPr>
        <w:t>Q3.2.4.</w:t>
      </w:r>
      <w:r w:rsidR="00A074B1">
        <w:rPr>
          <w:lang w:eastAsia="en-GB"/>
        </w:rPr>
        <w:t xml:space="preserve"> </w:t>
      </w:r>
      <w:r w:rsidRPr="00F451EF">
        <w:rPr>
          <w:lang w:eastAsia="en-GB"/>
        </w:rPr>
        <w:t xml:space="preserve">To what extent do you agree that redress requirements for international data transfers may be satisfied by either administrative or judicial redress </w:t>
      </w:r>
      <w:r w:rsidRPr="00F451EF">
        <w:rPr>
          <w:lang w:eastAsia="en-GB"/>
        </w:rPr>
        <w:lastRenderedPageBreak/>
        <w:t>mechanisms, provided such mechanisms are effective?</w:t>
      </w:r>
      <w:r w:rsidR="00A074B1">
        <w:rPr>
          <w:lang w:eastAsia="en-GB"/>
        </w:rPr>
        <w:t xml:space="preserve">  </w:t>
      </w:r>
    </w:p>
    <w:p w14:paraId="45BF5C61" w14:textId="7777777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Somewhat Disagree</w:t>
      </w:r>
    </w:p>
    <w:p w14:paraId="342A9511" w14:textId="46EAC775" w:rsidR="00C44501" w:rsidRPr="00F451EF" w:rsidRDefault="00DF610A" w:rsidP="008B260F">
      <w:pPr>
        <w:pStyle w:val="Heading4"/>
        <w:rPr>
          <w:lang w:eastAsia="en-GB"/>
        </w:rPr>
      </w:pPr>
      <w:r w:rsidRPr="00F451EF">
        <w:rPr>
          <w:lang w:eastAsia="en-GB"/>
        </w:rPr>
        <w:t>Q3.2.4a.</w:t>
      </w:r>
      <w:r w:rsidR="00A074B1">
        <w:rPr>
          <w:lang w:eastAsia="en-GB"/>
        </w:rPr>
        <w:t xml:space="preserve"> </w:t>
      </w:r>
      <w:r w:rsidRPr="00F451EF">
        <w:rPr>
          <w:lang w:eastAsia="en-GB"/>
        </w:rPr>
        <w:t>Please explain your</w:t>
      </w:r>
      <w:r w:rsidR="00A074B1">
        <w:rPr>
          <w:lang w:eastAsia="en-GB"/>
        </w:rPr>
        <w:t xml:space="preserve"> </w:t>
      </w:r>
      <w:r w:rsidR="000852B4" w:rsidRPr="00F451EF">
        <w:rPr>
          <w:lang w:eastAsia="en-GB"/>
        </w:rPr>
        <w:t>choice and</w:t>
      </w:r>
      <w:r w:rsidR="00A074B1">
        <w:rPr>
          <w:lang w:eastAsia="en-GB"/>
        </w:rPr>
        <w:t xml:space="preserve"> </w:t>
      </w:r>
      <w:r w:rsidRPr="00F451EF">
        <w:rPr>
          <w:lang w:eastAsia="en-GB"/>
        </w:rPr>
        <w:t>provide supporting evidence where possible.</w:t>
      </w:r>
      <w:r w:rsidR="00A074B1">
        <w:rPr>
          <w:lang w:eastAsia="en-GB"/>
        </w:rPr>
        <w:t xml:space="preserve">  </w:t>
      </w:r>
    </w:p>
    <w:p w14:paraId="471FEE4F" w14:textId="1EF8E8E5"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We believe that</w:t>
      </w:r>
      <w:r w:rsidR="00A074B1">
        <w:rPr>
          <w:rFonts w:eastAsia="Times New Roman" w:cs="Arial"/>
          <w:lang w:eastAsia="en-GB"/>
        </w:rPr>
        <w:t xml:space="preserve"> </w:t>
      </w:r>
      <w:r w:rsidRPr="00F451EF">
        <w:rPr>
          <w:rFonts w:eastAsia="Times New Roman" w:cs="Arial"/>
          <w:lang w:eastAsia="en-GB"/>
        </w:rPr>
        <w:t>administrative and judicial mechanisms</w:t>
      </w:r>
      <w:r w:rsidR="00A074B1">
        <w:rPr>
          <w:rFonts w:eastAsia="Times New Roman" w:cs="Arial"/>
          <w:lang w:eastAsia="en-GB"/>
        </w:rPr>
        <w:t xml:space="preserve"> </w:t>
      </w:r>
      <w:r w:rsidRPr="00F451EF">
        <w:rPr>
          <w:rFonts w:eastAsia="Times New Roman" w:cs="Arial"/>
          <w:lang w:eastAsia="en-GB"/>
        </w:rPr>
        <w:t>are likely to be an</w:t>
      </w:r>
      <w:r w:rsidR="00A074B1">
        <w:rPr>
          <w:rFonts w:eastAsia="Times New Roman" w:cs="Arial"/>
          <w:lang w:eastAsia="en-GB"/>
        </w:rPr>
        <w:t xml:space="preserve"> </w:t>
      </w:r>
      <w:r w:rsidRPr="00F451EF">
        <w:rPr>
          <w:rFonts w:eastAsia="Times New Roman" w:cs="Arial"/>
          <w:lang w:eastAsia="en-GB"/>
        </w:rPr>
        <w:t>inadequate</w:t>
      </w:r>
      <w:r w:rsidR="00A074B1">
        <w:rPr>
          <w:rFonts w:eastAsia="Times New Roman" w:cs="Arial"/>
          <w:lang w:eastAsia="en-GB"/>
        </w:rPr>
        <w:t xml:space="preserve"> </w:t>
      </w:r>
      <w:r w:rsidRPr="00F451EF">
        <w:rPr>
          <w:rFonts w:eastAsia="Times New Roman" w:cs="Arial"/>
          <w:lang w:eastAsia="en-GB"/>
        </w:rPr>
        <w:t>form of redress</w:t>
      </w:r>
      <w:r w:rsidR="00A074B1">
        <w:rPr>
          <w:rFonts w:eastAsia="Times New Roman" w:cs="Arial"/>
          <w:lang w:eastAsia="en-GB"/>
        </w:rPr>
        <w:t xml:space="preserve"> </w:t>
      </w:r>
      <w:r w:rsidRPr="00F451EF">
        <w:rPr>
          <w:rFonts w:eastAsia="Times New Roman" w:cs="Arial"/>
          <w:lang w:eastAsia="en-GB"/>
        </w:rPr>
        <w:t>where harm</w:t>
      </w:r>
      <w:r w:rsidR="00A074B1">
        <w:rPr>
          <w:rFonts w:eastAsia="Times New Roman" w:cs="Arial"/>
          <w:lang w:eastAsia="en-GB"/>
        </w:rPr>
        <w:t xml:space="preserve"> </w:t>
      </w:r>
      <w:r w:rsidRPr="00F451EF">
        <w:rPr>
          <w:rFonts w:eastAsia="Times New Roman" w:cs="Arial"/>
          <w:lang w:eastAsia="en-GB"/>
        </w:rPr>
        <w:t>has</w:t>
      </w:r>
      <w:r w:rsidR="00A074B1">
        <w:rPr>
          <w:rFonts w:eastAsia="Times New Roman" w:cs="Arial"/>
          <w:lang w:eastAsia="en-GB"/>
        </w:rPr>
        <w:t xml:space="preserve"> </w:t>
      </w:r>
      <w:r w:rsidR="000852B4" w:rsidRPr="00F451EF">
        <w:rPr>
          <w:rFonts w:eastAsia="Times New Roman" w:cs="Arial"/>
          <w:lang w:eastAsia="en-GB"/>
        </w:rPr>
        <w:t>resulted,</w:t>
      </w:r>
      <w:r w:rsidR="00A074B1">
        <w:rPr>
          <w:rFonts w:eastAsia="Times New Roman" w:cs="Arial"/>
          <w:lang w:eastAsia="en-GB"/>
        </w:rPr>
        <w:t xml:space="preserve"> </w:t>
      </w:r>
      <w:r w:rsidRPr="00F451EF">
        <w:rPr>
          <w:rFonts w:eastAsia="Times New Roman" w:cs="Arial"/>
          <w:lang w:eastAsia="en-GB"/>
        </w:rPr>
        <w:t>and behaviour has been reckless as these mechanisms tend to</w:t>
      </w:r>
      <w:r w:rsidR="00A074B1">
        <w:rPr>
          <w:rFonts w:eastAsia="Times New Roman" w:cs="Arial"/>
          <w:lang w:eastAsia="en-GB"/>
        </w:rPr>
        <w:t xml:space="preserve"> </w:t>
      </w:r>
      <w:r w:rsidRPr="00F451EF">
        <w:rPr>
          <w:rFonts w:eastAsia="Times New Roman" w:cs="Arial"/>
          <w:lang w:eastAsia="en-GB"/>
        </w:rPr>
        <w:t>only allow for</w:t>
      </w:r>
      <w:r w:rsidR="00A074B1">
        <w:rPr>
          <w:rFonts w:eastAsia="Times New Roman" w:cs="Arial"/>
          <w:lang w:eastAsia="en-GB"/>
        </w:rPr>
        <w:t xml:space="preserve"> </w:t>
      </w:r>
      <w:r w:rsidRPr="00F451EF">
        <w:rPr>
          <w:rFonts w:eastAsia="Times New Roman" w:cs="Arial"/>
          <w:lang w:eastAsia="en-GB"/>
        </w:rPr>
        <w:t>reconsideration/review of a decision</w:t>
      </w:r>
      <w:r w:rsidR="00A074B1">
        <w:rPr>
          <w:rFonts w:eastAsia="Times New Roman" w:cs="Arial"/>
          <w:lang w:eastAsia="en-GB"/>
        </w:rPr>
        <w:t xml:space="preserve"> </w:t>
      </w:r>
      <w:r w:rsidRPr="00F451EF">
        <w:rPr>
          <w:rFonts w:eastAsia="Times New Roman" w:cs="Arial"/>
          <w:lang w:eastAsia="en-GB"/>
        </w:rPr>
        <w:t>or prohibition of an activity.</w:t>
      </w:r>
    </w:p>
    <w:p w14:paraId="1A7168C3" w14:textId="24D3736A" w:rsidR="00C44501" w:rsidRPr="00F451EF" w:rsidRDefault="00DF610A" w:rsidP="008B260F">
      <w:pPr>
        <w:pStyle w:val="Heading2"/>
        <w:rPr>
          <w:lang w:eastAsia="en-GB"/>
        </w:rPr>
      </w:pPr>
      <w:r w:rsidRPr="00F451EF">
        <w:rPr>
          <w:lang w:eastAsia="en-GB"/>
        </w:rPr>
        <w:t>3.3 Alternative Transfer Mechanisms </w:t>
      </w:r>
      <w:r w:rsidR="00A074B1">
        <w:rPr>
          <w:lang w:eastAsia="en-GB"/>
        </w:rPr>
        <w:t xml:space="preserve"> </w:t>
      </w:r>
    </w:p>
    <w:p w14:paraId="0BCCD2F7" w14:textId="468408BF" w:rsidR="00C44501" w:rsidRPr="00F451EF" w:rsidRDefault="00DF610A" w:rsidP="008B260F">
      <w:pPr>
        <w:pStyle w:val="Heading3"/>
        <w:rPr>
          <w:lang w:eastAsia="en-GB"/>
        </w:rPr>
      </w:pPr>
      <w:r w:rsidRPr="00F451EF">
        <w:rPr>
          <w:lang w:eastAsia="en-GB"/>
        </w:rPr>
        <w:t>Q3.3.1.</w:t>
      </w:r>
      <w:r w:rsidR="00A074B1">
        <w:rPr>
          <w:lang w:eastAsia="en-GB"/>
        </w:rPr>
        <w:t xml:space="preserve"> </w:t>
      </w:r>
      <w:r w:rsidRPr="00F451EF">
        <w:rPr>
          <w:lang w:eastAsia="en-GB"/>
        </w:rPr>
        <w:t>To what extent do you agree with the proposal to reinforce the importance of proportionality when assessing risks for alternative transfer mechanisms?</w:t>
      </w:r>
      <w:r w:rsidR="00A074B1">
        <w:rPr>
          <w:lang w:eastAsia="en-GB"/>
        </w:rPr>
        <w:t xml:space="preserve">  </w:t>
      </w:r>
    </w:p>
    <w:p w14:paraId="069C1AC2" w14:textId="77777777" w:rsidR="00C44501" w:rsidRPr="00F451EF" w:rsidRDefault="00DF610A" w:rsidP="000852B4">
      <w:pPr>
        <w:textAlignment w:val="baseline"/>
        <w:rPr>
          <w:rFonts w:eastAsia="Times New Roman" w:cs="Arial"/>
          <w:lang w:eastAsia="en-GB"/>
        </w:rPr>
      </w:pPr>
      <w:r w:rsidRPr="00F451EF">
        <w:rPr>
          <w:rFonts w:eastAsia="Times New Roman" w:cs="Arial"/>
          <w:lang w:eastAsia="en-GB"/>
        </w:rPr>
        <w:t>Somewhat Agree</w:t>
      </w:r>
    </w:p>
    <w:p w14:paraId="009831C0" w14:textId="40E3CB71" w:rsidR="00C44501" w:rsidRPr="00F451EF" w:rsidRDefault="00DF610A" w:rsidP="008B260F">
      <w:pPr>
        <w:pStyle w:val="Heading4"/>
        <w:rPr>
          <w:lang w:eastAsia="en-GB"/>
        </w:rPr>
      </w:pPr>
      <w:r w:rsidRPr="00F451EF">
        <w:rPr>
          <w:lang w:eastAsia="en-GB"/>
        </w:rPr>
        <w:t>Q3.3.1a.</w:t>
      </w:r>
      <w:r w:rsidR="00A074B1">
        <w:rPr>
          <w:lang w:eastAsia="en-GB"/>
        </w:rPr>
        <w:t xml:space="preserve"> </w:t>
      </w:r>
      <w:r w:rsidRPr="00F451EF">
        <w:rPr>
          <w:lang w:eastAsia="en-GB"/>
        </w:rPr>
        <w:t>Please explain your</w:t>
      </w:r>
      <w:r w:rsidR="00A074B1">
        <w:rPr>
          <w:lang w:eastAsia="en-GB"/>
        </w:rPr>
        <w:t xml:space="preserve"> </w:t>
      </w:r>
      <w:r w:rsidR="000852B4" w:rsidRPr="00F451EF">
        <w:rPr>
          <w:lang w:eastAsia="en-GB"/>
        </w:rPr>
        <w:t>answer and</w:t>
      </w:r>
      <w:r w:rsidR="00A074B1">
        <w:rPr>
          <w:lang w:eastAsia="en-GB"/>
        </w:rPr>
        <w:t xml:space="preserve"> </w:t>
      </w:r>
      <w:r w:rsidRPr="00F451EF">
        <w:rPr>
          <w:lang w:eastAsia="en-GB"/>
        </w:rPr>
        <w:t>provide supporting evidence where possible.</w:t>
      </w:r>
      <w:r w:rsidR="00A074B1">
        <w:rPr>
          <w:lang w:eastAsia="en-GB"/>
        </w:rPr>
        <w:t xml:space="preserve">  </w:t>
      </w:r>
    </w:p>
    <w:p w14:paraId="038E7355" w14:textId="0B962ACB"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It would be a sensible rationale and approach</w:t>
      </w:r>
      <w:r w:rsidR="00A074B1">
        <w:rPr>
          <w:rFonts w:eastAsia="Times New Roman" w:cs="Arial"/>
          <w:lang w:eastAsia="en-GB"/>
        </w:rPr>
        <w:t xml:space="preserve"> </w:t>
      </w:r>
      <w:r w:rsidRPr="00F451EF">
        <w:rPr>
          <w:rFonts w:eastAsia="Times New Roman" w:cs="Arial"/>
          <w:lang w:eastAsia="en-GB"/>
        </w:rPr>
        <w:t>to ensuring benefits/outcomes are proportionate given any risks attached to alternative transfer mechanisms,</w:t>
      </w:r>
      <w:r w:rsidR="00A074B1">
        <w:rPr>
          <w:rFonts w:eastAsia="Times New Roman" w:cs="Arial"/>
          <w:lang w:eastAsia="en-GB"/>
        </w:rPr>
        <w:t xml:space="preserve"> </w:t>
      </w:r>
      <w:r w:rsidRPr="00F451EF">
        <w:rPr>
          <w:rFonts w:eastAsia="Times New Roman" w:cs="Arial"/>
          <w:lang w:eastAsia="en-GB"/>
        </w:rPr>
        <w:t>but</w:t>
      </w:r>
      <w:r w:rsidR="00A074B1">
        <w:rPr>
          <w:rFonts w:eastAsia="Times New Roman" w:cs="Arial"/>
          <w:lang w:eastAsia="en-GB"/>
        </w:rPr>
        <w:t xml:space="preserve"> </w:t>
      </w:r>
      <w:r w:rsidRPr="00F451EF">
        <w:rPr>
          <w:rFonts w:eastAsia="Times New Roman" w:cs="Arial"/>
          <w:lang w:eastAsia="en-GB"/>
        </w:rPr>
        <w:t>it is</w:t>
      </w:r>
      <w:r w:rsidR="00A074B1">
        <w:rPr>
          <w:rFonts w:eastAsia="Times New Roman" w:cs="Arial"/>
          <w:lang w:eastAsia="en-GB"/>
        </w:rPr>
        <w:t xml:space="preserve"> </w:t>
      </w:r>
      <w:r w:rsidRPr="00F451EF">
        <w:rPr>
          <w:rFonts w:eastAsia="Times New Roman" w:cs="Arial"/>
          <w:lang w:eastAsia="en-GB"/>
        </w:rPr>
        <w:t>important not to lose sight of</w:t>
      </w:r>
      <w:r w:rsidR="00A074B1">
        <w:rPr>
          <w:rFonts w:eastAsia="Times New Roman" w:cs="Arial"/>
          <w:lang w:eastAsia="en-GB"/>
        </w:rPr>
        <w:t xml:space="preserve"> </w:t>
      </w:r>
      <w:r w:rsidRPr="00F451EF">
        <w:rPr>
          <w:rFonts w:eastAsia="Times New Roman" w:cs="Arial"/>
          <w:lang w:eastAsia="en-GB"/>
        </w:rPr>
        <w:t>also ensuring that considerations of necessity are also brought into this</w:t>
      </w:r>
      <w:r w:rsidR="00A074B1">
        <w:rPr>
          <w:rFonts w:eastAsia="Times New Roman" w:cs="Arial"/>
          <w:lang w:eastAsia="en-GB"/>
        </w:rPr>
        <w:t xml:space="preserve"> </w:t>
      </w:r>
      <w:r w:rsidRPr="00F451EF">
        <w:rPr>
          <w:rFonts w:eastAsia="Times New Roman" w:cs="Arial"/>
          <w:lang w:eastAsia="en-GB"/>
        </w:rPr>
        <w:t>assessment.</w:t>
      </w:r>
      <w:r w:rsidR="00A074B1">
        <w:rPr>
          <w:rFonts w:eastAsia="Times New Roman" w:cs="Arial"/>
          <w:lang w:eastAsia="en-GB"/>
        </w:rPr>
        <w:t xml:space="preserve"> </w:t>
      </w:r>
    </w:p>
    <w:p w14:paraId="7F3872E3" w14:textId="65C2167A"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Key is that</w:t>
      </w:r>
      <w:r w:rsidR="00A074B1">
        <w:rPr>
          <w:rFonts w:eastAsia="Times New Roman" w:cs="Arial"/>
          <w:lang w:eastAsia="en-GB"/>
        </w:rPr>
        <w:t xml:space="preserve"> </w:t>
      </w:r>
      <w:r w:rsidRPr="00F451EF">
        <w:rPr>
          <w:rFonts w:eastAsia="Times New Roman" w:cs="Arial"/>
          <w:lang w:eastAsia="en-GB"/>
        </w:rPr>
        <w:t>considerations are</w:t>
      </w:r>
      <w:r w:rsidR="00A074B1">
        <w:rPr>
          <w:rFonts w:eastAsia="Times New Roman" w:cs="Arial"/>
          <w:lang w:eastAsia="en-GB"/>
        </w:rPr>
        <w:t xml:space="preserve"> </w:t>
      </w:r>
      <w:r w:rsidRPr="00F451EF">
        <w:rPr>
          <w:rFonts w:eastAsia="Times New Roman" w:cs="Arial"/>
          <w:lang w:eastAsia="en-GB"/>
        </w:rPr>
        <w:t>in line with existing information governance assurances</w:t>
      </w:r>
      <w:r w:rsidR="00A074B1">
        <w:rPr>
          <w:rFonts w:eastAsia="Times New Roman" w:cs="Arial"/>
          <w:lang w:eastAsia="en-GB"/>
        </w:rPr>
        <w:t xml:space="preserve"> </w:t>
      </w:r>
      <w:r w:rsidRPr="00F451EF">
        <w:rPr>
          <w:rFonts w:eastAsia="Times New Roman" w:cs="Arial"/>
          <w:lang w:eastAsia="en-GB"/>
        </w:rPr>
        <w:t>e.g.</w:t>
      </w:r>
      <w:r w:rsidR="00A074B1">
        <w:rPr>
          <w:rFonts w:eastAsia="Times New Roman" w:cs="Arial"/>
          <w:lang w:eastAsia="en-GB"/>
        </w:rPr>
        <w:t xml:space="preserve"> </w:t>
      </w:r>
      <w:r w:rsidRPr="00F451EF">
        <w:rPr>
          <w:rFonts w:eastAsia="Times New Roman" w:cs="Arial"/>
          <w:lang w:eastAsia="en-GB"/>
        </w:rPr>
        <w:t>necessity test; risk assessment of the transfer methods (technical and</w:t>
      </w:r>
      <w:r w:rsidR="00A074B1">
        <w:rPr>
          <w:rFonts w:eastAsia="Times New Roman" w:cs="Arial"/>
          <w:lang w:eastAsia="en-GB"/>
        </w:rPr>
        <w:t xml:space="preserve"> </w:t>
      </w:r>
      <w:r w:rsidRPr="00F451EF">
        <w:rPr>
          <w:rFonts w:eastAsia="Times New Roman" w:cs="Arial"/>
          <w:lang w:eastAsia="en-GB"/>
        </w:rPr>
        <w:t>non-technical).</w:t>
      </w:r>
      <w:r w:rsidR="00A074B1">
        <w:rPr>
          <w:rFonts w:eastAsia="Times New Roman" w:cs="Arial"/>
          <w:lang w:eastAsia="en-GB"/>
        </w:rPr>
        <w:t xml:space="preserve"> </w:t>
      </w:r>
      <w:r w:rsidRPr="00F451EF">
        <w:rPr>
          <w:rFonts w:eastAsia="Times New Roman" w:cs="Arial"/>
          <w:lang w:eastAsia="en-GB"/>
        </w:rPr>
        <w:t>It is also important to maintain the checks and balances which might (lawfully and rightly) prevent transfer.</w:t>
      </w:r>
      <w:r w:rsidR="00A074B1">
        <w:rPr>
          <w:rFonts w:eastAsia="Times New Roman" w:cs="Arial"/>
          <w:lang w:eastAsia="en-GB"/>
        </w:rPr>
        <w:t xml:space="preserve"> </w:t>
      </w:r>
    </w:p>
    <w:p w14:paraId="137F4599" w14:textId="3CEF50D1" w:rsidR="00C44501" w:rsidRPr="00F451EF" w:rsidRDefault="00DF610A" w:rsidP="008B260F">
      <w:pPr>
        <w:pStyle w:val="Heading3"/>
        <w:rPr>
          <w:lang w:eastAsia="en-GB"/>
        </w:rPr>
      </w:pPr>
      <w:r w:rsidRPr="00F451EF">
        <w:rPr>
          <w:lang w:eastAsia="en-GB"/>
        </w:rPr>
        <w:lastRenderedPageBreak/>
        <w:t>Q3.3.2.</w:t>
      </w:r>
      <w:r w:rsidR="00A074B1">
        <w:rPr>
          <w:lang w:eastAsia="en-GB"/>
        </w:rPr>
        <w:t xml:space="preserve"> </w:t>
      </w:r>
      <w:r w:rsidRPr="00F451EF">
        <w:rPr>
          <w:lang w:eastAsia="en-GB"/>
        </w:rPr>
        <w:t>What support or guidance would help organisations assess and mitigate the risks in relation to international transfers of personal data under alternative transfer mechanisms, and how might that support be most appropriately provided?</w:t>
      </w:r>
      <w:r w:rsidR="00A074B1">
        <w:rPr>
          <w:lang w:eastAsia="en-GB"/>
        </w:rPr>
        <w:t xml:space="preserve">  </w:t>
      </w:r>
    </w:p>
    <w:p w14:paraId="01B35064" w14:textId="71658B41" w:rsidR="00C44501" w:rsidRPr="00F451EF" w:rsidRDefault="00DF610A" w:rsidP="000852B4">
      <w:pPr>
        <w:pStyle w:val="ListParagraph"/>
        <w:numPr>
          <w:ilvl w:val="0"/>
          <w:numId w:val="4"/>
        </w:numPr>
        <w:contextualSpacing/>
        <w:textAlignment w:val="baseline"/>
        <w:rPr>
          <w:rFonts w:eastAsiaTheme="minorEastAsia" w:cs="Arial"/>
          <w:lang w:eastAsia="en-GB"/>
        </w:rPr>
      </w:pPr>
      <w:r w:rsidRPr="00F451EF">
        <w:rPr>
          <w:rFonts w:eastAsia="Times New Roman" w:cs="Arial"/>
          <w:lang w:eastAsia="en-GB"/>
        </w:rPr>
        <w:t>ICO and Government guidance documents, publishing of decisions made for case application.</w:t>
      </w:r>
      <w:r w:rsidR="00A074B1">
        <w:rPr>
          <w:rFonts w:eastAsia="Times New Roman" w:cs="Arial"/>
          <w:lang w:eastAsia="en-GB"/>
        </w:rPr>
        <w:t xml:space="preserve">  </w:t>
      </w:r>
    </w:p>
    <w:p w14:paraId="571FC293" w14:textId="396ADC5C" w:rsidR="00C44501" w:rsidRPr="00F451EF" w:rsidRDefault="00DF610A" w:rsidP="000852B4">
      <w:pPr>
        <w:pStyle w:val="ListParagraph"/>
        <w:numPr>
          <w:ilvl w:val="0"/>
          <w:numId w:val="4"/>
        </w:numPr>
        <w:contextualSpacing/>
        <w:textAlignment w:val="baseline"/>
        <w:rPr>
          <w:rFonts w:eastAsiaTheme="minorEastAsia" w:cs="Arial"/>
          <w:lang w:eastAsia="en-GB"/>
        </w:rPr>
      </w:pPr>
      <w:r w:rsidRPr="00F451EF">
        <w:rPr>
          <w:rFonts w:eastAsia="Times New Roman" w:cs="Arial"/>
          <w:lang w:eastAsia="en-GB"/>
        </w:rPr>
        <w:t>Direct steer from government</w:t>
      </w:r>
      <w:r w:rsidR="00A074B1">
        <w:rPr>
          <w:rFonts w:eastAsia="Times New Roman" w:cs="Arial"/>
          <w:lang w:eastAsia="en-GB"/>
        </w:rPr>
        <w:t xml:space="preserve"> </w:t>
      </w:r>
      <w:r w:rsidRPr="00F451EF">
        <w:rPr>
          <w:rFonts w:eastAsia="Times New Roman" w:cs="Arial"/>
          <w:lang w:eastAsia="en-GB"/>
        </w:rPr>
        <w:t>i.e.</w:t>
      </w:r>
      <w:r w:rsidR="00A074B1">
        <w:rPr>
          <w:rFonts w:eastAsia="Times New Roman" w:cs="Arial"/>
          <w:lang w:eastAsia="en-GB"/>
        </w:rPr>
        <w:t xml:space="preserve"> </w:t>
      </w:r>
      <w:r w:rsidRPr="00F451EF">
        <w:rPr>
          <w:rFonts w:eastAsia="Times New Roman" w:cs="Arial"/>
          <w:lang w:eastAsia="en-GB"/>
        </w:rPr>
        <w:t>a ‘rules of engagement’ situation with</w:t>
      </w:r>
      <w:r w:rsidR="00A074B1">
        <w:rPr>
          <w:rFonts w:eastAsia="Times New Roman" w:cs="Arial"/>
          <w:lang w:eastAsia="en-GB"/>
        </w:rPr>
        <w:t xml:space="preserve"> </w:t>
      </w:r>
      <w:r w:rsidRPr="00F451EF">
        <w:rPr>
          <w:rFonts w:eastAsia="Times New Roman" w:cs="Arial"/>
          <w:lang w:eastAsia="en-GB"/>
        </w:rPr>
        <w:t>materials and guidance readily available</w:t>
      </w:r>
      <w:r w:rsidR="00A074B1">
        <w:rPr>
          <w:rFonts w:eastAsia="Times New Roman" w:cs="Arial"/>
          <w:lang w:eastAsia="en-GB"/>
        </w:rPr>
        <w:t xml:space="preserve">  </w:t>
      </w:r>
    </w:p>
    <w:p w14:paraId="78786EB9" w14:textId="11418C81" w:rsidR="00C44501" w:rsidRPr="00F451EF" w:rsidRDefault="00DF610A" w:rsidP="000852B4">
      <w:pPr>
        <w:pStyle w:val="ListParagraph"/>
        <w:numPr>
          <w:ilvl w:val="0"/>
          <w:numId w:val="4"/>
        </w:numPr>
        <w:contextualSpacing/>
        <w:textAlignment w:val="baseline"/>
        <w:rPr>
          <w:rFonts w:eastAsiaTheme="minorEastAsia" w:cs="Arial"/>
          <w:lang w:eastAsia="en-GB"/>
        </w:rPr>
      </w:pPr>
      <w:r w:rsidRPr="00F451EF">
        <w:rPr>
          <w:rFonts w:eastAsia="Times New Roman" w:cs="Arial"/>
          <w:lang w:eastAsia="en-GB"/>
        </w:rPr>
        <w:t>Examples of common risks and how they might be mitigated.</w:t>
      </w:r>
      <w:r w:rsidR="00A074B1">
        <w:rPr>
          <w:rFonts w:eastAsia="Times New Roman" w:cs="Arial"/>
          <w:lang w:eastAsia="en-GB"/>
        </w:rPr>
        <w:t xml:space="preserve">  </w:t>
      </w:r>
    </w:p>
    <w:p w14:paraId="3F3CA093" w14:textId="77E8AF6C" w:rsidR="00C44501" w:rsidRPr="00F451EF" w:rsidRDefault="00DF610A" w:rsidP="000852B4">
      <w:pPr>
        <w:pStyle w:val="ListParagraph"/>
        <w:numPr>
          <w:ilvl w:val="0"/>
          <w:numId w:val="4"/>
        </w:numPr>
        <w:contextualSpacing/>
        <w:textAlignment w:val="baseline"/>
        <w:rPr>
          <w:rFonts w:eastAsiaTheme="minorEastAsia" w:cs="Arial"/>
          <w:lang w:eastAsia="en-GB"/>
        </w:rPr>
      </w:pPr>
      <w:r w:rsidRPr="00F451EF">
        <w:rPr>
          <w:rFonts w:eastAsia="Times New Roman" w:cs="Arial"/>
          <w:lang w:eastAsia="en-GB"/>
        </w:rPr>
        <w:t>Practical examples which cover the risk and issue methodology and mitigations.</w:t>
      </w:r>
      <w:r w:rsidR="00A074B1">
        <w:rPr>
          <w:rFonts w:eastAsia="Times New Roman" w:cs="Arial"/>
          <w:lang w:eastAsia="en-GB"/>
        </w:rPr>
        <w:t xml:space="preserve">   </w:t>
      </w:r>
    </w:p>
    <w:p w14:paraId="6BDEC4D5" w14:textId="51DE4637" w:rsidR="00C44501" w:rsidRPr="00F451EF" w:rsidRDefault="00DF610A" w:rsidP="008B260F">
      <w:pPr>
        <w:pStyle w:val="Heading3"/>
        <w:rPr>
          <w:lang w:eastAsia="en-GB"/>
        </w:rPr>
      </w:pPr>
      <w:r w:rsidRPr="00F451EF">
        <w:rPr>
          <w:lang w:eastAsia="en-GB"/>
        </w:rPr>
        <w:t>Q3.3.3.</w:t>
      </w:r>
      <w:r w:rsidR="00A074B1">
        <w:rPr>
          <w:lang w:eastAsia="en-GB"/>
        </w:rPr>
        <w:t xml:space="preserve"> </w:t>
      </w:r>
      <w:r w:rsidRPr="00F451EF">
        <w:rPr>
          <w:lang w:eastAsia="en-GB"/>
        </w:rPr>
        <w:t>To what extent do you agree that the proposal to exempt ‘reverse transfers’ from the scope of the UK international transfer regime would reduce unnecessary burdens on organisations, without undermining data protection standards?</w:t>
      </w:r>
      <w:r w:rsidR="00A074B1">
        <w:rPr>
          <w:lang w:eastAsia="en-GB"/>
        </w:rPr>
        <w:t xml:space="preserve">  </w:t>
      </w:r>
    </w:p>
    <w:p w14:paraId="48595901" w14:textId="77777777" w:rsidR="00225844" w:rsidRDefault="00DF610A" w:rsidP="000852B4">
      <w:pPr>
        <w:textAlignment w:val="baseline"/>
        <w:rPr>
          <w:rFonts w:eastAsia="Times New Roman" w:cs="Arial"/>
          <w:lang w:eastAsia="en-GB"/>
        </w:rPr>
      </w:pPr>
      <w:r w:rsidRPr="00F451EF">
        <w:rPr>
          <w:rFonts w:eastAsia="Times New Roman" w:cs="Arial"/>
          <w:lang w:eastAsia="en-GB"/>
        </w:rPr>
        <w:t>Neither Agree nor Disagree</w:t>
      </w:r>
    </w:p>
    <w:p w14:paraId="797287B6" w14:textId="12BC6720" w:rsidR="00C44501" w:rsidRPr="00F451EF" w:rsidRDefault="00DF610A" w:rsidP="008B260F">
      <w:pPr>
        <w:pStyle w:val="Heading4"/>
        <w:rPr>
          <w:lang w:eastAsia="en-GB"/>
        </w:rPr>
      </w:pPr>
      <w:r w:rsidRPr="00F451EF">
        <w:rPr>
          <w:lang w:eastAsia="en-GB"/>
        </w:rPr>
        <w:t>Q3.3.3a.</w:t>
      </w:r>
      <w:r w:rsidR="00A074B1">
        <w:rPr>
          <w:lang w:eastAsia="en-GB"/>
        </w:rPr>
        <w:t xml:space="preserve"> </w:t>
      </w:r>
      <w:r w:rsidRPr="00F451EF">
        <w:rPr>
          <w:lang w:eastAsia="en-GB"/>
        </w:rPr>
        <w:t>Please explain your</w:t>
      </w:r>
      <w:r w:rsidR="00A074B1">
        <w:rPr>
          <w:lang w:eastAsia="en-GB"/>
        </w:rPr>
        <w:t xml:space="preserve"> </w:t>
      </w:r>
      <w:r w:rsidR="000852B4" w:rsidRPr="00F451EF">
        <w:rPr>
          <w:lang w:eastAsia="en-GB"/>
        </w:rPr>
        <w:t>answer and</w:t>
      </w:r>
      <w:r w:rsidR="00A074B1">
        <w:rPr>
          <w:lang w:eastAsia="en-GB"/>
        </w:rPr>
        <w:t xml:space="preserve"> </w:t>
      </w:r>
      <w:r w:rsidRPr="00F451EF">
        <w:rPr>
          <w:lang w:eastAsia="en-GB"/>
        </w:rPr>
        <w:t>provide supporting evidence where possible.</w:t>
      </w:r>
      <w:r w:rsidR="00A074B1">
        <w:rPr>
          <w:lang w:eastAsia="en-GB"/>
        </w:rPr>
        <w:t xml:space="preserve">  </w:t>
      </w:r>
    </w:p>
    <w:p w14:paraId="138D75C9" w14:textId="11C1C364" w:rsidR="00C44501" w:rsidRPr="00F451EF" w:rsidRDefault="00DF610A" w:rsidP="000852B4">
      <w:pPr>
        <w:textAlignment w:val="baseline"/>
        <w:rPr>
          <w:rFonts w:eastAsia="Times New Roman" w:cs="Arial"/>
          <w:lang w:eastAsia="en-GB"/>
        </w:rPr>
      </w:pPr>
      <w:r w:rsidRPr="00F451EF">
        <w:rPr>
          <w:rFonts w:eastAsia="Times New Roman" w:cs="Arial"/>
          <w:lang w:eastAsia="en-GB"/>
        </w:rPr>
        <w:t>Provided sufficient safeguards are in place to ensure data protection is not undermined, if a transfer from overseas is sent and the protection standards from the sender are comparable with UK GDPR then the sender’s standards should apply. However, it would be</w:t>
      </w:r>
      <w:r w:rsidR="00A074B1">
        <w:rPr>
          <w:rFonts w:eastAsia="Times New Roman" w:cs="Arial"/>
          <w:lang w:eastAsia="en-GB"/>
        </w:rPr>
        <w:t xml:space="preserve"> </w:t>
      </w:r>
      <w:r w:rsidRPr="00F451EF">
        <w:rPr>
          <w:rFonts w:eastAsia="Times New Roman" w:cs="Arial"/>
          <w:lang w:eastAsia="en-GB"/>
        </w:rPr>
        <w:t>dependent</w:t>
      </w:r>
      <w:r w:rsidR="00A074B1">
        <w:rPr>
          <w:rFonts w:eastAsia="Times New Roman" w:cs="Arial"/>
          <w:lang w:eastAsia="en-GB"/>
        </w:rPr>
        <w:t xml:space="preserve"> </w:t>
      </w:r>
      <w:r w:rsidRPr="00F451EF">
        <w:rPr>
          <w:rFonts w:eastAsia="Times New Roman" w:cs="Arial"/>
          <w:lang w:eastAsia="en-GB"/>
        </w:rPr>
        <w:t>on the nature of the data being exchanged, the volume and the purpose and again also the standards imposed.</w:t>
      </w:r>
      <w:r w:rsidR="00A074B1">
        <w:rPr>
          <w:rFonts w:eastAsia="Times New Roman" w:cs="Arial"/>
          <w:lang w:eastAsia="en-GB"/>
        </w:rPr>
        <w:t xml:space="preserve">  </w:t>
      </w:r>
      <w:r w:rsidRPr="00F451EF">
        <w:rPr>
          <w:rFonts w:eastAsia="Times New Roman" w:cs="Arial"/>
          <w:lang w:eastAsia="en-GB"/>
        </w:rPr>
        <w:t>Perhaps this needs to be qualified</w:t>
      </w:r>
      <w:r w:rsidR="00A074B1">
        <w:rPr>
          <w:rFonts w:eastAsia="Times New Roman" w:cs="Arial"/>
          <w:lang w:eastAsia="en-GB"/>
        </w:rPr>
        <w:t xml:space="preserve"> </w:t>
      </w:r>
      <w:r w:rsidRPr="00F451EF">
        <w:rPr>
          <w:rFonts w:eastAsia="Times New Roman" w:cs="Arial"/>
          <w:lang w:eastAsia="en-GB"/>
        </w:rPr>
        <w:t>i.e.</w:t>
      </w:r>
      <w:r w:rsidR="00A074B1">
        <w:rPr>
          <w:rFonts w:eastAsia="Times New Roman" w:cs="Arial"/>
          <w:lang w:eastAsia="en-GB"/>
        </w:rPr>
        <w:t xml:space="preserve"> </w:t>
      </w:r>
      <w:r w:rsidRPr="00F451EF">
        <w:rPr>
          <w:rFonts w:eastAsia="Times New Roman" w:cs="Arial"/>
          <w:lang w:eastAsia="en-GB"/>
        </w:rPr>
        <w:t>that the</w:t>
      </w:r>
      <w:r w:rsidR="00A074B1">
        <w:rPr>
          <w:rFonts w:eastAsia="Times New Roman" w:cs="Arial"/>
          <w:lang w:eastAsia="en-GB"/>
        </w:rPr>
        <w:t xml:space="preserve"> </w:t>
      </w:r>
      <w:r w:rsidRPr="00F451EF">
        <w:rPr>
          <w:rFonts w:eastAsia="Times New Roman" w:cs="Arial"/>
          <w:lang w:eastAsia="en-GB"/>
        </w:rPr>
        <w:t>reverse transfer meets certain</w:t>
      </w:r>
      <w:r w:rsidR="00A074B1">
        <w:rPr>
          <w:rFonts w:eastAsia="Times New Roman" w:cs="Arial"/>
          <w:lang w:eastAsia="en-GB"/>
        </w:rPr>
        <w:t xml:space="preserve"> </w:t>
      </w:r>
      <w:r w:rsidRPr="00F451EF">
        <w:rPr>
          <w:rFonts w:eastAsia="Times New Roman" w:cs="Arial"/>
          <w:lang w:eastAsia="en-GB"/>
        </w:rPr>
        <w:t>criteria.</w:t>
      </w:r>
    </w:p>
    <w:p w14:paraId="69999D51" w14:textId="7228444F" w:rsidR="00C44501" w:rsidRPr="00F451EF" w:rsidRDefault="00DF610A" w:rsidP="008B260F">
      <w:pPr>
        <w:pStyle w:val="Heading3"/>
        <w:rPr>
          <w:lang w:eastAsia="en-GB"/>
        </w:rPr>
      </w:pPr>
      <w:r w:rsidRPr="00F451EF">
        <w:rPr>
          <w:lang w:eastAsia="en-GB"/>
        </w:rPr>
        <w:lastRenderedPageBreak/>
        <w:t>Q3.3.4.</w:t>
      </w:r>
      <w:r w:rsidR="00A074B1">
        <w:rPr>
          <w:lang w:eastAsia="en-GB"/>
        </w:rPr>
        <w:t xml:space="preserve"> </w:t>
      </w:r>
      <w:r w:rsidRPr="00F451EF">
        <w:rPr>
          <w:lang w:eastAsia="en-GB"/>
        </w:rPr>
        <w:t>To what extent do you agree that empowering organisations to create or identify their own alternative transfer mechanisms that provide appropriate safeguards will address unnecessary limitations of the current set of alternative transfer mechanisms?</w:t>
      </w:r>
      <w:r w:rsidR="00A074B1">
        <w:rPr>
          <w:lang w:eastAsia="en-GB"/>
        </w:rPr>
        <w:t xml:space="preserve">  </w:t>
      </w:r>
    </w:p>
    <w:p w14:paraId="1EBF8A8F" w14:textId="7777777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Somewhat Agree</w:t>
      </w:r>
    </w:p>
    <w:p w14:paraId="0B91940E" w14:textId="6F233400" w:rsidR="00C44501" w:rsidRPr="00F451EF" w:rsidRDefault="00DF610A" w:rsidP="008B260F">
      <w:pPr>
        <w:pStyle w:val="Heading4"/>
        <w:rPr>
          <w:lang w:eastAsia="en-GB"/>
        </w:rPr>
      </w:pPr>
      <w:r w:rsidRPr="00F451EF">
        <w:rPr>
          <w:lang w:eastAsia="en-GB"/>
        </w:rPr>
        <w:t>Q3.3.4a.</w:t>
      </w:r>
      <w:r w:rsidR="00A074B1">
        <w:rPr>
          <w:lang w:eastAsia="en-GB"/>
        </w:rPr>
        <w:t xml:space="preserve"> </w:t>
      </w:r>
      <w:r w:rsidRPr="00F451EF">
        <w:rPr>
          <w:lang w:eastAsia="en-GB"/>
        </w:rPr>
        <w:t>Please explain your</w:t>
      </w:r>
      <w:r w:rsidR="00A074B1">
        <w:rPr>
          <w:lang w:eastAsia="en-GB"/>
        </w:rPr>
        <w:t xml:space="preserve"> </w:t>
      </w:r>
      <w:r w:rsidR="000852B4" w:rsidRPr="00F451EF">
        <w:rPr>
          <w:lang w:eastAsia="en-GB"/>
        </w:rPr>
        <w:t>answer and</w:t>
      </w:r>
      <w:r w:rsidR="00A074B1">
        <w:rPr>
          <w:lang w:eastAsia="en-GB"/>
        </w:rPr>
        <w:t xml:space="preserve"> </w:t>
      </w:r>
      <w:r w:rsidRPr="00F451EF">
        <w:rPr>
          <w:lang w:eastAsia="en-GB"/>
        </w:rPr>
        <w:t>provide supporting evidence where possible.</w:t>
      </w:r>
      <w:r w:rsidR="00A074B1">
        <w:rPr>
          <w:lang w:eastAsia="en-GB"/>
        </w:rPr>
        <w:t xml:space="preserve">  </w:t>
      </w:r>
    </w:p>
    <w:p w14:paraId="203E74C0" w14:textId="42899870"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There is significant experience and knowledge of data protection law and contract law outside the regulator.</w:t>
      </w:r>
      <w:r w:rsidR="00A074B1">
        <w:rPr>
          <w:rFonts w:eastAsia="Times New Roman" w:cs="Arial"/>
          <w:lang w:eastAsia="en-GB"/>
        </w:rPr>
        <w:t xml:space="preserve"> </w:t>
      </w:r>
      <w:r w:rsidRPr="00F451EF">
        <w:rPr>
          <w:rFonts w:eastAsia="Times New Roman" w:cs="Arial"/>
          <w:lang w:eastAsia="en-GB"/>
        </w:rPr>
        <w:t>In this instance, organisations should be mindful of using pre-existing legislation as a supportive benchmark but also given the flexibility of designing bespoke protection standards that</w:t>
      </w:r>
      <w:r w:rsidR="00A074B1">
        <w:rPr>
          <w:rFonts w:eastAsia="Times New Roman" w:cs="Arial"/>
          <w:lang w:eastAsia="en-GB"/>
        </w:rPr>
        <w:t xml:space="preserve"> </w:t>
      </w:r>
      <w:r w:rsidRPr="00F451EF">
        <w:rPr>
          <w:rFonts w:eastAsia="Times New Roman" w:cs="Arial"/>
          <w:lang w:eastAsia="en-GB"/>
        </w:rPr>
        <w:t>are more in line with the purpose of the data sharing. Consequently, the parties involved should also be under no illusion that shortfalls leading to errors and mistakes will be wholly their responsibility to address and maybe if there is a frequency of this occurring the ‘freedom’ is withdrawn until sufficient remedies are in place and adherence can be clearly shown.</w:t>
      </w:r>
      <w:r w:rsidR="00A074B1">
        <w:rPr>
          <w:rFonts w:eastAsia="Times New Roman" w:cs="Arial"/>
          <w:lang w:eastAsia="en-GB"/>
        </w:rPr>
        <w:t xml:space="preserve"> </w:t>
      </w:r>
      <w:r w:rsidRPr="00F451EF">
        <w:rPr>
          <w:rFonts w:eastAsia="Times New Roman" w:cs="Arial"/>
          <w:lang w:eastAsia="en-GB"/>
        </w:rPr>
        <w:t>However, it would be</w:t>
      </w:r>
      <w:r w:rsidR="00A074B1">
        <w:rPr>
          <w:rFonts w:eastAsia="Times New Roman" w:cs="Arial"/>
          <w:lang w:eastAsia="en-GB"/>
        </w:rPr>
        <w:t xml:space="preserve"> </w:t>
      </w:r>
      <w:r w:rsidRPr="00F451EF">
        <w:rPr>
          <w:rFonts w:eastAsia="Times New Roman" w:cs="Arial"/>
          <w:lang w:eastAsia="en-GB"/>
        </w:rPr>
        <w:t>important to make sure this monitored correctly to prevent exploitation.</w:t>
      </w:r>
      <w:r w:rsidR="00A074B1">
        <w:rPr>
          <w:rFonts w:eastAsia="Times New Roman" w:cs="Arial"/>
          <w:lang w:eastAsia="en-GB"/>
        </w:rPr>
        <w:t xml:space="preserve"> </w:t>
      </w:r>
      <w:r w:rsidRPr="00F451EF">
        <w:rPr>
          <w:rFonts w:eastAsia="Times New Roman" w:cs="Arial"/>
          <w:lang w:eastAsia="en-GB"/>
        </w:rPr>
        <w:t>Potentially this should be subject to some sort of accreditation which would provide assurances around the mechanism put in place.</w:t>
      </w:r>
      <w:r w:rsidR="00A074B1">
        <w:rPr>
          <w:rFonts w:eastAsia="Times New Roman" w:cs="Arial"/>
          <w:lang w:eastAsia="en-GB"/>
        </w:rPr>
        <w:t xml:space="preserve">  </w:t>
      </w:r>
    </w:p>
    <w:p w14:paraId="1BFCF266" w14:textId="2ADBDF53" w:rsidR="00C44501" w:rsidRPr="00F451EF" w:rsidRDefault="00DF610A" w:rsidP="008B260F">
      <w:pPr>
        <w:pStyle w:val="Heading3"/>
        <w:rPr>
          <w:lang w:eastAsia="en-GB"/>
        </w:rPr>
      </w:pPr>
      <w:r w:rsidRPr="00F451EF">
        <w:rPr>
          <w:lang w:eastAsia="en-GB"/>
        </w:rPr>
        <w:t>Q3.3.5.</w:t>
      </w:r>
      <w:r w:rsidR="00A074B1">
        <w:rPr>
          <w:lang w:eastAsia="en-GB"/>
        </w:rPr>
        <w:t xml:space="preserve"> </w:t>
      </w:r>
      <w:r w:rsidRPr="00F451EF">
        <w:rPr>
          <w:lang w:eastAsia="en-GB"/>
        </w:rPr>
        <w:t>What guidance or other support should be made available in order to secure sufficient confidence in organisations' decisions about whether an alternative transfer mechanism or other legal protections not explicitly provided for in UK legislation provide appropriate safeguards?</w:t>
      </w:r>
      <w:r w:rsidR="00A074B1">
        <w:rPr>
          <w:lang w:eastAsia="en-GB"/>
        </w:rPr>
        <w:t xml:space="preserve">  </w:t>
      </w:r>
    </w:p>
    <w:p w14:paraId="61960579" w14:textId="1ED1CCEF" w:rsidR="00C44501" w:rsidRPr="00F451EF" w:rsidRDefault="00DF610A" w:rsidP="000852B4">
      <w:pPr>
        <w:pStyle w:val="ListParagraph"/>
        <w:numPr>
          <w:ilvl w:val="0"/>
          <w:numId w:val="6"/>
        </w:numPr>
        <w:contextualSpacing/>
        <w:textAlignment w:val="baseline"/>
        <w:rPr>
          <w:rFonts w:eastAsiaTheme="minorEastAsia" w:cs="Arial"/>
          <w:lang w:eastAsia="en-GB"/>
        </w:rPr>
      </w:pPr>
      <w:r w:rsidRPr="00F451EF">
        <w:rPr>
          <w:rFonts w:eastAsia="Times New Roman" w:cs="Arial"/>
          <w:lang w:eastAsia="en-GB"/>
        </w:rPr>
        <w:lastRenderedPageBreak/>
        <w:t>ICO guidance documents, frameworks or templates – many businesses might not have a DPO.</w:t>
      </w:r>
      <w:r w:rsidR="00A074B1">
        <w:rPr>
          <w:rFonts w:eastAsia="Times New Roman" w:cs="Arial"/>
          <w:lang w:eastAsia="en-GB"/>
        </w:rPr>
        <w:t xml:space="preserve">   </w:t>
      </w:r>
    </w:p>
    <w:p w14:paraId="535CE55F" w14:textId="59BA61A1" w:rsidR="00C44501" w:rsidRPr="00F451EF" w:rsidRDefault="00DF610A" w:rsidP="000852B4">
      <w:pPr>
        <w:pStyle w:val="ListParagraph"/>
        <w:numPr>
          <w:ilvl w:val="0"/>
          <w:numId w:val="6"/>
        </w:numPr>
        <w:contextualSpacing/>
        <w:textAlignment w:val="baseline"/>
        <w:rPr>
          <w:rFonts w:eastAsiaTheme="minorEastAsia" w:cs="Arial"/>
          <w:lang w:eastAsia="en-GB"/>
        </w:rPr>
      </w:pPr>
      <w:r w:rsidRPr="00F451EF">
        <w:rPr>
          <w:rFonts w:eastAsia="Times New Roman" w:cs="Arial"/>
          <w:lang w:eastAsia="en-GB"/>
        </w:rPr>
        <w:t>Direct steer from government</w:t>
      </w:r>
      <w:r w:rsidR="00A074B1">
        <w:rPr>
          <w:rFonts w:eastAsia="Times New Roman" w:cs="Arial"/>
          <w:lang w:eastAsia="en-GB"/>
        </w:rPr>
        <w:t xml:space="preserve"> </w:t>
      </w:r>
      <w:r w:rsidRPr="00F451EF">
        <w:rPr>
          <w:rFonts w:eastAsia="Times New Roman" w:cs="Arial"/>
          <w:lang w:eastAsia="en-GB"/>
        </w:rPr>
        <w:t>i.e.</w:t>
      </w:r>
      <w:r w:rsidR="00A074B1">
        <w:rPr>
          <w:rFonts w:eastAsia="Times New Roman" w:cs="Arial"/>
          <w:lang w:eastAsia="en-GB"/>
        </w:rPr>
        <w:t xml:space="preserve"> </w:t>
      </w:r>
      <w:r w:rsidRPr="00F451EF">
        <w:rPr>
          <w:rFonts w:eastAsia="Times New Roman" w:cs="Arial"/>
          <w:lang w:eastAsia="en-GB"/>
        </w:rPr>
        <w:t>a ‘rules of engagement’ situation with</w:t>
      </w:r>
      <w:r w:rsidR="00A074B1">
        <w:rPr>
          <w:rFonts w:eastAsia="Times New Roman" w:cs="Arial"/>
          <w:lang w:eastAsia="en-GB"/>
        </w:rPr>
        <w:t xml:space="preserve"> </w:t>
      </w:r>
      <w:r w:rsidRPr="00F451EF">
        <w:rPr>
          <w:rFonts w:eastAsia="Times New Roman" w:cs="Arial"/>
          <w:lang w:eastAsia="en-GB"/>
        </w:rPr>
        <w:t>materials and guidance readily available</w:t>
      </w:r>
      <w:r w:rsidR="00A074B1">
        <w:rPr>
          <w:rFonts w:eastAsia="Times New Roman" w:cs="Arial"/>
          <w:lang w:eastAsia="en-GB"/>
        </w:rPr>
        <w:t xml:space="preserve">  </w:t>
      </w:r>
    </w:p>
    <w:p w14:paraId="2DD8555D" w14:textId="5E2BF78F" w:rsidR="00C44501" w:rsidRPr="00F451EF" w:rsidRDefault="00DF610A" w:rsidP="000852B4">
      <w:pPr>
        <w:pStyle w:val="ListParagraph"/>
        <w:numPr>
          <w:ilvl w:val="0"/>
          <w:numId w:val="6"/>
        </w:numPr>
        <w:contextualSpacing/>
        <w:textAlignment w:val="baseline"/>
        <w:rPr>
          <w:rFonts w:eastAsiaTheme="minorEastAsia" w:cs="Arial"/>
          <w:lang w:eastAsia="en-GB"/>
        </w:rPr>
      </w:pPr>
      <w:r w:rsidRPr="00F451EF">
        <w:rPr>
          <w:rFonts w:eastAsia="Times New Roman" w:cs="Arial"/>
          <w:lang w:eastAsia="en-GB"/>
        </w:rPr>
        <w:t>Examples of</w:t>
      </w:r>
      <w:r w:rsidR="00A074B1">
        <w:rPr>
          <w:rFonts w:eastAsia="Times New Roman" w:cs="Arial"/>
          <w:lang w:eastAsia="en-GB"/>
        </w:rPr>
        <w:t xml:space="preserve"> </w:t>
      </w:r>
      <w:r w:rsidRPr="00F451EF">
        <w:rPr>
          <w:rFonts w:eastAsia="Times New Roman" w:cs="Arial"/>
          <w:lang w:eastAsia="en-GB"/>
        </w:rPr>
        <w:t>mechanisms and contract clauses etc.</w:t>
      </w:r>
      <w:r w:rsidR="00A074B1">
        <w:rPr>
          <w:rFonts w:eastAsia="Times New Roman" w:cs="Arial"/>
          <w:lang w:eastAsia="en-GB"/>
        </w:rPr>
        <w:t xml:space="preserve"> </w:t>
      </w:r>
    </w:p>
    <w:p w14:paraId="5F4FA12E" w14:textId="1CE5B6EF" w:rsidR="00C44501" w:rsidRPr="00F451EF" w:rsidRDefault="00DF610A" w:rsidP="000852B4">
      <w:pPr>
        <w:pStyle w:val="ListParagraph"/>
        <w:numPr>
          <w:ilvl w:val="0"/>
          <w:numId w:val="6"/>
        </w:numPr>
        <w:contextualSpacing/>
        <w:textAlignment w:val="baseline"/>
        <w:rPr>
          <w:rFonts w:eastAsiaTheme="minorEastAsia" w:cs="Arial"/>
          <w:lang w:eastAsia="en-GB"/>
        </w:rPr>
      </w:pPr>
      <w:r w:rsidRPr="00F451EF">
        <w:rPr>
          <w:rFonts w:eastAsia="Times New Roman" w:cs="Arial"/>
          <w:lang w:eastAsia="en-GB"/>
        </w:rPr>
        <w:t>Aligning ICO guidance with</w:t>
      </w:r>
      <w:r w:rsidR="00A074B1">
        <w:rPr>
          <w:rFonts w:eastAsia="Times New Roman" w:cs="Arial"/>
          <w:lang w:eastAsia="en-GB"/>
        </w:rPr>
        <w:t xml:space="preserve"> </w:t>
      </w:r>
      <w:r w:rsidRPr="00F451EF">
        <w:rPr>
          <w:rFonts w:eastAsia="Times New Roman" w:cs="Arial"/>
          <w:lang w:eastAsia="en-GB"/>
        </w:rPr>
        <w:t>e.g.</w:t>
      </w:r>
      <w:r w:rsidR="00A074B1">
        <w:rPr>
          <w:rFonts w:eastAsia="Times New Roman" w:cs="Arial"/>
          <w:lang w:eastAsia="en-GB"/>
        </w:rPr>
        <w:t xml:space="preserve"> </w:t>
      </w:r>
      <w:r w:rsidRPr="00F451EF">
        <w:rPr>
          <w:rFonts w:eastAsia="Times New Roman" w:cs="Arial"/>
          <w:lang w:eastAsia="en-GB"/>
        </w:rPr>
        <w:t>NCSC and NHS Digital.</w:t>
      </w:r>
      <w:r w:rsidR="00A074B1">
        <w:rPr>
          <w:rFonts w:eastAsia="Times New Roman" w:cs="Arial"/>
          <w:lang w:eastAsia="en-GB"/>
        </w:rPr>
        <w:t xml:space="preserve">      </w:t>
      </w:r>
    </w:p>
    <w:p w14:paraId="7259172C" w14:textId="15A3195F" w:rsidR="00C44501" w:rsidRPr="00225844" w:rsidRDefault="00DF610A" w:rsidP="008B260F">
      <w:pPr>
        <w:pStyle w:val="Heading3"/>
        <w:rPr>
          <w:lang w:eastAsia="en-GB"/>
        </w:rPr>
      </w:pPr>
      <w:r w:rsidRPr="00F451EF">
        <w:rPr>
          <w:lang w:eastAsia="en-GB"/>
        </w:rPr>
        <w:t>Q3.3.6.</w:t>
      </w:r>
      <w:r w:rsidR="00A074B1">
        <w:rPr>
          <w:lang w:eastAsia="en-GB"/>
        </w:rPr>
        <w:t xml:space="preserve"> </w:t>
      </w:r>
      <w:r w:rsidRPr="00F451EF">
        <w:rPr>
          <w:lang w:eastAsia="en-GB"/>
        </w:rPr>
        <w:t>Should organisations be permitted to make international transfers that rely on protections provided for in another country’s legislation, subject to an assessment that such protections offer appropriate safeguards?</w:t>
      </w:r>
      <w:r w:rsidR="00A074B1">
        <w:rPr>
          <w:lang w:eastAsia="en-GB"/>
        </w:rPr>
        <w:t xml:space="preserve">  </w:t>
      </w:r>
    </w:p>
    <w:p w14:paraId="11D57CFF" w14:textId="7FCE3D0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Yes</w:t>
      </w:r>
      <w:r w:rsidR="00A074B1">
        <w:rPr>
          <w:rFonts w:eastAsia="Times New Roman" w:cs="Arial"/>
          <w:lang w:eastAsia="en-GB"/>
        </w:rPr>
        <w:t xml:space="preserve"> </w:t>
      </w:r>
    </w:p>
    <w:p w14:paraId="2DAFDA1D" w14:textId="616EA772" w:rsidR="00C44501" w:rsidRPr="00225844" w:rsidRDefault="00DF610A" w:rsidP="008B260F">
      <w:pPr>
        <w:pStyle w:val="Heading4"/>
        <w:rPr>
          <w:lang w:eastAsia="en-GB"/>
        </w:rPr>
      </w:pPr>
      <w:r w:rsidRPr="00F451EF">
        <w:rPr>
          <w:lang w:eastAsia="en-GB"/>
        </w:rPr>
        <w:t>Q3.3.6a.</w:t>
      </w:r>
      <w:r w:rsidR="00A074B1">
        <w:rPr>
          <w:lang w:eastAsia="en-GB"/>
        </w:rPr>
        <w:t xml:space="preserve"> </w:t>
      </w:r>
      <w:r w:rsidRPr="00F451EF">
        <w:rPr>
          <w:lang w:eastAsia="en-GB"/>
        </w:rPr>
        <w:t>Please explain your</w:t>
      </w:r>
      <w:r w:rsidR="00A074B1">
        <w:rPr>
          <w:lang w:eastAsia="en-GB"/>
        </w:rPr>
        <w:t xml:space="preserve"> </w:t>
      </w:r>
      <w:r w:rsidR="000852B4" w:rsidRPr="00F451EF">
        <w:rPr>
          <w:lang w:eastAsia="en-GB"/>
        </w:rPr>
        <w:t>answer and</w:t>
      </w:r>
      <w:r w:rsidR="00A074B1">
        <w:rPr>
          <w:lang w:eastAsia="en-GB"/>
        </w:rPr>
        <w:t xml:space="preserve"> </w:t>
      </w:r>
      <w:r w:rsidRPr="00F451EF">
        <w:rPr>
          <w:lang w:eastAsia="en-GB"/>
        </w:rPr>
        <w:t>provide supporting evidence where possible.</w:t>
      </w:r>
      <w:r w:rsidR="00A074B1">
        <w:rPr>
          <w:lang w:eastAsia="en-GB"/>
        </w:rPr>
        <w:t xml:space="preserve">    </w:t>
      </w:r>
    </w:p>
    <w:p w14:paraId="4E4F48BA" w14:textId="4086B0F1" w:rsidR="00C44501" w:rsidRPr="00F451EF" w:rsidRDefault="00DF610A" w:rsidP="000852B4">
      <w:pPr>
        <w:textAlignment w:val="baseline"/>
        <w:rPr>
          <w:rFonts w:eastAsia="Times New Roman" w:cs="Arial"/>
          <w:sz w:val="22"/>
          <w:lang w:eastAsia="en-GB"/>
        </w:rPr>
      </w:pPr>
      <w:r w:rsidRPr="00F451EF">
        <w:rPr>
          <w:rFonts w:eastAsia="Times New Roman" w:cs="Arial"/>
          <w:lang w:eastAsia="en-GB"/>
        </w:rPr>
        <w:t>Each and every</w:t>
      </w:r>
      <w:r w:rsidR="00A074B1">
        <w:rPr>
          <w:rFonts w:eastAsia="Times New Roman" w:cs="Arial"/>
          <w:lang w:eastAsia="en-GB"/>
        </w:rPr>
        <w:t xml:space="preserve"> </w:t>
      </w:r>
      <w:r w:rsidRPr="00F451EF">
        <w:rPr>
          <w:rFonts w:eastAsia="Times New Roman" w:cs="Arial"/>
          <w:lang w:eastAsia="en-GB"/>
        </w:rPr>
        <w:t>data transfer activity is unique.  So to give organisations the flexibility of tailoring transfers that meet the expectations and appropriate safeguards of another country that are also permissible domestically, would give rise to a more streamlined method of conducting day to day business.  This would be without the burden of complying with requirements which may not be 100% necessary if</w:t>
      </w:r>
      <w:r w:rsidR="00A074B1">
        <w:rPr>
          <w:rFonts w:eastAsia="Times New Roman" w:cs="Arial"/>
          <w:lang w:eastAsia="en-GB"/>
        </w:rPr>
        <w:t xml:space="preserve"> </w:t>
      </w:r>
      <w:r w:rsidRPr="00F451EF">
        <w:rPr>
          <w:rFonts w:eastAsia="Times New Roman" w:cs="Arial"/>
          <w:lang w:eastAsia="en-GB"/>
        </w:rPr>
        <w:t>it is clear that the</w:t>
      </w:r>
      <w:r w:rsidR="00A074B1">
        <w:rPr>
          <w:rFonts w:eastAsia="Times New Roman" w:cs="Arial"/>
          <w:lang w:eastAsia="en-GB"/>
        </w:rPr>
        <w:t xml:space="preserve"> </w:t>
      </w:r>
      <w:r w:rsidRPr="00F451EF">
        <w:rPr>
          <w:rFonts w:eastAsia="Times New Roman" w:cs="Arial"/>
          <w:lang w:eastAsia="en-GB"/>
        </w:rPr>
        <w:t>protections are adequate and there is alignment with the Human Rights 1998.</w:t>
      </w:r>
      <w:r w:rsidR="00A074B1">
        <w:rPr>
          <w:rFonts w:eastAsia="Times New Roman" w:cs="Arial"/>
          <w:lang w:eastAsia="en-GB"/>
        </w:rPr>
        <w:t xml:space="preserve">  </w:t>
      </w:r>
    </w:p>
    <w:p w14:paraId="3F669A98" w14:textId="6453257A" w:rsidR="00C44501" w:rsidRPr="00F451EF" w:rsidRDefault="00DF610A" w:rsidP="008B260F">
      <w:pPr>
        <w:pStyle w:val="Heading3"/>
        <w:rPr>
          <w:lang w:eastAsia="en-GB"/>
        </w:rPr>
      </w:pPr>
      <w:r w:rsidRPr="00F451EF">
        <w:rPr>
          <w:lang w:eastAsia="en-GB"/>
        </w:rPr>
        <w:t> Q3.3.7.</w:t>
      </w:r>
      <w:r w:rsidR="00A074B1">
        <w:rPr>
          <w:lang w:eastAsia="en-GB"/>
        </w:rPr>
        <w:t xml:space="preserve"> </w:t>
      </w:r>
      <w:r w:rsidRPr="00F451EF">
        <w:rPr>
          <w:lang w:eastAsia="en-GB"/>
        </w:rPr>
        <w:t>To what extent do you agree that the proposal to create a new power for the Secretary of State to formally recognise new alternative transfer mechanisms would increase the flexibility of the UK’s regime?</w:t>
      </w:r>
      <w:r w:rsidR="00A074B1">
        <w:rPr>
          <w:lang w:eastAsia="en-GB"/>
        </w:rPr>
        <w:t xml:space="preserve">  </w:t>
      </w:r>
    </w:p>
    <w:p w14:paraId="2EB171EA" w14:textId="7777777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Neither Agree nor Disagree</w:t>
      </w:r>
    </w:p>
    <w:p w14:paraId="1018DCA1" w14:textId="5B5EE3B2" w:rsidR="00C44501" w:rsidRPr="00F451EF" w:rsidRDefault="00DF610A" w:rsidP="008B260F">
      <w:pPr>
        <w:pStyle w:val="Heading4"/>
        <w:rPr>
          <w:lang w:eastAsia="en-GB"/>
        </w:rPr>
      </w:pPr>
      <w:r w:rsidRPr="00F451EF">
        <w:rPr>
          <w:lang w:eastAsia="en-GB"/>
        </w:rPr>
        <w:lastRenderedPageBreak/>
        <w:t>Q3.3.7a.</w:t>
      </w:r>
      <w:r w:rsidR="00A074B1">
        <w:rPr>
          <w:lang w:eastAsia="en-GB"/>
        </w:rPr>
        <w:t xml:space="preserve"> </w:t>
      </w:r>
      <w:r w:rsidRPr="00F451EF">
        <w:rPr>
          <w:lang w:eastAsia="en-GB"/>
        </w:rPr>
        <w:t>Please explain your</w:t>
      </w:r>
      <w:r w:rsidR="00A074B1">
        <w:rPr>
          <w:lang w:eastAsia="en-GB"/>
        </w:rPr>
        <w:t xml:space="preserve"> </w:t>
      </w:r>
      <w:r w:rsidR="000852B4" w:rsidRPr="00F451EF">
        <w:rPr>
          <w:lang w:eastAsia="en-GB"/>
        </w:rPr>
        <w:t>answer and</w:t>
      </w:r>
      <w:r w:rsidR="00A074B1">
        <w:rPr>
          <w:lang w:eastAsia="en-GB"/>
        </w:rPr>
        <w:t xml:space="preserve"> </w:t>
      </w:r>
      <w:r w:rsidRPr="00F451EF">
        <w:rPr>
          <w:lang w:eastAsia="en-GB"/>
        </w:rPr>
        <w:t>provide supporting evidence where possible.</w:t>
      </w:r>
      <w:r w:rsidR="00A074B1">
        <w:rPr>
          <w:lang w:eastAsia="en-GB"/>
        </w:rPr>
        <w:t xml:space="preserve">  </w:t>
      </w:r>
    </w:p>
    <w:p w14:paraId="1222A967" w14:textId="0B7755DA" w:rsidR="00C44501" w:rsidRPr="00F451EF" w:rsidRDefault="00DF610A" w:rsidP="000852B4">
      <w:pPr>
        <w:textAlignment w:val="baseline"/>
        <w:rPr>
          <w:rFonts w:eastAsia="Times New Roman" w:cs="Arial"/>
          <w:lang w:eastAsia="en-GB"/>
        </w:rPr>
      </w:pPr>
      <w:r w:rsidRPr="00F451EF">
        <w:rPr>
          <w:rFonts w:eastAsia="Times New Roman" w:cs="Arial"/>
          <w:lang w:eastAsia="en-GB"/>
        </w:rPr>
        <w:t>It would increase the flexibility of the regime.  However, we would question whether this should</w:t>
      </w:r>
      <w:r w:rsidR="00A074B1">
        <w:rPr>
          <w:rFonts w:eastAsia="Times New Roman" w:cs="Arial"/>
          <w:lang w:eastAsia="en-GB"/>
        </w:rPr>
        <w:t xml:space="preserve"> </w:t>
      </w:r>
      <w:r w:rsidRPr="00F451EF">
        <w:rPr>
          <w:rFonts w:eastAsia="Times New Roman" w:cs="Arial"/>
          <w:lang w:eastAsia="en-GB"/>
        </w:rPr>
        <w:t>this</w:t>
      </w:r>
      <w:r w:rsidR="00A074B1">
        <w:rPr>
          <w:rFonts w:eastAsia="Times New Roman" w:cs="Arial"/>
          <w:lang w:eastAsia="en-GB"/>
        </w:rPr>
        <w:t xml:space="preserve"> </w:t>
      </w:r>
      <w:r w:rsidRPr="00F451EF">
        <w:rPr>
          <w:rFonts w:eastAsia="Times New Roman" w:cs="Arial"/>
          <w:lang w:eastAsia="en-GB"/>
        </w:rPr>
        <w:t>be</w:t>
      </w:r>
      <w:r w:rsidR="00A074B1">
        <w:rPr>
          <w:rFonts w:eastAsia="Times New Roman" w:cs="Arial"/>
          <w:lang w:eastAsia="en-GB"/>
        </w:rPr>
        <w:t xml:space="preserve"> </w:t>
      </w:r>
      <w:r w:rsidRPr="00F451EF">
        <w:rPr>
          <w:rFonts w:eastAsia="Times New Roman" w:cs="Arial"/>
          <w:lang w:eastAsia="en-GB"/>
        </w:rPr>
        <w:t>in</w:t>
      </w:r>
      <w:r w:rsidR="00A074B1">
        <w:rPr>
          <w:rFonts w:eastAsia="Times New Roman" w:cs="Arial"/>
          <w:lang w:eastAsia="en-GB"/>
        </w:rPr>
        <w:t xml:space="preserve"> </w:t>
      </w:r>
      <w:r w:rsidRPr="00F451EF">
        <w:rPr>
          <w:rFonts w:eastAsia="Times New Roman" w:cs="Arial"/>
          <w:lang w:eastAsia="en-GB"/>
        </w:rPr>
        <w:t>the power of the</w:t>
      </w:r>
      <w:r w:rsidR="00A074B1">
        <w:rPr>
          <w:rFonts w:eastAsia="Times New Roman" w:cs="Arial"/>
          <w:lang w:eastAsia="en-GB"/>
        </w:rPr>
        <w:t xml:space="preserve"> </w:t>
      </w:r>
      <w:r w:rsidRPr="00F451EF">
        <w:rPr>
          <w:rFonts w:eastAsia="Times New Roman" w:cs="Arial"/>
          <w:lang w:eastAsia="en-GB"/>
        </w:rPr>
        <w:t>Secretary of State</w:t>
      </w:r>
      <w:r w:rsidR="00A074B1">
        <w:rPr>
          <w:rFonts w:eastAsia="Times New Roman" w:cs="Arial"/>
          <w:lang w:eastAsia="en-GB"/>
        </w:rPr>
        <w:t xml:space="preserve"> </w:t>
      </w:r>
      <w:r w:rsidRPr="00F451EF">
        <w:rPr>
          <w:rFonts w:eastAsia="Times New Roman" w:cs="Arial"/>
          <w:lang w:eastAsia="en-GB"/>
        </w:rPr>
        <w:t>and not an independent body like the ICO.</w:t>
      </w:r>
    </w:p>
    <w:p w14:paraId="1BC1F565" w14:textId="7A493162" w:rsidR="00225844" w:rsidRDefault="00DF610A" w:rsidP="000852B4">
      <w:pPr>
        <w:textAlignment w:val="baseline"/>
        <w:rPr>
          <w:rFonts w:eastAsia="Times New Roman" w:cs="Arial"/>
          <w:lang w:eastAsia="en-GB"/>
        </w:rPr>
      </w:pPr>
      <w:r w:rsidRPr="00F451EF">
        <w:rPr>
          <w:rFonts w:eastAsia="Times New Roman" w:cs="Arial"/>
          <w:lang w:eastAsia="en-GB"/>
        </w:rPr>
        <w:t>We support the idea of flexibility to react to varied models and mechanisms put forward by other countries/groups of countries, however we are conscious that there may be a risk of too many</w:t>
      </w:r>
      <w:r w:rsidR="00A074B1">
        <w:rPr>
          <w:rFonts w:eastAsia="Times New Roman" w:cs="Arial"/>
          <w:lang w:eastAsia="en-GB"/>
        </w:rPr>
        <w:t xml:space="preserve"> </w:t>
      </w:r>
      <w:r w:rsidRPr="00F451EF">
        <w:rPr>
          <w:rFonts w:eastAsia="Times New Roman" w:cs="Arial"/>
          <w:lang w:eastAsia="en-GB"/>
        </w:rPr>
        <w:t>separate, bespoke, mechanisms that then begin to cloud the data protection landscape. This may lead to an unintended erosion of individual rights and security assurances.</w:t>
      </w:r>
      <w:r w:rsidR="00A074B1">
        <w:rPr>
          <w:rFonts w:eastAsia="Times New Roman" w:cs="Arial"/>
          <w:lang w:eastAsia="en-GB"/>
        </w:rPr>
        <w:t xml:space="preserve">  </w:t>
      </w:r>
    </w:p>
    <w:p w14:paraId="6E82FF27" w14:textId="34A9BCF7" w:rsidR="00C44501" w:rsidRPr="00225844" w:rsidRDefault="00DF610A" w:rsidP="008B260F">
      <w:pPr>
        <w:pStyle w:val="Heading3"/>
        <w:rPr>
          <w:lang w:eastAsia="en-GB"/>
        </w:rPr>
      </w:pPr>
      <w:r w:rsidRPr="00225844">
        <w:rPr>
          <w:lang w:eastAsia="en-GB"/>
        </w:rPr>
        <w:t>Q3.3.8.</w:t>
      </w:r>
      <w:r w:rsidR="00A074B1">
        <w:rPr>
          <w:lang w:eastAsia="en-GB"/>
        </w:rPr>
        <w:t xml:space="preserve"> </w:t>
      </w:r>
      <w:r w:rsidRPr="00225844">
        <w:rPr>
          <w:lang w:eastAsia="en-GB"/>
        </w:rPr>
        <w:t>Are there any mechanisms that could be supported that would benefit UK organisations if they were recognised by the Secretary of State?</w:t>
      </w:r>
      <w:r w:rsidR="00A074B1">
        <w:rPr>
          <w:lang w:eastAsia="en-GB"/>
        </w:rPr>
        <w:t xml:space="preserve">  </w:t>
      </w:r>
    </w:p>
    <w:p w14:paraId="754C896E" w14:textId="77777777" w:rsidR="00C44501" w:rsidRPr="00F451EF" w:rsidRDefault="00DF610A" w:rsidP="000852B4">
      <w:pPr>
        <w:textAlignment w:val="baseline"/>
        <w:rPr>
          <w:rFonts w:eastAsia="Times New Roman" w:cs="Arial"/>
          <w:lang w:eastAsia="en-GB"/>
        </w:rPr>
      </w:pPr>
      <w:r w:rsidRPr="00F451EF">
        <w:rPr>
          <w:rFonts w:eastAsia="Times New Roman" w:cs="Arial"/>
          <w:lang w:eastAsia="en-GB"/>
        </w:rPr>
        <w:t>Yes</w:t>
      </w:r>
    </w:p>
    <w:p w14:paraId="2653DB3F" w14:textId="33468B3A" w:rsidR="00C44501" w:rsidRPr="00225844" w:rsidRDefault="00DF610A" w:rsidP="008B260F">
      <w:pPr>
        <w:pStyle w:val="Heading4"/>
        <w:rPr>
          <w:lang w:eastAsia="en-GB"/>
        </w:rPr>
      </w:pPr>
      <w:r w:rsidRPr="00225844">
        <w:rPr>
          <w:lang w:eastAsia="en-GB"/>
        </w:rPr>
        <w:t>Q3.3.8a.</w:t>
      </w:r>
      <w:r w:rsidR="00A074B1">
        <w:rPr>
          <w:lang w:eastAsia="en-GB"/>
        </w:rPr>
        <w:t xml:space="preserve"> </w:t>
      </w:r>
      <w:r w:rsidRPr="00225844">
        <w:rPr>
          <w:lang w:eastAsia="en-GB"/>
        </w:rPr>
        <w:t>Please explain your</w:t>
      </w:r>
      <w:r w:rsidR="00A074B1">
        <w:rPr>
          <w:lang w:eastAsia="en-GB"/>
        </w:rPr>
        <w:t xml:space="preserve"> </w:t>
      </w:r>
      <w:r w:rsidR="000852B4" w:rsidRPr="00225844">
        <w:rPr>
          <w:lang w:eastAsia="en-GB"/>
        </w:rPr>
        <w:t>answer and</w:t>
      </w:r>
      <w:r w:rsidR="00A074B1">
        <w:rPr>
          <w:lang w:eastAsia="en-GB"/>
        </w:rPr>
        <w:t xml:space="preserve"> </w:t>
      </w:r>
      <w:r w:rsidRPr="00225844">
        <w:rPr>
          <w:lang w:eastAsia="en-GB"/>
        </w:rPr>
        <w:t>provide supporting evidence where possible.</w:t>
      </w:r>
      <w:r w:rsidR="00A074B1">
        <w:rPr>
          <w:lang w:eastAsia="en-GB"/>
        </w:rPr>
        <w:t xml:space="preserve">  </w:t>
      </w:r>
    </w:p>
    <w:p w14:paraId="22D85361" w14:textId="77777777" w:rsidR="00C44501" w:rsidRPr="00F451EF" w:rsidRDefault="00DF610A" w:rsidP="000852B4">
      <w:pPr>
        <w:rPr>
          <w:rFonts w:eastAsia="Times New Roman" w:cs="Arial"/>
          <w:lang w:eastAsia="en-GB"/>
        </w:rPr>
      </w:pPr>
      <w:r w:rsidRPr="00F451EF">
        <w:rPr>
          <w:rFonts w:eastAsia="Times New Roman" w:cs="Arial"/>
          <w:lang w:eastAsia="en-GB"/>
        </w:rPr>
        <w:t>It would be important for the ICO to be involved in the approval of transfer mechanisms to continue to ensure independence of decision-making.</w:t>
      </w:r>
    </w:p>
    <w:p w14:paraId="7FD85556" w14:textId="2C22D3A0" w:rsidR="00C44501" w:rsidRPr="00225844" w:rsidRDefault="00DF610A" w:rsidP="008B260F">
      <w:pPr>
        <w:pStyle w:val="Heading2"/>
        <w:rPr>
          <w:lang w:eastAsia="en-GB"/>
        </w:rPr>
      </w:pPr>
      <w:r w:rsidRPr="00225844">
        <w:rPr>
          <w:lang w:eastAsia="en-GB"/>
        </w:rPr>
        <w:t>3.4 Certification Schemes </w:t>
      </w:r>
      <w:r w:rsidR="00A074B1">
        <w:rPr>
          <w:lang w:eastAsia="en-GB"/>
        </w:rPr>
        <w:t xml:space="preserve"> </w:t>
      </w:r>
    </w:p>
    <w:p w14:paraId="294EB3AA" w14:textId="35A62C9C" w:rsidR="00C44501" w:rsidRPr="00225844" w:rsidRDefault="00DF610A" w:rsidP="008B260F">
      <w:pPr>
        <w:pStyle w:val="Heading3"/>
        <w:rPr>
          <w:lang w:eastAsia="en-GB"/>
        </w:rPr>
      </w:pPr>
      <w:r w:rsidRPr="00225844">
        <w:rPr>
          <w:lang w:eastAsia="en-GB"/>
        </w:rPr>
        <w:t>Q3.4.1.</w:t>
      </w:r>
      <w:r w:rsidR="00A074B1">
        <w:rPr>
          <w:lang w:eastAsia="en-GB"/>
        </w:rPr>
        <w:t xml:space="preserve"> </w:t>
      </w:r>
      <w:r w:rsidRPr="00225844">
        <w:rPr>
          <w:lang w:eastAsia="en-GB"/>
        </w:rPr>
        <w:t>To what extent do you agree with the approach the Government is considering</w:t>
      </w:r>
      <w:r w:rsidR="00A074B1">
        <w:rPr>
          <w:lang w:eastAsia="en-GB"/>
        </w:rPr>
        <w:t xml:space="preserve"> </w:t>
      </w:r>
      <w:r w:rsidRPr="00225844">
        <w:rPr>
          <w:lang w:eastAsia="en-GB"/>
        </w:rPr>
        <w:t>to allow</w:t>
      </w:r>
      <w:r w:rsidR="00A074B1">
        <w:rPr>
          <w:lang w:eastAsia="en-GB"/>
        </w:rPr>
        <w:t xml:space="preserve"> </w:t>
      </w:r>
      <w:r w:rsidRPr="00225844">
        <w:rPr>
          <w:lang w:eastAsia="en-GB"/>
        </w:rPr>
        <w:t>certifications to be provided by different approaches to accountability, including privacy management programmes?</w:t>
      </w:r>
      <w:r w:rsidR="00A074B1">
        <w:rPr>
          <w:lang w:eastAsia="en-GB"/>
        </w:rPr>
        <w:t xml:space="preserve">  </w:t>
      </w:r>
    </w:p>
    <w:p w14:paraId="39292CBF" w14:textId="7777777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Somewhat Agree</w:t>
      </w:r>
    </w:p>
    <w:p w14:paraId="387C6B51" w14:textId="2125FB27" w:rsidR="00C44501" w:rsidRPr="00225844" w:rsidRDefault="00DF610A" w:rsidP="008B260F">
      <w:pPr>
        <w:pStyle w:val="Heading4"/>
        <w:rPr>
          <w:lang w:eastAsia="en-GB"/>
        </w:rPr>
      </w:pPr>
      <w:r w:rsidRPr="00225844">
        <w:rPr>
          <w:lang w:eastAsia="en-GB"/>
        </w:rPr>
        <w:t>Q3.4.1a.</w:t>
      </w:r>
      <w:r w:rsidR="00A074B1">
        <w:rPr>
          <w:lang w:eastAsia="en-GB"/>
        </w:rPr>
        <w:t xml:space="preserve"> </w:t>
      </w:r>
      <w:r w:rsidRPr="00225844">
        <w:rPr>
          <w:lang w:eastAsia="en-GB"/>
        </w:rPr>
        <w:t>Please explain your</w:t>
      </w:r>
      <w:r w:rsidR="00A074B1">
        <w:rPr>
          <w:lang w:eastAsia="en-GB"/>
        </w:rPr>
        <w:t xml:space="preserve"> </w:t>
      </w:r>
      <w:r w:rsidR="000852B4" w:rsidRPr="00225844">
        <w:rPr>
          <w:lang w:eastAsia="en-GB"/>
        </w:rPr>
        <w:t>answer and</w:t>
      </w:r>
      <w:r w:rsidR="00A074B1">
        <w:rPr>
          <w:lang w:eastAsia="en-GB"/>
        </w:rPr>
        <w:t xml:space="preserve"> </w:t>
      </w:r>
      <w:r w:rsidRPr="00225844">
        <w:rPr>
          <w:lang w:eastAsia="en-GB"/>
        </w:rPr>
        <w:t>provide supporting evidence where possible.</w:t>
      </w:r>
      <w:r w:rsidR="00A074B1">
        <w:rPr>
          <w:lang w:eastAsia="en-GB"/>
        </w:rPr>
        <w:t xml:space="preserve">  </w:t>
      </w:r>
    </w:p>
    <w:p w14:paraId="3198F7B0" w14:textId="1F2BAB82" w:rsidR="00C44501" w:rsidRPr="00F451EF" w:rsidRDefault="00DF610A" w:rsidP="000852B4">
      <w:pPr>
        <w:textAlignment w:val="baseline"/>
        <w:rPr>
          <w:rFonts w:eastAsia="Times New Roman" w:cs="Arial"/>
          <w:lang w:eastAsia="en-GB"/>
        </w:rPr>
      </w:pPr>
      <w:r w:rsidRPr="00F451EF">
        <w:rPr>
          <w:rFonts w:eastAsia="Times New Roman" w:cs="Arial"/>
          <w:lang w:eastAsia="en-GB"/>
        </w:rPr>
        <w:t>Certifications could be effective, and assuming they have monitored external assessment and</w:t>
      </w:r>
      <w:r w:rsidR="00A074B1">
        <w:rPr>
          <w:rFonts w:eastAsia="Times New Roman" w:cs="Arial"/>
          <w:lang w:eastAsia="en-GB"/>
        </w:rPr>
        <w:t xml:space="preserve"> </w:t>
      </w:r>
      <w:r w:rsidRPr="00F451EF">
        <w:rPr>
          <w:rFonts w:eastAsia="Times New Roman" w:cs="Arial"/>
          <w:lang w:eastAsia="en-GB"/>
        </w:rPr>
        <w:t>consistent</w:t>
      </w:r>
      <w:r w:rsidR="00A074B1">
        <w:rPr>
          <w:rFonts w:eastAsia="Times New Roman" w:cs="Arial"/>
          <w:lang w:eastAsia="en-GB"/>
        </w:rPr>
        <w:t xml:space="preserve"> </w:t>
      </w:r>
      <w:r w:rsidRPr="00F451EF">
        <w:rPr>
          <w:rFonts w:eastAsia="Times New Roman" w:cs="Arial"/>
          <w:lang w:eastAsia="en-GB"/>
        </w:rPr>
        <w:t>renewal, we consider that this is a strong</w:t>
      </w:r>
      <w:r w:rsidR="00A074B1">
        <w:rPr>
          <w:rFonts w:eastAsia="Times New Roman" w:cs="Arial"/>
          <w:lang w:eastAsia="en-GB"/>
        </w:rPr>
        <w:t xml:space="preserve"> </w:t>
      </w:r>
      <w:r w:rsidRPr="00F451EF">
        <w:rPr>
          <w:rFonts w:eastAsia="Times New Roman" w:cs="Arial"/>
          <w:lang w:eastAsia="en-GB"/>
        </w:rPr>
        <w:t>way to assess an</w:t>
      </w:r>
      <w:r w:rsidR="00A074B1">
        <w:rPr>
          <w:rFonts w:eastAsia="Times New Roman" w:cs="Arial"/>
          <w:lang w:eastAsia="en-GB"/>
        </w:rPr>
        <w:t xml:space="preserve"> </w:t>
      </w:r>
      <w:r w:rsidRPr="00F451EF">
        <w:rPr>
          <w:rFonts w:eastAsia="Times New Roman" w:cs="Arial"/>
          <w:lang w:eastAsia="en-GB"/>
        </w:rPr>
        <w:t>organisation’s data protection compliance.</w:t>
      </w:r>
      <w:r w:rsidR="00A074B1">
        <w:rPr>
          <w:rFonts w:eastAsia="Times New Roman" w:cs="Arial"/>
          <w:lang w:eastAsia="en-GB"/>
        </w:rPr>
        <w:t xml:space="preserve">   </w:t>
      </w:r>
    </w:p>
    <w:p w14:paraId="71BD1A54" w14:textId="33F4056D"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The idea of having a global set of recognisable standards is appealing to increase a smoother flow of data.  However, a small selection of agreed certifications should be considered as opposed to potentially hundreds and potentially a tiered system of certificates dependent on the nature of the data transfers</w:t>
      </w:r>
      <w:r w:rsidR="00A074B1">
        <w:rPr>
          <w:rFonts w:eastAsia="Times New Roman" w:cs="Arial"/>
          <w:lang w:eastAsia="en-GB"/>
        </w:rPr>
        <w:t xml:space="preserve"> </w:t>
      </w:r>
      <w:r w:rsidRPr="00F451EF">
        <w:rPr>
          <w:rFonts w:eastAsia="Times New Roman" w:cs="Arial"/>
          <w:lang w:eastAsia="en-GB"/>
        </w:rPr>
        <w:t>i.e. large volume/frequency, category of datasets, etc.</w:t>
      </w:r>
      <w:r w:rsidR="00A074B1">
        <w:rPr>
          <w:rFonts w:eastAsia="Times New Roman" w:cs="Arial"/>
          <w:lang w:eastAsia="en-GB"/>
        </w:rPr>
        <w:t xml:space="preserve"> </w:t>
      </w:r>
    </w:p>
    <w:p w14:paraId="0B07FEC6" w14:textId="1DC786EF" w:rsidR="00C44501" w:rsidRPr="00225844" w:rsidRDefault="00DF610A" w:rsidP="008B260F">
      <w:pPr>
        <w:pStyle w:val="Heading3"/>
        <w:rPr>
          <w:lang w:eastAsia="en-GB"/>
        </w:rPr>
      </w:pPr>
      <w:r w:rsidRPr="00225844">
        <w:rPr>
          <w:lang w:eastAsia="en-GB"/>
        </w:rPr>
        <w:t>Q3.4.2.</w:t>
      </w:r>
      <w:r w:rsidR="00A074B1">
        <w:rPr>
          <w:lang w:eastAsia="en-GB"/>
        </w:rPr>
        <w:t xml:space="preserve"> </w:t>
      </w:r>
      <w:r w:rsidRPr="00225844">
        <w:rPr>
          <w:lang w:eastAsia="en-GB"/>
        </w:rPr>
        <w:t>To what extent do you agree that allowing accreditation for non-UK bodies will provide advantages to UK-based organisations?</w:t>
      </w:r>
      <w:r w:rsidR="00A074B1">
        <w:rPr>
          <w:lang w:eastAsia="en-GB"/>
        </w:rPr>
        <w:t xml:space="preserve">  </w:t>
      </w:r>
    </w:p>
    <w:p w14:paraId="548CE248" w14:textId="77777777" w:rsidR="00C44501" w:rsidRPr="00F451EF" w:rsidRDefault="00DF610A" w:rsidP="000852B4">
      <w:pPr>
        <w:textAlignment w:val="baseline"/>
        <w:rPr>
          <w:rFonts w:eastAsia="Times New Roman" w:cs="Arial"/>
          <w:lang w:eastAsia="en-GB"/>
        </w:rPr>
      </w:pPr>
      <w:r w:rsidRPr="00F451EF">
        <w:rPr>
          <w:rFonts w:eastAsia="Times New Roman" w:cs="Arial"/>
          <w:lang w:eastAsia="en-GB"/>
        </w:rPr>
        <w:t>Somewhat Agree</w:t>
      </w:r>
    </w:p>
    <w:p w14:paraId="7952E738" w14:textId="462652D5" w:rsidR="00C44501" w:rsidRPr="00225844" w:rsidRDefault="00DF610A" w:rsidP="008B260F">
      <w:pPr>
        <w:pStyle w:val="Heading4"/>
        <w:rPr>
          <w:lang w:eastAsia="en-GB"/>
        </w:rPr>
      </w:pPr>
      <w:r w:rsidRPr="00225844">
        <w:rPr>
          <w:lang w:eastAsia="en-GB"/>
        </w:rPr>
        <w:t>Q3.4.2a.</w:t>
      </w:r>
      <w:r w:rsidR="00A074B1">
        <w:rPr>
          <w:lang w:eastAsia="en-GB"/>
        </w:rPr>
        <w:t xml:space="preserve"> </w:t>
      </w:r>
      <w:r w:rsidRPr="00225844">
        <w:rPr>
          <w:lang w:eastAsia="en-GB"/>
        </w:rPr>
        <w:t>Please explain your</w:t>
      </w:r>
      <w:r w:rsidR="00A074B1">
        <w:rPr>
          <w:lang w:eastAsia="en-GB"/>
        </w:rPr>
        <w:t xml:space="preserve"> </w:t>
      </w:r>
      <w:r w:rsidR="000852B4" w:rsidRPr="00225844">
        <w:rPr>
          <w:lang w:eastAsia="en-GB"/>
        </w:rPr>
        <w:t>answer and</w:t>
      </w:r>
      <w:r w:rsidR="00A074B1">
        <w:rPr>
          <w:lang w:eastAsia="en-GB"/>
        </w:rPr>
        <w:t xml:space="preserve"> </w:t>
      </w:r>
      <w:r w:rsidRPr="00225844">
        <w:rPr>
          <w:lang w:eastAsia="en-GB"/>
        </w:rPr>
        <w:t>provide supporting evidence where possible.</w:t>
      </w:r>
      <w:r w:rsidR="00A074B1">
        <w:rPr>
          <w:lang w:eastAsia="en-GB"/>
        </w:rPr>
        <w:t xml:space="preserve">  </w:t>
      </w:r>
    </w:p>
    <w:p w14:paraId="6C229978" w14:textId="383A125C" w:rsidR="00C44501" w:rsidRPr="00F451EF" w:rsidRDefault="00DF610A" w:rsidP="000852B4">
      <w:pPr>
        <w:textAlignment w:val="baseline"/>
        <w:rPr>
          <w:rFonts w:eastAsia="Times New Roman" w:cs="Arial"/>
          <w:lang w:eastAsia="en-GB"/>
        </w:rPr>
      </w:pPr>
      <w:r w:rsidRPr="00F451EF">
        <w:rPr>
          <w:rFonts w:eastAsia="Times New Roman" w:cs="Arial"/>
          <w:lang w:eastAsia="en-GB"/>
        </w:rPr>
        <w:t>We support this.  It would make</w:t>
      </w:r>
      <w:r w:rsidR="00A074B1">
        <w:rPr>
          <w:rFonts w:eastAsia="Times New Roman" w:cs="Arial"/>
          <w:lang w:eastAsia="en-GB"/>
        </w:rPr>
        <w:t xml:space="preserve"> </w:t>
      </w:r>
      <w:r w:rsidRPr="00F451EF">
        <w:rPr>
          <w:rFonts w:eastAsia="Times New Roman" w:cs="Arial"/>
          <w:lang w:eastAsia="en-GB"/>
        </w:rPr>
        <w:t>alternative modes of transfer between organisations safer, if it</w:t>
      </w:r>
      <w:r w:rsidR="00A074B1">
        <w:rPr>
          <w:rFonts w:eastAsia="Times New Roman" w:cs="Arial"/>
          <w:lang w:eastAsia="en-GB"/>
        </w:rPr>
        <w:t xml:space="preserve"> </w:t>
      </w:r>
      <w:r w:rsidRPr="00F451EF">
        <w:rPr>
          <w:rFonts w:eastAsia="Times New Roman" w:cs="Arial"/>
          <w:lang w:eastAsia="en-GB"/>
        </w:rPr>
        <w:t>acknowledges</w:t>
      </w:r>
      <w:r w:rsidR="00A074B1">
        <w:rPr>
          <w:rFonts w:eastAsia="Times New Roman" w:cs="Arial"/>
          <w:lang w:eastAsia="en-GB"/>
        </w:rPr>
        <w:t xml:space="preserve"> </w:t>
      </w:r>
      <w:r w:rsidRPr="00F451EF">
        <w:rPr>
          <w:rFonts w:eastAsia="Times New Roman" w:cs="Arial"/>
          <w:lang w:eastAsia="en-GB"/>
        </w:rPr>
        <w:t>they adhere to a UK accreditation for data protection.</w:t>
      </w:r>
      <w:r w:rsidR="00A074B1">
        <w:rPr>
          <w:rFonts w:eastAsia="Times New Roman" w:cs="Arial"/>
          <w:lang w:eastAsia="en-GB"/>
        </w:rPr>
        <w:t xml:space="preserve">   </w:t>
      </w:r>
    </w:p>
    <w:p w14:paraId="25D3CA9F" w14:textId="40FA75D3"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The acceptance of accreditation from non-UK bodies is permissible providing like-for-like standards are met</w:t>
      </w:r>
      <w:r w:rsidR="00A074B1">
        <w:rPr>
          <w:rFonts w:eastAsia="Times New Roman" w:cs="Arial"/>
          <w:lang w:eastAsia="en-GB"/>
        </w:rPr>
        <w:t xml:space="preserve"> </w:t>
      </w:r>
      <w:r w:rsidRPr="00F451EF">
        <w:rPr>
          <w:rFonts w:eastAsia="Times New Roman" w:cs="Arial"/>
          <w:lang w:eastAsia="en-GB"/>
        </w:rPr>
        <w:t>i.e.</w:t>
      </w:r>
      <w:r w:rsidR="00A074B1">
        <w:rPr>
          <w:rFonts w:eastAsia="Times New Roman" w:cs="Arial"/>
          <w:lang w:eastAsia="en-GB"/>
        </w:rPr>
        <w:t xml:space="preserve"> </w:t>
      </w:r>
      <w:r w:rsidRPr="00F451EF">
        <w:rPr>
          <w:rFonts w:eastAsia="Times New Roman" w:cs="Arial"/>
          <w:lang w:eastAsia="en-GB"/>
        </w:rPr>
        <w:t>a New Zealand version of ISO27001 could be accepted. It will provide a higher attraction to non-UK bodies to deal with UK based organisations if there are reduced barriers to fulfilling the activities, however this must not be to the detriment of an individual’s rights.</w:t>
      </w:r>
      <w:r w:rsidR="00A074B1">
        <w:rPr>
          <w:rFonts w:eastAsia="Times New Roman" w:cs="Arial"/>
          <w:lang w:eastAsia="en-GB"/>
        </w:rPr>
        <w:t xml:space="preserve">  </w:t>
      </w:r>
    </w:p>
    <w:p w14:paraId="2940B5CA" w14:textId="2A25250B" w:rsidR="00C44501" w:rsidRPr="00225844" w:rsidRDefault="00DF610A" w:rsidP="008B260F">
      <w:pPr>
        <w:pStyle w:val="Heading3"/>
        <w:rPr>
          <w:lang w:eastAsia="en-GB"/>
        </w:rPr>
      </w:pPr>
      <w:r w:rsidRPr="00225844">
        <w:rPr>
          <w:lang w:eastAsia="en-GB"/>
        </w:rPr>
        <w:t>Q3.4.3.</w:t>
      </w:r>
      <w:r w:rsidR="00A074B1">
        <w:rPr>
          <w:lang w:eastAsia="en-GB"/>
        </w:rPr>
        <w:t xml:space="preserve"> </w:t>
      </w:r>
      <w:r w:rsidRPr="00225844">
        <w:rPr>
          <w:lang w:eastAsia="en-GB"/>
        </w:rPr>
        <w:t>Do you see allowing accreditation for non-UK bodies as being potentially beneficial for you or your organisation?</w:t>
      </w:r>
      <w:r w:rsidR="00A074B1">
        <w:rPr>
          <w:lang w:eastAsia="en-GB"/>
        </w:rPr>
        <w:t xml:space="preserve">  </w:t>
      </w:r>
    </w:p>
    <w:p w14:paraId="13A0A9B4" w14:textId="7777777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Neither Agree nor Disagree</w:t>
      </w:r>
    </w:p>
    <w:p w14:paraId="7956DFD3" w14:textId="7FDE518E" w:rsidR="00C44501" w:rsidRPr="00225844" w:rsidRDefault="00DF610A" w:rsidP="008B260F">
      <w:pPr>
        <w:pStyle w:val="Heading4"/>
        <w:rPr>
          <w:lang w:eastAsia="en-GB"/>
        </w:rPr>
      </w:pPr>
      <w:r w:rsidRPr="00225844">
        <w:rPr>
          <w:lang w:eastAsia="en-GB"/>
        </w:rPr>
        <w:t>Q3.4.3a.</w:t>
      </w:r>
      <w:r w:rsidR="00A074B1">
        <w:rPr>
          <w:lang w:eastAsia="en-GB"/>
        </w:rPr>
        <w:t xml:space="preserve"> </w:t>
      </w:r>
      <w:r w:rsidRPr="00225844">
        <w:rPr>
          <w:lang w:eastAsia="en-GB"/>
        </w:rPr>
        <w:t>Please explain the advantages and risks that you foresee for allowing accreditation of non-UK bodies.</w:t>
      </w:r>
      <w:r w:rsidR="00A074B1">
        <w:rPr>
          <w:lang w:eastAsia="en-GB"/>
        </w:rPr>
        <w:t xml:space="preserve">  </w:t>
      </w:r>
    </w:p>
    <w:p w14:paraId="0BAC8804" w14:textId="4D443FD6" w:rsidR="000852B4" w:rsidRDefault="00DF610A" w:rsidP="000852B4">
      <w:pPr>
        <w:textAlignment w:val="baseline"/>
        <w:rPr>
          <w:rFonts w:eastAsia="Times New Roman" w:cs="Arial"/>
          <w:lang w:eastAsia="en-GB"/>
        </w:rPr>
      </w:pPr>
      <w:r w:rsidRPr="00F451EF">
        <w:rPr>
          <w:rFonts w:eastAsia="Times New Roman" w:cs="Arial"/>
          <w:lang w:eastAsia="en-GB"/>
        </w:rPr>
        <w:t>We have few dealings with international transfers. However, advantages would be the ease of dealing with non-UK organisations in a more streamlined fashion and the confidence of knowing that standards are met despite having a different title. Disadvantages would be the necessity to have a broader understanding of what ingredients comprise of each singular accreditation per country/group of countries which could be overwhelming and confusing. There could be arguments too regarding the standards required per country/group of countries for comparison.</w:t>
      </w:r>
      <w:r w:rsidR="00A074B1">
        <w:rPr>
          <w:rFonts w:eastAsia="Times New Roman" w:cs="Arial"/>
          <w:lang w:eastAsia="en-GB"/>
        </w:rPr>
        <w:t xml:space="preserve">  </w:t>
      </w:r>
      <w:r w:rsidR="000852B4">
        <w:rPr>
          <w:rFonts w:eastAsia="Times New Roman" w:cs="Arial"/>
          <w:lang w:eastAsia="en-GB"/>
        </w:rPr>
        <w:t xml:space="preserve">  </w:t>
      </w:r>
    </w:p>
    <w:p w14:paraId="55D4EDE7" w14:textId="529B8369" w:rsidR="00C44501" w:rsidRPr="00225844" w:rsidRDefault="00DF610A" w:rsidP="008B260F">
      <w:pPr>
        <w:pStyle w:val="Heading3"/>
        <w:rPr>
          <w:lang w:eastAsia="en-GB"/>
        </w:rPr>
      </w:pPr>
      <w:r w:rsidRPr="00225844">
        <w:rPr>
          <w:lang w:eastAsia="en-GB"/>
        </w:rPr>
        <w:t>Q3.4.4.</w:t>
      </w:r>
      <w:r w:rsidR="00A074B1">
        <w:rPr>
          <w:lang w:eastAsia="en-GB"/>
        </w:rPr>
        <w:t xml:space="preserve"> </w:t>
      </w:r>
      <w:r w:rsidRPr="00225844">
        <w:rPr>
          <w:lang w:eastAsia="en-GB"/>
        </w:rPr>
        <w:t>Are there any other changes to certifications that would improve them as an international transfer tool?</w:t>
      </w:r>
      <w:r w:rsidR="00A074B1">
        <w:rPr>
          <w:lang w:eastAsia="en-GB"/>
        </w:rPr>
        <w:t xml:space="preserve">  </w:t>
      </w:r>
    </w:p>
    <w:p w14:paraId="64B79600" w14:textId="5B9E1A6F"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An assessment needs to be</w:t>
      </w:r>
      <w:r w:rsidR="00A074B1">
        <w:rPr>
          <w:rFonts w:eastAsia="Times New Roman" w:cs="Arial"/>
          <w:lang w:eastAsia="en-GB"/>
        </w:rPr>
        <w:t xml:space="preserve"> </w:t>
      </w:r>
      <w:r w:rsidRPr="00F451EF">
        <w:rPr>
          <w:rFonts w:eastAsia="Times New Roman" w:cs="Arial"/>
          <w:lang w:eastAsia="en-GB"/>
        </w:rPr>
        <w:t>made</w:t>
      </w:r>
      <w:r w:rsidR="00A074B1">
        <w:rPr>
          <w:rFonts w:eastAsia="Times New Roman" w:cs="Arial"/>
          <w:lang w:eastAsia="en-GB"/>
        </w:rPr>
        <w:t xml:space="preserve"> </w:t>
      </w:r>
      <w:r w:rsidRPr="00F451EF">
        <w:rPr>
          <w:rFonts w:eastAsia="Times New Roman" w:cs="Arial"/>
          <w:lang w:eastAsia="en-GB"/>
        </w:rPr>
        <w:t>around standards in this area, by the Cabinet office/GDS.</w:t>
      </w:r>
      <w:r w:rsidR="00A074B1">
        <w:rPr>
          <w:rFonts w:eastAsia="Times New Roman" w:cs="Arial"/>
          <w:lang w:eastAsia="en-GB"/>
        </w:rPr>
        <w:t xml:space="preserve">  </w:t>
      </w:r>
    </w:p>
    <w:p w14:paraId="61D3638A" w14:textId="6676B10B" w:rsidR="00C44501" w:rsidRPr="00225844" w:rsidRDefault="00DF610A" w:rsidP="008B260F">
      <w:pPr>
        <w:pStyle w:val="Heading2"/>
        <w:rPr>
          <w:lang w:eastAsia="en-GB"/>
        </w:rPr>
      </w:pPr>
      <w:r w:rsidRPr="00225844">
        <w:rPr>
          <w:lang w:eastAsia="en-GB"/>
        </w:rPr>
        <w:t>3.5 Derogations </w:t>
      </w:r>
      <w:r w:rsidR="00A074B1">
        <w:rPr>
          <w:lang w:eastAsia="en-GB"/>
        </w:rPr>
        <w:t xml:space="preserve"> </w:t>
      </w:r>
    </w:p>
    <w:p w14:paraId="059E8DA9" w14:textId="62AE471C" w:rsidR="00C44501" w:rsidRPr="00225844" w:rsidRDefault="00DF610A" w:rsidP="008B260F">
      <w:pPr>
        <w:pStyle w:val="Heading3"/>
        <w:rPr>
          <w:lang w:eastAsia="en-GB"/>
        </w:rPr>
      </w:pPr>
      <w:r w:rsidRPr="00225844">
        <w:rPr>
          <w:lang w:eastAsia="en-GB"/>
        </w:rPr>
        <w:t>Q3.5.1.</w:t>
      </w:r>
      <w:r w:rsidR="00A074B1">
        <w:rPr>
          <w:lang w:eastAsia="en-GB"/>
        </w:rPr>
        <w:t xml:space="preserve"> </w:t>
      </w:r>
      <w:r w:rsidRPr="00225844">
        <w:rPr>
          <w:lang w:eastAsia="en-GB"/>
        </w:rPr>
        <w:t>To what extent do you agree that the proposal described in paragraph 270 represents a proportionate increase in flexibility that will benefit UK organisations without unduly undermining data protection standards?</w:t>
      </w:r>
      <w:r w:rsidR="00A074B1">
        <w:rPr>
          <w:lang w:eastAsia="en-GB"/>
        </w:rPr>
        <w:t xml:space="preserve">  </w:t>
      </w:r>
    </w:p>
    <w:p w14:paraId="49B425F3" w14:textId="77777777"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Neither Agree nor Disagree</w:t>
      </w:r>
    </w:p>
    <w:p w14:paraId="42950B4E" w14:textId="7E0A6FF5" w:rsidR="00C44501" w:rsidRPr="00225844" w:rsidRDefault="00DF610A" w:rsidP="008B260F">
      <w:pPr>
        <w:pStyle w:val="Heading4"/>
        <w:rPr>
          <w:lang w:eastAsia="en-GB"/>
        </w:rPr>
      </w:pPr>
      <w:r w:rsidRPr="00225844">
        <w:rPr>
          <w:lang w:eastAsia="en-GB"/>
        </w:rPr>
        <w:t>Q3.5.1a.</w:t>
      </w:r>
      <w:r w:rsidR="00A074B1">
        <w:rPr>
          <w:lang w:eastAsia="en-GB"/>
        </w:rPr>
        <w:t xml:space="preserve"> </w:t>
      </w:r>
      <w:r w:rsidRPr="00225844">
        <w:rPr>
          <w:lang w:eastAsia="en-GB"/>
        </w:rPr>
        <w:t>Please explain your</w:t>
      </w:r>
      <w:r w:rsidR="00A074B1">
        <w:rPr>
          <w:lang w:eastAsia="en-GB"/>
        </w:rPr>
        <w:t xml:space="preserve"> </w:t>
      </w:r>
      <w:r w:rsidR="000852B4" w:rsidRPr="00225844">
        <w:rPr>
          <w:lang w:eastAsia="en-GB"/>
        </w:rPr>
        <w:t>answer and</w:t>
      </w:r>
      <w:r w:rsidR="00A074B1">
        <w:rPr>
          <w:lang w:eastAsia="en-GB"/>
        </w:rPr>
        <w:t xml:space="preserve"> </w:t>
      </w:r>
      <w:r w:rsidRPr="00225844">
        <w:rPr>
          <w:lang w:eastAsia="en-GB"/>
        </w:rPr>
        <w:t>provide supporting evidence where possible.</w:t>
      </w:r>
      <w:r w:rsidR="00A074B1">
        <w:rPr>
          <w:lang w:eastAsia="en-GB"/>
        </w:rPr>
        <w:t xml:space="preserve">  </w:t>
      </w:r>
    </w:p>
    <w:p w14:paraId="1EB7DCD7" w14:textId="74928395" w:rsidR="00C44501" w:rsidRPr="00F451EF" w:rsidRDefault="00DF610A" w:rsidP="000852B4">
      <w:pPr>
        <w:textAlignment w:val="baseline"/>
        <w:rPr>
          <w:rFonts w:eastAsia="Times New Roman" w:cs="Arial"/>
          <w:lang w:eastAsia="en-GB"/>
        </w:rPr>
      </w:pPr>
      <w:r w:rsidRPr="00F451EF">
        <w:rPr>
          <w:rFonts w:eastAsia="Times New Roman" w:cs="Arial"/>
          <w:lang w:eastAsia="en-GB"/>
        </w:rPr>
        <w:t>Derogations can be a necessary tool when a situation cannot be resolved by other</w:t>
      </w:r>
      <w:r w:rsidR="00A074B1">
        <w:rPr>
          <w:rFonts w:eastAsia="Times New Roman" w:cs="Arial"/>
          <w:lang w:eastAsia="en-GB"/>
        </w:rPr>
        <w:t xml:space="preserve"> </w:t>
      </w:r>
      <w:r w:rsidRPr="00F451EF">
        <w:rPr>
          <w:rFonts w:eastAsia="Times New Roman" w:cs="Arial"/>
          <w:lang w:eastAsia="en-GB"/>
        </w:rPr>
        <w:t>available</w:t>
      </w:r>
      <w:r w:rsidR="00A074B1">
        <w:rPr>
          <w:rFonts w:eastAsia="Times New Roman" w:cs="Arial"/>
          <w:lang w:eastAsia="en-GB"/>
        </w:rPr>
        <w:t xml:space="preserve"> </w:t>
      </w:r>
      <w:r w:rsidRPr="00F451EF">
        <w:rPr>
          <w:rFonts w:eastAsia="Times New Roman" w:cs="Arial"/>
          <w:lang w:eastAsia="en-GB"/>
        </w:rPr>
        <w:t>means and providing there is no systemic abuse of the repeated use of derogations and that their use is 100% for the benefit of the data subject/s then a more flexible approach to their use appears common sense.</w:t>
      </w:r>
      <w:r w:rsidR="00A074B1">
        <w:rPr>
          <w:rFonts w:eastAsia="Times New Roman" w:cs="Arial"/>
          <w:lang w:eastAsia="en-GB"/>
        </w:rPr>
        <w:t xml:space="preserve"> </w:t>
      </w:r>
      <w:r w:rsidRPr="00F451EF">
        <w:rPr>
          <w:rFonts w:eastAsia="Times New Roman" w:cs="Arial"/>
          <w:lang w:eastAsia="en-GB"/>
        </w:rPr>
        <w:t>However, we would question its desirability if organisations were found to be using derogations on a frequent basis.</w:t>
      </w:r>
      <w:r w:rsidR="00A074B1">
        <w:rPr>
          <w:rFonts w:eastAsia="Times New Roman" w:cs="Arial"/>
          <w:lang w:eastAsia="en-GB"/>
        </w:rPr>
        <w:t xml:space="preserve">  </w:t>
      </w:r>
    </w:p>
    <w:p w14:paraId="248E8745" w14:textId="0C79648D" w:rsidR="00C44501" w:rsidRPr="00F451EF" w:rsidRDefault="00DF610A" w:rsidP="000852B4">
      <w:pPr>
        <w:textAlignment w:val="baseline"/>
        <w:rPr>
          <w:rFonts w:eastAsia="Times New Roman" w:cs="Arial"/>
          <w:sz w:val="22"/>
          <w:lang w:eastAsia="en-GB"/>
        </w:rPr>
      </w:pPr>
      <w:r w:rsidRPr="00F451EF">
        <w:rPr>
          <w:rFonts w:eastAsia="Times New Roman" w:cs="Arial"/>
          <w:lang w:eastAsia="en-GB"/>
        </w:rPr>
        <w:t>These would probably still be necessary especially in urgent situations, such as vital interests, but</w:t>
      </w:r>
      <w:r w:rsidR="00A074B1">
        <w:rPr>
          <w:rFonts w:eastAsia="Times New Roman" w:cs="Arial"/>
          <w:lang w:eastAsia="en-GB"/>
        </w:rPr>
        <w:t xml:space="preserve"> </w:t>
      </w:r>
      <w:r w:rsidRPr="00F451EF">
        <w:rPr>
          <w:rFonts w:eastAsia="Times New Roman" w:cs="Arial"/>
          <w:lang w:eastAsia="en-GB"/>
        </w:rPr>
        <w:t>should be limited and not encouraged.</w:t>
      </w:r>
      <w:r w:rsidR="00A074B1">
        <w:rPr>
          <w:rFonts w:eastAsia="Times New Roman" w:cs="Arial"/>
          <w:lang w:eastAsia="en-GB"/>
        </w:rPr>
        <w:t xml:space="preserve"> </w:t>
      </w:r>
      <w:r w:rsidRPr="00F451EF">
        <w:rPr>
          <w:rFonts w:eastAsia="Times New Roman" w:cs="Arial"/>
          <w:lang w:eastAsia="en-GB"/>
        </w:rPr>
        <w:t xml:space="preserve"> Thresholds need to be better understood</w:t>
      </w:r>
      <w:r w:rsidR="00A074B1">
        <w:rPr>
          <w:rFonts w:eastAsia="Times New Roman" w:cs="Arial"/>
          <w:lang w:eastAsia="en-GB"/>
        </w:rPr>
        <w:t xml:space="preserve"> </w:t>
      </w:r>
      <w:r w:rsidRPr="00F451EF">
        <w:rPr>
          <w:rFonts w:eastAsia="Times New Roman" w:cs="Arial"/>
          <w:lang w:eastAsia="en-GB"/>
        </w:rPr>
        <w:t>as this may /</w:t>
      </w:r>
      <w:r w:rsidR="00A074B1">
        <w:rPr>
          <w:rFonts w:eastAsia="Times New Roman" w:cs="Arial"/>
          <w:lang w:eastAsia="en-GB"/>
        </w:rPr>
        <w:t xml:space="preserve"> </w:t>
      </w:r>
      <w:r w:rsidRPr="00F451EF">
        <w:rPr>
          <w:rFonts w:eastAsia="Times New Roman" w:cs="Arial"/>
          <w:lang w:eastAsia="en-GB"/>
        </w:rPr>
        <w:t>may not</w:t>
      </w:r>
      <w:r w:rsidR="00A074B1">
        <w:rPr>
          <w:rFonts w:eastAsia="Times New Roman" w:cs="Arial"/>
          <w:lang w:eastAsia="en-GB"/>
        </w:rPr>
        <w:t xml:space="preserve"> </w:t>
      </w:r>
      <w:r w:rsidRPr="00F451EF">
        <w:rPr>
          <w:rFonts w:eastAsia="Times New Roman" w:cs="Arial"/>
          <w:lang w:eastAsia="en-GB"/>
        </w:rPr>
        <w:t>undermine data protection standards.</w:t>
      </w:r>
      <w:r w:rsidR="00A074B1">
        <w:rPr>
          <w:rFonts w:eastAsia="Times New Roman" w:cs="Arial"/>
          <w:lang w:eastAsia="en-GB"/>
        </w:rPr>
        <w:t xml:space="preserve">  </w:t>
      </w:r>
    </w:p>
    <w:p w14:paraId="06A02F60" w14:textId="0440935B" w:rsidR="00C44501" w:rsidRPr="00225844" w:rsidRDefault="00DF610A" w:rsidP="008B260F">
      <w:pPr>
        <w:pStyle w:val="Heading2"/>
        <w:rPr>
          <w:lang w:eastAsia="en-GB"/>
        </w:rPr>
      </w:pPr>
      <w:r w:rsidRPr="00225844">
        <w:rPr>
          <w:lang w:eastAsia="en-GB"/>
        </w:rPr>
        <w:t>3.6 Further Questions </w:t>
      </w:r>
      <w:r w:rsidR="00A074B1">
        <w:rPr>
          <w:lang w:eastAsia="en-GB"/>
        </w:rPr>
        <w:t xml:space="preserve"> </w:t>
      </w:r>
    </w:p>
    <w:p w14:paraId="4A4631E4" w14:textId="34DD0942" w:rsidR="00C44501" w:rsidRPr="00225844" w:rsidRDefault="00DF610A" w:rsidP="008B260F">
      <w:pPr>
        <w:pStyle w:val="Heading3"/>
        <w:rPr>
          <w:lang w:eastAsia="en-GB"/>
        </w:rPr>
      </w:pPr>
      <w:r w:rsidRPr="00225844">
        <w:rPr>
          <w:lang w:eastAsia="en-GB"/>
        </w:rPr>
        <w:t>Q3.6.1.</w:t>
      </w:r>
      <w:r w:rsidR="00A074B1">
        <w:rPr>
          <w:lang w:eastAsia="en-GB"/>
        </w:rPr>
        <w:t xml:space="preserve"> </w:t>
      </w:r>
      <w:r w:rsidRPr="00225844">
        <w:rPr>
          <w:lang w:eastAsia="en-GB"/>
        </w:rPr>
        <w:t>The proposals in this chapter build on the responses to the National Data Strategy consultation. The Government is considering all reform options in the round and will carefully evaluate responses to this consultation. The Government would welcome any additional general</w:t>
      </w:r>
      <w:r w:rsidR="00A074B1">
        <w:rPr>
          <w:lang w:eastAsia="en-GB"/>
        </w:rPr>
        <w:t xml:space="preserve"> </w:t>
      </w:r>
      <w:r w:rsidRPr="00225844">
        <w:rPr>
          <w:lang w:eastAsia="en-GB"/>
        </w:rPr>
        <w:t>comments from respondents about changes the UK could make to improve its international data transfer regime for data subjects and organisations.</w:t>
      </w:r>
      <w:r w:rsidR="00A074B1">
        <w:rPr>
          <w:lang w:eastAsia="en-GB"/>
        </w:rPr>
        <w:t xml:space="preserve">  </w:t>
      </w:r>
    </w:p>
    <w:p w14:paraId="2AF39E13" w14:textId="4C97B636" w:rsidR="00C44501" w:rsidRPr="00F451EF" w:rsidRDefault="00DF610A" w:rsidP="000852B4">
      <w:pPr>
        <w:textAlignment w:val="baseline"/>
        <w:rPr>
          <w:rFonts w:eastAsia="Times New Roman" w:cs="Arial"/>
          <w:lang w:eastAsia="en-GB"/>
        </w:rPr>
      </w:pPr>
      <w:r w:rsidRPr="00F451EF">
        <w:rPr>
          <w:rFonts w:eastAsia="Times New Roman" w:cs="Arial"/>
          <w:lang w:eastAsia="en-GB"/>
        </w:rPr>
        <w:t>There needs to be a recognition that to do this adequately will need sufficient regulation.</w:t>
      </w:r>
      <w:r w:rsidR="00A074B1">
        <w:rPr>
          <w:rFonts w:eastAsia="Times New Roman" w:cs="Arial"/>
          <w:lang w:eastAsia="en-GB"/>
        </w:rPr>
        <w:t xml:space="preserve"> </w:t>
      </w:r>
      <w:r w:rsidRPr="00F451EF">
        <w:rPr>
          <w:rFonts w:eastAsia="Times New Roman" w:cs="Arial"/>
          <w:lang w:eastAsia="en-GB"/>
        </w:rPr>
        <w:t xml:space="preserve"> The regulator needs to be responsible and ethical and responsive.</w:t>
      </w:r>
      <w:r w:rsidR="00A074B1">
        <w:rPr>
          <w:rFonts w:eastAsia="Times New Roman" w:cs="Arial"/>
          <w:lang w:eastAsia="en-GB"/>
        </w:rPr>
        <w:t xml:space="preserve">    </w:t>
      </w:r>
      <w:r w:rsidRPr="00F451EF">
        <w:rPr>
          <w:rFonts w:eastAsia="Times New Roman" w:cs="Arial"/>
          <w:lang w:eastAsia="en-GB"/>
        </w:rPr>
        <w:t>Failure to do this could result in significant harm to</w:t>
      </w:r>
      <w:r w:rsidR="00A074B1">
        <w:rPr>
          <w:rFonts w:eastAsia="Times New Roman" w:cs="Arial"/>
          <w:lang w:eastAsia="en-GB"/>
        </w:rPr>
        <w:t xml:space="preserve"> </w:t>
      </w:r>
      <w:r w:rsidRPr="00F451EF">
        <w:rPr>
          <w:rFonts w:eastAsia="Times New Roman" w:cs="Arial"/>
          <w:lang w:eastAsia="en-GB"/>
        </w:rPr>
        <w:t>individuals.</w:t>
      </w:r>
      <w:r w:rsidR="00A074B1">
        <w:rPr>
          <w:rFonts w:eastAsia="Times New Roman" w:cs="Arial"/>
          <w:lang w:eastAsia="en-GB"/>
        </w:rPr>
        <w:t xml:space="preserve">   </w:t>
      </w:r>
    </w:p>
    <w:p w14:paraId="3A1F463E" w14:textId="2C36A7BA" w:rsidR="00C44501" w:rsidRPr="00225844" w:rsidRDefault="00DF610A" w:rsidP="008B260F">
      <w:pPr>
        <w:pStyle w:val="Heading3"/>
        <w:rPr>
          <w:lang w:eastAsia="en-GB"/>
        </w:rPr>
      </w:pPr>
      <w:r w:rsidRPr="00225844">
        <w:rPr>
          <w:lang w:eastAsia="en-GB"/>
        </w:rPr>
        <w:t>Q3.6.2.</w:t>
      </w:r>
      <w:r w:rsidR="00A074B1">
        <w:rPr>
          <w:lang w:eastAsia="en-GB"/>
        </w:rPr>
        <w:t xml:space="preserve"> </w:t>
      </w:r>
      <w:r w:rsidRPr="00225844">
        <w:rPr>
          <w:lang w:eastAsia="en-GB"/>
        </w:rPr>
        <w:t>In your view, which, if any, of the proposals in ‘Boosting Trade and Reducing Barriers to Data Flows’ would impact on people who identify with the protected characteristics under the Equality Act 2010 (i.e.</w:t>
      </w:r>
      <w:r w:rsidR="00A074B1">
        <w:rPr>
          <w:lang w:eastAsia="en-GB"/>
        </w:rPr>
        <w:t xml:space="preserve"> </w:t>
      </w:r>
      <w:r w:rsidRPr="00225844">
        <w:rPr>
          <w:lang w:eastAsia="en-GB"/>
        </w:rPr>
        <w:t>age, disability, gender reassignment, marriage and civil partnership, pregnancy and maternity, race, religion or belief, sex and sexual orientation)?</w:t>
      </w:r>
      <w:r w:rsidR="00A074B1">
        <w:rPr>
          <w:lang w:eastAsia="en-GB"/>
        </w:rPr>
        <w:t xml:space="preserve">  </w:t>
      </w:r>
    </w:p>
    <w:p w14:paraId="2FB6C014" w14:textId="1DB36AF5"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A lot of sensitive data is sensitive outside of reasons in data protection.</w:t>
      </w:r>
      <w:r w:rsidR="00A074B1">
        <w:rPr>
          <w:rFonts w:eastAsia="Times New Roman" w:cs="Arial"/>
          <w:lang w:eastAsia="en-GB"/>
        </w:rPr>
        <w:t xml:space="preserve"> </w:t>
      </w:r>
      <w:r w:rsidRPr="00F451EF">
        <w:rPr>
          <w:rFonts w:eastAsia="Times New Roman" w:cs="Arial"/>
          <w:lang w:eastAsia="en-GB"/>
        </w:rPr>
        <w:t>This section focuses on making</w:t>
      </w:r>
      <w:r w:rsidR="00A074B1">
        <w:rPr>
          <w:rFonts w:eastAsia="Times New Roman" w:cs="Arial"/>
          <w:lang w:eastAsia="en-GB"/>
        </w:rPr>
        <w:t xml:space="preserve"> </w:t>
      </w:r>
      <w:r w:rsidRPr="00F451EF">
        <w:rPr>
          <w:rFonts w:eastAsia="Times New Roman" w:cs="Arial"/>
          <w:lang w:eastAsia="en-GB"/>
        </w:rPr>
        <w:t>flexible</w:t>
      </w:r>
      <w:r w:rsidR="00A074B1">
        <w:rPr>
          <w:rFonts w:eastAsia="Times New Roman" w:cs="Arial"/>
          <w:lang w:eastAsia="en-GB"/>
        </w:rPr>
        <w:t xml:space="preserve"> </w:t>
      </w:r>
      <w:r w:rsidRPr="00F451EF">
        <w:rPr>
          <w:rFonts w:eastAsia="Times New Roman" w:cs="Arial"/>
          <w:lang w:eastAsia="en-GB"/>
        </w:rPr>
        <w:t>legislation to allow transfer to adequate and non-adequate countries, dependent on legislation, accreditation etc. This translates</w:t>
      </w:r>
      <w:r w:rsidR="00A074B1">
        <w:rPr>
          <w:rFonts w:eastAsia="Times New Roman" w:cs="Arial"/>
          <w:lang w:eastAsia="en-GB"/>
        </w:rPr>
        <w:t xml:space="preserve"> </w:t>
      </w:r>
      <w:r w:rsidRPr="00F451EF">
        <w:rPr>
          <w:rFonts w:eastAsia="Times New Roman" w:cs="Arial"/>
          <w:lang w:eastAsia="en-GB"/>
        </w:rPr>
        <w:t>to an increase amount of extra-UK transfer. Protected characteristics may be violated or not on individual transfer, not as a whole, as this section (without reading the rest of the document) makes no reference to them. What does need to be considered, especially in</w:t>
      </w:r>
      <w:r w:rsidR="00A074B1">
        <w:rPr>
          <w:rFonts w:eastAsia="Times New Roman" w:cs="Arial"/>
          <w:lang w:eastAsia="en-GB"/>
        </w:rPr>
        <w:t xml:space="preserve"> </w:t>
      </w:r>
      <w:r w:rsidRPr="00F451EF">
        <w:rPr>
          <w:rFonts w:eastAsia="Times New Roman" w:cs="Arial"/>
          <w:u w:val="single"/>
          <w:lang w:eastAsia="en-GB"/>
        </w:rPr>
        <w:t>bespoke alternative transfers</w:t>
      </w:r>
      <w:r w:rsidR="00A074B1">
        <w:rPr>
          <w:rFonts w:eastAsia="Times New Roman" w:cs="Arial"/>
          <w:lang w:eastAsia="en-GB"/>
        </w:rPr>
        <w:t xml:space="preserve"> </w:t>
      </w:r>
      <w:r w:rsidRPr="00F451EF">
        <w:rPr>
          <w:rFonts w:eastAsia="Times New Roman" w:cs="Arial"/>
          <w:lang w:eastAsia="en-GB"/>
        </w:rPr>
        <w:t>are the cultural views of the country or organisation this information is being sent to, something which hasn’t been outlined.</w:t>
      </w:r>
      <w:r w:rsidR="00A074B1">
        <w:rPr>
          <w:rFonts w:eastAsia="Times New Roman" w:cs="Arial"/>
          <w:lang w:eastAsia="en-GB"/>
        </w:rPr>
        <w:t xml:space="preserve">  </w:t>
      </w:r>
    </w:p>
    <w:p w14:paraId="69995142" w14:textId="0FE5F55D"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Where this type of sensitive data is being exchanged, data protection</w:t>
      </w:r>
      <w:r w:rsidR="00A074B1">
        <w:rPr>
          <w:rFonts w:eastAsia="Times New Roman" w:cs="Arial"/>
          <w:lang w:eastAsia="en-GB"/>
        </w:rPr>
        <w:t xml:space="preserve"> </w:t>
      </w:r>
      <w:r w:rsidRPr="00F451EF">
        <w:rPr>
          <w:rFonts w:eastAsia="Times New Roman" w:cs="Arial"/>
          <w:lang w:eastAsia="en-GB"/>
        </w:rPr>
        <w:t>as a whole would</w:t>
      </w:r>
      <w:r w:rsidR="00A074B1">
        <w:rPr>
          <w:rFonts w:eastAsia="Times New Roman" w:cs="Arial"/>
          <w:lang w:eastAsia="en-GB"/>
        </w:rPr>
        <w:t xml:space="preserve"> </w:t>
      </w:r>
      <w:r w:rsidRPr="00F451EF">
        <w:rPr>
          <w:rFonts w:eastAsia="Times New Roman" w:cs="Arial"/>
          <w:lang w:eastAsia="en-GB"/>
        </w:rPr>
        <w:t>protect these more</w:t>
      </w:r>
      <w:r w:rsidR="00A074B1">
        <w:rPr>
          <w:rFonts w:eastAsia="Times New Roman" w:cs="Arial"/>
          <w:lang w:eastAsia="en-GB"/>
        </w:rPr>
        <w:t xml:space="preserve"> </w:t>
      </w:r>
      <w:r w:rsidRPr="00F451EF">
        <w:rPr>
          <w:rFonts w:eastAsia="Times New Roman" w:cs="Arial"/>
          <w:lang w:eastAsia="en-GB"/>
        </w:rPr>
        <w:t>as they are recognised as special category and requiring additional protection</w:t>
      </w:r>
      <w:r w:rsidR="00A074B1">
        <w:rPr>
          <w:rFonts w:eastAsia="Times New Roman" w:cs="Arial"/>
          <w:lang w:eastAsia="en-GB"/>
        </w:rPr>
        <w:t xml:space="preserve"> </w:t>
      </w:r>
      <w:r w:rsidRPr="00F451EF">
        <w:rPr>
          <w:rFonts w:eastAsia="Times New Roman" w:cs="Arial"/>
          <w:lang w:eastAsia="en-GB"/>
        </w:rPr>
        <w:t>already,</w:t>
      </w:r>
      <w:r w:rsidR="00A074B1">
        <w:rPr>
          <w:rFonts w:eastAsia="Times New Roman" w:cs="Arial"/>
          <w:lang w:eastAsia="en-GB"/>
        </w:rPr>
        <w:t xml:space="preserve"> </w:t>
      </w:r>
      <w:r w:rsidRPr="00F451EF">
        <w:rPr>
          <w:rFonts w:eastAsia="Times New Roman" w:cs="Arial"/>
          <w:lang w:eastAsia="en-GB"/>
        </w:rPr>
        <w:t>so these characteristics are implicitly</w:t>
      </w:r>
      <w:r w:rsidR="00A074B1">
        <w:rPr>
          <w:rFonts w:eastAsia="Times New Roman" w:cs="Arial"/>
          <w:lang w:eastAsia="en-GB"/>
        </w:rPr>
        <w:t xml:space="preserve"> </w:t>
      </w:r>
      <w:r w:rsidRPr="00F451EF">
        <w:rPr>
          <w:rFonts w:eastAsia="Times New Roman" w:cs="Arial"/>
          <w:lang w:eastAsia="en-GB"/>
        </w:rPr>
        <w:t>taken into account</w:t>
      </w:r>
      <w:r w:rsidR="00A074B1">
        <w:rPr>
          <w:rFonts w:eastAsia="Times New Roman" w:cs="Arial"/>
          <w:lang w:eastAsia="en-GB"/>
        </w:rPr>
        <w:t xml:space="preserve"> </w:t>
      </w:r>
      <w:r w:rsidRPr="00F451EF">
        <w:rPr>
          <w:rFonts w:eastAsia="Times New Roman" w:cs="Arial"/>
          <w:lang w:eastAsia="en-GB"/>
        </w:rPr>
        <w:t>and there</w:t>
      </w:r>
      <w:r w:rsidR="00A074B1">
        <w:rPr>
          <w:rFonts w:eastAsia="Times New Roman" w:cs="Arial"/>
          <w:lang w:eastAsia="en-GB"/>
        </w:rPr>
        <w:t xml:space="preserve"> </w:t>
      </w:r>
      <w:r w:rsidRPr="00F451EF">
        <w:rPr>
          <w:rFonts w:eastAsia="Times New Roman" w:cs="Arial"/>
          <w:lang w:eastAsia="en-GB"/>
        </w:rPr>
        <w:t>is no greater</w:t>
      </w:r>
      <w:r w:rsidR="00A074B1">
        <w:rPr>
          <w:rFonts w:eastAsia="Times New Roman" w:cs="Arial"/>
          <w:lang w:eastAsia="en-GB"/>
        </w:rPr>
        <w:t xml:space="preserve"> </w:t>
      </w:r>
      <w:r w:rsidRPr="00F451EF">
        <w:rPr>
          <w:rFonts w:eastAsia="Times New Roman" w:cs="Arial"/>
          <w:lang w:eastAsia="en-GB"/>
        </w:rPr>
        <w:t>or lesser impact. Perhaps emphasis needs to be placed on the need to consider extra safeguards and that the risks</w:t>
      </w:r>
      <w:r w:rsidR="00A074B1">
        <w:rPr>
          <w:rFonts w:eastAsia="Times New Roman" w:cs="Arial"/>
          <w:lang w:eastAsia="en-GB"/>
        </w:rPr>
        <w:t xml:space="preserve"> </w:t>
      </w:r>
      <w:r w:rsidRPr="00F451EF">
        <w:rPr>
          <w:rFonts w:eastAsia="Times New Roman" w:cs="Arial"/>
          <w:lang w:eastAsia="en-GB"/>
        </w:rPr>
        <w:t>would be greater, because the harm would be greater, when engaging in transfers</w:t>
      </w:r>
      <w:r w:rsidR="00A074B1">
        <w:rPr>
          <w:rFonts w:eastAsia="Times New Roman" w:cs="Arial"/>
          <w:lang w:eastAsia="en-GB"/>
        </w:rPr>
        <w:t xml:space="preserve"> </w:t>
      </w:r>
      <w:r w:rsidRPr="00F451EF">
        <w:rPr>
          <w:rFonts w:eastAsia="Times New Roman" w:cs="Arial"/>
          <w:lang w:eastAsia="en-GB"/>
        </w:rPr>
        <w:t>involving data</w:t>
      </w:r>
      <w:r w:rsidR="00A074B1">
        <w:rPr>
          <w:rFonts w:eastAsia="Times New Roman" w:cs="Arial"/>
          <w:lang w:eastAsia="en-GB"/>
        </w:rPr>
        <w:t xml:space="preserve"> </w:t>
      </w:r>
      <w:r w:rsidRPr="00F451EF">
        <w:rPr>
          <w:rFonts w:eastAsia="Times New Roman" w:cs="Arial"/>
          <w:lang w:eastAsia="en-GB"/>
        </w:rPr>
        <w:t>of this nature.</w:t>
      </w:r>
      <w:r w:rsidR="00A074B1">
        <w:rPr>
          <w:rFonts w:eastAsia="Times New Roman" w:cs="Arial"/>
          <w:lang w:eastAsia="en-GB"/>
        </w:rPr>
        <w:t xml:space="preserve">  </w:t>
      </w:r>
      <w:r w:rsidRPr="00F451EF">
        <w:rPr>
          <w:rFonts w:cs="Arial"/>
        </w:rPr>
        <w:br/>
      </w:r>
      <w:r w:rsidRPr="00F451EF">
        <w:rPr>
          <w:rFonts w:eastAsia="Times New Roman" w:cs="Arial"/>
          <w:lang w:eastAsia="en-GB"/>
        </w:rPr>
        <w:t>This will vary</w:t>
      </w:r>
      <w:r w:rsidR="00A074B1">
        <w:rPr>
          <w:rFonts w:eastAsia="Times New Roman" w:cs="Arial"/>
          <w:lang w:eastAsia="en-GB"/>
        </w:rPr>
        <w:t xml:space="preserve"> </w:t>
      </w:r>
      <w:r w:rsidRPr="00F451EF">
        <w:rPr>
          <w:rFonts w:eastAsia="Times New Roman" w:cs="Arial"/>
          <w:lang w:eastAsia="en-GB"/>
        </w:rPr>
        <w:t>depending</w:t>
      </w:r>
      <w:r w:rsidR="00A074B1">
        <w:rPr>
          <w:rFonts w:eastAsia="Times New Roman" w:cs="Arial"/>
          <w:lang w:eastAsia="en-GB"/>
        </w:rPr>
        <w:t xml:space="preserve"> </w:t>
      </w:r>
      <w:r w:rsidRPr="00F451EF">
        <w:rPr>
          <w:rFonts w:eastAsia="Times New Roman" w:cs="Arial"/>
          <w:lang w:eastAsia="en-GB"/>
        </w:rPr>
        <w:t>upon human rights of that</w:t>
      </w:r>
      <w:r w:rsidR="00A074B1">
        <w:rPr>
          <w:rFonts w:eastAsia="Times New Roman" w:cs="Arial"/>
          <w:lang w:eastAsia="en-GB"/>
        </w:rPr>
        <w:t xml:space="preserve"> </w:t>
      </w:r>
      <w:r w:rsidRPr="00F451EF">
        <w:rPr>
          <w:rFonts w:eastAsia="Times New Roman" w:cs="Arial"/>
          <w:lang w:eastAsia="en-GB"/>
        </w:rPr>
        <w:t>recipient</w:t>
      </w:r>
      <w:r w:rsidR="00A074B1">
        <w:rPr>
          <w:rFonts w:eastAsia="Times New Roman" w:cs="Arial"/>
          <w:lang w:eastAsia="en-GB"/>
        </w:rPr>
        <w:t xml:space="preserve"> </w:t>
      </w:r>
      <w:r w:rsidRPr="00F451EF">
        <w:rPr>
          <w:rFonts w:eastAsia="Times New Roman" w:cs="Arial"/>
          <w:lang w:eastAsia="en-GB"/>
        </w:rPr>
        <w:t>country. This will vary</w:t>
      </w:r>
      <w:r w:rsidR="00A074B1">
        <w:rPr>
          <w:rFonts w:eastAsia="Times New Roman" w:cs="Arial"/>
          <w:lang w:eastAsia="en-GB"/>
        </w:rPr>
        <w:t xml:space="preserve"> </w:t>
      </w:r>
      <w:r w:rsidRPr="00F451EF">
        <w:rPr>
          <w:rFonts w:eastAsia="Times New Roman" w:cs="Arial"/>
          <w:lang w:eastAsia="en-GB"/>
        </w:rPr>
        <w:t>and, in some instances,</w:t>
      </w:r>
      <w:r w:rsidR="00A074B1">
        <w:rPr>
          <w:rFonts w:eastAsia="Times New Roman" w:cs="Arial"/>
          <w:lang w:eastAsia="en-GB"/>
        </w:rPr>
        <w:t xml:space="preserve"> </w:t>
      </w:r>
      <w:r w:rsidRPr="00F451EF">
        <w:rPr>
          <w:rFonts w:eastAsia="Times New Roman" w:cs="Arial"/>
          <w:lang w:eastAsia="en-GB"/>
        </w:rPr>
        <w:t>require greater safeguards</w:t>
      </w:r>
      <w:r w:rsidR="00A074B1">
        <w:rPr>
          <w:rFonts w:eastAsia="Times New Roman" w:cs="Arial"/>
          <w:lang w:eastAsia="en-GB"/>
        </w:rPr>
        <w:t xml:space="preserve"> </w:t>
      </w:r>
      <w:r w:rsidRPr="00F451EF">
        <w:rPr>
          <w:rFonts w:eastAsia="Times New Roman" w:cs="Arial"/>
          <w:lang w:eastAsia="en-GB"/>
        </w:rPr>
        <w:t>especially if that individual was born in</w:t>
      </w:r>
      <w:r w:rsidR="00A074B1">
        <w:rPr>
          <w:rFonts w:eastAsia="Times New Roman" w:cs="Arial"/>
          <w:lang w:eastAsia="en-GB"/>
        </w:rPr>
        <w:t xml:space="preserve"> </w:t>
      </w:r>
      <w:r w:rsidRPr="00F451EF">
        <w:rPr>
          <w:rFonts w:eastAsia="Times New Roman" w:cs="Arial"/>
          <w:lang w:eastAsia="en-GB"/>
        </w:rPr>
        <w:t>that</w:t>
      </w:r>
      <w:r w:rsidR="00A074B1">
        <w:rPr>
          <w:rFonts w:eastAsia="Times New Roman" w:cs="Arial"/>
          <w:lang w:eastAsia="en-GB"/>
        </w:rPr>
        <w:t xml:space="preserve"> </w:t>
      </w:r>
      <w:r w:rsidRPr="00F451EF">
        <w:rPr>
          <w:rFonts w:eastAsia="Times New Roman" w:cs="Arial"/>
          <w:lang w:eastAsia="en-GB"/>
        </w:rPr>
        <w:t>recipient</w:t>
      </w:r>
      <w:r w:rsidR="00A074B1">
        <w:rPr>
          <w:rFonts w:eastAsia="Times New Roman" w:cs="Arial"/>
          <w:lang w:eastAsia="en-GB"/>
        </w:rPr>
        <w:t xml:space="preserve"> </w:t>
      </w:r>
      <w:r w:rsidRPr="00F451EF">
        <w:rPr>
          <w:rFonts w:eastAsia="Times New Roman" w:cs="Arial"/>
          <w:lang w:eastAsia="en-GB"/>
        </w:rPr>
        <w:t>country and then for whatever reason travels back.</w:t>
      </w:r>
      <w:r w:rsidR="00A074B1">
        <w:rPr>
          <w:rFonts w:eastAsia="Times New Roman" w:cs="Arial"/>
          <w:lang w:eastAsia="en-GB"/>
        </w:rPr>
        <w:t xml:space="preserve">  </w:t>
      </w:r>
    </w:p>
    <w:p w14:paraId="5EDAC0DE" w14:textId="4020F6C5" w:rsidR="00C44501" w:rsidRPr="00225844" w:rsidRDefault="00DF610A" w:rsidP="008B260F">
      <w:pPr>
        <w:pStyle w:val="Heading3"/>
        <w:rPr>
          <w:lang w:eastAsia="en-GB"/>
        </w:rPr>
      </w:pPr>
      <w:r w:rsidRPr="00225844">
        <w:rPr>
          <w:lang w:eastAsia="en-GB"/>
        </w:rPr>
        <w:t>Q3.6.3.</w:t>
      </w:r>
      <w:r w:rsidR="00A074B1">
        <w:rPr>
          <w:lang w:eastAsia="en-GB"/>
        </w:rPr>
        <w:t xml:space="preserve"> </w:t>
      </w:r>
      <w:r w:rsidRPr="00225844">
        <w:rPr>
          <w:lang w:eastAsia="en-GB"/>
        </w:rPr>
        <w:t>In addition to any of the reforms already proposed in ‘Boosting Trade and Reducing Barriers to Data Flows’ (or elsewhere in the consultation), what reforms do you think would be helpful to make the UK’s international transfer regime more user-friendly, effective or safer?</w:t>
      </w:r>
      <w:r w:rsidR="00A074B1">
        <w:rPr>
          <w:lang w:eastAsia="en-GB"/>
        </w:rPr>
        <w:t xml:space="preserve">  </w:t>
      </w:r>
    </w:p>
    <w:p w14:paraId="0F985345" w14:textId="0F58235A" w:rsidR="00C44501" w:rsidRPr="00F451EF" w:rsidRDefault="00DF610A" w:rsidP="000852B4">
      <w:pPr>
        <w:textAlignment w:val="baseline"/>
        <w:rPr>
          <w:rFonts w:eastAsia="Times New Roman" w:cs="Arial"/>
          <w:sz w:val="18"/>
          <w:szCs w:val="18"/>
          <w:lang w:eastAsia="en-GB"/>
        </w:rPr>
      </w:pPr>
      <w:r w:rsidRPr="00F451EF">
        <w:rPr>
          <w:rFonts w:eastAsia="Times New Roman" w:cs="Arial"/>
          <w:lang w:eastAsia="en-GB"/>
        </w:rPr>
        <w:t>Consider “non personal</w:t>
      </w:r>
      <w:r w:rsidR="00A074B1">
        <w:rPr>
          <w:rFonts w:eastAsia="Times New Roman" w:cs="Arial"/>
          <w:lang w:eastAsia="en-GB"/>
        </w:rPr>
        <w:t xml:space="preserve"> </w:t>
      </w:r>
      <w:r w:rsidRPr="00F451EF">
        <w:rPr>
          <w:rFonts w:eastAsia="Times New Roman" w:cs="Arial"/>
          <w:lang w:eastAsia="en-GB"/>
        </w:rPr>
        <w:t>data”,</w:t>
      </w:r>
      <w:r w:rsidR="00A074B1">
        <w:rPr>
          <w:rFonts w:eastAsia="Times New Roman" w:cs="Arial"/>
          <w:lang w:eastAsia="en-GB"/>
        </w:rPr>
        <w:t xml:space="preserve"> </w:t>
      </w:r>
      <w:r w:rsidRPr="00F451EF">
        <w:rPr>
          <w:rFonts w:eastAsia="Times New Roman" w:cs="Arial"/>
          <w:lang w:eastAsia="en-GB"/>
        </w:rPr>
        <w:t>the value of open data (public data) is still not where it could be in the sense of being able to</w:t>
      </w:r>
      <w:r w:rsidR="00A074B1">
        <w:rPr>
          <w:rFonts w:eastAsia="Times New Roman" w:cs="Arial"/>
          <w:lang w:eastAsia="en-GB"/>
        </w:rPr>
        <w:t xml:space="preserve"> </w:t>
      </w:r>
      <w:r w:rsidRPr="00F451EF">
        <w:rPr>
          <w:rFonts w:eastAsia="Times New Roman" w:cs="Arial"/>
          <w:lang w:eastAsia="en-GB"/>
        </w:rPr>
        <w:t>assist</w:t>
      </w:r>
      <w:r w:rsidR="00A074B1">
        <w:rPr>
          <w:rFonts w:eastAsia="Times New Roman" w:cs="Arial"/>
          <w:lang w:eastAsia="en-GB"/>
        </w:rPr>
        <w:t xml:space="preserve"> </w:t>
      </w:r>
      <w:r w:rsidRPr="00F451EF">
        <w:rPr>
          <w:rFonts w:eastAsia="Times New Roman" w:cs="Arial"/>
          <w:lang w:eastAsia="en-GB"/>
        </w:rPr>
        <w:t>transfers which</w:t>
      </w:r>
      <w:r w:rsidR="00A074B1">
        <w:rPr>
          <w:rFonts w:eastAsia="Times New Roman" w:cs="Arial"/>
          <w:lang w:eastAsia="en-GB"/>
        </w:rPr>
        <w:t xml:space="preserve"> </w:t>
      </w:r>
      <w:r w:rsidRPr="00F451EF">
        <w:rPr>
          <w:rFonts w:eastAsia="Times New Roman" w:cs="Arial"/>
          <w:lang w:eastAsia="en-GB"/>
        </w:rPr>
        <w:t>don’t</w:t>
      </w:r>
      <w:r w:rsidR="00A074B1">
        <w:rPr>
          <w:rFonts w:eastAsia="Times New Roman" w:cs="Arial"/>
          <w:lang w:eastAsia="en-GB"/>
        </w:rPr>
        <w:t xml:space="preserve"> </w:t>
      </w:r>
      <w:r w:rsidRPr="00F451EF">
        <w:rPr>
          <w:rFonts w:eastAsia="Times New Roman" w:cs="Arial"/>
          <w:lang w:eastAsia="en-GB"/>
        </w:rPr>
        <w:t>include personal data.</w:t>
      </w:r>
      <w:r w:rsidR="00A074B1">
        <w:rPr>
          <w:rFonts w:eastAsia="Times New Roman" w:cs="Arial"/>
          <w:lang w:eastAsia="en-GB"/>
        </w:rPr>
        <w:t xml:space="preserve">    </w:t>
      </w:r>
    </w:p>
    <w:p w14:paraId="02184DED" w14:textId="357EB96E" w:rsidR="00C44501" w:rsidRPr="00225844" w:rsidRDefault="00DF610A" w:rsidP="008B260F">
      <w:pPr>
        <w:pStyle w:val="Heading3"/>
        <w:rPr>
          <w:lang w:eastAsia="en-GB"/>
        </w:rPr>
      </w:pPr>
      <w:r w:rsidRPr="00225844">
        <w:rPr>
          <w:lang w:eastAsia="en-GB"/>
        </w:rPr>
        <w:t>End of chapter Q.</w:t>
      </w:r>
      <w:r w:rsidR="00A074B1">
        <w:rPr>
          <w:lang w:eastAsia="en-GB"/>
        </w:rPr>
        <w:t xml:space="preserve"> </w:t>
      </w:r>
      <w:r w:rsidRPr="00225844">
        <w:rPr>
          <w:lang w:eastAsia="en-GB"/>
        </w:rPr>
        <w:t>Do you have any general comments about this chapter not yet captured by your responses to the questions above?</w:t>
      </w:r>
      <w:r w:rsidR="00A074B1">
        <w:rPr>
          <w:lang w:eastAsia="en-GB"/>
        </w:rPr>
        <w:t xml:space="preserve">  </w:t>
      </w:r>
    </w:p>
    <w:p w14:paraId="2D0905B7" w14:textId="7C577232" w:rsidR="00C44501" w:rsidRPr="00F451EF" w:rsidRDefault="00DF610A" w:rsidP="000852B4">
      <w:pPr>
        <w:rPr>
          <w:rFonts w:cs="Arial"/>
        </w:rPr>
      </w:pPr>
      <w:r w:rsidRPr="00F451EF">
        <w:rPr>
          <w:rFonts w:eastAsia="Times New Roman" w:cs="Arial"/>
          <w:lang w:eastAsia="en-GB"/>
        </w:rPr>
        <w:t>Key is the balance between privacy</w:t>
      </w:r>
      <w:r w:rsidR="00A074B1">
        <w:rPr>
          <w:rFonts w:eastAsia="Times New Roman" w:cs="Arial"/>
          <w:lang w:eastAsia="en-GB"/>
        </w:rPr>
        <w:t xml:space="preserve"> </w:t>
      </w:r>
      <w:r w:rsidRPr="00F451EF">
        <w:rPr>
          <w:rFonts w:eastAsia="Times New Roman" w:cs="Arial"/>
          <w:lang w:eastAsia="en-GB"/>
        </w:rPr>
        <w:t>law,</w:t>
      </w:r>
      <w:r w:rsidR="00A074B1">
        <w:rPr>
          <w:rFonts w:eastAsia="Times New Roman" w:cs="Arial"/>
          <w:lang w:eastAsia="en-GB"/>
        </w:rPr>
        <w:t xml:space="preserve"> </w:t>
      </w:r>
      <w:r w:rsidRPr="00F451EF">
        <w:rPr>
          <w:rFonts w:eastAsia="Times New Roman" w:cs="Arial"/>
          <w:lang w:eastAsia="en-GB"/>
        </w:rPr>
        <w:t>common law, human rights and ethics.   A risk-based approach might make it easier to work with some other countries and international organisations, but a concern is risking the UK’s adequacy status with others.</w:t>
      </w:r>
      <w:r w:rsidR="00A074B1">
        <w:rPr>
          <w:rFonts w:eastAsia="Times New Roman" w:cs="Arial"/>
          <w:lang w:eastAsia="en-GB"/>
        </w:rPr>
        <w:t xml:space="preserve"> </w:t>
      </w:r>
    </w:p>
    <w:bookmarkEnd w:id="2"/>
    <w:bookmarkEnd w:id="1"/>
    <w:sectPr w:rsidR="00C44501" w:rsidRPr="00F451EF">
      <w:footerReference w:type="default" r:id="rId12"/>
      <w:pgSz w:w="11906" w:h="16838"/>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E3A9" w14:textId="77777777" w:rsidR="00C44501" w:rsidRDefault="00DF610A">
      <w:pPr>
        <w:spacing w:after="0" w:line="240" w:lineRule="auto"/>
      </w:pPr>
      <w:r>
        <w:separator/>
      </w:r>
    </w:p>
    <w:p w14:paraId="5BAF8AAF" w14:textId="77777777" w:rsidR="00C44501" w:rsidRDefault="00C44501"/>
    <w:p w14:paraId="78682F91" w14:textId="77777777" w:rsidR="00C44501" w:rsidRDefault="00C44501"/>
    <w:p w14:paraId="4FF5BF44" w14:textId="77777777" w:rsidR="00C44501" w:rsidRDefault="00C44501"/>
  </w:endnote>
  <w:endnote w:type="continuationSeparator" w:id="0">
    <w:p w14:paraId="170EA6DC" w14:textId="77777777" w:rsidR="00C44501" w:rsidRDefault="00DF610A">
      <w:pPr>
        <w:spacing w:after="0" w:line="240" w:lineRule="auto"/>
      </w:pPr>
      <w:r>
        <w:continuationSeparator/>
      </w:r>
    </w:p>
    <w:p w14:paraId="2823F175" w14:textId="77777777" w:rsidR="00C44501" w:rsidRDefault="00C44501"/>
    <w:p w14:paraId="05F2DD70" w14:textId="77777777" w:rsidR="00C44501" w:rsidRDefault="00C44501"/>
    <w:p w14:paraId="5125D38C" w14:textId="77777777" w:rsidR="00C44501" w:rsidRDefault="00C44501"/>
  </w:endnote>
  <w:endnote w:type="continuationNotice" w:id="1">
    <w:p w14:paraId="1031C7DC" w14:textId="77777777" w:rsidR="00C44501" w:rsidRDefault="00C44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355FB2D6" w14:textId="77777777" w:rsidR="00C44501" w:rsidRDefault="00DF610A">
        <w:pPr>
          <w:pStyle w:val="PageNumber1"/>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2B1D" w14:textId="77777777" w:rsidR="00C44501" w:rsidRDefault="00DF610A">
      <w:pPr>
        <w:pStyle w:val="NormalWeb"/>
        <w:keepLines w:val="0"/>
        <w:tabs>
          <w:tab w:val="center" w:pos="4513"/>
          <w:tab w:val="right" w:pos="9026"/>
        </w:tabs>
        <w:spacing w:before="120"/>
        <w:rPr>
          <w:rFonts w:ascii="Arial" w:eastAsiaTheme="minorHAnsi" w:hAnsi="Arial" w:cstheme="minorBidi"/>
          <w:color w:val="D5573B" w:themeColor="accent2"/>
          <w:sz w:val="24"/>
          <w:szCs w:val="22"/>
          <w:lang w:val="en-GB"/>
        </w:rPr>
      </w:pPr>
      <w:r>
        <w:rPr>
          <w:rFonts w:ascii="Arial" w:eastAsiaTheme="minorHAnsi" w:hAnsi="Arial" w:cstheme="minorBidi"/>
          <w:color w:val="D5573B" w:themeColor="accent2"/>
          <w:sz w:val="24"/>
          <w:szCs w:val="22"/>
          <w:lang w:val="en-GB"/>
        </w:rPr>
        <w:separator/>
      </w:r>
    </w:p>
    <w:p w14:paraId="296ED845" w14:textId="77777777" w:rsidR="00C44501" w:rsidRDefault="00C44501">
      <w:pPr>
        <w:pStyle w:val="NormalWeb"/>
        <w:keepLines w:val="0"/>
        <w:tabs>
          <w:tab w:val="center" w:pos="4513"/>
          <w:tab w:val="right" w:pos="9026"/>
        </w:tabs>
        <w:spacing w:before="120"/>
        <w:rPr>
          <w:rFonts w:ascii="Arial" w:eastAsiaTheme="minorHAnsi" w:hAnsi="Arial" w:cstheme="minorBidi"/>
          <w:color w:val="D5573B" w:themeColor="accent2"/>
          <w:sz w:val="24"/>
          <w:szCs w:val="22"/>
          <w:lang w:val="en-GB"/>
        </w:rPr>
      </w:pPr>
    </w:p>
  </w:footnote>
  <w:footnote w:type="continuationSeparator" w:id="0">
    <w:p w14:paraId="6658DF30" w14:textId="77777777" w:rsidR="00C44501" w:rsidRDefault="00DF610A">
      <w:pPr>
        <w:spacing w:after="0" w:line="240" w:lineRule="auto"/>
      </w:pPr>
      <w:r>
        <w:continuationSeparator/>
      </w:r>
    </w:p>
    <w:p w14:paraId="7A772520" w14:textId="77777777" w:rsidR="00C44501" w:rsidRDefault="00C44501"/>
    <w:p w14:paraId="47D84405" w14:textId="77777777" w:rsidR="00C44501" w:rsidRDefault="00C44501"/>
    <w:p w14:paraId="4EB65659" w14:textId="77777777" w:rsidR="00C44501" w:rsidRDefault="00C44501"/>
  </w:footnote>
  <w:footnote w:type="continuationNotice" w:id="1">
    <w:p w14:paraId="6A8C8918" w14:textId="77777777" w:rsidR="00C44501" w:rsidRDefault="00C445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5761B3"/>
    <w:multiLevelType w:val="hybridMultilevel"/>
    <w:tmpl w:val="9E8A8DB8"/>
    <w:lvl w:ilvl="0" w:tplc="581A6258">
      <w:start w:val="1"/>
      <w:numFmt w:val="bullet"/>
      <w:lvlText w:val=""/>
      <w:lvlJc w:val="left"/>
      <w:pPr>
        <w:ind w:left="360" w:hanging="360"/>
      </w:pPr>
      <w:rPr>
        <w:rFonts w:ascii="Symbol" w:hAnsi="Symbol" w:hint="default"/>
      </w:rPr>
    </w:lvl>
    <w:lvl w:ilvl="1" w:tplc="34EC8DB6">
      <w:start w:val="1"/>
      <w:numFmt w:val="bullet"/>
      <w:lvlText w:val="o"/>
      <w:lvlJc w:val="left"/>
      <w:pPr>
        <w:ind w:left="1080" w:hanging="360"/>
      </w:pPr>
      <w:rPr>
        <w:rFonts w:ascii="Courier New" w:hAnsi="Courier New" w:cs="Times New Roman" w:hint="default"/>
      </w:rPr>
    </w:lvl>
    <w:lvl w:ilvl="2" w:tplc="E61C7AB0">
      <w:start w:val="1"/>
      <w:numFmt w:val="bullet"/>
      <w:lvlText w:val=""/>
      <w:lvlJc w:val="left"/>
      <w:pPr>
        <w:ind w:left="1800" w:hanging="360"/>
      </w:pPr>
      <w:rPr>
        <w:rFonts w:ascii="Wingdings" w:hAnsi="Wingdings" w:hint="default"/>
      </w:rPr>
    </w:lvl>
    <w:lvl w:ilvl="3" w:tplc="33408FEC">
      <w:start w:val="1"/>
      <w:numFmt w:val="bullet"/>
      <w:lvlText w:val=""/>
      <w:lvlJc w:val="left"/>
      <w:pPr>
        <w:ind w:left="2520" w:hanging="360"/>
      </w:pPr>
      <w:rPr>
        <w:rFonts w:ascii="Symbol" w:hAnsi="Symbol" w:hint="default"/>
      </w:rPr>
    </w:lvl>
    <w:lvl w:ilvl="4" w:tplc="EF9CD672">
      <w:start w:val="1"/>
      <w:numFmt w:val="bullet"/>
      <w:lvlText w:val="o"/>
      <w:lvlJc w:val="left"/>
      <w:pPr>
        <w:ind w:left="3240" w:hanging="360"/>
      </w:pPr>
      <w:rPr>
        <w:rFonts w:ascii="Courier New" w:hAnsi="Courier New" w:cs="Times New Roman" w:hint="default"/>
      </w:rPr>
    </w:lvl>
    <w:lvl w:ilvl="5" w:tplc="4A565648">
      <w:start w:val="1"/>
      <w:numFmt w:val="bullet"/>
      <w:lvlText w:val=""/>
      <w:lvlJc w:val="left"/>
      <w:pPr>
        <w:ind w:left="3960" w:hanging="360"/>
      </w:pPr>
      <w:rPr>
        <w:rFonts w:ascii="Wingdings" w:hAnsi="Wingdings" w:hint="default"/>
      </w:rPr>
    </w:lvl>
    <w:lvl w:ilvl="6" w:tplc="63681E4C">
      <w:start w:val="1"/>
      <w:numFmt w:val="bullet"/>
      <w:lvlText w:val=""/>
      <w:lvlJc w:val="left"/>
      <w:pPr>
        <w:ind w:left="4680" w:hanging="360"/>
      </w:pPr>
      <w:rPr>
        <w:rFonts w:ascii="Symbol" w:hAnsi="Symbol" w:hint="default"/>
      </w:rPr>
    </w:lvl>
    <w:lvl w:ilvl="7" w:tplc="D212B05E">
      <w:start w:val="1"/>
      <w:numFmt w:val="bullet"/>
      <w:lvlText w:val="o"/>
      <w:lvlJc w:val="left"/>
      <w:pPr>
        <w:ind w:left="5400" w:hanging="360"/>
      </w:pPr>
      <w:rPr>
        <w:rFonts w:ascii="Courier New" w:hAnsi="Courier New" w:cs="Times New Roman" w:hint="default"/>
      </w:rPr>
    </w:lvl>
    <w:lvl w:ilvl="8" w:tplc="733EB590">
      <w:start w:val="1"/>
      <w:numFmt w:val="bullet"/>
      <w:lvlText w:val=""/>
      <w:lvlJc w:val="left"/>
      <w:pPr>
        <w:ind w:left="6120" w:hanging="360"/>
      </w:pPr>
      <w:rPr>
        <w:rFonts w:ascii="Wingdings" w:hAnsi="Wingdings" w:hint="default"/>
      </w:rPr>
    </w:lvl>
  </w:abstractNum>
  <w:abstractNum w:abstractNumId="2" w15:restartNumberingAfterBreak="0">
    <w:nsid w:val="6B706787"/>
    <w:multiLevelType w:val="hybridMultilevel"/>
    <w:tmpl w:val="F0F22C40"/>
    <w:lvl w:ilvl="0" w:tplc="02B4F1A4">
      <w:start w:val="1"/>
      <w:numFmt w:val="bullet"/>
      <w:lvlText w:val=""/>
      <w:lvlJc w:val="left"/>
      <w:pPr>
        <w:ind w:left="360" w:hanging="360"/>
      </w:pPr>
      <w:rPr>
        <w:rFonts w:ascii="Symbol" w:hAnsi="Symbol" w:hint="default"/>
      </w:rPr>
    </w:lvl>
    <w:lvl w:ilvl="1" w:tplc="E8443508">
      <w:start w:val="1"/>
      <w:numFmt w:val="bullet"/>
      <w:lvlText w:val="o"/>
      <w:lvlJc w:val="left"/>
      <w:pPr>
        <w:ind w:left="1080" w:hanging="360"/>
      </w:pPr>
      <w:rPr>
        <w:rFonts w:ascii="Courier New" w:hAnsi="Courier New" w:cs="Times New Roman" w:hint="default"/>
      </w:rPr>
    </w:lvl>
    <w:lvl w:ilvl="2" w:tplc="CDC0E6A8">
      <w:start w:val="1"/>
      <w:numFmt w:val="bullet"/>
      <w:lvlText w:val=""/>
      <w:lvlJc w:val="left"/>
      <w:pPr>
        <w:ind w:left="1800" w:hanging="360"/>
      </w:pPr>
      <w:rPr>
        <w:rFonts w:ascii="Wingdings" w:hAnsi="Wingdings" w:hint="default"/>
      </w:rPr>
    </w:lvl>
    <w:lvl w:ilvl="3" w:tplc="475E7528">
      <w:start w:val="1"/>
      <w:numFmt w:val="bullet"/>
      <w:lvlText w:val=""/>
      <w:lvlJc w:val="left"/>
      <w:pPr>
        <w:ind w:left="2520" w:hanging="360"/>
      </w:pPr>
      <w:rPr>
        <w:rFonts w:ascii="Symbol" w:hAnsi="Symbol" w:hint="default"/>
      </w:rPr>
    </w:lvl>
    <w:lvl w:ilvl="4" w:tplc="12CA4320">
      <w:start w:val="1"/>
      <w:numFmt w:val="bullet"/>
      <w:lvlText w:val="o"/>
      <w:lvlJc w:val="left"/>
      <w:pPr>
        <w:ind w:left="3240" w:hanging="360"/>
      </w:pPr>
      <w:rPr>
        <w:rFonts w:ascii="Courier New" w:hAnsi="Courier New" w:cs="Times New Roman" w:hint="default"/>
      </w:rPr>
    </w:lvl>
    <w:lvl w:ilvl="5" w:tplc="98A0E0D8">
      <w:start w:val="1"/>
      <w:numFmt w:val="bullet"/>
      <w:lvlText w:val=""/>
      <w:lvlJc w:val="left"/>
      <w:pPr>
        <w:ind w:left="3960" w:hanging="360"/>
      </w:pPr>
      <w:rPr>
        <w:rFonts w:ascii="Wingdings" w:hAnsi="Wingdings" w:hint="default"/>
      </w:rPr>
    </w:lvl>
    <w:lvl w:ilvl="6" w:tplc="49A2198E">
      <w:start w:val="1"/>
      <w:numFmt w:val="bullet"/>
      <w:lvlText w:val=""/>
      <w:lvlJc w:val="left"/>
      <w:pPr>
        <w:ind w:left="4680" w:hanging="360"/>
      </w:pPr>
      <w:rPr>
        <w:rFonts w:ascii="Symbol" w:hAnsi="Symbol" w:hint="default"/>
      </w:rPr>
    </w:lvl>
    <w:lvl w:ilvl="7" w:tplc="AB3A45C4">
      <w:start w:val="1"/>
      <w:numFmt w:val="bullet"/>
      <w:lvlText w:val="o"/>
      <w:lvlJc w:val="left"/>
      <w:pPr>
        <w:ind w:left="5400" w:hanging="360"/>
      </w:pPr>
      <w:rPr>
        <w:rFonts w:ascii="Courier New" w:hAnsi="Courier New" w:cs="Times New Roman" w:hint="default"/>
      </w:rPr>
    </w:lvl>
    <w:lvl w:ilvl="8" w:tplc="C9484FFC">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EF"/>
    <w:rsid w:val="000852B4"/>
    <w:rsid w:val="00225844"/>
    <w:rsid w:val="0053030C"/>
    <w:rsid w:val="008B260F"/>
    <w:rsid w:val="009770CF"/>
    <w:rsid w:val="00A074B1"/>
    <w:rsid w:val="00C44501"/>
    <w:rsid w:val="00D01EE1"/>
    <w:rsid w:val="00DF610A"/>
    <w:rsid w:val="00EA6BA0"/>
    <w:rsid w:val="00F451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D8D06"/>
  <w15:chartTrackingRefBased/>
  <w15:docId w15:val="{54789375-08CA-47F8-BF30-B5C9234E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color w:val="000000" w:themeColor="text1"/>
      <w:szCs w:val="22"/>
    </w:rPr>
  </w:style>
  <w:style w:type="paragraph" w:styleId="Heading1">
    <w:name w:val="heading 1"/>
    <w:basedOn w:val="Normal"/>
    <w:next w:val="Normal"/>
    <w:link w:val="Heading1Char"/>
    <w:autoRedefine/>
    <w:uiPriority w:val="9"/>
    <w:qFormat/>
    <w:rsid w:val="0053030C"/>
    <w:pPr>
      <w:keepNext/>
      <w:keepLines/>
      <w:spacing w:before="34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pPr>
      <w:spacing w:before="240" w:after="240" w:line="240" w:lineRule="auto"/>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pPr>
      <w:outlineLvl w:val="2"/>
    </w:pPr>
    <w:rPr>
      <w:b/>
      <w:bCs/>
      <w:sz w:val="36"/>
      <w:szCs w:val="28"/>
    </w:rPr>
  </w:style>
  <w:style w:type="paragraph" w:styleId="Heading4">
    <w:name w:val="heading 4"/>
    <w:basedOn w:val="Normal"/>
    <w:next w:val="Normal"/>
    <w:link w:val="Heading4Char"/>
    <w:autoRedefine/>
    <w:uiPriority w:val="9"/>
    <w:unhideWhenUsed/>
    <w:qFormat/>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semiHidden/>
    <w:unhideWhenUsed/>
    <w:qFormat/>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2C5060" w:themeColor="accent1"/>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sid w:val="0053030C"/>
    <w:rPr>
      <w:rFonts w:eastAsiaTheme="majorEastAsia" w:cs="Arial"/>
      <w:b/>
      <w:bCs/>
      <w:noProof/>
      <w:color w:val="FFFFFF" w:themeColor="background1"/>
      <w:sz w:val="72"/>
      <w:szCs w:val="40"/>
    </w:rPr>
  </w:style>
  <w:style w:type="character" w:customStyle="1" w:styleId="Heading2Char">
    <w:name w:val="Heading 2 Char"/>
    <w:basedOn w:val="DefaultParagraphFont"/>
    <w:link w:val="Heading2"/>
    <w:uiPriority w:val="9"/>
    <w:locked/>
    <w:rPr>
      <w:b/>
      <w:bCs/>
      <w:color w:val="2C5060" w:themeColor="accent1"/>
      <w:sz w:val="52"/>
      <w:szCs w:val="40"/>
    </w:rPr>
  </w:style>
  <w:style w:type="character" w:customStyle="1" w:styleId="Heading3Char">
    <w:name w:val="Heading 3 Char"/>
    <w:basedOn w:val="DefaultParagraphFont"/>
    <w:link w:val="Heading3"/>
    <w:uiPriority w:val="9"/>
    <w:locked/>
    <w:rPr>
      <w:b/>
      <w:bCs/>
      <w:color w:val="000000" w:themeColor="text1"/>
      <w:sz w:val="36"/>
      <w:szCs w:val="28"/>
    </w:rPr>
  </w:style>
  <w:style w:type="character" w:customStyle="1" w:styleId="Heading4Char">
    <w:name w:val="Heading 4 Char"/>
    <w:basedOn w:val="DefaultParagraphFont"/>
    <w:link w:val="Heading4"/>
    <w:uiPriority w:val="9"/>
    <w:locked/>
    <w:rPr>
      <w:rFonts w:ascii="Calibri" w:hAnsi="Calibri" w:cstheme="minorHAnsi" w:hint="default"/>
      <w:b/>
      <w:bCs w:val="0"/>
      <w:color w:val="5C5B5A"/>
      <w:sz w:val="28"/>
      <w:szCs w:val="22"/>
    </w:rPr>
  </w:style>
  <w:style w:type="character" w:customStyle="1" w:styleId="Heading5Char">
    <w:name w:val="Heading 5 Char"/>
    <w:basedOn w:val="DefaultParagraphFont"/>
    <w:link w:val="Heading5"/>
    <w:uiPriority w:val="9"/>
    <w:semiHidden/>
    <w:locked/>
    <w:rPr>
      <w:rFonts w:ascii="Arial" w:hAnsi="Arial" w:cs="Arial" w:hint="default"/>
      <w:b/>
      <w:bCs/>
      <w:color w:val="5C5B5A"/>
      <w:szCs w:val="22"/>
    </w:rPr>
  </w:style>
  <w:style w:type="paragraph" w:styleId="NormalWeb">
    <w:name w:val="Normal (Web)"/>
    <w:aliases w:val="Numbered paragraphs"/>
    <w:basedOn w:val="Heading1"/>
    <w:next w:val="Normal"/>
    <w:autoRedefine/>
    <w:uiPriority w:val="39"/>
    <w:semiHidden/>
    <w:unhideWhenUsed/>
    <w:qFormat/>
    <w:pPr>
      <w:outlineLvl w:val="9"/>
    </w:pPr>
    <w:rPr>
      <w:rFonts w:asciiTheme="majorHAnsi" w:hAnsiTheme="majorHAnsi" w:cstheme="majorBidi"/>
      <w:b w:val="0"/>
      <w:bCs w:val="0"/>
      <w:noProof w:val="0"/>
      <w:color w:val="213B47" w:themeColor="accent1" w:themeShade="BF"/>
      <w:sz w:val="32"/>
      <w:lang w:val="en-US"/>
    </w:rPr>
  </w:style>
  <w:style w:type="character" w:customStyle="1" w:styleId="FootnoteTextChar">
    <w:name w:val="Footnote Text Char"/>
    <w:basedOn w:val="DefaultParagraphFont"/>
    <w:link w:val="FootnoteText"/>
    <w:uiPriority w:val="99"/>
    <w:locked/>
    <w:rPr>
      <w:color w:val="000000" w:themeColor="text1"/>
      <w:sz w:val="20"/>
      <w:szCs w:val="20"/>
    </w:rPr>
  </w:style>
  <w:style w:type="character" w:customStyle="1" w:styleId="CommentTextChar">
    <w:name w:val="Comment Text Char"/>
    <w:basedOn w:val="DefaultParagraphFont"/>
    <w:link w:val="CommentText"/>
    <w:uiPriority w:val="99"/>
    <w:semiHidden/>
    <w:locked/>
    <w:rPr>
      <w:color w:val="000000" w:themeColor="text1"/>
      <w:sz w:val="20"/>
      <w:szCs w:val="20"/>
    </w:rPr>
  </w:style>
  <w:style w:type="character" w:customStyle="1" w:styleId="HeaderChar">
    <w:name w:val="Header Char"/>
    <w:basedOn w:val="DefaultParagraphFont"/>
    <w:link w:val="Header"/>
    <w:uiPriority w:val="99"/>
    <w:locked/>
    <w:rPr>
      <w:color w:val="000000" w:themeColor="text1"/>
      <w:szCs w:val="22"/>
    </w:rPr>
  </w:style>
  <w:style w:type="character" w:customStyle="1" w:styleId="FooterChar">
    <w:name w:val="Footer Char"/>
    <w:basedOn w:val="DefaultParagraphFont"/>
    <w:link w:val="Footer"/>
    <w:uiPriority w:val="99"/>
    <w:locked/>
    <w:rPr>
      <w:color w:val="D5573B" w:themeColor="accent2"/>
      <w:szCs w:val="22"/>
    </w:rPr>
  </w:style>
  <w:style w:type="character" w:customStyle="1" w:styleId="EndnoteTextChar">
    <w:name w:val="Endnote Text Char"/>
    <w:basedOn w:val="DefaultParagraphFont"/>
    <w:link w:val="EndnoteText"/>
    <w:uiPriority w:val="99"/>
    <w:semiHidden/>
    <w:locked/>
    <w:rPr>
      <w:color w:val="000000" w:themeColor="text1"/>
      <w:sz w:val="20"/>
      <w:szCs w:val="20"/>
    </w:rPr>
  </w:style>
  <w:style w:type="character" w:customStyle="1" w:styleId="TitleChar">
    <w:name w:val="Title Char"/>
    <w:basedOn w:val="DefaultParagraphFont"/>
    <w:link w:val="Title"/>
    <w:uiPriority w:val="10"/>
    <w:locked/>
    <w:rPr>
      <w:rFonts w:asciiTheme="minorHAnsi" w:hAnsiTheme="minorHAnsi" w:cs="Calibri" w:hint="default"/>
      <w:color w:val="FFFFFF" w:themeColor="background1"/>
      <w:sz w:val="65"/>
      <w:szCs w:val="65"/>
    </w:rPr>
  </w:style>
  <w:style w:type="character" w:customStyle="1" w:styleId="SubtitleChar">
    <w:name w:val="Subtitle Char"/>
    <w:basedOn w:val="DefaultParagraphFont"/>
    <w:link w:val="Subtitle"/>
    <w:uiPriority w:val="11"/>
    <w:locked/>
    <w:rPr>
      <w:b/>
      <w:bCs/>
      <w:color w:val="FFFFFF" w:themeColor="background1"/>
      <w:sz w:val="32"/>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1">
    <w:name w:val="Comment Text Char1"/>
    <w:basedOn w:val="DefaultParagraphFont"/>
    <w:uiPriority w:val="99"/>
    <w:semiHidden/>
    <w:rPr>
      <w:color w:val="000000" w:themeColor="text1"/>
      <w:sz w:val="20"/>
      <w:szCs w:val="20"/>
    </w:rPr>
  </w:style>
  <w:style w:type="character" w:customStyle="1" w:styleId="CommentSubjectChar">
    <w:name w:val="Comment Subject Char"/>
    <w:basedOn w:val="CommentTextChar"/>
    <w:link w:val="CommentSubject"/>
    <w:uiPriority w:val="99"/>
    <w:semiHidden/>
    <w:locked/>
    <w:rPr>
      <w:b/>
      <w:bCs/>
      <w:color w:val="000000" w:themeColor="text1"/>
      <w:sz w:val="20"/>
      <w:szCs w:val="20"/>
    </w:rPr>
  </w:style>
  <w:style w:type="character" w:customStyle="1" w:styleId="BalloonTextChar">
    <w:name w:val="Balloon Text Char"/>
    <w:basedOn w:val="DefaultParagraphFont"/>
    <w:link w:val="BalloonText"/>
    <w:uiPriority w:val="99"/>
    <w:semiHidden/>
    <w:locked/>
    <w:rPr>
      <w:rFonts w:ascii="Segoe UI" w:hAnsi="Segoe UI" w:cs="Segoe UI" w:hint="default"/>
      <w:color w:val="000000" w:themeColor="text1"/>
      <w:sz w:val="18"/>
      <w:szCs w:val="18"/>
    </w:rPr>
  </w:style>
  <w:style w:type="character" w:customStyle="1" w:styleId="NoSpacingChar">
    <w:name w:val="No Spacing Char"/>
    <w:basedOn w:val="DefaultParagraphFont"/>
    <w:link w:val="NoSpacing"/>
    <w:uiPriority w:val="1"/>
    <w:locked/>
    <w:rPr>
      <w:color w:val="262626" w:themeColor="text1" w:themeTint="D9"/>
      <w:szCs w:val="22"/>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Pr>
      <w:color w:val="000000" w:themeColor="text1"/>
      <w:szCs w:val="22"/>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semiHidden/>
    <w:qFormat/>
    <w:pPr>
      <w:numPr>
        <w:numId w:val="2"/>
      </w:numPr>
    </w:pPr>
  </w:style>
  <w:style w:type="paragraph" w:customStyle="1" w:styleId="paragraph">
    <w:name w:val="paragraph"/>
    <w:basedOn w:val="Normal"/>
    <w:autoRedefine/>
    <w:uiPriority w:val="99"/>
    <w:semiHidden/>
    <w:qFormat/>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autoRedefine/>
    <w:uiPriority w:val="99"/>
    <w:semiHidden/>
    <w:qFormat/>
    <w:pPr>
      <w:autoSpaceDE w:val="0"/>
      <w:autoSpaceDN w:val="0"/>
      <w:adjustRightInd w:val="0"/>
    </w:pPr>
    <w:rPr>
      <w:rFonts w:ascii="FGAZL W+ Colfax" w:hAnsi="FGAZL W+ Colfax" w:cs="FGAZL W+ Colfax"/>
      <w:color w:val="000000"/>
    </w:rPr>
  </w:style>
  <w:style w:type="paragraph" w:styleId="Footer">
    <w:name w:val="footer"/>
    <w:basedOn w:val="Normal"/>
    <w:link w:val="FooterChar"/>
    <w:autoRedefine/>
    <w:uiPriority w:val="99"/>
    <w:unhideWhenUsed/>
    <w:qFormat/>
    <w:pPr>
      <w:tabs>
        <w:tab w:val="center" w:pos="4513"/>
        <w:tab w:val="right" w:pos="9026"/>
      </w:tabs>
      <w:spacing w:before="120" w:after="0" w:line="240" w:lineRule="auto"/>
    </w:pPr>
    <w:rPr>
      <w:color w:val="D5573B" w:themeColor="accent2"/>
    </w:rPr>
  </w:style>
  <w:style w:type="character" w:customStyle="1" w:styleId="FooterChar1">
    <w:name w:val="Footer Char1"/>
    <w:basedOn w:val="DefaultParagraphFont"/>
    <w:uiPriority w:val="99"/>
    <w:semiHidden/>
    <w:rPr>
      <w:color w:val="000000" w:themeColor="text1"/>
      <w:szCs w:val="22"/>
    </w:rPr>
  </w:style>
  <w:style w:type="character" w:customStyle="1" w:styleId="PagenumberChar">
    <w:name w:val="Page number Char"/>
    <w:basedOn w:val="FooterChar"/>
    <w:link w:val="PageNumber1"/>
    <w:locked/>
    <w:rPr>
      <w:b/>
      <w:bCs w:val="0"/>
      <w:color w:val="2C5060" w:themeColor="accent1"/>
      <w:sz w:val="28"/>
      <w:szCs w:val="22"/>
    </w:rPr>
  </w:style>
  <w:style w:type="paragraph" w:customStyle="1" w:styleId="PageNumber1">
    <w:name w:val="Page Number1"/>
    <w:basedOn w:val="Footer"/>
    <w:link w:val="PagenumberChar"/>
    <w:autoRedefine/>
    <w:uiPriority w:val="99"/>
    <w:semiHidden/>
    <w:qFormat/>
    <w:pPr>
      <w:jc w:val="right"/>
    </w:pPr>
    <w:rPr>
      <w:b/>
      <w:color w:val="2C5060" w:themeColor="accent1"/>
      <w:sz w:val="28"/>
    </w:rPr>
  </w:style>
  <w:style w:type="character" w:styleId="FootnoteReference">
    <w:name w:val="footnote reference"/>
    <w:basedOn w:val="DefaultParagraphFont"/>
    <w:uiPriority w:val="99"/>
    <w:semiHidden/>
    <w:unhideWhenUsed/>
    <w:qFormat/>
    <w:rPr>
      <w:rFonts w:ascii="Arial" w:hAnsi="Arial" w:cs="Arial" w:hint="default"/>
      <w:sz w:val="24"/>
      <w:bdr w:val="none" w:sz="0" w:space="0" w:color="auto" w:frame="1"/>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1">
    <w:name w:val="Footnote Text Char1"/>
    <w:basedOn w:val="DefaultParagraphFont"/>
    <w:uiPriority w:val="99"/>
    <w:semiHidden/>
    <w:rPr>
      <w:color w:val="000000" w:themeColor="text1"/>
      <w:sz w:val="20"/>
      <w:szCs w:val="20"/>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1">
    <w:name w:val="Header Char1"/>
    <w:basedOn w:val="DefaultParagraphFont"/>
    <w:uiPriority w:val="99"/>
    <w:semiHidden/>
    <w:rPr>
      <w:color w:val="000000" w:themeColor="text1"/>
      <w:szCs w:val="2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1">
    <w:name w:val="Endnote Text Char1"/>
    <w:basedOn w:val="DefaultParagraphFont"/>
    <w:uiPriority w:val="99"/>
    <w:semiHidden/>
    <w:rPr>
      <w:color w:val="000000" w:themeColor="text1"/>
      <w:sz w:val="20"/>
      <w:szCs w:val="20"/>
    </w:rPr>
  </w:style>
  <w:style w:type="paragraph" w:styleId="Title">
    <w:name w:val="Title"/>
    <w:basedOn w:val="Normal"/>
    <w:next w:val="Normal"/>
    <w:link w:val="TitleChar"/>
    <w:uiPriority w:val="10"/>
    <w:qFormat/>
    <w:pPr>
      <w:spacing w:after="280" w:line="780" w:lineRule="exact"/>
    </w:pPr>
    <w:rPr>
      <w:rFonts w:asciiTheme="minorHAnsi" w:hAnsiTheme="minorHAnsi"/>
      <w:color w:val="FFFFFF" w:themeColor="background1"/>
      <w:sz w:val="65"/>
      <w:szCs w:val="65"/>
    </w:rPr>
  </w:style>
  <w:style w:type="character" w:customStyle="1" w:styleId="TitleChar1">
    <w:name w:val="Title Char1"/>
    <w:basedOn w:val="DefaultParagraphFont"/>
    <w:uiPriority w:val="10"/>
    <w:rPr>
      <w:rFonts w:asciiTheme="majorHAnsi" w:eastAsiaTheme="majorEastAsia" w:hAnsiTheme="majorHAnsi" w:cstheme="majorBidi" w:hint="default"/>
      <w:spacing w:val="-10"/>
      <w:kern w:val="28"/>
      <w:sz w:val="56"/>
      <w:szCs w:val="56"/>
    </w:rPr>
  </w:style>
  <w:style w:type="paragraph" w:styleId="Subtitle">
    <w:name w:val="Subtitle"/>
    <w:basedOn w:val="Normal"/>
    <w:next w:val="Normal"/>
    <w:link w:val="SubtitleChar"/>
    <w:uiPriority w:val="11"/>
    <w:qFormat/>
    <w:pPr>
      <w:spacing w:line="254" w:lineRule="auto"/>
    </w:pPr>
    <w:rPr>
      <w:b/>
      <w:bCs/>
      <w:color w:val="FFFFFF" w:themeColor="background1"/>
      <w:sz w:val="32"/>
      <w:szCs w:val="28"/>
    </w:rPr>
  </w:style>
  <w:style w:type="character" w:customStyle="1" w:styleId="SubtitleChar1">
    <w:name w:val="Subtitle Char1"/>
    <w:basedOn w:val="DefaultParagraphFont"/>
    <w:uiPriority w:val="11"/>
    <w:rPr>
      <w:rFonts w:asciiTheme="minorHAnsi" w:eastAsiaTheme="minorEastAsia" w:hAnsiTheme="minorHAnsi" w:cs="Calibri" w:hint="default"/>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b/>
      <w:bCs/>
      <w:color w:val="000000" w:themeColor="text1"/>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hint="default"/>
      <w:color w:val="000000" w:themeColor="text1"/>
      <w:sz w:val="18"/>
      <w:szCs w:val="18"/>
    </w:rPr>
  </w:style>
  <w:style w:type="paragraph" w:styleId="NoSpacing">
    <w:name w:val="No Spacing"/>
    <w:link w:val="NoSpacingChar"/>
    <w:autoRedefine/>
    <w:uiPriority w:val="1"/>
    <w:qFormat/>
    <w:rPr>
      <w:color w:val="262626" w:themeColor="text1" w:themeTint="D9"/>
      <w:szCs w:val="22"/>
    </w:rPr>
  </w:style>
  <w:style w:type="character" w:customStyle="1" w:styleId="normaltextrun">
    <w:name w:val="normaltextrun"/>
    <w:basedOn w:val="DefaultParagraphFont"/>
  </w:style>
  <w:style w:type="character" w:customStyle="1" w:styleId="eop">
    <w:name w:val="eop"/>
    <w:basedOn w:val="DefaultParagraphFont"/>
  </w:style>
  <w:style w:type="table" w:styleId="TableGrid">
    <w:name w:val="Table Grid"/>
    <w:basedOn w:val="TableNormal"/>
    <w:uiPriority w:val="39"/>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asciiTheme="minorHAnsi" w:hAnsiTheme="minorHAns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semiHidden/>
    <w:unhideWhenUsed/>
    <w:pPr>
      <w:tabs>
        <w:tab w:val="right" w:leader="dot" w:pos="9016"/>
      </w:tabs>
      <w:spacing w:after="100"/>
    </w:pPr>
    <w:rPr>
      <w:rFonts w:eastAsiaTheme="minorEastAsia" w:cs="Times New Roman"/>
      <w:bCs/>
      <w:noProof/>
      <w:lang w:val="en-US"/>
    </w:rPr>
  </w:style>
  <w:style w:type="paragraph" w:styleId="TOC2">
    <w:name w:val="toc 2"/>
    <w:basedOn w:val="Normal"/>
    <w:next w:val="Normal"/>
    <w:autoRedefine/>
    <w:uiPriority w:val="39"/>
    <w:semiHidden/>
    <w:unhideWhenUsed/>
    <w:pPr>
      <w:spacing w:after="100"/>
    </w:pPr>
    <w:rPr>
      <w:rFonts w:eastAsiaTheme="minorEastAsia" w:cs="Times New Roman"/>
      <w:lang w:val="en-US"/>
    </w:rPr>
  </w:style>
  <w:style w:type="paragraph" w:styleId="TOC3">
    <w:name w:val="toc 3"/>
    <w:basedOn w:val="Normal"/>
    <w:next w:val="Normal"/>
    <w:autoRedefine/>
    <w:uiPriority w:val="39"/>
    <w:semiHidden/>
    <w:unhideWhenUsed/>
    <w:pPr>
      <w:spacing w:after="100"/>
    </w:pPr>
    <w:rPr>
      <w:rFonts w:eastAsiaTheme="minorEastAsia" w:cs="Times New Roman"/>
      <w:lang w:val="en-US"/>
    </w:rPr>
  </w:style>
  <w:style w:type="paragraph" w:styleId="TOCHeading">
    <w:name w:val="TOC Heading"/>
    <w:basedOn w:val="Heading1"/>
    <w:next w:val="Normal"/>
    <w:uiPriority w:val="39"/>
    <w:semiHidden/>
    <w:unhideWhenUsed/>
    <w:pPr>
      <w:outlineLvl w:val="9"/>
    </w:pPr>
    <w:rPr>
      <w:rFonts w:asciiTheme="majorHAnsi" w:hAnsiTheme="majorHAnsi" w:cstheme="majorBidi"/>
      <w:b w:val="0"/>
      <w:bCs w:val="0"/>
      <w:noProof w:val="0"/>
      <w:color w:val="213B47"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MCA">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5" ma:contentTypeDescription="Create a new document." ma:contentTypeScope="" ma:versionID="578d0477d61e6028f4c8283efbd591fb">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3a850f43fc046e6d7396a61c327b75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2.xml><?xml version="1.0" encoding="utf-8"?>
<ds:datastoreItem xmlns:ds="http://schemas.openxmlformats.org/officeDocument/2006/customXml" ds:itemID="{BE71E6A5-B5DD-4B02-B4AD-F40B97A69632}">
  <ds:schemaRefs>
    <ds:schemaRef ds:uri="http://schemas.microsoft.com/sharepoint/v3"/>
    <ds:schemaRef ds:uri="http://purl.org/dc/dcmitype/"/>
    <ds:schemaRef ds:uri="2e35a3c0-6932-4795-bc29-a2b24e509738"/>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066e983a-f1d7-4d3c-91db-252f29f3e159"/>
  </ds:schemaRefs>
</ds:datastoreItem>
</file>

<file path=customXml/itemProps3.xml><?xml version="1.0" encoding="utf-8"?>
<ds:datastoreItem xmlns:ds="http://schemas.openxmlformats.org/officeDocument/2006/customXml" ds:itemID="{756F7B8F-533F-43AB-8BD2-98913B0C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58398-5108-4684-9EA6-5A9270B54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2523</Words>
  <Characters>14299</Characters>
  <Application>Microsoft Office Word</Application>
  <DocSecurity>2</DocSecurity>
  <Lines>119</Lines>
  <Paragraphs>33</Paragraphs>
  <ScaleCrop>false</ScaleCrop>
  <HeadingPairs>
    <vt:vector size="2" baseType="variant">
      <vt:variant>
        <vt:lpstr>Title</vt:lpstr>
      </vt:variant>
      <vt:variant>
        <vt:i4>1</vt:i4>
      </vt:variant>
    </vt:vector>
  </HeadingPairs>
  <TitlesOfParts>
    <vt:vector size="1" baseType="lpstr">
      <vt:lpstr>Chapter Three - Boosting trade</vt:lpstr>
    </vt:vector>
  </TitlesOfParts>
  <Company>GMFRS</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Three - Boosting trade</dc:title>
  <dc:subject/>
  <dc:creator>Riley, Paul</dc:creator>
  <cp:keywords/>
  <dc:description/>
  <cp:lastModifiedBy>Riley, Paul</cp:lastModifiedBy>
  <cp:revision>4</cp:revision>
  <cp:lastPrinted>2021-12-15T11:08:00Z</cp:lastPrinted>
  <dcterms:created xsi:type="dcterms:W3CDTF">2021-12-21T11:43:00Z</dcterms:created>
  <dcterms:modified xsi:type="dcterms:W3CDTF">2021-12-21T15:27:00Z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