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A36F" w14:textId="448610C0" w:rsidR="00964DF6" w:rsidRDefault="008A73FB" w:rsidP="000703C0">
      <w:r>
        <w:rPr>
          <w:noProof/>
        </w:rPr>
        <w:drawing>
          <wp:inline distT="0" distB="0" distL="0" distR="0" wp14:anchorId="663D60C0" wp14:editId="5BB59F22">
            <wp:extent cx="1587500" cy="1479550"/>
            <wp:effectExtent l="0" t="0" r="0" b="6350"/>
            <wp:docPr id="1791216626" name="Picture 179121662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216626" name="Picture 1791216626" descr="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6396" cy="1487841"/>
                    </a:xfrm>
                    <a:prstGeom prst="rect">
                      <a:avLst/>
                    </a:prstGeom>
                    <a:noFill/>
                    <a:ln>
                      <a:noFill/>
                    </a:ln>
                  </pic:spPr>
                </pic:pic>
              </a:graphicData>
            </a:graphic>
          </wp:inline>
        </w:drawing>
      </w:r>
      <w:r w:rsidR="00D54859">
        <w:rPr>
          <w:rFonts w:ascii="Arial" w:hAnsi="Arial" w:cs="Arial"/>
          <w:noProof/>
          <w:sz w:val="24"/>
          <w:szCs w:val="24"/>
        </w:rPr>
        <w:drawing>
          <wp:anchor distT="0" distB="0" distL="114300" distR="114300" simplePos="0" relativeHeight="251659264" behindDoc="1" locked="0" layoutInCell="1" allowOverlap="1" wp14:anchorId="4E9CE9EB" wp14:editId="0666C527">
            <wp:simplePos x="0" y="0"/>
            <wp:positionH relativeFrom="margin">
              <wp:posOffset>1708150</wp:posOffset>
            </wp:positionH>
            <wp:positionV relativeFrom="paragraph">
              <wp:posOffset>249555</wp:posOffset>
            </wp:positionV>
            <wp:extent cx="1797050" cy="1314450"/>
            <wp:effectExtent l="0" t="0" r="0" b="0"/>
            <wp:wrapNone/>
            <wp:docPr id="2" name="Picture 2" descr="A rainbow colo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ainbow colored text on a white background&#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797050" cy="1314450"/>
                    </a:xfrm>
                    <a:prstGeom prst="rect">
                      <a:avLst/>
                    </a:prstGeom>
                    <a:noFill/>
                    <a:ln>
                      <a:noFill/>
                    </a:ln>
                  </pic:spPr>
                </pic:pic>
              </a:graphicData>
            </a:graphic>
            <wp14:sizeRelH relativeFrom="margin">
              <wp14:pctWidth>0</wp14:pctWidth>
            </wp14:sizeRelH>
          </wp:anchor>
        </w:drawing>
      </w:r>
    </w:p>
    <w:p w14:paraId="13B53927" w14:textId="75589CB7" w:rsidR="009E452F" w:rsidRDefault="00964DF6" w:rsidP="000703C0">
      <w:r>
        <w:rPr>
          <w:noProof/>
        </w:rPr>
        <w:drawing>
          <wp:anchor distT="0" distB="0" distL="114300" distR="114300" simplePos="0" relativeHeight="251658240" behindDoc="0" locked="0" layoutInCell="1" allowOverlap="1" wp14:anchorId="36D06739" wp14:editId="68CC6A1B">
            <wp:simplePos x="1047750" y="1316355"/>
            <wp:positionH relativeFrom="margin">
              <wp:align>right</wp:align>
            </wp:positionH>
            <wp:positionV relativeFrom="margin">
              <wp:align>top</wp:align>
            </wp:positionV>
            <wp:extent cx="1771650" cy="1330960"/>
            <wp:effectExtent l="133350" t="114300" r="152400" b="154940"/>
            <wp:wrapSquare wrapText="bothSides"/>
            <wp:docPr id="1"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u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13309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7F556F6B" w14:textId="22102AD4" w:rsidR="009E452F" w:rsidRPr="00BB589D" w:rsidRDefault="00D54859" w:rsidP="00D54859">
      <w:pPr>
        <w:tabs>
          <w:tab w:val="left" w:pos="660"/>
        </w:tabs>
        <w:rPr>
          <w:b/>
          <w:bCs/>
        </w:rPr>
      </w:pPr>
      <w:r>
        <w:rPr>
          <w:b/>
          <w:bCs/>
        </w:rPr>
        <w:tab/>
      </w:r>
    </w:p>
    <w:p w14:paraId="5FB86F56" w14:textId="77777777" w:rsidR="00DE155A" w:rsidRDefault="00DE155A" w:rsidP="00C30589">
      <w:pPr>
        <w:jc w:val="center"/>
        <w:rPr>
          <w:b/>
          <w:bCs/>
          <w:sz w:val="28"/>
          <w:szCs w:val="28"/>
        </w:rPr>
      </w:pPr>
    </w:p>
    <w:p w14:paraId="6867C53B" w14:textId="77777777" w:rsidR="00DE155A" w:rsidRDefault="00DE155A" w:rsidP="00C30589">
      <w:pPr>
        <w:jc w:val="center"/>
        <w:rPr>
          <w:b/>
          <w:bCs/>
          <w:sz w:val="28"/>
          <w:szCs w:val="28"/>
        </w:rPr>
      </w:pPr>
    </w:p>
    <w:p w14:paraId="10847A77" w14:textId="53467C47" w:rsidR="00D54859" w:rsidRDefault="00D54859" w:rsidP="00C30589">
      <w:pPr>
        <w:jc w:val="center"/>
        <w:rPr>
          <w:b/>
          <w:bCs/>
          <w:sz w:val="28"/>
          <w:szCs w:val="28"/>
        </w:rPr>
      </w:pPr>
    </w:p>
    <w:p w14:paraId="66B1BD62" w14:textId="222E8FC9" w:rsidR="000703C0" w:rsidRPr="001E2408" w:rsidRDefault="000703C0" w:rsidP="00C30589">
      <w:pPr>
        <w:jc w:val="center"/>
        <w:rPr>
          <w:b/>
          <w:bCs/>
          <w:sz w:val="28"/>
          <w:szCs w:val="28"/>
        </w:rPr>
      </w:pPr>
      <w:r w:rsidRPr="001E2408">
        <w:rPr>
          <w:b/>
          <w:bCs/>
          <w:sz w:val="28"/>
          <w:szCs w:val="28"/>
        </w:rPr>
        <w:t>Statement Against the Planned Closure of 1000 Rail Ticket Offices on Behalf of the</w:t>
      </w:r>
      <w:r w:rsidR="00BB589D" w:rsidRPr="001E2408">
        <w:rPr>
          <w:b/>
          <w:bCs/>
          <w:sz w:val="28"/>
          <w:szCs w:val="28"/>
        </w:rPr>
        <w:t xml:space="preserve"> </w:t>
      </w:r>
      <w:r w:rsidR="005F27AC" w:rsidRPr="001E2408">
        <w:rPr>
          <w:b/>
          <w:bCs/>
          <w:sz w:val="28"/>
          <w:szCs w:val="28"/>
        </w:rPr>
        <w:t>GMCA Women and Girls’ Equality Panel</w:t>
      </w:r>
      <w:r w:rsidR="008A73FB">
        <w:rPr>
          <w:b/>
          <w:bCs/>
          <w:sz w:val="28"/>
          <w:szCs w:val="28"/>
        </w:rPr>
        <w:t>, Greater Manchester Disabled People’s Panel</w:t>
      </w:r>
      <w:r w:rsidR="00C30589" w:rsidRPr="001E2408">
        <w:rPr>
          <w:b/>
          <w:bCs/>
          <w:sz w:val="28"/>
          <w:szCs w:val="28"/>
        </w:rPr>
        <w:t xml:space="preserve"> </w:t>
      </w:r>
      <w:r w:rsidR="00954197" w:rsidRPr="001E2408">
        <w:rPr>
          <w:b/>
          <w:bCs/>
          <w:sz w:val="28"/>
          <w:szCs w:val="28"/>
        </w:rPr>
        <w:t xml:space="preserve">and </w:t>
      </w:r>
      <w:r w:rsidR="00DA771C" w:rsidRPr="001E2408">
        <w:rPr>
          <w:b/>
          <w:bCs/>
          <w:sz w:val="28"/>
          <w:szCs w:val="28"/>
        </w:rPr>
        <w:t>t</w:t>
      </w:r>
      <w:r w:rsidR="00954197" w:rsidRPr="001E2408">
        <w:rPr>
          <w:b/>
          <w:bCs/>
          <w:sz w:val="28"/>
          <w:szCs w:val="28"/>
        </w:rPr>
        <w:t>he LGBTQ+ Equality Panel</w:t>
      </w:r>
    </w:p>
    <w:p w14:paraId="4BBB3D14" w14:textId="02AAEF00" w:rsidR="000703C0" w:rsidRPr="00DE155A" w:rsidRDefault="00CC1B42" w:rsidP="000703C0">
      <w:pPr>
        <w:rPr>
          <w:sz w:val="24"/>
          <w:szCs w:val="24"/>
        </w:rPr>
      </w:pPr>
      <w:r w:rsidRPr="00DE155A">
        <w:rPr>
          <w:sz w:val="24"/>
          <w:szCs w:val="24"/>
        </w:rPr>
        <w:t>2</w:t>
      </w:r>
      <w:r w:rsidR="003F7221" w:rsidRPr="00DE155A">
        <w:rPr>
          <w:sz w:val="24"/>
          <w:szCs w:val="24"/>
        </w:rPr>
        <w:t>6</w:t>
      </w:r>
      <w:r w:rsidRPr="00DE155A">
        <w:rPr>
          <w:sz w:val="24"/>
          <w:szCs w:val="24"/>
          <w:vertAlign w:val="superscript"/>
        </w:rPr>
        <w:t>th</w:t>
      </w:r>
      <w:r w:rsidRPr="00DE155A">
        <w:rPr>
          <w:sz w:val="24"/>
          <w:szCs w:val="24"/>
        </w:rPr>
        <w:t xml:space="preserve"> July 2023</w:t>
      </w:r>
    </w:p>
    <w:p w14:paraId="1C0BFA5C" w14:textId="09993664" w:rsidR="00266520" w:rsidRPr="00DE155A" w:rsidRDefault="000703C0" w:rsidP="000703C0">
      <w:pPr>
        <w:rPr>
          <w:sz w:val="24"/>
          <w:szCs w:val="24"/>
        </w:rPr>
      </w:pPr>
      <w:r w:rsidRPr="00DE155A">
        <w:rPr>
          <w:sz w:val="24"/>
          <w:szCs w:val="24"/>
        </w:rPr>
        <w:t xml:space="preserve">As representatives of </w:t>
      </w:r>
      <w:r w:rsidR="00C30589" w:rsidRPr="00DE155A">
        <w:rPr>
          <w:sz w:val="24"/>
          <w:szCs w:val="24"/>
        </w:rPr>
        <w:t>women</w:t>
      </w:r>
      <w:r w:rsidR="003F7221" w:rsidRPr="00DE155A">
        <w:rPr>
          <w:sz w:val="24"/>
          <w:szCs w:val="24"/>
        </w:rPr>
        <w:t xml:space="preserve">, </w:t>
      </w:r>
      <w:r w:rsidR="00C30589" w:rsidRPr="00DE155A">
        <w:rPr>
          <w:sz w:val="24"/>
          <w:szCs w:val="24"/>
        </w:rPr>
        <w:t xml:space="preserve">girls </w:t>
      </w:r>
      <w:r w:rsidR="003F7221" w:rsidRPr="00DE155A">
        <w:rPr>
          <w:sz w:val="24"/>
          <w:szCs w:val="24"/>
        </w:rPr>
        <w:t>and LGBTQ+ people across the city region</w:t>
      </w:r>
      <w:r w:rsidR="00C30589" w:rsidRPr="00DE155A">
        <w:rPr>
          <w:sz w:val="24"/>
          <w:szCs w:val="24"/>
        </w:rPr>
        <w:t>,</w:t>
      </w:r>
      <w:r w:rsidRPr="00DE155A">
        <w:rPr>
          <w:sz w:val="24"/>
          <w:szCs w:val="24"/>
        </w:rPr>
        <w:t xml:space="preserve"> w</w:t>
      </w:r>
      <w:r w:rsidR="00C30589" w:rsidRPr="00DE155A">
        <w:rPr>
          <w:sz w:val="24"/>
          <w:szCs w:val="24"/>
        </w:rPr>
        <w:t>e</w:t>
      </w:r>
      <w:r w:rsidRPr="00DE155A">
        <w:rPr>
          <w:sz w:val="24"/>
          <w:szCs w:val="24"/>
        </w:rPr>
        <w:t xml:space="preserve"> oppose the proposed closure of 1000 rail ticket offices across the country</w:t>
      </w:r>
      <w:r w:rsidR="00266520" w:rsidRPr="00DE155A">
        <w:rPr>
          <w:sz w:val="24"/>
          <w:szCs w:val="24"/>
        </w:rPr>
        <w:t xml:space="preserve">, in particular the 50 tickets offices in Greater Manchester which are set to close, including Manchester Piccadilly, Stockport and Wigan North Western. </w:t>
      </w:r>
    </w:p>
    <w:p w14:paraId="026A5113" w14:textId="0CF9E038" w:rsidR="000703C0" w:rsidRPr="00DE155A" w:rsidRDefault="007F59A4" w:rsidP="000703C0">
      <w:pPr>
        <w:rPr>
          <w:sz w:val="24"/>
          <w:szCs w:val="24"/>
        </w:rPr>
      </w:pPr>
      <w:r w:rsidRPr="00DE155A">
        <w:rPr>
          <w:sz w:val="24"/>
          <w:szCs w:val="24"/>
        </w:rPr>
        <w:t xml:space="preserve">We </w:t>
      </w:r>
      <w:r w:rsidR="00244B0B" w:rsidRPr="00DE155A">
        <w:rPr>
          <w:sz w:val="24"/>
          <w:szCs w:val="24"/>
        </w:rPr>
        <w:t xml:space="preserve">are concerned </w:t>
      </w:r>
      <w:r w:rsidRPr="00DE155A">
        <w:rPr>
          <w:sz w:val="24"/>
          <w:szCs w:val="24"/>
        </w:rPr>
        <w:t>that the impact of the proposal on</w:t>
      </w:r>
      <w:r w:rsidR="00952707" w:rsidRPr="00DE155A">
        <w:rPr>
          <w:sz w:val="24"/>
          <w:szCs w:val="24"/>
        </w:rPr>
        <w:t xml:space="preserve"> vulnerable groups such as</w:t>
      </w:r>
      <w:r w:rsidRPr="00DE155A">
        <w:rPr>
          <w:sz w:val="24"/>
          <w:szCs w:val="24"/>
        </w:rPr>
        <w:t xml:space="preserve"> older</w:t>
      </w:r>
      <w:r w:rsidR="00952707" w:rsidRPr="00DE155A">
        <w:rPr>
          <w:sz w:val="24"/>
          <w:szCs w:val="24"/>
        </w:rPr>
        <w:t xml:space="preserve"> and</w:t>
      </w:r>
      <w:r w:rsidR="00244B0B" w:rsidRPr="00DE155A">
        <w:rPr>
          <w:sz w:val="24"/>
          <w:szCs w:val="24"/>
        </w:rPr>
        <w:t xml:space="preserve"> </w:t>
      </w:r>
      <w:r w:rsidRPr="00DE155A">
        <w:rPr>
          <w:sz w:val="24"/>
          <w:szCs w:val="24"/>
        </w:rPr>
        <w:t>disabled peopl</w:t>
      </w:r>
      <w:r w:rsidR="00952707" w:rsidRPr="00DE155A">
        <w:rPr>
          <w:sz w:val="24"/>
          <w:szCs w:val="24"/>
        </w:rPr>
        <w:t>e</w:t>
      </w:r>
      <w:r w:rsidRPr="00DE155A">
        <w:rPr>
          <w:sz w:val="24"/>
          <w:szCs w:val="24"/>
        </w:rPr>
        <w:t xml:space="preserve"> has not been assessed. We believe t</w:t>
      </w:r>
      <w:r w:rsidR="000703C0" w:rsidRPr="00DE155A">
        <w:rPr>
          <w:sz w:val="24"/>
          <w:szCs w:val="24"/>
        </w:rPr>
        <w:t>hese closures w</w:t>
      </w:r>
      <w:r w:rsidR="00374F1F" w:rsidRPr="00DE155A">
        <w:rPr>
          <w:sz w:val="24"/>
          <w:szCs w:val="24"/>
        </w:rPr>
        <w:t>ill</w:t>
      </w:r>
      <w:r w:rsidR="0034601B" w:rsidRPr="00DE155A">
        <w:rPr>
          <w:sz w:val="24"/>
          <w:szCs w:val="24"/>
        </w:rPr>
        <w:t xml:space="preserve"> also</w:t>
      </w:r>
      <w:r w:rsidR="000703C0" w:rsidRPr="00DE155A">
        <w:rPr>
          <w:sz w:val="24"/>
          <w:szCs w:val="24"/>
        </w:rPr>
        <w:t xml:space="preserve"> have </w:t>
      </w:r>
      <w:r w:rsidR="00374F1F" w:rsidRPr="00DE155A">
        <w:rPr>
          <w:sz w:val="24"/>
          <w:szCs w:val="24"/>
        </w:rPr>
        <w:t xml:space="preserve">a </w:t>
      </w:r>
      <w:r w:rsidR="000703C0" w:rsidRPr="00DE155A">
        <w:rPr>
          <w:sz w:val="24"/>
          <w:szCs w:val="24"/>
        </w:rPr>
        <w:t>detrimental effect on women</w:t>
      </w:r>
      <w:r w:rsidR="001F230A" w:rsidRPr="00DE155A">
        <w:rPr>
          <w:sz w:val="24"/>
          <w:szCs w:val="24"/>
        </w:rPr>
        <w:t xml:space="preserve"> and LGBTQ</w:t>
      </w:r>
      <w:r w:rsidR="008B3F10">
        <w:rPr>
          <w:sz w:val="24"/>
          <w:szCs w:val="24"/>
        </w:rPr>
        <w:t>+</w:t>
      </w:r>
      <w:r w:rsidR="001F230A" w:rsidRPr="00DE155A">
        <w:rPr>
          <w:sz w:val="24"/>
          <w:szCs w:val="24"/>
        </w:rPr>
        <w:t xml:space="preserve"> people’s</w:t>
      </w:r>
      <w:r w:rsidR="000703C0" w:rsidRPr="00DE155A">
        <w:rPr>
          <w:sz w:val="24"/>
          <w:szCs w:val="24"/>
        </w:rPr>
        <w:t xml:space="preserve"> safety</w:t>
      </w:r>
      <w:r w:rsidR="00374F1F" w:rsidRPr="00DE155A">
        <w:rPr>
          <w:sz w:val="24"/>
          <w:szCs w:val="24"/>
        </w:rPr>
        <w:t xml:space="preserve"> and </w:t>
      </w:r>
      <w:r w:rsidR="000703C0" w:rsidRPr="00DE155A">
        <w:rPr>
          <w:sz w:val="24"/>
          <w:szCs w:val="24"/>
        </w:rPr>
        <w:t>accessibility, and we urge decision-makers to reconsider this plan.</w:t>
      </w:r>
      <w:r w:rsidRPr="00DE155A">
        <w:rPr>
          <w:sz w:val="24"/>
          <w:szCs w:val="24"/>
        </w:rPr>
        <w:t xml:space="preserve"> </w:t>
      </w:r>
    </w:p>
    <w:p w14:paraId="0201CABF" w14:textId="77777777" w:rsidR="00952707" w:rsidRPr="00DE155A" w:rsidRDefault="000703C0" w:rsidP="000703C0">
      <w:pPr>
        <w:rPr>
          <w:sz w:val="24"/>
          <w:szCs w:val="24"/>
        </w:rPr>
      </w:pPr>
      <w:r w:rsidRPr="00DE155A">
        <w:rPr>
          <w:sz w:val="24"/>
          <w:szCs w:val="24"/>
        </w:rPr>
        <w:t xml:space="preserve">Safety Concerns: </w:t>
      </w:r>
    </w:p>
    <w:p w14:paraId="153BD757" w14:textId="3363961F" w:rsidR="000703C0" w:rsidRPr="00DE155A" w:rsidRDefault="000703C0" w:rsidP="000703C0">
      <w:pPr>
        <w:rPr>
          <w:sz w:val="24"/>
          <w:szCs w:val="24"/>
        </w:rPr>
      </w:pPr>
      <w:r w:rsidRPr="00DE155A">
        <w:rPr>
          <w:sz w:val="24"/>
          <w:szCs w:val="24"/>
        </w:rPr>
        <w:t xml:space="preserve">Rail ticket offices provide a sense of security, particularly during evening hours or in less populated areas. The closure of these offices could result in deserted stations, making women </w:t>
      </w:r>
      <w:r w:rsidR="00EE1DB0" w:rsidRPr="00DE155A">
        <w:rPr>
          <w:sz w:val="24"/>
          <w:szCs w:val="24"/>
        </w:rPr>
        <w:t xml:space="preserve">and LGBTQ people </w:t>
      </w:r>
      <w:r w:rsidRPr="00DE155A">
        <w:rPr>
          <w:sz w:val="24"/>
          <w:szCs w:val="24"/>
        </w:rPr>
        <w:t xml:space="preserve">more vulnerable to harassment, assault, and other forms of violence. </w:t>
      </w:r>
    </w:p>
    <w:p w14:paraId="5B2C88A3" w14:textId="12647985" w:rsidR="00952707" w:rsidRPr="00DE155A" w:rsidRDefault="000703C0" w:rsidP="000703C0">
      <w:pPr>
        <w:rPr>
          <w:sz w:val="24"/>
          <w:szCs w:val="24"/>
        </w:rPr>
      </w:pPr>
      <w:r w:rsidRPr="00DE155A">
        <w:rPr>
          <w:sz w:val="24"/>
          <w:szCs w:val="24"/>
        </w:rPr>
        <w:t>Accessibility:</w:t>
      </w:r>
    </w:p>
    <w:p w14:paraId="33C0D383" w14:textId="344C7630" w:rsidR="000703C0" w:rsidRPr="00DE155A" w:rsidRDefault="000703C0" w:rsidP="000703C0">
      <w:pPr>
        <w:rPr>
          <w:sz w:val="24"/>
          <w:szCs w:val="24"/>
        </w:rPr>
      </w:pPr>
      <w:r w:rsidRPr="00DE155A">
        <w:rPr>
          <w:sz w:val="24"/>
          <w:szCs w:val="24"/>
        </w:rPr>
        <w:t xml:space="preserve">Rail ticket offices offer an essential resource for </w:t>
      </w:r>
      <w:r w:rsidR="00F8441E" w:rsidRPr="00DE155A">
        <w:rPr>
          <w:sz w:val="24"/>
          <w:szCs w:val="24"/>
        </w:rPr>
        <w:t>people</w:t>
      </w:r>
      <w:r w:rsidRPr="00DE155A">
        <w:rPr>
          <w:sz w:val="24"/>
          <w:szCs w:val="24"/>
        </w:rPr>
        <w:t xml:space="preserve"> with disabilities or those who may require additional assistance. Ticket office staff can provide guidance on accessible routes, help with purchasing appropriate tickets, and accommodate specific needs. The closure of these offices hinder</w:t>
      </w:r>
      <w:r w:rsidR="00116DE8" w:rsidRPr="00DE155A">
        <w:rPr>
          <w:sz w:val="24"/>
          <w:szCs w:val="24"/>
        </w:rPr>
        <w:t>s</w:t>
      </w:r>
      <w:r w:rsidRPr="00DE155A">
        <w:rPr>
          <w:sz w:val="24"/>
          <w:szCs w:val="24"/>
        </w:rPr>
        <w:t xml:space="preserve"> the ability to use public transportation with ease</w:t>
      </w:r>
      <w:r w:rsidR="00F8441E" w:rsidRPr="00DE155A">
        <w:rPr>
          <w:sz w:val="24"/>
          <w:szCs w:val="24"/>
        </w:rPr>
        <w:t>.</w:t>
      </w:r>
    </w:p>
    <w:p w14:paraId="5EB14D82" w14:textId="77777777" w:rsidR="00720D76" w:rsidRPr="00DE155A" w:rsidRDefault="00720D76" w:rsidP="00726068">
      <w:pPr>
        <w:rPr>
          <w:sz w:val="24"/>
          <w:szCs w:val="24"/>
        </w:rPr>
      </w:pPr>
      <w:r w:rsidRPr="00DE155A">
        <w:rPr>
          <w:sz w:val="24"/>
          <w:szCs w:val="24"/>
        </w:rPr>
        <w:t xml:space="preserve">Digital exclusion: </w:t>
      </w:r>
    </w:p>
    <w:p w14:paraId="7073183B" w14:textId="745ECCE0" w:rsidR="00FC5D18" w:rsidRPr="00DE155A" w:rsidRDefault="00726068" w:rsidP="00726068">
      <w:pPr>
        <w:rPr>
          <w:sz w:val="24"/>
          <w:szCs w:val="24"/>
        </w:rPr>
      </w:pPr>
      <w:r w:rsidRPr="00DE155A">
        <w:rPr>
          <w:sz w:val="24"/>
          <w:szCs w:val="24"/>
        </w:rPr>
        <w:lastRenderedPageBreak/>
        <w:t xml:space="preserve">It is estimated that 1.2 million people are digitally excluded in Greater Manchester. </w:t>
      </w:r>
      <w:r w:rsidR="00B41C5A" w:rsidRPr="00DE155A">
        <w:rPr>
          <w:sz w:val="24"/>
          <w:szCs w:val="24"/>
        </w:rPr>
        <w:t>Only having</w:t>
      </w:r>
      <w:r w:rsidR="000703C0" w:rsidRPr="00DE155A">
        <w:rPr>
          <w:sz w:val="24"/>
          <w:szCs w:val="24"/>
        </w:rPr>
        <w:t xml:space="preserve"> digital ticketing options </w:t>
      </w:r>
      <w:r w:rsidR="000A6A83" w:rsidRPr="00DE155A">
        <w:rPr>
          <w:sz w:val="24"/>
          <w:szCs w:val="24"/>
        </w:rPr>
        <w:t xml:space="preserve">or </w:t>
      </w:r>
      <w:r w:rsidR="000F5F0B" w:rsidRPr="00DE155A">
        <w:rPr>
          <w:sz w:val="24"/>
          <w:szCs w:val="24"/>
        </w:rPr>
        <w:t>ticket machines will</w:t>
      </w:r>
      <w:r w:rsidR="00B41C5A" w:rsidRPr="00DE155A">
        <w:rPr>
          <w:sz w:val="24"/>
          <w:szCs w:val="24"/>
        </w:rPr>
        <w:t xml:space="preserve"> leave</w:t>
      </w:r>
      <w:r w:rsidR="000F5F0B" w:rsidRPr="00DE155A">
        <w:rPr>
          <w:sz w:val="24"/>
          <w:szCs w:val="24"/>
        </w:rPr>
        <w:t xml:space="preserve"> </w:t>
      </w:r>
      <w:r w:rsidR="001A7B58" w:rsidRPr="00DE155A">
        <w:rPr>
          <w:sz w:val="24"/>
          <w:szCs w:val="24"/>
        </w:rPr>
        <w:t xml:space="preserve">many people unable to purchase </w:t>
      </w:r>
      <w:r w:rsidR="00B41C5A" w:rsidRPr="00DE155A">
        <w:rPr>
          <w:sz w:val="24"/>
          <w:szCs w:val="24"/>
        </w:rPr>
        <w:t xml:space="preserve">a ticket prior to boarding making them </w:t>
      </w:r>
      <w:r w:rsidR="00FC5D18" w:rsidRPr="00DE155A">
        <w:rPr>
          <w:sz w:val="24"/>
          <w:szCs w:val="24"/>
        </w:rPr>
        <w:t xml:space="preserve">liable to paying a fine </w:t>
      </w:r>
      <w:r w:rsidR="00096ACE" w:rsidRPr="00DE155A">
        <w:rPr>
          <w:sz w:val="24"/>
          <w:szCs w:val="24"/>
        </w:rPr>
        <w:t>or</w:t>
      </w:r>
      <w:r w:rsidR="00FC5D18" w:rsidRPr="00DE155A">
        <w:rPr>
          <w:sz w:val="24"/>
          <w:szCs w:val="24"/>
        </w:rPr>
        <w:t xml:space="preserve"> </w:t>
      </w:r>
      <w:r w:rsidR="00B41C5A" w:rsidRPr="00DE155A">
        <w:rPr>
          <w:sz w:val="24"/>
          <w:szCs w:val="24"/>
        </w:rPr>
        <w:t>an</w:t>
      </w:r>
      <w:r w:rsidR="00FC5D18" w:rsidRPr="00DE155A">
        <w:rPr>
          <w:sz w:val="24"/>
          <w:szCs w:val="24"/>
        </w:rPr>
        <w:t xml:space="preserve"> increased fare for </w:t>
      </w:r>
      <w:r w:rsidR="00E85369" w:rsidRPr="00DE155A">
        <w:rPr>
          <w:sz w:val="24"/>
          <w:szCs w:val="24"/>
        </w:rPr>
        <w:t>a</w:t>
      </w:r>
      <w:r w:rsidR="00FC5D18" w:rsidRPr="00DE155A">
        <w:rPr>
          <w:sz w:val="24"/>
          <w:szCs w:val="24"/>
        </w:rPr>
        <w:t xml:space="preserve"> ticket. </w:t>
      </w:r>
    </w:p>
    <w:p w14:paraId="1E8C2271" w14:textId="26718887" w:rsidR="00E456A8" w:rsidRPr="00DE155A" w:rsidRDefault="00E456A8" w:rsidP="00726068">
      <w:pPr>
        <w:rPr>
          <w:sz w:val="24"/>
          <w:szCs w:val="24"/>
        </w:rPr>
      </w:pPr>
      <w:r w:rsidRPr="00DE155A">
        <w:rPr>
          <w:sz w:val="24"/>
          <w:szCs w:val="24"/>
        </w:rPr>
        <w:t xml:space="preserve">Inadequate consultation: </w:t>
      </w:r>
    </w:p>
    <w:p w14:paraId="5115C69E" w14:textId="77777777" w:rsidR="00C1790A" w:rsidRPr="00DE155A" w:rsidRDefault="00C1790A" w:rsidP="00C1790A">
      <w:pPr>
        <w:rPr>
          <w:rFonts w:cstheme="minorHAnsi"/>
          <w:sz w:val="24"/>
          <w:szCs w:val="24"/>
        </w:rPr>
      </w:pPr>
      <w:r w:rsidRPr="00DE155A">
        <w:rPr>
          <w:rFonts w:cstheme="minorHAnsi"/>
          <w:sz w:val="24"/>
          <w:szCs w:val="24"/>
        </w:rPr>
        <w:t>The opportunity to contribute to the consultation has been very limited, both in the time allowed and the fewer options for non-digital participation.</w:t>
      </w:r>
    </w:p>
    <w:p w14:paraId="32731A29" w14:textId="2F2E3397" w:rsidR="000D69FE" w:rsidRPr="00DE155A" w:rsidRDefault="000D69FE" w:rsidP="00C1790A">
      <w:pPr>
        <w:rPr>
          <w:sz w:val="24"/>
          <w:szCs w:val="24"/>
        </w:rPr>
      </w:pPr>
      <w:r w:rsidRPr="00DE155A">
        <w:rPr>
          <w:sz w:val="24"/>
          <w:szCs w:val="24"/>
        </w:rPr>
        <w:t xml:space="preserve">In light of these concerns, </w:t>
      </w:r>
      <w:r w:rsidR="00F862BC" w:rsidRPr="00DE155A">
        <w:rPr>
          <w:sz w:val="24"/>
          <w:szCs w:val="24"/>
        </w:rPr>
        <w:t xml:space="preserve">we recommend a halt to the proposed closures to allow for a more comprehensive consultation and </w:t>
      </w:r>
      <w:r w:rsidRPr="00DE155A">
        <w:rPr>
          <w:sz w:val="24"/>
          <w:szCs w:val="24"/>
        </w:rPr>
        <w:t>a</w:t>
      </w:r>
      <w:r w:rsidR="00F862BC" w:rsidRPr="00DE155A">
        <w:rPr>
          <w:sz w:val="24"/>
          <w:szCs w:val="24"/>
        </w:rPr>
        <w:t xml:space="preserve"> review</w:t>
      </w:r>
      <w:r w:rsidRPr="00DE155A">
        <w:rPr>
          <w:sz w:val="24"/>
          <w:szCs w:val="24"/>
        </w:rPr>
        <w:t xml:space="preserve"> of </w:t>
      </w:r>
      <w:r w:rsidR="00BB3E0D" w:rsidRPr="00DE155A">
        <w:rPr>
          <w:sz w:val="24"/>
          <w:szCs w:val="24"/>
        </w:rPr>
        <w:t xml:space="preserve">alternative </w:t>
      </w:r>
      <w:r w:rsidRPr="00DE155A">
        <w:rPr>
          <w:sz w:val="24"/>
          <w:szCs w:val="24"/>
        </w:rPr>
        <w:t xml:space="preserve">accessibility </w:t>
      </w:r>
      <w:r w:rsidR="005A7789" w:rsidRPr="00DE155A">
        <w:rPr>
          <w:sz w:val="24"/>
          <w:szCs w:val="24"/>
        </w:rPr>
        <w:t xml:space="preserve">and </w:t>
      </w:r>
      <w:r w:rsidRPr="00DE155A">
        <w:rPr>
          <w:sz w:val="24"/>
          <w:szCs w:val="24"/>
        </w:rPr>
        <w:t>safety</w:t>
      </w:r>
      <w:r w:rsidR="00BB3E0D" w:rsidRPr="00DE155A">
        <w:rPr>
          <w:sz w:val="24"/>
          <w:szCs w:val="24"/>
        </w:rPr>
        <w:t xml:space="preserve"> measures</w:t>
      </w:r>
      <w:r w:rsidRPr="00DE155A">
        <w:rPr>
          <w:sz w:val="24"/>
          <w:szCs w:val="24"/>
        </w:rPr>
        <w:t>.</w:t>
      </w:r>
    </w:p>
    <w:sectPr w:rsidR="000D69FE" w:rsidRPr="00DE1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F097A"/>
    <w:multiLevelType w:val="hybridMultilevel"/>
    <w:tmpl w:val="4D726EBE"/>
    <w:lvl w:ilvl="0" w:tplc="2D58E1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45733B"/>
    <w:multiLevelType w:val="hybridMultilevel"/>
    <w:tmpl w:val="F5B4C472"/>
    <w:lvl w:ilvl="0" w:tplc="4080DE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567305">
    <w:abstractNumId w:val="1"/>
  </w:num>
  <w:num w:numId="2" w16cid:durableId="28786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9F"/>
    <w:rsid w:val="000703C0"/>
    <w:rsid w:val="00091C97"/>
    <w:rsid w:val="00096ACE"/>
    <w:rsid w:val="000A6A83"/>
    <w:rsid w:val="000D69FE"/>
    <w:rsid w:val="000F5F0B"/>
    <w:rsid w:val="00116DE8"/>
    <w:rsid w:val="00150CA0"/>
    <w:rsid w:val="001A7B58"/>
    <w:rsid w:val="001E2408"/>
    <w:rsid w:val="001F230A"/>
    <w:rsid w:val="002110CA"/>
    <w:rsid w:val="002219AF"/>
    <w:rsid w:val="00244B0B"/>
    <w:rsid w:val="00266520"/>
    <w:rsid w:val="00336E06"/>
    <w:rsid w:val="0034601B"/>
    <w:rsid w:val="00374F1F"/>
    <w:rsid w:val="003C5768"/>
    <w:rsid w:val="003F7221"/>
    <w:rsid w:val="00472C99"/>
    <w:rsid w:val="005A7789"/>
    <w:rsid w:val="005F27AC"/>
    <w:rsid w:val="00720D76"/>
    <w:rsid w:val="00726068"/>
    <w:rsid w:val="007543E6"/>
    <w:rsid w:val="007A576B"/>
    <w:rsid w:val="007F59A4"/>
    <w:rsid w:val="008A73FB"/>
    <w:rsid w:val="008B3F10"/>
    <w:rsid w:val="00902FB3"/>
    <w:rsid w:val="00952707"/>
    <w:rsid w:val="00954197"/>
    <w:rsid w:val="00960A46"/>
    <w:rsid w:val="00964DF6"/>
    <w:rsid w:val="009E452F"/>
    <w:rsid w:val="00AF2BC9"/>
    <w:rsid w:val="00B41C5A"/>
    <w:rsid w:val="00BB3E0D"/>
    <w:rsid w:val="00BB589D"/>
    <w:rsid w:val="00BC55E5"/>
    <w:rsid w:val="00BD4986"/>
    <w:rsid w:val="00BF30A9"/>
    <w:rsid w:val="00C1790A"/>
    <w:rsid w:val="00C30589"/>
    <w:rsid w:val="00C82D9F"/>
    <w:rsid w:val="00CC1B42"/>
    <w:rsid w:val="00CD3EB6"/>
    <w:rsid w:val="00CF596E"/>
    <w:rsid w:val="00D54859"/>
    <w:rsid w:val="00DA771C"/>
    <w:rsid w:val="00DE155A"/>
    <w:rsid w:val="00E456A8"/>
    <w:rsid w:val="00E85369"/>
    <w:rsid w:val="00EE1DB0"/>
    <w:rsid w:val="00F75E4C"/>
    <w:rsid w:val="00F8441E"/>
    <w:rsid w:val="00F862BC"/>
    <w:rsid w:val="00FC5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91CB"/>
  <w15:chartTrackingRefBased/>
  <w15:docId w15:val="{017E614F-7C3C-4296-BB5D-FB049050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589"/>
    <w:pPr>
      <w:ind w:left="720"/>
      <w:contextualSpacing/>
    </w:pPr>
  </w:style>
  <w:style w:type="character" w:styleId="Hyperlink">
    <w:name w:val="Hyperlink"/>
    <w:basedOn w:val="DefaultParagraphFont"/>
    <w:uiPriority w:val="99"/>
    <w:unhideWhenUsed/>
    <w:rsid w:val="00BD4986"/>
    <w:rPr>
      <w:color w:val="0563C1" w:themeColor="hyperlink"/>
      <w:u w:val="single"/>
    </w:rPr>
  </w:style>
  <w:style w:type="character" w:styleId="UnresolvedMention">
    <w:name w:val="Unresolved Mention"/>
    <w:basedOn w:val="DefaultParagraphFont"/>
    <w:uiPriority w:val="99"/>
    <w:semiHidden/>
    <w:unhideWhenUsed/>
    <w:rsid w:val="00BD4986"/>
    <w:rPr>
      <w:color w:val="605E5C"/>
      <w:shd w:val="clear" w:color="auto" w:fill="E1DFDD"/>
    </w:rPr>
  </w:style>
  <w:style w:type="table" w:styleId="TableGrid">
    <w:name w:val="Table Grid"/>
    <w:basedOn w:val="TableNormal"/>
    <w:uiPriority w:val="39"/>
    <w:rsid w:val="00754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cid:image011.png@01D9BFA5.ADFC1C30"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85e5c5-183c-46fe-baa0-34ec3344b2ac" xsi:nil="true"/>
    <lcf76f155ced4ddcb4097134ff3c332f xmlns="cf4076fc-08bd-4100-adc8-529ca790ac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03144DA6CFD14998DF9FAB9EEC1B82" ma:contentTypeVersion="17" ma:contentTypeDescription="Create a new document." ma:contentTypeScope="" ma:versionID="693d6f4f4098087bb1367ff1e6cd4f5a">
  <xsd:schema xmlns:xsd="http://www.w3.org/2001/XMLSchema" xmlns:xs="http://www.w3.org/2001/XMLSchema" xmlns:p="http://schemas.microsoft.com/office/2006/metadata/properties" xmlns:ns2="cf4076fc-08bd-4100-adc8-529ca790ac02" xmlns:ns3="de85e5c5-183c-46fe-baa0-34ec3344b2ac" targetNamespace="http://schemas.microsoft.com/office/2006/metadata/properties" ma:root="true" ma:fieldsID="1c93c8dd23b7723d1abbe7b6533bd577" ns2:_="" ns3:_="">
    <xsd:import namespace="cf4076fc-08bd-4100-adc8-529ca790ac02"/>
    <xsd:import namespace="de85e5c5-183c-46fe-baa0-34ec3344b2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076fc-08bd-4100-adc8-529ca790a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bdeb75-9c6d-42a1-9ce7-ad6ff95598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5e5c5-183c-46fe-baa0-34ec3344b2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69d8c5-d9ee-4c0b-86fe-73769f75014c}" ma:internalName="TaxCatchAll" ma:showField="CatchAllData" ma:web="de85e5c5-183c-46fe-baa0-34ec3344b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115EC-EEFB-4869-A351-DE280EBE88B7}">
  <ds:schemaRefs>
    <ds:schemaRef ds:uri="http://schemas.microsoft.com/office/2006/metadata/properties"/>
    <ds:schemaRef ds:uri="http://schemas.microsoft.com/office/infopath/2007/PartnerControls"/>
    <ds:schemaRef ds:uri="de85e5c5-183c-46fe-baa0-34ec3344b2ac"/>
    <ds:schemaRef ds:uri="cf4076fc-08bd-4100-adc8-529ca790ac02"/>
  </ds:schemaRefs>
</ds:datastoreItem>
</file>

<file path=customXml/itemProps2.xml><?xml version="1.0" encoding="utf-8"?>
<ds:datastoreItem xmlns:ds="http://schemas.openxmlformats.org/officeDocument/2006/customXml" ds:itemID="{EB383434-10A8-4767-8AD0-581B34B05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076fc-08bd-4100-adc8-529ca790ac02"/>
    <ds:schemaRef ds:uri="de85e5c5-183c-46fe-baa0-34ec3344b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6D597-D031-4A0A-8C0B-1EED5307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 Butler</dc:creator>
  <cp:keywords/>
  <dc:description/>
  <cp:lastModifiedBy>Jane Bevan</cp:lastModifiedBy>
  <cp:revision>58</cp:revision>
  <dcterms:created xsi:type="dcterms:W3CDTF">2023-07-19T13:18:00Z</dcterms:created>
  <dcterms:modified xsi:type="dcterms:W3CDTF">2023-07-26T13:14:00Z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0x010100A503144DA6CFD14998DF9FAB9EEC1B82</vt:lpwstr>
  </property>
</Properties>
</file>