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5F7FE" w14:textId="0791E1F3" w:rsidR="00994B8A" w:rsidRPr="00195746" w:rsidRDefault="00FD68EB" w:rsidP="00BF78B7">
      <w:pPr>
        <w:pStyle w:val="Heading1"/>
      </w:pPr>
      <w:r>
        <w:t>Greater Manchester Combined Authority – Parents’ Survey 2023</w:t>
      </w:r>
    </w:p>
    <w:p w14:paraId="7D9B5019" w14:textId="0EC8AE2A" w:rsidR="00E16F03" w:rsidRDefault="00E16F03" w:rsidP="00525A84">
      <w:pPr>
        <w:pStyle w:val="Heading2"/>
        <w:rPr>
          <w:noProof/>
        </w:rPr>
      </w:pPr>
      <w:r>
        <w:rPr>
          <w:noProof/>
        </w:rPr>
        <w:t>Context</w:t>
      </w:r>
    </w:p>
    <w:p w14:paraId="1C6B67DE" w14:textId="337AB9C7" w:rsidR="00400547" w:rsidRDefault="00073AC8">
      <w:pPr>
        <w:rPr>
          <w:noProof/>
        </w:rPr>
      </w:pPr>
      <w:r>
        <w:rPr>
          <w:noProof/>
        </w:rPr>
        <w:t xml:space="preserve">The </w:t>
      </w:r>
      <w:r w:rsidR="00FD68EB">
        <w:rPr>
          <w:noProof/>
        </w:rPr>
        <w:t>topline</w:t>
      </w:r>
      <w:r>
        <w:rPr>
          <w:noProof/>
        </w:rPr>
        <w:t xml:space="preserve"> findings for </w:t>
      </w:r>
      <w:r w:rsidR="00FD68EB">
        <w:rPr>
          <w:noProof/>
        </w:rPr>
        <w:t>the Greater Manchester Combined Authority Parents’ Survey 2023</w:t>
      </w:r>
      <w:r>
        <w:rPr>
          <w:noProof/>
        </w:rPr>
        <w:t xml:space="preserve"> </w:t>
      </w:r>
      <w:r w:rsidR="00E16F03">
        <w:rPr>
          <w:noProof/>
        </w:rPr>
        <w:t>are set out</w:t>
      </w:r>
      <w:r>
        <w:rPr>
          <w:noProof/>
        </w:rPr>
        <w:t xml:space="preserve"> below</w:t>
      </w:r>
      <w:r w:rsidR="00E16F03">
        <w:rPr>
          <w:noProof/>
        </w:rPr>
        <w:t xml:space="preserve">. The findings are divided under </w:t>
      </w:r>
      <w:r w:rsidR="00A81FDF">
        <w:rPr>
          <w:noProof/>
        </w:rPr>
        <w:t>three headings</w:t>
      </w:r>
      <w:r w:rsidR="00E16F03">
        <w:rPr>
          <w:noProof/>
        </w:rPr>
        <w:t>:</w:t>
      </w:r>
      <w:r>
        <w:rPr>
          <w:noProof/>
        </w:rPr>
        <w:t xml:space="preserve"> </w:t>
      </w:r>
      <w:r w:rsidR="00E16F03" w:rsidRPr="00525A84">
        <w:rPr>
          <w:b/>
          <w:bCs/>
          <w:noProof/>
        </w:rPr>
        <w:t>(</w:t>
      </w:r>
      <w:r w:rsidR="000D6D45">
        <w:rPr>
          <w:b/>
          <w:bCs/>
          <w:noProof/>
        </w:rPr>
        <w:t>1</w:t>
      </w:r>
      <w:r w:rsidR="00E16F03" w:rsidRPr="00525A84">
        <w:rPr>
          <w:b/>
          <w:bCs/>
          <w:noProof/>
        </w:rPr>
        <w:t>)</w:t>
      </w:r>
      <w:r>
        <w:rPr>
          <w:noProof/>
        </w:rPr>
        <w:t xml:space="preserve"> </w:t>
      </w:r>
      <w:r w:rsidR="00A81FDF">
        <w:rPr>
          <w:noProof/>
        </w:rPr>
        <w:t>a</w:t>
      </w:r>
      <w:r w:rsidR="00A81FDF" w:rsidRPr="00A81FDF">
        <w:rPr>
          <w:noProof/>
        </w:rPr>
        <w:t>ttitudes towards school curriculum</w:t>
      </w:r>
      <w:r w:rsidR="00E16F03">
        <w:rPr>
          <w:noProof/>
        </w:rPr>
        <w:t>;</w:t>
      </w:r>
      <w:r w:rsidR="000D6D45" w:rsidRPr="000D6D45">
        <w:rPr>
          <w:b/>
          <w:bCs/>
          <w:noProof/>
        </w:rPr>
        <w:t xml:space="preserve"> </w:t>
      </w:r>
      <w:r w:rsidR="000D6D45" w:rsidRPr="00525A84">
        <w:rPr>
          <w:b/>
          <w:bCs/>
          <w:noProof/>
        </w:rPr>
        <w:t>(</w:t>
      </w:r>
      <w:r w:rsidR="000D6D45">
        <w:rPr>
          <w:b/>
          <w:bCs/>
          <w:noProof/>
        </w:rPr>
        <w:t>2</w:t>
      </w:r>
      <w:r w:rsidR="000D6D45" w:rsidRPr="00525A84">
        <w:rPr>
          <w:b/>
          <w:bCs/>
          <w:noProof/>
        </w:rPr>
        <w:t>)</w:t>
      </w:r>
      <w:r w:rsidR="000D6D45">
        <w:rPr>
          <w:noProof/>
        </w:rPr>
        <w:t xml:space="preserve"> </w:t>
      </w:r>
      <w:r w:rsidR="00A81FDF">
        <w:rPr>
          <w:noProof/>
        </w:rPr>
        <w:t>a</w:t>
      </w:r>
      <w:r w:rsidR="00A81FDF" w:rsidRPr="00A81FDF">
        <w:rPr>
          <w:noProof/>
        </w:rPr>
        <w:t>wareness of 16+ options</w:t>
      </w:r>
      <w:r w:rsidR="000D6D45">
        <w:rPr>
          <w:noProof/>
        </w:rPr>
        <w:t xml:space="preserve">; </w:t>
      </w:r>
      <w:r w:rsidR="000D6D45" w:rsidRPr="00525A84">
        <w:rPr>
          <w:b/>
          <w:bCs/>
          <w:noProof/>
        </w:rPr>
        <w:t>(</w:t>
      </w:r>
      <w:r w:rsidR="000D6D45">
        <w:rPr>
          <w:b/>
          <w:bCs/>
          <w:noProof/>
        </w:rPr>
        <w:t>3</w:t>
      </w:r>
      <w:r w:rsidR="000D6D45" w:rsidRPr="00525A84">
        <w:rPr>
          <w:b/>
          <w:bCs/>
          <w:noProof/>
        </w:rPr>
        <w:t>)</w:t>
      </w:r>
      <w:r w:rsidR="000D6D45">
        <w:rPr>
          <w:noProof/>
        </w:rPr>
        <w:t xml:space="preserve"> </w:t>
      </w:r>
      <w:r w:rsidR="00A81FDF">
        <w:rPr>
          <w:noProof/>
        </w:rPr>
        <w:t>a</w:t>
      </w:r>
      <w:r w:rsidR="00A81FDF" w:rsidRPr="00A81FDF">
        <w:rPr>
          <w:noProof/>
        </w:rPr>
        <w:t>wareness of and support for the Greater Manchester Baccalaureate (MBacc</w:t>
      </w:r>
      <w:r w:rsidR="00A81FDF">
        <w:rPr>
          <w:noProof/>
        </w:rPr>
        <w:t>)</w:t>
      </w:r>
      <w:r>
        <w:rPr>
          <w:noProof/>
        </w:rPr>
        <w:t>.</w:t>
      </w:r>
      <w:r w:rsidR="00400547">
        <w:rPr>
          <w:noProof/>
        </w:rPr>
        <w:t xml:space="preserve"> </w:t>
      </w:r>
      <w:r w:rsidR="00A81FDF">
        <w:rPr>
          <w:noProof/>
        </w:rPr>
        <w:t>Finally there is a summary section to analyse the insights as a whole.</w:t>
      </w:r>
      <w:r w:rsidR="00682E76" w:rsidRPr="00682E76">
        <w:rPr>
          <w:noProof/>
        </w:rPr>
        <w:t xml:space="preserve"> </w:t>
      </w:r>
    </w:p>
    <w:p w14:paraId="544A6DAF" w14:textId="481227A4" w:rsidR="000D0BE5" w:rsidRDefault="00FD68EB">
      <w:pPr>
        <w:rPr>
          <w:noProof/>
        </w:rPr>
      </w:pPr>
      <w:r>
        <w:rPr>
          <w:noProof/>
        </w:rPr>
        <w:t>F</w:t>
      </w:r>
      <w:r w:rsidR="00400547">
        <w:rPr>
          <w:noProof/>
        </w:rPr>
        <w:t xml:space="preserve">ieldwork took place between </w:t>
      </w:r>
      <w:r>
        <w:rPr>
          <w:noProof/>
        </w:rPr>
        <w:t>20</w:t>
      </w:r>
      <w:r w:rsidRPr="00FD68EB">
        <w:rPr>
          <w:noProof/>
          <w:vertAlign w:val="superscript"/>
        </w:rPr>
        <w:t>th</w:t>
      </w:r>
      <w:r>
        <w:rPr>
          <w:noProof/>
        </w:rPr>
        <w:t xml:space="preserve"> July</w:t>
      </w:r>
      <w:r w:rsidR="00400547">
        <w:rPr>
          <w:noProof/>
        </w:rPr>
        <w:t xml:space="preserve"> – 1</w:t>
      </w:r>
      <w:r w:rsidR="00400547" w:rsidRPr="00400547">
        <w:rPr>
          <w:noProof/>
          <w:vertAlign w:val="superscript"/>
        </w:rPr>
        <w:t>st</w:t>
      </w:r>
      <w:r w:rsidR="00400547">
        <w:rPr>
          <w:noProof/>
        </w:rPr>
        <w:t xml:space="preserve"> </w:t>
      </w:r>
      <w:r>
        <w:rPr>
          <w:noProof/>
        </w:rPr>
        <w:t>August</w:t>
      </w:r>
      <w:r w:rsidR="00400547">
        <w:rPr>
          <w:noProof/>
        </w:rPr>
        <w:t xml:space="preserve"> 202</w:t>
      </w:r>
      <w:r>
        <w:rPr>
          <w:noProof/>
        </w:rPr>
        <w:t>3</w:t>
      </w:r>
      <w:r w:rsidR="005259C2">
        <w:rPr>
          <w:noProof/>
        </w:rPr>
        <w:t xml:space="preserve">. </w:t>
      </w:r>
      <w:r w:rsidR="0080651E">
        <w:rPr>
          <w:noProof/>
        </w:rPr>
        <w:t xml:space="preserve">Data has been weighted </w:t>
      </w:r>
      <w:r>
        <w:rPr>
          <w:noProof/>
        </w:rPr>
        <w:t>to be representative of parents across Greater Manchester using information from the 2021 Census and the Greater Manchester Residents’ Survey</w:t>
      </w:r>
      <w:r w:rsidR="0080651E">
        <w:rPr>
          <w:noProof/>
        </w:rPr>
        <w:t>.</w:t>
      </w:r>
    </w:p>
    <w:p w14:paraId="00B8AFBD" w14:textId="1CF1C6E8" w:rsidR="00FD68EB" w:rsidRDefault="00FD68EB">
      <w:pPr>
        <w:rPr>
          <w:noProof/>
        </w:rPr>
      </w:pPr>
      <w:r>
        <w:rPr>
          <w:noProof/>
        </w:rPr>
        <w:t xml:space="preserve">BMG interviewed a total of 975 parents across Greater Manchester. </w:t>
      </w:r>
      <w:r w:rsidR="0067177C">
        <w:rPr>
          <w:noProof/>
        </w:rPr>
        <w:t>To</w:t>
      </w:r>
      <w:r>
        <w:rPr>
          <w:noProof/>
        </w:rPr>
        <w:t xml:space="preserve"> take part in the survey, respondents needed to have at least one child of school age. The proportion with a child at each educational stage is shown in the table below.</w:t>
      </w:r>
    </w:p>
    <w:tbl>
      <w:tblPr>
        <w:tblStyle w:val="BMG"/>
        <w:tblW w:w="0" w:type="auto"/>
        <w:tblLook w:val="04A0" w:firstRow="1" w:lastRow="0" w:firstColumn="1" w:lastColumn="0" w:noHBand="0" w:noVBand="1"/>
      </w:tblPr>
      <w:tblGrid>
        <w:gridCol w:w="5240"/>
        <w:gridCol w:w="2650"/>
      </w:tblGrid>
      <w:tr w:rsidR="00FD68EB" w14:paraId="345FEE2A" w14:textId="77777777" w:rsidTr="00FD68EB">
        <w:trPr>
          <w:cnfStyle w:val="100000000000" w:firstRow="1" w:lastRow="0" w:firstColumn="0" w:lastColumn="0" w:oddVBand="0" w:evenVBand="0" w:oddHBand="0" w:evenHBand="0" w:firstRowFirstColumn="0" w:firstRowLastColumn="0" w:lastRowFirstColumn="0" w:lastRowLastColumn="0"/>
          <w:trHeight w:val="291"/>
        </w:trPr>
        <w:tc>
          <w:tcPr>
            <w:tcW w:w="5240" w:type="dxa"/>
          </w:tcPr>
          <w:p w14:paraId="32078DD6" w14:textId="0C16C30F" w:rsidR="00FD68EB" w:rsidRPr="00FD68EB" w:rsidRDefault="00FD68EB">
            <w:pPr>
              <w:rPr>
                <w:noProof/>
                <w:color w:val="FFFFFF" w:themeColor="background1"/>
              </w:rPr>
            </w:pPr>
            <w:r w:rsidRPr="00FD68EB">
              <w:rPr>
                <w:noProof/>
                <w:color w:val="FFFFFF" w:themeColor="background1"/>
              </w:rPr>
              <w:t>Educational stage</w:t>
            </w:r>
          </w:p>
        </w:tc>
        <w:tc>
          <w:tcPr>
            <w:tcW w:w="2650" w:type="dxa"/>
          </w:tcPr>
          <w:p w14:paraId="66D92B53" w14:textId="524B87A1" w:rsidR="00FD68EB" w:rsidRPr="00FD68EB" w:rsidRDefault="00FD68EB">
            <w:pPr>
              <w:rPr>
                <w:noProof/>
                <w:color w:val="FFFFFF" w:themeColor="background1"/>
              </w:rPr>
            </w:pPr>
            <w:r w:rsidRPr="00FD68EB">
              <w:rPr>
                <w:noProof/>
                <w:color w:val="FFFFFF" w:themeColor="background1"/>
              </w:rPr>
              <w:t>Percentage with a child in this stage</w:t>
            </w:r>
          </w:p>
        </w:tc>
      </w:tr>
      <w:tr w:rsidR="00FD68EB" w14:paraId="1EFED68E" w14:textId="77777777" w:rsidTr="00FD68EB">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5F408105" w14:textId="25F90DFC" w:rsidR="00FD68EB" w:rsidRPr="00FD68EB" w:rsidRDefault="00FD68EB" w:rsidP="00FD68EB">
            <w:pPr>
              <w:rPr>
                <w:rFonts w:ascii="Calibri" w:hAnsi="Calibri" w:cs="Calibri"/>
                <w:color w:val="000000"/>
              </w:rPr>
            </w:pPr>
            <w:r>
              <w:rPr>
                <w:rFonts w:ascii="Calibri" w:hAnsi="Calibri" w:cs="Calibri"/>
                <w:color w:val="000000"/>
              </w:rPr>
              <w:t>Pre-school age child/children</w:t>
            </w:r>
          </w:p>
        </w:tc>
        <w:tc>
          <w:tcPr>
            <w:tcW w:w="2650" w:type="dxa"/>
          </w:tcPr>
          <w:p w14:paraId="48A28CC2" w14:textId="3D4E05F3" w:rsidR="00FD68EB" w:rsidRPr="00FD68EB" w:rsidRDefault="00FD68EB" w:rsidP="00FD68EB">
            <w:pPr>
              <w:rPr>
                <w:noProof/>
                <w:color w:val="auto"/>
              </w:rPr>
            </w:pPr>
            <w:r w:rsidRPr="00FD68EB">
              <w:rPr>
                <w:noProof/>
                <w:color w:val="auto"/>
              </w:rPr>
              <w:t>27%</w:t>
            </w:r>
          </w:p>
        </w:tc>
      </w:tr>
      <w:tr w:rsidR="00FD68EB" w14:paraId="570CF3B5" w14:textId="77777777" w:rsidTr="00FD68EB">
        <w:trPr>
          <w:cnfStyle w:val="000000010000" w:firstRow="0" w:lastRow="0" w:firstColumn="0" w:lastColumn="0" w:oddVBand="0" w:evenVBand="0" w:oddHBand="0" w:evenHBand="1" w:firstRowFirstColumn="0" w:firstRowLastColumn="0" w:lastRowFirstColumn="0" w:lastRowLastColumn="0"/>
          <w:trHeight w:val="300"/>
        </w:trPr>
        <w:tc>
          <w:tcPr>
            <w:tcW w:w="5240" w:type="dxa"/>
            <w:vAlign w:val="bottom"/>
          </w:tcPr>
          <w:p w14:paraId="3179C487" w14:textId="7BEBFFF0" w:rsidR="00FD68EB" w:rsidRDefault="00FD68EB" w:rsidP="00FD68EB">
            <w:pPr>
              <w:rPr>
                <w:noProof/>
              </w:rPr>
            </w:pPr>
            <w:r>
              <w:rPr>
                <w:rFonts w:ascii="Calibri" w:hAnsi="Calibri" w:cs="Calibri"/>
                <w:color w:val="000000"/>
              </w:rPr>
              <w:t xml:space="preserve">Primary </w:t>
            </w:r>
            <w:r w:rsidR="0067177C">
              <w:rPr>
                <w:rFonts w:ascii="Calibri" w:hAnsi="Calibri" w:cs="Calibri"/>
                <w:color w:val="000000"/>
              </w:rPr>
              <w:t>school-age</w:t>
            </w:r>
            <w:r>
              <w:rPr>
                <w:rFonts w:ascii="Calibri" w:hAnsi="Calibri" w:cs="Calibri"/>
                <w:color w:val="000000"/>
              </w:rPr>
              <w:t xml:space="preserve"> child/children, years 1-6</w:t>
            </w:r>
          </w:p>
        </w:tc>
        <w:tc>
          <w:tcPr>
            <w:tcW w:w="2650" w:type="dxa"/>
          </w:tcPr>
          <w:p w14:paraId="277538B3" w14:textId="7F58807D" w:rsidR="00FD68EB" w:rsidRPr="00FD68EB" w:rsidRDefault="00FD68EB" w:rsidP="00FD68EB">
            <w:pPr>
              <w:rPr>
                <w:noProof/>
                <w:color w:val="auto"/>
              </w:rPr>
            </w:pPr>
            <w:r w:rsidRPr="00FD68EB">
              <w:rPr>
                <w:noProof/>
                <w:color w:val="auto"/>
              </w:rPr>
              <w:t>45%</w:t>
            </w:r>
          </w:p>
        </w:tc>
      </w:tr>
      <w:tr w:rsidR="00FD68EB" w14:paraId="2CF20581" w14:textId="77777777" w:rsidTr="00FD68EB">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26EE47F0" w14:textId="058040A6" w:rsidR="00FD68EB" w:rsidRDefault="00FD68EB" w:rsidP="00FD68EB">
            <w:pPr>
              <w:rPr>
                <w:noProof/>
              </w:rPr>
            </w:pPr>
            <w:r>
              <w:rPr>
                <w:rFonts w:ascii="Calibri" w:hAnsi="Calibri" w:cs="Calibri"/>
                <w:color w:val="000000"/>
              </w:rPr>
              <w:t xml:space="preserve">High </w:t>
            </w:r>
            <w:r w:rsidR="0067177C">
              <w:rPr>
                <w:rFonts w:ascii="Calibri" w:hAnsi="Calibri" w:cs="Calibri"/>
                <w:color w:val="000000"/>
              </w:rPr>
              <w:t>school-age</w:t>
            </w:r>
            <w:r>
              <w:rPr>
                <w:rFonts w:ascii="Calibri" w:hAnsi="Calibri" w:cs="Calibri"/>
                <w:color w:val="000000"/>
              </w:rPr>
              <w:t xml:space="preserve"> child/children, years 7-11</w:t>
            </w:r>
          </w:p>
        </w:tc>
        <w:tc>
          <w:tcPr>
            <w:tcW w:w="2650" w:type="dxa"/>
          </w:tcPr>
          <w:p w14:paraId="1E4A8C38" w14:textId="46E5F3D9" w:rsidR="00FD68EB" w:rsidRPr="00FD68EB" w:rsidRDefault="00FD68EB" w:rsidP="00FD68EB">
            <w:pPr>
              <w:rPr>
                <w:noProof/>
                <w:color w:val="auto"/>
              </w:rPr>
            </w:pPr>
            <w:r w:rsidRPr="00FD68EB">
              <w:rPr>
                <w:noProof/>
                <w:color w:val="auto"/>
              </w:rPr>
              <w:t>35%</w:t>
            </w:r>
          </w:p>
        </w:tc>
      </w:tr>
      <w:tr w:rsidR="00FD68EB" w14:paraId="40811C61" w14:textId="77777777" w:rsidTr="00FD68EB">
        <w:trPr>
          <w:cnfStyle w:val="000000010000" w:firstRow="0" w:lastRow="0" w:firstColumn="0" w:lastColumn="0" w:oddVBand="0" w:evenVBand="0" w:oddHBand="0" w:evenHBand="1" w:firstRowFirstColumn="0" w:firstRowLastColumn="0" w:lastRowFirstColumn="0" w:lastRowLastColumn="0"/>
          <w:trHeight w:val="291"/>
        </w:trPr>
        <w:tc>
          <w:tcPr>
            <w:tcW w:w="5240" w:type="dxa"/>
            <w:vAlign w:val="bottom"/>
          </w:tcPr>
          <w:p w14:paraId="7C678B88" w14:textId="4E8C7AB2" w:rsidR="00FD68EB" w:rsidRDefault="00FD68EB" w:rsidP="00FD68EB">
            <w:pPr>
              <w:rPr>
                <w:noProof/>
              </w:rPr>
            </w:pPr>
            <w:r>
              <w:rPr>
                <w:rFonts w:ascii="Calibri" w:hAnsi="Calibri" w:cs="Calibri"/>
                <w:color w:val="000000"/>
              </w:rPr>
              <w:t xml:space="preserve">High </w:t>
            </w:r>
            <w:r w:rsidR="0067177C">
              <w:rPr>
                <w:rFonts w:ascii="Calibri" w:hAnsi="Calibri" w:cs="Calibri"/>
                <w:color w:val="000000"/>
              </w:rPr>
              <w:t>school-age</w:t>
            </w:r>
            <w:r>
              <w:rPr>
                <w:rFonts w:ascii="Calibri" w:hAnsi="Calibri" w:cs="Calibri"/>
                <w:color w:val="000000"/>
              </w:rPr>
              <w:t xml:space="preserve"> child/children, years 12-13</w:t>
            </w:r>
          </w:p>
        </w:tc>
        <w:tc>
          <w:tcPr>
            <w:tcW w:w="2650" w:type="dxa"/>
          </w:tcPr>
          <w:p w14:paraId="2B60ED6C" w14:textId="479DA1B3" w:rsidR="00FD68EB" w:rsidRPr="00FD68EB" w:rsidRDefault="00FD68EB" w:rsidP="00FD68EB">
            <w:pPr>
              <w:rPr>
                <w:noProof/>
                <w:color w:val="auto"/>
              </w:rPr>
            </w:pPr>
            <w:r w:rsidRPr="00FD68EB">
              <w:rPr>
                <w:noProof/>
                <w:color w:val="auto"/>
              </w:rPr>
              <w:t>21%</w:t>
            </w:r>
          </w:p>
        </w:tc>
      </w:tr>
    </w:tbl>
    <w:p w14:paraId="669D7FE7" w14:textId="3FD471FE" w:rsidR="00FD68EB" w:rsidRDefault="00FD68EB">
      <w:pPr>
        <w:rPr>
          <w:noProof/>
          <w:sz w:val="18"/>
          <w:szCs w:val="18"/>
        </w:rPr>
      </w:pPr>
      <w:r w:rsidRPr="00FD68EB">
        <w:rPr>
          <w:noProof/>
          <w:sz w:val="18"/>
          <w:szCs w:val="18"/>
        </w:rPr>
        <w:t xml:space="preserve">Q1. Are you a parent or carer of a </w:t>
      </w:r>
      <w:r w:rsidR="0067177C">
        <w:rPr>
          <w:noProof/>
          <w:sz w:val="18"/>
          <w:szCs w:val="18"/>
        </w:rPr>
        <w:t>school-age</w:t>
      </w:r>
      <w:r w:rsidRPr="00FD68EB">
        <w:rPr>
          <w:noProof/>
          <w:sz w:val="18"/>
          <w:szCs w:val="18"/>
        </w:rPr>
        <w:t xml:space="preserve"> child/children? Please select all that apply.</w:t>
      </w:r>
    </w:p>
    <w:p w14:paraId="7A3A5733" w14:textId="77777777" w:rsidR="00910794" w:rsidRPr="00FD68EB" w:rsidRDefault="00910794">
      <w:pPr>
        <w:rPr>
          <w:noProof/>
          <w:sz w:val="18"/>
          <w:szCs w:val="18"/>
        </w:rPr>
      </w:pPr>
    </w:p>
    <w:p w14:paraId="19611578" w14:textId="567F0A54" w:rsidR="00124618" w:rsidRPr="00893B72" w:rsidRDefault="00124618" w:rsidP="00124618">
      <w:pPr>
        <w:rPr>
          <w:rFonts w:asciiTheme="majorHAnsi" w:eastAsiaTheme="majorEastAsia" w:hAnsiTheme="majorHAnsi" w:cstheme="majorBidi"/>
          <w:b/>
          <w:bCs/>
          <w:noProof/>
          <w:sz w:val="28"/>
          <w:szCs w:val="26"/>
        </w:rPr>
      </w:pPr>
      <w:r>
        <w:rPr>
          <w:rFonts w:asciiTheme="majorHAnsi" w:eastAsiaTheme="majorEastAsia" w:hAnsiTheme="majorHAnsi" w:cstheme="majorBidi"/>
          <w:b/>
          <w:bCs/>
          <w:noProof/>
          <w:sz w:val="28"/>
          <w:szCs w:val="26"/>
        </w:rPr>
        <w:t xml:space="preserve">Attitudes towards school </w:t>
      </w:r>
      <w:r w:rsidR="0067177C">
        <w:rPr>
          <w:rFonts w:asciiTheme="majorHAnsi" w:eastAsiaTheme="majorEastAsia" w:hAnsiTheme="majorHAnsi" w:cstheme="majorBidi"/>
          <w:b/>
          <w:bCs/>
          <w:noProof/>
          <w:sz w:val="28"/>
          <w:szCs w:val="26"/>
        </w:rPr>
        <w:t>curriculum</w:t>
      </w:r>
    </w:p>
    <w:p w14:paraId="3C8159BC" w14:textId="015F3608" w:rsidR="00124618" w:rsidRDefault="00124618" w:rsidP="00124618">
      <w:pPr>
        <w:rPr>
          <w:noProof/>
        </w:rPr>
      </w:pPr>
      <w:r>
        <w:rPr>
          <w:noProof/>
        </w:rPr>
        <w:t xml:space="preserve">While 2 in 5 (41%) parents aren’t sure what schools currently place more focus on in their </w:t>
      </w:r>
      <w:r w:rsidR="0067177C">
        <w:rPr>
          <w:noProof/>
        </w:rPr>
        <w:t>curriculum</w:t>
      </w:r>
      <w:r>
        <w:rPr>
          <w:noProof/>
        </w:rPr>
        <w:t>, if they are aware they are most likely to say there is more focus on academic subjects such as maths, science</w:t>
      </w:r>
      <w:r w:rsidR="0067177C">
        <w:rPr>
          <w:noProof/>
        </w:rPr>
        <w:t>,</w:t>
      </w:r>
      <w:r>
        <w:rPr>
          <w:noProof/>
        </w:rPr>
        <w:t xml:space="preserve"> and languages (3</w:t>
      </w:r>
      <w:r w:rsidR="003D7FA7">
        <w:rPr>
          <w:noProof/>
        </w:rPr>
        <w:t>2</w:t>
      </w:r>
      <w:r>
        <w:rPr>
          <w:noProof/>
        </w:rPr>
        <w:t xml:space="preserve">%, rising to 54% if “don’t know” is removed). </w:t>
      </w:r>
      <w:r w:rsidR="00F023F9">
        <w:rPr>
          <w:noProof/>
        </w:rPr>
        <w:t>In terms of what schools should focus on, parents are most likely to think there should be an equal focus on both academic and technical subjects (4</w:t>
      </w:r>
      <w:r w:rsidR="003D7FA7">
        <w:rPr>
          <w:noProof/>
        </w:rPr>
        <w:t>4</w:t>
      </w:r>
      <w:r w:rsidR="00F023F9">
        <w:rPr>
          <w:noProof/>
        </w:rPr>
        <w:t>%, rising to 66% if “don’t know” is removed), however a third (33%) are still unsure where the focus should be.</w:t>
      </w:r>
    </w:p>
    <w:p w14:paraId="5C316965" w14:textId="43CCC934" w:rsidR="00F023F9" w:rsidRDefault="00F023F9" w:rsidP="00124618">
      <w:pPr>
        <w:rPr>
          <w:noProof/>
        </w:rPr>
      </w:pPr>
      <w:r>
        <w:rPr>
          <w:noProof/>
        </w:rPr>
        <w:t>Parents whose children are in years 12 and 13 are more likely than average to say there is more focus on academic subjects (39%) suggesting that those who have been through the 16+ process feel it was weighted to academic subjects.</w:t>
      </w:r>
    </w:p>
    <w:tbl>
      <w:tblPr>
        <w:tblStyle w:val="BMG"/>
        <w:tblW w:w="0" w:type="auto"/>
        <w:tblLook w:val="04A0" w:firstRow="1" w:lastRow="0" w:firstColumn="1" w:lastColumn="0" w:noHBand="0" w:noVBand="1"/>
      </w:tblPr>
      <w:tblGrid>
        <w:gridCol w:w="5077"/>
        <w:gridCol w:w="2578"/>
        <w:gridCol w:w="2539"/>
      </w:tblGrid>
      <w:tr w:rsidR="00124618" w14:paraId="6DD85D83" w14:textId="54C64BFF" w:rsidTr="00124618">
        <w:trPr>
          <w:cnfStyle w:val="100000000000" w:firstRow="1" w:lastRow="0" w:firstColumn="0" w:lastColumn="0" w:oddVBand="0" w:evenVBand="0" w:oddHBand="0" w:evenHBand="0" w:firstRowFirstColumn="0" w:firstRowLastColumn="0" w:lastRowFirstColumn="0" w:lastRowLastColumn="0"/>
          <w:trHeight w:val="291"/>
        </w:trPr>
        <w:tc>
          <w:tcPr>
            <w:tcW w:w="5077" w:type="dxa"/>
          </w:tcPr>
          <w:p w14:paraId="16BEAC33" w14:textId="2B0E4638" w:rsidR="00124618" w:rsidRPr="00FD68EB" w:rsidRDefault="00124618" w:rsidP="002A5FA5">
            <w:pPr>
              <w:rPr>
                <w:noProof/>
                <w:color w:val="FFFFFF" w:themeColor="background1"/>
              </w:rPr>
            </w:pPr>
            <w:r>
              <w:rPr>
                <w:noProof/>
                <w:color w:val="FFFFFF" w:themeColor="background1"/>
              </w:rPr>
              <w:t>Focus</w:t>
            </w:r>
          </w:p>
        </w:tc>
        <w:tc>
          <w:tcPr>
            <w:tcW w:w="2578" w:type="dxa"/>
          </w:tcPr>
          <w:p w14:paraId="2BE0E5B0" w14:textId="7975E214" w:rsidR="00124618" w:rsidRPr="00FD68EB" w:rsidRDefault="00124618" w:rsidP="002A5FA5">
            <w:pPr>
              <w:rPr>
                <w:noProof/>
                <w:color w:val="FFFFFF" w:themeColor="background1"/>
              </w:rPr>
            </w:pPr>
            <w:r>
              <w:rPr>
                <w:noProof/>
                <w:color w:val="FFFFFF" w:themeColor="background1"/>
              </w:rPr>
              <w:t>Currently place…</w:t>
            </w:r>
          </w:p>
        </w:tc>
        <w:tc>
          <w:tcPr>
            <w:tcW w:w="2539" w:type="dxa"/>
          </w:tcPr>
          <w:p w14:paraId="565E54F2" w14:textId="77A3CA5B" w:rsidR="00124618" w:rsidRDefault="00124618" w:rsidP="002A5FA5">
            <w:pPr>
              <w:rPr>
                <w:noProof/>
                <w:color w:val="FFFFFF" w:themeColor="background1"/>
              </w:rPr>
            </w:pPr>
            <w:r>
              <w:rPr>
                <w:noProof/>
                <w:color w:val="FFFFFF" w:themeColor="background1"/>
              </w:rPr>
              <w:t>Should place…</w:t>
            </w:r>
          </w:p>
        </w:tc>
      </w:tr>
      <w:tr w:rsidR="00124618" w14:paraId="1D173578" w14:textId="7BEDA38C" w:rsidTr="00124618">
        <w:trPr>
          <w:cnfStyle w:val="000000100000" w:firstRow="0" w:lastRow="0" w:firstColumn="0" w:lastColumn="0" w:oddVBand="0" w:evenVBand="0" w:oddHBand="1" w:evenHBand="0" w:firstRowFirstColumn="0" w:firstRowLastColumn="0" w:lastRowFirstColumn="0" w:lastRowLastColumn="0"/>
          <w:trHeight w:val="291"/>
        </w:trPr>
        <w:tc>
          <w:tcPr>
            <w:tcW w:w="5077" w:type="dxa"/>
            <w:vAlign w:val="bottom"/>
          </w:tcPr>
          <w:p w14:paraId="20885CDC" w14:textId="748B9818" w:rsidR="00124618" w:rsidRDefault="00124618" w:rsidP="00124618">
            <w:pPr>
              <w:rPr>
                <w:rFonts w:ascii="Calibri" w:hAnsi="Calibri" w:cs="Calibri"/>
                <w:color w:val="000000"/>
              </w:rPr>
            </w:pPr>
            <w:r>
              <w:rPr>
                <w:rFonts w:ascii="Calibri" w:hAnsi="Calibri" w:cs="Calibri"/>
                <w:color w:val="000000"/>
              </w:rPr>
              <w:t>more focus on academic subjects (such as maths, science</w:t>
            </w:r>
            <w:r w:rsidR="0067177C">
              <w:rPr>
                <w:rFonts w:ascii="Calibri" w:hAnsi="Calibri" w:cs="Calibri"/>
                <w:color w:val="000000"/>
              </w:rPr>
              <w:t>,</w:t>
            </w:r>
            <w:r>
              <w:rPr>
                <w:rFonts w:ascii="Calibri" w:hAnsi="Calibri" w:cs="Calibri"/>
                <w:color w:val="000000"/>
              </w:rPr>
              <w:t xml:space="preserve"> and language)</w:t>
            </w:r>
          </w:p>
        </w:tc>
        <w:tc>
          <w:tcPr>
            <w:tcW w:w="2578" w:type="dxa"/>
          </w:tcPr>
          <w:p w14:paraId="2A5F178D" w14:textId="5EA2A64F" w:rsidR="00124618" w:rsidRDefault="00124618" w:rsidP="00124618">
            <w:pPr>
              <w:rPr>
                <w:noProof/>
                <w:color w:val="auto"/>
              </w:rPr>
            </w:pPr>
            <w:r>
              <w:rPr>
                <w:noProof/>
                <w:color w:val="auto"/>
              </w:rPr>
              <w:t>3</w:t>
            </w:r>
            <w:r w:rsidR="003D7FA7">
              <w:rPr>
                <w:noProof/>
                <w:color w:val="auto"/>
              </w:rPr>
              <w:t>2</w:t>
            </w:r>
            <w:r>
              <w:rPr>
                <w:noProof/>
                <w:color w:val="auto"/>
              </w:rPr>
              <w:t>%</w:t>
            </w:r>
          </w:p>
        </w:tc>
        <w:tc>
          <w:tcPr>
            <w:tcW w:w="2539" w:type="dxa"/>
          </w:tcPr>
          <w:p w14:paraId="66A837AE" w14:textId="0AF0D78A" w:rsidR="00124618" w:rsidRDefault="00124618" w:rsidP="00124618">
            <w:pPr>
              <w:rPr>
                <w:noProof/>
                <w:color w:val="auto"/>
              </w:rPr>
            </w:pPr>
            <w:r>
              <w:rPr>
                <w:noProof/>
                <w:color w:val="auto"/>
              </w:rPr>
              <w:t>9%</w:t>
            </w:r>
          </w:p>
        </w:tc>
      </w:tr>
      <w:tr w:rsidR="00124618" w14:paraId="376221B6" w14:textId="5E6CF7EF" w:rsidTr="00124618">
        <w:trPr>
          <w:cnfStyle w:val="000000010000" w:firstRow="0" w:lastRow="0" w:firstColumn="0" w:lastColumn="0" w:oddVBand="0" w:evenVBand="0" w:oddHBand="0" w:evenHBand="1" w:firstRowFirstColumn="0" w:firstRowLastColumn="0" w:lastRowFirstColumn="0" w:lastRowLastColumn="0"/>
          <w:trHeight w:val="291"/>
        </w:trPr>
        <w:tc>
          <w:tcPr>
            <w:tcW w:w="5077" w:type="dxa"/>
            <w:vAlign w:val="bottom"/>
          </w:tcPr>
          <w:p w14:paraId="1E6B0DBE" w14:textId="2A56CAB4" w:rsidR="00124618" w:rsidRPr="00FD68EB" w:rsidRDefault="00124618" w:rsidP="00124618">
            <w:pPr>
              <w:rPr>
                <w:rFonts w:ascii="Calibri" w:hAnsi="Calibri" w:cs="Calibri"/>
                <w:color w:val="000000"/>
              </w:rPr>
            </w:pPr>
            <w:r>
              <w:rPr>
                <w:rFonts w:ascii="Calibri" w:hAnsi="Calibri" w:cs="Calibri"/>
                <w:color w:val="000000"/>
              </w:rPr>
              <w:t>more focus on technical subjects (such as construction, engineering, arts</w:t>
            </w:r>
            <w:r w:rsidR="0067177C">
              <w:rPr>
                <w:rFonts w:ascii="Calibri" w:hAnsi="Calibri" w:cs="Calibri"/>
                <w:color w:val="000000"/>
              </w:rPr>
              <w:t>,</w:t>
            </w:r>
            <w:r>
              <w:rPr>
                <w:rFonts w:ascii="Calibri" w:hAnsi="Calibri" w:cs="Calibri"/>
                <w:color w:val="000000"/>
              </w:rPr>
              <w:t xml:space="preserve"> and creative)</w:t>
            </w:r>
          </w:p>
        </w:tc>
        <w:tc>
          <w:tcPr>
            <w:tcW w:w="2578" w:type="dxa"/>
          </w:tcPr>
          <w:p w14:paraId="0BFB0100" w14:textId="595F0719" w:rsidR="00124618" w:rsidRPr="00FD68EB" w:rsidRDefault="003D7FA7" w:rsidP="00124618">
            <w:pPr>
              <w:rPr>
                <w:noProof/>
                <w:color w:val="auto"/>
              </w:rPr>
            </w:pPr>
            <w:r>
              <w:rPr>
                <w:noProof/>
                <w:color w:val="auto"/>
              </w:rPr>
              <w:t>7</w:t>
            </w:r>
            <w:r w:rsidR="00124618">
              <w:rPr>
                <w:noProof/>
                <w:color w:val="auto"/>
              </w:rPr>
              <w:t>%</w:t>
            </w:r>
          </w:p>
        </w:tc>
        <w:tc>
          <w:tcPr>
            <w:tcW w:w="2539" w:type="dxa"/>
          </w:tcPr>
          <w:p w14:paraId="157070FB" w14:textId="2DBF68AD" w:rsidR="00124618" w:rsidRDefault="00124618" w:rsidP="00124618">
            <w:pPr>
              <w:rPr>
                <w:noProof/>
                <w:color w:val="auto"/>
              </w:rPr>
            </w:pPr>
            <w:r>
              <w:rPr>
                <w:noProof/>
                <w:color w:val="auto"/>
              </w:rPr>
              <w:t>1</w:t>
            </w:r>
            <w:r w:rsidR="003D7FA7">
              <w:rPr>
                <w:noProof/>
                <w:color w:val="auto"/>
              </w:rPr>
              <w:t>4</w:t>
            </w:r>
            <w:r>
              <w:rPr>
                <w:noProof/>
                <w:color w:val="auto"/>
              </w:rPr>
              <w:t>%</w:t>
            </w:r>
          </w:p>
        </w:tc>
      </w:tr>
      <w:tr w:rsidR="00124618" w14:paraId="4B14EC9E" w14:textId="15AB08E8" w:rsidTr="00124618">
        <w:trPr>
          <w:cnfStyle w:val="000000100000" w:firstRow="0" w:lastRow="0" w:firstColumn="0" w:lastColumn="0" w:oddVBand="0" w:evenVBand="0" w:oddHBand="1" w:evenHBand="0" w:firstRowFirstColumn="0" w:firstRowLastColumn="0" w:lastRowFirstColumn="0" w:lastRowLastColumn="0"/>
          <w:trHeight w:val="300"/>
        </w:trPr>
        <w:tc>
          <w:tcPr>
            <w:tcW w:w="5077" w:type="dxa"/>
            <w:vAlign w:val="bottom"/>
          </w:tcPr>
          <w:p w14:paraId="4AB40C3F" w14:textId="025E4B61" w:rsidR="00124618" w:rsidRDefault="00124618" w:rsidP="00124618">
            <w:pPr>
              <w:rPr>
                <w:noProof/>
              </w:rPr>
            </w:pPr>
            <w:r>
              <w:rPr>
                <w:rFonts w:ascii="Calibri" w:hAnsi="Calibri" w:cs="Calibri"/>
                <w:color w:val="000000"/>
              </w:rPr>
              <w:t>an equal focus on academic and technical subjects</w:t>
            </w:r>
          </w:p>
        </w:tc>
        <w:tc>
          <w:tcPr>
            <w:tcW w:w="2578" w:type="dxa"/>
          </w:tcPr>
          <w:p w14:paraId="7846B183" w14:textId="6B6C55C5" w:rsidR="00124618" w:rsidRPr="00FD68EB" w:rsidRDefault="003D7FA7" w:rsidP="00124618">
            <w:pPr>
              <w:rPr>
                <w:noProof/>
                <w:color w:val="auto"/>
              </w:rPr>
            </w:pPr>
            <w:r>
              <w:rPr>
                <w:noProof/>
                <w:color w:val="auto"/>
              </w:rPr>
              <w:t>20</w:t>
            </w:r>
            <w:r w:rsidR="00124618">
              <w:rPr>
                <w:noProof/>
                <w:color w:val="auto"/>
              </w:rPr>
              <w:t>%</w:t>
            </w:r>
          </w:p>
        </w:tc>
        <w:tc>
          <w:tcPr>
            <w:tcW w:w="2539" w:type="dxa"/>
          </w:tcPr>
          <w:p w14:paraId="5D8156D7" w14:textId="06754D64" w:rsidR="00124618" w:rsidRDefault="00124618" w:rsidP="00124618">
            <w:pPr>
              <w:rPr>
                <w:noProof/>
                <w:color w:val="auto"/>
              </w:rPr>
            </w:pPr>
            <w:r>
              <w:rPr>
                <w:noProof/>
                <w:color w:val="auto"/>
              </w:rPr>
              <w:t>4</w:t>
            </w:r>
            <w:r w:rsidR="003D7FA7">
              <w:rPr>
                <w:noProof/>
                <w:color w:val="auto"/>
              </w:rPr>
              <w:t>4</w:t>
            </w:r>
            <w:r>
              <w:rPr>
                <w:noProof/>
                <w:color w:val="auto"/>
              </w:rPr>
              <w:t>%</w:t>
            </w:r>
          </w:p>
        </w:tc>
      </w:tr>
      <w:tr w:rsidR="00124618" w14:paraId="7A5D3B9D" w14:textId="45ED568A" w:rsidTr="00124618">
        <w:trPr>
          <w:cnfStyle w:val="000000010000" w:firstRow="0" w:lastRow="0" w:firstColumn="0" w:lastColumn="0" w:oddVBand="0" w:evenVBand="0" w:oddHBand="0" w:evenHBand="1" w:firstRowFirstColumn="0" w:firstRowLastColumn="0" w:lastRowFirstColumn="0" w:lastRowLastColumn="0"/>
          <w:trHeight w:val="291"/>
        </w:trPr>
        <w:tc>
          <w:tcPr>
            <w:tcW w:w="5077" w:type="dxa"/>
            <w:vAlign w:val="bottom"/>
          </w:tcPr>
          <w:p w14:paraId="7CC65751" w14:textId="6E87DFB4" w:rsidR="00124618" w:rsidRDefault="00124618" w:rsidP="00124618">
            <w:pPr>
              <w:rPr>
                <w:noProof/>
              </w:rPr>
            </w:pPr>
            <w:r>
              <w:rPr>
                <w:rFonts w:ascii="Calibri" w:hAnsi="Calibri" w:cs="Calibri"/>
                <w:color w:val="000000"/>
              </w:rPr>
              <w:t>Don't know</w:t>
            </w:r>
          </w:p>
        </w:tc>
        <w:tc>
          <w:tcPr>
            <w:tcW w:w="2578" w:type="dxa"/>
          </w:tcPr>
          <w:p w14:paraId="6010AA2C" w14:textId="4A5C2D35" w:rsidR="00124618" w:rsidRPr="00FD68EB" w:rsidRDefault="00124618" w:rsidP="00124618">
            <w:pPr>
              <w:rPr>
                <w:noProof/>
                <w:color w:val="auto"/>
              </w:rPr>
            </w:pPr>
            <w:r>
              <w:rPr>
                <w:noProof/>
                <w:color w:val="auto"/>
              </w:rPr>
              <w:t>41%</w:t>
            </w:r>
          </w:p>
        </w:tc>
        <w:tc>
          <w:tcPr>
            <w:tcW w:w="2539" w:type="dxa"/>
          </w:tcPr>
          <w:p w14:paraId="3D1DBD35" w14:textId="2EAD4E02" w:rsidR="00124618" w:rsidRDefault="00124618" w:rsidP="00124618">
            <w:pPr>
              <w:rPr>
                <w:noProof/>
                <w:color w:val="auto"/>
              </w:rPr>
            </w:pPr>
            <w:r>
              <w:rPr>
                <w:noProof/>
                <w:color w:val="auto"/>
              </w:rPr>
              <w:t>33%</w:t>
            </w:r>
          </w:p>
        </w:tc>
      </w:tr>
    </w:tbl>
    <w:p w14:paraId="1B6F363E" w14:textId="3D71CEFF" w:rsidR="00124618" w:rsidRDefault="00124618" w:rsidP="00124618">
      <w:pPr>
        <w:rPr>
          <w:noProof/>
          <w:sz w:val="18"/>
          <w:szCs w:val="18"/>
        </w:rPr>
      </w:pPr>
      <w:r w:rsidRPr="00FD68EB">
        <w:rPr>
          <w:noProof/>
          <w:sz w:val="18"/>
          <w:szCs w:val="18"/>
        </w:rPr>
        <w:t>Q</w:t>
      </w:r>
      <w:r>
        <w:rPr>
          <w:noProof/>
          <w:sz w:val="18"/>
          <w:szCs w:val="18"/>
        </w:rPr>
        <w:t>4</w:t>
      </w:r>
      <w:r w:rsidRPr="00FD68EB">
        <w:rPr>
          <w:noProof/>
          <w:sz w:val="18"/>
          <w:szCs w:val="18"/>
        </w:rPr>
        <w:t xml:space="preserve">. </w:t>
      </w:r>
      <w:r w:rsidRPr="00124618">
        <w:rPr>
          <w:noProof/>
          <w:sz w:val="18"/>
          <w:szCs w:val="18"/>
        </w:rPr>
        <w:t>Please consider the point in Year 9 that your child/children are choosing their future subjects, do you think schools...?</w:t>
      </w:r>
    </w:p>
    <w:p w14:paraId="6EE2C2EB" w14:textId="0AEEE27A" w:rsidR="00910794" w:rsidRDefault="00F023F9" w:rsidP="00F023F9">
      <w:pPr>
        <w:rPr>
          <w:noProof/>
        </w:rPr>
      </w:pPr>
      <w:r>
        <w:rPr>
          <w:noProof/>
        </w:rPr>
        <w:lastRenderedPageBreak/>
        <w:t xml:space="preserve">Parents are fairly evenly split on whether businesses should have a role in </w:t>
      </w:r>
      <w:r w:rsidR="0067177C">
        <w:rPr>
          <w:noProof/>
        </w:rPr>
        <w:t>influencing</w:t>
      </w:r>
      <w:r>
        <w:rPr>
          <w:noProof/>
        </w:rPr>
        <w:t xml:space="preserve"> the subjects taught at local schools. </w:t>
      </w:r>
      <w:r w:rsidR="00910794">
        <w:rPr>
          <w:noProof/>
        </w:rPr>
        <w:t xml:space="preserve">Almost 2 in 5 (37%) think they should have an influence, however over 2 in 4 (27%) think only schools should decide, and 35% didn’t feel able to provide an opinion. Those who believe that there should be more focus on technical subjects within schools are more likely to see a role for businesses in deciding the </w:t>
      </w:r>
      <w:r w:rsidR="0067177C">
        <w:rPr>
          <w:noProof/>
        </w:rPr>
        <w:t>curriculum</w:t>
      </w:r>
      <w:r w:rsidR="00910794">
        <w:rPr>
          <w:noProof/>
        </w:rPr>
        <w:t xml:space="preserve"> (60%), as are those from C2 socio-economic backgrounds (51%). </w:t>
      </w:r>
      <w:r w:rsidR="0067177C">
        <w:rPr>
          <w:noProof/>
        </w:rPr>
        <w:t>Conversely</w:t>
      </w:r>
      <w:r w:rsidR="00910794">
        <w:rPr>
          <w:noProof/>
        </w:rPr>
        <w:t>, those from an AB background are less likely to agree with this (30%).</w:t>
      </w:r>
    </w:p>
    <w:tbl>
      <w:tblPr>
        <w:tblStyle w:val="BMG"/>
        <w:tblW w:w="0" w:type="auto"/>
        <w:tblLook w:val="04A0" w:firstRow="1" w:lastRow="0" w:firstColumn="1" w:lastColumn="0" w:noHBand="0" w:noVBand="1"/>
      </w:tblPr>
      <w:tblGrid>
        <w:gridCol w:w="5077"/>
        <w:gridCol w:w="2578"/>
      </w:tblGrid>
      <w:tr w:rsidR="00F023F9" w14:paraId="1B3588EC" w14:textId="77777777" w:rsidTr="002A5FA5">
        <w:trPr>
          <w:cnfStyle w:val="100000000000" w:firstRow="1" w:lastRow="0" w:firstColumn="0" w:lastColumn="0" w:oddVBand="0" w:evenVBand="0" w:oddHBand="0" w:evenHBand="0" w:firstRowFirstColumn="0" w:firstRowLastColumn="0" w:lastRowFirstColumn="0" w:lastRowLastColumn="0"/>
          <w:trHeight w:val="291"/>
        </w:trPr>
        <w:tc>
          <w:tcPr>
            <w:tcW w:w="5077" w:type="dxa"/>
          </w:tcPr>
          <w:p w14:paraId="49BDFFB2" w14:textId="62F38D93" w:rsidR="00F023F9" w:rsidRPr="00FD68EB" w:rsidRDefault="00F023F9" w:rsidP="002A5FA5">
            <w:pPr>
              <w:rPr>
                <w:noProof/>
                <w:color w:val="FFFFFF" w:themeColor="background1"/>
              </w:rPr>
            </w:pPr>
            <w:r>
              <w:rPr>
                <w:noProof/>
                <w:color w:val="FFFFFF" w:themeColor="background1"/>
              </w:rPr>
              <w:t>Statement</w:t>
            </w:r>
          </w:p>
        </w:tc>
        <w:tc>
          <w:tcPr>
            <w:tcW w:w="2578" w:type="dxa"/>
          </w:tcPr>
          <w:p w14:paraId="19071F64" w14:textId="49B16227" w:rsidR="00F023F9" w:rsidRPr="00FD68EB" w:rsidRDefault="00F023F9" w:rsidP="002A5FA5">
            <w:pPr>
              <w:rPr>
                <w:noProof/>
                <w:color w:val="FFFFFF" w:themeColor="background1"/>
              </w:rPr>
            </w:pPr>
            <w:r>
              <w:rPr>
                <w:noProof/>
                <w:color w:val="FFFFFF" w:themeColor="background1"/>
              </w:rPr>
              <w:t>Percentage</w:t>
            </w:r>
            <w:r w:rsidR="001C53C0">
              <w:rPr>
                <w:noProof/>
                <w:color w:val="FFFFFF" w:themeColor="background1"/>
              </w:rPr>
              <w:t xml:space="preserve"> selecting</w:t>
            </w:r>
          </w:p>
        </w:tc>
      </w:tr>
      <w:tr w:rsidR="00F023F9" w14:paraId="63529111"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077" w:type="dxa"/>
            <w:vAlign w:val="bottom"/>
          </w:tcPr>
          <w:p w14:paraId="6FD287BE" w14:textId="2D092420" w:rsidR="00F023F9" w:rsidRDefault="00F023F9" w:rsidP="00F023F9">
            <w:pPr>
              <w:rPr>
                <w:rFonts w:ascii="Calibri" w:hAnsi="Calibri" w:cs="Calibri"/>
                <w:color w:val="000000"/>
              </w:rPr>
            </w:pPr>
            <w:r>
              <w:rPr>
                <w:rFonts w:ascii="Calibri" w:hAnsi="Calibri" w:cs="Calibri"/>
                <w:color w:val="000000"/>
              </w:rPr>
              <w:t xml:space="preserve">Local </w:t>
            </w:r>
            <w:r w:rsidR="0067177C">
              <w:rPr>
                <w:rFonts w:ascii="Calibri" w:hAnsi="Calibri" w:cs="Calibri"/>
                <w:color w:val="000000"/>
              </w:rPr>
              <w:t>businesses</w:t>
            </w:r>
            <w:r>
              <w:rPr>
                <w:rFonts w:ascii="Calibri" w:hAnsi="Calibri" w:cs="Calibri"/>
                <w:color w:val="000000"/>
              </w:rPr>
              <w:t xml:space="preserve"> should have an influence </w:t>
            </w:r>
            <w:r w:rsidR="0067177C">
              <w:rPr>
                <w:rFonts w:ascii="Calibri" w:hAnsi="Calibri" w:cs="Calibri"/>
                <w:color w:val="000000"/>
              </w:rPr>
              <w:t>on</w:t>
            </w:r>
            <w:r>
              <w:rPr>
                <w:rFonts w:ascii="Calibri" w:hAnsi="Calibri" w:cs="Calibri"/>
                <w:color w:val="000000"/>
              </w:rPr>
              <w:t xml:space="preserve"> the subjects taught at schools, to help young people get the jobs that the local area needs</w:t>
            </w:r>
          </w:p>
        </w:tc>
        <w:tc>
          <w:tcPr>
            <w:tcW w:w="2578" w:type="dxa"/>
          </w:tcPr>
          <w:p w14:paraId="7AAE8532" w14:textId="05455CE0" w:rsidR="00F023F9" w:rsidRDefault="00F023F9" w:rsidP="00F023F9">
            <w:pPr>
              <w:rPr>
                <w:noProof/>
                <w:color w:val="auto"/>
              </w:rPr>
            </w:pPr>
            <w:r>
              <w:rPr>
                <w:noProof/>
                <w:color w:val="auto"/>
              </w:rPr>
              <w:t>37%</w:t>
            </w:r>
          </w:p>
        </w:tc>
      </w:tr>
      <w:tr w:rsidR="00F023F9" w14:paraId="23208B29" w14:textId="77777777" w:rsidTr="002A5FA5">
        <w:trPr>
          <w:cnfStyle w:val="000000010000" w:firstRow="0" w:lastRow="0" w:firstColumn="0" w:lastColumn="0" w:oddVBand="0" w:evenVBand="0" w:oddHBand="0" w:evenHBand="1" w:firstRowFirstColumn="0" w:firstRowLastColumn="0" w:lastRowFirstColumn="0" w:lastRowLastColumn="0"/>
          <w:trHeight w:val="291"/>
        </w:trPr>
        <w:tc>
          <w:tcPr>
            <w:tcW w:w="5077" w:type="dxa"/>
            <w:vAlign w:val="bottom"/>
          </w:tcPr>
          <w:p w14:paraId="7194133D" w14:textId="5F88D16D" w:rsidR="00F023F9" w:rsidRPr="00FD68EB" w:rsidRDefault="00F023F9" w:rsidP="00F023F9">
            <w:pPr>
              <w:rPr>
                <w:rFonts w:ascii="Calibri" w:hAnsi="Calibri" w:cs="Calibri"/>
                <w:color w:val="000000"/>
              </w:rPr>
            </w:pPr>
            <w:r>
              <w:rPr>
                <w:rFonts w:ascii="Calibri" w:hAnsi="Calibri" w:cs="Calibri"/>
                <w:color w:val="000000"/>
              </w:rPr>
              <w:t>Only schools should decide which subjects they teach in line with the national curriculum</w:t>
            </w:r>
          </w:p>
        </w:tc>
        <w:tc>
          <w:tcPr>
            <w:tcW w:w="2578" w:type="dxa"/>
          </w:tcPr>
          <w:p w14:paraId="58B2F1BC" w14:textId="7A4D8BCE" w:rsidR="00F023F9" w:rsidRPr="00FD68EB" w:rsidRDefault="00F023F9" w:rsidP="00F023F9">
            <w:pPr>
              <w:rPr>
                <w:noProof/>
                <w:color w:val="auto"/>
              </w:rPr>
            </w:pPr>
            <w:r>
              <w:rPr>
                <w:noProof/>
                <w:color w:val="auto"/>
              </w:rPr>
              <w:t>27%</w:t>
            </w:r>
          </w:p>
        </w:tc>
      </w:tr>
      <w:tr w:rsidR="00F023F9" w14:paraId="31571F5B"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077" w:type="dxa"/>
            <w:vAlign w:val="bottom"/>
          </w:tcPr>
          <w:p w14:paraId="28C58B7D" w14:textId="77777777" w:rsidR="00F023F9" w:rsidRDefault="00F023F9" w:rsidP="002A5FA5">
            <w:pPr>
              <w:rPr>
                <w:noProof/>
              </w:rPr>
            </w:pPr>
            <w:r>
              <w:rPr>
                <w:rFonts w:ascii="Calibri" w:hAnsi="Calibri" w:cs="Calibri"/>
                <w:color w:val="000000"/>
              </w:rPr>
              <w:t>Don't know</w:t>
            </w:r>
          </w:p>
        </w:tc>
        <w:tc>
          <w:tcPr>
            <w:tcW w:w="2578" w:type="dxa"/>
          </w:tcPr>
          <w:p w14:paraId="3D850FFB" w14:textId="2C520459" w:rsidR="00F023F9" w:rsidRPr="00FD68EB" w:rsidRDefault="00F023F9" w:rsidP="002A5FA5">
            <w:pPr>
              <w:rPr>
                <w:noProof/>
                <w:color w:val="auto"/>
              </w:rPr>
            </w:pPr>
            <w:r>
              <w:rPr>
                <w:noProof/>
                <w:color w:val="auto"/>
              </w:rPr>
              <w:t>35%</w:t>
            </w:r>
          </w:p>
        </w:tc>
      </w:tr>
    </w:tbl>
    <w:p w14:paraId="5D743617" w14:textId="0CAC13C2" w:rsidR="00F023F9" w:rsidRDefault="00F023F9" w:rsidP="00124618">
      <w:pPr>
        <w:rPr>
          <w:noProof/>
          <w:sz w:val="18"/>
          <w:szCs w:val="18"/>
        </w:rPr>
      </w:pPr>
      <w:r w:rsidRPr="00FD68EB">
        <w:rPr>
          <w:noProof/>
          <w:sz w:val="18"/>
          <w:szCs w:val="18"/>
        </w:rPr>
        <w:t>Q</w:t>
      </w:r>
      <w:r>
        <w:rPr>
          <w:noProof/>
          <w:sz w:val="18"/>
          <w:szCs w:val="18"/>
        </w:rPr>
        <w:t>5</w:t>
      </w:r>
      <w:r w:rsidRPr="00FD68EB">
        <w:rPr>
          <w:noProof/>
          <w:sz w:val="18"/>
          <w:szCs w:val="18"/>
        </w:rPr>
        <w:t xml:space="preserve">. </w:t>
      </w:r>
      <w:r w:rsidRPr="00F023F9">
        <w:rPr>
          <w:noProof/>
          <w:sz w:val="18"/>
          <w:szCs w:val="18"/>
        </w:rPr>
        <w:t>Which of the below statements comes closer to your view?</w:t>
      </w:r>
    </w:p>
    <w:p w14:paraId="407EB08D" w14:textId="77777777" w:rsidR="00910794" w:rsidRPr="00910794" w:rsidRDefault="00910794" w:rsidP="00124618">
      <w:pPr>
        <w:rPr>
          <w:noProof/>
          <w:sz w:val="18"/>
          <w:szCs w:val="18"/>
        </w:rPr>
      </w:pPr>
    </w:p>
    <w:p w14:paraId="2AA7803D" w14:textId="4A1EB28A" w:rsidR="002E0953" w:rsidRPr="0009771E" w:rsidRDefault="00FD68EB" w:rsidP="002E0953">
      <w:pPr>
        <w:rPr>
          <w:rFonts w:asciiTheme="majorHAnsi" w:eastAsiaTheme="majorEastAsia" w:hAnsiTheme="majorHAnsi" w:cstheme="majorBidi"/>
          <w:b/>
          <w:bCs/>
          <w:noProof/>
          <w:sz w:val="28"/>
          <w:szCs w:val="26"/>
        </w:rPr>
      </w:pPr>
      <w:r>
        <w:rPr>
          <w:rFonts w:asciiTheme="majorHAnsi" w:eastAsiaTheme="majorEastAsia" w:hAnsiTheme="majorHAnsi" w:cstheme="majorBidi"/>
          <w:b/>
          <w:bCs/>
          <w:noProof/>
          <w:sz w:val="28"/>
          <w:szCs w:val="26"/>
        </w:rPr>
        <w:t xml:space="preserve">Awareness of </w:t>
      </w:r>
      <w:r w:rsidR="00270AA7">
        <w:rPr>
          <w:rFonts w:asciiTheme="majorHAnsi" w:eastAsiaTheme="majorEastAsia" w:hAnsiTheme="majorHAnsi" w:cstheme="majorBidi"/>
          <w:b/>
          <w:bCs/>
          <w:noProof/>
          <w:sz w:val="28"/>
          <w:szCs w:val="26"/>
        </w:rPr>
        <w:t>16+ options</w:t>
      </w:r>
    </w:p>
    <w:p w14:paraId="47C3FAE0" w14:textId="370188E8" w:rsidR="008E67B2" w:rsidRPr="00893B72" w:rsidRDefault="00270AA7" w:rsidP="002E0953">
      <w:pPr>
        <w:rPr>
          <w:noProof/>
        </w:rPr>
      </w:pPr>
      <w:r>
        <w:rPr>
          <w:noProof/>
        </w:rPr>
        <w:t>Parents are most likely to be aware of A-levels</w:t>
      </w:r>
      <w:r w:rsidR="00CD2DE9">
        <w:rPr>
          <w:noProof/>
        </w:rPr>
        <w:t xml:space="preserve"> (76%)</w:t>
      </w:r>
      <w:r>
        <w:rPr>
          <w:noProof/>
        </w:rPr>
        <w:t xml:space="preserve"> as </w:t>
      </w:r>
      <w:r w:rsidR="00CD2DE9">
        <w:rPr>
          <w:noProof/>
        </w:rPr>
        <w:t xml:space="preserve">a 16+ option for their children, though more than 3 in 5 are aware of </w:t>
      </w:r>
      <w:r w:rsidR="0067177C">
        <w:rPr>
          <w:noProof/>
        </w:rPr>
        <w:t>apprenticeships</w:t>
      </w:r>
      <w:r w:rsidR="00CD2DE9">
        <w:rPr>
          <w:noProof/>
        </w:rPr>
        <w:t xml:space="preserve"> (69%) and BTECS (61%). Awareness is lower </w:t>
      </w:r>
      <w:r w:rsidR="0067177C">
        <w:rPr>
          <w:noProof/>
        </w:rPr>
        <w:t>for</w:t>
      </w:r>
      <w:r w:rsidR="00CD2DE9">
        <w:rPr>
          <w:noProof/>
        </w:rPr>
        <w:t xml:space="preserve"> Higher technical qualifications (33%), T-levels (24%)</w:t>
      </w:r>
      <w:r w:rsidR="0067177C">
        <w:rPr>
          <w:noProof/>
        </w:rPr>
        <w:t>,</w:t>
      </w:r>
      <w:r w:rsidR="00CD2DE9">
        <w:rPr>
          <w:noProof/>
        </w:rPr>
        <w:t xml:space="preserve"> and the English Baccalaureate/EBacc (18%). Awareness of 16+ options is generally higher amongst parents from higher socio-economic backgrounds and educational levels.</w:t>
      </w:r>
    </w:p>
    <w:tbl>
      <w:tblPr>
        <w:tblStyle w:val="BMG"/>
        <w:tblW w:w="0" w:type="auto"/>
        <w:tblLook w:val="04A0" w:firstRow="1" w:lastRow="0" w:firstColumn="1" w:lastColumn="0" w:noHBand="0" w:noVBand="1"/>
      </w:tblPr>
      <w:tblGrid>
        <w:gridCol w:w="5240"/>
        <w:gridCol w:w="2650"/>
      </w:tblGrid>
      <w:tr w:rsidR="00270AA7" w14:paraId="1E82A28E" w14:textId="77777777" w:rsidTr="002A5FA5">
        <w:trPr>
          <w:cnfStyle w:val="100000000000" w:firstRow="1" w:lastRow="0" w:firstColumn="0" w:lastColumn="0" w:oddVBand="0" w:evenVBand="0" w:oddHBand="0" w:evenHBand="0" w:firstRowFirstColumn="0" w:firstRowLastColumn="0" w:lastRowFirstColumn="0" w:lastRowLastColumn="0"/>
          <w:trHeight w:val="291"/>
        </w:trPr>
        <w:tc>
          <w:tcPr>
            <w:tcW w:w="5240" w:type="dxa"/>
          </w:tcPr>
          <w:p w14:paraId="7BE3FCFC" w14:textId="62CE87FD" w:rsidR="00270AA7" w:rsidRPr="00FD68EB" w:rsidRDefault="00270AA7" w:rsidP="002A5FA5">
            <w:pPr>
              <w:rPr>
                <w:noProof/>
                <w:color w:val="FFFFFF" w:themeColor="background1"/>
              </w:rPr>
            </w:pPr>
            <w:r w:rsidRPr="00FD68EB">
              <w:rPr>
                <w:noProof/>
                <w:color w:val="FFFFFF" w:themeColor="background1"/>
              </w:rPr>
              <w:t>Educational</w:t>
            </w:r>
            <w:r>
              <w:rPr>
                <w:noProof/>
                <w:color w:val="FFFFFF" w:themeColor="background1"/>
              </w:rPr>
              <w:t xml:space="preserve"> option</w:t>
            </w:r>
          </w:p>
        </w:tc>
        <w:tc>
          <w:tcPr>
            <w:tcW w:w="2650" w:type="dxa"/>
          </w:tcPr>
          <w:p w14:paraId="746D41CF" w14:textId="01636AA1" w:rsidR="00270AA7" w:rsidRPr="00FD68EB" w:rsidRDefault="00270AA7" w:rsidP="002A5FA5">
            <w:pPr>
              <w:rPr>
                <w:noProof/>
                <w:color w:val="FFFFFF" w:themeColor="background1"/>
              </w:rPr>
            </w:pPr>
            <w:r w:rsidRPr="00FD68EB">
              <w:rPr>
                <w:noProof/>
                <w:color w:val="FFFFFF" w:themeColor="background1"/>
              </w:rPr>
              <w:t xml:space="preserve">Percentage </w:t>
            </w:r>
            <w:r>
              <w:rPr>
                <w:noProof/>
                <w:color w:val="FFFFFF" w:themeColor="background1"/>
              </w:rPr>
              <w:t>aware of this</w:t>
            </w:r>
          </w:p>
        </w:tc>
      </w:tr>
      <w:tr w:rsidR="00270AA7" w14:paraId="44626116"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62FCA3E2" w14:textId="3D068C19" w:rsidR="00270AA7" w:rsidRDefault="00270AA7" w:rsidP="00270AA7">
            <w:pPr>
              <w:rPr>
                <w:rFonts w:ascii="Calibri" w:hAnsi="Calibri" w:cs="Calibri"/>
                <w:color w:val="000000"/>
              </w:rPr>
            </w:pPr>
            <w:r>
              <w:rPr>
                <w:rFonts w:ascii="Calibri" w:hAnsi="Calibri" w:cs="Calibri"/>
                <w:color w:val="000000"/>
              </w:rPr>
              <w:t>A-levels</w:t>
            </w:r>
          </w:p>
        </w:tc>
        <w:tc>
          <w:tcPr>
            <w:tcW w:w="2650" w:type="dxa"/>
          </w:tcPr>
          <w:p w14:paraId="1127F157" w14:textId="3F396603" w:rsidR="00270AA7" w:rsidRDefault="00270AA7" w:rsidP="00270AA7">
            <w:pPr>
              <w:rPr>
                <w:noProof/>
                <w:color w:val="auto"/>
              </w:rPr>
            </w:pPr>
            <w:r>
              <w:rPr>
                <w:noProof/>
                <w:color w:val="auto"/>
              </w:rPr>
              <w:t>76%</w:t>
            </w:r>
          </w:p>
        </w:tc>
      </w:tr>
      <w:tr w:rsidR="00270AA7" w14:paraId="215EE9E9" w14:textId="77777777" w:rsidTr="002A5FA5">
        <w:trPr>
          <w:cnfStyle w:val="000000010000" w:firstRow="0" w:lastRow="0" w:firstColumn="0" w:lastColumn="0" w:oddVBand="0" w:evenVBand="0" w:oddHBand="0" w:evenHBand="1" w:firstRowFirstColumn="0" w:firstRowLastColumn="0" w:lastRowFirstColumn="0" w:lastRowLastColumn="0"/>
          <w:trHeight w:val="291"/>
        </w:trPr>
        <w:tc>
          <w:tcPr>
            <w:tcW w:w="5240" w:type="dxa"/>
            <w:vAlign w:val="bottom"/>
          </w:tcPr>
          <w:p w14:paraId="14A2DAE9" w14:textId="7691B5E3" w:rsidR="00270AA7" w:rsidRPr="00FD68EB" w:rsidRDefault="00270AA7" w:rsidP="00270AA7">
            <w:pPr>
              <w:rPr>
                <w:rFonts w:ascii="Calibri" w:hAnsi="Calibri" w:cs="Calibri"/>
                <w:color w:val="000000"/>
              </w:rPr>
            </w:pPr>
            <w:r>
              <w:rPr>
                <w:rFonts w:ascii="Calibri" w:hAnsi="Calibri" w:cs="Calibri"/>
                <w:color w:val="000000"/>
              </w:rPr>
              <w:t>Apprenticeships</w:t>
            </w:r>
          </w:p>
        </w:tc>
        <w:tc>
          <w:tcPr>
            <w:tcW w:w="2650" w:type="dxa"/>
          </w:tcPr>
          <w:p w14:paraId="46B4CE66" w14:textId="4EFBC957" w:rsidR="00270AA7" w:rsidRPr="00FD68EB" w:rsidRDefault="00270AA7" w:rsidP="00270AA7">
            <w:pPr>
              <w:rPr>
                <w:noProof/>
                <w:color w:val="auto"/>
              </w:rPr>
            </w:pPr>
            <w:r>
              <w:rPr>
                <w:noProof/>
                <w:color w:val="auto"/>
              </w:rPr>
              <w:t>69%</w:t>
            </w:r>
          </w:p>
        </w:tc>
      </w:tr>
      <w:tr w:rsidR="00270AA7" w14:paraId="7C9B5784" w14:textId="77777777" w:rsidTr="002A5FA5">
        <w:trPr>
          <w:cnfStyle w:val="000000100000" w:firstRow="0" w:lastRow="0" w:firstColumn="0" w:lastColumn="0" w:oddVBand="0" w:evenVBand="0" w:oddHBand="1" w:evenHBand="0" w:firstRowFirstColumn="0" w:firstRowLastColumn="0" w:lastRowFirstColumn="0" w:lastRowLastColumn="0"/>
          <w:trHeight w:val="300"/>
        </w:trPr>
        <w:tc>
          <w:tcPr>
            <w:tcW w:w="5240" w:type="dxa"/>
            <w:vAlign w:val="bottom"/>
          </w:tcPr>
          <w:p w14:paraId="514054BA" w14:textId="4E9C0407" w:rsidR="00270AA7" w:rsidRDefault="00270AA7" w:rsidP="00270AA7">
            <w:pPr>
              <w:rPr>
                <w:noProof/>
              </w:rPr>
            </w:pPr>
            <w:r>
              <w:rPr>
                <w:rFonts w:ascii="Calibri" w:hAnsi="Calibri" w:cs="Calibri"/>
                <w:color w:val="000000"/>
              </w:rPr>
              <w:t>BTECS</w:t>
            </w:r>
          </w:p>
        </w:tc>
        <w:tc>
          <w:tcPr>
            <w:tcW w:w="2650" w:type="dxa"/>
          </w:tcPr>
          <w:p w14:paraId="2BFF4F8B" w14:textId="52536552" w:rsidR="00270AA7" w:rsidRPr="00FD68EB" w:rsidRDefault="00270AA7" w:rsidP="00270AA7">
            <w:pPr>
              <w:rPr>
                <w:noProof/>
                <w:color w:val="auto"/>
              </w:rPr>
            </w:pPr>
            <w:r>
              <w:rPr>
                <w:noProof/>
                <w:color w:val="auto"/>
              </w:rPr>
              <w:t>61%</w:t>
            </w:r>
          </w:p>
        </w:tc>
      </w:tr>
      <w:tr w:rsidR="00270AA7" w14:paraId="3B1927AA" w14:textId="77777777" w:rsidTr="002A5FA5">
        <w:trPr>
          <w:cnfStyle w:val="000000010000" w:firstRow="0" w:lastRow="0" w:firstColumn="0" w:lastColumn="0" w:oddVBand="0" w:evenVBand="0" w:oddHBand="0" w:evenHBand="1" w:firstRowFirstColumn="0" w:firstRowLastColumn="0" w:lastRowFirstColumn="0" w:lastRowLastColumn="0"/>
          <w:trHeight w:val="291"/>
        </w:trPr>
        <w:tc>
          <w:tcPr>
            <w:tcW w:w="5240" w:type="dxa"/>
            <w:vAlign w:val="bottom"/>
          </w:tcPr>
          <w:p w14:paraId="6E7962DA" w14:textId="29033B3A" w:rsidR="00270AA7" w:rsidRDefault="00270AA7" w:rsidP="00270AA7">
            <w:pPr>
              <w:rPr>
                <w:noProof/>
              </w:rPr>
            </w:pPr>
            <w:r>
              <w:rPr>
                <w:rFonts w:ascii="Calibri" w:hAnsi="Calibri" w:cs="Calibri"/>
                <w:color w:val="000000"/>
              </w:rPr>
              <w:t>Vocational (practical courses)</w:t>
            </w:r>
          </w:p>
        </w:tc>
        <w:tc>
          <w:tcPr>
            <w:tcW w:w="2650" w:type="dxa"/>
          </w:tcPr>
          <w:p w14:paraId="41D247CC" w14:textId="7C03F556" w:rsidR="00270AA7" w:rsidRPr="00FD68EB" w:rsidRDefault="00270AA7" w:rsidP="00270AA7">
            <w:pPr>
              <w:rPr>
                <w:noProof/>
                <w:color w:val="auto"/>
              </w:rPr>
            </w:pPr>
            <w:r>
              <w:rPr>
                <w:noProof/>
                <w:color w:val="auto"/>
              </w:rPr>
              <w:t>45%</w:t>
            </w:r>
          </w:p>
        </w:tc>
      </w:tr>
      <w:tr w:rsidR="00270AA7" w14:paraId="3E123CFB"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4F137455" w14:textId="71D7FAEC" w:rsidR="00270AA7" w:rsidRDefault="00270AA7" w:rsidP="00270AA7">
            <w:pPr>
              <w:rPr>
                <w:noProof/>
              </w:rPr>
            </w:pPr>
            <w:r>
              <w:rPr>
                <w:rFonts w:ascii="Calibri" w:hAnsi="Calibri" w:cs="Calibri"/>
                <w:color w:val="000000"/>
              </w:rPr>
              <w:t>Higher Technical qualifications</w:t>
            </w:r>
          </w:p>
        </w:tc>
        <w:tc>
          <w:tcPr>
            <w:tcW w:w="2650" w:type="dxa"/>
          </w:tcPr>
          <w:p w14:paraId="3862B6F9" w14:textId="05C22F0B" w:rsidR="00270AA7" w:rsidRPr="00FD68EB" w:rsidRDefault="00270AA7" w:rsidP="00270AA7">
            <w:pPr>
              <w:rPr>
                <w:noProof/>
                <w:color w:val="auto"/>
              </w:rPr>
            </w:pPr>
            <w:r>
              <w:rPr>
                <w:noProof/>
                <w:color w:val="auto"/>
              </w:rPr>
              <w:t>33%</w:t>
            </w:r>
          </w:p>
        </w:tc>
      </w:tr>
      <w:tr w:rsidR="00270AA7" w14:paraId="32AA26AA" w14:textId="77777777" w:rsidTr="002A5FA5">
        <w:trPr>
          <w:cnfStyle w:val="000000010000" w:firstRow="0" w:lastRow="0" w:firstColumn="0" w:lastColumn="0" w:oddVBand="0" w:evenVBand="0" w:oddHBand="0" w:evenHBand="1" w:firstRowFirstColumn="0" w:firstRowLastColumn="0" w:lastRowFirstColumn="0" w:lastRowLastColumn="0"/>
          <w:trHeight w:val="291"/>
        </w:trPr>
        <w:tc>
          <w:tcPr>
            <w:tcW w:w="5240" w:type="dxa"/>
            <w:vAlign w:val="bottom"/>
          </w:tcPr>
          <w:p w14:paraId="254BE7D1" w14:textId="3A16E9D6" w:rsidR="00270AA7" w:rsidRDefault="00270AA7" w:rsidP="00270AA7">
            <w:pPr>
              <w:rPr>
                <w:rFonts w:ascii="Calibri" w:hAnsi="Calibri" w:cs="Calibri"/>
                <w:color w:val="000000"/>
              </w:rPr>
            </w:pPr>
            <w:r>
              <w:rPr>
                <w:rFonts w:ascii="Calibri" w:hAnsi="Calibri" w:cs="Calibri"/>
                <w:color w:val="000000"/>
              </w:rPr>
              <w:t>T-levels</w:t>
            </w:r>
          </w:p>
        </w:tc>
        <w:tc>
          <w:tcPr>
            <w:tcW w:w="2650" w:type="dxa"/>
          </w:tcPr>
          <w:p w14:paraId="6C090FA5" w14:textId="1C15906F" w:rsidR="00270AA7" w:rsidRPr="00FD68EB" w:rsidRDefault="00270AA7" w:rsidP="00270AA7">
            <w:pPr>
              <w:rPr>
                <w:noProof/>
                <w:color w:val="auto"/>
              </w:rPr>
            </w:pPr>
            <w:r>
              <w:rPr>
                <w:noProof/>
                <w:color w:val="auto"/>
              </w:rPr>
              <w:t>24%</w:t>
            </w:r>
          </w:p>
        </w:tc>
      </w:tr>
      <w:tr w:rsidR="00270AA7" w14:paraId="296F063F"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2C26BFCB" w14:textId="030CED9C" w:rsidR="00270AA7" w:rsidRDefault="00270AA7" w:rsidP="00270AA7">
            <w:pPr>
              <w:rPr>
                <w:rFonts w:ascii="Calibri" w:hAnsi="Calibri" w:cs="Calibri"/>
                <w:color w:val="000000"/>
              </w:rPr>
            </w:pPr>
            <w:r>
              <w:rPr>
                <w:rFonts w:ascii="Calibri" w:hAnsi="Calibri" w:cs="Calibri"/>
                <w:color w:val="000000"/>
              </w:rPr>
              <w:t>English Baccalaureate (EBacc)</w:t>
            </w:r>
          </w:p>
        </w:tc>
        <w:tc>
          <w:tcPr>
            <w:tcW w:w="2650" w:type="dxa"/>
          </w:tcPr>
          <w:p w14:paraId="659893E8" w14:textId="2392958C" w:rsidR="00270AA7" w:rsidRPr="00FD68EB" w:rsidRDefault="00270AA7" w:rsidP="00270AA7">
            <w:pPr>
              <w:rPr>
                <w:noProof/>
                <w:color w:val="auto"/>
              </w:rPr>
            </w:pPr>
            <w:r>
              <w:rPr>
                <w:noProof/>
                <w:color w:val="auto"/>
              </w:rPr>
              <w:t>18%</w:t>
            </w:r>
          </w:p>
        </w:tc>
      </w:tr>
      <w:tr w:rsidR="00270AA7" w14:paraId="3F5E403F" w14:textId="77777777" w:rsidTr="002A5FA5">
        <w:trPr>
          <w:cnfStyle w:val="000000010000" w:firstRow="0" w:lastRow="0" w:firstColumn="0" w:lastColumn="0" w:oddVBand="0" w:evenVBand="0" w:oddHBand="0" w:evenHBand="1" w:firstRowFirstColumn="0" w:firstRowLastColumn="0" w:lastRowFirstColumn="0" w:lastRowLastColumn="0"/>
          <w:trHeight w:val="291"/>
        </w:trPr>
        <w:tc>
          <w:tcPr>
            <w:tcW w:w="5240" w:type="dxa"/>
            <w:vAlign w:val="bottom"/>
          </w:tcPr>
          <w:p w14:paraId="234F65FF" w14:textId="2204255B" w:rsidR="00270AA7" w:rsidRDefault="00270AA7" w:rsidP="00270AA7">
            <w:pPr>
              <w:rPr>
                <w:rFonts w:ascii="Calibri" w:hAnsi="Calibri" w:cs="Calibri"/>
                <w:color w:val="000000"/>
              </w:rPr>
            </w:pPr>
            <w:r>
              <w:rPr>
                <w:rFonts w:ascii="Calibri" w:hAnsi="Calibri" w:cs="Calibri"/>
                <w:color w:val="000000"/>
              </w:rPr>
              <w:t>Other</w:t>
            </w:r>
          </w:p>
        </w:tc>
        <w:tc>
          <w:tcPr>
            <w:tcW w:w="2650" w:type="dxa"/>
          </w:tcPr>
          <w:p w14:paraId="3808A993" w14:textId="4B2D1AC7" w:rsidR="00270AA7" w:rsidRPr="00FD68EB" w:rsidRDefault="00270AA7" w:rsidP="00270AA7">
            <w:pPr>
              <w:rPr>
                <w:noProof/>
                <w:color w:val="auto"/>
              </w:rPr>
            </w:pPr>
            <w:r>
              <w:rPr>
                <w:noProof/>
                <w:color w:val="auto"/>
              </w:rPr>
              <w:t>8%</w:t>
            </w:r>
          </w:p>
        </w:tc>
      </w:tr>
      <w:tr w:rsidR="00270AA7" w14:paraId="1F679BF7"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7F25FA96" w14:textId="7DAFF348" w:rsidR="00270AA7" w:rsidRDefault="00270AA7" w:rsidP="00270AA7">
            <w:pPr>
              <w:rPr>
                <w:rFonts w:ascii="Calibri" w:hAnsi="Calibri" w:cs="Calibri"/>
                <w:color w:val="000000"/>
              </w:rPr>
            </w:pPr>
            <w:r>
              <w:rPr>
                <w:rFonts w:ascii="Calibri" w:hAnsi="Calibri" w:cs="Calibri"/>
                <w:color w:val="000000"/>
              </w:rPr>
              <w:t>None of the above</w:t>
            </w:r>
          </w:p>
        </w:tc>
        <w:tc>
          <w:tcPr>
            <w:tcW w:w="2650" w:type="dxa"/>
          </w:tcPr>
          <w:p w14:paraId="6F0B4BCB" w14:textId="3D1DC9B0" w:rsidR="00270AA7" w:rsidRPr="00FD68EB" w:rsidRDefault="00270AA7" w:rsidP="00270AA7">
            <w:pPr>
              <w:rPr>
                <w:noProof/>
                <w:color w:val="auto"/>
              </w:rPr>
            </w:pPr>
            <w:r>
              <w:rPr>
                <w:noProof/>
                <w:color w:val="auto"/>
              </w:rPr>
              <w:t>11%</w:t>
            </w:r>
          </w:p>
        </w:tc>
      </w:tr>
    </w:tbl>
    <w:p w14:paraId="08198B26" w14:textId="2CA21243" w:rsidR="002E0953" w:rsidRDefault="00CD2DE9">
      <w:pPr>
        <w:rPr>
          <w:noProof/>
          <w:sz w:val="18"/>
          <w:szCs w:val="18"/>
        </w:rPr>
      </w:pPr>
      <w:r w:rsidRPr="00FD68EB">
        <w:rPr>
          <w:noProof/>
          <w:sz w:val="18"/>
          <w:szCs w:val="18"/>
        </w:rPr>
        <w:t>Q</w:t>
      </w:r>
      <w:r>
        <w:rPr>
          <w:noProof/>
          <w:sz w:val="18"/>
          <w:szCs w:val="18"/>
        </w:rPr>
        <w:t>2</w:t>
      </w:r>
      <w:r w:rsidRPr="00FD68EB">
        <w:rPr>
          <w:noProof/>
          <w:sz w:val="18"/>
          <w:szCs w:val="18"/>
        </w:rPr>
        <w:t xml:space="preserve">. </w:t>
      </w:r>
      <w:r w:rsidRPr="00CD2DE9">
        <w:rPr>
          <w:noProof/>
          <w:sz w:val="18"/>
          <w:szCs w:val="18"/>
        </w:rPr>
        <w:t xml:space="preserve">Which qualifications are you aware of as options for your child/children after year 11? </w:t>
      </w:r>
      <w:r w:rsidRPr="00FD68EB">
        <w:rPr>
          <w:noProof/>
          <w:sz w:val="18"/>
          <w:szCs w:val="18"/>
        </w:rPr>
        <w:t>Please select all that apply.</w:t>
      </w:r>
    </w:p>
    <w:p w14:paraId="5B7F9043" w14:textId="390920B7" w:rsidR="00784C5A" w:rsidRDefault="0067177C">
      <w:pPr>
        <w:rPr>
          <w:noProof/>
        </w:rPr>
      </w:pPr>
      <w:r>
        <w:rPr>
          <w:noProof/>
        </w:rPr>
        <w:t>Two-thirds</w:t>
      </w:r>
      <w:r w:rsidR="00784C5A" w:rsidRPr="00784C5A">
        <w:rPr>
          <w:noProof/>
        </w:rPr>
        <w:t xml:space="preserve"> (66%)</w:t>
      </w:r>
      <w:r w:rsidR="003138FB" w:rsidRPr="00784C5A">
        <w:rPr>
          <w:noProof/>
        </w:rPr>
        <w:t xml:space="preserve"> of parents say they are familiar with the steps required for their child to </w:t>
      </w:r>
      <w:r>
        <w:rPr>
          <w:noProof/>
        </w:rPr>
        <w:t>attend</w:t>
      </w:r>
      <w:r w:rsidR="003138FB" w:rsidRPr="00784C5A">
        <w:rPr>
          <w:noProof/>
        </w:rPr>
        <w:t xml:space="preserve"> university. This is slightly higher than the awareness of the </w:t>
      </w:r>
      <w:r>
        <w:rPr>
          <w:noProof/>
        </w:rPr>
        <w:t>alternative</w:t>
      </w:r>
      <w:r w:rsidR="003138FB" w:rsidRPr="00784C5A">
        <w:rPr>
          <w:noProof/>
        </w:rPr>
        <w:t xml:space="preserve"> steps required to into employment with training at 16</w:t>
      </w:r>
      <w:r w:rsidR="00784C5A" w:rsidRPr="00784C5A">
        <w:rPr>
          <w:noProof/>
        </w:rPr>
        <w:t>, but awareness of this is still good with almost 3 in 5 (57%) saying they are aware.</w:t>
      </w:r>
      <w:r w:rsidR="00784C5A">
        <w:rPr>
          <w:noProof/>
        </w:rPr>
        <w:t xml:space="preserve"> </w:t>
      </w:r>
    </w:p>
    <w:p w14:paraId="349F0D26" w14:textId="56BDB6E9" w:rsidR="00784C5A" w:rsidRPr="00784C5A" w:rsidRDefault="00784C5A">
      <w:pPr>
        <w:rPr>
          <w:noProof/>
        </w:rPr>
      </w:pPr>
      <w:r>
        <w:rPr>
          <w:noProof/>
        </w:rPr>
        <w:t>Familiarity with the steps required for university is much higher for those from higher socio-economic backgrounds, as the degree of that familiarity – for example</w:t>
      </w:r>
      <w:r w:rsidR="0067177C">
        <w:rPr>
          <w:noProof/>
        </w:rPr>
        <w:t>,</w:t>
      </w:r>
      <w:r>
        <w:rPr>
          <w:noProof/>
        </w:rPr>
        <w:t xml:space="preserve"> those from ABC1 backgrounds are significantly more likely to be “very familiar” than those from C</w:t>
      </w:r>
      <w:r w:rsidR="0085348B">
        <w:rPr>
          <w:noProof/>
        </w:rPr>
        <w:t>2</w:t>
      </w:r>
      <w:r>
        <w:rPr>
          <w:noProof/>
        </w:rPr>
        <w:t xml:space="preserve"> backgrounds, while C2 are more likely to be “somewhat familiar”.</w:t>
      </w:r>
      <w:r w:rsidR="00DE1CFD">
        <w:rPr>
          <w:noProof/>
        </w:rPr>
        <w:t xml:space="preserve"> </w:t>
      </w:r>
      <w:r>
        <w:rPr>
          <w:noProof/>
        </w:rPr>
        <w:t>However</w:t>
      </w:r>
      <w:r w:rsidR="0067177C">
        <w:rPr>
          <w:noProof/>
        </w:rPr>
        <w:t>,</w:t>
      </w:r>
      <w:r>
        <w:rPr>
          <w:noProof/>
        </w:rPr>
        <w:t xml:space="preserve"> there is less of a notable difference between socio-economic grades in the awareness of the steps required to go into employment with training.</w:t>
      </w:r>
    </w:p>
    <w:tbl>
      <w:tblPr>
        <w:tblStyle w:val="BMG"/>
        <w:tblW w:w="0" w:type="auto"/>
        <w:tblLook w:val="04A0" w:firstRow="1" w:lastRow="0" w:firstColumn="1" w:lastColumn="0" w:noHBand="0" w:noVBand="1"/>
      </w:tblPr>
      <w:tblGrid>
        <w:gridCol w:w="5240"/>
        <w:gridCol w:w="2650"/>
      </w:tblGrid>
      <w:tr w:rsidR="003138FB" w14:paraId="50C82DAF" w14:textId="77777777" w:rsidTr="002A5FA5">
        <w:trPr>
          <w:cnfStyle w:val="100000000000" w:firstRow="1" w:lastRow="0" w:firstColumn="0" w:lastColumn="0" w:oddVBand="0" w:evenVBand="0" w:oddHBand="0" w:evenHBand="0" w:firstRowFirstColumn="0" w:firstRowLastColumn="0" w:lastRowFirstColumn="0" w:lastRowLastColumn="0"/>
          <w:trHeight w:val="291"/>
        </w:trPr>
        <w:tc>
          <w:tcPr>
            <w:tcW w:w="5240" w:type="dxa"/>
          </w:tcPr>
          <w:p w14:paraId="4523CB67" w14:textId="400A427B" w:rsidR="003138FB" w:rsidRPr="00FD68EB" w:rsidRDefault="003138FB" w:rsidP="002A5FA5">
            <w:pPr>
              <w:rPr>
                <w:noProof/>
                <w:color w:val="FFFFFF" w:themeColor="background1"/>
              </w:rPr>
            </w:pPr>
            <w:r>
              <w:rPr>
                <w:noProof/>
                <w:color w:val="FFFFFF" w:themeColor="background1"/>
              </w:rPr>
              <w:lastRenderedPageBreak/>
              <w:t>Future option</w:t>
            </w:r>
          </w:p>
        </w:tc>
        <w:tc>
          <w:tcPr>
            <w:tcW w:w="2650" w:type="dxa"/>
          </w:tcPr>
          <w:p w14:paraId="093EFEF8" w14:textId="471EE8A1" w:rsidR="003138FB" w:rsidRPr="00FD68EB" w:rsidRDefault="003138FB" w:rsidP="002A5FA5">
            <w:pPr>
              <w:rPr>
                <w:noProof/>
                <w:color w:val="FFFFFF" w:themeColor="background1"/>
              </w:rPr>
            </w:pPr>
            <w:r w:rsidRPr="00FD68EB">
              <w:rPr>
                <w:noProof/>
                <w:color w:val="FFFFFF" w:themeColor="background1"/>
              </w:rPr>
              <w:t xml:space="preserve">Percentage </w:t>
            </w:r>
            <w:r>
              <w:rPr>
                <w:noProof/>
                <w:color w:val="FFFFFF" w:themeColor="background1"/>
              </w:rPr>
              <w:t xml:space="preserve">familiar with the steps required for </w:t>
            </w:r>
            <w:r w:rsidR="0067177C">
              <w:rPr>
                <w:noProof/>
                <w:color w:val="FFFFFF" w:themeColor="background1"/>
              </w:rPr>
              <w:t xml:space="preserve">a </w:t>
            </w:r>
            <w:r>
              <w:rPr>
                <w:noProof/>
                <w:color w:val="FFFFFF" w:themeColor="background1"/>
              </w:rPr>
              <w:t>child to do this</w:t>
            </w:r>
          </w:p>
        </w:tc>
      </w:tr>
      <w:tr w:rsidR="003138FB" w14:paraId="14A5374C" w14:textId="77777777" w:rsidTr="002A5FA5">
        <w:trPr>
          <w:cnfStyle w:val="000000100000" w:firstRow="0" w:lastRow="0" w:firstColumn="0" w:lastColumn="0" w:oddVBand="0" w:evenVBand="0" w:oddHBand="1" w:evenHBand="0" w:firstRowFirstColumn="0" w:firstRowLastColumn="0" w:lastRowFirstColumn="0" w:lastRowLastColumn="0"/>
          <w:trHeight w:val="300"/>
        </w:trPr>
        <w:tc>
          <w:tcPr>
            <w:tcW w:w="5240" w:type="dxa"/>
            <w:vAlign w:val="bottom"/>
          </w:tcPr>
          <w:p w14:paraId="7D9956FF" w14:textId="160862B0" w:rsidR="003138FB" w:rsidRDefault="003138FB" w:rsidP="002A5FA5">
            <w:pPr>
              <w:rPr>
                <w:noProof/>
              </w:rPr>
            </w:pPr>
            <w:r w:rsidRPr="003138FB">
              <w:rPr>
                <w:rFonts w:ascii="Calibri" w:hAnsi="Calibri" w:cs="Calibri"/>
                <w:color w:val="000000"/>
              </w:rPr>
              <w:t>University</w:t>
            </w:r>
          </w:p>
        </w:tc>
        <w:tc>
          <w:tcPr>
            <w:tcW w:w="2650" w:type="dxa"/>
          </w:tcPr>
          <w:p w14:paraId="7EAB81F3" w14:textId="64485C8D" w:rsidR="003138FB" w:rsidRPr="00FD68EB" w:rsidRDefault="003138FB" w:rsidP="002A5FA5">
            <w:pPr>
              <w:rPr>
                <w:noProof/>
                <w:color w:val="auto"/>
              </w:rPr>
            </w:pPr>
            <w:r>
              <w:rPr>
                <w:noProof/>
                <w:color w:val="auto"/>
              </w:rPr>
              <w:t>66%</w:t>
            </w:r>
          </w:p>
        </w:tc>
      </w:tr>
      <w:tr w:rsidR="003138FB" w14:paraId="75CE0980" w14:textId="77777777" w:rsidTr="002A5FA5">
        <w:trPr>
          <w:cnfStyle w:val="000000010000" w:firstRow="0" w:lastRow="0" w:firstColumn="0" w:lastColumn="0" w:oddVBand="0" w:evenVBand="0" w:oddHBand="0" w:evenHBand="1" w:firstRowFirstColumn="0" w:firstRowLastColumn="0" w:lastRowFirstColumn="0" w:lastRowLastColumn="0"/>
          <w:trHeight w:val="300"/>
        </w:trPr>
        <w:tc>
          <w:tcPr>
            <w:tcW w:w="5240" w:type="dxa"/>
            <w:vAlign w:val="bottom"/>
          </w:tcPr>
          <w:p w14:paraId="65714CCD" w14:textId="2A29E38B" w:rsidR="003138FB" w:rsidRPr="003138FB" w:rsidRDefault="003138FB" w:rsidP="003138FB">
            <w:pPr>
              <w:rPr>
                <w:rFonts w:ascii="Calibri" w:hAnsi="Calibri" w:cs="Calibri"/>
                <w:color w:val="000000"/>
              </w:rPr>
            </w:pPr>
            <w:r>
              <w:rPr>
                <w:rFonts w:ascii="Calibri" w:hAnsi="Calibri" w:cs="Calibri"/>
                <w:color w:val="000000"/>
              </w:rPr>
              <w:t>E</w:t>
            </w:r>
            <w:r w:rsidRPr="003138FB">
              <w:rPr>
                <w:rFonts w:ascii="Calibri" w:hAnsi="Calibri" w:cs="Calibri"/>
                <w:color w:val="000000"/>
              </w:rPr>
              <w:t>mployment with training at 16</w:t>
            </w:r>
          </w:p>
        </w:tc>
        <w:tc>
          <w:tcPr>
            <w:tcW w:w="2650" w:type="dxa"/>
          </w:tcPr>
          <w:p w14:paraId="469C50A1" w14:textId="240B02F2" w:rsidR="003138FB" w:rsidRDefault="003138FB" w:rsidP="003138FB">
            <w:pPr>
              <w:rPr>
                <w:noProof/>
                <w:color w:val="auto"/>
              </w:rPr>
            </w:pPr>
            <w:r>
              <w:rPr>
                <w:noProof/>
                <w:color w:val="auto"/>
              </w:rPr>
              <w:t>57%</w:t>
            </w:r>
          </w:p>
        </w:tc>
      </w:tr>
    </w:tbl>
    <w:p w14:paraId="6D825922" w14:textId="7F41EA8C" w:rsidR="00CD2DE9" w:rsidRDefault="003138FB">
      <w:pPr>
        <w:rPr>
          <w:noProof/>
          <w:sz w:val="18"/>
          <w:szCs w:val="18"/>
        </w:rPr>
      </w:pPr>
      <w:r w:rsidRPr="00FD68EB">
        <w:rPr>
          <w:noProof/>
          <w:sz w:val="18"/>
          <w:szCs w:val="18"/>
        </w:rPr>
        <w:t>Q</w:t>
      </w:r>
      <w:r>
        <w:rPr>
          <w:noProof/>
          <w:sz w:val="18"/>
          <w:szCs w:val="18"/>
        </w:rPr>
        <w:t>3</w:t>
      </w:r>
      <w:r w:rsidRPr="00FD68EB">
        <w:rPr>
          <w:noProof/>
          <w:sz w:val="18"/>
          <w:szCs w:val="18"/>
        </w:rPr>
        <w:t xml:space="preserve">. </w:t>
      </w:r>
      <w:r w:rsidRPr="003138FB">
        <w:rPr>
          <w:noProof/>
          <w:sz w:val="18"/>
          <w:szCs w:val="18"/>
        </w:rPr>
        <w:t>How familiar, if at all, are you with the steps required for your child/children if they want/wanted to go into</w:t>
      </w:r>
      <w:r>
        <w:rPr>
          <w:noProof/>
          <w:sz w:val="18"/>
          <w:szCs w:val="18"/>
        </w:rPr>
        <w:t>…</w:t>
      </w:r>
      <w:r w:rsidRPr="003138FB">
        <w:rPr>
          <w:noProof/>
          <w:sz w:val="18"/>
          <w:szCs w:val="18"/>
        </w:rPr>
        <w:t>?</w:t>
      </w:r>
    </w:p>
    <w:p w14:paraId="1ED00023" w14:textId="12FA78CF" w:rsidR="003138FB" w:rsidRDefault="002C37C7">
      <w:pPr>
        <w:rPr>
          <w:noProof/>
        </w:rPr>
      </w:pPr>
      <w:r>
        <w:rPr>
          <w:noProof/>
        </w:rPr>
        <w:t>Familiarity with the steps required to take A-levels is good amongst those aware of them as an option for their children, with 86% saying they know what is required. However, even if parents are aware of Higher Technical qualifications or T-levels as options for their children, familiarity with the steps required for their child to take these is much lower – Only 3 in 5 of those aware of Higher Technical qualifications (57%) and half of those aware of T-levels (47%) would know how to support their child to take these.</w:t>
      </w:r>
    </w:p>
    <w:tbl>
      <w:tblPr>
        <w:tblStyle w:val="BMG"/>
        <w:tblW w:w="0" w:type="auto"/>
        <w:tblLook w:val="04A0" w:firstRow="1" w:lastRow="0" w:firstColumn="1" w:lastColumn="0" w:noHBand="0" w:noVBand="1"/>
      </w:tblPr>
      <w:tblGrid>
        <w:gridCol w:w="5240"/>
        <w:gridCol w:w="2650"/>
      </w:tblGrid>
      <w:tr w:rsidR="003138FB" w14:paraId="629D4BBA" w14:textId="77777777" w:rsidTr="002A5FA5">
        <w:trPr>
          <w:cnfStyle w:val="100000000000" w:firstRow="1" w:lastRow="0" w:firstColumn="0" w:lastColumn="0" w:oddVBand="0" w:evenVBand="0" w:oddHBand="0" w:evenHBand="0" w:firstRowFirstColumn="0" w:firstRowLastColumn="0" w:lastRowFirstColumn="0" w:lastRowLastColumn="0"/>
          <w:trHeight w:val="291"/>
        </w:trPr>
        <w:tc>
          <w:tcPr>
            <w:tcW w:w="5240" w:type="dxa"/>
          </w:tcPr>
          <w:p w14:paraId="3FCB20CE" w14:textId="77777777" w:rsidR="003138FB" w:rsidRPr="00FD68EB" w:rsidRDefault="003138FB" w:rsidP="002A5FA5">
            <w:pPr>
              <w:rPr>
                <w:noProof/>
                <w:color w:val="FFFFFF" w:themeColor="background1"/>
              </w:rPr>
            </w:pPr>
            <w:r>
              <w:rPr>
                <w:noProof/>
                <w:color w:val="FFFFFF" w:themeColor="background1"/>
              </w:rPr>
              <w:t>Future option</w:t>
            </w:r>
          </w:p>
        </w:tc>
        <w:tc>
          <w:tcPr>
            <w:tcW w:w="2650" w:type="dxa"/>
          </w:tcPr>
          <w:p w14:paraId="6EB64C62" w14:textId="07CF361E" w:rsidR="003138FB" w:rsidRPr="00FD68EB" w:rsidRDefault="003138FB" w:rsidP="002A5FA5">
            <w:pPr>
              <w:rPr>
                <w:noProof/>
                <w:color w:val="FFFFFF" w:themeColor="background1"/>
              </w:rPr>
            </w:pPr>
            <w:r w:rsidRPr="00FD68EB">
              <w:rPr>
                <w:noProof/>
                <w:color w:val="FFFFFF" w:themeColor="background1"/>
              </w:rPr>
              <w:t xml:space="preserve">Percentage </w:t>
            </w:r>
            <w:r>
              <w:rPr>
                <w:noProof/>
                <w:color w:val="FFFFFF" w:themeColor="background1"/>
              </w:rPr>
              <w:t xml:space="preserve">familiar with the steps required for </w:t>
            </w:r>
            <w:r w:rsidR="0067177C">
              <w:rPr>
                <w:noProof/>
                <w:color w:val="FFFFFF" w:themeColor="background1"/>
              </w:rPr>
              <w:t xml:space="preserve">a </w:t>
            </w:r>
            <w:r>
              <w:rPr>
                <w:noProof/>
                <w:color w:val="FFFFFF" w:themeColor="background1"/>
              </w:rPr>
              <w:t>child to do this</w:t>
            </w:r>
          </w:p>
        </w:tc>
      </w:tr>
      <w:tr w:rsidR="003138FB" w14:paraId="22832A34"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476F0FC9" w14:textId="77777777" w:rsidR="003138FB" w:rsidRDefault="003138FB" w:rsidP="002A5FA5">
            <w:pPr>
              <w:rPr>
                <w:rFonts w:ascii="Calibri" w:hAnsi="Calibri" w:cs="Calibri"/>
                <w:color w:val="000000"/>
              </w:rPr>
            </w:pPr>
            <w:r>
              <w:rPr>
                <w:rFonts w:ascii="Calibri" w:hAnsi="Calibri" w:cs="Calibri"/>
                <w:color w:val="000000"/>
              </w:rPr>
              <w:t>A-levels (amongst those aware of A-levels only)</w:t>
            </w:r>
          </w:p>
        </w:tc>
        <w:tc>
          <w:tcPr>
            <w:tcW w:w="2650" w:type="dxa"/>
          </w:tcPr>
          <w:p w14:paraId="0ABD7D78" w14:textId="77777777" w:rsidR="003138FB" w:rsidRDefault="003138FB" w:rsidP="002A5FA5">
            <w:pPr>
              <w:rPr>
                <w:noProof/>
                <w:color w:val="auto"/>
              </w:rPr>
            </w:pPr>
            <w:r>
              <w:rPr>
                <w:noProof/>
                <w:color w:val="auto"/>
              </w:rPr>
              <w:t>86%</w:t>
            </w:r>
          </w:p>
        </w:tc>
      </w:tr>
      <w:tr w:rsidR="003138FB" w14:paraId="4ABF7A68" w14:textId="77777777" w:rsidTr="002A5FA5">
        <w:trPr>
          <w:cnfStyle w:val="000000010000" w:firstRow="0" w:lastRow="0" w:firstColumn="0" w:lastColumn="0" w:oddVBand="0" w:evenVBand="0" w:oddHBand="0" w:evenHBand="1" w:firstRowFirstColumn="0" w:firstRowLastColumn="0" w:lastRowFirstColumn="0" w:lastRowLastColumn="0"/>
          <w:trHeight w:val="291"/>
        </w:trPr>
        <w:tc>
          <w:tcPr>
            <w:tcW w:w="5240" w:type="dxa"/>
            <w:vAlign w:val="bottom"/>
          </w:tcPr>
          <w:p w14:paraId="02F02C5A" w14:textId="77777777" w:rsidR="003138FB" w:rsidRDefault="003138FB" w:rsidP="002A5FA5">
            <w:pPr>
              <w:rPr>
                <w:noProof/>
              </w:rPr>
            </w:pPr>
            <w:r>
              <w:rPr>
                <w:rFonts w:ascii="Calibri" w:hAnsi="Calibri" w:cs="Calibri"/>
                <w:color w:val="000000"/>
              </w:rPr>
              <w:t>Higher Technical qualifications (amongst those aware of Higher Technical qualifications only)</w:t>
            </w:r>
          </w:p>
        </w:tc>
        <w:tc>
          <w:tcPr>
            <w:tcW w:w="2650" w:type="dxa"/>
          </w:tcPr>
          <w:p w14:paraId="52E232B0" w14:textId="77777777" w:rsidR="003138FB" w:rsidRPr="00FD68EB" w:rsidRDefault="003138FB" w:rsidP="002A5FA5">
            <w:pPr>
              <w:rPr>
                <w:noProof/>
                <w:color w:val="auto"/>
              </w:rPr>
            </w:pPr>
            <w:r>
              <w:rPr>
                <w:noProof/>
                <w:color w:val="auto"/>
              </w:rPr>
              <w:t>57%</w:t>
            </w:r>
          </w:p>
        </w:tc>
      </w:tr>
      <w:tr w:rsidR="003138FB" w14:paraId="055A4029"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2EC7CAEA" w14:textId="77777777" w:rsidR="003138FB" w:rsidRDefault="003138FB" w:rsidP="002A5FA5">
            <w:pPr>
              <w:rPr>
                <w:rFonts w:ascii="Calibri" w:hAnsi="Calibri" w:cs="Calibri"/>
                <w:color w:val="000000"/>
              </w:rPr>
            </w:pPr>
            <w:r>
              <w:rPr>
                <w:rFonts w:ascii="Calibri" w:hAnsi="Calibri" w:cs="Calibri"/>
                <w:color w:val="000000"/>
              </w:rPr>
              <w:t>T-levels (amongst those aware of T-levels only)</w:t>
            </w:r>
          </w:p>
        </w:tc>
        <w:tc>
          <w:tcPr>
            <w:tcW w:w="2650" w:type="dxa"/>
          </w:tcPr>
          <w:p w14:paraId="41C03266" w14:textId="5198AC43" w:rsidR="003138FB" w:rsidRPr="00FD68EB" w:rsidRDefault="003138FB" w:rsidP="002A5FA5">
            <w:pPr>
              <w:rPr>
                <w:noProof/>
                <w:color w:val="auto"/>
              </w:rPr>
            </w:pPr>
            <w:r>
              <w:rPr>
                <w:noProof/>
                <w:color w:val="auto"/>
              </w:rPr>
              <w:t>47%</w:t>
            </w:r>
          </w:p>
        </w:tc>
      </w:tr>
    </w:tbl>
    <w:p w14:paraId="02BF4836" w14:textId="77777777" w:rsidR="003138FB" w:rsidRDefault="003138FB" w:rsidP="003138FB">
      <w:pPr>
        <w:rPr>
          <w:noProof/>
        </w:rPr>
      </w:pPr>
      <w:r w:rsidRPr="00FD68EB">
        <w:rPr>
          <w:noProof/>
          <w:sz w:val="18"/>
          <w:szCs w:val="18"/>
        </w:rPr>
        <w:t>Q</w:t>
      </w:r>
      <w:r>
        <w:rPr>
          <w:noProof/>
          <w:sz w:val="18"/>
          <w:szCs w:val="18"/>
        </w:rPr>
        <w:t>3</w:t>
      </w:r>
      <w:r w:rsidRPr="00FD68EB">
        <w:rPr>
          <w:noProof/>
          <w:sz w:val="18"/>
          <w:szCs w:val="18"/>
        </w:rPr>
        <w:t xml:space="preserve">. </w:t>
      </w:r>
      <w:r w:rsidRPr="003138FB">
        <w:rPr>
          <w:noProof/>
          <w:sz w:val="18"/>
          <w:szCs w:val="18"/>
        </w:rPr>
        <w:t>How familiar, if at all, are you with the steps required for your child/children if they want/wanted to go into</w:t>
      </w:r>
      <w:r>
        <w:rPr>
          <w:noProof/>
          <w:sz w:val="18"/>
          <w:szCs w:val="18"/>
        </w:rPr>
        <w:t>…</w:t>
      </w:r>
      <w:r w:rsidRPr="003138FB">
        <w:rPr>
          <w:noProof/>
          <w:sz w:val="18"/>
          <w:szCs w:val="18"/>
        </w:rPr>
        <w:t>?</w:t>
      </w:r>
    </w:p>
    <w:p w14:paraId="5371620B" w14:textId="77777777" w:rsidR="003138FB" w:rsidRDefault="003138FB">
      <w:pPr>
        <w:rPr>
          <w:noProof/>
        </w:rPr>
      </w:pPr>
    </w:p>
    <w:p w14:paraId="4E6E2CD7" w14:textId="3E0FE95B" w:rsidR="0009771E" w:rsidRPr="00AD7BB7" w:rsidRDefault="002C37C7" w:rsidP="0009771E">
      <w:pPr>
        <w:rPr>
          <w:rFonts w:asciiTheme="majorHAnsi" w:eastAsiaTheme="majorEastAsia" w:hAnsiTheme="majorHAnsi" w:cstheme="majorBidi"/>
          <w:b/>
          <w:noProof/>
          <w:sz w:val="28"/>
          <w:szCs w:val="26"/>
        </w:rPr>
      </w:pPr>
      <w:r>
        <w:rPr>
          <w:rFonts w:asciiTheme="majorHAnsi" w:eastAsiaTheme="majorEastAsia" w:hAnsiTheme="majorHAnsi" w:cstheme="majorBidi"/>
          <w:b/>
          <w:bCs/>
          <w:noProof/>
          <w:sz w:val="28"/>
          <w:szCs w:val="26"/>
        </w:rPr>
        <w:t>Awareness of and support for the Greater Manchester Baccalaureate (MBacc)</w:t>
      </w:r>
    </w:p>
    <w:p w14:paraId="2013A15F" w14:textId="3A2BD135" w:rsidR="00D43887" w:rsidRDefault="0053022C" w:rsidP="007B0B25">
      <w:pPr>
        <w:rPr>
          <w:noProof/>
        </w:rPr>
      </w:pPr>
      <w:r>
        <w:rPr>
          <w:noProof/>
        </w:rPr>
        <w:t xml:space="preserve">Awareness of the Greater Manchester Baccalaureate is low, with only 15% of those in Greater Manchester familiar with it. Familiarity with it is highest in Manchester (23%) itself, suggesting that those living in the </w:t>
      </w:r>
      <w:r w:rsidR="0067177C">
        <w:rPr>
          <w:noProof/>
        </w:rPr>
        <w:t>center</w:t>
      </w:r>
      <w:r>
        <w:rPr>
          <w:noProof/>
        </w:rPr>
        <w:t xml:space="preserve"> of the region are more likely to have been exposed to information about it. Those without a university education are </w:t>
      </w:r>
      <w:r w:rsidR="0067177C">
        <w:rPr>
          <w:noProof/>
        </w:rPr>
        <w:t>significantly</w:t>
      </w:r>
      <w:r>
        <w:rPr>
          <w:noProof/>
        </w:rPr>
        <w:t xml:space="preserve"> more likely to be aware of the MBacc (24%) than those with a </w:t>
      </w:r>
      <w:r w:rsidR="0067177C">
        <w:rPr>
          <w:noProof/>
        </w:rPr>
        <w:t>bachelors</w:t>
      </w:r>
      <w:r>
        <w:rPr>
          <w:noProof/>
        </w:rPr>
        <w:t xml:space="preserve"> degree or higher (13%), but those from C</w:t>
      </w:r>
      <w:r w:rsidR="0085348B">
        <w:rPr>
          <w:noProof/>
        </w:rPr>
        <w:t>2</w:t>
      </w:r>
      <w:r>
        <w:rPr>
          <w:noProof/>
        </w:rPr>
        <w:t xml:space="preserve"> (</w:t>
      </w:r>
      <w:r w:rsidR="0085348B">
        <w:rPr>
          <w:noProof/>
        </w:rPr>
        <w:t>8%) and DE (13%) are less likely to be aware of it than those from an AB background (17%).</w:t>
      </w:r>
    </w:p>
    <w:tbl>
      <w:tblPr>
        <w:tblStyle w:val="BMG"/>
        <w:tblW w:w="0" w:type="auto"/>
        <w:tblLook w:val="04A0" w:firstRow="1" w:lastRow="0" w:firstColumn="1" w:lastColumn="0" w:noHBand="0" w:noVBand="1"/>
      </w:tblPr>
      <w:tblGrid>
        <w:gridCol w:w="5240"/>
        <w:gridCol w:w="2650"/>
      </w:tblGrid>
      <w:tr w:rsidR="0053022C" w14:paraId="49430955" w14:textId="77777777" w:rsidTr="002A5FA5">
        <w:trPr>
          <w:cnfStyle w:val="100000000000" w:firstRow="1" w:lastRow="0" w:firstColumn="0" w:lastColumn="0" w:oddVBand="0" w:evenVBand="0" w:oddHBand="0" w:evenHBand="0" w:firstRowFirstColumn="0" w:firstRowLastColumn="0" w:lastRowFirstColumn="0" w:lastRowLastColumn="0"/>
          <w:trHeight w:val="291"/>
        </w:trPr>
        <w:tc>
          <w:tcPr>
            <w:tcW w:w="5240" w:type="dxa"/>
          </w:tcPr>
          <w:p w14:paraId="599C81BF" w14:textId="049734D4" w:rsidR="0053022C" w:rsidRPr="00FD68EB" w:rsidRDefault="0053022C" w:rsidP="002A5FA5">
            <w:pPr>
              <w:rPr>
                <w:noProof/>
                <w:color w:val="FFFFFF" w:themeColor="background1"/>
              </w:rPr>
            </w:pPr>
            <w:r>
              <w:rPr>
                <w:noProof/>
                <w:color w:val="FFFFFF" w:themeColor="background1"/>
              </w:rPr>
              <w:t>Familiarity with the MBacc</w:t>
            </w:r>
          </w:p>
        </w:tc>
        <w:tc>
          <w:tcPr>
            <w:tcW w:w="2650" w:type="dxa"/>
          </w:tcPr>
          <w:p w14:paraId="642A63C9" w14:textId="37D24D82" w:rsidR="0053022C" w:rsidRPr="00FD68EB" w:rsidRDefault="0053022C" w:rsidP="002A5FA5">
            <w:pPr>
              <w:rPr>
                <w:noProof/>
                <w:color w:val="FFFFFF" w:themeColor="background1"/>
              </w:rPr>
            </w:pPr>
            <w:r w:rsidRPr="00FD68EB">
              <w:rPr>
                <w:noProof/>
                <w:color w:val="FFFFFF" w:themeColor="background1"/>
              </w:rPr>
              <w:t xml:space="preserve">Percentage </w:t>
            </w:r>
          </w:p>
        </w:tc>
      </w:tr>
      <w:tr w:rsidR="0053022C" w14:paraId="738E4FD6"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2BC9F0A0" w14:textId="5DDE11B5" w:rsidR="0053022C" w:rsidRDefault="0053022C" w:rsidP="0053022C">
            <w:pPr>
              <w:rPr>
                <w:rFonts w:ascii="Calibri" w:hAnsi="Calibri" w:cs="Calibri"/>
                <w:color w:val="000000"/>
              </w:rPr>
            </w:pPr>
            <w:r>
              <w:rPr>
                <w:rFonts w:ascii="Calibri" w:hAnsi="Calibri" w:cs="Calibri"/>
                <w:color w:val="000000"/>
              </w:rPr>
              <w:t>Very familiar</w:t>
            </w:r>
          </w:p>
        </w:tc>
        <w:tc>
          <w:tcPr>
            <w:tcW w:w="2650" w:type="dxa"/>
          </w:tcPr>
          <w:p w14:paraId="7D20EF6E" w14:textId="3AAF8F85" w:rsidR="0053022C" w:rsidRDefault="0053022C" w:rsidP="0053022C">
            <w:pPr>
              <w:rPr>
                <w:noProof/>
                <w:color w:val="auto"/>
              </w:rPr>
            </w:pPr>
            <w:r>
              <w:rPr>
                <w:noProof/>
                <w:color w:val="auto"/>
              </w:rPr>
              <w:t>4%</w:t>
            </w:r>
          </w:p>
        </w:tc>
      </w:tr>
      <w:tr w:rsidR="0053022C" w14:paraId="1B1D491E" w14:textId="77777777" w:rsidTr="002A5FA5">
        <w:trPr>
          <w:cnfStyle w:val="000000010000" w:firstRow="0" w:lastRow="0" w:firstColumn="0" w:lastColumn="0" w:oddVBand="0" w:evenVBand="0" w:oddHBand="0" w:evenHBand="1" w:firstRowFirstColumn="0" w:firstRowLastColumn="0" w:lastRowFirstColumn="0" w:lastRowLastColumn="0"/>
          <w:trHeight w:val="291"/>
        </w:trPr>
        <w:tc>
          <w:tcPr>
            <w:tcW w:w="5240" w:type="dxa"/>
            <w:vAlign w:val="bottom"/>
          </w:tcPr>
          <w:p w14:paraId="3599AEC4" w14:textId="40A6576E" w:rsidR="0053022C" w:rsidRDefault="0053022C" w:rsidP="0053022C">
            <w:pPr>
              <w:rPr>
                <w:noProof/>
              </w:rPr>
            </w:pPr>
            <w:r>
              <w:rPr>
                <w:rFonts w:ascii="Calibri" w:hAnsi="Calibri" w:cs="Calibri"/>
                <w:color w:val="000000"/>
              </w:rPr>
              <w:t>Somewhat familiar</w:t>
            </w:r>
          </w:p>
        </w:tc>
        <w:tc>
          <w:tcPr>
            <w:tcW w:w="2650" w:type="dxa"/>
          </w:tcPr>
          <w:p w14:paraId="63D26FF0" w14:textId="7E35363F" w:rsidR="0053022C" w:rsidRPr="00FD68EB" w:rsidRDefault="0053022C" w:rsidP="0053022C">
            <w:pPr>
              <w:rPr>
                <w:noProof/>
                <w:color w:val="auto"/>
              </w:rPr>
            </w:pPr>
            <w:r>
              <w:rPr>
                <w:noProof/>
                <w:color w:val="auto"/>
              </w:rPr>
              <w:t>11%</w:t>
            </w:r>
          </w:p>
        </w:tc>
      </w:tr>
      <w:tr w:rsidR="0053022C" w14:paraId="08387C1C"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4D8AD233" w14:textId="46C5B6FC" w:rsidR="0053022C" w:rsidRDefault="0053022C" w:rsidP="0053022C">
            <w:pPr>
              <w:rPr>
                <w:rFonts w:ascii="Calibri" w:hAnsi="Calibri" w:cs="Calibri"/>
                <w:color w:val="000000"/>
              </w:rPr>
            </w:pPr>
            <w:r>
              <w:rPr>
                <w:rFonts w:ascii="Calibri" w:hAnsi="Calibri" w:cs="Calibri"/>
                <w:color w:val="000000"/>
              </w:rPr>
              <w:t>Not that familiar</w:t>
            </w:r>
          </w:p>
        </w:tc>
        <w:tc>
          <w:tcPr>
            <w:tcW w:w="2650" w:type="dxa"/>
          </w:tcPr>
          <w:p w14:paraId="61AEC13F" w14:textId="50E321CA" w:rsidR="0053022C" w:rsidRPr="00FD68EB" w:rsidRDefault="0053022C" w:rsidP="0053022C">
            <w:pPr>
              <w:rPr>
                <w:noProof/>
                <w:color w:val="auto"/>
              </w:rPr>
            </w:pPr>
            <w:r>
              <w:rPr>
                <w:noProof/>
                <w:color w:val="auto"/>
              </w:rPr>
              <w:t>21%</w:t>
            </w:r>
          </w:p>
        </w:tc>
      </w:tr>
      <w:tr w:rsidR="0053022C" w14:paraId="52C7D85D" w14:textId="77777777" w:rsidTr="002A5FA5">
        <w:trPr>
          <w:cnfStyle w:val="000000010000" w:firstRow="0" w:lastRow="0" w:firstColumn="0" w:lastColumn="0" w:oddVBand="0" w:evenVBand="0" w:oddHBand="0" w:evenHBand="1" w:firstRowFirstColumn="0" w:firstRowLastColumn="0" w:lastRowFirstColumn="0" w:lastRowLastColumn="0"/>
          <w:trHeight w:val="291"/>
        </w:trPr>
        <w:tc>
          <w:tcPr>
            <w:tcW w:w="5240" w:type="dxa"/>
            <w:vAlign w:val="bottom"/>
          </w:tcPr>
          <w:p w14:paraId="55C6D182" w14:textId="2A09B937" w:rsidR="0053022C" w:rsidRDefault="0053022C" w:rsidP="0053022C">
            <w:pPr>
              <w:rPr>
                <w:rFonts w:ascii="Calibri" w:hAnsi="Calibri" w:cs="Calibri"/>
                <w:color w:val="000000"/>
              </w:rPr>
            </w:pPr>
            <w:r>
              <w:rPr>
                <w:rFonts w:ascii="Calibri" w:hAnsi="Calibri" w:cs="Calibri"/>
                <w:color w:val="000000"/>
              </w:rPr>
              <w:t>Not at all familiar</w:t>
            </w:r>
          </w:p>
        </w:tc>
        <w:tc>
          <w:tcPr>
            <w:tcW w:w="2650" w:type="dxa"/>
          </w:tcPr>
          <w:p w14:paraId="476041C4" w14:textId="2BFE3EF3" w:rsidR="0053022C" w:rsidRDefault="0053022C" w:rsidP="0053022C">
            <w:pPr>
              <w:rPr>
                <w:noProof/>
                <w:color w:val="auto"/>
              </w:rPr>
            </w:pPr>
            <w:r>
              <w:rPr>
                <w:noProof/>
                <w:color w:val="auto"/>
              </w:rPr>
              <w:t>64%</w:t>
            </w:r>
          </w:p>
        </w:tc>
      </w:tr>
      <w:tr w:rsidR="0085348B" w14:paraId="67C65796"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335C1268" w14:textId="4B8B2E04" w:rsidR="0085348B" w:rsidRDefault="0085348B" w:rsidP="0053022C">
            <w:pPr>
              <w:rPr>
                <w:rFonts w:ascii="Calibri" w:hAnsi="Calibri" w:cs="Calibri"/>
                <w:color w:val="000000"/>
              </w:rPr>
            </w:pPr>
            <w:r>
              <w:rPr>
                <w:rFonts w:ascii="Calibri" w:hAnsi="Calibri" w:cs="Calibri"/>
                <w:color w:val="000000"/>
              </w:rPr>
              <w:t>NET: Familiar</w:t>
            </w:r>
          </w:p>
        </w:tc>
        <w:tc>
          <w:tcPr>
            <w:tcW w:w="2650" w:type="dxa"/>
          </w:tcPr>
          <w:p w14:paraId="6E3AFB44" w14:textId="22B4E6D9" w:rsidR="0085348B" w:rsidRDefault="0085348B" w:rsidP="0053022C">
            <w:pPr>
              <w:rPr>
                <w:noProof/>
                <w:color w:val="auto"/>
              </w:rPr>
            </w:pPr>
            <w:r>
              <w:rPr>
                <w:noProof/>
                <w:color w:val="auto"/>
              </w:rPr>
              <w:t>15%</w:t>
            </w:r>
          </w:p>
        </w:tc>
      </w:tr>
    </w:tbl>
    <w:p w14:paraId="03D9E7C1" w14:textId="3C89E258" w:rsidR="0053022C" w:rsidRDefault="0053022C" w:rsidP="007B0B25">
      <w:pPr>
        <w:rPr>
          <w:noProof/>
          <w:sz w:val="18"/>
          <w:szCs w:val="18"/>
        </w:rPr>
      </w:pPr>
      <w:r w:rsidRPr="00FD68EB">
        <w:rPr>
          <w:noProof/>
          <w:sz w:val="18"/>
          <w:szCs w:val="18"/>
        </w:rPr>
        <w:t>Q</w:t>
      </w:r>
      <w:r>
        <w:rPr>
          <w:noProof/>
          <w:sz w:val="18"/>
          <w:szCs w:val="18"/>
        </w:rPr>
        <w:t>6</w:t>
      </w:r>
      <w:r w:rsidRPr="00FD68EB">
        <w:rPr>
          <w:noProof/>
          <w:sz w:val="18"/>
          <w:szCs w:val="18"/>
        </w:rPr>
        <w:t xml:space="preserve">. </w:t>
      </w:r>
      <w:r w:rsidRPr="0053022C">
        <w:rPr>
          <w:noProof/>
          <w:sz w:val="18"/>
          <w:szCs w:val="18"/>
        </w:rPr>
        <w:t xml:space="preserve">In Greater Manchester there is a proposal to introduce the Greater Manchester Baccalaureate (or MBacc). This is designed to provide children aged 14-16 an education option </w:t>
      </w:r>
      <w:r w:rsidR="0067177C">
        <w:rPr>
          <w:noProof/>
          <w:sz w:val="18"/>
          <w:szCs w:val="18"/>
        </w:rPr>
        <w:t>that</w:t>
      </w:r>
      <w:r w:rsidRPr="0053022C">
        <w:rPr>
          <w:noProof/>
          <w:sz w:val="18"/>
          <w:szCs w:val="18"/>
        </w:rPr>
        <w:t xml:space="preserve"> focuses on technical subjects such as engineering, construction</w:t>
      </w:r>
      <w:r w:rsidR="0067177C">
        <w:rPr>
          <w:noProof/>
          <w:sz w:val="18"/>
          <w:szCs w:val="18"/>
        </w:rPr>
        <w:t>,</w:t>
      </w:r>
      <w:r w:rsidRPr="0053022C">
        <w:rPr>
          <w:noProof/>
          <w:sz w:val="18"/>
          <w:szCs w:val="18"/>
        </w:rPr>
        <w:t xml:space="preserve"> or digital skills. The aim being to provide a route into further technical education as an alternative to university. Before today, how familiar were you with proposals to introduce a Greater Manchester Baccalaureate (MBacc)?</w:t>
      </w:r>
    </w:p>
    <w:p w14:paraId="2AF08284" w14:textId="3EE1AA86" w:rsidR="00124618" w:rsidRDefault="0085348B" w:rsidP="0085348B">
      <w:pPr>
        <w:rPr>
          <w:noProof/>
        </w:rPr>
      </w:pPr>
      <w:r>
        <w:rPr>
          <w:noProof/>
        </w:rPr>
        <w:t xml:space="preserve">Regardless of prior awareness, support for the MBacc is high, with 3 in 5 (59%) supportive of it, while just 4% oppose it. Support is marginally higher amongst those parents with children currently in school years 7-11 (64%), whose children are most likely to be </w:t>
      </w:r>
      <w:r w:rsidR="0067177C">
        <w:rPr>
          <w:noProof/>
        </w:rPr>
        <w:t>choosing</w:t>
      </w:r>
      <w:r>
        <w:rPr>
          <w:noProof/>
        </w:rPr>
        <w:t xml:space="preserve"> their options currently or in the next few years. Likewise</w:t>
      </w:r>
      <w:r w:rsidR="0067177C">
        <w:rPr>
          <w:noProof/>
        </w:rPr>
        <w:t>,</w:t>
      </w:r>
      <w:r>
        <w:rPr>
          <w:noProof/>
        </w:rPr>
        <w:t xml:space="preserve"> those who believe </w:t>
      </w:r>
      <w:r w:rsidR="0067177C">
        <w:rPr>
          <w:noProof/>
        </w:rPr>
        <w:t>there</w:t>
      </w:r>
      <w:r>
        <w:rPr>
          <w:noProof/>
        </w:rPr>
        <w:t xml:space="preserve"> should be more focus on vocational subjects in schools, or an equal focus </w:t>
      </w:r>
      <w:r w:rsidR="0067177C">
        <w:rPr>
          <w:noProof/>
        </w:rPr>
        <w:t>with</w:t>
      </w:r>
      <w:r>
        <w:rPr>
          <w:noProof/>
        </w:rPr>
        <w:t xml:space="preserve"> academic subjects are much more supportive of the MBacc (79% and 74% </w:t>
      </w:r>
      <w:r w:rsidR="0067177C">
        <w:rPr>
          <w:noProof/>
        </w:rPr>
        <w:t>respectively</w:t>
      </w:r>
      <w:r>
        <w:rPr>
          <w:noProof/>
        </w:rPr>
        <w:t xml:space="preserve">). </w:t>
      </w:r>
    </w:p>
    <w:p w14:paraId="38456410" w14:textId="7257B83C" w:rsidR="0085348B" w:rsidRDefault="0085348B" w:rsidP="0085348B">
      <w:pPr>
        <w:rPr>
          <w:noProof/>
        </w:rPr>
      </w:pPr>
      <w:r>
        <w:rPr>
          <w:noProof/>
        </w:rPr>
        <w:lastRenderedPageBreak/>
        <w:t xml:space="preserve">However, those without a university education (54%), or who are from a lower socio-economic background (C2=53%, DE=50%) are less likely to be supportive of the MBacc, and more likely to be neutral </w:t>
      </w:r>
      <w:r w:rsidR="00124618">
        <w:rPr>
          <w:noProof/>
        </w:rPr>
        <w:t xml:space="preserve">or say they “don’t know” </w:t>
      </w:r>
      <w:r>
        <w:rPr>
          <w:noProof/>
        </w:rPr>
        <w:t>about its introduction.</w:t>
      </w:r>
    </w:p>
    <w:tbl>
      <w:tblPr>
        <w:tblStyle w:val="BMG"/>
        <w:tblW w:w="0" w:type="auto"/>
        <w:tblLook w:val="04A0" w:firstRow="1" w:lastRow="0" w:firstColumn="1" w:lastColumn="0" w:noHBand="0" w:noVBand="1"/>
      </w:tblPr>
      <w:tblGrid>
        <w:gridCol w:w="5240"/>
        <w:gridCol w:w="2650"/>
      </w:tblGrid>
      <w:tr w:rsidR="0085348B" w14:paraId="70FB9D57" w14:textId="77777777" w:rsidTr="002A5FA5">
        <w:trPr>
          <w:cnfStyle w:val="100000000000" w:firstRow="1" w:lastRow="0" w:firstColumn="0" w:lastColumn="0" w:oddVBand="0" w:evenVBand="0" w:oddHBand="0" w:evenHBand="0" w:firstRowFirstColumn="0" w:firstRowLastColumn="0" w:lastRowFirstColumn="0" w:lastRowLastColumn="0"/>
          <w:trHeight w:val="291"/>
        </w:trPr>
        <w:tc>
          <w:tcPr>
            <w:tcW w:w="5240" w:type="dxa"/>
          </w:tcPr>
          <w:p w14:paraId="591C7CCC" w14:textId="4D48D47E" w:rsidR="0085348B" w:rsidRPr="00FD68EB" w:rsidRDefault="001C53C0" w:rsidP="002A5FA5">
            <w:pPr>
              <w:rPr>
                <w:noProof/>
                <w:color w:val="FFFFFF" w:themeColor="background1"/>
              </w:rPr>
            </w:pPr>
            <w:r>
              <w:rPr>
                <w:noProof/>
                <w:color w:val="FFFFFF" w:themeColor="background1"/>
              </w:rPr>
              <w:t>Support for</w:t>
            </w:r>
            <w:r w:rsidR="0085348B">
              <w:rPr>
                <w:noProof/>
                <w:color w:val="FFFFFF" w:themeColor="background1"/>
              </w:rPr>
              <w:t xml:space="preserve"> the MBacc</w:t>
            </w:r>
          </w:p>
        </w:tc>
        <w:tc>
          <w:tcPr>
            <w:tcW w:w="2650" w:type="dxa"/>
          </w:tcPr>
          <w:p w14:paraId="34EC86C9" w14:textId="77777777" w:rsidR="0085348B" w:rsidRPr="00FD68EB" w:rsidRDefault="0085348B" w:rsidP="002A5FA5">
            <w:pPr>
              <w:rPr>
                <w:noProof/>
                <w:color w:val="FFFFFF" w:themeColor="background1"/>
              </w:rPr>
            </w:pPr>
            <w:r w:rsidRPr="00FD68EB">
              <w:rPr>
                <w:noProof/>
                <w:color w:val="FFFFFF" w:themeColor="background1"/>
              </w:rPr>
              <w:t xml:space="preserve">Percentage </w:t>
            </w:r>
          </w:p>
        </w:tc>
      </w:tr>
      <w:tr w:rsidR="00124618" w14:paraId="59EE7417"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7FD00804" w14:textId="1FD21983" w:rsidR="00124618" w:rsidRDefault="00124618" w:rsidP="00124618">
            <w:pPr>
              <w:rPr>
                <w:rFonts w:ascii="Calibri" w:hAnsi="Calibri" w:cs="Calibri"/>
                <w:color w:val="000000"/>
              </w:rPr>
            </w:pPr>
            <w:r>
              <w:rPr>
                <w:rFonts w:ascii="Calibri" w:hAnsi="Calibri" w:cs="Calibri"/>
                <w:color w:val="000000"/>
              </w:rPr>
              <w:t>Strongly support</w:t>
            </w:r>
          </w:p>
        </w:tc>
        <w:tc>
          <w:tcPr>
            <w:tcW w:w="2650" w:type="dxa"/>
          </w:tcPr>
          <w:p w14:paraId="6AD07391" w14:textId="7F7F8B6B" w:rsidR="00124618" w:rsidRDefault="00124618" w:rsidP="00124618">
            <w:pPr>
              <w:rPr>
                <w:noProof/>
                <w:color w:val="auto"/>
              </w:rPr>
            </w:pPr>
            <w:r>
              <w:rPr>
                <w:noProof/>
                <w:color w:val="auto"/>
              </w:rPr>
              <w:t>32%</w:t>
            </w:r>
          </w:p>
        </w:tc>
      </w:tr>
      <w:tr w:rsidR="00124618" w14:paraId="152D5194" w14:textId="77777777" w:rsidTr="002A5FA5">
        <w:trPr>
          <w:cnfStyle w:val="000000010000" w:firstRow="0" w:lastRow="0" w:firstColumn="0" w:lastColumn="0" w:oddVBand="0" w:evenVBand="0" w:oddHBand="0" w:evenHBand="1" w:firstRowFirstColumn="0" w:firstRowLastColumn="0" w:lastRowFirstColumn="0" w:lastRowLastColumn="0"/>
          <w:trHeight w:val="291"/>
        </w:trPr>
        <w:tc>
          <w:tcPr>
            <w:tcW w:w="5240" w:type="dxa"/>
            <w:vAlign w:val="bottom"/>
          </w:tcPr>
          <w:p w14:paraId="2BE87E48" w14:textId="04CADDD7" w:rsidR="00124618" w:rsidRDefault="00124618" w:rsidP="00124618">
            <w:pPr>
              <w:rPr>
                <w:noProof/>
              </w:rPr>
            </w:pPr>
            <w:r>
              <w:rPr>
                <w:rFonts w:ascii="Calibri" w:hAnsi="Calibri" w:cs="Calibri"/>
                <w:color w:val="000000"/>
              </w:rPr>
              <w:t>Somewhat support</w:t>
            </w:r>
          </w:p>
        </w:tc>
        <w:tc>
          <w:tcPr>
            <w:tcW w:w="2650" w:type="dxa"/>
          </w:tcPr>
          <w:p w14:paraId="11416787" w14:textId="306F0F27" w:rsidR="00124618" w:rsidRPr="00FD68EB" w:rsidRDefault="00124618" w:rsidP="00124618">
            <w:pPr>
              <w:rPr>
                <w:noProof/>
                <w:color w:val="auto"/>
              </w:rPr>
            </w:pPr>
            <w:r>
              <w:rPr>
                <w:noProof/>
                <w:color w:val="auto"/>
              </w:rPr>
              <w:t>27%</w:t>
            </w:r>
          </w:p>
        </w:tc>
      </w:tr>
      <w:tr w:rsidR="00124618" w14:paraId="7D082376"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6B0B294E" w14:textId="75AD2A77" w:rsidR="00124618" w:rsidRDefault="00124618" w:rsidP="00124618">
            <w:pPr>
              <w:rPr>
                <w:rFonts w:ascii="Calibri" w:hAnsi="Calibri" w:cs="Calibri"/>
                <w:color w:val="000000"/>
              </w:rPr>
            </w:pPr>
            <w:r>
              <w:rPr>
                <w:rFonts w:ascii="Calibri" w:hAnsi="Calibri" w:cs="Calibri"/>
                <w:color w:val="000000"/>
              </w:rPr>
              <w:t>Neither support nor oppose</w:t>
            </w:r>
          </w:p>
        </w:tc>
        <w:tc>
          <w:tcPr>
            <w:tcW w:w="2650" w:type="dxa"/>
          </w:tcPr>
          <w:p w14:paraId="263C940B" w14:textId="6D197471" w:rsidR="00124618" w:rsidRDefault="00124618" w:rsidP="00124618">
            <w:pPr>
              <w:rPr>
                <w:noProof/>
                <w:color w:val="auto"/>
              </w:rPr>
            </w:pPr>
            <w:r>
              <w:rPr>
                <w:noProof/>
                <w:color w:val="auto"/>
              </w:rPr>
              <w:t>14</w:t>
            </w:r>
          </w:p>
        </w:tc>
      </w:tr>
      <w:tr w:rsidR="00124618" w14:paraId="5505ADB4" w14:textId="77777777" w:rsidTr="002A5FA5">
        <w:trPr>
          <w:cnfStyle w:val="000000010000" w:firstRow="0" w:lastRow="0" w:firstColumn="0" w:lastColumn="0" w:oddVBand="0" w:evenVBand="0" w:oddHBand="0" w:evenHBand="1" w:firstRowFirstColumn="0" w:firstRowLastColumn="0" w:lastRowFirstColumn="0" w:lastRowLastColumn="0"/>
          <w:trHeight w:val="291"/>
        </w:trPr>
        <w:tc>
          <w:tcPr>
            <w:tcW w:w="5240" w:type="dxa"/>
            <w:vAlign w:val="bottom"/>
          </w:tcPr>
          <w:p w14:paraId="069F62B3" w14:textId="17ADFFB3" w:rsidR="00124618" w:rsidRDefault="00124618" w:rsidP="00124618">
            <w:pPr>
              <w:rPr>
                <w:rFonts w:ascii="Calibri" w:hAnsi="Calibri" w:cs="Calibri"/>
                <w:color w:val="000000"/>
              </w:rPr>
            </w:pPr>
            <w:r>
              <w:rPr>
                <w:rFonts w:ascii="Calibri" w:hAnsi="Calibri" w:cs="Calibri"/>
                <w:color w:val="000000"/>
              </w:rPr>
              <w:t>Somewhat oppose</w:t>
            </w:r>
          </w:p>
        </w:tc>
        <w:tc>
          <w:tcPr>
            <w:tcW w:w="2650" w:type="dxa"/>
          </w:tcPr>
          <w:p w14:paraId="2B9A2EE4" w14:textId="46D043AE" w:rsidR="00124618" w:rsidRPr="00FD68EB" w:rsidRDefault="00124618" w:rsidP="00124618">
            <w:pPr>
              <w:rPr>
                <w:noProof/>
                <w:color w:val="auto"/>
              </w:rPr>
            </w:pPr>
            <w:r>
              <w:rPr>
                <w:noProof/>
                <w:color w:val="auto"/>
              </w:rPr>
              <w:t>3%</w:t>
            </w:r>
          </w:p>
        </w:tc>
      </w:tr>
      <w:tr w:rsidR="00124618" w14:paraId="1D7E45DD"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55E5BA2A" w14:textId="2779066C" w:rsidR="00124618" w:rsidRDefault="00124618" w:rsidP="00124618">
            <w:pPr>
              <w:rPr>
                <w:rFonts w:ascii="Calibri" w:hAnsi="Calibri" w:cs="Calibri"/>
                <w:color w:val="000000"/>
              </w:rPr>
            </w:pPr>
            <w:r>
              <w:rPr>
                <w:rFonts w:ascii="Calibri" w:hAnsi="Calibri" w:cs="Calibri"/>
                <w:color w:val="000000"/>
              </w:rPr>
              <w:t>Strongly oppose</w:t>
            </w:r>
          </w:p>
        </w:tc>
        <w:tc>
          <w:tcPr>
            <w:tcW w:w="2650" w:type="dxa"/>
          </w:tcPr>
          <w:p w14:paraId="6923CD0C" w14:textId="29C62B4F" w:rsidR="00124618" w:rsidRDefault="00124618" w:rsidP="00124618">
            <w:pPr>
              <w:rPr>
                <w:noProof/>
                <w:color w:val="auto"/>
              </w:rPr>
            </w:pPr>
            <w:r>
              <w:rPr>
                <w:noProof/>
                <w:color w:val="auto"/>
              </w:rPr>
              <w:t>1%</w:t>
            </w:r>
          </w:p>
        </w:tc>
      </w:tr>
      <w:tr w:rsidR="00124618" w14:paraId="4BDB28C1" w14:textId="77777777" w:rsidTr="002A5FA5">
        <w:trPr>
          <w:cnfStyle w:val="000000010000" w:firstRow="0" w:lastRow="0" w:firstColumn="0" w:lastColumn="0" w:oddVBand="0" w:evenVBand="0" w:oddHBand="0" w:evenHBand="1" w:firstRowFirstColumn="0" w:firstRowLastColumn="0" w:lastRowFirstColumn="0" w:lastRowLastColumn="0"/>
          <w:trHeight w:val="291"/>
        </w:trPr>
        <w:tc>
          <w:tcPr>
            <w:tcW w:w="5240" w:type="dxa"/>
            <w:vAlign w:val="bottom"/>
          </w:tcPr>
          <w:p w14:paraId="62489587" w14:textId="68F816C7" w:rsidR="00124618" w:rsidRDefault="00124618" w:rsidP="00124618">
            <w:pPr>
              <w:rPr>
                <w:rFonts w:ascii="Calibri" w:hAnsi="Calibri" w:cs="Calibri"/>
                <w:color w:val="000000"/>
              </w:rPr>
            </w:pPr>
            <w:r>
              <w:rPr>
                <w:rFonts w:ascii="Calibri" w:hAnsi="Calibri" w:cs="Calibri"/>
                <w:color w:val="000000"/>
              </w:rPr>
              <w:t>Don't know</w:t>
            </w:r>
          </w:p>
        </w:tc>
        <w:tc>
          <w:tcPr>
            <w:tcW w:w="2650" w:type="dxa"/>
          </w:tcPr>
          <w:p w14:paraId="159D3A88" w14:textId="6424DADC" w:rsidR="00124618" w:rsidRDefault="00124618" w:rsidP="00124618">
            <w:pPr>
              <w:rPr>
                <w:noProof/>
                <w:color w:val="auto"/>
              </w:rPr>
            </w:pPr>
            <w:r>
              <w:rPr>
                <w:noProof/>
                <w:color w:val="auto"/>
              </w:rPr>
              <w:t>22</w:t>
            </w:r>
          </w:p>
        </w:tc>
      </w:tr>
      <w:tr w:rsidR="00124618" w14:paraId="32DE583A" w14:textId="77777777" w:rsidTr="002A5FA5">
        <w:trPr>
          <w:cnfStyle w:val="000000100000" w:firstRow="0" w:lastRow="0" w:firstColumn="0" w:lastColumn="0" w:oddVBand="0" w:evenVBand="0" w:oddHBand="1" w:evenHBand="0" w:firstRowFirstColumn="0" w:firstRowLastColumn="0" w:lastRowFirstColumn="0" w:lastRowLastColumn="0"/>
          <w:trHeight w:val="291"/>
        </w:trPr>
        <w:tc>
          <w:tcPr>
            <w:tcW w:w="5240" w:type="dxa"/>
            <w:vAlign w:val="bottom"/>
          </w:tcPr>
          <w:p w14:paraId="104AF678" w14:textId="4ED18C82" w:rsidR="00124618" w:rsidRDefault="00124618" w:rsidP="00124618">
            <w:pPr>
              <w:rPr>
                <w:rFonts w:ascii="Calibri" w:hAnsi="Calibri" w:cs="Calibri"/>
                <w:color w:val="000000"/>
              </w:rPr>
            </w:pPr>
            <w:r>
              <w:rPr>
                <w:rFonts w:ascii="Calibri" w:hAnsi="Calibri" w:cs="Calibri"/>
                <w:color w:val="000000"/>
              </w:rPr>
              <w:t>NET: Support</w:t>
            </w:r>
          </w:p>
        </w:tc>
        <w:tc>
          <w:tcPr>
            <w:tcW w:w="2650" w:type="dxa"/>
          </w:tcPr>
          <w:p w14:paraId="26DE2280" w14:textId="58577A34" w:rsidR="00124618" w:rsidRDefault="00124618" w:rsidP="00124618">
            <w:pPr>
              <w:rPr>
                <w:noProof/>
                <w:color w:val="auto"/>
              </w:rPr>
            </w:pPr>
            <w:r>
              <w:rPr>
                <w:noProof/>
                <w:color w:val="auto"/>
              </w:rPr>
              <w:t>59%</w:t>
            </w:r>
          </w:p>
        </w:tc>
      </w:tr>
      <w:tr w:rsidR="00124618" w14:paraId="7B4FA2F1" w14:textId="77777777" w:rsidTr="002A5FA5">
        <w:trPr>
          <w:cnfStyle w:val="000000010000" w:firstRow="0" w:lastRow="0" w:firstColumn="0" w:lastColumn="0" w:oddVBand="0" w:evenVBand="0" w:oddHBand="0" w:evenHBand="1" w:firstRowFirstColumn="0" w:firstRowLastColumn="0" w:lastRowFirstColumn="0" w:lastRowLastColumn="0"/>
          <w:trHeight w:val="291"/>
        </w:trPr>
        <w:tc>
          <w:tcPr>
            <w:tcW w:w="5240" w:type="dxa"/>
            <w:vAlign w:val="bottom"/>
          </w:tcPr>
          <w:p w14:paraId="1CF626EE" w14:textId="3B0A7660" w:rsidR="00124618" w:rsidRDefault="00124618" w:rsidP="00124618">
            <w:pPr>
              <w:rPr>
                <w:rFonts w:ascii="Calibri" w:hAnsi="Calibri" w:cs="Calibri"/>
                <w:color w:val="000000"/>
              </w:rPr>
            </w:pPr>
            <w:r>
              <w:rPr>
                <w:rFonts w:ascii="Calibri" w:hAnsi="Calibri" w:cs="Calibri"/>
                <w:color w:val="000000"/>
              </w:rPr>
              <w:t>NET: Oppose</w:t>
            </w:r>
          </w:p>
        </w:tc>
        <w:tc>
          <w:tcPr>
            <w:tcW w:w="2650" w:type="dxa"/>
          </w:tcPr>
          <w:p w14:paraId="2A402EC9" w14:textId="7E338264" w:rsidR="00124618" w:rsidRDefault="00124618" w:rsidP="00124618">
            <w:pPr>
              <w:rPr>
                <w:noProof/>
                <w:color w:val="auto"/>
              </w:rPr>
            </w:pPr>
            <w:r>
              <w:rPr>
                <w:noProof/>
                <w:color w:val="auto"/>
              </w:rPr>
              <w:t>4%</w:t>
            </w:r>
          </w:p>
        </w:tc>
      </w:tr>
    </w:tbl>
    <w:p w14:paraId="16EB66BD" w14:textId="301E04B8" w:rsidR="0085348B" w:rsidRDefault="0085348B" w:rsidP="0085348B">
      <w:pPr>
        <w:rPr>
          <w:noProof/>
          <w:highlight w:val="yellow"/>
        </w:rPr>
      </w:pPr>
      <w:r w:rsidRPr="00FD68EB">
        <w:rPr>
          <w:noProof/>
          <w:sz w:val="18"/>
          <w:szCs w:val="18"/>
        </w:rPr>
        <w:t>Q</w:t>
      </w:r>
      <w:r w:rsidR="00124618">
        <w:rPr>
          <w:noProof/>
          <w:sz w:val="18"/>
          <w:szCs w:val="18"/>
        </w:rPr>
        <w:t>7</w:t>
      </w:r>
      <w:r w:rsidRPr="00FD68EB">
        <w:rPr>
          <w:noProof/>
          <w:sz w:val="18"/>
          <w:szCs w:val="18"/>
        </w:rPr>
        <w:t xml:space="preserve">. </w:t>
      </w:r>
      <w:r w:rsidR="00124618" w:rsidRPr="00124618">
        <w:rPr>
          <w:noProof/>
          <w:sz w:val="18"/>
          <w:szCs w:val="18"/>
        </w:rPr>
        <w:t>To what extent do you support or oppose the proposal to develop the Greater Manchester Baccalaureate (MBacc), which aims to provide a route into further technical education as an alternative to university?</w:t>
      </w:r>
    </w:p>
    <w:p w14:paraId="516C0695" w14:textId="77777777" w:rsidR="0085348B" w:rsidRDefault="0085348B" w:rsidP="007B0B25">
      <w:pPr>
        <w:rPr>
          <w:noProof/>
          <w:highlight w:val="yellow"/>
        </w:rPr>
      </w:pPr>
    </w:p>
    <w:p w14:paraId="5E0BE7AA" w14:textId="7552EE49" w:rsidR="00BC4258" w:rsidRPr="00893B72" w:rsidRDefault="00124618" w:rsidP="00BC4258">
      <w:pPr>
        <w:rPr>
          <w:rFonts w:asciiTheme="majorHAnsi" w:eastAsiaTheme="majorEastAsia" w:hAnsiTheme="majorHAnsi" w:cstheme="majorBidi"/>
          <w:b/>
          <w:bCs/>
          <w:noProof/>
          <w:sz w:val="28"/>
          <w:szCs w:val="26"/>
        </w:rPr>
      </w:pPr>
      <w:r>
        <w:rPr>
          <w:rFonts w:asciiTheme="majorHAnsi" w:eastAsiaTheme="majorEastAsia" w:hAnsiTheme="majorHAnsi" w:cstheme="majorBidi"/>
          <w:b/>
          <w:bCs/>
          <w:noProof/>
          <w:sz w:val="28"/>
          <w:szCs w:val="26"/>
        </w:rPr>
        <w:t>Summary</w:t>
      </w:r>
    </w:p>
    <w:p w14:paraId="25812003" w14:textId="2E538FD3" w:rsidR="00BC4258" w:rsidRDefault="00910794" w:rsidP="00BC4258">
      <w:pPr>
        <w:rPr>
          <w:noProof/>
        </w:rPr>
      </w:pPr>
      <w:r>
        <w:rPr>
          <w:noProof/>
        </w:rPr>
        <w:t>There is a sense amongst Greater Manchester parents that schools do lean towards more emphasis on academic subjects when advising children in year 9 about their future, and that they would support a more equal approach – though it should be noted that there are many who feel they “don’t know” about this.</w:t>
      </w:r>
    </w:p>
    <w:p w14:paraId="56C14EF1" w14:textId="15D34C68" w:rsidR="00910794" w:rsidRDefault="00910794" w:rsidP="00BC4258">
      <w:pPr>
        <w:rPr>
          <w:noProof/>
        </w:rPr>
      </w:pPr>
      <w:r>
        <w:rPr>
          <w:noProof/>
        </w:rPr>
        <w:t xml:space="preserve">There is also currently a gap </w:t>
      </w:r>
      <w:r w:rsidR="001C53C0">
        <w:rPr>
          <w:noProof/>
        </w:rPr>
        <w:t xml:space="preserve">between parents’ awareness of A-levels and </w:t>
      </w:r>
      <w:r w:rsidR="0067177C">
        <w:rPr>
          <w:noProof/>
        </w:rPr>
        <w:t>apprenticeships</w:t>
      </w:r>
      <w:r w:rsidR="001C53C0">
        <w:rPr>
          <w:noProof/>
        </w:rPr>
        <w:t xml:space="preserve">, and the other qualifications available to their children, especially when it comes to more technically </w:t>
      </w:r>
      <w:r w:rsidR="0067177C">
        <w:rPr>
          <w:noProof/>
        </w:rPr>
        <w:t>focused</w:t>
      </w:r>
      <w:r w:rsidR="001C53C0">
        <w:rPr>
          <w:noProof/>
        </w:rPr>
        <w:t xml:space="preserve"> academic routes. Indeed, even amongst those familiar with technical courses like Higher Technical qualifications or T-levels</w:t>
      </w:r>
      <w:r w:rsidR="0067177C">
        <w:rPr>
          <w:noProof/>
        </w:rPr>
        <w:t>,</w:t>
      </w:r>
      <w:r w:rsidR="001C53C0">
        <w:rPr>
          <w:noProof/>
        </w:rPr>
        <w:t xml:space="preserve"> there is a much lower familiarity with how their children can take these courses than there is for taking A-levels or going into employment with training at 16.</w:t>
      </w:r>
    </w:p>
    <w:p w14:paraId="06616A32" w14:textId="52E27C83" w:rsidR="001C53C0" w:rsidRDefault="001C53C0" w:rsidP="00BC4258">
      <w:pPr>
        <w:rPr>
          <w:noProof/>
        </w:rPr>
      </w:pPr>
      <w:r>
        <w:rPr>
          <w:noProof/>
        </w:rPr>
        <w:t xml:space="preserve">The Greater Manchester Baccalaureate (MBacc) aims to provide children in Greater Manchester </w:t>
      </w:r>
      <w:r w:rsidR="0067177C">
        <w:rPr>
          <w:noProof/>
        </w:rPr>
        <w:t xml:space="preserve">with </w:t>
      </w:r>
      <w:r>
        <w:rPr>
          <w:noProof/>
        </w:rPr>
        <w:t>further options for pursuing a technical qualification and support amongst parents is high, especially for those at or approaching the age where they start to make educational decisions. However, awareness of the MBacc is low amongst parents, especially outside of Central Manchester, limiting the potential for children to take this course if it were introduced in the future.</w:t>
      </w:r>
    </w:p>
    <w:sectPr w:rsidR="001C53C0" w:rsidSect="00E16F03">
      <w:headerReference w:type="default" r:id="rId11"/>
      <w:footerReference w:type="default" r:id="rId12"/>
      <w:headerReference w:type="first" r:id="rId13"/>
      <w:footerReference w:type="first" r:id="rId14"/>
      <w:pgSz w:w="11906" w:h="16838" w:code="9"/>
      <w:pgMar w:top="1985" w:right="851" w:bottom="851" w:left="851" w:header="5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4A9AD" w14:textId="77777777" w:rsidR="00820909" w:rsidRDefault="00820909" w:rsidP="004108E3">
      <w:pPr>
        <w:spacing w:after="0"/>
      </w:pPr>
      <w:r>
        <w:separator/>
      </w:r>
    </w:p>
  </w:endnote>
  <w:endnote w:type="continuationSeparator" w:id="0">
    <w:p w14:paraId="4CF50254" w14:textId="77777777" w:rsidR="00820909" w:rsidRDefault="00820909" w:rsidP="00410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6907149"/>
      <w:docPartObj>
        <w:docPartGallery w:val="Page Numbers (Bottom of Page)"/>
        <w:docPartUnique/>
      </w:docPartObj>
    </w:sdtPr>
    <w:sdtEndPr>
      <w:rPr>
        <w:noProof/>
      </w:rPr>
    </w:sdtEndPr>
    <w:sdtContent>
      <w:p w14:paraId="2DEF10F1" w14:textId="168B1658" w:rsidR="00316EB4" w:rsidRDefault="00316E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B6E30" w14:textId="77777777" w:rsidR="00316EB4" w:rsidRDefault="00316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B132D" w14:textId="77777777" w:rsidR="00286080" w:rsidRDefault="001C44F3">
    <w:pPr>
      <w:pStyle w:val="Footer"/>
    </w:pPr>
    <w:r>
      <w:rPr>
        <w:noProof/>
      </w:rPr>
      <w:drawing>
        <wp:inline distT="0" distB="0" distL="0" distR="0" wp14:anchorId="2E7CC288" wp14:editId="033FA07F">
          <wp:extent cx="5724525" cy="457200"/>
          <wp:effectExtent l="0" t="0" r="9525" b="0"/>
          <wp:docPr id="9" name="Picture 15"/>
          <wp:cNvGraphicFramePr/>
          <a:graphic xmlns:a="http://schemas.openxmlformats.org/drawingml/2006/main">
            <a:graphicData uri="http://schemas.openxmlformats.org/drawingml/2006/picture">
              <pic:pic xmlns:pic="http://schemas.openxmlformats.org/drawingml/2006/picture">
                <pic:nvPicPr>
                  <pic:cNvPr id="4"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0D376" w14:textId="77777777" w:rsidR="00820909" w:rsidRDefault="00820909" w:rsidP="004108E3">
      <w:pPr>
        <w:spacing w:after="0"/>
      </w:pPr>
      <w:r>
        <w:separator/>
      </w:r>
    </w:p>
  </w:footnote>
  <w:footnote w:type="continuationSeparator" w:id="0">
    <w:p w14:paraId="088C8B36" w14:textId="77777777" w:rsidR="00820909" w:rsidRDefault="00820909" w:rsidP="004108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52BE6" w14:textId="744C562F" w:rsidR="00E16F03" w:rsidRDefault="00E16F03">
    <w:pPr>
      <w:pStyle w:val="Header"/>
    </w:pPr>
    <w:r>
      <w:rPr>
        <w:noProof/>
      </w:rPr>
      <w:drawing>
        <wp:anchor distT="0" distB="0" distL="114300" distR="114300" simplePos="0" relativeHeight="251661312" behindDoc="0" locked="0" layoutInCell="1" allowOverlap="1" wp14:anchorId="68BB91F1" wp14:editId="037A23EA">
          <wp:simplePos x="0" y="0"/>
          <wp:positionH relativeFrom="margin">
            <wp:posOffset>5314950</wp:posOffset>
          </wp:positionH>
          <wp:positionV relativeFrom="paragraph">
            <wp:posOffset>265430</wp:posOffset>
          </wp:positionV>
          <wp:extent cx="1160780" cy="267335"/>
          <wp:effectExtent l="0" t="0" r="1270" b="0"/>
          <wp:wrapNone/>
          <wp:docPr id="10" name="Picture 17">
            <a:extLst xmlns:a="http://schemas.openxmlformats.org/drawingml/2006/main">
              <a:ext uri="{FF2B5EF4-FFF2-40B4-BE49-F238E27FC236}">
                <a16:creationId xmlns:a16="http://schemas.microsoft.com/office/drawing/2014/main" id="{17E43F6C-AFEC-1C5D-400B-35AB3ED019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17E43F6C-AFEC-1C5D-400B-35AB3ED01921}"/>
                      </a:ext>
                    </a:extLst>
                  </pic:cNvPr>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1160780" cy="2673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1E64A" w14:textId="151DADD4" w:rsidR="00E16F03" w:rsidRDefault="00E16F03">
    <w:pPr>
      <w:pStyle w:val="Header"/>
    </w:pPr>
    <w:r>
      <w:rPr>
        <w:noProof/>
      </w:rPr>
      <w:drawing>
        <wp:anchor distT="0" distB="0" distL="114300" distR="114300" simplePos="0" relativeHeight="251658240" behindDoc="0" locked="0" layoutInCell="1" allowOverlap="1" wp14:anchorId="03F3C1CF" wp14:editId="2EA26BB8">
          <wp:simplePos x="0" y="0"/>
          <wp:positionH relativeFrom="margin">
            <wp:posOffset>5317490</wp:posOffset>
          </wp:positionH>
          <wp:positionV relativeFrom="paragraph">
            <wp:posOffset>236507</wp:posOffset>
          </wp:positionV>
          <wp:extent cx="1161385" cy="267418"/>
          <wp:effectExtent l="0" t="0" r="1270" b="0"/>
          <wp:wrapNone/>
          <wp:docPr id="8" name="Picture 17">
            <a:extLst xmlns:a="http://schemas.openxmlformats.org/drawingml/2006/main">
              <a:ext uri="{FF2B5EF4-FFF2-40B4-BE49-F238E27FC236}">
                <a16:creationId xmlns:a16="http://schemas.microsoft.com/office/drawing/2014/main" id="{17E43F6C-AFEC-1C5D-400B-35AB3ED019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17E43F6C-AFEC-1C5D-400B-35AB3ED01921}"/>
                      </a:ext>
                    </a:extLst>
                  </pic:cNvPr>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1161385" cy="2674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CC6A23"/>
    <w:multiLevelType w:val="hybridMultilevel"/>
    <w:tmpl w:val="B2DACFDE"/>
    <w:lvl w:ilvl="0" w:tplc="2584B0DA">
      <w:start w:val="1"/>
      <w:numFmt w:val="lowerLetter"/>
      <w:pStyle w:val="AlphaBullet"/>
      <w:lvlText w:val="%1)"/>
      <w:lvlJc w:val="left"/>
      <w:pPr>
        <w:ind w:left="720" w:hanging="360"/>
      </w:pPr>
      <w:rPr>
        <w:rFonts w:hint="default"/>
        <w:color w:val="E5008D"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41BC2"/>
    <w:multiLevelType w:val="hybridMultilevel"/>
    <w:tmpl w:val="3C2246D2"/>
    <w:lvl w:ilvl="0" w:tplc="42809E20">
      <w:start w:val="1"/>
      <w:numFmt w:val="decimal"/>
      <w:pStyle w:val="NumberBullet"/>
      <w:lvlText w:val="%1."/>
      <w:lvlJc w:val="left"/>
      <w:pPr>
        <w:ind w:left="720" w:hanging="360"/>
      </w:pPr>
      <w:rPr>
        <w:rFonts w:hint="default"/>
        <w:color w:val="E80094"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E026B"/>
    <w:multiLevelType w:val="hybridMultilevel"/>
    <w:tmpl w:val="B610FC76"/>
    <w:lvl w:ilvl="0" w:tplc="F02C8248">
      <w:start w:val="1"/>
      <w:numFmt w:val="bullet"/>
      <w:pStyle w:val="Bullet"/>
      <w:lvlText w:val=""/>
      <w:lvlJc w:val="left"/>
      <w:pPr>
        <w:ind w:left="720" w:hanging="360"/>
      </w:pPr>
      <w:rPr>
        <w:rFonts w:ascii="Wingdings" w:hAnsi="Wingdings" w:hint="default"/>
        <w:color w:val="E5008D"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8E6238"/>
    <w:multiLevelType w:val="hybridMultilevel"/>
    <w:tmpl w:val="74C2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B7"/>
    <w:rsid w:val="00007F44"/>
    <w:rsid w:val="00014F90"/>
    <w:rsid w:val="000254A4"/>
    <w:rsid w:val="000639E1"/>
    <w:rsid w:val="00064E07"/>
    <w:rsid w:val="00073AC8"/>
    <w:rsid w:val="00086182"/>
    <w:rsid w:val="0009771E"/>
    <w:rsid w:val="000D0BE5"/>
    <w:rsid w:val="000D6D45"/>
    <w:rsid w:val="000E45B3"/>
    <w:rsid w:val="000E5716"/>
    <w:rsid w:val="00103A66"/>
    <w:rsid w:val="0010600D"/>
    <w:rsid w:val="00124618"/>
    <w:rsid w:val="0014013A"/>
    <w:rsid w:val="00195746"/>
    <w:rsid w:val="001A4EBD"/>
    <w:rsid w:val="001C44F3"/>
    <w:rsid w:val="001C53C0"/>
    <w:rsid w:val="001F7E92"/>
    <w:rsid w:val="00241BFB"/>
    <w:rsid w:val="00270AA7"/>
    <w:rsid w:val="00270B2F"/>
    <w:rsid w:val="00275427"/>
    <w:rsid w:val="00286080"/>
    <w:rsid w:val="002A7386"/>
    <w:rsid w:val="002C37C7"/>
    <w:rsid w:val="002C5679"/>
    <w:rsid w:val="002E0953"/>
    <w:rsid w:val="003138FB"/>
    <w:rsid w:val="00316EB4"/>
    <w:rsid w:val="00327900"/>
    <w:rsid w:val="00347861"/>
    <w:rsid w:val="003604F8"/>
    <w:rsid w:val="003724C1"/>
    <w:rsid w:val="003740B8"/>
    <w:rsid w:val="00375F1F"/>
    <w:rsid w:val="003B31A8"/>
    <w:rsid w:val="003B62BA"/>
    <w:rsid w:val="003D7FA7"/>
    <w:rsid w:val="003E6C1F"/>
    <w:rsid w:val="003F4114"/>
    <w:rsid w:val="00400547"/>
    <w:rsid w:val="004108E3"/>
    <w:rsid w:val="00412CFC"/>
    <w:rsid w:val="00426923"/>
    <w:rsid w:val="00427AA1"/>
    <w:rsid w:val="00435240"/>
    <w:rsid w:val="00447DC9"/>
    <w:rsid w:val="004A4E49"/>
    <w:rsid w:val="004C1A0C"/>
    <w:rsid w:val="004C6206"/>
    <w:rsid w:val="004F18D8"/>
    <w:rsid w:val="005259C2"/>
    <w:rsid w:val="00525A84"/>
    <w:rsid w:val="0053022C"/>
    <w:rsid w:val="0054380B"/>
    <w:rsid w:val="00555236"/>
    <w:rsid w:val="00555FD5"/>
    <w:rsid w:val="00581F70"/>
    <w:rsid w:val="00583EAC"/>
    <w:rsid w:val="005968DF"/>
    <w:rsid w:val="005B328F"/>
    <w:rsid w:val="005C1404"/>
    <w:rsid w:val="005E69E8"/>
    <w:rsid w:val="005F418D"/>
    <w:rsid w:val="00600ED8"/>
    <w:rsid w:val="00664D93"/>
    <w:rsid w:val="0067177C"/>
    <w:rsid w:val="00682E76"/>
    <w:rsid w:val="006842F4"/>
    <w:rsid w:val="006B4A62"/>
    <w:rsid w:val="006D5EA4"/>
    <w:rsid w:val="006D7F24"/>
    <w:rsid w:val="006E3AFE"/>
    <w:rsid w:val="006E53E9"/>
    <w:rsid w:val="006F1036"/>
    <w:rsid w:val="006F7A98"/>
    <w:rsid w:val="00732D3C"/>
    <w:rsid w:val="00745ED0"/>
    <w:rsid w:val="0077615A"/>
    <w:rsid w:val="00784C5A"/>
    <w:rsid w:val="00793005"/>
    <w:rsid w:val="007940F3"/>
    <w:rsid w:val="00796917"/>
    <w:rsid w:val="007B0B25"/>
    <w:rsid w:val="00801F41"/>
    <w:rsid w:val="0080651E"/>
    <w:rsid w:val="00820909"/>
    <w:rsid w:val="008329D8"/>
    <w:rsid w:val="008421EC"/>
    <w:rsid w:val="0085348B"/>
    <w:rsid w:val="0086247A"/>
    <w:rsid w:val="00893B72"/>
    <w:rsid w:val="008C33D4"/>
    <w:rsid w:val="008C7139"/>
    <w:rsid w:val="008D1F09"/>
    <w:rsid w:val="008E67B2"/>
    <w:rsid w:val="00910794"/>
    <w:rsid w:val="00960109"/>
    <w:rsid w:val="00963035"/>
    <w:rsid w:val="00963823"/>
    <w:rsid w:val="00994B8A"/>
    <w:rsid w:val="009B6B3C"/>
    <w:rsid w:val="009F72C5"/>
    <w:rsid w:val="00A16064"/>
    <w:rsid w:val="00A663C6"/>
    <w:rsid w:val="00A81FDF"/>
    <w:rsid w:val="00A83EC4"/>
    <w:rsid w:val="00A953DD"/>
    <w:rsid w:val="00AB1AC5"/>
    <w:rsid w:val="00AD7BB7"/>
    <w:rsid w:val="00AE5DC9"/>
    <w:rsid w:val="00AF0E4D"/>
    <w:rsid w:val="00B24093"/>
    <w:rsid w:val="00B26F49"/>
    <w:rsid w:val="00B54461"/>
    <w:rsid w:val="00B55E48"/>
    <w:rsid w:val="00B67E59"/>
    <w:rsid w:val="00B83810"/>
    <w:rsid w:val="00B85438"/>
    <w:rsid w:val="00B8699D"/>
    <w:rsid w:val="00BA7189"/>
    <w:rsid w:val="00BC4258"/>
    <w:rsid w:val="00BD26ED"/>
    <w:rsid w:val="00BD36A9"/>
    <w:rsid w:val="00BF78B7"/>
    <w:rsid w:val="00C0427D"/>
    <w:rsid w:val="00C52448"/>
    <w:rsid w:val="00C57E43"/>
    <w:rsid w:val="00C72C21"/>
    <w:rsid w:val="00C76FCB"/>
    <w:rsid w:val="00C8137A"/>
    <w:rsid w:val="00CB057A"/>
    <w:rsid w:val="00CD0423"/>
    <w:rsid w:val="00CD2DE9"/>
    <w:rsid w:val="00D26668"/>
    <w:rsid w:val="00D43887"/>
    <w:rsid w:val="00D534DE"/>
    <w:rsid w:val="00D61704"/>
    <w:rsid w:val="00DA00A0"/>
    <w:rsid w:val="00DB3057"/>
    <w:rsid w:val="00DD1FB3"/>
    <w:rsid w:val="00DE1CFD"/>
    <w:rsid w:val="00E00A8F"/>
    <w:rsid w:val="00E16F03"/>
    <w:rsid w:val="00E210FA"/>
    <w:rsid w:val="00E22D3D"/>
    <w:rsid w:val="00E35235"/>
    <w:rsid w:val="00E61AF2"/>
    <w:rsid w:val="00E70353"/>
    <w:rsid w:val="00E74D51"/>
    <w:rsid w:val="00EB0AB1"/>
    <w:rsid w:val="00EB5FC9"/>
    <w:rsid w:val="00EC0539"/>
    <w:rsid w:val="00EE7701"/>
    <w:rsid w:val="00F01828"/>
    <w:rsid w:val="00F023F9"/>
    <w:rsid w:val="00F2180E"/>
    <w:rsid w:val="00F25D18"/>
    <w:rsid w:val="00F53669"/>
    <w:rsid w:val="00F62CF9"/>
    <w:rsid w:val="00F65703"/>
    <w:rsid w:val="00FB0412"/>
    <w:rsid w:val="00FB1F3A"/>
    <w:rsid w:val="00FD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EC769"/>
  <w15:chartTrackingRefBased/>
  <w15:docId w15:val="{DCB97D41-4DAE-43A7-A431-25DD1B65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BE5"/>
    <w:pPr>
      <w:spacing w:after="120" w:line="240" w:lineRule="auto"/>
    </w:pPr>
    <w:rPr>
      <w:color w:val="515151" w:themeColor="text1"/>
      <w:lang w:val="en-GB"/>
    </w:rPr>
  </w:style>
  <w:style w:type="paragraph" w:styleId="Heading1">
    <w:name w:val="heading 1"/>
    <w:basedOn w:val="Normal"/>
    <w:next w:val="Normal"/>
    <w:link w:val="Heading1Char"/>
    <w:uiPriority w:val="9"/>
    <w:qFormat/>
    <w:rsid w:val="00195746"/>
    <w:pPr>
      <w:keepNext/>
      <w:keepLines/>
      <w:spacing w:before="240" w:after="240"/>
      <w:outlineLvl w:val="0"/>
    </w:pPr>
    <w:rPr>
      <w:rFonts w:asciiTheme="majorHAnsi" w:eastAsiaTheme="majorEastAsia" w:hAnsiTheme="majorHAnsi" w:cstheme="majorBidi"/>
      <w:b/>
      <w:color w:val="E80094" w:themeColor="text2"/>
      <w:sz w:val="32"/>
      <w:szCs w:val="32"/>
    </w:rPr>
  </w:style>
  <w:style w:type="paragraph" w:styleId="Heading2">
    <w:name w:val="heading 2"/>
    <w:basedOn w:val="Normal"/>
    <w:next w:val="Normal"/>
    <w:link w:val="Heading2Char"/>
    <w:uiPriority w:val="9"/>
    <w:unhideWhenUsed/>
    <w:qFormat/>
    <w:rsid w:val="00195746"/>
    <w:pPr>
      <w:keepNext/>
      <w:keepLines/>
      <w:spacing w:before="12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195746"/>
    <w:pPr>
      <w:keepNext/>
      <w:keepLines/>
      <w:spacing w:before="40" w:after="0"/>
      <w:outlineLvl w:val="2"/>
    </w:pPr>
    <w:rPr>
      <w:rFonts w:asciiTheme="majorHAnsi" w:eastAsiaTheme="majorEastAsia" w:hAnsiTheme="majorHAnsi" w:cstheme="majorBidi"/>
      <w:color w:val="E80094"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oorHouse">
    <w:name w:val="Moor House"/>
    <w:basedOn w:val="TableNormal"/>
    <w:uiPriority w:val="99"/>
    <w:rsid w:val="00327900"/>
    <w:pPr>
      <w:spacing w:after="0" w:line="240" w:lineRule="auto"/>
    </w:pPr>
    <w:rPr>
      <w:rFonts w:ascii="Arial" w:eastAsia="Times New Roman" w:hAnsi="Arial" w:cs="Times New Roman"/>
      <w:color w:val="928991"/>
      <w:szCs w:val="20"/>
      <w:lang w:val="en-GB" w:eastAsia="en-GB"/>
    </w:rPr>
    <w:tblPr>
      <w:tblStyleRowBandSize w:val="1"/>
      <w:tblBorders>
        <w:top w:val="single" w:sz="4" w:space="0" w:color="515151" w:themeColor="text1"/>
        <w:left w:val="single" w:sz="4" w:space="0" w:color="515151" w:themeColor="text1"/>
        <w:bottom w:val="single" w:sz="4" w:space="0" w:color="515151" w:themeColor="text1"/>
        <w:right w:val="single" w:sz="4" w:space="0" w:color="515151" w:themeColor="text1"/>
        <w:insideH w:val="single" w:sz="4" w:space="0" w:color="515151" w:themeColor="text1"/>
        <w:insideV w:val="single" w:sz="4" w:space="0" w:color="515151" w:themeColor="text1"/>
      </w:tblBorders>
    </w:tblPr>
    <w:tblStylePr w:type="firstRow">
      <w:rPr>
        <w:rFonts w:ascii="Arial" w:hAnsi="Arial"/>
        <w:b/>
        <w:color w:val="FFFFFF" w:themeColor="background1"/>
        <w:sz w:val="22"/>
      </w:rPr>
      <w:tblPr/>
      <w:tcPr>
        <w:tcBorders>
          <w:top w:val="nil"/>
          <w:left w:val="nil"/>
          <w:bottom w:val="nil"/>
          <w:right w:val="nil"/>
          <w:insideH w:val="nil"/>
          <w:insideV w:val="single" w:sz="4" w:space="0" w:color="324EAB" w:themeColor="background2"/>
        </w:tcBorders>
        <w:shd w:val="clear" w:color="auto" w:fill="214FA5" w:themeFill="accent1"/>
      </w:tcPr>
    </w:tblStylePr>
    <w:tblStylePr w:type="band1Horz">
      <w:rPr>
        <w:rFonts w:ascii="Arial" w:hAnsi="Arial"/>
        <w:color w:val="928991"/>
        <w:sz w:val="22"/>
      </w:rPr>
      <w:tblPr/>
      <w:tcPr>
        <w:tcBorders>
          <w:top w:val="nil"/>
          <w:left w:val="nil"/>
          <w:bottom w:val="nil"/>
          <w:right w:val="nil"/>
          <w:insideH w:val="nil"/>
          <w:insideV w:val="nil"/>
        </w:tcBorders>
        <w:shd w:val="clear" w:color="auto" w:fill="CFBBD1"/>
      </w:tcPr>
    </w:tblStylePr>
    <w:tblStylePr w:type="band2Horz">
      <w:rPr>
        <w:rFonts w:ascii="Arial" w:hAnsi="Arial"/>
        <w:color w:val="928991"/>
        <w:sz w:val="22"/>
      </w:rPr>
      <w:tblPr/>
      <w:tcPr>
        <w:tcBorders>
          <w:top w:val="nil"/>
          <w:left w:val="nil"/>
          <w:bottom w:val="nil"/>
          <w:right w:val="nil"/>
          <w:insideH w:val="nil"/>
          <w:insideV w:val="nil"/>
        </w:tcBorders>
        <w:shd w:val="clear" w:color="auto" w:fill="FFFFFF" w:themeFill="background1"/>
      </w:tcPr>
    </w:tblStylePr>
  </w:style>
  <w:style w:type="table" w:customStyle="1" w:styleId="EMR">
    <w:name w:val="EMR"/>
    <w:basedOn w:val="TableNormal"/>
    <w:uiPriority w:val="99"/>
    <w:rsid w:val="00A953DD"/>
    <w:pPr>
      <w:spacing w:after="0" w:line="240" w:lineRule="auto"/>
    </w:pPr>
    <w:tblPr>
      <w:tblStyleRowBandSize w:val="1"/>
      <w:tblBorders>
        <w:top w:val="single" w:sz="4" w:space="0" w:color="8361AB" w:themeColor="accent2"/>
        <w:left w:val="single" w:sz="4" w:space="0" w:color="8361AB" w:themeColor="accent2"/>
        <w:bottom w:val="single" w:sz="4" w:space="0" w:color="8361AB" w:themeColor="accent2"/>
        <w:right w:val="single" w:sz="4" w:space="0" w:color="8361AB" w:themeColor="accent2"/>
        <w:insideH w:val="single" w:sz="4" w:space="0" w:color="8361AB" w:themeColor="accent2"/>
        <w:insideV w:val="single" w:sz="4" w:space="0" w:color="8361AB" w:themeColor="accent2"/>
      </w:tblBorders>
    </w:tblPr>
    <w:tblStylePr w:type="firstRow">
      <w:tblPr/>
      <w:tcPr>
        <w:tcBorders>
          <w:top w:val="single" w:sz="4" w:space="0" w:color="8361AB" w:themeColor="accent2"/>
          <w:left w:val="single" w:sz="4" w:space="0" w:color="8361AB" w:themeColor="accent2"/>
          <w:bottom w:val="single" w:sz="4" w:space="0" w:color="8361AB" w:themeColor="accent2"/>
          <w:right w:val="single" w:sz="4" w:space="0" w:color="8361AB" w:themeColor="accent2"/>
          <w:insideH w:val="single" w:sz="4" w:space="0" w:color="8361AB" w:themeColor="accent2"/>
          <w:insideV w:val="single" w:sz="4" w:space="0" w:color="8361AB" w:themeColor="accent2"/>
          <w:tl2br w:val="nil"/>
          <w:tr2bl w:val="nil"/>
        </w:tcBorders>
        <w:shd w:val="clear" w:color="auto" w:fill="214FA5" w:themeFill="accent1"/>
      </w:tcPr>
    </w:tblStylePr>
    <w:tblStylePr w:type="band1Horz">
      <w:tblPr/>
      <w:tcPr>
        <w:tcBorders>
          <w:top w:val="single" w:sz="4" w:space="0" w:color="8361AB" w:themeColor="accent2"/>
          <w:left w:val="single" w:sz="4" w:space="0" w:color="8361AB" w:themeColor="accent2"/>
          <w:bottom w:val="single" w:sz="4" w:space="0" w:color="8361AB" w:themeColor="accent2"/>
          <w:right w:val="single" w:sz="4" w:space="0" w:color="8361AB" w:themeColor="accent2"/>
          <w:insideH w:val="single" w:sz="4" w:space="0" w:color="8361AB" w:themeColor="accent2"/>
          <w:insideV w:val="single" w:sz="4" w:space="0" w:color="8361AB" w:themeColor="accent2"/>
          <w:tl2br w:val="nil"/>
          <w:tr2bl w:val="nil"/>
        </w:tcBorders>
        <w:shd w:val="clear" w:color="auto" w:fill="FFFFFF" w:themeFill="background1"/>
      </w:tcPr>
    </w:tblStylePr>
    <w:tblStylePr w:type="band2Horz">
      <w:tblPr/>
      <w:tcPr>
        <w:tcBorders>
          <w:top w:val="single" w:sz="4" w:space="0" w:color="8361AB" w:themeColor="accent2"/>
          <w:left w:val="single" w:sz="4" w:space="0" w:color="8361AB" w:themeColor="accent2"/>
          <w:bottom w:val="single" w:sz="4" w:space="0" w:color="8361AB" w:themeColor="accent2"/>
          <w:right w:val="single" w:sz="4" w:space="0" w:color="8361AB" w:themeColor="accent2"/>
          <w:insideH w:val="single" w:sz="4" w:space="0" w:color="CAD9F4" w:themeColor="accent1" w:themeTint="33"/>
          <w:insideV w:val="single" w:sz="4" w:space="0" w:color="8361AB" w:themeColor="accent2"/>
          <w:tl2br w:val="nil"/>
          <w:tr2bl w:val="nil"/>
        </w:tcBorders>
        <w:shd w:val="clear" w:color="auto" w:fill="CAD9F4" w:themeFill="accent1" w:themeFillTint="33"/>
      </w:tcPr>
    </w:tblStylePr>
  </w:style>
  <w:style w:type="paragraph" w:styleId="Header">
    <w:name w:val="header"/>
    <w:basedOn w:val="Normal"/>
    <w:link w:val="HeaderChar"/>
    <w:uiPriority w:val="99"/>
    <w:unhideWhenUsed/>
    <w:rsid w:val="004108E3"/>
    <w:pPr>
      <w:tabs>
        <w:tab w:val="center" w:pos="4680"/>
        <w:tab w:val="right" w:pos="9360"/>
      </w:tabs>
      <w:spacing w:after="0"/>
    </w:pPr>
  </w:style>
  <w:style w:type="character" w:customStyle="1" w:styleId="HeaderChar">
    <w:name w:val="Header Char"/>
    <w:basedOn w:val="DefaultParagraphFont"/>
    <w:link w:val="Header"/>
    <w:uiPriority w:val="99"/>
    <w:rsid w:val="004108E3"/>
  </w:style>
  <w:style w:type="paragraph" w:styleId="Footer">
    <w:name w:val="footer"/>
    <w:basedOn w:val="Normal"/>
    <w:link w:val="FooterChar"/>
    <w:uiPriority w:val="99"/>
    <w:unhideWhenUsed/>
    <w:rsid w:val="004108E3"/>
    <w:pPr>
      <w:tabs>
        <w:tab w:val="center" w:pos="4680"/>
        <w:tab w:val="right" w:pos="9360"/>
      </w:tabs>
      <w:spacing w:after="0"/>
    </w:pPr>
  </w:style>
  <w:style w:type="character" w:customStyle="1" w:styleId="FooterChar">
    <w:name w:val="Footer Char"/>
    <w:basedOn w:val="DefaultParagraphFont"/>
    <w:link w:val="Footer"/>
    <w:uiPriority w:val="99"/>
    <w:rsid w:val="004108E3"/>
  </w:style>
  <w:style w:type="character" w:customStyle="1" w:styleId="Heading1Char">
    <w:name w:val="Heading 1 Char"/>
    <w:basedOn w:val="DefaultParagraphFont"/>
    <w:link w:val="Heading1"/>
    <w:uiPriority w:val="9"/>
    <w:rsid w:val="00195746"/>
    <w:rPr>
      <w:rFonts w:asciiTheme="majorHAnsi" w:eastAsiaTheme="majorEastAsia" w:hAnsiTheme="majorHAnsi" w:cstheme="majorBidi"/>
      <w:b/>
      <w:color w:val="E80094" w:themeColor="text2"/>
      <w:sz w:val="32"/>
      <w:szCs w:val="32"/>
      <w:lang w:val="en-GB"/>
    </w:rPr>
  </w:style>
  <w:style w:type="character" w:customStyle="1" w:styleId="Heading2Char">
    <w:name w:val="Heading 2 Char"/>
    <w:basedOn w:val="DefaultParagraphFont"/>
    <w:link w:val="Heading2"/>
    <w:uiPriority w:val="9"/>
    <w:rsid w:val="00195746"/>
    <w:rPr>
      <w:rFonts w:asciiTheme="majorHAnsi" w:eastAsiaTheme="majorEastAsia" w:hAnsiTheme="majorHAnsi" w:cstheme="majorBidi"/>
      <w:b/>
      <w:color w:val="515151" w:themeColor="text1"/>
      <w:sz w:val="28"/>
      <w:szCs w:val="26"/>
      <w:lang w:val="en-GB"/>
    </w:rPr>
  </w:style>
  <w:style w:type="paragraph" w:styleId="ListParagraph">
    <w:name w:val="List Paragraph"/>
    <w:basedOn w:val="Normal"/>
    <w:uiPriority w:val="34"/>
    <w:qFormat/>
    <w:rsid w:val="000D0BE5"/>
    <w:pPr>
      <w:ind w:left="720"/>
      <w:contextualSpacing/>
    </w:pPr>
  </w:style>
  <w:style w:type="paragraph" w:customStyle="1" w:styleId="Bullet">
    <w:name w:val="Bullet"/>
    <w:basedOn w:val="ListParagraph"/>
    <w:qFormat/>
    <w:rsid w:val="000D0BE5"/>
    <w:pPr>
      <w:numPr>
        <w:numId w:val="2"/>
      </w:numPr>
      <w:ind w:left="357" w:hanging="357"/>
    </w:pPr>
    <w:rPr>
      <w:noProof/>
    </w:rPr>
  </w:style>
  <w:style w:type="paragraph" w:customStyle="1" w:styleId="SubBullet">
    <w:name w:val="Sub Bullet"/>
    <w:basedOn w:val="Bullet"/>
    <w:qFormat/>
    <w:rsid w:val="00994B8A"/>
    <w:pPr>
      <w:ind w:left="714"/>
    </w:pPr>
  </w:style>
  <w:style w:type="paragraph" w:customStyle="1" w:styleId="Subsubbullet">
    <w:name w:val="Sub sub bullet"/>
    <w:basedOn w:val="SubBullet"/>
    <w:qFormat/>
    <w:rsid w:val="00994B8A"/>
    <w:pPr>
      <w:ind w:left="1071"/>
    </w:pPr>
  </w:style>
  <w:style w:type="paragraph" w:customStyle="1" w:styleId="NumberBullet">
    <w:name w:val="Number Bullet"/>
    <w:basedOn w:val="Bullet"/>
    <w:qFormat/>
    <w:rsid w:val="008329D8"/>
    <w:pPr>
      <w:numPr>
        <w:numId w:val="3"/>
      </w:numPr>
      <w:ind w:left="357" w:hanging="357"/>
    </w:pPr>
  </w:style>
  <w:style w:type="paragraph" w:customStyle="1" w:styleId="AlphaBullet">
    <w:name w:val="Alpha Bullet"/>
    <w:basedOn w:val="Bullet"/>
    <w:qFormat/>
    <w:rsid w:val="008329D8"/>
    <w:pPr>
      <w:numPr>
        <w:numId w:val="4"/>
      </w:numPr>
      <w:ind w:left="357" w:hanging="357"/>
    </w:pPr>
  </w:style>
  <w:style w:type="table" w:customStyle="1" w:styleId="Style1">
    <w:name w:val="Style1"/>
    <w:basedOn w:val="TableNormal"/>
    <w:uiPriority w:val="99"/>
    <w:rsid w:val="000E45B3"/>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i w:val="0"/>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214FA5" w:themeFill="accent1"/>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CCD0E1"/>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E8E9F0"/>
      </w:tcPr>
    </w:tblStylePr>
  </w:style>
  <w:style w:type="table" w:customStyle="1" w:styleId="BMG">
    <w:name w:val="BMG"/>
    <w:basedOn w:val="TableNormal"/>
    <w:uiPriority w:val="99"/>
    <w:rsid w:val="004C1A0C"/>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Pr>
    <w:tblStylePr w:type="firstRow">
      <w:rPr>
        <w:b/>
        <w:i w:val="0"/>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214FA5" w:themeFill="accent1"/>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CCD0E1"/>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E8E9F0"/>
      </w:tcPr>
    </w:tblStylePr>
  </w:style>
  <w:style w:type="paragraph" w:customStyle="1" w:styleId="Tabletext">
    <w:name w:val="Table text"/>
    <w:basedOn w:val="Normal"/>
    <w:qFormat/>
    <w:rsid w:val="00A953DD"/>
    <w:pPr>
      <w:spacing w:after="0"/>
    </w:pPr>
    <w:rPr>
      <w:b/>
      <w:color w:val="FFFFFF" w:themeColor="background1"/>
    </w:rPr>
  </w:style>
  <w:style w:type="paragraph" w:styleId="TOCHeading">
    <w:name w:val="TOC Heading"/>
    <w:basedOn w:val="Heading1"/>
    <w:next w:val="Normal"/>
    <w:uiPriority w:val="39"/>
    <w:unhideWhenUsed/>
    <w:qFormat/>
    <w:rsid w:val="00DB3057"/>
    <w:pPr>
      <w:spacing w:after="0" w:line="259" w:lineRule="auto"/>
      <w:outlineLvl w:val="9"/>
    </w:pPr>
  </w:style>
  <w:style w:type="paragraph" w:styleId="TOC1">
    <w:name w:val="toc 1"/>
    <w:basedOn w:val="Normal"/>
    <w:next w:val="Normal"/>
    <w:autoRedefine/>
    <w:uiPriority w:val="39"/>
    <w:unhideWhenUsed/>
    <w:rsid w:val="003E6C1F"/>
    <w:pPr>
      <w:tabs>
        <w:tab w:val="right" w:leader="dot" w:pos="10528"/>
      </w:tabs>
      <w:spacing w:after="100"/>
    </w:pPr>
    <w:rPr>
      <w:noProof/>
    </w:rPr>
  </w:style>
  <w:style w:type="paragraph" w:styleId="TOC2">
    <w:name w:val="toc 2"/>
    <w:basedOn w:val="Normal"/>
    <w:next w:val="Normal"/>
    <w:autoRedefine/>
    <w:uiPriority w:val="39"/>
    <w:unhideWhenUsed/>
    <w:rsid w:val="00583EAC"/>
    <w:pPr>
      <w:spacing w:after="100"/>
      <w:ind w:left="220"/>
    </w:pPr>
  </w:style>
  <w:style w:type="character" w:styleId="Hyperlink">
    <w:name w:val="Hyperlink"/>
    <w:basedOn w:val="DefaultParagraphFont"/>
    <w:uiPriority w:val="99"/>
    <w:unhideWhenUsed/>
    <w:rsid w:val="00583EAC"/>
    <w:rPr>
      <w:color w:val="0563C1" w:themeColor="hyperlink"/>
      <w:u w:val="single"/>
    </w:rPr>
  </w:style>
  <w:style w:type="character" w:customStyle="1" w:styleId="Heading3Char">
    <w:name w:val="Heading 3 Char"/>
    <w:basedOn w:val="DefaultParagraphFont"/>
    <w:link w:val="Heading3"/>
    <w:uiPriority w:val="9"/>
    <w:rsid w:val="00195746"/>
    <w:rPr>
      <w:rFonts w:asciiTheme="majorHAnsi" w:eastAsiaTheme="majorEastAsia" w:hAnsiTheme="majorHAnsi" w:cstheme="majorBidi"/>
      <w:color w:val="E80094" w:themeColor="text2"/>
      <w:sz w:val="24"/>
      <w:szCs w:val="24"/>
      <w:lang w:val="en-GB"/>
    </w:rPr>
  </w:style>
  <w:style w:type="paragraph" w:styleId="Revision">
    <w:name w:val="Revision"/>
    <w:hidden/>
    <w:uiPriority w:val="99"/>
    <w:semiHidden/>
    <w:rsid w:val="00E16F03"/>
    <w:pPr>
      <w:spacing w:after="0" w:line="240" w:lineRule="auto"/>
    </w:pPr>
    <w:rPr>
      <w:color w:val="515151" w:themeColor="text1"/>
      <w:lang w:val="en-GB"/>
    </w:rPr>
  </w:style>
  <w:style w:type="character" w:styleId="CommentReference">
    <w:name w:val="annotation reference"/>
    <w:basedOn w:val="DefaultParagraphFont"/>
    <w:uiPriority w:val="99"/>
    <w:semiHidden/>
    <w:unhideWhenUsed/>
    <w:rsid w:val="00D61704"/>
    <w:rPr>
      <w:sz w:val="16"/>
      <w:szCs w:val="16"/>
    </w:rPr>
  </w:style>
  <w:style w:type="paragraph" w:styleId="CommentText">
    <w:name w:val="annotation text"/>
    <w:basedOn w:val="Normal"/>
    <w:link w:val="CommentTextChar"/>
    <w:uiPriority w:val="99"/>
    <w:semiHidden/>
    <w:unhideWhenUsed/>
    <w:rsid w:val="00D61704"/>
    <w:rPr>
      <w:sz w:val="20"/>
      <w:szCs w:val="20"/>
    </w:rPr>
  </w:style>
  <w:style w:type="character" w:customStyle="1" w:styleId="CommentTextChar">
    <w:name w:val="Comment Text Char"/>
    <w:basedOn w:val="DefaultParagraphFont"/>
    <w:link w:val="CommentText"/>
    <w:uiPriority w:val="99"/>
    <w:semiHidden/>
    <w:rsid w:val="00D61704"/>
    <w:rPr>
      <w:color w:val="515151" w:themeColor="text1"/>
      <w:sz w:val="20"/>
      <w:szCs w:val="20"/>
      <w:lang w:val="en-GB"/>
    </w:rPr>
  </w:style>
  <w:style w:type="paragraph" w:styleId="CommentSubject">
    <w:name w:val="annotation subject"/>
    <w:basedOn w:val="CommentText"/>
    <w:next w:val="CommentText"/>
    <w:link w:val="CommentSubjectChar"/>
    <w:uiPriority w:val="99"/>
    <w:semiHidden/>
    <w:unhideWhenUsed/>
    <w:rsid w:val="00D61704"/>
    <w:rPr>
      <w:b/>
      <w:bCs/>
    </w:rPr>
  </w:style>
  <w:style w:type="character" w:customStyle="1" w:styleId="CommentSubjectChar">
    <w:name w:val="Comment Subject Char"/>
    <w:basedOn w:val="CommentTextChar"/>
    <w:link w:val="CommentSubject"/>
    <w:uiPriority w:val="99"/>
    <w:semiHidden/>
    <w:rsid w:val="00D61704"/>
    <w:rPr>
      <w:b/>
      <w:bCs/>
      <w:color w:val="515151" w:themeColor="text1"/>
      <w:sz w:val="20"/>
      <w:szCs w:val="20"/>
      <w:lang w:val="en-GB"/>
    </w:rPr>
  </w:style>
  <w:style w:type="paragraph" w:styleId="BalloonText">
    <w:name w:val="Balloon Text"/>
    <w:basedOn w:val="Normal"/>
    <w:link w:val="BalloonTextChar"/>
    <w:uiPriority w:val="99"/>
    <w:semiHidden/>
    <w:unhideWhenUsed/>
    <w:rsid w:val="00103A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66"/>
    <w:rPr>
      <w:rFonts w:ascii="Segoe UI" w:hAnsi="Segoe UI" w:cs="Segoe UI"/>
      <w:color w:val="515151" w:themeColor="text1"/>
      <w:sz w:val="18"/>
      <w:szCs w:val="18"/>
      <w:lang w:val="en-GB"/>
    </w:rPr>
  </w:style>
  <w:style w:type="paragraph" w:styleId="FootnoteText">
    <w:name w:val="footnote text"/>
    <w:basedOn w:val="Normal"/>
    <w:link w:val="FootnoteTextChar"/>
    <w:uiPriority w:val="99"/>
    <w:semiHidden/>
    <w:unhideWhenUsed/>
    <w:rsid w:val="00963823"/>
    <w:pPr>
      <w:spacing w:after="0"/>
    </w:pPr>
    <w:rPr>
      <w:sz w:val="20"/>
      <w:szCs w:val="20"/>
    </w:rPr>
  </w:style>
  <w:style w:type="character" w:customStyle="1" w:styleId="FootnoteTextChar">
    <w:name w:val="Footnote Text Char"/>
    <w:basedOn w:val="DefaultParagraphFont"/>
    <w:link w:val="FootnoteText"/>
    <w:uiPriority w:val="99"/>
    <w:semiHidden/>
    <w:rsid w:val="00963823"/>
    <w:rPr>
      <w:color w:val="515151" w:themeColor="text1"/>
      <w:sz w:val="20"/>
      <w:szCs w:val="20"/>
      <w:lang w:val="en-GB"/>
    </w:rPr>
  </w:style>
  <w:style w:type="character" w:styleId="FootnoteReference">
    <w:name w:val="footnote reference"/>
    <w:basedOn w:val="DefaultParagraphFont"/>
    <w:uiPriority w:val="99"/>
    <w:semiHidden/>
    <w:unhideWhenUsed/>
    <w:rsid w:val="00963823"/>
    <w:rPr>
      <w:vertAlign w:val="superscript"/>
    </w:rPr>
  </w:style>
  <w:style w:type="table" w:styleId="TableGrid">
    <w:name w:val="Table Grid"/>
    <w:basedOn w:val="TableNormal"/>
    <w:uiPriority w:val="39"/>
    <w:rsid w:val="00FD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70548">
      <w:bodyDiv w:val="1"/>
      <w:marLeft w:val="0"/>
      <w:marRight w:val="0"/>
      <w:marTop w:val="0"/>
      <w:marBottom w:val="0"/>
      <w:divBdr>
        <w:top w:val="none" w:sz="0" w:space="0" w:color="auto"/>
        <w:left w:val="none" w:sz="0" w:space="0" w:color="auto"/>
        <w:bottom w:val="none" w:sz="0" w:space="0" w:color="auto"/>
        <w:right w:val="none" w:sz="0" w:space="0" w:color="auto"/>
      </w:divBdr>
    </w:div>
    <w:div w:id="104345901">
      <w:bodyDiv w:val="1"/>
      <w:marLeft w:val="0"/>
      <w:marRight w:val="0"/>
      <w:marTop w:val="0"/>
      <w:marBottom w:val="0"/>
      <w:divBdr>
        <w:top w:val="none" w:sz="0" w:space="0" w:color="auto"/>
        <w:left w:val="none" w:sz="0" w:space="0" w:color="auto"/>
        <w:bottom w:val="none" w:sz="0" w:space="0" w:color="auto"/>
        <w:right w:val="none" w:sz="0" w:space="0" w:color="auto"/>
      </w:divBdr>
    </w:div>
    <w:div w:id="202601327">
      <w:bodyDiv w:val="1"/>
      <w:marLeft w:val="0"/>
      <w:marRight w:val="0"/>
      <w:marTop w:val="0"/>
      <w:marBottom w:val="0"/>
      <w:divBdr>
        <w:top w:val="none" w:sz="0" w:space="0" w:color="auto"/>
        <w:left w:val="none" w:sz="0" w:space="0" w:color="auto"/>
        <w:bottom w:val="none" w:sz="0" w:space="0" w:color="auto"/>
        <w:right w:val="none" w:sz="0" w:space="0" w:color="auto"/>
      </w:divBdr>
      <w:divsChild>
        <w:div w:id="1398170144">
          <w:marLeft w:val="274"/>
          <w:marRight w:val="0"/>
          <w:marTop w:val="0"/>
          <w:marBottom w:val="0"/>
          <w:divBdr>
            <w:top w:val="none" w:sz="0" w:space="0" w:color="auto"/>
            <w:left w:val="none" w:sz="0" w:space="0" w:color="auto"/>
            <w:bottom w:val="none" w:sz="0" w:space="0" w:color="auto"/>
            <w:right w:val="none" w:sz="0" w:space="0" w:color="auto"/>
          </w:divBdr>
        </w:div>
      </w:divsChild>
    </w:div>
    <w:div w:id="385223985">
      <w:bodyDiv w:val="1"/>
      <w:marLeft w:val="0"/>
      <w:marRight w:val="0"/>
      <w:marTop w:val="0"/>
      <w:marBottom w:val="0"/>
      <w:divBdr>
        <w:top w:val="none" w:sz="0" w:space="0" w:color="auto"/>
        <w:left w:val="none" w:sz="0" w:space="0" w:color="auto"/>
        <w:bottom w:val="none" w:sz="0" w:space="0" w:color="auto"/>
        <w:right w:val="none" w:sz="0" w:space="0" w:color="auto"/>
      </w:divBdr>
    </w:div>
    <w:div w:id="419838352">
      <w:bodyDiv w:val="1"/>
      <w:marLeft w:val="0"/>
      <w:marRight w:val="0"/>
      <w:marTop w:val="0"/>
      <w:marBottom w:val="0"/>
      <w:divBdr>
        <w:top w:val="none" w:sz="0" w:space="0" w:color="auto"/>
        <w:left w:val="none" w:sz="0" w:space="0" w:color="auto"/>
        <w:bottom w:val="none" w:sz="0" w:space="0" w:color="auto"/>
        <w:right w:val="none" w:sz="0" w:space="0" w:color="auto"/>
      </w:divBdr>
    </w:div>
    <w:div w:id="449856358">
      <w:bodyDiv w:val="1"/>
      <w:marLeft w:val="0"/>
      <w:marRight w:val="0"/>
      <w:marTop w:val="0"/>
      <w:marBottom w:val="0"/>
      <w:divBdr>
        <w:top w:val="none" w:sz="0" w:space="0" w:color="auto"/>
        <w:left w:val="none" w:sz="0" w:space="0" w:color="auto"/>
        <w:bottom w:val="none" w:sz="0" w:space="0" w:color="auto"/>
        <w:right w:val="none" w:sz="0" w:space="0" w:color="auto"/>
      </w:divBdr>
    </w:div>
    <w:div w:id="528185735">
      <w:bodyDiv w:val="1"/>
      <w:marLeft w:val="0"/>
      <w:marRight w:val="0"/>
      <w:marTop w:val="0"/>
      <w:marBottom w:val="0"/>
      <w:divBdr>
        <w:top w:val="none" w:sz="0" w:space="0" w:color="auto"/>
        <w:left w:val="none" w:sz="0" w:space="0" w:color="auto"/>
        <w:bottom w:val="none" w:sz="0" w:space="0" w:color="auto"/>
        <w:right w:val="none" w:sz="0" w:space="0" w:color="auto"/>
      </w:divBdr>
    </w:div>
    <w:div w:id="530995030">
      <w:bodyDiv w:val="1"/>
      <w:marLeft w:val="0"/>
      <w:marRight w:val="0"/>
      <w:marTop w:val="0"/>
      <w:marBottom w:val="0"/>
      <w:divBdr>
        <w:top w:val="none" w:sz="0" w:space="0" w:color="auto"/>
        <w:left w:val="none" w:sz="0" w:space="0" w:color="auto"/>
        <w:bottom w:val="none" w:sz="0" w:space="0" w:color="auto"/>
        <w:right w:val="none" w:sz="0" w:space="0" w:color="auto"/>
      </w:divBdr>
    </w:div>
    <w:div w:id="737938733">
      <w:bodyDiv w:val="1"/>
      <w:marLeft w:val="0"/>
      <w:marRight w:val="0"/>
      <w:marTop w:val="0"/>
      <w:marBottom w:val="0"/>
      <w:divBdr>
        <w:top w:val="none" w:sz="0" w:space="0" w:color="auto"/>
        <w:left w:val="none" w:sz="0" w:space="0" w:color="auto"/>
        <w:bottom w:val="none" w:sz="0" w:space="0" w:color="auto"/>
        <w:right w:val="none" w:sz="0" w:space="0" w:color="auto"/>
      </w:divBdr>
    </w:div>
    <w:div w:id="780300614">
      <w:bodyDiv w:val="1"/>
      <w:marLeft w:val="0"/>
      <w:marRight w:val="0"/>
      <w:marTop w:val="0"/>
      <w:marBottom w:val="0"/>
      <w:divBdr>
        <w:top w:val="none" w:sz="0" w:space="0" w:color="auto"/>
        <w:left w:val="none" w:sz="0" w:space="0" w:color="auto"/>
        <w:bottom w:val="none" w:sz="0" w:space="0" w:color="auto"/>
        <w:right w:val="none" w:sz="0" w:space="0" w:color="auto"/>
      </w:divBdr>
    </w:div>
    <w:div w:id="826169525">
      <w:bodyDiv w:val="1"/>
      <w:marLeft w:val="0"/>
      <w:marRight w:val="0"/>
      <w:marTop w:val="0"/>
      <w:marBottom w:val="0"/>
      <w:divBdr>
        <w:top w:val="none" w:sz="0" w:space="0" w:color="auto"/>
        <w:left w:val="none" w:sz="0" w:space="0" w:color="auto"/>
        <w:bottom w:val="none" w:sz="0" w:space="0" w:color="auto"/>
        <w:right w:val="none" w:sz="0" w:space="0" w:color="auto"/>
      </w:divBdr>
    </w:div>
    <w:div w:id="953438079">
      <w:bodyDiv w:val="1"/>
      <w:marLeft w:val="0"/>
      <w:marRight w:val="0"/>
      <w:marTop w:val="0"/>
      <w:marBottom w:val="0"/>
      <w:divBdr>
        <w:top w:val="none" w:sz="0" w:space="0" w:color="auto"/>
        <w:left w:val="none" w:sz="0" w:space="0" w:color="auto"/>
        <w:bottom w:val="none" w:sz="0" w:space="0" w:color="auto"/>
        <w:right w:val="none" w:sz="0" w:space="0" w:color="auto"/>
      </w:divBdr>
    </w:div>
    <w:div w:id="953748806">
      <w:bodyDiv w:val="1"/>
      <w:marLeft w:val="0"/>
      <w:marRight w:val="0"/>
      <w:marTop w:val="0"/>
      <w:marBottom w:val="0"/>
      <w:divBdr>
        <w:top w:val="none" w:sz="0" w:space="0" w:color="auto"/>
        <w:left w:val="none" w:sz="0" w:space="0" w:color="auto"/>
        <w:bottom w:val="none" w:sz="0" w:space="0" w:color="auto"/>
        <w:right w:val="none" w:sz="0" w:space="0" w:color="auto"/>
      </w:divBdr>
    </w:div>
    <w:div w:id="970285768">
      <w:bodyDiv w:val="1"/>
      <w:marLeft w:val="0"/>
      <w:marRight w:val="0"/>
      <w:marTop w:val="0"/>
      <w:marBottom w:val="0"/>
      <w:divBdr>
        <w:top w:val="none" w:sz="0" w:space="0" w:color="auto"/>
        <w:left w:val="none" w:sz="0" w:space="0" w:color="auto"/>
        <w:bottom w:val="none" w:sz="0" w:space="0" w:color="auto"/>
        <w:right w:val="none" w:sz="0" w:space="0" w:color="auto"/>
      </w:divBdr>
    </w:div>
    <w:div w:id="1061514778">
      <w:bodyDiv w:val="1"/>
      <w:marLeft w:val="0"/>
      <w:marRight w:val="0"/>
      <w:marTop w:val="0"/>
      <w:marBottom w:val="0"/>
      <w:divBdr>
        <w:top w:val="none" w:sz="0" w:space="0" w:color="auto"/>
        <w:left w:val="none" w:sz="0" w:space="0" w:color="auto"/>
        <w:bottom w:val="none" w:sz="0" w:space="0" w:color="auto"/>
        <w:right w:val="none" w:sz="0" w:space="0" w:color="auto"/>
      </w:divBdr>
    </w:div>
    <w:div w:id="1146387549">
      <w:bodyDiv w:val="1"/>
      <w:marLeft w:val="0"/>
      <w:marRight w:val="0"/>
      <w:marTop w:val="0"/>
      <w:marBottom w:val="0"/>
      <w:divBdr>
        <w:top w:val="none" w:sz="0" w:space="0" w:color="auto"/>
        <w:left w:val="none" w:sz="0" w:space="0" w:color="auto"/>
        <w:bottom w:val="none" w:sz="0" w:space="0" w:color="auto"/>
        <w:right w:val="none" w:sz="0" w:space="0" w:color="auto"/>
      </w:divBdr>
    </w:div>
    <w:div w:id="1216897005">
      <w:bodyDiv w:val="1"/>
      <w:marLeft w:val="0"/>
      <w:marRight w:val="0"/>
      <w:marTop w:val="0"/>
      <w:marBottom w:val="0"/>
      <w:divBdr>
        <w:top w:val="none" w:sz="0" w:space="0" w:color="auto"/>
        <w:left w:val="none" w:sz="0" w:space="0" w:color="auto"/>
        <w:bottom w:val="none" w:sz="0" w:space="0" w:color="auto"/>
        <w:right w:val="none" w:sz="0" w:space="0" w:color="auto"/>
      </w:divBdr>
    </w:div>
    <w:div w:id="1424565044">
      <w:bodyDiv w:val="1"/>
      <w:marLeft w:val="0"/>
      <w:marRight w:val="0"/>
      <w:marTop w:val="0"/>
      <w:marBottom w:val="0"/>
      <w:divBdr>
        <w:top w:val="none" w:sz="0" w:space="0" w:color="auto"/>
        <w:left w:val="none" w:sz="0" w:space="0" w:color="auto"/>
        <w:bottom w:val="none" w:sz="0" w:space="0" w:color="auto"/>
        <w:right w:val="none" w:sz="0" w:space="0" w:color="auto"/>
      </w:divBdr>
    </w:div>
    <w:div w:id="1505125725">
      <w:bodyDiv w:val="1"/>
      <w:marLeft w:val="0"/>
      <w:marRight w:val="0"/>
      <w:marTop w:val="0"/>
      <w:marBottom w:val="0"/>
      <w:divBdr>
        <w:top w:val="none" w:sz="0" w:space="0" w:color="auto"/>
        <w:left w:val="none" w:sz="0" w:space="0" w:color="auto"/>
        <w:bottom w:val="none" w:sz="0" w:space="0" w:color="auto"/>
        <w:right w:val="none" w:sz="0" w:space="0" w:color="auto"/>
      </w:divBdr>
    </w:div>
    <w:div w:id="1556890970">
      <w:bodyDiv w:val="1"/>
      <w:marLeft w:val="0"/>
      <w:marRight w:val="0"/>
      <w:marTop w:val="0"/>
      <w:marBottom w:val="0"/>
      <w:divBdr>
        <w:top w:val="none" w:sz="0" w:space="0" w:color="auto"/>
        <w:left w:val="none" w:sz="0" w:space="0" w:color="auto"/>
        <w:bottom w:val="none" w:sz="0" w:space="0" w:color="auto"/>
        <w:right w:val="none" w:sz="0" w:space="0" w:color="auto"/>
      </w:divBdr>
    </w:div>
    <w:div w:id="1672684119">
      <w:bodyDiv w:val="1"/>
      <w:marLeft w:val="0"/>
      <w:marRight w:val="0"/>
      <w:marTop w:val="0"/>
      <w:marBottom w:val="0"/>
      <w:divBdr>
        <w:top w:val="none" w:sz="0" w:space="0" w:color="auto"/>
        <w:left w:val="none" w:sz="0" w:space="0" w:color="auto"/>
        <w:bottom w:val="none" w:sz="0" w:space="0" w:color="auto"/>
        <w:right w:val="none" w:sz="0" w:space="0" w:color="auto"/>
      </w:divBdr>
    </w:div>
    <w:div w:id="1714381110">
      <w:bodyDiv w:val="1"/>
      <w:marLeft w:val="0"/>
      <w:marRight w:val="0"/>
      <w:marTop w:val="0"/>
      <w:marBottom w:val="0"/>
      <w:divBdr>
        <w:top w:val="none" w:sz="0" w:space="0" w:color="auto"/>
        <w:left w:val="none" w:sz="0" w:space="0" w:color="auto"/>
        <w:bottom w:val="none" w:sz="0" w:space="0" w:color="auto"/>
        <w:right w:val="none" w:sz="0" w:space="0" w:color="auto"/>
      </w:divBdr>
    </w:div>
    <w:div w:id="1736052541">
      <w:bodyDiv w:val="1"/>
      <w:marLeft w:val="0"/>
      <w:marRight w:val="0"/>
      <w:marTop w:val="0"/>
      <w:marBottom w:val="0"/>
      <w:divBdr>
        <w:top w:val="none" w:sz="0" w:space="0" w:color="auto"/>
        <w:left w:val="none" w:sz="0" w:space="0" w:color="auto"/>
        <w:bottom w:val="none" w:sz="0" w:space="0" w:color="auto"/>
        <w:right w:val="none" w:sz="0" w:space="0" w:color="auto"/>
      </w:divBdr>
    </w:div>
    <w:div w:id="1773164938">
      <w:bodyDiv w:val="1"/>
      <w:marLeft w:val="0"/>
      <w:marRight w:val="0"/>
      <w:marTop w:val="0"/>
      <w:marBottom w:val="0"/>
      <w:divBdr>
        <w:top w:val="none" w:sz="0" w:space="0" w:color="auto"/>
        <w:left w:val="none" w:sz="0" w:space="0" w:color="auto"/>
        <w:bottom w:val="none" w:sz="0" w:space="0" w:color="auto"/>
        <w:right w:val="none" w:sz="0" w:space="0" w:color="auto"/>
      </w:divBdr>
    </w:div>
    <w:div w:id="1802571008">
      <w:bodyDiv w:val="1"/>
      <w:marLeft w:val="0"/>
      <w:marRight w:val="0"/>
      <w:marTop w:val="0"/>
      <w:marBottom w:val="0"/>
      <w:divBdr>
        <w:top w:val="none" w:sz="0" w:space="0" w:color="auto"/>
        <w:left w:val="none" w:sz="0" w:space="0" w:color="auto"/>
        <w:bottom w:val="none" w:sz="0" w:space="0" w:color="auto"/>
        <w:right w:val="none" w:sz="0" w:space="0" w:color="auto"/>
      </w:divBdr>
    </w:div>
    <w:div w:id="1810052231">
      <w:bodyDiv w:val="1"/>
      <w:marLeft w:val="0"/>
      <w:marRight w:val="0"/>
      <w:marTop w:val="0"/>
      <w:marBottom w:val="0"/>
      <w:divBdr>
        <w:top w:val="none" w:sz="0" w:space="0" w:color="auto"/>
        <w:left w:val="none" w:sz="0" w:space="0" w:color="auto"/>
        <w:bottom w:val="none" w:sz="0" w:space="0" w:color="auto"/>
        <w:right w:val="none" w:sz="0" w:space="0" w:color="auto"/>
      </w:divBdr>
    </w:div>
    <w:div w:id="1839492132">
      <w:bodyDiv w:val="1"/>
      <w:marLeft w:val="0"/>
      <w:marRight w:val="0"/>
      <w:marTop w:val="0"/>
      <w:marBottom w:val="0"/>
      <w:divBdr>
        <w:top w:val="none" w:sz="0" w:space="0" w:color="auto"/>
        <w:left w:val="none" w:sz="0" w:space="0" w:color="auto"/>
        <w:bottom w:val="none" w:sz="0" w:space="0" w:color="auto"/>
        <w:right w:val="none" w:sz="0" w:space="0" w:color="auto"/>
      </w:divBdr>
    </w:div>
    <w:div w:id="1842966951">
      <w:bodyDiv w:val="1"/>
      <w:marLeft w:val="0"/>
      <w:marRight w:val="0"/>
      <w:marTop w:val="0"/>
      <w:marBottom w:val="0"/>
      <w:divBdr>
        <w:top w:val="none" w:sz="0" w:space="0" w:color="auto"/>
        <w:left w:val="none" w:sz="0" w:space="0" w:color="auto"/>
        <w:bottom w:val="none" w:sz="0" w:space="0" w:color="auto"/>
        <w:right w:val="none" w:sz="0" w:space="0" w:color="auto"/>
      </w:divBdr>
    </w:div>
    <w:div w:id="1893081644">
      <w:bodyDiv w:val="1"/>
      <w:marLeft w:val="0"/>
      <w:marRight w:val="0"/>
      <w:marTop w:val="0"/>
      <w:marBottom w:val="0"/>
      <w:divBdr>
        <w:top w:val="none" w:sz="0" w:space="0" w:color="auto"/>
        <w:left w:val="none" w:sz="0" w:space="0" w:color="auto"/>
        <w:bottom w:val="none" w:sz="0" w:space="0" w:color="auto"/>
        <w:right w:val="none" w:sz="0" w:space="0" w:color="auto"/>
      </w:divBdr>
    </w:div>
    <w:div w:id="1937010535">
      <w:bodyDiv w:val="1"/>
      <w:marLeft w:val="0"/>
      <w:marRight w:val="0"/>
      <w:marTop w:val="0"/>
      <w:marBottom w:val="0"/>
      <w:divBdr>
        <w:top w:val="none" w:sz="0" w:space="0" w:color="auto"/>
        <w:left w:val="none" w:sz="0" w:space="0" w:color="auto"/>
        <w:bottom w:val="none" w:sz="0" w:space="0" w:color="auto"/>
        <w:right w:val="none" w:sz="0" w:space="0" w:color="auto"/>
      </w:divBdr>
    </w:div>
    <w:div w:id="1937783513">
      <w:bodyDiv w:val="1"/>
      <w:marLeft w:val="0"/>
      <w:marRight w:val="0"/>
      <w:marTop w:val="0"/>
      <w:marBottom w:val="0"/>
      <w:divBdr>
        <w:top w:val="none" w:sz="0" w:space="0" w:color="auto"/>
        <w:left w:val="none" w:sz="0" w:space="0" w:color="auto"/>
        <w:bottom w:val="none" w:sz="0" w:space="0" w:color="auto"/>
        <w:right w:val="none" w:sz="0" w:space="0" w:color="auto"/>
      </w:divBdr>
    </w:div>
    <w:div w:id="2009482866">
      <w:bodyDiv w:val="1"/>
      <w:marLeft w:val="0"/>
      <w:marRight w:val="0"/>
      <w:marTop w:val="0"/>
      <w:marBottom w:val="0"/>
      <w:divBdr>
        <w:top w:val="none" w:sz="0" w:space="0" w:color="auto"/>
        <w:left w:val="none" w:sz="0" w:space="0" w:color="auto"/>
        <w:bottom w:val="none" w:sz="0" w:space="0" w:color="auto"/>
        <w:right w:val="none" w:sz="0" w:space="0" w:color="auto"/>
      </w:divBdr>
    </w:div>
    <w:div w:id="21056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t-rs09\Documents\Custom%20Office%20Templates\BMG%20Word%20Template.dotx" TargetMode="External"/></Relationships>
</file>

<file path=word/theme/theme1.xml><?xml version="1.0" encoding="utf-8"?>
<a:theme xmlns:a="http://schemas.openxmlformats.org/drawingml/2006/main" name="Office Theme">
  <a:themeElements>
    <a:clrScheme name="BMG">
      <a:dk1>
        <a:srgbClr val="515151"/>
      </a:dk1>
      <a:lt1>
        <a:srgbClr val="FFFFFF"/>
      </a:lt1>
      <a:dk2>
        <a:srgbClr val="E80094"/>
      </a:dk2>
      <a:lt2>
        <a:srgbClr val="324EAB"/>
      </a:lt2>
      <a:accent1>
        <a:srgbClr val="214FA5"/>
      </a:accent1>
      <a:accent2>
        <a:srgbClr val="8361AB"/>
      </a:accent2>
      <a:accent3>
        <a:srgbClr val="E5008D"/>
      </a:accent3>
      <a:accent4>
        <a:srgbClr val="153672"/>
      </a:accent4>
      <a:accent5>
        <a:srgbClr val="2C6EE8"/>
      </a:accent5>
      <a:accent6>
        <a:srgbClr val="71004A"/>
      </a:accent6>
      <a:hlink>
        <a:srgbClr val="0563C1"/>
      </a:hlink>
      <a:folHlink>
        <a:srgbClr val="954F72"/>
      </a:folHlink>
    </a:clrScheme>
    <a:fontScheme name="BM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E055041E8254B8A6D76B64478F329" ma:contentTypeVersion="12" ma:contentTypeDescription="Create a new document." ma:contentTypeScope="" ma:versionID="5c439f4e50f70de13eb10b7b12ae450e">
  <xsd:schema xmlns:xsd="http://www.w3.org/2001/XMLSchema" xmlns:xs="http://www.w3.org/2001/XMLSchema" xmlns:p="http://schemas.microsoft.com/office/2006/metadata/properties" xmlns:ns2="5cd17271-0186-4a94-a8e5-2a85c0fb5d22" xmlns:ns3="bc82aed4-c161-4654-bb9f-d351edfac1aa" targetNamespace="http://schemas.microsoft.com/office/2006/metadata/properties" ma:root="true" ma:fieldsID="c07e110de418fe8f50f3be654b733922" ns2:_="" ns3:_="">
    <xsd:import namespace="5cd17271-0186-4a94-a8e5-2a85c0fb5d22"/>
    <xsd:import namespace="bc82aed4-c161-4654-bb9f-d351edfac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17271-0186-4a94-a8e5-2a85c0fb5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82aed4-c161-4654-bb9f-d351edfac1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05B47-CA3C-4926-93B7-B79A6076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17271-0186-4a94-a8e5-2a85c0fb5d22"/>
    <ds:schemaRef ds:uri="bc82aed4-c161-4654-bb9f-d351edfac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C61D8-16D3-4ABC-B553-9095A80AB6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96FB0-EF3B-4B15-83C2-0066A0CFC01B}">
  <ds:schemaRefs>
    <ds:schemaRef ds:uri="http://schemas.openxmlformats.org/officeDocument/2006/bibliography"/>
  </ds:schemaRefs>
</ds:datastoreItem>
</file>

<file path=customXml/itemProps4.xml><?xml version="1.0" encoding="utf-8"?>
<ds:datastoreItem xmlns:ds="http://schemas.openxmlformats.org/officeDocument/2006/customXml" ds:itemID="{13BB1659-C588-4E17-955A-0FE9B5E6C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BMG Word Template</Template>
  <TotalTime>7</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virt-rs09</dc:creator>
  <cp:keywords/>
  <dc:description/>
  <cp:lastModifiedBy>Adam King</cp:lastModifiedBy>
  <cp:revision>2</cp:revision>
  <dcterms:created xsi:type="dcterms:W3CDTF">2023-08-04T16:06:00Z</dcterms:created>
  <dcterms:modified xsi:type="dcterms:W3CDTF">2023-08-04T16:06:00Z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0x01010096FE055041E8254B8A6D76B64478F329</vt:lpwstr>
  </property>
  <property fmtid="{D5CDD505-2E9C-101B-9397-08002B2CF9AE}" pid="3" name="GrammarlyDocumentId">
    <vt:lpwstr>035d8a3d4c07f5b792b0d084632aec76d775a3977e6a024e888460afd3dc2ad6</vt:lpwstr>
  </property>
</Properties>
</file>