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29CF3" w14:textId="4C9616F2" w:rsidR="004948D5" w:rsidRPr="0007572B" w:rsidRDefault="00FE3698" w:rsidP="0038082E">
      <w:pPr>
        <w:pStyle w:val="BodyText"/>
        <w:rPr>
          <w:sz w:val="48"/>
          <w:szCs w:val="48"/>
        </w:rPr>
      </w:pPr>
      <w:r w:rsidRPr="0007572B">
        <w:rPr>
          <w:sz w:val="48"/>
          <w:szCs w:val="48"/>
        </w:rPr>
        <w:t xml:space="preserve"> </w:t>
      </w:r>
    </w:p>
    <w:p w14:paraId="761CFB49" w14:textId="77777777" w:rsidR="00D64FA5" w:rsidRPr="0007572B" w:rsidRDefault="00D64FA5" w:rsidP="0038082E">
      <w:pPr>
        <w:pStyle w:val="BodyText"/>
        <w:jc w:val="center"/>
        <w:rPr>
          <w:sz w:val="48"/>
          <w:szCs w:val="48"/>
        </w:rPr>
      </w:pPr>
    </w:p>
    <w:p w14:paraId="50E10BF1" w14:textId="77777777" w:rsidR="00D64FA5" w:rsidRPr="0007572B" w:rsidRDefault="00D64FA5" w:rsidP="0038082E">
      <w:pPr>
        <w:pStyle w:val="BodyText"/>
        <w:jc w:val="center"/>
        <w:rPr>
          <w:sz w:val="48"/>
          <w:szCs w:val="48"/>
        </w:rPr>
      </w:pPr>
      <w:r w:rsidRPr="0007572B">
        <w:rPr>
          <w:noProof/>
          <w:sz w:val="48"/>
          <w:szCs w:val="48"/>
          <w:lang w:eastAsia="en-GB"/>
        </w:rPr>
        <w:drawing>
          <wp:inline distT="0" distB="0" distL="0" distR="0" wp14:anchorId="7552A856" wp14:editId="088FC370">
            <wp:extent cx="3378835" cy="1082675"/>
            <wp:effectExtent l="0" t="0" r="0" b="3175"/>
            <wp:docPr id="26" name="Picture 26" descr="GMCA Black logo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CA Black logo expand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8835" cy="1082675"/>
                    </a:xfrm>
                    <a:prstGeom prst="rect">
                      <a:avLst/>
                    </a:prstGeom>
                    <a:noFill/>
                  </pic:spPr>
                </pic:pic>
              </a:graphicData>
            </a:graphic>
          </wp:inline>
        </w:drawing>
      </w:r>
    </w:p>
    <w:p w14:paraId="6493F018" w14:textId="77777777" w:rsidR="00D64FA5" w:rsidRPr="0007572B" w:rsidRDefault="00D64FA5" w:rsidP="0038082E">
      <w:pPr>
        <w:pStyle w:val="BodyText"/>
        <w:jc w:val="center"/>
        <w:rPr>
          <w:sz w:val="48"/>
          <w:szCs w:val="48"/>
        </w:rPr>
      </w:pPr>
    </w:p>
    <w:p w14:paraId="1A6EB6DE" w14:textId="4AEC723D" w:rsidR="00D64FA5" w:rsidRDefault="00D64FA5" w:rsidP="0038082E">
      <w:pPr>
        <w:pStyle w:val="BodyText"/>
        <w:jc w:val="center"/>
        <w:rPr>
          <w:sz w:val="48"/>
          <w:szCs w:val="48"/>
        </w:rPr>
      </w:pPr>
    </w:p>
    <w:p w14:paraId="6BE77363" w14:textId="77777777" w:rsidR="0049058A" w:rsidRPr="0007572B" w:rsidRDefault="0049058A" w:rsidP="0038082E">
      <w:pPr>
        <w:pStyle w:val="BodyText"/>
        <w:jc w:val="center"/>
        <w:rPr>
          <w:sz w:val="48"/>
          <w:szCs w:val="48"/>
        </w:rPr>
      </w:pPr>
    </w:p>
    <w:p w14:paraId="5C5C9E75" w14:textId="03786A30" w:rsidR="006368E2" w:rsidRPr="0007572B" w:rsidRDefault="006368E2" w:rsidP="0038082E">
      <w:pPr>
        <w:rPr>
          <w:rFonts w:ascii="Arial" w:hAnsi="Arial" w:cs="Arial"/>
        </w:rPr>
      </w:pPr>
    </w:p>
    <w:p w14:paraId="5CC2C42B" w14:textId="36EC9ABC" w:rsidR="008A40F2" w:rsidRPr="0007572B" w:rsidRDefault="008A40F2" w:rsidP="0038082E">
      <w:pPr>
        <w:rPr>
          <w:rFonts w:ascii="Arial" w:hAnsi="Arial" w:cs="Arial"/>
        </w:rPr>
      </w:pPr>
    </w:p>
    <w:p w14:paraId="2DF8F477" w14:textId="42C74EB9" w:rsidR="008A40F2" w:rsidRPr="0007572B" w:rsidRDefault="008A40F2" w:rsidP="0038082E">
      <w:pPr>
        <w:rPr>
          <w:rFonts w:ascii="Arial" w:hAnsi="Arial" w:cs="Arial"/>
        </w:rPr>
      </w:pPr>
    </w:p>
    <w:p w14:paraId="7323F2B6" w14:textId="77777777" w:rsidR="008A40F2" w:rsidRPr="0007572B" w:rsidRDefault="008A40F2" w:rsidP="0038082E">
      <w:pPr>
        <w:rPr>
          <w:rFonts w:ascii="Arial" w:hAnsi="Arial" w:cs="Arial"/>
        </w:rPr>
      </w:pPr>
    </w:p>
    <w:p w14:paraId="76FC0757" w14:textId="77777777" w:rsidR="00D64FA5" w:rsidRPr="0007572B" w:rsidRDefault="00D64FA5" w:rsidP="0038082E">
      <w:pPr>
        <w:rPr>
          <w:rFonts w:ascii="Arial" w:hAnsi="Arial" w:cs="Arial"/>
        </w:rPr>
      </w:pPr>
    </w:p>
    <w:p w14:paraId="6470906C" w14:textId="526F2685" w:rsidR="00F21EA7" w:rsidRDefault="00CB4346" w:rsidP="0038082E">
      <w:pPr>
        <w:pStyle w:val="Heading1"/>
        <w:jc w:val="center"/>
      </w:pPr>
      <w:bookmarkStart w:id="0" w:name="_Toc92895135"/>
      <w:bookmarkStart w:id="1" w:name="_Toc109160253"/>
      <w:r>
        <w:t>AUDITED</w:t>
      </w:r>
    </w:p>
    <w:p w14:paraId="5F1F507E" w14:textId="77777777" w:rsidR="00F21EA7" w:rsidRDefault="00F21EA7" w:rsidP="0038082E">
      <w:pPr>
        <w:pStyle w:val="Heading1"/>
        <w:jc w:val="center"/>
      </w:pPr>
    </w:p>
    <w:p w14:paraId="3DB28B71" w14:textId="2F154C5D" w:rsidR="00D64FA5" w:rsidRPr="0007572B" w:rsidRDefault="00D64FA5" w:rsidP="0038082E">
      <w:pPr>
        <w:pStyle w:val="Heading1"/>
        <w:jc w:val="center"/>
      </w:pPr>
      <w:bookmarkStart w:id="2" w:name="_Toc109922574"/>
      <w:r w:rsidRPr="0007572B">
        <w:t xml:space="preserve">Annual Statement </w:t>
      </w:r>
      <w:r w:rsidR="00A136CF">
        <w:br/>
      </w:r>
      <w:r w:rsidRPr="0007572B">
        <w:t>of Accounts</w:t>
      </w:r>
      <w:bookmarkEnd w:id="0"/>
      <w:bookmarkEnd w:id="1"/>
      <w:bookmarkEnd w:id="2"/>
      <w:r w:rsidR="00B86CD5">
        <w:br/>
      </w:r>
    </w:p>
    <w:p w14:paraId="57FD41CF" w14:textId="70A5E65B" w:rsidR="00D64FA5" w:rsidRDefault="00D64FA5" w:rsidP="0038082E">
      <w:pPr>
        <w:pStyle w:val="Heading1"/>
        <w:jc w:val="center"/>
      </w:pPr>
      <w:bookmarkStart w:id="3" w:name="_Toc92895136"/>
      <w:bookmarkStart w:id="4" w:name="_Toc109160254"/>
      <w:bookmarkStart w:id="5" w:name="_Toc109922575"/>
      <w:r w:rsidRPr="0007572B">
        <w:t>Year ended 31 March 202</w:t>
      </w:r>
      <w:bookmarkEnd w:id="3"/>
      <w:r w:rsidR="008E544B">
        <w:t>2</w:t>
      </w:r>
      <w:bookmarkEnd w:id="4"/>
      <w:bookmarkEnd w:id="5"/>
    </w:p>
    <w:p w14:paraId="27833190" w14:textId="77777777" w:rsidR="008E544B" w:rsidRPr="008E544B" w:rsidRDefault="008E544B" w:rsidP="008E544B"/>
    <w:p w14:paraId="29D28615" w14:textId="77777777" w:rsidR="00D64FA5" w:rsidRPr="0007572B" w:rsidRDefault="00D64FA5" w:rsidP="0038082E">
      <w:pPr>
        <w:jc w:val="center"/>
        <w:rPr>
          <w:rFonts w:ascii="Arial" w:hAnsi="Arial" w:cs="Arial"/>
          <w:sz w:val="48"/>
          <w:szCs w:val="48"/>
        </w:rPr>
      </w:pPr>
    </w:p>
    <w:p w14:paraId="66A327B9" w14:textId="55052341" w:rsidR="00932C40" w:rsidRPr="0007572B" w:rsidRDefault="00932C40" w:rsidP="0038082E">
      <w:pPr>
        <w:pStyle w:val="BodyText2"/>
        <w:rPr>
          <w:rFonts w:ascii="Arial" w:hAnsi="Arial" w:cs="Arial"/>
          <w:sz w:val="22"/>
          <w:szCs w:val="22"/>
        </w:rPr>
        <w:sectPr w:rsidR="00932C40" w:rsidRPr="0007572B" w:rsidSect="00FD0221">
          <w:footerReference w:type="even" r:id="rId9"/>
          <w:footerReference w:type="default" r:id="rId10"/>
          <w:pgSz w:w="11906" w:h="16838" w:code="9"/>
          <w:pgMar w:top="851" w:right="1286" w:bottom="1021" w:left="1440" w:header="709" w:footer="567" w:gutter="0"/>
          <w:pgNumType w:start="1"/>
          <w:cols w:space="708"/>
          <w:docGrid w:linePitch="360"/>
        </w:sectPr>
      </w:pPr>
    </w:p>
    <w:p w14:paraId="0616F38F" w14:textId="5E2FC645" w:rsidR="005F371A" w:rsidRPr="005F371A" w:rsidRDefault="005F371A" w:rsidP="0038082E">
      <w:pPr>
        <w:pStyle w:val="Heading2green"/>
      </w:pPr>
      <w:bookmarkStart w:id="6" w:name="_Toc92895137"/>
      <w:bookmarkStart w:id="7" w:name="_Toc109160255"/>
      <w:bookmarkStart w:id="8" w:name="_Toc109922576"/>
      <w:r w:rsidRPr="005F371A">
        <w:lastRenderedPageBreak/>
        <w:t>Contents Page</w:t>
      </w:r>
      <w:bookmarkEnd w:id="6"/>
      <w:bookmarkEnd w:id="7"/>
      <w:bookmarkEnd w:id="8"/>
    </w:p>
    <w:sdt>
      <w:sdtPr>
        <w:id w:val="-2081669147"/>
        <w:docPartObj>
          <w:docPartGallery w:val="Table of Contents"/>
          <w:docPartUnique/>
        </w:docPartObj>
      </w:sdtPr>
      <w:sdtEndPr>
        <w:rPr>
          <w:b/>
          <w:bCs/>
          <w:noProof/>
        </w:rPr>
      </w:sdtEndPr>
      <w:sdtContent>
        <w:p w14:paraId="21B2B7A5" w14:textId="77777777" w:rsidR="009E4264" w:rsidRDefault="009E4264" w:rsidP="00165CEE">
          <w:pPr>
            <w:pStyle w:val="TOC1"/>
            <w:tabs>
              <w:tab w:val="right" w:leader="dot" w:pos="9016"/>
            </w:tabs>
          </w:pPr>
        </w:p>
        <w:p w14:paraId="7DD61DF8" w14:textId="1D4F51B5" w:rsidR="005764D1" w:rsidRPr="00C626DB" w:rsidRDefault="0074597D" w:rsidP="00165CEE">
          <w:pPr>
            <w:pStyle w:val="TOC1"/>
            <w:tabs>
              <w:tab w:val="right" w:leader="dot" w:pos="9016"/>
            </w:tabs>
            <w:rPr>
              <w:rFonts w:ascii="Arial" w:eastAsiaTheme="minorEastAsia" w:hAnsi="Arial" w:cstheme="minorBidi"/>
              <w:noProof/>
              <w:szCs w:val="22"/>
              <w:lang w:eastAsia="en-GB"/>
            </w:rPr>
          </w:pPr>
          <w:r w:rsidRPr="00F21EA7">
            <w:rPr>
              <w:rFonts w:ascii="Arial" w:eastAsiaTheme="majorEastAsia" w:hAnsi="Arial" w:cs="Arial"/>
              <w:color w:val="2E74B5" w:themeColor="accent1" w:themeShade="BF"/>
              <w:lang w:val="en-US"/>
            </w:rPr>
            <w:fldChar w:fldCharType="begin"/>
          </w:r>
          <w:r w:rsidRPr="00F21EA7">
            <w:rPr>
              <w:rFonts w:ascii="Arial" w:hAnsi="Arial" w:cs="Arial"/>
            </w:rPr>
            <w:instrText xml:space="preserve"> TOC \o "1-3" \h \z \u </w:instrText>
          </w:r>
          <w:r w:rsidRPr="00F21EA7">
            <w:rPr>
              <w:rFonts w:ascii="Arial" w:eastAsiaTheme="majorEastAsia" w:hAnsi="Arial" w:cs="Arial"/>
              <w:color w:val="2E74B5" w:themeColor="accent1" w:themeShade="BF"/>
              <w:lang w:val="en-US"/>
            </w:rPr>
            <w:fldChar w:fldCharType="separate"/>
          </w:r>
          <w:hyperlink w:anchor="_Toc109922577" w:history="1">
            <w:r w:rsidR="005764D1" w:rsidRPr="00C626DB">
              <w:rPr>
                <w:rStyle w:val="Hyperlink"/>
                <w:rFonts w:ascii="Arial" w:hAnsi="Arial"/>
                <w:noProof/>
              </w:rPr>
              <w:t>Narrative Report by the Authority Treasurer</w:t>
            </w:r>
            <w:r w:rsidR="005764D1" w:rsidRPr="00C626DB">
              <w:rPr>
                <w:rFonts w:ascii="Arial" w:hAnsi="Arial"/>
                <w:noProof/>
                <w:webHidden/>
              </w:rPr>
              <w:tab/>
            </w:r>
          </w:hyperlink>
          <w:r w:rsidR="00EF76C1">
            <w:rPr>
              <w:rFonts w:ascii="Arial" w:hAnsi="Arial"/>
              <w:noProof/>
            </w:rPr>
            <w:t>3</w:t>
          </w:r>
        </w:p>
        <w:p w14:paraId="604C0D2A" w14:textId="684A35FC" w:rsidR="005764D1" w:rsidRPr="00C626DB" w:rsidRDefault="001628C2" w:rsidP="009B1276">
          <w:pPr>
            <w:pStyle w:val="TOC2"/>
            <w:tabs>
              <w:tab w:val="right" w:leader="dot" w:pos="9016"/>
            </w:tabs>
            <w:ind w:left="0"/>
            <w:rPr>
              <w:rFonts w:ascii="Arial" w:eastAsiaTheme="minorEastAsia" w:hAnsi="Arial" w:cstheme="minorBidi"/>
              <w:noProof/>
              <w:szCs w:val="22"/>
              <w:lang w:eastAsia="en-GB"/>
            </w:rPr>
          </w:pPr>
          <w:hyperlink w:anchor="_Toc109922596" w:history="1">
            <w:r w:rsidR="005764D1" w:rsidRPr="00C626DB">
              <w:rPr>
                <w:rStyle w:val="Hyperlink"/>
                <w:rFonts w:ascii="Arial" w:hAnsi="Arial"/>
                <w:noProof/>
              </w:rPr>
              <w:t>Statement of Responsibilities for the Statement of Accounts</w:t>
            </w:r>
            <w:r w:rsidR="005764D1" w:rsidRPr="00C626DB">
              <w:rPr>
                <w:rFonts w:ascii="Arial" w:hAnsi="Arial"/>
                <w:noProof/>
                <w:webHidden/>
              </w:rPr>
              <w:tab/>
            </w:r>
          </w:hyperlink>
          <w:r w:rsidR="00EF76C1">
            <w:rPr>
              <w:rFonts w:ascii="Arial" w:hAnsi="Arial"/>
              <w:noProof/>
            </w:rPr>
            <w:t>37</w:t>
          </w:r>
        </w:p>
        <w:p w14:paraId="7DC84A54" w14:textId="5F5228B6" w:rsidR="005764D1" w:rsidRPr="00C626DB" w:rsidRDefault="001628C2">
          <w:pPr>
            <w:pStyle w:val="TOC1"/>
            <w:tabs>
              <w:tab w:val="right" w:leader="dot" w:pos="9016"/>
            </w:tabs>
            <w:rPr>
              <w:rFonts w:ascii="Arial" w:eastAsiaTheme="minorEastAsia" w:hAnsi="Arial" w:cstheme="minorBidi"/>
              <w:noProof/>
              <w:szCs w:val="22"/>
              <w:lang w:eastAsia="en-GB"/>
            </w:rPr>
          </w:pPr>
          <w:hyperlink w:anchor="_Toc109922602" w:history="1">
            <w:r w:rsidR="005764D1" w:rsidRPr="00C626DB">
              <w:rPr>
                <w:rStyle w:val="Hyperlink"/>
                <w:rFonts w:ascii="Arial" w:hAnsi="Arial"/>
                <w:noProof/>
              </w:rPr>
              <w:t>Greater Manchester Combined Authority Single Entity Accounts</w:t>
            </w:r>
            <w:r w:rsidR="005764D1" w:rsidRPr="00C626DB">
              <w:rPr>
                <w:rFonts w:ascii="Arial" w:hAnsi="Arial"/>
                <w:noProof/>
                <w:webHidden/>
              </w:rPr>
              <w:tab/>
            </w:r>
          </w:hyperlink>
          <w:r w:rsidR="00EF76C1">
            <w:rPr>
              <w:rFonts w:ascii="Arial" w:hAnsi="Arial"/>
              <w:noProof/>
            </w:rPr>
            <w:t>39</w:t>
          </w:r>
        </w:p>
        <w:p w14:paraId="07D866AA" w14:textId="707A12DE"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03" w:history="1">
            <w:r w:rsidR="005764D1" w:rsidRPr="00C626DB">
              <w:rPr>
                <w:rStyle w:val="Hyperlink"/>
                <w:rFonts w:ascii="Arial" w:hAnsi="Arial"/>
                <w:noProof/>
              </w:rPr>
              <w:t>Financial Statements</w:t>
            </w:r>
            <w:r w:rsidR="005764D1" w:rsidRPr="00C626DB">
              <w:rPr>
                <w:rFonts w:ascii="Arial" w:hAnsi="Arial"/>
                <w:noProof/>
                <w:webHidden/>
              </w:rPr>
              <w:tab/>
            </w:r>
          </w:hyperlink>
          <w:r w:rsidR="00EF76C1">
            <w:rPr>
              <w:rFonts w:ascii="Arial" w:hAnsi="Arial"/>
              <w:noProof/>
            </w:rPr>
            <w:t>39</w:t>
          </w:r>
        </w:p>
        <w:p w14:paraId="13E73BD6" w14:textId="5115E422"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04" w:history="1">
            <w:r w:rsidR="005764D1" w:rsidRPr="00C626DB">
              <w:rPr>
                <w:rStyle w:val="Hyperlink"/>
                <w:rFonts w:ascii="Arial" w:hAnsi="Arial"/>
                <w:noProof/>
              </w:rPr>
              <w:t>Comprehensive Income and Expenditure Statement</w:t>
            </w:r>
            <w:r w:rsidR="005764D1" w:rsidRPr="00C626DB">
              <w:rPr>
                <w:rFonts w:ascii="Arial" w:hAnsi="Arial"/>
                <w:noProof/>
                <w:webHidden/>
              </w:rPr>
              <w:tab/>
            </w:r>
          </w:hyperlink>
          <w:r w:rsidR="00EF76C1">
            <w:rPr>
              <w:rFonts w:ascii="Arial" w:hAnsi="Arial"/>
              <w:noProof/>
            </w:rPr>
            <w:t>40</w:t>
          </w:r>
        </w:p>
        <w:p w14:paraId="28EF3D70" w14:textId="0DA98DB4"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05" w:history="1">
            <w:r w:rsidR="005764D1" w:rsidRPr="00C626DB">
              <w:rPr>
                <w:rStyle w:val="Hyperlink"/>
                <w:rFonts w:ascii="Arial" w:hAnsi="Arial"/>
                <w:noProof/>
              </w:rPr>
              <w:t>Movement in Reserves Statement</w:t>
            </w:r>
            <w:r w:rsidR="005764D1" w:rsidRPr="00C626DB">
              <w:rPr>
                <w:rFonts w:ascii="Arial" w:hAnsi="Arial"/>
                <w:noProof/>
                <w:webHidden/>
              </w:rPr>
              <w:tab/>
            </w:r>
            <w:r w:rsidR="00816A69">
              <w:rPr>
                <w:rFonts w:ascii="Arial" w:hAnsi="Arial"/>
                <w:noProof/>
                <w:webHidden/>
              </w:rPr>
              <w:t>4</w:t>
            </w:r>
          </w:hyperlink>
          <w:r w:rsidR="00EF76C1">
            <w:rPr>
              <w:rFonts w:ascii="Arial" w:hAnsi="Arial"/>
              <w:noProof/>
            </w:rPr>
            <w:t>1</w:t>
          </w:r>
        </w:p>
        <w:p w14:paraId="7D14AA1B" w14:textId="7804940C"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06" w:history="1">
            <w:r w:rsidR="005764D1" w:rsidRPr="00C626DB">
              <w:rPr>
                <w:rStyle w:val="Hyperlink"/>
                <w:rFonts w:ascii="Arial" w:hAnsi="Arial"/>
                <w:noProof/>
              </w:rPr>
              <w:t>Balance Sheet</w:t>
            </w:r>
            <w:r w:rsidR="005764D1" w:rsidRPr="00C626DB">
              <w:rPr>
                <w:rFonts w:ascii="Arial" w:hAnsi="Arial"/>
                <w:noProof/>
                <w:webHidden/>
              </w:rPr>
              <w:tab/>
            </w:r>
            <w:r w:rsidR="00CC5310">
              <w:rPr>
                <w:rFonts w:ascii="Arial" w:hAnsi="Arial"/>
                <w:noProof/>
                <w:webHidden/>
              </w:rPr>
              <w:t>4</w:t>
            </w:r>
          </w:hyperlink>
          <w:r w:rsidR="00EF76C1">
            <w:rPr>
              <w:rFonts w:ascii="Arial" w:hAnsi="Arial"/>
              <w:noProof/>
            </w:rPr>
            <w:t>2</w:t>
          </w:r>
        </w:p>
        <w:p w14:paraId="1CCEC566" w14:textId="2A8CD74D"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07" w:history="1">
            <w:r w:rsidR="005764D1" w:rsidRPr="00C626DB">
              <w:rPr>
                <w:rStyle w:val="Hyperlink"/>
                <w:rFonts w:ascii="Arial" w:hAnsi="Arial"/>
                <w:noProof/>
              </w:rPr>
              <w:t>Cash Flow Statement</w:t>
            </w:r>
            <w:r w:rsidR="005764D1" w:rsidRPr="00C626DB">
              <w:rPr>
                <w:rFonts w:ascii="Arial" w:hAnsi="Arial"/>
                <w:noProof/>
                <w:webHidden/>
              </w:rPr>
              <w:tab/>
            </w:r>
            <w:r w:rsidR="00CC5310">
              <w:rPr>
                <w:rFonts w:ascii="Arial" w:hAnsi="Arial"/>
                <w:noProof/>
                <w:webHidden/>
              </w:rPr>
              <w:t>4</w:t>
            </w:r>
          </w:hyperlink>
          <w:r w:rsidR="00EF76C1">
            <w:rPr>
              <w:rFonts w:ascii="Arial" w:hAnsi="Arial"/>
              <w:noProof/>
            </w:rPr>
            <w:t>3</w:t>
          </w:r>
        </w:p>
        <w:p w14:paraId="5BE7F2CD" w14:textId="5A1E905E"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09" w:history="1">
            <w:r w:rsidR="005764D1" w:rsidRPr="00C626DB">
              <w:rPr>
                <w:rStyle w:val="Hyperlink"/>
                <w:rFonts w:ascii="Arial" w:hAnsi="Arial"/>
                <w:noProof/>
              </w:rPr>
              <w:t>Notes to the Financial Statements</w:t>
            </w:r>
            <w:r w:rsidR="005764D1" w:rsidRPr="00C626DB">
              <w:rPr>
                <w:rFonts w:ascii="Arial" w:hAnsi="Arial"/>
                <w:noProof/>
                <w:webHidden/>
              </w:rPr>
              <w:tab/>
            </w:r>
            <w:r w:rsidR="00CC5310">
              <w:rPr>
                <w:rFonts w:ascii="Arial" w:hAnsi="Arial"/>
                <w:noProof/>
                <w:webHidden/>
              </w:rPr>
              <w:t>4</w:t>
            </w:r>
          </w:hyperlink>
          <w:r w:rsidR="00EF76C1">
            <w:rPr>
              <w:rFonts w:ascii="Arial" w:hAnsi="Arial"/>
              <w:noProof/>
            </w:rPr>
            <w:t>4</w:t>
          </w:r>
        </w:p>
        <w:p w14:paraId="2771E174" w14:textId="2E6C00C4"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49" w:history="1">
            <w:r w:rsidR="005764D1" w:rsidRPr="00C626DB">
              <w:rPr>
                <w:rStyle w:val="Hyperlink"/>
                <w:rFonts w:ascii="Arial" w:hAnsi="Arial"/>
                <w:noProof/>
              </w:rPr>
              <w:t>Firefighters’ Pension Fund</w:t>
            </w:r>
            <w:r w:rsidR="005764D1" w:rsidRPr="00C626DB">
              <w:rPr>
                <w:rFonts w:ascii="Arial" w:hAnsi="Arial"/>
                <w:noProof/>
                <w:webHidden/>
              </w:rPr>
              <w:tab/>
            </w:r>
            <w:r w:rsidR="005764D1" w:rsidRPr="00C626DB">
              <w:rPr>
                <w:rFonts w:ascii="Arial" w:hAnsi="Arial"/>
                <w:noProof/>
                <w:webHidden/>
              </w:rPr>
              <w:fldChar w:fldCharType="begin"/>
            </w:r>
            <w:r w:rsidR="005764D1" w:rsidRPr="00C626DB">
              <w:rPr>
                <w:rFonts w:ascii="Arial" w:hAnsi="Arial"/>
                <w:noProof/>
                <w:webHidden/>
              </w:rPr>
              <w:instrText xml:space="preserve"> PAGEREF _Toc109922649 \h </w:instrText>
            </w:r>
            <w:r w:rsidR="005764D1" w:rsidRPr="00C626DB">
              <w:rPr>
                <w:rFonts w:ascii="Arial" w:hAnsi="Arial"/>
                <w:noProof/>
                <w:webHidden/>
              </w:rPr>
            </w:r>
            <w:r w:rsidR="005764D1" w:rsidRPr="00C626DB">
              <w:rPr>
                <w:rFonts w:ascii="Arial" w:hAnsi="Arial"/>
                <w:noProof/>
                <w:webHidden/>
              </w:rPr>
              <w:fldChar w:fldCharType="separate"/>
            </w:r>
            <w:r w:rsidR="007C001F">
              <w:rPr>
                <w:rFonts w:ascii="Arial" w:hAnsi="Arial"/>
                <w:noProof/>
                <w:webHidden/>
              </w:rPr>
              <w:t>138</w:t>
            </w:r>
            <w:r w:rsidR="005764D1" w:rsidRPr="00C626DB">
              <w:rPr>
                <w:rFonts w:ascii="Arial" w:hAnsi="Arial"/>
                <w:noProof/>
                <w:webHidden/>
              </w:rPr>
              <w:fldChar w:fldCharType="end"/>
            </w:r>
          </w:hyperlink>
        </w:p>
        <w:p w14:paraId="646E682B" w14:textId="69F26BD5" w:rsidR="005764D1" w:rsidRPr="00C626DB" w:rsidRDefault="001628C2">
          <w:pPr>
            <w:pStyle w:val="TOC1"/>
            <w:tabs>
              <w:tab w:val="right" w:leader="dot" w:pos="9016"/>
            </w:tabs>
            <w:rPr>
              <w:rFonts w:ascii="Arial" w:eastAsiaTheme="minorEastAsia" w:hAnsi="Arial" w:cstheme="minorBidi"/>
              <w:noProof/>
              <w:szCs w:val="22"/>
              <w:lang w:eastAsia="en-GB"/>
            </w:rPr>
          </w:pPr>
          <w:hyperlink w:anchor="_Toc109922652" w:history="1">
            <w:r w:rsidR="005764D1" w:rsidRPr="00C626DB">
              <w:rPr>
                <w:rStyle w:val="Hyperlink"/>
                <w:rFonts w:ascii="Arial" w:hAnsi="Arial"/>
                <w:noProof/>
              </w:rPr>
              <w:t>Greater Manchester Combined Authority - Group Accounts</w:t>
            </w:r>
            <w:r w:rsidR="005764D1" w:rsidRPr="00C626DB">
              <w:rPr>
                <w:rFonts w:ascii="Arial" w:hAnsi="Arial"/>
                <w:noProof/>
                <w:webHidden/>
              </w:rPr>
              <w:tab/>
            </w:r>
            <w:r w:rsidR="005764D1" w:rsidRPr="00C626DB">
              <w:rPr>
                <w:rFonts w:ascii="Arial" w:hAnsi="Arial"/>
                <w:noProof/>
                <w:webHidden/>
              </w:rPr>
              <w:fldChar w:fldCharType="begin"/>
            </w:r>
            <w:r w:rsidR="005764D1" w:rsidRPr="00C626DB">
              <w:rPr>
                <w:rFonts w:ascii="Arial" w:hAnsi="Arial"/>
                <w:noProof/>
                <w:webHidden/>
              </w:rPr>
              <w:instrText xml:space="preserve"> PAGEREF _Toc109922652 \h </w:instrText>
            </w:r>
            <w:r w:rsidR="005764D1" w:rsidRPr="00C626DB">
              <w:rPr>
                <w:rFonts w:ascii="Arial" w:hAnsi="Arial"/>
                <w:noProof/>
                <w:webHidden/>
              </w:rPr>
            </w:r>
            <w:r w:rsidR="005764D1" w:rsidRPr="00C626DB">
              <w:rPr>
                <w:rFonts w:ascii="Arial" w:hAnsi="Arial"/>
                <w:noProof/>
                <w:webHidden/>
              </w:rPr>
              <w:fldChar w:fldCharType="separate"/>
            </w:r>
            <w:r w:rsidR="007C001F">
              <w:rPr>
                <w:rFonts w:ascii="Arial" w:hAnsi="Arial"/>
                <w:noProof/>
                <w:webHidden/>
              </w:rPr>
              <w:t>140</w:t>
            </w:r>
            <w:r w:rsidR="005764D1" w:rsidRPr="00C626DB">
              <w:rPr>
                <w:rFonts w:ascii="Arial" w:hAnsi="Arial"/>
                <w:noProof/>
                <w:webHidden/>
              </w:rPr>
              <w:fldChar w:fldCharType="end"/>
            </w:r>
          </w:hyperlink>
        </w:p>
        <w:p w14:paraId="6F617EBD" w14:textId="21F67E56" w:rsidR="005764D1" w:rsidRPr="00C626DB" w:rsidRDefault="001628C2">
          <w:pPr>
            <w:pStyle w:val="TOC1"/>
            <w:tabs>
              <w:tab w:val="right" w:leader="dot" w:pos="9016"/>
            </w:tabs>
            <w:rPr>
              <w:rFonts w:ascii="Arial" w:eastAsiaTheme="minorEastAsia" w:hAnsi="Arial" w:cstheme="minorBidi"/>
              <w:noProof/>
              <w:szCs w:val="22"/>
              <w:lang w:eastAsia="en-GB"/>
            </w:rPr>
          </w:pPr>
          <w:hyperlink w:anchor="_Toc109922659" w:history="1">
            <w:r w:rsidR="005764D1" w:rsidRPr="00C626DB">
              <w:rPr>
                <w:rStyle w:val="Hyperlink"/>
                <w:rFonts w:ascii="Arial" w:hAnsi="Arial"/>
                <w:noProof/>
              </w:rPr>
              <w:t>Greater Manchester Combined Authority – Group Financial Statements</w:t>
            </w:r>
            <w:r w:rsidR="005764D1" w:rsidRPr="00C626DB">
              <w:rPr>
                <w:rFonts w:ascii="Arial" w:hAnsi="Arial"/>
                <w:noProof/>
                <w:webHidden/>
              </w:rPr>
              <w:tab/>
            </w:r>
            <w:r w:rsidR="005764D1" w:rsidRPr="00C626DB">
              <w:rPr>
                <w:rFonts w:ascii="Arial" w:hAnsi="Arial"/>
                <w:noProof/>
                <w:webHidden/>
              </w:rPr>
              <w:fldChar w:fldCharType="begin"/>
            </w:r>
            <w:r w:rsidR="005764D1" w:rsidRPr="00C626DB">
              <w:rPr>
                <w:rFonts w:ascii="Arial" w:hAnsi="Arial"/>
                <w:noProof/>
                <w:webHidden/>
              </w:rPr>
              <w:instrText xml:space="preserve"> PAGEREF _Toc109922659 \h </w:instrText>
            </w:r>
            <w:r w:rsidR="005764D1" w:rsidRPr="00C626DB">
              <w:rPr>
                <w:rFonts w:ascii="Arial" w:hAnsi="Arial"/>
                <w:noProof/>
                <w:webHidden/>
              </w:rPr>
            </w:r>
            <w:r w:rsidR="005764D1" w:rsidRPr="00C626DB">
              <w:rPr>
                <w:rFonts w:ascii="Arial" w:hAnsi="Arial"/>
                <w:noProof/>
                <w:webHidden/>
              </w:rPr>
              <w:fldChar w:fldCharType="separate"/>
            </w:r>
            <w:r w:rsidR="007C001F">
              <w:rPr>
                <w:rFonts w:ascii="Arial" w:hAnsi="Arial"/>
                <w:noProof/>
                <w:webHidden/>
              </w:rPr>
              <w:t>144</w:t>
            </w:r>
            <w:r w:rsidR="005764D1" w:rsidRPr="00C626DB">
              <w:rPr>
                <w:rFonts w:ascii="Arial" w:hAnsi="Arial"/>
                <w:noProof/>
                <w:webHidden/>
              </w:rPr>
              <w:fldChar w:fldCharType="end"/>
            </w:r>
          </w:hyperlink>
        </w:p>
        <w:p w14:paraId="0A481D49" w14:textId="6AE746BE"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60" w:history="1">
            <w:r w:rsidR="005764D1" w:rsidRPr="00C626DB">
              <w:rPr>
                <w:rStyle w:val="Hyperlink"/>
                <w:rFonts w:ascii="Arial" w:hAnsi="Arial"/>
                <w:noProof/>
              </w:rPr>
              <w:t>Group Comprehensive Income and Expenditure Statement</w:t>
            </w:r>
            <w:r w:rsidR="005764D1" w:rsidRPr="00C626DB">
              <w:rPr>
                <w:rFonts w:ascii="Arial" w:hAnsi="Arial"/>
                <w:noProof/>
                <w:webHidden/>
              </w:rPr>
              <w:tab/>
            </w:r>
            <w:r w:rsidR="005764D1" w:rsidRPr="00C626DB">
              <w:rPr>
                <w:rFonts w:ascii="Arial" w:hAnsi="Arial"/>
                <w:noProof/>
                <w:webHidden/>
              </w:rPr>
              <w:fldChar w:fldCharType="begin"/>
            </w:r>
            <w:r w:rsidR="005764D1" w:rsidRPr="00C626DB">
              <w:rPr>
                <w:rFonts w:ascii="Arial" w:hAnsi="Arial"/>
                <w:noProof/>
                <w:webHidden/>
              </w:rPr>
              <w:instrText xml:space="preserve"> PAGEREF _Toc109922660 \h </w:instrText>
            </w:r>
            <w:r w:rsidR="005764D1" w:rsidRPr="00C626DB">
              <w:rPr>
                <w:rFonts w:ascii="Arial" w:hAnsi="Arial"/>
                <w:noProof/>
                <w:webHidden/>
              </w:rPr>
            </w:r>
            <w:r w:rsidR="005764D1" w:rsidRPr="00C626DB">
              <w:rPr>
                <w:rFonts w:ascii="Arial" w:hAnsi="Arial"/>
                <w:noProof/>
                <w:webHidden/>
              </w:rPr>
              <w:fldChar w:fldCharType="separate"/>
            </w:r>
            <w:r w:rsidR="007C001F">
              <w:rPr>
                <w:rFonts w:ascii="Arial" w:hAnsi="Arial"/>
                <w:noProof/>
                <w:webHidden/>
              </w:rPr>
              <w:t>145</w:t>
            </w:r>
            <w:r w:rsidR="005764D1" w:rsidRPr="00C626DB">
              <w:rPr>
                <w:rFonts w:ascii="Arial" w:hAnsi="Arial"/>
                <w:noProof/>
                <w:webHidden/>
              </w:rPr>
              <w:fldChar w:fldCharType="end"/>
            </w:r>
          </w:hyperlink>
        </w:p>
        <w:p w14:paraId="0B98407B" w14:textId="054CFCB1"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61" w:history="1">
            <w:r w:rsidR="005764D1" w:rsidRPr="00C626DB">
              <w:rPr>
                <w:rStyle w:val="Hyperlink"/>
                <w:rFonts w:ascii="Arial" w:hAnsi="Arial"/>
                <w:noProof/>
              </w:rPr>
              <w:t>Group Movement in Reserves Statement</w:t>
            </w:r>
            <w:r w:rsidR="005764D1" w:rsidRPr="00C626DB">
              <w:rPr>
                <w:rFonts w:ascii="Arial" w:hAnsi="Arial"/>
                <w:noProof/>
                <w:webHidden/>
              </w:rPr>
              <w:tab/>
            </w:r>
            <w:r w:rsidR="005764D1" w:rsidRPr="00C626DB">
              <w:rPr>
                <w:rFonts w:ascii="Arial" w:hAnsi="Arial"/>
                <w:noProof/>
                <w:webHidden/>
              </w:rPr>
              <w:fldChar w:fldCharType="begin"/>
            </w:r>
            <w:r w:rsidR="005764D1" w:rsidRPr="00C626DB">
              <w:rPr>
                <w:rFonts w:ascii="Arial" w:hAnsi="Arial"/>
                <w:noProof/>
                <w:webHidden/>
              </w:rPr>
              <w:instrText xml:space="preserve"> PAGEREF _Toc109922661 \h </w:instrText>
            </w:r>
            <w:r w:rsidR="005764D1" w:rsidRPr="00C626DB">
              <w:rPr>
                <w:rFonts w:ascii="Arial" w:hAnsi="Arial"/>
                <w:noProof/>
                <w:webHidden/>
              </w:rPr>
            </w:r>
            <w:r w:rsidR="005764D1" w:rsidRPr="00C626DB">
              <w:rPr>
                <w:rFonts w:ascii="Arial" w:hAnsi="Arial"/>
                <w:noProof/>
                <w:webHidden/>
              </w:rPr>
              <w:fldChar w:fldCharType="separate"/>
            </w:r>
            <w:r w:rsidR="007C001F">
              <w:rPr>
                <w:rFonts w:ascii="Arial" w:hAnsi="Arial"/>
                <w:noProof/>
                <w:webHidden/>
              </w:rPr>
              <w:t>146</w:t>
            </w:r>
            <w:r w:rsidR="005764D1" w:rsidRPr="00C626DB">
              <w:rPr>
                <w:rFonts w:ascii="Arial" w:hAnsi="Arial"/>
                <w:noProof/>
                <w:webHidden/>
              </w:rPr>
              <w:fldChar w:fldCharType="end"/>
            </w:r>
          </w:hyperlink>
        </w:p>
        <w:p w14:paraId="6AEE62AE" w14:textId="4E445621"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62" w:history="1">
            <w:r w:rsidR="005764D1" w:rsidRPr="00C626DB">
              <w:rPr>
                <w:rStyle w:val="Hyperlink"/>
                <w:rFonts w:ascii="Arial" w:hAnsi="Arial"/>
                <w:noProof/>
              </w:rPr>
              <w:t>Group Balance Sheet</w:t>
            </w:r>
            <w:r w:rsidR="005764D1" w:rsidRPr="00C626DB">
              <w:rPr>
                <w:rFonts w:ascii="Arial" w:hAnsi="Arial"/>
                <w:noProof/>
                <w:webHidden/>
              </w:rPr>
              <w:tab/>
            </w:r>
            <w:r w:rsidR="005764D1" w:rsidRPr="00C626DB">
              <w:rPr>
                <w:rFonts w:ascii="Arial" w:hAnsi="Arial"/>
                <w:noProof/>
                <w:webHidden/>
              </w:rPr>
              <w:fldChar w:fldCharType="begin"/>
            </w:r>
            <w:r w:rsidR="005764D1" w:rsidRPr="00C626DB">
              <w:rPr>
                <w:rFonts w:ascii="Arial" w:hAnsi="Arial"/>
                <w:noProof/>
                <w:webHidden/>
              </w:rPr>
              <w:instrText xml:space="preserve"> PAGEREF _Toc109922662 \h </w:instrText>
            </w:r>
            <w:r w:rsidR="005764D1" w:rsidRPr="00C626DB">
              <w:rPr>
                <w:rFonts w:ascii="Arial" w:hAnsi="Arial"/>
                <w:noProof/>
                <w:webHidden/>
              </w:rPr>
            </w:r>
            <w:r w:rsidR="005764D1" w:rsidRPr="00C626DB">
              <w:rPr>
                <w:rFonts w:ascii="Arial" w:hAnsi="Arial"/>
                <w:noProof/>
                <w:webHidden/>
              </w:rPr>
              <w:fldChar w:fldCharType="separate"/>
            </w:r>
            <w:r w:rsidR="007C001F">
              <w:rPr>
                <w:rFonts w:ascii="Arial" w:hAnsi="Arial"/>
                <w:noProof/>
                <w:webHidden/>
              </w:rPr>
              <w:t>147</w:t>
            </w:r>
            <w:r w:rsidR="005764D1" w:rsidRPr="00C626DB">
              <w:rPr>
                <w:rFonts w:ascii="Arial" w:hAnsi="Arial"/>
                <w:noProof/>
                <w:webHidden/>
              </w:rPr>
              <w:fldChar w:fldCharType="end"/>
            </w:r>
          </w:hyperlink>
        </w:p>
        <w:p w14:paraId="564CAFA9" w14:textId="25AB9E89"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63" w:history="1">
            <w:r w:rsidR="005764D1" w:rsidRPr="00C626DB">
              <w:rPr>
                <w:rStyle w:val="Hyperlink"/>
                <w:rFonts w:ascii="Arial" w:hAnsi="Arial"/>
                <w:noProof/>
              </w:rPr>
              <w:t>Group Cash Flow Statement</w:t>
            </w:r>
            <w:r w:rsidR="005764D1" w:rsidRPr="00C626DB">
              <w:rPr>
                <w:rFonts w:ascii="Arial" w:hAnsi="Arial"/>
                <w:noProof/>
                <w:webHidden/>
              </w:rPr>
              <w:tab/>
            </w:r>
            <w:r w:rsidR="005764D1" w:rsidRPr="00C626DB">
              <w:rPr>
                <w:rFonts w:ascii="Arial" w:hAnsi="Arial"/>
                <w:noProof/>
                <w:webHidden/>
              </w:rPr>
              <w:fldChar w:fldCharType="begin"/>
            </w:r>
            <w:r w:rsidR="005764D1" w:rsidRPr="00C626DB">
              <w:rPr>
                <w:rFonts w:ascii="Arial" w:hAnsi="Arial"/>
                <w:noProof/>
                <w:webHidden/>
              </w:rPr>
              <w:instrText xml:space="preserve"> PAGEREF _Toc109922663 \h </w:instrText>
            </w:r>
            <w:r w:rsidR="005764D1" w:rsidRPr="00C626DB">
              <w:rPr>
                <w:rFonts w:ascii="Arial" w:hAnsi="Arial"/>
                <w:noProof/>
                <w:webHidden/>
              </w:rPr>
            </w:r>
            <w:r w:rsidR="005764D1" w:rsidRPr="00C626DB">
              <w:rPr>
                <w:rFonts w:ascii="Arial" w:hAnsi="Arial"/>
                <w:noProof/>
                <w:webHidden/>
              </w:rPr>
              <w:fldChar w:fldCharType="separate"/>
            </w:r>
            <w:r w:rsidR="007C001F">
              <w:rPr>
                <w:rFonts w:ascii="Arial" w:hAnsi="Arial"/>
                <w:noProof/>
                <w:webHidden/>
              </w:rPr>
              <w:t>148</w:t>
            </w:r>
            <w:r w:rsidR="005764D1" w:rsidRPr="00C626DB">
              <w:rPr>
                <w:rFonts w:ascii="Arial" w:hAnsi="Arial"/>
                <w:noProof/>
                <w:webHidden/>
              </w:rPr>
              <w:fldChar w:fldCharType="end"/>
            </w:r>
          </w:hyperlink>
        </w:p>
        <w:p w14:paraId="56FBC960" w14:textId="10552848" w:rsidR="005764D1" w:rsidRPr="00C626DB" w:rsidRDefault="001628C2">
          <w:pPr>
            <w:pStyle w:val="TOC1"/>
            <w:tabs>
              <w:tab w:val="right" w:leader="dot" w:pos="9016"/>
            </w:tabs>
            <w:rPr>
              <w:rFonts w:ascii="Arial" w:eastAsiaTheme="minorEastAsia" w:hAnsi="Arial" w:cstheme="minorBidi"/>
              <w:noProof/>
              <w:szCs w:val="22"/>
              <w:lang w:eastAsia="en-GB"/>
            </w:rPr>
          </w:pPr>
          <w:hyperlink w:anchor="_Toc109922664" w:history="1">
            <w:r w:rsidR="005764D1" w:rsidRPr="00C626DB">
              <w:rPr>
                <w:rStyle w:val="Hyperlink"/>
                <w:rFonts w:ascii="Arial" w:hAnsi="Arial"/>
                <w:noProof/>
              </w:rPr>
              <w:t>Notes to the Group Financial Statements</w:t>
            </w:r>
            <w:r w:rsidR="005764D1" w:rsidRPr="00C626DB">
              <w:rPr>
                <w:rFonts w:ascii="Arial" w:hAnsi="Arial"/>
                <w:noProof/>
                <w:webHidden/>
              </w:rPr>
              <w:tab/>
            </w:r>
            <w:r w:rsidR="005764D1" w:rsidRPr="00C626DB">
              <w:rPr>
                <w:rFonts w:ascii="Arial" w:hAnsi="Arial"/>
                <w:noProof/>
                <w:webHidden/>
              </w:rPr>
              <w:fldChar w:fldCharType="begin"/>
            </w:r>
            <w:r w:rsidR="005764D1" w:rsidRPr="00C626DB">
              <w:rPr>
                <w:rFonts w:ascii="Arial" w:hAnsi="Arial"/>
                <w:noProof/>
                <w:webHidden/>
              </w:rPr>
              <w:instrText xml:space="preserve"> PAGEREF _Toc109922664 \h </w:instrText>
            </w:r>
            <w:r w:rsidR="005764D1" w:rsidRPr="00C626DB">
              <w:rPr>
                <w:rFonts w:ascii="Arial" w:hAnsi="Arial"/>
                <w:noProof/>
                <w:webHidden/>
              </w:rPr>
            </w:r>
            <w:r w:rsidR="005764D1" w:rsidRPr="00C626DB">
              <w:rPr>
                <w:rFonts w:ascii="Arial" w:hAnsi="Arial"/>
                <w:noProof/>
                <w:webHidden/>
              </w:rPr>
              <w:fldChar w:fldCharType="separate"/>
            </w:r>
            <w:r w:rsidR="007C001F">
              <w:rPr>
                <w:rFonts w:ascii="Arial" w:hAnsi="Arial"/>
                <w:noProof/>
                <w:webHidden/>
              </w:rPr>
              <w:t>149</w:t>
            </w:r>
            <w:r w:rsidR="005764D1" w:rsidRPr="00C626DB">
              <w:rPr>
                <w:rFonts w:ascii="Arial" w:hAnsi="Arial"/>
                <w:noProof/>
                <w:webHidden/>
              </w:rPr>
              <w:fldChar w:fldCharType="end"/>
            </w:r>
          </w:hyperlink>
        </w:p>
        <w:p w14:paraId="7E64CD42" w14:textId="7C5FFE53" w:rsidR="005764D1" w:rsidRPr="00C626DB" w:rsidRDefault="001628C2">
          <w:pPr>
            <w:pStyle w:val="TOC2"/>
            <w:tabs>
              <w:tab w:val="right" w:leader="dot" w:pos="9016"/>
            </w:tabs>
            <w:rPr>
              <w:rFonts w:ascii="Arial" w:eastAsiaTheme="minorEastAsia" w:hAnsi="Arial" w:cstheme="minorBidi"/>
              <w:noProof/>
              <w:szCs w:val="22"/>
              <w:lang w:eastAsia="en-GB"/>
            </w:rPr>
          </w:pPr>
          <w:hyperlink w:anchor="_Toc109922695" w:history="1">
            <w:r w:rsidR="005764D1" w:rsidRPr="00C626DB">
              <w:rPr>
                <w:rStyle w:val="Hyperlink"/>
                <w:rFonts w:ascii="Arial" w:hAnsi="Arial"/>
                <w:noProof/>
              </w:rPr>
              <w:t>Police Pension Fund</w:t>
            </w:r>
            <w:r w:rsidR="005764D1" w:rsidRPr="00C626DB">
              <w:rPr>
                <w:rFonts w:ascii="Arial" w:hAnsi="Arial"/>
                <w:noProof/>
                <w:webHidden/>
              </w:rPr>
              <w:tab/>
            </w:r>
            <w:r w:rsidR="005764D1" w:rsidRPr="00C626DB">
              <w:rPr>
                <w:rFonts w:ascii="Arial" w:hAnsi="Arial"/>
                <w:noProof/>
                <w:webHidden/>
              </w:rPr>
              <w:fldChar w:fldCharType="begin"/>
            </w:r>
            <w:r w:rsidR="005764D1" w:rsidRPr="00C626DB">
              <w:rPr>
                <w:rFonts w:ascii="Arial" w:hAnsi="Arial"/>
                <w:noProof/>
                <w:webHidden/>
              </w:rPr>
              <w:instrText xml:space="preserve"> PAGEREF _Toc109922695 \h </w:instrText>
            </w:r>
            <w:r w:rsidR="005764D1" w:rsidRPr="00C626DB">
              <w:rPr>
                <w:rFonts w:ascii="Arial" w:hAnsi="Arial"/>
                <w:noProof/>
                <w:webHidden/>
              </w:rPr>
            </w:r>
            <w:r w:rsidR="005764D1" w:rsidRPr="00C626DB">
              <w:rPr>
                <w:rFonts w:ascii="Arial" w:hAnsi="Arial"/>
                <w:noProof/>
                <w:webHidden/>
              </w:rPr>
              <w:fldChar w:fldCharType="separate"/>
            </w:r>
            <w:r w:rsidR="007C001F">
              <w:rPr>
                <w:rFonts w:ascii="Arial" w:hAnsi="Arial"/>
                <w:noProof/>
                <w:webHidden/>
              </w:rPr>
              <w:t>193</w:t>
            </w:r>
            <w:r w:rsidR="005764D1" w:rsidRPr="00C626DB">
              <w:rPr>
                <w:rFonts w:ascii="Arial" w:hAnsi="Arial"/>
                <w:noProof/>
                <w:webHidden/>
              </w:rPr>
              <w:fldChar w:fldCharType="end"/>
            </w:r>
          </w:hyperlink>
        </w:p>
        <w:p w14:paraId="7438D0EA" w14:textId="427D8B90" w:rsidR="005764D1" w:rsidRDefault="001628C2" w:rsidP="00431F6F">
          <w:pPr>
            <w:pStyle w:val="TOC2"/>
            <w:tabs>
              <w:tab w:val="right" w:leader="dot" w:pos="9016"/>
            </w:tabs>
            <w:ind w:left="0"/>
            <w:rPr>
              <w:rFonts w:asciiTheme="minorHAnsi" w:eastAsiaTheme="minorEastAsia" w:hAnsiTheme="minorHAnsi" w:cstheme="minorBidi"/>
              <w:noProof/>
              <w:sz w:val="22"/>
              <w:szCs w:val="22"/>
              <w:lang w:eastAsia="en-GB"/>
            </w:rPr>
          </w:pPr>
          <w:hyperlink w:anchor="_Toc109922700" w:history="1">
            <w:r w:rsidR="005764D1" w:rsidRPr="00C626DB">
              <w:rPr>
                <w:rStyle w:val="Hyperlink"/>
                <w:rFonts w:ascii="Arial" w:hAnsi="Arial"/>
                <w:noProof/>
              </w:rPr>
              <w:t>Glossary of Financial Terms</w:t>
            </w:r>
            <w:r w:rsidR="005764D1" w:rsidRPr="00C626DB">
              <w:rPr>
                <w:rFonts w:ascii="Arial" w:hAnsi="Arial"/>
                <w:noProof/>
                <w:webHidden/>
              </w:rPr>
              <w:tab/>
            </w:r>
            <w:r w:rsidR="005764D1" w:rsidRPr="00C626DB">
              <w:rPr>
                <w:rFonts w:ascii="Arial" w:hAnsi="Arial"/>
                <w:noProof/>
                <w:webHidden/>
              </w:rPr>
              <w:fldChar w:fldCharType="begin"/>
            </w:r>
            <w:r w:rsidR="005764D1" w:rsidRPr="00C626DB">
              <w:rPr>
                <w:rFonts w:ascii="Arial" w:hAnsi="Arial"/>
                <w:noProof/>
                <w:webHidden/>
              </w:rPr>
              <w:instrText xml:space="preserve"> PAGEREF _Toc109922700 \h </w:instrText>
            </w:r>
            <w:r w:rsidR="005764D1" w:rsidRPr="00C626DB">
              <w:rPr>
                <w:rFonts w:ascii="Arial" w:hAnsi="Arial"/>
                <w:noProof/>
                <w:webHidden/>
              </w:rPr>
            </w:r>
            <w:r w:rsidR="005764D1" w:rsidRPr="00C626DB">
              <w:rPr>
                <w:rFonts w:ascii="Arial" w:hAnsi="Arial"/>
                <w:noProof/>
                <w:webHidden/>
              </w:rPr>
              <w:fldChar w:fldCharType="separate"/>
            </w:r>
            <w:r w:rsidR="007C001F">
              <w:rPr>
                <w:rFonts w:ascii="Arial" w:hAnsi="Arial"/>
                <w:noProof/>
                <w:webHidden/>
              </w:rPr>
              <w:t>195</w:t>
            </w:r>
            <w:r w:rsidR="005764D1" w:rsidRPr="00C626DB">
              <w:rPr>
                <w:rFonts w:ascii="Arial" w:hAnsi="Arial"/>
                <w:noProof/>
                <w:webHidden/>
              </w:rPr>
              <w:fldChar w:fldCharType="end"/>
            </w:r>
          </w:hyperlink>
        </w:p>
        <w:p w14:paraId="451A6560" w14:textId="0C7B7182" w:rsidR="0074597D" w:rsidRDefault="0074597D" w:rsidP="0038082E">
          <w:r w:rsidRPr="00F21EA7">
            <w:rPr>
              <w:rFonts w:ascii="Arial" w:hAnsi="Arial" w:cs="Arial"/>
              <w:b/>
              <w:bCs/>
              <w:noProof/>
            </w:rPr>
            <w:fldChar w:fldCharType="end"/>
          </w:r>
        </w:p>
      </w:sdtContent>
    </w:sdt>
    <w:p w14:paraId="69D61D41" w14:textId="562D3ECC" w:rsidR="005F371A" w:rsidRDefault="005F371A" w:rsidP="0038082E">
      <w:pPr>
        <w:tabs>
          <w:tab w:val="center" w:pos="8640"/>
        </w:tabs>
        <w:rPr>
          <w:rFonts w:ascii="Arial" w:hAnsi="Arial" w:cs="Arial"/>
          <w:b/>
          <w:sz w:val="22"/>
          <w:szCs w:val="22"/>
        </w:rPr>
      </w:pPr>
    </w:p>
    <w:p w14:paraId="21BB5D47" w14:textId="77777777" w:rsidR="00D64FA5" w:rsidRPr="0007572B" w:rsidRDefault="00D64FA5" w:rsidP="0038082E">
      <w:pPr>
        <w:tabs>
          <w:tab w:val="center" w:pos="8460"/>
        </w:tabs>
        <w:spacing w:after="240"/>
        <w:rPr>
          <w:rFonts w:ascii="Arial" w:hAnsi="Arial" w:cs="Arial"/>
          <w:sz w:val="22"/>
          <w:szCs w:val="22"/>
        </w:rPr>
      </w:pPr>
    </w:p>
    <w:p w14:paraId="2BF636C0" w14:textId="77777777" w:rsidR="00D64FA5" w:rsidRPr="0007572B" w:rsidRDefault="00D64FA5" w:rsidP="0038082E">
      <w:pPr>
        <w:tabs>
          <w:tab w:val="center" w:pos="9000"/>
        </w:tabs>
        <w:spacing w:after="240"/>
        <w:rPr>
          <w:rFonts w:ascii="Arial" w:hAnsi="Arial" w:cs="Arial"/>
          <w:sz w:val="22"/>
          <w:szCs w:val="22"/>
        </w:rPr>
      </w:pPr>
    </w:p>
    <w:p w14:paraId="1F9F21F1" w14:textId="77777777" w:rsidR="00D64FA5" w:rsidRPr="0007572B" w:rsidRDefault="00D64FA5" w:rsidP="0038082E">
      <w:pPr>
        <w:rPr>
          <w:rFonts w:ascii="Arial" w:hAnsi="Arial" w:cs="Arial"/>
          <w:sz w:val="22"/>
          <w:szCs w:val="22"/>
        </w:rPr>
        <w:sectPr w:rsidR="00D64FA5" w:rsidRPr="0007572B" w:rsidSect="00DA344C">
          <w:headerReference w:type="default" r:id="rId11"/>
          <w:footerReference w:type="default" r:id="rId12"/>
          <w:pgSz w:w="11906" w:h="16838"/>
          <w:pgMar w:top="946" w:right="1800" w:bottom="1440" w:left="1080" w:header="708" w:footer="708" w:gutter="0"/>
          <w:cols w:space="708"/>
          <w:docGrid w:linePitch="360"/>
        </w:sectPr>
      </w:pPr>
    </w:p>
    <w:p w14:paraId="36CEDCD9" w14:textId="066EA957" w:rsidR="00AD2D07" w:rsidRPr="005F371A" w:rsidRDefault="00D64FA5" w:rsidP="0038082E">
      <w:pPr>
        <w:pStyle w:val="Heading2green"/>
        <w:rPr>
          <w:sz w:val="28"/>
          <w:szCs w:val="28"/>
        </w:rPr>
      </w:pPr>
      <w:bookmarkStart w:id="9" w:name="_Toc109922577"/>
      <w:r w:rsidRPr="00B86CD5">
        <w:lastRenderedPageBreak/>
        <w:t>Narrative Report by the Authority Treasurer</w:t>
      </w:r>
      <w:bookmarkEnd w:id="9"/>
    </w:p>
    <w:p w14:paraId="5D625F52" w14:textId="77777777" w:rsidR="006E1394" w:rsidRDefault="006E1394" w:rsidP="00016C24">
      <w:pPr>
        <w:pStyle w:val="StyleNormalAccessible"/>
        <w:spacing w:after="160" w:line="240" w:lineRule="auto"/>
        <w:rPr>
          <w:rFonts w:cs="Arial"/>
        </w:rPr>
      </w:pPr>
      <w:bookmarkStart w:id="10" w:name="_Toc92895161"/>
      <w:bookmarkStart w:id="11" w:name="_Toc109160257"/>
    </w:p>
    <w:p w14:paraId="5F0F61CF" w14:textId="0B948FEE" w:rsidR="00016C24" w:rsidRPr="00AD2D07" w:rsidRDefault="00016C24" w:rsidP="00016C24">
      <w:pPr>
        <w:pStyle w:val="StyleNormalAccessible"/>
        <w:spacing w:after="160" w:line="240" w:lineRule="auto"/>
        <w:rPr>
          <w:rFonts w:cs="Arial"/>
        </w:rPr>
      </w:pPr>
      <w:r w:rsidRPr="00AD2D07">
        <w:rPr>
          <w:rFonts w:cs="Arial"/>
        </w:rPr>
        <w:t>Welcome to the Greater Manchester Combined Authority’s (the Authority) Annual Statement of Accounts for 202</w:t>
      </w:r>
      <w:r>
        <w:rPr>
          <w:rFonts w:cs="Arial"/>
        </w:rPr>
        <w:t>1</w:t>
      </w:r>
      <w:r w:rsidRPr="00AD2D07">
        <w:rPr>
          <w:rFonts w:cs="Arial"/>
        </w:rPr>
        <w:t>/2</w:t>
      </w:r>
      <w:r>
        <w:rPr>
          <w:rFonts w:cs="Arial"/>
        </w:rPr>
        <w:t>2</w:t>
      </w:r>
      <w:r w:rsidRPr="00AD2D07">
        <w:rPr>
          <w:rFonts w:cs="Arial"/>
        </w:rPr>
        <w:t>. The statements have been prepared in accordance with the requirements of the Accounting Code of Practice issued by the Chartered Institute of Public Finance and Accountancy (CIPFA).</w:t>
      </w:r>
    </w:p>
    <w:p w14:paraId="6C281E5C" w14:textId="77777777" w:rsidR="00016C24" w:rsidRPr="00AD2D07" w:rsidRDefault="00016C24" w:rsidP="00016C24">
      <w:pPr>
        <w:pStyle w:val="Normal0"/>
        <w:spacing w:after="160" w:line="240" w:lineRule="auto"/>
        <w:rPr>
          <w:rFonts w:ascii="Arial" w:hAnsi="Arial" w:cs="Arial"/>
          <w:sz w:val="24"/>
          <w:szCs w:val="24"/>
          <w:lang w:val="en-GB"/>
        </w:rPr>
      </w:pPr>
      <w:r w:rsidRPr="00AD2D07">
        <w:rPr>
          <w:rFonts w:ascii="Arial" w:hAnsi="Arial" w:cs="Arial"/>
          <w:sz w:val="24"/>
          <w:szCs w:val="24"/>
          <w:lang w:val="en-GB"/>
        </w:rPr>
        <w:t>This narrative report aims to provide information so that members of the public, Councillors, partners, stakeholders and other interested parties are able to have:</w:t>
      </w:r>
    </w:p>
    <w:p w14:paraId="5A21994B" w14:textId="77777777" w:rsidR="00016C24" w:rsidRPr="00AD2D07" w:rsidRDefault="00016C24" w:rsidP="00EB27EB">
      <w:pPr>
        <w:pStyle w:val="Normal0"/>
        <w:numPr>
          <w:ilvl w:val="0"/>
          <w:numId w:val="56"/>
        </w:numPr>
        <w:spacing w:after="160" w:line="240" w:lineRule="auto"/>
        <w:rPr>
          <w:rFonts w:ascii="Arial" w:hAnsi="Arial" w:cs="Arial"/>
          <w:sz w:val="24"/>
          <w:szCs w:val="24"/>
          <w:lang w:val="en-GB"/>
        </w:rPr>
      </w:pPr>
      <w:r w:rsidRPr="00AD2D07">
        <w:rPr>
          <w:rFonts w:ascii="Arial" w:hAnsi="Arial" w:cs="Arial"/>
          <w:sz w:val="24"/>
          <w:szCs w:val="24"/>
          <w:lang w:val="en-GB"/>
        </w:rPr>
        <w:t>A full and understandable explanation of the overarching financial position of the Authority and the financial performance for the year 202</w:t>
      </w:r>
      <w:r>
        <w:rPr>
          <w:rFonts w:ascii="Arial" w:hAnsi="Arial" w:cs="Arial"/>
          <w:sz w:val="24"/>
          <w:szCs w:val="24"/>
          <w:lang w:val="en-GB"/>
        </w:rPr>
        <w:t>1</w:t>
      </w:r>
      <w:r w:rsidRPr="00AD2D07">
        <w:rPr>
          <w:rFonts w:ascii="Arial" w:hAnsi="Arial" w:cs="Arial"/>
          <w:sz w:val="24"/>
          <w:szCs w:val="24"/>
          <w:lang w:val="en-GB"/>
        </w:rPr>
        <w:t>/2</w:t>
      </w:r>
      <w:r>
        <w:rPr>
          <w:rFonts w:ascii="Arial" w:hAnsi="Arial" w:cs="Arial"/>
          <w:sz w:val="24"/>
          <w:szCs w:val="24"/>
          <w:lang w:val="en-GB"/>
        </w:rPr>
        <w:t>2</w:t>
      </w:r>
      <w:r w:rsidRPr="00AD2D07">
        <w:rPr>
          <w:rFonts w:ascii="Arial" w:hAnsi="Arial" w:cs="Arial"/>
          <w:sz w:val="24"/>
          <w:szCs w:val="24"/>
          <w:lang w:val="en-GB"/>
        </w:rPr>
        <w:t>;</w:t>
      </w:r>
    </w:p>
    <w:p w14:paraId="5602C569" w14:textId="77777777" w:rsidR="00016C24" w:rsidRPr="00AD2D07" w:rsidRDefault="00016C24" w:rsidP="00EB27EB">
      <w:pPr>
        <w:pStyle w:val="Normal0"/>
        <w:numPr>
          <w:ilvl w:val="0"/>
          <w:numId w:val="56"/>
        </w:numPr>
        <w:spacing w:after="160" w:line="240" w:lineRule="auto"/>
        <w:rPr>
          <w:rFonts w:ascii="Arial" w:hAnsi="Arial" w:cs="Arial"/>
          <w:sz w:val="24"/>
          <w:szCs w:val="24"/>
          <w:lang w:val="en-GB"/>
        </w:rPr>
      </w:pPr>
      <w:r w:rsidRPr="00AD2D07">
        <w:rPr>
          <w:rFonts w:ascii="Arial" w:hAnsi="Arial" w:cs="Arial"/>
          <w:sz w:val="24"/>
          <w:szCs w:val="24"/>
          <w:lang w:val="en-GB"/>
        </w:rPr>
        <w:t>Confidence that the public money with which the Authority has been entrusted has been used and accounted for in an appropriate manner;</w:t>
      </w:r>
    </w:p>
    <w:p w14:paraId="435C2DF4" w14:textId="77777777" w:rsidR="00016C24" w:rsidRPr="00AD2D07" w:rsidRDefault="00016C24" w:rsidP="00EB27EB">
      <w:pPr>
        <w:pStyle w:val="Normal0"/>
        <w:numPr>
          <w:ilvl w:val="0"/>
          <w:numId w:val="56"/>
        </w:numPr>
        <w:spacing w:after="160" w:line="240" w:lineRule="auto"/>
        <w:rPr>
          <w:rFonts w:ascii="Arial" w:hAnsi="Arial" w:cs="Arial"/>
          <w:sz w:val="24"/>
          <w:szCs w:val="24"/>
          <w:lang w:val="en-GB"/>
        </w:rPr>
      </w:pPr>
      <w:r w:rsidRPr="00AD2D07">
        <w:rPr>
          <w:rFonts w:ascii="Arial" w:hAnsi="Arial" w:cs="Arial"/>
          <w:sz w:val="24"/>
          <w:szCs w:val="24"/>
          <w:lang w:val="en-GB"/>
        </w:rPr>
        <w:t>Assurance that the financial position of the Authority is sound and secure.</w:t>
      </w:r>
    </w:p>
    <w:p w14:paraId="425BB731" w14:textId="165042FF" w:rsidR="00016C24" w:rsidRPr="00AD2D07" w:rsidRDefault="00016C24" w:rsidP="00016C24">
      <w:pPr>
        <w:pStyle w:val="Normal0"/>
        <w:spacing w:after="160" w:line="240" w:lineRule="auto"/>
        <w:rPr>
          <w:rFonts w:ascii="Arial" w:hAnsi="Arial" w:cs="Arial"/>
          <w:sz w:val="24"/>
          <w:szCs w:val="24"/>
          <w:lang w:val="en-GB"/>
        </w:rPr>
      </w:pPr>
      <w:r w:rsidRPr="00AD2D07">
        <w:rPr>
          <w:rFonts w:ascii="Arial" w:hAnsi="Arial" w:cs="Arial"/>
          <w:sz w:val="24"/>
          <w:szCs w:val="24"/>
          <w:lang w:val="en-GB"/>
        </w:rPr>
        <w:t>This narrative report provides information about the Authority, including the key issues affecting the Authority and its accounts. It also provides a summary of the financial position at 31 March 202</w:t>
      </w:r>
      <w:r>
        <w:rPr>
          <w:rFonts w:ascii="Arial" w:hAnsi="Arial" w:cs="Arial"/>
          <w:sz w:val="24"/>
          <w:szCs w:val="24"/>
          <w:lang w:val="en-GB"/>
        </w:rPr>
        <w:t>2</w:t>
      </w:r>
      <w:r w:rsidRPr="00AD2D07">
        <w:rPr>
          <w:rFonts w:ascii="Arial" w:hAnsi="Arial" w:cs="Arial"/>
          <w:sz w:val="24"/>
          <w:szCs w:val="24"/>
          <w:lang w:val="en-GB"/>
        </w:rPr>
        <w:t xml:space="preserve"> and is structured as below:</w:t>
      </w:r>
    </w:p>
    <w:p w14:paraId="538FAC90" w14:textId="77777777" w:rsidR="00016C24" w:rsidRPr="00AD2D07" w:rsidRDefault="00016C24" w:rsidP="00EB27EB">
      <w:pPr>
        <w:pStyle w:val="Normal0"/>
        <w:numPr>
          <w:ilvl w:val="0"/>
          <w:numId w:val="57"/>
        </w:numPr>
        <w:spacing w:after="160" w:line="240" w:lineRule="auto"/>
        <w:rPr>
          <w:rFonts w:ascii="Arial" w:hAnsi="Arial" w:cs="Arial"/>
          <w:sz w:val="24"/>
          <w:szCs w:val="24"/>
          <w:lang w:val="en-GB"/>
        </w:rPr>
      </w:pPr>
      <w:r w:rsidRPr="00AD2D07">
        <w:rPr>
          <w:rFonts w:ascii="Arial" w:hAnsi="Arial" w:cs="Arial"/>
          <w:sz w:val="24"/>
          <w:szCs w:val="24"/>
          <w:lang w:val="en-GB"/>
        </w:rPr>
        <w:t>How the Authority Performed in 202</w:t>
      </w:r>
      <w:r>
        <w:rPr>
          <w:rFonts w:ascii="Arial" w:hAnsi="Arial" w:cs="Arial"/>
          <w:sz w:val="24"/>
          <w:szCs w:val="24"/>
          <w:lang w:val="en-GB"/>
        </w:rPr>
        <w:t>1</w:t>
      </w:r>
      <w:r w:rsidRPr="00AD2D07">
        <w:rPr>
          <w:rFonts w:ascii="Arial" w:hAnsi="Arial" w:cs="Arial"/>
          <w:sz w:val="24"/>
          <w:szCs w:val="24"/>
          <w:lang w:val="en-GB"/>
        </w:rPr>
        <w:t>/2</w:t>
      </w:r>
      <w:r>
        <w:rPr>
          <w:rFonts w:ascii="Arial" w:hAnsi="Arial" w:cs="Arial"/>
          <w:sz w:val="24"/>
          <w:szCs w:val="24"/>
          <w:lang w:val="en-GB"/>
        </w:rPr>
        <w:t>2</w:t>
      </w:r>
    </w:p>
    <w:p w14:paraId="49DC0161" w14:textId="77777777" w:rsidR="00016C24" w:rsidRPr="00AD2D07" w:rsidRDefault="00016C24" w:rsidP="00EB27EB">
      <w:pPr>
        <w:pStyle w:val="Normal0"/>
        <w:numPr>
          <w:ilvl w:val="0"/>
          <w:numId w:val="57"/>
        </w:numPr>
        <w:spacing w:after="160" w:line="240" w:lineRule="auto"/>
        <w:rPr>
          <w:rFonts w:ascii="Arial" w:hAnsi="Arial" w:cs="Arial"/>
          <w:sz w:val="24"/>
          <w:szCs w:val="24"/>
          <w:lang w:val="en-GB"/>
        </w:rPr>
      </w:pPr>
      <w:r w:rsidRPr="00AD2D07">
        <w:rPr>
          <w:rFonts w:ascii="Arial" w:hAnsi="Arial" w:cs="Arial"/>
          <w:sz w:val="24"/>
          <w:szCs w:val="24"/>
          <w:lang w:val="en-GB"/>
        </w:rPr>
        <w:t>The Authority’s Group of Companies</w:t>
      </w:r>
    </w:p>
    <w:p w14:paraId="182DC3C0" w14:textId="77777777" w:rsidR="00016C24" w:rsidRPr="00AD2D07" w:rsidRDefault="00016C24" w:rsidP="00EB27EB">
      <w:pPr>
        <w:pStyle w:val="Normal0"/>
        <w:numPr>
          <w:ilvl w:val="0"/>
          <w:numId w:val="57"/>
        </w:numPr>
        <w:spacing w:after="160" w:line="240" w:lineRule="auto"/>
        <w:rPr>
          <w:rFonts w:ascii="Arial" w:hAnsi="Arial" w:cs="Arial"/>
          <w:sz w:val="24"/>
          <w:szCs w:val="24"/>
          <w:lang w:val="en-GB"/>
        </w:rPr>
      </w:pPr>
      <w:r w:rsidRPr="00AD2D07">
        <w:rPr>
          <w:rFonts w:ascii="Arial" w:hAnsi="Arial" w:cs="Arial"/>
          <w:sz w:val="24"/>
          <w:szCs w:val="24"/>
          <w:lang w:val="en-GB"/>
        </w:rPr>
        <w:t>Revenue Budget and Financial Performance 202</w:t>
      </w:r>
      <w:r>
        <w:rPr>
          <w:rFonts w:ascii="Arial" w:hAnsi="Arial" w:cs="Arial"/>
          <w:sz w:val="24"/>
          <w:szCs w:val="24"/>
          <w:lang w:val="en-GB"/>
        </w:rPr>
        <w:t>1</w:t>
      </w:r>
      <w:r w:rsidRPr="00AD2D07">
        <w:rPr>
          <w:rFonts w:ascii="Arial" w:hAnsi="Arial" w:cs="Arial"/>
          <w:sz w:val="24"/>
          <w:szCs w:val="24"/>
          <w:lang w:val="en-GB"/>
        </w:rPr>
        <w:t>/2</w:t>
      </w:r>
      <w:r>
        <w:rPr>
          <w:rFonts w:ascii="Arial" w:hAnsi="Arial" w:cs="Arial"/>
          <w:sz w:val="24"/>
          <w:szCs w:val="24"/>
          <w:lang w:val="en-GB"/>
        </w:rPr>
        <w:t>2</w:t>
      </w:r>
    </w:p>
    <w:p w14:paraId="2EBB6A9A" w14:textId="77777777" w:rsidR="00016C24" w:rsidRPr="00AD2D07" w:rsidRDefault="00016C24" w:rsidP="00EB27EB">
      <w:pPr>
        <w:pStyle w:val="Normal0"/>
        <w:numPr>
          <w:ilvl w:val="0"/>
          <w:numId w:val="57"/>
        </w:numPr>
        <w:spacing w:after="160" w:line="240" w:lineRule="auto"/>
        <w:rPr>
          <w:rFonts w:ascii="Arial" w:hAnsi="Arial" w:cs="Arial"/>
          <w:sz w:val="24"/>
          <w:szCs w:val="24"/>
          <w:lang w:val="en-GB"/>
        </w:rPr>
      </w:pPr>
      <w:r w:rsidRPr="00AD2D07">
        <w:rPr>
          <w:rFonts w:ascii="Arial" w:hAnsi="Arial" w:cs="Arial"/>
          <w:sz w:val="24"/>
          <w:szCs w:val="24"/>
          <w:lang w:val="en-GB"/>
        </w:rPr>
        <w:t>Capital Programme and Financing 202</w:t>
      </w:r>
      <w:r>
        <w:rPr>
          <w:rFonts w:ascii="Arial" w:hAnsi="Arial" w:cs="Arial"/>
          <w:sz w:val="24"/>
          <w:szCs w:val="24"/>
          <w:lang w:val="en-GB"/>
        </w:rPr>
        <w:t>1</w:t>
      </w:r>
      <w:r w:rsidRPr="00AD2D07">
        <w:rPr>
          <w:rFonts w:ascii="Arial" w:hAnsi="Arial" w:cs="Arial"/>
          <w:sz w:val="24"/>
          <w:szCs w:val="24"/>
          <w:lang w:val="en-GB"/>
        </w:rPr>
        <w:t>/2</w:t>
      </w:r>
      <w:r>
        <w:rPr>
          <w:rFonts w:ascii="Arial" w:hAnsi="Arial" w:cs="Arial"/>
          <w:sz w:val="24"/>
          <w:szCs w:val="24"/>
          <w:lang w:val="en-GB"/>
        </w:rPr>
        <w:t>2</w:t>
      </w:r>
    </w:p>
    <w:p w14:paraId="66F56538" w14:textId="77777777" w:rsidR="00016C24" w:rsidRPr="00AD2D07" w:rsidRDefault="00016C24" w:rsidP="00EB27EB">
      <w:pPr>
        <w:pStyle w:val="Normal0"/>
        <w:numPr>
          <w:ilvl w:val="0"/>
          <w:numId w:val="57"/>
        </w:numPr>
        <w:spacing w:after="160" w:line="240" w:lineRule="auto"/>
        <w:rPr>
          <w:rFonts w:ascii="Arial" w:hAnsi="Arial" w:cs="Arial"/>
          <w:sz w:val="24"/>
          <w:szCs w:val="24"/>
          <w:lang w:val="en-GB"/>
        </w:rPr>
      </w:pPr>
      <w:r w:rsidRPr="00AD2D07">
        <w:rPr>
          <w:rFonts w:ascii="Arial" w:hAnsi="Arial" w:cs="Arial"/>
          <w:sz w:val="24"/>
          <w:szCs w:val="24"/>
          <w:lang w:val="en-GB"/>
        </w:rPr>
        <w:t>Treasury Management Performance in 202</w:t>
      </w:r>
      <w:r>
        <w:rPr>
          <w:rFonts w:ascii="Arial" w:hAnsi="Arial" w:cs="Arial"/>
          <w:sz w:val="24"/>
          <w:szCs w:val="24"/>
          <w:lang w:val="en-GB"/>
        </w:rPr>
        <w:t>1</w:t>
      </w:r>
      <w:r w:rsidRPr="00AD2D07">
        <w:rPr>
          <w:rFonts w:ascii="Arial" w:hAnsi="Arial" w:cs="Arial"/>
          <w:sz w:val="24"/>
          <w:szCs w:val="24"/>
          <w:lang w:val="en-GB"/>
        </w:rPr>
        <w:t>/2</w:t>
      </w:r>
      <w:r>
        <w:rPr>
          <w:rFonts w:ascii="Arial" w:hAnsi="Arial" w:cs="Arial"/>
          <w:sz w:val="24"/>
          <w:szCs w:val="24"/>
          <w:lang w:val="en-GB"/>
        </w:rPr>
        <w:t>2</w:t>
      </w:r>
    </w:p>
    <w:p w14:paraId="6F38F5EC" w14:textId="77777777" w:rsidR="00016C24" w:rsidRPr="00AD2D07" w:rsidRDefault="00016C24" w:rsidP="00EB27EB">
      <w:pPr>
        <w:pStyle w:val="Normal0"/>
        <w:numPr>
          <w:ilvl w:val="0"/>
          <w:numId w:val="57"/>
        </w:numPr>
        <w:spacing w:after="160" w:line="240" w:lineRule="auto"/>
        <w:rPr>
          <w:rFonts w:ascii="Arial" w:hAnsi="Arial" w:cs="Arial"/>
          <w:sz w:val="24"/>
          <w:szCs w:val="24"/>
          <w:lang w:val="en-GB"/>
        </w:rPr>
      </w:pPr>
      <w:r w:rsidRPr="00AD2D07">
        <w:rPr>
          <w:rFonts w:ascii="Arial" w:hAnsi="Arial" w:cs="Arial"/>
          <w:sz w:val="24"/>
          <w:szCs w:val="24"/>
          <w:lang w:val="en-GB"/>
        </w:rPr>
        <w:t>Forward Look – Financial Landscape</w:t>
      </w:r>
    </w:p>
    <w:p w14:paraId="773F641B" w14:textId="77777777" w:rsidR="00016C24" w:rsidRPr="00AD2D07" w:rsidRDefault="00016C24" w:rsidP="00EB27EB">
      <w:pPr>
        <w:pStyle w:val="Normal0"/>
        <w:numPr>
          <w:ilvl w:val="0"/>
          <w:numId w:val="57"/>
        </w:numPr>
        <w:spacing w:after="160" w:line="240" w:lineRule="auto"/>
        <w:rPr>
          <w:rFonts w:ascii="Arial" w:hAnsi="Arial" w:cs="Arial"/>
          <w:sz w:val="24"/>
          <w:szCs w:val="24"/>
          <w:lang w:val="en-GB"/>
        </w:rPr>
      </w:pPr>
      <w:r w:rsidRPr="00AD2D07">
        <w:rPr>
          <w:rFonts w:ascii="Arial" w:hAnsi="Arial" w:cs="Arial"/>
          <w:sz w:val="24"/>
          <w:szCs w:val="24"/>
          <w:lang w:val="en-GB"/>
        </w:rPr>
        <w:t>Core Financial Statements</w:t>
      </w:r>
      <w:r w:rsidRPr="00AD2D07">
        <w:rPr>
          <w:rFonts w:ascii="Arial" w:hAnsi="Arial" w:cs="Arial"/>
          <w:b/>
          <w:sz w:val="22"/>
          <w:szCs w:val="22"/>
        </w:rPr>
        <w:br w:type="page"/>
      </w:r>
    </w:p>
    <w:p w14:paraId="55F045EF" w14:textId="77777777" w:rsidR="00016C24" w:rsidRPr="00C9289E" w:rsidRDefault="00016C24" w:rsidP="00016C24">
      <w:pPr>
        <w:pStyle w:val="Normal0"/>
        <w:spacing w:after="160" w:line="240" w:lineRule="auto"/>
        <w:rPr>
          <w:rFonts w:ascii="Arial" w:hAnsi="Arial" w:cs="Arial"/>
          <w:b/>
          <w:bCs/>
          <w:sz w:val="24"/>
          <w:szCs w:val="24"/>
          <w:lang w:val="en-GB"/>
        </w:rPr>
      </w:pPr>
      <w:r w:rsidRPr="00C9289E">
        <w:rPr>
          <w:rFonts w:ascii="Arial" w:hAnsi="Arial" w:cs="Arial"/>
          <w:b/>
          <w:bCs/>
          <w:sz w:val="24"/>
          <w:szCs w:val="24"/>
          <w:u w:val="single"/>
        </w:rPr>
        <w:lastRenderedPageBreak/>
        <w:t>How the Authority Performed in 2021/22</w:t>
      </w:r>
    </w:p>
    <w:p w14:paraId="7DB7D1D7" w14:textId="77777777" w:rsidR="00016C24" w:rsidRPr="0048075A" w:rsidRDefault="00016C24" w:rsidP="00016C24">
      <w:pPr>
        <w:rPr>
          <w:rFonts w:ascii="Arial" w:hAnsi="Arial" w:cs="Arial"/>
          <w:b/>
          <w:bCs/>
        </w:rPr>
      </w:pPr>
      <w:r w:rsidRPr="0048075A">
        <w:rPr>
          <w:rFonts w:ascii="Arial" w:hAnsi="Arial" w:cs="Arial"/>
          <w:b/>
          <w:bCs/>
        </w:rPr>
        <w:t>Introduction</w:t>
      </w:r>
    </w:p>
    <w:p w14:paraId="0FFA1427" w14:textId="77777777" w:rsidR="00016C24" w:rsidRPr="0048075A" w:rsidRDefault="00016C24" w:rsidP="00016C24"/>
    <w:p w14:paraId="07E3D724" w14:textId="77777777" w:rsidR="00016C24" w:rsidRPr="00BB7D0E" w:rsidRDefault="00016C24" w:rsidP="00016C24">
      <w:pPr>
        <w:pStyle w:val="Normal0"/>
        <w:spacing w:after="160" w:line="240" w:lineRule="auto"/>
        <w:rPr>
          <w:rFonts w:ascii="Arial" w:hAnsi="Arial" w:cs="Arial"/>
          <w:sz w:val="24"/>
          <w:szCs w:val="24"/>
        </w:rPr>
      </w:pPr>
      <w:r w:rsidRPr="00BB7D0E">
        <w:rPr>
          <w:rFonts w:ascii="Arial" w:hAnsi="Arial" w:cs="Arial"/>
          <w:sz w:val="24"/>
          <w:szCs w:val="24"/>
          <w:lang w:val="en-GB"/>
        </w:rPr>
        <w:t xml:space="preserve">Greater Manchester has a vision </w:t>
      </w:r>
      <w:r w:rsidRPr="00BB7D0E">
        <w:rPr>
          <w:rFonts w:ascii="Arial" w:hAnsi="Arial" w:cs="Arial"/>
          <w:sz w:val="24"/>
          <w:szCs w:val="24"/>
        </w:rPr>
        <w:t>to be a place where everyone can live a good life, growing up, getting on and growing old in a greener, fairer, more prosperous city region</w:t>
      </w:r>
      <w:r>
        <w:rPr>
          <w:rFonts w:ascii="Arial" w:hAnsi="Arial" w:cs="Arial"/>
          <w:sz w:val="24"/>
          <w:szCs w:val="24"/>
        </w:rPr>
        <w:t>.</w:t>
      </w:r>
    </w:p>
    <w:p w14:paraId="4AC131AE" w14:textId="6C67C284" w:rsidR="00016C24" w:rsidRPr="00AD2D07" w:rsidRDefault="00016C24" w:rsidP="00016C24">
      <w:pPr>
        <w:pStyle w:val="Normal0"/>
        <w:spacing w:after="160" w:line="240" w:lineRule="auto"/>
        <w:rPr>
          <w:rFonts w:ascii="Arial" w:hAnsi="Arial" w:cs="Arial"/>
          <w:sz w:val="24"/>
          <w:szCs w:val="24"/>
          <w:lang w:val="en-GB"/>
        </w:rPr>
      </w:pPr>
      <w:r w:rsidRPr="00AD2D07">
        <w:rPr>
          <w:rFonts w:ascii="Arial" w:hAnsi="Arial" w:cs="Arial"/>
          <w:sz w:val="24"/>
          <w:szCs w:val="24"/>
          <w:lang w:val="en-GB"/>
        </w:rPr>
        <w:t xml:space="preserve">The Authority is made up of the ten Greater Manchester Council Leaders and the Mayor who work with other local services, businesses, communities and other partners to </w:t>
      </w:r>
      <w:r>
        <w:rPr>
          <w:rFonts w:ascii="Arial" w:hAnsi="Arial" w:cs="Arial"/>
          <w:sz w:val="24"/>
          <w:szCs w:val="24"/>
          <w:lang w:val="en-GB"/>
        </w:rPr>
        <w:t>drive the collective ambition for the</w:t>
      </w:r>
      <w:r w:rsidRPr="00AD2D07">
        <w:rPr>
          <w:rFonts w:ascii="Arial" w:hAnsi="Arial" w:cs="Arial"/>
          <w:sz w:val="24"/>
          <w:szCs w:val="24"/>
          <w:lang w:val="en-GB"/>
        </w:rPr>
        <w:t xml:space="preserve"> city-region.</w:t>
      </w:r>
    </w:p>
    <w:p w14:paraId="709BC37D" w14:textId="77777777" w:rsidR="00016C24" w:rsidRPr="00AD2D07" w:rsidRDefault="00016C24" w:rsidP="00016C24">
      <w:pPr>
        <w:pStyle w:val="Normal0"/>
        <w:spacing w:after="160" w:line="240" w:lineRule="auto"/>
        <w:rPr>
          <w:rFonts w:ascii="Arial" w:hAnsi="Arial" w:cs="Arial"/>
          <w:sz w:val="24"/>
          <w:szCs w:val="24"/>
          <w:lang w:val="en-GB"/>
        </w:rPr>
      </w:pPr>
      <w:r w:rsidRPr="00AD2D07">
        <w:rPr>
          <w:rFonts w:ascii="Arial" w:hAnsi="Arial" w:cs="Arial"/>
          <w:sz w:val="24"/>
          <w:szCs w:val="24"/>
          <w:lang w:val="en-GB"/>
        </w:rPr>
        <w:t>The ten Greater Manchester councils (Bolton, Bury, Manchester, Oldham, Rochdale, Salford, Stockport, Tameside, Trafford and Wigan) have worked together voluntarily for many years on issues that affect everyone in the region, like transport, regeneration, and attracting investment.</w:t>
      </w:r>
    </w:p>
    <w:p w14:paraId="22A7861A" w14:textId="77777777" w:rsidR="00016C24" w:rsidRDefault="00016C24" w:rsidP="00016C24">
      <w:pPr>
        <w:pStyle w:val="Normal0"/>
        <w:spacing w:after="160" w:line="240" w:lineRule="auto"/>
        <w:rPr>
          <w:rFonts w:ascii="Arial" w:hAnsi="Arial" w:cs="Arial"/>
          <w:sz w:val="24"/>
          <w:szCs w:val="24"/>
        </w:rPr>
      </w:pPr>
      <w:r w:rsidRPr="00097AEC">
        <w:rPr>
          <w:rFonts w:ascii="Arial" w:hAnsi="Arial" w:cs="Arial"/>
          <w:sz w:val="24"/>
          <w:szCs w:val="24"/>
          <w:shd w:val="clear" w:color="auto" w:fill="FFFFFF"/>
        </w:rPr>
        <w:t xml:space="preserve">The GMCA was established on 1 April 2011 by the Greater Manchester Combined Authority Order 2011 and comprised of ten members, being the Leaders of the constituent councils. </w:t>
      </w:r>
      <w:r w:rsidRPr="00097AEC">
        <w:rPr>
          <w:rFonts w:ascii="Arial" w:hAnsi="Arial" w:cs="Arial"/>
          <w:sz w:val="24"/>
          <w:szCs w:val="24"/>
        </w:rPr>
        <w:t>Greater Manchester re-elected Andy Burnham as Mayor in May 2021</w:t>
      </w:r>
      <w:r>
        <w:rPr>
          <w:rFonts w:ascii="Arial" w:hAnsi="Arial" w:cs="Arial"/>
          <w:sz w:val="24"/>
          <w:szCs w:val="24"/>
        </w:rPr>
        <w:t xml:space="preserve"> </w:t>
      </w:r>
      <w:r w:rsidRPr="00097AEC">
        <w:rPr>
          <w:rFonts w:ascii="Arial" w:hAnsi="Arial" w:cs="Arial"/>
          <w:sz w:val="24"/>
          <w:szCs w:val="24"/>
        </w:rPr>
        <w:t xml:space="preserve">and </w:t>
      </w:r>
      <w:r>
        <w:rPr>
          <w:rFonts w:ascii="Arial" w:hAnsi="Arial" w:cs="Arial"/>
          <w:sz w:val="24"/>
          <w:szCs w:val="24"/>
        </w:rPr>
        <w:t xml:space="preserve">he continues to </w:t>
      </w:r>
      <w:r w:rsidRPr="00097AEC">
        <w:rPr>
          <w:rFonts w:ascii="Arial" w:hAnsi="Arial" w:cs="Arial"/>
          <w:sz w:val="24"/>
          <w:szCs w:val="24"/>
        </w:rPr>
        <w:t xml:space="preserve">lead on the implementation </w:t>
      </w:r>
      <w:r>
        <w:rPr>
          <w:rFonts w:ascii="Arial" w:hAnsi="Arial" w:cs="Arial"/>
          <w:sz w:val="24"/>
          <w:szCs w:val="24"/>
        </w:rPr>
        <w:t xml:space="preserve">the </w:t>
      </w:r>
      <w:r w:rsidRPr="00097AEC">
        <w:rPr>
          <w:rFonts w:ascii="Arial" w:hAnsi="Arial" w:cs="Arial"/>
          <w:sz w:val="24"/>
          <w:szCs w:val="24"/>
        </w:rPr>
        <w:t xml:space="preserve">Greater Manchester </w:t>
      </w:r>
      <w:r w:rsidRPr="004F5F86">
        <w:rPr>
          <w:rFonts w:ascii="Arial" w:hAnsi="Arial" w:cs="Arial"/>
          <w:sz w:val="24"/>
          <w:szCs w:val="24"/>
        </w:rPr>
        <w:t xml:space="preserve">Strategy </w:t>
      </w:r>
      <w:r>
        <w:rPr>
          <w:rFonts w:ascii="Arial" w:hAnsi="Arial" w:cs="Arial"/>
          <w:sz w:val="24"/>
          <w:szCs w:val="24"/>
        </w:rPr>
        <w:t>(GMS) -</w:t>
      </w:r>
      <w:r w:rsidRPr="00097AEC">
        <w:rPr>
          <w:rFonts w:ascii="Arial" w:hAnsi="Arial" w:cs="Arial"/>
          <w:sz w:val="24"/>
          <w:szCs w:val="24"/>
        </w:rPr>
        <w:t xml:space="preserve"> the blueprint for the future of the city-region</w:t>
      </w:r>
      <w:r w:rsidRPr="00370C19">
        <w:rPr>
          <w:rFonts w:ascii="Arial" w:hAnsi="Arial" w:cs="Arial"/>
          <w:sz w:val="24"/>
          <w:szCs w:val="24"/>
        </w:rPr>
        <w:t xml:space="preserve">. </w:t>
      </w:r>
    </w:p>
    <w:p w14:paraId="0FD0584F" w14:textId="77777777" w:rsidR="00016C24" w:rsidRPr="003E7FD1" w:rsidRDefault="00016C24" w:rsidP="00016C24">
      <w:pPr>
        <w:pStyle w:val="Normal0"/>
        <w:spacing w:after="160" w:line="240" w:lineRule="auto"/>
        <w:rPr>
          <w:rFonts w:ascii="Arial" w:hAnsi="Arial" w:cs="Arial"/>
          <w:sz w:val="24"/>
          <w:szCs w:val="24"/>
        </w:rPr>
      </w:pPr>
      <w:r w:rsidRPr="00370C19">
        <w:rPr>
          <w:rFonts w:ascii="Arial" w:hAnsi="Arial" w:cs="Arial"/>
          <w:bCs/>
          <w:sz w:val="24"/>
          <w:szCs w:val="24"/>
        </w:rPr>
        <w:t xml:space="preserve">The GMS is Greater Manchester’s plan for all the communities, </w:t>
      </w:r>
      <w:proofErr w:type="spellStart"/>
      <w:r w:rsidRPr="00370C19">
        <w:rPr>
          <w:rFonts w:ascii="Arial" w:hAnsi="Arial" w:cs="Arial"/>
          <w:bCs/>
          <w:sz w:val="24"/>
          <w:szCs w:val="24"/>
        </w:rPr>
        <w:t>neighbourhoods</w:t>
      </w:r>
      <w:proofErr w:type="spellEnd"/>
      <w:r w:rsidRPr="00370C19">
        <w:rPr>
          <w:rFonts w:ascii="Arial" w:hAnsi="Arial" w:cs="Arial"/>
          <w:bCs/>
          <w:sz w:val="24"/>
          <w:szCs w:val="24"/>
        </w:rPr>
        <w:t xml:space="preserve">, </w:t>
      </w:r>
      <w:proofErr w:type="gramStart"/>
      <w:r w:rsidRPr="00370C19">
        <w:rPr>
          <w:rFonts w:ascii="Arial" w:hAnsi="Arial" w:cs="Arial"/>
          <w:bCs/>
          <w:sz w:val="24"/>
          <w:szCs w:val="24"/>
        </w:rPr>
        <w:t>towns</w:t>
      </w:r>
      <w:proofErr w:type="gramEnd"/>
      <w:r w:rsidRPr="00370C19">
        <w:rPr>
          <w:rFonts w:ascii="Arial" w:hAnsi="Arial" w:cs="Arial"/>
          <w:bCs/>
          <w:sz w:val="24"/>
          <w:szCs w:val="24"/>
        </w:rPr>
        <w:t xml:space="preserve"> and cities which make up our city-region.</w:t>
      </w:r>
      <w:r>
        <w:rPr>
          <w:rFonts w:ascii="Arial" w:hAnsi="Arial" w:cs="Arial"/>
          <w:bCs/>
          <w:sz w:val="24"/>
          <w:szCs w:val="24"/>
        </w:rPr>
        <w:t xml:space="preserve"> The fourth Greater Manchester Strategy was developed and subsequently adopted in 2021 </w:t>
      </w:r>
      <w:r w:rsidRPr="00370C19">
        <w:rPr>
          <w:rFonts w:ascii="Arial" w:hAnsi="Arial" w:cs="Arial"/>
          <w:sz w:val="24"/>
          <w:szCs w:val="24"/>
        </w:rPr>
        <w:t>bui</w:t>
      </w:r>
      <w:r>
        <w:rPr>
          <w:rFonts w:ascii="Arial" w:hAnsi="Arial" w:cs="Arial"/>
          <w:sz w:val="24"/>
          <w:szCs w:val="24"/>
        </w:rPr>
        <w:t xml:space="preserve">lding </w:t>
      </w:r>
      <w:r w:rsidRPr="00370C19">
        <w:rPr>
          <w:rFonts w:ascii="Arial" w:hAnsi="Arial" w:cs="Arial"/>
          <w:sz w:val="24"/>
          <w:szCs w:val="24"/>
        </w:rPr>
        <w:t>from the 2017 strategy</w:t>
      </w:r>
      <w:r>
        <w:rPr>
          <w:rFonts w:ascii="Arial" w:hAnsi="Arial" w:cs="Arial"/>
          <w:sz w:val="24"/>
          <w:szCs w:val="24"/>
        </w:rPr>
        <w:t xml:space="preserve"> and</w:t>
      </w:r>
      <w:r w:rsidRPr="00370C19">
        <w:rPr>
          <w:rFonts w:ascii="Arial" w:hAnsi="Arial" w:cs="Arial"/>
          <w:sz w:val="24"/>
          <w:szCs w:val="24"/>
        </w:rPr>
        <w:t xml:space="preserve"> the one year Living with C</w:t>
      </w:r>
      <w:r>
        <w:rPr>
          <w:rFonts w:ascii="Arial" w:hAnsi="Arial" w:cs="Arial"/>
          <w:sz w:val="24"/>
          <w:szCs w:val="24"/>
        </w:rPr>
        <w:t>OVID-19</w:t>
      </w:r>
      <w:r w:rsidRPr="00370C19">
        <w:rPr>
          <w:rFonts w:ascii="Arial" w:hAnsi="Arial" w:cs="Arial"/>
          <w:sz w:val="24"/>
          <w:szCs w:val="24"/>
        </w:rPr>
        <w:t xml:space="preserve"> Resilience Plan</w:t>
      </w:r>
      <w:r>
        <w:rPr>
          <w:rFonts w:ascii="Arial" w:hAnsi="Arial" w:cs="Arial"/>
          <w:sz w:val="24"/>
          <w:szCs w:val="24"/>
        </w:rPr>
        <w:t xml:space="preserve"> </w:t>
      </w:r>
      <w:r w:rsidRPr="00370C19">
        <w:rPr>
          <w:rFonts w:ascii="Arial" w:hAnsi="Arial" w:cs="Arial"/>
          <w:sz w:val="24"/>
          <w:szCs w:val="24"/>
        </w:rPr>
        <w:t>and</w:t>
      </w:r>
      <w:r>
        <w:rPr>
          <w:rFonts w:ascii="Arial" w:hAnsi="Arial" w:cs="Arial"/>
          <w:sz w:val="24"/>
          <w:szCs w:val="24"/>
        </w:rPr>
        <w:t xml:space="preserve"> it</w:t>
      </w:r>
      <w:r w:rsidRPr="00370C19">
        <w:rPr>
          <w:rFonts w:ascii="Arial" w:hAnsi="Arial" w:cs="Arial"/>
          <w:sz w:val="24"/>
          <w:szCs w:val="24"/>
        </w:rPr>
        <w:t xml:space="preserve"> is the systemwide response to the Independent Inequalities’ Commission and Build Back Fairer reports.</w:t>
      </w:r>
    </w:p>
    <w:p w14:paraId="46D87F67" w14:textId="77777777" w:rsidR="00016C24" w:rsidRPr="00806476" w:rsidRDefault="00016C24" w:rsidP="00016C24">
      <w:pPr>
        <w:pStyle w:val="Normal0"/>
        <w:spacing w:after="160" w:line="240" w:lineRule="auto"/>
        <w:rPr>
          <w:rFonts w:ascii="Arial" w:hAnsi="Arial" w:cs="Arial"/>
          <w:bCs/>
        </w:rPr>
      </w:pPr>
      <w:r>
        <w:rPr>
          <w:rFonts w:ascii="Arial" w:hAnsi="Arial" w:cs="Arial"/>
          <w:bCs/>
          <w:sz w:val="24"/>
          <w:szCs w:val="24"/>
        </w:rPr>
        <w:t xml:space="preserve">The refreshed strategy </w:t>
      </w:r>
      <w:r w:rsidRPr="00370C19">
        <w:rPr>
          <w:rFonts w:ascii="Arial" w:hAnsi="Arial" w:cs="Arial"/>
          <w:bCs/>
          <w:sz w:val="24"/>
          <w:szCs w:val="24"/>
        </w:rPr>
        <w:t>sets out</w:t>
      </w:r>
      <w:r w:rsidRPr="00370C19">
        <w:rPr>
          <w:rFonts w:ascii="Arial" w:hAnsi="Arial" w:cs="Arial"/>
          <w:sz w:val="24"/>
          <w:szCs w:val="24"/>
        </w:rPr>
        <w:t xml:space="preserve"> </w:t>
      </w:r>
      <w:r>
        <w:rPr>
          <w:rFonts w:ascii="Arial" w:hAnsi="Arial" w:cs="Arial"/>
          <w:sz w:val="24"/>
          <w:szCs w:val="24"/>
        </w:rPr>
        <w:t>the city region’s</w:t>
      </w:r>
      <w:r w:rsidRPr="00370C19">
        <w:rPr>
          <w:rFonts w:ascii="Arial" w:hAnsi="Arial" w:cs="Arial"/>
          <w:sz w:val="24"/>
          <w:szCs w:val="24"/>
        </w:rPr>
        <w:t xml:space="preserve"> vision of</w:t>
      </w:r>
      <w:r w:rsidRPr="00370C19">
        <w:rPr>
          <w:rFonts w:ascii="Arial" w:hAnsi="Arial" w:cs="Arial"/>
          <w:b/>
          <w:bCs/>
          <w:sz w:val="24"/>
          <w:szCs w:val="24"/>
        </w:rPr>
        <w:t xml:space="preserve"> </w:t>
      </w:r>
      <w:r w:rsidRPr="00370C19">
        <w:rPr>
          <w:rFonts w:ascii="Arial" w:hAnsi="Arial" w:cs="Arial"/>
          <w:i/>
          <w:iCs/>
          <w:sz w:val="24"/>
          <w:szCs w:val="24"/>
        </w:rPr>
        <w:t>Good Lives for All</w:t>
      </w:r>
      <w:r w:rsidRPr="00370C19">
        <w:rPr>
          <w:rFonts w:ascii="Arial" w:hAnsi="Arial" w:cs="Arial"/>
          <w:sz w:val="24"/>
          <w:szCs w:val="24"/>
        </w:rPr>
        <w:t xml:space="preserve">: that </w:t>
      </w:r>
      <w:r w:rsidRPr="00370C19">
        <w:rPr>
          <w:rFonts w:ascii="Arial" w:hAnsi="Arial" w:cs="Arial"/>
          <w:i/>
          <w:iCs/>
          <w:sz w:val="24"/>
          <w:szCs w:val="24"/>
        </w:rPr>
        <w:t xml:space="preserve">Greater Manchester is a great place to grow up, get on and grow old; a great place to invest, do business, </w:t>
      </w:r>
      <w:proofErr w:type="gramStart"/>
      <w:r w:rsidRPr="00370C19">
        <w:rPr>
          <w:rFonts w:ascii="Arial" w:hAnsi="Arial" w:cs="Arial"/>
          <w:i/>
          <w:iCs/>
          <w:sz w:val="24"/>
          <w:szCs w:val="24"/>
        </w:rPr>
        <w:t>visit</w:t>
      </w:r>
      <w:proofErr w:type="gramEnd"/>
      <w:r w:rsidRPr="00370C19">
        <w:rPr>
          <w:rFonts w:ascii="Arial" w:hAnsi="Arial" w:cs="Arial"/>
          <w:i/>
          <w:iCs/>
          <w:sz w:val="24"/>
          <w:szCs w:val="24"/>
        </w:rPr>
        <w:t xml:space="preserve"> and study.</w:t>
      </w:r>
      <w:r>
        <w:rPr>
          <w:rFonts w:ascii="Arial" w:hAnsi="Arial" w:cs="Arial"/>
          <w:i/>
          <w:iCs/>
          <w:sz w:val="24"/>
          <w:szCs w:val="24"/>
        </w:rPr>
        <w:t xml:space="preserve"> </w:t>
      </w:r>
      <w:r w:rsidRPr="00806476">
        <w:rPr>
          <w:rFonts w:ascii="Arial" w:hAnsi="Arial" w:cs="Arial"/>
          <w:sz w:val="24"/>
          <w:szCs w:val="24"/>
        </w:rPr>
        <w:t>It</w:t>
      </w:r>
      <w:r w:rsidRPr="00806476">
        <w:rPr>
          <w:rFonts w:ascii="Arial" w:hAnsi="Arial" w:cs="Arial"/>
          <w:bCs/>
          <w:sz w:val="24"/>
          <w:szCs w:val="24"/>
        </w:rPr>
        <w:t xml:space="preserve"> is Greater Manchester’s plan for recovery and renewal following the pandemic</w:t>
      </w:r>
      <w:r>
        <w:rPr>
          <w:rFonts w:ascii="Arial" w:hAnsi="Arial" w:cs="Arial"/>
          <w:bCs/>
          <w:sz w:val="24"/>
          <w:szCs w:val="24"/>
        </w:rPr>
        <w:t xml:space="preserve"> </w:t>
      </w:r>
      <w:r w:rsidRPr="00806476">
        <w:rPr>
          <w:rFonts w:ascii="Arial" w:hAnsi="Arial" w:cs="Arial"/>
          <w:bCs/>
          <w:sz w:val="24"/>
          <w:szCs w:val="24"/>
        </w:rPr>
        <w:t xml:space="preserve">and puts responding to </w:t>
      </w:r>
      <w:r w:rsidRPr="00431F6F">
        <w:rPr>
          <w:rFonts w:ascii="Arial" w:hAnsi="Arial" w:cs="Arial"/>
          <w:bCs/>
          <w:sz w:val="24"/>
          <w:szCs w:val="24"/>
        </w:rPr>
        <w:t>the interconnected challenges of inequality and climate change</w:t>
      </w:r>
      <w:r w:rsidRPr="00831A0A">
        <w:rPr>
          <w:rFonts w:ascii="Arial" w:hAnsi="Arial" w:cs="Arial"/>
          <w:bCs/>
          <w:sz w:val="24"/>
          <w:szCs w:val="24"/>
        </w:rPr>
        <w:t xml:space="preserve"> at its heart, providing</w:t>
      </w:r>
      <w:r w:rsidRPr="00806476">
        <w:rPr>
          <w:rFonts w:ascii="Arial" w:hAnsi="Arial" w:cs="Arial"/>
          <w:sz w:val="24"/>
          <w:szCs w:val="24"/>
        </w:rPr>
        <w:t xml:space="preserve"> the lenses through which Greater Manchester activity should be framed and challenging where policy or delivery is contrary to equalities and climate ambitions.</w:t>
      </w:r>
      <w:r w:rsidRPr="00806476">
        <w:rPr>
          <w:rFonts w:ascii="Arial" w:hAnsi="Arial" w:cs="Arial"/>
          <w:bCs/>
          <w:sz w:val="24"/>
          <w:szCs w:val="24"/>
        </w:rPr>
        <w:t xml:space="preserve"> It provides a clear direction of travel for the city-region, focused on those areas where all parts of the conurbation need to work together to achieve our shared vision.</w:t>
      </w:r>
    </w:p>
    <w:p w14:paraId="7A9C6ECD" w14:textId="45C77079" w:rsidR="00016C24" w:rsidRPr="00674E2B" w:rsidRDefault="00016C24" w:rsidP="00016C24">
      <w:pPr>
        <w:rPr>
          <w:rFonts w:ascii="Arial" w:hAnsi="Arial" w:cs="Arial"/>
        </w:rPr>
      </w:pPr>
      <w:r>
        <w:rPr>
          <w:rFonts w:ascii="Arial" w:hAnsi="Arial" w:cs="Arial"/>
        </w:rPr>
        <w:t>The Strategy sets out a series of shared outcomes (the Greater Manchester we want to see) and 15 shared commitments (the things we are going to do), with whole system activity required to deliver against these. It is underpinned by a performance framework with metrics to monitor, some of which are targeted, and web based data dashboards to inform future activity</w:t>
      </w:r>
      <w:r w:rsidRPr="00674E2B">
        <w:rPr>
          <w:rFonts w:ascii="Arial" w:hAnsi="Arial" w:cs="Arial"/>
        </w:rPr>
        <w:t>. For the first time this includes three neighbourhood floor targets, which set minimum standards against core indicators – the intention being to highlight variance and inequality at the local levels, and to trigger collective targeted activity in response.</w:t>
      </w:r>
    </w:p>
    <w:p w14:paraId="5E53AD40" w14:textId="77777777" w:rsidR="00016C24" w:rsidRDefault="00016C24" w:rsidP="00016C24">
      <w:pPr>
        <w:rPr>
          <w:rFonts w:ascii="Arial" w:hAnsi="Arial" w:cs="Arial"/>
        </w:rPr>
      </w:pPr>
    </w:p>
    <w:p w14:paraId="4B2A56FA" w14:textId="77777777" w:rsidR="00016C24" w:rsidRDefault="00016C24" w:rsidP="00016C24">
      <w:pPr>
        <w:rPr>
          <w:rFonts w:ascii="Arial" w:hAnsi="Arial" w:cs="Arial"/>
        </w:rPr>
      </w:pPr>
      <w:r w:rsidRPr="000224AF">
        <w:rPr>
          <w:rFonts w:ascii="Arial" w:hAnsi="Arial" w:cs="Arial"/>
        </w:rPr>
        <w:t xml:space="preserve">All this is underpinned by a strong foundation formed from agreed ways of working. </w:t>
      </w:r>
      <w:r>
        <w:rPr>
          <w:rFonts w:ascii="Arial" w:hAnsi="Arial" w:cs="Arial"/>
        </w:rPr>
        <w:t>Greater Manchester is</w:t>
      </w:r>
      <w:r w:rsidRPr="000224AF">
        <w:rPr>
          <w:rFonts w:ascii="Arial" w:hAnsi="Arial" w:cs="Arial"/>
        </w:rPr>
        <w:t xml:space="preserve"> adopting practices which will enable a consistent approach across systems, institutions and communities to come together. </w:t>
      </w:r>
    </w:p>
    <w:p w14:paraId="32578FC9" w14:textId="77777777" w:rsidR="00016C24" w:rsidRDefault="00016C24" w:rsidP="00016C24">
      <w:pPr>
        <w:rPr>
          <w:rFonts w:ascii="Arial" w:hAnsi="Arial" w:cs="Arial"/>
        </w:rPr>
      </w:pPr>
    </w:p>
    <w:p w14:paraId="6433D920" w14:textId="77777777" w:rsidR="00016C24" w:rsidRPr="00BB11E5" w:rsidRDefault="00016C24" w:rsidP="00016C24">
      <w:pPr>
        <w:rPr>
          <w:rFonts w:ascii="Arial" w:hAnsi="Arial" w:cs="Arial"/>
        </w:rPr>
      </w:pPr>
      <w:r>
        <w:rPr>
          <w:rFonts w:ascii="Arial" w:hAnsi="Arial" w:cs="Arial"/>
        </w:rPr>
        <w:t>A new process for reporting against progress with the GMS is being adopted which will</w:t>
      </w:r>
      <w:r w:rsidRPr="00BB11E5">
        <w:rPr>
          <w:rFonts w:ascii="Arial" w:hAnsi="Arial" w:cs="Arial"/>
        </w:rPr>
        <w:t>:</w:t>
      </w:r>
    </w:p>
    <w:p w14:paraId="341D88ED" w14:textId="77777777" w:rsidR="00016C24" w:rsidRPr="00E176C4" w:rsidRDefault="00016C24" w:rsidP="00EB27EB">
      <w:pPr>
        <w:pStyle w:val="ListParagraph"/>
        <w:numPr>
          <w:ilvl w:val="0"/>
          <w:numId w:val="61"/>
        </w:numPr>
        <w:spacing w:after="0" w:line="240" w:lineRule="auto"/>
        <w:rPr>
          <w:rFonts w:ascii="Arial" w:hAnsi="Arial" w:cs="Arial"/>
          <w:sz w:val="24"/>
          <w:szCs w:val="24"/>
        </w:rPr>
      </w:pPr>
      <w:r w:rsidRPr="00E176C4">
        <w:rPr>
          <w:rFonts w:ascii="Arial" w:hAnsi="Arial" w:cs="Arial"/>
          <w:sz w:val="24"/>
          <w:szCs w:val="24"/>
        </w:rPr>
        <w:t>Provide a system wide view of activity and progress against the shared commitments (and targets) in the strategy and ways of working</w:t>
      </w:r>
    </w:p>
    <w:p w14:paraId="6C1ABFF1" w14:textId="77777777" w:rsidR="00016C24" w:rsidRPr="00E176C4" w:rsidRDefault="00016C24" w:rsidP="00EB27EB">
      <w:pPr>
        <w:pStyle w:val="ListParagraph"/>
        <w:numPr>
          <w:ilvl w:val="0"/>
          <w:numId w:val="61"/>
        </w:numPr>
        <w:spacing w:after="0" w:line="240" w:lineRule="auto"/>
        <w:rPr>
          <w:rFonts w:ascii="Arial" w:hAnsi="Arial" w:cs="Arial"/>
          <w:sz w:val="24"/>
          <w:szCs w:val="24"/>
        </w:rPr>
      </w:pPr>
      <w:r w:rsidRPr="00E176C4">
        <w:rPr>
          <w:rFonts w:ascii="Arial" w:hAnsi="Arial" w:cs="Arial"/>
          <w:sz w:val="24"/>
          <w:szCs w:val="24"/>
        </w:rPr>
        <w:lastRenderedPageBreak/>
        <w:t>Identify gaps, challenges or issues for development in delivering the shared commitments/ways of working</w:t>
      </w:r>
    </w:p>
    <w:p w14:paraId="59426434" w14:textId="77777777" w:rsidR="00016C24" w:rsidRPr="00E176C4" w:rsidRDefault="00016C24" w:rsidP="00EB27EB">
      <w:pPr>
        <w:pStyle w:val="ListParagraph"/>
        <w:numPr>
          <w:ilvl w:val="0"/>
          <w:numId w:val="61"/>
        </w:numPr>
        <w:spacing w:after="0" w:line="240" w:lineRule="auto"/>
        <w:rPr>
          <w:rFonts w:ascii="Arial" w:hAnsi="Arial" w:cs="Arial"/>
          <w:sz w:val="24"/>
          <w:szCs w:val="24"/>
        </w:rPr>
      </w:pPr>
      <w:r w:rsidRPr="00E176C4">
        <w:rPr>
          <w:rFonts w:ascii="Arial" w:hAnsi="Arial" w:cs="Arial"/>
          <w:sz w:val="24"/>
          <w:szCs w:val="24"/>
        </w:rPr>
        <w:t xml:space="preserve">Provide for sharing and embedding of good practice, system learning and innovation </w:t>
      </w:r>
    </w:p>
    <w:p w14:paraId="630B0F35" w14:textId="77777777" w:rsidR="00016C24" w:rsidRDefault="00016C24" w:rsidP="00EB27EB">
      <w:pPr>
        <w:pStyle w:val="ListParagraph"/>
        <w:numPr>
          <w:ilvl w:val="0"/>
          <w:numId w:val="61"/>
        </w:numPr>
        <w:spacing w:after="0" w:line="240" w:lineRule="auto"/>
        <w:rPr>
          <w:rFonts w:ascii="Arial" w:hAnsi="Arial" w:cs="Arial"/>
          <w:sz w:val="24"/>
          <w:szCs w:val="24"/>
        </w:rPr>
      </w:pPr>
      <w:r w:rsidRPr="00E176C4">
        <w:rPr>
          <w:rFonts w:ascii="Arial" w:hAnsi="Arial" w:cs="Arial"/>
          <w:sz w:val="24"/>
          <w:szCs w:val="24"/>
        </w:rPr>
        <w:t>Provide an update every six months.</w:t>
      </w:r>
    </w:p>
    <w:p w14:paraId="3A5348CF" w14:textId="77777777" w:rsidR="00016C24" w:rsidRPr="004D1F8F" w:rsidRDefault="00016C24" w:rsidP="00016C24">
      <w:pPr>
        <w:pStyle w:val="ListParagraph"/>
        <w:spacing w:after="0" w:line="240" w:lineRule="auto"/>
        <w:rPr>
          <w:rFonts w:ascii="Arial" w:hAnsi="Arial" w:cs="Arial"/>
          <w:sz w:val="24"/>
          <w:szCs w:val="24"/>
        </w:rPr>
      </w:pPr>
    </w:p>
    <w:p w14:paraId="281CFDE6" w14:textId="7FF4C7EF" w:rsidR="00016C24" w:rsidRPr="0048075A" w:rsidRDefault="00016C24" w:rsidP="00016C24">
      <w:pPr>
        <w:pStyle w:val="Normal0"/>
        <w:spacing w:after="160" w:line="240" w:lineRule="auto"/>
        <w:rPr>
          <w:rFonts w:ascii="Arial" w:hAnsi="Arial" w:cs="Arial"/>
          <w:sz w:val="24"/>
          <w:szCs w:val="24"/>
        </w:rPr>
      </w:pPr>
      <w:r w:rsidRPr="0048075A">
        <w:rPr>
          <w:rFonts w:ascii="Arial" w:hAnsi="Arial" w:cs="Arial"/>
          <w:sz w:val="24"/>
          <w:szCs w:val="24"/>
        </w:rPr>
        <w:t xml:space="preserve">Devolution is critical to the success of the </w:t>
      </w:r>
      <w:r>
        <w:rPr>
          <w:rFonts w:ascii="Arial" w:hAnsi="Arial" w:cs="Arial"/>
          <w:sz w:val="24"/>
          <w:szCs w:val="24"/>
        </w:rPr>
        <w:t xml:space="preserve">Greater Manchester </w:t>
      </w:r>
      <w:r w:rsidR="00336C9F">
        <w:rPr>
          <w:rFonts w:ascii="Arial" w:hAnsi="Arial" w:cs="Arial"/>
          <w:sz w:val="24"/>
          <w:szCs w:val="24"/>
        </w:rPr>
        <w:t xml:space="preserve">(GM) </w:t>
      </w:r>
      <w:r w:rsidRPr="0048075A">
        <w:rPr>
          <w:rFonts w:ascii="Arial" w:hAnsi="Arial" w:cs="Arial"/>
          <w:sz w:val="24"/>
          <w:szCs w:val="24"/>
        </w:rPr>
        <w:t xml:space="preserve">ambition, the devolution deals signed with Government mean that GM has a much greater control of its future and more say over the decisions that can improve the lives of all residents. </w:t>
      </w:r>
    </w:p>
    <w:p w14:paraId="7B452C14" w14:textId="61BFFB8E" w:rsidR="00016C24" w:rsidRDefault="00016C24" w:rsidP="00016C24">
      <w:pPr>
        <w:pStyle w:val="Normal0"/>
        <w:spacing w:after="160" w:line="240" w:lineRule="auto"/>
        <w:rPr>
          <w:rFonts w:ascii="Arial" w:hAnsi="Arial" w:cs="Arial"/>
          <w:sz w:val="24"/>
          <w:szCs w:val="24"/>
        </w:rPr>
      </w:pPr>
      <w:r w:rsidRPr="0048075A">
        <w:rPr>
          <w:rFonts w:ascii="Arial" w:hAnsi="Arial" w:cs="Arial"/>
          <w:sz w:val="24"/>
          <w:szCs w:val="24"/>
        </w:rPr>
        <w:t>The region’s</w:t>
      </w:r>
      <w:r>
        <w:rPr>
          <w:rFonts w:ascii="Arial" w:hAnsi="Arial" w:cs="Arial"/>
          <w:sz w:val="24"/>
          <w:szCs w:val="24"/>
        </w:rPr>
        <w:t xml:space="preserve"> devolution</w:t>
      </w:r>
      <w:r w:rsidRPr="0048075A">
        <w:rPr>
          <w:rFonts w:ascii="Arial" w:hAnsi="Arial" w:cs="Arial"/>
          <w:sz w:val="24"/>
          <w:szCs w:val="24"/>
        </w:rPr>
        <w:t xml:space="preserve"> powers include more control of local transport, planning powers to encourage regeneration and development, </w:t>
      </w:r>
      <w:r>
        <w:rPr>
          <w:rFonts w:ascii="Arial" w:hAnsi="Arial" w:cs="Arial"/>
          <w:sz w:val="24"/>
          <w:szCs w:val="24"/>
        </w:rPr>
        <w:t xml:space="preserve">a housing investment fund, education, skills and </w:t>
      </w:r>
      <w:r w:rsidRPr="0048075A">
        <w:rPr>
          <w:rFonts w:ascii="Arial" w:hAnsi="Arial" w:cs="Arial"/>
          <w:sz w:val="24"/>
          <w:szCs w:val="24"/>
        </w:rPr>
        <w:t>training</w:t>
      </w:r>
      <w:r>
        <w:rPr>
          <w:rFonts w:ascii="Arial" w:hAnsi="Arial" w:cs="Arial"/>
          <w:sz w:val="24"/>
          <w:szCs w:val="24"/>
        </w:rPr>
        <w:t xml:space="preserve"> funding</w:t>
      </w:r>
      <w:r w:rsidRPr="0048075A">
        <w:rPr>
          <w:rFonts w:ascii="Arial" w:hAnsi="Arial" w:cs="Arial"/>
          <w:sz w:val="24"/>
          <w:szCs w:val="24"/>
        </w:rPr>
        <w:t>, the role of the Police and Crime Commissioner and responsibility for the fire service being merged with the elected mayor</w:t>
      </w:r>
      <w:r w:rsidR="00BB1644">
        <w:rPr>
          <w:rFonts w:ascii="Arial" w:hAnsi="Arial" w:cs="Arial"/>
          <w:sz w:val="24"/>
          <w:szCs w:val="24"/>
        </w:rPr>
        <w:t xml:space="preserve">. </w:t>
      </w:r>
      <w:r>
        <w:rPr>
          <w:rFonts w:ascii="Arial" w:hAnsi="Arial" w:cs="Arial"/>
          <w:sz w:val="24"/>
          <w:szCs w:val="24"/>
        </w:rPr>
        <w:t xml:space="preserve">Greater Manchester has access to </w:t>
      </w:r>
      <w:r w:rsidRPr="0048075A">
        <w:rPr>
          <w:rFonts w:ascii="Arial" w:hAnsi="Arial" w:cs="Arial"/>
          <w:sz w:val="24"/>
          <w:szCs w:val="24"/>
        </w:rPr>
        <w:t>a</w:t>
      </w:r>
      <w:r>
        <w:rPr>
          <w:rFonts w:ascii="Arial" w:hAnsi="Arial" w:cs="Arial"/>
          <w:sz w:val="24"/>
          <w:szCs w:val="24"/>
        </w:rPr>
        <w:t>n</w:t>
      </w:r>
      <w:r w:rsidRPr="0048075A">
        <w:rPr>
          <w:rFonts w:ascii="Arial" w:hAnsi="Arial" w:cs="Arial"/>
          <w:sz w:val="24"/>
          <w:szCs w:val="24"/>
        </w:rPr>
        <w:t xml:space="preserve"> ‘earn back’ funding arrangement </w:t>
      </w:r>
      <w:r>
        <w:rPr>
          <w:rFonts w:ascii="Arial" w:hAnsi="Arial" w:cs="Arial"/>
          <w:sz w:val="24"/>
          <w:szCs w:val="24"/>
        </w:rPr>
        <w:t xml:space="preserve">providing capital and revenue funding </w:t>
      </w:r>
      <w:r w:rsidRPr="0048075A">
        <w:rPr>
          <w:rFonts w:ascii="Arial" w:hAnsi="Arial" w:cs="Arial"/>
          <w:sz w:val="24"/>
          <w:szCs w:val="24"/>
        </w:rPr>
        <w:t>for the region’s infrastructure as part of a single pot for investment in economic growth projects</w:t>
      </w:r>
      <w:r>
        <w:rPr>
          <w:rFonts w:ascii="Arial" w:hAnsi="Arial" w:cs="Arial"/>
          <w:sz w:val="24"/>
          <w:szCs w:val="24"/>
        </w:rPr>
        <w:t xml:space="preserve"> and</w:t>
      </w:r>
      <w:r w:rsidRPr="0048075A">
        <w:rPr>
          <w:rFonts w:ascii="Arial" w:hAnsi="Arial" w:cs="Arial"/>
          <w:sz w:val="24"/>
          <w:szCs w:val="24"/>
        </w:rPr>
        <w:t xml:space="preserve"> a reform investment fund to </w:t>
      </w:r>
      <w:r>
        <w:rPr>
          <w:rFonts w:ascii="Arial" w:hAnsi="Arial" w:cs="Arial"/>
          <w:sz w:val="24"/>
          <w:szCs w:val="24"/>
        </w:rPr>
        <w:t xml:space="preserve">enable </w:t>
      </w:r>
      <w:r w:rsidRPr="0048075A">
        <w:rPr>
          <w:rFonts w:ascii="Arial" w:hAnsi="Arial" w:cs="Arial"/>
          <w:sz w:val="24"/>
          <w:szCs w:val="24"/>
        </w:rPr>
        <w:t>invest</w:t>
      </w:r>
      <w:r>
        <w:rPr>
          <w:rFonts w:ascii="Arial" w:hAnsi="Arial" w:cs="Arial"/>
          <w:sz w:val="24"/>
          <w:szCs w:val="24"/>
        </w:rPr>
        <w:t>ment</w:t>
      </w:r>
      <w:r w:rsidRPr="0048075A">
        <w:rPr>
          <w:rFonts w:ascii="Arial" w:hAnsi="Arial" w:cs="Arial"/>
          <w:sz w:val="24"/>
          <w:szCs w:val="24"/>
        </w:rPr>
        <w:t xml:space="preserve"> in better services for our residents. </w:t>
      </w:r>
    </w:p>
    <w:p w14:paraId="27B8FF11" w14:textId="77777777" w:rsidR="00016C24" w:rsidRPr="00C9289E" w:rsidRDefault="00016C24" w:rsidP="00016C24">
      <w:pPr>
        <w:rPr>
          <w:rFonts w:ascii="Arial" w:hAnsi="Arial" w:cs="Arial"/>
        </w:rPr>
      </w:pPr>
      <w:r w:rsidRPr="0048075A">
        <w:rPr>
          <w:rFonts w:ascii="Arial" w:hAnsi="Arial" w:cs="Arial"/>
        </w:rPr>
        <w:t xml:space="preserve">However, there are still significant areas of policy and spending where there is no devolution to Greater Manchester which restricts </w:t>
      </w:r>
      <w:r>
        <w:rPr>
          <w:rFonts w:ascii="Arial" w:hAnsi="Arial" w:cs="Arial"/>
        </w:rPr>
        <w:t xml:space="preserve">the </w:t>
      </w:r>
      <w:r w:rsidRPr="0048075A">
        <w:rPr>
          <w:rFonts w:ascii="Arial" w:hAnsi="Arial" w:cs="Arial"/>
        </w:rPr>
        <w:t xml:space="preserve">ability to integrate, invest and reform to deliver </w:t>
      </w:r>
      <w:r>
        <w:rPr>
          <w:rFonts w:ascii="Arial" w:hAnsi="Arial" w:cs="Arial"/>
        </w:rPr>
        <w:t xml:space="preserve">the </w:t>
      </w:r>
      <w:r w:rsidRPr="0048075A">
        <w:rPr>
          <w:rFonts w:ascii="Arial" w:hAnsi="Arial" w:cs="Arial"/>
        </w:rPr>
        <w:t xml:space="preserve">ambition. And the current devolution settlement </w:t>
      </w:r>
      <w:r>
        <w:rPr>
          <w:rFonts w:ascii="Arial" w:hAnsi="Arial" w:cs="Arial"/>
        </w:rPr>
        <w:t>does not give Greater Manchester</w:t>
      </w:r>
      <w:r w:rsidRPr="0048075A">
        <w:rPr>
          <w:rFonts w:ascii="Arial" w:hAnsi="Arial" w:cs="Arial"/>
        </w:rPr>
        <w:t xml:space="preserve"> the influence or control over all public spending</w:t>
      </w:r>
      <w:r>
        <w:rPr>
          <w:rFonts w:ascii="Arial" w:hAnsi="Arial" w:cs="Arial"/>
        </w:rPr>
        <w:t xml:space="preserve"> needed </w:t>
      </w:r>
      <w:r w:rsidRPr="0048075A">
        <w:rPr>
          <w:rFonts w:ascii="Arial" w:hAnsi="Arial" w:cs="Arial"/>
        </w:rPr>
        <w:t>to truly drive productivity growth</w:t>
      </w:r>
      <w:r>
        <w:rPr>
          <w:rFonts w:ascii="Arial" w:hAnsi="Arial" w:cs="Arial"/>
        </w:rPr>
        <w:t xml:space="preserve">, </w:t>
      </w:r>
      <w:r w:rsidRPr="0048075A">
        <w:rPr>
          <w:rFonts w:ascii="Arial" w:hAnsi="Arial" w:cs="Arial"/>
        </w:rPr>
        <w:t>address social and economic inequalities</w:t>
      </w:r>
      <w:r>
        <w:rPr>
          <w:rFonts w:ascii="Arial" w:hAnsi="Arial" w:cs="Arial"/>
        </w:rPr>
        <w:t xml:space="preserve"> and meet our environmental </w:t>
      </w:r>
      <w:r w:rsidRPr="004B41EC">
        <w:rPr>
          <w:rFonts w:ascii="Arial" w:hAnsi="Arial" w:cs="Arial"/>
        </w:rPr>
        <w:t xml:space="preserve">ambitions. Decentralising resources will enable us to have the best possible chance to level up, to step up, and to achieve our GMS ambitions and support the national ambitions. </w:t>
      </w:r>
      <w:r>
        <w:rPr>
          <w:rFonts w:ascii="Arial" w:hAnsi="Arial" w:cs="Arial"/>
        </w:rPr>
        <w:t>Discussions with Government through the Devolution Trailblazer process announced in the Levelling Up White Paper will therefore be critical going forward.</w:t>
      </w:r>
    </w:p>
    <w:p w14:paraId="7F1DF621" w14:textId="77777777" w:rsidR="00016C24" w:rsidRPr="00004A56" w:rsidRDefault="00016C24" w:rsidP="00016C24">
      <w:pPr>
        <w:pStyle w:val="Heading3"/>
        <w:rPr>
          <w:rStyle w:val="normaltextrun"/>
          <w:rFonts w:eastAsia="Palatino Linotype"/>
        </w:rPr>
      </w:pPr>
      <w:bookmarkStart w:id="12" w:name="_Toc109922578"/>
      <w:r w:rsidRPr="00004A56">
        <w:rPr>
          <w:rStyle w:val="normaltextrun"/>
          <w:rFonts w:eastAsia="Palatino Linotype"/>
        </w:rPr>
        <w:t>The Greater Manchester Local Industrial Strategy</w:t>
      </w:r>
      <w:bookmarkEnd w:id="12"/>
    </w:p>
    <w:p w14:paraId="3B7850B7" w14:textId="77777777" w:rsidR="00016C24" w:rsidRDefault="00016C24" w:rsidP="00016C24">
      <w:pPr>
        <w:rPr>
          <w:highlight w:val="yellow"/>
        </w:rPr>
      </w:pPr>
    </w:p>
    <w:p w14:paraId="11BD58B8" w14:textId="77777777" w:rsidR="00016C24" w:rsidRPr="008B767E" w:rsidRDefault="00016C24" w:rsidP="00016C24">
      <w:pPr>
        <w:pStyle w:val="paragraph"/>
        <w:spacing w:before="0" w:beforeAutospacing="0" w:after="0" w:afterAutospacing="0"/>
        <w:rPr>
          <w:color w:val="000000"/>
        </w:rPr>
      </w:pPr>
      <w:r w:rsidRPr="008B767E">
        <w:rPr>
          <w:rStyle w:val="normaltextrun"/>
          <w:rFonts w:ascii="Arial" w:hAnsi="Arial" w:cs="Arial"/>
          <w:color w:val="000000"/>
          <w:bdr w:val="none" w:sz="0" w:space="0" w:color="auto" w:frame="1"/>
        </w:rPr>
        <w:t>In June 2019 Greater Manchester published its ambitious Local Industrial Strategy, designed to deliver an economy fit for the future, with prosperous communities across the city-region and radically increased productivity and earning power. The strategy is based on the robust evidence provided by the 2019 Independent Prosperity Review, and the 2016 Science and Innovation Audit. It has been developed from the ground up with local and national stakeholders, including business and social enterprises, trade unions, universities and colleges, and community and voluntary organisations.</w:t>
      </w:r>
      <w:r w:rsidRPr="008B767E">
        <w:rPr>
          <w:rFonts w:ascii="inherit" w:hAnsi="inherit" w:cs="Arial"/>
          <w:color w:val="000000"/>
          <w:bdr w:val="none" w:sz="0" w:space="0" w:color="auto" w:frame="1"/>
        </w:rPr>
        <w:t> </w:t>
      </w:r>
    </w:p>
    <w:p w14:paraId="28015553" w14:textId="77777777" w:rsidR="00016C24" w:rsidRPr="008B767E" w:rsidRDefault="00016C24" w:rsidP="00016C24">
      <w:pPr>
        <w:pStyle w:val="paragraph"/>
        <w:spacing w:before="0" w:beforeAutospacing="0" w:after="0" w:afterAutospacing="0"/>
        <w:rPr>
          <w:rStyle w:val="normaltextrun"/>
          <w:rFonts w:ascii="Arial" w:hAnsi="Arial" w:cs="Arial"/>
          <w:color w:val="000000"/>
          <w:bdr w:val="none" w:sz="0" w:space="0" w:color="auto" w:frame="1"/>
        </w:rPr>
      </w:pPr>
    </w:p>
    <w:p w14:paraId="563319C2" w14:textId="29716B8B" w:rsidR="00016C24" w:rsidRPr="004D1F8F" w:rsidRDefault="00016C24" w:rsidP="00016C24">
      <w:pPr>
        <w:pStyle w:val="paragraph"/>
        <w:spacing w:before="0" w:beforeAutospacing="0" w:after="0" w:afterAutospacing="0"/>
        <w:rPr>
          <w:color w:val="000000"/>
        </w:rPr>
      </w:pPr>
      <w:r w:rsidRPr="008B767E">
        <w:rPr>
          <w:rStyle w:val="normaltextrun"/>
          <w:rFonts w:ascii="Arial" w:hAnsi="Arial" w:cs="Arial"/>
          <w:color w:val="000000"/>
          <w:bdr w:val="none" w:sz="0" w:space="0" w:color="auto" w:frame="1"/>
        </w:rPr>
        <w:t>The Greater Manchester Local Industrial Strategy is not working in isolation. It complements other national and local strategies including the national Plan for Growth and the Greater Manchester Strategy ‘Good Lives For All’.</w:t>
      </w:r>
      <w:r w:rsidR="00982B95">
        <w:rPr>
          <w:rStyle w:val="normaltextrun"/>
          <w:rFonts w:ascii="Arial" w:hAnsi="Arial" w:cs="Arial"/>
          <w:color w:val="000000"/>
          <w:bdr w:val="none" w:sz="0" w:space="0" w:color="auto" w:frame="1"/>
        </w:rPr>
        <w:t xml:space="preserve"> </w:t>
      </w:r>
      <w:r w:rsidRPr="008B767E">
        <w:rPr>
          <w:rStyle w:val="normaltextrun"/>
          <w:rFonts w:ascii="Arial" w:hAnsi="Arial" w:cs="Arial"/>
          <w:color w:val="000000"/>
          <w:bdr w:val="none" w:sz="0" w:space="0" w:color="auto" w:frame="1"/>
        </w:rPr>
        <w:t>To achieve this ambition, it identifies actions around five foundations of productivity: Ideas, People, Infrastructure, Business Environment and Places, which are the essential attributes of every successful economy. It also identifies the frontier sectors where Greater Manchester has particular strengths and opportunities, and the ‘foundational economy’ which employs significant numbers of people but has been historically undervalued as a sector.</w:t>
      </w:r>
      <w:r w:rsidRPr="008B767E">
        <w:rPr>
          <w:rFonts w:ascii="Arial" w:hAnsi="Arial" w:cs="Arial"/>
          <w:color w:val="000000"/>
          <w:bdr w:val="none" w:sz="0" w:space="0" w:color="auto" w:frame="1"/>
        </w:rPr>
        <w:br/>
      </w:r>
      <w:r w:rsidRPr="008B767E">
        <w:rPr>
          <w:rFonts w:ascii="Arial" w:hAnsi="Arial" w:cs="Arial"/>
          <w:color w:val="000000"/>
          <w:bdr w:val="none" w:sz="0" w:space="0" w:color="auto" w:frame="1"/>
        </w:rPr>
        <w:br/>
        <w:t xml:space="preserve">Greater Manchester is currently working to refresh the Local Industrial Strategy and its </w:t>
      </w:r>
      <w:r w:rsidRPr="008B767E">
        <w:rPr>
          <w:rFonts w:ascii="Arial" w:hAnsi="Arial" w:cs="Arial"/>
          <w:color w:val="000000"/>
          <w:bdr w:val="none" w:sz="0" w:space="0" w:color="auto" w:frame="1"/>
        </w:rPr>
        <w:lastRenderedPageBreak/>
        <w:t>implementation plan in response to the changing context caused by</w:t>
      </w:r>
      <w:r>
        <w:rPr>
          <w:rFonts w:ascii="Arial" w:hAnsi="Arial" w:cs="Arial"/>
          <w:color w:val="000000"/>
          <w:bdr w:val="none" w:sz="0" w:space="0" w:color="auto" w:frame="1"/>
        </w:rPr>
        <w:t xml:space="preserve"> the</w:t>
      </w:r>
      <w:r w:rsidRPr="00E83C28">
        <w:rPr>
          <w:rStyle w:val="normaltextrun"/>
          <w:rFonts w:ascii="Arial" w:eastAsia="Palatino Linotype" w:hAnsi="Arial" w:cs="Arial"/>
        </w:rPr>
        <w:t xml:space="preserve"> </w:t>
      </w:r>
      <w:r w:rsidRPr="00C9289E">
        <w:rPr>
          <w:rStyle w:val="normaltextrun"/>
          <w:rFonts w:ascii="Arial" w:eastAsia="Palatino Linotype" w:hAnsi="Arial" w:cs="Arial"/>
        </w:rPr>
        <w:t>UK’s exit from the European Unio</w:t>
      </w:r>
      <w:r>
        <w:rPr>
          <w:rStyle w:val="normaltextrun"/>
          <w:rFonts w:ascii="Arial" w:eastAsia="Palatino Linotype" w:hAnsi="Arial" w:cs="Arial"/>
        </w:rPr>
        <w:t>n</w:t>
      </w:r>
      <w:r w:rsidRPr="008B767E">
        <w:rPr>
          <w:rFonts w:ascii="Arial" w:hAnsi="Arial" w:cs="Arial"/>
          <w:color w:val="000000"/>
          <w:bdr w:val="none" w:sz="0" w:space="0" w:color="auto" w:frame="1"/>
        </w:rPr>
        <w:t>, the C</w:t>
      </w:r>
      <w:r>
        <w:rPr>
          <w:rFonts w:ascii="Arial" w:hAnsi="Arial" w:cs="Arial"/>
          <w:color w:val="000000"/>
          <w:bdr w:val="none" w:sz="0" w:space="0" w:color="auto" w:frame="1"/>
        </w:rPr>
        <w:t>OVID</w:t>
      </w:r>
      <w:r w:rsidRPr="008B767E">
        <w:rPr>
          <w:rFonts w:ascii="Arial" w:hAnsi="Arial" w:cs="Arial"/>
          <w:color w:val="000000"/>
          <w:bdr w:val="none" w:sz="0" w:space="0" w:color="auto" w:frame="1"/>
        </w:rPr>
        <w:t xml:space="preserve">-19 pandemic and the </w:t>
      </w:r>
      <w:r>
        <w:rPr>
          <w:rFonts w:ascii="Arial" w:hAnsi="Arial" w:cs="Arial"/>
          <w:color w:val="000000"/>
          <w:bdr w:val="none" w:sz="0" w:space="0" w:color="auto" w:frame="1"/>
        </w:rPr>
        <w:t>‘</w:t>
      </w:r>
      <w:r w:rsidRPr="008B767E">
        <w:rPr>
          <w:rFonts w:ascii="Arial" w:hAnsi="Arial" w:cs="Arial"/>
          <w:color w:val="000000"/>
          <w:bdr w:val="none" w:sz="0" w:space="0" w:color="auto" w:frame="1"/>
        </w:rPr>
        <w:t>cost-of-living crisis</w:t>
      </w:r>
      <w:r>
        <w:rPr>
          <w:rFonts w:ascii="Arial" w:hAnsi="Arial" w:cs="Arial"/>
          <w:color w:val="000000"/>
          <w:bdr w:val="none" w:sz="0" w:space="0" w:color="auto" w:frame="1"/>
        </w:rPr>
        <w:t>’</w:t>
      </w:r>
      <w:r w:rsidRPr="008B767E">
        <w:rPr>
          <w:rFonts w:ascii="Arial" w:hAnsi="Arial" w:cs="Arial"/>
          <w:color w:val="000000"/>
          <w:bdr w:val="none" w:sz="0" w:space="0" w:color="auto" w:frame="1"/>
        </w:rPr>
        <w:t>.</w:t>
      </w:r>
    </w:p>
    <w:p w14:paraId="017001B2" w14:textId="77777777" w:rsidR="00016C24" w:rsidRDefault="00016C24" w:rsidP="00016C24">
      <w:pPr>
        <w:pStyle w:val="Heading3"/>
        <w:rPr>
          <w:rStyle w:val="normaltextrun"/>
          <w:rFonts w:eastAsia="Palatino Linotype"/>
        </w:rPr>
      </w:pPr>
      <w:bookmarkStart w:id="13" w:name="_Toc109922579"/>
      <w:r w:rsidRPr="001A154B">
        <w:rPr>
          <w:rStyle w:val="normaltextrun"/>
          <w:rFonts w:eastAsia="Palatino Linotype"/>
        </w:rPr>
        <w:t>Growing the Economy</w:t>
      </w:r>
      <w:bookmarkEnd w:id="13"/>
    </w:p>
    <w:p w14:paraId="40FDB174" w14:textId="437CD8C4" w:rsidR="00016C24" w:rsidRPr="006F58D3" w:rsidRDefault="00016C24" w:rsidP="00016C24">
      <w:pPr>
        <w:pStyle w:val="Heading3"/>
        <w:rPr>
          <w:rStyle w:val="normaltextrun"/>
          <w:rFonts w:eastAsia="Palatino Linotype"/>
          <w:sz w:val="24"/>
          <w:szCs w:val="24"/>
        </w:rPr>
      </w:pPr>
      <w:bookmarkStart w:id="14" w:name="_Toc109922580"/>
      <w:r w:rsidRPr="006F58D3">
        <w:rPr>
          <w:rStyle w:val="normaltextrun"/>
          <w:b w:val="0"/>
          <w:bCs w:val="0"/>
          <w:sz w:val="24"/>
          <w:szCs w:val="24"/>
        </w:rPr>
        <w:t xml:space="preserve">The GM Investment Strategy continued to support regeneration and job creation in the </w:t>
      </w:r>
      <w:r>
        <w:rPr>
          <w:rStyle w:val="normaltextrun"/>
          <w:b w:val="0"/>
          <w:bCs w:val="0"/>
          <w:sz w:val="24"/>
          <w:szCs w:val="24"/>
        </w:rPr>
        <w:t xml:space="preserve">region </w:t>
      </w:r>
      <w:r w:rsidRPr="006F58D3">
        <w:rPr>
          <w:rStyle w:val="normaltextrun"/>
          <w:b w:val="0"/>
          <w:bCs w:val="0"/>
          <w:sz w:val="24"/>
          <w:szCs w:val="24"/>
        </w:rPr>
        <w:t>through targeted investment that reflects the strengths and opportunities in the local economy. The GM Investment Strategy was based on sustainably generating returns that can be recycled and reinvested</w:t>
      </w:r>
      <w:r>
        <w:rPr>
          <w:rStyle w:val="normaltextrun"/>
          <w:b w:val="0"/>
          <w:bCs w:val="0"/>
          <w:sz w:val="24"/>
          <w:szCs w:val="24"/>
        </w:rPr>
        <w:t xml:space="preserve"> so </w:t>
      </w:r>
      <w:r w:rsidRPr="006F58D3">
        <w:rPr>
          <w:rStyle w:val="normaltextrun"/>
          <w:b w:val="0"/>
          <w:bCs w:val="0"/>
          <w:sz w:val="24"/>
          <w:szCs w:val="24"/>
        </w:rPr>
        <w:t xml:space="preserve">as existing loans are </w:t>
      </w:r>
      <w:r w:rsidR="006E1394" w:rsidRPr="006F58D3">
        <w:rPr>
          <w:rStyle w:val="normaltextrun"/>
          <w:b w:val="0"/>
          <w:bCs w:val="0"/>
          <w:sz w:val="24"/>
          <w:szCs w:val="24"/>
        </w:rPr>
        <w:t>repaid,</w:t>
      </w:r>
      <w:r>
        <w:rPr>
          <w:rStyle w:val="normaltextrun"/>
          <w:b w:val="0"/>
          <w:bCs w:val="0"/>
          <w:sz w:val="24"/>
          <w:szCs w:val="24"/>
        </w:rPr>
        <w:t xml:space="preserve"> </w:t>
      </w:r>
      <w:r w:rsidRPr="006F58D3">
        <w:rPr>
          <w:rStyle w:val="normaltextrun"/>
          <w:b w:val="0"/>
          <w:bCs w:val="0"/>
          <w:sz w:val="24"/>
          <w:szCs w:val="24"/>
        </w:rPr>
        <w:t>they can be reinvested in new projects.</w:t>
      </w:r>
      <w:bookmarkEnd w:id="14"/>
    </w:p>
    <w:p w14:paraId="5F8D73ED" w14:textId="77777777" w:rsidR="00016C24" w:rsidRPr="006F58D3" w:rsidRDefault="00016C24" w:rsidP="00016C24"/>
    <w:p w14:paraId="50A526A9" w14:textId="77777777" w:rsidR="00016C24" w:rsidRPr="00982B95" w:rsidRDefault="00016C24" w:rsidP="00016C24">
      <w:pPr>
        <w:pStyle w:val="Heading3"/>
        <w:spacing w:before="0" w:after="0"/>
        <w:rPr>
          <w:rStyle w:val="normaltextrun"/>
          <w:b w:val="0"/>
          <w:bCs w:val="0"/>
          <w:color w:val="000000"/>
          <w:sz w:val="24"/>
          <w:szCs w:val="24"/>
          <w:bdr w:val="none" w:sz="0" w:space="0" w:color="auto" w:frame="1"/>
          <w:lang w:eastAsia="en-GB"/>
        </w:rPr>
      </w:pPr>
      <w:bookmarkStart w:id="15" w:name="_Toc109922581"/>
      <w:r w:rsidRPr="00982B95">
        <w:rPr>
          <w:rStyle w:val="normaltextrun"/>
          <w:b w:val="0"/>
          <w:bCs w:val="0"/>
          <w:color w:val="000000"/>
          <w:sz w:val="24"/>
          <w:szCs w:val="24"/>
          <w:bdr w:val="none" w:sz="0" w:space="0" w:color="auto" w:frame="1"/>
          <w:lang w:eastAsia="en-GB"/>
        </w:rPr>
        <w:t>GM investment funds are used as a lever to deliver the strategy and focus on our strategic priorities in business, housing and commercial property. At the end of 2021/22, GM investment funds included over £643m of funds under direct and indirect management. Projects to the value of £1,147m have been approved to date across the funds. The main elements of the Funds are:</w:t>
      </w:r>
      <w:bookmarkEnd w:id="15"/>
    </w:p>
    <w:p w14:paraId="6AC8F9E2" w14:textId="77777777" w:rsidR="00016C24" w:rsidRPr="006F58D3" w:rsidRDefault="00016C24" w:rsidP="00016C24"/>
    <w:p w14:paraId="3B2740CC" w14:textId="77777777" w:rsidR="00016C24" w:rsidRPr="006F58D3" w:rsidRDefault="00016C24" w:rsidP="00EB27EB">
      <w:pPr>
        <w:pStyle w:val="paragraph"/>
        <w:numPr>
          <w:ilvl w:val="0"/>
          <w:numId w:val="63"/>
        </w:numPr>
        <w:spacing w:before="0" w:beforeAutospacing="0" w:after="0" w:afterAutospacing="0"/>
        <w:ind w:left="426" w:hanging="426"/>
        <w:textAlignment w:val="baseline"/>
        <w:rPr>
          <w:rStyle w:val="normaltextrun"/>
          <w:i/>
          <w:iCs/>
        </w:rPr>
      </w:pPr>
      <w:r w:rsidRPr="006F58D3">
        <w:rPr>
          <w:rStyle w:val="normaltextrun"/>
          <w:rFonts w:ascii="Arial" w:hAnsi="Arial" w:cs="Arial"/>
          <w:i/>
          <w:iCs/>
        </w:rPr>
        <w:t xml:space="preserve">The Greater Manchester Housing Investment Loans Fund (HIF): </w:t>
      </w:r>
    </w:p>
    <w:p w14:paraId="6BEDA8F3" w14:textId="7F37817E" w:rsidR="00016C24" w:rsidRPr="006F58D3" w:rsidRDefault="00016C24" w:rsidP="00016C24">
      <w:pPr>
        <w:pStyle w:val="paragraph"/>
        <w:spacing w:before="0" w:beforeAutospacing="0" w:after="0" w:afterAutospacing="0"/>
        <w:ind w:left="426"/>
        <w:textAlignment w:val="baseline"/>
        <w:rPr>
          <w:rStyle w:val="normaltextrun"/>
          <w:rFonts w:ascii="Arial" w:hAnsi="Arial" w:cs="Arial"/>
        </w:rPr>
      </w:pPr>
      <w:r w:rsidRPr="006F58D3">
        <w:rPr>
          <w:rStyle w:val="normaltextrun"/>
          <w:rFonts w:ascii="Arial" w:hAnsi="Arial" w:cs="Arial"/>
        </w:rPr>
        <w:t xml:space="preserve">HIF aims to unlock the delivery of at least 10,000 homes over the 10-year life of the fund providing the high quality housing offer needed to support GM’s economic growth. In 2018/19 HIF novated from Manchester City Council to the Authority. As existing investments made by the Fund are repaid the monies are available for reinvestment by the Fund and at the time of writing there have been no defaults. Alongside 59 loans to developers for individual schemes, the Fund has invested in </w:t>
      </w:r>
      <w:r>
        <w:rPr>
          <w:rStyle w:val="normaltextrun"/>
          <w:rFonts w:ascii="Arial" w:hAnsi="Arial" w:cs="Arial"/>
        </w:rPr>
        <w:t>three</w:t>
      </w:r>
      <w:r w:rsidRPr="006F58D3">
        <w:rPr>
          <w:rStyle w:val="normaltextrun"/>
          <w:rFonts w:ascii="Arial" w:hAnsi="Arial" w:cs="Arial"/>
        </w:rPr>
        <w:t xml:space="preserve"> social impact funds focussed on the provision of housing to vulnerable people. </w:t>
      </w:r>
    </w:p>
    <w:p w14:paraId="17776020" w14:textId="77777777" w:rsidR="00016C24" w:rsidRPr="006F58D3" w:rsidRDefault="00016C24" w:rsidP="00016C24">
      <w:pPr>
        <w:pStyle w:val="paragraph"/>
        <w:spacing w:before="0" w:beforeAutospacing="0" w:after="0" w:afterAutospacing="0"/>
        <w:ind w:left="426"/>
        <w:textAlignment w:val="baseline"/>
      </w:pPr>
    </w:p>
    <w:p w14:paraId="59AF6A30" w14:textId="77777777" w:rsidR="00016C24" w:rsidRPr="006F58D3" w:rsidRDefault="00016C24" w:rsidP="00EB27EB">
      <w:pPr>
        <w:pStyle w:val="paragraph"/>
        <w:numPr>
          <w:ilvl w:val="0"/>
          <w:numId w:val="63"/>
        </w:numPr>
        <w:spacing w:before="0" w:beforeAutospacing="0" w:after="0" w:afterAutospacing="0"/>
        <w:ind w:left="426" w:hanging="426"/>
        <w:textAlignment w:val="baseline"/>
        <w:rPr>
          <w:rStyle w:val="normaltextrun"/>
          <w:i/>
          <w:iCs/>
        </w:rPr>
      </w:pPr>
      <w:r w:rsidRPr="006F58D3">
        <w:rPr>
          <w:rStyle w:val="normaltextrun"/>
          <w:rFonts w:ascii="Arial" w:hAnsi="Arial" w:cs="Arial"/>
          <w:i/>
          <w:iCs/>
        </w:rPr>
        <w:t xml:space="preserve">City Deal Receipts: </w:t>
      </w:r>
    </w:p>
    <w:p w14:paraId="3989A6FA" w14:textId="77777777" w:rsidR="00016C24" w:rsidRPr="006F58D3" w:rsidRDefault="00016C24" w:rsidP="00016C24">
      <w:pPr>
        <w:pStyle w:val="paragraph"/>
        <w:spacing w:before="0" w:beforeAutospacing="0" w:after="0" w:afterAutospacing="0"/>
        <w:ind w:left="426"/>
        <w:textAlignment w:val="baseline"/>
        <w:rPr>
          <w:rStyle w:val="normaltextrun"/>
          <w:rFonts w:ascii="Arial" w:hAnsi="Arial" w:cs="Arial"/>
        </w:rPr>
      </w:pPr>
      <w:r w:rsidRPr="006F58D3">
        <w:rPr>
          <w:rStyle w:val="normaltextrun"/>
          <w:rFonts w:ascii="Arial" w:hAnsi="Arial" w:cs="Arial"/>
        </w:rPr>
        <w:t>In 2015 it was agreed that receipts realised by Homes England from the disposal of its land and property within Greater Manchester would be provided to GMCA to invest in support of the housing and regeneration objectives set out in the 2012 Greater Manchester City Deal. To date Homes England, which has to approve the investments made using City Deal Receipts, has provided £29.7m to GMCA for investment.</w:t>
      </w:r>
    </w:p>
    <w:p w14:paraId="70D7A21A" w14:textId="77777777" w:rsidR="00016C24" w:rsidRPr="006F58D3" w:rsidRDefault="00016C24" w:rsidP="00016C24">
      <w:pPr>
        <w:pStyle w:val="paragraph"/>
        <w:spacing w:before="0" w:beforeAutospacing="0" w:after="0" w:afterAutospacing="0"/>
        <w:ind w:left="426"/>
        <w:textAlignment w:val="baseline"/>
      </w:pPr>
    </w:p>
    <w:p w14:paraId="1B72C51F" w14:textId="77777777" w:rsidR="00016C24" w:rsidRPr="006F58D3" w:rsidRDefault="00016C24" w:rsidP="00EB27EB">
      <w:pPr>
        <w:pStyle w:val="paragraph"/>
        <w:numPr>
          <w:ilvl w:val="0"/>
          <w:numId w:val="63"/>
        </w:numPr>
        <w:spacing w:before="0" w:beforeAutospacing="0" w:after="160" w:afterAutospacing="0"/>
        <w:ind w:left="426" w:hanging="426"/>
        <w:textAlignment w:val="baseline"/>
        <w:rPr>
          <w:rStyle w:val="normaltextrun"/>
          <w:i/>
          <w:iCs/>
        </w:rPr>
      </w:pPr>
      <w:r w:rsidRPr="006F58D3">
        <w:rPr>
          <w:rStyle w:val="normaltextrun"/>
          <w:rFonts w:ascii="Arial" w:hAnsi="Arial" w:cs="Arial"/>
          <w:i/>
          <w:iCs/>
        </w:rPr>
        <w:t xml:space="preserve">The Core Recycled Funds: </w:t>
      </w:r>
    </w:p>
    <w:p w14:paraId="1D00EB8A" w14:textId="77777777" w:rsidR="00016C24" w:rsidRPr="006F58D3" w:rsidRDefault="00016C24" w:rsidP="00016C24">
      <w:pPr>
        <w:pStyle w:val="paragraph"/>
        <w:spacing w:before="0" w:beforeAutospacing="0" w:after="160" w:afterAutospacing="0"/>
        <w:ind w:left="426"/>
        <w:textAlignment w:val="baseline"/>
        <w:rPr>
          <w:rStyle w:val="normaltextrun"/>
          <w:rFonts w:ascii="Arial" w:hAnsi="Arial" w:cs="Arial"/>
        </w:rPr>
      </w:pPr>
      <w:r w:rsidRPr="006F58D3">
        <w:rPr>
          <w:rStyle w:val="normaltextrun"/>
          <w:rFonts w:ascii="Arial" w:hAnsi="Arial" w:cs="Arial"/>
        </w:rPr>
        <w:t xml:space="preserve">The Core Recycled Funds originated from Regional Growth Fund (RGF) and Growing Places Fund (GPF) monies which have been recycled and are now reinvested into businesses and commercial property. As part of this overarching programme, the funds offered investments at commercial rates to businesses and organisations to fund schemes that boost local employment, improve people's skills and contribute to the region's economic growth. </w:t>
      </w:r>
    </w:p>
    <w:p w14:paraId="4758C63A" w14:textId="77777777" w:rsidR="00016C24" w:rsidRPr="006F58D3" w:rsidRDefault="00016C24" w:rsidP="00016C24">
      <w:pPr>
        <w:pStyle w:val="paragraph"/>
        <w:spacing w:before="0" w:beforeAutospacing="0" w:after="160" w:afterAutospacing="0"/>
        <w:ind w:left="426"/>
        <w:textAlignment w:val="baseline"/>
      </w:pPr>
      <w:r w:rsidRPr="006F58D3">
        <w:rPr>
          <w:rStyle w:val="normaltextrun"/>
          <w:rFonts w:ascii="Arial" w:hAnsi="Arial" w:cs="Arial"/>
        </w:rPr>
        <w:t>These funds have invested over £187m into 190+ companies across Greater Manchester who are contracted to create and safeguard over 8,100 jobs. The business funds have been used to support a market gap for finance and therefore, given the nature of the portfolio, defaults are expected. The impact of COVID-19 on the business portfolio remains unclear but provisions have been made to estimate the risk, in accordance with International Financial Reporting Standards - IFRS 9. Where requested, companies have been granted short term payment deferrals to assist them to manage through the pandemic.</w:t>
      </w:r>
    </w:p>
    <w:p w14:paraId="33B988A5" w14:textId="77777777" w:rsidR="00016C24" w:rsidRPr="006F58D3" w:rsidRDefault="00016C24" w:rsidP="00EB27EB">
      <w:pPr>
        <w:pStyle w:val="paragraph"/>
        <w:numPr>
          <w:ilvl w:val="0"/>
          <w:numId w:val="63"/>
        </w:numPr>
        <w:spacing w:before="0" w:beforeAutospacing="0" w:after="160" w:afterAutospacing="0"/>
        <w:ind w:left="426" w:hanging="426"/>
        <w:textAlignment w:val="baseline"/>
        <w:rPr>
          <w:rStyle w:val="eop"/>
        </w:rPr>
      </w:pPr>
      <w:r w:rsidRPr="006F58D3">
        <w:rPr>
          <w:rStyle w:val="normaltextrun"/>
          <w:rFonts w:ascii="Arial" w:hAnsi="Arial" w:cs="Arial"/>
          <w:i/>
          <w:iCs/>
        </w:rPr>
        <w:lastRenderedPageBreak/>
        <w:t>Commercial property funds:</w:t>
      </w:r>
      <w:r w:rsidRPr="006F58D3">
        <w:rPr>
          <w:rStyle w:val="normaltextrun"/>
          <w:rFonts w:ascii="Arial" w:hAnsi="Arial" w:cs="Arial"/>
        </w:rPr>
        <w:t xml:space="preserve"> the dedicated commercial property funds are managed by CBRE Ltd on behalf of the Authority and have supported the development of 720,000m</w:t>
      </w:r>
      <w:r w:rsidRPr="006F58D3">
        <w:rPr>
          <w:rStyle w:val="normaltextrun"/>
          <w:rFonts w:ascii="Arial" w:hAnsi="Arial" w:cs="Arial"/>
          <w:vertAlign w:val="superscript"/>
        </w:rPr>
        <w:t>2</w:t>
      </w:r>
      <w:r w:rsidRPr="006F58D3">
        <w:rPr>
          <w:rStyle w:val="normaltextrun"/>
          <w:rFonts w:ascii="Arial" w:hAnsi="Arial" w:cs="Arial"/>
        </w:rPr>
        <w:t xml:space="preserve"> of commercial floor space and the redevelopment of over 52 hectares of Brownfield land. Developments in the year are expected to unlock over 30,000m</w:t>
      </w:r>
      <w:r w:rsidRPr="006F58D3">
        <w:rPr>
          <w:rStyle w:val="normaltextrun"/>
          <w:rFonts w:ascii="Arial" w:hAnsi="Arial" w:cs="Arial"/>
          <w:vertAlign w:val="superscript"/>
        </w:rPr>
        <w:t>2</w:t>
      </w:r>
      <w:r w:rsidRPr="006F58D3">
        <w:rPr>
          <w:rStyle w:val="normaltextrun"/>
          <w:rFonts w:ascii="Arial" w:hAnsi="Arial" w:cs="Arial"/>
        </w:rPr>
        <w:t xml:space="preserve"> of office and industrial space.</w:t>
      </w:r>
    </w:p>
    <w:p w14:paraId="6FBBF928" w14:textId="778C316C" w:rsidR="00016C24" w:rsidRPr="006F58D3" w:rsidRDefault="00016C24" w:rsidP="00EB27EB">
      <w:pPr>
        <w:pStyle w:val="paragraph"/>
        <w:numPr>
          <w:ilvl w:val="0"/>
          <w:numId w:val="63"/>
        </w:numPr>
        <w:spacing w:before="0" w:beforeAutospacing="0" w:after="160" w:afterAutospacing="0"/>
        <w:ind w:left="426" w:hanging="426"/>
        <w:textAlignment w:val="baseline"/>
        <w:rPr>
          <w:rStyle w:val="eop"/>
          <w:rFonts w:ascii="Arial" w:hAnsi="Arial" w:cs="Arial"/>
        </w:rPr>
      </w:pPr>
      <w:r w:rsidRPr="006F58D3">
        <w:rPr>
          <w:rStyle w:val="normaltextrun"/>
          <w:rFonts w:ascii="Arial" w:hAnsi="Arial" w:cs="Arial"/>
          <w:i/>
          <w:iCs/>
        </w:rPr>
        <w:t>Life Sciences Fund</w:t>
      </w:r>
      <w:r w:rsidRPr="006F58D3">
        <w:rPr>
          <w:rStyle w:val="normaltextrun"/>
          <w:rFonts w:ascii="Arial" w:hAnsi="Arial" w:cs="Arial"/>
        </w:rPr>
        <w:t xml:space="preserve">: The £30m Life Sciences Fund was established in 2016 in partnership with Cheshire East Council and Bruntwood to further develop the Alderley Park site and support life sciences businesses across the city region. As at 31 March 2022, the </w:t>
      </w:r>
      <w:r>
        <w:rPr>
          <w:rStyle w:val="normaltextrun"/>
          <w:rFonts w:ascii="Arial" w:hAnsi="Arial" w:cs="Arial"/>
        </w:rPr>
        <w:t>f</w:t>
      </w:r>
      <w:r w:rsidRPr="006F58D3">
        <w:rPr>
          <w:rStyle w:val="normaltextrun"/>
          <w:rFonts w:ascii="Arial" w:hAnsi="Arial" w:cs="Arial"/>
        </w:rPr>
        <w:t xml:space="preserve">und had committed £24.7m into 42 businesses and has created 352 jobs from those investments. The overall target for the </w:t>
      </w:r>
      <w:r>
        <w:rPr>
          <w:rStyle w:val="normaltextrun"/>
          <w:rFonts w:ascii="Arial" w:hAnsi="Arial" w:cs="Arial"/>
        </w:rPr>
        <w:t>f</w:t>
      </w:r>
      <w:r w:rsidRPr="006F58D3">
        <w:rPr>
          <w:rStyle w:val="normaltextrun"/>
          <w:rFonts w:ascii="Arial" w:hAnsi="Arial" w:cs="Arial"/>
        </w:rPr>
        <w:t>und is to create</w:t>
      </w:r>
      <w:r w:rsidR="00927C84">
        <w:rPr>
          <w:rStyle w:val="normaltextrun"/>
          <w:rFonts w:ascii="Arial" w:hAnsi="Arial" w:cs="Arial"/>
        </w:rPr>
        <w:t xml:space="preserve"> </w:t>
      </w:r>
      <w:r w:rsidRPr="006F58D3">
        <w:rPr>
          <w:rStyle w:val="normaltextrun"/>
          <w:rFonts w:ascii="Arial" w:hAnsi="Arial" w:cs="Arial"/>
        </w:rPr>
        <w:t>/</w:t>
      </w:r>
      <w:r w:rsidR="00927C84">
        <w:rPr>
          <w:rStyle w:val="normaltextrun"/>
          <w:rFonts w:ascii="Arial" w:hAnsi="Arial" w:cs="Arial"/>
        </w:rPr>
        <w:t xml:space="preserve"> </w:t>
      </w:r>
      <w:r w:rsidRPr="006F58D3">
        <w:rPr>
          <w:rStyle w:val="normaltextrun"/>
          <w:rFonts w:ascii="Arial" w:hAnsi="Arial" w:cs="Arial"/>
        </w:rPr>
        <w:t>safeguard 370 jobs over 15 years and the investments to date show good progress against this target. Post year end a second Life Sciences Fund has been launched with a commitment from the GMCA of £10m.</w:t>
      </w:r>
    </w:p>
    <w:p w14:paraId="19525DDB" w14:textId="77777777" w:rsidR="00016C24" w:rsidRPr="006F58D3" w:rsidRDefault="00016C24" w:rsidP="00EB27EB">
      <w:pPr>
        <w:pStyle w:val="paragraph"/>
        <w:numPr>
          <w:ilvl w:val="0"/>
          <w:numId w:val="63"/>
        </w:numPr>
        <w:spacing w:before="0" w:beforeAutospacing="0" w:after="160" w:afterAutospacing="0"/>
        <w:ind w:left="426" w:hanging="426"/>
        <w:textAlignment w:val="baseline"/>
      </w:pPr>
      <w:r w:rsidRPr="006F58D3">
        <w:rPr>
          <w:rStyle w:val="normaltextrun"/>
          <w:rFonts w:ascii="Arial" w:hAnsi="Arial" w:cs="Arial"/>
          <w:i/>
          <w:iCs/>
        </w:rPr>
        <w:t>Low Carbon Fund:</w:t>
      </w:r>
      <w:r w:rsidRPr="006F58D3">
        <w:rPr>
          <w:rStyle w:val="normaltextrun"/>
          <w:rFonts w:ascii="Arial" w:hAnsi="Arial" w:cs="Arial"/>
        </w:rPr>
        <w:t xml:space="preserve"> The £15m Low Carbon Fund is managed by CBRE Ltd on behalf of the Authority. The Fund was established to promote the production and distribution of energy derived from renewable resources in the region.</w:t>
      </w:r>
    </w:p>
    <w:p w14:paraId="07E76ACF" w14:textId="77777777" w:rsidR="00016C24" w:rsidRPr="006F58D3" w:rsidRDefault="00016C24" w:rsidP="00EB27EB">
      <w:pPr>
        <w:pStyle w:val="ListParagraph"/>
        <w:numPr>
          <w:ilvl w:val="0"/>
          <w:numId w:val="47"/>
        </w:numPr>
        <w:autoSpaceDE w:val="0"/>
        <w:autoSpaceDN w:val="0"/>
        <w:adjustRightInd w:val="0"/>
        <w:spacing w:after="160" w:line="240" w:lineRule="auto"/>
        <w:ind w:left="426" w:hanging="426"/>
        <w:rPr>
          <w:rFonts w:ascii="Arial" w:eastAsiaTheme="minorHAnsi" w:hAnsi="Arial" w:cs="Arial"/>
          <w:sz w:val="24"/>
          <w:szCs w:val="24"/>
        </w:rPr>
      </w:pPr>
      <w:bookmarkStart w:id="16" w:name="_Hlk75256996"/>
      <w:r w:rsidRPr="006F58D3">
        <w:rPr>
          <w:rFonts w:ascii="Arial" w:eastAsiaTheme="minorHAnsi" w:hAnsi="Arial" w:cs="Arial"/>
          <w:i/>
          <w:iCs/>
          <w:sz w:val="24"/>
          <w:szCs w:val="24"/>
        </w:rPr>
        <w:t>Getting Building Fund:</w:t>
      </w:r>
      <w:r w:rsidRPr="006F58D3">
        <w:rPr>
          <w:rFonts w:ascii="Arial" w:eastAsiaTheme="minorHAnsi" w:hAnsi="Arial" w:cs="Arial"/>
          <w:sz w:val="24"/>
          <w:szCs w:val="24"/>
        </w:rPr>
        <w:t xml:space="preserve"> In March 2020 the government made an allocation of £54.2m to GMCA as part of the Getting Building Fund (GBF). This was focussed on ‘shovel ready’ sites with a key focus on job creation and economic recovery. The full allocation was spent by 31 March 2022 on the following </w:t>
      </w:r>
      <w:r w:rsidRPr="006F58D3">
        <w:rPr>
          <w:rFonts w:ascii="Arial" w:hAnsi="Arial" w:cs="Arial"/>
          <w:sz w:val="24"/>
          <w:szCs w:val="24"/>
          <w:lang w:val="en"/>
        </w:rPr>
        <w:t>schemes:</w:t>
      </w:r>
    </w:p>
    <w:p w14:paraId="53F94F48" w14:textId="77777777" w:rsidR="00016C24" w:rsidRPr="006F58D3" w:rsidRDefault="00016C24" w:rsidP="00EB27EB">
      <w:pPr>
        <w:pStyle w:val="ListParagraph"/>
        <w:numPr>
          <w:ilvl w:val="0"/>
          <w:numId w:val="59"/>
        </w:numPr>
        <w:autoSpaceDE w:val="0"/>
        <w:autoSpaceDN w:val="0"/>
        <w:adjustRightInd w:val="0"/>
        <w:spacing w:after="160" w:line="240" w:lineRule="auto"/>
        <w:ind w:left="709" w:hanging="283"/>
        <w:rPr>
          <w:rFonts w:ascii="Arial" w:hAnsi="Arial" w:cs="Arial"/>
          <w:sz w:val="24"/>
          <w:szCs w:val="24"/>
          <w:lang w:val="en"/>
        </w:rPr>
      </w:pPr>
      <w:r w:rsidRPr="006F58D3">
        <w:rPr>
          <w:rFonts w:ascii="Arial" w:hAnsi="Arial" w:cs="Arial"/>
          <w:sz w:val="24"/>
          <w:szCs w:val="24"/>
          <w:lang w:val="en"/>
        </w:rPr>
        <w:t>Mayfield – Manchester - £23m</w:t>
      </w:r>
    </w:p>
    <w:p w14:paraId="1E634CF5" w14:textId="77777777" w:rsidR="00016C24" w:rsidRPr="006F58D3" w:rsidRDefault="00016C24" w:rsidP="00EB27EB">
      <w:pPr>
        <w:pStyle w:val="ListParagraph"/>
        <w:numPr>
          <w:ilvl w:val="0"/>
          <w:numId w:val="59"/>
        </w:numPr>
        <w:autoSpaceDE w:val="0"/>
        <w:autoSpaceDN w:val="0"/>
        <w:adjustRightInd w:val="0"/>
        <w:spacing w:after="160" w:line="240" w:lineRule="auto"/>
        <w:ind w:left="709" w:hanging="283"/>
        <w:rPr>
          <w:rFonts w:ascii="Arial" w:hAnsi="Arial" w:cs="Arial"/>
          <w:sz w:val="24"/>
          <w:szCs w:val="24"/>
          <w:lang w:val="en"/>
        </w:rPr>
      </w:pPr>
      <w:r w:rsidRPr="006F58D3">
        <w:rPr>
          <w:rFonts w:ascii="Arial" w:hAnsi="Arial" w:cs="Arial"/>
          <w:sz w:val="24"/>
          <w:szCs w:val="24"/>
          <w:lang w:val="en"/>
        </w:rPr>
        <w:t>Manchester Innovation Activities Hub – Manchester - £4m</w:t>
      </w:r>
    </w:p>
    <w:p w14:paraId="628C17A3" w14:textId="77777777" w:rsidR="00016C24" w:rsidRPr="006F58D3" w:rsidRDefault="00016C24" w:rsidP="00EB27EB">
      <w:pPr>
        <w:pStyle w:val="ListParagraph"/>
        <w:numPr>
          <w:ilvl w:val="0"/>
          <w:numId w:val="59"/>
        </w:numPr>
        <w:autoSpaceDE w:val="0"/>
        <w:autoSpaceDN w:val="0"/>
        <w:adjustRightInd w:val="0"/>
        <w:spacing w:after="160" w:line="240" w:lineRule="auto"/>
        <w:ind w:left="709" w:hanging="283"/>
        <w:rPr>
          <w:rFonts w:ascii="Arial" w:hAnsi="Arial" w:cs="Arial"/>
          <w:sz w:val="24"/>
          <w:szCs w:val="24"/>
          <w:lang w:val="en"/>
        </w:rPr>
      </w:pPr>
      <w:r w:rsidRPr="006F58D3">
        <w:rPr>
          <w:rFonts w:ascii="Arial" w:hAnsi="Arial" w:cs="Arial"/>
          <w:sz w:val="24"/>
          <w:szCs w:val="24"/>
          <w:lang w:val="en"/>
        </w:rPr>
        <w:t xml:space="preserve">Kingsway Business Park Northern Loop Road – Rochdale - £3.5m </w:t>
      </w:r>
    </w:p>
    <w:p w14:paraId="3373B0BE" w14:textId="77777777" w:rsidR="00016C24" w:rsidRPr="006F58D3" w:rsidRDefault="00016C24" w:rsidP="00EB27EB">
      <w:pPr>
        <w:pStyle w:val="ListParagraph"/>
        <w:numPr>
          <w:ilvl w:val="0"/>
          <w:numId w:val="59"/>
        </w:numPr>
        <w:autoSpaceDE w:val="0"/>
        <w:autoSpaceDN w:val="0"/>
        <w:adjustRightInd w:val="0"/>
        <w:spacing w:after="160" w:line="240" w:lineRule="auto"/>
        <w:ind w:left="709" w:hanging="283"/>
        <w:rPr>
          <w:rFonts w:ascii="Arial" w:hAnsi="Arial" w:cs="Arial"/>
          <w:sz w:val="24"/>
          <w:szCs w:val="24"/>
          <w:lang w:val="en"/>
        </w:rPr>
      </w:pPr>
      <w:r w:rsidRPr="006F58D3">
        <w:rPr>
          <w:rFonts w:ascii="Arial" w:hAnsi="Arial" w:cs="Arial"/>
          <w:sz w:val="24"/>
          <w:szCs w:val="24"/>
          <w:lang w:val="en"/>
        </w:rPr>
        <w:t>South Heywood Link Road Phase 1 – Rochdale - £10m</w:t>
      </w:r>
    </w:p>
    <w:p w14:paraId="78502B68" w14:textId="77777777" w:rsidR="00016C24" w:rsidRPr="006F58D3" w:rsidRDefault="00016C24" w:rsidP="00EB27EB">
      <w:pPr>
        <w:pStyle w:val="ListParagraph"/>
        <w:numPr>
          <w:ilvl w:val="0"/>
          <w:numId w:val="59"/>
        </w:numPr>
        <w:autoSpaceDE w:val="0"/>
        <w:autoSpaceDN w:val="0"/>
        <w:adjustRightInd w:val="0"/>
        <w:spacing w:after="160" w:line="240" w:lineRule="auto"/>
        <w:ind w:left="709" w:hanging="283"/>
        <w:rPr>
          <w:rFonts w:ascii="Arial" w:hAnsi="Arial" w:cs="Arial"/>
          <w:sz w:val="24"/>
          <w:szCs w:val="24"/>
          <w:lang w:val="en"/>
        </w:rPr>
      </w:pPr>
      <w:r w:rsidRPr="006F58D3">
        <w:rPr>
          <w:rFonts w:ascii="Arial" w:hAnsi="Arial" w:cs="Arial"/>
          <w:sz w:val="24"/>
          <w:szCs w:val="24"/>
          <w:lang w:val="en"/>
        </w:rPr>
        <w:t>Port Salford early infrastructure work – Salford - £6m</w:t>
      </w:r>
    </w:p>
    <w:p w14:paraId="369E3270" w14:textId="77777777" w:rsidR="00016C24" w:rsidRPr="006F58D3" w:rsidRDefault="00016C24" w:rsidP="00EB27EB">
      <w:pPr>
        <w:pStyle w:val="ListParagraph"/>
        <w:numPr>
          <w:ilvl w:val="0"/>
          <w:numId w:val="59"/>
        </w:numPr>
        <w:autoSpaceDE w:val="0"/>
        <w:autoSpaceDN w:val="0"/>
        <w:adjustRightInd w:val="0"/>
        <w:spacing w:after="160" w:line="240" w:lineRule="auto"/>
        <w:ind w:left="709" w:hanging="283"/>
        <w:rPr>
          <w:rFonts w:ascii="Arial" w:hAnsi="Arial" w:cs="Arial"/>
          <w:sz w:val="24"/>
          <w:szCs w:val="24"/>
          <w:lang w:val="en"/>
        </w:rPr>
      </w:pPr>
      <w:r w:rsidRPr="006F58D3">
        <w:rPr>
          <w:rFonts w:ascii="Arial" w:hAnsi="Arial" w:cs="Arial"/>
          <w:sz w:val="24"/>
          <w:szCs w:val="24"/>
          <w:lang w:val="en"/>
        </w:rPr>
        <w:t>Conversion of iconic empty retail unit into new workspace – Stockport - £3.5m</w:t>
      </w:r>
    </w:p>
    <w:p w14:paraId="6E01BDB0" w14:textId="77777777" w:rsidR="00016C24" w:rsidRPr="006F58D3" w:rsidRDefault="00016C24" w:rsidP="00EB27EB">
      <w:pPr>
        <w:pStyle w:val="ListParagraph"/>
        <w:numPr>
          <w:ilvl w:val="0"/>
          <w:numId w:val="59"/>
        </w:numPr>
        <w:autoSpaceDE w:val="0"/>
        <w:autoSpaceDN w:val="0"/>
        <w:adjustRightInd w:val="0"/>
        <w:spacing w:after="160" w:line="240" w:lineRule="auto"/>
        <w:ind w:left="709" w:hanging="283"/>
        <w:rPr>
          <w:rFonts w:ascii="Arial" w:hAnsi="Arial" w:cs="Arial"/>
          <w:sz w:val="24"/>
          <w:szCs w:val="24"/>
          <w:lang w:val="en"/>
        </w:rPr>
      </w:pPr>
      <w:r w:rsidRPr="006F58D3">
        <w:rPr>
          <w:rFonts w:ascii="Arial" w:hAnsi="Arial" w:cs="Arial"/>
          <w:sz w:val="24"/>
          <w:szCs w:val="24"/>
          <w:lang w:val="en"/>
        </w:rPr>
        <w:t>Stockport Exchange Phase 4 and Clean Energy Infrastructure - £4.2m</w:t>
      </w:r>
    </w:p>
    <w:p w14:paraId="53D70252" w14:textId="7D039CDF" w:rsidR="00016C24" w:rsidRPr="006F58D3" w:rsidRDefault="00016C24" w:rsidP="00016C24">
      <w:pPr>
        <w:spacing w:after="160"/>
        <w:ind w:left="426"/>
        <w:rPr>
          <w:rStyle w:val="normaltextrun"/>
          <w:rFonts w:ascii="Arial" w:hAnsi="Arial" w:cs="Arial"/>
          <w:lang w:val="en" w:eastAsia="en-GB"/>
        </w:rPr>
      </w:pPr>
      <w:r w:rsidRPr="006F58D3">
        <w:rPr>
          <w:rFonts w:ascii="Arial" w:hAnsi="Arial" w:cs="Arial"/>
          <w:lang w:val="en" w:eastAsia="en-GB"/>
        </w:rPr>
        <w:t>The schemes are predicted to create almost 12,000 direct jobs and a further 1,876 employment opportunities in construction. A total of 45 apprenticeships will follow as will the building of more than 1,000 new homes and 4.5km of roads, cycle ways and walkways supporting 29 businesses and 205,000</w:t>
      </w:r>
      <w:r w:rsidR="00927C84">
        <w:rPr>
          <w:rFonts w:ascii="Arial" w:hAnsi="Arial" w:cs="Arial"/>
          <w:lang w:val="en" w:eastAsia="en-GB"/>
        </w:rPr>
        <w:t>m</w:t>
      </w:r>
      <w:r w:rsidR="00927C84" w:rsidRPr="00927C84">
        <w:rPr>
          <w:rFonts w:ascii="Arial" w:hAnsi="Arial" w:cs="Arial"/>
          <w:vertAlign w:val="superscript"/>
          <w:lang w:val="en" w:eastAsia="en-GB"/>
        </w:rPr>
        <w:t>2</w:t>
      </w:r>
      <w:r w:rsidRPr="006F58D3">
        <w:rPr>
          <w:rFonts w:ascii="Arial" w:hAnsi="Arial" w:cs="Arial"/>
          <w:lang w:val="en" w:eastAsia="en-GB"/>
        </w:rPr>
        <w:t xml:space="preserve"> of commercial space.</w:t>
      </w:r>
      <w:r w:rsidRPr="006F58D3">
        <w:rPr>
          <w:rFonts w:ascii="Arial" w:eastAsiaTheme="minorHAnsi" w:hAnsi="Arial" w:cs="Arial"/>
        </w:rPr>
        <w:t xml:space="preserve"> </w:t>
      </w:r>
      <w:bookmarkEnd w:id="16"/>
    </w:p>
    <w:p w14:paraId="7A80E784" w14:textId="77777777" w:rsidR="00016C24" w:rsidRPr="00C9289E" w:rsidRDefault="00016C24" w:rsidP="00016C24">
      <w:pPr>
        <w:pStyle w:val="paragraph"/>
        <w:spacing w:before="0" w:beforeAutospacing="0" w:after="160" w:afterAutospacing="0"/>
        <w:textAlignment w:val="baseline"/>
        <w:rPr>
          <w:rFonts w:ascii="Arial" w:eastAsia="Palatino Linotype" w:hAnsi="Arial" w:cs="Arial"/>
          <w:b/>
          <w:bCs/>
          <w:sz w:val="26"/>
          <w:szCs w:val="26"/>
        </w:rPr>
      </w:pPr>
      <w:r w:rsidRPr="00C9289E">
        <w:rPr>
          <w:rStyle w:val="normaltextrun"/>
          <w:rFonts w:ascii="Arial" w:eastAsia="Palatino Linotype" w:hAnsi="Arial" w:cs="Arial"/>
          <w:b/>
          <w:bCs/>
          <w:sz w:val="26"/>
          <w:szCs w:val="26"/>
        </w:rPr>
        <w:t>Business Support and Innovation</w:t>
      </w:r>
    </w:p>
    <w:p w14:paraId="3E3EAA17" w14:textId="77777777" w:rsidR="00016C24" w:rsidRPr="00C9289E" w:rsidRDefault="00016C24" w:rsidP="00016C24">
      <w:pPr>
        <w:pStyle w:val="paragraph"/>
        <w:spacing w:before="0" w:beforeAutospacing="0" w:after="160" w:afterAutospacing="0"/>
        <w:textAlignment w:val="baseline"/>
        <w:rPr>
          <w:rStyle w:val="normaltextrun"/>
          <w:rFonts w:ascii="Arial" w:hAnsi="Arial" w:cs="Arial"/>
          <w:sz w:val="18"/>
          <w:szCs w:val="18"/>
        </w:rPr>
      </w:pPr>
      <w:r w:rsidRPr="00C9289E">
        <w:rPr>
          <w:rStyle w:val="normaltextrun"/>
          <w:rFonts w:ascii="Arial" w:eastAsia="Palatino Linotype" w:hAnsi="Arial" w:cs="Arial"/>
        </w:rPr>
        <w:t xml:space="preserve">Greater Manchester has an economy worth over £74bn and around 120,000 businesses, with a diverse business base and a number of world leading industries from health innovation to digital industries, to engineering and financial services along with the largest cultural and creative cluster outside London. </w:t>
      </w:r>
      <w:bookmarkStart w:id="17" w:name="_Hlk107407370"/>
      <w:r w:rsidRPr="00C9289E">
        <w:rPr>
          <w:rStyle w:val="normaltextrun"/>
          <w:rFonts w:ascii="Arial" w:eastAsia="Palatino Linotype" w:hAnsi="Arial" w:cs="Arial"/>
        </w:rPr>
        <w:t xml:space="preserve">Over the last year, GMCA’s business-led innovation network, Innovation Greater Manchester, has been connecting the world-leading research </w:t>
      </w:r>
      <w:r>
        <w:rPr>
          <w:rStyle w:val="normaltextrun"/>
          <w:rFonts w:ascii="Arial" w:eastAsia="Palatino Linotype" w:hAnsi="Arial" w:cs="Arial"/>
        </w:rPr>
        <w:t>and</w:t>
      </w:r>
      <w:r w:rsidRPr="00C9289E">
        <w:rPr>
          <w:rStyle w:val="normaltextrun"/>
          <w:rFonts w:ascii="Arial" w:eastAsia="Palatino Linotype" w:hAnsi="Arial" w:cs="Arial"/>
        </w:rPr>
        <w:t xml:space="preserve"> development happening in the city region with businesses and growth opportunities. In February, Greater Manchester was selected by UK Government as one of three Innovation Accelerator areas to be supported by £100m of new government funding.</w:t>
      </w:r>
    </w:p>
    <w:bookmarkEnd w:id="17"/>
    <w:p w14:paraId="05100701" w14:textId="77777777" w:rsidR="00016C24" w:rsidRPr="00C9289E" w:rsidRDefault="00016C24" w:rsidP="00016C24">
      <w:pPr>
        <w:pStyle w:val="paragraph"/>
        <w:spacing w:before="0" w:beforeAutospacing="0" w:after="160" w:afterAutospacing="0"/>
        <w:textAlignment w:val="baseline"/>
        <w:rPr>
          <w:rFonts w:ascii="Arial" w:eastAsia="Palatino Linotype" w:hAnsi="Arial" w:cs="Arial"/>
          <w:i/>
          <w:iCs/>
        </w:rPr>
      </w:pPr>
      <w:r w:rsidRPr="00C9289E">
        <w:rPr>
          <w:rStyle w:val="normaltextrun"/>
          <w:rFonts w:ascii="Arial" w:eastAsia="Palatino Linotype" w:hAnsi="Arial" w:cs="Arial"/>
          <w:i/>
          <w:iCs/>
        </w:rPr>
        <w:t>Business Growth Hub: </w:t>
      </w:r>
    </w:p>
    <w:p w14:paraId="52E97240" w14:textId="77777777" w:rsidR="00016C24" w:rsidRPr="00C9289E" w:rsidRDefault="00016C24" w:rsidP="00016C24">
      <w:pPr>
        <w:pStyle w:val="paragraph"/>
        <w:spacing w:before="0" w:beforeAutospacing="0" w:after="160" w:afterAutospacing="0"/>
        <w:textAlignment w:val="baseline"/>
        <w:rPr>
          <w:rStyle w:val="normaltextrun"/>
          <w:rFonts w:ascii="Arial" w:hAnsi="Arial" w:cs="Arial"/>
          <w:sz w:val="18"/>
          <w:szCs w:val="18"/>
        </w:rPr>
      </w:pPr>
      <w:r w:rsidRPr="00C9289E">
        <w:rPr>
          <w:rStyle w:val="normaltextrun"/>
          <w:rFonts w:ascii="Arial" w:eastAsia="Palatino Linotype" w:hAnsi="Arial" w:cs="Arial"/>
        </w:rPr>
        <w:t>To maintain and grow the Greater Manchester business base, it is essential that the city region’s business support infrastructure continues to be fit for purpose</w:t>
      </w:r>
      <w:r>
        <w:rPr>
          <w:rStyle w:val="normaltextrun"/>
          <w:rFonts w:ascii="Arial" w:eastAsia="Palatino Linotype" w:hAnsi="Arial" w:cs="Arial"/>
        </w:rPr>
        <w:t xml:space="preserve">, </w:t>
      </w:r>
      <w:r w:rsidRPr="00C9289E">
        <w:rPr>
          <w:rStyle w:val="normaltextrun"/>
          <w:rFonts w:ascii="Arial" w:eastAsia="Palatino Linotype" w:hAnsi="Arial" w:cs="Arial"/>
        </w:rPr>
        <w:t>providing an integrated service to bring trade, investment and growth to Greater Manchester.</w:t>
      </w:r>
      <w:r w:rsidRPr="00C9289E">
        <w:rPr>
          <w:rStyle w:val="eop"/>
          <w:rFonts w:ascii="Arial" w:hAnsi="Arial" w:cs="Arial"/>
        </w:rPr>
        <w:t> </w:t>
      </w:r>
    </w:p>
    <w:p w14:paraId="60D0E6A0" w14:textId="77777777" w:rsidR="00016C24" w:rsidRPr="00C9289E" w:rsidRDefault="00016C24" w:rsidP="00016C24">
      <w:pPr>
        <w:pStyle w:val="paragraph"/>
        <w:spacing w:before="0" w:beforeAutospacing="0" w:after="160" w:afterAutospacing="0"/>
        <w:textAlignment w:val="baseline"/>
        <w:rPr>
          <w:rStyle w:val="eop"/>
          <w:rFonts w:ascii="Arial" w:hAnsi="Arial" w:cs="Arial"/>
        </w:rPr>
      </w:pPr>
      <w:r w:rsidRPr="00C9289E">
        <w:rPr>
          <w:rStyle w:val="normaltextrun"/>
          <w:rFonts w:ascii="Arial" w:eastAsia="Palatino Linotype" w:hAnsi="Arial" w:cs="Arial"/>
        </w:rPr>
        <w:lastRenderedPageBreak/>
        <w:t xml:space="preserve">The Business Growth Hub (BGH) is delivered by the Growth Company. It provides a single ‘go to’ access point for impartial and trusted business advice and support. The Hub, which delivers a range of </w:t>
      </w:r>
      <w:r>
        <w:rPr>
          <w:rStyle w:val="normaltextrun"/>
          <w:rFonts w:ascii="Arial" w:eastAsia="Palatino Linotype" w:hAnsi="Arial" w:cs="Arial"/>
        </w:rPr>
        <w:t>b</w:t>
      </w:r>
      <w:r w:rsidRPr="00C9289E">
        <w:rPr>
          <w:rStyle w:val="normaltextrun"/>
          <w:rFonts w:ascii="Arial" w:eastAsia="Palatino Linotype" w:hAnsi="Arial" w:cs="Arial"/>
        </w:rPr>
        <w:t xml:space="preserve">usiness </w:t>
      </w:r>
      <w:r>
        <w:rPr>
          <w:rStyle w:val="normaltextrun"/>
          <w:rFonts w:ascii="Arial" w:eastAsia="Palatino Linotype" w:hAnsi="Arial" w:cs="Arial"/>
        </w:rPr>
        <w:t>s</w:t>
      </w:r>
      <w:r w:rsidRPr="00C9289E">
        <w:rPr>
          <w:rStyle w:val="normaltextrun"/>
          <w:rFonts w:ascii="Arial" w:eastAsia="Palatino Linotype" w:hAnsi="Arial" w:cs="Arial"/>
        </w:rPr>
        <w:t xml:space="preserve">tart-up and </w:t>
      </w:r>
      <w:r>
        <w:rPr>
          <w:rStyle w:val="normaltextrun"/>
          <w:rFonts w:ascii="Arial" w:eastAsia="Palatino Linotype" w:hAnsi="Arial" w:cs="Arial"/>
        </w:rPr>
        <w:t>g</w:t>
      </w:r>
      <w:r w:rsidRPr="00C9289E">
        <w:rPr>
          <w:rStyle w:val="normaltextrun"/>
          <w:rFonts w:ascii="Arial" w:eastAsia="Palatino Linotype" w:hAnsi="Arial" w:cs="Arial"/>
        </w:rPr>
        <w:t>rowth advice specialist services, also integrates national and local schemes, making accessing the best of public and private sector business support simpler.</w:t>
      </w:r>
    </w:p>
    <w:p w14:paraId="492C7F1C" w14:textId="229EF71D" w:rsidR="00016C24" w:rsidRPr="00C9289E" w:rsidRDefault="00016C24" w:rsidP="00016C24">
      <w:pPr>
        <w:pStyle w:val="paragraph"/>
        <w:spacing w:before="0" w:beforeAutospacing="0" w:after="160" w:afterAutospacing="0"/>
        <w:textAlignment w:val="baseline"/>
        <w:rPr>
          <w:rFonts w:ascii="Arial" w:hAnsi="Arial" w:cs="Arial"/>
          <w:sz w:val="18"/>
          <w:szCs w:val="18"/>
        </w:rPr>
      </w:pPr>
      <w:r w:rsidRPr="00C9289E">
        <w:rPr>
          <w:rStyle w:val="normaltextrun"/>
          <w:rFonts w:ascii="Arial" w:eastAsia="Palatino Linotype" w:hAnsi="Arial" w:cs="Arial"/>
        </w:rPr>
        <w:t>BGH has performed well in 2021</w:t>
      </w:r>
      <w:r w:rsidR="00982B95">
        <w:rPr>
          <w:rStyle w:val="normaltextrun"/>
          <w:rFonts w:ascii="Arial" w:eastAsia="Palatino Linotype" w:hAnsi="Arial" w:cs="Arial"/>
        </w:rPr>
        <w:t>/</w:t>
      </w:r>
      <w:r w:rsidRPr="00C9289E">
        <w:rPr>
          <w:rStyle w:val="normaltextrun"/>
          <w:rFonts w:ascii="Arial" w:eastAsia="Palatino Linotype" w:hAnsi="Arial" w:cs="Arial"/>
        </w:rPr>
        <w:t>22 exceeding a range of</w:t>
      </w:r>
      <w:r w:rsidR="00982B95">
        <w:rPr>
          <w:rStyle w:val="normaltextrun"/>
          <w:rFonts w:ascii="Arial" w:eastAsia="Palatino Linotype" w:hAnsi="Arial" w:cs="Arial"/>
        </w:rPr>
        <w:t xml:space="preserve"> </w:t>
      </w:r>
      <w:r w:rsidRPr="00C9289E">
        <w:rPr>
          <w:rStyle w:val="normaltextrun"/>
          <w:rFonts w:ascii="Arial" w:eastAsia="Palatino Linotype" w:hAnsi="Arial" w:cs="Arial"/>
        </w:rPr>
        <w:t>targets</w:t>
      </w:r>
      <w:r w:rsidR="00982B95">
        <w:rPr>
          <w:rStyle w:val="normaltextrun"/>
          <w:rFonts w:ascii="Arial" w:eastAsia="Palatino Linotype" w:hAnsi="Arial" w:cs="Arial"/>
        </w:rPr>
        <w:t xml:space="preserve"> </w:t>
      </w:r>
      <w:r w:rsidRPr="00C9289E">
        <w:rPr>
          <w:rStyle w:val="normaltextrun"/>
          <w:rFonts w:ascii="Arial" w:eastAsia="Palatino Linotype" w:hAnsi="Arial" w:cs="Arial"/>
        </w:rPr>
        <w:t>across a broad range of external and internal agendas in a very uncertain policy, commercial and commissioning environment, arising from the impact of COVID-19 and the UK’s exit from the European Union.</w:t>
      </w:r>
    </w:p>
    <w:p w14:paraId="4B154018" w14:textId="4549761C" w:rsidR="00016C24" w:rsidRPr="00C9289E" w:rsidRDefault="00016C24" w:rsidP="00016C24">
      <w:pPr>
        <w:pStyle w:val="paragraph"/>
        <w:spacing w:before="0" w:beforeAutospacing="0" w:after="160" w:afterAutospacing="0"/>
        <w:textAlignment w:val="baseline"/>
        <w:rPr>
          <w:rStyle w:val="normaltextrun"/>
          <w:rFonts w:ascii="Arial" w:eastAsia="Palatino Linotype" w:hAnsi="Arial" w:cs="Arial"/>
        </w:rPr>
      </w:pPr>
      <w:r w:rsidRPr="00C9289E">
        <w:rPr>
          <w:rStyle w:val="normaltextrun"/>
          <w:rFonts w:ascii="Arial" w:eastAsia="Palatino Linotype" w:hAnsi="Arial" w:cs="Arial"/>
        </w:rPr>
        <w:t>BGH has continued to deliver a range of business support services in 2021</w:t>
      </w:r>
      <w:r w:rsidR="00982B95">
        <w:rPr>
          <w:rStyle w:val="normaltextrun"/>
          <w:rFonts w:ascii="Arial" w:eastAsia="Palatino Linotype" w:hAnsi="Arial" w:cs="Arial"/>
        </w:rPr>
        <w:t>/</w:t>
      </w:r>
      <w:r w:rsidRPr="00C9289E">
        <w:rPr>
          <w:rStyle w:val="normaltextrun"/>
          <w:rFonts w:ascii="Arial" w:eastAsia="Palatino Linotype" w:hAnsi="Arial" w:cs="Arial"/>
        </w:rPr>
        <w:t>22, reporting throughout the year on performance to the Local Enterprise Partnership (LEP) and GMCA and providing crucial insights from current services to inform future activity through a Monthly Economic Monitoring Dashboard.</w:t>
      </w:r>
    </w:p>
    <w:p w14:paraId="0948BA47" w14:textId="77777777" w:rsidR="00016C24" w:rsidRPr="00C9289E" w:rsidRDefault="00016C24" w:rsidP="00016C24">
      <w:pPr>
        <w:pStyle w:val="paragraph"/>
        <w:spacing w:before="0" w:beforeAutospacing="0" w:after="160" w:afterAutospacing="0"/>
        <w:textAlignment w:val="baseline"/>
        <w:rPr>
          <w:rStyle w:val="normaltextrun"/>
          <w:rFonts w:ascii="Arial" w:eastAsia="Palatino Linotype" w:hAnsi="Arial" w:cs="Arial"/>
        </w:rPr>
      </w:pPr>
      <w:r w:rsidRPr="00C9289E">
        <w:rPr>
          <w:rStyle w:val="normaltextrun"/>
          <w:rFonts w:ascii="Arial" w:eastAsia="Palatino Linotype" w:hAnsi="Arial" w:cs="Arial"/>
        </w:rPr>
        <w:t>BGH provision has included a range of ongoing activities to support GM’s recovery from COVID-19 such as:</w:t>
      </w:r>
    </w:p>
    <w:p w14:paraId="461EFC4D" w14:textId="77777777" w:rsidR="00016C24" w:rsidRPr="006D749D" w:rsidRDefault="00016C24" w:rsidP="00EB27EB">
      <w:pPr>
        <w:pStyle w:val="paragraph"/>
        <w:numPr>
          <w:ilvl w:val="0"/>
          <w:numId w:val="62"/>
        </w:numPr>
        <w:spacing w:before="0" w:beforeAutospacing="0" w:after="0" w:afterAutospacing="0"/>
        <w:textAlignment w:val="baseline"/>
        <w:rPr>
          <w:rStyle w:val="normaltextrun"/>
          <w:rFonts w:ascii="Arial" w:eastAsia="Arial" w:hAnsi="Arial" w:cs="Arial"/>
        </w:rPr>
      </w:pPr>
      <w:r w:rsidRPr="00C9289E">
        <w:rPr>
          <w:rStyle w:val="normaltextrun"/>
          <w:rFonts w:ascii="Arial" w:hAnsi="Arial" w:cs="Arial"/>
        </w:rPr>
        <w:t xml:space="preserve">Growth Company Business Finance has continued to administer financial support provided by the LEP/GMCA to businesses and have been on the forefront as an accredited Coronavirus Business Interruption Scheme (CBILS) and Bounce Back Loan Scheme (BBLS) provider with additional local funding made available. </w:t>
      </w:r>
    </w:p>
    <w:p w14:paraId="2DC1ECE4" w14:textId="77777777" w:rsidR="00016C24" w:rsidRPr="006D749D" w:rsidRDefault="00016C24" w:rsidP="00EB27EB">
      <w:pPr>
        <w:pStyle w:val="paragraph"/>
        <w:numPr>
          <w:ilvl w:val="0"/>
          <w:numId w:val="62"/>
        </w:numPr>
        <w:spacing w:before="0" w:beforeAutospacing="0" w:after="0" w:afterAutospacing="0"/>
        <w:textAlignment w:val="baseline"/>
        <w:rPr>
          <w:rStyle w:val="normaltextrun"/>
          <w:rFonts w:ascii="Arial" w:eastAsia="Arial" w:hAnsi="Arial" w:cs="Arial"/>
        </w:rPr>
      </w:pPr>
      <w:r>
        <w:rPr>
          <w:rStyle w:val="normaltextrun"/>
          <w:rFonts w:ascii="Arial" w:hAnsi="Arial" w:cs="Arial"/>
        </w:rPr>
        <w:t>COVID-19 website – a dedicated COVID-19 landing page provides information to businesses on the support available and how to access.</w:t>
      </w:r>
    </w:p>
    <w:p w14:paraId="03A9B548" w14:textId="77777777" w:rsidR="00016C24" w:rsidRDefault="00016C24" w:rsidP="00EB27EB">
      <w:pPr>
        <w:pStyle w:val="paragraph"/>
        <w:numPr>
          <w:ilvl w:val="0"/>
          <w:numId w:val="62"/>
        </w:numPr>
        <w:spacing w:before="0" w:beforeAutospacing="0" w:after="0" w:afterAutospacing="0"/>
        <w:textAlignment w:val="baseline"/>
        <w:rPr>
          <w:rStyle w:val="normaltextrun"/>
          <w:rFonts w:ascii="Arial" w:eastAsia="Arial" w:hAnsi="Arial" w:cs="Arial"/>
        </w:rPr>
      </w:pPr>
      <w:proofErr w:type="gramStart"/>
      <w:r>
        <w:rPr>
          <w:rStyle w:val="normaltextrun"/>
          <w:rFonts w:ascii="Arial" w:hAnsi="Arial" w:cs="Arial"/>
        </w:rPr>
        <w:t>The Employ GM website,</w:t>
      </w:r>
      <w:proofErr w:type="gramEnd"/>
      <w:r>
        <w:rPr>
          <w:rStyle w:val="normaltextrun"/>
          <w:rFonts w:ascii="Arial" w:hAnsi="Arial" w:cs="Arial"/>
        </w:rPr>
        <w:t xml:space="preserve"> supported individuals and employers impacted by COVID-19.</w:t>
      </w:r>
    </w:p>
    <w:p w14:paraId="209C4574" w14:textId="77777777" w:rsidR="00016C24" w:rsidRPr="00C9289E" w:rsidRDefault="00016C24" w:rsidP="00016C24">
      <w:pPr>
        <w:pStyle w:val="paragraph"/>
        <w:spacing w:before="0" w:beforeAutospacing="0" w:after="0" w:afterAutospacing="0"/>
        <w:textAlignment w:val="baseline"/>
        <w:rPr>
          <w:rFonts w:ascii="Arial" w:hAnsi="Arial" w:cs="Arial"/>
        </w:rPr>
      </w:pPr>
    </w:p>
    <w:p w14:paraId="262132C2" w14:textId="77777777" w:rsidR="00016C24" w:rsidRDefault="00016C24" w:rsidP="00016C24">
      <w:pPr>
        <w:pStyle w:val="paragraph"/>
        <w:spacing w:before="0" w:beforeAutospacing="0" w:after="0" w:afterAutospacing="0"/>
        <w:textAlignment w:val="baseline"/>
        <w:rPr>
          <w:rStyle w:val="normaltextrun"/>
          <w:rFonts w:ascii="Arial" w:hAnsi="Arial" w:cs="Arial"/>
        </w:rPr>
      </w:pPr>
      <w:r w:rsidRPr="00C9289E">
        <w:rPr>
          <w:rStyle w:val="normaltextrun"/>
          <w:rFonts w:ascii="Arial" w:eastAsia="Palatino Linotype" w:hAnsi="Arial" w:cs="Arial"/>
        </w:rPr>
        <w:t>BGH has continued to deliver a range of other business support and guidance to Greater Manchester businesses, such as the Business Productivity and Inclusive Programme, which moved into a new phase in January 2022, under the Business Productivity, Innovation and Inclusive Growth Programme. This programme focuses on innovation and inclusive growth and is driving productivity in small to medium sized enterprises (SMEs) through its diverse projects.</w:t>
      </w:r>
    </w:p>
    <w:p w14:paraId="62A4F81E" w14:textId="77777777" w:rsidR="00016C24" w:rsidRDefault="00016C24" w:rsidP="00016C24">
      <w:pPr>
        <w:pStyle w:val="paragraph"/>
        <w:spacing w:before="0" w:beforeAutospacing="0" w:after="0" w:afterAutospacing="0"/>
        <w:textAlignment w:val="baseline"/>
        <w:rPr>
          <w:rStyle w:val="normaltextrun"/>
          <w:rFonts w:ascii="Arial" w:hAnsi="Arial" w:cs="Arial"/>
        </w:rPr>
      </w:pPr>
    </w:p>
    <w:p w14:paraId="6DCF8737" w14:textId="77777777" w:rsidR="00016C24" w:rsidRDefault="00016C24" w:rsidP="00016C24">
      <w:pPr>
        <w:pStyle w:val="paragraph"/>
        <w:spacing w:before="0" w:beforeAutospacing="0" w:after="0" w:afterAutospacing="0"/>
        <w:textAlignment w:val="baseline"/>
        <w:rPr>
          <w:rFonts w:ascii="Arial" w:hAnsi="Arial" w:cs="Arial"/>
        </w:rPr>
      </w:pPr>
      <w:r w:rsidRPr="00455253">
        <w:rPr>
          <w:rStyle w:val="normaltextrun"/>
          <w:rFonts w:ascii="Arial" w:eastAsia="Palatino Linotype" w:hAnsi="Arial" w:cs="Arial"/>
          <w:i/>
          <w:iCs/>
        </w:rPr>
        <w:t>Digital City Region</w:t>
      </w:r>
    </w:p>
    <w:p w14:paraId="4D832D89" w14:textId="77777777" w:rsidR="00016C24" w:rsidRDefault="00016C24" w:rsidP="00016C24">
      <w:pPr>
        <w:pStyle w:val="paragraph"/>
        <w:spacing w:before="0" w:beforeAutospacing="0" w:after="0" w:afterAutospacing="0"/>
        <w:textAlignment w:val="baseline"/>
        <w:rPr>
          <w:rFonts w:ascii="Arial" w:hAnsi="Arial" w:cs="Arial"/>
        </w:rPr>
      </w:pPr>
    </w:p>
    <w:p w14:paraId="3C76B19E" w14:textId="0026339A" w:rsidR="00016C24" w:rsidRDefault="00016C24" w:rsidP="00016C24">
      <w:pPr>
        <w:pStyle w:val="paragraph"/>
        <w:spacing w:before="0" w:beforeAutospacing="0" w:after="0" w:afterAutospacing="0"/>
        <w:textAlignment w:val="baseline"/>
        <w:rPr>
          <w:rStyle w:val="normaltextrun"/>
          <w:rFonts w:ascii="Arial" w:eastAsia="Palatino Linotype" w:hAnsi="Arial" w:cs="Arial"/>
          <w:lang w:val="en"/>
        </w:rPr>
      </w:pPr>
      <w:r w:rsidRPr="004942FC">
        <w:rPr>
          <w:rStyle w:val="normaltextrun"/>
          <w:rFonts w:ascii="Arial" w:eastAsia="Palatino Linotype" w:hAnsi="Arial" w:cs="Arial"/>
        </w:rPr>
        <w:t xml:space="preserve">Greater Manchester has made important strides in becoming the UK’s leading Digital City region. During 2018-20 </w:t>
      </w:r>
      <w:r w:rsidRPr="004942FC">
        <w:rPr>
          <w:rStyle w:val="normaltextrun"/>
          <w:rFonts w:ascii="Arial" w:eastAsia="Palatino Linotype" w:hAnsi="Arial" w:cs="Arial"/>
          <w:lang w:val="en"/>
        </w:rPr>
        <w:t>our priorities evolved and a refreshed Greater Manchester Digital Blueprint was launched in 2020. The Blueprint is focused on delivering benefits that help the city region’s people lead healthier, happier lives. Each of our five digital priorities and two cross-cutting enablers, co-designed and developed with the input of key stakeholders is supported by pan-Greater Manchester public sector projects. These combine</w:t>
      </w:r>
      <w:r>
        <w:rPr>
          <w:rStyle w:val="normaltextrun"/>
          <w:rFonts w:ascii="Arial" w:eastAsia="Palatino Linotype" w:hAnsi="Arial" w:cs="Arial"/>
          <w:lang w:val="en"/>
        </w:rPr>
        <w:t>d</w:t>
      </w:r>
      <w:r w:rsidRPr="004942FC">
        <w:rPr>
          <w:rStyle w:val="normaltextrun"/>
          <w:rFonts w:ascii="Arial" w:eastAsia="Palatino Linotype" w:hAnsi="Arial" w:cs="Arial"/>
          <w:lang w:val="en"/>
        </w:rPr>
        <w:t xml:space="preserve"> with inclusive community, local authority, private, </w:t>
      </w:r>
      <w:proofErr w:type="gramStart"/>
      <w:r w:rsidRPr="004942FC">
        <w:rPr>
          <w:rStyle w:val="normaltextrun"/>
          <w:rFonts w:ascii="Arial" w:eastAsia="Palatino Linotype" w:hAnsi="Arial" w:cs="Arial"/>
          <w:lang w:val="en"/>
        </w:rPr>
        <w:t>not-for-profit</w:t>
      </w:r>
      <w:proofErr w:type="gramEnd"/>
      <w:r w:rsidRPr="004942FC">
        <w:rPr>
          <w:rStyle w:val="normaltextrun"/>
          <w:rFonts w:ascii="Arial" w:eastAsia="Palatino Linotype" w:hAnsi="Arial" w:cs="Arial"/>
          <w:lang w:val="en"/>
        </w:rPr>
        <w:t xml:space="preserve"> and academic work</w:t>
      </w:r>
      <w:r w:rsidR="00BB1644" w:rsidRPr="004942FC">
        <w:rPr>
          <w:rStyle w:val="normaltextrun"/>
          <w:rFonts w:ascii="Arial" w:eastAsia="Palatino Linotype" w:hAnsi="Arial" w:cs="Arial"/>
          <w:lang w:val="en"/>
        </w:rPr>
        <w:t>.</w:t>
      </w:r>
      <w:r w:rsidR="00BB1644">
        <w:rPr>
          <w:rStyle w:val="normaltextrun"/>
          <w:rFonts w:ascii="Arial" w:eastAsia="Palatino Linotype" w:hAnsi="Arial" w:cs="Arial"/>
          <w:lang w:val="en"/>
        </w:rPr>
        <w:t xml:space="preserve"> </w:t>
      </w:r>
      <w:r w:rsidRPr="004942FC">
        <w:rPr>
          <w:rStyle w:val="normaltextrun"/>
          <w:rFonts w:ascii="Arial" w:eastAsia="Palatino Linotype" w:hAnsi="Arial" w:cs="Arial"/>
          <w:lang w:val="en"/>
        </w:rPr>
        <w:t xml:space="preserve">The plan connects the wealth of digital change and will help us reach a shared ambition that underpins and enables both the </w:t>
      </w:r>
      <w:hyperlink r:id="rId13" w:tgtFrame="_blank" w:history="1">
        <w:r w:rsidRPr="004942FC">
          <w:rPr>
            <w:rStyle w:val="normaltextrun"/>
            <w:rFonts w:ascii="Arial" w:eastAsia="Palatino Linotype" w:hAnsi="Arial" w:cs="Arial"/>
            <w:lang w:val="en"/>
          </w:rPr>
          <w:t>Local Industrial Strategy</w:t>
        </w:r>
      </w:hyperlink>
      <w:r w:rsidRPr="004942FC">
        <w:rPr>
          <w:rStyle w:val="normaltextrun"/>
          <w:rFonts w:ascii="Arial" w:eastAsia="Palatino Linotype" w:hAnsi="Arial" w:cs="Arial"/>
          <w:lang w:val="en"/>
        </w:rPr>
        <w:t xml:space="preserve"> and the </w:t>
      </w:r>
      <w:hyperlink r:id="rId14" w:tgtFrame="_blank" w:history="1">
        <w:r w:rsidRPr="004942FC">
          <w:rPr>
            <w:rStyle w:val="normaltextrun"/>
            <w:rFonts w:ascii="Arial" w:eastAsia="Palatino Linotype" w:hAnsi="Arial" w:cs="Arial"/>
            <w:lang w:val="en"/>
          </w:rPr>
          <w:t>Greater Manchester Strategy</w:t>
        </w:r>
      </w:hyperlink>
      <w:r w:rsidRPr="004942FC">
        <w:rPr>
          <w:rStyle w:val="normaltextrun"/>
          <w:rFonts w:ascii="Arial" w:eastAsia="Palatino Linotype" w:hAnsi="Arial" w:cs="Arial"/>
          <w:lang w:val="en"/>
        </w:rPr>
        <w:t>.</w:t>
      </w:r>
    </w:p>
    <w:p w14:paraId="3088D3DD" w14:textId="77777777" w:rsidR="00016C24" w:rsidRPr="004942FC" w:rsidRDefault="00016C24" w:rsidP="00016C24">
      <w:pPr>
        <w:pStyle w:val="paragraph"/>
        <w:spacing w:before="0" w:beforeAutospacing="0" w:after="0" w:afterAutospacing="0"/>
        <w:textAlignment w:val="baseline"/>
        <w:rPr>
          <w:rFonts w:ascii="Arial" w:hAnsi="Arial" w:cs="Arial"/>
        </w:rPr>
      </w:pPr>
    </w:p>
    <w:p w14:paraId="0C349A7B" w14:textId="072A4CD3" w:rsidR="00016C24" w:rsidRPr="004942FC" w:rsidRDefault="00016C24" w:rsidP="00016C24">
      <w:pPr>
        <w:pStyle w:val="paragraph"/>
        <w:spacing w:before="0" w:beforeAutospacing="0" w:after="160" w:afterAutospacing="0"/>
        <w:textAlignment w:val="baseline"/>
        <w:rPr>
          <w:rFonts w:ascii="Arial" w:hAnsi="Arial" w:cs="Arial"/>
        </w:rPr>
      </w:pPr>
      <w:r w:rsidRPr="004942FC">
        <w:rPr>
          <w:rStyle w:val="normaltextrun"/>
          <w:rFonts w:ascii="Arial" w:eastAsia="Palatino Linotype" w:hAnsi="Arial" w:cs="Arial"/>
        </w:rPr>
        <w:t>The range of initiatives and successes in Greater Manchester’s digital portfolio</w:t>
      </w:r>
      <w:r w:rsidR="00982B95">
        <w:rPr>
          <w:rStyle w:val="normaltextrun"/>
          <w:rFonts w:ascii="Arial" w:eastAsia="Palatino Linotype" w:hAnsi="Arial" w:cs="Arial"/>
        </w:rPr>
        <w:t xml:space="preserve"> </w:t>
      </w:r>
      <w:r w:rsidRPr="004942FC">
        <w:rPr>
          <w:rStyle w:val="normaltextrun"/>
          <w:rFonts w:ascii="Arial" w:eastAsia="Palatino Linotype" w:hAnsi="Arial" w:cs="Arial"/>
        </w:rPr>
        <w:t>is increasing with initiatives like the largest Local Full Fibre Networks (LFFN) programme in the UK.</w:t>
      </w:r>
      <w:r w:rsidRPr="004942FC">
        <w:rPr>
          <w:rFonts w:ascii="Arial" w:hAnsi="Arial" w:cs="Arial"/>
        </w:rPr>
        <w:t xml:space="preserve"> With funding of £20m from </w:t>
      </w:r>
      <w:r>
        <w:rPr>
          <w:rFonts w:ascii="Arial" w:hAnsi="Arial" w:cs="Arial"/>
        </w:rPr>
        <w:t>g</w:t>
      </w:r>
      <w:r w:rsidRPr="004942FC">
        <w:rPr>
          <w:rFonts w:ascii="Arial" w:hAnsi="Arial" w:cs="Arial"/>
        </w:rPr>
        <w:t xml:space="preserve">overnment grant plus investment from GMCA and seven of the GM local authorities, over the last year the final stages of laying up to </w:t>
      </w:r>
      <w:r w:rsidRPr="004942FC">
        <w:rPr>
          <w:rFonts w:ascii="Arial" w:hAnsi="Arial" w:cs="Arial"/>
        </w:rPr>
        <w:lastRenderedPageBreak/>
        <w:t>2,700km of new fibre infrastructure across Greater Manchester has taken place. This work will be complete by early 2022/23 and will connect approximately</w:t>
      </w:r>
      <w:r w:rsidR="007B4CF2">
        <w:rPr>
          <w:rFonts w:ascii="Arial" w:hAnsi="Arial" w:cs="Arial"/>
        </w:rPr>
        <w:t xml:space="preserve"> </w:t>
      </w:r>
      <w:r w:rsidRPr="004942FC">
        <w:rPr>
          <w:rFonts w:ascii="Arial" w:hAnsi="Arial" w:cs="Arial"/>
        </w:rPr>
        <w:t xml:space="preserve">1,600 public sites, pushing fibre into new areas of Greater Manchester. </w:t>
      </w:r>
    </w:p>
    <w:p w14:paraId="59172850" w14:textId="1C427859" w:rsidR="00016C24" w:rsidRPr="004942FC" w:rsidRDefault="00016C24" w:rsidP="00016C24">
      <w:pPr>
        <w:pStyle w:val="paragraph"/>
        <w:spacing w:before="0" w:beforeAutospacing="0" w:after="160" w:afterAutospacing="0"/>
        <w:textAlignment w:val="baseline"/>
        <w:rPr>
          <w:rFonts w:ascii="Arial" w:hAnsi="Arial" w:cs="Arial"/>
        </w:rPr>
      </w:pPr>
      <w:r w:rsidRPr="004942FC">
        <w:rPr>
          <w:rFonts w:ascii="Arial" w:hAnsi="Arial" w:cs="Arial"/>
        </w:rPr>
        <w:t>As part of the GM LFFN grant agreement, GMCA and each of participating local authorities committed to using the fibre infrastructure by operating a “Wide Area Network” (WAN) so that users and computers in one location could communicate with users and computers in other locations. In 2020 several of the partners with similar WAN contract end dates agreed to jointly procure WAN services across the LFFN fibre infrastructure for their own organisational needs and to take advantage of economies of scale whilst still enabling each organisation to manage its own services across the shared network.</w:t>
      </w:r>
    </w:p>
    <w:p w14:paraId="687277C7" w14:textId="35802496" w:rsidR="00016C24" w:rsidRDefault="00016C24" w:rsidP="00016C24">
      <w:pPr>
        <w:pStyle w:val="paragraph"/>
        <w:spacing w:before="0" w:beforeAutospacing="0" w:after="160" w:afterAutospacing="0"/>
        <w:textAlignment w:val="baseline"/>
        <w:rPr>
          <w:rFonts w:ascii="Arial" w:hAnsi="Arial" w:cs="Arial"/>
        </w:rPr>
      </w:pPr>
      <w:r w:rsidRPr="004942FC">
        <w:rPr>
          <w:rFonts w:ascii="Arial" w:hAnsi="Arial" w:cs="Arial"/>
        </w:rPr>
        <w:t>During 2021/22 having undertaken significant financial and technical analysis and developed a collaborative approach, four GM local authorities and GMCA agreed to commence a joint procurement for network services under the collective title of the ‘GM One Network’ with GMCA as the lead contractor. In March 2022 following a rigorous procurement process, Cisco International was selected as preferred bidder for Greater Manchester One Network to deliver Wide Area Network services for GMCA including GM Fire and Rescue, Transport for Greater Manchester (TfGM) Urban Traffic Controls Signals and select TfGM sites and Stockport, Oldham, Bury and Rochdale Councils</w:t>
      </w:r>
      <w:r>
        <w:rPr>
          <w:rFonts w:ascii="Arial" w:hAnsi="Arial" w:cs="Arial"/>
        </w:rPr>
        <w:t>. This procurement was one of the first to use the Social Value Portal and will generate additional benefits through social value work.</w:t>
      </w:r>
    </w:p>
    <w:p w14:paraId="0A69EAA8" w14:textId="77777777" w:rsidR="00016C24" w:rsidRDefault="00016C24" w:rsidP="00016C24">
      <w:pPr>
        <w:pStyle w:val="paragraph"/>
        <w:spacing w:before="0" w:beforeAutospacing="0" w:after="160" w:afterAutospacing="0"/>
        <w:textAlignment w:val="baseline"/>
        <w:rPr>
          <w:rFonts w:ascii="Arial" w:hAnsi="Arial" w:cs="Arial"/>
        </w:rPr>
      </w:pPr>
      <w:r>
        <w:rPr>
          <w:rFonts w:ascii="Arial" w:hAnsi="Arial" w:cs="Arial"/>
        </w:rPr>
        <w:t xml:space="preserve">Alongside this activity, </w:t>
      </w:r>
    </w:p>
    <w:p w14:paraId="1C5BEEF3" w14:textId="77777777" w:rsidR="00016C24" w:rsidRDefault="00016C24" w:rsidP="00EB27EB">
      <w:pPr>
        <w:pStyle w:val="paragraph"/>
        <w:numPr>
          <w:ilvl w:val="0"/>
          <w:numId w:val="60"/>
        </w:numPr>
        <w:spacing w:before="0" w:beforeAutospacing="0" w:after="160" w:afterAutospacing="0"/>
        <w:textAlignment w:val="baseline"/>
        <w:rPr>
          <w:rFonts w:ascii="Arial" w:hAnsi="Arial" w:cs="Arial"/>
        </w:rPr>
      </w:pPr>
      <w:r>
        <w:rPr>
          <w:rFonts w:ascii="Arial" w:hAnsi="Arial" w:cs="Arial"/>
        </w:rPr>
        <w:t>The GMCA Digital Transformation team has worked with localities to develop and deploy the first parts of the GM Early Years solution, with over 20,000 health visitor assessments been completed digitally and increasing. Work is underway on a Government funded programme that will enable Supporting Families teams in four localities to be more easily data driven. This team has also deployed systems relating to A Bed Every Night and, during the pandemic, a Community Hub application and a local ‘Track and Trace’ system.</w:t>
      </w:r>
    </w:p>
    <w:p w14:paraId="0DEA916F" w14:textId="77777777" w:rsidR="00016C24" w:rsidRDefault="00016C24" w:rsidP="00EB27EB">
      <w:pPr>
        <w:pStyle w:val="paragraph"/>
        <w:numPr>
          <w:ilvl w:val="0"/>
          <w:numId w:val="60"/>
        </w:numPr>
        <w:spacing w:before="0" w:beforeAutospacing="0" w:after="160" w:afterAutospacing="0"/>
        <w:textAlignment w:val="baseline"/>
        <w:rPr>
          <w:rFonts w:ascii="Arial" w:hAnsi="Arial" w:cs="Arial"/>
        </w:rPr>
      </w:pPr>
      <w:r w:rsidRPr="004942FC">
        <w:rPr>
          <w:rFonts w:ascii="Arial" w:hAnsi="Arial" w:cs="Arial"/>
        </w:rPr>
        <w:t xml:space="preserve">The GMCA Digital Inclusion team is working with localities, </w:t>
      </w:r>
      <w:r>
        <w:rPr>
          <w:rFonts w:ascii="Arial" w:hAnsi="Arial" w:cs="Arial"/>
        </w:rPr>
        <w:t xml:space="preserve">voluntary and community sector </w:t>
      </w:r>
      <w:r w:rsidRPr="004942FC">
        <w:rPr>
          <w:rFonts w:ascii="Arial" w:hAnsi="Arial" w:cs="Arial"/>
        </w:rPr>
        <w:t xml:space="preserve">organisations and </w:t>
      </w:r>
      <w:r>
        <w:rPr>
          <w:rFonts w:ascii="Arial" w:hAnsi="Arial" w:cs="Arial"/>
        </w:rPr>
        <w:t>local businesses</w:t>
      </w:r>
      <w:r w:rsidRPr="004942FC">
        <w:rPr>
          <w:rFonts w:ascii="Arial" w:hAnsi="Arial" w:cs="Arial"/>
        </w:rPr>
        <w:t xml:space="preserve"> to help under 25s, over 75s and disabled people get online as part of the </w:t>
      </w:r>
      <w:r>
        <w:rPr>
          <w:rFonts w:ascii="Arial" w:hAnsi="Arial" w:cs="Arial"/>
        </w:rPr>
        <w:t>m</w:t>
      </w:r>
      <w:r w:rsidRPr="004942FC">
        <w:rPr>
          <w:rFonts w:ascii="Arial" w:hAnsi="Arial" w:cs="Arial"/>
        </w:rPr>
        <w:t xml:space="preserve">ayoral </w:t>
      </w:r>
      <w:r>
        <w:rPr>
          <w:rFonts w:ascii="Arial" w:hAnsi="Arial" w:cs="Arial"/>
        </w:rPr>
        <w:t>m</w:t>
      </w:r>
      <w:r w:rsidRPr="004942FC">
        <w:rPr>
          <w:rFonts w:ascii="Arial" w:hAnsi="Arial" w:cs="Arial"/>
        </w:rPr>
        <w:t xml:space="preserve">anifesto </w:t>
      </w:r>
      <w:r>
        <w:rPr>
          <w:rFonts w:ascii="Arial" w:hAnsi="Arial" w:cs="Arial"/>
        </w:rPr>
        <w:t>c</w:t>
      </w:r>
      <w:r w:rsidRPr="004942FC">
        <w:rPr>
          <w:rFonts w:ascii="Arial" w:hAnsi="Arial" w:cs="Arial"/>
        </w:rPr>
        <w:t xml:space="preserve">ommitment and in line with the refreshed Greater Manchester Strategy. The team </w:t>
      </w:r>
      <w:r>
        <w:rPr>
          <w:rFonts w:ascii="Arial" w:hAnsi="Arial" w:cs="Arial"/>
        </w:rPr>
        <w:t>has led on</w:t>
      </w:r>
      <w:r w:rsidRPr="004942FC">
        <w:rPr>
          <w:rFonts w:ascii="Arial" w:hAnsi="Arial" w:cs="Arial"/>
        </w:rPr>
        <w:t xml:space="preserve"> initiatives such as the GM Data Bank, GM Tech Fund, GM Digital Inclusion Social Housing Pilots, Care Leavers digital support, and Digital Inclusion Risk Index.</w:t>
      </w:r>
    </w:p>
    <w:p w14:paraId="7ADA08CA" w14:textId="77777777" w:rsidR="00016C24" w:rsidRPr="00455253" w:rsidRDefault="00016C24" w:rsidP="00EB27EB">
      <w:pPr>
        <w:pStyle w:val="paragraph"/>
        <w:numPr>
          <w:ilvl w:val="0"/>
          <w:numId w:val="60"/>
        </w:numPr>
        <w:spacing w:before="0" w:beforeAutospacing="0" w:after="160" w:afterAutospacing="0"/>
        <w:textAlignment w:val="baseline"/>
        <w:rPr>
          <w:rStyle w:val="normaltextrun"/>
          <w:rFonts w:ascii="Arial" w:hAnsi="Arial" w:cs="Arial"/>
        </w:rPr>
      </w:pPr>
      <w:r w:rsidRPr="004942FC">
        <w:rPr>
          <w:rFonts w:ascii="Arial" w:hAnsi="Arial" w:cs="Arial"/>
        </w:rPr>
        <w:t>Supporting growth of the digital sector, the GMCA Digital Policy team has worked closely with GCHQ and linked stakeholders to support development of their presence in Greater Manchester. This has resulted in initiatives such as the GM Cyber Foundry and GM A</w:t>
      </w:r>
      <w:r>
        <w:rPr>
          <w:rFonts w:ascii="Arial" w:hAnsi="Arial" w:cs="Arial"/>
        </w:rPr>
        <w:t>rtificial Intelligence (AI)</w:t>
      </w:r>
      <w:r w:rsidRPr="004942FC">
        <w:rPr>
          <w:rFonts w:ascii="Arial" w:hAnsi="Arial" w:cs="Arial"/>
        </w:rPr>
        <w:t xml:space="preserve"> Foundry which accessed and matched £6</w:t>
      </w:r>
      <w:r>
        <w:rPr>
          <w:rFonts w:ascii="Arial" w:hAnsi="Arial" w:cs="Arial"/>
        </w:rPr>
        <w:t>m</w:t>
      </w:r>
      <w:r w:rsidRPr="004942FC">
        <w:rPr>
          <w:rFonts w:ascii="Arial" w:hAnsi="Arial" w:cs="Arial"/>
        </w:rPr>
        <w:t xml:space="preserve"> of European Regional Development Funding to support many businesses across the city region. The Greater Manchester Digital Innovation Security Hub opens in early 2022/23 with £5</w:t>
      </w:r>
      <w:r>
        <w:rPr>
          <w:rFonts w:ascii="Arial" w:hAnsi="Arial" w:cs="Arial"/>
        </w:rPr>
        <w:t>m</w:t>
      </w:r>
      <w:r w:rsidRPr="004942FC">
        <w:rPr>
          <w:rFonts w:ascii="Arial" w:hAnsi="Arial" w:cs="Arial"/>
        </w:rPr>
        <w:t xml:space="preserve"> of </w:t>
      </w:r>
      <w:r>
        <w:rPr>
          <w:rFonts w:ascii="Arial" w:hAnsi="Arial" w:cs="Arial"/>
        </w:rPr>
        <w:t>g</w:t>
      </w:r>
      <w:r w:rsidRPr="004942FC">
        <w:rPr>
          <w:rFonts w:ascii="Arial" w:hAnsi="Arial" w:cs="Arial"/>
        </w:rPr>
        <w:t xml:space="preserve">rowth </w:t>
      </w:r>
      <w:r>
        <w:rPr>
          <w:rFonts w:ascii="Arial" w:hAnsi="Arial" w:cs="Arial"/>
        </w:rPr>
        <w:t>f</w:t>
      </w:r>
      <w:r w:rsidRPr="004942FC">
        <w:rPr>
          <w:rFonts w:ascii="Arial" w:hAnsi="Arial" w:cs="Arial"/>
        </w:rPr>
        <w:t xml:space="preserve">unding </w:t>
      </w:r>
      <w:r>
        <w:rPr>
          <w:rFonts w:ascii="Arial" w:hAnsi="Arial" w:cs="Arial"/>
        </w:rPr>
        <w:t xml:space="preserve">in 2021 </w:t>
      </w:r>
      <w:r w:rsidRPr="004942FC">
        <w:rPr>
          <w:rFonts w:ascii="Arial" w:hAnsi="Arial" w:cs="Arial"/>
        </w:rPr>
        <w:t>and will be co-located with GCHQ in Manchester. Work in support of GCHQ’s presence h</w:t>
      </w:r>
      <w:r>
        <w:rPr>
          <w:rFonts w:ascii="Arial" w:hAnsi="Arial" w:cs="Arial"/>
        </w:rPr>
        <w:t xml:space="preserve">as </w:t>
      </w:r>
      <w:r w:rsidRPr="004942FC">
        <w:rPr>
          <w:rFonts w:ascii="Arial" w:hAnsi="Arial" w:cs="Arial"/>
        </w:rPr>
        <w:t>contributed to Government situating National Cyber Force, a n</w:t>
      </w:r>
      <w:r>
        <w:rPr>
          <w:rFonts w:ascii="Arial" w:hAnsi="Arial" w:cs="Arial"/>
        </w:rPr>
        <w:t>ew</w:t>
      </w:r>
      <w:r w:rsidRPr="004942FC">
        <w:rPr>
          <w:rFonts w:ascii="Arial" w:hAnsi="Arial" w:cs="Arial"/>
        </w:rPr>
        <w:t xml:space="preserve"> investment, in the North West</w:t>
      </w:r>
      <w:r>
        <w:rPr>
          <w:rFonts w:ascii="Arial" w:hAnsi="Arial" w:cs="Arial"/>
        </w:rPr>
        <w:t xml:space="preserve"> region</w:t>
      </w:r>
      <w:r w:rsidRPr="004942FC">
        <w:rPr>
          <w:rFonts w:ascii="Arial" w:hAnsi="Arial" w:cs="Arial"/>
        </w:rPr>
        <w:t>.</w:t>
      </w:r>
    </w:p>
    <w:p w14:paraId="41B05F47" w14:textId="77777777" w:rsidR="007B4CF2" w:rsidRDefault="007B4CF2">
      <w:pPr>
        <w:rPr>
          <w:rStyle w:val="normaltextrun"/>
          <w:rFonts w:ascii="Arial" w:eastAsia="Palatino Linotype" w:hAnsi="Arial" w:cs="Arial"/>
          <w:i/>
          <w:iCs/>
          <w:lang w:eastAsia="en-GB"/>
        </w:rPr>
      </w:pPr>
      <w:r>
        <w:rPr>
          <w:rStyle w:val="normaltextrun"/>
          <w:rFonts w:ascii="Arial" w:eastAsia="Palatino Linotype" w:hAnsi="Arial" w:cs="Arial"/>
          <w:i/>
          <w:iCs/>
        </w:rPr>
        <w:br w:type="page"/>
      </w:r>
    </w:p>
    <w:p w14:paraId="199039CD" w14:textId="7CD1FB63" w:rsidR="00016C24" w:rsidRPr="00C93498" w:rsidRDefault="00016C24" w:rsidP="00016C24">
      <w:pPr>
        <w:pStyle w:val="paragraph"/>
        <w:spacing w:before="0" w:beforeAutospacing="0" w:after="160" w:afterAutospacing="0"/>
        <w:textAlignment w:val="baseline"/>
        <w:rPr>
          <w:rStyle w:val="normaltextrun"/>
          <w:rFonts w:ascii="Arial" w:eastAsia="Palatino Linotype" w:hAnsi="Arial" w:cs="Arial"/>
          <w:i/>
          <w:iCs/>
        </w:rPr>
      </w:pPr>
      <w:r w:rsidRPr="00C93498">
        <w:rPr>
          <w:rStyle w:val="normaltextrun"/>
          <w:rFonts w:ascii="Arial" w:eastAsia="Palatino Linotype" w:hAnsi="Arial" w:cs="Arial"/>
          <w:i/>
          <w:iCs/>
        </w:rPr>
        <w:lastRenderedPageBreak/>
        <w:t>Green City Region:</w:t>
      </w:r>
    </w:p>
    <w:p w14:paraId="4D06303C" w14:textId="1EA602C6" w:rsidR="00016C24" w:rsidRPr="00086875" w:rsidRDefault="00016C24" w:rsidP="00016C24">
      <w:pPr>
        <w:pStyle w:val="paragraph"/>
        <w:spacing w:before="0" w:beforeAutospacing="0" w:after="160" w:afterAutospacing="0"/>
        <w:textAlignment w:val="baseline"/>
        <w:rPr>
          <w:rStyle w:val="normaltextrun"/>
          <w:rFonts w:ascii="Arial" w:hAnsi="Arial" w:cs="Arial"/>
        </w:rPr>
      </w:pPr>
      <w:r w:rsidRPr="00C93498">
        <w:rPr>
          <w:rStyle w:val="normaltextrun"/>
          <w:rFonts w:ascii="Arial" w:hAnsi="Arial" w:cs="Arial"/>
        </w:rPr>
        <w:t>At a Green Summit, held in March 2019, the city region launched a five</w:t>
      </w:r>
      <w:r>
        <w:rPr>
          <w:rStyle w:val="normaltextrun"/>
          <w:rFonts w:ascii="Arial" w:hAnsi="Arial" w:cs="Arial"/>
        </w:rPr>
        <w:t>-</w:t>
      </w:r>
      <w:r w:rsidRPr="00C93498">
        <w:rPr>
          <w:rStyle w:val="normaltextrun"/>
          <w:rFonts w:ascii="Arial" w:hAnsi="Arial" w:cs="Arial"/>
        </w:rPr>
        <w:t>year Environment Plan and confirmed its target to become carbon neutral by 2038. The aim is for Greater Manchester to be a clean, carbon neutral, climate resilient city-region with a thriving natural environment and circular, zero-waste economy. GMCA and all 10 Greater Manchester Local Authorities have now declared a Climate Emergency.</w:t>
      </w:r>
      <w:r>
        <w:rPr>
          <w:rFonts w:ascii="Arial" w:hAnsi="Arial" w:cs="Arial"/>
        </w:rPr>
        <w:t xml:space="preserve"> </w:t>
      </w:r>
      <w:r w:rsidRPr="00C93498">
        <w:rPr>
          <w:rStyle w:val="normaltextrun"/>
          <w:rFonts w:ascii="Arial" w:hAnsi="Arial" w:cs="Arial"/>
        </w:rPr>
        <w:t xml:space="preserve">To continue delivery of the </w:t>
      </w:r>
      <w:r>
        <w:rPr>
          <w:rStyle w:val="normaltextrun"/>
          <w:rFonts w:ascii="Arial" w:hAnsi="Arial" w:cs="Arial"/>
        </w:rPr>
        <w:t>p</w:t>
      </w:r>
      <w:r w:rsidRPr="00C93498">
        <w:rPr>
          <w:rStyle w:val="normaltextrun"/>
          <w:rFonts w:ascii="Arial" w:hAnsi="Arial" w:cs="Arial"/>
        </w:rPr>
        <w:t xml:space="preserve">lan and support the climate emergency declarations, the </w:t>
      </w:r>
      <w:r>
        <w:rPr>
          <w:rStyle w:val="normaltextrun"/>
          <w:rFonts w:ascii="Arial" w:hAnsi="Arial" w:cs="Arial"/>
        </w:rPr>
        <w:t>A</w:t>
      </w:r>
      <w:r w:rsidRPr="00C93498">
        <w:rPr>
          <w:rStyle w:val="normaltextrun"/>
          <w:rFonts w:ascii="Arial" w:hAnsi="Arial" w:cs="Arial"/>
        </w:rPr>
        <w:t>uthority has this year been successful in securing a significant amount of funding across a number of programmes</w:t>
      </w:r>
      <w:r>
        <w:rPr>
          <w:rStyle w:val="normaltextrun"/>
          <w:rFonts w:ascii="Arial" w:hAnsi="Arial" w:cs="Arial"/>
        </w:rPr>
        <w:t>.</w:t>
      </w:r>
    </w:p>
    <w:p w14:paraId="01754192" w14:textId="77777777" w:rsidR="00016C24" w:rsidRPr="00C93498" w:rsidRDefault="00016C24" w:rsidP="00016C24">
      <w:pPr>
        <w:pStyle w:val="paragraph"/>
        <w:spacing w:before="0" w:beforeAutospacing="0" w:after="160" w:afterAutospacing="0"/>
        <w:textAlignment w:val="baseline"/>
        <w:rPr>
          <w:rStyle w:val="normaltextrun"/>
          <w:rFonts w:ascii="Arial" w:hAnsi="Arial" w:cs="Arial"/>
        </w:rPr>
      </w:pPr>
      <w:r w:rsidRPr="00C93498">
        <w:rPr>
          <w:rStyle w:val="normaltextrun"/>
          <w:rFonts w:ascii="Arial" w:hAnsi="Arial" w:cs="Arial"/>
        </w:rPr>
        <w:t xml:space="preserve">Green Homes Grant (Local Authority Delivery) </w:t>
      </w:r>
      <w:r>
        <w:rPr>
          <w:rStyle w:val="normaltextrun"/>
          <w:rFonts w:ascii="Arial" w:hAnsi="Arial" w:cs="Arial"/>
        </w:rPr>
        <w:t xml:space="preserve">- </w:t>
      </w:r>
      <w:r w:rsidRPr="00C93498">
        <w:rPr>
          <w:rStyle w:val="normaltextrun"/>
          <w:rFonts w:ascii="Arial" w:hAnsi="Arial" w:cs="Arial"/>
        </w:rPr>
        <w:t xml:space="preserve">£22m funding received to provide energy efficiency, low carbon heating and renewable energy systems to approximately 2000 fuel poor homes, by September 2022. </w:t>
      </w:r>
    </w:p>
    <w:p w14:paraId="0A61345E" w14:textId="6EA250D7" w:rsidR="00016C24" w:rsidRPr="00C93498" w:rsidRDefault="00016C24" w:rsidP="00016C24">
      <w:pPr>
        <w:pStyle w:val="paragraph"/>
        <w:spacing w:before="0" w:beforeAutospacing="0" w:after="160" w:afterAutospacing="0"/>
        <w:textAlignment w:val="baseline"/>
      </w:pPr>
      <w:bookmarkStart w:id="18" w:name="_Hlk108160512"/>
      <w:r w:rsidRPr="00C93498">
        <w:rPr>
          <w:rStyle w:val="normaltextrun"/>
          <w:rFonts w:ascii="Arial" w:hAnsi="Arial" w:cs="Arial"/>
        </w:rPr>
        <w:t>Public Sector Decarbonisation Scheme (PSDS)</w:t>
      </w:r>
      <w:r>
        <w:rPr>
          <w:rStyle w:val="normaltextrun"/>
          <w:rFonts w:ascii="Arial" w:hAnsi="Arial" w:cs="Arial"/>
        </w:rPr>
        <w:t xml:space="preserve"> - </w:t>
      </w:r>
      <w:r w:rsidRPr="00C93498">
        <w:rPr>
          <w:rStyle w:val="normaltextrun"/>
          <w:rFonts w:ascii="Arial" w:hAnsi="Arial" w:cs="Arial"/>
        </w:rPr>
        <w:t xml:space="preserve">Early in 2021 the Authority coordinated a successful bid to Phase 1 of the PSDS for £78m of capital funding to install carbon reduction measures to </w:t>
      </w:r>
      <w:r>
        <w:rPr>
          <w:rStyle w:val="normaltextrun"/>
          <w:rFonts w:ascii="Arial" w:hAnsi="Arial" w:cs="Arial"/>
        </w:rPr>
        <w:t>c</w:t>
      </w:r>
      <w:r w:rsidRPr="00C93498">
        <w:rPr>
          <w:rStyle w:val="normaltextrun"/>
          <w:rFonts w:ascii="Arial" w:hAnsi="Arial" w:cs="Arial"/>
        </w:rPr>
        <w:t>150 public buildings owned by local authorities, health and education providers in 2021/22. The Phase 1 programme was extended to end of June 2022 and the expectation is that the majority of the grant will have been utilised. During 2021/22 GMCA was also successful in a bid for a further £</w:t>
      </w:r>
      <w:r>
        <w:rPr>
          <w:rStyle w:val="normaltextrun"/>
          <w:rFonts w:ascii="Arial" w:hAnsi="Arial" w:cs="Arial"/>
        </w:rPr>
        <w:t>15.5</w:t>
      </w:r>
      <w:r w:rsidRPr="00C93498">
        <w:rPr>
          <w:rStyle w:val="normaltextrun"/>
          <w:rFonts w:ascii="Arial" w:hAnsi="Arial" w:cs="Arial"/>
        </w:rPr>
        <w:t xml:space="preserve">m </w:t>
      </w:r>
      <w:r>
        <w:rPr>
          <w:rStyle w:val="normaltextrun"/>
          <w:rFonts w:ascii="Arial" w:hAnsi="Arial" w:cs="Arial"/>
        </w:rPr>
        <w:t>from</w:t>
      </w:r>
      <w:r w:rsidRPr="00C93498">
        <w:rPr>
          <w:rStyle w:val="normaltextrun"/>
          <w:rFonts w:ascii="Arial" w:hAnsi="Arial" w:cs="Arial"/>
        </w:rPr>
        <w:t xml:space="preserve"> Phase 3 of the programme with a delivery timeframe for utilisation of the grant by March 2023.</w:t>
      </w:r>
    </w:p>
    <w:bookmarkEnd w:id="18"/>
    <w:p w14:paraId="4E22A1B6" w14:textId="64043832" w:rsidR="00016C24" w:rsidRPr="00C93498" w:rsidRDefault="00016C24" w:rsidP="00016C24">
      <w:pPr>
        <w:pStyle w:val="paragraph"/>
        <w:spacing w:before="0" w:beforeAutospacing="0" w:after="160" w:afterAutospacing="0"/>
        <w:textAlignment w:val="baseline"/>
        <w:rPr>
          <w:rStyle w:val="normaltextrun"/>
          <w:rFonts w:ascii="Arial" w:hAnsi="Arial" w:cs="Arial"/>
        </w:rPr>
      </w:pPr>
      <w:r w:rsidRPr="00C93498">
        <w:rPr>
          <w:rStyle w:val="normaltextrun"/>
          <w:rFonts w:ascii="Arial" w:hAnsi="Arial" w:cs="Arial"/>
        </w:rPr>
        <w:t>Social Housing Decarbonisation Fund (SHDF)</w:t>
      </w:r>
      <w:r>
        <w:rPr>
          <w:rStyle w:val="normaltextrun"/>
          <w:rFonts w:ascii="Arial" w:hAnsi="Arial" w:cs="Arial"/>
        </w:rPr>
        <w:t xml:space="preserve"> - </w:t>
      </w:r>
      <w:r w:rsidRPr="00C93498">
        <w:rPr>
          <w:rStyle w:val="normaltextrun"/>
          <w:rFonts w:ascii="Arial" w:hAnsi="Arial" w:cs="Arial"/>
        </w:rPr>
        <w:t xml:space="preserve">In collaboration with GM housing providers, the Authority has successfully bid for £10m of funding from Government for the SHDF which has been matched by £9m of local funding. This was to support the installation of energy performance measures in </w:t>
      </w:r>
      <w:r>
        <w:rPr>
          <w:rStyle w:val="normaltextrun"/>
          <w:rFonts w:ascii="Arial" w:hAnsi="Arial" w:cs="Arial"/>
        </w:rPr>
        <w:t>c</w:t>
      </w:r>
      <w:r w:rsidRPr="00C93498">
        <w:rPr>
          <w:rStyle w:val="normaltextrun"/>
          <w:rFonts w:ascii="Arial" w:hAnsi="Arial" w:cs="Arial"/>
        </w:rPr>
        <w:t>1</w:t>
      </w:r>
      <w:r w:rsidR="00041DAE">
        <w:rPr>
          <w:rStyle w:val="normaltextrun"/>
          <w:rFonts w:ascii="Arial" w:hAnsi="Arial" w:cs="Arial"/>
        </w:rPr>
        <w:t>,</w:t>
      </w:r>
      <w:r w:rsidRPr="00C93498">
        <w:rPr>
          <w:rStyle w:val="normaltextrun"/>
          <w:rFonts w:ascii="Arial" w:hAnsi="Arial" w:cs="Arial"/>
        </w:rPr>
        <w:t xml:space="preserve">286 social homes to be completed by March 2023. </w:t>
      </w:r>
    </w:p>
    <w:p w14:paraId="21A2A4DD" w14:textId="77777777" w:rsidR="00016C24" w:rsidRPr="00C93498" w:rsidRDefault="00016C24" w:rsidP="00016C24">
      <w:pPr>
        <w:rPr>
          <w:rFonts w:ascii="Calibri" w:hAnsi="Calibri" w:cs="Calibri"/>
        </w:rPr>
      </w:pPr>
      <w:r w:rsidRPr="00C93498">
        <w:rPr>
          <w:rFonts w:ascii="Arial" w:hAnsi="Arial" w:cs="Arial"/>
        </w:rPr>
        <w:t xml:space="preserve">Phase 4 of the multi-phase Natural Course project commenced this year, which aims to promote action to improve water quality in Greater Manchester. This brings with it £1m external funding to GMCA and partner LAs over this phase, which runs until 2024. </w:t>
      </w:r>
    </w:p>
    <w:p w14:paraId="779B7711" w14:textId="77777777" w:rsidR="00016C24" w:rsidRPr="00C93498" w:rsidRDefault="00016C24" w:rsidP="00016C24">
      <w:pPr>
        <w:rPr>
          <w:rFonts w:ascii="Arial" w:hAnsi="Arial" w:cs="Arial"/>
        </w:rPr>
      </w:pPr>
    </w:p>
    <w:p w14:paraId="2233BDA4" w14:textId="77777777" w:rsidR="00016C24" w:rsidRPr="00C93498" w:rsidRDefault="00016C24" w:rsidP="00016C24">
      <w:pPr>
        <w:rPr>
          <w:rFonts w:ascii="Arial" w:hAnsi="Arial" w:cs="Arial"/>
        </w:rPr>
      </w:pPr>
      <w:r w:rsidRPr="00C93498">
        <w:rPr>
          <w:rFonts w:ascii="Arial" w:hAnsi="Arial" w:cs="Arial"/>
        </w:rPr>
        <w:t xml:space="preserve">The IGNITION project concluded at the end of year 2021/22. This was a 12 partner multi-year project aimed at making the case for funding of nature-based solutions for climate change adaptation in urban areas. This brought £4m of external funding to GMCA and partner organisations over the 3 years of the project. </w:t>
      </w:r>
    </w:p>
    <w:p w14:paraId="35FEF6CC" w14:textId="77777777" w:rsidR="00016C24" w:rsidRPr="00C93498" w:rsidRDefault="00016C24" w:rsidP="00016C24">
      <w:pPr>
        <w:rPr>
          <w:rFonts w:ascii="Arial" w:hAnsi="Arial" w:cs="Arial"/>
        </w:rPr>
      </w:pPr>
    </w:p>
    <w:p w14:paraId="114ECF1F" w14:textId="77777777" w:rsidR="00016C24" w:rsidRPr="00C93498" w:rsidRDefault="00016C24" w:rsidP="00016C24">
      <w:pPr>
        <w:rPr>
          <w:rFonts w:ascii="Arial" w:hAnsi="Arial" w:cs="Arial"/>
        </w:rPr>
      </w:pPr>
      <w:r w:rsidRPr="00C93498">
        <w:rPr>
          <w:rFonts w:ascii="Arial" w:hAnsi="Arial" w:cs="Arial"/>
        </w:rPr>
        <w:t>Greater Manchester was selected by government as a pilot for developing a Local Nature Recovery Strategy, which concluded this year. This brought with it £125,000 of external funding for the GMCA to develop the strategy</w:t>
      </w:r>
      <w:r>
        <w:rPr>
          <w:rFonts w:ascii="Arial" w:hAnsi="Arial" w:cs="Arial"/>
        </w:rPr>
        <w:t>.</w:t>
      </w:r>
    </w:p>
    <w:p w14:paraId="176C9807" w14:textId="77777777" w:rsidR="00016C24" w:rsidRPr="00C93498" w:rsidRDefault="00016C24" w:rsidP="00016C24">
      <w:pPr>
        <w:pStyle w:val="Heading3"/>
        <w:spacing w:after="160"/>
        <w:rPr>
          <w:sz w:val="24"/>
          <w:szCs w:val="24"/>
        </w:rPr>
      </w:pPr>
      <w:bookmarkStart w:id="19" w:name="_Toc109922582"/>
      <w:bookmarkStart w:id="20" w:name="_Hlk108160288"/>
      <w:bookmarkStart w:id="21" w:name="_Hlk75256945"/>
      <w:r w:rsidRPr="00C93498">
        <w:rPr>
          <w:sz w:val="24"/>
          <w:szCs w:val="24"/>
        </w:rPr>
        <w:t>Housing</w:t>
      </w:r>
      <w:bookmarkEnd w:id="19"/>
    </w:p>
    <w:p w14:paraId="3C110E20" w14:textId="1C48E2E7" w:rsidR="00016C24" w:rsidRPr="007C46D5" w:rsidRDefault="00016C24" w:rsidP="00016C24">
      <w:pPr>
        <w:autoSpaceDE w:val="0"/>
        <w:autoSpaceDN w:val="0"/>
        <w:spacing w:after="160"/>
        <w:rPr>
          <w:rFonts w:ascii="Arial" w:hAnsi="Arial" w:cs="Arial"/>
          <w:sz w:val="22"/>
          <w:szCs w:val="22"/>
        </w:rPr>
      </w:pPr>
      <w:r w:rsidRPr="00E277BC">
        <w:rPr>
          <w:rFonts w:ascii="Arial" w:hAnsi="Arial" w:cs="Arial"/>
        </w:rPr>
        <w:t>In December 2020 nine of the GM Councils were asked to approve an agreement to prepare a joint development plan to cover strategic policies including housing and employment land requirements. This plan known as ‘Places for Everyone’</w:t>
      </w:r>
      <w:r>
        <w:rPr>
          <w:rFonts w:ascii="Arial" w:hAnsi="Arial" w:cs="Arial"/>
        </w:rPr>
        <w:t xml:space="preserve"> (</w:t>
      </w:r>
      <w:proofErr w:type="spellStart"/>
      <w:r>
        <w:rPr>
          <w:rFonts w:ascii="Arial" w:hAnsi="Arial" w:cs="Arial"/>
        </w:rPr>
        <w:t>PfE</w:t>
      </w:r>
      <w:proofErr w:type="spellEnd"/>
      <w:r>
        <w:rPr>
          <w:rFonts w:ascii="Arial" w:hAnsi="Arial" w:cs="Arial"/>
        </w:rPr>
        <w:t>)</w:t>
      </w:r>
      <w:r w:rsidRPr="00E277BC">
        <w:rPr>
          <w:rFonts w:ascii="Arial" w:hAnsi="Arial" w:cs="Arial"/>
          <w:b/>
          <w:bCs/>
        </w:rPr>
        <w:t xml:space="preserve"> </w:t>
      </w:r>
      <w:r w:rsidRPr="00E277BC">
        <w:rPr>
          <w:rFonts w:ascii="Arial" w:hAnsi="Arial" w:cs="Arial"/>
        </w:rPr>
        <w:t>replaced the Greater Manchester Spatial Framework following the withdrawal of Stockport Council</w:t>
      </w:r>
      <w:r>
        <w:rPr>
          <w:rFonts w:ascii="Arial" w:hAnsi="Arial" w:cs="Arial"/>
        </w:rPr>
        <w:t xml:space="preserve">. </w:t>
      </w:r>
      <w:r w:rsidRPr="007C46D5">
        <w:rPr>
          <w:rFonts w:ascii="Arial" w:hAnsi="Arial" w:cs="Arial"/>
        </w:rPr>
        <w:t>The Places for Everyone plan was submitted to the Secretary of State in February 2022 and Inspectors appointed to undertake the examination in public. The public hearing sessions are scheduled to begin in October 2022 with adoption by the end of 2023.</w:t>
      </w:r>
      <w:r>
        <w:rPr>
          <w:rFonts w:ascii="Arial" w:hAnsi="Arial" w:cs="Arial"/>
        </w:rPr>
        <w:t xml:space="preserve"> </w:t>
      </w:r>
    </w:p>
    <w:p w14:paraId="7557A356" w14:textId="2CD46928" w:rsidR="00016C24" w:rsidRPr="003F6B2B" w:rsidRDefault="00016C24" w:rsidP="00016C24">
      <w:pPr>
        <w:autoSpaceDE w:val="0"/>
        <w:autoSpaceDN w:val="0"/>
        <w:spacing w:after="160"/>
        <w:rPr>
          <w:rFonts w:ascii="Arial" w:hAnsi="Arial" w:cs="Arial"/>
        </w:rPr>
      </w:pPr>
      <w:r>
        <w:rPr>
          <w:rFonts w:ascii="Arial" w:hAnsi="Arial" w:cs="Arial"/>
        </w:rPr>
        <w:lastRenderedPageBreak/>
        <w:t xml:space="preserve">In March 2020 the Government announced a £400m Brownfield Land Fund (BLF). For GMCA this was an allocation to GMCA of £81.2m over a 5 year period to unlock capacity for a minimum of 5,500 homes to start on site by 31 March 2025. In February 2021 GMCA received a further allocation of £15.8m based </w:t>
      </w:r>
      <w:r w:rsidR="00041DAE">
        <w:rPr>
          <w:rFonts w:ascii="Arial" w:hAnsi="Arial" w:cs="Arial"/>
        </w:rPr>
        <w:t xml:space="preserve">on </w:t>
      </w:r>
      <w:r>
        <w:rPr>
          <w:rFonts w:ascii="Arial" w:hAnsi="Arial" w:cs="Arial"/>
        </w:rPr>
        <w:t xml:space="preserve">a bid </w:t>
      </w:r>
      <w:r>
        <w:rPr>
          <w:rFonts w:ascii="Arial" w:hAnsi="Arial" w:cs="Arial"/>
          <w:lang w:val="en" w:eastAsia="en-GB"/>
        </w:rPr>
        <w:t>to deliver a further 1,325 homes</w:t>
      </w:r>
      <w:r>
        <w:rPr>
          <w:rFonts w:ascii="Arial" w:hAnsi="Arial" w:cs="Arial"/>
        </w:rPr>
        <w:t>.</w:t>
      </w:r>
      <w:r>
        <w:rPr>
          <w:rFonts w:ascii="Arial" w:hAnsi="Arial" w:cs="Arial"/>
          <w:lang w:val="en" w:eastAsia="en-GB"/>
        </w:rPr>
        <w:t xml:space="preserve"> This took Greater Manchester’s total Brownfield Housing Fund allocation to £97m over the five years to 2025. Spend against the programme over the first two years to the end of 2021/22 is £57m. </w:t>
      </w:r>
      <w:r>
        <w:rPr>
          <w:rFonts w:ascii="Arial" w:hAnsi="Arial" w:cs="Arial"/>
        </w:rPr>
        <w:t xml:space="preserve">This has </w:t>
      </w:r>
      <w:r>
        <w:rPr>
          <w:rFonts w:ascii="Arial" w:hAnsi="Arial" w:cs="Arial"/>
          <w:lang w:val="en"/>
        </w:rPr>
        <w:t xml:space="preserve">unlocked 64 brownfield sites across the city-region </w:t>
      </w:r>
      <w:r>
        <w:rPr>
          <w:rFonts w:ascii="Arial" w:hAnsi="Arial" w:cs="Arial"/>
        </w:rPr>
        <w:t xml:space="preserve">and the number of new homes to date stands at 9,524. </w:t>
      </w:r>
      <w:r>
        <w:rPr>
          <w:rFonts w:ascii="Arial" w:hAnsi="Arial" w:cs="Arial"/>
          <w:lang w:val="en" w:eastAsia="en-GB"/>
        </w:rPr>
        <w:t xml:space="preserve">This is in addition to the homes built </w:t>
      </w:r>
      <w:proofErr w:type="gramStart"/>
      <w:r>
        <w:rPr>
          <w:rFonts w:ascii="Arial" w:hAnsi="Arial" w:cs="Arial"/>
          <w:lang w:val="en" w:eastAsia="en-GB"/>
        </w:rPr>
        <w:t>as a consequence of</w:t>
      </w:r>
      <w:proofErr w:type="gramEnd"/>
      <w:r>
        <w:rPr>
          <w:rFonts w:ascii="Arial" w:hAnsi="Arial" w:cs="Arial"/>
          <w:lang w:val="en" w:eastAsia="en-GB"/>
        </w:rPr>
        <w:t xml:space="preserve"> investments in schemes across the city-region by the Greater Manchester Housing Investment Loans Fund.</w:t>
      </w:r>
      <w:r>
        <w:rPr>
          <w:rFonts w:ascii="Arial" w:hAnsi="Arial" w:cs="Arial"/>
          <w:lang w:val="en"/>
        </w:rPr>
        <w:t xml:space="preserve"> </w:t>
      </w:r>
      <w:r w:rsidR="00E853C6">
        <w:rPr>
          <w:rFonts w:ascii="Arial" w:hAnsi="Arial" w:cs="Arial"/>
          <w:lang w:val="en"/>
        </w:rPr>
        <w:t xml:space="preserve">In February 2022 a further £11.4m of funding was announced for 8 schemes delivering 916 homes. </w:t>
      </w:r>
      <w:r>
        <w:rPr>
          <w:rFonts w:ascii="Arial" w:hAnsi="Arial" w:cs="Arial"/>
        </w:rPr>
        <w:t>There is a further £27m of BLF grant that has been allocated for which GMCA is in the process of identifying which sites this will be awarded against.</w:t>
      </w:r>
      <w:bookmarkStart w:id="22" w:name="_Hlk75938982"/>
      <w:bookmarkEnd w:id="20"/>
    </w:p>
    <w:bookmarkEnd w:id="21"/>
    <w:bookmarkEnd w:id="22"/>
    <w:p w14:paraId="3E21FF8C" w14:textId="77777777" w:rsidR="00016C24" w:rsidRDefault="00016C24" w:rsidP="00016C24">
      <w:pPr>
        <w:pStyle w:val="Normal0"/>
        <w:spacing w:after="160" w:line="240" w:lineRule="auto"/>
        <w:rPr>
          <w:rFonts w:ascii="Arial" w:hAnsi="Arial" w:cs="Arial"/>
          <w:b/>
          <w:bCs/>
          <w:sz w:val="24"/>
          <w:szCs w:val="24"/>
          <w:lang w:val="en-GB"/>
        </w:rPr>
      </w:pPr>
      <w:r w:rsidRPr="00AD2D07">
        <w:rPr>
          <w:rFonts w:ascii="Arial" w:hAnsi="Arial" w:cs="Arial"/>
          <w:b/>
          <w:bCs/>
          <w:sz w:val="24"/>
          <w:szCs w:val="24"/>
          <w:lang w:val="en-GB"/>
        </w:rPr>
        <w:t>Education, Skills and Work</w:t>
      </w:r>
    </w:p>
    <w:p w14:paraId="39556784" w14:textId="77777777" w:rsidR="00016C24" w:rsidRPr="00F571EA" w:rsidRDefault="00016C24" w:rsidP="00016C24">
      <w:pPr>
        <w:pStyle w:val="Normal0"/>
        <w:spacing w:after="160" w:line="240" w:lineRule="auto"/>
        <w:rPr>
          <w:rFonts w:ascii="Arial" w:hAnsi="Arial" w:cs="Arial"/>
          <w:sz w:val="24"/>
          <w:szCs w:val="24"/>
        </w:rPr>
      </w:pPr>
      <w:r w:rsidRPr="00F571EA">
        <w:rPr>
          <w:rFonts w:ascii="Arial" w:hAnsi="Arial" w:cs="Arial"/>
          <w:sz w:val="24"/>
          <w:szCs w:val="24"/>
        </w:rPr>
        <w:t xml:space="preserve">The Education, Skills and Work landscape in Greater Manchester brings together large-scale national programmes managed and funded by various central government departments, devolved/co-commissioned activity developed and commissioned at GM level, and smaller scale targeted activity focused on priority cohorts, </w:t>
      </w:r>
      <w:proofErr w:type="gramStart"/>
      <w:r w:rsidRPr="00F571EA">
        <w:rPr>
          <w:rFonts w:ascii="Arial" w:hAnsi="Arial" w:cs="Arial"/>
          <w:sz w:val="24"/>
          <w:szCs w:val="24"/>
        </w:rPr>
        <w:t>sectors</w:t>
      </w:r>
      <w:proofErr w:type="gramEnd"/>
      <w:r w:rsidRPr="00F571EA">
        <w:rPr>
          <w:rFonts w:ascii="Arial" w:hAnsi="Arial" w:cs="Arial"/>
          <w:sz w:val="24"/>
          <w:szCs w:val="24"/>
        </w:rPr>
        <w:t xml:space="preserve"> and geographies. Work is undertaken across four priority areas:</w:t>
      </w:r>
    </w:p>
    <w:p w14:paraId="1C70FBA3" w14:textId="77777777" w:rsidR="00016C24" w:rsidRPr="00F571EA" w:rsidRDefault="00016C24" w:rsidP="00EB27EB">
      <w:pPr>
        <w:pStyle w:val="Normal0"/>
        <w:numPr>
          <w:ilvl w:val="0"/>
          <w:numId w:val="66"/>
        </w:numPr>
        <w:spacing w:after="160" w:line="240" w:lineRule="auto"/>
        <w:rPr>
          <w:rFonts w:ascii="Arial" w:hAnsi="Arial" w:cs="Arial"/>
          <w:b/>
          <w:bCs/>
          <w:sz w:val="24"/>
          <w:szCs w:val="24"/>
        </w:rPr>
      </w:pPr>
      <w:r w:rsidRPr="00F571EA">
        <w:rPr>
          <w:rFonts w:ascii="Arial" w:hAnsi="Arial" w:cs="Arial"/>
          <w:b/>
          <w:bCs/>
          <w:sz w:val="24"/>
          <w:szCs w:val="24"/>
        </w:rPr>
        <w:t xml:space="preserve">Young people leave education and training ready to succeed in the </w:t>
      </w:r>
      <w:r w:rsidRPr="000C19F2">
        <w:rPr>
          <w:rFonts w:ascii="Arial" w:hAnsi="Arial" w:cs="Arial"/>
          <w:b/>
          <w:bCs/>
          <w:sz w:val="24"/>
          <w:szCs w:val="24"/>
          <w:lang w:val="en-GB"/>
        </w:rPr>
        <w:t>labour</w:t>
      </w:r>
      <w:r w:rsidRPr="00F571EA">
        <w:rPr>
          <w:rFonts w:ascii="Arial" w:hAnsi="Arial" w:cs="Arial"/>
          <w:b/>
          <w:bCs/>
          <w:sz w:val="24"/>
          <w:szCs w:val="24"/>
        </w:rPr>
        <w:t xml:space="preserve"> market, with a balance of academic, technical and ‘life ready’ skills.</w:t>
      </w:r>
    </w:p>
    <w:p w14:paraId="35725709" w14:textId="10ECCC2E" w:rsidR="00016C24" w:rsidRPr="004914E7" w:rsidRDefault="00016C24" w:rsidP="00016C24">
      <w:pPr>
        <w:spacing w:after="160"/>
        <w:rPr>
          <w:rFonts w:ascii="Arial" w:hAnsi="Arial" w:cs="Arial"/>
        </w:rPr>
      </w:pPr>
      <w:r w:rsidRPr="004914E7">
        <w:rPr>
          <w:rFonts w:ascii="Arial" w:hAnsi="Arial" w:cs="Arial"/>
        </w:rPr>
        <w:t xml:space="preserve">Working to support and help prepare young people to actively participate and thrive in the economy is a key feature of the work undertaken by the </w:t>
      </w:r>
      <w:r>
        <w:rPr>
          <w:rFonts w:ascii="Arial" w:hAnsi="Arial" w:cs="Arial"/>
        </w:rPr>
        <w:t>Directorate</w:t>
      </w:r>
      <w:r w:rsidRPr="004914E7">
        <w:rPr>
          <w:rFonts w:ascii="Arial" w:hAnsi="Arial" w:cs="Arial"/>
        </w:rPr>
        <w:t>. We are doing this by building on their ambitions, qualities and skills of young people in order for them to have fair access to the opportunities available across the sub-region. There are four ways in which this has been achieved through our designed service offers:</w:t>
      </w:r>
    </w:p>
    <w:p w14:paraId="7E81BE4C" w14:textId="7D706B0B" w:rsidR="00016C24" w:rsidRPr="004914E7" w:rsidRDefault="00016C24" w:rsidP="00EB27EB">
      <w:pPr>
        <w:pStyle w:val="ListParagraph"/>
        <w:numPr>
          <w:ilvl w:val="0"/>
          <w:numId w:val="68"/>
        </w:numPr>
        <w:spacing w:after="160" w:line="240" w:lineRule="auto"/>
        <w:contextualSpacing w:val="0"/>
        <w:rPr>
          <w:rFonts w:ascii="Arial" w:hAnsi="Arial" w:cs="Arial"/>
          <w:sz w:val="24"/>
          <w:szCs w:val="24"/>
        </w:rPr>
      </w:pPr>
      <w:r w:rsidRPr="004914E7">
        <w:rPr>
          <w:rFonts w:ascii="Arial" w:hAnsi="Arial" w:cs="Arial"/>
          <w:sz w:val="24"/>
          <w:szCs w:val="24"/>
        </w:rPr>
        <w:t xml:space="preserve">A service offer to young people via the Greater Manchester Apprenticeship and Careers Service </w:t>
      </w:r>
      <w:r w:rsidR="00144C23">
        <w:rPr>
          <w:rFonts w:ascii="Arial" w:hAnsi="Arial" w:cs="Arial"/>
          <w:sz w:val="24"/>
          <w:szCs w:val="24"/>
        </w:rPr>
        <w:t xml:space="preserve">(GMACS) </w:t>
      </w:r>
      <w:r w:rsidRPr="004914E7">
        <w:rPr>
          <w:rFonts w:ascii="Arial" w:hAnsi="Arial" w:cs="Arial"/>
          <w:sz w:val="24"/>
          <w:szCs w:val="24"/>
        </w:rPr>
        <w:t>website which is now used in more than half of secondary schools with over 100,000 young people registered. Aligned to this a digital curriculum for life tool is in development for young people to access in late Autumn, co-designed and written by young people.</w:t>
      </w:r>
    </w:p>
    <w:p w14:paraId="526E5521" w14:textId="6761B768" w:rsidR="00016C24" w:rsidRPr="004914E7" w:rsidRDefault="00016C24" w:rsidP="00EB27EB">
      <w:pPr>
        <w:pStyle w:val="ListParagraph"/>
        <w:numPr>
          <w:ilvl w:val="0"/>
          <w:numId w:val="68"/>
        </w:numPr>
        <w:spacing w:after="160" w:line="240" w:lineRule="auto"/>
        <w:contextualSpacing w:val="0"/>
        <w:rPr>
          <w:rFonts w:ascii="Arial" w:hAnsi="Arial" w:cs="Arial"/>
          <w:sz w:val="24"/>
          <w:szCs w:val="24"/>
        </w:rPr>
      </w:pPr>
      <w:r w:rsidRPr="004914E7">
        <w:rPr>
          <w:rFonts w:ascii="Arial" w:hAnsi="Arial" w:cs="Arial"/>
          <w:sz w:val="24"/>
          <w:szCs w:val="24"/>
        </w:rPr>
        <w:t>A</w:t>
      </w:r>
      <w:r>
        <w:rPr>
          <w:rFonts w:ascii="Arial" w:hAnsi="Arial" w:cs="Arial"/>
          <w:sz w:val="24"/>
          <w:szCs w:val="24"/>
        </w:rPr>
        <w:t>n</w:t>
      </w:r>
      <w:r w:rsidRPr="004914E7">
        <w:rPr>
          <w:rFonts w:ascii="Arial" w:hAnsi="Arial" w:cs="Arial"/>
          <w:sz w:val="24"/>
          <w:szCs w:val="24"/>
        </w:rPr>
        <w:t xml:space="preserve"> offer to those who work with young people delivered through the GM Careers Hub. The Careers Hub is a community of practice for senior careers leaders and </w:t>
      </w:r>
      <w:r>
        <w:rPr>
          <w:rFonts w:ascii="Arial" w:hAnsi="Arial" w:cs="Arial"/>
          <w:sz w:val="24"/>
          <w:szCs w:val="24"/>
        </w:rPr>
        <w:t>H</w:t>
      </w:r>
      <w:r w:rsidRPr="004914E7">
        <w:rPr>
          <w:rFonts w:ascii="Arial" w:hAnsi="Arial" w:cs="Arial"/>
          <w:sz w:val="24"/>
          <w:szCs w:val="24"/>
        </w:rPr>
        <w:t>eadteachers/Principals in secondary education to implement the highest standard of careers education. 34 schools and colleges have now reached full implementation of the Gat</w:t>
      </w:r>
      <w:r w:rsidR="00C67457">
        <w:rPr>
          <w:rFonts w:ascii="Arial" w:hAnsi="Arial" w:cs="Arial"/>
          <w:sz w:val="24"/>
          <w:szCs w:val="24"/>
        </w:rPr>
        <w:t>s</w:t>
      </w:r>
      <w:r w:rsidRPr="004914E7">
        <w:rPr>
          <w:rFonts w:ascii="Arial" w:hAnsi="Arial" w:cs="Arial"/>
          <w:sz w:val="24"/>
          <w:szCs w:val="24"/>
        </w:rPr>
        <w:t>by Benchmarks, the measure by which schools and colleges self-evaluate. The push now is to get those nearly at full implementation to nudge their practice which would take the full implementation balance to approximately 100 schools and colleges</w:t>
      </w:r>
      <w:r w:rsidR="00041DAE">
        <w:rPr>
          <w:rFonts w:ascii="Arial" w:hAnsi="Arial" w:cs="Arial"/>
          <w:sz w:val="24"/>
          <w:szCs w:val="24"/>
        </w:rPr>
        <w:t>,</w:t>
      </w:r>
      <w:r w:rsidRPr="004914E7">
        <w:rPr>
          <w:rFonts w:ascii="Arial" w:hAnsi="Arial" w:cs="Arial"/>
          <w:sz w:val="24"/>
          <w:szCs w:val="24"/>
        </w:rPr>
        <w:t xml:space="preserve"> just under half of all schools and colleges. Through this model businesses are also connected through a range of key initiatives such as Meet Your Future which has connected employers to over 100,000 young people and through Pledge </w:t>
      </w:r>
      <w:proofErr w:type="gramStart"/>
      <w:r w:rsidRPr="004914E7">
        <w:rPr>
          <w:rFonts w:ascii="Arial" w:hAnsi="Arial" w:cs="Arial"/>
          <w:sz w:val="24"/>
          <w:szCs w:val="24"/>
        </w:rPr>
        <w:t>5</w:t>
      </w:r>
      <w:proofErr w:type="gramEnd"/>
      <w:r w:rsidRPr="004914E7">
        <w:rPr>
          <w:rFonts w:ascii="Arial" w:hAnsi="Arial" w:cs="Arial"/>
          <w:sz w:val="24"/>
          <w:szCs w:val="24"/>
        </w:rPr>
        <w:t xml:space="preserve"> we are building up more of a business portfolio offering multiple opportunities to young people. In addition, a bespoke programme of innovative leadership for headteachers has been created, working with Edge Foundation and Ashoka to start the system changes required to develop a more localised, sustainable model of practice reducing the dependence on external funding.</w:t>
      </w:r>
    </w:p>
    <w:p w14:paraId="6DC4C600" w14:textId="2AC6018D" w:rsidR="00016C24" w:rsidRPr="004914E7" w:rsidRDefault="00016C24" w:rsidP="00EB27EB">
      <w:pPr>
        <w:pStyle w:val="ListParagraph"/>
        <w:numPr>
          <w:ilvl w:val="0"/>
          <w:numId w:val="68"/>
        </w:numPr>
        <w:spacing w:after="160" w:line="240" w:lineRule="auto"/>
        <w:contextualSpacing w:val="0"/>
        <w:rPr>
          <w:rFonts w:ascii="Arial" w:hAnsi="Arial" w:cs="Arial"/>
          <w:sz w:val="24"/>
          <w:szCs w:val="24"/>
        </w:rPr>
      </w:pPr>
      <w:r>
        <w:rPr>
          <w:rFonts w:ascii="Arial" w:hAnsi="Arial" w:cs="Arial"/>
          <w:sz w:val="24"/>
          <w:szCs w:val="24"/>
        </w:rPr>
        <w:lastRenderedPageBreak/>
        <w:t>An</w:t>
      </w:r>
      <w:r w:rsidRPr="004914E7">
        <w:rPr>
          <w:rFonts w:ascii="Arial" w:hAnsi="Arial" w:cs="Arial"/>
          <w:sz w:val="24"/>
          <w:szCs w:val="24"/>
        </w:rPr>
        <w:t xml:space="preserve"> offer to businesses which supports them to connect to their future talent pipeline based on the skills intelligence and led by business need and interest. This work is supported by what we learn from GMACS to better connect what young people say they have ambitions to do versus what jobs are available in the jobs market.</w:t>
      </w:r>
    </w:p>
    <w:p w14:paraId="30ECE73C" w14:textId="77777777" w:rsidR="00016C24" w:rsidRPr="00F571EA" w:rsidRDefault="00016C24" w:rsidP="00016C24">
      <w:pPr>
        <w:pStyle w:val="Normal0"/>
        <w:spacing w:after="160" w:line="240" w:lineRule="auto"/>
        <w:rPr>
          <w:rStyle w:val="Accessiblenormaltext"/>
          <w:rFonts w:cs="Arial"/>
          <w:sz w:val="24"/>
          <w:szCs w:val="24"/>
        </w:rPr>
      </w:pPr>
      <w:r w:rsidRPr="00F571EA">
        <w:rPr>
          <w:rStyle w:val="Accessiblenormaltext"/>
          <w:rFonts w:cs="Arial"/>
          <w:sz w:val="24"/>
          <w:szCs w:val="24"/>
        </w:rPr>
        <w:t xml:space="preserve">GMCA has worked in partnership with The Prince’s Trust to deliver the £10m Future Workforce Fund (FWF), a three-year pilot funded jointly by DfE and GM to test innovative ways of supporting around 7,000 young people and young adults aged 14-25 who are not in education, </w:t>
      </w:r>
      <w:proofErr w:type="gramStart"/>
      <w:r w:rsidRPr="00F571EA">
        <w:rPr>
          <w:rStyle w:val="Accessiblenormaltext"/>
          <w:rFonts w:cs="Arial"/>
          <w:sz w:val="24"/>
          <w:szCs w:val="24"/>
        </w:rPr>
        <w:t>employment</w:t>
      </w:r>
      <w:proofErr w:type="gramEnd"/>
      <w:r w:rsidRPr="00F571EA">
        <w:rPr>
          <w:rStyle w:val="Accessiblenormaltext"/>
          <w:rFonts w:cs="Arial"/>
          <w:sz w:val="24"/>
          <w:szCs w:val="24"/>
        </w:rPr>
        <w:t xml:space="preserve"> or training (NEET) or at risk of becoming so for a sustained period and experiencing poorer outcomes in adult life. With a focus on young people in schools, colleges, alternative education provision as well as those not engaged in education, </w:t>
      </w:r>
      <w:proofErr w:type="gramStart"/>
      <w:r w:rsidRPr="00F571EA">
        <w:rPr>
          <w:rStyle w:val="Accessiblenormaltext"/>
          <w:rFonts w:cs="Arial"/>
          <w:sz w:val="24"/>
          <w:szCs w:val="24"/>
        </w:rPr>
        <w:t>training</w:t>
      </w:r>
      <w:proofErr w:type="gramEnd"/>
      <w:r w:rsidRPr="00F571EA">
        <w:rPr>
          <w:rStyle w:val="Accessiblenormaltext"/>
          <w:rFonts w:cs="Arial"/>
          <w:sz w:val="24"/>
          <w:szCs w:val="24"/>
        </w:rPr>
        <w:t xml:space="preserve"> or work, the FWF has seven main strands of activity, including life skills, pre-employment, world of work and mentoring, plus a series of small-scale grant funded projects commissioned by Prince’s Trust. To the end of March 2022, the programme has supported 5,990 young people.</w:t>
      </w:r>
    </w:p>
    <w:p w14:paraId="0B6FBEBE" w14:textId="24821FF6" w:rsidR="00016C24" w:rsidRPr="00F571EA" w:rsidRDefault="00016C24" w:rsidP="00016C24">
      <w:pPr>
        <w:pStyle w:val="Normal0"/>
        <w:spacing w:after="160" w:line="240" w:lineRule="auto"/>
        <w:rPr>
          <w:rStyle w:val="Accessiblenormaltext"/>
          <w:rFonts w:cs="Arial"/>
          <w:sz w:val="24"/>
          <w:szCs w:val="24"/>
        </w:rPr>
      </w:pPr>
      <w:r w:rsidRPr="00F571EA">
        <w:rPr>
          <w:rStyle w:val="Accessiblenormaltext"/>
          <w:rFonts w:cs="Arial"/>
          <w:sz w:val="24"/>
          <w:szCs w:val="24"/>
        </w:rPr>
        <w:t>GMCA has commissioned delivery of the £10m ESF NEET &amp; Youth Employment programme, which commenced during January 2022 and will engage 6000 young people across GM aged 15-24 who are affected by missed education, and/or are disengaged from mainstream skill support offers, employment, or training</w:t>
      </w:r>
      <w:r w:rsidR="00BB1644" w:rsidRPr="00F571EA">
        <w:rPr>
          <w:rStyle w:val="Accessiblenormaltext"/>
          <w:rFonts w:cs="Arial"/>
          <w:sz w:val="24"/>
          <w:szCs w:val="24"/>
        </w:rPr>
        <w:t xml:space="preserve">. </w:t>
      </w:r>
      <w:r w:rsidRPr="00F571EA">
        <w:rPr>
          <w:rStyle w:val="Accessiblenormaltext"/>
          <w:rFonts w:cs="Arial"/>
          <w:sz w:val="24"/>
          <w:szCs w:val="24"/>
        </w:rPr>
        <w:t>Career Connect have been awarded the contract to support 15-19 years, and Ingeus to support 18-25 years. The programme will conclude in September 2023.</w:t>
      </w:r>
    </w:p>
    <w:p w14:paraId="58F53F9C" w14:textId="77777777" w:rsidR="00016C24" w:rsidRPr="00F571EA" w:rsidRDefault="00016C24" w:rsidP="00016C24">
      <w:pPr>
        <w:spacing w:after="160"/>
        <w:rPr>
          <w:rFonts w:ascii="Arial" w:hAnsi="Arial" w:cs="Arial"/>
        </w:rPr>
      </w:pPr>
      <w:r w:rsidRPr="00F571EA">
        <w:rPr>
          <w:rFonts w:ascii="Arial" w:hAnsi="Arial" w:cs="Arial"/>
        </w:rPr>
        <w:t xml:space="preserve">During 2021/22, apprenticeships remained a key pathway into work and skills for our residents and, together with Traineeships and T Levels, saw additional employer grants continue as an incentive within the Government’s Plan for Jobs COVID-19 response/recovery package, started in the summer of 2020. </w:t>
      </w:r>
    </w:p>
    <w:p w14:paraId="5396338A" w14:textId="4A4C1767" w:rsidR="00016C24" w:rsidRPr="00F571EA" w:rsidRDefault="00016C24" w:rsidP="00016C24">
      <w:pPr>
        <w:pStyle w:val="Normal0"/>
        <w:spacing w:after="160" w:line="240" w:lineRule="auto"/>
        <w:rPr>
          <w:rFonts w:ascii="Arial" w:hAnsi="Arial" w:cs="Arial"/>
          <w:sz w:val="24"/>
          <w:szCs w:val="24"/>
        </w:rPr>
      </w:pPr>
      <w:r w:rsidRPr="00F571EA">
        <w:rPr>
          <w:rFonts w:ascii="Arial" w:hAnsi="Arial" w:cs="Arial"/>
          <w:sz w:val="24"/>
          <w:szCs w:val="24"/>
        </w:rPr>
        <w:t xml:space="preserve">The Public Sector Apprenticeship approach has supported thousands of new </w:t>
      </w:r>
      <w:r w:rsidR="00C028B4" w:rsidRPr="00F571EA">
        <w:rPr>
          <w:rFonts w:ascii="Arial" w:hAnsi="Arial" w:cs="Arial"/>
          <w:sz w:val="24"/>
          <w:szCs w:val="24"/>
        </w:rPr>
        <w:t>apprenticeships</w:t>
      </w:r>
      <w:r w:rsidRPr="00F571EA">
        <w:rPr>
          <w:rFonts w:ascii="Arial" w:hAnsi="Arial" w:cs="Arial"/>
          <w:sz w:val="24"/>
          <w:szCs w:val="24"/>
        </w:rPr>
        <w:t xml:space="preserve"> starts across Greater Manchester public services since 2017. Whilst formal reporting for 2021/22 has not yet taken place, in the previous year (20/21) around 2,000 people started new apprenticeships across the GM public sector despite the </w:t>
      </w:r>
      <w:r>
        <w:rPr>
          <w:rFonts w:ascii="Arial" w:hAnsi="Arial" w:cs="Arial"/>
          <w:sz w:val="24"/>
          <w:szCs w:val="24"/>
        </w:rPr>
        <w:t>COVID</w:t>
      </w:r>
      <w:r w:rsidRPr="00F571EA">
        <w:rPr>
          <w:rFonts w:ascii="Arial" w:hAnsi="Arial" w:cs="Arial"/>
          <w:sz w:val="24"/>
          <w:szCs w:val="24"/>
        </w:rPr>
        <w:t>-19 pandemic, and the overall number of apprentices in the GM public sector increased by over 650. Collaborative approaches to apprenticeships across our public services continue, and apprenticeships continue to be a key strategic focus, so it is anticipated that at least 2,000 additional apprenticeships will have started across Greater Manchester public sector employers in the year to March 2022.</w:t>
      </w:r>
    </w:p>
    <w:p w14:paraId="4444163D" w14:textId="77777777" w:rsidR="00016C24" w:rsidRPr="00F571EA" w:rsidRDefault="00016C24" w:rsidP="00016C24">
      <w:pPr>
        <w:pStyle w:val="Normal0"/>
        <w:spacing w:after="160" w:line="240" w:lineRule="auto"/>
        <w:rPr>
          <w:rFonts w:ascii="Arial" w:hAnsi="Arial" w:cs="Arial"/>
          <w:sz w:val="24"/>
          <w:szCs w:val="24"/>
        </w:rPr>
      </w:pPr>
      <w:r w:rsidRPr="00F571EA">
        <w:rPr>
          <w:rFonts w:ascii="Arial" w:hAnsi="Arial" w:cs="Arial"/>
          <w:sz w:val="24"/>
          <w:szCs w:val="24"/>
        </w:rPr>
        <w:t xml:space="preserve">As part of our work to remove barriers to apprenticeships for underrepresented groups, seven small-scale projects commenced delivery in September 2020, designed to better understand and tackle under-representation of different groups within our apprentice population relative to the GM population in general. In total, 147 individuals engaged across the 7 projects, with 31 starting apprenticeships up to March 2022., An evaluation report has been produced to capture learning from the programme to inform future work in this area and help to ensure the greatest impact for residents. This builds on the work undertaken with Department for Education as part of the Five Cities pilot, and work with the Ageing Hub on apprenticeships for the Over 50s. </w:t>
      </w:r>
    </w:p>
    <w:p w14:paraId="03160B97" w14:textId="132D0554" w:rsidR="00A632FA" w:rsidRPr="00D50BD5" w:rsidRDefault="00A632FA" w:rsidP="00D50BD5">
      <w:pPr>
        <w:rPr>
          <w:rFonts w:ascii="Arial" w:eastAsiaTheme="minorHAnsi" w:hAnsi="Arial"/>
          <w:lang w:val="en-US"/>
        </w:rPr>
      </w:pPr>
      <w:r>
        <w:rPr>
          <w:rFonts w:ascii="Arial" w:hAnsi="Arial" w:cs="Arial"/>
        </w:rPr>
        <w:br w:type="page"/>
      </w:r>
    </w:p>
    <w:p w14:paraId="7FC742C5" w14:textId="77777777" w:rsidR="00016C24" w:rsidRPr="00F571EA" w:rsidRDefault="00016C24" w:rsidP="00EB27EB">
      <w:pPr>
        <w:pStyle w:val="Normal0"/>
        <w:numPr>
          <w:ilvl w:val="0"/>
          <w:numId w:val="66"/>
        </w:numPr>
        <w:spacing w:after="160" w:line="240" w:lineRule="auto"/>
        <w:rPr>
          <w:rFonts w:ascii="Arial" w:hAnsi="Arial" w:cs="Arial"/>
          <w:b/>
          <w:bCs/>
          <w:sz w:val="24"/>
          <w:szCs w:val="24"/>
        </w:rPr>
      </w:pPr>
      <w:r w:rsidRPr="00F571EA">
        <w:rPr>
          <w:rFonts w:ascii="Arial" w:hAnsi="Arial" w:cs="Arial"/>
          <w:b/>
          <w:bCs/>
          <w:sz w:val="24"/>
          <w:szCs w:val="24"/>
        </w:rPr>
        <w:lastRenderedPageBreak/>
        <w:t>Adults can acquire the skills, mindset and support they need to fulfil their career potential and adapt to changing needs throughout their lives, from entering employment to highly skilled careers and retraining.</w:t>
      </w:r>
    </w:p>
    <w:p w14:paraId="1A597223" w14:textId="55088C7D" w:rsidR="00016C24" w:rsidRPr="00F571EA" w:rsidRDefault="00016C24" w:rsidP="00016C24">
      <w:pPr>
        <w:pStyle w:val="Normal0"/>
        <w:spacing w:after="160" w:line="240" w:lineRule="auto"/>
        <w:rPr>
          <w:rFonts w:ascii="Arial" w:hAnsi="Arial" w:cs="Arial"/>
          <w:sz w:val="24"/>
          <w:szCs w:val="24"/>
        </w:rPr>
      </w:pPr>
      <w:r w:rsidRPr="00F571EA">
        <w:rPr>
          <w:rFonts w:ascii="Arial" w:hAnsi="Arial" w:cs="Arial"/>
          <w:sz w:val="24"/>
          <w:szCs w:val="24"/>
        </w:rPr>
        <w:t xml:space="preserve">The Adult Education Budget (AEB) is a single budget bringing together adult further education (all 19yrs+ provision </w:t>
      </w:r>
      <w:proofErr w:type="gramStart"/>
      <w:r w:rsidRPr="00F571EA">
        <w:rPr>
          <w:rFonts w:ascii="Arial" w:hAnsi="Arial" w:cs="Arial"/>
          <w:sz w:val="24"/>
          <w:szCs w:val="24"/>
        </w:rPr>
        <w:t>with the exception of</w:t>
      </w:r>
      <w:proofErr w:type="gramEnd"/>
      <w:r w:rsidRPr="00F571EA">
        <w:rPr>
          <w:rFonts w:ascii="Arial" w:hAnsi="Arial" w:cs="Arial"/>
          <w:sz w:val="24"/>
          <w:szCs w:val="24"/>
        </w:rPr>
        <w:t xml:space="preserve"> apprenticeships</w:t>
      </w:r>
      <w:r w:rsidR="00C67457">
        <w:rPr>
          <w:rFonts w:ascii="Arial" w:hAnsi="Arial" w:cs="Arial"/>
          <w:sz w:val="24"/>
          <w:szCs w:val="24"/>
        </w:rPr>
        <w:t xml:space="preserve"> </w:t>
      </w:r>
      <w:r w:rsidRPr="00F571EA">
        <w:rPr>
          <w:rFonts w:ascii="Arial" w:hAnsi="Arial" w:cs="Arial"/>
          <w:sz w:val="24"/>
          <w:szCs w:val="24"/>
        </w:rPr>
        <w:t xml:space="preserve">/ traineeships), community learning, and discretionary learner support. GMCA receives an annual budget every academic year (August to July) of approximately £96 million, with the final allocation determined each January prior to the start of the academic year. </w:t>
      </w:r>
    </w:p>
    <w:p w14:paraId="747C68C7" w14:textId="689F9174" w:rsidR="00016C24" w:rsidRPr="00F571EA" w:rsidRDefault="00016C24" w:rsidP="00016C24">
      <w:pPr>
        <w:pStyle w:val="Normal0"/>
        <w:spacing w:after="160" w:line="240" w:lineRule="auto"/>
        <w:rPr>
          <w:rFonts w:ascii="Arial" w:hAnsi="Arial" w:cs="Arial"/>
          <w:sz w:val="24"/>
          <w:szCs w:val="24"/>
          <w:lang w:val="en-GB"/>
        </w:rPr>
      </w:pPr>
      <w:r w:rsidRPr="00F571EA">
        <w:rPr>
          <w:rFonts w:ascii="Arial" w:hAnsi="Arial" w:cs="Arial"/>
          <w:sz w:val="24"/>
          <w:szCs w:val="24"/>
        </w:rPr>
        <w:t xml:space="preserve">The AEB is intended to fund provision which supports the local </w:t>
      </w:r>
      <w:proofErr w:type="spellStart"/>
      <w:r w:rsidRPr="00F571EA">
        <w:rPr>
          <w:rFonts w:ascii="Arial" w:hAnsi="Arial" w:cs="Arial"/>
          <w:sz w:val="24"/>
          <w:szCs w:val="24"/>
        </w:rPr>
        <w:t>labour</w:t>
      </w:r>
      <w:proofErr w:type="spellEnd"/>
      <w:r w:rsidRPr="00F571EA">
        <w:rPr>
          <w:rFonts w:ascii="Arial" w:hAnsi="Arial" w:cs="Arial"/>
          <w:sz w:val="24"/>
          <w:szCs w:val="24"/>
        </w:rPr>
        <w:t xml:space="preserve"> market and economic development. </w:t>
      </w:r>
      <w:proofErr w:type="gramStart"/>
      <w:r w:rsidRPr="00F571EA">
        <w:rPr>
          <w:rFonts w:ascii="Arial" w:hAnsi="Arial" w:cs="Arial"/>
          <w:sz w:val="24"/>
          <w:szCs w:val="24"/>
        </w:rPr>
        <w:t>In particular, it</w:t>
      </w:r>
      <w:proofErr w:type="gramEnd"/>
      <w:r w:rsidRPr="00F571EA">
        <w:rPr>
          <w:rFonts w:ascii="Arial" w:hAnsi="Arial" w:cs="Arial"/>
          <w:sz w:val="24"/>
          <w:szCs w:val="24"/>
        </w:rPr>
        <w:t xml:space="preserve"> focuses on ensuring that adults have the core skills that they need for work, including guaranteeing a number of statutory entitlements relating to </w:t>
      </w:r>
      <w:r w:rsidR="00625974">
        <w:rPr>
          <w:rFonts w:ascii="Arial" w:hAnsi="Arial" w:cs="Arial"/>
          <w:sz w:val="24"/>
          <w:szCs w:val="24"/>
        </w:rPr>
        <w:t>E</w:t>
      </w:r>
      <w:r w:rsidRPr="00F571EA">
        <w:rPr>
          <w:rFonts w:ascii="Arial" w:hAnsi="Arial" w:cs="Arial"/>
          <w:sz w:val="24"/>
          <w:szCs w:val="24"/>
        </w:rPr>
        <w:t xml:space="preserve">nglish, </w:t>
      </w:r>
      <w:proofErr w:type="spellStart"/>
      <w:r w:rsidR="00625974">
        <w:rPr>
          <w:rFonts w:ascii="Arial" w:hAnsi="Arial" w:cs="Arial"/>
          <w:sz w:val="24"/>
          <w:szCs w:val="24"/>
        </w:rPr>
        <w:t>M</w:t>
      </w:r>
      <w:r w:rsidRPr="00F571EA">
        <w:rPr>
          <w:rFonts w:ascii="Arial" w:hAnsi="Arial" w:cs="Arial"/>
          <w:sz w:val="24"/>
          <w:szCs w:val="24"/>
        </w:rPr>
        <w:t>aths</w:t>
      </w:r>
      <w:proofErr w:type="spellEnd"/>
      <w:r w:rsidRPr="00F571EA">
        <w:rPr>
          <w:rFonts w:ascii="Arial" w:hAnsi="Arial" w:cs="Arial"/>
          <w:sz w:val="24"/>
          <w:szCs w:val="24"/>
        </w:rPr>
        <w:t xml:space="preserve"> and </w:t>
      </w:r>
      <w:r w:rsidR="00625974">
        <w:rPr>
          <w:rFonts w:ascii="Arial" w:hAnsi="Arial" w:cs="Arial"/>
          <w:sz w:val="24"/>
          <w:szCs w:val="24"/>
        </w:rPr>
        <w:t>D</w:t>
      </w:r>
      <w:r w:rsidRPr="00F571EA">
        <w:rPr>
          <w:rFonts w:ascii="Arial" w:hAnsi="Arial" w:cs="Arial"/>
          <w:sz w:val="24"/>
          <w:szCs w:val="24"/>
        </w:rPr>
        <w:t xml:space="preserve">igital </w:t>
      </w:r>
      <w:r w:rsidR="00625974">
        <w:rPr>
          <w:rFonts w:ascii="Arial" w:hAnsi="Arial" w:cs="Arial"/>
          <w:sz w:val="24"/>
          <w:szCs w:val="24"/>
        </w:rPr>
        <w:t>S</w:t>
      </w:r>
      <w:r w:rsidRPr="00F571EA">
        <w:rPr>
          <w:rFonts w:ascii="Arial" w:hAnsi="Arial" w:cs="Arial"/>
          <w:sz w:val="24"/>
          <w:szCs w:val="24"/>
        </w:rPr>
        <w:t xml:space="preserve">kills, as well as first Level 2 and 3 qualifications and English for Speakers of Other Languages (ESOL). </w:t>
      </w:r>
    </w:p>
    <w:p w14:paraId="63CC7FBE" w14:textId="2095E383" w:rsidR="00016C24" w:rsidRPr="00F571EA" w:rsidRDefault="00016C24" w:rsidP="00016C24">
      <w:pPr>
        <w:pStyle w:val="Normal0"/>
        <w:spacing w:after="160" w:line="240" w:lineRule="auto"/>
        <w:rPr>
          <w:rFonts w:ascii="Arial" w:hAnsi="Arial" w:cs="Arial"/>
          <w:sz w:val="24"/>
          <w:szCs w:val="24"/>
        </w:rPr>
      </w:pPr>
      <w:r w:rsidRPr="00F571EA">
        <w:rPr>
          <w:rFonts w:ascii="Arial" w:hAnsi="Arial" w:cs="Arial"/>
          <w:sz w:val="24"/>
          <w:szCs w:val="24"/>
        </w:rPr>
        <w:t>The academic year ending August 2021 was the second year of devolved AEB to GM where over 52,000 GM residents accessed over 110,000 devolved AEB funded courses, with over 88,000 of these completed during 2020/21 academic year. During 2020/21, the C</w:t>
      </w:r>
      <w:r>
        <w:rPr>
          <w:rFonts w:ascii="Arial" w:hAnsi="Arial" w:cs="Arial"/>
          <w:sz w:val="24"/>
          <w:szCs w:val="24"/>
        </w:rPr>
        <w:t>OVID</w:t>
      </w:r>
      <w:r w:rsidRPr="00F571EA">
        <w:rPr>
          <w:rFonts w:ascii="Arial" w:hAnsi="Arial" w:cs="Arial"/>
          <w:sz w:val="24"/>
          <w:szCs w:val="24"/>
        </w:rPr>
        <w:t xml:space="preserve">-19 pandemic continued to </w:t>
      </w:r>
      <w:proofErr w:type="gramStart"/>
      <w:r w:rsidRPr="00F571EA">
        <w:rPr>
          <w:rFonts w:ascii="Arial" w:hAnsi="Arial" w:cs="Arial"/>
          <w:sz w:val="24"/>
          <w:szCs w:val="24"/>
        </w:rPr>
        <w:t>have an effect on</w:t>
      </w:r>
      <w:proofErr w:type="gramEnd"/>
      <w:r w:rsidRPr="00F571EA">
        <w:rPr>
          <w:rFonts w:ascii="Arial" w:hAnsi="Arial" w:cs="Arial"/>
          <w:sz w:val="24"/>
          <w:szCs w:val="24"/>
        </w:rPr>
        <w:t xml:space="preserve"> classroom and other face-to-face learning and resulted in a decrease in residents enrolling on courses, at key milestones within the academic year. GMCA provided support to residents and providers through support for online delivery, continued targeted programmes for people significantly impacted by the pandemic and providing continued funding to enable providers to offer additional pastoral support to learners. AEB providers delivered 88% of planned learning in 2020/</w:t>
      </w:r>
      <w:r w:rsidR="00365515">
        <w:rPr>
          <w:rFonts w:ascii="Arial" w:hAnsi="Arial" w:cs="Arial"/>
          <w:sz w:val="24"/>
          <w:szCs w:val="24"/>
        </w:rPr>
        <w:t>2</w:t>
      </w:r>
      <w:r w:rsidRPr="00F571EA">
        <w:rPr>
          <w:rFonts w:ascii="Arial" w:hAnsi="Arial" w:cs="Arial"/>
          <w:sz w:val="24"/>
          <w:szCs w:val="24"/>
        </w:rPr>
        <w:t>1, considering the continued impact the pandemic caused all learning environments to close or limit access for significant parts of the academic year. This reflects the work and commitment from across the provider base, to ensure the residents were supported and offered the learning they required.</w:t>
      </w:r>
    </w:p>
    <w:p w14:paraId="374D9A21" w14:textId="5FC921CB" w:rsidR="00016C24" w:rsidRPr="00BE1E8E" w:rsidRDefault="00016C24" w:rsidP="00016C24">
      <w:pPr>
        <w:pStyle w:val="Normal0"/>
        <w:spacing w:after="160" w:line="240" w:lineRule="auto"/>
        <w:rPr>
          <w:rFonts w:ascii="Arial" w:hAnsi="Arial" w:cs="Arial"/>
          <w:sz w:val="24"/>
          <w:szCs w:val="24"/>
        </w:rPr>
      </w:pPr>
      <w:r w:rsidRPr="00F571EA">
        <w:rPr>
          <w:rFonts w:ascii="Arial" w:hAnsi="Arial" w:cs="Arial"/>
          <w:sz w:val="24"/>
          <w:szCs w:val="24"/>
        </w:rPr>
        <w:t xml:space="preserve">In December 2021, the GMCA approved the refresh of the GM Adult Skills Programme, ensuring it continues to be a key part of that integrated system and one which, through alignment with devolved employment support programmes and health and social care functions, can deliver change that not possible at national level. Whilst the pace of change has been impacted by the pandemic, the core priorities for Adult Education Budget (AEB) have not fundamentally changed. Rather, the refreshed priorities are </w:t>
      </w:r>
      <w:r w:rsidRPr="00BE1E8E">
        <w:rPr>
          <w:rFonts w:ascii="Arial" w:hAnsi="Arial" w:cs="Arial"/>
          <w:sz w:val="24"/>
          <w:szCs w:val="24"/>
        </w:rPr>
        <w:t>about tackling inequalities, equipping people for life and work, and help residents to progress in learning and into/within employment.</w:t>
      </w:r>
    </w:p>
    <w:p w14:paraId="371EB25D" w14:textId="09363FDD" w:rsidR="00016C24" w:rsidRPr="00BE1E8E" w:rsidRDefault="00016C24" w:rsidP="00016C24">
      <w:pPr>
        <w:spacing w:after="160"/>
        <w:rPr>
          <w:rFonts w:ascii="Arial" w:hAnsi="Arial" w:cs="Arial"/>
          <w:sz w:val="22"/>
          <w:szCs w:val="22"/>
        </w:rPr>
      </w:pPr>
      <w:r w:rsidRPr="00BE1E8E">
        <w:rPr>
          <w:rFonts w:ascii="Arial" w:hAnsi="Arial" w:cs="Arial"/>
        </w:rPr>
        <w:t xml:space="preserve">Over the last financial year GMCA has delivered the Skills Bootcamps pilot supporting adults to retrain and employers to fill skills shortage vacancies via a place based approach that has brought partnerships of local employers and providers together to deliver innovative employer led skills training. There have been nearly 600 participants with 55% entering skilled employment; 49% of which were women and 41% from ethnic minorities. Earlier this year GMCA were successful in securing £7m of funding to expand delivery of “Skills Bootcamps” in the region. We aim to support 2500 people into real job vacancies in the region across the range of LIS Frontier Sectors including </w:t>
      </w:r>
      <w:r w:rsidRPr="00BE1E8E">
        <w:rPr>
          <w:rFonts w:ascii="Arial" w:hAnsi="Arial" w:cs="Arial"/>
          <w:lang w:eastAsia="en-GB"/>
        </w:rPr>
        <w:t xml:space="preserve">digital &amp; creative, advanced materials/manufacturing, green economy &amp; life sciences. Building upon the recommendations of the inequalities commission we will target groups of residents underrepresented in key sectors and facing disadvantage in the labour market. </w:t>
      </w:r>
    </w:p>
    <w:p w14:paraId="2FAD737A" w14:textId="241683F7" w:rsidR="00A632FA" w:rsidRPr="003539BC" w:rsidRDefault="00A632FA" w:rsidP="00431F6F">
      <w:pPr>
        <w:rPr>
          <w:rFonts w:ascii="Arial" w:hAnsi="Arial"/>
        </w:rPr>
      </w:pPr>
      <w:r>
        <w:rPr>
          <w:rFonts w:ascii="Arial" w:hAnsi="Arial" w:cs="Arial"/>
        </w:rPr>
        <w:br w:type="page"/>
      </w:r>
    </w:p>
    <w:p w14:paraId="2C33D30F" w14:textId="77777777" w:rsidR="00016C24" w:rsidRPr="00F571EA" w:rsidRDefault="00016C24" w:rsidP="00EB27EB">
      <w:pPr>
        <w:pStyle w:val="Normal0"/>
        <w:numPr>
          <w:ilvl w:val="0"/>
          <w:numId w:val="66"/>
        </w:numPr>
        <w:spacing w:after="160" w:line="240" w:lineRule="auto"/>
        <w:rPr>
          <w:rFonts w:ascii="Arial" w:hAnsi="Arial" w:cs="Arial"/>
          <w:b/>
          <w:bCs/>
          <w:sz w:val="24"/>
          <w:szCs w:val="24"/>
        </w:rPr>
      </w:pPr>
      <w:r w:rsidRPr="00F571EA">
        <w:rPr>
          <w:rFonts w:ascii="Arial" w:hAnsi="Arial" w:cs="Arial"/>
          <w:b/>
          <w:bCs/>
          <w:sz w:val="24"/>
          <w:szCs w:val="24"/>
        </w:rPr>
        <w:lastRenderedPageBreak/>
        <w:t xml:space="preserve">Employers have access to a system that is flexible, </w:t>
      </w:r>
      <w:proofErr w:type="gramStart"/>
      <w:r w:rsidRPr="00F571EA">
        <w:rPr>
          <w:rFonts w:ascii="Arial" w:hAnsi="Arial" w:cs="Arial"/>
          <w:b/>
          <w:bCs/>
          <w:sz w:val="24"/>
          <w:szCs w:val="24"/>
        </w:rPr>
        <w:t>resilient</w:t>
      </w:r>
      <w:proofErr w:type="gramEnd"/>
      <w:r w:rsidRPr="00F571EA">
        <w:rPr>
          <w:rFonts w:ascii="Arial" w:hAnsi="Arial" w:cs="Arial"/>
          <w:b/>
          <w:bCs/>
          <w:sz w:val="24"/>
          <w:szCs w:val="24"/>
        </w:rPr>
        <w:t xml:space="preserve"> and adaptable, and meets their needs in the rapidly changing 21</w:t>
      </w:r>
      <w:r w:rsidRPr="00F571EA">
        <w:rPr>
          <w:rFonts w:ascii="Arial" w:hAnsi="Arial" w:cs="Arial"/>
          <w:b/>
          <w:bCs/>
          <w:sz w:val="24"/>
          <w:szCs w:val="24"/>
          <w:vertAlign w:val="superscript"/>
        </w:rPr>
        <w:t>st</w:t>
      </w:r>
      <w:r w:rsidRPr="00F571EA">
        <w:rPr>
          <w:rFonts w:ascii="Arial" w:hAnsi="Arial" w:cs="Arial"/>
          <w:b/>
          <w:bCs/>
          <w:sz w:val="24"/>
          <w:szCs w:val="24"/>
        </w:rPr>
        <w:t xml:space="preserve"> Century world of work, driving a sustainable economic future for GM in which companies compete on the basis of high productivity, good quality work, and excellent employment practices.</w:t>
      </w:r>
    </w:p>
    <w:p w14:paraId="5B34A1B7" w14:textId="77777777" w:rsidR="00016C24" w:rsidRPr="005004D1" w:rsidRDefault="00016C24" w:rsidP="00016C24">
      <w:pPr>
        <w:spacing w:before="120" w:after="160"/>
        <w:rPr>
          <w:rFonts w:ascii="Arial" w:hAnsi="Arial" w:cs="Arial"/>
        </w:rPr>
      </w:pPr>
      <w:r w:rsidRPr="005004D1">
        <w:rPr>
          <w:rFonts w:ascii="Arial" w:hAnsi="Arial" w:cs="Arial"/>
        </w:rPr>
        <w:t xml:space="preserve">The Skills Intelligence team is an external facing employer intelligence function </w:t>
      </w:r>
      <w:r>
        <w:rPr>
          <w:rFonts w:ascii="Arial" w:hAnsi="Arial" w:cs="Arial"/>
        </w:rPr>
        <w:t xml:space="preserve">(funded by ESF) </w:t>
      </w:r>
      <w:r w:rsidRPr="005004D1">
        <w:rPr>
          <w:rFonts w:ascii="Arial" w:hAnsi="Arial" w:cs="Arial"/>
        </w:rPr>
        <w:t>engaging with businesses of all sizes and across all sectors across GM. The core role of the team is to gather (from/with employers) a detailed evidence base building on information and intelligence gathered from other sources about the current and future talent &amp; skills needs of businesses in GM; including the jobs they need to recruit to, competencies required, and skills challenges. The team is putting the voice of business at the heart of the education, skills &amp; work system in GM with 10 sectors now covered by in-depth skills intelligence work which:</w:t>
      </w:r>
    </w:p>
    <w:p w14:paraId="0D2CDD53" w14:textId="77777777" w:rsidR="00016C24" w:rsidRPr="005004D1" w:rsidRDefault="00016C24" w:rsidP="00EB27EB">
      <w:pPr>
        <w:pStyle w:val="ListParagraph"/>
        <w:numPr>
          <w:ilvl w:val="0"/>
          <w:numId w:val="67"/>
        </w:numPr>
        <w:spacing w:after="160" w:line="240" w:lineRule="auto"/>
        <w:rPr>
          <w:rFonts w:ascii="Arial" w:hAnsi="Arial" w:cs="Arial"/>
          <w:b/>
          <w:bCs/>
          <w:sz w:val="24"/>
          <w:szCs w:val="24"/>
        </w:rPr>
      </w:pPr>
      <w:r w:rsidRPr="005004D1">
        <w:rPr>
          <w:rFonts w:ascii="Arial" w:hAnsi="Arial" w:cs="Arial"/>
          <w:sz w:val="24"/>
          <w:szCs w:val="24"/>
        </w:rPr>
        <w:t>Enhances the quality, value for money, and reach of GMCA’s wider Work and Skills commissioning.</w:t>
      </w:r>
    </w:p>
    <w:p w14:paraId="0D336597" w14:textId="77777777" w:rsidR="00016C24" w:rsidRPr="005004D1" w:rsidRDefault="00016C24" w:rsidP="00EB27EB">
      <w:pPr>
        <w:pStyle w:val="ListParagraph"/>
        <w:numPr>
          <w:ilvl w:val="0"/>
          <w:numId w:val="67"/>
        </w:numPr>
        <w:spacing w:after="160" w:line="240" w:lineRule="auto"/>
        <w:rPr>
          <w:rFonts w:ascii="Arial" w:hAnsi="Arial" w:cs="Arial"/>
          <w:b/>
          <w:bCs/>
          <w:sz w:val="24"/>
          <w:szCs w:val="24"/>
        </w:rPr>
      </w:pPr>
      <w:r w:rsidRPr="005004D1">
        <w:rPr>
          <w:rFonts w:ascii="Arial" w:hAnsi="Arial" w:cs="Arial"/>
          <w:sz w:val="24"/>
          <w:szCs w:val="24"/>
        </w:rPr>
        <w:t xml:space="preserve">Reaches back into the skills system to influence curriculum and programme change within existing delivery, ensuring that residents are better equipped to secure high-skill jobs in the city region. </w:t>
      </w:r>
    </w:p>
    <w:p w14:paraId="07CCFA52" w14:textId="77777777" w:rsidR="00016C24" w:rsidRPr="005004D1" w:rsidRDefault="00016C24" w:rsidP="00EB27EB">
      <w:pPr>
        <w:pStyle w:val="ListParagraph"/>
        <w:numPr>
          <w:ilvl w:val="0"/>
          <w:numId w:val="67"/>
        </w:numPr>
        <w:spacing w:after="160" w:line="240" w:lineRule="auto"/>
        <w:rPr>
          <w:rFonts w:ascii="Arial" w:hAnsi="Arial" w:cs="Arial"/>
          <w:b/>
          <w:bCs/>
          <w:sz w:val="24"/>
          <w:szCs w:val="24"/>
        </w:rPr>
      </w:pPr>
      <w:r w:rsidRPr="005004D1">
        <w:rPr>
          <w:rFonts w:ascii="Arial" w:hAnsi="Arial" w:cs="Arial"/>
          <w:sz w:val="24"/>
          <w:szCs w:val="24"/>
        </w:rPr>
        <w:t xml:space="preserve">Works across internal functions (e.g. Economy, Environment), and external bodies (e.g. Local Authorities, TfGM, central government), to ensure that the skills system in the city region supports key strategic priorities. </w:t>
      </w:r>
    </w:p>
    <w:p w14:paraId="5DABD28F" w14:textId="77777777" w:rsidR="00016C24" w:rsidRPr="00F571EA" w:rsidRDefault="00016C24" w:rsidP="00016C24">
      <w:pPr>
        <w:spacing w:after="160"/>
        <w:rPr>
          <w:rFonts w:ascii="Arial" w:hAnsi="Arial" w:cs="Arial"/>
        </w:rPr>
      </w:pPr>
      <w:r w:rsidRPr="005004D1">
        <w:rPr>
          <w:rFonts w:ascii="Arial" w:hAnsi="Arial" w:cs="Arial"/>
        </w:rPr>
        <w:t>GM’s Skills for Growth Programme, funded by ESF, will support 3,000 businesses to better understand and articulate</w:t>
      </w:r>
      <w:r w:rsidRPr="00F571EA">
        <w:rPr>
          <w:rFonts w:ascii="Arial" w:hAnsi="Arial" w:cs="Arial"/>
        </w:rPr>
        <w:t xml:space="preserve"> their skills needs and over 25,000 individuals to develop their technical skills. Developed in response to industry intelligence gathered from businesses and employer networks in Greater Manchester frontier sectors and foundation economy; delivery of the SME Support element commenced in Autumn 2020 and to date over 1800 SME’s in GM have been supported with this programme. We have also commissioned 8 skills contracts across a variety of sectors to deliver upskilling to those working or living in GM, to date more than 1700 individuals have enrolled or completed the training on offer and we have our final 3 commissioning opportunities live. </w:t>
      </w:r>
    </w:p>
    <w:p w14:paraId="23B9AFB0" w14:textId="77777777" w:rsidR="00016C24" w:rsidRPr="00F571EA" w:rsidRDefault="00016C24" w:rsidP="00016C24">
      <w:pPr>
        <w:spacing w:after="160"/>
        <w:rPr>
          <w:rFonts w:ascii="Arial" w:hAnsi="Arial" w:cs="Arial"/>
        </w:rPr>
      </w:pPr>
      <w:r w:rsidRPr="00F571EA">
        <w:rPr>
          <w:rFonts w:ascii="Arial" w:hAnsi="Arial" w:cs="Arial"/>
        </w:rPr>
        <w:t xml:space="preserve">The programme will run until September 23 with claims being submitted to ESF until Dec 23. </w:t>
      </w:r>
    </w:p>
    <w:p w14:paraId="2595B075" w14:textId="77777777" w:rsidR="00016C24" w:rsidRPr="00F571EA" w:rsidRDefault="00016C24" w:rsidP="00016C24">
      <w:pPr>
        <w:spacing w:after="160"/>
        <w:rPr>
          <w:rFonts w:ascii="Arial" w:hAnsi="Arial" w:cs="Arial"/>
        </w:rPr>
      </w:pPr>
      <w:bookmarkStart w:id="23" w:name="_Hlk107999061"/>
      <w:r w:rsidRPr="00F571EA">
        <w:rPr>
          <w:rFonts w:ascii="Arial" w:hAnsi="Arial" w:cs="Arial"/>
        </w:rPr>
        <w:t xml:space="preserve">GM’s Skills for Growth programme has specifically supported the creation of 137 apprenticeships in SMEs, with 265 expected by May 2023. </w:t>
      </w:r>
    </w:p>
    <w:p w14:paraId="7A9F30D9" w14:textId="376CC5A6" w:rsidR="00016C24" w:rsidRDefault="00016C24" w:rsidP="00016C24">
      <w:pPr>
        <w:spacing w:after="160"/>
        <w:rPr>
          <w:rFonts w:ascii="Arial" w:hAnsi="Arial" w:cs="Arial"/>
        </w:rPr>
      </w:pPr>
      <w:r w:rsidRPr="00F571EA">
        <w:rPr>
          <w:rFonts w:ascii="Arial" w:hAnsi="Arial" w:cs="Arial"/>
        </w:rPr>
        <w:t>We continue to maximise impact of Apprenticeship Levy funding generated within Greater Manchester via the GM Levy Matchmaking Service which, since its launch in August 2019, has secured pledges of Levy funding totalling £7.3m, and has funded 570 new apprenticeships to date, with a further 191 agreed for the future.</w:t>
      </w:r>
    </w:p>
    <w:p w14:paraId="4821E573" w14:textId="3986CD80" w:rsidR="00016C24" w:rsidRPr="00F571EA" w:rsidRDefault="00016C24" w:rsidP="00016C24">
      <w:pPr>
        <w:spacing w:after="160"/>
        <w:rPr>
          <w:rFonts w:ascii="Arial" w:hAnsi="Arial" w:cs="Arial"/>
        </w:rPr>
      </w:pPr>
      <w:r w:rsidRPr="00BE1E8E">
        <w:rPr>
          <w:rFonts w:ascii="Arial" w:hAnsi="Arial" w:cs="Arial"/>
        </w:rPr>
        <w:t>GM’s Local Growth Fund Programme (LGF) reached financial closure on 31 March 2021. The full £143m grant allocation was achieved by the spend deadline. Projects</w:t>
      </w:r>
      <w:r>
        <w:rPr>
          <w:rFonts w:ascii="Arial" w:hAnsi="Arial" w:cs="Arial"/>
        </w:rPr>
        <w:t>, which have included capital investment in GM’s further education infrastructure and the creation of industry-standard training facilities and learning environments,</w:t>
      </w:r>
      <w:r w:rsidRPr="00BE1E8E">
        <w:rPr>
          <w:rFonts w:ascii="Arial" w:hAnsi="Arial" w:cs="Arial"/>
        </w:rPr>
        <w:t xml:space="preserve"> have continued to report match spend and jobs created (outputs) since this date.</w:t>
      </w:r>
      <w:r w:rsidRPr="00F571EA">
        <w:rPr>
          <w:rFonts w:ascii="Arial" w:hAnsi="Arial" w:cs="Arial"/>
        </w:rPr>
        <w:t xml:space="preserve"> Across the full programme, we agreed to create 6250 jobs and £210m of match spend. We have exceeded this target across the programme (transport and non-transport) with 6291 jobs and £339m match spend reported to date. We continue to demonstrate good value for money for GM; we</w:t>
      </w:r>
      <w:r w:rsidR="00365515">
        <w:rPr>
          <w:rFonts w:ascii="Arial" w:hAnsi="Arial" w:cs="Arial"/>
        </w:rPr>
        <w:t xml:space="preserve"> a</w:t>
      </w:r>
      <w:r w:rsidRPr="00F571EA">
        <w:rPr>
          <w:rFonts w:ascii="Arial" w:hAnsi="Arial" w:cs="Arial"/>
        </w:rPr>
        <w:t>re currently reporting 2</w:t>
      </w:r>
      <w:r w:rsidR="00365515">
        <w:rPr>
          <w:rFonts w:ascii="Arial" w:hAnsi="Arial" w:cs="Arial"/>
        </w:rPr>
        <w:t>,</w:t>
      </w:r>
      <w:r w:rsidRPr="00F571EA">
        <w:rPr>
          <w:rFonts w:ascii="Arial" w:hAnsi="Arial" w:cs="Arial"/>
        </w:rPr>
        <w:t xml:space="preserve">173 jobs and £319m of match spend on the </w:t>
      </w:r>
      <w:r w:rsidRPr="00F571EA">
        <w:rPr>
          <w:rFonts w:ascii="Arial" w:hAnsi="Arial" w:cs="Arial"/>
        </w:rPr>
        <w:lastRenderedPageBreak/>
        <w:t xml:space="preserve">non-transport side of the programme and are therefore on target to achieve contract outputs by 2025. Within the LGF programme there were approx. £25m of recycled funds which continue to fund the original projects and there is also £16m which has been allocated to skills recovery, a proposal for these funds is being developed and is expected by Autumn 2022. </w:t>
      </w:r>
    </w:p>
    <w:p w14:paraId="576C46EA" w14:textId="77777777" w:rsidR="00016C24" w:rsidRPr="00F571EA" w:rsidRDefault="00016C24" w:rsidP="00D50BD5">
      <w:pPr>
        <w:pStyle w:val="Heading6"/>
        <w:numPr>
          <w:ilvl w:val="0"/>
          <w:numId w:val="66"/>
        </w:numPr>
        <w:spacing w:after="160"/>
        <w:rPr>
          <w:rFonts w:cs="Arial"/>
        </w:rPr>
      </w:pPr>
      <w:bookmarkStart w:id="24" w:name="_Hlk107999562"/>
      <w:bookmarkEnd w:id="23"/>
      <w:r w:rsidRPr="00F571EA">
        <w:rPr>
          <w:rFonts w:cs="Arial"/>
        </w:rPr>
        <w:t>Residents are supported by a welfare system, under Universal Credit, that provides access to good work for those who can, support for those who could and care for those that can’t</w:t>
      </w:r>
    </w:p>
    <w:p w14:paraId="6FE96C8D" w14:textId="78D8EFB1" w:rsidR="00016C24" w:rsidRPr="00F571EA" w:rsidRDefault="00016C24" w:rsidP="00016C24">
      <w:pPr>
        <w:pStyle w:val="Normal0"/>
        <w:spacing w:after="160" w:line="240" w:lineRule="auto"/>
        <w:rPr>
          <w:rFonts w:ascii="Arial" w:hAnsi="Arial" w:cs="Arial"/>
          <w:sz w:val="24"/>
          <w:szCs w:val="24"/>
        </w:rPr>
      </w:pPr>
      <w:r w:rsidRPr="00F571EA">
        <w:rPr>
          <w:rFonts w:ascii="Arial" w:hAnsi="Arial" w:cs="Arial"/>
          <w:sz w:val="24"/>
          <w:szCs w:val="24"/>
        </w:rPr>
        <w:t xml:space="preserve">The devolved GM Working Well </w:t>
      </w:r>
      <w:r>
        <w:rPr>
          <w:rFonts w:ascii="Arial" w:hAnsi="Arial" w:cs="Arial"/>
          <w:sz w:val="24"/>
          <w:szCs w:val="24"/>
        </w:rPr>
        <w:t>(</w:t>
      </w:r>
      <w:r w:rsidRPr="00F571EA">
        <w:rPr>
          <w:rFonts w:ascii="Arial" w:hAnsi="Arial" w:cs="Arial"/>
          <w:sz w:val="24"/>
          <w:szCs w:val="24"/>
        </w:rPr>
        <w:t>Work and Health Programme (WHP)</w:t>
      </w:r>
      <w:r>
        <w:rPr>
          <w:rFonts w:ascii="Arial" w:hAnsi="Arial" w:cs="Arial"/>
          <w:sz w:val="24"/>
          <w:szCs w:val="24"/>
        </w:rPr>
        <w:t>)</w:t>
      </w:r>
      <w:r w:rsidRPr="00F571EA">
        <w:rPr>
          <w:rFonts w:ascii="Arial" w:hAnsi="Arial" w:cs="Arial"/>
          <w:sz w:val="24"/>
          <w:szCs w:val="24"/>
        </w:rPr>
        <w:t xml:space="preserve"> continues to support GM residents who are out of work due to poor health/disabilities and the long term unemployed, to help address their individual barriers to employment with a view to helping them enter or return to work. The £52m programme will support over 22,000 GM residents over its five-year span (2018-2024). The challenges of the pandemic brought movement from a payment by results model to a </w:t>
      </w:r>
      <w:r w:rsidR="001026CC" w:rsidRPr="00F571EA">
        <w:rPr>
          <w:rFonts w:ascii="Arial" w:hAnsi="Arial" w:cs="Arial"/>
          <w:sz w:val="24"/>
          <w:szCs w:val="24"/>
        </w:rPr>
        <w:t>cost-plus</w:t>
      </w:r>
      <w:r w:rsidRPr="00F571EA">
        <w:rPr>
          <w:rFonts w:ascii="Arial" w:hAnsi="Arial" w:cs="Arial"/>
          <w:sz w:val="24"/>
          <w:szCs w:val="24"/>
        </w:rPr>
        <w:t xml:space="preserve"> model, enabling the provider to continue to support all participants on programme despite having to adopt remote delivery models for significant periods </w:t>
      </w:r>
      <w:proofErr w:type="gramStart"/>
      <w:r w:rsidRPr="00F571EA">
        <w:rPr>
          <w:rFonts w:ascii="Arial" w:hAnsi="Arial" w:cs="Arial"/>
          <w:sz w:val="24"/>
          <w:szCs w:val="24"/>
        </w:rPr>
        <w:t>in order to</w:t>
      </w:r>
      <w:proofErr w:type="gramEnd"/>
      <w:r w:rsidRPr="00F571EA">
        <w:rPr>
          <w:rFonts w:ascii="Arial" w:hAnsi="Arial" w:cs="Arial"/>
          <w:sz w:val="24"/>
          <w:szCs w:val="24"/>
        </w:rPr>
        <w:t xml:space="preserve"> continue supporting residents facing some of the most complex barriers and long-standing distancing from the </w:t>
      </w:r>
      <w:proofErr w:type="spellStart"/>
      <w:r w:rsidRPr="00F571EA">
        <w:rPr>
          <w:rFonts w:ascii="Arial" w:hAnsi="Arial" w:cs="Arial"/>
          <w:sz w:val="24"/>
          <w:szCs w:val="24"/>
        </w:rPr>
        <w:t>labour</w:t>
      </w:r>
      <w:proofErr w:type="spellEnd"/>
      <w:r w:rsidRPr="00F571EA">
        <w:rPr>
          <w:rFonts w:ascii="Arial" w:hAnsi="Arial" w:cs="Arial"/>
          <w:sz w:val="24"/>
          <w:szCs w:val="24"/>
        </w:rPr>
        <w:t xml:space="preserve"> market. To the end of </w:t>
      </w:r>
      <w:r>
        <w:rPr>
          <w:rFonts w:ascii="Arial" w:hAnsi="Arial" w:cs="Arial"/>
          <w:sz w:val="24"/>
          <w:szCs w:val="24"/>
        </w:rPr>
        <w:t>M</w:t>
      </w:r>
      <w:r w:rsidRPr="00F571EA">
        <w:rPr>
          <w:rFonts w:ascii="Arial" w:hAnsi="Arial" w:cs="Arial"/>
          <w:sz w:val="24"/>
          <w:szCs w:val="24"/>
        </w:rPr>
        <w:t>arch 202</w:t>
      </w:r>
      <w:r>
        <w:rPr>
          <w:rFonts w:ascii="Arial" w:hAnsi="Arial" w:cs="Arial"/>
          <w:sz w:val="24"/>
          <w:szCs w:val="24"/>
        </w:rPr>
        <w:t>2</w:t>
      </w:r>
      <w:r w:rsidRPr="00F571EA">
        <w:rPr>
          <w:rFonts w:ascii="Arial" w:hAnsi="Arial" w:cs="Arial"/>
          <w:sz w:val="24"/>
          <w:szCs w:val="24"/>
        </w:rPr>
        <w:t>, there have been 21,000 individual starts onto the programme with 8,500 of those starting employment and 5</w:t>
      </w:r>
      <w:r w:rsidR="00365515">
        <w:rPr>
          <w:rFonts w:ascii="Arial" w:hAnsi="Arial" w:cs="Arial"/>
          <w:sz w:val="24"/>
          <w:szCs w:val="24"/>
        </w:rPr>
        <w:t>,</w:t>
      </w:r>
      <w:r w:rsidRPr="00F571EA">
        <w:rPr>
          <w:rFonts w:ascii="Arial" w:hAnsi="Arial" w:cs="Arial"/>
          <w:sz w:val="24"/>
          <w:szCs w:val="24"/>
        </w:rPr>
        <w:t>000 achieving earnings outcomes (sustained jobs). The programme performs well in comparison to other Contract Package Areas across England and Wales. Work towards a potential 2 year extension of the WHP is currently underway, introducing a further £12.3m investment to support upward of 5,800 people. This work is anticipated to conclude in autumn and will ensure continuation of support to 2026</w:t>
      </w:r>
      <w:r w:rsidR="009D6FD6" w:rsidRPr="00F571EA">
        <w:rPr>
          <w:rFonts w:ascii="Arial" w:hAnsi="Arial" w:cs="Arial"/>
          <w:sz w:val="24"/>
          <w:szCs w:val="24"/>
        </w:rPr>
        <w:t xml:space="preserve">. </w:t>
      </w:r>
    </w:p>
    <w:p w14:paraId="68F64C7D" w14:textId="74C7BA77" w:rsidR="00016C24" w:rsidRPr="00F571EA" w:rsidRDefault="00016C24" w:rsidP="00016C24">
      <w:pPr>
        <w:pStyle w:val="Normal0"/>
        <w:spacing w:after="160" w:line="240" w:lineRule="auto"/>
        <w:rPr>
          <w:rFonts w:ascii="Arial" w:hAnsi="Arial" w:cs="Arial"/>
          <w:sz w:val="24"/>
          <w:szCs w:val="24"/>
        </w:rPr>
      </w:pPr>
      <w:r w:rsidRPr="00F571EA">
        <w:rPr>
          <w:rFonts w:ascii="Arial" w:hAnsi="Arial" w:cs="Arial"/>
          <w:sz w:val="24"/>
          <w:szCs w:val="24"/>
        </w:rPr>
        <w:t>The GM Working Well suite expanded with the launch of the Specialist Employment Service (SES) in August 2020, a £4m three-year programme aiming to support up to 1,300 residents with a learning disability and/or autism or severe mental illness (SMI) to find work. GMCA is currently agreeing an 18 month contract extension for the supported employment element of SES and is supporting the mental health system to commission GM’s Individual Placement and Support provision for SMI going forwards. In addition, as part of the government’s Plan for Jobs, support for the newly unemployed came in the form of the £13m Job Entry Targeted Support (JETS) programme, launched in late October 2020 and devolved to Greater Manchester as part of our Working Well suite. By the end of May 2022, JETS had already supported 16,700 residents and had delivered 7,800 job entries making the GM JETS programme the second most successful across England and Wales</w:t>
      </w:r>
      <w:r w:rsidR="00BB1644" w:rsidRPr="00F571EA">
        <w:rPr>
          <w:rFonts w:ascii="Arial" w:hAnsi="Arial" w:cs="Arial"/>
          <w:sz w:val="24"/>
          <w:szCs w:val="24"/>
        </w:rPr>
        <w:t xml:space="preserve">. </w:t>
      </w:r>
    </w:p>
    <w:p w14:paraId="4BE14D92" w14:textId="568AA167" w:rsidR="00016C24" w:rsidRPr="00F571EA" w:rsidRDefault="00016C24" w:rsidP="00016C24">
      <w:pPr>
        <w:pStyle w:val="Normal0"/>
        <w:spacing w:after="160" w:line="240" w:lineRule="auto"/>
        <w:rPr>
          <w:rFonts w:ascii="Arial" w:hAnsi="Arial" w:cs="Arial"/>
          <w:sz w:val="24"/>
          <w:szCs w:val="24"/>
        </w:rPr>
      </w:pPr>
      <w:r w:rsidRPr="00F571EA">
        <w:rPr>
          <w:rFonts w:ascii="Arial" w:hAnsi="Arial" w:cs="Arial"/>
          <w:sz w:val="24"/>
          <w:szCs w:val="24"/>
        </w:rPr>
        <w:t>The beginning of the first period of lockdown in March 2020 also coincided with the launch of a new pilot programme, Enterprising You, to test up-skilling support for low income self-employed residents and those working in the gig economy. Enterprising You, developed in partnership with the Federation of Small Businesses, is the only programme of its kind in the UK that is offering this level of multi-faceted support to self-employed/gig workers on low incomes. Due to the circumstances of the pandemic this was one of several programmes which adapted to provide support where it was most needed, to date the delivery the pilot has already supported over 2</w:t>
      </w:r>
      <w:r w:rsidR="00365515">
        <w:rPr>
          <w:rFonts w:ascii="Arial" w:hAnsi="Arial" w:cs="Arial"/>
          <w:sz w:val="24"/>
          <w:szCs w:val="24"/>
        </w:rPr>
        <w:t>,</w:t>
      </w:r>
      <w:r w:rsidRPr="00F571EA">
        <w:rPr>
          <w:rFonts w:ascii="Arial" w:hAnsi="Arial" w:cs="Arial"/>
          <w:sz w:val="24"/>
          <w:szCs w:val="24"/>
        </w:rPr>
        <w:t>200 people.</w:t>
      </w:r>
    </w:p>
    <w:bookmarkEnd w:id="24"/>
    <w:p w14:paraId="1D69C50A" w14:textId="77777777" w:rsidR="00016C24" w:rsidRPr="00B258E3" w:rsidRDefault="00016C24" w:rsidP="00016C24">
      <w:pPr>
        <w:spacing w:after="160"/>
        <w:rPr>
          <w:rFonts w:ascii="Arial" w:hAnsi="Arial" w:cs="Arial"/>
          <w:sz w:val="22"/>
          <w:szCs w:val="22"/>
        </w:rPr>
      </w:pPr>
      <w:r w:rsidRPr="00B258E3">
        <w:rPr>
          <w:rFonts w:ascii="Arial" w:hAnsi="Arial" w:cs="Arial"/>
        </w:rPr>
        <w:t xml:space="preserve">A priority of the GM Age-Friendly Strategy is to increase economic participation amongst the over-50s. GMCA has been working in partnership with the Centre for Ageing Better, DWP 50+ Choices team and the local Jobcentre Plus team to better understand the challenges facing over-50s in our labour </w:t>
      </w:r>
      <w:proofErr w:type="gramStart"/>
      <w:r w:rsidRPr="00B258E3">
        <w:rPr>
          <w:rFonts w:ascii="Arial" w:hAnsi="Arial" w:cs="Arial"/>
        </w:rPr>
        <w:t>market, and</w:t>
      </w:r>
      <w:proofErr w:type="gramEnd"/>
      <w:r w:rsidRPr="00B258E3">
        <w:rPr>
          <w:rFonts w:ascii="Arial" w:hAnsi="Arial" w:cs="Arial"/>
        </w:rPr>
        <w:t xml:space="preserve"> explore how we could better </w:t>
      </w:r>
      <w:r w:rsidRPr="00B258E3">
        <w:rPr>
          <w:rFonts w:ascii="Arial" w:hAnsi="Arial" w:cs="Arial"/>
        </w:rPr>
        <w:lastRenderedPageBreak/>
        <w:t xml:space="preserve">support older workers. In February 2022 the final report of the co-design project in GM, commissioned by the Centre for Ageing Better, was completed. This recommended a digital platform to deliver targeted and bespoke support to unemployed and economically inactive over-50s in GM, alongside some small scale pilots of local engagement and coaching. GMCA will be developing and piloting this project during 2022/23, with evaluation being funded by the Centre for Ageing Better. </w:t>
      </w:r>
    </w:p>
    <w:p w14:paraId="7DB8D2CB" w14:textId="77777777" w:rsidR="00016C24" w:rsidRPr="006E1449" w:rsidRDefault="00016C24" w:rsidP="00016C24">
      <w:pPr>
        <w:spacing w:after="160"/>
        <w:rPr>
          <w:rFonts w:ascii="Arial" w:hAnsi="Arial" w:cs="Arial"/>
        </w:rPr>
      </w:pPr>
      <w:r w:rsidRPr="00B258E3">
        <w:rPr>
          <w:rFonts w:ascii="Arial" w:hAnsi="Arial" w:cs="Arial"/>
        </w:rPr>
        <w:t xml:space="preserve">Also as part of the partnership with Centre for Ageing Better, GMCA launched the </w:t>
      </w:r>
      <w:hyperlink r:id="rId15" w:history="1">
        <w:r w:rsidRPr="006E1449">
          <w:rPr>
            <w:rStyle w:val="Hyperlink"/>
            <w:rFonts w:ascii="Arial" w:hAnsi="Arial" w:cs="Arial"/>
            <w:color w:val="auto"/>
            <w:u w:val="none"/>
          </w:rPr>
          <w:t>GM Age-Friendly Employer Toolkit</w:t>
        </w:r>
      </w:hyperlink>
      <w:r w:rsidRPr="00B258E3">
        <w:rPr>
          <w:rFonts w:ascii="Arial" w:hAnsi="Arial" w:cs="Arial"/>
        </w:rPr>
        <w:t xml:space="preserve"> in February 2022. The toolkit aims to provide practical information and links for employers in GM looking to become more age-friendly in their employment and recruitment practices. </w:t>
      </w:r>
    </w:p>
    <w:p w14:paraId="367B9E7F" w14:textId="77777777" w:rsidR="00016C24" w:rsidRPr="00DE2CD5" w:rsidRDefault="00016C24" w:rsidP="00016C24">
      <w:pPr>
        <w:pStyle w:val="Normal0"/>
        <w:spacing w:after="160" w:line="240" w:lineRule="auto"/>
        <w:rPr>
          <w:rFonts w:ascii="Arial" w:hAnsi="Arial" w:cs="Arial"/>
          <w:b/>
          <w:bCs/>
          <w:sz w:val="24"/>
          <w:szCs w:val="24"/>
          <w:lang w:val="en-GB"/>
        </w:rPr>
      </w:pPr>
      <w:r w:rsidRPr="00DE2CD5">
        <w:rPr>
          <w:rFonts w:ascii="Arial" w:hAnsi="Arial" w:cs="Arial"/>
          <w:b/>
          <w:bCs/>
          <w:sz w:val="24"/>
          <w:szCs w:val="24"/>
          <w:lang w:val="en-GB"/>
        </w:rPr>
        <w:t>Public Service Reform</w:t>
      </w:r>
    </w:p>
    <w:p w14:paraId="3F7C4594" w14:textId="77777777" w:rsidR="00016C24" w:rsidRPr="008016F2" w:rsidRDefault="00016C24" w:rsidP="00016C24">
      <w:pPr>
        <w:pStyle w:val="Normal0"/>
        <w:spacing w:after="160" w:line="240" w:lineRule="auto"/>
        <w:rPr>
          <w:rFonts w:ascii="Arial" w:hAnsi="Arial" w:cs="Arial"/>
          <w:sz w:val="24"/>
          <w:szCs w:val="24"/>
          <w:lang w:val="en-GB"/>
        </w:rPr>
      </w:pPr>
      <w:r w:rsidRPr="008016F2">
        <w:rPr>
          <w:rFonts w:ascii="Arial" w:hAnsi="Arial" w:cs="Arial"/>
          <w:sz w:val="24"/>
          <w:szCs w:val="24"/>
          <w:lang w:val="en-GB"/>
        </w:rPr>
        <w:t>Greater Manchester recognises that achieving our aim of inclusive economic growth and the creation of additional jobs must go hand in hand with improved outcomes for our residents through more effective public services, enabling them to contribute to and benefit from that growth and reducing demand for expensive, reactive services.</w:t>
      </w:r>
    </w:p>
    <w:p w14:paraId="1D8617A2" w14:textId="77777777" w:rsidR="00016C24" w:rsidRPr="008016F2" w:rsidRDefault="00016C24" w:rsidP="00016C24">
      <w:pPr>
        <w:pStyle w:val="Normal0"/>
        <w:spacing w:after="160" w:line="240" w:lineRule="auto"/>
        <w:rPr>
          <w:rFonts w:ascii="Arial" w:hAnsi="Arial" w:cs="Arial"/>
          <w:sz w:val="24"/>
          <w:szCs w:val="24"/>
          <w:lang w:val="en-GB"/>
        </w:rPr>
      </w:pPr>
      <w:r w:rsidRPr="008016F2">
        <w:rPr>
          <w:rFonts w:ascii="Arial" w:hAnsi="Arial" w:cs="Arial"/>
          <w:sz w:val="24"/>
          <w:szCs w:val="24"/>
          <w:lang w:val="en-GB"/>
        </w:rPr>
        <w:t>The GM Public Service Reform (PSR) programme aims to develop new models of support for people who need it most, including those with more difficult and complex lives. Available resources are aligned to the Public Service Reform programme working collaboratively with the 10 Authorities, the GM Health and Care Partnership, Greater Manchester Police, Housing Providers, the Voluntary, Community and Social Enterprise Sector and a range of other partners to continue to shift our emphasis to people, prevention and place.</w:t>
      </w:r>
    </w:p>
    <w:p w14:paraId="3C4565AA" w14:textId="70755E06" w:rsidR="00016C24" w:rsidRPr="00DE2CD5" w:rsidRDefault="00016C24" w:rsidP="00016C24">
      <w:pPr>
        <w:pStyle w:val="Normal0"/>
        <w:spacing w:after="160" w:line="240" w:lineRule="auto"/>
        <w:rPr>
          <w:rFonts w:ascii="Arial" w:hAnsi="Arial" w:cs="Arial"/>
          <w:sz w:val="24"/>
          <w:szCs w:val="24"/>
        </w:rPr>
      </w:pPr>
      <w:r w:rsidRPr="008016F2">
        <w:rPr>
          <w:rFonts w:ascii="Arial" w:hAnsi="Arial" w:cs="Arial"/>
          <w:sz w:val="24"/>
          <w:szCs w:val="24"/>
        </w:rPr>
        <w:t>The GM Reform Investment Fund (RIF) was agreed with Government as part of the fourth devolution agreement for Greater Manchester. The original ambition for the RIF was to create a vehicle through which different Government funding streams could be brought together into a single GM pot to be invested alongside other local funding in driving system wide reform. This in</w:t>
      </w:r>
      <w:r>
        <w:rPr>
          <w:rFonts w:ascii="Arial" w:hAnsi="Arial" w:cs="Arial"/>
          <w:sz w:val="24"/>
          <w:szCs w:val="24"/>
        </w:rPr>
        <w:t xml:space="preserve">cluded </w:t>
      </w:r>
      <w:r w:rsidRPr="008016F2">
        <w:rPr>
          <w:rFonts w:ascii="Arial" w:hAnsi="Arial" w:cs="Arial"/>
          <w:sz w:val="24"/>
          <w:szCs w:val="24"/>
        </w:rPr>
        <w:t>a £5m allocation from the ‘Life Chances Fund’ in 2018</w:t>
      </w:r>
      <w:r w:rsidR="00BB1644" w:rsidRPr="008016F2">
        <w:rPr>
          <w:rFonts w:ascii="Arial" w:hAnsi="Arial" w:cs="Arial"/>
          <w:sz w:val="24"/>
          <w:szCs w:val="24"/>
        </w:rPr>
        <w:t>.</w:t>
      </w:r>
      <w:r w:rsidR="00BB1644">
        <w:rPr>
          <w:rFonts w:ascii="Arial" w:hAnsi="Arial" w:cs="Arial"/>
          <w:sz w:val="24"/>
          <w:szCs w:val="24"/>
        </w:rPr>
        <w:t xml:space="preserve"> </w:t>
      </w:r>
    </w:p>
    <w:p w14:paraId="4D59ECFE" w14:textId="77777777" w:rsidR="00016C24" w:rsidRPr="00DE2CD5" w:rsidRDefault="00016C24" w:rsidP="00016C24">
      <w:pPr>
        <w:pStyle w:val="Heading6"/>
        <w:spacing w:after="160"/>
        <w:rPr>
          <w:rFonts w:cs="Arial"/>
        </w:rPr>
      </w:pPr>
      <w:r w:rsidRPr="00DE2CD5">
        <w:rPr>
          <w:rFonts w:cs="Arial"/>
        </w:rPr>
        <w:t>Tackling homelessness</w:t>
      </w:r>
    </w:p>
    <w:p w14:paraId="0DE5BBFF" w14:textId="24F0426C" w:rsidR="00016C24" w:rsidRPr="00DE2CD5" w:rsidRDefault="00016C24" w:rsidP="00016C24">
      <w:pPr>
        <w:pStyle w:val="Heading6"/>
        <w:spacing w:after="160"/>
        <w:rPr>
          <w:rFonts w:cs="Arial"/>
          <w:b w:val="0"/>
          <w:bCs w:val="0"/>
        </w:rPr>
      </w:pPr>
      <w:r w:rsidRPr="00DE2CD5">
        <w:rPr>
          <w:rFonts w:cs="Arial"/>
          <w:b w:val="0"/>
          <w:bCs w:val="0"/>
        </w:rPr>
        <w:t>Tackling homelessness and rough sleeping have continued to be key priorities and policy objectives in 2021/22. The Greater Manchester Homelessness Prevention Strategy provides long term vision and cross sector commitment. The strategy was developed following extensive co-production and public consultation and approved by GMCA in September 2021.</w:t>
      </w:r>
    </w:p>
    <w:p w14:paraId="4169D272" w14:textId="77777777" w:rsidR="00016C24" w:rsidRDefault="00016C24" w:rsidP="00016C24">
      <w:pPr>
        <w:pStyle w:val="Normal0"/>
        <w:spacing w:after="160" w:line="240" w:lineRule="auto"/>
        <w:rPr>
          <w:rFonts w:ascii="Arial" w:hAnsi="Arial" w:cs="Arial"/>
          <w:sz w:val="24"/>
          <w:szCs w:val="24"/>
        </w:rPr>
      </w:pPr>
      <w:r>
        <w:rPr>
          <w:rFonts w:ascii="Arial" w:hAnsi="Arial" w:cs="Arial"/>
          <w:sz w:val="24"/>
          <w:szCs w:val="24"/>
        </w:rPr>
        <w:t xml:space="preserve">The A Bed Every Night (ABEN) programme has provided a key accommodation and support pathway for people who are experiencing rough sleeping, or at imminent risk. A Bed Every Night critically provides for people with no statutory duty of interim accommodation owed them, including those with No Recourse to Public Funds. During 2021/22 the fourth phase of ABEN commenced at a planned cost of £6m funded from local and national funding and delivered as one part of a wider system of activity to prevent and relieve rough sleeping, including the Rough Sleeper Initiative, Rough Sleeper Accommodation Programme and Housing First pilot. </w:t>
      </w:r>
    </w:p>
    <w:p w14:paraId="13BB2AB8" w14:textId="7A02C821" w:rsidR="00016C24" w:rsidRDefault="00016C24" w:rsidP="00016C24">
      <w:pPr>
        <w:pStyle w:val="Normal0"/>
        <w:spacing w:line="240" w:lineRule="auto"/>
        <w:rPr>
          <w:rFonts w:ascii="Arial" w:hAnsi="Arial" w:cs="Arial"/>
          <w:sz w:val="24"/>
          <w:szCs w:val="24"/>
        </w:rPr>
      </w:pPr>
      <w:r>
        <w:rPr>
          <w:rFonts w:ascii="Arial" w:hAnsi="Arial" w:cs="Arial"/>
          <w:sz w:val="24"/>
          <w:szCs w:val="24"/>
        </w:rPr>
        <w:t xml:space="preserve">The Rough Sleeper Accommodation Programme has seen significant capital spend in ‘move on’ accommodation for people to take up </w:t>
      </w:r>
      <w:r w:rsidR="003A3296">
        <w:rPr>
          <w:rFonts w:ascii="Arial" w:hAnsi="Arial" w:cs="Arial"/>
          <w:sz w:val="24"/>
          <w:szCs w:val="24"/>
        </w:rPr>
        <w:t>2–3-year</w:t>
      </w:r>
      <w:r>
        <w:rPr>
          <w:rFonts w:ascii="Arial" w:hAnsi="Arial" w:cs="Arial"/>
          <w:sz w:val="24"/>
          <w:szCs w:val="24"/>
        </w:rPr>
        <w:t xml:space="preserve"> tenancies. GMCA has deployed £1.34m planned capital spend to acquire and repair 51 properties. </w:t>
      </w:r>
    </w:p>
    <w:p w14:paraId="0E629D61" w14:textId="77777777" w:rsidR="00016C24" w:rsidRDefault="00016C24" w:rsidP="00016C24">
      <w:pPr>
        <w:pStyle w:val="Normal0"/>
        <w:spacing w:line="240" w:lineRule="auto"/>
        <w:rPr>
          <w:rFonts w:ascii="Arial" w:hAnsi="Arial" w:cs="Arial"/>
          <w:sz w:val="24"/>
          <w:szCs w:val="24"/>
        </w:rPr>
      </w:pPr>
    </w:p>
    <w:p w14:paraId="783C3F1E" w14:textId="0CC17795" w:rsidR="00016C24" w:rsidRPr="00DE2CD5" w:rsidRDefault="00016C24" w:rsidP="00016C24">
      <w:pPr>
        <w:pStyle w:val="Normal0"/>
        <w:spacing w:after="160" w:line="240" w:lineRule="auto"/>
        <w:rPr>
          <w:rFonts w:ascii="Arial" w:hAnsi="Arial" w:cs="Arial"/>
          <w:sz w:val="24"/>
          <w:szCs w:val="24"/>
          <w:lang w:val="en-GB"/>
        </w:rPr>
      </w:pPr>
      <w:r>
        <w:rPr>
          <w:rFonts w:ascii="Arial" w:hAnsi="Arial" w:cs="Arial"/>
          <w:sz w:val="24"/>
          <w:szCs w:val="24"/>
        </w:rPr>
        <w:lastRenderedPageBreak/>
        <w:t>During the COVID-19 pandemic GMCA funded from the RIF a ‘Youth Homelessness Prevention Pathfinder’ to develop a working model that could be procured as a full social outcomes contract</w:t>
      </w:r>
      <w:r w:rsidR="009D6FD6">
        <w:rPr>
          <w:rFonts w:ascii="Arial" w:hAnsi="Arial" w:cs="Arial"/>
          <w:sz w:val="24"/>
          <w:szCs w:val="24"/>
        </w:rPr>
        <w:t xml:space="preserve">. </w:t>
      </w:r>
      <w:r>
        <w:rPr>
          <w:rFonts w:ascii="Arial" w:hAnsi="Arial" w:cs="Arial"/>
          <w:sz w:val="24"/>
          <w:szCs w:val="24"/>
        </w:rPr>
        <w:t>The fee-for-service pathfinder ran from December 2020 to December 2021 and supported an estimated 250 young people at risk of homelessness</w:t>
      </w:r>
      <w:r w:rsidR="009D6FD6">
        <w:rPr>
          <w:rFonts w:ascii="Arial" w:hAnsi="Arial" w:cs="Arial"/>
          <w:sz w:val="24"/>
          <w:szCs w:val="24"/>
        </w:rPr>
        <w:t xml:space="preserve">. </w:t>
      </w:r>
      <w:r>
        <w:rPr>
          <w:rFonts w:ascii="Arial" w:hAnsi="Arial" w:cs="Arial"/>
          <w:sz w:val="24"/>
          <w:szCs w:val="24"/>
        </w:rPr>
        <w:t>The outcome of this led to the design of a larger three-year outcomes based contract (£4.85m) which commenced early in 2022, with the aim of achieving positive outcomes for 1,500 young people</w:t>
      </w:r>
      <w:r w:rsidR="009D6FD6">
        <w:rPr>
          <w:rFonts w:ascii="Arial" w:hAnsi="Arial" w:cs="Arial"/>
          <w:sz w:val="24"/>
          <w:szCs w:val="24"/>
        </w:rPr>
        <w:t xml:space="preserve">. </w:t>
      </w:r>
      <w:r>
        <w:rPr>
          <w:rFonts w:ascii="Arial" w:hAnsi="Arial" w:cs="Arial"/>
          <w:sz w:val="24"/>
          <w:szCs w:val="24"/>
        </w:rPr>
        <w:t xml:space="preserve">The contract is to be funded from the RIF and local match funding from the business rates growth funding retained by GM as part of its devolution agreement and the current 100% growth retention pilot. </w:t>
      </w:r>
    </w:p>
    <w:p w14:paraId="3A4E5A89" w14:textId="77777777" w:rsidR="00016C24" w:rsidRDefault="00016C24" w:rsidP="00016C24">
      <w:pPr>
        <w:pStyle w:val="Heading3"/>
        <w:spacing w:after="160"/>
        <w:rPr>
          <w:sz w:val="24"/>
          <w:szCs w:val="24"/>
        </w:rPr>
      </w:pPr>
      <w:bookmarkStart w:id="25" w:name="_Toc109922583"/>
      <w:r>
        <w:rPr>
          <w:sz w:val="24"/>
          <w:szCs w:val="24"/>
        </w:rPr>
        <w:t xml:space="preserve">Supporting </w:t>
      </w:r>
      <w:r w:rsidRPr="00982EF6">
        <w:rPr>
          <w:sz w:val="24"/>
          <w:szCs w:val="24"/>
        </w:rPr>
        <w:t>Families</w:t>
      </w:r>
      <w:bookmarkEnd w:id="25"/>
      <w:r w:rsidRPr="00982EF6">
        <w:rPr>
          <w:sz w:val="24"/>
          <w:szCs w:val="24"/>
        </w:rPr>
        <w:t xml:space="preserve"> </w:t>
      </w:r>
    </w:p>
    <w:p w14:paraId="6AF3FE54" w14:textId="77777777" w:rsidR="00016C24" w:rsidRPr="006C1716" w:rsidRDefault="00016C24" w:rsidP="00016C24">
      <w:pPr>
        <w:pStyle w:val="Normal0"/>
        <w:spacing w:after="160" w:line="240" w:lineRule="auto"/>
        <w:rPr>
          <w:rFonts w:ascii="Arial" w:hAnsi="Arial" w:cs="Arial"/>
          <w:sz w:val="24"/>
          <w:szCs w:val="24"/>
          <w:lang w:val="en-GB"/>
        </w:rPr>
      </w:pPr>
      <w:r w:rsidRPr="006C1716">
        <w:rPr>
          <w:rFonts w:ascii="Arial" w:hAnsi="Arial" w:cs="Arial"/>
          <w:sz w:val="24"/>
          <w:szCs w:val="24"/>
          <w:lang w:val="en-GB"/>
        </w:rPr>
        <w:t xml:space="preserve">Through an agreement with Government established in 2017 GMCA has received Supporting Families funding through the GM Reform Investment Fund prior to it being distributed to the ten Local Authorities. This agreement with Government which also sees Greater Manchester Local Authorities work towards a collective number of families has helped to ensure that money is being invested in things that allow families to get access to the family support services they need, whilst also freeing up funding to contribute to transformation of services at neighbourhood level. </w:t>
      </w:r>
    </w:p>
    <w:p w14:paraId="2D70BE13" w14:textId="77777777" w:rsidR="00016C24" w:rsidRPr="006C1716" w:rsidRDefault="00016C24" w:rsidP="00016C24">
      <w:pPr>
        <w:pStyle w:val="Normal0"/>
        <w:spacing w:after="160" w:line="240" w:lineRule="auto"/>
        <w:rPr>
          <w:rFonts w:ascii="Arial" w:hAnsi="Arial" w:cs="Arial"/>
          <w:sz w:val="24"/>
          <w:szCs w:val="24"/>
          <w:lang w:val="en-GB"/>
        </w:rPr>
      </w:pPr>
      <w:r w:rsidRPr="006C1716">
        <w:rPr>
          <w:rFonts w:ascii="Arial" w:hAnsi="Arial" w:cs="Arial"/>
          <w:sz w:val="24"/>
          <w:szCs w:val="24"/>
          <w:lang w:val="en-GB"/>
        </w:rPr>
        <w:t xml:space="preserve">For 2021/22 the Government provided an allocation of £10.926m for the Troubled Families programme with the aim of working with a minimum of 4,754 families, a target that GM Local Authorities exceeded. </w:t>
      </w:r>
    </w:p>
    <w:p w14:paraId="5938A58F" w14:textId="77777777" w:rsidR="00016C24" w:rsidRDefault="00016C24" w:rsidP="00016C24">
      <w:pPr>
        <w:pStyle w:val="Heading3"/>
        <w:spacing w:before="0" w:after="160"/>
        <w:rPr>
          <w:sz w:val="24"/>
          <w:szCs w:val="24"/>
        </w:rPr>
      </w:pPr>
      <w:bookmarkStart w:id="26" w:name="_Toc109922584"/>
      <w:r w:rsidRPr="00982EF6">
        <w:rPr>
          <w:sz w:val="24"/>
          <w:szCs w:val="24"/>
        </w:rPr>
        <w:t>Age Friendly Greater Manchester</w:t>
      </w:r>
      <w:bookmarkEnd w:id="26"/>
    </w:p>
    <w:p w14:paraId="6D3443CD" w14:textId="4DFEEB15" w:rsidR="00016C24" w:rsidRDefault="00016C24" w:rsidP="00016C24">
      <w:pPr>
        <w:pStyle w:val="Normal0"/>
        <w:spacing w:after="160" w:line="240" w:lineRule="auto"/>
        <w:rPr>
          <w:rFonts w:ascii="Arial" w:hAnsi="Arial" w:cs="Arial"/>
          <w:sz w:val="24"/>
          <w:szCs w:val="24"/>
        </w:rPr>
      </w:pPr>
      <w:r>
        <w:rPr>
          <w:rFonts w:ascii="Arial" w:hAnsi="Arial" w:cs="Arial"/>
          <w:sz w:val="24"/>
          <w:szCs w:val="24"/>
        </w:rPr>
        <w:t>Making Greater Manchester more age-friendly is the primary objective of the GM Ageing Hub</w:t>
      </w:r>
      <w:r w:rsidR="009D6FD6">
        <w:rPr>
          <w:rFonts w:ascii="Arial" w:hAnsi="Arial" w:cs="Arial"/>
          <w:sz w:val="24"/>
          <w:szCs w:val="24"/>
        </w:rPr>
        <w:t xml:space="preserve">. </w:t>
      </w:r>
      <w:r>
        <w:rPr>
          <w:rFonts w:ascii="Arial" w:hAnsi="Arial" w:cs="Arial"/>
          <w:sz w:val="24"/>
          <w:szCs w:val="24"/>
        </w:rPr>
        <w:t xml:space="preserve">The Hub’s range of task groups and campaigns has convened </w:t>
      </w:r>
      <w:proofErr w:type="gramStart"/>
      <w:r>
        <w:rPr>
          <w:rFonts w:ascii="Arial" w:hAnsi="Arial" w:cs="Arial"/>
          <w:sz w:val="24"/>
          <w:szCs w:val="24"/>
        </w:rPr>
        <w:t>a number of</w:t>
      </w:r>
      <w:proofErr w:type="gramEnd"/>
      <w:r>
        <w:rPr>
          <w:rFonts w:ascii="Arial" w:hAnsi="Arial" w:cs="Arial"/>
          <w:sz w:val="24"/>
          <w:szCs w:val="24"/>
        </w:rPr>
        <w:t xml:space="preserve"> strategic partnerships to support this objective under the following priority areas:</w:t>
      </w:r>
    </w:p>
    <w:p w14:paraId="0919FC0C" w14:textId="77777777" w:rsidR="00016C24" w:rsidRDefault="00016C24" w:rsidP="00EB27EB">
      <w:pPr>
        <w:pStyle w:val="Normal0"/>
        <w:numPr>
          <w:ilvl w:val="0"/>
          <w:numId w:val="64"/>
        </w:numPr>
        <w:spacing w:after="160" w:line="240" w:lineRule="auto"/>
        <w:rPr>
          <w:rFonts w:ascii="Arial" w:hAnsi="Arial" w:cs="Arial"/>
          <w:sz w:val="24"/>
          <w:szCs w:val="24"/>
        </w:rPr>
      </w:pPr>
      <w:r>
        <w:rPr>
          <w:rFonts w:ascii="Arial" w:hAnsi="Arial" w:cs="Arial"/>
          <w:sz w:val="24"/>
          <w:szCs w:val="24"/>
        </w:rPr>
        <w:t>Work and Skills – promoting new services and inclusive practice for older workers and producing a new age-friendly employment toolkit.</w:t>
      </w:r>
    </w:p>
    <w:p w14:paraId="44E7137A" w14:textId="77777777" w:rsidR="00016C24" w:rsidRDefault="00016C24" w:rsidP="00EB27EB">
      <w:pPr>
        <w:pStyle w:val="Normal0"/>
        <w:numPr>
          <w:ilvl w:val="0"/>
          <w:numId w:val="64"/>
        </w:numPr>
        <w:spacing w:after="160" w:line="240" w:lineRule="auto"/>
        <w:rPr>
          <w:rFonts w:ascii="Arial" w:hAnsi="Arial" w:cs="Arial"/>
          <w:sz w:val="24"/>
          <w:szCs w:val="24"/>
        </w:rPr>
      </w:pPr>
      <w:r>
        <w:rPr>
          <w:rFonts w:ascii="Arial" w:hAnsi="Arial" w:cs="Arial"/>
          <w:sz w:val="24"/>
          <w:szCs w:val="24"/>
        </w:rPr>
        <w:t>Housing and Planning – publishing a framework for age-friendly housing and supporting the Design for Life book</w:t>
      </w:r>
    </w:p>
    <w:p w14:paraId="6FE31538" w14:textId="77777777" w:rsidR="00016C24" w:rsidRDefault="00016C24" w:rsidP="00EB27EB">
      <w:pPr>
        <w:pStyle w:val="Normal0"/>
        <w:numPr>
          <w:ilvl w:val="0"/>
          <w:numId w:val="64"/>
        </w:numPr>
        <w:spacing w:after="160" w:line="240" w:lineRule="auto"/>
        <w:rPr>
          <w:rFonts w:ascii="Arial" w:hAnsi="Arial" w:cs="Arial"/>
          <w:sz w:val="24"/>
          <w:szCs w:val="24"/>
        </w:rPr>
      </w:pPr>
      <w:r>
        <w:rPr>
          <w:rFonts w:ascii="Arial" w:hAnsi="Arial" w:cs="Arial"/>
          <w:sz w:val="24"/>
          <w:szCs w:val="24"/>
        </w:rPr>
        <w:t>Ageing well, including public health and culture – Coordinating best practice and increasing capacity of a range of services that promote healthy ageing</w:t>
      </w:r>
    </w:p>
    <w:p w14:paraId="75B206BE" w14:textId="77777777" w:rsidR="00016C24" w:rsidRDefault="00016C24" w:rsidP="00EB27EB">
      <w:pPr>
        <w:pStyle w:val="Normal0"/>
        <w:numPr>
          <w:ilvl w:val="0"/>
          <w:numId w:val="64"/>
        </w:numPr>
        <w:spacing w:after="160" w:line="240" w:lineRule="auto"/>
        <w:rPr>
          <w:rFonts w:ascii="Arial" w:hAnsi="Arial" w:cs="Arial"/>
          <w:sz w:val="24"/>
          <w:szCs w:val="24"/>
        </w:rPr>
      </w:pPr>
      <w:r>
        <w:rPr>
          <w:rFonts w:ascii="Arial" w:hAnsi="Arial" w:cs="Arial"/>
          <w:sz w:val="24"/>
          <w:szCs w:val="24"/>
        </w:rPr>
        <w:t>Ageing-in-Place – developing a new £4m Ageing in Place pathfinder programme</w:t>
      </w:r>
    </w:p>
    <w:p w14:paraId="49B99B89" w14:textId="77777777" w:rsidR="00016C24" w:rsidRDefault="00016C24" w:rsidP="00EB27EB">
      <w:pPr>
        <w:pStyle w:val="Normal0"/>
        <w:numPr>
          <w:ilvl w:val="0"/>
          <w:numId w:val="64"/>
        </w:numPr>
        <w:spacing w:after="160" w:line="240" w:lineRule="auto"/>
        <w:rPr>
          <w:rFonts w:ascii="Arial" w:hAnsi="Arial" w:cs="Arial"/>
          <w:sz w:val="24"/>
          <w:szCs w:val="24"/>
        </w:rPr>
      </w:pPr>
      <w:r>
        <w:rPr>
          <w:rFonts w:ascii="Arial" w:hAnsi="Arial" w:cs="Arial"/>
          <w:sz w:val="24"/>
          <w:szCs w:val="24"/>
        </w:rPr>
        <w:t>Innovation and Growth – collaborating to take create new jobs and businesses</w:t>
      </w:r>
    </w:p>
    <w:p w14:paraId="7090C1FD" w14:textId="398AEDBE" w:rsidR="00016C24" w:rsidRDefault="00016C24" w:rsidP="00016C24">
      <w:pPr>
        <w:pStyle w:val="Normal0"/>
        <w:spacing w:after="160" w:line="240" w:lineRule="auto"/>
        <w:rPr>
          <w:rFonts w:ascii="Arial" w:hAnsi="Arial" w:cs="Arial"/>
          <w:sz w:val="24"/>
          <w:szCs w:val="24"/>
        </w:rPr>
      </w:pPr>
      <w:r>
        <w:rPr>
          <w:rFonts w:ascii="Arial" w:hAnsi="Arial" w:cs="Arial"/>
          <w:sz w:val="24"/>
          <w:szCs w:val="24"/>
        </w:rPr>
        <w:t xml:space="preserve">In </w:t>
      </w:r>
      <w:r w:rsidR="003A3296">
        <w:rPr>
          <w:rFonts w:ascii="Arial" w:hAnsi="Arial" w:cs="Arial"/>
          <w:sz w:val="24"/>
          <w:szCs w:val="24"/>
        </w:rPr>
        <w:t>addition,</w:t>
      </w:r>
      <w:r>
        <w:rPr>
          <w:rFonts w:ascii="Arial" w:hAnsi="Arial" w:cs="Arial"/>
          <w:sz w:val="24"/>
          <w:szCs w:val="24"/>
        </w:rPr>
        <w:t xml:space="preserve"> the Hub has: </w:t>
      </w:r>
    </w:p>
    <w:p w14:paraId="7C6F0456" w14:textId="13688A8C" w:rsidR="00016C24" w:rsidRDefault="00016C24" w:rsidP="00EB27EB">
      <w:pPr>
        <w:pStyle w:val="Normal0"/>
        <w:numPr>
          <w:ilvl w:val="0"/>
          <w:numId w:val="65"/>
        </w:numPr>
        <w:spacing w:after="160" w:line="240" w:lineRule="auto"/>
        <w:rPr>
          <w:rFonts w:ascii="Arial" w:hAnsi="Arial" w:cs="Arial"/>
          <w:sz w:val="24"/>
          <w:szCs w:val="24"/>
        </w:rPr>
      </w:pPr>
      <w:r>
        <w:rPr>
          <w:rFonts w:ascii="Arial" w:hAnsi="Arial" w:cs="Arial"/>
          <w:sz w:val="24"/>
          <w:szCs w:val="24"/>
        </w:rPr>
        <w:t>led a campaign with GM housing agencies to get older people to claim pension credit and other entitlements, raising £3m for eligible people of state pension age</w:t>
      </w:r>
      <w:r w:rsidR="009D6FD6">
        <w:rPr>
          <w:rFonts w:ascii="Arial" w:hAnsi="Arial" w:cs="Arial"/>
          <w:sz w:val="24"/>
          <w:szCs w:val="24"/>
        </w:rPr>
        <w:t xml:space="preserve">. </w:t>
      </w:r>
      <w:r>
        <w:rPr>
          <w:rFonts w:ascii="Arial" w:hAnsi="Arial" w:cs="Arial"/>
          <w:sz w:val="24"/>
          <w:szCs w:val="24"/>
        </w:rPr>
        <w:t>This included a social media campaign and the production of materials for each of the ten GM local authorities.</w:t>
      </w:r>
    </w:p>
    <w:p w14:paraId="4A065A24" w14:textId="2E94C182" w:rsidR="00016C24" w:rsidRDefault="00016C24" w:rsidP="00EB27EB">
      <w:pPr>
        <w:pStyle w:val="Normal0"/>
        <w:numPr>
          <w:ilvl w:val="0"/>
          <w:numId w:val="65"/>
        </w:numPr>
        <w:spacing w:after="160" w:line="240" w:lineRule="auto"/>
        <w:rPr>
          <w:rFonts w:ascii="Arial" w:hAnsi="Arial" w:cs="Arial"/>
          <w:sz w:val="24"/>
          <w:szCs w:val="24"/>
        </w:rPr>
      </w:pPr>
      <w:r>
        <w:rPr>
          <w:rFonts w:ascii="Arial" w:hAnsi="Arial" w:cs="Arial"/>
          <w:sz w:val="24"/>
          <w:szCs w:val="24"/>
        </w:rPr>
        <w:t xml:space="preserve">Coordinated a programme of activities to encourage older adults to become more </w:t>
      </w:r>
      <w:r w:rsidR="003A3296">
        <w:rPr>
          <w:rFonts w:ascii="Arial" w:hAnsi="Arial" w:cs="Arial"/>
          <w:sz w:val="24"/>
          <w:szCs w:val="24"/>
        </w:rPr>
        <w:t>digitally included</w:t>
      </w:r>
      <w:r>
        <w:rPr>
          <w:rFonts w:ascii="Arial" w:hAnsi="Arial" w:cs="Arial"/>
          <w:sz w:val="24"/>
          <w:szCs w:val="24"/>
        </w:rPr>
        <w:t xml:space="preserve">, including the publication of best practice guidance and practical projects in </w:t>
      </w:r>
      <w:proofErr w:type="gramStart"/>
      <w:r>
        <w:rPr>
          <w:rFonts w:ascii="Arial" w:hAnsi="Arial" w:cs="Arial"/>
          <w:sz w:val="24"/>
          <w:szCs w:val="24"/>
        </w:rPr>
        <w:t>a number of</w:t>
      </w:r>
      <w:proofErr w:type="gramEnd"/>
      <w:r>
        <w:rPr>
          <w:rFonts w:ascii="Arial" w:hAnsi="Arial" w:cs="Arial"/>
          <w:sz w:val="24"/>
          <w:szCs w:val="24"/>
        </w:rPr>
        <w:t xml:space="preserve"> local areas.</w:t>
      </w:r>
    </w:p>
    <w:p w14:paraId="70BCFD81" w14:textId="77777777" w:rsidR="00016C24" w:rsidRDefault="00016C24" w:rsidP="00EB27EB">
      <w:pPr>
        <w:pStyle w:val="Normal0"/>
        <w:numPr>
          <w:ilvl w:val="0"/>
          <w:numId w:val="65"/>
        </w:numPr>
        <w:spacing w:after="160" w:line="240" w:lineRule="auto"/>
        <w:rPr>
          <w:rFonts w:ascii="Arial" w:hAnsi="Arial" w:cs="Arial"/>
          <w:sz w:val="24"/>
          <w:szCs w:val="24"/>
        </w:rPr>
      </w:pPr>
      <w:r>
        <w:rPr>
          <w:rFonts w:ascii="Arial" w:hAnsi="Arial" w:cs="Arial"/>
          <w:sz w:val="24"/>
          <w:szCs w:val="24"/>
        </w:rPr>
        <w:t>Maintain a regular cycle of research, policy and strategic meetings and events for colleagues across GM agencies.</w:t>
      </w:r>
    </w:p>
    <w:p w14:paraId="1D562352" w14:textId="77777777" w:rsidR="00016C24" w:rsidRDefault="00016C24" w:rsidP="00EB27EB">
      <w:pPr>
        <w:pStyle w:val="Normal0"/>
        <w:numPr>
          <w:ilvl w:val="0"/>
          <w:numId w:val="65"/>
        </w:numPr>
        <w:spacing w:after="160" w:line="240" w:lineRule="auto"/>
        <w:rPr>
          <w:rFonts w:ascii="Arial" w:hAnsi="Arial" w:cs="Arial"/>
          <w:sz w:val="24"/>
          <w:szCs w:val="24"/>
        </w:rPr>
      </w:pPr>
      <w:r>
        <w:rPr>
          <w:rFonts w:ascii="Arial" w:hAnsi="Arial" w:cs="Arial"/>
          <w:sz w:val="24"/>
          <w:szCs w:val="24"/>
        </w:rPr>
        <w:lastRenderedPageBreak/>
        <w:t>Continued to support the GM Older People’s Network as representative voice of older people in GM</w:t>
      </w:r>
      <w:r w:rsidRPr="00E95F9F">
        <w:rPr>
          <w:rFonts w:ascii="Arial" w:hAnsi="Arial" w:cs="Arial"/>
          <w:sz w:val="24"/>
          <w:szCs w:val="24"/>
        </w:rPr>
        <w:t>, and in 2022 the GMCA agreed to establish an Older People’s Panel to enhance the representative voice of older people in GM decision-making.</w:t>
      </w:r>
    </w:p>
    <w:p w14:paraId="0C95B22C" w14:textId="77777777" w:rsidR="00016C24" w:rsidRDefault="00016C24" w:rsidP="00EB27EB">
      <w:pPr>
        <w:pStyle w:val="Normal0"/>
        <w:numPr>
          <w:ilvl w:val="0"/>
          <w:numId w:val="65"/>
        </w:numPr>
        <w:spacing w:after="160" w:line="240" w:lineRule="auto"/>
        <w:rPr>
          <w:rFonts w:ascii="Arial" w:hAnsi="Arial" w:cs="Arial"/>
          <w:sz w:val="24"/>
          <w:szCs w:val="24"/>
        </w:rPr>
      </w:pPr>
      <w:r>
        <w:rPr>
          <w:rFonts w:ascii="Arial" w:hAnsi="Arial" w:cs="Arial"/>
          <w:sz w:val="24"/>
          <w:szCs w:val="24"/>
        </w:rPr>
        <w:t>Further developed its long-standing partnership with the Centre for Ageing Better.</w:t>
      </w:r>
    </w:p>
    <w:p w14:paraId="65E0E9FE" w14:textId="77777777" w:rsidR="00016C24" w:rsidRPr="0066318E" w:rsidRDefault="00016C24" w:rsidP="00016C24">
      <w:pPr>
        <w:pStyle w:val="Normal0"/>
        <w:spacing w:after="160" w:line="240" w:lineRule="auto"/>
        <w:rPr>
          <w:rFonts w:ascii="Arial" w:hAnsi="Arial" w:cs="Arial"/>
          <w:sz w:val="24"/>
          <w:szCs w:val="24"/>
        </w:rPr>
      </w:pPr>
      <w:r>
        <w:rPr>
          <w:rFonts w:ascii="Arial" w:hAnsi="Arial" w:cs="Arial"/>
          <w:sz w:val="24"/>
          <w:szCs w:val="24"/>
        </w:rPr>
        <w:t>The Ageing Hub continues to develop extensive partnerships with the GM Local Authorities to develop effective ageing plans that deliver real improvements for GM residents.</w:t>
      </w:r>
    </w:p>
    <w:p w14:paraId="007DB555" w14:textId="77777777" w:rsidR="00016C24" w:rsidRPr="00515A67" w:rsidRDefault="00016C24" w:rsidP="00016C24">
      <w:pPr>
        <w:rPr>
          <w:rFonts w:ascii="Arial" w:hAnsi="Arial" w:cs="Arial"/>
          <w:b/>
          <w:bCs/>
        </w:rPr>
      </w:pPr>
      <w:bookmarkStart w:id="27" w:name="_Hlk108774439"/>
      <w:r w:rsidRPr="00515A67">
        <w:rPr>
          <w:rFonts w:ascii="Arial" w:hAnsi="Arial" w:cs="Arial"/>
          <w:b/>
          <w:bCs/>
        </w:rPr>
        <w:t>Waste and Resources</w:t>
      </w:r>
    </w:p>
    <w:p w14:paraId="71A21B40" w14:textId="77777777" w:rsidR="00016C24" w:rsidRDefault="00016C24" w:rsidP="00016C24"/>
    <w:p w14:paraId="72FC47E1" w14:textId="77777777" w:rsidR="00016C24" w:rsidRDefault="00016C24" w:rsidP="00016C24">
      <w:pPr>
        <w:rPr>
          <w:rFonts w:ascii="Arial" w:hAnsi="Arial" w:cs="Arial"/>
        </w:rPr>
      </w:pPr>
      <w:r w:rsidRPr="00515A67">
        <w:rPr>
          <w:rFonts w:ascii="Arial" w:hAnsi="Arial" w:cs="Arial"/>
        </w:rPr>
        <w:t xml:space="preserve">GMCA </w:t>
      </w:r>
      <w:r>
        <w:rPr>
          <w:rFonts w:ascii="Arial" w:hAnsi="Arial" w:cs="Arial"/>
        </w:rPr>
        <w:t>is</w:t>
      </w:r>
      <w:r w:rsidRPr="00515A67">
        <w:rPr>
          <w:rFonts w:ascii="Arial" w:hAnsi="Arial" w:cs="Arial"/>
        </w:rPr>
        <w:t xml:space="preserve"> responsible for the management and disposal of municipal waste from Greater Manchester (formerly known as Greater Manchester Waste Disposal Authority). </w:t>
      </w:r>
      <w:r>
        <w:rPr>
          <w:rFonts w:ascii="Arial" w:hAnsi="Arial" w:cs="Arial"/>
        </w:rPr>
        <w:t>The Authority</w:t>
      </w:r>
      <w:r w:rsidRPr="00515A67">
        <w:rPr>
          <w:rFonts w:ascii="Arial" w:hAnsi="Arial" w:cs="Arial"/>
        </w:rPr>
        <w:t xml:space="preserve"> handle</w:t>
      </w:r>
      <w:r>
        <w:rPr>
          <w:rFonts w:ascii="Arial" w:hAnsi="Arial" w:cs="Arial"/>
        </w:rPr>
        <w:t>s</w:t>
      </w:r>
      <w:r w:rsidRPr="00515A67">
        <w:rPr>
          <w:rFonts w:ascii="Arial" w:hAnsi="Arial" w:cs="Arial"/>
        </w:rPr>
        <w:t xml:space="preserve"> around 4% of the UK’s municipal waste. This is approximately 1.1 million tonnes of waste and recycling each year from over a million households from the metropolitan </w:t>
      </w:r>
      <w:r>
        <w:rPr>
          <w:rFonts w:ascii="Arial" w:hAnsi="Arial" w:cs="Arial"/>
        </w:rPr>
        <w:t xml:space="preserve">areas </w:t>
      </w:r>
      <w:r w:rsidRPr="00515A67">
        <w:rPr>
          <w:rFonts w:ascii="Arial" w:hAnsi="Arial" w:cs="Arial"/>
        </w:rPr>
        <w:t>of Bolton, Bury, Manchester, Oldham, Rochdale, Salford, Stockport</w:t>
      </w:r>
      <w:r>
        <w:rPr>
          <w:rFonts w:ascii="Arial" w:hAnsi="Arial" w:cs="Arial"/>
        </w:rPr>
        <w:t xml:space="preserve">, </w:t>
      </w:r>
      <w:r w:rsidRPr="00515A67">
        <w:rPr>
          <w:rFonts w:ascii="Arial" w:hAnsi="Arial" w:cs="Arial"/>
        </w:rPr>
        <w:t>Tameside and Trafford (Wigan operate as a unitary authority and administers its own disposal arrangements).</w:t>
      </w:r>
    </w:p>
    <w:p w14:paraId="535E8231" w14:textId="77777777" w:rsidR="00016C24" w:rsidRDefault="00016C24" w:rsidP="00016C24">
      <w:pPr>
        <w:rPr>
          <w:rFonts w:ascii="Arial" w:hAnsi="Arial" w:cs="Arial"/>
        </w:rPr>
      </w:pPr>
    </w:p>
    <w:p w14:paraId="6BB56A97" w14:textId="0E08AE23" w:rsidR="00016C24" w:rsidRDefault="00016C24" w:rsidP="00016C24">
      <w:pPr>
        <w:rPr>
          <w:rFonts w:ascii="Arial" w:hAnsi="Arial" w:cs="Arial"/>
          <w:bCs/>
          <w:lang w:eastAsia="en-GB"/>
        </w:rPr>
      </w:pPr>
      <w:r w:rsidRPr="00515A67">
        <w:rPr>
          <w:rFonts w:ascii="Arial" w:hAnsi="Arial" w:cs="Arial"/>
        </w:rPr>
        <w:t xml:space="preserve">Each of the </w:t>
      </w:r>
      <w:r>
        <w:rPr>
          <w:rFonts w:ascii="Arial" w:hAnsi="Arial" w:cs="Arial"/>
        </w:rPr>
        <w:t xml:space="preserve">local authorities </w:t>
      </w:r>
      <w:r w:rsidRPr="00515A67">
        <w:rPr>
          <w:rFonts w:ascii="Arial" w:hAnsi="Arial" w:cs="Arial"/>
        </w:rPr>
        <w:t xml:space="preserve">are responsible for the collection of household waste. GMCA receives funding from a levy on the </w:t>
      </w:r>
      <w:r>
        <w:rPr>
          <w:rFonts w:ascii="Arial" w:hAnsi="Arial" w:cs="Arial"/>
        </w:rPr>
        <w:t xml:space="preserve">nine </w:t>
      </w:r>
      <w:r w:rsidRPr="00515A67">
        <w:rPr>
          <w:rFonts w:ascii="Arial" w:hAnsi="Arial" w:cs="Arial"/>
        </w:rPr>
        <w:t>Greater Manchester local authorities to pay for the processing and disposal of this waste</w:t>
      </w:r>
      <w:r>
        <w:rPr>
          <w:rFonts w:ascii="Arial" w:hAnsi="Arial" w:cs="Arial"/>
        </w:rPr>
        <w:t xml:space="preserve">. </w:t>
      </w:r>
      <w:r w:rsidRPr="00146849">
        <w:rPr>
          <w:rFonts w:ascii="Arial" w:hAnsi="Arial" w:cs="Arial"/>
          <w:bCs/>
          <w:lang w:eastAsia="en-GB"/>
        </w:rPr>
        <w:t xml:space="preserve">The </w:t>
      </w:r>
      <w:r>
        <w:rPr>
          <w:rFonts w:ascii="Arial" w:hAnsi="Arial" w:cs="Arial"/>
          <w:bCs/>
          <w:lang w:eastAsia="en-GB"/>
        </w:rPr>
        <w:t xml:space="preserve">2021/22 </w:t>
      </w:r>
      <w:r w:rsidRPr="00146849">
        <w:rPr>
          <w:rFonts w:ascii="Arial" w:hAnsi="Arial" w:cs="Arial"/>
          <w:bCs/>
          <w:lang w:eastAsia="en-GB"/>
        </w:rPr>
        <w:t>levy was set in February 2021 for a total of</w:t>
      </w:r>
      <w:r>
        <w:rPr>
          <w:rFonts w:ascii="Arial" w:hAnsi="Arial" w:cs="Arial"/>
          <w:bCs/>
          <w:lang w:eastAsia="en-GB"/>
        </w:rPr>
        <w:t xml:space="preserve"> </w:t>
      </w:r>
      <w:r w:rsidRPr="00146849">
        <w:rPr>
          <w:rFonts w:ascii="Arial" w:hAnsi="Arial" w:cs="Arial"/>
          <w:bCs/>
          <w:lang w:eastAsia="en-GB"/>
        </w:rPr>
        <w:t>£162.402m</w:t>
      </w:r>
      <w:r>
        <w:rPr>
          <w:rFonts w:ascii="Arial" w:hAnsi="Arial" w:cs="Arial"/>
          <w:bCs/>
          <w:lang w:eastAsia="en-GB"/>
        </w:rPr>
        <w:t xml:space="preserve"> </w:t>
      </w:r>
      <w:r w:rsidRPr="00146849">
        <w:rPr>
          <w:rFonts w:ascii="Arial" w:hAnsi="Arial" w:cs="Arial"/>
          <w:bCs/>
          <w:lang w:eastAsia="en-GB"/>
        </w:rPr>
        <w:t xml:space="preserve">using forecast levels </w:t>
      </w:r>
      <w:r>
        <w:rPr>
          <w:rFonts w:ascii="Arial" w:hAnsi="Arial" w:cs="Arial"/>
          <w:bCs/>
          <w:lang w:eastAsia="en-GB"/>
        </w:rPr>
        <w:t xml:space="preserve">of </w:t>
      </w:r>
      <w:r w:rsidRPr="00146849">
        <w:rPr>
          <w:rFonts w:ascii="Arial" w:hAnsi="Arial" w:cs="Arial"/>
          <w:bCs/>
          <w:lang w:eastAsia="en-GB"/>
        </w:rPr>
        <w:t xml:space="preserve">waste </w:t>
      </w:r>
      <w:r>
        <w:rPr>
          <w:rFonts w:ascii="Arial" w:hAnsi="Arial" w:cs="Arial"/>
          <w:bCs/>
          <w:lang w:eastAsia="en-GB"/>
        </w:rPr>
        <w:t xml:space="preserve">totalling </w:t>
      </w:r>
      <w:r w:rsidRPr="00146849">
        <w:rPr>
          <w:rFonts w:ascii="Arial" w:hAnsi="Arial" w:cs="Arial"/>
          <w:bCs/>
          <w:lang w:eastAsia="en-GB"/>
        </w:rPr>
        <w:t>861,000 tonnes. The</w:t>
      </w:r>
      <w:r>
        <w:rPr>
          <w:rFonts w:ascii="Arial" w:hAnsi="Arial" w:cs="Arial"/>
          <w:bCs/>
          <w:lang w:eastAsia="en-GB"/>
        </w:rPr>
        <w:t xml:space="preserve"> overall</w:t>
      </w:r>
      <w:r w:rsidRPr="00146849">
        <w:rPr>
          <w:rFonts w:ascii="Arial" w:hAnsi="Arial" w:cs="Arial"/>
          <w:bCs/>
          <w:lang w:eastAsia="en-GB"/>
        </w:rPr>
        <w:t xml:space="preserve"> volume of waste</w:t>
      </w:r>
      <w:r>
        <w:rPr>
          <w:rFonts w:ascii="Arial" w:hAnsi="Arial" w:cs="Arial"/>
          <w:bCs/>
          <w:lang w:eastAsia="en-GB"/>
        </w:rPr>
        <w:t xml:space="preserve"> during 2021/22</w:t>
      </w:r>
      <w:r w:rsidRPr="00146849">
        <w:rPr>
          <w:rFonts w:ascii="Arial" w:hAnsi="Arial" w:cs="Arial"/>
          <w:bCs/>
          <w:lang w:eastAsia="en-GB"/>
        </w:rPr>
        <w:t xml:space="preserve"> was </w:t>
      </w:r>
      <w:r>
        <w:rPr>
          <w:rFonts w:ascii="Arial" w:hAnsi="Arial" w:cs="Arial"/>
          <w:bCs/>
          <w:lang w:eastAsia="en-GB"/>
        </w:rPr>
        <w:t xml:space="preserve">in line with budget </w:t>
      </w:r>
      <w:r w:rsidRPr="00146849">
        <w:rPr>
          <w:rFonts w:ascii="Arial" w:hAnsi="Arial" w:cs="Arial"/>
          <w:bCs/>
          <w:lang w:eastAsia="en-GB"/>
        </w:rPr>
        <w:t>but with variances in the types of waste delivered. Lower amounts than forecast were received in biowaste, street sweepings and trade, and higher than forecast in residual, commingled and paper/card waste streams.</w:t>
      </w:r>
    </w:p>
    <w:p w14:paraId="29C70610" w14:textId="77777777" w:rsidR="00016C24" w:rsidRPr="00515A67" w:rsidRDefault="00016C24" w:rsidP="00016C24">
      <w:pPr>
        <w:rPr>
          <w:rFonts w:ascii="Arial" w:hAnsi="Arial" w:cs="Arial"/>
        </w:rPr>
      </w:pPr>
    </w:p>
    <w:p w14:paraId="53405A2B" w14:textId="5D4F68FE" w:rsidR="00016C24" w:rsidRPr="00252AA6" w:rsidRDefault="00016C24" w:rsidP="00016C24">
      <w:pPr>
        <w:rPr>
          <w:rFonts w:ascii="Arial" w:hAnsi="Arial" w:cs="Arial"/>
          <w:bCs/>
          <w:lang w:eastAsia="en-GB"/>
        </w:rPr>
      </w:pPr>
      <w:r w:rsidRPr="00515A67">
        <w:rPr>
          <w:rFonts w:ascii="Arial" w:hAnsi="Arial" w:cs="Arial"/>
        </w:rPr>
        <w:t>The GMCA Waste and Resources team oversee the operation of the facilities through contract arrangements with Suez Recycling and Recovery UK.</w:t>
      </w:r>
      <w:r>
        <w:rPr>
          <w:rFonts w:ascii="Arial" w:hAnsi="Arial" w:cs="Arial"/>
        </w:rPr>
        <w:t xml:space="preserve"> </w:t>
      </w:r>
      <w:r w:rsidRPr="00515A67">
        <w:rPr>
          <w:rFonts w:ascii="Arial" w:hAnsi="Arial" w:cs="Arial"/>
        </w:rPr>
        <w:t>The recycling rate for waste from households in Greater Manchester in 2021/22 was 45.98%</w:t>
      </w:r>
      <w:r>
        <w:rPr>
          <w:rFonts w:ascii="Arial" w:hAnsi="Arial" w:cs="Arial"/>
        </w:rPr>
        <w:t xml:space="preserve"> and only 0.86% of GM waste was sent to landfill</w:t>
      </w:r>
      <w:r w:rsidRPr="00515A67">
        <w:rPr>
          <w:rFonts w:ascii="Arial" w:hAnsi="Arial" w:cs="Arial"/>
        </w:rPr>
        <w:t>.</w:t>
      </w:r>
    </w:p>
    <w:p w14:paraId="66D012F6" w14:textId="77777777" w:rsidR="00016C24" w:rsidRDefault="00016C24" w:rsidP="00016C24">
      <w:pPr>
        <w:rPr>
          <w:rFonts w:ascii="Arial" w:hAnsi="Arial" w:cs="Arial"/>
        </w:rPr>
      </w:pPr>
    </w:p>
    <w:p w14:paraId="5774646C" w14:textId="08893BE6" w:rsidR="00016C24" w:rsidRPr="00515A67" w:rsidRDefault="00016C24" w:rsidP="00016C24">
      <w:pPr>
        <w:rPr>
          <w:rFonts w:ascii="Arial" w:hAnsi="Arial" w:cs="Arial"/>
        </w:rPr>
      </w:pPr>
      <w:r w:rsidRPr="00515A67">
        <w:rPr>
          <w:rFonts w:ascii="Arial" w:hAnsi="Arial" w:cs="Arial"/>
        </w:rPr>
        <w:t>General</w:t>
      </w:r>
      <w:r>
        <w:rPr>
          <w:rFonts w:ascii="Arial" w:hAnsi="Arial" w:cs="Arial"/>
        </w:rPr>
        <w:t xml:space="preserve"> (residual)</w:t>
      </w:r>
      <w:r w:rsidRPr="00515A67">
        <w:rPr>
          <w:rFonts w:ascii="Arial" w:hAnsi="Arial" w:cs="Arial"/>
        </w:rPr>
        <w:t xml:space="preserve"> waste is </w:t>
      </w:r>
      <w:r>
        <w:rPr>
          <w:rFonts w:ascii="Arial" w:hAnsi="Arial" w:cs="Arial"/>
        </w:rPr>
        <w:t xml:space="preserve">delivered to a </w:t>
      </w:r>
      <w:r w:rsidRPr="00515A67">
        <w:rPr>
          <w:rFonts w:ascii="Arial" w:hAnsi="Arial" w:cs="Arial"/>
        </w:rPr>
        <w:t>mechanical treatment facility in Greater Manchester</w:t>
      </w:r>
      <w:r>
        <w:rPr>
          <w:rFonts w:ascii="Arial" w:hAnsi="Arial" w:cs="Arial"/>
        </w:rPr>
        <w:t xml:space="preserve"> and then transported </w:t>
      </w:r>
      <w:r w:rsidRPr="00515A67">
        <w:rPr>
          <w:rFonts w:ascii="Arial" w:hAnsi="Arial" w:cs="Arial"/>
        </w:rPr>
        <w:t>by train to the Energy Recovery facility in Runcorn</w:t>
      </w:r>
      <w:r>
        <w:rPr>
          <w:rFonts w:ascii="Arial" w:hAnsi="Arial" w:cs="Arial"/>
        </w:rPr>
        <w:t xml:space="preserve">. </w:t>
      </w:r>
      <w:r w:rsidRPr="00515A67">
        <w:rPr>
          <w:rFonts w:ascii="Arial" w:hAnsi="Arial" w:cs="Arial"/>
        </w:rPr>
        <w:t>The general waste is fed into the furnace which creates heat</w:t>
      </w:r>
      <w:r>
        <w:rPr>
          <w:rFonts w:ascii="Arial" w:hAnsi="Arial" w:cs="Arial"/>
        </w:rPr>
        <w:t xml:space="preserve"> </w:t>
      </w:r>
      <w:r w:rsidRPr="00515A67">
        <w:rPr>
          <w:rFonts w:ascii="Arial" w:hAnsi="Arial" w:cs="Arial"/>
        </w:rPr>
        <w:t>used to boil water to make steam which spin turbines. The turbines are connected to generators which make electricity</w:t>
      </w:r>
      <w:r>
        <w:rPr>
          <w:rFonts w:ascii="Arial" w:hAnsi="Arial" w:cs="Arial"/>
        </w:rPr>
        <w:t xml:space="preserve"> </w:t>
      </w:r>
      <w:r w:rsidRPr="00515A67">
        <w:rPr>
          <w:rFonts w:ascii="Arial" w:hAnsi="Arial" w:cs="Arial"/>
        </w:rPr>
        <w:t>and heat used to power the INOVYN facility</w:t>
      </w:r>
      <w:r>
        <w:rPr>
          <w:rFonts w:ascii="Arial" w:hAnsi="Arial" w:cs="Arial"/>
        </w:rPr>
        <w:t>, which</w:t>
      </w:r>
      <w:r w:rsidRPr="00515A67">
        <w:rPr>
          <w:rFonts w:ascii="Arial" w:hAnsi="Arial" w:cs="Arial"/>
        </w:rPr>
        <w:t xml:space="preserve"> now takes around 20% less energy from the National Grid.</w:t>
      </w:r>
      <w:r>
        <w:rPr>
          <w:rFonts w:ascii="Arial" w:hAnsi="Arial" w:cs="Arial"/>
        </w:rPr>
        <w:t xml:space="preserve"> </w:t>
      </w:r>
      <w:r w:rsidRPr="00515A67">
        <w:rPr>
          <w:rFonts w:ascii="Arial" w:hAnsi="Arial" w:cs="Arial"/>
        </w:rPr>
        <w:t>The chimney stack at the facility is fitted with an emissions monitoring system</w:t>
      </w:r>
      <w:r>
        <w:rPr>
          <w:rFonts w:ascii="Arial" w:hAnsi="Arial" w:cs="Arial"/>
        </w:rPr>
        <w:t xml:space="preserve"> which </w:t>
      </w:r>
      <w:r w:rsidRPr="00515A67">
        <w:rPr>
          <w:rFonts w:ascii="Arial" w:hAnsi="Arial" w:cs="Arial"/>
        </w:rPr>
        <w:t>continually monitors the emissions coming</w:t>
      </w:r>
      <w:r>
        <w:rPr>
          <w:rFonts w:ascii="Arial" w:hAnsi="Arial" w:cs="Arial"/>
        </w:rPr>
        <w:t xml:space="preserve"> from the process</w:t>
      </w:r>
      <w:r w:rsidRPr="00515A67">
        <w:rPr>
          <w:rFonts w:ascii="Arial" w:hAnsi="Arial" w:cs="Arial"/>
        </w:rPr>
        <w:t>.</w:t>
      </w:r>
      <w:r>
        <w:rPr>
          <w:rFonts w:ascii="Arial" w:hAnsi="Arial" w:cs="Arial"/>
        </w:rPr>
        <w:t xml:space="preserve"> </w:t>
      </w:r>
      <w:r w:rsidRPr="00515A67">
        <w:rPr>
          <w:rFonts w:ascii="Arial" w:hAnsi="Arial" w:cs="Arial"/>
        </w:rPr>
        <w:t>Ferrous metals are removed for recycling</w:t>
      </w:r>
      <w:r>
        <w:rPr>
          <w:rFonts w:ascii="Arial" w:hAnsi="Arial" w:cs="Arial"/>
        </w:rPr>
        <w:t xml:space="preserve"> and t</w:t>
      </w:r>
      <w:r w:rsidRPr="00515A67">
        <w:rPr>
          <w:rFonts w:ascii="Arial" w:hAnsi="Arial" w:cs="Arial"/>
        </w:rPr>
        <w:t>he ash is reused for construction.</w:t>
      </w:r>
      <w:r>
        <w:rPr>
          <w:rFonts w:ascii="Arial" w:hAnsi="Arial" w:cs="Arial"/>
        </w:rPr>
        <w:t xml:space="preserve"> </w:t>
      </w:r>
    </w:p>
    <w:p w14:paraId="273D6325" w14:textId="77777777" w:rsidR="00016C24" w:rsidRDefault="00016C24" w:rsidP="00016C24">
      <w:pPr>
        <w:rPr>
          <w:rFonts w:ascii="Arial" w:hAnsi="Arial" w:cs="Arial"/>
        </w:rPr>
      </w:pPr>
    </w:p>
    <w:p w14:paraId="79114918" w14:textId="13CB9217" w:rsidR="00016C24" w:rsidRPr="00515A67" w:rsidRDefault="00016C24" w:rsidP="00016C24">
      <w:pPr>
        <w:rPr>
          <w:rFonts w:ascii="Arial" w:hAnsi="Arial" w:cs="Arial"/>
        </w:rPr>
      </w:pPr>
      <w:r w:rsidRPr="00515A67">
        <w:rPr>
          <w:rFonts w:ascii="Arial" w:hAnsi="Arial" w:cs="Arial"/>
        </w:rPr>
        <w:t>Food and garden waste is delivered to In-Vessel Composting facilities (IVC)</w:t>
      </w:r>
      <w:r>
        <w:rPr>
          <w:rFonts w:ascii="Arial" w:hAnsi="Arial" w:cs="Arial"/>
        </w:rPr>
        <w:t xml:space="preserve">. </w:t>
      </w:r>
      <w:r w:rsidRPr="00515A67">
        <w:rPr>
          <w:rFonts w:ascii="Arial" w:hAnsi="Arial" w:cs="Arial"/>
        </w:rPr>
        <w:t>The IVC system harnesses the natural composting process to recycle food and garden waste into compost in 6 weeks. The compost produced will be used as a soil improver on agricultural land.</w:t>
      </w:r>
      <w:r w:rsidRPr="00D338BF">
        <w:rPr>
          <w:rFonts w:ascii="Arial" w:hAnsi="Arial" w:cs="Arial"/>
        </w:rPr>
        <w:t xml:space="preserve"> </w:t>
      </w:r>
      <w:r w:rsidRPr="00515A67">
        <w:rPr>
          <w:rFonts w:ascii="Arial" w:hAnsi="Arial" w:cs="Arial"/>
        </w:rPr>
        <w:t>Paper and card is taken to a paper sorting facility</w:t>
      </w:r>
      <w:r>
        <w:rPr>
          <w:rFonts w:ascii="Arial" w:hAnsi="Arial" w:cs="Arial"/>
        </w:rPr>
        <w:t xml:space="preserve"> </w:t>
      </w:r>
      <w:r w:rsidRPr="00515A67">
        <w:rPr>
          <w:rFonts w:ascii="Arial" w:hAnsi="Arial" w:cs="Arial"/>
        </w:rPr>
        <w:t>for recycling back into new products.</w:t>
      </w:r>
    </w:p>
    <w:p w14:paraId="272E28F0" w14:textId="77777777" w:rsidR="00016C24" w:rsidRDefault="00016C24" w:rsidP="00016C24">
      <w:pPr>
        <w:rPr>
          <w:rFonts w:ascii="Arial" w:hAnsi="Arial" w:cs="Arial"/>
        </w:rPr>
      </w:pPr>
    </w:p>
    <w:p w14:paraId="30E5458C" w14:textId="77777777" w:rsidR="00016C24" w:rsidRPr="00D3603F" w:rsidRDefault="00016C24" w:rsidP="00016C24">
      <w:pPr>
        <w:rPr>
          <w:rFonts w:ascii="Arial" w:hAnsi="Arial" w:cs="Arial"/>
        </w:rPr>
      </w:pPr>
      <w:r w:rsidRPr="00D3603F">
        <w:rPr>
          <w:rFonts w:ascii="Arial" w:hAnsi="Arial" w:cs="Arial"/>
        </w:rPr>
        <w:lastRenderedPageBreak/>
        <w:t>Mixed recycling is taken to a materials recovery facility in Manchester, where the plastic bottles, glass bottles and jars, foil, food tins, drinks cans and aerosols are separated. Greater Manchester</w:t>
      </w:r>
      <w:r>
        <w:rPr>
          <w:rFonts w:ascii="Arial" w:hAnsi="Arial" w:cs="Arial"/>
        </w:rPr>
        <w:t xml:space="preserve"> only </w:t>
      </w:r>
      <w:r w:rsidRPr="00D3603F">
        <w:rPr>
          <w:rFonts w:ascii="Arial" w:hAnsi="Arial" w:cs="Arial"/>
        </w:rPr>
        <w:t xml:space="preserve">collect plastic bottles because there is a sustainable market </w:t>
      </w:r>
      <w:r>
        <w:rPr>
          <w:rFonts w:ascii="Arial" w:hAnsi="Arial" w:cs="Arial"/>
        </w:rPr>
        <w:t xml:space="preserve">to </w:t>
      </w:r>
      <w:r w:rsidRPr="00D3603F">
        <w:rPr>
          <w:rFonts w:ascii="Arial" w:hAnsi="Arial" w:cs="Arial"/>
        </w:rPr>
        <w:t xml:space="preserve">guarantee they </w:t>
      </w:r>
      <w:r>
        <w:rPr>
          <w:rFonts w:ascii="Arial" w:hAnsi="Arial" w:cs="Arial"/>
        </w:rPr>
        <w:t>can</w:t>
      </w:r>
      <w:r w:rsidRPr="00D3603F">
        <w:rPr>
          <w:rFonts w:ascii="Arial" w:hAnsi="Arial" w:cs="Arial"/>
        </w:rPr>
        <w:t xml:space="preserve"> be recycled.</w:t>
      </w:r>
    </w:p>
    <w:p w14:paraId="66A9D4D6" w14:textId="77777777" w:rsidR="00016C24" w:rsidRPr="00D3603F" w:rsidRDefault="00016C24" w:rsidP="00016C24">
      <w:pPr>
        <w:rPr>
          <w:rFonts w:ascii="Arial" w:hAnsi="Arial" w:cs="Arial"/>
          <w:b/>
          <w:bCs/>
        </w:rPr>
      </w:pPr>
    </w:p>
    <w:p w14:paraId="1C5712CD" w14:textId="03B0444A" w:rsidR="00016C24" w:rsidRPr="00D3603F" w:rsidRDefault="00016C24" w:rsidP="00016C24">
      <w:pPr>
        <w:rPr>
          <w:rFonts w:ascii="Arial" w:hAnsi="Arial" w:cs="Arial"/>
        </w:rPr>
      </w:pPr>
      <w:r w:rsidRPr="00D3603F">
        <w:rPr>
          <w:rFonts w:ascii="Arial" w:hAnsi="Arial" w:cs="Arial"/>
        </w:rPr>
        <w:t>During 2021/22 the service netted an underspend of £35m, mainly relating to surpluses from the operation of the main contracts for residual and recycled waste</w:t>
      </w:r>
      <w:r>
        <w:rPr>
          <w:rFonts w:ascii="Arial" w:hAnsi="Arial" w:cs="Arial"/>
        </w:rPr>
        <w:t xml:space="preserve">. </w:t>
      </w:r>
      <w:r w:rsidRPr="00D3603F">
        <w:rPr>
          <w:rFonts w:ascii="Arial" w:hAnsi="Arial" w:cs="Arial"/>
        </w:rPr>
        <w:t xml:space="preserve">This includes: </w:t>
      </w:r>
    </w:p>
    <w:p w14:paraId="5378FC04" w14:textId="77777777" w:rsidR="00016C24" w:rsidRPr="00D3603F" w:rsidRDefault="00016C24" w:rsidP="00EB27EB">
      <w:pPr>
        <w:pStyle w:val="ListParagraph"/>
        <w:numPr>
          <w:ilvl w:val="0"/>
          <w:numId w:val="69"/>
        </w:numPr>
        <w:spacing w:after="0" w:line="240" w:lineRule="auto"/>
        <w:rPr>
          <w:rFonts w:ascii="Arial" w:hAnsi="Arial" w:cs="Arial"/>
          <w:sz w:val="24"/>
          <w:szCs w:val="24"/>
          <w:lang w:eastAsia="en-US"/>
        </w:rPr>
      </w:pPr>
      <w:r w:rsidRPr="00D3603F">
        <w:rPr>
          <w:rFonts w:ascii="Arial" w:hAnsi="Arial" w:cs="Arial"/>
          <w:sz w:val="24"/>
          <w:szCs w:val="24"/>
        </w:rPr>
        <w:t xml:space="preserve">£16.1m surplus on the residual waste contract from an </w:t>
      </w:r>
      <w:r w:rsidRPr="00D3603F">
        <w:rPr>
          <w:rFonts w:ascii="Arial" w:hAnsi="Arial" w:cs="Arial"/>
          <w:bCs/>
          <w:sz w:val="24"/>
          <w:szCs w:val="24"/>
        </w:rPr>
        <w:t>increased share of third-party income mainly in relation to electric wholesale price</w:t>
      </w:r>
      <w:r>
        <w:rPr>
          <w:rFonts w:ascii="Arial" w:hAnsi="Arial" w:cs="Arial"/>
          <w:bCs/>
          <w:sz w:val="24"/>
          <w:szCs w:val="24"/>
        </w:rPr>
        <w:t>.</w:t>
      </w:r>
    </w:p>
    <w:p w14:paraId="63691279" w14:textId="77777777" w:rsidR="00016C24" w:rsidRPr="00D3603F" w:rsidRDefault="00016C24" w:rsidP="00EB27EB">
      <w:pPr>
        <w:pStyle w:val="ListParagraph"/>
        <w:numPr>
          <w:ilvl w:val="0"/>
          <w:numId w:val="69"/>
        </w:numPr>
        <w:spacing w:after="0" w:line="240" w:lineRule="auto"/>
        <w:rPr>
          <w:rFonts w:ascii="Arial" w:hAnsi="Arial" w:cs="Arial"/>
          <w:sz w:val="24"/>
          <w:szCs w:val="24"/>
          <w:lang w:eastAsia="en-US"/>
        </w:rPr>
      </w:pPr>
      <w:r w:rsidRPr="00D3603F">
        <w:rPr>
          <w:rFonts w:ascii="Arial" w:hAnsi="Arial" w:cs="Arial"/>
          <w:bCs/>
          <w:sz w:val="24"/>
          <w:szCs w:val="24"/>
        </w:rPr>
        <w:t xml:space="preserve">£10.2m from the Waste and Resources Management Services contract due to increased </w:t>
      </w:r>
      <w:proofErr w:type="spellStart"/>
      <w:r w:rsidRPr="00D3603F">
        <w:rPr>
          <w:rFonts w:ascii="Arial" w:hAnsi="Arial" w:cs="Arial"/>
          <w:bCs/>
          <w:sz w:val="24"/>
          <w:szCs w:val="24"/>
        </w:rPr>
        <w:t>recyclate</w:t>
      </w:r>
      <w:proofErr w:type="spellEnd"/>
      <w:r w:rsidRPr="00D3603F">
        <w:rPr>
          <w:rFonts w:ascii="Arial" w:hAnsi="Arial" w:cs="Arial"/>
          <w:bCs/>
          <w:sz w:val="24"/>
          <w:szCs w:val="24"/>
        </w:rPr>
        <w:t xml:space="preserve"> revenue rebate from an increased priced obtained and slightly higher tonnages of </w:t>
      </w:r>
      <w:r>
        <w:rPr>
          <w:rFonts w:ascii="Arial" w:hAnsi="Arial" w:cs="Arial"/>
          <w:bCs/>
          <w:sz w:val="24"/>
          <w:szCs w:val="24"/>
        </w:rPr>
        <w:t xml:space="preserve">mixed recycling </w:t>
      </w:r>
      <w:r w:rsidRPr="00D3603F">
        <w:rPr>
          <w:rFonts w:ascii="Arial" w:hAnsi="Arial" w:cs="Arial"/>
          <w:bCs/>
          <w:sz w:val="24"/>
          <w:szCs w:val="24"/>
        </w:rPr>
        <w:t xml:space="preserve">and paper/card. </w:t>
      </w:r>
    </w:p>
    <w:p w14:paraId="50F690CF" w14:textId="77777777" w:rsidR="00016C24" w:rsidRPr="00D3603F" w:rsidRDefault="00016C24" w:rsidP="00EB27EB">
      <w:pPr>
        <w:pStyle w:val="ListParagraph"/>
        <w:numPr>
          <w:ilvl w:val="0"/>
          <w:numId w:val="69"/>
        </w:numPr>
        <w:spacing w:after="0" w:line="240" w:lineRule="auto"/>
        <w:rPr>
          <w:rFonts w:ascii="Arial" w:hAnsi="Arial" w:cs="Arial"/>
          <w:sz w:val="24"/>
          <w:szCs w:val="24"/>
          <w:lang w:eastAsia="en-US"/>
        </w:rPr>
      </w:pPr>
      <w:r w:rsidRPr="00D3603F">
        <w:rPr>
          <w:rFonts w:ascii="Arial" w:hAnsi="Arial" w:cs="Arial"/>
          <w:bCs/>
          <w:sz w:val="24"/>
          <w:szCs w:val="24"/>
        </w:rPr>
        <w:t>£2.9m from other contracts with the underspend being moved to the Lifecycle Reserve to be spent in future years.</w:t>
      </w:r>
    </w:p>
    <w:p w14:paraId="1E1E41C6" w14:textId="77777777" w:rsidR="00016C24" w:rsidRDefault="00016C24" w:rsidP="00016C24">
      <w:pPr>
        <w:rPr>
          <w:rFonts w:ascii="Arial" w:hAnsi="Arial" w:cs="Arial"/>
        </w:rPr>
      </w:pPr>
      <w:bookmarkStart w:id="28" w:name="_Hlk106116032"/>
    </w:p>
    <w:p w14:paraId="09CE03FA" w14:textId="1C388CBF" w:rsidR="00016C24" w:rsidRDefault="00016C24" w:rsidP="00016C24">
      <w:pPr>
        <w:rPr>
          <w:rFonts w:ascii="Arial" w:hAnsi="Arial" w:cs="Arial"/>
          <w:bCs/>
          <w:lang w:eastAsia="en-GB"/>
        </w:rPr>
      </w:pPr>
      <w:r>
        <w:rPr>
          <w:rFonts w:ascii="Arial" w:hAnsi="Arial" w:cs="Arial"/>
        </w:rPr>
        <w:t xml:space="preserve">The 2021/22 year end surplus has been transferred to reserves. It was agreed in February 2022 to return at least £10m of 2021/22 waste reserves to the nine GM local authorities. </w:t>
      </w:r>
    </w:p>
    <w:p w14:paraId="3F7B4664" w14:textId="77777777" w:rsidR="00016C24" w:rsidRPr="005624AC" w:rsidRDefault="00016C24" w:rsidP="00016C24">
      <w:pPr>
        <w:pStyle w:val="Heading3"/>
        <w:spacing w:after="160"/>
        <w:rPr>
          <w:sz w:val="24"/>
          <w:szCs w:val="24"/>
        </w:rPr>
      </w:pPr>
      <w:bookmarkStart w:id="29" w:name="_Toc109922585"/>
      <w:bookmarkStart w:id="30" w:name="_Hlk108780347"/>
      <w:bookmarkEnd w:id="27"/>
      <w:bookmarkEnd w:id="28"/>
      <w:r w:rsidRPr="005624AC">
        <w:rPr>
          <w:sz w:val="24"/>
          <w:szCs w:val="24"/>
        </w:rPr>
        <w:t>Police and Crime - Safer and Stronger Communities</w:t>
      </w:r>
      <w:bookmarkEnd w:id="29"/>
      <w:r w:rsidRPr="005624AC">
        <w:rPr>
          <w:sz w:val="24"/>
          <w:szCs w:val="24"/>
        </w:rPr>
        <w:t xml:space="preserve"> </w:t>
      </w:r>
    </w:p>
    <w:p w14:paraId="7748497C" w14:textId="77777777" w:rsidR="00016C24" w:rsidRPr="005624AC" w:rsidRDefault="00016C24" w:rsidP="00016C24">
      <w:pPr>
        <w:pStyle w:val="Normal0"/>
        <w:spacing w:after="160" w:line="240" w:lineRule="auto"/>
        <w:rPr>
          <w:rFonts w:ascii="Arial" w:hAnsi="Arial" w:cs="Arial"/>
          <w:sz w:val="24"/>
          <w:szCs w:val="24"/>
        </w:rPr>
      </w:pPr>
      <w:r w:rsidRPr="005624AC">
        <w:rPr>
          <w:rFonts w:ascii="Arial" w:hAnsi="Arial" w:cs="Arial"/>
          <w:sz w:val="24"/>
          <w:szCs w:val="24"/>
        </w:rPr>
        <w:t xml:space="preserve">The Mayor is responsible for the formal oversight of Greater Manchester Police (GMP), including provision of all funding, budget-setting, performance scrutiny and strategic policy development. The Mayor is also responsible for holding the Chief Constable to account for ensuring GMP is run efficiently and effectively. These responsibilities are carried out by the Mayor alongside Greater Manchester’s Deputy Mayor for Policing, Crime, Criminal </w:t>
      </w:r>
      <w:proofErr w:type="gramStart"/>
      <w:r w:rsidRPr="005624AC">
        <w:rPr>
          <w:rFonts w:ascii="Arial" w:hAnsi="Arial" w:cs="Arial"/>
          <w:sz w:val="24"/>
          <w:szCs w:val="24"/>
        </w:rPr>
        <w:t>Justice</w:t>
      </w:r>
      <w:proofErr w:type="gramEnd"/>
      <w:r w:rsidRPr="005624AC">
        <w:rPr>
          <w:rFonts w:ascii="Arial" w:hAnsi="Arial" w:cs="Arial"/>
          <w:sz w:val="24"/>
          <w:szCs w:val="24"/>
        </w:rPr>
        <w:t xml:space="preserve"> and Fire. Operational decision-making on day-to-day policing matters and the employment of police staff remains the responsibility of the Chief Constable. </w:t>
      </w:r>
    </w:p>
    <w:p w14:paraId="2B380E1D" w14:textId="750FBA53" w:rsidR="00016C24" w:rsidRPr="005624AC" w:rsidRDefault="00016C24" w:rsidP="00C67457">
      <w:pPr>
        <w:rPr>
          <w:rFonts w:ascii="Arial" w:hAnsi="Arial" w:cs="Arial"/>
        </w:rPr>
      </w:pPr>
      <w:r w:rsidRPr="005624AC">
        <w:rPr>
          <w:rFonts w:ascii="Arial" w:hAnsi="Arial" w:cs="Arial"/>
        </w:rPr>
        <w:t>For 2021/22 the PCC received core grant of £495m, ring fenced Police Uplift grant of £5.8m and Pension grant of £6.6m. The precept increase limit set by government for 2021/22 was £15 for a Band D property which would have been an increase in funding for Police and Crime in Greater Manchester of £25.8m. Following consultation on a proposed £15 increase it was reduced to £10 in response to the issues raised by the public which reduced the overall funding increase by £3.8m. Taking account of a deficit position on the Council Tax Collection Fund during the pandemic, an increase in the tax base and non-recurrent C</w:t>
      </w:r>
      <w:r>
        <w:rPr>
          <w:rFonts w:ascii="Arial" w:hAnsi="Arial" w:cs="Arial"/>
        </w:rPr>
        <w:t>OVID-19</w:t>
      </w:r>
      <w:r w:rsidRPr="005624AC">
        <w:rPr>
          <w:rFonts w:ascii="Arial" w:hAnsi="Arial" w:cs="Arial"/>
        </w:rPr>
        <w:t xml:space="preserve"> support funding for Council Tax the total amount from the precept was £167m. This provided overall budget of £674.4m for policing in 2021/22.</w:t>
      </w:r>
    </w:p>
    <w:p w14:paraId="20822FF3" w14:textId="77777777" w:rsidR="00016C24" w:rsidRPr="005624AC" w:rsidRDefault="00016C24" w:rsidP="00016C24">
      <w:pPr>
        <w:pStyle w:val="Default"/>
        <w:rPr>
          <w:color w:val="auto"/>
        </w:rPr>
      </w:pPr>
    </w:p>
    <w:p w14:paraId="3D7646B5" w14:textId="776C02A7" w:rsidR="00016C24" w:rsidRPr="005624AC" w:rsidRDefault="00016C24" w:rsidP="00C67457">
      <w:pPr>
        <w:pStyle w:val="Default"/>
        <w:rPr>
          <w:rFonts w:eastAsiaTheme="minorHAnsi"/>
          <w:color w:val="auto"/>
          <w:lang w:eastAsia="en-US"/>
        </w:rPr>
      </w:pPr>
      <w:r w:rsidRPr="005624AC">
        <w:rPr>
          <w:color w:val="auto"/>
        </w:rPr>
        <w:t xml:space="preserve">Government funding for 2021/22 included the second </w:t>
      </w:r>
      <w:r w:rsidRPr="005624AC">
        <w:rPr>
          <w:rFonts w:eastAsiaTheme="minorHAnsi"/>
          <w:color w:val="auto"/>
          <w:lang w:eastAsia="en-US"/>
        </w:rPr>
        <w:t xml:space="preserve">year of the national expansion programme of 20,000 police officers over three years. In 2021/22 this was 6,000 officers nationally which for Greater Manchester equated to 325 officers plus 16 additional officers to support the North West Regional Crime Unit. </w:t>
      </w:r>
      <w:r w:rsidRPr="005624AC">
        <w:rPr>
          <w:rFonts w:eastAsiaTheme="minorHAnsi"/>
          <w:color w:val="auto"/>
        </w:rPr>
        <w:t xml:space="preserve">Funding in the previous year 2020/21 included a front loaded contribution to the infrastructure costs of new officers (training, equipment etc) of £20m from which £5m was drawn down in 2021/22 onwards to support delivery. </w:t>
      </w:r>
      <w:r w:rsidRPr="005624AC">
        <w:rPr>
          <w:rFonts w:eastAsiaTheme="minorHAnsi"/>
          <w:color w:val="auto"/>
          <w:lang w:eastAsia="en-US"/>
        </w:rPr>
        <w:t>The 2021 Spending Review provided funding for the final 8,000 officers nationally which equates to further 438 in 2022/23.</w:t>
      </w:r>
    </w:p>
    <w:p w14:paraId="7D8367E4" w14:textId="77777777" w:rsidR="00016C24" w:rsidRPr="005624AC" w:rsidRDefault="00016C24" w:rsidP="00C67457">
      <w:pPr>
        <w:pStyle w:val="Default"/>
        <w:rPr>
          <w:color w:val="auto"/>
        </w:rPr>
      </w:pPr>
    </w:p>
    <w:p w14:paraId="35358360" w14:textId="5F6E145E" w:rsidR="00016C24" w:rsidRPr="005624AC" w:rsidRDefault="00016C24" w:rsidP="00C67457">
      <w:pPr>
        <w:pStyle w:val="Normal0"/>
        <w:spacing w:after="160" w:line="240" w:lineRule="auto"/>
        <w:rPr>
          <w:rFonts w:ascii="Arial" w:hAnsi="Arial" w:cs="Arial"/>
          <w:sz w:val="24"/>
          <w:szCs w:val="24"/>
          <w:lang w:val="en-GB"/>
        </w:rPr>
      </w:pPr>
      <w:r w:rsidRPr="005624AC">
        <w:rPr>
          <w:rFonts w:ascii="Arial" w:hAnsi="Arial" w:cs="Arial"/>
          <w:sz w:val="24"/>
          <w:szCs w:val="24"/>
          <w:lang w:val="en-GB"/>
        </w:rPr>
        <w:t xml:space="preserve">Greater Manchester is committed to building safer and stronger communities where every community and person in Greater Manchester feels safe and secure in their daily lives. The Greater Manchester Mayor fulfils the role of Police and Crime Commissioner. </w:t>
      </w:r>
      <w:r w:rsidRPr="005624AC">
        <w:rPr>
          <w:rFonts w:ascii="Arial" w:hAnsi="Arial" w:cs="Arial"/>
          <w:sz w:val="24"/>
          <w:szCs w:val="24"/>
          <w:lang w:val="en-GB"/>
        </w:rPr>
        <w:lastRenderedPageBreak/>
        <w:t xml:space="preserve">Launched in March 2018, this ambition is echoed in ‘Standing Together’, the Greater Manchester Police and Crime plan. Following the re-election of the Mayor in May 2021 the plan was extensively consulted on and refreshed during 2021/22 and approved by the Police, Fire and Crime Panel in January 2022. </w:t>
      </w:r>
    </w:p>
    <w:p w14:paraId="60FDC2EE" w14:textId="25A69402" w:rsidR="00016C24" w:rsidRPr="005624AC" w:rsidRDefault="00016C24" w:rsidP="00C67457">
      <w:pPr>
        <w:pStyle w:val="Normal0"/>
        <w:spacing w:after="160" w:line="240" w:lineRule="auto"/>
        <w:rPr>
          <w:rFonts w:ascii="Arial" w:hAnsi="Arial" w:cs="Arial"/>
          <w:sz w:val="24"/>
          <w:szCs w:val="24"/>
          <w:lang w:val="en-GB"/>
        </w:rPr>
      </w:pPr>
      <w:r w:rsidRPr="005624AC">
        <w:rPr>
          <w:rFonts w:ascii="Arial" w:hAnsi="Arial" w:cs="Arial"/>
          <w:sz w:val="24"/>
          <w:szCs w:val="24"/>
          <w:lang w:val="en-GB"/>
        </w:rPr>
        <w:t xml:space="preserve">The plan sets out the vision for how policing and other services which contribute to community safety will be delivered across Greater Manchester. </w:t>
      </w:r>
      <w:r w:rsidRPr="005624AC">
        <w:rPr>
          <w:rFonts w:ascii="Arial" w:hAnsi="Arial" w:cs="Arial"/>
          <w:bCs/>
          <w:sz w:val="24"/>
          <w:szCs w:val="24"/>
        </w:rPr>
        <w:t xml:space="preserve">The </w:t>
      </w:r>
      <w:r w:rsidR="003A3296" w:rsidRPr="005624AC">
        <w:rPr>
          <w:rFonts w:ascii="Arial" w:hAnsi="Arial" w:cs="Arial"/>
          <w:bCs/>
          <w:sz w:val="24"/>
          <w:szCs w:val="24"/>
        </w:rPr>
        <w:t>Medium-Term</w:t>
      </w:r>
      <w:r w:rsidRPr="005624AC">
        <w:rPr>
          <w:rFonts w:ascii="Arial" w:hAnsi="Arial" w:cs="Arial"/>
          <w:bCs/>
          <w:sz w:val="24"/>
          <w:szCs w:val="24"/>
        </w:rPr>
        <w:t xml:space="preserve"> Financial Plan </w:t>
      </w:r>
      <w:r w:rsidRPr="005624AC">
        <w:rPr>
          <w:rFonts w:ascii="Arial" w:hAnsi="Arial" w:cs="Arial"/>
          <w:sz w:val="24"/>
          <w:szCs w:val="24"/>
        </w:rPr>
        <w:t xml:space="preserve">(MTFP) </w:t>
      </w:r>
      <w:r w:rsidRPr="005624AC">
        <w:rPr>
          <w:rFonts w:ascii="Arial" w:hAnsi="Arial" w:cs="Arial"/>
          <w:bCs/>
          <w:sz w:val="24"/>
          <w:szCs w:val="24"/>
        </w:rPr>
        <w:t>provides the resourcing for the delivery of the priorities in the Standing Together Police and Crime Plan:</w:t>
      </w:r>
    </w:p>
    <w:p w14:paraId="022C0220" w14:textId="77777777" w:rsidR="00016C24" w:rsidRPr="005624AC" w:rsidRDefault="00016C24" w:rsidP="00C67457">
      <w:pPr>
        <w:rPr>
          <w:rFonts w:ascii="Arial" w:hAnsi="Arial" w:cs="Arial"/>
        </w:rPr>
      </w:pPr>
      <w:r w:rsidRPr="005624AC">
        <w:rPr>
          <w:rFonts w:ascii="Arial" w:hAnsi="Arial" w:cs="Arial"/>
          <w:b/>
        </w:rPr>
        <w:t xml:space="preserve">Keeping people safe </w:t>
      </w:r>
      <w:r w:rsidRPr="005624AC">
        <w:rPr>
          <w:rFonts w:ascii="Arial" w:hAnsi="Arial" w:cs="Arial"/>
          <w:bCs/>
        </w:rPr>
        <w:t xml:space="preserve">- </w:t>
      </w:r>
      <w:r w:rsidRPr="005624AC">
        <w:rPr>
          <w:rFonts w:ascii="Arial" w:hAnsi="Arial" w:cs="Arial"/>
        </w:rPr>
        <w:t>Protecting and caring for people who live, work, socialise and travel in Greater Manchester. Protecting those who are vulnerable and those who are victims of crime or at risk of being victimised. Building resilience, feelings of safety and confidence in policing and community safety.</w:t>
      </w:r>
    </w:p>
    <w:p w14:paraId="6D5A3B0C" w14:textId="77777777" w:rsidR="00016C24" w:rsidRPr="005624AC" w:rsidRDefault="00016C24" w:rsidP="00C67457">
      <w:pPr>
        <w:ind w:left="709"/>
        <w:rPr>
          <w:rFonts w:ascii="Arial" w:hAnsi="Arial" w:cs="Arial"/>
          <w:b/>
        </w:rPr>
      </w:pPr>
    </w:p>
    <w:p w14:paraId="399828C2" w14:textId="77777777" w:rsidR="00016C24" w:rsidRPr="005624AC" w:rsidRDefault="00016C24" w:rsidP="00C67457">
      <w:pPr>
        <w:rPr>
          <w:rFonts w:ascii="Arial" w:hAnsi="Arial" w:cs="Arial"/>
        </w:rPr>
      </w:pPr>
      <w:r w:rsidRPr="005624AC">
        <w:rPr>
          <w:rFonts w:ascii="Arial" w:hAnsi="Arial" w:cs="Arial"/>
          <w:b/>
        </w:rPr>
        <w:t>Reducing harm and offending</w:t>
      </w:r>
      <w:r w:rsidRPr="005624AC">
        <w:rPr>
          <w:rFonts w:ascii="Arial" w:hAnsi="Arial" w:cs="Arial"/>
          <w:bCs/>
        </w:rPr>
        <w:t xml:space="preserve"> - </w:t>
      </w:r>
      <w:r w:rsidRPr="005624AC">
        <w:rPr>
          <w:rFonts w:ascii="Arial" w:hAnsi="Arial" w:cs="Arial"/>
        </w:rPr>
        <w:t>Preventing anti-social and criminal behaviour including the most serious offending by solving problems, intervening early and rehabilitating offenders to build confidence in criminal justice.</w:t>
      </w:r>
    </w:p>
    <w:p w14:paraId="1D606C87" w14:textId="77777777" w:rsidR="00016C24" w:rsidRPr="005624AC" w:rsidRDefault="00016C24" w:rsidP="00C67457">
      <w:pPr>
        <w:ind w:left="709"/>
        <w:rPr>
          <w:rFonts w:ascii="Arial" w:hAnsi="Arial" w:cs="Arial"/>
          <w:b/>
        </w:rPr>
      </w:pPr>
    </w:p>
    <w:p w14:paraId="1730268D" w14:textId="77777777" w:rsidR="00016C24" w:rsidRPr="005624AC" w:rsidRDefault="00016C24" w:rsidP="00C67457">
      <w:pPr>
        <w:rPr>
          <w:rFonts w:ascii="Arial" w:hAnsi="Arial" w:cs="Arial"/>
        </w:rPr>
      </w:pPr>
      <w:r w:rsidRPr="005624AC">
        <w:rPr>
          <w:rFonts w:ascii="Arial" w:hAnsi="Arial" w:cs="Arial"/>
          <w:b/>
        </w:rPr>
        <w:t>Strengthening communities and places</w:t>
      </w:r>
      <w:r w:rsidRPr="005624AC">
        <w:rPr>
          <w:rFonts w:ascii="Arial" w:hAnsi="Arial" w:cs="Arial"/>
          <w:bCs/>
        </w:rPr>
        <w:t xml:space="preserve"> - </w:t>
      </w:r>
      <w:r w:rsidRPr="005624AC">
        <w:rPr>
          <w:rFonts w:ascii="Arial" w:hAnsi="Arial" w:cs="Arial"/>
        </w:rPr>
        <w:t>Helping to build resilient and resourceful communities including online communities and protecting the places where people live, work, socialise or travel. Supporting the delivery of the IT systems, buildings, roads, street lighting and other public assets needed to solve problems in a 21</w:t>
      </w:r>
      <w:r w:rsidRPr="005624AC">
        <w:rPr>
          <w:rFonts w:ascii="Arial" w:hAnsi="Arial" w:cs="Arial"/>
          <w:vertAlign w:val="superscript"/>
        </w:rPr>
        <w:t>st</w:t>
      </w:r>
      <w:r w:rsidRPr="005624AC">
        <w:rPr>
          <w:rFonts w:ascii="Arial" w:hAnsi="Arial" w:cs="Arial"/>
        </w:rPr>
        <w:t xml:space="preserve"> century society.</w:t>
      </w:r>
    </w:p>
    <w:p w14:paraId="2D43A8D8" w14:textId="77777777" w:rsidR="00016C24" w:rsidRPr="005624AC" w:rsidRDefault="00016C24" w:rsidP="00C67457">
      <w:pPr>
        <w:rPr>
          <w:rFonts w:ascii="Arial" w:hAnsi="Arial" w:cs="Arial"/>
        </w:rPr>
      </w:pPr>
    </w:p>
    <w:p w14:paraId="17B13419" w14:textId="19611CD5" w:rsidR="00016C24" w:rsidRDefault="00016C24" w:rsidP="00C67457">
      <w:pPr>
        <w:rPr>
          <w:rFonts w:ascii="Arial" w:hAnsi="Arial" w:cs="Arial"/>
        </w:rPr>
      </w:pPr>
      <w:r w:rsidRPr="005624AC">
        <w:rPr>
          <w:rFonts w:ascii="Arial" w:hAnsi="Arial" w:cs="Arial"/>
        </w:rPr>
        <w:t>The refresh of the police and crime plan reflected the Greater Manchester Strategy and the emphasis on place based, multi-agency working, inequalities and the climate emergency. Priorities including the assessment from H</w:t>
      </w:r>
      <w:r w:rsidR="00F765E7">
        <w:rPr>
          <w:rFonts w:ascii="Arial" w:hAnsi="Arial" w:cs="Arial"/>
        </w:rPr>
        <w:t>is</w:t>
      </w:r>
      <w:r w:rsidRPr="005624AC">
        <w:rPr>
          <w:rFonts w:ascii="Arial" w:hAnsi="Arial" w:cs="Arial"/>
        </w:rPr>
        <w:t xml:space="preserve"> Majesty’s Inspectorate of Constabulary and Fire &amp; Rescue (HMICFRS) of policing in Greater Manchester, learning from the COVID-19 pandemic, new ways of working and changes to patterns of need and demand and the Greater Manchester Gender Based Violence Strategy are reflected in the refreshed plan. </w:t>
      </w:r>
    </w:p>
    <w:p w14:paraId="04285D75" w14:textId="77777777" w:rsidR="00016C24" w:rsidRDefault="00016C24" w:rsidP="00016C24">
      <w:pPr>
        <w:jc w:val="both"/>
        <w:rPr>
          <w:rFonts w:ascii="Arial" w:hAnsi="Arial" w:cs="Arial"/>
        </w:rPr>
      </w:pPr>
    </w:p>
    <w:p w14:paraId="1B95F1BA" w14:textId="216AEF90" w:rsidR="00016C24" w:rsidRPr="00E54D9A" w:rsidRDefault="00016C24" w:rsidP="00016C24">
      <w:pPr>
        <w:rPr>
          <w:rFonts w:ascii="Arial" w:eastAsia="Calibri" w:hAnsi="Arial"/>
          <w:sz w:val="22"/>
          <w:szCs w:val="22"/>
          <w:lang w:eastAsia="en-GB"/>
        </w:rPr>
      </w:pPr>
      <w:bookmarkStart w:id="31" w:name="_Hlk109036275"/>
      <w:r w:rsidRPr="00E54D9A">
        <w:rPr>
          <w:rFonts w:ascii="Arial" w:eastAsia="Calibri" w:hAnsi="Arial"/>
          <w:lang w:eastAsia="en-GB"/>
        </w:rPr>
        <w:t xml:space="preserve">For GMP 2021/22 reflected a year of improvement in operational delivery and services to the public. The launch of the Plan </w:t>
      </w:r>
      <w:r w:rsidR="003A3296" w:rsidRPr="00E54D9A">
        <w:rPr>
          <w:rFonts w:ascii="Arial" w:eastAsia="Calibri" w:hAnsi="Arial"/>
          <w:lang w:eastAsia="en-GB"/>
        </w:rPr>
        <w:t>on</w:t>
      </w:r>
      <w:r w:rsidRPr="00E54D9A">
        <w:rPr>
          <w:rFonts w:ascii="Arial" w:eastAsia="Calibri" w:hAnsi="Arial"/>
          <w:lang w:eastAsia="en-GB"/>
        </w:rPr>
        <w:t xml:space="preserve"> A Page (POAP) improvement programme in September 2021 established the basics required to prevent and reduce crime, to keep people safe and to care for victims. The publication of the HMICFRS PEEL inspection in March 2022</w:t>
      </w:r>
      <w:r w:rsidRPr="00E54D9A">
        <w:rPr>
          <w:rFonts w:ascii="Arial" w:hAnsi="Arial" w:cs="Arial"/>
          <w:lang w:eastAsia="en-GB"/>
        </w:rPr>
        <w:t>, whilst highlighting significant improvements are still required,</w:t>
      </w:r>
      <w:r w:rsidRPr="00E54D9A">
        <w:rPr>
          <w:rFonts w:ascii="Arial" w:eastAsia="Calibri" w:hAnsi="Arial"/>
          <w:lang w:eastAsia="en-GB"/>
        </w:rPr>
        <w:t xml:space="preserve"> set out that progress GMP had made since it published its new action plan in September, reflecting the “</w:t>
      </w:r>
      <w:proofErr w:type="spellStart"/>
      <w:r w:rsidRPr="00E54D9A">
        <w:rPr>
          <w:rFonts w:ascii="Arial" w:eastAsia="Calibri" w:hAnsi="Arial"/>
          <w:lang w:eastAsia="en-GB"/>
        </w:rPr>
        <w:t>greenshoots</w:t>
      </w:r>
      <w:proofErr w:type="spellEnd"/>
      <w:r w:rsidRPr="00E54D9A">
        <w:rPr>
          <w:rFonts w:ascii="Arial" w:eastAsia="Calibri" w:hAnsi="Arial"/>
          <w:lang w:eastAsia="en-GB"/>
        </w:rPr>
        <w:t>” of improvement achieved in 2021/22. The workforce has been strengthened during 2021/22 from a net growth in police officer numbers during 2021/22 of 280 and improved leadership and performance management framework.</w:t>
      </w:r>
    </w:p>
    <w:bookmarkEnd w:id="31"/>
    <w:p w14:paraId="62672417" w14:textId="77777777" w:rsidR="00016C24" w:rsidRPr="005624AC" w:rsidRDefault="00016C24" w:rsidP="00016C24">
      <w:pPr>
        <w:pStyle w:val="Default"/>
        <w:rPr>
          <w:rFonts w:eastAsiaTheme="minorHAnsi"/>
          <w:color w:val="auto"/>
        </w:rPr>
      </w:pPr>
    </w:p>
    <w:p w14:paraId="29E0770D" w14:textId="77777777" w:rsidR="00016C24" w:rsidRPr="005624AC" w:rsidRDefault="00016C24" w:rsidP="00016C24">
      <w:pPr>
        <w:pStyle w:val="Default"/>
        <w:rPr>
          <w:color w:val="auto"/>
        </w:rPr>
      </w:pPr>
      <w:r w:rsidRPr="005624AC">
        <w:rPr>
          <w:color w:val="auto"/>
        </w:rPr>
        <w:t>Youth Justice Services work to intervene earlier with young people who displayed offending behaviour to prevent them from getting involved in crime in the first place. The Deputy Mayor for Police and Crime has committed £0.5m per year for three years to support this important work.</w:t>
      </w:r>
    </w:p>
    <w:p w14:paraId="2343E865" w14:textId="77777777" w:rsidR="00016C24" w:rsidRPr="005624AC" w:rsidRDefault="00016C24" w:rsidP="00016C24">
      <w:pPr>
        <w:pStyle w:val="Default"/>
        <w:rPr>
          <w:rFonts w:eastAsiaTheme="minorHAnsi"/>
          <w:color w:val="auto"/>
          <w:lang w:eastAsia="en-US"/>
        </w:rPr>
      </w:pPr>
    </w:p>
    <w:p w14:paraId="7F3726C8" w14:textId="77777777" w:rsidR="00016C24" w:rsidRPr="005624AC" w:rsidRDefault="00016C24" w:rsidP="00016C24">
      <w:pPr>
        <w:pStyle w:val="Normal0"/>
        <w:spacing w:after="160" w:line="240" w:lineRule="auto"/>
        <w:rPr>
          <w:rFonts w:ascii="Arial" w:hAnsi="Arial" w:cs="Arial"/>
          <w:sz w:val="24"/>
          <w:szCs w:val="24"/>
          <w:lang w:val="en-GB"/>
        </w:rPr>
      </w:pPr>
      <w:r w:rsidRPr="005624AC">
        <w:rPr>
          <w:rFonts w:ascii="Arial" w:hAnsi="Arial" w:cs="Arial"/>
          <w:sz w:val="24"/>
          <w:szCs w:val="24"/>
          <w:lang w:val="en-GB"/>
        </w:rPr>
        <w:t xml:space="preserve">Greater Manchester was the first police force area in the country to work with health colleagues to commission jointly an integrated custody healthcare and liaison and diversion service, providing vulnerable people both within custody and at court with the support they need at the right time in the right place. Everyone who comes into custody </w:t>
      </w:r>
      <w:r w:rsidRPr="005624AC">
        <w:rPr>
          <w:rFonts w:ascii="Arial" w:hAnsi="Arial" w:cs="Arial"/>
          <w:sz w:val="24"/>
          <w:szCs w:val="24"/>
          <w:lang w:val="en-GB"/>
        </w:rPr>
        <w:lastRenderedPageBreak/>
        <w:t>has a needs assessment completed which helps to identify and respond to their vulnerabilities, accessing support and interventions, which will help them to reduce their offending.</w:t>
      </w:r>
    </w:p>
    <w:p w14:paraId="01D7BA6D" w14:textId="77777777" w:rsidR="00016C24" w:rsidRPr="005624AC" w:rsidRDefault="00016C24" w:rsidP="00016C24">
      <w:pPr>
        <w:pStyle w:val="Normal0"/>
        <w:spacing w:after="160" w:line="240" w:lineRule="auto"/>
        <w:rPr>
          <w:rFonts w:ascii="Arial" w:hAnsi="Arial" w:cs="Arial"/>
          <w:sz w:val="24"/>
          <w:szCs w:val="24"/>
          <w:lang w:val="en-GB"/>
        </w:rPr>
      </w:pPr>
      <w:r w:rsidRPr="005624AC">
        <w:rPr>
          <w:rFonts w:ascii="Arial" w:hAnsi="Arial" w:cs="Arial"/>
          <w:sz w:val="24"/>
          <w:szCs w:val="24"/>
          <w:lang w:val="en-GB"/>
        </w:rPr>
        <w:t>The police service is working closely with partners to support individuals before they reach crisis point. Supported by a network of health professionals and skilled community volunteers, we have invested in schemes that support both victims of domestic abuse and people who have mental ill health, who may come into the criminal justice system because they are vulnerable and aims to reduce the risk of them coming into contact with the criminal justice system in the future.</w:t>
      </w:r>
    </w:p>
    <w:p w14:paraId="4C178D23" w14:textId="77777777" w:rsidR="00016C24" w:rsidRPr="00A32E4A" w:rsidRDefault="00016C24" w:rsidP="00016C24">
      <w:pPr>
        <w:pStyle w:val="Normal0"/>
        <w:spacing w:after="160" w:line="240" w:lineRule="auto"/>
        <w:rPr>
          <w:rFonts w:ascii="Arial" w:hAnsi="Arial" w:cs="Arial"/>
          <w:sz w:val="24"/>
          <w:szCs w:val="24"/>
          <w:lang w:val="en-GB"/>
        </w:rPr>
      </w:pPr>
      <w:r w:rsidRPr="005624AC">
        <w:rPr>
          <w:rFonts w:ascii="Arial" w:hAnsi="Arial" w:cs="Arial"/>
          <w:sz w:val="24"/>
          <w:szCs w:val="24"/>
          <w:lang w:val="en-GB"/>
        </w:rPr>
        <w:t>The Deputy Mayor works closely with GM Authority Community Safety Partnerships. In 2021/22, over £4m was delegated to Community Safety Partnerships to support delivery of ‘Standing Together’ collectively making our communities safer and more resilient. Part of this funding was ring fenced for supporting communities to contribute to reducing crime and anti-social behaviour in the areas where they live. This meant that more than 70 community groups across Greater Manchester have received funding through their local community safety partnerships and their work has been invaluable to tackling local priorities.</w:t>
      </w:r>
    </w:p>
    <w:p w14:paraId="3E8E51A2" w14:textId="77777777" w:rsidR="00016C24" w:rsidRDefault="00016C24" w:rsidP="00016C24">
      <w:pPr>
        <w:pStyle w:val="Heading3"/>
        <w:spacing w:before="0" w:after="0"/>
        <w:rPr>
          <w:sz w:val="24"/>
          <w:szCs w:val="24"/>
        </w:rPr>
      </w:pPr>
      <w:bookmarkStart w:id="32" w:name="_Toc109922586"/>
      <w:bookmarkStart w:id="33" w:name="_Hlk109049380"/>
      <w:bookmarkStart w:id="34" w:name="_Hlk108780610"/>
      <w:bookmarkEnd w:id="30"/>
      <w:r w:rsidRPr="0053103E">
        <w:rPr>
          <w:sz w:val="24"/>
          <w:szCs w:val="24"/>
        </w:rPr>
        <w:t>Greater Manchester Fire and Rescue Service</w:t>
      </w:r>
      <w:bookmarkEnd w:id="32"/>
    </w:p>
    <w:p w14:paraId="74DE7D21" w14:textId="77777777" w:rsidR="00016C24" w:rsidRPr="0053103E" w:rsidRDefault="00016C24" w:rsidP="00016C24"/>
    <w:p w14:paraId="16734D8E" w14:textId="230794D3" w:rsidR="00016C24" w:rsidRPr="0053103E" w:rsidRDefault="00016C24" w:rsidP="00016C24">
      <w:pPr>
        <w:pStyle w:val="Normal0"/>
        <w:spacing w:line="240" w:lineRule="auto"/>
        <w:rPr>
          <w:rFonts w:ascii="Arial" w:hAnsi="Arial" w:cs="Arial"/>
          <w:sz w:val="24"/>
          <w:szCs w:val="24"/>
        </w:rPr>
      </w:pPr>
      <w:r w:rsidRPr="0053103E">
        <w:rPr>
          <w:rFonts w:ascii="Arial" w:hAnsi="Arial" w:cs="Arial"/>
          <w:sz w:val="24"/>
          <w:szCs w:val="24"/>
        </w:rPr>
        <w:t>Greater Manchester Fire and Rescue Service (GMFRS) is one of the largest Fire and Rescue Services outside London with around 1,800 full time equivalent members of staff and 41 fire stations covering an area of approximately 500</w:t>
      </w:r>
      <w:r w:rsidR="00927C84">
        <w:rPr>
          <w:rFonts w:ascii="Arial" w:hAnsi="Arial" w:cs="Arial"/>
          <w:sz w:val="24"/>
          <w:szCs w:val="24"/>
        </w:rPr>
        <w:t>m</w:t>
      </w:r>
      <w:r w:rsidR="00927C84" w:rsidRPr="00927C84">
        <w:rPr>
          <w:rFonts w:ascii="Arial" w:hAnsi="Arial" w:cs="Arial"/>
          <w:sz w:val="24"/>
          <w:szCs w:val="24"/>
          <w:vertAlign w:val="superscript"/>
        </w:rPr>
        <w:t>2</w:t>
      </w:r>
      <w:r w:rsidRPr="0053103E">
        <w:rPr>
          <w:rFonts w:ascii="Arial" w:hAnsi="Arial" w:cs="Arial"/>
          <w:sz w:val="24"/>
          <w:szCs w:val="24"/>
        </w:rPr>
        <w:t>. GMFRS work closely with the local community to make Greater Manchester a safer place to live, work and visit. GMFRS are also responsible for enforcing fire safety legislations.</w:t>
      </w:r>
    </w:p>
    <w:p w14:paraId="60731015" w14:textId="77777777" w:rsidR="00016C24" w:rsidRDefault="00016C24" w:rsidP="00016C24">
      <w:pPr>
        <w:pStyle w:val="Normal0"/>
        <w:spacing w:line="240" w:lineRule="auto"/>
        <w:rPr>
          <w:rFonts w:ascii="Arial" w:hAnsi="Arial" w:cs="Arial"/>
          <w:sz w:val="24"/>
          <w:szCs w:val="24"/>
        </w:rPr>
      </w:pPr>
    </w:p>
    <w:p w14:paraId="393CEB1E" w14:textId="0FEA4E07" w:rsidR="00016C24" w:rsidRPr="0053103E" w:rsidRDefault="00016C24" w:rsidP="00016C24">
      <w:pPr>
        <w:pStyle w:val="Normal0"/>
        <w:spacing w:line="240" w:lineRule="auto"/>
        <w:rPr>
          <w:rFonts w:ascii="Arial" w:hAnsi="Arial" w:cs="Arial"/>
          <w:sz w:val="24"/>
          <w:szCs w:val="24"/>
        </w:rPr>
      </w:pPr>
      <w:r w:rsidRPr="0053103E">
        <w:rPr>
          <w:rFonts w:ascii="Arial" w:hAnsi="Arial" w:cs="Arial"/>
          <w:sz w:val="24"/>
          <w:szCs w:val="24"/>
        </w:rPr>
        <w:t>The Annual Delivery Plan 2021/22 introduced the new GMFRS Improvement Programme, and was made up of several improvement projects, all aligned to the Mayor’s Fire Plan as the framework to deliver against. The programme focused on improving and investing in the Service, whilst at the same time enabling the organisation to deliver against key elements of the HMICFRS improvement action plan. Our most recent inspection by confirmed we are an evolving and improving service with inspectors reporting a positive shift in the leadership and culture of GMFRS. We will continue to work with HMICFRS to implement further improvements to deliver our statutory core functions extraordinarily well and create an increasingly outward facing fire and rescue service.</w:t>
      </w:r>
    </w:p>
    <w:p w14:paraId="7114B08B" w14:textId="77777777" w:rsidR="00016C24" w:rsidRDefault="00016C24" w:rsidP="00016C24">
      <w:pPr>
        <w:rPr>
          <w:rFonts w:ascii="Arial" w:hAnsi="Arial" w:cs="Arial"/>
        </w:rPr>
      </w:pPr>
    </w:p>
    <w:p w14:paraId="41C5ABBF" w14:textId="77777777" w:rsidR="00016C24" w:rsidRPr="0053103E" w:rsidRDefault="00016C24" w:rsidP="00016C24">
      <w:pPr>
        <w:rPr>
          <w:rFonts w:ascii="Arial" w:hAnsi="Arial" w:cs="Arial"/>
        </w:rPr>
      </w:pPr>
      <w:r>
        <w:rPr>
          <w:rFonts w:ascii="Arial" w:hAnsi="Arial" w:cs="Arial"/>
        </w:rPr>
        <w:t>Over the last</w:t>
      </w:r>
      <w:r w:rsidRPr="0053103E">
        <w:rPr>
          <w:rFonts w:ascii="Arial" w:hAnsi="Arial" w:cs="Arial"/>
        </w:rPr>
        <w:t xml:space="preserve"> year</w:t>
      </w:r>
      <w:r>
        <w:rPr>
          <w:rFonts w:ascii="Arial" w:hAnsi="Arial" w:cs="Arial"/>
        </w:rPr>
        <w:t xml:space="preserve"> there has been a focus on </w:t>
      </w:r>
      <w:r w:rsidRPr="0053103E">
        <w:rPr>
          <w:rFonts w:ascii="Arial" w:hAnsi="Arial" w:cs="Arial"/>
        </w:rPr>
        <w:t>develop</w:t>
      </w:r>
      <w:r>
        <w:rPr>
          <w:rFonts w:ascii="Arial" w:hAnsi="Arial" w:cs="Arial"/>
        </w:rPr>
        <w:t>ing</w:t>
      </w:r>
      <w:r w:rsidRPr="0053103E">
        <w:rPr>
          <w:rFonts w:ascii="Arial" w:hAnsi="Arial" w:cs="Arial"/>
        </w:rPr>
        <w:t xml:space="preserve"> a culture of excellence, equality</w:t>
      </w:r>
      <w:r>
        <w:rPr>
          <w:rFonts w:ascii="Arial" w:hAnsi="Arial" w:cs="Arial"/>
        </w:rPr>
        <w:t xml:space="preserve"> </w:t>
      </w:r>
      <w:r w:rsidRPr="0053103E">
        <w:rPr>
          <w:rFonts w:ascii="Arial" w:hAnsi="Arial" w:cs="Arial"/>
        </w:rPr>
        <w:t xml:space="preserve">and inclusivity </w:t>
      </w:r>
      <w:r>
        <w:rPr>
          <w:rFonts w:ascii="Arial" w:hAnsi="Arial" w:cs="Arial"/>
        </w:rPr>
        <w:t xml:space="preserve">and </w:t>
      </w:r>
      <w:r w:rsidRPr="0053103E">
        <w:rPr>
          <w:rFonts w:ascii="Arial" w:hAnsi="Arial" w:cs="Arial"/>
        </w:rPr>
        <w:t>significant progress has been made against our strategic priorities</w:t>
      </w:r>
      <w:r>
        <w:rPr>
          <w:rFonts w:ascii="Arial" w:hAnsi="Arial" w:cs="Arial"/>
        </w:rPr>
        <w:t>:</w:t>
      </w:r>
    </w:p>
    <w:p w14:paraId="575AA3EA" w14:textId="77777777" w:rsidR="00016C24" w:rsidRPr="0053103E" w:rsidRDefault="00016C24" w:rsidP="00016C24">
      <w:pPr>
        <w:rPr>
          <w:rFonts w:ascii="Arial" w:hAnsi="Arial" w:cs="Arial"/>
          <w:lang w:val="en-US"/>
        </w:rPr>
      </w:pPr>
    </w:p>
    <w:p w14:paraId="4B4F2691" w14:textId="77777777" w:rsidR="00016C24" w:rsidRPr="0053103E" w:rsidRDefault="00016C24" w:rsidP="00016C24">
      <w:pPr>
        <w:pStyle w:val="ListParagraph"/>
        <w:spacing w:after="0" w:line="240" w:lineRule="auto"/>
        <w:ind w:left="0"/>
        <w:rPr>
          <w:rFonts w:ascii="Arial" w:hAnsi="Arial" w:cs="Arial"/>
          <w:b/>
          <w:sz w:val="24"/>
          <w:szCs w:val="24"/>
        </w:rPr>
      </w:pPr>
      <w:r w:rsidRPr="0053103E">
        <w:rPr>
          <w:rFonts w:ascii="Arial" w:hAnsi="Arial" w:cs="Arial"/>
          <w:b/>
          <w:sz w:val="24"/>
          <w:szCs w:val="24"/>
        </w:rPr>
        <w:t xml:space="preserve">Priority 1: </w:t>
      </w:r>
      <w:r w:rsidRPr="0053103E">
        <w:rPr>
          <w:rFonts w:ascii="Arial" w:hAnsi="Arial" w:cs="Arial"/>
          <w:b/>
          <w:bCs/>
          <w:sz w:val="24"/>
          <w:szCs w:val="24"/>
        </w:rPr>
        <w:t>Provide a fast, safe, and effective response</w:t>
      </w:r>
    </w:p>
    <w:p w14:paraId="36876B5B" w14:textId="77777777" w:rsidR="00016C24" w:rsidRPr="0053103E" w:rsidRDefault="00016C24" w:rsidP="00EB27EB">
      <w:pPr>
        <w:pStyle w:val="ListParagraph"/>
        <w:numPr>
          <w:ilvl w:val="0"/>
          <w:numId w:val="70"/>
        </w:numPr>
        <w:spacing w:after="0" w:line="240" w:lineRule="auto"/>
        <w:ind w:left="284" w:hanging="284"/>
        <w:rPr>
          <w:rFonts w:ascii="Arial" w:hAnsi="Arial" w:cs="Arial"/>
          <w:sz w:val="24"/>
          <w:szCs w:val="24"/>
        </w:rPr>
      </w:pPr>
      <w:r w:rsidRPr="0053103E">
        <w:rPr>
          <w:rFonts w:ascii="Arial" w:hAnsi="Arial" w:cs="Arial"/>
          <w:sz w:val="24"/>
          <w:szCs w:val="24"/>
        </w:rPr>
        <w:t>Implemented 999 Eye at North West Fire Control</w:t>
      </w:r>
    </w:p>
    <w:p w14:paraId="042E645E" w14:textId="77777777" w:rsidR="00016C24" w:rsidRPr="0053103E" w:rsidRDefault="00016C24" w:rsidP="00EB27EB">
      <w:pPr>
        <w:pStyle w:val="ListParagraph"/>
        <w:numPr>
          <w:ilvl w:val="0"/>
          <w:numId w:val="70"/>
        </w:numPr>
        <w:spacing w:after="0" w:line="240" w:lineRule="auto"/>
        <w:ind w:left="284" w:hanging="284"/>
        <w:rPr>
          <w:rFonts w:ascii="Arial" w:hAnsi="Arial" w:cs="Arial"/>
          <w:sz w:val="24"/>
          <w:szCs w:val="24"/>
        </w:rPr>
      </w:pPr>
      <w:r w:rsidRPr="0053103E">
        <w:rPr>
          <w:rFonts w:ascii="Arial" w:hAnsi="Arial" w:cs="Arial"/>
          <w:sz w:val="24"/>
          <w:szCs w:val="24"/>
        </w:rPr>
        <w:t xml:space="preserve">Negotiated with the Fire Brigade Union to implement a new </w:t>
      </w:r>
      <w:r>
        <w:rPr>
          <w:rFonts w:ascii="Arial" w:hAnsi="Arial" w:cs="Arial"/>
          <w:sz w:val="24"/>
          <w:szCs w:val="24"/>
        </w:rPr>
        <w:t>‘</w:t>
      </w:r>
      <w:r w:rsidRPr="0053103E">
        <w:rPr>
          <w:rFonts w:ascii="Arial" w:hAnsi="Arial" w:cs="Arial"/>
          <w:sz w:val="24"/>
          <w:szCs w:val="24"/>
        </w:rPr>
        <w:t>Marauding Terrorist Attack</w:t>
      </w:r>
      <w:r>
        <w:rPr>
          <w:rFonts w:ascii="Arial" w:hAnsi="Arial" w:cs="Arial"/>
          <w:sz w:val="24"/>
          <w:szCs w:val="24"/>
        </w:rPr>
        <w:t>’</w:t>
      </w:r>
      <w:r w:rsidRPr="0053103E">
        <w:rPr>
          <w:rFonts w:ascii="Arial" w:hAnsi="Arial" w:cs="Arial"/>
          <w:sz w:val="24"/>
          <w:szCs w:val="24"/>
        </w:rPr>
        <w:t xml:space="preserve"> operating model</w:t>
      </w:r>
    </w:p>
    <w:p w14:paraId="02CD299E" w14:textId="77777777" w:rsidR="00016C24" w:rsidRPr="0053103E" w:rsidRDefault="00016C24" w:rsidP="00EB27EB">
      <w:pPr>
        <w:pStyle w:val="ListParagraph"/>
        <w:numPr>
          <w:ilvl w:val="0"/>
          <w:numId w:val="70"/>
        </w:numPr>
        <w:spacing w:after="0" w:line="240" w:lineRule="auto"/>
        <w:ind w:left="284" w:hanging="284"/>
        <w:rPr>
          <w:rFonts w:ascii="Arial" w:hAnsi="Arial" w:cs="Arial"/>
          <w:sz w:val="24"/>
          <w:szCs w:val="24"/>
        </w:rPr>
      </w:pPr>
      <w:r w:rsidRPr="0053103E">
        <w:rPr>
          <w:rFonts w:ascii="Arial" w:hAnsi="Arial" w:cs="Arial"/>
          <w:sz w:val="24"/>
          <w:szCs w:val="24"/>
        </w:rPr>
        <w:t>Implemented Flexile Day Crewing</w:t>
      </w:r>
    </w:p>
    <w:p w14:paraId="13C2401C" w14:textId="77777777" w:rsidR="00016C24" w:rsidRPr="0053103E" w:rsidRDefault="00016C24" w:rsidP="00EB27EB">
      <w:pPr>
        <w:pStyle w:val="ListParagraph"/>
        <w:numPr>
          <w:ilvl w:val="0"/>
          <w:numId w:val="70"/>
        </w:numPr>
        <w:spacing w:after="0" w:line="240" w:lineRule="auto"/>
        <w:ind w:left="284" w:hanging="284"/>
        <w:rPr>
          <w:rFonts w:ascii="Arial" w:hAnsi="Arial" w:cs="Arial"/>
          <w:sz w:val="24"/>
          <w:szCs w:val="24"/>
        </w:rPr>
      </w:pPr>
      <w:r w:rsidRPr="0053103E">
        <w:rPr>
          <w:rFonts w:ascii="Arial" w:hAnsi="Arial" w:cs="Arial"/>
          <w:sz w:val="24"/>
          <w:szCs w:val="24"/>
        </w:rPr>
        <w:t>Successful rollout of new Mobile Data Terminals across all fire appliances</w:t>
      </w:r>
    </w:p>
    <w:p w14:paraId="1E221E02" w14:textId="77777777" w:rsidR="00016C24" w:rsidRPr="0053103E" w:rsidRDefault="00016C24" w:rsidP="00EB27EB">
      <w:pPr>
        <w:pStyle w:val="ListParagraph"/>
        <w:numPr>
          <w:ilvl w:val="0"/>
          <w:numId w:val="70"/>
        </w:numPr>
        <w:spacing w:after="0" w:line="240" w:lineRule="auto"/>
        <w:ind w:left="284" w:hanging="284"/>
        <w:rPr>
          <w:rFonts w:ascii="Arial" w:hAnsi="Arial" w:cs="Arial"/>
          <w:sz w:val="24"/>
          <w:szCs w:val="24"/>
        </w:rPr>
      </w:pPr>
      <w:r w:rsidRPr="0053103E">
        <w:rPr>
          <w:rFonts w:ascii="Arial" w:hAnsi="Arial" w:cs="Arial"/>
          <w:sz w:val="24"/>
          <w:szCs w:val="24"/>
        </w:rPr>
        <w:t xml:space="preserve">Invested in new appliances </w:t>
      </w:r>
    </w:p>
    <w:p w14:paraId="1DE6072C" w14:textId="77777777" w:rsidR="00016C24" w:rsidRPr="0053103E" w:rsidRDefault="00016C24" w:rsidP="00EB27EB">
      <w:pPr>
        <w:pStyle w:val="ListParagraph"/>
        <w:numPr>
          <w:ilvl w:val="0"/>
          <w:numId w:val="70"/>
        </w:numPr>
        <w:spacing w:after="0" w:line="240" w:lineRule="auto"/>
        <w:ind w:left="284" w:hanging="284"/>
        <w:rPr>
          <w:rFonts w:ascii="Arial" w:hAnsi="Arial" w:cs="Arial"/>
          <w:sz w:val="24"/>
          <w:szCs w:val="24"/>
        </w:rPr>
      </w:pPr>
      <w:r w:rsidRPr="0053103E">
        <w:rPr>
          <w:rFonts w:ascii="Arial" w:hAnsi="Arial" w:cs="Arial"/>
          <w:sz w:val="24"/>
          <w:szCs w:val="24"/>
        </w:rPr>
        <w:t>Delivered High Rise Training, testing new equipment and involving wider stakeholders</w:t>
      </w:r>
    </w:p>
    <w:p w14:paraId="1CADF1A9" w14:textId="77777777" w:rsidR="00016C24" w:rsidRPr="0053103E" w:rsidRDefault="00016C24" w:rsidP="00EB27EB">
      <w:pPr>
        <w:pStyle w:val="ListParagraph"/>
        <w:numPr>
          <w:ilvl w:val="0"/>
          <w:numId w:val="70"/>
        </w:numPr>
        <w:spacing w:after="0" w:line="240" w:lineRule="auto"/>
        <w:ind w:left="284" w:hanging="284"/>
        <w:rPr>
          <w:rFonts w:ascii="Arial" w:hAnsi="Arial" w:cs="Arial"/>
          <w:sz w:val="24"/>
          <w:szCs w:val="24"/>
        </w:rPr>
      </w:pPr>
      <w:r w:rsidRPr="0053103E">
        <w:rPr>
          <w:rFonts w:ascii="Arial" w:hAnsi="Arial" w:cs="Arial"/>
          <w:sz w:val="24"/>
          <w:szCs w:val="24"/>
        </w:rPr>
        <w:t xml:space="preserve">Developed Training Strategy and successfully implemented Year 1 </w:t>
      </w:r>
    </w:p>
    <w:p w14:paraId="581CAF98" w14:textId="77777777" w:rsidR="00016C24" w:rsidRPr="0053103E" w:rsidRDefault="00016C24" w:rsidP="00016C24">
      <w:pPr>
        <w:ind w:left="785"/>
        <w:rPr>
          <w:rFonts w:ascii="Arial" w:hAnsi="Arial" w:cs="Arial"/>
        </w:rPr>
      </w:pPr>
    </w:p>
    <w:p w14:paraId="5F8933D5" w14:textId="77777777" w:rsidR="00016C24" w:rsidRPr="0053103E" w:rsidRDefault="00016C24" w:rsidP="00016C24">
      <w:pPr>
        <w:pStyle w:val="ListParagraph"/>
        <w:spacing w:after="0" w:line="240" w:lineRule="auto"/>
        <w:ind w:left="0"/>
        <w:rPr>
          <w:rFonts w:ascii="Arial" w:hAnsi="Arial" w:cs="Arial"/>
          <w:b/>
          <w:sz w:val="24"/>
          <w:szCs w:val="24"/>
        </w:rPr>
      </w:pPr>
      <w:r w:rsidRPr="0053103E">
        <w:rPr>
          <w:rFonts w:ascii="Arial" w:hAnsi="Arial" w:cs="Arial"/>
          <w:b/>
          <w:sz w:val="24"/>
          <w:szCs w:val="24"/>
        </w:rPr>
        <w:lastRenderedPageBreak/>
        <w:t xml:space="preserve">Priority 2: </w:t>
      </w:r>
      <w:r w:rsidRPr="0053103E">
        <w:rPr>
          <w:rFonts w:ascii="Arial" w:hAnsi="Arial" w:cs="Arial"/>
          <w:b/>
          <w:bCs/>
          <w:sz w:val="24"/>
          <w:szCs w:val="24"/>
        </w:rPr>
        <w:t>Help people reduce the risk of fires and other emergencies</w:t>
      </w:r>
    </w:p>
    <w:p w14:paraId="2D965583" w14:textId="77777777" w:rsidR="00016C24" w:rsidRPr="0053103E" w:rsidRDefault="00016C24" w:rsidP="00EB27EB">
      <w:pPr>
        <w:pStyle w:val="ListParagraph"/>
        <w:numPr>
          <w:ilvl w:val="0"/>
          <w:numId w:val="71"/>
        </w:numPr>
        <w:spacing w:after="0" w:line="240" w:lineRule="auto"/>
        <w:ind w:left="284" w:hanging="284"/>
        <w:rPr>
          <w:rFonts w:ascii="Arial" w:eastAsiaTheme="minorEastAsia" w:hAnsi="Arial" w:cs="Arial"/>
          <w:sz w:val="24"/>
          <w:szCs w:val="24"/>
        </w:rPr>
      </w:pPr>
      <w:r w:rsidRPr="0053103E">
        <w:rPr>
          <w:rFonts w:ascii="Arial" w:hAnsi="Arial" w:cs="Arial"/>
          <w:sz w:val="24"/>
          <w:szCs w:val="24"/>
        </w:rPr>
        <w:t>Designed and introduced the H</w:t>
      </w:r>
      <w:r>
        <w:rPr>
          <w:rFonts w:ascii="Arial" w:hAnsi="Arial" w:cs="Arial"/>
          <w:sz w:val="24"/>
          <w:szCs w:val="24"/>
        </w:rPr>
        <w:t xml:space="preserve">ome </w:t>
      </w:r>
      <w:r w:rsidRPr="0053103E">
        <w:rPr>
          <w:rFonts w:ascii="Arial" w:hAnsi="Arial" w:cs="Arial"/>
          <w:sz w:val="24"/>
          <w:szCs w:val="24"/>
        </w:rPr>
        <w:t>F</w:t>
      </w:r>
      <w:r>
        <w:rPr>
          <w:rFonts w:ascii="Arial" w:hAnsi="Arial" w:cs="Arial"/>
          <w:sz w:val="24"/>
          <w:szCs w:val="24"/>
        </w:rPr>
        <w:t xml:space="preserve">ire </w:t>
      </w:r>
      <w:r w:rsidRPr="0053103E">
        <w:rPr>
          <w:rFonts w:ascii="Arial" w:hAnsi="Arial" w:cs="Arial"/>
          <w:sz w:val="24"/>
          <w:szCs w:val="24"/>
        </w:rPr>
        <w:t>S</w:t>
      </w:r>
      <w:r>
        <w:rPr>
          <w:rFonts w:ascii="Arial" w:hAnsi="Arial" w:cs="Arial"/>
          <w:sz w:val="24"/>
          <w:szCs w:val="24"/>
        </w:rPr>
        <w:t xml:space="preserve">afety </w:t>
      </w:r>
      <w:r w:rsidRPr="0053103E">
        <w:rPr>
          <w:rFonts w:ascii="Arial" w:hAnsi="Arial" w:cs="Arial"/>
          <w:sz w:val="24"/>
          <w:szCs w:val="24"/>
        </w:rPr>
        <w:t>A</w:t>
      </w:r>
      <w:r>
        <w:rPr>
          <w:rFonts w:ascii="Arial" w:hAnsi="Arial" w:cs="Arial"/>
          <w:sz w:val="24"/>
          <w:szCs w:val="24"/>
        </w:rPr>
        <w:t>ssessment</w:t>
      </w:r>
    </w:p>
    <w:p w14:paraId="7B5B41FA" w14:textId="77777777" w:rsidR="00016C24" w:rsidRPr="0053103E" w:rsidRDefault="00016C24" w:rsidP="00EB27EB">
      <w:pPr>
        <w:pStyle w:val="ListParagraph"/>
        <w:numPr>
          <w:ilvl w:val="0"/>
          <w:numId w:val="71"/>
        </w:numPr>
        <w:spacing w:after="0" w:line="240" w:lineRule="auto"/>
        <w:ind w:left="284" w:hanging="284"/>
        <w:rPr>
          <w:rFonts w:ascii="Arial" w:eastAsiaTheme="minorEastAsia" w:hAnsi="Arial" w:cs="Arial"/>
          <w:sz w:val="24"/>
          <w:szCs w:val="24"/>
        </w:rPr>
      </w:pPr>
      <w:r w:rsidRPr="0053103E">
        <w:rPr>
          <w:rFonts w:ascii="Arial" w:hAnsi="Arial" w:cs="Arial"/>
          <w:sz w:val="24"/>
          <w:szCs w:val="24"/>
        </w:rPr>
        <w:t>Undertook a review of prevention campaigns and messaging</w:t>
      </w:r>
    </w:p>
    <w:p w14:paraId="76FF0748" w14:textId="2AC02AA0" w:rsidR="00016C24" w:rsidRPr="0053103E" w:rsidRDefault="00016C24" w:rsidP="00EB27EB">
      <w:pPr>
        <w:pStyle w:val="ListParagraph"/>
        <w:numPr>
          <w:ilvl w:val="0"/>
          <w:numId w:val="71"/>
        </w:numPr>
        <w:spacing w:after="0" w:line="240" w:lineRule="auto"/>
        <w:ind w:left="284" w:hanging="284"/>
        <w:rPr>
          <w:rFonts w:ascii="Arial" w:eastAsiaTheme="minorEastAsia" w:hAnsi="Arial" w:cs="Arial"/>
          <w:sz w:val="24"/>
          <w:szCs w:val="24"/>
        </w:rPr>
      </w:pPr>
      <w:r w:rsidRPr="0053103E">
        <w:rPr>
          <w:rFonts w:ascii="Arial" w:hAnsi="Arial" w:cs="Arial"/>
          <w:sz w:val="24"/>
          <w:szCs w:val="24"/>
        </w:rPr>
        <w:t>Published Prevention Education offer</w:t>
      </w:r>
    </w:p>
    <w:p w14:paraId="30C751EA" w14:textId="77777777" w:rsidR="00016C24" w:rsidRPr="0053103E" w:rsidRDefault="00016C24" w:rsidP="00016C24">
      <w:pPr>
        <w:ind w:left="785"/>
        <w:rPr>
          <w:rFonts w:ascii="Arial" w:hAnsi="Arial" w:cs="Arial"/>
        </w:rPr>
      </w:pPr>
    </w:p>
    <w:p w14:paraId="699E421E" w14:textId="77777777" w:rsidR="00016C24" w:rsidRPr="0053103E" w:rsidRDefault="00016C24" w:rsidP="00016C24">
      <w:pPr>
        <w:pStyle w:val="ListParagraph"/>
        <w:spacing w:after="0" w:line="240" w:lineRule="auto"/>
        <w:ind w:left="0"/>
        <w:rPr>
          <w:rFonts w:ascii="Arial" w:hAnsi="Arial" w:cs="Arial"/>
          <w:b/>
          <w:bCs/>
          <w:sz w:val="24"/>
          <w:szCs w:val="24"/>
        </w:rPr>
      </w:pPr>
      <w:r w:rsidRPr="0053103E">
        <w:rPr>
          <w:rFonts w:ascii="Arial" w:hAnsi="Arial" w:cs="Arial"/>
          <w:b/>
          <w:sz w:val="24"/>
          <w:szCs w:val="24"/>
        </w:rPr>
        <w:t xml:space="preserve">Priority 3: </w:t>
      </w:r>
      <w:r w:rsidRPr="0053103E">
        <w:rPr>
          <w:rFonts w:ascii="Arial" w:hAnsi="Arial" w:cs="Arial"/>
          <w:b/>
          <w:bCs/>
          <w:sz w:val="24"/>
          <w:szCs w:val="24"/>
        </w:rPr>
        <w:t>Help protect the built environment</w:t>
      </w:r>
    </w:p>
    <w:p w14:paraId="775B5701" w14:textId="77777777" w:rsidR="00016C24" w:rsidRPr="0053103E" w:rsidRDefault="00016C24" w:rsidP="00EB27EB">
      <w:pPr>
        <w:pStyle w:val="ListParagraph"/>
        <w:numPr>
          <w:ilvl w:val="0"/>
          <w:numId w:val="72"/>
        </w:numPr>
        <w:spacing w:after="0" w:line="240" w:lineRule="auto"/>
        <w:ind w:left="284" w:hanging="284"/>
        <w:rPr>
          <w:rFonts w:ascii="Arial" w:hAnsi="Arial" w:cs="Arial"/>
          <w:b/>
          <w:sz w:val="24"/>
          <w:szCs w:val="24"/>
        </w:rPr>
      </w:pPr>
      <w:r w:rsidRPr="0053103E">
        <w:rPr>
          <w:rFonts w:ascii="Arial" w:hAnsi="Arial" w:cs="Arial"/>
          <w:sz w:val="24"/>
          <w:szCs w:val="24"/>
        </w:rPr>
        <w:t>Implemented a Service Wide action plan in response to learnings from Grenfell and The Cube</w:t>
      </w:r>
    </w:p>
    <w:p w14:paraId="0625C6F7" w14:textId="77777777" w:rsidR="00016C24" w:rsidRPr="0053103E" w:rsidRDefault="00016C24" w:rsidP="00EB27EB">
      <w:pPr>
        <w:pStyle w:val="ListParagraph"/>
        <w:numPr>
          <w:ilvl w:val="0"/>
          <w:numId w:val="72"/>
        </w:numPr>
        <w:spacing w:after="0" w:line="240" w:lineRule="auto"/>
        <w:ind w:left="284" w:hanging="284"/>
        <w:rPr>
          <w:rFonts w:ascii="Arial" w:hAnsi="Arial" w:cs="Arial"/>
          <w:b/>
          <w:sz w:val="24"/>
          <w:szCs w:val="24"/>
        </w:rPr>
      </w:pPr>
      <w:r w:rsidRPr="0053103E">
        <w:rPr>
          <w:rFonts w:ascii="Arial" w:hAnsi="Arial" w:cs="Arial"/>
          <w:sz w:val="24"/>
          <w:szCs w:val="24"/>
        </w:rPr>
        <w:t>High Rise Training exercises delivered for operational crews</w:t>
      </w:r>
    </w:p>
    <w:p w14:paraId="724EA01C" w14:textId="77777777" w:rsidR="00016C24" w:rsidRPr="0053103E" w:rsidRDefault="00016C24" w:rsidP="00EB27EB">
      <w:pPr>
        <w:pStyle w:val="ListParagraph"/>
        <w:numPr>
          <w:ilvl w:val="0"/>
          <w:numId w:val="72"/>
        </w:numPr>
        <w:spacing w:after="0" w:line="240" w:lineRule="auto"/>
        <w:ind w:left="284" w:hanging="284"/>
        <w:rPr>
          <w:rFonts w:ascii="Arial" w:hAnsi="Arial" w:cs="Arial"/>
          <w:b/>
          <w:sz w:val="24"/>
          <w:szCs w:val="24"/>
        </w:rPr>
      </w:pPr>
      <w:r w:rsidRPr="0053103E">
        <w:rPr>
          <w:rFonts w:ascii="Arial" w:hAnsi="Arial" w:cs="Arial"/>
          <w:sz w:val="24"/>
          <w:szCs w:val="24"/>
        </w:rPr>
        <w:t>Implemented Level 1 Fire Investigation Training</w:t>
      </w:r>
    </w:p>
    <w:p w14:paraId="4D613CB8" w14:textId="77777777" w:rsidR="00016C24" w:rsidRPr="0053103E" w:rsidRDefault="00016C24" w:rsidP="00EB27EB">
      <w:pPr>
        <w:pStyle w:val="ListParagraph"/>
        <w:numPr>
          <w:ilvl w:val="0"/>
          <w:numId w:val="72"/>
        </w:numPr>
        <w:spacing w:after="0" w:line="240" w:lineRule="auto"/>
        <w:ind w:left="284" w:hanging="284"/>
        <w:rPr>
          <w:rFonts w:ascii="Arial" w:hAnsi="Arial" w:cs="Arial"/>
          <w:b/>
          <w:sz w:val="24"/>
          <w:szCs w:val="24"/>
        </w:rPr>
      </w:pPr>
      <w:r w:rsidRPr="0053103E">
        <w:rPr>
          <w:rFonts w:ascii="Arial" w:hAnsi="Arial" w:cs="Arial"/>
          <w:sz w:val="24"/>
          <w:szCs w:val="24"/>
        </w:rPr>
        <w:t>Delivered Protection Awareness Training to operational crews</w:t>
      </w:r>
    </w:p>
    <w:p w14:paraId="26634413" w14:textId="77777777" w:rsidR="00016C24" w:rsidRPr="0053103E" w:rsidRDefault="00016C24" w:rsidP="00EB27EB">
      <w:pPr>
        <w:pStyle w:val="ListParagraph"/>
        <w:numPr>
          <w:ilvl w:val="0"/>
          <w:numId w:val="72"/>
        </w:numPr>
        <w:spacing w:after="0" w:line="240" w:lineRule="auto"/>
        <w:ind w:left="284" w:hanging="284"/>
        <w:rPr>
          <w:rFonts w:ascii="Arial" w:hAnsi="Arial" w:cs="Arial"/>
          <w:b/>
          <w:sz w:val="24"/>
          <w:szCs w:val="24"/>
        </w:rPr>
      </w:pPr>
      <w:r w:rsidRPr="0053103E">
        <w:rPr>
          <w:rFonts w:ascii="Arial" w:hAnsi="Arial" w:cs="Arial"/>
          <w:sz w:val="24"/>
          <w:szCs w:val="24"/>
        </w:rPr>
        <w:t>Partnership engagement via Department of Levelling Up and the Home Office</w:t>
      </w:r>
    </w:p>
    <w:p w14:paraId="49374F97" w14:textId="77777777" w:rsidR="00016C24" w:rsidRPr="0053103E" w:rsidRDefault="00016C24" w:rsidP="00EB27EB">
      <w:pPr>
        <w:pStyle w:val="ListParagraph"/>
        <w:numPr>
          <w:ilvl w:val="0"/>
          <w:numId w:val="72"/>
        </w:numPr>
        <w:spacing w:after="0" w:line="240" w:lineRule="auto"/>
        <w:ind w:left="284" w:hanging="284"/>
        <w:rPr>
          <w:rFonts w:ascii="Arial" w:hAnsi="Arial" w:cs="Arial"/>
          <w:b/>
          <w:sz w:val="24"/>
          <w:szCs w:val="24"/>
        </w:rPr>
      </w:pPr>
      <w:r w:rsidRPr="0053103E">
        <w:rPr>
          <w:rFonts w:ascii="Arial" w:hAnsi="Arial" w:cs="Arial"/>
          <w:sz w:val="24"/>
          <w:szCs w:val="24"/>
        </w:rPr>
        <w:t>Continued leadership on the N</w:t>
      </w:r>
      <w:r>
        <w:rPr>
          <w:rFonts w:ascii="Arial" w:hAnsi="Arial" w:cs="Arial"/>
          <w:sz w:val="24"/>
          <w:szCs w:val="24"/>
        </w:rPr>
        <w:t xml:space="preserve">ational </w:t>
      </w:r>
      <w:r w:rsidRPr="0053103E">
        <w:rPr>
          <w:rFonts w:ascii="Arial" w:hAnsi="Arial" w:cs="Arial"/>
          <w:sz w:val="24"/>
          <w:szCs w:val="24"/>
        </w:rPr>
        <w:t>F</w:t>
      </w:r>
      <w:r>
        <w:rPr>
          <w:rFonts w:ascii="Arial" w:hAnsi="Arial" w:cs="Arial"/>
          <w:sz w:val="24"/>
          <w:szCs w:val="24"/>
        </w:rPr>
        <w:t xml:space="preserve">ire </w:t>
      </w:r>
      <w:r w:rsidRPr="0053103E">
        <w:rPr>
          <w:rFonts w:ascii="Arial" w:hAnsi="Arial" w:cs="Arial"/>
          <w:sz w:val="24"/>
          <w:szCs w:val="24"/>
        </w:rPr>
        <w:t>C</w:t>
      </w:r>
      <w:r>
        <w:rPr>
          <w:rFonts w:ascii="Arial" w:hAnsi="Arial" w:cs="Arial"/>
          <w:sz w:val="24"/>
          <w:szCs w:val="24"/>
        </w:rPr>
        <w:t xml:space="preserve">hief </w:t>
      </w:r>
      <w:r w:rsidRPr="0053103E">
        <w:rPr>
          <w:rFonts w:ascii="Arial" w:hAnsi="Arial" w:cs="Arial"/>
          <w:sz w:val="24"/>
          <w:szCs w:val="24"/>
        </w:rPr>
        <w:t>C</w:t>
      </w:r>
      <w:r>
        <w:rPr>
          <w:rFonts w:ascii="Arial" w:hAnsi="Arial" w:cs="Arial"/>
          <w:sz w:val="24"/>
          <w:szCs w:val="24"/>
        </w:rPr>
        <w:t>ouncil</w:t>
      </w:r>
      <w:r w:rsidRPr="0053103E">
        <w:rPr>
          <w:rFonts w:ascii="Arial" w:hAnsi="Arial" w:cs="Arial"/>
          <w:sz w:val="24"/>
          <w:szCs w:val="24"/>
        </w:rPr>
        <w:t xml:space="preserve"> North West Operations / Resilience Committee workstream</w:t>
      </w:r>
    </w:p>
    <w:p w14:paraId="69F520A8" w14:textId="77777777" w:rsidR="00016C24" w:rsidRPr="0053103E" w:rsidRDefault="00016C24" w:rsidP="00EB27EB">
      <w:pPr>
        <w:pStyle w:val="ListParagraph"/>
        <w:numPr>
          <w:ilvl w:val="0"/>
          <w:numId w:val="72"/>
        </w:numPr>
        <w:spacing w:after="0" w:line="240" w:lineRule="auto"/>
        <w:ind w:left="284" w:hanging="284"/>
        <w:rPr>
          <w:rFonts w:ascii="Arial" w:hAnsi="Arial" w:cs="Arial"/>
          <w:b/>
          <w:sz w:val="24"/>
          <w:szCs w:val="24"/>
        </w:rPr>
      </w:pPr>
      <w:r w:rsidRPr="0053103E">
        <w:rPr>
          <w:rFonts w:ascii="Arial" w:hAnsi="Arial" w:cs="Arial"/>
          <w:sz w:val="24"/>
          <w:szCs w:val="24"/>
        </w:rPr>
        <w:t>Continued support to Greater Manchester High Rise Task Force and engagement with communities in GMFRS</w:t>
      </w:r>
    </w:p>
    <w:p w14:paraId="7BF2ADD6" w14:textId="77777777" w:rsidR="00016C24" w:rsidRPr="0053103E" w:rsidRDefault="00016C24" w:rsidP="00016C24">
      <w:pPr>
        <w:pStyle w:val="ListParagraph"/>
        <w:spacing w:after="0" w:line="240" w:lineRule="auto"/>
        <w:ind w:left="0"/>
        <w:rPr>
          <w:rFonts w:ascii="Arial" w:hAnsi="Arial" w:cs="Arial"/>
          <w:b/>
          <w:sz w:val="24"/>
          <w:szCs w:val="24"/>
        </w:rPr>
      </w:pPr>
    </w:p>
    <w:p w14:paraId="2803DEA8" w14:textId="77777777" w:rsidR="00016C24" w:rsidRPr="0053103E" w:rsidRDefault="00016C24" w:rsidP="00016C24">
      <w:pPr>
        <w:pStyle w:val="ListParagraph"/>
        <w:spacing w:after="0" w:line="240" w:lineRule="auto"/>
        <w:ind w:left="0"/>
        <w:rPr>
          <w:rFonts w:ascii="Arial" w:hAnsi="Arial" w:cs="Arial"/>
          <w:b/>
          <w:sz w:val="24"/>
          <w:szCs w:val="24"/>
        </w:rPr>
      </w:pPr>
      <w:r w:rsidRPr="0053103E">
        <w:rPr>
          <w:rFonts w:ascii="Arial" w:hAnsi="Arial" w:cs="Arial"/>
          <w:b/>
          <w:sz w:val="24"/>
          <w:szCs w:val="24"/>
        </w:rPr>
        <w:t>Priority 4: Use resources sustainably and deliver the most value</w:t>
      </w:r>
    </w:p>
    <w:p w14:paraId="3781ACDF" w14:textId="77777777" w:rsidR="00016C24" w:rsidRPr="0053103E" w:rsidRDefault="00016C24" w:rsidP="00EB27EB">
      <w:pPr>
        <w:pStyle w:val="ListParagraph"/>
        <w:numPr>
          <w:ilvl w:val="0"/>
          <w:numId w:val="73"/>
        </w:numPr>
        <w:spacing w:after="0" w:line="240" w:lineRule="auto"/>
        <w:ind w:left="284" w:hanging="284"/>
        <w:rPr>
          <w:rFonts w:ascii="Arial" w:hAnsi="Arial" w:cs="Arial"/>
          <w:sz w:val="24"/>
          <w:szCs w:val="24"/>
        </w:rPr>
      </w:pPr>
      <w:r w:rsidRPr="0053103E">
        <w:rPr>
          <w:rFonts w:ascii="Arial" w:hAnsi="Arial" w:cs="Arial"/>
          <w:sz w:val="24"/>
          <w:szCs w:val="24"/>
        </w:rPr>
        <w:t>Achieved financial savings of £2.9m</w:t>
      </w:r>
    </w:p>
    <w:p w14:paraId="04D1B8B0" w14:textId="77777777" w:rsidR="00016C24" w:rsidRPr="0053103E" w:rsidRDefault="00016C24" w:rsidP="00EB27EB">
      <w:pPr>
        <w:pStyle w:val="ListParagraph"/>
        <w:numPr>
          <w:ilvl w:val="0"/>
          <w:numId w:val="73"/>
        </w:numPr>
        <w:spacing w:after="0" w:line="240" w:lineRule="auto"/>
        <w:ind w:left="284" w:hanging="284"/>
        <w:rPr>
          <w:rFonts w:ascii="Arial" w:hAnsi="Arial" w:cs="Arial"/>
          <w:sz w:val="24"/>
          <w:szCs w:val="24"/>
        </w:rPr>
      </w:pPr>
      <w:r w:rsidRPr="0053103E">
        <w:rPr>
          <w:rFonts w:ascii="Arial" w:hAnsi="Arial" w:cs="Arial"/>
          <w:sz w:val="24"/>
          <w:szCs w:val="24"/>
        </w:rPr>
        <w:t>Gained approval of the Sustainability Strategy and developed a steering group</w:t>
      </w:r>
    </w:p>
    <w:p w14:paraId="7CA6EAF6" w14:textId="77777777" w:rsidR="00016C24" w:rsidRPr="0053103E" w:rsidRDefault="00016C24" w:rsidP="00EB27EB">
      <w:pPr>
        <w:pStyle w:val="ListParagraph"/>
        <w:numPr>
          <w:ilvl w:val="0"/>
          <w:numId w:val="73"/>
        </w:numPr>
        <w:spacing w:after="0" w:line="240" w:lineRule="auto"/>
        <w:ind w:left="284" w:hanging="284"/>
        <w:rPr>
          <w:rFonts w:ascii="Arial" w:hAnsi="Arial" w:cs="Arial"/>
          <w:sz w:val="24"/>
          <w:szCs w:val="24"/>
        </w:rPr>
      </w:pPr>
      <w:r w:rsidRPr="0053103E">
        <w:rPr>
          <w:rFonts w:ascii="Arial" w:hAnsi="Arial" w:cs="Arial"/>
          <w:sz w:val="24"/>
          <w:szCs w:val="24"/>
        </w:rPr>
        <w:t>LED’s schemes were implemented at 18 Fire Stations as part of the Carbon reduction scheme</w:t>
      </w:r>
    </w:p>
    <w:p w14:paraId="2A90D3F5" w14:textId="77777777" w:rsidR="00016C24" w:rsidRDefault="00016C24" w:rsidP="00EB27EB">
      <w:pPr>
        <w:pStyle w:val="ListParagraph"/>
        <w:numPr>
          <w:ilvl w:val="0"/>
          <w:numId w:val="73"/>
        </w:numPr>
        <w:spacing w:after="0" w:line="240" w:lineRule="auto"/>
        <w:ind w:left="284" w:hanging="284"/>
        <w:rPr>
          <w:rFonts w:ascii="Arial" w:hAnsi="Arial" w:cs="Arial"/>
          <w:sz w:val="24"/>
          <w:szCs w:val="24"/>
        </w:rPr>
      </w:pPr>
      <w:r>
        <w:rPr>
          <w:rFonts w:ascii="Arial" w:hAnsi="Arial" w:cs="Arial"/>
          <w:sz w:val="24"/>
          <w:szCs w:val="24"/>
        </w:rPr>
        <w:t>Delivered schemes through the Public Sector Decarbonisation programme</w:t>
      </w:r>
    </w:p>
    <w:p w14:paraId="112029C2" w14:textId="77777777" w:rsidR="00016C24" w:rsidRPr="0053103E" w:rsidRDefault="00016C24" w:rsidP="00EB27EB">
      <w:pPr>
        <w:pStyle w:val="ListParagraph"/>
        <w:numPr>
          <w:ilvl w:val="0"/>
          <w:numId w:val="73"/>
        </w:numPr>
        <w:spacing w:after="0" w:line="240" w:lineRule="auto"/>
        <w:ind w:left="284" w:hanging="284"/>
        <w:rPr>
          <w:rFonts w:ascii="Arial" w:hAnsi="Arial" w:cs="Arial"/>
          <w:sz w:val="24"/>
          <w:szCs w:val="24"/>
        </w:rPr>
      </w:pPr>
      <w:r w:rsidRPr="0053103E">
        <w:rPr>
          <w:rFonts w:ascii="Arial" w:hAnsi="Arial" w:cs="Arial"/>
          <w:sz w:val="24"/>
          <w:szCs w:val="24"/>
        </w:rPr>
        <w:t>Successfully delivered the Ramsbottom Housing Refurbishment</w:t>
      </w:r>
    </w:p>
    <w:p w14:paraId="19EEC375" w14:textId="77777777" w:rsidR="00016C24" w:rsidRPr="0053103E" w:rsidRDefault="00016C24" w:rsidP="00016C24">
      <w:pPr>
        <w:ind w:left="66"/>
        <w:rPr>
          <w:rFonts w:ascii="Arial" w:hAnsi="Arial" w:cs="Arial"/>
        </w:rPr>
      </w:pPr>
    </w:p>
    <w:p w14:paraId="77CD1A05" w14:textId="77777777" w:rsidR="00016C24" w:rsidRPr="0053103E" w:rsidRDefault="00016C24" w:rsidP="00016C24">
      <w:pPr>
        <w:pStyle w:val="NoSpacing"/>
        <w:rPr>
          <w:rFonts w:ascii="Arial" w:hAnsi="Arial" w:cs="Arial"/>
          <w:b/>
          <w:sz w:val="24"/>
          <w:szCs w:val="24"/>
        </w:rPr>
      </w:pPr>
      <w:r w:rsidRPr="0053103E">
        <w:rPr>
          <w:rFonts w:ascii="Arial" w:hAnsi="Arial" w:cs="Arial"/>
          <w:b/>
          <w:sz w:val="24"/>
          <w:szCs w:val="24"/>
        </w:rPr>
        <w:t xml:space="preserve">Priority 5: </w:t>
      </w:r>
      <w:r w:rsidRPr="0053103E">
        <w:rPr>
          <w:rFonts w:ascii="Arial" w:hAnsi="Arial" w:cs="Arial"/>
          <w:b/>
          <w:bCs/>
          <w:sz w:val="24"/>
          <w:szCs w:val="24"/>
        </w:rPr>
        <w:t>Develop a culture of excellence, equality, and inclusivity</w:t>
      </w:r>
    </w:p>
    <w:p w14:paraId="126C2CB4" w14:textId="77777777" w:rsidR="00016C24" w:rsidRPr="0053103E" w:rsidRDefault="00016C24" w:rsidP="00EB27EB">
      <w:pPr>
        <w:pStyle w:val="ListParagraph"/>
        <w:numPr>
          <w:ilvl w:val="0"/>
          <w:numId w:val="74"/>
        </w:numPr>
        <w:spacing w:after="0" w:line="240" w:lineRule="auto"/>
        <w:ind w:left="284" w:hanging="284"/>
        <w:rPr>
          <w:rFonts w:ascii="Arial" w:hAnsi="Arial" w:cs="Arial"/>
          <w:sz w:val="24"/>
          <w:szCs w:val="24"/>
        </w:rPr>
      </w:pPr>
      <w:r w:rsidRPr="0053103E">
        <w:rPr>
          <w:rFonts w:ascii="Arial" w:hAnsi="Arial" w:cs="Arial"/>
          <w:sz w:val="24"/>
          <w:szCs w:val="24"/>
        </w:rPr>
        <w:t xml:space="preserve">Recruited 97 new Apprentice Firefighters </w:t>
      </w:r>
    </w:p>
    <w:p w14:paraId="5AFBA4AB" w14:textId="77777777" w:rsidR="00016C24" w:rsidRPr="0053103E" w:rsidRDefault="00016C24" w:rsidP="00EB27EB">
      <w:pPr>
        <w:pStyle w:val="ListParagraph"/>
        <w:numPr>
          <w:ilvl w:val="0"/>
          <w:numId w:val="74"/>
        </w:numPr>
        <w:spacing w:after="0" w:line="240" w:lineRule="auto"/>
        <w:ind w:left="284" w:hanging="284"/>
        <w:rPr>
          <w:rFonts w:ascii="Arial" w:hAnsi="Arial" w:cs="Arial"/>
          <w:sz w:val="24"/>
          <w:szCs w:val="24"/>
        </w:rPr>
      </w:pPr>
      <w:r w:rsidRPr="0053103E">
        <w:rPr>
          <w:rFonts w:ascii="Arial" w:hAnsi="Arial" w:cs="Arial"/>
          <w:sz w:val="24"/>
          <w:szCs w:val="24"/>
        </w:rPr>
        <w:t>Re-set the workplace following C</w:t>
      </w:r>
      <w:r>
        <w:rPr>
          <w:rFonts w:ascii="Arial" w:hAnsi="Arial" w:cs="Arial"/>
          <w:sz w:val="24"/>
          <w:szCs w:val="24"/>
        </w:rPr>
        <w:t>OVID</w:t>
      </w:r>
      <w:r w:rsidRPr="0053103E">
        <w:rPr>
          <w:rFonts w:ascii="Arial" w:hAnsi="Arial" w:cs="Arial"/>
          <w:sz w:val="24"/>
          <w:szCs w:val="24"/>
        </w:rPr>
        <w:t>-19, including a review of workspaces</w:t>
      </w:r>
    </w:p>
    <w:p w14:paraId="02E92591" w14:textId="77777777" w:rsidR="00016C24" w:rsidRPr="0053103E" w:rsidRDefault="00016C24" w:rsidP="00016C24">
      <w:pPr>
        <w:pStyle w:val="ListParagraph"/>
        <w:spacing w:after="0" w:line="240" w:lineRule="auto"/>
        <w:ind w:left="0"/>
        <w:rPr>
          <w:rFonts w:ascii="Arial" w:hAnsi="Arial" w:cs="Arial"/>
          <w:sz w:val="24"/>
          <w:szCs w:val="24"/>
        </w:rPr>
      </w:pPr>
    </w:p>
    <w:p w14:paraId="4552DF4D" w14:textId="77777777" w:rsidR="00016C24" w:rsidRPr="0053103E" w:rsidRDefault="00016C24" w:rsidP="00016C24">
      <w:pPr>
        <w:pStyle w:val="ListParagraph"/>
        <w:spacing w:after="0" w:line="240" w:lineRule="auto"/>
        <w:ind w:left="0"/>
        <w:rPr>
          <w:rFonts w:ascii="Arial" w:hAnsi="Arial" w:cs="Arial"/>
          <w:b/>
          <w:sz w:val="24"/>
          <w:szCs w:val="24"/>
        </w:rPr>
      </w:pPr>
      <w:r w:rsidRPr="0053103E">
        <w:rPr>
          <w:rFonts w:ascii="Arial" w:hAnsi="Arial" w:cs="Arial"/>
          <w:b/>
          <w:sz w:val="24"/>
          <w:szCs w:val="24"/>
        </w:rPr>
        <w:t xml:space="preserve">Priority 6: </w:t>
      </w:r>
      <w:r w:rsidRPr="0053103E">
        <w:rPr>
          <w:rFonts w:ascii="Arial" w:hAnsi="Arial" w:cs="Arial"/>
          <w:b/>
          <w:bCs/>
          <w:sz w:val="24"/>
          <w:szCs w:val="24"/>
        </w:rPr>
        <w:t>Integrate our services in every locality with those of partner agencies</w:t>
      </w:r>
    </w:p>
    <w:p w14:paraId="174D6C96" w14:textId="77777777" w:rsidR="00016C24" w:rsidRPr="0053103E" w:rsidRDefault="00016C24" w:rsidP="00EB27EB">
      <w:pPr>
        <w:pStyle w:val="ListParagraph"/>
        <w:numPr>
          <w:ilvl w:val="0"/>
          <w:numId w:val="75"/>
        </w:numPr>
        <w:spacing w:after="0" w:line="240" w:lineRule="auto"/>
        <w:ind w:left="284" w:hanging="284"/>
        <w:rPr>
          <w:rFonts w:ascii="Arial" w:hAnsi="Arial" w:cs="Arial"/>
          <w:sz w:val="24"/>
          <w:szCs w:val="24"/>
        </w:rPr>
      </w:pPr>
      <w:r>
        <w:rPr>
          <w:rFonts w:ascii="Arial" w:hAnsi="Arial" w:cs="Arial"/>
          <w:sz w:val="24"/>
          <w:szCs w:val="24"/>
        </w:rPr>
        <w:t>D</w:t>
      </w:r>
      <w:r w:rsidRPr="0053103E">
        <w:rPr>
          <w:rFonts w:ascii="Arial" w:hAnsi="Arial" w:cs="Arial"/>
          <w:sz w:val="24"/>
          <w:szCs w:val="24"/>
        </w:rPr>
        <w:t>elivered 54 multi agency training and exercise scenarios</w:t>
      </w:r>
    </w:p>
    <w:p w14:paraId="104B7848" w14:textId="77777777" w:rsidR="00016C24" w:rsidRPr="0053103E" w:rsidRDefault="00016C24" w:rsidP="00EB27EB">
      <w:pPr>
        <w:pStyle w:val="ListParagraph"/>
        <w:numPr>
          <w:ilvl w:val="0"/>
          <w:numId w:val="75"/>
        </w:numPr>
        <w:spacing w:after="0" w:line="240" w:lineRule="auto"/>
        <w:ind w:left="284" w:hanging="284"/>
        <w:rPr>
          <w:rFonts w:ascii="Arial" w:hAnsi="Arial" w:cs="Arial"/>
          <w:sz w:val="24"/>
          <w:szCs w:val="24"/>
        </w:rPr>
      </w:pPr>
      <w:r w:rsidRPr="0053103E">
        <w:rPr>
          <w:rFonts w:ascii="Arial" w:hAnsi="Arial" w:cs="Arial"/>
          <w:sz w:val="24"/>
          <w:szCs w:val="24"/>
        </w:rPr>
        <w:t>Multi Agency Gold Incident Command training delivered in GM</w:t>
      </w:r>
    </w:p>
    <w:p w14:paraId="3A522811" w14:textId="77777777" w:rsidR="00016C24" w:rsidRPr="0053103E" w:rsidRDefault="00016C24" w:rsidP="00EB27EB">
      <w:pPr>
        <w:pStyle w:val="ListParagraph"/>
        <w:numPr>
          <w:ilvl w:val="0"/>
          <w:numId w:val="75"/>
        </w:numPr>
        <w:spacing w:after="0" w:line="240" w:lineRule="auto"/>
        <w:ind w:left="284" w:hanging="284"/>
        <w:rPr>
          <w:rFonts w:ascii="Arial" w:hAnsi="Arial" w:cs="Arial"/>
          <w:sz w:val="24"/>
          <w:szCs w:val="24"/>
        </w:rPr>
      </w:pPr>
      <w:r w:rsidRPr="0053103E">
        <w:rPr>
          <w:rFonts w:ascii="Arial" w:hAnsi="Arial" w:cs="Arial"/>
          <w:sz w:val="24"/>
          <w:szCs w:val="24"/>
        </w:rPr>
        <w:t>Delivered a C</w:t>
      </w:r>
      <w:r>
        <w:rPr>
          <w:rFonts w:ascii="Arial" w:hAnsi="Arial" w:cs="Arial"/>
          <w:sz w:val="24"/>
          <w:szCs w:val="24"/>
        </w:rPr>
        <w:t>OVID</w:t>
      </w:r>
      <w:r w:rsidRPr="0053103E">
        <w:rPr>
          <w:rFonts w:ascii="Arial" w:hAnsi="Arial" w:cs="Arial"/>
          <w:sz w:val="24"/>
          <w:szCs w:val="24"/>
        </w:rPr>
        <w:t>-19 response</w:t>
      </w:r>
    </w:p>
    <w:p w14:paraId="7CD7D9B5" w14:textId="77777777" w:rsidR="00016C24" w:rsidRPr="0053103E" w:rsidRDefault="00016C24" w:rsidP="00EB27EB">
      <w:pPr>
        <w:pStyle w:val="ListParagraph"/>
        <w:numPr>
          <w:ilvl w:val="0"/>
          <w:numId w:val="75"/>
        </w:numPr>
        <w:spacing w:after="0" w:line="240" w:lineRule="auto"/>
        <w:ind w:left="284" w:hanging="284"/>
        <w:rPr>
          <w:rFonts w:ascii="Arial" w:hAnsi="Arial" w:cs="Arial"/>
          <w:sz w:val="24"/>
          <w:szCs w:val="24"/>
        </w:rPr>
      </w:pPr>
      <w:r w:rsidRPr="0053103E">
        <w:rPr>
          <w:rFonts w:ascii="Arial" w:hAnsi="Arial" w:cs="Arial"/>
          <w:sz w:val="24"/>
          <w:szCs w:val="24"/>
        </w:rPr>
        <w:t xml:space="preserve">Agreed principles for Blue Light Collaboration </w:t>
      </w:r>
    </w:p>
    <w:bookmarkEnd w:id="33"/>
    <w:p w14:paraId="7FC7E42B" w14:textId="77777777" w:rsidR="00016C24" w:rsidRPr="0053103E" w:rsidRDefault="00016C24" w:rsidP="00016C24">
      <w:pPr>
        <w:jc w:val="both"/>
        <w:rPr>
          <w:rFonts w:ascii="Arial" w:hAnsi="Arial" w:cs="Arial"/>
          <w:lang w:val="en-US"/>
        </w:rPr>
      </w:pPr>
    </w:p>
    <w:p w14:paraId="328949B9" w14:textId="58FD6F72" w:rsidR="00016C24" w:rsidRPr="0053103E" w:rsidRDefault="00016C24" w:rsidP="00016C24">
      <w:pPr>
        <w:jc w:val="both"/>
        <w:rPr>
          <w:rFonts w:ascii="Arial" w:hAnsi="Arial" w:cs="Arial"/>
          <w:lang w:val="en-US"/>
        </w:rPr>
      </w:pPr>
      <w:bookmarkStart w:id="35" w:name="_Hlk109049412"/>
      <w:r w:rsidRPr="0053103E">
        <w:rPr>
          <w:rFonts w:ascii="Arial" w:hAnsi="Arial" w:cs="Arial"/>
          <w:lang w:val="en-US"/>
        </w:rPr>
        <w:t>Alongside this, core activities and statistical information is captured and utilised to help ensure that focus and campaigns are targeted in the right areas</w:t>
      </w:r>
      <w:r w:rsidR="009D6FD6" w:rsidRPr="0053103E">
        <w:rPr>
          <w:rFonts w:ascii="Arial" w:hAnsi="Arial" w:cs="Arial"/>
          <w:lang w:val="en-US"/>
        </w:rPr>
        <w:t xml:space="preserve">. </w:t>
      </w:r>
      <w:r w:rsidRPr="0053103E">
        <w:rPr>
          <w:rFonts w:ascii="Arial" w:hAnsi="Arial" w:cs="Arial"/>
          <w:lang w:val="en-US"/>
        </w:rPr>
        <w:t>Performance is closely monitored through Key Performance Indicators and our governance arrangements to assist in driving service delivery and improvement across the Service.</w:t>
      </w:r>
    </w:p>
    <w:p w14:paraId="57DDFAAC" w14:textId="77777777" w:rsidR="00016C24" w:rsidRPr="0053103E" w:rsidRDefault="00016C24" w:rsidP="00016C24">
      <w:pPr>
        <w:rPr>
          <w:rFonts w:ascii="Arial" w:hAnsi="Arial" w:cs="Arial"/>
        </w:rPr>
      </w:pPr>
    </w:p>
    <w:p w14:paraId="79E688B9" w14:textId="77777777" w:rsidR="00016C24" w:rsidRPr="0053103E" w:rsidRDefault="00016C24" w:rsidP="00016C24">
      <w:pPr>
        <w:rPr>
          <w:rFonts w:ascii="Arial" w:hAnsi="Arial" w:cs="Arial"/>
          <w:lang w:val="en-US"/>
        </w:rPr>
      </w:pPr>
      <w:r w:rsidRPr="0053103E">
        <w:rPr>
          <w:rFonts w:ascii="Arial" w:hAnsi="Arial" w:cs="Arial"/>
        </w:rPr>
        <w:t xml:space="preserve">GMFRS attended 30,478 incidents (fires, false alarms and special service calls) during 2021/22, an increase of 10% (2,734) when compared with 2020/21. The increase is mainly associated with special service call incident types. GMFRS attended 30,478 incidents (fires, false alarms and special service calls) during 2021/22, an increase of 10% (2,734) when compared with 2020/21. The increase is mainly associated with special service call incident types. </w:t>
      </w:r>
    </w:p>
    <w:p w14:paraId="1C182529" w14:textId="77777777" w:rsidR="00016C24" w:rsidRPr="0053103E" w:rsidRDefault="00016C24" w:rsidP="00016C24">
      <w:pPr>
        <w:pStyle w:val="Normal0"/>
        <w:spacing w:line="240" w:lineRule="auto"/>
        <w:rPr>
          <w:rFonts w:ascii="Arial" w:hAnsi="Arial" w:cs="Arial"/>
          <w:sz w:val="24"/>
          <w:szCs w:val="24"/>
        </w:rPr>
      </w:pPr>
    </w:p>
    <w:p w14:paraId="6556446C" w14:textId="32457EF1" w:rsidR="00016C24" w:rsidRDefault="00016C24" w:rsidP="00016C24">
      <w:pPr>
        <w:pStyle w:val="Normal0"/>
        <w:spacing w:line="240" w:lineRule="auto"/>
        <w:rPr>
          <w:rFonts w:ascii="Arial" w:hAnsi="Arial" w:cs="Arial"/>
          <w:sz w:val="24"/>
          <w:szCs w:val="24"/>
        </w:rPr>
      </w:pPr>
      <w:r w:rsidRPr="0053103E">
        <w:rPr>
          <w:rFonts w:ascii="Arial" w:hAnsi="Arial" w:cs="Arial"/>
          <w:sz w:val="24"/>
          <w:szCs w:val="24"/>
        </w:rPr>
        <w:t xml:space="preserve">Sadly, 11 people died </w:t>
      </w:r>
      <w:proofErr w:type="gramStart"/>
      <w:r w:rsidRPr="0053103E">
        <w:rPr>
          <w:rFonts w:ascii="Arial" w:hAnsi="Arial" w:cs="Arial"/>
          <w:sz w:val="24"/>
          <w:szCs w:val="24"/>
        </w:rPr>
        <w:t>as a result of</w:t>
      </w:r>
      <w:proofErr w:type="gramEnd"/>
      <w:r w:rsidRPr="0053103E">
        <w:rPr>
          <w:rFonts w:ascii="Arial" w:hAnsi="Arial" w:cs="Arial"/>
          <w:sz w:val="24"/>
          <w:szCs w:val="24"/>
        </w:rPr>
        <w:t xml:space="preserve"> fires in 2021/22 compared with 10 fire related deaths in 2020/21. Of these, six involved males, of which five were accidental in nature and 1 was deliberate. Home Office research has indicated that ‘the likelihood of dying in a fire </w:t>
      </w:r>
      <w:r w:rsidRPr="0053103E">
        <w:rPr>
          <w:rFonts w:ascii="Arial" w:hAnsi="Arial" w:cs="Arial"/>
          <w:sz w:val="24"/>
          <w:szCs w:val="24"/>
        </w:rPr>
        <w:lastRenderedPageBreak/>
        <w:t>is not uniform across all age groups and genders, overall men are twice as likely to die in a fire as women'</w:t>
      </w:r>
      <w:r w:rsidR="009D6FD6" w:rsidRPr="0053103E">
        <w:rPr>
          <w:rFonts w:ascii="Arial" w:hAnsi="Arial" w:cs="Arial"/>
          <w:sz w:val="24"/>
          <w:szCs w:val="24"/>
        </w:rPr>
        <w:t xml:space="preserve">. </w:t>
      </w:r>
      <w:r w:rsidRPr="0053103E">
        <w:rPr>
          <w:rFonts w:ascii="Arial" w:hAnsi="Arial" w:cs="Arial"/>
          <w:sz w:val="24"/>
          <w:szCs w:val="24"/>
        </w:rPr>
        <w:t xml:space="preserve">There have been 163 injuries </w:t>
      </w:r>
      <w:proofErr w:type="gramStart"/>
      <w:r w:rsidRPr="0053103E">
        <w:rPr>
          <w:rFonts w:ascii="Arial" w:hAnsi="Arial" w:cs="Arial"/>
          <w:sz w:val="24"/>
          <w:szCs w:val="24"/>
        </w:rPr>
        <w:t>as a result of</w:t>
      </w:r>
      <w:proofErr w:type="gramEnd"/>
      <w:r w:rsidRPr="0053103E">
        <w:rPr>
          <w:rFonts w:ascii="Arial" w:hAnsi="Arial" w:cs="Arial"/>
          <w:sz w:val="24"/>
          <w:szCs w:val="24"/>
        </w:rPr>
        <w:t xml:space="preserve"> fires in 2021/22; 137 slight and 26 serious. This compares with 180 injuries during 2020/21, a decrease of 9% (seventeen). </w:t>
      </w:r>
      <w:proofErr w:type="gramStart"/>
      <w:r w:rsidRPr="0053103E">
        <w:rPr>
          <w:rFonts w:ascii="Arial" w:hAnsi="Arial" w:cs="Arial"/>
          <w:sz w:val="24"/>
          <w:szCs w:val="24"/>
        </w:rPr>
        <w:t>The majority of</w:t>
      </w:r>
      <w:proofErr w:type="gramEnd"/>
      <w:r w:rsidRPr="0053103E">
        <w:rPr>
          <w:rFonts w:ascii="Arial" w:hAnsi="Arial" w:cs="Arial"/>
          <w:sz w:val="24"/>
          <w:szCs w:val="24"/>
        </w:rPr>
        <w:t xml:space="preserve"> fires continue to originate in the kitchen and are associated with cooking.</w:t>
      </w:r>
    </w:p>
    <w:p w14:paraId="398BDBB8" w14:textId="77777777" w:rsidR="00016C24" w:rsidRPr="0053103E" w:rsidRDefault="00016C24" w:rsidP="00016C24">
      <w:pPr>
        <w:pStyle w:val="Normal0"/>
        <w:spacing w:line="240" w:lineRule="auto"/>
        <w:rPr>
          <w:rFonts w:ascii="Arial" w:hAnsi="Arial" w:cs="Arial"/>
          <w:sz w:val="24"/>
          <w:szCs w:val="24"/>
        </w:rPr>
      </w:pPr>
    </w:p>
    <w:p w14:paraId="4578FEAE" w14:textId="77777777" w:rsidR="00016C24" w:rsidRPr="0053103E" w:rsidRDefault="00016C24" w:rsidP="00016C24">
      <w:pPr>
        <w:pStyle w:val="NoSpacing"/>
        <w:rPr>
          <w:rFonts w:ascii="Arial" w:eastAsiaTheme="minorHAnsi" w:hAnsi="Arial" w:cs="Arial"/>
          <w:sz w:val="24"/>
          <w:szCs w:val="24"/>
          <w:lang w:val="en-US"/>
        </w:rPr>
      </w:pPr>
      <w:r w:rsidRPr="0053103E">
        <w:rPr>
          <w:rFonts w:ascii="Arial" w:eastAsiaTheme="minorHAnsi" w:hAnsi="Arial" w:cs="Arial"/>
          <w:sz w:val="24"/>
          <w:szCs w:val="24"/>
          <w:lang w:val="en-US"/>
        </w:rPr>
        <w:t>7,851 Safe and Well/Home Fire Safety visits were made to homes across Greater Manchester in 2021/22 compared to 8,335 telephone assessments during 2020/21. During the period of the COVID</w:t>
      </w:r>
      <w:r>
        <w:rPr>
          <w:rFonts w:ascii="Arial" w:eastAsiaTheme="minorHAnsi" w:hAnsi="Arial" w:cs="Arial"/>
          <w:sz w:val="24"/>
          <w:szCs w:val="24"/>
          <w:lang w:val="en-US"/>
        </w:rPr>
        <w:t>-19</w:t>
      </w:r>
      <w:r w:rsidRPr="0053103E">
        <w:rPr>
          <w:rFonts w:ascii="Arial" w:eastAsiaTheme="minorHAnsi" w:hAnsi="Arial" w:cs="Arial"/>
          <w:sz w:val="24"/>
          <w:szCs w:val="24"/>
          <w:lang w:val="en-US"/>
        </w:rPr>
        <w:t xml:space="preserve"> pandemic, GMFRS worked to balance keeping households safe from fire whilst limiting the exposure of our operational staff to the public and/or the COVID-19 virus. Following the lifting of COVID</w:t>
      </w:r>
      <w:r>
        <w:rPr>
          <w:rFonts w:ascii="Arial" w:eastAsiaTheme="minorHAnsi" w:hAnsi="Arial" w:cs="Arial"/>
          <w:sz w:val="24"/>
          <w:szCs w:val="24"/>
          <w:lang w:val="en-US"/>
        </w:rPr>
        <w:t>-19</w:t>
      </w:r>
      <w:r w:rsidRPr="0053103E">
        <w:rPr>
          <w:rFonts w:ascii="Arial" w:eastAsiaTheme="minorHAnsi" w:hAnsi="Arial" w:cs="Arial"/>
          <w:sz w:val="24"/>
          <w:szCs w:val="24"/>
          <w:lang w:val="en-US"/>
        </w:rPr>
        <w:t xml:space="preserve"> restrictions in line with the government roadmap, the delivery model of our Safe and Well visits was reviewed, which included a review of booking processes and direct question sets, to take account of the ongoing prevalence of the COVID-19 virus and variants in our communities. </w:t>
      </w:r>
    </w:p>
    <w:p w14:paraId="4DCF3513" w14:textId="77777777" w:rsidR="00016C24" w:rsidRPr="0053103E" w:rsidRDefault="00016C24" w:rsidP="00016C24">
      <w:pPr>
        <w:pStyle w:val="NoSpacing"/>
        <w:rPr>
          <w:rFonts w:ascii="Arial" w:eastAsiaTheme="minorHAnsi" w:hAnsi="Arial" w:cs="Arial"/>
          <w:sz w:val="24"/>
          <w:szCs w:val="24"/>
          <w:lang w:val="en-US"/>
        </w:rPr>
      </w:pPr>
    </w:p>
    <w:p w14:paraId="2133E7E8" w14:textId="29300BED" w:rsidR="00016C24" w:rsidRPr="0053103E" w:rsidRDefault="00016C24" w:rsidP="00C67457">
      <w:pPr>
        <w:pStyle w:val="NoSpacing"/>
        <w:rPr>
          <w:rFonts w:ascii="Arial" w:hAnsi="Arial" w:cs="Arial"/>
          <w:sz w:val="24"/>
          <w:szCs w:val="24"/>
        </w:rPr>
      </w:pPr>
      <w:r w:rsidRPr="0053103E">
        <w:rPr>
          <w:rFonts w:ascii="Arial" w:hAnsi="Arial" w:cs="Arial"/>
          <w:sz w:val="24"/>
          <w:szCs w:val="24"/>
        </w:rPr>
        <w:t>Direct visits were reintroduced in September 2021, with control measures put in place to protect the public and staff from the ongoing transmission of the COVID-19 virus, while at the same time addressing fire risk. January 2022 saw the launch of the new Home Fire Safety Assessment (HFSA) process and supporting systems. Each referral received is triaged to identify the risk of the individual to support our targeted approach to delivering home safety advice to those most at risk.</w:t>
      </w:r>
    </w:p>
    <w:p w14:paraId="5F546621" w14:textId="77777777" w:rsidR="00016C24" w:rsidRPr="0053103E" w:rsidRDefault="00016C24" w:rsidP="00C67457">
      <w:pPr>
        <w:rPr>
          <w:rFonts w:ascii="Arial" w:hAnsi="Arial" w:cs="Arial"/>
        </w:rPr>
      </w:pPr>
    </w:p>
    <w:p w14:paraId="43DED854" w14:textId="2A3AB976" w:rsidR="00016C24" w:rsidRPr="0053103E" w:rsidRDefault="00016C24" w:rsidP="00C67457">
      <w:pPr>
        <w:rPr>
          <w:rFonts w:ascii="Arial" w:hAnsi="Arial" w:cs="Arial"/>
        </w:rPr>
      </w:pPr>
      <w:r w:rsidRPr="0053103E">
        <w:rPr>
          <w:rFonts w:ascii="Arial" w:hAnsi="Arial" w:cs="Arial"/>
        </w:rPr>
        <w:t>During 2021</w:t>
      </w:r>
      <w:r w:rsidR="00E95F9F">
        <w:rPr>
          <w:rFonts w:ascii="Arial" w:hAnsi="Arial" w:cs="Arial"/>
        </w:rPr>
        <w:t>/</w:t>
      </w:r>
      <w:r w:rsidRPr="0053103E">
        <w:rPr>
          <w:rFonts w:ascii="Arial" w:hAnsi="Arial" w:cs="Arial"/>
        </w:rPr>
        <w:t>22 continued challenges due to the C</w:t>
      </w:r>
      <w:r>
        <w:rPr>
          <w:rFonts w:ascii="Arial" w:hAnsi="Arial" w:cs="Arial"/>
        </w:rPr>
        <w:t>OVID</w:t>
      </w:r>
      <w:r w:rsidRPr="0053103E">
        <w:rPr>
          <w:rFonts w:ascii="Arial" w:hAnsi="Arial" w:cs="Arial"/>
        </w:rPr>
        <w:t>-19 pandemic impacted on activities being delivered due to periodic restrictions impacting on recruitment and training delivery. Additional costs have been incurred for increased activities such as overtime, cleaning, cleaning materials, ICT equipment and loss of income relating to catering and Prince’s Trust delivery. Since the outbreak of the COVID-19 pandemic, the service has received one off grant allocations totalling £3.421m to support the response which has been fully utilised.</w:t>
      </w:r>
    </w:p>
    <w:bookmarkEnd w:id="34"/>
    <w:bookmarkEnd w:id="35"/>
    <w:p w14:paraId="571DEE46" w14:textId="77777777" w:rsidR="00016C24" w:rsidRDefault="00016C24" w:rsidP="00C67457">
      <w:pPr>
        <w:pStyle w:val="Heading3"/>
        <w:spacing w:before="0" w:after="0"/>
        <w:rPr>
          <w:sz w:val="24"/>
          <w:szCs w:val="24"/>
          <w:u w:val="single"/>
        </w:rPr>
      </w:pPr>
    </w:p>
    <w:p w14:paraId="324AD284" w14:textId="77777777" w:rsidR="00016C24" w:rsidRPr="00451DD8" w:rsidRDefault="00016C24" w:rsidP="00C67457">
      <w:pPr>
        <w:pStyle w:val="Heading3"/>
        <w:spacing w:before="0" w:after="0"/>
        <w:rPr>
          <w:sz w:val="24"/>
          <w:szCs w:val="24"/>
        </w:rPr>
      </w:pPr>
      <w:bookmarkStart w:id="36" w:name="_Toc109922587"/>
      <w:r w:rsidRPr="00451DD8">
        <w:rPr>
          <w:sz w:val="24"/>
          <w:szCs w:val="24"/>
        </w:rPr>
        <w:t>Highways and Transport Services</w:t>
      </w:r>
      <w:bookmarkEnd w:id="36"/>
      <w:r w:rsidRPr="00451DD8">
        <w:rPr>
          <w:sz w:val="24"/>
          <w:szCs w:val="24"/>
        </w:rPr>
        <w:t xml:space="preserve"> </w:t>
      </w:r>
    </w:p>
    <w:p w14:paraId="7B7AD8AF" w14:textId="77777777" w:rsidR="00016C24" w:rsidRDefault="00016C24" w:rsidP="00C67457">
      <w:pPr>
        <w:pStyle w:val="8TfGMStandardDocumentText"/>
        <w:spacing w:after="100" w:afterAutospacing="1"/>
        <w:contextualSpacing/>
        <w:jc w:val="left"/>
        <w:rPr>
          <w:rFonts w:ascii="Arial" w:hAnsi="Arial"/>
          <w:sz w:val="24"/>
          <w:lang w:eastAsia="en-US"/>
        </w:rPr>
      </w:pPr>
    </w:p>
    <w:p w14:paraId="32D79D66" w14:textId="29E9A641" w:rsidR="00016C24" w:rsidRPr="006522F4" w:rsidRDefault="00016C24" w:rsidP="00C67457">
      <w:pPr>
        <w:pStyle w:val="8TfGMStandardDocumentText"/>
        <w:spacing w:after="100" w:afterAutospacing="1"/>
        <w:contextualSpacing/>
        <w:jc w:val="left"/>
        <w:rPr>
          <w:rFonts w:ascii="Arial" w:hAnsi="Arial"/>
          <w:sz w:val="24"/>
          <w:lang w:eastAsia="en-US"/>
        </w:rPr>
      </w:pPr>
      <w:r w:rsidRPr="006522F4">
        <w:rPr>
          <w:rFonts w:ascii="Arial" w:hAnsi="Arial"/>
          <w:sz w:val="24"/>
          <w:lang w:eastAsia="en-US"/>
        </w:rPr>
        <w:t>The Greater Manchester Transport Strategy 2040 was published in 2017 and refreshed</w:t>
      </w:r>
      <w:r>
        <w:rPr>
          <w:rFonts w:ascii="Arial" w:hAnsi="Arial"/>
          <w:sz w:val="24"/>
          <w:lang w:eastAsia="en-US"/>
        </w:rPr>
        <w:t xml:space="preserve"> </w:t>
      </w:r>
      <w:r w:rsidRPr="006522F4">
        <w:rPr>
          <w:rFonts w:ascii="Arial" w:hAnsi="Arial"/>
          <w:sz w:val="24"/>
          <w:lang w:eastAsia="en-US"/>
        </w:rPr>
        <w:t>with a new Five</w:t>
      </w:r>
      <w:r w:rsidR="00E95F9F">
        <w:rPr>
          <w:rFonts w:ascii="Arial" w:hAnsi="Arial"/>
          <w:sz w:val="24"/>
          <w:lang w:eastAsia="en-US"/>
        </w:rPr>
        <w:t>-</w:t>
      </w:r>
      <w:r w:rsidRPr="006522F4">
        <w:rPr>
          <w:rFonts w:ascii="Arial" w:hAnsi="Arial"/>
          <w:sz w:val="24"/>
          <w:lang w:eastAsia="en-US"/>
        </w:rPr>
        <w:t>Year Transport Delivery Plan published in 202</w:t>
      </w:r>
      <w:r>
        <w:rPr>
          <w:rFonts w:ascii="Arial" w:hAnsi="Arial"/>
          <w:sz w:val="24"/>
          <w:lang w:eastAsia="en-US"/>
        </w:rPr>
        <w:t>1 for the period up to 2026</w:t>
      </w:r>
      <w:r w:rsidRPr="006522F4">
        <w:rPr>
          <w:rFonts w:ascii="Arial" w:hAnsi="Arial"/>
          <w:sz w:val="24"/>
          <w:lang w:eastAsia="en-US"/>
        </w:rPr>
        <w:t xml:space="preserve">. The </w:t>
      </w:r>
      <w:r>
        <w:rPr>
          <w:rFonts w:ascii="Arial" w:hAnsi="Arial"/>
          <w:sz w:val="24"/>
          <w:lang w:eastAsia="en-US"/>
        </w:rPr>
        <w:t>s</w:t>
      </w:r>
      <w:r w:rsidRPr="006522F4">
        <w:rPr>
          <w:rFonts w:ascii="Arial" w:hAnsi="Arial"/>
          <w:sz w:val="24"/>
          <w:lang w:eastAsia="en-US"/>
        </w:rPr>
        <w:t xml:space="preserve">trategy is updated through a series of five-year </w:t>
      </w:r>
      <w:r>
        <w:rPr>
          <w:rFonts w:ascii="Arial" w:hAnsi="Arial"/>
          <w:sz w:val="24"/>
          <w:lang w:eastAsia="en-US"/>
        </w:rPr>
        <w:t>de</w:t>
      </w:r>
      <w:r w:rsidRPr="006522F4">
        <w:rPr>
          <w:rFonts w:ascii="Arial" w:hAnsi="Arial"/>
          <w:sz w:val="24"/>
          <w:lang w:eastAsia="en-US"/>
        </w:rPr>
        <w:t xml:space="preserve">livery </w:t>
      </w:r>
      <w:r>
        <w:rPr>
          <w:rFonts w:ascii="Arial" w:hAnsi="Arial"/>
          <w:sz w:val="24"/>
          <w:lang w:eastAsia="en-US"/>
        </w:rPr>
        <w:t>p</w:t>
      </w:r>
      <w:r w:rsidRPr="006522F4">
        <w:rPr>
          <w:rFonts w:ascii="Arial" w:hAnsi="Arial"/>
          <w:sz w:val="24"/>
          <w:lang w:eastAsia="en-US"/>
        </w:rPr>
        <w:t xml:space="preserve">lans, which set out Greater Manchester’s medium and shorter-term delivery priorities. </w:t>
      </w:r>
    </w:p>
    <w:p w14:paraId="14BE1438" w14:textId="039BE2E9" w:rsidR="00016C24" w:rsidRDefault="00016C24" w:rsidP="00C67457">
      <w:pPr>
        <w:pStyle w:val="paragraph"/>
        <w:textAlignment w:val="baseline"/>
        <w:rPr>
          <w:rFonts w:ascii="Arial" w:eastAsia="Calibri" w:hAnsi="Arial" w:cs="Arial"/>
          <w:color w:val="000000" w:themeColor="text1"/>
        </w:rPr>
      </w:pPr>
      <w:r w:rsidRPr="007C59A8">
        <w:rPr>
          <w:rFonts w:ascii="Arial" w:eastAsia="Poppins Light" w:hAnsi="Arial" w:cs="Arial"/>
        </w:rPr>
        <w:t>The Mayor of Greater Manchester</w:t>
      </w:r>
      <w:r>
        <w:rPr>
          <w:rFonts w:ascii="Arial" w:eastAsia="Poppins Light" w:hAnsi="Arial" w:cs="Arial"/>
        </w:rPr>
        <w:t xml:space="preserve"> </w:t>
      </w:r>
      <w:r w:rsidRPr="007C59A8">
        <w:rPr>
          <w:rFonts w:ascii="Arial" w:eastAsia="Poppins Light" w:hAnsi="Arial" w:cs="Arial"/>
        </w:rPr>
        <w:t xml:space="preserve">has committed to creating the ‘Bee Network’ </w:t>
      </w:r>
      <w:r w:rsidRPr="007C59A8">
        <w:rPr>
          <w:rFonts w:ascii="Arial" w:eastAsia="Calibri" w:hAnsi="Arial" w:cs="Arial"/>
          <w:color w:val="000000" w:themeColor="text1"/>
        </w:rPr>
        <w:t xml:space="preserve">a London-style transport system which includes buses and trams by 2025 and commuter trains by 2030. </w:t>
      </w:r>
      <w:r w:rsidRPr="007C59A8">
        <w:rPr>
          <w:rStyle w:val="normaltextrun"/>
          <w:rFonts w:ascii="Arial" w:hAnsi="Arial" w:cs="Arial"/>
          <w:color w:val="000000" w:themeColor="text1"/>
        </w:rPr>
        <w:t xml:space="preserve">It supports </w:t>
      </w:r>
      <w:r>
        <w:rPr>
          <w:rStyle w:val="normaltextrun"/>
          <w:rFonts w:ascii="Arial" w:hAnsi="Arial" w:cs="Arial"/>
          <w:color w:val="000000" w:themeColor="text1"/>
        </w:rPr>
        <w:t>the GMCA</w:t>
      </w:r>
      <w:r w:rsidRPr="007C59A8">
        <w:rPr>
          <w:rStyle w:val="normaltextrun"/>
          <w:rFonts w:ascii="Arial" w:hAnsi="Arial" w:cs="Arial"/>
          <w:color w:val="000000" w:themeColor="text1"/>
        </w:rPr>
        <w:t xml:space="preserve"> ambition to make GM one of</w:t>
      </w:r>
      <w:r w:rsidR="00336C9F">
        <w:rPr>
          <w:rStyle w:val="normaltextrun"/>
          <w:rFonts w:ascii="Arial" w:hAnsi="Arial" w:cs="Arial"/>
          <w:color w:val="000000" w:themeColor="text1"/>
        </w:rPr>
        <w:t xml:space="preserve"> </w:t>
      </w:r>
      <w:r w:rsidRPr="007C59A8">
        <w:rPr>
          <w:rStyle w:val="normaltextrun"/>
          <w:rFonts w:ascii="Arial" w:hAnsi="Arial" w:cs="Arial"/>
          <w:color w:val="000000" w:themeColor="text1"/>
        </w:rPr>
        <w:t>the best places in the world</w:t>
      </w:r>
      <w:r w:rsidR="00E95F9F">
        <w:rPr>
          <w:rStyle w:val="normaltextrun"/>
          <w:rFonts w:ascii="Arial" w:hAnsi="Arial" w:cs="Arial"/>
          <w:color w:val="000000" w:themeColor="text1"/>
        </w:rPr>
        <w:t xml:space="preserve"> </w:t>
      </w:r>
      <w:r w:rsidRPr="007C59A8">
        <w:rPr>
          <w:rStyle w:val="normaltextrun"/>
          <w:rFonts w:ascii="Arial" w:hAnsi="Arial" w:cs="Arial"/>
          <w:color w:val="000000" w:themeColor="text1"/>
        </w:rPr>
        <w:t>to</w:t>
      </w:r>
      <w:r w:rsidR="00E95F9F">
        <w:rPr>
          <w:rStyle w:val="normaltextrun"/>
          <w:rFonts w:ascii="Arial" w:hAnsi="Arial" w:cs="Arial"/>
          <w:color w:val="000000" w:themeColor="text1"/>
        </w:rPr>
        <w:t xml:space="preserve"> </w:t>
      </w:r>
      <w:r w:rsidRPr="007C59A8">
        <w:rPr>
          <w:rStyle w:val="normaltextrun"/>
          <w:rFonts w:ascii="Arial" w:hAnsi="Arial" w:cs="Arial"/>
          <w:i/>
          <w:color w:val="000000" w:themeColor="text1"/>
        </w:rPr>
        <w:t>grow up, get on and grow old</w:t>
      </w:r>
      <w:r w:rsidR="00E95F9F">
        <w:rPr>
          <w:rStyle w:val="normaltextrun"/>
          <w:rFonts w:ascii="Arial" w:hAnsi="Arial" w:cs="Arial"/>
          <w:i/>
          <w:color w:val="000000" w:themeColor="text1"/>
        </w:rPr>
        <w:t xml:space="preserve"> </w:t>
      </w:r>
      <w:r w:rsidRPr="007C59A8">
        <w:rPr>
          <w:rStyle w:val="normaltextrun"/>
          <w:rFonts w:ascii="Arial" w:hAnsi="Arial" w:cs="Arial"/>
          <w:color w:val="000000" w:themeColor="text1"/>
        </w:rPr>
        <w:t>- seamlessly connecting our people, places</w:t>
      </w:r>
      <w:r w:rsidR="00E95F9F">
        <w:rPr>
          <w:rStyle w:val="normaltextrun"/>
          <w:rFonts w:ascii="Arial" w:hAnsi="Arial" w:cs="Arial"/>
          <w:color w:val="000000" w:themeColor="text1"/>
        </w:rPr>
        <w:t xml:space="preserve"> </w:t>
      </w:r>
      <w:r w:rsidRPr="007C59A8">
        <w:rPr>
          <w:rStyle w:val="normaltextrun"/>
          <w:rFonts w:ascii="Arial" w:hAnsi="Arial" w:cs="Arial"/>
          <w:color w:val="000000" w:themeColor="text1"/>
        </w:rPr>
        <w:t>and</w:t>
      </w:r>
      <w:r w:rsidR="00E95F9F">
        <w:rPr>
          <w:rStyle w:val="normaltextrun"/>
          <w:rFonts w:ascii="Arial" w:hAnsi="Arial" w:cs="Arial"/>
          <w:color w:val="000000" w:themeColor="text1"/>
        </w:rPr>
        <w:t xml:space="preserve"> </w:t>
      </w:r>
      <w:r w:rsidRPr="007C59A8">
        <w:rPr>
          <w:rStyle w:val="normaltextrun"/>
          <w:rFonts w:ascii="Arial" w:hAnsi="Arial" w:cs="Arial"/>
          <w:color w:val="000000" w:themeColor="text1"/>
        </w:rPr>
        <w:t>communities</w:t>
      </w:r>
      <w:r w:rsidRPr="007C59A8">
        <w:rPr>
          <w:rFonts w:ascii="Arial" w:eastAsia="Calibri" w:hAnsi="Arial" w:cs="Arial"/>
          <w:color w:val="000000" w:themeColor="text1"/>
        </w:rPr>
        <w:t>. The Bee Network will also help to contribute to our health, our air quality and to help us achieve our commitment for GM to be net zero by 2038</w:t>
      </w:r>
      <w:r>
        <w:rPr>
          <w:rFonts w:ascii="Arial" w:eastAsia="Calibri" w:hAnsi="Arial" w:cs="Arial"/>
          <w:color w:val="000000" w:themeColor="text1"/>
        </w:rPr>
        <w:t>.</w:t>
      </w:r>
    </w:p>
    <w:p w14:paraId="5B1A6ABB" w14:textId="13D448AC" w:rsidR="00016C24" w:rsidRPr="007769BE" w:rsidRDefault="00016C24" w:rsidP="00C67457">
      <w:pPr>
        <w:pStyle w:val="8TfGMStandardDocumentText"/>
        <w:spacing w:after="100" w:afterAutospacing="1"/>
        <w:contextualSpacing/>
        <w:jc w:val="left"/>
        <w:rPr>
          <w:rFonts w:ascii="Arial" w:hAnsi="Arial"/>
          <w:bCs/>
          <w:sz w:val="24"/>
          <w:lang w:eastAsia="en-US"/>
        </w:rPr>
      </w:pPr>
      <w:r>
        <w:rPr>
          <w:rFonts w:ascii="Arial" w:hAnsi="Arial"/>
          <w:sz w:val="24"/>
          <w:lang w:eastAsia="en-US"/>
        </w:rPr>
        <w:t xml:space="preserve">The approved 2021/22 revenue budget for Transport was £246.426m, the majority of which is paid to </w:t>
      </w:r>
      <w:r w:rsidRPr="005B6A42">
        <w:rPr>
          <w:rFonts w:ascii="Arial" w:hAnsi="Arial"/>
          <w:sz w:val="24"/>
        </w:rPr>
        <w:t>T</w:t>
      </w:r>
      <w:r>
        <w:rPr>
          <w:rFonts w:ascii="Arial" w:hAnsi="Arial"/>
          <w:sz w:val="24"/>
        </w:rPr>
        <w:t xml:space="preserve">ransport </w:t>
      </w:r>
      <w:r w:rsidRPr="005B6A42">
        <w:rPr>
          <w:rFonts w:ascii="Arial" w:hAnsi="Arial"/>
          <w:sz w:val="24"/>
        </w:rPr>
        <w:t>f</w:t>
      </w:r>
      <w:r>
        <w:rPr>
          <w:rFonts w:ascii="Arial" w:hAnsi="Arial"/>
          <w:sz w:val="24"/>
        </w:rPr>
        <w:t xml:space="preserve">or </w:t>
      </w:r>
      <w:r w:rsidRPr="005B6A42">
        <w:rPr>
          <w:rFonts w:ascii="Arial" w:hAnsi="Arial"/>
          <w:sz w:val="24"/>
        </w:rPr>
        <w:t>G</w:t>
      </w:r>
      <w:r>
        <w:rPr>
          <w:rFonts w:ascii="Arial" w:hAnsi="Arial"/>
          <w:sz w:val="24"/>
        </w:rPr>
        <w:t xml:space="preserve">reater </w:t>
      </w:r>
      <w:r w:rsidRPr="005B6A42">
        <w:rPr>
          <w:rFonts w:ascii="Arial" w:hAnsi="Arial"/>
          <w:sz w:val="24"/>
        </w:rPr>
        <w:t>M</w:t>
      </w:r>
      <w:r>
        <w:rPr>
          <w:rFonts w:ascii="Arial" w:hAnsi="Arial"/>
          <w:sz w:val="24"/>
        </w:rPr>
        <w:t xml:space="preserve">anchester (TfGM) and the remainder is retained by GMCA for capital financing costs. </w:t>
      </w:r>
      <w:r>
        <w:rPr>
          <w:rFonts w:ascii="Arial" w:hAnsi="Arial"/>
          <w:sz w:val="24"/>
          <w:lang w:eastAsia="en-US"/>
        </w:rPr>
        <w:t xml:space="preserve">Most of the Greater Manchester transport budget is funded from </w:t>
      </w:r>
      <w:r w:rsidRPr="006522F4">
        <w:rPr>
          <w:rFonts w:ascii="Arial" w:hAnsi="Arial"/>
          <w:sz w:val="24"/>
          <w:lang w:eastAsia="en-US"/>
        </w:rPr>
        <w:t>the Transport Levy</w:t>
      </w:r>
      <w:r>
        <w:rPr>
          <w:rFonts w:ascii="Arial" w:hAnsi="Arial"/>
          <w:sz w:val="24"/>
          <w:lang w:eastAsia="en-US"/>
        </w:rPr>
        <w:t xml:space="preserve">, Statutory Charge </w:t>
      </w:r>
      <w:r w:rsidRPr="006522F4">
        <w:rPr>
          <w:rFonts w:ascii="Arial" w:hAnsi="Arial"/>
          <w:sz w:val="24"/>
          <w:lang w:eastAsia="en-US"/>
        </w:rPr>
        <w:t>and the Mayoral Precept, as far as the latter relates to transport matters.</w:t>
      </w:r>
    </w:p>
    <w:p w14:paraId="1F7D5F3A" w14:textId="77777777" w:rsidR="00016C24" w:rsidRDefault="00016C24" w:rsidP="00C67457">
      <w:pPr>
        <w:pStyle w:val="8TfGMStandardDocumentText"/>
        <w:spacing w:after="0"/>
        <w:jc w:val="left"/>
        <w:rPr>
          <w:rFonts w:ascii="Arial" w:hAnsi="Arial"/>
          <w:sz w:val="24"/>
        </w:rPr>
      </w:pPr>
    </w:p>
    <w:p w14:paraId="27BAFF00" w14:textId="330FB3DB" w:rsidR="00016C24" w:rsidRDefault="00016C24" w:rsidP="00C67457">
      <w:pPr>
        <w:pStyle w:val="8TfGMStandardDocumentText"/>
        <w:spacing w:after="0"/>
        <w:jc w:val="left"/>
        <w:rPr>
          <w:rFonts w:ascii="Arial" w:hAnsi="Arial"/>
          <w:sz w:val="24"/>
          <w:lang w:eastAsia="en-US"/>
        </w:rPr>
      </w:pPr>
      <w:r>
        <w:rPr>
          <w:rFonts w:ascii="Arial" w:hAnsi="Arial"/>
          <w:sz w:val="24"/>
        </w:rPr>
        <w:lastRenderedPageBreak/>
        <w:t>TfGM</w:t>
      </w:r>
      <w:r w:rsidRPr="005B6A42">
        <w:rPr>
          <w:rFonts w:ascii="Arial" w:hAnsi="Arial"/>
          <w:sz w:val="24"/>
        </w:rPr>
        <w:t xml:space="preserve"> is responsible for carrying out the transport-related functions and policies of the GMCA and the Greater Manchester Transport Committee (GMTC), and those functions of the Mayor which may be delegated to it, including the functions set out below. </w:t>
      </w:r>
      <w:r w:rsidRPr="006F58D3">
        <w:rPr>
          <w:rFonts w:ascii="Arial" w:hAnsi="Arial"/>
          <w:sz w:val="24"/>
          <w:lang w:eastAsia="en-US"/>
        </w:rPr>
        <w:t>The GMTC is a joint committee made-up of the principal transport decision-making bodies – the ten GM Councils, GMCA and the Mayor of Greater Manchester.</w:t>
      </w:r>
    </w:p>
    <w:p w14:paraId="4BD56F0D" w14:textId="77777777" w:rsidR="00016C24" w:rsidRPr="006F58D3" w:rsidRDefault="00016C24" w:rsidP="00C67457">
      <w:pPr>
        <w:pStyle w:val="8TfGMStandardDocumentText"/>
        <w:spacing w:after="0"/>
        <w:jc w:val="left"/>
        <w:rPr>
          <w:rFonts w:ascii="Arial" w:hAnsi="Arial"/>
          <w:sz w:val="24"/>
        </w:rPr>
      </w:pPr>
    </w:p>
    <w:p w14:paraId="56122D92" w14:textId="77777777" w:rsidR="00016C24" w:rsidRDefault="00016C24" w:rsidP="00C67457">
      <w:pPr>
        <w:pStyle w:val="8TfGMStandardDocumentText"/>
        <w:spacing w:after="100" w:afterAutospacing="1"/>
        <w:contextualSpacing/>
        <w:jc w:val="left"/>
        <w:rPr>
          <w:rFonts w:ascii="Arial" w:hAnsi="Arial"/>
          <w:sz w:val="24"/>
          <w:lang w:eastAsia="en-US"/>
        </w:rPr>
      </w:pPr>
      <w:r w:rsidRPr="006F58D3">
        <w:rPr>
          <w:rFonts w:ascii="Arial" w:hAnsi="Arial"/>
          <w:sz w:val="24"/>
          <w:lang w:eastAsia="en-US"/>
        </w:rPr>
        <w:t>Members of the GMTC represent residents and businesses across Greater Manchester and have oversight across all aspects of Greater Manchester’s transport network. GMTC oversees the performance of the transport system and hold rail, tram, bus operators, TfGM, and highways authorities to account. This effectively allows the Committee to act in an advisory capacity to the Mayor and GMCA.</w:t>
      </w:r>
    </w:p>
    <w:p w14:paraId="126B30CE" w14:textId="77777777" w:rsidR="00016C24" w:rsidRDefault="00016C24" w:rsidP="00C67457">
      <w:pPr>
        <w:pStyle w:val="8TfGMStandardDocumentText"/>
        <w:spacing w:after="100" w:afterAutospacing="1"/>
        <w:contextualSpacing/>
        <w:jc w:val="left"/>
        <w:rPr>
          <w:rFonts w:ascii="Arial" w:hAnsi="Arial"/>
          <w:sz w:val="24"/>
          <w:lang w:eastAsia="en-US"/>
        </w:rPr>
      </w:pPr>
    </w:p>
    <w:p w14:paraId="353BFE7E" w14:textId="628CE7D7" w:rsidR="00016C24" w:rsidRDefault="00016C24" w:rsidP="00C67457">
      <w:pPr>
        <w:pStyle w:val="8TfGMStandardDocumentText"/>
        <w:spacing w:after="100" w:afterAutospacing="1"/>
        <w:contextualSpacing/>
        <w:jc w:val="left"/>
        <w:rPr>
          <w:rFonts w:ascii="Arial" w:hAnsi="Arial"/>
          <w:sz w:val="24"/>
          <w:lang w:eastAsia="en-US"/>
        </w:rPr>
      </w:pPr>
      <w:r w:rsidRPr="007769BE">
        <w:rPr>
          <w:rFonts w:ascii="Arial" w:hAnsi="Arial"/>
          <w:sz w:val="24"/>
        </w:rPr>
        <w:t xml:space="preserve">TfGM acts on behalf of the GMCA to coordinate with the GMCA and the ten Local Authorities to develop a strategy that ensures the legal requirements for clean air are met across the city-region. </w:t>
      </w:r>
      <w:r w:rsidRPr="006522F4">
        <w:rPr>
          <w:rFonts w:ascii="Arial" w:hAnsi="Arial"/>
          <w:sz w:val="24"/>
          <w:lang w:eastAsia="en-US"/>
        </w:rPr>
        <w:t xml:space="preserve">In addition to the policies and activities which are directed by the GMCA transport vision, a number of TfGM activities are determined by government policy or legislation, including the English National Concessionary Travel Scheme. </w:t>
      </w:r>
    </w:p>
    <w:p w14:paraId="599EEF54" w14:textId="77777777" w:rsidR="00016C24" w:rsidRDefault="00016C24" w:rsidP="00C67457">
      <w:pPr>
        <w:pStyle w:val="8TfGMStandardDocumentText"/>
        <w:spacing w:after="100" w:afterAutospacing="1"/>
        <w:contextualSpacing/>
        <w:jc w:val="left"/>
        <w:rPr>
          <w:rFonts w:ascii="Arial" w:hAnsi="Arial"/>
          <w:sz w:val="24"/>
          <w:lang w:eastAsia="en-US"/>
        </w:rPr>
      </w:pPr>
    </w:p>
    <w:p w14:paraId="41505543" w14:textId="7C73AE93" w:rsidR="00016C24" w:rsidRPr="006522F4" w:rsidRDefault="00016C24" w:rsidP="00C67457">
      <w:pPr>
        <w:pStyle w:val="8TfGMStandardDocumentText"/>
        <w:spacing w:after="100" w:afterAutospacing="1"/>
        <w:contextualSpacing/>
        <w:jc w:val="left"/>
        <w:rPr>
          <w:rFonts w:ascii="Arial" w:hAnsi="Arial"/>
          <w:sz w:val="24"/>
          <w:lang w:eastAsia="en-US"/>
        </w:rPr>
      </w:pPr>
      <w:r w:rsidRPr="006522F4">
        <w:rPr>
          <w:rFonts w:ascii="Arial" w:hAnsi="Arial"/>
          <w:bCs/>
          <w:sz w:val="24"/>
          <w:lang w:eastAsia="en-US"/>
        </w:rPr>
        <w:t>The period covered by this Statement of Accounts and the period since the year end continue to have been significantly impacted in a number of ways by the COVID-19 pandemic and the recovery from it.</w:t>
      </w:r>
    </w:p>
    <w:p w14:paraId="41E3CCD2" w14:textId="77777777" w:rsidR="00016C24" w:rsidRPr="007769BE" w:rsidRDefault="00016C24" w:rsidP="00C67457">
      <w:pPr>
        <w:pStyle w:val="8TfGMStandardDocumentText"/>
        <w:spacing w:after="100" w:afterAutospacing="1"/>
        <w:contextualSpacing/>
        <w:jc w:val="left"/>
        <w:rPr>
          <w:rFonts w:ascii="Arial" w:hAnsi="Arial"/>
          <w:sz w:val="24"/>
        </w:rPr>
      </w:pPr>
    </w:p>
    <w:p w14:paraId="5B357A31" w14:textId="77777777" w:rsidR="00016C24" w:rsidRPr="00451DD8" w:rsidRDefault="00016C24" w:rsidP="00C67457">
      <w:pPr>
        <w:pStyle w:val="8TfGMStandardDocumentText"/>
        <w:spacing w:after="100" w:afterAutospacing="1"/>
        <w:contextualSpacing/>
        <w:jc w:val="left"/>
        <w:rPr>
          <w:rFonts w:ascii="Arial" w:hAnsi="Arial"/>
          <w:sz w:val="24"/>
          <w:u w:val="single"/>
        </w:rPr>
      </w:pPr>
      <w:r w:rsidRPr="00451DD8">
        <w:rPr>
          <w:rFonts w:ascii="Arial" w:hAnsi="Arial"/>
          <w:sz w:val="24"/>
          <w:u w:val="single"/>
        </w:rPr>
        <w:t xml:space="preserve">Highways </w:t>
      </w:r>
    </w:p>
    <w:p w14:paraId="2D9D84D7" w14:textId="77777777" w:rsidR="00016C24" w:rsidRPr="00AB7F4D" w:rsidRDefault="00016C24" w:rsidP="00C67457">
      <w:pPr>
        <w:pStyle w:val="8TfGMStandardDocumentText"/>
        <w:spacing w:after="100" w:afterAutospacing="1"/>
        <w:contextualSpacing/>
        <w:jc w:val="left"/>
        <w:rPr>
          <w:rFonts w:ascii="Arial" w:hAnsi="Arial"/>
          <w:b/>
          <w:bCs/>
          <w:sz w:val="24"/>
        </w:rPr>
      </w:pPr>
    </w:p>
    <w:p w14:paraId="0EFDFA2F" w14:textId="7CFD2B52" w:rsidR="00016C24" w:rsidRPr="00AB7F4D" w:rsidRDefault="00016C24" w:rsidP="00C67457">
      <w:pPr>
        <w:pStyle w:val="8TfGMStandardDocumentText"/>
        <w:spacing w:after="100" w:afterAutospacing="1"/>
        <w:contextualSpacing/>
        <w:jc w:val="left"/>
        <w:rPr>
          <w:rFonts w:ascii="Arial" w:hAnsi="Arial"/>
          <w:sz w:val="24"/>
        </w:rPr>
      </w:pPr>
      <w:r w:rsidRPr="00AB7F4D">
        <w:rPr>
          <w:rFonts w:ascii="Arial" w:hAnsi="Arial"/>
          <w:sz w:val="24"/>
        </w:rPr>
        <w:t xml:space="preserve">TfGM has strategic oversight of the Key Route Network (“KRN”), making up over 650km of Greater Manchester’s busiest roads. While this is just 7% of the total length of the highways network, it carries two-thirds of all peak-time traffic. TfGM works closely with local authority partners and Highways England to coordinate day-to-day operations and deal with incidents and events on Greater Manchester’s roads and motorways. This includes work aimed at tackling congestion such as managing signals to improve traffic flow, controlling pedestrian crossings, conducting long-term planning and modelling and design, and installing and modifying new traffic signal junctions. </w:t>
      </w:r>
    </w:p>
    <w:p w14:paraId="40739AE4" w14:textId="77777777" w:rsidR="00016C24" w:rsidRPr="00AB7F4D" w:rsidRDefault="00016C24" w:rsidP="00C67457">
      <w:pPr>
        <w:pStyle w:val="8TfGMStandardDocumentText"/>
        <w:spacing w:after="100" w:afterAutospacing="1"/>
        <w:contextualSpacing/>
        <w:jc w:val="left"/>
        <w:rPr>
          <w:rFonts w:ascii="Arial" w:hAnsi="Arial"/>
          <w:sz w:val="24"/>
        </w:rPr>
      </w:pPr>
      <w:r w:rsidRPr="00AB7F4D">
        <w:rPr>
          <w:rFonts w:ascii="Arial" w:hAnsi="Arial"/>
          <w:sz w:val="24"/>
        </w:rPr>
        <w:t xml:space="preserve"> </w:t>
      </w:r>
    </w:p>
    <w:p w14:paraId="2E09F10D" w14:textId="77777777" w:rsidR="00016C24" w:rsidRDefault="00016C24" w:rsidP="00C67457">
      <w:pPr>
        <w:pStyle w:val="8TfGMStandardDocumentText"/>
        <w:spacing w:after="100" w:afterAutospacing="1"/>
        <w:contextualSpacing/>
        <w:jc w:val="left"/>
        <w:rPr>
          <w:rFonts w:ascii="Arial" w:hAnsi="Arial"/>
          <w:sz w:val="24"/>
        </w:rPr>
      </w:pPr>
      <w:r w:rsidRPr="00AB7F4D">
        <w:rPr>
          <w:rFonts w:ascii="Arial" w:hAnsi="Arial"/>
          <w:sz w:val="24"/>
        </w:rPr>
        <w:t xml:space="preserve">Having both visual oversight and close working relationships with each of the districts enables TfGM to communicate up-to-date travel advice across its various media platforms – ranging from web and social media channels through to roadside message boards. Such travel information helps the travelling public to plan their journeys in advance of major events or upcoming roadworks. </w:t>
      </w:r>
    </w:p>
    <w:p w14:paraId="4E71397E" w14:textId="77777777" w:rsidR="00016C24" w:rsidRDefault="00016C24" w:rsidP="00C67457">
      <w:pPr>
        <w:pStyle w:val="8TfGMStandardDocumentText"/>
        <w:spacing w:after="100" w:afterAutospacing="1"/>
        <w:contextualSpacing/>
        <w:jc w:val="left"/>
        <w:rPr>
          <w:rFonts w:ascii="Arial" w:hAnsi="Arial"/>
          <w:sz w:val="24"/>
        </w:rPr>
      </w:pPr>
    </w:p>
    <w:p w14:paraId="68B77255" w14:textId="51B04D32" w:rsidR="00016C24" w:rsidRPr="00E0065C" w:rsidRDefault="00016C24" w:rsidP="00C67457">
      <w:pPr>
        <w:pStyle w:val="8TfGMStandardDocumentText"/>
        <w:spacing w:after="100" w:afterAutospacing="1"/>
        <w:contextualSpacing/>
        <w:jc w:val="left"/>
        <w:rPr>
          <w:rFonts w:ascii="Arial" w:hAnsi="Arial"/>
          <w:sz w:val="24"/>
        </w:rPr>
      </w:pPr>
      <w:r w:rsidRPr="00AB7F4D">
        <w:rPr>
          <w:rFonts w:ascii="Arial" w:eastAsia="Calibri" w:hAnsi="Arial"/>
          <w:sz w:val="24"/>
        </w:rPr>
        <w:t>Based on 2021 data, in the city-region, 70% of all journeys were made by road, with an estimated 1.6 billion trips made on the Greater Manchester (GM) road network (with an origin and/or destination inside GM) each year. It is a critical asset on which public transport, freight, business, visitors and commuters rely including, increasingly, for active travel modes. Journey numbers on highways were relatively steady throughout the COVID-19 pandemic and despite recent record fuel prices have remained close to pre-pandemic levels. During March 2022 the number of road journeys had returned to c. 99% of pre pandemic levels.</w:t>
      </w:r>
    </w:p>
    <w:p w14:paraId="2D5FE849" w14:textId="535F1415" w:rsidR="00FD76D5" w:rsidRDefault="00FD76D5" w:rsidP="00C67457">
      <w:pPr>
        <w:pStyle w:val="8TfGMStandardDocumentText"/>
        <w:spacing w:after="100" w:afterAutospacing="1"/>
        <w:contextualSpacing/>
        <w:jc w:val="left"/>
        <w:rPr>
          <w:rFonts w:ascii="Arial" w:hAnsi="Arial"/>
          <w:sz w:val="24"/>
          <w:u w:val="single"/>
        </w:rPr>
      </w:pPr>
    </w:p>
    <w:p w14:paraId="01924220" w14:textId="62FF6697" w:rsidR="00FD76D5" w:rsidRDefault="00FD76D5" w:rsidP="00C67457">
      <w:pPr>
        <w:pStyle w:val="8TfGMStandardDocumentText"/>
        <w:spacing w:after="100" w:afterAutospacing="1"/>
        <w:contextualSpacing/>
        <w:jc w:val="left"/>
        <w:rPr>
          <w:rFonts w:ascii="Arial" w:hAnsi="Arial"/>
          <w:sz w:val="24"/>
          <w:u w:val="single"/>
        </w:rPr>
      </w:pPr>
    </w:p>
    <w:p w14:paraId="7B0FAC0F" w14:textId="2348B4C3" w:rsidR="00FD76D5" w:rsidRDefault="00FD76D5" w:rsidP="00C67457">
      <w:pPr>
        <w:pStyle w:val="8TfGMStandardDocumentText"/>
        <w:spacing w:after="100" w:afterAutospacing="1"/>
        <w:contextualSpacing/>
        <w:jc w:val="left"/>
        <w:rPr>
          <w:rFonts w:ascii="Arial" w:hAnsi="Arial"/>
          <w:sz w:val="24"/>
          <w:u w:val="single"/>
        </w:rPr>
      </w:pPr>
    </w:p>
    <w:p w14:paraId="374B5350" w14:textId="77777777" w:rsidR="00FD76D5" w:rsidRDefault="00FD76D5" w:rsidP="00C67457">
      <w:pPr>
        <w:pStyle w:val="8TfGMStandardDocumentText"/>
        <w:spacing w:after="100" w:afterAutospacing="1"/>
        <w:contextualSpacing/>
        <w:jc w:val="left"/>
        <w:rPr>
          <w:rFonts w:ascii="Arial" w:hAnsi="Arial"/>
          <w:sz w:val="24"/>
          <w:u w:val="single"/>
        </w:rPr>
      </w:pPr>
    </w:p>
    <w:p w14:paraId="7A7664A0" w14:textId="126A7D9B" w:rsidR="00016C24" w:rsidRPr="00451DD8" w:rsidRDefault="00016C24" w:rsidP="00C67457">
      <w:pPr>
        <w:pStyle w:val="8TfGMStandardDocumentText"/>
        <w:spacing w:after="100" w:afterAutospacing="1"/>
        <w:contextualSpacing/>
        <w:jc w:val="left"/>
        <w:rPr>
          <w:rFonts w:ascii="Arial" w:hAnsi="Arial"/>
          <w:sz w:val="24"/>
          <w:u w:val="single"/>
        </w:rPr>
      </w:pPr>
      <w:r w:rsidRPr="00451DD8">
        <w:rPr>
          <w:rFonts w:ascii="Arial" w:hAnsi="Arial"/>
          <w:sz w:val="24"/>
          <w:u w:val="single"/>
        </w:rPr>
        <w:lastRenderedPageBreak/>
        <w:t xml:space="preserve">Metrolink </w:t>
      </w:r>
    </w:p>
    <w:p w14:paraId="2AFF4B55" w14:textId="77777777" w:rsidR="00016C24" w:rsidRPr="00384FB9" w:rsidRDefault="00016C24" w:rsidP="00C67457">
      <w:pPr>
        <w:pStyle w:val="8TfGMStandardDocumentText"/>
        <w:spacing w:after="100" w:afterAutospacing="1"/>
        <w:contextualSpacing/>
        <w:jc w:val="left"/>
        <w:rPr>
          <w:rFonts w:ascii="Arial" w:hAnsi="Arial"/>
          <w:sz w:val="24"/>
        </w:rPr>
      </w:pPr>
      <w:r w:rsidRPr="00384FB9">
        <w:rPr>
          <w:rFonts w:ascii="Arial" w:hAnsi="Arial"/>
          <w:sz w:val="24"/>
        </w:rPr>
        <w:t xml:space="preserve"> </w:t>
      </w:r>
    </w:p>
    <w:p w14:paraId="1EF9C370" w14:textId="77777777" w:rsidR="00016C24" w:rsidRPr="00384FB9" w:rsidRDefault="00016C24" w:rsidP="00C67457">
      <w:pPr>
        <w:pStyle w:val="8TfGMStandardDocumentText"/>
        <w:spacing w:after="100" w:afterAutospacing="1"/>
        <w:contextualSpacing/>
        <w:jc w:val="left"/>
        <w:rPr>
          <w:rFonts w:ascii="Arial" w:hAnsi="Arial"/>
          <w:sz w:val="24"/>
        </w:rPr>
      </w:pPr>
      <w:r w:rsidRPr="00384FB9">
        <w:rPr>
          <w:rFonts w:ascii="Arial" w:hAnsi="Arial"/>
          <w:sz w:val="24"/>
        </w:rPr>
        <w:t xml:space="preserve">Metrolink is owned by TfGM and operated and maintained by </w:t>
      </w:r>
      <w:proofErr w:type="spellStart"/>
      <w:r w:rsidRPr="00384FB9">
        <w:rPr>
          <w:rFonts w:ascii="Arial" w:hAnsi="Arial"/>
          <w:sz w:val="24"/>
        </w:rPr>
        <w:t>KeolisAmey</w:t>
      </w:r>
      <w:proofErr w:type="spellEnd"/>
      <w:r w:rsidRPr="00384FB9">
        <w:rPr>
          <w:rFonts w:ascii="Arial" w:hAnsi="Arial"/>
          <w:sz w:val="24"/>
        </w:rPr>
        <w:t xml:space="preserve"> Metrolink (KAM) on a seven year contract which began in July 2017. While KAM operates and maintains the network, TfGM is responsible for setting the price of tickets, renewing, enhancing and expanding the network and planning future development, as well as overseeing the operations and maintenance contract. </w:t>
      </w:r>
    </w:p>
    <w:p w14:paraId="6ECB6512" w14:textId="77777777" w:rsidR="00016C24" w:rsidRPr="009D6B32" w:rsidRDefault="00016C24" w:rsidP="00016C24">
      <w:pPr>
        <w:pStyle w:val="8TfGMStandardDocumentText"/>
        <w:spacing w:after="100" w:afterAutospacing="1"/>
        <w:contextualSpacing/>
        <w:rPr>
          <w:rFonts w:ascii="Arial" w:hAnsi="Arial"/>
          <w:sz w:val="24"/>
          <w:highlight w:val="lightGray"/>
        </w:rPr>
      </w:pPr>
      <w:r w:rsidRPr="009D6B32">
        <w:rPr>
          <w:rFonts w:ascii="Arial" w:hAnsi="Arial"/>
          <w:sz w:val="24"/>
          <w:highlight w:val="lightGray"/>
        </w:rPr>
        <w:t xml:space="preserve"> </w:t>
      </w:r>
    </w:p>
    <w:p w14:paraId="0BF14506" w14:textId="52A70FAD" w:rsidR="00016C24" w:rsidRPr="00384FB9" w:rsidRDefault="00016C24" w:rsidP="00016C24">
      <w:pPr>
        <w:pStyle w:val="8TfGMStandardDocumentText"/>
        <w:spacing w:after="100" w:afterAutospacing="1"/>
        <w:contextualSpacing/>
        <w:jc w:val="left"/>
        <w:rPr>
          <w:rFonts w:ascii="Arial" w:hAnsi="Arial"/>
          <w:sz w:val="24"/>
        </w:rPr>
      </w:pPr>
      <w:r w:rsidRPr="00384FB9">
        <w:rPr>
          <w:rFonts w:ascii="Arial" w:hAnsi="Arial"/>
          <w:sz w:val="24"/>
        </w:rPr>
        <w:t>Metrolink services began operating in 1992 and since then the network has grown extensively and is now the largest light rail network in the UK. The system began to expand in 2010, with a c£2 billion expansion and extension programm</w:t>
      </w:r>
      <w:r>
        <w:rPr>
          <w:rFonts w:ascii="Arial" w:hAnsi="Arial"/>
          <w:sz w:val="24"/>
        </w:rPr>
        <w:t>e,</w:t>
      </w:r>
      <w:r w:rsidRPr="00384FB9">
        <w:rPr>
          <w:rFonts w:ascii="Arial" w:hAnsi="Arial"/>
          <w:sz w:val="24"/>
        </w:rPr>
        <w:t xml:space="preserve"> the latest extension being the Trafford Park Line which opened in March 2020. The network now has a total of 99 stops and 103km of track. Metrolink is one of the most accessible forms of transport with step-free access at all stops and level access from the platform to the tram. The system is powered by electricity produced from wind or solar power, making it zero-emission at street level. </w:t>
      </w:r>
    </w:p>
    <w:p w14:paraId="41F1B6CB" w14:textId="77777777" w:rsidR="00016C24" w:rsidRPr="00384FB9" w:rsidRDefault="00016C24" w:rsidP="00016C24">
      <w:pPr>
        <w:pStyle w:val="8TfGMStandardDocumentText"/>
        <w:spacing w:after="100" w:afterAutospacing="1"/>
        <w:contextualSpacing/>
        <w:jc w:val="left"/>
        <w:rPr>
          <w:rFonts w:ascii="Arial" w:hAnsi="Arial"/>
          <w:sz w:val="24"/>
        </w:rPr>
      </w:pPr>
      <w:r w:rsidRPr="00384FB9">
        <w:rPr>
          <w:rFonts w:ascii="Arial" w:hAnsi="Arial"/>
          <w:sz w:val="24"/>
        </w:rPr>
        <w:t xml:space="preserve"> </w:t>
      </w:r>
    </w:p>
    <w:p w14:paraId="70FE6BC0" w14:textId="77777777" w:rsidR="00016C24" w:rsidRPr="00384FB9" w:rsidRDefault="00016C24" w:rsidP="00016C24">
      <w:pPr>
        <w:pStyle w:val="8TfGMStandardDocumentText"/>
        <w:spacing w:after="100" w:afterAutospacing="1"/>
        <w:contextualSpacing/>
        <w:jc w:val="left"/>
        <w:rPr>
          <w:rFonts w:ascii="Arial" w:hAnsi="Arial"/>
          <w:sz w:val="24"/>
        </w:rPr>
      </w:pPr>
      <w:r w:rsidRPr="00384FB9">
        <w:rPr>
          <w:rFonts w:ascii="Arial" w:hAnsi="Arial"/>
          <w:sz w:val="24"/>
        </w:rPr>
        <w:t xml:space="preserve">As agreed by GMCA, as part of the funding strategy for the Greater Manchester Transport Fund (GMTF) which funded the majority of the investment in the network referred to above, all net revenues generated from Metrolink are ring fenced to fund the financing costs associated with the local borrowings taken out as part of the GMTF. </w:t>
      </w:r>
    </w:p>
    <w:p w14:paraId="6B789511" w14:textId="77777777" w:rsidR="00016C24" w:rsidRPr="009D6B32" w:rsidRDefault="00016C24" w:rsidP="00016C24">
      <w:pPr>
        <w:pStyle w:val="8TfGMStandardDocumentText"/>
        <w:spacing w:after="100" w:afterAutospacing="1"/>
        <w:contextualSpacing/>
        <w:rPr>
          <w:rFonts w:ascii="Arial" w:hAnsi="Arial"/>
          <w:sz w:val="24"/>
          <w:highlight w:val="lightGray"/>
        </w:rPr>
      </w:pPr>
    </w:p>
    <w:p w14:paraId="0BFB91CF" w14:textId="38026B4D" w:rsidR="00016C24" w:rsidRDefault="00016C24" w:rsidP="00016C24">
      <w:pPr>
        <w:pStyle w:val="8TfGMStandardDocumentText"/>
        <w:spacing w:after="100" w:afterAutospacing="1"/>
        <w:contextualSpacing/>
        <w:jc w:val="left"/>
        <w:rPr>
          <w:rFonts w:ascii="Arial" w:hAnsi="Arial"/>
          <w:sz w:val="24"/>
        </w:rPr>
      </w:pPr>
      <w:r w:rsidRPr="00384FB9">
        <w:rPr>
          <w:rFonts w:ascii="Arial" w:hAnsi="Arial"/>
          <w:sz w:val="24"/>
        </w:rPr>
        <w:t>Patronage and revenues on Metrolink have been significantly impacted by COVID-19 and the lockdowns throughout the last two years, as well as the changes in work and travel patterns and behaviours which have occurred during the recovery period to date. Patronage fell to as low as c. 5% of pre-pandemic levels during the first lockdown before recovering back to c. 50% and then reducing again in subsequent lockdowns.</w:t>
      </w:r>
    </w:p>
    <w:p w14:paraId="4D156394" w14:textId="77777777" w:rsidR="00016C24" w:rsidRDefault="00016C24" w:rsidP="00016C24">
      <w:pPr>
        <w:pStyle w:val="8TfGMStandardDocumentText"/>
        <w:spacing w:after="100" w:afterAutospacing="1"/>
        <w:contextualSpacing/>
        <w:jc w:val="left"/>
        <w:rPr>
          <w:rFonts w:ascii="Arial" w:hAnsi="Arial"/>
          <w:sz w:val="24"/>
        </w:rPr>
      </w:pPr>
      <w:r w:rsidRPr="00384FB9">
        <w:rPr>
          <w:rFonts w:ascii="Arial" w:hAnsi="Arial"/>
          <w:sz w:val="24"/>
        </w:rPr>
        <w:t xml:space="preserve">As at June 2022, patronage has reached circa 70% of pre-pandemic levels. </w:t>
      </w:r>
    </w:p>
    <w:p w14:paraId="4899F324" w14:textId="77777777" w:rsidR="00016C24" w:rsidRDefault="00016C24" w:rsidP="00016C24">
      <w:pPr>
        <w:pStyle w:val="8TfGMStandardDocumentText"/>
        <w:spacing w:after="100" w:afterAutospacing="1"/>
        <w:contextualSpacing/>
        <w:jc w:val="left"/>
        <w:rPr>
          <w:rFonts w:ascii="Arial" w:hAnsi="Arial"/>
          <w:sz w:val="24"/>
        </w:rPr>
      </w:pPr>
    </w:p>
    <w:p w14:paraId="551185C4" w14:textId="2765D0D8" w:rsidR="00016C24" w:rsidRPr="00384FB9" w:rsidRDefault="00016C24" w:rsidP="00016C24">
      <w:pPr>
        <w:pStyle w:val="8TfGMStandardDocumentText"/>
        <w:spacing w:after="100" w:afterAutospacing="1"/>
        <w:contextualSpacing/>
        <w:jc w:val="left"/>
        <w:rPr>
          <w:rFonts w:ascii="Arial" w:hAnsi="Arial"/>
          <w:sz w:val="24"/>
        </w:rPr>
      </w:pPr>
      <w:r w:rsidRPr="00384FB9">
        <w:rPr>
          <w:rFonts w:ascii="Arial" w:hAnsi="Arial"/>
          <w:sz w:val="24"/>
        </w:rPr>
        <w:t>Since the start of the pandemic, funding has been provided by DfT to support the loss in farebox revenues and to enable the continued operation of these essential services which, along with the other modes (such as bus and rail), have been key to providing transport to key workers and latterly to help the local economy recover from the impacts of the pandemic. Although patronage and revenues have started to recover, patronage and farebox income are still well below pre pandemic levels. DfT has announced a further funding package for the period to 4 October 2022, which it has indicated will be the last period of government funding for light rail systems such as Metrolink.</w:t>
      </w:r>
    </w:p>
    <w:p w14:paraId="1C459A4E" w14:textId="77777777" w:rsidR="00016C24" w:rsidRPr="009D6B32" w:rsidRDefault="00016C24" w:rsidP="00016C24">
      <w:pPr>
        <w:pStyle w:val="8TfGMStandardDocumentText"/>
        <w:spacing w:after="100" w:afterAutospacing="1"/>
        <w:contextualSpacing/>
        <w:rPr>
          <w:rFonts w:ascii="Arial" w:hAnsi="Arial"/>
          <w:sz w:val="24"/>
          <w:highlight w:val="lightGray"/>
        </w:rPr>
      </w:pPr>
      <w:r w:rsidRPr="009D6B32">
        <w:rPr>
          <w:rFonts w:ascii="Arial" w:hAnsi="Arial"/>
          <w:sz w:val="24"/>
          <w:highlight w:val="lightGray"/>
        </w:rPr>
        <w:t xml:space="preserve"> </w:t>
      </w:r>
    </w:p>
    <w:p w14:paraId="353D5D9B" w14:textId="77777777" w:rsidR="00016C24" w:rsidRPr="00451DD8" w:rsidRDefault="00016C24" w:rsidP="00016C24">
      <w:pPr>
        <w:pStyle w:val="8TfGMStandardDocumentText"/>
        <w:spacing w:after="100" w:afterAutospacing="1"/>
        <w:contextualSpacing/>
        <w:jc w:val="left"/>
        <w:rPr>
          <w:rFonts w:ascii="Arial" w:hAnsi="Arial"/>
          <w:sz w:val="24"/>
          <w:u w:val="single"/>
        </w:rPr>
      </w:pPr>
      <w:r w:rsidRPr="00451DD8">
        <w:rPr>
          <w:rFonts w:ascii="Arial" w:hAnsi="Arial"/>
          <w:sz w:val="24"/>
          <w:u w:val="single"/>
        </w:rPr>
        <w:t xml:space="preserve">Bus </w:t>
      </w:r>
    </w:p>
    <w:p w14:paraId="0E3CD0CA" w14:textId="77777777" w:rsidR="00016C24" w:rsidRPr="00E0065C" w:rsidRDefault="00016C24" w:rsidP="00016C24">
      <w:pPr>
        <w:pStyle w:val="8TfGMStandardDocumentText"/>
        <w:spacing w:after="100" w:afterAutospacing="1"/>
        <w:contextualSpacing/>
        <w:jc w:val="left"/>
        <w:rPr>
          <w:rFonts w:ascii="Arial" w:hAnsi="Arial"/>
          <w:sz w:val="24"/>
        </w:rPr>
      </w:pPr>
      <w:r w:rsidRPr="00E0065C">
        <w:rPr>
          <w:rFonts w:ascii="Arial" w:hAnsi="Arial"/>
          <w:sz w:val="24"/>
        </w:rPr>
        <w:t xml:space="preserve"> </w:t>
      </w:r>
    </w:p>
    <w:p w14:paraId="4E2281D1" w14:textId="77777777" w:rsidR="00016C24" w:rsidRPr="00E0065C" w:rsidRDefault="00016C24" w:rsidP="00016C24">
      <w:pPr>
        <w:pStyle w:val="8TfGMStandardDocumentText"/>
        <w:spacing w:after="100" w:afterAutospacing="1"/>
        <w:contextualSpacing/>
        <w:jc w:val="left"/>
        <w:rPr>
          <w:rFonts w:ascii="Arial" w:hAnsi="Arial"/>
          <w:sz w:val="24"/>
        </w:rPr>
      </w:pPr>
      <w:r w:rsidRPr="00E0065C">
        <w:rPr>
          <w:rFonts w:ascii="Arial" w:hAnsi="Arial"/>
          <w:sz w:val="24"/>
        </w:rPr>
        <w:t>Greater Manchester’s bus network plays a key role in keeping the city-region moving by helping to reduce car journeys and easing congestion on our roads. Bus services were deregulated in 1986 under the Transport Act 1985. Consequently, there are currently two interacting bus markets in Greater Manchester: a commercial (deregulated) market and a subsidised (contracted) market.</w:t>
      </w:r>
    </w:p>
    <w:p w14:paraId="1CDAFDC1" w14:textId="77777777" w:rsidR="00016C24" w:rsidRPr="00E0065C" w:rsidRDefault="00016C24" w:rsidP="00016C24">
      <w:pPr>
        <w:pStyle w:val="8TfGMStandardDocumentText"/>
        <w:spacing w:after="100" w:afterAutospacing="1"/>
        <w:contextualSpacing/>
        <w:rPr>
          <w:rFonts w:ascii="Arial" w:hAnsi="Arial"/>
          <w:sz w:val="24"/>
        </w:rPr>
      </w:pPr>
    </w:p>
    <w:p w14:paraId="18458BE3" w14:textId="76120183" w:rsidR="00016C24" w:rsidRPr="00E0065C" w:rsidRDefault="00016C24" w:rsidP="00E95F9F">
      <w:pPr>
        <w:pStyle w:val="8TfGMStandardDocumentText"/>
        <w:spacing w:after="100" w:afterAutospacing="1"/>
        <w:contextualSpacing/>
        <w:jc w:val="left"/>
        <w:rPr>
          <w:rFonts w:ascii="Arial" w:hAnsi="Arial"/>
          <w:sz w:val="24"/>
        </w:rPr>
      </w:pPr>
      <w:r w:rsidRPr="00E0065C">
        <w:rPr>
          <w:rFonts w:ascii="Arial" w:hAnsi="Arial"/>
          <w:sz w:val="24"/>
        </w:rPr>
        <w:t xml:space="preserve">As with other travel modes, patronage on bus has been significantly impacted by the COVID-19 pandemic and the network and its operators have been dependent on ongoing financial assistance from the government to support the continuation of services at current levels. As referred to above for Metrolink, the DfT has indicated that the period to 4 October 2022 will be the last period when COVID-19 recovery funding will be </w:t>
      </w:r>
      <w:r w:rsidRPr="00E0065C">
        <w:rPr>
          <w:rFonts w:ascii="Arial" w:hAnsi="Arial"/>
          <w:sz w:val="24"/>
        </w:rPr>
        <w:lastRenderedPageBreak/>
        <w:t xml:space="preserve">available for bus operators. TfGM is working with bus operators to assess the likely impacts on services beyond this date. This work includes the requirement for a ‘Network Review’ </w:t>
      </w:r>
      <w:r>
        <w:rPr>
          <w:rFonts w:ascii="Arial" w:hAnsi="Arial"/>
          <w:sz w:val="24"/>
        </w:rPr>
        <w:t xml:space="preserve">being </w:t>
      </w:r>
      <w:r w:rsidRPr="00E0065C">
        <w:rPr>
          <w:rFonts w:ascii="Arial" w:hAnsi="Arial"/>
          <w:sz w:val="24"/>
        </w:rPr>
        <w:t>carried out by GMCA/TfGM, as the Local Transport Authority</w:t>
      </w:r>
      <w:r w:rsidR="00144C23">
        <w:rPr>
          <w:rFonts w:ascii="Arial" w:hAnsi="Arial"/>
          <w:sz w:val="24"/>
        </w:rPr>
        <w:t xml:space="preserve"> (LTA)</w:t>
      </w:r>
      <w:r w:rsidRPr="00E0065C">
        <w:rPr>
          <w:rFonts w:ascii="Arial" w:hAnsi="Arial"/>
          <w:sz w:val="24"/>
        </w:rPr>
        <w:t xml:space="preserve"> for </w:t>
      </w:r>
      <w:proofErr w:type="gramStart"/>
      <w:r w:rsidRPr="00E0065C">
        <w:rPr>
          <w:rFonts w:ascii="Arial" w:hAnsi="Arial"/>
          <w:sz w:val="24"/>
        </w:rPr>
        <w:t>GM, and</w:t>
      </w:r>
      <w:proofErr w:type="gramEnd"/>
      <w:r w:rsidRPr="00E0065C">
        <w:rPr>
          <w:rFonts w:ascii="Arial" w:hAnsi="Arial"/>
          <w:sz w:val="24"/>
        </w:rPr>
        <w:t xml:space="preserve"> </w:t>
      </w:r>
      <w:r>
        <w:rPr>
          <w:rFonts w:ascii="Arial" w:hAnsi="Arial"/>
          <w:sz w:val="24"/>
        </w:rPr>
        <w:t>is</w:t>
      </w:r>
      <w:r w:rsidRPr="00E0065C">
        <w:rPr>
          <w:rFonts w:ascii="Arial" w:hAnsi="Arial"/>
          <w:sz w:val="24"/>
        </w:rPr>
        <w:t xml:space="preserve"> consider</w:t>
      </w:r>
      <w:r>
        <w:rPr>
          <w:rFonts w:ascii="Arial" w:hAnsi="Arial"/>
          <w:sz w:val="24"/>
        </w:rPr>
        <w:t>ing</w:t>
      </w:r>
      <w:r w:rsidRPr="00E0065C">
        <w:rPr>
          <w:rFonts w:ascii="Arial" w:hAnsi="Arial"/>
          <w:sz w:val="24"/>
        </w:rPr>
        <w:t xml:space="preserve"> the future required development of transport across all modes including bus and light rail.</w:t>
      </w:r>
    </w:p>
    <w:p w14:paraId="3F1454D6" w14:textId="77777777" w:rsidR="00016C24" w:rsidRPr="00E0065C" w:rsidRDefault="00016C24" w:rsidP="00E95F9F">
      <w:pPr>
        <w:pStyle w:val="8TfGMStandardDocumentText"/>
        <w:spacing w:after="100" w:afterAutospacing="1"/>
        <w:contextualSpacing/>
        <w:jc w:val="left"/>
        <w:rPr>
          <w:rFonts w:ascii="Arial" w:hAnsi="Arial"/>
          <w:sz w:val="24"/>
        </w:rPr>
      </w:pPr>
    </w:p>
    <w:p w14:paraId="0A0779A0" w14:textId="2BD0F773" w:rsidR="00016C24" w:rsidRPr="00E0065C" w:rsidRDefault="00016C24" w:rsidP="00E95F9F">
      <w:pPr>
        <w:pStyle w:val="8TfGMStandardDocumentText"/>
        <w:spacing w:after="100" w:afterAutospacing="1"/>
        <w:contextualSpacing/>
        <w:jc w:val="left"/>
        <w:rPr>
          <w:rFonts w:ascii="Arial" w:hAnsi="Arial"/>
          <w:sz w:val="24"/>
        </w:rPr>
      </w:pPr>
      <w:r w:rsidRPr="00E0065C">
        <w:rPr>
          <w:rFonts w:ascii="Arial" w:hAnsi="Arial"/>
          <w:sz w:val="24"/>
        </w:rPr>
        <w:t xml:space="preserve">In April 2022, TfGM was informed that that it had been successful in being awarded an indicative revenue funding allocation of up to £94.8 million to commence delivery of the Greater Manchester </w:t>
      </w:r>
      <w:r w:rsidR="00144C23">
        <w:rPr>
          <w:rFonts w:ascii="Arial" w:hAnsi="Arial"/>
        </w:rPr>
        <w:t>Bus Services Improvement Programme (</w:t>
      </w:r>
      <w:r w:rsidRPr="00E0065C">
        <w:rPr>
          <w:rFonts w:ascii="Arial" w:hAnsi="Arial"/>
          <w:sz w:val="24"/>
        </w:rPr>
        <w:t>BSIP</w:t>
      </w:r>
      <w:r w:rsidR="00144C23">
        <w:rPr>
          <w:rFonts w:ascii="Arial" w:hAnsi="Arial"/>
          <w:sz w:val="24"/>
        </w:rPr>
        <w:t>)</w:t>
      </w:r>
      <w:r w:rsidRPr="00E0065C">
        <w:rPr>
          <w:rFonts w:ascii="Arial" w:hAnsi="Arial"/>
          <w:sz w:val="24"/>
        </w:rPr>
        <w:t xml:space="preserve">. This funding is for the period from 2022/23 to 2024/25. As with the situation for other LTA’s, discussions continue with the Department for Transport and HM Treasury prior to a final award being confirmed. </w:t>
      </w:r>
    </w:p>
    <w:p w14:paraId="5BD1A778" w14:textId="77777777" w:rsidR="00016C24" w:rsidRPr="00CA5DB4" w:rsidRDefault="00016C24" w:rsidP="00E95F9F">
      <w:pPr>
        <w:pStyle w:val="8TfGMStandardDocumentText"/>
        <w:spacing w:after="100" w:afterAutospacing="1"/>
        <w:contextualSpacing/>
        <w:jc w:val="left"/>
        <w:rPr>
          <w:rFonts w:ascii="Arial" w:hAnsi="Arial"/>
          <w:sz w:val="24"/>
        </w:rPr>
      </w:pPr>
    </w:p>
    <w:p w14:paraId="15129737" w14:textId="0AB1D02C" w:rsidR="00016C24" w:rsidRPr="008B47AC" w:rsidRDefault="00016C24" w:rsidP="00E95F9F">
      <w:pPr>
        <w:pStyle w:val="8TfGMStandardDocumentText"/>
        <w:spacing w:after="100" w:afterAutospacing="1"/>
        <w:contextualSpacing/>
        <w:jc w:val="left"/>
        <w:rPr>
          <w:rFonts w:ascii="Arial" w:hAnsi="Arial"/>
          <w:sz w:val="24"/>
        </w:rPr>
      </w:pPr>
      <w:r w:rsidRPr="00CA5DB4">
        <w:rPr>
          <w:rFonts w:ascii="Arial" w:hAnsi="Arial"/>
          <w:sz w:val="24"/>
        </w:rPr>
        <w:t>In March 2021, the Mayor of Greater Manchester</w:t>
      </w:r>
      <w:r>
        <w:rPr>
          <w:rFonts w:ascii="Arial" w:hAnsi="Arial"/>
          <w:sz w:val="24"/>
        </w:rPr>
        <w:t xml:space="preserve"> </w:t>
      </w:r>
      <w:proofErr w:type="gramStart"/>
      <w:r w:rsidRPr="00CA5DB4">
        <w:rPr>
          <w:rFonts w:ascii="Arial" w:hAnsi="Arial"/>
          <w:sz w:val="24"/>
        </w:rPr>
        <w:t>made a decision</w:t>
      </w:r>
      <w:proofErr w:type="gramEnd"/>
      <w:r w:rsidRPr="00CA5DB4">
        <w:rPr>
          <w:rFonts w:ascii="Arial" w:hAnsi="Arial"/>
          <w:sz w:val="24"/>
        </w:rPr>
        <w:t>, to implement bus franchising as part of plans for a joined-up and truly passenger-focused transport network.</w:t>
      </w:r>
      <w:r>
        <w:rPr>
          <w:rFonts w:ascii="Arial" w:hAnsi="Arial"/>
          <w:sz w:val="24"/>
        </w:rPr>
        <w:t xml:space="preserve"> </w:t>
      </w:r>
      <w:r w:rsidRPr="00CA5DB4">
        <w:rPr>
          <w:rFonts w:ascii="Arial" w:hAnsi="Arial"/>
          <w:sz w:val="24"/>
        </w:rPr>
        <w:t>Once implemented Greater Manchester will be the first city-region outside London to have buses that are under local control, allowing local leaders to set routes, frequencies, fares and tickets. This will allow GMCA and TfGM to fully integrate buses with the rest of the transport network, as part of a passenger-focused network with easy end-to-end journeys.</w:t>
      </w:r>
      <w:r>
        <w:rPr>
          <w:rFonts w:ascii="Arial" w:hAnsi="Arial"/>
          <w:sz w:val="24"/>
        </w:rPr>
        <w:t xml:space="preserve"> </w:t>
      </w:r>
      <w:r w:rsidRPr="00CA5DB4">
        <w:rPr>
          <w:rFonts w:ascii="Arial" w:hAnsi="Arial"/>
          <w:sz w:val="24"/>
        </w:rPr>
        <w:t xml:space="preserve">TfGM will be implementing and managing bus franchising on behalf of GMCA (the franchising authority). To ensure a smooth transition, franchising will be introduced in phases, with the first franchised buses starting to run in Bolton and Wigan in September 2023. </w:t>
      </w:r>
    </w:p>
    <w:p w14:paraId="053FCCAF" w14:textId="77777777" w:rsidR="00016C24" w:rsidRPr="009D6B32" w:rsidRDefault="00016C24" w:rsidP="00E95F9F">
      <w:pPr>
        <w:pStyle w:val="8TfGMStandardDocumentText"/>
        <w:spacing w:after="100" w:afterAutospacing="1"/>
        <w:contextualSpacing/>
        <w:jc w:val="left"/>
        <w:rPr>
          <w:rFonts w:ascii="Arial" w:hAnsi="Arial"/>
          <w:b/>
          <w:bCs/>
          <w:sz w:val="24"/>
          <w:highlight w:val="lightGray"/>
        </w:rPr>
      </w:pPr>
    </w:p>
    <w:p w14:paraId="7B9C15C9" w14:textId="77777777" w:rsidR="00016C24" w:rsidRPr="00451DD8" w:rsidRDefault="00016C24" w:rsidP="00E95F9F">
      <w:pPr>
        <w:pStyle w:val="8TfGMStandardDocumentText"/>
        <w:spacing w:after="100" w:afterAutospacing="1"/>
        <w:contextualSpacing/>
        <w:jc w:val="left"/>
        <w:rPr>
          <w:rFonts w:ascii="Arial" w:hAnsi="Arial"/>
          <w:sz w:val="24"/>
          <w:u w:val="single"/>
        </w:rPr>
      </w:pPr>
      <w:r w:rsidRPr="00451DD8">
        <w:rPr>
          <w:rFonts w:ascii="Arial" w:hAnsi="Arial"/>
          <w:sz w:val="24"/>
          <w:u w:val="single"/>
        </w:rPr>
        <w:t xml:space="preserve">Rail </w:t>
      </w:r>
    </w:p>
    <w:p w14:paraId="2DFCB369" w14:textId="77777777" w:rsidR="00016C24" w:rsidRPr="00602F57" w:rsidRDefault="00016C24" w:rsidP="00E95F9F">
      <w:pPr>
        <w:pStyle w:val="8TfGMStandardDocumentText"/>
        <w:spacing w:after="100" w:afterAutospacing="1"/>
        <w:contextualSpacing/>
        <w:jc w:val="left"/>
        <w:rPr>
          <w:rFonts w:ascii="Arial" w:hAnsi="Arial"/>
          <w:sz w:val="24"/>
        </w:rPr>
      </w:pPr>
      <w:r w:rsidRPr="00602F57">
        <w:rPr>
          <w:rFonts w:ascii="Arial" w:hAnsi="Arial"/>
          <w:sz w:val="24"/>
        </w:rPr>
        <w:t xml:space="preserve"> </w:t>
      </w:r>
    </w:p>
    <w:p w14:paraId="527B927E" w14:textId="628BCFD8" w:rsidR="00016C24" w:rsidRPr="00602F57" w:rsidRDefault="00016C24" w:rsidP="00E95F9F">
      <w:pPr>
        <w:pStyle w:val="8TfGMStandardDocumentText"/>
        <w:spacing w:after="100" w:afterAutospacing="1"/>
        <w:contextualSpacing/>
        <w:jc w:val="left"/>
        <w:rPr>
          <w:rFonts w:ascii="Arial" w:hAnsi="Arial"/>
          <w:sz w:val="24"/>
        </w:rPr>
      </w:pPr>
      <w:r w:rsidRPr="00602F57">
        <w:rPr>
          <w:rFonts w:ascii="Arial" w:hAnsi="Arial"/>
          <w:sz w:val="24"/>
        </w:rPr>
        <w:t>Greater Manchester is a prominent regional and national centre for rail passenger travel. Typically, 40 million rail trips per year took place (pre</w:t>
      </w:r>
      <w:r>
        <w:rPr>
          <w:rFonts w:ascii="Arial" w:hAnsi="Arial"/>
          <w:sz w:val="24"/>
        </w:rPr>
        <w:t xml:space="preserve"> </w:t>
      </w:r>
      <w:r w:rsidRPr="00602F57">
        <w:rPr>
          <w:rFonts w:ascii="Arial" w:hAnsi="Arial"/>
          <w:sz w:val="24"/>
        </w:rPr>
        <w:t>COVID</w:t>
      </w:r>
      <w:r>
        <w:rPr>
          <w:rFonts w:ascii="Arial" w:hAnsi="Arial"/>
          <w:sz w:val="24"/>
        </w:rPr>
        <w:t>-19</w:t>
      </w:r>
      <w:r w:rsidRPr="00602F57">
        <w:rPr>
          <w:rFonts w:ascii="Arial" w:hAnsi="Arial"/>
          <w:sz w:val="24"/>
        </w:rPr>
        <w:t>) within the Greater Manchester city-region and rail passenger use has increased by 30% over the last decade. A further 30 million trips either started or finished in GM from a location outside the city-region. In the context of journeys to, from and within the wider North West, around 50% of all journeys involve Greater Manchester.</w:t>
      </w:r>
    </w:p>
    <w:p w14:paraId="69AFD352" w14:textId="77777777" w:rsidR="00016C24" w:rsidRPr="00602F57" w:rsidRDefault="00016C24" w:rsidP="00E95F9F">
      <w:pPr>
        <w:pStyle w:val="8TfGMStandardDocumentText"/>
        <w:spacing w:after="100" w:afterAutospacing="1"/>
        <w:contextualSpacing/>
        <w:jc w:val="left"/>
        <w:rPr>
          <w:rFonts w:ascii="Arial" w:hAnsi="Arial"/>
          <w:sz w:val="24"/>
        </w:rPr>
      </w:pPr>
    </w:p>
    <w:p w14:paraId="194AF20B" w14:textId="28B18396" w:rsidR="00016C24" w:rsidRPr="007769BE" w:rsidRDefault="00016C24" w:rsidP="00E95F9F">
      <w:pPr>
        <w:pStyle w:val="8TfGMStandardDocumentText"/>
        <w:spacing w:after="100" w:afterAutospacing="1"/>
        <w:contextualSpacing/>
        <w:jc w:val="left"/>
        <w:rPr>
          <w:rFonts w:ascii="Arial" w:hAnsi="Arial"/>
          <w:sz w:val="24"/>
        </w:rPr>
      </w:pPr>
      <w:r w:rsidRPr="00602F57">
        <w:rPr>
          <w:rFonts w:ascii="Arial" w:hAnsi="Arial"/>
          <w:sz w:val="24"/>
        </w:rPr>
        <w:t xml:space="preserve">Currently, Greater Manchester does not have devolved control over rail services or infrastructure. TfGM therefore takes a collaborative approach to working with Network Rail, rail operators and the Department for Transport in order to see services delivered as effectively as possible. TfGM uses communications channels such as social media to ensure Greater Manchester’s residents are made aware of planned service disruption and improvements, and using local insight, expertise and data continues to make the case for investment from central government. </w:t>
      </w:r>
    </w:p>
    <w:p w14:paraId="6B345022" w14:textId="77777777" w:rsidR="00016C24" w:rsidRPr="00451DD8" w:rsidRDefault="00016C24" w:rsidP="00E95F9F">
      <w:pPr>
        <w:rPr>
          <w:rFonts w:ascii="Arial" w:hAnsi="Arial" w:cs="Arial"/>
          <w:u w:val="single"/>
        </w:rPr>
      </w:pPr>
      <w:r w:rsidRPr="00451DD8">
        <w:rPr>
          <w:rFonts w:ascii="Arial" w:hAnsi="Arial" w:cs="Arial"/>
          <w:u w:val="single"/>
        </w:rPr>
        <w:t>Greater Manchester Clean Air Plan</w:t>
      </w:r>
    </w:p>
    <w:p w14:paraId="50F314C6" w14:textId="77777777" w:rsidR="00016C24" w:rsidRPr="00D7673B" w:rsidRDefault="00016C24" w:rsidP="00E95F9F">
      <w:pPr>
        <w:rPr>
          <w:rFonts w:ascii="Arial" w:hAnsi="Arial" w:cs="Arial"/>
          <w:b/>
          <w:bCs/>
        </w:rPr>
      </w:pPr>
    </w:p>
    <w:p w14:paraId="1870C37A" w14:textId="77777777" w:rsidR="00016C24" w:rsidRPr="00D7673B" w:rsidRDefault="00016C24" w:rsidP="00E95F9F">
      <w:pPr>
        <w:rPr>
          <w:rFonts w:ascii="Arial" w:hAnsi="Arial" w:cs="Arial"/>
        </w:rPr>
      </w:pPr>
      <w:r w:rsidRPr="00D7673B">
        <w:rPr>
          <w:rFonts w:ascii="Arial" w:hAnsi="Arial" w:cs="Arial"/>
        </w:rPr>
        <w:t>The government has instructed many local authorities across the UK to take quick action to bring harmful nitrogen dioxide (NO</w:t>
      </w:r>
      <w:r w:rsidRPr="00D7673B">
        <w:rPr>
          <w:rFonts w:ascii="Arial" w:hAnsi="Arial" w:cs="Arial"/>
          <w:vertAlign w:val="subscript"/>
        </w:rPr>
        <w:t>2</w:t>
      </w:r>
      <w:r w:rsidRPr="00D7673B">
        <w:rPr>
          <w:rFonts w:ascii="Arial" w:hAnsi="Arial" w:cs="Arial"/>
        </w:rPr>
        <w:t>) air pollution levels within legal limits.</w:t>
      </w:r>
    </w:p>
    <w:p w14:paraId="3907E71A" w14:textId="77777777" w:rsidR="00016C24" w:rsidRPr="00D7673B" w:rsidRDefault="00016C24" w:rsidP="00E95F9F">
      <w:pPr>
        <w:rPr>
          <w:rFonts w:ascii="Arial" w:hAnsi="Arial" w:cs="Arial"/>
        </w:rPr>
      </w:pPr>
    </w:p>
    <w:p w14:paraId="7F39AABB" w14:textId="3D11DD78" w:rsidR="00016C24" w:rsidRPr="00D7673B" w:rsidRDefault="00016C24" w:rsidP="00E95F9F">
      <w:pPr>
        <w:rPr>
          <w:rFonts w:ascii="Arial" w:hAnsi="Arial" w:cs="Arial"/>
        </w:rPr>
      </w:pPr>
      <w:r w:rsidRPr="00D7673B">
        <w:rPr>
          <w:rFonts w:ascii="Arial" w:hAnsi="Arial" w:cs="Arial"/>
        </w:rPr>
        <w:t>In Greater Manchester, the ten local authorities, with the support of GMCA and TfGM, are working together to develop a Greater Manchester Clean Air Plan (GM CAP) to tackle NO</w:t>
      </w:r>
      <w:r w:rsidRPr="00D7673B">
        <w:rPr>
          <w:rFonts w:ascii="Arial" w:hAnsi="Arial" w:cs="Arial"/>
          <w:vertAlign w:val="subscript"/>
        </w:rPr>
        <w:t>2</w:t>
      </w:r>
      <w:r w:rsidRPr="00D7673B">
        <w:rPr>
          <w:rFonts w:ascii="Arial" w:hAnsi="Arial" w:cs="Arial"/>
        </w:rPr>
        <w:t xml:space="preserve"> exceedances at the roadside. In June 2021 the GMCA endorsed a final GM Clean Air Plan and policy following a review of the information from the GM CAP consultation and wider data, evidence and modelling work. The plan was then agreed by </w:t>
      </w:r>
      <w:r w:rsidRPr="00D7673B">
        <w:rPr>
          <w:rFonts w:ascii="Arial" w:hAnsi="Arial" w:cs="Arial"/>
        </w:rPr>
        <w:lastRenderedPageBreak/>
        <w:t xml:space="preserve">the ten GM local authorities. </w:t>
      </w:r>
      <w:r w:rsidRPr="00D7673B">
        <w:rPr>
          <w:rFonts w:ascii="Arial" w:eastAsia="Calibri" w:hAnsi="Arial" w:cs="Arial"/>
        </w:rPr>
        <w:t>This included a Greater Manchester-wide category C charging Clean Air Zone (CAZ), where only the most polluting vehicles which don’t meet emission standards would have been charged to drive in the Zone.</w:t>
      </w:r>
    </w:p>
    <w:p w14:paraId="6257C36A" w14:textId="77777777" w:rsidR="00016C24" w:rsidRPr="00D7673B" w:rsidRDefault="00016C24" w:rsidP="00E95F9F">
      <w:pPr>
        <w:rPr>
          <w:rFonts w:ascii="Arial" w:eastAsia="Calibri" w:hAnsi="Arial" w:cs="Arial"/>
        </w:rPr>
      </w:pPr>
    </w:p>
    <w:p w14:paraId="5BF0A088" w14:textId="77777777" w:rsidR="00016C24" w:rsidRPr="00D7673B" w:rsidRDefault="00016C24" w:rsidP="00E95F9F">
      <w:pPr>
        <w:spacing w:after="160"/>
        <w:rPr>
          <w:rFonts w:ascii="Arial" w:eastAsia="Calibri" w:hAnsi="Arial" w:cs="Arial"/>
        </w:rPr>
      </w:pPr>
      <w:r w:rsidRPr="00D7673B">
        <w:rPr>
          <w:rFonts w:ascii="Arial" w:eastAsia="Arial" w:hAnsi="Arial" w:cs="Arial"/>
        </w:rPr>
        <w:t>It was originally intended that the CAZ would go live from 30 May 2022, affecting n</w:t>
      </w:r>
      <w:r w:rsidRPr="00D7673B">
        <w:rPr>
          <w:rFonts w:ascii="Arial" w:hAnsi="Arial" w:cs="Arial"/>
        </w:rPr>
        <w:t>on-compliant HGVs, buses and non-GM-registered taxi and private hire vehicles</w:t>
      </w:r>
      <w:r w:rsidRPr="00D7673B">
        <w:rPr>
          <w:rFonts w:ascii="Arial" w:eastAsia="Arial" w:hAnsi="Arial" w:cs="Arial"/>
        </w:rPr>
        <w:t>. Work to install the CAZ signage and Automatic Number Plate Recognition (ANPR) cameras for monitoring the CAZ began in summer 2021, alongside the development of back office systems.</w:t>
      </w:r>
    </w:p>
    <w:p w14:paraId="394B783E" w14:textId="77777777" w:rsidR="00016C24" w:rsidRPr="00D7673B" w:rsidRDefault="00016C24" w:rsidP="00E95F9F">
      <w:pPr>
        <w:spacing w:after="160"/>
        <w:rPr>
          <w:rFonts w:ascii="Arial" w:eastAsia="Calibri" w:hAnsi="Arial" w:cs="Arial"/>
        </w:rPr>
      </w:pPr>
      <w:r w:rsidRPr="00D7673B">
        <w:rPr>
          <w:rFonts w:ascii="Arial" w:eastAsia="Calibri" w:hAnsi="Arial" w:cs="Arial"/>
        </w:rPr>
        <w:t xml:space="preserve">The CAZ was designed to comply with a legal direction from government issued before the coronavirus pandemic, to deliver compliance with </w:t>
      </w:r>
      <w:r w:rsidRPr="00D7673B">
        <w:rPr>
          <w:rFonts w:ascii="Arial" w:hAnsi="Arial" w:cs="Arial"/>
        </w:rPr>
        <w:t>NO</w:t>
      </w:r>
      <w:r w:rsidRPr="00D7673B">
        <w:rPr>
          <w:rFonts w:ascii="Arial" w:hAnsi="Arial" w:cs="Arial"/>
          <w:vertAlign w:val="subscript"/>
        </w:rPr>
        <w:t xml:space="preserve">2 </w:t>
      </w:r>
      <w:r w:rsidRPr="00D7673B">
        <w:rPr>
          <w:rFonts w:ascii="Arial" w:eastAsia="Calibri" w:hAnsi="Arial" w:cs="Arial"/>
        </w:rPr>
        <w:t>legal limits on the local road network by 2024. However, since then there have been significant vehicle supply chain issues and the cost of living has increased leading to concerns about the availability of compliant vehicles and financial hardship for local people.</w:t>
      </w:r>
    </w:p>
    <w:p w14:paraId="1F50BF83" w14:textId="716A2579" w:rsidR="00016C24" w:rsidRPr="00D7673B" w:rsidRDefault="00016C24" w:rsidP="00E95F9F">
      <w:pPr>
        <w:spacing w:after="160"/>
        <w:rPr>
          <w:rFonts w:ascii="Arial" w:eastAsia="Calibri" w:hAnsi="Arial" w:cs="Arial"/>
        </w:rPr>
      </w:pPr>
      <w:r w:rsidRPr="00D7673B">
        <w:rPr>
          <w:rFonts w:ascii="Arial" w:eastAsia="Calibri" w:hAnsi="Arial" w:cs="Arial"/>
        </w:rPr>
        <w:t>Late last year, Greater Manchester commissioned an independent review of emerging global supply chain issues and the impact this could have on the cost and availability of vehicles. Based on this the Greater Manchester Mayor and Leaders determined that the original Clean Air Plan was unworkable, Government agreed in February 2022 to lift the previous legal direction requiring GM to achieve compliance with legal NO</w:t>
      </w:r>
      <w:r w:rsidRPr="00D7673B">
        <w:rPr>
          <w:rFonts w:ascii="Cambria Math" w:eastAsia="Calibri" w:hAnsi="Cambria Math" w:cs="Cambria Math"/>
        </w:rPr>
        <w:t>₂</w:t>
      </w:r>
      <w:r w:rsidRPr="00D7673B">
        <w:rPr>
          <w:rFonts w:ascii="Arial" w:eastAsia="Calibri" w:hAnsi="Arial" w:cs="Arial"/>
        </w:rPr>
        <w:t xml:space="preserve"> limits by 2024.</w:t>
      </w:r>
      <w:r>
        <w:rPr>
          <w:rFonts w:ascii="Arial" w:eastAsia="Calibri" w:hAnsi="Arial" w:cs="Arial"/>
        </w:rPr>
        <w:t xml:space="preserve"> </w:t>
      </w:r>
      <w:r w:rsidRPr="00D7673B">
        <w:rPr>
          <w:rFonts w:ascii="Arial" w:eastAsia="Calibri" w:hAnsi="Arial" w:cs="Arial"/>
        </w:rPr>
        <w:t xml:space="preserve">Government </w:t>
      </w:r>
      <w:r>
        <w:rPr>
          <w:rFonts w:ascii="Arial" w:eastAsia="Calibri" w:hAnsi="Arial" w:cs="Arial"/>
        </w:rPr>
        <w:t xml:space="preserve">gave </w:t>
      </w:r>
      <w:r w:rsidRPr="00D7673B">
        <w:rPr>
          <w:rFonts w:ascii="Arial" w:eastAsia="Calibri" w:hAnsi="Arial" w:cs="Arial"/>
        </w:rPr>
        <w:t>Greater Manchester until July 2022 to present a revised plan to achieve compliance with legal levels of NO</w:t>
      </w:r>
      <w:r w:rsidRPr="00D7673B">
        <w:rPr>
          <w:rFonts w:ascii="Cambria Math" w:eastAsia="Calibri" w:hAnsi="Cambria Math" w:cs="Cambria Math"/>
        </w:rPr>
        <w:t>₂</w:t>
      </w:r>
      <w:r w:rsidRPr="00D7673B">
        <w:rPr>
          <w:rFonts w:ascii="Arial" w:eastAsia="Calibri" w:hAnsi="Arial" w:cs="Arial"/>
        </w:rPr>
        <w:t xml:space="preserve"> on the local road network in the shortest time possible and by no later than 2026</w:t>
      </w:r>
      <w:r>
        <w:rPr>
          <w:rFonts w:ascii="Arial" w:eastAsia="Calibri" w:hAnsi="Arial" w:cs="Arial"/>
        </w:rPr>
        <w:t>. This was submitted on 1 July 2022.</w:t>
      </w:r>
    </w:p>
    <w:p w14:paraId="77CFC806" w14:textId="77777777" w:rsidR="00016C24" w:rsidRPr="00982EF6" w:rsidRDefault="00016C24" w:rsidP="00016C24">
      <w:pPr>
        <w:pStyle w:val="Heading3"/>
        <w:spacing w:after="120"/>
        <w:rPr>
          <w:sz w:val="24"/>
          <w:szCs w:val="24"/>
        </w:rPr>
      </w:pPr>
      <w:bookmarkStart w:id="37" w:name="_Toc109922588"/>
      <w:r w:rsidRPr="00982EF6">
        <w:rPr>
          <w:sz w:val="24"/>
          <w:szCs w:val="24"/>
        </w:rPr>
        <w:t>Greater Manchester Local Enterprise Partnership (LEP)</w:t>
      </w:r>
      <w:bookmarkEnd w:id="37"/>
      <w:r w:rsidRPr="00982EF6">
        <w:rPr>
          <w:sz w:val="24"/>
          <w:szCs w:val="24"/>
        </w:rPr>
        <w:t xml:space="preserve"> </w:t>
      </w:r>
    </w:p>
    <w:p w14:paraId="79397A4C" w14:textId="77777777" w:rsidR="00016C24" w:rsidRPr="00C34F59" w:rsidRDefault="00016C24" w:rsidP="00016C24">
      <w:pPr>
        <w:pStyle w:val="Normal0"/>
        <w:spacing w:after="120" w:line="240" w:lineRule="auto"/>
        <w:rPr>
          <w:rFonts w:ascii="Arial" w:hAnsi="Arial" w:cs="Arial"/>
          <w:sz w:val="24"/>
          <w:szCs w:val="24"/>
          <w:lang w:val="en-GB"/>
        </w:rPr>
      </w:pPr>
      <w:bookmarkStart w:id="38" w:name="_Hlk106981449"/>
      <w:r w:rsidRPr="00C34F59">
        <w:rPr>
          <w:rFonts w:ascii="Arial" w:hAnsi="Arial" w:cs="Arial"/>
          <w:sz w:val="24"/>
          <w:szCs w:val="24"/>
          <w:lang w:val="en-GB"/>
        </w:rPr>
        <w:t xml:space="preserve">The Authority acts as the accountable body for the Greater Manchester LEP, with funds such as, Growth Deal, LEP Capacity and Business Growth Hub being awarded to it. The tables below show Income and Expenditure activity within 2021/22, along with funds held in reserves on behalf of the LEP. </w:t>
      </w:r>
    </w:p>
    <w:tbl>
      <w:tblPr>
        <w:tblStyle w:val="TableGrid1"/>
        <w:tblW w:w="0" w:type="auto"/>
        <w:tblLook w:val="04A0" w:firstRow="1" w:lastRow="0" w:firstColumn="1" w:lastColumn="0" w:noHBand="0" w:noVBand="1"/>
      </w:tblPr>
      <w:tblGrid>
        <w:gridCol w:w="3964"/>
        <w:gridCol w:w="1276"/>
        <w:gridCol w:w="1603"/>
        <w:gridCol w:w="1417"/>
      </w:tblGrid>
      <w:tr w:rsidR="00016C24" w:rsidRPr="00C34F59" w14:paraId="5E55DB51" w14:textId="77777777" w:rsidTr="00500FD5">
        <w:tc>
          <w:tcPr>
            <w:tcW w:w="3964" w:type="dxa"/>
            <w:tcBorders>
              <w:bottom w:val="single" w:sz="4" w:space="0" w:color="auto"/>
            </w:tcBorders>
          </w:tcPr>
          <w:p w14:paraId="2D15BA02" w14:textId="77777777" w:rsidR="00016C24" w:rsidRPr="00C34F59" w:rsidRDefault="00016C24" w:rsidP="00500FD5">
            <w:pPr>
              <w:pStyle w:val="NoSpacing"/>
              <w:rPr>
                <w:rFonts w:ascii="Arial" w:hAnsi="Arial" w:cs="Arial"/>
                <w:sz w:val="24"/>
                <w:szCs w:val="24"/>
                <w:lang w:val="en-GB"/>
              </w:rPr>
            </w:pPr>
          </w:p>
        </w:tc>
        <w:tc>
          <w:tcPr>
            <w:tcW w:w="1276" w:type="dxa"/>
            <w:tcBorders>
              <w:bottom w:val="single" w:sz="4" w:space="0" w:color="auto"/>
            </w:tcBorders>
          </w:tcPr>
          <w:p w14:paraId="358DB711" w14:textId="77777777" w:rsidR="00016C24" w:rsidRPr="00C34F59" w:rsidRDefault="00016C24" w:rsidP="00500FD5">
            <w:pPr>
              <w:pStyle w:val="NoSpacing"/>
              <w:jc w:val="right"/>
              <w:rPr>
                <w:rFonts w:ascii="Arial" w:hAnsi="Arial" w:cs="Arial"/>
                <w:b/>
                <w:bCs/>
                <w:sz w:val="24"/>
                <w:szCs w:val="24"/>
                <w:lang w:val="en-GB"/>
              </w:rPr>
            </w:pPr>
            <w:r w:rsidRPr="00C34F59">
              <w:rPr>
                <w:rFonts w:ascii="Arial" w:hAnsi="Arial" w:cs="Arial"/>
                <w:b/>
                <w:bCs/>
                <w:sz w:val="24"/>
                <w:szCs w:val="24"/>
                <w:lang w:val="en-GB"/>
              </w:rPr>
              <w:t>Income</w:t>
            </w:r>
          </w:p>
          <w:p w14:paraId="18B4E6F0" w14:textId="77777777" w:rsidR="00016C24" w:rsidRPr="00C34F59" w:rsidRDefault="00016C24" w:rsidP="00500FD5">
            <w:pPr>
              <w:pStyle w:val="NoSpacing"/>
              <w:jc w:val="right"/>
              <w:rPr>
                <w:rFonts w:ascii="Arial" w:hAnsi="Arial" w:cs="Arial"/>
                <w:b/>
                <w:bCs/>
                <w:sz w:val="24"/>
                <w:szCs w:val="24"/>
                <w:lang w:val="en-GB"/>
              </w:rPr>
            </w:pPr>
            <w:r w:rsidRPr="00C34F59">
              <w:rPr>
                <w:rFonts w:ascii="Arial" w:hAnsi="Arial" w:cs="Arial"/>
                <w:b/>
                <w:bCs/>
                <w:sz w:val="24"/>
                <w:szCs w:val="24"/>
                <w:lang w:val="en-GB"/>
              </w:rPr>
              <w:t>£000s</w:t>
            </w:r>
          </w:p>
        </w:tc>
        <w:tc>
          <w:tcPr>
            <w:tcW w:w="1603" w:type="dxa"/>
            <w:tcBorders>
              <w:bottom w:val="single" w:sz="4" w:space="0" w:color="auto"/>
            </w:tcBorders>
          </w:tcPr>
          <w:p w14:paraId="6F0C3DE8" w14:textId="77777777" w:rsidR="00016C24" w:rsidRPr="00C34F59" w:rsidRDefault="00016C24" w:rsidP="00500FD5">
            <w:pPr>
              <w:pStyle w:val="NoSpacing"/>
              <w:jc w:val="right"/>
              <w:rPr>
                <w:rFonts w:ascii="Arial" w:hAnsi="Arial" w:cs="Arial"/>
                <w:b/>
                <w:bCs/>
                <w:sz w:val="24"/>
                <w:szCs w:val="24"/>
                <w:lang w:val="en-GB"/>
              </w:rPr>
            </w:pPr>
            <w:r w:rsidRPr="00C34F59">
              <w:rPr>
                <w:rFonts w:ascii="Arial" w:hAnsi="Arial" w:cs="Arial"/>
                <w:b/>
                <w:bCs/>
                <w:sz w:val="24"/>
                <w:szCs w:val="24"/>
                <w:lang w:val="en-GB"/>
              </w:rPr>
              <w:t>Expenditure</w:t>
            </w:r>
          </w:p>
          <w:p w14:paraId="43AFDA60" w14:textId="77777777" w:rsidR="00016C24" w:rsidRPr="00C34F59" w:rsidRDefault="00016C24" w:rsidP="00500FD5">
            <w:pPr>
              <w:pStyle w:val="NoSpacing"/>
              <w:jc w:val="right"/>
              <w:rPr>
                <w:rFonts w:ascii="Arial" w:hAnsi="Arial" w:cs="Arial"/>
                <w:b/>
                <w:bCs/>
                <w:sz w:val="24"/>
                <w:szCs w:val="24"/>
                <w:lang w:val="en-GB"/>
              </w:rPr>
            </w:pPr>
            <w:r w:rsidRPr="00C34F59">
              <w:rPr>
                <w:rFonts w:ascii="Arial" w:hAnsi="Arial" w:cs="Arial"/>
                <w:b/>
                <w:bCs/>
                <w:sz w:val="24"/>
                <w:szCs w:val="24"/>
                <w:lang w:val="en-GB"/>
              </w:rPr>
              <w:t>£000s</w:t>
            </w:r>
          </w:p>
        </w:tc>
        <w:tc>
          <w:tcPr>
            <w:tcW w:w="1417" w:type="dxa"/>
            <w:tcBorders>
              <w:bottom w:val="single" w:sz="4" w:space="0" w:color="auto"/>
            </w:tcBorders>
          </w:tcPr>
          <w:p w14:paraId="4C5980B2" w14:textId="77777777" w:rsidR="00016C24" w:rsidRPr="00C34F59" w:rsidRDefault="00016C24" w:rsidP="00500FD5">
            <w:pPr>
              <w:pStyle w:val="NoSpacing"/>
              <w:jc w:val="right"/>
              <w:rPr>
                <w:rFonts w:ascii="Arial" w:hAnsi="Arial" w:cs="Arial"/>
                <w:b/>
                <w:bCs/>
                <w:sz w:val="24"/>
                <w:szCs w:val="24"/>
                <w:lang w:val="en-GB"/>
              </w:rPr>
            </w:pPr>
            <w:r w:rsidRPr="00C34F59">
              <w:rPr>
                <w:rFonts w:ascii="Arial" w:hAnsi="Arial" w:cs="Arial"/>
                <w:b/>
                <w:bCs/>
                <w:sz w:val="24"/>
                <w:szCs w:val="24"/>
                <w:lang w:val="en-GB"/>
              </w:rPr>
              <w:t>Variance</w:t>
            </w:r>
          </w:p>
          <w:p w14:paraId="20AB151E" w14:textId="77777777" w:rsidR="00016C24" w:rsidRPr="00C34F59" w:rsidRDefault="00016C24" w:rsidP="00500FD5">
            <w:pPr>
              <w:pStyle w:val="NoSpacing"/>
              <w:jc w:val="right"/>
              <w:rPr>
                <w:rFonts w:ascii="Arial" w:hAnsi="Arial" w:cs="Arial"/>
                <w:b/>
                <w:bCs/>
                <w:sz w:val="24"/>
                <w:szCs w:val="24"/>
                <w:lang w:val="en-GB"/>
              </w:rPr>
            </w:pPr>
            <w:r w:rsidRPr="00C34F59">
              <w:rPr>
                <w:rFonts w:ascii="Arial" w:hAnsi="Arial" w:cs="Arial"/>
                <w:b/>
                <w:bCs/>
                <w:sz w:val="24"/>
                <w:szCs w:val="24"/>
                <w:lang w:val="en-GB"/>
              </w:rPr>
              <w:t>£000s</w:t>
            </w:r>
          </w:p>
        </w:tc>
      </w:tr>
      <w:tr w:rsidR="00016C24" w:rsidRPr="00C34F59" w14:paraId="3FA2EFF7" w14:textId="77777777" w:rsidTr="00500FD5">
        <w:tc>
          <w:tcPr>
            <w:tcW w:w="3964" w:type="dxa"/>
            <w:tcBorders>
              <w:top w:val="single" w:sz="4" w:space="0" w:color="auto"/>
              <w:left w:val="single" w:sz="4" w:space="0" w:color="auto"/>
              <w:bottom w:val="nil"/>
              <w:right w:val="single" w:sz="4" w:space="0" w:color="auto"/>
            </w:tcBorders>
          </w:tcPr>
          <w:p w14:paraId="1ECB8DD7" w14:textId="77777777" w:rsidR="00016C24" w:rsidRPr="00C34F59" w:rsidRDefault="00016C24" w:rsidP="00500FD5">
            <w:pPr>
              <w:pStyle w:val="NoSpacing"/>
              <w:rPr>
                <w:rFonts w:ascii="Arial" w:hAnsi="Arial" w:cs="Arial"/>
                <w:b/>
                <w:bCs/>
                <w:sz w:val="24"/>
                <w:szCs w:val="24"/>
                <w:lang w:val="en-GB"/>
              </w:rPr>
            </w:pPr>
            <w:r w:rsidRPr="00C34F59">
              <w:rPr>
                <w:rFonts w:ascii="Arial" w:hAnsi="Arial" w:cs="Arial"/>
                <w:b/>
                <w:bCs/>
                <w:sz w:val="24"/>
                <w:szCs w:val="24"/>
                <w:lang w:val="en-GB"/>
              </w:rPr>
              <w:t>Revenue Funds</w:t>
            </w:r>
          </w:p>
        </w:tc>
        <w:tc>
          <w:tcPr>
            <w:tcW w:w="1276" w:type="dxa"/>
            <w:tcBorders>
              <w:top w:val="single" w:sz="4" w:space="0" w:color="auto"/>
              <w:left w:val="single" w:sz="4" w:space="0" w:color="auto"/>
              <w:bottom w:val="nil"/>
              <w:right w:val="single" w:sz="4" w:space="0" w:color="auto"/>
            </w:tcBorders>
          </w:tcPr>
          <w:p w14:paraId="020D3BAA" w14:textId="77777777" w:rsidR="00016C24" w:rsidRPr="00C34F59" w:rsidRDefault="00016C24" w:rsidP="00500FD5">
            <w:pPr>
              <w:pStyle w:val="NoSpacing"/>
              <w:rPr>
                <w:rFonts w:ascii="Arial" w:hAnsi="Arial" w:cs="Arial"/>
                <w:sz w:val="24"/>
                <w:szCs w:val="24"/>
                <w:lang w:val="en-GB"/>
              </w:rPr>
            </w:pPr>
          </w:p>
        </w:tc>
        <w:tc>
          <w:tcPr>
            <w:tcW w:w="1603" w:type="dxa"/>
            <w:tcBorders>
              <w:top w:val="single" w:sz="4" w:space="0" w:color="auto"/>
              <w:left w:val="single" w:sz="4" w:space="0" w:color="auto"/>
              <w:bottom w:val="nil"/>
              <w:right w:val="single" w:sz="4" w:space="0" w:color="auto"/>
            </w:tcBorders>
          </w:tcPr>
          <w:p w14:paraId="50B691F8" w14:textId="77777777" w:rsidR="00016C24" w:rsidRPr="00C34F59" w:rsidRDefault="00016C24" w:rsidP="00500FD5">
            <w:pPr>
              <w:pStyle w:val="NoSpacing"/>
              <w:rPr>
                <w:rFonts w:ascii="Arial" w:hAnsi="Arial" w:cs="Arial"/>
                <w:sz w:val="24"/>
                <w:szCs w:val="24"/>
                <w:lang w:val="en-GB"/>
              </w:rPr>
            </w:pPr>
          </w:p>
        </w:tc>
        <w:tc>
          <w:tcPr>
            <w:tcW w:w="1417" w:type="dxa"/>
            <w:tcBorders>
              <w:top w:val="single" w:sz="4" w:space="0" w:color="auto"/>
              <w:left w:val="single" w:sz="4" w:space="0" w:color="auto"/>
              <w:bottom w:val="nil"/>
              <w:right w:val="single" w:sz="4" w:space="0" w:color="auto"/>
            </w:tcBorders>
          </w:tcPr>
          <w:p w14:paraId="070AAD31" w14:textId="77777777" w:rsidR="00016C24" w:rsidRPr="00C34F59" w:rsidRDefault="00016C24" w:rsidP="00500FD5">
            <w:pPr>
              <w:pStyle w:val="NoSpacing"/>
              <w:rPr>
                <w:rFonts w:ascii="Arial" w:hAnsi="Arial" w:cs="Arial"/>
                <w:sz w:val="24"/>
                <w:szCs w:val="24"/>
                <w:lang w:val="en-GB"/>
              </w:rPr>
            </w:pPr>
          </w:p>
        </w:tc>
      </w:tr>
      <w:tr w:rsidR="00016C24" w:rsidRPr="00C34F59" w14:paraId="34603424" w14:textId="77777777" w:rsidTr="00500FD5">
        <w:tc>
          <w:tcPr>
            <w:tcW w:w="3964" w:type="dxa"/>
            <w:tcBorders>
              <w:top w:val="nil"/>
              <w:left w:val="single" w:sz="4" w:space="0" w:color="auto"/>
              <w:bottom w:val="nil"/>
              <w:right w:val="single" w:sz="4" w:space="0" w:color="auto"/>
            </w:tcBorders>
          </w:tcPr>
          <w:p w14:paraId="68DCB54A" w14:textId="77777777" w:rsidR="00016C24" w:rsidRPr="00C34F59" w:rsidRDefault="00016C24" w:rsidP="00500FD5">
            <w:pPr>
              <w:pStyle w:val="NoSpacing"/>
              <w:rPr>
                <w:rFonts w:ascii="Arial" w:hAnsi="Arial" w:cs="Arial"/>
                <w:sz w:val="24"/>
                <w:szCs w:val="24"/>
                <w:lang w:val="en-GB"/>
              </w:rPr>
            </w:pPr>
            <w:r w:rsidRPr="00C34F59">
              <w:rPr>
                <w:rFonts w:ascii="Arial" w:hAnsi="Arial" w:cs="Arial"/>
                <w:sz w:val="24"/>
                <w:szCs w:val="24"/>
                <w:lang w:val="en-GB"/>
              </w:rPr>
              <w:t>LEP Capacity</w:t>
            </w:r>
          </w:p>
        </w:tc>
        <w:tc>
          <w:tcPr>
            <w:tcW w:w="1276" w:type="dxa"/>
            <w:tcBorders>
              <w:top w:val="nil"/>
              <w:left w:val="single" w:sz="4" w:space="0" w:color="auto"/>
              <w:bottom w:val="nil"/>
              <w:right w:val="single" w:sz="4" w:space="0" w:color="auto"/>
            </w:tcBorders>
          </w:tcPr>
          <w:p w14:paraId="7623BA8F" w14:textId="77777777" w:rsidR="00016C24" w:rsidRPr="00C34F59" w:rsidRDefault="00016C24" w:rsidP="00500FD5">
            <w:pPr>
              <w:pStyle w:val="NoSpacing"/>
              <w:jc w:val="right"/>
              <w:rPr>
                <w:rFonts w:ascii="Arial" w:hAnsi="Arial" w:cs="Arial"/>
                <w:sz w:val="24"/>
                <w:szCs w:val="24"/>
                <w:lang w:val="en-GB"/>
              </w:rPr>
            </w:pPr>
            <w:r w:rsidRPr="00C34F59">
              <w:rPr>
                <w:rFonts w:ascii="Arial" w:hAnsi="Arial" w:cs="Arial"/>
                <w:sz w:val="24"/>
                <w:szCs w:val="24"/>
                <w:lang w:val="en-GB"/>
              </w:rPr>
              <w:t>(</w:t>
            </w:r>
            <w:r>
              <w:rPr>
                <w:rFonts w:ascii="Arial" w:hAnsi="Arial" w:cs="Arial"/>
                <w:sz w:val="24"/>
                <w:szCs w:val="24"/>
                <w:lang w:val="en-GB"/>
              </w:rPr>
              <w:t>556</w:t>
            </w:r>
            <w:r w:rsidRPr="00C34F59">
              <w:rPr>
                <w:rFonts w:ascii="Arial" w:hAnsi="Arial" w:cs="Arial"/>
                <w:sz w:val="24"/>
                <w:szCs w:val="24"/>
                <w:lang w:val="en-GB"/>
              </w:rPr>
              <w:t>)</w:t>
            </w:r>
          </w:p>
        </w:tc>
        <w:tc>
          <w:tcPr>
            <w:tcW w:w="1603" w:type="dxa"/>
            <w:tcBorders>
              <w:top w:val="nil"/>
              <w:left w:val="single" w:sz="4" w:space="0" w:color="auto"/>
              <w:bottom w:val="nil"/>
              <w:right w:val="single" w:sz="4" w:space="0" w:color="auto"/>
            </w:tcBorders>
          </w:tcPr>
          <w:p w14:paraId="53B9089E" w14:textId="77777777" w:rsidR="00016C24" w:rsidRPr="00C34F59" w:rsidRDefault="00016C24" w:rsidP="00500FD5">
            <w:pPr>
              <w:pStyle w:val="NoSpacing"/>
              <w:jc w:val="right"/>
              <w:rPr>
                <w:rFonts w:ascii="Arial" w:hAnsi="Arial" w:cs="Arial"/>
                <w:sz w:val="24"/>
                <w:szCs w:val="24"/>
                <w:lang w:val="en-GB"/>
              </w:rPr>
            </w:pPr>
            <w:r>
              <w:rPr>
                <w:rFonts w:ascii="Arial" w:hAnsi="Arial" w:cs="Arial"/>
                <w:sz w:val="24"/>
                <w:szCs w:val="24"/>
                <w:lang w:val="en-GB"/>
              </w:rPr>
              <w:t>556</w:t>
            </w:r>
          </w:p>
        </w:tc>
        <w:tc>
          <w:tcPr>
            <w:tcW w:w="1417" w:type="dxa"/>
            <w:tcBorders>
              <w:top w:val="nil"/>
              <w:left w:val="single" w:sz="4" w:space="0" w:color="auto"/>
              <w:bottom w:val="nil"/>
              <w:right w:val="single" w:sz="4" w:space="0" w:color="auto"/>
            </w:tcBorders>
          </w:tcPr>
          <w:p w14:paraId="7C8C7B39" w14:textId="77777777" w:rsidR="00016C24" w:rsidRPr="00C34F59" w:rsidRDefault="00016C24" w:rsidP="00500FD5">
            <w:pPr>
              <w:pStyle w:val="NoSpacing"/>
              <w:jc w:val="right"/>
              <w:rPr>
                <w:rFonts w:ascii="Arial" w:hAnsi="Arial" w:cs="Arial"/>
                <w:sz w:val="24"/>
                <w:szCs w:val="24"/>
                <w:lang w:val="en-GB"/>
              </w:rPr>
            </w:pPr>
            <w:r w:rsidRPr="00C34F59">
              <w:rPr>
                <w:rFonts w:ascii="Arial" w:hAnsi="Arial" w:cs="Arial"/>
                <w:sz w:val="24"/>
                <w:szCs w:val="24"/>
                <w:lang w:val="en-GB"/>
              </w:rPr>
              <w:t>0</w:t>
            </w:r>
          </w:p>
        </w:tc>
      </w:tr>
      <w:tr w:rsidR="00016C24" w:rsidRPr="00C34F59" w14:paraId="50D63CA7" w14:textId="77777777" w:rsidTr="00500FD5">
        <w:tc>
          <w:tcPr>
            <w:tcW w:w="3964" w:type="dxa"/>
            <w:tcBorders>
              <w:top w:val="nil"/>
              <w:left w:val="single" w:sz="4" w:space="0" w:color="auto"/>
              <w:bottom w:val="nil"/>
              <w:right w:val="single" w:sz="4" w:space="0" w:color="auto"/>
            </w:tcBorders>
          </w:tcPr>
          <w:p w14:paraId="69BD1B6C" w14:textId="77777777" w:rsidR="00016C24" w:rsidRPr="00C34F59" w:rsidRDefault="00016C24" w:rsidP="00500FD5">
            <w:pPr>
              <w:pStyle w:val="NoSpacing"/>
              <w:rPr>
                <w:rFonts w:ascii="Arial" w:hAnsi="Arial" w:cs="Arial"/>
                <w:sz w:val="24"/>
                <w:szCs w:val="24"/>
                <w:lang w:val="en-GB"/>
              </w:rPr>
            </w:pPr>
            <w:r w:rsidRPr="00C34F59">
              <w:rPr>
                <w:rFonts w:ascii="Arial" w:hAnsi="Arial" w:cs="Arial"/>
                <w:sz w:val="24"/>
                <w:szCs w:val="24"/>
                <w:lang w:val="en-GB"/>
              </w:rPr>
              <w:t>Business Growth Hub</w:t>
            </w:r>
          </w:p>
        </w:tc>
        <w:tc>
          <w:tcPr>
            <w:tcW w:w="1276" w:type="dxa"/>
            <w:tcBorders>
              <w:top w:val="nil"/>
              <w:left w:val="single" w:sz="4" w:space="0" w:color="auto"/>
              <w:bottom w:val="nil"/>
              <w:right w:val="single" w:sz="4" w:space="0" w:color="auto"/>
            </w:tcBorders>
          </w:tcPr>
          <w:p w14:paraId="16D1EFFA" w14:textId="77777777" w:rsidR="00016C24" w:rsidRPr="00C34F59" w:rsidRDefault="00016C24" w:rsidP="00500FD5">
            <w:pPr>
              <w:pStyle w:val="NoSpacing"/>
              <w:jc w:val="right"/>
              <w:rPr>
                <w:rFonts w:ascii="Arial" w:hAnsi="Arial" w:cs="Arial"/>
                <w:sz w:val="24"/>
                <w:szCs w:val="24"/>
                <w:lang w:val="en-GB"/>
              </w:rPr>
            </w:pPr>
            <w:r w:rsidRPr="00C34F59">
              <w:rPr>
                <w:rFonts w:ascii="Arial" w:hAnsi="Arial" w:cs="Arial"/>
                <w:sz w:val="24"/>
                <w:szCs w:val="24"/>
                <w:lang w:val="en-GB"/>
              </w:rPr>
              <w:t>(</w:t>
            </w:r>
            <w:r>
              <w:rPr>
                <w:rFonts w:ascii="Arial" w:hAnsi="Arial" w:cs="Arial"/>
                <w:sz w:val="24"/>
                <w:szCs w:val="24"/>
                <w:lang w:val="en-GB"/>
              </w:rPr>
              <w:t>780</w:t>
            </w:r>
            <w:r w:rsidRPr="00C34F59">
              <w:rPr>
                <w:rFonts w:ascii="Arial" w:hAnsi="Arial" w:cs="Arial"/>
                <w:sz w:val="24"/>
                <w:szCs w:val="24"/>
                <w:lang w:val="en-GB"/>
              </w:rPr>
              <w:t>)</w:t>
            </w:r>
          </w:p>
        </w:tc>
        <w:tc>
          <w:tcPr>
            <w:tcW w:w="1603" w:type="dxa"/>
            <w:tcBorders>
              <w:top w:val="nil"/>
              <w:left w:val="single" w:sz="4" w:space="0" w:color="auto"/>
              <w:bottom w:val="nil"/>
              <w:right w:val="single" w:sz="4" w:space="0" w:color="auto"/>
            </w:tcBorders>
          </w:tcPr>
          <w:p w14:paraId="0EF01953" w14:textId="77777777" w:rsidR="00016C24" w:rsidRPr="00C34F59" w:rsidRDefault="00016C24" w:rsidP="00500FD5">
            <w:pPr>
              <w:pStyle w:val="NoSpacing"/>
              <w:jc w:val="right"/>
              <w:rPr>
                <w:rFonts w:ascii="Arial" w:hAnsi="Arial" w:cs="Arial"/>
                <w:sz w:val="24"/>
                <w:szCs w:val="24"/>
                <w:lang w:val="en-GB"/>
              </w:rPr>
            </w:pPr>
            <w:r>
              <w:rPr>
                <w:rFonts w:ascii="Arial" w:hAnsi="Arial" w:cs="Arial"/>
                <w:sz w:val="24"/>
                <w:szCs w:val="24"/>
                <w:lang w:val="en-GB"/>
              </w:rPr>
              <w:t>780</w:t>
            </w:r>
          </w:p>
        </w:tc>
        <w:tc>
          <w:tcPr>
            <w:tcW w:w="1417" w:type="dxa"/>
            <w:tcBorders>
              <w:top w:val="nil"/>
              <w:left w:val="single" w:sz="4" w:space="0" w:color="auto"/>
              <w:bottom w:val="nil"/>
              <w:right w:val="single" w:sz="4" w:space="0" w:color="auto"/>
            </w:tcBorders>
          </w:tcPr>
          <w:p w14:paraId="2C082DEA" w14:textId="77777777" w:rsidR="00016C24" w:rsidRPr="00C34F59" w:rsidRDefault="00016C24" w:rsidP="00500FD5">
            <w:pPr>
              <w:pStyle w:val="NoSpacing"/>
              <w:jc w:val="right"/>
              <w:rPr>
                <w:rFonts w:ascii="Arial" w:hAnsi="Arial" w:cs="Arial"/>
                <w:sz w:val="24"/>
                <w:szCs w:val="24"/>
                <w:lang w:val="en-GB"/>
              </w:rPr>
            </w:pPr>
            <w:r w:rsidRPr="00C34F59">
              <w:rPr>
                <w:rFonts w:ascii="Arial" w:hAnsi="Arial" w:cs="Arial"/>
                <w:sz w:val="24"/>
                <w:szCs w:val="24"/>
                <w:lang w:val="en-GB"/>
              </w:rPr>
              <w:t>0</w:t>
            </w:r>
          </w:p>
        </w:tc>
      </w:tr>
      <w:tr w:rsidR="00016C24" w:rsidRPr="00C34F59" w14:paraId="1DB109E2" w14:textId="77777777" w:rsidTr="00500FD5">
        <w:tc>
          <w:tcPr>
            <w:tcW w:w="3964" w:type="dxa"/>
            <w:tcBorders>
              <w:top w:val="single" w:sz="4" w:space="0" w:color="auto"/>
              <w:left w:val="single" w:sz="4" w:space="0" w:color="auto"/>
              <w:bottom w:val="single" w:sz="4" w:space="0" w:color="auto"/>
              <w:right w:val="single" w:sz="4" w:space="0" w:color="auto"/>
            </w:tcBorders>
          </w:tcPr>
          <w:p w14:paraId="45E1B9EB" w14:textId="77777777" w:rsidR="00016C24" w:rsidRPr="00C34F59" w:rsidRDefault="00016C24" w:rsidP="00500FD5">
            <w:pPr>
              <w:pStyle w:val="NoSpacing"/>
              <w:rPr>
                <w:rFonts w:ascii="Arial" w:hAnsi="Arial" w:cs="Arial"/>
                <w:b/>
                <w:bCs/>
                <w:sz w:val="24"/>
                <w:szCs w:val="24"/>
                <w:lang w:val="en-GB"/>
              </w:rPr>
            </w:pPr>
            <w:r w:rsidRPr="00C34F59">
              <w:rPr>
                <w:rFonts w:ascii="Arial" w:hAnsi="Arial" w:cs="Arial"/>
                <w:b/>
                <w:bCs/>
                <w:sz w:val="24"/>
                <w:szCs w:val="24"/>
                <w:lang w:val="en-GB"/>
              </w:rPr>
              <w:t>Total Revenue</w:t>
            </w:r>
          </w:p>
        </w:tc>
        <w:tc>
          <w:tcPr>
            <w:tcW w:w="1276" w:type="dxa"/>
            <w:tcBorders>
              <w:top w:val="single" w:sz="4" w:space="0" w:color="auto"/>
              <w:left w:val="single" w:sz="4" w:space="0" w:color="auto"/>
              <w:bottom w:val="single" w:sz="4" w:space="0" w:color="auto"/>
              <w:right w:val="single" w:sz="4" w:space="0" w:color="auto"/>
            </w:tcBorders>
          </w:tcPr>
          <w:p w14:paraId="7FA651BF" w14:textId="77777777" w:rsidR="00016C24" w:rsidRPr="00C34F59" w:rsidRDefault="00016C24" w:rsidP="00500FD5">
            <w:pPr>
              <w:pStyle w:val="NoSpacing"/>
              <w:jc w:val="right"/>
              <w:rPr>
                <w:rFonts w:ascii="Arial" w:hAnsi="Arial" w:cs="Arial"/>
                <w:b/>
                <w:bCs/>
                <w:sz w:val="24"/>
                <w:szCs w:val="24"/>
                <w:lang w:val="en-GB"/>
              </w:rPr>
            </w:pPr>
            <w:r w:rsidRPr="00C34F59">
              <w:rPr>
                <w:rFonts w:ascii="Arial" w:hAnsi="Arial" w:cs="Arial"/>
                <w:b/>
                <w:bCs/>
                <w:sz w:val="24"/>
                <w:szCs w:val="24"/>
                <w:lang w:val="en-GB"/>
              </w:rPr>
              <w:t>(</w:t>
            </w:r>
            <w:r>
              <w:rPr>
                <w:rFonts w:ascii="Arial" w:hAnsi="Arial" w:cs="Arial"/>
                <w:b/>
                <w:bCs/>
                <w:sz w:val="24"/>
                <w:szCs w:val="24"/>
                <w:lang w:val="en-GB"/>
              </w:rPr>
              <w:t>1,336</w:t>
            </w:r>
            <w:r w:rsidRPr="00C34F59">
              <w:rPr>
                <w:rFonts w:ascii="Arial" w:hAnsi="Arial" w:cs="Arial"/>
                <w:b/>
                <w:bCs/>
                <w:sz w:val="24"/>
                <w:szCs w:val="24"/>
                <w:lang w:val="en-GB"/>
              </w:rPr>
              <w:t>)</w:t>
            </w:r>
          </w:p>
        </w:tc>
        <w:tc>
          <w:tcPr>
            <w:tcW w:w="1603" w:type="dxa"/>
            <w:tcBorders>
              <w:top w:val="single" w:sz="4" w:space="0" w:color="auto"/>
              <w:left w:val="single" w:sz="4" w:space="0" w:color="auto"/>
              <w:bottom w:val="single" w:sz="4" w:space="0" w:color="auto"/>
              <w:right w:val="single" w:sz="4" w:space="0" w:color="auto"/>
            </w:tcBorders>
          </w:tcPr>
          <w:p w14:paraId="2A9B0360" w14:textId="77777777" w:rsidR="00016C24" w:rsidRPr="00C34F59" w:rsidRDefault="00016C24" w:rsidP="00500FD5">
            <w:pPr>
              <w:pStyle w:val="NoSpacing"/>
              <w:jc w:val="right"/>
              <w:rPr>
                <w:rFonts w:ascii="Arial" w:hAnsi="Arial" w:cs="Arial"/>
                <w:b/>
                <w:bCs/>
                <w:sz w:val="24"/>
                <w:szCs w:val="24"/>
                <w:lang w:val="en-GB"/>
              </w:rPr>
            </w:pPr>
            <w:r>
              <w:rPr>
                <w:rFonts w:ascii="Arial" w:hAnsi="Arial" w:cs="Arial"/>
                <w:b/>
                <w:bCs/>
                <w:sz w:val="24"/>
                <w:szCs w:val="24"/>
                <w:lang w:val="en-GB"/>
              </w:rPr>
              <w:t>1,336</w:t>
            </w:r>
          </w:p>
        </w:tc>
        <w:tc>
          <w:tcPr>
            <w:tcW w:w="1417" w:type="dxa"/>
            <w:tcBorders>
              <w:top w:val="single" w:sz="4" w:space="0" w:color="auto"/>
              <w:left w:val="single" w:sz="4" w:space="0" w:color="auto"/>
              <w:bottom w:val="single" w:sz="4" w:space="0" w:color="auto"/>
              <w:right w:val="single" w:sz="4" w:space="0" w:color="auto"/>
            </w:tcBorders>
          </w:tcPr>
          <w:p w14:paraId="17DD3E70" w14:textId="77777777" w:rsidR="00016C24" w:rsidRPr="00C34F59" w:rsidRDefault="00016C24" w:rsidP="00500FD5">
            <w:pPr>
              <w:pStyle w:val="NoSpacing"/>
              <w:jc w:val="right"/>
              <w:rPr>
                <w:rFonts w:ascii="Arial" w:hAnsi="Arial" w:cs="Arial"/>
                <w:b/>
                <w:bCs/>
                <w:sz w:val="24"/>
                <w:szCs w:val="24"/>
                <w:lang w:val="en-GB"/>
              </w:rPr>
            </w:pPr>
            <w:r w:rsidRPr="00C34F59">
              <w:rPr>
                <w:rFonts w:ascii="Arial" w:hAnsi="Arial" w:cs="Arial"/>
                <w:b/>
                <w:bCs/>
                <w:sz w:val="24"/>
                <w:szCs w:val="24"/>
                <w:lang w:val="en-GB"/>
              </w:rPr>
              <w:t>0</w:t>
            </w:r>
          </w:p>
        </w:tc>
      </w:tr>
      <w:tr w:rsidR="00016C24" w:rsidRPr="00C34F59" w14:paraId="1B82B941" w14:textId="77777777" w:rsidTr="00500FD5">
        <w:tc>
          <w:tcPr>
            <w:tcW w:w="3964" w:type="dxa"/>
            <w:tcBorders>
              <w:top w:val="single" w:sz="4" w:space="0" w:color="auto"/>
              <w:left w:val="single" w:sz="4" w:space="0" w:color="auto"/>
              <w:bottom w:val="nil"/>
              <w:right w:val="single" w:sz="4" w:space="0" w:color="auto"/>
            </w:tcBorders>
          </w:tcPr>
          <w:p w14:paraId="2BD4E99C" w14:textId="77777777" w:rsidR="00016C24" w:rsidRPr="00C34F59" w:rsidRDefault="00016C24" w:rsidP="00500FD5">
            <w:pPr>
              <w:pStyle w:val="NoSpacing"/>
              <w:rPr>
                <w:rFonts w:ascii="Arial" w:hAnsi="Arial" w:cs="Arial"/>
                <w:sz w:val="24"/>
                <w:szCs w:val="24"/>
                <w:lang w:val="en-GB"/>
              </w:rPr>
            </w:pPr>
          </w:p>
        </w:tc>
        <w:tc>
          <w:tcPr>
            <w:tcW w:w="1276" w:type="dxa"/>
            <w:tcBorders>
              <w:top w:val="single" w:sz="4" w:space="0" w:color="auto"/>
              <w:left w:val="single" w:sz="4" w:space="0" w:color="auto"/>
              <w:bottom w:val="nil"/>
              <w:right w:val="single" w:sz="4" w:space="0" w:color="auto"/>
            </w:tcBorders>
          </w:tcPr>
          <w:p w14:paraId="2212DC97" w14:textId="77777777" w:rsidR="00016C24" w:rsidRPr="00C34F59" w:rsidRDefault="00016C24" w:rsidP="00500FD5">
            <w:pPr>
              <w:pStyle w:val="NoSpacing"/>
              <w:jc w:val="right"/>
              <w:rPr>
                <w:rFonts w:ascii="Arial" w:hAnsi="Arial" w:cs="Arial"/>
                <w:sz w:val="24"/>
                <w:szCs w:val="24"/>
                <w:lang w:val="en-GB"/>
              </w:rPr>
            </w:pPr>
          </w:p>
        </w:tc>
        <w:tc>
          <w:tcPr>
            <w:tcW w:w="1603" w:type="dxa"/>
            <w:tcBorders>
              <w:top w:val="single" w:sz="4" w:space="0" w:color="auto"/>
              <w:left w:val="single" w:sz="4" w:space="0" w:color="auto"/>
              <w:bottom w:val="nil"/>
              <w:right w:val="single" w:sz="4" w:space="0" w:color="auto"/>
            </w:tcBorders>
          </w:tcPr>
          <w:p w14:paraId="48A55B4E" w14:textId="77777777" w:rsidR="00016C24" w:rsidRPr="00C34F59" w:rsidRDefault="00016C24" w:rsidP="00500FD5">
            <w:pPr>
              <w:pStyle w:val="NoSpacing"/>
              <w:jc w:val="right"/>
              <w:rPr>
                <w:rFonts w:ascii="Arial" w:hAnsi="Arial" w:cs="Arial"/>
                <w:sz w:val="24"/>
                <w:szCs w:val="24"/>
                <w:lang w:val="en-GB"/>
              </w:rPr>
            </w:pPr>
          </w:p>
        </w:tc>
        <w:tc>
          <w:tcPr>
            <w:tcW w:w="1417" w:type="dxa"/>
            <w:tcBorders>
              <w:top w:val="single" w:sz="4" w:space="0" w:color="auto"/>
              <w:left w:val="single" w:sz="4" w:space="0" w:color="auto"/>
              <w:bottom w:val="nil"/>
              <w:right w:val="single" w:sz="4" w:space="0" w:color="auto"/>
            </w:tcBorders>
          </w:tcPr>
          <w:p w14:paraId="0AAC9FFF" w14:textId="77777777" w:rsidR="00016C24" w:rsidRPr="00C34F59" w:rsidRDefault="00016C24" w:rsidP="00500FD5">
            <w:pPr>
              <w:pStyle w:val="NoSpacing"/>
              <w:jc w:val="right"/>
              <w:rPr>
                <w:rFonts w:ascii="Arial" w:hAnsi="Arial" w:cs="Arial"/>
                <w:sz w:val="24"/>
                <w:szCs w:val="24"/>
                <w:lang w:val="en-GB"/>
              </w:rPr>
            </w:pPr>
          </w:p>
        </w:tc>
      </w:tr>
      <w:tr w:rsidR="00016C24" w:rsidRPr="00C34F59" w14:paraId="259E87C8" w14:textId="77777777" w:rsidTr="00500FD5">
        <w:tc>
          <w:tcPr>
            <w:tcW w:w="3964" w:type="dxa"/>
            <w:tcBorders>
              <w:top w:val="nil"/>
              <w:left w:val="single" w:sz="4" w:space="0" w:color="auto"/>
              <w:bottom w:val="nil"/>
              <w:right w:val="single" w:sz="4" w:space="0" w:color="auto"/>
            </w:tcBorders>
          </w:tcPr>
          <w:p w14:paraId="0109AE43" w14:textId="77777777" w:rsidR="00016C24" w:rsidRPr="00C34F59" w:rsidRDefault="00016C24" w:rsidP="00500FD5">
            <w:pPr>
              <w:pStyle w:val="NoSpacing"/>
              <w:rPr>
                <w:rFonts w:ascii="Arial" w:hAnsi="Arial" w:cs="Arial"/>
                <w:b/>
                <w:bCs/>
                <w:sz w:val="24"/>
                <w:szCs w:val="24"/>
                <w:lang w:val="en-GB"/>
              </w:rPr>
            </w:pPr>
            <w:r w:rsidRPr="00C34F59">
              <w:rPr>
                <w:rFonts w:ascii="Arial" w:hAnsi="Arial" w:cs="Arial"/>
                <w:b/>
                <w:bCs/>
                <w:sz w:val="24"/>
                <w:szCs w:val="24"/>
                <w:lang w:val="en-GB"/>
              </w:rPr>
              <w:t>Capital Funds</w:t>
            </w:r>
          </w:p>
        </w:tc>
        <w:tc>
          <w:tcPr>
            <w:tcW w:w="1276" w:type="dxa"/>
            <w:tcBorders>
              <w:top w:val="nil"/>
              <w:left w:val="single" w:sz="4" w:space="0" w:color="auto"/>
              <w:bottom w:val="nil"/>
              <w:right w:val="single" w:sz="4" w:space="0" w:color="auto"/>
            </w:tcBorders>
          </w:tcPr>
          <w:p w14:paraId="6B6EE3EE" w14:textId="77777777" w:rsidR="00016C24" w:rsidRPr="00C34F59" w:rsidRDefault="00016C24" w:rsidP="00500FD5">
            <w:pPr>
              <w:pStyle w:val="NoSpacing"/>
              <w:jc w:val="right"/>
              <w:rPr>
                <w:rFonts w:ascii="Arial" w:hAnsi="Arial" w:cs="Arial"/>
                <w:sz w:val="24"/>
                <w:szCs w:val="24"/>
                <w:lang w:val="en-GB"/>
              </w:rPr>
            </w:pPr>
          </w:p>
        </w:tc>
        <w:tc>
          <w:tcPr>
            <w:tcW w:w="1603" w:type="dxa"/>
            <w:tcBorders>
              <w:top w:val="nil"/>
              <w:left w:val="single" w:sz="4" w:space="0" w:color="auto"/>
              <w:bottom w:val="nil"/>
              <w:right w:val="single" w:sz="4" w:space="0" w:color="auto"/>
            </w:tcBorders>
          </w:tcPr>
          <w:p w14:paraId="182B0605" w14:textId="77777777" w:rsidR="00016C24" w:rsidRPr="00C34F59" w:rsidRDefault="00016C24" w:rsidP="00500FD5">
            <w:pPr>
              <w:pStyle w:val="NoSpacing"/>
              <w:jc w:val="right"/>
              <w:rPr>
                <w:rFonts w:ascii="Arial" w:hAnsi="Arial" w:cs="Arial"/>
                <w:sz w:val="24"/>
                <w:szCs w:val="24"/>
                <w:lang w:val="en-GB"/>
              </w:rPr>
            </w:pPr>
          </w:p>
        </w:tc>
        <w:tc>
          <w:tcPr>
            <w:tcW w:w="1417" w:type="dxa"/>
            <w:tcBorders>
              <w:top w:val="nil"/>
              <w:left w:val="single" w:sz="4" w:space="0" w:color="auto"/>
              <w:bottom w:val="nil"/>
              <w:right w:val="single" w:sz="4" w:space="0" w:color="auto"/>
            </w:tcBorders>
          </w:tcPr>
          <w:p w14:paraId="4592A3B1" w14:textId="77777777" w:rsidR="00016C24" w:rsidRPr="00C34F59" w:rsidRDefault="00016C24" w:rsidP="00500FD5">
            <w:pPr>
              <w:pStyle w:val="NoSpacing"/>
              <w:jc w:val="right"/>
              <w:rPr>
                <w:rFonts w:ascii="Arial" w:hAnsi="Arial" w:cs="Arial"/>
                <w:sz w:val="24"/>
                <w:szCs w:val="24"/>
                <w:lang w:val="en-GB"/>
              </w:rPr>
            </w:pPr>
          </w:p>
        </w:tc>
      </w:tr>
      <w:tr w:rsidR="00016C24" w:rsidRPr="00C34F59" w14:paraId="0CC0BD84" w14:textId="77777777" w:rsidTr="00500FD5">
        <w:tc>
          <w:tcPr>
            <w:tcW w:w="3964" w:type="dxa"/>
            <w:tcBorders>
              <w:top w:val="nil"/>
              <w:left w:val="single" w:sz="4" w:space="0" w:color="auto"/>
              <w:bottom w:val="single" w:sz="4" w:space="0" w:color="auto"/>
              <w:right w:val="single" w:sz="4" w:space="0" w:color="auto"/>
            </w:tcBorders>
          </w:tcPr>
          <w:p w14:paraId="4DCBCC43" w14:textId="77777777" w:rsidR="00016C24" w:rsidRPr="00C34F59" w:rsidRDefault="00016C24" w:rsidP="00500FD5">
            <w:pPr>
              <w:pStyle w:val="NoSpacing"/>
              <w:rPr>
                <w:rFonts w:ascii="Arial" w:hAnsi="Arial" w:cs="Arial"/>
                <w:sz w:val="24"/>
                <w:szCs w:val="24"/>
              </w:rPr>
            </w:pPr>
            <w:r w:rsidRPr="00C34F59">
              <w:rPr>
                <w:rFonts w:ascii="Arial" w:hAnsi="Arial" w:cs="Arial"/>
                <w:sz w:val="24"/>
                <w:szCs w:val="24"/>
              </w:rPr>
              <w:t>Growing Places Fund</w:t>
            </w:r>
          </w:p>
        </w:tc>
        <w:tc>
          <w:tcPr>
            <w:tcW w:w="1276" w:type="dxa"/>
            <w:tcBorders>
              <w:top w:val="nil"/>
              <w:left w:val="single" w:sz="4" w:space="0" w:color="auto"/>
              <w:bottom w:val="single" w:sz="4" w:space="0" w:color="auto"/>
              <w:right w:val="single" w:sz="4" w:space="0" w:color="auto"/>
            </w:tcBorders>
          </w:tcPr>
          <w:p w14:paraId="1E68008E" w14:textId="77777777" w:rsidR="00016C24" w:rsidRPr="00C34F59" w:rsidRDefault="00016C24" w:rsidP="00500FD5">
            <w:pPr>
              <w:pStyle w:val="NoSpacing"/>
              <w:jc w:val="right"/>
              <w:rPr>
                <w:rFonts w:ascii="Arial" w:hAnsi="Arial" w:cs="Arial"/>
                <w:sz w:val="24"/>
                <w:szCs w:val="24"/>
              </w:rPr>
            </w:pPr>
            <w:r w:rsidRPr="00C34F59">
              <w:rPr>
                <w:rFonts w:ascii="Arial" w:hAnsi="Arial" w:cs="Arial"/>
                <w:sz w:val="24"/>
                <w:szCs w:val="24"/>
              </w:rPr>
              <w:t>(</w:t>
            </w:r>
            <w:r>
              <w:rPr>
                <w:rFonts w:ascii="Arial" w:hAnsi="Arial" w:cs="Arial"/>
                <w:sz w:val="24"/>
                <w:szCs w:val="24"/>
              </w:rPr>
              <w:t>4</w:t>
            </w:r>
            <w:r w:rsidRPr="00C34F59">
              <w:rPr>
                <w:rFonts w:ascii="Arial" w:hAnsi="Arial" w:cs="Arial"/>
                <w:sz w:val="24"/>
                <w:szCs w:val="24"/>
              </w:rPr>
              <w:t>,</w:t>
            </w:r>
            <w:r>
              <w:rPr>
                <w:rFonts w:ascii="Arial" w:hAnsi="Arial" w:cs="Arial"/>
                <w:sz w:val="24"/>
                <w:szCs w:val="24"/>
              </w:rPr>
              <w:t>795</w:t>
            </w:r>
            <w:r w:rsidRPr="00C34F59">
              <w:rPr>
                <w:rFonts w:ascii="Arial" w:hAnsi="Arial" w:cs="Arial"/>
                <w:sz w:val="24"/>
                <w:szCs w:val="24"/>
              </w:rPr>
              <w:t>)</w:t>
            </w:r>
          </w:p>
        </w:tc>
        <w:tc>
          <w:tcPr>
            <w:tcW w:w="1603" w:type="dxa"/>
            <w:tcBorders>
              <w:top w:val="nil"/>
              <w:left w:val="single" w:sz="4" w:space="0" w:color="auto"/>
              <w:bottom w:val="single" w:sz="4" w:space="0" w:color="auto"/>
              <w:right w:val="single" w:sz="4" w:space="0" w:color="auto"/>
            </w:tcBorders>
          </w:tcPr>
          <w:p w14:paraId="16EA15BD" w14:textId="77777777" w:rsidR="00016C24" w:rsidRPr="00C34F59" w:rsidRDefault="00016C24" w:rsidP="00500FD5">
            <w:pPr>
              <w:pStyle w:val="NoSpacing"/>
              <w:jc w:val="right"/>
              <w:rPr>
                <w:rFonts w:ascii="Arial" w:hAnsi="Arial" w:cs="Arial"/>
                <w:sz w:val="24"/>
                <w:szCs w:val="24"/>
              </w:rPr>
            </w:pPr>
            <w:r>
              <w:rPr>
                <w:rFonts w:ascii="Arial" w:hAnsi="Arial" w:cs="Arial"/>
                <w:sz w:val="24"/>
                <w:szCs w:val="24"/>
              </w:rPr>
              <w:t>4</w:t>
            </w:r>
            <w:r w:rsidRPr="00C34F59">
              <w:rPr>
                <w:rFonts w:ascii="Arial" w:hAnsi="Arial" w:cs="Arial"/>
                <w:sz w:val="24"/>
                <w:szCs w:val="24"/>
              </w:rPr>
              <w:t>,</w:t>
            </w:r>
            <w:r>
              <w:rPr>
                <w:rFonts w:ascii="Arial" w:hAnsi="Arial" w:cs="Arial"/>
                <w:sz w:val="24"/>
                <w:szCs w:val="24"/>
              </w:rPr>
              <w:t>795</w:t>
            </w:r>
          </w:p>
        </w:tc>
        <w:tc>
          <w:tcPr>
            <w:tcW w:w="1417" w:type="dxa"/>
            <w:tcBorders>
              <w:top w:val="nil"/>
              <w:left w:val="single" w:sz="4" w:space="0" w:color="auto"/>
              <w:bottom w:val="single" w:sz="4" w:space="0" w:color="auto"/>
              <w:right w:val="single" w:sz="4" w:space="0" w:color="auto"/>
            </w:tcBorders>
          </w:tcPr>
          <w:p w14:paraId="2D50B872" w14:textId="77777777" w:rsidR="00016C24" w:rsidRPr="00C34F59" w:rsidRDefault="00016C24" w:rsidP="00500FD5">
            <w:pPr>
              <w:pStyle w:val="NoSpacing"/>
              <w:jc w:val="right"/>
              <w:rPr>
                <w:rFonts w:ascii="Arial" w:hAnsi="Arial" w:cs="Arial"/>
                <w:sz w:val="24"/>
                <w:szCs w:val="24"/>
              </w:rPr>
            </w:pPr>
            <w:r w:rsidRPr="00C34F59">
              <w:rPr>
                <w:rFonts w:ascii="Arial" w:hAnsi="Arial" w:cs="Arial"/>
                <w:sz w:val="24"/>
                <w:szCs w:val="24"/>
              </w:rPr>
              <w:t>0</w:t>
            </w:r>
          </w:p>
        </w:tc>
      </w:tr>
      <w:tr w:rsidR="00016C24" w:rsidRPr="00C34F59" w14:paraId="69682E57" w14:textId="77777777" w:rsidTr="00500FD5">
        <w:tc>
          <w:tcPr>
            <w:tcW w:w="3964" w:type="dxa"/>
            <w:tcBorders>
              <w:top w:val="single" w:sz="4" w:space="0" w:color="auto"/>
              <w:left w:val="single" w:sz="4" w:space="0" w:color="auto"/>
              <w:bottom w:val="single" w:sz="4" w:space="0" w:color="auto"/>
              <w:right w:val="single" w:sz="4" w:space="0" w:color="auto"/>
            </w:tcBorders>
          </w:tcPr>
          <w:p w14:paraId="59332B19" w14:textId="77777777" w:rsidR="00016C24" w:rsidRPr="00C34F59" w:rsidRDefault="00016C24" w:rsidP="00500FD5">
            <w:pPr>
              <w:pStyle w:val="NoSpacing"/>
              <w:rPr>
                <w:rFonts w:ascii="Arial" w:hAnsi="Arial" w:cs="Arial"/>
                <w:b/>
                <w:bCs/>
                <w:sz w:val="24"/>
                <w:szCs w:val="24"/>
              </w:rPr>
            </w:pPr>
            <w:r w:rsidRPr="00C34F59">
              <w:rPr>
                <w:rFonts w:ascii="Arial" w:hAnsi="Arial" w:cs="Arial"/>
                <w:b/>
                <w:bCs/>
                <w:sz w:val="24"/>
                <w:szCs w:val="24"/>
              </w:rPr>
              <w:t>Total Capital</w:t>
            </w:r>
          </w:p>
        </w:tc>
        <w:tc>
          <w:tcPr>
            <w:tcW w:w="1276" w:type="dxa"/>
            <w:tcBorders>
              <w:top w:val="single" w:sz="4" w:space="0" w:color="auto"/>
              <w:left w:val="single" w:sz="4" w:space="0" w:color="auto"/>
              <w:bottom w:val="single" w:sz="4" w:space="0" w:color="auto"/>
              <w:right w:val="single" w:sz="4" w:space="0" w:color="auto"/>
            </w:tcBorders>
          </w:tcPr>
          <w:p w14:paraId="1B093620" w14:textId="77777777" w:rsidR="00016C24" w:rsidRPr="00C34F59" w:rsidRDefault="00016C24" w:rsidP="00500FD5">
            <w:pPr>
              <w:pStyle w:val="NoSpacing"/>
              <w:jc w:val="right"/>
              <w:rPr>
                <w:rFonts w:ascii="Arial" w:hAnsi="Arial" w:cs="Arial"/>
                <w:b/>
                <w:bCs/>
                <w:sz w:val="24"/>
                <w:szCs w:val="24"/>
              </w:rPr>
            </w:pPr>
            <w:r w:rsidRPr="00C34F59">
              <w:rPr>
                <w:rFonts w:ascii="Arial" w:hAnsi="Arial" w:cs="Arial"/>
                <w:b/>
                <w:bCs/>
                <w:sz w:val="24"/>
                <w:szCs w:val="24"/>
              </w:rPr>
              <w:t>(</w:t>
            </w:r>
            <w:r>
              <w:rPr>
                <w:rFonts w:ascii="Arial" w:hAnsi="Arial" w:cs="Arial"/>
                <w:b/>
                <w:bCs/>
                <w:sz w:val="24"/>
                <w:szCs w:val="24"/>
              </w:rPr>
              <w:t>4</w:t>
            </w:r>
            <w:r w:rsidRPr="00C34F59">
              <w:rPr>
                <w:rFonts w:ascii="Arial" w:hAnsi="Arial" w:cs="Arial"/>
                <w:b/>
                <w:bCs/>
                <w:sz w:val="24"/>
                <w:szCs w:val="24"/>
              </w:rPr>
              <w:t>,</w:t>
            </w:r>
            <w:r>
              <w:rPr>
                <w:rFonts w:ascii="Arial" w:hAnsi="Arial" w:cs="Arial"/>
                <w:b/>
                <w:bCs/>
                <w:sz w:val="24"/>
                <w:szCs w:val="24"/>
              </w:rPr>
              <w:t>795</w:t>
            </w:r>
            <w:r w:rsidRPr="00C34F59">
              <w:rPr>
                <w:rFonts w:ascii="Arial" w:hAnsi="Arial" w:cs="Arial"/>
                <w:b/>
                <w:bCs/>
                <w:sz w:val="24"/>
                <w:szCs w:val="24"/>
              </w:rPr>
              <w:t>)</w:t>
            </w:r>
          </w:p>
        </w:tc>
        <w:tc>
          <w:tcPr>
            <w:tcW w:w="1603" w:type="dxa"/>
            <w:tcBorders>
              <w:top w:val="single" w:sz="4" w:space="0" w:color="auto"/>
              <w:left w:val="single" w:sz="4" w:space="0" w:color="auto"/>
              <w:bottom w:val="single" w:sz="4" w:space="0" w:color="auto"/>
              <w:right w:val="single" w:sz="4" w:space="0" w:color="auto"/>
            </w:tcBorders>
          </w:tcPr>
          <w:p w14:paraId="4B6E2D82" w14:textId="77777777" w:rsidR="00016C24" w:rsidRPr="00C34F59" w:rsidRDefault="00016C24" w:rsidP="00500FD5">
            <w:pPr>
              <w:pStyle w:val="NoSpacing"/>
              <w:jc w:val="right"/>
              <w:rPr>
                <w:rFonts w:ascii="Arial" w:hAnsi="Arial" w:cs="Arial"/>
                <w:b/>
                <w:bCs/>
                <w:sz w:val="24"/>
                <w:szCs w:val="24"/>
              </w:rPr>
            </w:pPr>
            <w:r>
              <w:rPr>
                <w:rFonts w:ascii="Arial" w:hAnsi="Arial" w:cs="Arial"/>
                <w:b/>
                <w:bCs/>
                <w:sz w:val="24"/>
                <w:szCs w:val="24"/>
              </w:rPr>
              <w:t>4,795</w:t>
            </w:r>
          </w:p>
        </w:tc>
        <w:tc>
          <w:tcPr>
            <w:tcW w:w="1417" w:type="dxa"/>
            <w:tcBorders>
              <w:top w:val="single" w:sz="4" w:space="0" w:color="auto"/>
              <w:left w:val="single" w:sz="4" w:space="0" w:color="auto"/>
              <w:bottom w:val="single" w:sz="4" w:space="0" w:color="auto"/>
              <w:right w:val="single" w:sz="4" w:space="0" w:color="auto"/>
            </w:tcBorders>
          </w:tcPr>
          <w:p w14:paraId="5CD4C3CB" w14:textId="77777777" w:rsidR="00016C24" w:rsidRPr="00C34F59" w:rsidRDefault="00016C24" w:rsidP="00500FD5">
            <w:pPr>
              <w:pStyle w:val="NoSpacing"/>
              <w:jc w:val="right"/>
              <w:rPr>
                <w:rFonts w:ascii="Arial" w:hAnsi="Arial" w:cs="Arial"/>
                <w:b/>
                <w:bCs/>
                <w:sz w:val="24"/>
                <w:szCs w:val="24"/>
              </w:rPr>
            </w:pPr>
            <w:r w:rsidRPr="00C34F59">
              <w:rPr>
                <w:rFonts w:ascii="Arial" w:hAnsi="Arial" w:cs="Arial"/>
                <w:b/>
                <w:bCs/>
                <w:sz w:val="24"/>
                <w:szCs w:val="24"/>
              </w:rPr>
              <w:t>0</w:t>
            </w:r>
          </w:p>
        </w:tc>
      </w:tr>
      <w:tr w:rsidR="00016C24" w:rsidRPr="00C34F59" w14:paraId="725C84B2" w14:textId="77777777" w:rsidTr="00500FD5">
        <w:tc>
          <w:tcPr>
            <w:tcW w:w="3964" w:type="dxa"/>
            <w:tcBorders>
              <w:top w:val="single" w:sz="4" w:space="0" w:color="auto"/>
              <w:left w:val="single" w:sz="4" w:space="0" w:color="auto"/>
              <w:bottom w:val="single" w:sz="4" w:space="0" w:color="auto"/>
              <w:right w:val="single" w:sz="4" w:space="0" w:color="auto"/>
            </w:tcBorders>
          </w:tcPr>
          <w:p w14:paraId="5CC6B983" w14:textId="77777777" w:rsidR="00016C24" w:rsidRPr="00C34F59" w:rsidRDefault="00016C24" w:rsidP="00500FD5">
            <w:pPr>
              <w:pStyle w:val="NoSpacing"/>
              <w:rPr>
                <w:rFonts w:ascii="Arial" w:hAnsi="Arial" w:cs="Arial"/>
                <w:b/>
                <w:bCs/>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EC7C4BC" w14:textId="77777777" w:rsidR="00016C24" w:rsidRPr="00C34F59" w:rsidRDefault="00016C24" w:rsidP="00500FD5">
            <w:pPr>
              <w:pStyle w:val="NoSpacing"/>
              <w:jc w:val="right"/>
              <w:rPr>
                <w:rFonts w:ascii="Arial" w:hAnsi="Arial" w:cs="Arial"/>
                <w:b/>
                <w:bCs/>
                <w:sz w:val="24"/>
                <w:szCs w:val="24"/>
              </w:rPr>
            </w:pPr>
          </w:p>
        </w:tc>
        <w:tc>
          <w:tcPr>
            <w:tcW w:w="1603" w:type="dxa"/>
            <w:tcBorders>
              <w:top w:val="single" w:sz="4" w:space="0" w:color="auto"/>
              <w:left w:val="single" w:sz="4" w:space="0" w:color="auto"/>
              <w:bottom w:val="single" w:sz="4" w:space="0" w:color="auto"/>
              <w:right w:val="single" w:sz="4" w:space="0" w:color="auto"/>
            </w:tcBorders>
          </w:tcPr>
          <w:p w14:paraId="60D33A95" w14:textId="77777777" w:rsidR="00016C24" w:rsidRPr="00C34F59" w:rsidRDefault="00016C24" w:rsidP="00500FD5">
            <w:pPr>
              <w:pStyle w:val="NoSpacing"/>
              <w:jc w:val="right"/>
              <w:rPr>
                <w:rFonts w:ascii="Arial" w:hAnsi="Arial" w:cs="Arial"/>
                <w:b/>
                <w:b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27B619D" w14:textId="77777777" w:rsidR="00016C24" w:rsidRPr="00C34F59" w:rsidRDefault="00016C24" w:rsidP="00500FD5">
            <w:pPr>
              <w:pStyle w:val="NoSpacing"/>
              <w:jc w:val="right"/>
              <w:rPr>
                <w:rFonts w:ascii="Arial" w:hAnsi="Arial" w:cs="Arial"/>
                <w:b/>
                <w:bCs/>
                <w:sz w:val="24"/>
                <w:szCs w:val="24"/>
              </w:rPr>
            </w:pPr>
          </w:p>
        </w:tc>
      </w:tr>
      <w:tr w:rsidR="00016C24" w:rsidRPr="00C34F59" w14:paraId="6FB12CF6" w14:textId="77777777" w:rsidTr="00500FD5">
        <w:tc>
          <w:tcPr>
            <w:tcW w:w="3964" w:type="dxa"/>
            <w:tcBorders>
              <w:top w:val="single" w:sz="4" w:space="0" w:color="auto"/>
            </w:tcBorders>
          </w:tcPr>
          <w:p w14:paraId="625B9780" w14:textId="77777777" w:rsidR="00016C24" w:rsidRPr="00C34F59" w:rsidRDefault="00016C24" w:rsidP="00500FD5">
            <w:pPr>
              <w:pStyle w:val="NoSpacing"/>
              <w:rPr>
                <w:rFonts w:ascii="Arial" w:hAnsi="Arial" w:cs="Arial"/>
                <w:b/>
                <w:bCs/>
                <w:sz w:val="24"/>
                <w:szCs w:val="24"/>
              </w:rPr>
            </w:pPr>
            <w:r w:rsidRPr="00C34F59">
              <w:rPr>
                <w:rFonts w:ascii="Arial" w:hAnsi="Arial" w:cs="Arial"/>
                <w:b/>
                <w:bCs/>
                <w:sz w:val="24"/>
                <w:szCs w:val="24"/>
              </w:rPr>
              <w:t>Grand Total</w:t>
            </w:r>
          </w:p>
        </w:tc>
        <w:tc>
          <w:tcPr>
            <w:tcW w:w="1276" w:type="dxa"/>
            <w:tcBorders>
              <w:top w:val="single" w:sz="4" w:space="0" w:color="auto"/>
            </w:tcBorders>
          </w:tcPr>
          <w:p w14:paraId="6ECFE6A2" w14:textId="77777777" w:rsidR="00016C24" w:rsidRPr="00C34F59" w:rsidRDefault="00016C24" w:rsidP="00500FD5">
            <w:pPr>
              <w:pStyle w:val="NoSpacing"/>
              <w:jc w:val="right"/>
              <w:rPr>
                <w:rFonts w:ascii="Arial" w:hAnsi="Arial" w:cs="Arial"/>
                <w:b/>
                <w:bCs/>
                <w:sz w:val="24"/>
                <w:szCs w:val="24"/>
              </w:rPr>
            </w:pPr>
          </w:p>
        </w:tc>
        <w:tc>
          <w:tcPr>
            <w:tcW w:w="1603" w:type="dxa"/>
            <w:tcBorders>
              <w:top w:val="single" w:sz="4" w:space="0" w:color="auto"/>
            </w:tcBorders>
          </w:tcPr>
          <w:p w14:paraId="38CFCC96" w14:textId="77777777" w:rsidR="00016C24" w:rsidRPr="00C34F59" w:rsidRDefault="00016C24" w:rsidP="00500FD5">
            <w:pPr>
              <w:pStyle w:val="NoSpacing"/>
              <w:jc w:val="right"/>
              <w:rPr>
                <w:rFonts w:ascii="Arial" w:hAnsi="Arial" w:cs="Arial"/>
                <w:b/>
                <w:bCs/>
                <w:sz w:val="24"/>
                <w:szCs w:val="24"/>
              </w:rPr>
            </w:pPr>
          </w:p>
        </w:tc>
        <w:tc>
          <w:tcPr>
            <w:tcW w:w="1417" w:type="dxa"/>
            <w:tcBorders>
              <w:top w:val="single" w:sz="4" w:space="0" w:color="auto"/>
            </w:tcBorders>
          </w:tcPr>
          <w:p w14:paraId="16E87A86" w14:textId="77777777" w:rsidR="00016C24" w:rsidRPr="00C34F59" w:rsidRDefault="00016C24" w:rsidP="00500FD5">
            <w:pPr>
              <w:pStyle w:val="NoSpacing"/>
              <w:jc w:val="right"/>
              <w:rPr>
                <w:rFonts w:ascii="Arial" w:hAnsi="Arial" w:cs="Arial"/>
                <w:b/>
                <w:bCs/>
                <w:sz w:val="24"/>
                <w:szCs w:val="24"/>
              </w:rPr>
            </w:pPr>
          </w:p>
        </w:tc>
      </w:tr>
    </w:tbl>
    <w:p w14:paraId="7B16C1BD" w14:textId="77777777" w:rsidR="00016C24" w:rsidRPr="00C34F59" w:rsidRDefault="00016C24" w:rsidP="00016C24">
      <w:pPr>
        <w:rPr>
          <w:rFonts w:ascii="Arial" w:hAnsi="Arial" w:cs="Arial"/>
        </w:rPr>
      </w:pPr>
    </w:p>
    <w:tbl>
      <w:tblPr>
        <w:tblStyle w:val="TableGrid"/>
        <w:tblW w:w="0" w:type="auto"/>
        <w:tblLook w:val="04A0" w:firstRow="1" w:lastRow="0" w:firstColumn="1" w:lastColumn="0" w:noHBand="0" w:noVBand="1"/>
      </w:tblPr>
      <w:tblGrid>
        <w:gridCol w:w="4000"/>
        <w:gridCol w:w="1287"/>
        <w:gridCol w:w="1573"/>
        <w:gridCol w:w="1430"/>
      </w:tblGrid>
      <w:tr w:rsidR="00016C24" w:rsidRPr="00C34F59" w14:paraId="276CA47E" w14:textId="77777777" w:rsidTr="00C66F6C">
        <w:trPr>
          <w:trHeight w:val="491"/>
        </w:trPr>
        <w:tc>
          <w:tcPr>
            <w:tcW w:w="4000" w:type="dxa"/>
            <w:tcBorders>
              <w:top w:val="single" w:sz="4" w:space="0" w:color="auto"/>
              <w:left w:val="single" w:sz="4" w:space="0" w:color="auto"/>
              <w:bottom w:val="nil"/>
              <w:right w:val="single" w:sz="4" w:space="0" w:color="auto"/>
            </w:tcBorders>
            <w:noWrap/>
            <w:hideMark/>
          </w:tcPr>
          <w:p w14:paraId="331370EA" w14:textId="77777777" w:rsidR="00016C24" w:rsidRPr="00C34F59" w:rsidRDefault="00016C24" w:rsidP="00500FD5">
            <w:pPr>
              <w:pStyle w:val="Normal0"/>
              <w:rPr>
                <w:rFonts w:ascii="Arial" w:hAnsi="Arial" w:cs="Arial"/>
                <w:b/>
                <w:bCs/>
                <w:sz w:val="24"/>
                <w:szCs w:val="24"/>
              </w:rPr>
            </w:pPr>
            <w:r w:rsidRPr="00C34F59">
              <w:rPr>
                <w:rFonts w:ascii="Arial" w:hAnsi="Arial" w:cs="Arial"/>
                <w:b/>
                <w:bCs/>
                <w:sz w:val="24"/>
                <w:szCs w:val="24"/>
              </w:rPr>
              <w:t>LEP Reserves</w:t>
            </w:r>
          </w:p>
        </w:tc>
        <w:tc>
          <w:tcPr>
            <w:tcW w:w="1287" w:type="dxa"/>
            <w:tcBorders>
              <w:top w:val="single" w:sz="4" w:space="0" w:color="auto"/>
              <w:left w:val="single" w:sz="4" w:space="0" w:color="auto"/>
              <w:bottom w:val="nil"/>
              <w:right w:val="single" w:sz="4" w:space="0" w:color="auto"/>
            </w:tcBorders>
            <w:hideMark/>
          </w:tcPr>
          <w:p w14:paraId="0BDF813A" w14:textId="77777777" w:rsidR="00016C24" w:rsidRPr="00C34F59" w:rsidRDefault="00016C24" w:rsidP="00500FD5">
            <w:pPr>
              <w:pStyle w:val="NoSpacing"/>
              <w:jc w:val="right"/>
              <w:rPr>
                <w:rFonts w:ascii="Arial" w:hAnsi="Arial" w:cs="Arial"/>
                <w:b/>
                <w:bCs/>
                <w:sz w:val="24"/>
                <w:szCs w:val="24"/>
              </w:rPr>
            </w:pPr>
            <w:r w:rsidRPr="00C34F59">
              <w:rPr>
                <w:rFonts w:ascii="Arial" w:hAnsi="Arial" w:cs="Arial"/>
                <w:b/>
                <w:bCs/>
                <w:sz w:val="24"/>
                <w:szCs w:val="24"/>
              </w:rPr>
              <w:t>31 March 202</w:t>
            </w:r>
            <w:r>
              <w:rPr>
                <w:rFonts w:ascii="Arial" w:hAnsi="Arial" w:cs="Arial"/>
                <w:b/>
                <w:bCs/>
                <w:sz w:val="24"/>
                <w:szCs w:val="24"/>
              </w:rPr>
              <w:t>1</w:t>
            </w:r>
          </w:p>
        </w:tc>
        <w:tc>
          <w:tcPr>
            <w:tcW w:w="1573" w:type="dxa"/>
            <w:tcBorders>
              <w:top w:val="single" w:sz="4" w:space="0" w:color="auto"/>
              <w:left w:val="single" w:sz="4" w:space="0" w:color="auto"/>
              <w:bottom w:val="nil"/>
              <w:right w:val="single" w:sz="4" w:space="0" w:color="auto"/>
            </w:tcBorders>
            <w:hideMark/>
          </w:tcPr>
          <w:p w14:paraId="186D34BC" w14:textId="77777777" w:rsidR="00016C24" w:rsidRPr="00C34F59" w:rsidRDefault="00016C24" w:rsidP="00500FD5">
            <w:pPr>
              <w:pStyle w:val="NoSpacing"/>
              <w:jc w:val="right"/>
              <w:rPr>
                <w:rFonts w:ascii="Arial" w:hAnsi="Arial" w:cs="Arial"/>
                <w:b/>
                <w:bCs/>
                <w:sz w:val="24"/>
                <w:szCs w:val="24"/>
              </w:rPr>
            </w:pPr>
            <w:r w:rsidRPr="00C34F59">
              <w:rPr>
                <w:rFonts w:ascii="Arial" w:hAnsi="Arial" w:cs="Arial"/>
                <w:b/>
                <w:bCs/>
                <w:sz w:val="24"/>
                <w:szCs w:val="24"/>
              </w:rPr>
              <w:t>Transfers in/out</w:t>
            </w:r>
          </w:p>
        </w:tc>
        <w:tc>
          <w:tcPr>
            <w:tcW w:w="1430" w:type="dxa"/>
            <w:tcBorders>
              <w:top w:val="single" w:sz="4" w:space="0" w:color="auto"/>
              <w:left w:val="single" w:sz="4" w:space="0" w:color="auto"/>
              <w:bottom w:val="nil"/>
              <w:right w:val="single" w:sz="4" w:space="0" w:color="auto"/>
            </w:tcBorders>
            <w:hideMark/>
          </w:tcPr>
          <w:p w14:paraId="308CDFA6" w14:textId="77777777" w:rsidR="00016C24" w:rsidRPr="00C34F59" w:rsidRDefault="00016C24" w:rsidP="00500FD5">
            <w:pPr>
              <w:pStyle w:val="NoSpacing"/>
              <w:jc w:val="right"/>
              <w:rPr>
                <w:rFonts w:ascii="Arial" w:hAnsi="Arial" w:cs="Arial"/>
                <w:b/>
                <w:bCs/>
                <w:sz w:val="24"/>
                <w:szCs w:val="24"/>
              </w:rPr>
            </w:pPr>
            <w:r w:rsidRPr="00C34F59">
              <w:rPr>
                <w:rFonts w:ascii="Arial" w:hAnsi="Arial" w:cs="Arial"/>
                <w:b/>
                <w:bCs/>
                <w:sz w:val="24"/>
                <w:szCs w:val="24"/>
              </w:rPr>
              <w:t>31 March 202</w:t>
            </w:r>
            <w:r>
              <w:rPr>
                <w:rFonts w:ascii="Arial" w:hAnsi="Arial" w:cs="Arial"/>
                <w:b/>
                <w:bCs/>
                <w:sz w:val="24"/>
                <w:szCs w:val="24"/>
              </w:rPr>
              <w:t>2</w:t>
            </w:r>
          </w:p>
        </w:tc>
      </w:tr>
      <w:tr w:rsidR="00016C24" w:rsidRPr="00C34F59" w14:paraId="20A84031" w14:textId="77777777" w:rsidTr="00C66F6C">
        <w:trPr>
          <w:trHeight w:val="289"/>
        </w:trPr>
        <w:tc>
          <w:tcPr>
            <w:tcW w:w="4000" w:type="dxa"/>
            <w:tcBorders>
              <w:top w:val="nil"/>
            </w:tcBorders>
            <w:noWrap/>
            <w:hideMark/>
          </w:tcPr>
          <w:p w14:paraId="0DEF50AA" w14:textId="77777777" w:rsidR="00016C24" w:rsidRPr="00C34F59" w:rsidRDefault="00016C24" w:rsidP="00500FD5">
            <w:pPr>
              <w:pStyle w:val="NoSpacing"/>
              <w:rPr>
                <w:rFonts w:ascii="Arial" w:eastAsiaTheme="minorHAnsi" w:hAnsi="Arial" w:cs="Arial"/>
                <w:b/>
                <w:bCs/>
                <w:sz w:val="24"/>
                <w:szCs w:val="24"/>
              </w:rPr>
            </w:pPr>
          </w:p>
        </w:tc>
        <w:tc>
          <w:tcPr>
            <w:tcW w:w="1287" w:type="dxa"/>
            <w:tcBorders>
              <w:top w:val="nil"/>
            </w:tcBorders>
            <w:noWrap/>
            <w:hideMark/>
          </w:tcPr>
          <w:p w14:paraId="30F649E6" w14:textId="77777777" w:rsidR="00016C24" w:rsidRPr="00C34F59" w:rsidRDefault="00016C24" w:rsidP="00500FD5">
            <w:pPr>
              <w:pStyle w:val="NoSpacing"/>
              <w:jc w:val="right"/>
              <w:rPr>
                <w:rFonts w:ascii="Arial" w:eastAsiaTheme="minorHAnsi" w:hAnsi="Arial" w:cs="Arial"/>
                <w:b/>
                <w:bCs/>
                <w:sz w:val="24"/>
                <w:szCs w:val="24"/>
              </w:rPr>
            </w:pPr>
            <w:r w:rsidRPr="00C34F59">
              <w:rPr>
                <w:rFonts w:ascii="Arial" w:eastAsiaTheme="minorHAnsi" w:hAnsi="Arial" w:cs="Arial"/>
                <w:b/>
                <w:bCs/>
                <w:sz w:val="24"/>
                <w:szCs w:val="24"/>
              </w:rPr>
              <w:t>£000s</w:t>
            </w:r>
          </w:p>
        </w:tc>
        <w:tc>
          <w:tcPr>
            <w:tcW w:w="1573" w:type="dxa"/>
            <w:tcBorders>
              <w:top w:val="nil"/>
            </w:tcBorders>
            <w:noWrap/>
            <w:hideMark/>
          </w:tcPr>
          <w:p w14:paraId="737DC29C" w14:textId="77777777" w:rsidR="00016C24" w:rsidRPr="00C34F59" w:rsidRDefault="00016C24" w:rsidP="00500FD5">
            <w:pPr>
              <w:pStyle w:val="NoSpacing"/>
              <w:jc w:val="right"/>
              <w:rPr>
                <w:rFonts w:ascii="Arial" w:eastAsiaTheme="minorHAnsi" w:hAnsi="Arial" w:cs="Arial"/>
                <w:b/>
                <w:bCs/>
                <w:sz w:val="24"/>
                <w:szCs w:val="24"/>
              </w:rPr>
            </w:pPr>
            <w:r w:rsidRPr="00C34F59">
              <w:rPr>
                <w:rFonts w:ascii="Arial" w:eastAsiaTheme="minorHAnsi" w:hAnsi="Arial" w:cs="Arial"/>
                <w:b/>
                <w:bCs/>
                <w:sz w:val="24"/>
                <w:szCs w:val="24"/>
              </w:rPr>
              <w:t>£000s</w:t>
            </w:r>
          </w:p>
        </w:tc>
        <w:tc>
          <w:tcPr>
            <w:tcW w:w="1430" w:type="dxa"/>
            <w:tcBorders>
              <w:top w:val="nil"/>
            </w:tcBorders>
            <w:noWrap/>
            <w:hideMark/>
          </w:tcPr>
          <w:p w14:paraId="3A9FD482" w14:textId="77777777" w:rsidR="00016C24" w:rsidRPr="00C34F59" w:rsidRDefault="00016C24" w:rsidP="00500FD5">
            <w:pPr>
              <w:pStyle w:val="NoSpacing"/>
              <w:jc w:val="right"/>
              <w:rPr>
                <w:rFonts w:ascii="Arial" w:eastAsiaTheme="minorHAnsi" w:hAnsi="Arial" w:cs="Arial"/>
                <w:b/>
                <w:bCs/>
                <w:sz w:val="24"/>
                <w:szCs w:val="24"/>
              </w:rPr>
            </w:pPr>
            <w:r w:rsidRPr="00C34F59">
              <w:rPr>
                <w:rFonts w:ascii="Arial" w:eastAsiaTheme="minorHAnsi" w:hAnsi="Arial" w:cs="Arial"/>
                <w:b/>
                <w:bCs/>
                <w:sz w:val="24"/>
                <w:szCs w:val="24"/>
              </w:rPr>
              <w:t>£000s</w:t>
            </w:r>
          </w:p>
        </w:tc>
      </w:tr>
      <w:tr w:rsidR="00016C24" w:rsidRPr="00C34F59" w14:paraId="1ED48AB3" w14:textId="77777777" w:rsidTr="00C66F6C">
        <w:trPr>
          <w:trHeight w:val="207"/>
        </w:trPr>
        <w:tc>
          <w:tcPr>
            <w:tcW w:w="4000" w:type="dxa"/>
            <w:noWrap/>
            <w:hideMark/>
          </w:tcPr>
          <w:p w14:paraId="71B35DC8" w14:textId="77777777" w:rsidR="00016C24" w:rsidRPr="00C34F59" w:rsidRDefault="00016C24" w:rsidP="00500FD5">
            <w:pPr>
              <w:pStyle w:val="NoSpacing"/>
              <w:rPr>
                <w:rFonts w:ascii="Arial" w:eastAsiaTheme="minorHAnsi" w:hAnsi="Arial" w:cs="Arial"/>
                <w:sz w:val="24"/>
                <w:szCs w:val="24"/>
              </w:rPr>
            </w:pPr>
            <w:r w:rsidRPr="00C34F59">
              <w:rPr>
                <w:rFonts w:ascii="Arial" w:eastAsiaTheme="minorHAnsi" w:hAnsi="Arial" w:cs="Arial"/>
                <w:sz w:val="24"/>
                <w:szCs w:val="24"/>
              </w:rPr>
              <w:t>LEP Capacity</w:t>
            </w:r>
          </w:p>
        </w:tc>
        <w:tc>
          <w:tcPr>
            <w:tcW w:w="1287" w:type="dxa"/>
            <w:noWrap/>
            <w:hideMark/>
          </w:tcPr>
          <w:p w14:paraId="0921B486" w14:textId="77777777" w:rsidR="00016C24" w:rsidRPr="00C34F59" w:rsidRDefault="00016C24" w:rsidP="00500FD5">
            <w:pPr>
              <w:pStyle w:val="NoSpacing"/>
              <w:jc w:val="right"/>
              <w:rPr>
                <w:rFonts w:ascii="Arial" w:eastAsiaTheme="minorHAnsi" w:hAnsi="Arial" w:cs="Arial"/>
                <w:sz w:val="24"/>
                <w:szCs w:val="24"/>
              </w:rPr>
            </w:pPr>
            <w:r w:rsidRPr="00C34F59">
              <w:rPr>
                <w:rFonts w:ascii="Arial" w:eastAsiaTheme="minorHAnsi" w:hAnsi="Arial" w:cs="Arial"/>
                <w:sz w:val="24"/>
                <w:szCs w:val="24"/>
              </w:rPr>
              <w:t>(</w:t>
            </w:r>
            <w:r>
              <w:rPr>
                <w:rFonts w:ascii="Arial" w:eastAsiaTheme="minorHAnsi" w:hAnsi="Arial" w:cs="Arial"/>
                <w:sz w:val="24"/>
                <w:szCs w:val="24"/>
              </w:rPr>
              <w:t>396</w:t>
            </w:r>
            <w:r w:rsidRPr="00C34F59">
              <w:rPr>
                <w:rFonts w:ascii="Arial" w:eastAsiaTheme="minorHAnsi" w:hAnsi="Arial" w:cs="Arial"/>
                <w:sz w:val="24"/>
                <w:szCs w:val="24"/>
              </w:rPr>
              <w:t>)</w:t>
            </w:r>
          </w:p>
        </w:tc>
        <w:tc>
          <w:tcPr>
            <w:tcW w:w="1573" w:type="dxa"/>
            <w:noWrap/>
            <w:hideMark/>
          </w:tcPr>
          <w:p w14:paraId="6D173DB0" w14:textId="1BF57DD9" w:rsidR="00016C24" w:rsidRPr="00C34F59" w:rsidRDefault="00A064B3" w:rsidP="00500FD5">
            <w:pPr>
              <w:pStyle w:val="NoSpacing"/>
              <w:jc w:val="right"/>
              <w:rPr>
                <w:rFonts w:ascii="Arial" w:eastAsiaTheme="minorHAnsi" w:hAnsi="Arial" w:cs="Arial"/>
                <w:sz w:val="24"/>
                <w:szCs w:val="24"/>
              </w:rPr>
            </w:pPr>
            <w:r>
              <w:rPr>
                <w:rFonts w:ascii="Arial" w:eastAsiaTheme="minorHAnsi" w:hAnsi="Arial" w:cs="Arial"/>
                <w:sz w:val="24"/>
                <w:szCs w:val="24"/>
              </w:rPr>
              <w:t>(56)</w:t>
            </w:r>
            <w:r w:rsidR="00016C24" w:rsidRPr="00C34F59">
              <w:rPr>
                <w:rFonts w:ascii="Arial" w:eastAsiaTheme="minorHAnsi" w:hAnsi="Arial" w:cs="Arial"/>
                <w:sz w:val="24"/>
                <w:szCs w:val="24"/>
              </w:rPr>
              <w:t xml:space="preserve"> </w:t>
            </w:r>
          </w:p>
        </w:tc>
        <w:tc>
          <w:tcPr>
            <w:tcW w:w="1430" w:type="dxa"/>
            <w:noWrap/>
            <w:hideMark/>
          </w:tcPr>
          <w:p w14:paraId="2FA66DF1" w14:textId="77777777" w:rsidR="00016C24" w:rsidRPr="00C34F59" w:rsidRDefault="00016C24" w:rsidP="00500FD5">
            <w:pPr>
              <w:pStyle w:val="NoSpacing"/>
              <w:jc w:val="right"/>
              <w:rPr>
                <w:rFonts w:ascii="Arial" w:eastAsiaTheme="minorHAnsi" w:hAnsi="Arial" w:cs="Arial"/>
                <w:b/>
                <w:bCs/>
                <w:sz w:val="24"/>
                <w:szCs w:val="24"/>
              </w:rPr>
            </w:pPr>
            <w:r w:rsidRPr="00C34F59">
              <w:rPr>
                <w:rFonts w:ascii="Arial" w:eastAsiaTheme="minorHAnsi" w:hAnsi="Arial" w:cs="Arial"/>
                <w:b/>
                <w:bCs/>
                <w:sz w:val="24"/>
                <w:szCs w:val="24"/>
              </w:rPr>
              <w:t>(</w:t>
            </w:r>
            <w:r>
              <w:rPr>
                <w:rFonts w:ascii="Arial" w:eastAsiaTheme="minorHAnsi" w:hAnsi="Arial" w:cs="Arial"/>
                <w:b/>
                <w:bCs/>
                <w:sz w:val="24"/>
                <w:szCs w:val="24"/>
              </w:rPr>
              <w:t>452</w:t>
            </w:r>
            <w:r w:rsidRPr="00C34F59">
              <w:rPr>
                <w:rFonts w:ascii="Arial" w:eastAsiaTheme="minorHAnsi" w:hAnsi="Arial" w:cs="Arial"/>
                <w:b/>
                <w:bCs/>
                <w:sz w:val="24"/>
                <w:szCs w:val="24"/>
              </w:rPr>
              <w:t>)</w:t>
            </w:r>
          </w:p>
        </w:tc>
      </w:tr>
      <w:tr w:rsidR="00016C24" w:rsidRPr="00C34F59" w14:paraId="0BCB34B2" w14:textId="77777777" w:rsidTr="00C66F6C">
        <w:trPr>
          <w:trHeight w:val="99"/>
        </w:trPr>
        <w:tc>
          <w:tcPr>
            <w:tcW w:w="4000" w:type="dxa"/>
            <w:noWrap/>
            <w:hideMark/>
          </w:tcPr>
          <w:p w14:paraId="5AD9A7D4" w14:textId="77777777" w:rsidR="00016C24" w:rsidRPr="00C34F59" w:rsidRDefault="00016C24" w:rsidP="00500FD5">
            <w:pPr>
              <w:pStyle w:val="NoSpacing"/>
              <w:rPr>
                <w:rFonts w:ascii="Arial" w:eastAsiaTheme="minorHAnsi" w:hAnsi="Arial" w:cs="Arial"/>
                <w:sz w:val="24"/>
                <w:szCs w:val="24"/>
              </w:rPr>
            </w:pPr>
            <w:r w:rsidRPr="00C34F59">
              <w:rPr>
                <w:rFonts w:ascii="Arial" w:eastAsiaTheme="minorHAnsi" w:hAnsi="Arial" w:cs="Arial"/>
                <w:sz w:val="24"/>
                <w:szCs w:val="24"/>
              </w:rPr>
              <w:t>Business Rates (Enterprise Zones)</w:t>
            </w:r>
          </w:p>
        </w:tc>
        <w:tc>
          <w:tcPr>
            <w:tcW w:w="1287" w:type="dxa"/>
            <w:noWrap/>
            <w:hideMark/>
          </w:tcPr>
          <w:p w14:paraId="6B084FB2" w14:textId="77777777" w:rsidR="00016C24" w:rsidRPr="00C34F59" w:rsidRDefault="00016C24" w:rsidP="00500FD5">
            <w:pPr>
              <w:pStyle w:val="NoSpacing"/>
              <w:jc w:val="right"/>
              <w:rPr>
                <w:rFonts w:ascii="Arial" w:eastAsiaTheme="minorHAnsi" w:hAnsi="Arial" w:cs="Arial"/>
                <w:sz w:val="24"/>
                <w:szCs w:val="24"/>
              </w:rPr>
            </w:pPr>
            <w:r w:rsidRPr="00C34F59">
              <w:rPr>
                <w:rFonts w:ascii="Arial" w:eastAsiaTheme="minorHAnsi" w:hAnsi="Arial" w:cs="Arial"/>
                <w:sz w:val="24"/>
                <w:szCs w:val="24"/>
              </w:rPr>
              <w:t>(3</w:t>
            </w:r>
            <w:r>
              <w:rPr>
                <w:rFonts w:ascii="Arial" w:eastAsiaTheme="minorHAnsi" w:hAnsi="Arial" w:cs="Arial"/>
                <w:sz w:val="24"/>
                <w:szCs w:val="24"/>
              </w:rPr>
              <w:t>40</w:t>
            </w:r>
            <w:r w:rsidRPr="00C34F59">
              <w:rPr>
                <w:rFonts w:ascii="Arial" w:eastAsiaTheme="minorHAnsi" w:hAnsi="Arial" w:cs="Arial"/>
                <w:sz w:val="24"/>
                <w:szCs w:val="24"/>
              </w:rPr>
              <w:t>)</w:t>
            </w:r>
          </w:p>
        </w:tc>
        <w:tc>
          <w:tcPr>
            <w:tcW w:w="1573" w:type="dxa"/>
            <w:noWrap/>
            <w:hideMark/>
          </w:tcPr>
          <w:p w14:paraId="38E65E25" w14:textId="77777777" w:rsidR="00016C24" w:rsidRPr="00C34F59" w:rsidRDefault="00016C24" w:rsidP="00500FD5">
            <w:pPr>
              <w:pStyle w:val="NoSpacing"/>
              <w:jc w:val="right"/>
              <w:rPr>
                <w:rFonts w:ascii="Arial" w:eastAsiaTheme="minorHAnsi" w:hAnsi="Arial" w:cs="Arial"/>
                <w:sz w:val="24"/>
                <w:szCs w:val="24"/>
              </w:rPr>
            </w:pPr>
            <w:r w:rsidRPr="00C34F59">
              <w:rPr>
                <w:rFonts w:ascii="Arial" w:eastAsiaTheme="minorHAnsi" w:hAnsi="Arial" w:cs="Arial"/>
                <w:sz w:val="24"/>
                <w:szCs w:val="24"/>
              </w:rPr>
              <w:t xml:space="preserve">0 </w:t>
            </w:r>
          </w:p>
        </w:tc>
        <w:tc>
          <w:tcPr>
            <w:tcW w:w="1430" w:type="dxa"/>
            <w:noWrap/>
            <w:hideMark/>
          </w:tcPr>
          <w:p w14:paraId="78B67C4B" w14:textId="77777777" w:rsidR="00016C24" w:rsidRPr="00C34F59" w:rsidRDefault="00016C24" w:rsidP="00500FD5">
            <w:pPr>
              <w:pStyle w:val="NoSpacing"/>
              <w:jc w:val="right"/>
              <w:rPr>
                <w:rFonts w:ascii="Arial" w:eastAsiaTheme="minorHAnsi" w:hAnsi="Arial" w:cs="Arial"/>
                <w:b/>
                <w:bCs/>
                <w:sz w:val="24"/>
                <w:szCs w:val="24"/>
              </w:rPr>
            </w:pPr>
            <w:r w:rsidRPr="00C34F59">
              <w:rPr>
                <w:rFonts w:ascii="Arial" w:eastAsiaTheme="minorHAnsi" w:hAnsi="Arial" w:cs="Arial"/>
                <w:b/>
                <w:bCs/>
                <w:sz w:val="24"/>
                <w:szCs w:val="24"/>
              </w:rPr>
              <w:t>(</w:t>
            </w:r>
            <w:r>
              <w:rPr>
                <w:rFonts w:ascii="Arial" w:eastAsiaTheme="minorHAnsi" w:hAnsi="Arial" w:cs="Arial"/>
                <w:b/>
                <w:bCs/>
                <w:sz w:val="24"/>
                <w:szCs w:val="24"/>
              </w:rPr>
              <w:t>340</w:t>
            </w:r>
            <w:r w:rsidRPr="00C34F59">
              <w:rPr>
                <w:rFonts w:ascii="Arial" w:eastAsiaTheme="minorHAnsi" w:hAnsi="Arial" w:cs="Arial"/>
                <w:b/>
                <w:bCs/>
                <w:sz w:val="24"/>
                <w:szCs w:val="24"/>
              </w:rPr>
              <w:t>)</w:t>
            </w:r>
          </w:p>
        </w:tc>
      </w:tr>
      <w:tr w:rsidR="00016C24" w:rsidRPr="00982EF6" w14:paraId="6844B21F" w14:textId="77777777" w:rsidTr="00C66F6C">
        <w:trPr>
          <w:trHeight w:val="207"/>
        </w:trPr>
        <w:tc>
          <w:tcPr>
            <w:tcW w:w="4000" w:type="dxa"/>
            <w:noWrap/>
            <w:hideMark/>
          </w:tcPr>
          <w:p w14:paraId="0DB1566D" w14:textId="77777777" w:rsidR="00016C24" w:rsidRPr="00C34F59" w:rsidRDefault="00016C24" w:rsidP="00500FD5">
            <w:pPr>
              <w:pStyle w:val="NoSpacing"/>
              <w:rPr>
                <w:rFonts w:ascii="Arial" w:eastAsiaTheme="minorHAnsi" w:hAnsi="Arial" w:cs="Arial"/>
                <w:b/>
                <w:bCs/>
                <w:sz w:val="24"/>
                <w:szCs w:val="24"/>
              </w:rPr>
            </w:pPr>
            <w:r w:rsidRPr="00C34F59">
              <w:rPr>
                <w:rFonts w:ascii="Arial" w:eastAsiaTheme="minorHAnsi" w:hAnsi="Arial" w:cs="Arial"/>
                <w:b/>
                <w:bCs/>
                <w:sz w:val="24"/>
                <w:szCs w:val="24"/>
              </w:rPr>
              <w:t>Total Reserves</w:t>
            </w:r>
          </w:p>
        </w:tc>
        <w:tc>
          <w:tcPr>
            <w:tcW w:w="1287" w:type="dxa"/>
            <w:noWrap/>
            <w:hideMark/>
          </w:tcPr>
          <w:p w14:paraId="674D4B31" w14:textId="77777777" w:rsidR="00016C24" w:rsidRPr="00C34F59" w:rsidRDefault="00016C24" w:rsidP="00500FD5">
            <w:pPr>
              <w:pStyle w:val="NoSpacing"/>
              <w:jc w:val="right"/>
              <w:rPr>
                <w:rFonts w:ascii="Arial" w:eastAsiaTheme="minorHAnsi" w:hAnsi="Arial" w:cs="Arial"/>
                <w:b/>
                <w:bCs/>
                <w:sz w:val="24"/>
                <w:szCs w:val="24"/>
              </w:rPr>
            </w:pPr>
            <w:r w:rsidRPr="00C34F59">
              <w:rPr>
                <w:rFonts w:ascii="Arial" w:eastAsiaTheme="minorHAnsi" w:hAnsi="Arial" w:cs="Arial"/>
                <w:b/>
                <w:bCs/>
                <w:sz w:val="24"/>
                <w:szCs w:val="24"/>
              </w:rPr>
              <w:t>(</w:t>
            </w:r>
            <w:r>
              <w:rPr>
                <w:rFonts w:ascii="Arial" w:eastAsiaTheme="minorHAnsi" w:hAnsi="Arial" w:cs="Arial"/>
                <w:b/>
                <w:bCs/>
                <w:sz w:val="24"/>
                <w:szCs w:val="24"/>
              </w:rPr>
              <w:t>736</w:t>
            </w:r>
            <w:r w:rsidRPr="00C34F59">
              <w:rPr>
                <w:rFonts w:ascii="Arial" w:eastAsiaTheme="minorHAnsi" w:hAnsi="Arial" w:cs="Arial"/>
                <w:b/>
                <w:bCs/>
                <w:sz w:val="24"/>
                <w:szCs w:val="24"/>
              </w:rPr>
              <w:t>)</w:t>
            </w:r>
          </w:p>
        </w:tc>
        <w:tc>
          <w:tcPr>
            <w:tcW w:w="1573" w:type="dxa"/>
            <w:noWrap/>
            <w:hideMark/>
          </w:tcPr>
          <w:p w14:paraId="1B4A8E77" w14:textId="0464FF47" w:rsidR="00016C24" w:rsidRPr="00C34F59" w:rsidRDefault="00A064B3" w:rsidP="00500FD5">
            <w:pPr>
              <w:pStyle w:val="NoSpacing"/>
              <w:jc w:val="right"/>
              <w:rPr>
                <w:rFonts w:ascii="Arial" w:eastAsiaTheme="minorHAnsi" w:hAnsi="Arial" w:cs="Arial"/>
                <w:b/>
                <w:bCs/>
                <w:sz w:val="24"/>
                <w:szCs w:val="24"/>
              </w:rPr>
            </w:pPr>
            <w:r>
              <w:rPr>
                <w:rFonts w:ascii="Arial" w:eastAsiaTheme="minorHAnsi" w:hAnsi="Arial" w:cs="Arial"/>
                <w:b/>
                <w:bCs/>
                <w:sz w:val="24"/>
                <w:szCs w:val="24"/>
              </w:rPr>
              <w:t>(56)</w:t>
            </w:r>
          </w:p>
        </w:tc>
        <w:tc>
          <w:tcPr>
            <w:tcW w:w="1430" w:type="dxa"/>
            <w:noWrap/>
            <w:hideMark/>
          </w:tcPr>
          <w:p w14:paraId="164821C8" w14:textId="77777777" w:rsidR="00016C24" w:rsidRPr="00C34F59" w:rsidRDefault="00016C24" w:rsidP="00500FD5">
            <w:pPr>
              <w:pStyle w:val="NoSpacing"/>
              <w:jc w:val="right"/>
              <w:rPr>
                <w:rFonts w:ascii="Arial" w:eastAsiaTheme="minorHAnsi" w:hAnsi="Arial" w:cs="Arial"/>
                <w:b/>
                <w:bCs/>
                <w:sz w:val="24"/>
                <w:szCs w:val="24"/>
              </w:rPr>
            </w:pPr>
            <w:r w:rsidRPr="00C34F59">
              <w:rPr>
                <w:rFonts w:ascii="Arial" w:eastAsiaTheme="minorHAnsi" w:hAnsi="Arial" w:cs="Arial"/>
                <w:b/>
                <w:bCs/>
                <w:sz w:val="24"/>
                <w:szCs w:val="24"/>
              </w:rPr>
              <w:t>(</w:t>
            </w:r>
            <w:r>
              <w:rPr>
                <w:rFonts w:ascii="Arial" w:eastAsiaTheme="minorHAnsi" w:hAnsi="Arial" w:cs="Arial"/>
                <w:b/>
                <w:bCs/>
                <w:sz w:val="24"/>
                <w:szCs w:val="24"/>
              </w:rPr>
              <w:t>792</w:t>
            </w:r>
            <w:r w:rsidRPr="00C34F59">
              <w:rPr>
                <w:rFonts w:ascii="Arial" w:eastAsiaTheme="minorHAnsi" w:hAnsi="Arial" w:cs="Arial"/>
                <w:b/>
                <w:bCs/>
                <w:sz w:val="24"/>
                <w:szCs w:val="24"/>
              </w:rPr>
              <w:t>)</w:t>
            </w:r>
          </w:p>
        </w:tc>
      </w:tr>
      <w:bookmarkEnd w:id="38"/>
    </w:tbl>
    <w:p w14:paraId="2E723F81" w14:textId="77777777" w:rsidR="00016C24" w:rsidRPr="00982EF6" w:rsidRDefault="00016C24" w:rsidP="00016C24">
      <w:pPr>
        <w:pStyle w:val="Normal0"/>
        <w:spacing w:line="240" w:lineRule="auto"/>
        <w:rPr>
          <w:rFonts w:ascii="Arial" w:hAnsi="Arial" w:cs="Arial"/>
          <w:sz w:val="24"/>
          <w:szCs w:val="24"/>
          <w:highlight w:val="green"/>
        </w:rPr>
      </w:pPr>
    </w:p>
    <w:p w14:paraId="0CE2C957" w14:textId="77777777" w:rsidR="00016C24" w:rsidRPr="00AD2D07" w:rsidRDefault="00016C24" w:rsidP="00016C24">
      <w:pPr>
        <w:pStyle w:val="Heading3"/>
        <w:spacing w:after="160"/>
      </w:pPr>
      <w:bookmarkStart w:id="39" w:name="_Toc109922589"/>
      <w:r w:rsidRPr="00AD2D07">
        <w:lastRenderedPageBreak/>
        <w:t>Revenue Outturn 202</w:t>
      </w:r>
      <w:r>
        <w:t>1</w:t>
      </w:r>
      <w:r w:rsidRPr="00AD2D07">
        <w:t>/2</w:t>
      </w:r>
      <w:r>
        <w:t>2</w:t>
      </w:r>
      <w:bookmarkEnd w:id="39"/>
    </w:p>
    <w:p w14:paraId="4BA17055" w14:textId="687EF9A2" w:rsidR="003A641D" w:rsidRDefault="00016C24" w:rsidP="004466F7">
      <w:pPr>
        <w:widowControl w:val="0"/>
        <w:spacing w:after="160"/>
        <w:rPr>
          <w:rFonts w:ascii="Arial" w:hAnsi="Arial" w:cs="Arial"/>
          <w:bCs/>
          <w:snapToGrid w:val="0"/>
          <w:lang w:eastAsia="en-GB"/>
        </w:rPr>
      </w:pPr>
      <w:r w:rsidRPr="004358E3">
        <w:rPr>
          <w:rFonts w:ascii="Arial" w:hAnsi="Arial" w:cs="Arial"/>
          <w:snapToGrid w:val="0"/>
          <w:lang w:eastAsia="en-GB"/>
        </w:rPr>
        <w:t xml:space="preserve">The 2021/22 revenue outturn position in relation to the Mayoral budget, GMCA General Budget, GM Fire and Rescue, Waste and Resources and Transport, including TfGM and the Police Fund is </w:t>
      </w:r>
      <w:r w:rsidRPr="004358E3">
        <w:rPr>
          <w:rFonts w:ascii="Arial" w:hAnsi="Arial" w:cs="Arial"/>
          <w:bCs/>
          <w:snapToGrid w:val="0"/>
          <w:lang w:eastAsia="en-GB"/>
        </w:rPr>
        <w:t>shown in the table below:</w:t>
      </w:r>
    </w:p>
    <w:tbl>
      <w:tblPr>
        <w:tblW w:w="10737" w:type="dxa"/>
        <w:tblInd w:w="-507" w:type="dxa"/>
        <w:tblLook w:val="04A0" w:firstRow="1" w:lastRow="0" w:firstColumn="1" w:lastColumn="0" w:noHBand="0" w:noVBand="1"/>
      </w:tblPr>
      <w:tblGrid>
        <w:gridCol w:w="1833"/>
        <w:gridCol w:w="1163"/>
        <w:gridCol w:w="1135"/>
        <w:gridCol w:w="703"/>
        <w:gridCol w:w="950"/>
        <w:gridCol w:w="1073"/>
        <w:gridCol w:w="961"/>
        <w:gridCol w:w="961"/>
        <w:gridCol w:w="980"/>
        <w:gridCol w:w="978"/>
      </w:tblGrid>
      <w:tr w:rsidR="003A641D" w14:paraId="65456BD0" w14:textId="77777777" w:rsidTr="00C7547D">
        <w:trPr>
          <w:trHeight w:val="290"/>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B5F3A49" w14:textId="56755EC4" w:rsidR="003A641D" w:rsidRPr="00C7547D" w:rsidRDefault="003A641D">
            <w:pPr>
              <w:rPr>
                <w:rFonts w:ascii="Arial" w:hAnsi="Arial" w:cs="Arial"/>
                <w:b/>
                <w:bCs/>
                <w:color w:val="000000"/>
                <w:sz w:val="20"/>
                <w:szCs w:val="20"/>
                <w:lang w:eastAsia="en-GB"/>
              </w:rPr>
            </w:pPr>
            <w:r w:rsidRPr="00C7547D">
              <w:rPr>
                <w:rFonts w:ascii="Arial" w:hAnsi="Arial" w:cs="Arial"/>
                <w:b/>
                <w:bCs/>
                <w:color w:val="000000"/>
                <w:sz w:val="20"/>
                <w:szCs w:val="20"/>
              </w:rPr>
              <w:t>2021/22 Revenue Outturn</w:t>
            </w:r>
          </w:p>
        </w:tc>
        <w:tc>
          <w:tcPr>
            <w:tcW w:w="3001" w:type="dxa"/>
            <w:gridSpan w:val="3"/>
            <w:tcBorders>
              <w:top w:val="single" w:sz="8" w:space="0" w:color="auto"/>
              <w:left w:val="nil"/>
              <w:bottom w:val="nil"/>
              <w:right w:val="single" w:sz="8" w:space="0" w:color="000000"/>
            </w:tcBorders>
            <w:shd w:val="clear" w:color="000000" w:fill="BFBFBF"/>
            <w:noWrap/>
            <w:vAlign w:val="center"/>
            <w:hideMark/>
          </w:tcPr>
          <w:p w14:paraId="5F4BA7FB" w14:textId="77777777" w:rsidR="003A641D" w:rsidRPr="00C7547D" w:rsidRDefault="003A641D">
            <w:pPr>
              <w:jc w:val="center"/>
              <w:rPr>
                <w:rFonts w:ascii="Arial" w:hAnsi="Arial" w:cs="Arial"/>
                <w:b/>
                <w:bCs/>
                <w:color w:val="000000"/>
                <w:sz w:val="20"/>
                <w:szCs w:val="20"/>
              </w:rPr>
            </w:pPr>
            <w:r w:rsidRPr="00C7547D">
              <w:rPr>
                <w:rFonts w:ascii="Arial" w:hAnsi="Arial" w:cs="Arial"/>
                <w:b/>
                <w:bCs/>
                <w:color w:val="000000"/>
                <w:sz w:val="20"/>
                <w:szCs w:val="20"/>
              </w:rPr>
              <w:t>Original/Revised Budget</w:t>
            </w:r>
          </w:p>
        </w:tc>
        <w:tc>
          <w:tcPr>
            <w:tcW w:w="2984" w:type="dxa"/>
            <w:gridSpan w:val="3"/>
            <w:tcBorders>
              <w:top w:val="single" w:sz="8" w:space="0" w:color="auto"/>
              <w:left w:val="nil"/>
              <w:bottom w:val="nil"/>
              <w:right w:val="single" w:sz="8" w:space="0" w:color="000000"/>
            </w:tcBorders>
            <w:shd w:val="clear" w:color="000000" w:fill="BFBFBF"/>
            <w:noWrap/>
            <w:vAlign w:val="center"/>
            <w:hideMark/>
          </w:tcPr>
          <w:p w14:paraId="7478417D" w14:textId="77777777" w:rsidR="003A641D" w:rsidRPr="00C7547D" w:rsidRDefault="003A641D">
            <w:pPr>
              <w:jc w:val="center"/>
              <w:rPr>
                <w:rFonts w:ascii="Arial" w:hAnsi="Arial" w:cs="Arial"/>
                <w:b/>
                <w:bCs/>
                <w:color w:val="000000"/>
                <w:sz w:val="20"/>
                <w:szCs w:val="20"/>
              </w:rPr>
            </w:pPr>
            <w:r w:rsidRPr="00C7547D">
              <w:rPr>
                <w:rFonts w:ascii="Arial" w:hAnsi="Arial" w:cs="Arial"/>
                <w:b/>
                <w:bCs/>
                <w:color w:val="000000"/>
                <w:sz w:val="20"/>
                <w:szCs w:val="20"/>
              </w:rPr>
              <w:t>Outturn</w:t>
            </w:r>
          </w:p>
        </w:tc>
        <w:tc>
          <w:tcPr>
            <w:tcW w:w="2919" w:type="dxa"/>
            <w:gridSpan w:val="3"/>
            <w:tcBorders>
              <w:top w:val="single" w:sz="8" w:space="0" w:color="auto"/>
              <w:left w:val="nil"/>
              <w:bottom w:val="nil"/>
              <w:right w:val="single" w:sz="8" w:space="0" w:color="000000"/>
            </w:tcBorders>
            <w:shd w:val="clear" w:color="000000" w:fill="BFBFBF"/>
            <w:noWrap/>
            <w:vAlign w:val="center"/>
            <w:hideMark/>
          </w:tcPr>
          <w:p w14:paraId="2489ABC7" w14:textId="77777777" w:rsidR="00C7547D" w:rsidRPr="00C7547D" w:rsidRDefault="00C7547D">
            <w:pPr>
              <w:jc w:val="center"/>
              <w:rPr>
                <w:rFonts w:ascii="Arial" w:hAnsi="Arial" w:cs="Arial"/>
                <w:b/>
                <w:bCs/>
                <w:color w:val="000000"/>
                <w:sz w:val="20"/>
                <w:szCs w:val="20"/>
              </w:rPr>
            </w:pPr>
            <w:r w:rsidRPr="00C7547D">
              <w:rPr>
                <w:rFonts w:ascii="Arial" w:hAnsi="Arial" w:cs="Arial"/>
                <w:b/>
                <w:bCs/>
                <w:color w:val="000000"/>
                <w:sz w:val="20"/>
                <w:szCs w:val="20"/>
              </w:rPr>
              <w:t>Variance</w:t>
            </w:r>
          </w:p>
          <w:p w14:paraId="44755B89" w14:textId="395DF3DD" w:rsidR="003A641D" w:rsidRPr="00C7547D" w:rsidRDefault="00C7547D">
            <w:pPr>
              <w:jc w:val="center"/>
              <w:rPr>
                <w:rFonts w:ascii="Arial" w:hAnsi="Arial" w:cs="Arial"/>
                <w:b/>
                <w:bCs/>
                <w:color w:val="000000"/>
                <w:sz w:val="20"/>
                <w:szCs w:val="20"/>
              </w:rPr>
            </w:pPr>
            <w:r w:rsidRPr="00C7547D">
              <w:rPr>
                <w:rFonts w:ascii="Arial" w:hAnsi="Arial" w:cs="Arial"/>
                <w:b/>
                <w:bCs/>
                <w:color w:val="000000"/>
                <w:sz w:val="20"/>
                <w:szCs w:val="20"/>
              </w:rPr>
              <w:t xml:space="preserve"> (</w:t>
            </w:r>
            <w:r w:rsidR="003A641D" w:rsidRPr="00C7547D">
              <w:rPr>
                <w:rFonts w:ascii="Arial" w:hAnsi="Arial" w:cs="Arial"/>
                <w:b/>
                <w:bCs/>
                <w:color w:val="000000"/>
                <w:sz w:val="20"/>
                <w:szCs w:val="20"/>
              </w:rPr>
              <w:t>under</w:t>
            </w:r>
            <w:r w:rsidRPr="00C7547D">
              <w:rPr>
                <w:rFonts w:ascii="Arial" w:hAnsi="Arial" w:cs="Arial"/>
                <w:b/>
                <w:bCs/>
                <w:color w:val="000000"/>
                <w:sz w:val="20"/>
                <w:szCs w:val="20"/>
              </w:rPr>
              <w:t xml:space="preserve">) </w:t>
            </w:r>
            <w:r w:rsidR="003A641D" w:rsidRPr="00C7547D">
              <w:rPr>
                <w:rFonts w:ascii="Arial" w:hAnsi="Arial" w:cs="Arial"/>
                <w:b/>
                <w:bCs/>
                <w:color w:val="000000"/>
                <w:sz w:val="20"/>
                <w:szCs w:val="20"/>
              </w:rPr>
              <w:t>/</w:t>
            </w:r>
            <w:r w:rsidRPr="00C7547D">
              <w:rPr>
                <w:rFonts w:ascii="Arial" w:hAnsi="Arial" w:cs="Arial"/>
                <w:b/>
                <w:bCs/>
                <w:color w:val="000000"/>
                <w:sz w:val="20"/>
                <w:szCs w:val="20"/>
              </w:rPr>
              <w:t xml:space="preserve"> overspend</w:t>
            </w:r>
          </w:p>
        </w:tc>
      </w:tr>
      <w:tr w:rsidR="003A641D" w14:paraId="2FE999AB" w14:textId="77777777" w:rsidTr="00C7547D">
        <w:trPr>
          <w:trHeight w:val="300"/>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3345EA9F" w14:textId="77777777" w:rsidR="003A641D" w:rsidRPr="00C7547D" w:rsidRDefault="003A641D">
            <w:pPr>
              <w:rPr>
                <w:rFonts w:ascii="Arial" w:hAnsi="Arial" w:cs="Arial"/>
                <w:b/>
                <w:bCs/>
                <w:color w:val="000000"/>
                <w:sz w:val="20"/>
                <w:szCs w:val="20"/>
              </w:rPr>
            </w:pPr>
          </w:p>
        </w:tc>
        <w:tc>
          <w:tcPr>
            <w:tcW w:w="1163" w:type="dxa"/>
            <w:tcBorders>
              <w:top w:val="nil"/>
              <w:left w:val="nil"/>
              <w:bottom w:val="single" w:sz="8" w:space="0" w:color="auto"/>
              <w:right w:val="nil"/>
            </w:tcBorders>
            <w:shd w:val="clear" w:color="000000" w:fill="BFBFBF"/>
            <w:noWrap/>
            <w:vAlign w:val="center"/>
            <w:hideMark/>
          </w:tcPr>
          <w:p w14:paraId="1C46AA5C" w14:textId="77777777" w:rsidR="003A641D" w:rsidRPr="00C7547D" w:rsidRDefault="003A641D">
            <w:pPr>
              <w:jc w:val="center"/>
              <w:rPr>
                <w:rFonts w:ascii="Arial" w:hAnsi="Arial" w:cs="Arial"/>
                <w:b/>
                <w:bCs/>
                <w:color w:val="000000"/>
                <w:sz w:val="20"/>
                <w:szCs w:val="20"/>
              </w:rPr>
            </w:pPr>
            <w:r w:rsidRPr="00C7547D">
              <w:rPr>
                <w:rFonts w:ascii="Arial" w:hAnsi="Arial" w:cs="Arial"/>
                <w:b/>
                <w:bCs/>
                <w:color w:val="000000"/>
                <w:sz w:val="20"/>
                <w:szCs w:val="20"/>
              </w:rPr>
              <w:t>Exp</w:t>
            </w:r>
          </w:p>
        </w:tc>
        <w:tc>
          <w:tcPr>
            <w:tcW w:w="1135" w:type="dxa"/>
            <w:tcBorders>
              <w:top w:val="nil"/>
              <w:left w:val="nil"/>
              <w:bottom w:val="single" w:sz="8" w:space="0" w:color="auto"/>
              <w:right w:val="nil"/>
            </w:tcBorders>
            <w:shd w:val="clear" w:color="000000" w:fill="BFBFBF"/>
            <w:noWrap/>
            <w:vAlign w:val="center"/>
            <w:hideMark/>
          </w:tcPr>
          <w:p w14:paraId="5E0241AB" w14:textId="77777777" w:rsidR="003A641D" w:rsidRPr="00C7547D" w:rsidRDefault="003A641D">
            <w:pPr>
              <w:jc w:val="center"/>
              <w:rPr>
                <w:rFonts w:ascii="Arial" w:hAnsi="Arial" w:cs="Arial"/>
                <w:b/>
                <w:bCs/>
                <w:color w:val="000000"/>
                <w:sz w:val="20"/>
                <w:szCs w:val="20"/>
              </w:rPr>
            </w:pPr>
            <w:r w:rsidRPr="00C7547D">
              <w:rPr>
                <w:rFonts w:ascii="Arial" w:hAnsi="Arial" w:cs="Arial"/>
                <w:b/>
                <w:bCs/>
                <w:color w:val="000000"/>
                <w:sz w:val="20"/>
                <w:szCs w:val="20"/>
              </w:rPr>
              <w:t xml:space="preserve">Income </w:t>
            </w:r>
          </w:p>
        </w:tc>
        <w:tc>
          <w:tcPr>
            <w:tcW w:w="703" w:type="dxa"/>
            <w:tcBorders>
              <w:top w:val="nil"/>
              <w:left w:val="nil"/>
              <w:bottom w:val="single" w:sz="8" w:space="0" w:color="auto"/>
              <w:right w:val="single" w:sz="8" w:space="0" w:color="auto"/>
            </w:tcBorders>
            <w:shd w:val="clear" w:color="000000" w:fill="BFBFBF"/>
            <w:noWrap/>
            <w:vAlign w:val="center"/>
            <w:hideMark/>
          </w:tcPr>
          <w:p w14:paraId="179E2A72" w14:textId="77777777" w:rsidR="003A641D" w:rsidRPr="00C7547D" w:rsidRDefault="003A641D">
            <w:pPr>
              <w:jc w:val="center"/>
              <w:rPr>
                <w:rFonts w:ascii="Arial" w:hAnsi="Arial" w:cs="Arial"/>
                <w:b/>
                <w:bCs/>
                <w:color w:val="000000"/>
                <w:sz w:val="20"/>
                <w:szCs w:val="20"/>
              </w:rPr>
            </w:pPr>
            <w:r w:rsidRPr="00C7547D">
              <w:rPr>
                <w:rFonts w:ascii="Arial" w:hAnsi="Arial" w:cs="Arial"/>
                <w:b/>
                <w:bCs/>
                <w:color w:val="000000"/>
                <w:sz w:val="20"/>
                <w:szCs w:val="20"/>
              </w:rPr>
              <w:t>Total</w:t>
            </w:r>
          </w:p>
        </w:tc>
        <w:tc>
          <w:tcPr>
            <w:tcW w:w="950" w:type="dxa"/>
            <w:tcBorders>
              <w:top w:val="nil"/>
              <w:left w:val="nil"/>
              <w:bottom w:val="single" w:sz="8" w:space="0" w:color="auto"/>
              <w:right w:val="nil"/>
            </w:tcBorders>
            <w:shd w:val="clear" w:color="000000" w:fill="BFBFBF"/>
            <w:noWrap/>
            <w:vAlign w:val="center"/>
            <w:hideMark/>
          </w:tcPr>
          <w:p w14:paraId="29CF0B6A" w14:textId="77777777" w:rsidR="003A641D" w:rsidRPr="00C7547D" w:rsidRDefault="003A641D">
            <w:pPr>
              <w:jc w:val="center"/>
              <w:rPr>
                <w:rFonts w:ascii="Arial" w:hAnsi="Arial" w:cs="Arial"/>
                <w:b/>
                <w:bCs/>
                <w:color w:val="000000"/>
                <w:sz w:val="20"/>
                <w:szCs w:val="20"/>
              </w:rPr>
            </w:pPr>
            <w:r w:rsidRPr="00C7547D">
              <w:rPr>
                <w:rFonts w:ascii="Arial" w:hAnsi="Arial" w:cs="Arial"/>
                <w:b/>
                <w:bCs/>
                <w:color w:val="000000"/>
                <w:sz w:val="20"/>
                <w:szCs w:val="20"/>
              </w:rPr>
              <w:t>Exp</w:t>
            </w:r>
          </w:p>
        </w:tc>
        <w:tc>
          <w:tcPr>
            <w:tcW w:w="1073" w:type="dxa"/>
            <w:tcBorders>
              <w:top w:val="nil"/>
              <w:left w:val="nil"/>
              <w:bottom w:val="single" w:sz="8" w:space="0" w:color="auto"/>
              <w:right w:val="nil"/>
            </w:tcBorders>
            <w:shd w:val="clear" w:color="000000" w:fill="BFBFBF"/>
            <w:noWrap/>
            <w:vAlign w:val="center"/>
            <w:hideMark/>
          </w:tcPr>
          <w:p w14:paraId="06F5BD99" w14:textId="77777777" w:rsidR="003A641D" w:rsidRPr="00C7547D" w:rsidRDefault="003A641D">
            <w:pPr>
              <w:jc w:val="center"/>
              <w:rPr>
                <w:rFonts w:ascii="Arial" w:hAnsi="Arial" w:cs="Arial"/>
                <w:b/>
                <w:bCs/>
                <w:color w:val="000000"/>
                <w:sz w:val="20"/>
                <w:szCs w:val="20"/>
              </w:rPr>
            </w:pPr>
            <w:r w:rsidRPr="00C7547D">
              <w:rPr>
                <w:rFonts w:ascii="Arial" w:hAnsi="Arial" w:cs="Arial"/>
                <w:b/>
                <w:bCs/>
                <w:color w:val="000000"/>
                <w:sz w:val="20"/>
                <w:szCs w:val="20"/>
              </w:rPr>
              <w:t xml:space="preserve">Income </w:t>
            </w:r>
          </w:p>
        </w:tc>
        <w:tc>
          <w:tcPr>
            <w:tcW w:w="961" w:type="dxa"/>
            <w:tcBorders>
              <w:top w:val="nil"/>
              <w:left w:val="nil"/>
              <w:bottom w:val="single" w:sz="8" w:space="0" w:color="auto"/>
              <w:right w:val="single" w:sz="8" w:space="0" w:color="auto"/>
            </w:tcBorders>
            <w:shd w:val="clear" w:color="000000" w:fill="BFBFBF"/>
            <w:noWrap/>
            <w:vAlign w:val="center"/>
            <w:hideMark/>
          </w:tcPr>
          <w:p w14:paraId="1C775320" w14:textId="77777777" w:rsidR="003A641D" w:rsidRPr="00C7547D" w:rsidRDefault="003A641D">
            <w:pPr>
              <w:jc w:val="center"/>
              <w:rPr>
                <w:rFonts w:ascii="Arial" w:hAnsi="Arial" w:cs="Arial"/>
                <w:b/>
                <w:bCs/>
                <w:color w:val="000000"/>
                <w:sz w:val="20"/>
                <w:szCs w:val="20"/>
              </w:rPr>
            </w:pPr>
            <w:r w:rsidRPr="00C7547D">
              <w:rPr>
                <w:rFonts w:ascii="Arial" w:hAnsi="Arial" w:cs="Arial"/>
                <w:b/>
                <w:bCs/>
                <w:color w:val="000000"/>
                <w:sz w:val="20"/>
                <w:szCs w:val="20"/>
              </w:rPr>
              <w:t>Total</w:t>
            </w:r>
          </w:p>
        </w:tc>
        <w:tc>
          <w:tcPr>
            <w:tcW w:w="961" w:type="dxa"/>
            <w:tcBorders>
              <w:top w:val="nil"/>
              <w:left w:val="nil"/>
              <w:bottom w:val="single" w:sz="8" w:space="0" w:color="auto"/>
              <w:right w:val="nil"/>
            </w:tcBorders>
            <w:shd w:val="clear" w:color="000000" w:fill="BFBFBF"/>
            <w:noWrap/>
            <w:vAlign w:val="center"/>
            <w:hideMark/>
          </w:tcPr>
          <w:p w14:paraId="28BCC379" w14:textId="77777777" w:rsidR="003A641D" w:rsidRPr="00C7547D" w:rsidRDefault="003A641D">
            <w:pPr>
              <w:jc w:val="center"/>
              <w:rPr>
                <w:rFonts w:ascii="Arial" w:hAnsi="Arial" w:cs="Arial"/>
                <w:b/>
                <w:bCs/>
                <w:color w:val="000000"/>
                <w:sz w:val="20"/>
                <w:szCs w:val="20"/>
              </w:rPr>
            </w:pPr>
            <w:r w:rsidRPr="00C7547D">
              <w:rPr>
                <w:rFonts w:ascii="Arial" w:hAnsi="Arial" w:cs="Arial"/>
                <w:b/>
                <w:bCs/>
                <w:color w:val="000000"/>
                <w:sz w:val="20"/>
                <w:szCs w:val="20"/>
              </w:rPr>
              <w:t>Exp</w:t>
            </w:r>
          </w:p>
        </w:tc>
        <w:tc>
          <w:tcPr>
            <w:tcW w:w="980" w:type="dxa"/>
            <w:tcBorders>
              <w:top w:val="nil"/>
              <w:left w:val="nil"/>
              <w:bottom w:val="single" w:sz="8" w:space="0" w:color="auto"/>
              <w:right w:val="nil"/>
            </w:tcBorders>
            <w:shd w:val="clear" w:color="000000" w:fill="BFBFBF"/>
            <w:noWrap/>
            <w:vAlign w:val="center"/>
            <w:hideMark/>
          </w:tcPr>
          <w:p w14:paraId="6CA3D26B" w14:textId="77777777" w:rsidR="003A641D" w:rsidRPr="00C7547D" w:rsidRDefault="003A641D">
            <w:pPr>
              <w:jc w:val="center"/>
              <w:rPr>
                <w:rFonts w:ascii="Arial" w:hAnsi="Arial" w:cs="Arial"/>
                <w:b/>
                <w:bCs/>
                <w:color w:val="000000"/>
                <w:sz w:val="20"/>
                <w:szCs w:val="20"/>
              </w:rPr>
            </w:pPr>
            <w:r w:rsidRPr="00C7547D">
              <w:rPr>
                <w:rFonts w:ascii="Arial" w:hAnsi="Arial" w:cs="Arial"/>
                <w:b/>
                <w:bCs/>
                <w:color w:val="000000"/>
                <w:sz w:val="20"/>
                <w:szCs w:val="20"/>
              </w:rPr>
              <w:t xml:space="preserve">Income </w:t>
            </w:r>
          </w:p>
        </w:tc>
        <w:tc>
          <w:tcPr>
            <w:tcW w:w="978" w:type="dxa"/>
            <w:tcBorders>
              <w:top w:val="nil"/>
              <w:left w:val="nil"/>
              <w:bottom w:val="single" w:sz="8" w:space="0" w:color="auto"/>
              <w:right w:val="single" w:sz="8" w:space="0" w:color="auto"/>
            </w:tcBorders>
            <w:shd w:val="clear" w:color="000000" w:fill="BFBFBF"/>
            <w:noWrap/>
            <w:vAlign w:val="center"/>
            <w:hideMark/>
          </w:tcPr>
          <w:p w14:paraId="63CC4E6D" w14:textId="77777777" w:rsidR="003A641D" w:rsidRPr="00C7547D" w:rsidRDefault="003A641D">
            <w:pPr>
              <w:jc w:val="center"/>
              <w:rPr>
                <w:rFonts w:ascii="Arial" w:hAnsi="Arial" w:cs="Arial"/>
                <w:b/>
                <w:bCs/>
                <w:color w:val="000000"/>
                <w:sz w:val="20"/>
                <w:szCs w:val="20"/>
              </w:rPr>
            </w:pPr>
            <w:r w:rsidRPr="00C7547D">
              <w:rPr>
                <w:rFonts w:ascii="Arial" w:hAnsi="Arial" w:cs="Arial"/>
                <w:b/>
                <w:bCs/>
                <w:color w:val="000000"/>
                <w:sz w:val="20"/>
                <w:szCs w:val="20"/>
              </w:rPr>
              <w:t>Total</w:t>
            </w:r>
          </w:p>
        </w:tc>
      </w:tr>
      <w:tr w:rsidR="003A641D" w14:paraId="00BBC090"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2FB90871" w14:textId="77777777" w:rsidR="003A641D" w:rsidRPr="00C7547D" w:rsidRDefault="003A641D">
            <w:pPr>
              <w:rPr>
                <w:rFonts w:ascii="Arial" w:hAnsi="Arial" w:cs="Arial"/>
                <w:color w:val="000000"/>
                <w:sz w:val="20"/>
                <w:szCs w:val="20"/>
              </w:rPr>
            </w:pPr>
            <w:r w:rsidRPr="00C7547D">
              <w:rPr>
                <w:rFonts w:ascii="Arial" w:hAnsi="Arial" w:cs="Arial"/>
                <w:color w:val="000000"/>
                <w:sz w:val="20"/>
                <w:szCs w:val="20"/>
              </w:rPr>
              <w:t> </w:t>
            </w:r>
          </w:p>
        </w:tc>
        <w:tc>
          <w:tcPr>
            <w:tcW w:w="1163" w:type="dxa"/>
            <w:tcBorders>
              <w:top w:val="nil"/>
              <w:left w:val="single" w:sz="8" w:space="0" w:color="auto"/>
              <w:bottom w:val="nil"/>
              <w:right w:val="nil"/>
            </w:tcBorders>
            <w:shd w:val="clear" w:color="auto" w:fill="auto"/>
            <w:noWrap/>
            <w:vAlign w:val="center"/>
            <w:hideMark/>
          </w:tcPr>
          <w:p w14:paraId="6885B04A" w14:textId="77777777" w:rsidR="003A641D" w:rsidRPr="00C7547D" w:rsidRDefault="003A641D">
            <w:pPr>
              <w:jc w:val="center"/>
              <w:rPr>
                <w:rFonts w:ascii="Arial" w:hAnsi="Arial" w:cs="Arial"/>
                <w:color w:val="000000"/>
                <w:sz w:val="20"/>
                <w:szCs w:val="20"/>
              </w:rPr>
            </w:pPr>
            <w:r w:rsidRPr="00C7547D">
              <w:rPr>
                <w:rFonts w:ascii="Arial" w:hAnsi="Arial" w:cs="Arial"/>
                <w:color w:val="000000"/>
                <w:sz w:val="20"/>
                <w:szCs w:val="20"/>
              </w:rPr>
              <w:t>£000</w:t>
            </w:r>
          </w:p>
        </w:tc>
        <w:tc>
          <w:tcPr>
            <w:tcW w:w="1135" w:type="dxa"/>
            <w:tcBorders>
              <w:top w:val="nil"/>
              <w:left w:val="nil"/>
              <w:bottom w:val="nil"/>
              <w:right w:val="nil"/>
            </w:tcBorders>
            <w:shd w:val="clear" w:color="auto" w:fill="auto"/>
            <w:noWrap/>
            <w:vAlign w:val="center"/>
            <w:hideMark/>
          </w:tcPr>
          <w:p w14:paraId="6BC8ED88" w14:textId="77777777" w:rsidR="003A641D" w:rsidRPr="00C7547D" w:rsidRDefault="003A641D">
            <w:pPr>
              <w:jc w:val="center"/>
              <w:rPr>
                <w:rFonts w:ascii="Arial" w:hAnsi="Arial" w:cs="Arial"/>
                <w:color w:val="000000"/>
                <w:sz w:val="20"/>
                <w:szCs w:val="20"/>
              </w:rPr>
            </w:pPr>
            <w:r w:rsidRPr="00C7547D">
              <w:rPr>
                <w:rFonts w:ascii="Arial" w:hAnsi="Arial" w:cs="Arial"/>
                <w:color w:val="000000"/>
                <w:sz w:val="20"/>
                <w:szCs w:val="20"/>
              </w:rPr>
              <w:t>£000</w:t>
            </w:r>
          </w:p>
        </w:tc>
        <w:tc>
          <w:tcPr>
            <w:tcW w:w="703" w:type="dxa"/>
            <w:tcBorders>
              <w:top w:val="nil"/>
              <w:left w:val="nil"/>
              <w:bottom w:val="nil"/>
              <w:right w:val="single" w:sz="8" w:space="0" w:color="auto"/>
            </w:tcBorders>
            <w:shd w:val="clear" w:color="auto" w:fill="auto"/>
            <w:noWrap/>
            <w:vAlign w:val="center"/>
            <w:hideMark/>
          </w:tcPr>
          <w:p w14:paraId="164D74C4" w14:textId="77777777" w:rsidR="003A641D" w:rsidRPr="00C7547D" w:rsidRDefault="003A641D">
            <w:pPr>
              <w:jc w:val="center"/>
              <w:rPr>
                <w:rFonts w:ascii="Arial" w:hAnsi="Arial" w:cs="Arial"/>
                <w:color w:val="000000"/>
                <w:sz w:val="20"/>
                <w:szCs w:val="20"/>
              </w:rPr>
            </w:pPr>
            <w:r w:rsidRPr="00C7547D">
              <w:rPr>
                <w:rFonts w:ascii="Arial" w:hAnsi="Arial" w:cs="Arial"/>
                <w:color w:val="000000"/>
                <w:sz w:val="20"/>
                <w:szCs w:val="20"/>
              </w:rPr>
              <w:t>£000</w:t>
            </w:r>
          </w:p>
        </w:tc>
        <w:tc>
          <w:tcPr>
            <w:tcW w:w="950" w:type="dxa"/>
            <w:tcBorders>
              <w:top w:val="nil"/>
              <w:left w:val="nil"/>
              <w:bottom w:val="nil"/>
              <w:right w:val="nil"/>
            </w:tcBorders>
            <w:shd w:val="clear" w:color="auto" w:fill="auto"/>
            <w:noWrap/>
            <w:vAlign w:val="center"/>
            <w:hideMark/>
          </w:tcPr>
          <w:p w14:paraId="34854E82" w14:textId="77777777" w:rsidR="003A641D" w:rsidRPr="00C7547D" w:rsidRDefault="003A641D">
            <w:pPr>
              <w:jc w:val="center"/>
              <w:rPr>
                <w:rFonts w:ascii="Arial" w:hAnsi="Arial" w:cs="Arial"/>
                <w:color w:val="000000"/>
                <w:sz w:val="20"/>
                <w:szCs w:val="20"/>
              </w:rPr>
            </w:pPr>
            <w:r w:rsidRPr="00C7547D">
              <w:rPr>
                <w:rFonts w:ascii="Arial" w:hAnsi="Arial" w:cs="Arial"/>
                <w:color w:val="000000"/>
                <w:sz w:val="20"/>
                <w:szCs w:val="20"/>
              </w:rPr>
              <w:t>£000</w:t>
            </w:r>
          </w:p>
        </w:tc>
        <w:tc>
          <w:tcPr>
            <w:tcW w:w="1073" w:type="dxa"/>
            <w:tcBorders>
              <w:top w:val="nil"/>
              <w:left w:val="nil"/>
              <w:bottom w:val="nil"/>
              <w:right w:val="nil"/>
            </w:tcBorders>
            <w:shd w:val="clear" w:color="auto" w:fill="auto"/>
            <w:noWrap/>
            <w:vAlign w:val="center"/>
            <w:hideMark/>
          </w:tcPr>
          <w:p w14:paraId="792199C1" w14:textId="77777777" w:rsidR="003A641D" w:rsidRPr="00C7547D" w:rsidRDefault="003A641D">
            <w:pPr>
              <w:jc w:val="center"/>
              <w:rPr>
                <w:rFonts w:ascii="Arial" w:hAnsi="Arial" w:cs="Arial"/>
                <w:color w:val="000000"/>
                <w:sz w:val="20"/>
                <w:szCs w:val="20"/>
              </w:rPr>
            </w:pPr>
            <w:r w:rsidRPr="00C7547D">
              <w:rPr>
                <w:rFonts w:ascii="Arial" w:hAnsi="Arial" w:cs="Arial"/>
                <w:color w:val="000000"/>
                <w:sz w:val="20"/>
                <w:szCs w:val="20"/>
              </w:rPr>
              <w:t>£000</w:t>
            </w:r>
          </w:p>
        </w:tc>
        <w:tc>
          <w:tcPr>
            <w:tcW w:w="961" w:type="dxa"/>
            <w:tcBorders>
              <w:top w:val="nil"/>
              <w:left w:val="nil"/>
              <w:bottom w:val="nil"/>
              <w:right w:val="single" w:sz="8" w:space="0" w:color="auto"/>
            </w:tcBorders>
            <w:shd w:val="clear" w:color="auto" w:fill="auto"/>
            <w:noWrap/>
            <w:vAlign w:val="center"/>
            <w:hideMark/>
          </w:tcPr>
          <w:p w14:paraId="19147AB9" w14:textId="77777777" w:rsidR="003A641D" w:rsidRPr="00C7547D" w:rsidRDefault="003A641D">
            <w:pPr>
              <w:jc w:val="center"/>
              <w:rPr>
                <w:rFonts w:ascii="Arial" w:hAnsi="Arial" w:cs="Arial"/>
                <w:color w:val="000000"/>
                <w:sz w:val="20"/>
                <w:szCs w:val="20"/>
              </w:rPr>
            </w:pPr>
            <w:r w:rsidRPr="00C7547D">
              <w:rPr>
                <w:rFonts w:ascii="Arial" w:hAnsi="Arial" w:cs="Arial"/>
                <w:color w:val="000000"/>
                <w:sz w:val="20"/>
                <w:szCs w:val="20"/>
              </w:rPr>
              <w:t>£000</w:t>
            </w:r>
          </w:p>
        </w:tc>
        <w:tc>
          <w:tcPr>
            <w:tcW w:w="961" w:type="dxa"/>
            <w:tcBorders>
              <w:top w:val="nil"/>
              <w:left w:val="nil"/>
              <w:bottom w:val="nil"/>
              <w:right w:val="nil"/>
            </w:tcBorders>
            <w:shd w:val="clear" w:color="auto" w:fill="auto"/>
            <w:noWrap/>
            <w:vAlign w:val="center"/>
            <w:hideMark/>
          </w:tcPr>
          <w:p w14:paraId="41B4DD8E" w14:textId="77777777" w:rsidR="003A641D" w:rsidRPr="00C7547D" w:rsidRDefault="003A641D">
            <w:pPr>
              <w:jc w:val="center"/>
              <w:rPr>
                <w:rFonts w:ascii="Arial" w:hAnsi="Arial" w:cs="Arial"/>
                <w:color w:val="000000"/>
                <w:sz w:val="20"/>
                <w:szCs w:val="20"/>
              </w:rPr>
            </w:pPr>
            <w:r w:rsidRPr="00C7547D">
              <w:rPr>
                <w:rFonts w:ascii="Arial" w:hAnsi="Arial" w:cs="Arial"/>
                <w:color w:val="000000"/>
                <w:sz w:val="20"/>
                <w:szCs w:val="20"/>
              </w:rPr>
              <w:t>£000</w:t>
            </w:r>
          </w:p>
        </w:tc>
        <w:tc>
          <w:tcPr>
            <w:tcW w:w="980" w:type="dxa"/>
            <w:tcBorders>
              <w:top w:val="nil"/>
              <w:left w:val="nil"/>
              <w:bottom w:val="nil"/>
              <w:right w:val="nil"/>
            </w:tcBorders>
            <w:shd w:val="clear" w:color="auto" w:fill="auto"/>
            <w:noWrap/>
            <w:vAlign w:val="center"/>
            <w:hideMark/>
          </w:tcPr>
          <w:p w14:paraId="52A45BF7" w14:textId="77777777" w:rsidR="003A641D" w:rsidRPr="00C7547D" w:rsidRDefault="003A641D">
            <w:pPr>
              <w:jc w:val="center"/>
              <w:rPr>
                <w:rFonts w:ascii="Arial" w:hAnsi="Arial" w:cs="Arial"/>
                <w:color w:val="000000"/>
                <w:sz w:val="20"/>
                <w:szCs w:val="20"/>
              </w:rPr>
            </w:pPr>
            <w:r w:rsidRPr="00C7547D">
              <w:rPr>
                <w:rFonts w:ascii="Arial" w:hAnsi="Arial" w:cs="Arial"/>
                <w:color w:val="000000"/>
                <w:sz w:val="20"/>
                <w:szCs w:val="20"/>
              </w:rPr>
              <w:t>£000</w:t>
            </w:r>
          </w:p>
        </w:tc>
        <w:tc>
          <w:tcPr>
            <w:tcW w:w="978" w:type="dxa"/>
            <w:tcBorders>
              <w:top w:val="nil"/>
              <w:left w:val="nil"/>
              <w:bottom w:val="nil"/>
              <w:right w:val="single" w:sz="8" w:space="0" w:color="auto"/>
            </w:tcBorders>
            <w:shd w:val="clear" w:color="auto" w:fill="auto"/>
            <w:noWrap/>
            <w:vAlign w:val="center"/>
            <w:hideMark/>
          </w:tcPr>
          <w:p w14:paraId="0668E23C" w14:textId="77777777" w:rsidR="003A641D" w:rsidRPr="00C7547D" w:rsidRDefault="003A641D">
            <w:pPr>
              <w:jc w:val="center"/>
              <w:rPr>
                <w:rFonts w:ascii="Arial" w:hAnsi="Arial" w:cs="Arial"/>
                <w:color w:val="000000"/>
                <w:sz w:val="20"/>
                <w:szCs w:val="20"/>
              </w:rPr>
            </w:pPr>
            <w:r w:rsidRPr="00C7547D">
              <w:rPr>
                <w:rFonts w:ascii="Arial" w:hAnsi="Arial" w:cs="Arial"/>
                <w:color w:val="000000"/>
                <w:sz w:val="20"/>
                <w:szCs w:val="20"/>
              </w:rPr>
              <w:t>£000</w:t>
            </w:r>
          </w:p>
        </w:tc>
      </w:tr>
      <w:tr w:rsidR="003A641D" w14:paraId="4E8D8B03"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3DD70098" w14:textId="77777777" w:rsidR="003A641D" w:rsidRPr="00C7547D" w:rsidRDefault="003A641D">
            <w:pPr>
              <w:rPr>
                <w:rFonts w:ascii="Arial" w:hAnsi="Arial" w:cs="Arial"/>
                <w:color w:val="000000"/>
                <w:sz w:val="20"/>
                <w:szCs w:val="20"/>
              </w:rPr>
            </w:pPr>
            <w:r w:rsidRPr="00C7547D">
              <w:rPr>
                <w:rFonts w:ascii="Arial" w:hAnsi="Arial" w:cs="Arial"/>
                <w:color w:val="000000"/>
                <w:sz w:val="20"/>
                <w:szCs w:val="20"/>
              </w:rPr>
              <w:t>GMCA General</w:t>
            </w:r>
          </w:p>
        </w:tc>
        <w:tc>
          <w:tcPr>
            <w:tcW w:w="1163" w:type="dxa"/>
            <w:tcBorders>
              <w:top w:val="nil"/>
              <w:left w:val="single" w:sz="8" w:space="0" w:color="auto"/>
              <w:bottom w:val="nil"/>
              <w:right w:val="nil"/>
            </w:tcBorders>
            <w:shd w:val="clear" w:color="auto" w:fill="auto"/>
            <w:noWrap/>
            <w:vAlign w:val="center"/>
            <w:hideMark/>
          </w:tcPr>
          <w:p w14:paraId="7C3EAE78"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259,765</w:t>
            </w:r>
          </w:p>
        </w:tc>
        <w:tc>
          <w:tcPr>
            <w:tcW w:w="1135" w:type="dxa"/>
            <w:tcBorders>
              <w:top w:val="nil"/>
              <w:left w:val="nil"/>
              <w:bottom w:val="nil"/>
              <w:right w:val="nil"/>
            </w:tcBorders>
            <w:shd w:val="clear" w:color="auto" w:fill="auto"/>
            <w:noWrap/>
            <w:vAlign w:val="center"/>
            <w:hideMark/>
          </w:tcPr>
          <w:p w14:paraId="0BB82270" w14:textId="32CCAF54"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259,765</w:t>
            </w:r>
            <w:r w:rsidRPr="00C7547D">
              <w:rPr>
                <w:rFonts w:ascii="Arial" w:hAnsi="Arial" w:cs="Arial"/>
                <w:color w:val="000000"/>
                <w:sz w:val="20"/>
                <w:szCs w:val="20"/>
              </w:rPr>
              <w:t>)</w:t>
            </w:r>
          </w:p>
        </w:tc>
        <w:tc>
          <w:tcPr>
            <w:tcW w:w="703" w:type="dxa"/>
            <w:tcBorders>
              <w:top w:val="nil"/>
              <w:left w:val="nil"/>
              <w:bottom w:val="nil"/>
              <w:right w:val="single" w:sz="8" w:space="0" w:color="auto"/>
            </w:tcBorders>
            <w:shd w:val="clear" w:color="auto" w:fill="auto"/>
            <w:noWrap/>
            <w:vAlign w:val="center"/>
            <w:hideMark/>
          </w:tcPr>
          <w:p w14:paraId="320DEB72"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nil"/>
              <w:right w:val="nil"/>
            </w:tcBorders>
            <w:shd w:val="clear" w:color="auto" w:fill="auto"/>
            <w:noWrap/>
            <w:vAlign w:val="center"/>
            <w:hideMark/>
          </w:tcPr>
          <w:p w14:paraId="5B0E3633" w14:textId="2B6C5B74"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259,</w:t>
            </w:r>
            <w:r w:rsidR="00C7547D">
              <w:rPr>
                <w:rFonts w:ascii="Arial" w:hAnsi="Arial" w:cs="Arial"/>
                <w:color w:val="000000"/>
                <w:sz w:val="20"/>
                <w:szCs w:val="20"/>
              </w:rPr>
              <w:t>967</w:t>
            </w:r>
          </w:p>
        </w:tc>
        <w:tc>
          <w:tcPr>
            <w:tcW w:w="1073" w:type="dxa"/>
            <w:tcBorders>
              <w:top w:val="nil"/>
              <w:left w:val="nil"/>
              <w:bottom w:val="nil"/>
              <w:right w:val="nil"/>
            </w:tcBorders>
            <w:shd w:val="clear" w:color="auto" w:fill="auto"/>
            <w:noWrap/>
            <w:vAlign w:val="center"/>
            <w:hideMark/>
          </w:tcPr>
          <w:p w14:paraId="4B422ECC" w14:textId="0B14846C"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259,765</w:t>
            </w:r>
            <w:r w:rsidRPr="00C7547D">
              <w:rPr>
                <w:rFonts w:ascii="Arial" w:hAnsi="Arial" w:cs="Arial"/>
                <w:color w:val="000000"/>
                <w:sz w:val="20"/>
                <w:szCs w:val="20"/>
              </w:rPr>
              <w:t>)</w:t>
            </w:r>
          </w:p>
        </w:tc>
        <w:tc>
          <w:tcPr>
            <w:tcW w:w="961" w:type="dxa"/>
            <w:tcBorders>
              <w:top w:val="nil"/>
              <w:left w:val="nil"/>
              <w:bottom w:val="nil"/>
              <w:right w:val="single" w:sz="8" w:space="0" w:color="auto"/>
            </w:tcBorders>
            <w:shd w:val="clear" w:color="auto" w:fill="auto"/>
            <w:noWrap/>
            <w:vAlign w:val="center"/>
            <w:hideMark/>
          </w:tcPr>
          <w:p w14:paraId="450A3402" w14:textId="3868B46C" w:rsidR="003A641D" w:rsidRPr="00C7547D" w:rsidRDefault="00C7547D">
            <w:pPr>
              <w:jc w:val="right"/>
              <w:rPr>
                <w:rFonts w:ascii="Arial" w:hAnsi="Arial" w:cs="Arial"/>
                <w:color w:val="000000"/>
                <w:sz w:val="20"/>
                <w:szCs w:val="20"/>
              </w:rPr>
            </w:pPr>
            <w:r>
              <w:rPr>
                <w:rFonts w:ascii="Arial" w:hAnsi="Arial" w:cs="Arial"/>
                <w:color w:val="000000"/>
                <w:sz w:val="20"/>
                <w:szCs w:val="20"/>
              </w:rPr>
              <w:t>202</w:t>
            </w:r>
          </w:p>
        </w:tc>
        <w:tc>
          <w:tcPr>
            <w:tcW w:w="961" w:type="dxa"/>
            <w:tcBorders>
              <w:top w:val="nil"/>
              <w:left w:val="nil"/>
              <w:bottom w:val="nil"/>
              <w:right w:val="nil"/>
            </w:tcBorders>
            <w:shd w:val="clear" w:color="auto" w:fill="auto"/>
            <w:noWrap/>
            <w:vAlign w:val="center"/>
            <w:hideMark/>
          </w:tcPr>
          <w:p w14:paraId="3379F9C8" w14:textId="642B327B" w:rsidR="003A641D" w:rsidRPr="00C7547D" w:rsidRDefault="00C7547D">
            <w:pPr>
              <w:jc w:val="right"/>
              <w:rPr>
                <w:rFonts w:ascii="Arial" w:hAnsi="Arial" w:cs="Arial"/>
                <w:color w:val="000000"/>
                <w:sz w:val="20"/>
                <w:szCs w:val="20"/>
              </w:rPr>
            </w:pPr>
            <w:r>
              <w:rPr>
                <w:rFonts w:ascii="Arial" w:hAnsi="Arial" w:cs="Arial"/>
                <w:color w:val="000000"/>
                <w:sz w:val="20"/>
                <w:szCs w:val="20"/>
              </w:rPr>
              <w:t>202</w:t>
            </w:r>
          </w:p>
        </w:tc>
        <w:tc>
          <w:tcPr>
            <w:tcW w:w="980" w:type="dxa"/>
            <w:tcBorders>
              <w:top w:val="nil"/>
              <w:left w:val="nil"/>
              <w:bottom w:val="nil"/>
              <w:right w:val="nil"/>
            </w:tcBorders>
            <w:shd w:val="clear" w:color="auto" w:fill="auto"/>
            <w:noWrap/>
            <w:vAlign w:val="center"/>
            <w:hideMark/>
          </w:tcPr>
          <w:p w14:paraId="69704B50"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c>
          <w:tcPr>
            <w:tcW w:w="978" w:type="dxa"/>
            <w:tcBorders>
              <w:top w:val="nil"/>
              <w:left w:val="nil"/>
              <w:bottom w:val="nil"/>
              <w:right w:val="single" w:sz="8" w:space="0" w:color="auto"/>
            </w:tcBorders>
            <w:shd w:val="clear" w:color="auto" w:fill="auto"/>
            <w:noWrap/>
            <w:vAlign w:val="center"/>
            <w:hideMark/>
          </w:tcPr>
          <w:p w14:paraId="14063E37" w14:textId="0118CB1E" w:rsidR="003A641D" w:rsidRPr="00C7547D" w:rsidRDefault="00C7547D">
            <w:pPr>
              <w:jc w:val="right"/>
              <w:rPr>
                <w:rFonts w:ascii="Arial" w:hAnsi="Arial" w:cs="Arial"/>
                <w:color w:val="000000"/>
                <w:sz w:val="20"/>
                <w:szCs w:val="20"/>
              </w:rPr>
            </w:pPr>
            <w:r>
              <w:rPr>
                <w:rFonts w:ascii="Arial" w:hAnsi="Arial" w:cs="Arial"/>
                <w:color w:val="000000"/>
                <w:sz w:val="20"/>
                <w:szCs w:val="20"/>
              </w:rPr>
              <w:t>202</w:t>
            </w:r>
          </w:p>
        </w:tc>
      </w:tr>
      <w:tr w:rsidR="003A641D" w14:paraId="5D929E11"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271AD36C" w14:textId="77777777" w:rsidR="003A641D" w:rsidRPr="00C7547D" w:rsidRDefault="003A641D">
            <w:pPr>
              <w:rPr>
                <w:rFonts w:ascii="Arial" w:hAnsi="Arial" w:cs="Arial"/>
                <w:color w:val="000000"/>
                <w:sz w:val="20"/>
                <w:szCs w:val="20"/>
              </w:rPr>
            </w:pPr>
            <w:r w:rsidRPr="00C7547D">
              <w:rPr>
                <w:rFonts w:ascii="Arial" w:hAnsi="Arial" w:cs="Arial"/>
                <w:color w:val="000000"/>
                <w:sz w:val="20"/>
                <w:szCs w:val="20"/>
              </w:rPr>
              <w:t>Mayoral General</w:t>
            </w:r>
          </w:p>
        </w:tc>
        <w:tc>
          <w:tcPr>
            <w:tcW w:w="1163" w:type="dxa"/>
            <w:tcBorders>
              <w:top w:val="nil"/>
              <w:left w:val="single" w:sz="8" w:space="0" w:color="auto"/>
              <w:bottom w:val="nil"/>
              <w:right w:val="nil"/>
            </w:tcBorders>
            <w:shd w:val="clear" w:color="auto" w:fill="auto"/>
            <w:noWrap/>
            <w:vAlign w:val="center"/>
            <w:hideMark/>
          </w:tcPr>
          <w:p w14:paraId="4B2DAE33"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126,749</w:t>
            </w:r>
          </w:p>
        </w:tc>
        <w:tc>
          <w:tcPr>
            <w:tcW w:w="1135" w:type="dxa"/>
            <w:tcBorders>
              <w:top w:val="nil"/>
              <w:left w:val="nil"/>
              <w:bottom w:val="nil"/>
              <w:right w:val="nil"/>
            </w:tcBorders>
            <w:shd w:val="clear" w:color="auto" w:fill="auto"/>
            <w:noWrap/>
            <w:vAlign w:val="center"/>
            <w:hideMark/>
          </w:tcPr>
          <w:p w14:paraId="3280BDCF" w14:textId="18158B4C"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126,749</w:t>
            </w:r>
            <w:r w:rsidRPr="00C7547D">
              <w:rPr>
                <w:rFonts w:ascii="Arial" w:hAnsi="Arial" w:cs="Arial"/>
                <w:color w:val="000000"/>
                <w:sz w:val="20"/>
                <w:szCs w:val="20"/>
              </w:rPr>
              <w:t>)</w:t>
            </w:r>
          </w:p>
        </w:tc>
        <w:tc>
          <w:tcPr>
            <w:tcW w:w="703" w:type="dxa"/>
            <w:tcBorders>
              <w:top w:val="nil"/>
              <w:left w:val="nil"/>
              <w:bottom w:val="nil"/>
              <w:right w:val="single" w:sz="8" w:space="0" w:color="auto"/>
            </w:tcBorders>
            <w:shd w:val="clear" w:color="auto" w:fill="auto"/>
            <w:noWrap/>
            <w:vAlign w:val="center"/>
            <w:hideMark/>
          </w:tcPr>
          <w:p w14:paraId="0FFE7B87"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nil"/>
              <w:right w:val="nil"/>
            </w:tcBorders>
            <w:shd w:val="clear" w:color="auto" w:fill="auto"/>
            <w:noWrap/>
            <w:vAlign w:val="center"/>
            <w:hideMark/>
          </w:tcPr>
          <w:p w14:paraId="30D5AEE7"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126,427</w:t>
            </w:r>
          </w:p>
        </w:tc>
        <w:tc>
          <w:tcPr>
            <w:tcW w:w="1073" w:type="dxa"/>
            <w:tcBorders>
              <w:top w:val="nil"/>
              <w:left w:val="nil"/>
              <w:bottom w:val="nil"/>
              <w:right w:val="nil"/>
            </w:tcBorders>
            <w:shd w:val="clear" w:color="auto" w:fill="auto"/>
            <w:noWrap/>
            <w:vAlign w:val="center"/>
            <w:hideMark/>
          </w:tcPr>
          <w:p w14:paraId="10A3AAFD" w14:textId="6BF5D12F"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126,427</w:t>
            </w:r>
            <w:r w:rsidRPr="00C7547D">
              <w:rPr>
                <w:rFonts w:ascii="Arial" w:hAnsi="Arial" w:cs="Arial"/>
                <w:color w:val="000000"/>
                <w:sz w:val="20"/>
                <w:szCs w:val="20"/>
              </w:rPr>
              <w:t>)</w:t>
            </w:r>
          </w:p>
        </w:tc>
        <w:tc>
          <w:tcPr>
            <w:tcW w:w="961" w:type="dxa"/>
            <w:tcBorders>
              <w:top w:val="nil"/>
              <w:left w:val="nil"/>
              <w:bottom w:val="nil"/>
              <w:right w:val="single" w:sz="8" w:space="0" w:color="auto"/>
            </w:tcBorders>
            <w:shd w:val="clear" w:color="auto" w:fill="auto"/>
            <w:noWrap/>
            <w:vAlign w:val="center"/>
            <w:hideMark/>
          </w:tcPr>
          <w:p w14:paraId="71E361EE"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c>
          <w:tcPr>
            <w:tcW w:w="961" w:type="dxa"/>
            <w:tcBorders>
              <w:top w:val="nil"/>
              <w:left w:val="nil"/>
              <w:bottom w:val="nil"/>
              <w:right w:val="nil"/>
            </w:tcBorders>
            <w:shd w:val="clear" w:color="auto" w:fill="auto"/>
            <w:noWrap/>
            <w:vAlign w:val="center"/>
            <w:hideMark/>
          </w:tcPr>
          <w:p w14:paraId="3B30E63D" w14:textId="485FD7EA"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322</w:t>
            </w:r>
            <w:r w:rsidRPr="00C7547D">
              <w:rPr>
                <w:rFonts w:ascii="Arial" w:hAnsi="Arial" w:cs="Arial"/>
                <w:color w:val="000000"/>
                <w:sz w:val="20"/>
                <w:szCs w:val="20"/>
              </w:rPr>
              <w:t>)</w:t>
            </w:r>
          </w:p>
        </w:tc>
        <w:tc>
          <w:tcPr>
            <w:tcW w:w="980" w:type="dxa"/>
            <w:tcBorders>
              <w:top w:val="nil"/>
              <w:left w:val="nil"/>
              <w:bottom w:val="nil"/>
              <w:right w:val="nil"/>
            </w:tcBorders>
            <w:shd w:val="clear" w:color="auto" w:fill="auto"/>
            <w:noWrap/>
            <w:vAlign w:val="center"/>
            <w:hideMark/>
          </w:tcPr>
          <w:p w14:paraId="5DFD98E3"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322</w:t>
            </w:r>
          </w:p>
        </w:tc>
        <w:tc>
          <w:tcPr>
            <w:tcW w:w="978" w:type="dxa"/>
            <w:tcBorders>
              <w:top w:val="nil"/>
              <w:left w:val="nil"/>
              <w:bottom w:val="nil"/>
              <w:right w:val="single" w:sz="8" w:space="0" w:color="auto"/>
            </w:tcBorders>
            <w:shd w:val="clear" w:color="auto" w:fill="auto"/>
            <w:noWrap/>
            <w:vAlign w:val="center"/>
            <w:hideMark/>
          </w:tcPr>
          <w:p w14:paraId="64DF176D"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r>
      <w:tr w:rsidR="003A641D" w14:paraId="685BDB18"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5CC6DA79" w14:textId="6F105448" w:rsidR="003A641D" w:rsidRPr="00C7547D" w:rsidRDefault="003A641D">
            <w:pPr>
              <w:rPr>
                <w:rFonts w:ascii="Arial" w:hAnsi="Arial" w:cs="Arial"/>
                <w:color w:val="000000"/>
                <w:sz w:val="20"/>
                <w:szCs w:val="20"/>
              </w:rPr>
            </w:pPr>
            <w:r w:rsidRPr="00C7547D">
              <w:rPr>
                <w:rFonts w:ascii="Arial" w:hAnsi="Arial" w:cs="Arial"/>
                <w:color w:val="000000"/>
                <w:sz w:val="20"/>
                <w:szCs w:val="20"/>
              </w:rPr>
              <w:t>Fire &amp; Rescue</w:t>
            </w:r>
          </w:p>
        </w:tc>
        <w:tc>
          <w:tcPr>
            <w:tcW w:w="1163" w:type="dxa"/>
            <w:tcBorders>
              <w:top w:val="nil"/>
              <w:left w:val="single" w:sz="8" w:space="0" w:color="auto"/>
              <w:bottom w:val="nil"/>
              <w:right w:val="nil"/>
            </w:tcBorders>
            <w:shd w:val="clear" w:color="auto" w:fill="auto"/>
            <w:noWrap/>
            <w:vAlign w:val="center"/>
            <w:hideMark/>
          </w:tcPr>
          <w:p w14:paraId="53B84E2A"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112,173</w:t>
            </w:r>
          </w:p>
        </w:tc>
        <w:tc>
          <w:tcPr>
            <w:tcW w:w="1135" w:type="dxa"/>
            <w:tcBorders>
              <w:top w:val="nil"/>
              <w:left w:val="nil"/>
              <w:bottom w:val="nil"/>
              <w:right w:val="nil"/>
            </w:tcBorders>
            <w:shd w:val="clear" w:color="auto" w:fill="auto"/>
            <w:noWrap/>
            <w:vAlign w:val="center"/>
            <w:hideMark/>
          </w:tcPr>
          <w:p w14:paraId="609B84E9" w14:textId="3CA67013"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112,173</w:t>
            </w:r>
            <w:r w:rsidRPr="00C7547D">
              <w:rPr>
                <w:rFonts w:ascii="Arial" w:hAnsi="Arial" w:cs="Arial"/>
                <w:color w:val="000000"/>
                <w:sz w:val="20"/>
                <w:szCs w:val="20"/>
              </w:rPr>
              <w:t>)</w:t>
            </w:r>
          </w:p>
        </w:tc>
        <w:tc>
          <w:tcPr>
            <w:tcW w:w="703" w:type="dxa"/>
            <w:tcBorders>
              <w:top w:val="nil"/>
              <w:left w:val="nil"/>
              <w:bottom w:val="nil"/>
              <w:right w:val="single" w:sz="8" w:space="0" w:color="auto"/>
            </w:tcBorders>
            <w:shd w:val="clear" w:color="auto" w:fill="auto"/>
            <w:noWrap/>
            <w:vAlign w:val="center"/>
            <w:hideMark/>
          </w:tcPr>
          <w:p w14:paraId="4946CED0"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nil"/>
              <w:right w:val="nil"/>
            </w:tcBorders>
            <w:shd w:val="clear" w:color="auto" w:fill="auto"/>
            <w:noWrap/>
            <w:vAlign w:val="center"/>
            <w:hideMark/>
          </w:tcPr>
          <w:p w14:paraId="3C78D82E"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113,176</w:t>
            </w:r>
          </w:p>
        </w:tc>
        <w:tc>
          <w:tcPr>
            <w:tcW w:w="1073" w:type="dxa"/>
            <w:tcBorders>
              <w:top w:val="nil"/>
              <w:left w:val="nil"/>
              <w:bottom w:val="nil"/>
              <w:right w:val="nil"/>
            </w:tcBorders>
            <w:shd w:val="clear" w:color="auto" w:fill="auto"/>
            <w:noWrap/>
            <w:vAlign w:val="center"/>
            <w:hideMark/>
          </w:tcPr>
          <w:p w14:paraId="030A35A8" w14:textId="637A9155"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115,146</w:t>
            </w:r>
            <w:r w:rsidRPr="00C7547D">
              <w:rPr>
                <w:rFonts w:ascii="Arial" w:hAnsi="Arial" w:cs="Arial"/>
                <w:color w:val="000000"/>
                <w:sz w:val="20"/>
                <w:szCs w:val="20"/>
              </w:rPr>
              <w:t>)</w:t>
            </w:r>
          </w:p>
        </w:tc>
        <w:tc>
          <w:tcPr>
            <w:tcW w:w="961" w:type="dxa"/>
            <w:tcBorders>
              <w:top w:val="nil"/>
              <w:left w:val="nil"/>
              <w:bottom w:val="nil"/>
              <w:right w:val="single" w:sz="8" w:space="0" w:color="auto"/>
            </w:tcBorders>
            <w:shd w:val="clear" w:color="auto" w:fill="auto"/>
            <w:noWrap/>
            <w:vAlign w:val="center"/>
            <w:hideMark/>
          </w:tcPr>
          <w:p w14:paraId="39B91272" w14:textId="1D2E1ABB"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1,970</w:t>
            </w:r>
            <w:r w:rsidRPr="00C7547D">
              <w:rPr>
                <w:rFonts w:ascii="Arial" w:hAnsi="Arial" w:cs="Arial"/>
                <w:color w:val="000000"/>
                <w:sz w:val="20"/>
                <w:szCs w:val="20"/>
              </w:rPr>
              <w:t>)</w:t>
            </w:r>
          </w:p>
        </w:tc>
        <w:tc>
          <w:tcPr>
            <w:tcW w:w="961" w:type="dxa"/>
            <w:tcBorders>
              <w:top w:val="nil"/>
              <w:left w:val="nil"/>
              <w:bottom w:val="nil"/>
              <w:right w:val="nil"/>
            </w:tcBorders>
            <w:shd w:val="clear" w:color="auto" w:fill="auto"/>
            <w:noWrap/>
            <w:vAlign w:val="center"/>
            <w:hideMark/>
          </w:tcPr>
          <w:p w14:paraId="0C0583E6"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1,003</w:t>
            </w:r>
          </w:p>
        </w:tc>
        <w:tc>
          <w:tcPr>
            <w:tcW w:w="980" w:type="dxa"/>
            <w:tcBorders>
              <w:top w:val="nil"/>
              <w:left w:val="nil"/>
              <w:bottom w:val="nil"/>
              <w:right w:val="nil"/>
            </w:tcBorders>
            <w:shd w:val="clear" w:color="auto" w:fill="auto"/>
            <w:noWrap/>
            <w:vAlign w:val="center"/>
            <w:hideMark/>
          </w:tcPr>
          <w:p w14:paraId="4AA1C8EC" w14:textId="1411BCA4"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2,973</w:t>
            </w:r>
            <w:r w:rsidRPr="00C7547D">
              <w:rPr>
                <w:rFonts w:ascii="Arial" w:hAnsi="Arial" w:cs="Arial"/>
                <w:color w:val="000000"/>
                <w:sz w:val="20"/>
                <w:szCs w:val="20"/>
              </w:rPr>
              <w:t>)</w:t>
            </w:r>
          </w:p>
        </w:tc>
        <w:tc>
          <w:tcPr>
            <w:tcW w:w="978" w:type="dxa"/>
            <w:tcBorders>
              <w:top w:val="nil"/>
              <w:left w:val="nil"/>
              <w:bottom w:val="nil"/>
              <w:right w:val="single" w:sz="8" w:space="0" w:color="auto"/>
            </w:tcBorders>
            <w:shd w:val="clear" w:color="auto" w:fill="auto"/>
            <w:noWrap/>
            <w:vAlign w:val="center"/>
            <w:hideMark/>
          </w:tcPr>
          <w:p w14:paraId="3BA5F2AE" w14:textId="007BF019"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1,970</w:t>
            </w:r>
            <w:r w:rsidRPr="00C7547D">
              <w:rPr>
                <w:rFonts w:ascii="Arial" w:hAnsi="Arial" w:cs="Arial"/>
                <w:color w:val="000000"/>
                <w:sz w:val="20"/>
                <w:szCs w:val="20"/>
              </w:rPr>
              <w:t>)</w:t>
            </w:r>
          </w:p>
        </w:tc>
      </w:tr>
      <w:tr w:rsidR="003A641D" w14:paraId="740CB65C"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26F1186A" w14:textId="77777777" w:rsidR="003A641D" w:rsidRPr="00C7547D" w:rsidRDefault="003A641D">
            <w:pPr>
              <w:rPr>
                <w:rFonts w:ascii="Arial" w:hAnsi="Arial" w:cs="Arial"/>
                <w:color w:val="000000"/>
                <w:sz w:val="20"/>
                <w:szCs w:val="20"/>
              </w:rPr>
            </w:pPr>
            <w:r w:rsidRPr="00C7547D">
              <w:rPr>
                <w:rFonts w:ascii="Arial" w:hAnsi="Arial" w:cs="Arial"/>
                <w:color w:val="000000"/>
                <w:sz w:val="20"/>
                <w:szCs w:val="20"/>
              </w:rPr>
              <w:t>Waste &amp; Res</w:t>
            </w:r>
          </w:p>
        </w:tc>
        <w:tc>
          <w:tcPr>
            <w:tcW w:w="1163" w:type="dxa"/>
            <w:tcBorders>
              <w:top w:val="nil"/>
              <w:left w:val="single" w:sz="8" w:space="0" w:color="auto"/>
              <w:bottom w:val="nil"/>
              <w:right w:val="nil"/>
            </w:tcBorders>
            <w:shd w:val="clear" w:color="auto" w:fill="auto"/>
            <w:noWrap/>
            <w:vAlign w:val="center"/>
            <w:hideMark/>
          </w:tcPr>
          <w:p w14:paraId="0A42552E"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162,402</w:t>
            </w:r>
          </w:p>
        </w:tc>
        <w:tc>
          <w:tcPr>
            <w:tcW w:w="1135" w:type="dxa"/>
            <w:tcBorders>
              <w:top w:val="nil"/>
              <w:left w:val="nil"/>
              <w:bottom w:val="nil"/>
              <w:right w:val="nil"/>
            </w:tcBorders>
            <w:shd w:val="clear" w:color="auto" w:fill="auto"/>
            <w:noWrap/>
            <w:vAlign w:val="center"/>
            <w:hideMark/>
          </w:tcPr>
          <w:p w14:paraId="2DCA81CE" w14:textId="0F547A9F"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162,402</w:t>
            </w:r>
            <w:r w:rsidRPr="00C7547D">
              <w:rPr>
                <w:rFonts w:ascii="Arial" w:hAnsi="Arial" w:cs="Arial"/>
                <w:color w:val="000000"/>
                <w:sz w:val="20"/>
                <w:szCs w:val="20"/>
              </w:rPr>
              <w:t>)</w:t>
            </w:r>
          </w:p>
        </w:tc>
        <w:tc>
          <w:tcPr>
            <w:tcW w:w="703" w:type="dxa"/>
            <w:tcBorders>
              <w:top w:val="nil"/>
              <w:left w:val="nil"/>
              <w:bottom w:val="nil"/>
              <w:right w:val="single" w:sz="8" w:space="0" w:color="auto"/>
            </w:tcBorders>
            <w:shd w:val="clear" w:color="auto" w:fill="auto"/>
            <w:noWrap/>
            <w:vAlign w:val="center"/>
            <w:hideMark/>
          </w:tcPr>
          <w:p w14:paraId="4CE2893D"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nil"/>
              <w:right w:val="nil"/>
            </w:tcBorders>
            <w:shd w:val="clear" w:color="auto" w:fill="auto"/>
            <w:noWrap/>
            <w:vAlign w:val="center"/>
            <w:hideMark/>
          </w:tcPr>
          <w:p w14:paraId="29B7B4FD" w14:textId="64A10472"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162,4</w:t>
            </w:r>
            <w:r w:rsidR="00C7547D">
              <w:rPr>
                <w:rFonts w:ascii="Arial" w:hAnsi="Arial" w:cs="Arial"/>
                <w:color w:val="000000"/>
                <w:sz w:val="20"/>
                <w:szCs w:val="20"/>
              </w:rPr>
              <w:t>96</w:t>
            </w:r>
          </w:p>
        </w:tc>
        <w:tc>
          <w:tcPr>
            <w:tcW w:w="1073" w:type="dxa"/>
            <w:tcBorders>
              <w:top w:val="nil"/>
              <w:left w:val="nil"/>
              <w:bottom w:val="nil"/>
              <w:right w:val="nil"/>
            </w:tcBorders>
            <w:shd w:val="clear" w:color="auto" w:fill="auto"/>
            <w:noWrap/>
            <w:vAlign w:val="center"/>
            <w:hideMark/>
          </w:tcPr>
          <w:p w14:paraId="07A720DC" w14:textId="341BA541"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162,402</w:t>
            </w:r>
            <w:r w:rsidRPr="00C7547D">
              <w:rPr>
                <w:rFonts w:ascii="Arial" w:hAnsi="Arial" w:cs="Arial"/>
                <w:color w:val="000000"/>
                <w:sz w:val="20"/>
                <w:szCs w:val="20"/>
              </w:rPr>
              <w:t>)</w:t>
            </w:r>
          </w:p>
        </w:tc>
        <w:tc>
          <w:tcPr>
            <w:tcW w:w="961" w:type="dxa"/>
            <w:tcBorders>
              <w:top w:val="nil"/>
              <w:left w:val="nil"/>
              <w:bottom w:val="nil"/>
              <w:right w:val="single" w:sz="8" w:space="0" w:color="auto"/>
            </w:tcBorders>
            <w:shd w:val="clear" w:color="auto" w:fill="auto"/>
            <w:noWrap/>
            <w:vAlign w:val="center"/>
            <w:hideMark/>
          </w:tcPr>
          <w:p w14:paraId="31A44E52" w14:textId="746E68B0" w:rsidR="003A641D" w:rsidRPr="00C7547D" w:rsidRDefault="00C7547D">
            <w:pPr>
              <w:jc w:val="right"/>
              <w:rPr>
                <w:rFonts w:ascii="Arial" w:hAnsi="Arial" w:cs="Arial"/>
                <w:color w:val="000000"/>
                <w:sz w:val="20"/>
                <w:szCs w:val="20"/>
              </w:rPr>
            </w:pPr>
            <w:r>
              <w:rPr>
                <w:rFonts w:ascii="Arial" w:hAnsi="Arial" w:cs="Arial"/>
                <w:color w:val="000000"/>
                <w:sz w:val="20"/>
                <w:szCs w:val="20"/>
              </w:rPr>
              <w:t>94</w:t>
            </w:r>
          </w:p>
        </w:tc>
        <w:tc>
          <w:tcPr>
            <w:tcW w:w="961" w:type="dxa"/>
            <w:tcBorders>
              <w:top w:val="nil"/>
              <w:left w:val="nil"/>
              <w:bottom w:val="nil"/>
              <w:right w:val="nil"/>
            </w:tcBorders>
            <w:shd w:val="clear" w:color="auto" w:fill="auto"/>
            <w:noWrap/>
            <w:vAlign w:val="center"/>
            <w:hideMark/>
          </w:tcPr>
          <w:p w14:paraId="075D74B0" w14:textId="6C88FBC7" w:rsidR="003A641D" w:rsidRPr="00C7547D" w:rsidRDefault="00C7547D">
            <w:pPr>
              <w:jc w:val="right"/>
              <w:rPr>
                <w:rFonts w:ascii="Arial" w:hAnsi="Arial" w:cs="Arial"/>
                <w:color w:val="000000"/>
                <w:sz w:val="20"/>
                <w:szCs w:val="20"/>
              </w:rPr>
            </w:pPr>
            <w:r>
              <w:rPr>
                <w:rFonts w:ascii="Arial" w:hAnsi="Arial" w:cs="Arial"/>
                <w:color w:val="000000"/>
                <w:sz w:val="20"/>
                <w:szCs w:val="20"/>
              </w:rPr>
              <w:t>94</w:t>
            </w:r>
          </w:p>
        </w:tc>
        <w:tc>
          <w:tcPr>
            <w:tcW w:w="980" w:type="dxa"/>
            <w:tcBorders>
              <w:top w:val="nil"/>
              <w:left w:val="nil"/>
              <w:bottom w:val="nil"/>
              <w:right w:val="nil"/>
            </w:tcBorders>
            <w:shd w:val="clear" w:color="auto" w:fill="auto"/>
            <w:noWrap/>
            <w:vAlign w:val="center"/>
            <w:hideMark/>
          </w:tcPr>
          <w:p w14:paraId="27522FB3"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c>
          <w:tcPr>
            <w:tcW w:w="978" w:type="dxa"/>
            <w:tcBorders>
              <w:top w:val="nil"/>
              <w:left w:val="nil"/>
              <w:bottom w:val="nil"/>
              <w:right w:val="single" w:sz="8" w:space="0" w:color="auto"/>
            </w:tcBorders>
            <w:shd w:val="clear" w:color="auto" w:fill="auto"/>
            <w:noWrap/>
            <w:vAlign w:val="center"/>
            <w:hideMark/>
          </w:tcPr>
          <w:p w14:paraId="16FC9C81" w14:textId="1AC72954" w:rsidR="003A641D" w:rsidRPr="00C7547D" w:rsidRDefault="00C7547D">
            <w:pPr>
              <w:jc w:val="right"/>
              <w:rPr>
                <w:rFonts w:ascii="Arial" w:hAnsi="Arial" w:cs="Arial"/>
                <w:color w:val="000000"/>
                <w:sz w:val="20"/>
                <w:szCs w:val="20"/>
              </w:rPr>
            </w:pPr>
            <w:r>
              <w:rPr>
                <w:rFonts w:ascii="Arial" w:hAnsi="Arial" w:cs="Arial"/>
                <w:color w:val="000000"/>
                <w:sz w:val="20"/>
                <w:szCs w:val="20"/>
              </w:rPr>
              <w:t>94</w:t>
            </w:r>
          </w:p>
        </w:tc>
      </w:tr>
      <w:tr w:rsidR="003A641D" w14:paraId="00936627"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26BCDBCA" w14:textId="77777777" w:rsidR="003A641D" w:rsidRPr="00C7547D" w:rsidRDefault="003A641D">
            <w:pPr>
              <w:rPr>
                <w:rFonts w:ascii="Arial" w:hAnsi="Arial" w:cs="Arial"/>
                <w:color w:val="000000"/>
                <w:sz w:val="20"/>
                <w:szCs w:val="20"/>
              </w:rPr>
            </w:pPr>
            <w:r w:rsidRPr="00C7547D">
              <w:rPr>
                <w:rFonts w:ascii="Arial" w:hAnsi="Arial" w:cs="Arial"/>
                <w:color w:val="000000"/>
                <w:sz w:val="20"/>
                <w:szCs w:val="20"/>
              </w:rPr>
              <w:t>Transport</w:t>
            </w:r>
          </w:p>
        </w:tc>
        <w:tc>
          <w:tcPr>
            <w:tcW w:w="1163" w:type="dxa"/>
            <w:tcBorders>
              <w:top w:val="nil"/>
              <w:left w:val="single" w:sz="8" w:space="0" w:color="auto"/>
              <w:bottom w:val="nil"/>
              <w:right w:val="nil"/>
            </w:tcBorders>
            <w:shd w:val="clear" w:color="auto" w:fill="auto"/>
            <w:noWrap/>
            <w:vAlign w:val="center"/>
            <w:hideMark/>
          </w:tcPr>
          <w:p w14:paraId="36488B4E"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246,426</w:t>
            </w:r>
          </w:p>
        </w:tc>
        <w:tc>
          <w:tcPr>
            <w:tcW w:w="1135" w:type="dxa"/>
            <w:tcBorders>
              <w:top w:val="nil"/>
              <w:left w:val="nil"/>
              <w:bottom w:val="nil"/>
              <w:right w:val="nil"/>
            </w:tcBorders>
            <w:shd w:val="clear" w:color="auto" w:fill="auto"/>
            <w:noWrap/>
            <w:vAlign w:val="center"/>
            <w:hideMark/>
          </w:tcPr>
          <w:p w14:paraId="18150EA6" w14:textId="3FB6AC8B"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246,426</w:t>
            </w:r>
            <w:r w:rsidRPr="00C7547D">
              <w:rPr>
                <w:rFonts w:ascii="Arial" w:hAnsi="Arial" w:cs="Arial"/>
                <w:color w:val="000000"/>
                <w:sz w:val="20"/>
                <w:szCs w:val="20"/>
              </w:rPr>
              <w:t>)</w:t>
            </w:r>
          </w:p>
        </w:tc>
        <w:tc>
          <w:tcPr>
            <w:tcW w:w="703" w:type="dxa"/>
            <w:tcBorders>
              <w:top w:val="nil"/>
              <w:left w:val="nil"/>
              <w:bottom w:val="nil"/>
              <w:right w:val="single" w:sz="8" w:space="0" w:color="auto"/>
            </w:tcBorders>
            <w:shd w:val="clear" w:color="auto" w:fill="auto"/>
            <w:noWrap/>
            <w:vAlign w:val="center"/>
            <w:hideMark/>
          </w:tcPr>
          <w:p w14:paraId="7ADFAB93"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nil"/>
              <w:right w:val="nil"/>
            </w:tcBorders>
            <w:shd w:val="clear" w:color="auto" w:fill="auto"/>
            <w:noWrap/>
            <w:vAlign w:val="center"/>
            <w:hideMark/>
          </w:tcPr>
          <w:p w14:paraId="71C62C39"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234,503</w:t>
            </w:r>
          </w:p>
        </w:tc>
        <w:tc>
          <w:tcPr>
            <w:tcW w:w="1073" w:type="dxa"/>
            <w:tcBorders>
              <w:top w:val="nil"/>
              <w:left w:val="nil"/>
              <w:bottom w:val="nil"/>
              <w:right w:val="nil"/>
            </w:tcBorders>
            <w:shd w:val="clear" w:color="auto" w:fill="auto"/>
            <w:noWrap/>
            <w:vAlign w:val="center"/>
            <w:hideMark/>
          </w:tcPr>
          <w:p w14:paraId="5A9B706E" w14:textId="10B3D771"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246,426</w:t>
            </w:r>
            <w:r w:rsidRPr="00C7547D">
              <w:rPr>
                <w:rFonts w:ascii="Arial" w:hAnsi="Arial" w:cs="Arial"/>
                <w:color w:val="000000"/>
                <w:sz w:val="20"/>
                <w:szCs w:val="20"/>
              </w:rPr>
              <w:t>)</w:t>
            </w:r>
          </w:p>
        </w:tc>
        <w:tc>
          <w:tcPr>
            <w:tcW w:w="961" w:type="dxa"/>
            <w:tcBorders>
              <w:top w:val="nil"/>
              <w:left w:val="nil"/>
              <w:bottom w:val="nil"/>
              <w:right w:val="single" w:sz="8" w:space="0" w:color="auto"/>
            </w:tcBorders>
            <w:shd w:val="clear" w:color="auto" w:fill="auto"/>
            <w:noWrap/>
            <w:vAlign w:val="center"/>
            <w:hideMark/>
          </w:tcPr>
          <w:p w14:paraId="18351131" w14:textId="74B2F669"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11,923</w:t>
            </w:r>
            <w:r w:rsidRPr="00C7547D">
              <w:rPr>
                <w:rFonts w:ascii="Arial" w:hAnsi="Arial" w:cs="Arial"/>
                <w:color w:val="000000"/>
                <w:sz w:val="20"/>
                <w:szCs w:val="20"/>
              </w:rPr>
              <w:t>)</w:t>
            </w:r>
          </w:p>
        </w:tc>
        <w:tc>
          <w:tcPr>
            <w:tcW w:w="961" w:type="dxa"/>
            <w:tcBorders>
              <w:top w:val="nil"/>
              <w:left w:val="nil"/>
              <w:bottom w:val="nil"/>
              <w:right w:val="nil"/>
            </w:tcBorders>
            <w:shd w:val="clear" w:color="auto" w:fill="auto"/>
            <w:noWrap/>
            <w:vAlign w:val="center"/>
            <w:hideMark/>
          </w:tcPr>
          <w:p w14:paraId="46E1477D" w14:textId="7EF214B0"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11,923</w:t>
            </w:r>
            <w:r w:rsidRPr="00C7547D">
              <w:rPr>
                <w:rFonts w:ascii="Arial" w:hAnsi="Arial" w:cs="Arial"/>
                <w:color w:val="000000"/>
                <w:sz w:val="20"/>
                <w:szCs w:val="20"/>
              </w:rPr>
              <w:t>)</w:t>
            </w:r>
          </w:p>
        </w:tc>
        <w:tc>
          <w:tcPr>
            <w:tcW w:w="980" w:type="dxa"/>
            <w:tcBorders>
              <w:top w:val="nil"/>
              <w:left w:val="nil"/>
              <w:bottom w:val="nil"/>
              <w:right w:val="nil"/>
            </w:tcBorders>
            <w:shd w:val="clear" w:color="auto" w:fill="auto"/>
            <w:noWrap/>
            <w:vAlign w:val="center"/>
            <w:hideMark/>
          </w:tcPr>
          <w:p w14:paraId="4B805336"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c>
          <w:tcPr>
            <w:tcW w:w="978" w:type="dxa"/>
            <w:tcBorders>
              <w:top w:val="nil"/>
              <w:left w:val="nil"/>
              <w:bottom w:val="nil"/>
              <w:right w:val="single" w:sz="8" w:space="0" w:color="auto"/>
            </w:tcBorders>
            <w:shd w:val="clear" w:color="auto" w:fill="auto"/>
            <w:noWrap/>
            <w:vAlign w:val="center"/>
            <w:hideMark/>
          </w:tcPr>
          <w:p w14:paraId="15051F6D" w14:textId="5AAE3FBC"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11,923</w:t>
            </w:r>
            <w:r w:rsidRPr="00C7547D">
              <w:rPr>
                <w:rFonts w:ascii="Arial" w:hAnsi="Arial" w:cs="Arial"/>
                <w:color w:val="000000"/>
                <w:sz w:val="20"/>
                <w:szCs w:val="20"/>
              </w:rPr>
              <w:t>)</w:t>
            </w:r>
          </w:p>
        </w:tc>
      </w:tr>
      <w:tr w:rsidR="003A641D" w14:paraId="57637FB4" w14:textId="77777777" w:rsidTr="00C7547D">
        <w:trPr>
          <w:trHeight w:val="300"/>
        </w:trPr>
        <w:tc>
          <w:tcPr>
            <w:tcW w:w="1833" w:type="dxa"/>
            <w:tcBorders>
              <w:top w:val="nil"/>
              <w:left w:val="single" w:sz="8" w:space="0" w:color="auto"/>
              <w:bottom w:val="single" w:sz="8" w:space="0" w:color="auto"/>
              <w:right w:val="nil"/>
            </w:tcBorders>
            <w:shd w:val="clear" w:color="auto" w:fill="auto"/>
            <w:noWrap/>
            <w:vAlign w:val="center"/>
            <w:hideMark/>
          </w:tcPr>
          <w:p w14:paraId="31C29992" w14:textId="77777777" w:rsidR="003A641D" w:rsidRPr="00C7547D" w:rsidRDefault="003A641D">
            <w:pPr>
              <w:rPr>
                <w:rFonts w:ascii="Arial" w:hAnsi="Arial" w:cs="Arial"/>
                <w:color w:val="000000"/>
                <w:sz w:val="20"/>
                <w:szCs w:val="20"/>
              </w:rPr>
            </w:pPr>
            <w:r w:rsidRPr="00C7547D">
              <w:rPr>
                <w:rFonts w:ascii="Arial" w:hAnsi="Arial" w:cs="Arial"/>
                <w:color w:val="000000"/>
                <w:sz w:val="20"/>
                <w:szCs w:val="20"/>
              </w:rPr>
              <w:t>Police Fund</w:t>
            </w:r>
          </w:p>
        </w:tc>
        <w:tc>
          <w:tcPr>
            <w:tcW w:w="1163" w:type="dxa"/>
            <w:tcBorders>
              <w:top w:val="nil"/>
              <w:left w:val="single" w:sz="8" w:space="0" w:color="auto"/>
              <w:bottom w:val="single" w:sz="8" w:space="0" w:color="auto"/>
              <w:right w:val="nil"/>
            </w:tcBorders>
            <w:shd w:val="clear" w:color="auto" w:fill="auto"/>
            <w:noWrap/>
            <w:vAlign w:val="center"/>
            <w:hideMark/>
          </w:tcPr>
          <w:p w14:paraId="118A40BF"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646,654</w:t>
            </w:r>
          </w:p>
        </w:tc>
        <w:tc>
          <w:tcPr>
            <w:tcW w:w="1135" w:type="dxa"/>
            <w:tcBorders>
              <w:top w:val="nil"/>
              <w:left w:val="nil"/>
              <w:bottom w:val="single" w:sz="8" w:space="0" w:color="auto"/>
              <w:right w:val="nil"/>
            </w:tcBorders>
            <w:shd w:val="clear" w:color="auto" w:fill="auto"/>
            <w:noWrap/>
            <w:vAlign w:val="center"/>
            <w:hideMark/>
          </w:tcPr>
          <w:p w14:paraId="7FE2A208" w14:textId="271A2F16"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646,654</w:t>
            </w:r>
            <w:r w:rsidRPr="00C7547D">
              <w:rPr>
                <w:rFonts w:ascii="Arial" w:hAnsi="Arial" w:cs="Arial"/>
                <w:color w:val="000000"/>
                <w:sz w:val="20"/>
                <w:szCs w:val="20"/>
              </w:rPr>
              <w:t>)</w:t>
            </w:r>
          </w:p>
        </w:tc>
        <w:tc>
          <w:tcPr>
            <w:tcW w:w="703" w:type="dxa"/>
            <w:tcBorders>
              <w:top w:val="nil"/>
              <w:left w:val="nil"/>
              <w:bottom w:val="single" w:sz="8" w:space="0" w:color="auto"/>
              <w:right w:val="single" w:sz="8" w:space="0" w:color="auto"/>
            </w:tcBorders>
            <w:shd w:val="clear" w:color="auto" w:fill="auto"/>
            <w:noWrap/>
            <w:vAlign w:val="center"/>
            <w:hideMark/>
          </w:tcPr>
          <w:p w14:paraId="346F0FC5"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single" w:sz="8" w:space="0" w:color="auto"/>
              <w:right w:val="nil"/>
            </w:tcBorders>
            <w:shd w:val="clear" w:color="auto" w:fill="auto"/>
            <w:noWrap/>
            <w:vAlign w:val="center"/>
            <w:hideMark/>
          </w:tcPr>
          <w:p w14:paraId="23BCC85E" w14:textId="4DB5156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646,</w:t>
            </w:r>
            <w:r w:rsidR="00C7547D">
              <w:rPr>
                <w:rFonts w:ascii="Arial" w:hAnsi="Arial" w:cs="Arial"/>
                <w:color w:val="000000"/>
                <w:sz w:val="20"/>
                <w:szCs w:val="20"/>
              </w:rPr>
              <w:t>737</w:t>
            </w:r>
          </w:p>
        </w:tc>
        <w:tc>
          <w:tcPr>
            <w:tcW w:w="1073" w:type="dxa"/>
            <w:tcBorders>
              <w:top w:val="nil"/>
              <w:left w:val="nil"/>
              <w:bottom w:val="single" w:sz="8" w:space="0" w:color="auto"/>
              <w:right w:val="nil"/>
            </w:tcBorders>
            <w:shd w:val="clear" w:color="auto" w:fill="auto"/>
            <w:noWrap/>
            <w:vAlign w:val="center"/>
            <w:hideMark/>
          </w:tcPr>
          <w:p w14:paraId="1C5F82C9" w14:textId="344A7B3F" w:rsidR="003A641D" w:rsidRPr="00C7547D" w:rsidRDefault="00C7547D">
            <w:pPr>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646,654</w:t>
            </w:r>
            <w:r w:rsidRPr="00C7547D">
              <w:rPr>
                <w:rFonts w:ascii="Arial" w:hAnsi="Arial" w:cs="Arial"/>
                <w:color w:val="000000"/>
                <w:sz w:val="20"/>
                <w:szCs w:val="20"/>
              </w:rPr>
              <w:t>)</w:t>
            </w:r>
          </w:p>
        </w:tc>
        <w:tc>
          <w:tcPr>
            <w:tcW w:w="961" w:type="dxa"/>
            <w:tcBorders>
              <w:top w:val="nil"/>
              <w:left w:val="nil"/>
              <w:bottom w:val="single" w:sz="8" w:space="0" w:color="auto"/>
              <w:right w:val="single" w:sz="8" w:space="0" w:color="auto"/>
            </w:tcBorders>
            <w:shd w:val="clear" w:color="auto" w:fill="auto"/>
            <w:noWrap/>
            <w:vAlign w:val="center"/>
            <w:hideMark/>
          </w:tcPr>
          <w:p w14:paraId="17291B2F" w14:textId="642CD08C" w:rsidR="003A641D" w:rsidRPr="00C7547D" w:rsidRDefault="00C7547D">
            <w:pPr>
              <w:jc w:val="right"/>
              <w:rPr>
                <w:rFonts w:ascii="Arial" w:hAnsi="Arial" w:cs="Arial"/>
                <w:color w:val="000000"/>
                <w:sz w:val="20"/>
                <w:szCs w:val="20"/>
              </w:rPr>
            </w:pPr>
            <w:r>
              <w:rPr>
                <w:rFonts w:ascii="Arial" w:hAnsi="Arial" w:cs="Arial"/>
                <w:color w:val="000000"/>
                <w:sz w:val="20"/>
                <w:szCs w:val="20"/>
              </w:rPr>
              <w:t>83</w:t>
            </w:r>
          </w:p>
        </w:tc>
        <w:tc>
          <w:tcPr>
            <w:tcW w:w="961" w:type="dxa"/>
            <w:tcBorders>
              <w:top w:val="nil"/>
              <w:left w:val="nil"/>
              <w:bottom w:val="single" w:sz="8" w:space="0" w:color="auto"/>
              <w:right w:val="nil"/>
            </w:tcBorders>
            <w:shd w:val="clear" w:color="auto" w:fill="auto"/>
            <w:noWrap/>
            <w:vAlign w:val="center"/>
            <w:hideMark/>
          </w:tcPr>
          <w:p w14:paraId="1F049C77" w14:textId="0F64229A" w:rsidR="003A641D" w:rsidRPr="00C7547D" w:rsidRDefault="00C7547D">
            <w:pPr>
              <w:jc w:val="right"/>
              <w:rPr>
                <w:rFonts w:ascii="Arial" w:hAnsi="Arial" w:cs="Arial"/>
                <w:color w:val="000000"/>
                <w:sz w:val="20"/>
                <w:szCs w:val="20"/>
              </w:rPr>
            </w:pPr>
            <w:r>
              <w:rPr>
                <w:rFonts w:ascii="Arial" w:hAnsi="Arial" w:cs="Arial"/>
                <w:color w:val="000000"/>
                <w:sz w:val="20"/>
                <w:szCs w:val="20"/>
              </w:rPr>
              <w:t>83</w:t>
            </w:r>
          </w:p>
        </w:tc>
        <w:tc>
          <w:tcPr>
            <w:tcW w:w="980" w:type="dxa"/>
            <w:tcBorders>
              <w:top w:val="nil"/>
              <w:left w:val="nil"/>
              <w:bottom w:val="single" w:sz="8" w:space="0" w:color="auto"/>
              <w:right w:val="nil"/>
            </w:tcBorders>
            <w:shd w:val="clear" w:color="auto" w:fill="auto"/>
            <w:noWrap/>
            <w:vAlign w:val="center"/>
            <w:hideMark/>
          </w:tcPr>
          <w:p w14:paraId="0EF33229" w14:textId="77777777" w:rsidR="003A641D" w:rsidRPr="00C7547D" w:rsidRDefault="003A641D">
            <w:pPr>
              <w:jc w:val="right"/>
              <w:rPr>
                <w:rFonts w:ascii="Arial" w:hAnsi="Arial" w:cs="Arial"/>
                <w:color w:val="000000"/>
                <w:sz w:val="20"/>
                <w:szCs w:val="20"/>
              </w:rPr>
            </w:pPr>
            <w:r w:rsidRPr="00C7547D">
              <w:rPr>
                <w:rFonts w:ascii="Arial" w:hAnsi="Arial" w:cs="Arial"/>
                <w:color w:val="000000"/>
                <w:sz w:val="20"/>
                <w:szCs w:val="20"/>
              </w:rPr>
              <w:t>0</w:t>
            </w:r>
          </w:p>
        </w:tc>
        <w:tc>
          <w:tcPr>
            <w:tcW w:w="978" w:type="dxa"/>
            <w:tcBorders>
              <w:top w:val="nil"/>
              <w:left w:val="nil"/>
              <w:bottom w:val="single" w:sz="8" w:space="0" w:color="auto"/>
              <w:right w:val="single" w:sz="8" w:space="0" w:color="auto"/>
            </w:tcBorders>
            <w:shd w:val="clear" w:color="auto" w:fill="auto"/>
            <w:noWrap/>
            <w:vAlign w:val="center"/>
            <w:hideMark/>
          </w:tcPr>
          <w:p w14:paraId="22D819D3" w14:textId="6629B07E" w:rsidR="003A641D" w:rsidRPr="00C7547D" w:rsidRDefault="00C7547D">
            <w:pPr>
              <w:jc w:val="right"/>
              <w:rPr>
                <w:rFonts w:ascii="Arial" w:hAnsi="Arial" w:cs="Arial"/>
                <w:color w:val="000000"/>
                <w:sz w:val="20"/>
                <w:szCs w:val="20"/>
              </w:rPr>
            </w:pPr>
            <w:r>
              <w:rPr>
                <w:rFonts w:ascii="Arial" w:hAnsi="Arial" w:cs="Arial"/>
                <w:color w:val="000000"/>
                <w:sz w:val="20"/>
                <w:szCs w:val="20"/>
              </w:rPr>
              <w:t>83</w:t>
            </w:r>
          </w:p>
        </w:tc>
      </w:tr>
    </w:tbl>
    <w:p w14:paraId="7352CBF8" w14:textId="0531A801" w:rsidR="00016C24" w:rsidRDefault="00016C24" w:rsidP="004466F7">
      <w:pPr>
        <w:widowControl w:val="0"/>
        <w:spacing w:after="160"/>
        <w:rPr>
          <w:rFonts w:ascii="Arial" w:hAnsi="Arial" w:cs="Arial"/>
          <w:bCs/>
          <w:snapToGrid w:val="0"/>
          <w:lang w:eastAsia="en-GB"/>
        </w:rPr>
      </w:pPr>
    </w:p>
    <w:p w14:paraId="5BB6E6C2" w14:textId="77777777" w:rsidR="00016C24" w:rsidRPr="00522643" w:rsidRDefault="00016C24" w:rsidP="00016C24">
      <w:pPr>
        <w:pStyle w:val="Heading3"/>
        <w:spacing w:after="160"/>
      </w:pPr>
      <w:bookmarkStart w:id="40" w:name="_Toc109922590"/>
      <w:r w:rsidRPr="00522643">
        <w:t>Capital Programme and Financing 202</w:t>
      </w:r>
      <w:r>
        <w:t>1</w:t>
      </w:r>
      <w:r w:rsidRPr="00522643">
        <w:t>/2</w:t>
      </w:r>
      <w:r>
        <w:t>2</w:t>
      </w:r>
      <w:bookmarkEnd w:id="40"/>
    </w:p>
    <w:p w14:paraId="12BF91B2" w14:textId="77777777" w:rsidR="00016C24" w:rsidRPr="00522643" w:rsidRDefault="00016C24" w:rsidP="00016C24">
      <w:pPr>
        <w:pStyle w:val="NoSpacing"/>
        <w:rPr>
          <w:rFonts w:ascii="Arial" w:hAnsi="Arial" w:cs="Arial"/>
          <w:sz w:val="24"/>
          <w:szCs w:val="24"/>
          <w:u w:val="single"/>
        </w:rPr>
      </w:pPr>
      <w:r w:rsidRPr="00522643">
        <w:rPr>
          <w:rFonts w:ascii="Arial" w:hAnsi="Arial" w:cs="Arial"/>
          <w:sz w:val="24"/>
          <w:szCs w:val="24"/>
          <w:u w:val="single"/>
        </w:rPr>
        <w:t>GMCA Capital Programme</w:t>
      </w:r>
    </w:p>
    <w:p w14:paraId="5A451EBF" w14:textId="77777777" w:rsidR="00016C24" w:rsidRPr="00522643" w:rsidRDefault="00016C24" w:rsidP="00016C24">
      <w:pPr>
        <w:pStyle w:val="NoSpacing"/>
        <w:rPr>
          <w:rFonts w:ascii="Arial" w:hAnsi="Arial" w:cs="Arial"/>
          <w:sz w:val="24"/>
          <w:szCs w:val="24"/>
          <w:u w:val="single"/>
        </w:rPr>
      </w:pPr>
    </w:p>
    <w:p w14:paraId="28B9715C" w14:textId="77777777" w:rsidR="00016C24" w:rsidRPr="00522643" w:rsidRDefault="00016C24" w:rsidP="00016C24">
      <w:pPr>
        <w:pStyle w:val="Normal0"/>
        <w:spacing w:after="160" w:line="240" w:lineRule="auto"/>
        <w:rPr>
          <w:rFonts w:ascii="Arial" w:hAnsi="Arial" w:cs="Arial"/>
          <w:sz w:val="24"/>
          <w:szCs w:val="24"/>
          <w:lang w:val="en-GB"/>
        </w:rPr>
      </w:pPr>
      <w:r w:rsidRPr="00522643">
        <w:rPr>
          <w:rFonts w:ascii="Arial" w:hAnsi="Arial" w:cs="Arial"/>
          <w:sz w:val="24"/>
          <w:szCs w:val="24"/>
          <w:lang w:val="en-GB"/>
        </w:rPr>
        <w:t>The capital programme for the Authority is reported and managed in 5 sections, Highways and Transport, Economic Development and Regeneration, Waste Disposal, Police Fund and Mayoral General Fund including Fire and Rescue Services.</w:t>
      </w:r>
    </w:p>
    <w:p w14:paraId="6D3EA671" w14:textId="77777777" w:rsidR="00016C24" w:rsidRPr="00522643" w:rsidRDefault="00016C24" w:rsidP="00016C24">
      <w:pPr>
        <w:pStyle w:val="Normal0"/>
        <w:spacing w:after="160" w:line="240" w:lineRule="auto"/>
        <w:rPr>
          <w:rFonts w:ascii="Arial" w:hAnsi="Arial" w:cs="Arial"/>
          <w:sz w:val="24"/>
          <w:szCs w:val="24"/>
          <w:lang w:val="en-GB"/>
        </w:rPr>
      </w:pPr>
      <w:r w:rsidRPr="00522643">
        <w:rPr>
          <w:rFonts w:ascii="Arial" w:hAnsi="Arial" w:cs="Arial"/>
          <w:sz w:val="24"/>
          <w:szCs w:val="24"/>
          <w:lang w:val="en-GB"/>
        </w:rPr>
        <w:t>The Highways and Transport programme includes traffic signal projects and the provision of capital grants and loans provided within the definitions of capital expenditure contained in the Local Authorities (Capital Finance and Accounting) Regulations 2003 for highways and transport purposes.</w:t>
      </w:r>
    </w:p>
    <w:p w14:paraId="17843CF5" w14:textId="77777777" w:rsidR="00016C24" w:rsidRPr="00522643" w:rsidRDefault="00016C24" w:rsidP="00016C24">
      <w:pPr>
        <w:pStyle w:val="Normal0"/>
        <w:spacing w:after="160" w:line="240" w:lineRule="auto"/>
        <w:rPr>
          <w:rFonts w:ascii="Arial" w:hAnsi="Arial" w:cs="Arial"/>
          <w:sz w:val="24"/>
          <w:szCs w:val="24"/>
          <w:lang w:val="en-GB"/>
        </w:rPr>
      </w:pPr>
      <w:r w:rsidRPr="00522643">
        <w:rPr>
          <w:rFonts w:ascii="Arial" w:hAnsi="Arial" w:cs="Arial"/>
          <w:sz w:val="24"/>
          <w:szCs w:val="24"/>
          <w:lang w:val="en-GB"/>
        </w:rPr>
        <w:t>The Economic Development and Regeneration programme includes the provision of capital grants and loans provided within the definitions of capital expenditure contained in the Local Authorities (Capital Finance and Accounting) Regulations 2003 for economic development and regeneration purposes.</w:t>
      </w:r>
    </w:p>
    <w:p w14:paraId="472338E1" w14:textId="77777777" w:rsidR="00016C24" w:rsidRPr="00522643" w:rsidRDefault="00016C24" w:rsidP="00016C24">
      <w:pPr>
        <w:pStyle w:val="Normal0"/>
        <w:spacing w:after="160" w:line="240" w:lineRule="auto"/>
        <w:rPr>
          <w:rFonts w:ascii="Arial" w:hAnsi="Arial" w:cs="Arial"/>
          <w:sz w:val="24"/>
          <w:szCs w:val="24"/>
          <w:lang w:val="en-GB"/>
        </w:rPr>
      </w:pPr>
      <w:r w:rsidRPr="00522643">
        <w:rPr>
          <w:rFonts w:ascii="Arial" w:hAnsi="Arial" w:cs="Arial"/>
          <w:sz w:val="24"/>
          <w:szCs w:val="24"/>
          <w:lang w:val="en-GB"/>
        </w:rPr>
        <w:t>The Mayoral General Fund capital programme wholly related to investment in fire and rescue projects such as vehicles, fire stations and new information technology.</w:t>
      </w:r>
    </w:p>
    <w:p w14:paraId="2D49DA38" w14:textId="77777777" w:rsidR="00016C24" w:rsidRPr="00522643" w:rsidRDefault="00016C24" w:rsidP="00016C24">
      <w:pPr>
        <w:pStyle w:val="Normal0"/>
        <w:spacing w:after="160" w:line="240" w:lineRule="auto"/>
        <w:rPr>
          <w:rFonts w:ascii="Arial" w:hAnsi="Arial" w:cs="Arial"/>
          <w:sz w:val="24"/>
          <w:szCs w:val="24"/>
          <w:lang w:val="en-GB"/>
        </w:rPr>
      </w:pPr>
      <w:r w:rsidRPr="00522643">
        <w:rPr>
          <w:rFonts w:ascii="Arial" w:hAnsi="Arial" w:cs="Arial"/>
          <w:sz w:val="24"/>
          <w:szCs w:val="24"/>
          <w:lang w:val="en-GB"/>
        </w:rPr>
        <w:t>Capital expenditure is financed directly from one of the three following sources:</w:t>
      </w:r>
    </w:p>
    <w:p w14:paraId="05455EF4" w14:textId="526C0E6E" w:rsidR="00016C24" w:rsidRPr="00522643" w:rsidRDefault="00016C24" w:rsidP="00EB27EB">
      <w:pPr>
        <w:pStyle w:val="Normal0"/>
        <w:numPr>
          <w:ilvl w:val="0"/>
          <w:numId w:val="58"/>
        </w:numPr>
        <w:spacing w:after="160" w:line="240" w:lineRule="auto"/>
        <w:rPr>
          <w:rFonts w:ascii="Arial" w:hAnsi="Arial" w:cs="Arial"/>
          <w:sz w:val="24"/>
          <w:szCs w:val="24"/>
          <w:lang w:val="en-GB"/>
        </w:rPr>
      </w:pPr>
      <w:r w:rsidRPr="00522643">
        <w:rPr>
          <w:rFonts w:ascii="Arial" w:hAnsi="Arial" w:cs="Arial"/>
          <w:sz w:val="24"/>
          <w:szCs w:val="24"/>
          <w:lang w:val="en-GB"/>
        </w:rPr>
        <w:t xml:space="preserve">Grants or contributions from external </w:t>
      </w:r>
      <w:r w:rsidR="00C7547D" w:rsidRPr="00522643">
        <w:rPr>
          <w:rFonts w:ascii="Arial" w:hAnsi="Arial" w:cs="Arial"/>
          <w:sz w:val="24"/>
          <w:szCs w:val="24"/>
          <w:lang w:val="en-GB"/>
        </w:rPr>
        <w:t>sources.</w:t>
      </w:r>
    </w:p>
    <w:p w14:paraId="51586A7E" w14:textId="5D1E8B5B" w:rsidR="00016C24" w:rsidRPr="00522643" w:rsidRDefault="00016C24" w:rsidP="00EB27EB">
      <w:pPr>
        <w:pStyle w:val="Normal0"/>
        <w:numPr>
          <w:ilvl w:val="0"/>
          <w:numId w:val="58"/>
        </w:numPr>
        <w:spacing w:after="160" w:line="240" w:lineRule="auto"/>
        <w:rPr>
          <w:rFonts w:ascii="Arial" w:hAnsi="Arial" w:cs="Arial"/>
          <w:sz w:val="24"/>
          <w:szCs w:val="24"/>
          <w:lang w:val="en-GB"/>
        </w:rPr>
      </w:pPr>
      <w:r w:rsidRPr="00522643">
        <w:rPr>
          <w:rFonts w:ascii="Arial" w:hAnsi="Arial" w:cs="Arial"/>
          <w:sz w:val="24"/>
          <w:szCs w:val="24"/>
          <w:lang w:val="en-GB"/>
        </w:rPr>
        <w:t xml:space="preserve">Proceeds from the sale of capital assets or the repayment of capital loan </w:t>
      </w:r>
      <w:r w:rsidR="00C7547D" w:rsidRPr="00522643">
        <w:rPr>
          <w:rFonts w:ascii="Arial" w:hAnsi="Arial" w:cs="Arial"/>
          <w:sz w:val="24"/>
          <w:szCs w:val="24"/>
          <w:lang w:val="en-GB"/>
        </w:rPr>
        <w:t>advances.</w:t>
      </w:r>
    </w:p>
    <w:p w14:paraId="47FA31EC" w14:textId="77777777" w:rsidR="00016C24" w:rsidRPr="00522643" w:rsidRDefault="00016C24" w:rsidP="00EB27EB">
      <w:pPr>
        <w:pStyle w:val="Normal0"/>
        <w:numPr>
          <w:ilvl w:val="0"/>
          <w:numId w:val="58"/>
        </w:numPr>
        <w:spacing w:after="160" w:line="240" w:lineRule="auto"/>
        <w:rPr>
          <w:rFonts w:ascii="Arial" w:hAnsi="Arial" w:cs="Arial"/>
          <w:sz w:val="24"/>
          <w:szCs w:val="24"/>
          <w:lang w:val="en-GB"/>
        </w:rPr>
      </w:pPr>
      <w:r w:rsidRPr="00522643">
        <w:rPr>
          <w:rFonts w:ascii="Arial" w:hAnsi="Arial" w:cs="Arial"/>
          <w:sz w:val="24"/>
          <w:szCs w:val="24"/>
          <w:lang w:val="en-GB"/>
        </w:rPr>
        <w:t>Direct funding from the revenue.</w:t>
      </w:r>
    </w:p>
    <w:p w14:paraId="645A15E1" w14:textId="77777777" w:rsidR="00016C24" w:rsidRPr="00522643" w:rsidRDefault="00016C24" w:rsidP="00016C24">
      <w:pPr>
        <w:pStyle w:val="Normal0"/>
        <w:spacing w:after="160" w:line="240" w:lineRule="auto"/>
        <w:rPr>
          <w:rFonts w:ascii="Arial" w:hAnsi="Arial" w:cs="Arial"/>
          <w:sz w:val="24"/>
          <w:szCs w:val="24"/>
          <w:lang w:val="en-GB"/>
        </w:rPr>
      </w:pPr>
      <w:r w:rsidRPr="00522643">
        <w:rPr>
          <w:rFonts w:ascii="Arial" w:hAnsi="Arial" w:cs="Arial"/>
          <w:sz w:val="24"/>
          <w:szCs w:val="24"/>
          <w:lang w:val="en-GB"/>
        </w:rPr>
        <w:t>Capital expenditure not directly financed from the three sources above increases the Capital Financing Requirement and is charged in future years through the revenue budget over the life of the assets in line with the Minimum Revenue Provision policy.</w:t>
      </w:r>
    </w:p>
    <w:p w14:paraId="02717728" w14:textId="658FEE88" w:rsidR="00016C24" w:rsidRDefault="00016C24" w:rsidP="00016C24">
      <w:pPr>
        <w:pStyle w:val="Normal0"/>
        <w:spacing w:after="160" w:line="240" w:lineRule="auto"/>
      </w:pPr>
      <w:r w:rsidRPr="00522643">
        <w:rPr>
          <w:rFonts w:ascii="Arial" w:hAnsi="Arial" w:cs="Arial"/>
          <w:sz w:val="24"/>
          <w:szCs w:val="22"/>
        </w:rPr>
        <w:t>The Authority’s capital programme outturn and how it was financed is summarised in the tables below:</w:t>
      </w:r>
    </w:p>
    <w:p w14:paraId="5DBEBF2E" w14:textId="42F11A88" w:rsidR="00BC716D" w:rsidRDefault="00BC716D" w:rsidP="00016C24">
      <w:pPr>
        <w:pStyle w:val="Normal0"/>
        <w:spacing w:after="160" w:line="240" w:lineRule="auto"/>
        <w:rPr>
          <w:rFonts w:ascii="Arial" w:hAnsi="Arial" w:cs="Arial"/>
          <w:sz w:val="24"/>
          <w:szCs w:val="22"/>
        </w:rPr>
      </w:pPr>
    </w:p>
    <w:tbl>
      <w:tblPr>
        <w:tblW w:w="10115" w:type="dxa"/>
        <w:tblLayout w:type="fixed"/>
        <w:tblLook w:val="04A0" w:firstRow="1" w:lastRow="0" w:firstColumn="1" w:lastColumn="0" w:noHBand="0" w:noVBand="1"/>
      </w:tblPr>
      <w:tblGrid>
        <w:gridCol w:w="4631"/>
        <w:gridCol w:w="1196"/>
        <w:gridCol w:w="1346"/>
        <w:gridCol w:w="1196"/>
        <w:gridCol w:w="1497"/>
        <w:gridCol w:w="249"/>
      </w:tblGrid>
      <w:tr w:rsidR="00AF181F" w14:paraId="40A8A9AF" w14:textId="77777777" w:rsidTr="00030B86">
        <w:trPr>
          <w:gridAfter w:val="1"/>
          <w:wAfter w:w="249" w:type="dxa"/>
          <w:trHeight w:val="617"/>
        </w:trPr>
        <w:tc>
          <w:tcPr>
            <w:tcW w:w="4631" w:type="dxa"/>
            <w:vMerge w:val="restart"/>
            <w:tcBorders>
              <w:top w:val="single" w:sz="8" w:space="0" w:color="auto"/>
              <w:left w:val="single" w:sz="8" w:space="0" w:color="auto"/>
              <w:bottom w:val="nil"/>
              <w:right w:val="single" w:sz="8" w:space="0" w:color="auto"/>
            </w:tcBorders>
            <w:shd w:val="clear" w:color="000000" w:fill="FFFFFF"/>
            <w:hideMark/>
          </w:tcPr>
          <w:p w14:paraId="6DC7BA20" w14:textId="77777777" w:rsidR="00AF181F" w:rsidRDefault="00AF181F">
            <w:pPr>
              <w:rPr>
                <w:rFonts w:ascii="Arial" w:hAnsi="Arial" w:cs="Arial"/>
                <w:b/>
                <w:bCs/>
                <w:color w:val="000000"/>
                <w:lang w:eastAsia="en-GB"/>
              </w:rPr>
            </w:pPr>
            <w:r>
              <w:rPr>
                <w:rFonts w:ascii="Arial" w:hAnsi="Arial" w:cs="Arial"/>
                <w:b/>
                <w:bCs/>
                <w:color w:val="000000"/>
              </w:rPr>
              <w:lastRenderedPageBreak/>
              <w:t>Capital Programme 2021/22</w:t>
            </w:r>
          </w:p>
        </w:tc>
        <w:tc>
          <w:tcPr>
            <w:tcW w:w="1196" w:type="dxa"/>
            <w:vMerge w:val="restart"/>
            <w:tcBorders>
              <w:top w:val="single" w:sz="8" w:space="0" w:color="auto"/>
              <w:left w:val="single" w:sz="8" w:space="0" w:color="auto"/>
              <w:bottom w:val="nil"/>
              <w:right w:val="single" w:sz="8" w:space="0" w:color="auto"/>
            </w:tcBorders>
            <w:shd w:val="clear" w:color="000000" w:fill="FFFFFF"/>
            <w:hideMark/>
          </w:tcPr>
          <w:p w14:paraId="223C51D7" w14:textId="77777777" w:rsidR="00AF181F" w:rsidRDefault="00AF181F">
            <w:pPr>
              <w:jc w:val="center"/>
              <w:rPr>
                <w:rFonts w:ascii="Arial" w:hAnsi="Arial" w:cs="Arial"/>
                <w:b/>
                <w:bCs/>
                <w:color w:val="000000"/>
              </w:rPr>
            </w:pPr>
            <w:r>
              <w:rPr>
                <w:rFonts w:ascii="Arial" w:hAnsi="Arial" w:cs="Arial"/>
                <w:b/>
                <w:bCs/>
                <w:color w:val="000000"/>
              </w:rPr>
              <w:t>Original Budget</w:t>
            </w:r>
          </w:p>
        </w:tc>
        <w:tc>
          <w:tcPr>
            <w:tcW w:w="1346" w:type="dxa"/>
            <w:vMerge w:val="restart"/>
            <w:tcBorders>
              <w:top w:val="single" w:sz="8" w:space="0" w:color="auto"/>
              <w:left w:val="single" w:sz="8" w:space="0" w:color="auto"/>
              <w:bottom w:val="nil"/>
              <w:right w:val="single" w:sz="8" w:space="0" w:color="auto"/>
            </w:tcBorders>
            <w:shd w:val="clear" w:color="000000" w:fill="FFFFFF"/>
            <w:hideMark/>
          </w:tcPr>
          <w:p w14:paraId="7F1C7473" w14:textId="77777777" w:rsidR="00AF181F" w:rsidRDefault="00AF181F">
            <w:pPr>
              <w:jc w:val="center"/>
              <w:rPr>
                <w:rFonts w:ascii="Arial" w:hAnsi="Arial" w:cs="Arial"/>
                <w:b/>
                <w:bCs/>
                <w:color w:val="000000"/>
              </w:rPr>
            </w:pPr>
            <w:r>
              <w:rPr>
                <w:rFonts w:ascii="Arial" w:hAnsi="Arial" w:cs="Arial"/>
                <w:b/>
                <w:bCs/>
                <w:color w:val="000000"/>
              </w:rPr>
              <w:t>Revised Budget</w:t>
            </w:r>
          </w:p>
        </w:tc>
        <w:tc>
          <w:tcPr>
            <w:tcW w:w="1196" w:type="dxa"/>
            <w:vMerge w:val="restart"/>
            <w:tcBorders>
              <w:top w:val="single" w:sz="8" w:space="0" w:color="auto"/>
              <w:left w:val="single" w:sz="8" w:space="0" w:color="auto"/>
              <w:bottom w:val="nil"/>
              <w:right w:val="single" w:sz="8" w:space="0" w:color="auto"/>
            </w:tcBorders>
            <w:shd w:val="clear" w:color="000000" w:fill="FFFFFF"/>
            <w:hideMark/>
          </w:tcPr>
          <w:p w14:paraId="01AC6DB2" w14:textId="77777777" w:rsidR="00AF181F" w:rsidRDefault="00AF181F">
            <w:pPr>
              <w:jc w:val="center"/>
              <w:rPr>
                <w:rFonts w:ascii="Arial" w:hAnsi="Arial" w:cs="Arial"/>
                <w:b/>
                <w:bCs/>
                <w:color w:val="000000"/>
              </w:rPr>
            </w:pPr>
            <w:r>
              <w:rPr>
                <w:rFonts w:ascii="Arial" w:hAnsi="Arial" w:cs="Arial"/>
                <w:b/>
                <w:bCs/>
                <w:color w:val="000000"/>
              </w:rPr>
              <w:t>Outturn</w:t>
            </w:r>
          </w:p>
        </w:tc>
        <w:tc>
          <w:tcPr>
            <w:tcW w:w="1497" w:type="dxa"/>
            <w:vMerge w:val="restart"/>
            <w:tcBorders>
              <w:top w:val="single" w:sz="8" w:space="0" w:color="auto"/>
              <w:left w:val="single" w:sz="8" w:space="0" w:color="auto"/>
              <w:bottom w:val="nil"/>
              <w:right w:val="single" w:sz="8" w:space="0" w:color="auto"/>
            </w:tcBorders>
            <w:shd w:val="clear" w:color="000000" w:fill="FFFFFF"/>
            <w:hideMark/>
          </w:tcPr>
          <w:p w14:paraId="4EF8FA57" w14:textId="4B022C37" w:rsidR="00AF181F" w:rsidRDefault="00FD6B88">
            <w:pPr>
              <w:jc w:val="center"/>
              <w:rPr>
                <w:rFonts w:ascii="Arial" w:hAnsi="Arial" w:cs="Arial"/>
                <w:b/>
                <w:bCs/>
                <w:color w:val="000000"/>
              </w:rPr>
            </w:pPr>
            <w:r>
              <w:rPr>
                <w:rFonts w:ascii="Arial" w:hAnsi="Arial" w:cs="Arial"/>
                <w:b/>
                <w:bCs/>
                <w:color w:val="000000"/>
              </w:rPr>
              <w:t>Variance Over / (Under) Spend</w:t>
            </w:r>
          </w:p>
        </w:tc>
      </w:tr>
      <w:tr w:rsidR="00AF181F" w14:paraId="440AA053" w14:textId="77777777" w:rsidTr="00030B86">
        <w:trPr>
          <w:trHeight w:val="607"/>
        </w:trPr>
        <w:tc>
          <w:tcPr>
            <w:tcW w:w="4631" w:type="dxa"/>
            <w:vMerge/>
            <w:tcBorders>
              <w:top w:val="single" w:sz="8" w:space="0" w:color="auto"/>
              <w:left w:val="single" w:sz="8" w:space="0" w:color="auto"/>
              <w:bottom w:val="nil"/>
              <w:right w:val="single" w:sz="8" w:space="0" w:color="auto"/>
            </w:tcBorders>
            <w:vAlign w:val="center"/>
            <w:hideMark/>
          </w:tcPr>
          <w:p w14:paraId="21827365" w14:textId="77777777" w:rsidR="00AF181F" w:rsidRDefault="00AF181F">
            <w:pPr>
              <w:rPr>
                <w:rFonts w:ascii="Arial" w:hAnsi="Arial" w:cs="Arial"/>
                <w:b/>
                <w:bCs/>
                <w:color w:val="000000"/>
              </w:rPr>
            </w:pPr>
          </w:p>
        </w:tc>
        <w:tc>
          <w:tcPr>
            <w:tcW w:w="1196" w:type="dxa"/>
            <w:vMerge/>
            <w:tcBorders>
              <w:top w:val="single" w:sz="8" w:space="0" w:color="auto"/>
              <w:left w:val="single" w:sz="8" w:space="0" w:color="auto"/>
              <w:bottom w:val="nil"/>
              <w:right w:val="single" w:sz="8" w:space="0" w:color="auto"/>
            </w:tcBorders>
            <w:vAlign w:val="center"/>
            <w:hideMark/>
          </w:tcPr>
          <w:p w14:paraId="2491B4D9" w14:textId="77777777" w:rsidR="00AF181F" w:rsidRDefault="00AF181F">
            <w:pPr>
              <w:rPr>
                <w:rFonts w:ascii="Arial" w:hAnsi="Arial" w:cs="Arial"/>
                <w:b/>
                <w:bCs/>
                <w:color w:val="000000"/>
              </w:rPr>
            </w:pPr>
          </w:p>
        </w:tc>
        <w:tc>
          <w:tcPr>
            <w:tcW w:w="1346" w:type="dxa"/>
            <w:vMerge/>
            <w:tcBorders>
              <w:top w:val="single" w:sz="8" w:space="0" w:color="auto"/>
              <w:left w:val="single" w:sz="8" w:space="0" w:color="auto"/>
              <w:bottom w:val="nil"/>
              <w:right w:val="single" w:sz="8" w:space="0" w:color="auto"/>
            </w:tcBorders>
            <w:vAlign w:val="center"/>
            <w:hideMark/>
          </w:tcPr>
          <w:p w14:paraId="04D3A36E" w14:textId="77777777" w:rsidR="00AF181F" w:rsidRDefault="00AF181F">
            <w:pPr>
              <w:rPr>
                <w:rFonts w:ascii="Arial" w:hAnsi="Arial" w:cs="Arial"/>
                <w:b/>
                <w:bCs/>
                <w:color w:val="000000"/>
              </w:rPr>
            </w:pPr>
          </w:p>
        </w:tc>
        <w:tc>
          <w:tcPr>
            <w:tcW w:w="1196" w:type="dxa"/>
            <w:vMerge/>
            <w:tcBorders>
              <w:top w:val="single" w:sz="8" w:space="0" w:color="auto"/>
              <w:left w:val="single" w:sz="8" w:space="0" w:color="auto"/>
              <w:bottom w:val="nil"/>
              <w:right w:val="single" w:sz="8" w:space="0" w:color="auto"/>
            </w:tcBorders>
            <w:vAlign w:val="center"/>
            <w:hideMark/>
          </w:tcPr>
          <w:p w14:paraId="46316816" w14:textId="77777777" w:rsidR="00AF181F" w:rsidRDefault="00AF181F">
            <w:pPr>
              <w:rPr>
                <w:rFonts w:ascii="Arial" w:hAnsi="Arial" w:cs="Arial"/>
                <w:b/>
                <w:bCs/>
                <w:color w:val="000000"/>
              </w:rPr>
            </w:pPr>
          </w:p>
        </w:tc>
        <w:tc>
          <w:tcPr>
            <w:tcW w:w="1497" w:type="dxa"/>
            <w:vMerge/>
            <w:tcBorders>
              <w:top w:val="single" w:sz="8" w:space="0" w:color="auto"/>
              <w:left w:val="single" w:sz="8" w:space="0" w:color="auto"/>
              <w:bottom w:val="nil"/>
              <w:right w:val="single" w:sz="8" w:space="0" w:color="auto"/>
            </w:tcBorders>
            <w:vAlign w:val="center"/>
            <w:hideMark/>
          </w:tcPr>
          <w:p w14:paraId="7072E583" w14:textId="77777777" w:rsidR="00AF181F" w:rsidRDefault="00AF181F">
            <w:pPr>
              <w:rPr>
                <w:rFonts w:ascii="Arial" w:hAnsi="Arial" w:cs="Arial"/>
                <w:b/>
                <w:bCs/>
                <w:color w:val="000000"/>
              </w:rPr>
            </w:pPr>
          </w:p>
        </w:tc>
        <w:tc>
          <w:tcPr>
            <w:tcW w:w="249" w:type="dxa"/>
            <w:tcBorders>
              <w:top w:val="nil"/>
              <w:left w:val="nil"/>
              <w:bottom w:val="nil"/>
              <w:right w:val="nil"/>
            </w:tcBorders>
            <w:shd w:val="clear" w:color="auto" w:fill="auto"/>
            <w:noWrap/>
            <w:vAlign w:val="bottom"/>
            <w:hideMark/>
          </w:tcPr>
          <w:p w14:paraId="02DBC469" w14:textId="77777777" w:rsidR="00AF181F" w:rsidRDefault="00AF181F">
            <w:pPr>
              <w:jc w:val="center"/>
              <w:rPr>
                <w:rFonts w:ascii="Arial" w:hAnsi="Arial" w:cs="Arial"/>
                <w:b/>
                <w:bCs/>
                <w:color w:val="000000"/>
              </w:rPr>
            </w:pPr>
          </w:p>
        </w:tc>
      </w:tr>
      <w:tr w:rsidR="00AF181F" w14:paraId="69BE2E1B" w14:textId="77777777" w:rsidTr="00030B86">
        <w:trPr>
          <w:trHeight w:val="316"/>
        </w:trPr>
        <w:tc>
          <w:tcPr>
            <w:tcW w:w="4631" w:type="dxa"/>
            <w:tcBorders>
              <w:top w:val="nil"/>
              <w:left w:val="single" w:sz="8" w:space="0" w:color="auto"/>
              <w:bottom w:val="single" w:sz="8" w:space="0" w:color="auto"/>
              <w:right w:val="nil"/>
            </w:tcBorders>
            <w:shd w:val="clear" w:color="000000" w:fill="FFFFFF"/>
            <w:vAlign w:val="center"/>
            <w:hideMark/>
          </w:tcPr>
          <w:p w14:paraId="66B56220" w14:textId="77777777" w:rsidR="00AF181F" w:rsidRDefault="00AF181F">
            <w:pPr>
              <w:jc w:val="center"/>
              <w:rPr>
                <w:rFonts w:ascii="Arial" w:hAnsi="Arial" w:cs="Arial"/>
                <w:b/>
                <w:bCs/>
                <w:color w:val="003366"/>
              </w:rPr>
            </w:pPr>
            <w:r>
              <w:rPr>
                <w:rFonts w:ascii="Arial" w:hAnsi="Arial" w:cs="Arial"/>
                <w:b/>
                <w:bCs/>
                <w:color w:val="003366"/>
              </w:rPr>
              <w:t> </w:t>
            </w:r>
          </w:p>
        </w:tc>
        <w:tc>
          <w:tcPr>
            <w:tcW w:w="1196" w:type="dxa"/>
            <w:tcBorders>
              <w:top w:val="nil"/>
              <w:left w:val="single" w:sz="8" w:space="0" w:color="auto"/>
              <w:bottom w:val="single" w:sz="8" w:space="0" w:color="auto"/>
              <w:right w:val="nil"/>
            </w:tcBorders>
            <w:shd w:val="clear" w:color="000000" w:fill="FFFFFF"/>
            <w:vAlign w:val="center"/>
            <w:hideMark/>
          </w:tcPr>
          <w:p w14:paraId="57824B87" w14:textId="77777777" w:rsidR="00AF181F" w:rsidRDefault="00AF181F">
            <w:pPr>
              <w:jc w:val="center"/>
              <w:rPr>
                <w:rFonts w:ascii="Arial" w:hAnsi="Arial" w:cs="Arial"/>
                <w:b/>
                <w:bCs/>
                <w:color w:val="000000"/>
              </w:rPr>
            </w:pPr>
            <w:r>
              <w:rPr>
                <w:rFonts w:ascii="Arial" w:hAnsi="Arial" w:cs="Arial"/>
                <w:b/>
                <w:bCs/>
                <w:color w:val="000000"/>
              </w:rPr>
              <w:t>£000</w:t>
            </w:r>
          </w:p>
        </w:tc>
        <w:tc>
          <w:tcPr>
            <w:tcW w:w="1346" w:type="dxa"/>
            <w:tcBorders>
              <w:top w:val="nil"/>
              <w:left w:val="single" w:sz="8" w:space="0" w:color="auto"/>
              <w:bottom w:val="single" w:sz="8" w:space="0" w:color="auto"/>
              <w:right w:val="nil"/>
            </w:tcBorders>
            <w:shd w:val="clear" w:color="000000" w:fill="FFFFFF"/>
            <w:vAlign w:val="center"/>
            <w:hideMark/>
          </w:tcPr>
          <w:p w14:paraId="3C985515" w14:textId="77777777" w:rsidR="00AF181F" w:rsidRDefault="00AF181F">
            <w:pPr>
              <w:jc w:val="center"/>
              <w:rPr>
                <w:rFonts w:ascii="Arial" w:hAnsi="Arial" w:cs="Arial"/>
                <w:b/>
                <w:bCs/>
                <w:color w:val="000000"/>
              </w:rPr>
            </w:pPr>
            <w:r>
              <w:rPr>
                <w:rFonts w:ascii="Arial" w:hAnsi="Arial" w:cs="Arial"/>
                <w:b/>
                <w:bCs/>
                <w:color w:val="000000"/>
              </w:rPr>
              <w:t>£000</w:t>
            </w:r>
          </w:p>
        </w:tc>
        <w:tc>
          <w:tcPr>
            <w:tcW w:w="1196" w:type="dxa"/>
            <w:tcBorders>
              <w:top w:val="nil"/>
              <w:left w:val="single" w:sz="8" w:space="0" w:color="auto"/>
              <w:bottom w:val="single" w:sz="8" w:space="0" w:color="auto"/>
              <w:right w:val="nil"/>
            </w:tcBorders>
            <w:shd w:val="clear" w:color="000000" w:fill="FFFFFF"/>
            <w:vAlign w:val="center"/>
            <w:hideMark/>
          </w:tcPr>
          <w:p w14:paraId="3B04D4B4" w14:textId="77777777" w:rsidR="00AF181F" w:rsidRDefault="00AF181F">
            <w:pPr>
              <w:jc w:val="center"/>
              <w:rPr>
                <w:rFonts w:ascii="Arial" w:hAnsi="Arial" w:cs="Arial"/>
                <w:b/>
                <w:bCs/>
                <w:color w:val="000000"/>
              </w:rPr>
            </w:pPr>
            <w:r>
              <w:rPr>
                <w:rFonts w:ascii="Arial" w:hAnsi="Arial" w:cs="Arial"/>
                <w:b/>
                <w:bCs/>
                <w:color w:val="000000"/>
              </w:rPr>
              <w:t>£000</w:t>
            </w:r>
          </w:p>
        </w:tc>
        <w:tc>
          <w:tcPr>
            <w:tcW w:w="1497" w:type="dxa"/>
            <w:tcBorders>
              <w:top w:val="nil"/>
              <w:left w:val="single" w:sz="8" w:space="0" w:color="auto"/>
              <w:bottom w:val="single" w:sz="8" w:space="0" w:color="auto"/>
              <w:right w:val="single" w:sz="8" w:space="0" w:color="auto"/>
            </w:tcBorders>
            <w:shd w:val="clear" w:color="000000" w:fill="FFFFFF"/>
            <w:vAlign w:val="center"/>
            <w:hideMark/>
          </w:tcPr>
          <w:p w14:paraId="4360E192" w14:textId="77777777" w:rsidR="00AF181F" w:rsidRDefault="00AF181F">
            <w:pPr>
              <w:jc w:val="center"/>
              <w:rPr>
                <w:rFonts w:ascii="Arial" w:hAnsi="Arial" w:cs="Arial"/>
                <w:b/>
                <w:bCs/>
                <w:color w:val="000000"/>
              </w:rPr>
            </w:pPr>
            <w:r>
              <w:rPr>
                <w:rFonts w:ascii="Arial" w:hAnsi="Arial" w:cs="Arial"/>
                <w:b/>
                <w:bCs/>
                <w:color w:val="000000"/>
              </w:rPr>
              <w:t>£000</w:t>
            </w:r>
          </w:p>
        </w:tc>
        <w:tc>
          <w:tcPr>
            <w:tcW w:w="249" w:type="dxa"/>
            <w:vAlign w:val="center"/>
            <w:hideMark/>
          </w:tcPr>
          <w:p w14:paraId="76BA7241" w14:textId="77777777" w:rsidR="00AF181F" w:rsidRDefault="00AF181F">
            <w:pPr>
              <w:rPr>
                <w:sz w:val="20"/>
                <w:szCs w:val="20"/>
              </w:rPr>
            </w:pPr>
          </w:p>
        </w:tc>
      </w:tr>
      <w:tr w:rsidR="00AF181F" w14:paraId="328C6E3F"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3FFBC3CF" w14:textId="77777777" w:rsidR="00AF181F" w:rsidRDefault="00AF181F">
            <w:pPr>
              <w:rPr>
                <w:rFonts w:ascii="Arial" w:hAnsi="Arial" w:cs="Arial"/>
                <w:b/>
                <w:bCs/>
                <w:color w:val="000000"/>
              </w:rPr>
            </w:pPr>
            <w:r>
              <w:rPr>
                <w:rFonts w:ascii="Arial" w:hAnsi="Arial" w:cs="Arial"/>
                <w:b/>
                <w:bCs/>
                <w:color w:val="000000"/>
              </w:rPr>
              <w:t> </w:t>
            </w:r>
          </w:p>
        </w:tc>
        <w:tc>
          <w:tcPr>
            <w:tcW w:w="1196" w:type="dxa"/>
            <w:tcBorders>
              <w:top w:val="nil"/>
              <w:left w:val="single" w:sz="8" w:space="0" w:color="auto"/>
              <w:bottom w:val="nil"/>
              <w:right w:val="single" w:sz="8" w:space="0" w:color="auto"/>
            </w:tcBorders>
            <w:shd w:val="clear" w:color="000000" w:fill="FFFFFF"/>
            <w:vAlign w:val="center"/>
            <w:hideMark/>
          </w:tcPr>
          <w:p w14:paraId="3893BBA9" w14:textId="77777777" w:rsidR="00AF181F" w:rsidRDefault="00AF181F">
            <w:pPr>
              <w:rPr>
                <w:rFonts w:ascii="Arial" w:hAnsi="Arial" w:cs="Arial"/>
                <w:b/>
                <w:bCs/>
                <w:color w:val="000000"/>
              </w:rPr>
            </w:pPr>
            <w:r>
              <w:rPr>
                <w:rFonts w:ascii="Arial" w:hAnsi="Arial" w:cs="Arial"/>
                <w:b/>
                <w:bCs/>
                <w:color w:val="000000"/>
              </w:rPr>
              <w:t> </w:t>
            </w:r>
          </w:p>
        </w:tc>
        <w:tc>
          <w:tcPr>
            <w:tcW w:w="1346" w:type="dxa"/>
            <w:tcBorders>
              <w:top w:val="nil"/>
              <w:left w:val="nil"/>
              <w:bottom w:val="nil"/>
              <w:right w:val="single" w:sz="8" w:space="0" w:color="auto"/>
            </w:tcBorders>
            <w:shd w:val="clear" w:color="000000" w:fill="FFFFFF"/>
            <w:vAlign w:val="center"/>
            <w:hideMark/>
          </w:tcPr>
          <w:p w14:paraId="1693059C" w14:textId="77777777" w:rsidR="00AF181F" w:rsidRDefault="00AF181F">
            <w:pPr>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214AE287" w14:textId="77777777" w:rsidR="00AF181F" w:rsidRDefault="00AF181F">
            <w:pPr>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50E11901" w14:textId="77777777" w:rsidR="00AF181F" w:rsidRDefault="00AF181F">
            <w:pPr>
              <w:jc w:val="right"/>
              <w:rPr>
                <w:rFonts w:ascii="Arial" w:hAnsi="Arial" w:cs="Arial"/>
                <w:b/>
                <w:bCs/>
                <w:color w:val="000000"/>
              </w:rPr>
            </w:pPr>
            <w:r>
              <w:rPr>
                <w:rFonts w:ascii="Arial" w:hAnsi="Arial" w:cs="Arial"/>
                <w:b/>
                <w:bCs/>
                <w:color w:val="000000"/>
              </w:rPr>
              <w:t> </w:t>
            </w:r>
          </w:p>
        </w:tc>
        <w:tc>
          <w:tcPr>
            <w:tcW w:w="249" w:type="dxa"/>
            <w:vAlign w:val="center"/>
            <w:hideMark/>
          </w:tcPr>
          <w:p w14:paraId="66890B89" w14:textId="77777777" w:rsidR="00AF181F" w:rsidRDefault="00AF181F">
            <w:pPr>
              <w:rPr>
                <w:sz w:val="20"/>
                <w:szCs w:val="20"/>
              </w:rPr>
            </w:pPr>
          </w:p>
        </w:tc>
      </w:tr>
      <w:tr w:rsidR="00AF181F" w14:paraId="78692E48"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506E3ACE" w14:textId="60219A73" w:rsidR="00AF181F" w:rsidRDefault="00AF181F">
            <w:pPr>
              <w:rPr>
                <w:rFonts w:ascii="Arial" w:hAnsi="Arial" w:cs="Arial"/>
                <w:b/>
                <w:bCs/>
                <w:color w:val="000000"/>
              </w:rPr>
            </w:pPr>
            <w:r>
              <w:rPr>
                <w:rFonts w:ascii="Arial" w:hAnsi="Arial" w:cs="Arial"/>
                <w:b/>
                <w:bCs/>
                <w:color w:val="000000"/>
              </w:rPr>
              <w:t xml:space="preserve">Greater Manchester Transport Fund </w:t>
            </w:r>
          </w:p>
        </w:tc>
        <w:tc>
          <w:tcPr>
            <w:tcW w:w="1196" w:type="dxa"/>
            <w:tcBorders>
              <w:top w:val="nil"/>
              <w:left w:val="single" w:sz="8" w:space="0" w:color="auto"/>
              <w:bottom w:val="nil"/>
              <w:right w:val="single" w:sz="8" w:space="0" w:color="auto"/>
            </w:tcBorders>
            <w:shd w:val="clear" w:color="000000" w:fill="FFFFFF"/>
            <w:vAlign w:val="center"/>
            <w:hideMark/>
          </w:tcPr>
          <w:p w14:paraId="2FD2DB76" w14:textId="77777777" w:rsidR="00AF181F" w:rsidRDefault="00AF181F">
            <w:pPr>
              <w:rPr>
                <w:rFonts w:ascii="Arial" w:hAnsi="Arial" w:cs="Arial"/>
                <w:b/>
                <w:bCs/>
                <w:color w:val="000000"/>
              </w:rPr>
            </w:pPr>
            <w:r>
              <w:rPr>
                <w:rFonts w:ascii="Arial" w:hAnsi="Arial" w:cs="Arial"/>
                <w:b/>
                <w:bCs/>
                <w:color w:val="000000"/>
              </w:rPr>
              <w:t> </w:t>
            </w:r>
          </w:p>
        </w:tc>
        <w:tc>
          <w:tcPr>
            <w:tcW w:w="1346" w:type="dxa"/>
            <w:tcBorders>
              <w:top w:val="nil"/>
              <w:left w:val="nil"/>
              <w:bottom w:val="nil"/>
              <w:right w:val="single" w:sz="8" w:space="0" w:color="auto"/>
            </w:tcBorders>
            <w:shd w:val="clear" w:color="000000" w:fill="FFFFFF"/>
            <w:vAlign w:val="center"/>
            <w:hideMark/>
          </w:tcPr>
          <w:p w14:paraId="473A038D" w14:textId="77777777" w:rsidR="00AF181F" w:rsidRDefault="00AF181F">
            <w:pPr>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17A70F38" w14:textId="77777777" w:rsidR="00AF181F" w:rsidRDefault="00AF181F">
            <w:pPr>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7EFF8665" w14:textId="77777777" w:rsidR="00AF181F" w:rsidRDefault="00AF181F">
            <w:pPr>
              <w:jc w:val="right"/>
              <w:rPr>
                <w:rFonts w:ascii="Arial" w:hAnsi="Arial" w:cs="Arial"/>
                <w:b/>
                <w:bCs/>
                <w:color w:val="000000"/>
              </w:rPr>
            </w:pPr>
            <w:r>
              <w:rPr>
                <w:rFonts w:ascii="Arial" w:hAnsi="Arial" w:cs="Arial"/>
                <w:b/>
                <w:bCs/>
                <w:color w:val="000000"/>
              </w:rPr>
              <w:t> </w:t>
            </w:r>
          </w:p>
        </w:tc>
        <w:tc>
          <w:tcPr>
            <w:tcW w:w="249" w:type="dxa"/>
            <w:vAlign w:val="center"/>
            <w:hideMark/>
          </w:tcPr>
          <w:p w14:paraId="2BD3D398" w14:textId="77777777" w:rsidR="00AF181F" w:rsidRDefault="00AF181F">
            <w:pPr>
              <w:rPr>
                <w:sz w:val="20"/>
                <w:szCs w:val="20"/>
              </w:rPr>
            </w:pPr>
          </w:p>
        </w:tc>
      </w:tr>
      <w:tr w:rsidR="00AF181F" w14:paraId="63F90779"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7621659B" w14:textId="77777777" w:rsidR="00AF181F" w:rsidRDefault="00AF181F">
            <w:pPr>
              <w:rPr>
                <w:rFonts w:ascii="Arial" w:hAnsi="Arial" w:cs="Arial"/>
                <w:color w:val="000000"/>
              </w:rPr>
            </w:pPr>
            <w:r>
              <w:rPr>
                <w:rFonts w:ascii="Arial" w:hAnsi="Arial" w:cs="Arial"/>
                <w:color w:val="000000"/>
              </w:rPr>
              <w:t>Metrolink Programme</w:t>
            </w:r>
          </w:p>
        </w:tc>
        <w:tc>
          <w:tcPr>
            <w:tcW w:w="1196" w:type="dxa"/>
            <w:tcBorders>
              <w:top w:val="nil"/>
              <w:left w:val="single" w:sz="8" w:space="0" w:color="auto"/>
              <w:bottom w:val="nil"/>
              <w:right w:val="single" w:sz="8" w:space="0" w:color="auto"/>
            </w:tcBorders>
            <w:shd w:val="clear" w:color="000000" w:fill="FFFFFF"/>
            <w:noWrap/>
            <w:hideMark/>
          </w:tcPr>
          <w:p w14:paraId="7A43E969" w14:textId="77777777" w:rsidR="00AF181F" w:rsidRDefault="00AF181F">
            <w:pPr>
              <w:jc w:val="right"/>
              <w:rPr>
                <w:rFonts w:ascii="Arial" w:hAnsi="Arial" w:cs="Arial"/>
              </w:rPr>
            </w:pPr>
            <w:r>
              <w:rPr>
                <w:rFonts w:ascii="Arial" w:hAnsi="Arial" w:cs="Arial"/>
              </w:rPr>
              <w:t xml:space="preserve">5,770 </w:t>
            </w:r>
          </w:p>
        </w:tc>
        <w:tc>
          <w:tcPr>
            <w:tcW w:w="1346" w:type="dxa"/>
            <w:tcBorders>
              <w:top w:val="nil"/>
              <w:left w:val="nil"/>
              <w:bottom w:val="nil"/>
              <w:right w:val="single" w:sz="8" w:space="0" w:color="auto"/>
            </w:tcBorders>
            <w:shd w:val="clear" w:color="000000" w:fill="FFFFFF"/>
            <w:noWrap/>
            <w:hideMark/>
          </w:tcPr>
          <w:p w14:paraId="1A5E55F6" w14:textId="77777777" w:rsidR="00AF181F" w:rsidRDefault="00AF181F">
            <w:pPr>
              <w:jc w:val="right"/>
              <w:rPr>
                <w:rFonts w:ascii="Arial" w:hAnsi="Arial" w:cs="Arial"/>
              </w:rPr>
            </w:pPr>
            <w:r>
              <w:rPr>
                <w:rFonts w:ascii="Arial" w:hAnsi="Arial" w:cs="Arial"/>
              </w:rPr>
              <w:t xml:space="preserve">7,020 </w:t>
            </w:r>
          </w:p>
        </w:tc>
        <w:tc>
          <w:tcPr>
            <w:tcW w:w="1196" w:type="dxa"/>
            <w:tcBorders>
              <w:top w:val="nil"/>
              <w:left w:val="nil"/>
              <w:bottom w:val="nil"/>
              <w:right w:val="single" w:sz="8" w:space="0" w:color="auto"/>
            </w:tcBorders>
            <w:shd w:val="clear" w:color="000000" w:fill="FFFFFF"/>
            <w:noWrap/>
            <w:hideMark/>
          </w:tcPr>
          <w:p w14:paraId="301478BD" w14:textId="77777777" w:rsidR="00AF181F" w:rsidRDefault="00AF181F">
            <w:pPr>
              <w:jc w:val="right"/>
              <w:rPr>
                <w:rFonts w:ascii="Arial" w:hAnsi="Arial" w:cs="Arial"/>
              </w:rPr>
            </w:pPr>
            <w:r>
              <w:rPr>
                <w:rFonts w:ascii="Arial" w:hAnsi="Arial" w:cs="Arial"/>
              </w:rPr>
              <w:t xml:space="preserve">5,877 </w:t>
            </w:r>
          </w:p>
        </w:tc>
        <w:tc>
          <w:tcPr>
            <w:tcW w:w="1497" w:type="dxa"/>
            <w:tcBorders>
              <w:top w:val="nil"/>
              <w:left w:val="nil"/>
              <w:bottom w:val="nil"/>
              <w:right w:val="single" w:sz="8" w:space="0" w:color="auto"/>
            </w:tcBorders>
            <w:shd w:val="clear" w:color="000000" w:fill="FFFFFF"/>
            <w:noWrap/>
            <w:hideMark/>
          </w:tcPr>
          <w:p w14:paraId="1C68B13F" w14:textId="77777777" w:rsidR="00AF181F" w:rsidRDefault="00AF181F">
            <w:pPr>
              <w:jc w:val="right"/>
              <w:rPr>
                <w:rFonts w:ascii="Arial" w:hAnsi="Arial" w:cs="Arial"/>
              </w:rPr>
            </w:pPr>
            <w:r>
              <w:rPr>
                <w:rFonts w:ascii="Arial" w:hAnsi="Arial" w:cs="Arial"/>
              </w:rPr>
              <w:t>(1,143)</w:t>
            </w:r>
          </w:p>
        </w:tc>
        <w:tc>
          <w:tcPr>
            <w:tcW w:w="249" w:type="dxa"/>
            <w:vAlign w:val="center"/>
            <w:hideMark/>
          </w:tcPr>
          <w:p w14:paraId="77647568" w14:textId="77777777" w:rsidR="00AF181F" w:rsidRDefault="00AF181F">
            <w:pPr>
              <w:rPr>
                <w:sz w:val="20"/>
                <w:szCs w:val="20"/>
              </w:rPr>
            </w:pPr>
          </w:p>
        </w:tc>
      </w:tr>
      <w:tr w:rsidR="00AF181F" w14:paraId="13CA0100"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63A08DFD" w14:textId="77777777" w:rsidR="00AF181F" w:rsidRDefault="00AF181F">
            <w:pPr>
              <w:rPr>
                <w:rFonts w:ascii="Arial" w:hAnsi="Arial" w:cs="Arial"/>
                <w:color w:val="000000"/>
              </w:rPr>
            </w:pPr>
            <w:r>
              <w:rPr>
                <w:rFonts w:ascii="Arial" w:hAnsi="Arial" w:cs="Arial"/>
                <w:color w:val="000000"/>
              </w:rPr>
              <w:t>Metrolink Renewals and Enhancements</w:t>
            </w:r>
          </w:p>
        </w:tc>
        <w:tc>
          <w:tcPr>
            <w:tcW w:w="1196" w:type="dxa"/>
            <w:tcBorders>
              <w:top w:val="nil"/>
              <w:left w:val="single" w:sz="8" w:space="0" w:color="auto"/>
              <w:bottom w:val="nil"/>
              <w:right w:val="single" w:sz="8" w:space="0" w:color="auto"/>
            </w:tcBorders>
            <w:shd w:val="clear" w:color="000000" w:fill="FFFFFF"/>
            <w:noWrap/>
            <w:hideMark/>
          </w:tcPr>
          <w:p w14:paraId="2174055E" w14:textId="77777777" w:rsidR="00AF181F" w:rsidRDefault="00AF181F">
            <w:pPr>
              <w:jc w:val="right"/>
              <w:rPr>
                <w:rFonts w:ascii="Arial" w:hAnsi="Arial" w:cs="Arial"/>
              </w:rPr>
            </w:pPr>
            <w:r>
              <w:rPr>
                <w:rFonts w:ascii="Arial" w:hAnsi="Arial" w:cs="Arial"/>
              </w:rPr>
              <w:t xml:space="preserve">8,394 </w:t>
            </w:r>
          </w:p>
        </w:tc>
        <w:tc>
          <w:tcPr>
            <w:tcW w:w="1346" w:type="dxa"/>
            <w:tcBorders>
              <w:top w:val="nil"/>
              <w:left w:val="nil"/>
              <w:bottom w:val="nil"/>
              <w:right w:val="single" w:sz="8" w:space="0" w:color="auto"/>
            </w:tcBorders>
            <w:shd w:val="clear" w:color="000000" w:fill="FFFFFF"/>
            <w:noWrap/>
            <w:hideMark/>
          </w:tcPr>
          <w:p w14:paraId="7AFEB48C" w14:textId="77777777" w:rsidR="00AF181F" w:rsidRDefault="00AF181F">
            <w:pPr>
              <w:jc w:val="right"/>
              <w:rPr>
                <w:rFonts w:ascii="Arial" w:hAnsi="Arial" w:cs="Arial"/>
              </w:rPr>
            </w:pPr>
            <w:r>
              <w:rPr>
                <w:rFonts w:ascii="Arial" w:hAnsi="Arial" w:cs="Arial"/>
              </w:rPr>
              <w:t xml:space="preserve">9,257 </w:t>
            </w:r>
          </w:p>
        </w:tc>
        <w:tc>
          <w:tcPr>
            <w:tcW w:w="1196" w:type="dxa"/>
            <w:tcBorders>
              <w:top w:val="nil"/>
              <w:left w:val="nil"/>
              <w:bottom w:val="nil"/>
              <w:right w:val="single" w:sz="8" w:space="0" w:color="auto"/>
            </w:tcBorders>
            <w:shd w:val="clear" w:color="000000" w:fill="FFFFFF"/>
            <w:noWrap/>
            <w:hideMark/>
          </w:tcPr>
          <w:p w14:paraId="1861510E" w14:textId="77777777" w:rsidR="00AF181F" w:rsidRDefault="00AF181F">
            <w:pPr>
              <w:jc w:val="right"/>
              <w:rPr>
                <w:rFonts w:ascii="Arial" w:hAnsi="Arial" w:cs="Arial"/>
              </w:rPr>
            </w:pPr>
            <w:r>
              <w:rPr>
                <w:rFonts w:ascii="Arial" w:hAnsi="Arial" w:cs="Arial"/>
              </w:rPr>
              <w:t xml:space="preserve">10,938 </w:t>
            </w:r>
          </w:p>
        </w:tc>
        <w:tc>
          <w:tcPr>
            <w:tcW w:w="1497" w:type="dxa"/>
            <w:tcBorders>
              <w:top w:val="nil"/>
              <w:left w:val="nil"/>
              <w:bottom w:val="nil"/>
              <w:right w:val="single" w:sz="8" w:space="0" w:color="auto"/>
            </w:tcBorders>
            <w:shd w:val="clear" w:color="000000" w:fill="FFFFFF"/>
            <w:noWrap/>
            <w:hideMark/>
          </w:tcPr>
          <w:p w14:paraId="686F32AB" w14:textId="77777777" w:rsidR="00AF181F" w:rsidRDefault="00AF181F">
            <w:pPr>
              <w:jc w:val="right"/>
              <w:rPr>
                <w:rFonts w:ascii="Arial" w:hAnsi="Arial" w:cs="Arial"/>
              </w:rPr>
            </w:pPr>
            <w:r>
              <w:rPr>
                <w:rFonts w:ascii="Arial" w:hAnsi="Arial" w:cs="Arial"/>
              </w:rPr>
              <w:t xml:space="preserve">1,681 </w:t>
            </w:r>
          </w:p>
        </w:tc>
        <w:tc>
          <w:tcPr>
            <w:tcW w:w="249" w:type="dxa"/>
            <w:vAlign w:val="center"/>
            <w:hideMark/>
          </w:tcPr>
          <w:p w14:paraId="0CF7A6E3" w14:textId="77777777" w:rsidR="00AF181F" w:rsidRDefault="00AF181F">
            <w:pPr>
              <w:rPr>
                <w:sz w:val="20"/>
                <w:szCs w:val="20"/>
              </w:rPr>
            </w:pPr>
          </w:p>
        </w:tc>
      </w:tr>
      <w:tr w:rsidR="00AF181F" w14:paraId="08CD7441"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79508C2" w14:textId="77777777" w:rsidR="00AF181F" w:rsidRDefault="00AF181F">
            <w:pPr>
              <w:rPr>
                <w:rFonts w:ascii="Arial" w:hAnsi="Arial" w:cs="Arial"/>
                <w:color w:val="000000"/>
              </w:rPr>
            </w:pPr>
            <w:r>
              <w:rPr>
                <w:rFonts w:ascii="Arial" w:hAnsi="Arial" w:cs="Arial"/>
                <w:color w:val="000000"/>
              </w:rPr>
              <w:t>Park and Ride</w:t>
            </w:r>
          </w:p>
        </w:tc>
        <w:tc>
          <w:tcPr>
            <w:tcW w:w="1196" w:type="dxa"/>
            <w:tcBorders>
              <w:top w:val="nil"/>
              <w:left w:val="single" w:sz="8" w:space="0" w:color="auto"/>
              <w:bottom w:val="nil"/>
              <w:right w:val="single" w:sz="8" w:space="0" w:color="auto"/>
            </w:tcBorders>
            <w:shd w:val="clear" w:color="000000" w:fill="FFFFFF"/>
            <w:noWrap/>
            <w:hideMark/>
          </w:tcPr>
          <w:p w14:paraId="3B7DD750" w14:textId="77777777" w:rsidR="00AF181F" w:rsidRDefault="00AF181F">
            <w:pPr>
              <w:jc w:val="right"/>
              <w:rPr>
                <w:rFonts w:ascii="Arial" w:hAnsi="Arial" w:cs="Arial"/>
              </w:rPr>
            </w:pPr>
            <w:r>
              <w:rPr>
                <w:rFonts w:ascii="Arial" w:hAnsi="Arial" w:cs="Arial"/>
              </w:rPr>
              <w:t xml:space="preserve">0 </w:t>
            </w:r>
          </w:p>
        </w:tc>
        <w:tc>
          <w:tcPr>
            <w:tcW w:w="1346" w:type="dxa"/>
            <w:tcBorders>
              <w:top w:val="nil"/>
              <w:left w:val="nil"/>
              <w:bottom w:val="nil"/>
              <w:right w:val="single" w:sz="8" w:space="0" w:color="auto"/>
            </w:tcBorders>
            <w:shd w:val="clear" w:color="000000" w:fill="FFFFFF"/>
            <w:noWrap/>
            <w:hideMark/>
          </w:tcPr>
          <w:p w14:paraId="65B9F3EC" w14:textId="77777777" w:rsidR="00AF181F" w:rsidRDefault="00AF181F">
            <w:pPr>
              <w:jc w:val="right"/>
              <w:rPr>
                <w:rFonts w:ascii="Arial" w:hAnsi="Arial" w:cs="Arial"/>
              </w:rPr>
            </w:pPr>
            <w:r>
              <w:rPr>
                <w:rFonts w:ascii="Arial" w:hAnsi="Arial" w:cs="Arial"/>
              </w:rPr>
              <w:t xml:space="preserve">97 </w:t>
            </w:r>
          </w:p>
        </w:tc>
        <w:tc>
          <w:tcPr>
            <w:tcW w:w="1196" w:type="dxa"/>
            <w:tcBorders>
              <w:top w:val="nil"/>
              <w:left w:val="nil"/>
              <w:bottom w:val="nil"/>
              <w:right w:val="single" w:sz="8" w:space="0" w:color="auto"/>
            </w:tcBorders>
            <w:shd w:val="clear" w:color="000000" w:fill="FFFFFF"/>
            <w:noWrap/>
            <w:hideMark/>
          </w:tcPr>
          <w:p w14:paraId="29CF991A" w14:textId="77777777" w:rsidR="00AF181F" w:rsidRDefault="00AF181F">
            <w:pPr>
              <w:jc w:val="right"/>
              <w:rPr>
                <w:rFonts w:ascii="Arial" w:hAnsi="Arial" w:cs="Arial"/>
              </w:rPr>
            </w:pPr>
            <w:r>
              <w:rPr>
                <w:rFonts w:ascii="Arial" w:hAnsi="Arial" w:cs="Arial"/>
              </w:rPr>
              <w:t xml:space="preserve">21 </w:t>
            </w:r>
          </w:p>
        </w:tc>
        <w:tc>
          <w:tcPr>
            <w:tcW w:w="1497" w:type="dxa"/>
            <w:tcBorders>
              <w:top w:val="nil"/>
              <w:left w:val="nil"/>
              <w:bottom w:val="nil"/>
              <w:right w:val="single" w:sz="8" w:space="0" w:color="auto"/>
            </w:tcBorders>
            <w:shd w:val="clear" w:color="000000" w:fill="FFFFFF"/>
            <w:noWrap/>
            <w:hideMark/>
          </w:tcPr>
          <w:p w14:paraId="1C31314C" w14:textId="77777777" w:rsidR="00AF181F" w:rsidRDefault="00AF181F">
            <w:pPr>
              <w:jc w:val="right"/>
              <w:rPr>
                <w:rFonts w:ascii="Arial" w:hAnsi="Arial" w:cs="Arial"/>
              </w:rPr>
            </w:pPr>
            <w:r>
              <w:rPr>
                <w:rFonts w:ascii="Arial" w:hAnsi="Arial" w:cs="Arial"/>
              </w:rPr>
              <w:t>(76)</w:t>
            </w:r>
          </w:p>
        </w:tc>
        <w:tc>
          <w:tcPr>
            <w:tcW w:w="249" w:type="dxa"/>
            <w:vAlign w:val="center"/>
            <w:hideMark/>
          </w:tcPr>
          <w:p w14:paraId="263CE297" w14:textId="77777777" w:rsidR="00AF181F" w:rsidRDefault="00AF181F">
            <w:pPr>
              <w:rPr>
                <w:sz w:val="20"/>
                <w:szCs w:val="20"/>
              </w:rPr>
            </w:pPr>
          </w:p>
        </w:tc>
      </w:tr>
      <w:tr w:rsidR="00AF181F" w14:paraId="5AC26C44"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CF19A55" w14:textId="77777777" w:rsidR="00AF181F" w:rsidRDefault="00AF181F">
            <w:pPr>
              <w:rPr>
                <w:rFonts w:ascii="Arial" w:hAnsi="Arial" w:cs="Arial"/>
                <w:color w:val="000000"/>
              </w:rPr>
            </w:pPr>
            <w:r>
              <w:rPr>
                <w:rFonts w:ascii="Arial" w:hAnsi="Arial" w:cs="Arial"/>
                <w:color w:val="000000"/>
              </w:rPr>
              <w:t>Bus Priority Programme</w:t>
            </w:r>
          </w:p>
        </w:tc>
        <w:tc>
          <w:tcPr>
            <w:tcW w:w="1196" w:type="dxa"/>
            <w:tcBorders>
              <w:top w:val="nil"/>
              <w:left w:val="single" w:sz="8" w:space="0" w:color="auto"/>
              <w:bottom w:val="nil"/>
              <w:right w:val="single" w:sz="8" w:space="0" w:color="auto"/>
            </w:tcBorders>
            <w:shd w:val="clear" w:color="000000" w:fill="FFFFFF"/>
            <w:noWrap/>
            <w:hideMark/>
          </w:tcPr>
          <w:p w14:paraId="6BBA9BF9" w14:textId="77777777" w:rsidR="00AF181F" w:rsidRDefault="00AF181F">
            <w:pPr>
              <w:jc w:val="right"/>
              <w:rPr>
                <w:rFonts w:ascii="Arial" w:hAnsi="Arial" w:cs="Arial"/>
              </w:rPr>
            </w:pPr>
            <w:r>
              <w:rPr>
                <w:rFonts w:ascii="Arial" w:hAnsi="Arial" w:cs="Arial"/>
              </w:rPr>
              <w:t xml:space="preserve">77 </w:t>
            </w:r>
          </w:p>
        </w:tc>
        <w:tc>
          <w:tcPr>
            <w:tcW w:w="1346" w:type="dxa"/>
            <w:tcBorders>
              <w:top w:val="nil"/>
              <w:left w:val="nil"/>
              <w:bottom w:val="nil"/>
              <w:right w:val="single" w:sz="8" w:space="0" w:color="auto"/>
            </w:tcBorders>
            <w:shd w:val="clear" w:color="000000" w:fill="FFFFFF"/>
            <w:noWrap/>
            <w:hideMark/>
          </w:tcPr>
          <w:p w14:paraId="70FE8B47" w14:textId="77777777" w:rsidR="00AF181F" w:rsidRDefault="00AF181F">
            <w:pPr>
              <w:jc w:val="right"/>
              <w:rPr>
                <w:rFonts w:ascii="Arial" w:hAnsi="Arial" w:cs="Arial"/>
              </w:rPr>
            </w:pPr>
            <w:r>
              <w:rPr>
                <w:rFonts w:ascii="Arial" w:hAnsi="Arial" w:cs="Arial"/>
              </w:rPr>
              <w:t xml:space="preserve">198 </w:t>
            </w:r>
          </w:p>
        </w:tc>
        <w:tc>
          <w:tcPr>
            <w:tcW w:w="1196" w:type="dxa"/>
            <w:tcBorders>
              <w:top w:val="nil"/>
              <w:left w:val="nil"/>
              <w:bottom w:val="nil"/>
              <w:right w:val="single" w:sz="8" w:space="0" w:color="auto"/>
            </w:tcBorders>
            <w:shd w:val="clear" w:color="000000" w:fill="FFFFFF"/>
            <w:noWrap/>
            <w:hideMark/>
          </w:tcPr>
          <w:p w14:paraId="70320B51" w14:textId="77777777" w:rsidR="00AF181F" w:rsidRDefault="00AF181F">
            <w:pPr>
              <w:jc w:val="right"/>
              <w:rPr>
                <w:rFonts w:ascii="Arial" w:hAnsi="Arial" w:cs="Arial"/>
              </w:rPr>
            </w:pPr>
            <w:r>
              <w:rPr>
                <w:rFonts w:ascii="Arial" w:hAnsi="Arial" w:cs="Arial"/>
              </w:rPr>
              <w:t xml:space="preserve">190 </w:t>
            </w:r>
          </w:p>
        </w:tc>
        <w:tc>
          <w:tcPr>
            <w:tcW w:w="1497" w:type="dxa"/>
            <w:tcBorders>
              <w:top w:val="nil"/>
              <w:left w:val="nil"/>
              <w:bottom w:val="nil"/>
              <w:right w:val="single" w:sz="8" w:space="0" w:color="auto"/>
            </w:tcBorders>
            <w:shd w:val="clear" w:color="000000" w:fill="FFFFFF"/>
            <w:noWrap/>
            <w:hideMark/>
          </w:tcPr>
          <w:p w14:paraId="4AE90B40" w14:textId="77777777" w:rsidR="00AF181F" w:rsidRDefault="00AF181F">
            <w:pPr>
              <w:jc w:val="right"/>
              <w:rPr>
                <w:rFonts w:ascii="Arial" w:hAnsi="Arial" w:cs="Arial"/>
              </w:rPr>
            </w:pPr>
            <w:r>
              <w:rPr>
                <w:rFonts w:ascii="Arial" w:hAnsi="Arial" w:cs="Arial"/>
              </w:rPr>
              <w:t>(8)</w:t>
            </w:r>
          </w:p>
        </w:tc>
        <w:tc>
          <w:tcPr>
            <w:tcW w:w="249" w:type="dxa"/>
            <w:vAlign w:val="center"/>
            <w:hideMark/>
          </w:tcPr>
          <w:p w14:paraId="69617495" w14:textId="77777777" w:rsidR="00AF181F" w:rsidRDefault="00AF181F">
            <w:pPr>
              <w:rPr>
                <w:sz w:val="20"/>
                <w:szCs w:val="20"/>
              </w:rPr>
            </w:pPr>
          </w:p>
        </w:tc>
      </w:tr>
      <w:tr w:rsidR="00AF181F" w14:paraId="61AD66A1"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6FC05B5F" w14:textId="77777777" w:rsidR="00AF181F" w:rsidRDefault="00AF181F">
            <w:pPr>
              <w:rPr>
                <w:rFonts w:ascii="Arial" w:hAnsi="Arial" w:cs="Arial"/>
                <w:color w:val="000000"/>
              </w:rPr>
            </w:pPr>
            <w:r>
              <w:rPr>
                <w:rFonts w:ascii="Arial" w:hAnsi="Arial" w:cs="Arial"/>
                <w:color w:val="000000"/>
              </w:rPr>
              <w:t>Interchange Programme</w:t>
            </w:r>
          </w:p>
        </w:tc>
        <w:tc>
          <w:tcPr>
            <w:tcW w:w="1196" w:type="dxa"/>
            <w:tcBorders>
              <w:top w:val="nil"/>
              <w:left w:val="single" w:sz="8" w:space="0" w:color="auto"/>
              <w:bottom w:val="nil"/>
              <w:right w:val="single" w:sz="8" w:space="0" w:color="auto"/>
            </w:tcBorders>
            <w:shd w:val="clear" w:color="000000" w:fill="FFFFFF"/>
            <w:noWrap/>
            <w:hideMark/>
          </w:tcPr>
          <w:p w14:paraId="417E3037" w14:textId="77777777" w:rsidR="00AF181F" w:rsidRDefault="00AF181F">
            <w:pPr>
              <w:jc w:val="right"/>
              <w:rPr>
                <w:rFonts w:ascii="Arial" w:hAnsi="Arial" w:cs="Arial"/>
              </w:rPr>
            </w:pPr>
            <w:r>
              <w:rPr>
                <w:rFonts w:ascii="Arial" w:hAnsi="Arial" w:cs="Arial"/>
              </w:rPr>
              <w:t xml:space="preserve">51 </w:t>
            </w:r>
          </w:p>
        </w:tc>
        <w:tc>
          <w:tcPr>
            <w:tcW w:w="1346" w:type="dxa"/>
            <w:tcBorders>
              <w:top w:val="nil"/>
              <w:left w:val="nil"/>
              <w:bottom w:val="nil"/>
              <w:right w:val="single" w:sz="8" w:space="0" w:color="auto"/>
            </w:tcBorders>
            <w:shd w:val="clear" w:color="000000" w:fill="FFFFFF"/>
            <w:noWrap/>
            <w:hideMark/>
          </w:tcPr>
          <w:p w14:paraId="210C8C9E" w14:textId="77777777" w:rsidR="00AF181F" w:rsidRDefault="00AF181F">
            <w:pPr>
              <w:jc w:val="right"/>
              <w:rPr>
                <w:rFonts w:ascii="Arial" w:hAnsi="Arial" w:cs="Arial"/>
              </w:rPr>
            </w:pPr>
            <w:r>
              <w:rPr>
                <w:rFonts w:ascii="Arial" w:hAnsi="Arial" w:cs="Arial"/>
              </w:rPr>
              <w:t xml:space="preserve">62 </w:t>
            </w:r>
          </w:p>
        </w:tc>
        <w:tc>
          <w:tcPr>
            <w:tcW w:w="1196" w:type="dxa"/>
            <w:tcBorders>
              <w:top w:val="nil"/>
              <w:left w:val="nil"/>
              <w:bottom w:val="nil"/>
              <w:right w:val="single" w:sz="8" w:space="0" w:color="auto"/>
            </w:tcBorders>
            <w:shd w:val="clear" w:color="000000" w:fill="FFFFFF"/>
            <w:noWrap/>
            <w:hideMark/>
          </w:tcPr>
          <w:p w14:paraId="797B4CAE" w14:textId="77777777" w:rsidR="00AF181F" w:rsidRDefault="00AF181F">
            <w:pPr>
              <w:jc w:val="right"/>
              <w:rPr>
                <w:rFonts w:ascii="Arial" w:hAnsi="Arial" w:cs="Arial"/>
              </w:rPr>
            </w:pPr>
            <w:r>
              <w:rPr>
                <w:rFonts w:ascii="Arial" w:hAnsi="Arial" w:cs="Arial"/>
              </w:rPr>
              <w:t>(136)</w:t>
            </w:r>
          </w:p>
        </w:tc>
        <w:tc>
          <w:tcPr>
            <w:tcW w:w="1497" w:type="dxa"/>
            <w:tcBorders>
              <w:top w:val="nil"/>
              <w:left w:val="nil"/>
              <w:bottom w:val="nil"/>
              <w:right w:val="single" w:sz="8" w:space="0" w:color="auto"/>
            </w:tcBorders>
            <w:shd w:val="clear" w:color="000000" w:fill="FFFFFF"/>
            <w:noWrap/>
            <w:hideMark/>
          </w:tcPr>
          <w:p w14:paraId="0A39B3C3" w14:textId="77777777" w:rsidR="00AF181F" w:rsidRDefault="00AF181F">
            <w:pPr>
              <w:jc w:val="right"/>
              <w:rPr>
                <w:rFonts w:ascii="Arial" w:hAnsi="Arial" w:cs="Arial"/>
              </w:rPr>
            </w:pPr>
            <w:r>
              <w:rPr>
                <w:rFonts w:ascii="Arial" w:hAnsi="Arial" w:cs="Arial"/>
              </w:rPr>
              <w:t>(198)</w:t>
            </w:r>
          </w:p>
        </w:tc>
        <w:tc>
          <w:tcPr>
            <w:tcW w:w="249" w:type="dxa"/>
            <w:vAlign w:val="center"/>
            <w:hideMark/>
          </w:tcPr>
          <w:p w14:paraId="62B1FFC0" w14:textId="77777777" w:rsidR="00AF181F" w:rsidRDefault="00AF181F">
            <w:pPr>
              <w:rPr>
                <w:sz w:val="20"/>
                <w:szCs w:val="20"/>
              </w:rPr>
            </w:pPr>
          </w:p>
        </w:tc>
      </w:tr>
      <w:tr w:rsidR="00AF181F" w14:paraId="57A724CE" w14:textId="77777777" w:rsidTr="00030B86">
        <w:trPr>
          <w:trHeight w:val="307"/>
        </w:trPr>
        <w:tc>
          <w:tcPr>
            <w:tcW w:w="4631" w:type="dxa"/>
            <w:tcBorders>
              <w:top w:val="single" w:sz="4" w:space="0" w:color="auto"/>
              <w:left w:val="single" w:sz="8" w:space="0" w:color="auto"/>
              <w:bottom w:val="single" w:sz="4" w:space="0" w:color="auto"/>
              <w:right w:val="nil"/>
            </w:tcBorders>
            <w:shd w:val="clear" w:color="000000" w:fill="FFFFFF"/>
            <w:vAlign w:val="center"/>
            <w:hideMark/>
          </w:tcPr>
          <w:p w14:paraId="54470E52" w14:textId="77777777" w:rsidR="00AF181F" w:rsidRDefault="00AF181F">
            <w:pPr>
              <w:rPr>
                <w:rFonts w:ascii="Arial" w:hAnsi="Arial" w:cs="Arial"/>
                <w:b/>
                <w:bCs/>
                <w:color w:val="000000"/>
              </w:rPr>
            </w:pPr>
            <w:r>
              <w:rPr>
                <w:rFonts w:ascii="Arial" w:hAnsi="Arial" w:cs="Arial"/>
                <w:b/>
                <w:bCs/>
                <w:color w:val="000000"/>
              </w:rPr>
              <w:t>Greater Manchester Transport Fund</w:t>
            </w:r>
          </w:p>
        </w:tc>
        <w:tc>
          <w:tcPr>
            <w:tcW w:w="1196" w:type="dxa"/>
            <w:tcBorders>
              <w:top w:val="single" w:sz="4" w:space="0" w:color="auto"/>
              <w:left w:val="single" w:sz="8" w:space="0" w:color="auto"/>
              <w:bottom w:val="single" w:sz="4" w:space="0" w:color="auto"/>
              <w:right w:val="nil"/>
            </w:tcBorders>
            <w:shd w:val="clear" w:color="000000" w:fill="FFFFFF"/>
            <w:vAlign w:val="center"/>
            <w:hideMark/>
          </w:tcPr>
          <w:p w14:paraId="44FD45D7" w14:textId="77777777" w:rsidR="00AF181F" w:rsidRDefault="00AF181F">
            <w:pPr>
              <w:jc w:val="right"/>
              <w:rPr>
                <w:rFonts w:ascii="Arial" w:hAnsi="Arial" w:cs="Arial"/>
                <w:b/>
                <w:bCs/>
                <w:color w:val="000000"/>
              </w:rPr>
            </w:pPr>
            <w:r>
              <w:rPr>
                <w:rFonts w:ascii="Arial" w:hAnsi="Arial" w:cs="Arial"/>
                <w:b/>
                <w:bCs/>
                <w:color w:val="000000"/>
              </w:rPr>
              <w:t>14,292</w:t>
            </w:r>
          </w:p>
        </w:tc>
        <w:tc>
          <w:tcPr>
            <w:tcW w:w="1346" w:type="dxa"/>
            <w:tcBorders>
              <w:top w:val="single" w:sz="4" w:space="0" w:color="auto"/>
              <w:left w:val="single" w:sz="8" w:space="0" w:color="auto"/>
              <w:bottom w:val="single" w:sz="4" w:space="0" w:color="auto"/>
              <w:right w:val="nil"/>
            </w:tcBorders>
            <w:shd w:val="clear" w:color="000000" w:fill="FFFFFF"/>
            <w:vAlign w:val="center"/>
            <w:hideMark/>
          </w:tcPr>
          <w:p w14:paraId="436D3215" w14:textId="77777777" w:rsidR="00AF181F" w:rsidRDefault="00AF181F">
            <w:pPr>
              <w:jc w:val="right"/>
              <w:rPr>
                <w:rFonts w:ascii="Arial" w:hAnsi="Arial" w:cs="Arial"/>
                <w:b/>
                <w:bCs/>
                <w:color w:val="000000"/>
              </w:rPr>
            </w:pPr>
            <w:r>
              <w:rPr>
                <w:rFonts w:ascii="Arial" w:hAnsi="Arial" w:cs="Arial"/>
                <w:b/>
                <w:bCs/>
                <w:color w:val="000000"/>
              </w:rPr>
              <w:t>16,634</w:t>
            </w:r>
          </w:p>
        </w:tc>
        <w:tc>
          <w:tcPr>
            <w:tcW w:w="1196" w:type="dxa"/>
            <w:tcBorders>
              <w:top w:val="single" w:sz="4" w:space="0" w:color="auto"/>
              <w:left w:val="single" w:sz="8" w:space="0" w:color="auto"/>
              <w:bottom w:val="single" w:sz="4" w:space="0" w:color="auto"/>
              <w:right w:val="nil"/>
            </w:tcBorders>
            <w:shd w:val="clear" w:color="000000" w:fill="FFFFFF"/>
            <w:vAlign w:val="center"/>
            <w:hideMark/>
          </w:tcPr>
          <w:p w14:paraId="4F271576" w14:textId="77777777" w:rsidR="00AF181F" w:rsidRDefault="00AF181F">
            <w:pPr>
              <w:jc w:val="right"/>
              <w:rPr>
                <w:rFonts w:ascii="Arial" w:hAnsi="Arial" w:cs="Arial"/>
                <w:b/>
                <w:bCs/>
                <w:color w:val="000000"/>
              </w:rPr>
            </w:pPr>
            <w:r>
              <w:rPr>
                <w:rFonts w:ascii="Arial" w:hAnsi="Arial" w:cs="Arial"/>
                <w:b/>
                <w:bCs/>
                <w:color w:val="000000"/>
              </w:rPr>
              <w:t>16,890</w:t>
            </w:r>
          </w:p>
        </w:tc>
        <w:tc>
          <w:tcPr>
            <w:tcW w:w="1497"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296F34CC" w14:textId="77777777" w:rsidR="00AF181F" w:rsidRDefault="00AF181F">
            <w:pPr>
              <w:jc w:val="right"/>
              <w:rPr>
                <w:rFonts w:ascii="Arial" w:hAnsi="Arial" w:cs="Arial"/>
                <w:b/>
                <w:bCs/>
                <w:color w:val="000000"/>
              </w:rPr>
            </w:pPr>
            <w:r>
              <w:rPr>
                <w:rFonts w:ascii="Arial" w:hAnsi="Arial" w:cs="Arial"/>
                <w:b/>
                <w:bCs/>
                <w:color w:val="000000"/>
              </w:rPr>
              <w:t>256</w:t>
            </w:r>
          </w:p>
        </w:tc>
        <w:tc>
          <w:tcPr>
            <w:tcW w:w="249" w:type="dxa"/>
            <w:vAlign w:val="center"/>
            <w:hideMark/>
          </w:tcPr>
          <w:p w14:paraId="2A49434A" w14:textId="77777777" w:rsidR="00AF181F" w:rsidRDefault="00AF181F">
            <w:pPr>
              <w:rPr>
                <w:sz w:val="20"/>
                <w:szCs w:val="20"/>
              </w:rPr>
            </w:pPr>
          </w:p>
        </w:tc>
      </w:tr>
      <w:tr w:rsidR="00AF181F" w14:paraId="04C2606B"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23BD225" w14:textId="77777777" w:rsidR="00AF181F" w:rsidRDefault="00AF181F">
            <w:pPr>
              <w:rPr>
                <w:rFonts w:ascii="Arial" w:hAnsi="Arial" w:cs="Arial"/>
                <w:b/>
                <w:bCs/>
                <w:color w:val="000000"/>
              </w:rPr>
            </w:pPr>
            <w:r>
              <w:rPr>
                <w:rFonts w:ascii="Arial" w:hAnsi="Arial" w:cs="Arial"/>
                <w:b/>
                <w:bCs/>
                <w:color w:val="000000"/>
              </w:rPr>
              <w:t> </w:t>
            </w:r>
          </w:p>
        </w:tc>
        <w:tc>
          <w:tcPr>
            <w:tcW w:w="1196" w:type="dxa"/>
            <w:tcBorders>
              <w:top w:val="nil"/>
              <w:left w:val="single" w:sz="8" w:space="0" w:color="auto"/>
              <w:bottom w:val="nil"/>
              <w:right w:val="nil"/>
            </w:tcBorders>
            <w:shd w:val="clear" w:color="000000" w:fill="FFFFFF"/>
            <w:vAlign w:val="center"/>
            <w:hideMark/>
          </w:tcPr>
          <w:p w14:paraId="0BF9B115" w14:textId="77777777" w:rsidR="00AF181F" w:rsidRDefault="00AF181F">
            <w:pPr>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050B2BBA" w14:textId="77777777" w:rsidR="00AF181F" w:rsidRDefault="00AF181F">
            <w:pPr>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189941C9" w14:textId="77777777" w:rsidR="00AF181F" w:rsidRDefault="00AF181F">
            <w:pPr>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4A7D6CDF" w14:textId="77777777" w:rsidR="00AF181F" w:rsidRDefault="00AF181F">
            <w:pPr>
              <w:jc w:val="right"/>
              <w:rPr>
                <w:rFonts w:ascii="Arial" w:hAnsi="Arial" w:cs="Arial"/>
                <w:b/>
                <w:bCs/>
                <w:color w:val="000000"/>
              </w:rPr>
            </w:pPr>
            <w:r>
              <w:rPr>
                <w:rFonts w:ascii="Arial" w:hAnsi="Arial" w:cs="Arial"/>
                <w:b/>
                <w:bCs/>
                <w:color w:val="000000"/>
              </w:rPr>
              <w:t> </w:t>
            </w:r>
          </w:p>
        </w:tc>
        <w:tc>
          <w:tcPr>
            <w:tcW w:w="249" w:type="dxa"/>
            <w:vAlign w:val="center"/>
            <w:hideMark/>
          </w:tcPr>
          <w:p w14:paraId="48C69156" w14:textId="77777777" w:rsidR="00AF181F" w:rsidRDefault="00AF181F">
            <w:pPr>
              <w:rPr>
                <w:sz w:val="20"/>
                <w:szCs w:val="20"/>
              </w:rPr>
            </w:pPr>
          </w:p>
        </w:tc>
      </w:tr>
      <w:tr w:rsidR="00AF181F" w14:paraId="5139390C"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2FF9A9FC" w14:textId="77777777" w:rsidR="00AF181F" w:rsidRDefault="00AF181F">
            <w:pPr>
              <w:rPr>
                <w:rFonts w:ascii="Arial" w:hAnsi="Arial" w:cs="Arial"/>
                <w:b/>
                <w:bCs/>
                <w:color w:val="000000"/>
              </w:rPr>
            </w:pPr>
            <w:r>
              <w:rPr>
                <w:rFonts w:ascii="Arial" w:hAnsi="Arial" w:cs="Arial"/>
                <w:b/>
                <w:bCs/>
                <w:color w:val="000000"/>
              </w:rPr>
              <w:t>Road Schemes (Stockport)</w:t>
            </w:r>
          </w:p>
        </w:tc>
        <w:tc>
          <w:tcPr>
            <w:tcW w:w="1196" w:type="dxa"/>
            <w:tcBorders>
              <w:top w:val="nil"/>
              <w:left w:val="single" w:sz="8" w:space="0" w:color="auto"/>
              <w:bottom w:val="nil"/>
              <w:right w:val="nil"/>
            </w:tcBorders>
            <w:shd w:val="clear" w:color="000000" w:fill="FFFFFF"/>
            <w:vAlign w:val="center"/>
            <w:hideMark/>
          </w:tcPr>
          <w:p w14:paraId="17FAFC78" w14:textId="77777777" w:rsidR="00AF181F" w:rsidRDefault="00AF181F">
            <w:pPr>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12B44BDB" w14:textId="77777777" w:rsidR="00AF181F" w:rsidRDefault="00AF181F">
            <w:pPr>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29CED63E" w14:textId="77777777" w:rsidR="00AF181F" w:rsidRDefault="00AF181F">
            <w:pPr>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7EFDDF83" w14:textId="77777777" w:rsidR="00AF181F" w:rsidRDefault="00AF181F">
            <w:pPr>
              <w:jc w:val="right"/>
              <w:rPr>
                <w:rFonts w:ascii="Arial" w:hAnsi="Arial" w:cs="Arial"/>
                <w:b/>
                <w:bCs/>
                <w:color w:val="000000"/>
              </w:rPr>
            </w:pPr>
            <w:r>
              <w:rPr>
                <w:rFonts w:ascii="Arial" w:hAnsi="Arial" w:cs="Arial"/>
                <w:b/>
                <w:bCs/>
                <w:color w:val="000000"/>
              </w:rPr>
              <w:t> </w:t>
            </w:r>
          </w:p>
        </w:tc>
        <w:tc>
          <w:tcPr>
            <w:tcW w:w="249" w:type="dxa"/>
            <w:vAlign w:val="center"/>
            <w:hideMark/>
          </w:tcPr>
          <w:p w14:paraId="6C74A05E" w14:textId="77777777" w:rsidR="00AF181F" w:rsidRDefault="00AF181F">
            <w:pPr>
              <w:rPr>
                <w:sz w:val="20"/>
                <w:szCs w:val="20"/>
              </w:rPr>
            </w:pPr>
          </w:p>
        </w:tc>
      </w:tr>
      <w:tr w:rsidR="00AF181F" w14:paraId="4BB07A2D"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1B4E67CA" w14:textId="77777777" w:rsidR="00AF181F" w:rsidRDefault="00AF181F">
            <w:pPr>
              <w:rPr>
                <w:rFonts w:ascii="Arial" w:hAnsi="Arial" w:cs="Arial"/>
                <w:color w:val="000000"/>
              </w:rPr>
            </w:pPr>
            <w:r>
              <w:rPr>
                <w:rFonts w:ascii="Arial" w:hAnsi="Arial" w:cs="Arial"/>
                <w:color w:val="000000"/>
              </w:rPr>
              <w:t>A6 MARR / SEMMMS</w:t>
            </w:r>
          </w:p>
        </w:tc>
        <w:tc>
          <w:tcPr>
            <w:tcW w:w="1196" w:type="dxa"/>
            <w:tcBorders>
              <w:top w:val="nil"/>
              <w:left w:val="single" w:sz="8" w:space="0" w:color="auto"/>
              <w:bottom w:val="nil"/>
              <w:right w:val="single" w:sz="8" w:space="0" w:color="auto"/>
            </w:tcBorders>
            <w:shd w:val="clear" w:color="auto" w:fill="auto"/>
            <w:noWrap/>
            <w:hideMark/>
          </w:tcPr>
          <w:p w14:paraId="29F06F79" w14:textId="77777777" w:rsidR="00AF181F" w:rsidRDefault="00AF181F">
            <w:pPr>
              <w:jc w:val="right"/>
              <w:rPr>
                <w:rFonts w:ascii="Arial" w:hAnsi="Arial" w:cs="Arial"/>
              </w:rPr>
            </w:pPr>
            <w:r>
              <w:rPr>
                <w:rFonts w:ascii="Arial" w:hAnsi="Arial" w:cs="Arial"/>
              </w:rPr>
              <w:t xml:space="preserve">5,552 </w:t>
            </w:r>
          </w:p>
        </w:tc>
        <w:tc>
          <w:tcPr>
            <w:tcW w:w="1346" w:type="dxa"/>
            <w:tcBorders>
              <w:top w:val="nil"/>
              <w:left w:val="nil"/>
              <w:bottom w:val="nil"/>
              <w:right w:val="single" w:sz="8" w:space="0" w:color="auto"/>
            </w:tcBorders>
            <w:shd w:val="clear" w:color="auto" w:fill="auto"/>
            <w:noWrap/>
            <w:hideMark/>
          </w:tcPr>
          <w:p w14:paraId="07F14C8D" w14:textId="77777777" w:rsidR="00AF181F" w:rsidRDefault="00AF181F">
            <w:pPr>
              <w:jc w:val="right"/>
              <w:rPr>
                <w:rFonts w:ascii="Arial" w:hAnsi="Arial" w:cs="Arial"/>
              </w:rPr>
            </w:pPr>
            <w:r>
              <w:rPr>
                <w:rFonts w:ascii="Arial" w:hAnsi="Arial" w:cs="Arial"/>
              </w:rPr>
              <w:t xml:space="preserve">3,732 </w:t>
            </w:r>
          </w:p>
        </w:tc>
        <w:tc>
          <w:tcPr>
            <w:tcW w:w="1196" w:type="dxa"/>
            <w:tcBorders>
              <w:top w:val="nil"/>
              <w:left w:val="nil"/>
              <w:bottom w:val="nil"/>
              <w:right w:val="single" w:sz="8" w:space="0" w:color="auto"/>
            </w:tcBorders>
            <w:shd w:val="clear" w:color="auto" w:fill="auto"/>
            <w:noWrap/>
            <w:hideMark/>
          </w:tcPr>
          <w:p w14:paraId="4F127DA9" w14:textId="77777777" w:rsidR="00AF181F" w:rsidRDefault="00AF181F">
            <w:pPr>
              <w:jc w:val="right"/>
              <w:rPr>
                <w:rFonts w:ascii="Arial" w:hAnsi="Arial" w:cs="Arial"/>
              </w:rPr>
            </w:pPr>
            <w:r>
              <w:rPr>
                <w:rFonts w:ascii="Arial" w:hAnsi="Arial" w:cs="Arial"/>
              </w:rPr>
              <w:t xml:space="preserve">2,500 </w:t>
            </w:r>
          </w:p>
        </w:tc>
        <w:tc>
          <w:tcPr>
            <w:tcW w:w="1497" w:type="dxa"/>
            <w:tcBorders>
              <w:top w:val="nil"/>
              <w:left w:val="nil"/>
              <w:bottom w:val="nil"/>
              <w:right w:val="single" w:sz="8" w:space="0" w:color="auto"/>
            </w:tcBorders>
            <w:shd w:val="clear" w:color="auto" w:fill="auto"/>
            <w:noWrap/>
            <w:hideMark/>
          </w:tcPr>
          <w:p w14:paraId="136B9E54" w14:textId="77777777" w:rsidR="00AF181F" w:rsidRDefault="00AF181F">
            <w:pPr>
              <w:jc w:val="right"/>
              <w:rPr>
                <w:rFonts w:ascii="Arial" w:hAnsi="Arial" w:cs="Arial"/>
              </w:rPr>
            </w:pPr>
            <w:r>
              <w:rPr>
                <w:rFonts w:ascii="Arial" w:hAnsi="Arial" w:cs="Arial"/>
              </w:rPr>
              <w:t>(1,232)</w:t>
            </w:r>
          </w:p>
        </w:tc>
        <w:tc>
          <w:tcPr>
            <w:tcW w:w="249" w:type="dxa"/>
            <w:vAlign w:val="center"/>
            <w:hideMark/>
          </w:tcPr>
          <w:p w14:paraId="22A5BF81" w14:textId="77777777" w:rsidR="00AF181F" w:rsidRDefault="00AF181F">
            <w:pPr>
              <w:rPr>
                <w:sz w:val="20"/>
                <w:szCs w:val="20"/>
              </w:rPr>
            </w:pPr>
          </w:p>
        </w:tc>
      </w:tr>
      <w:tr w:rsidR="00AF181F" w14:paraId="29289352" w14:textId="77777777" w:rsidTr="00030B86">
        <w:trPr>
          <w:trHeight w:val="307"/>
        </w:trPr>
        <w:tc>
          <w:tcPr>
            <w:tcW w:w="4631" w:type="dxa"/>
            <w:tcBorders>
              <w:top w:val="single" w:sz="4" w:space="0" w:color="auto"/>
              <w:left w:val="single" w:sz="8" w:space="0" w:color="auto"/>
              <w:bottom w:val="single" w:sz="4" w:space="0" w:color="auto"/>
              <w:right w:val="nil"/>
            </w:tcBorders>
            <w:shd w:val="clear" w:color="000000" w:fill="FFFFFF"/>
            <w:vAlign w:val="center"/>
            <w:hideMark/>
          </w:tcPr>
          <w:p w14:paraId="4C4BE0AC" w14:textId="77777777" w:rsidR="00AF181F" w:rsidRDefault="00AF181F">
            <w:pPr>
              <w:rPr>
                <w:rFonts w:ascii="Arial" w:hAnsi="Arial" w:cs="Arial"/>
                <w:b/>
                <w:bCs/>
                <w:color w:val="000000"/>
              </w:rPr>
            </w:pPr>
            <w:r>
              <w:rPr>
                <w:rFonts w:ascii="Arial" w:hAnsi="Arial" w:cs="Arial"/>
                <w:b/>
                <w:bCs/>
                <w:color w:val="000000"/>
              </w:rPr>
              <w:t>Stockport Council Schemes total</w:t>
            </w:r>
          </w:p>
        </w:tc>
        <w:tc>
          <w:tcPr>
            <w:tcW w:w="1196" w:type="dxa"/>
            <w:tcBorders>
              <w:top w:val="single" w:sz="4" w:space="0" w:color="auto"/>
              <w:left w:val="single" w:sz="8" w:space="0" w:color="auto"/>
              <w:bottom w:val="single" w:sz="4" w:space="0" w:color="auto"/>
              <w:right w:val="single" w:sz="8" w:space="0" w:color="auto"/>
            </w:tcBorders>
            <w:shd w:val="clear" w:color="auto" w:fill="auto"/>
            <w:noWrap/>
            <w:hideMark/>
          </w:tcPr>
          <w:p w14:paraId="15F6F589" w14:textId="77777777" w:rsidR="00AF181F" w:rsidRDefault="00AF181F">
            <w:pPr>
              <w:jc w:val="right"/>
              <w:rPr>
                <w:rFonts w:ascii="Arial" w:hAnsi="Arial" w:cs="Arial"/>
                <w:b/>
                <w:bCs/>
              </w:rPr>
            </w:pPr>
            <w:r>
              <w:rPr>
                <w:rFonts w:ascii="Arial" w:hAnsi="Arial" w:cs="Arial"/>
                <w:b/>
                <w:bCs/>
              </w:rPr>
              <w:t xml:space="preserve">5,552 </w:t>
            </w:r>
          </w:p>
        </w:tc>
        <w:tc>
          <w:tcPr>
            <w:tcW w:w="1346" w:type="dxa"/>
            <w:tcBorders>
              <w:top w:val="single" w:sz="4" w:space="0" w:color="auto"/>
              <w:left w:val="nil"/>
              <w:bottom w:val="single" w:sz="4" w:space="0" w:color="auto"/>
              <w:right w:val="single" w:sz="8" w:space="0" w:color="auto"/>
            </w:tcBorders>
            <w:shd w:val="clear" w:color="auto" w:fill="auto"/>
            <w:noWrap/>
            <w:hideMark/>
          </w:tcPr>
          <w:p w14:paraId="3E365473" w14:textId="77777777" w:rsidR="00AF181F" w:rsidRDefault="00AF181F">
            <w:pPr>
              <w:jc w:val="right"/>
              <w:rPr>
                <w:rFonts w:ascii="Arial" w:hAnsi="Arial" w:cs="Arial"/>
                <w:b/>
                <w:bCs/>
              </w:rPr>
            </w:pPr>
            <w:r>
              <w:rPr>
                <w:rFonts w:ascii="Arial" w:hAnsi="Arial" w:cs="Arial"/>
                <w:b/>
                <w:bCs/>
              </w:rPr>
              <w:t xml:space="preserve">3,732 </w:t>
            </w:r>
          </w:p>
        </w:tc>
        <w:tc>
          <w:tcPr>
            <w:tcW w:w="1196" w:type="dxa"/>
            <w:tcBorders>
              <w:top w:val="single" w:sz="4" w:space="0" w:color="auto"/>
              <w:left w:val="nil"/>
              <w:bottom w:val="single" w:sz="4" w:space="0" w:color="auto"/>
              <w:right w:val="single" w:sz="8" w:space="0" w:color="auto"/>
            </w:tcBorders>
            <w:shd w:val="clear" w:color="auto" w:fill="auto"/>
            <w:noWrap/>
            <w:hideMark/>
          </w:tcPr>
          <w:p w14:paraId="455284C9" w14:textId="77777777" w:rsidR="00AF181F" w:rsidRDefault="00AF181F">
            <w:pPr>
              <w:jc w:val="right"/>
              <w:rPr>
                <w:rFonts w:ascii="Arial" w:hAnsi="Arial" w:cs="Arial"/>
                <w:b/>
                <w:bCs/>
              </w:rPr>
            </w:pPr>
            <w:r>
              <w:rPr>
                <w:rFonts w:ascii="Arial" w:hAnsi="Arial" w:cs="Arial"/>
                <w:b/>
                <w:bCs/>
              </w:rPr>
              <w:t xml:space="preserve">2,500 </w:t>
            </w:r>
          </w:p>
        </w:tc>
        <w:tc>
          <w:tcPr>
            <w:tcW w:w="1497" w:type="dxa"/>
            <w:tcBorders>
              <w:top w:val="single" w:sz="4" w:space="0" w:color="auto"/>
              <w:left w:val="nil"/>
              <w:bottom w:val="single" w:sz="4" w:space="0" w:color="auto"/>
              <w:right w:val="single" w:sz="8" w:space="0" w:color="auto"/>
            </w:tcBorders>
            <w:shd w:val="clear" w:color="auto" w:fill="auto"/>
            <w:noWrap/>
            <w:hideMark/>
          </w:tcPr>
          <w:p w14:paraId="09BCF807" w14:textId="77777777" w:rsidR="00AF181F" w:rsidRDefault="00AF181F">
            <w:pPr>
              <w:jc w:val="right"/>
              <w:rPr>
                <w:rFonts w:ascii="Arial" w:hAnsi="Arial" w:cs="Arial"/>
                <w:b/>
                <w:bCs/>
              </w:rPr>
            </w:pPr>
            <w:r>
              <w:rPr>
                <w:rFonts w:ascii="Arial" w:hAnsi="Arial" w:cs="Arial"/>
                <w:b/>
                <w:bCs/>
              </w:rPr>
              <w:t>(1,232)</w:t>
            </w:r>
          </w:p>
        </w:tc>
        <w:tc>
          <w:tcPr>
            <w:tcW w:w="249" w:type="dxa"/>
            <w:vAlign w:val="center"/>
            <w:hideMark/>
          </w:tcPr>
          <w:p w14:paraId="3183D253" w14:textId="77777777" w:rsidR="00AF181F" w:rsidRDefault="00AF181F">
            <w:pPr>
              <w:rPr>
                <w:sz w:val="20"/>
                <w:szCs w:val="20"/>
              </w:rPr>
            </w:pPr>
          </w:p>
        </w:tc>
      </w:tr>
      <w:tr w:rsidR="00AF181F" w14:paraId="49629EEF"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14A86A1D" w14:textId="77777777" w:rsidR="00AF181F" w:rsidRDefault="00AF181F">
            <w:pPr>
              <w:rPr>
                <w:rFonts w:ascii="Arial" w:hAnsi="Arial" w:cs="Arial"/>
                <w:b/>
                <w:bCs/>
                <w:color w:val="000000"/>
              </w:rPr>
            </w:pPr>
            <w:r>
              <w:rPr>
                <w:rFonts w:ascii="Arial" w:hAnsi="Arial" w:cs="Arial"/>
                <w:b/>
                <w:bCs/>
                <w:color w:val="000000"/>
              </w:rPr>
              <w:t> </w:t>
            </w:r>
          </w:p>
        </w:tc>
        <w:tc>
          <w:tcPr>
            <w:tcW w:w="1196" w:type="dxa"/>
            <w:tcBorders>
              <w:top w:val="nil"/>
              <w:left w:val="single" w:sz="8" w:space="0" w:color="auto"/>
              <w:bottom w:val="nil"/>
              <w:right w:val="nil"/>
            </w:tcBorders>
            <w:shd w:val="clear" w:color="000000" w:fill="FFFFFF"/>
            <w:vAlign w:val="center"/>
            <w:hideMark/>
          </w:tcPr>
          <w:p w14:paraId="1BFB8C4A" w14:textId="77777777" w:rsidR="00AF181F" w:rsidRDefault="00AF181F">
            <w:pPr>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1C41BDBD" w14:textId="77777777" w:rsidR="00AF181F" w:rsidRDefault="00AF181F">
            <w:pPr>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2118C0BF" w14:textId="77777777" w:rsidR="00AF181F" w:rsidRDefault="00AF181F">
            <w:pPr>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4DA724FF" w14:textId="77777777" w:rsidR="00AF181F" w:rsidRDefault="00AF181F">
            <w:pPr>
              <w:jc w:val="right"/>
              <w:rPr>
                <w:rFonts w:ascii="Arial" w:hAnsi="Arial" w:cs="Arial"/>
                <w:b/>
                <w:bCs/>
                <w:color w:val="000000"/>
              </w:rPr>
            </w:pPr>
            <w:r>
              <w:rPr>
                <w:rFonts w:ascii="Arial" w:hAnsi="Arial" w:cs="Arial"/>
                <w:b/>
                <w:bCs/>
                <w:color w:val="000000"/>
              </w:rPr>
              <w:t> </w:t>
            </w:r>
          </w:p>
        </w:tc>
        <w:tc>
          <w:tcPr>
            <w:tcW w:w="249" w:type="dxa"/>
            <w:vAlign w:val="center"/>
            <w:hideMark/>
          </w:tcPr>
          <w:p w14:paraId="20431AAA" w14:textId="77777777" w:rsidR="00AF181F" w:rsidRDefault="00AF181F">
            <w:pPr>
              <w:rPr>
                <w:sz w:val="20"/>
                <w:szCs w:val="20"/>
              </w:rPr>
            </w:pPr>
          </w:p>
        </w:tc>
      </w:tr>
      <w:tr w:rsidR="00AF181F" w14:paraId="5BEC0DA2"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677812FC" w14:textId="77777777" w:rsidR="00AF181F" w:rsidRDefault="00AF181F">
            <w:pPr>
              <w:rPr>
                <w:rFonts w:ascii="Arial" w:hAnsi="Arial" w:cs="Arial"/>
                <w:b/>
                <w:bCs/>
                <w:color w:val="000000"/>
              </w:rPr>
            </w:pPr>
            <w:r>
              <w:rPr>
                <w:rFonts w:ascii="Arial" w:hAnsi="Arial" w:cs="Arial"/>
                <w:b/>
                <w:bCs/>
                <w:color w:val="000000"/>
              </w:rPr>
              <w:t>Other Metrolink Schemes</w:t>
            </w:r>
          </w:p>
        </w:tc>
        <w:tc>
          <w:tcPr>
            <w:tcW w:w="1196" w:type="dxa"/>
            <w:tcBorders>
              <w:top w:val="nil"/>
              <w:left w:val="single" w:sz="8" w:space="0" w:color="auto"/>
              <w:bottom w:val="nil"/>
              <w:right w:val="nil"/>
            </w:tcBorders>
            <w:shd w:val="clear" w:color="000000" w:fill="FFFFFF"/>
            <w:vAlign w:val="center"/>
            <w:hideMark/>
          </w:tcPr>
          <w:p w14:paraId="047D376D" w14:textId="77777777" w:rsidR="00AF181F" w:rsidRDefault="00AF181F">
            <w:pPr>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52C3F6F6" w14:textId="77777777" w:rsidR="00AF181F" w:rsidRDefault="00AF181F">
            <w:pPr>
              <w:jc w:val="right"/>
              <w:rPr>
                <w:rFonts w:ascii="Arial" w:hAnsi="Arial" w:cs="Arial"/>
                <w:color w:val="000000"/>
              </w:rPr>
            </w:pPr>
            <w:r>
              <w:rPr>
                <w:rFonts w:ascii="Arial" w:hAnsi="Arial" w:cs="Arial"/>
                <w:color w:val="000000"/>
              </w:rPr>
              <w:t> </w:t>
            </w:r>
          </w:p>
        </w:tc>
        <w:tc>
          <w:tcPr>
            <w:tcW w:w="1196" w:type="dxa"/>
            <w:tcBorders>
              <w:top w:val="nil"/>
              <w:left w:val="nil"/>
              <w:bottom w:val="nil"/>
              <w:right w:val="single" w:sz="8" w:space="0" w:color="auto"/>
            </w:tcBorders>
            <w:shd w:val="clear" w:color="000000" w:fill="FFFFFF"/>
            <w:vAlign w:val="center"/>
            <w:hideMark/>
          </w:tcPr>
          <w:p w14:paraId="42E61535" w14:textId="77777777" w:rsidR="00AF181F" w:rsidRDefault="00AF181F">
            <w:pPr>
              <w:jc w:val="right"/>
              <w:rPr>
                <w:rFonts w:ascii="Arial" w:hAnsi="Arial" w:cs="Arial"/>
                <w:color w:val="000000"/>
              </w:rPr>
            </w:pPr>
            <w:r>
              <w:rPr>
                <w:rFonts w:ascii="Arial" w:hAnsi="Arial" w:cs="Arial"/>
                <w:color w:val="000000"/>
              </w:rPr>
              <w:t> </w:t>
            </w:r>
          </w:p>
        </w:tc>
        <w:tc>
          <w:tcPr>
            <w:tcW w:w="1497" w:type="dxa"/>
            <w:tcBorders>
              <w:top w:val="nil"/>
              <w:left w:val="nil"/>
              <w:bottom w:val="nil"/>
              <w:right w:val="single" w:sz="8" w:space="0" w:color="auto"/>
            </w:tcBorders>
            <w:shd w:val="clear" w:color="000000" w:fill="FFFFFF"/>
            <w:vAlign w:val="center"/>
            <w:hideMark/>
          </w:tcPr>
          <w:p w14:paraId="0FC863EE" w14:textId="77777777" w:rsidR="00AF181F" w:rsidRDefault="00AF181F">
            <w:pPr>
              <w:jc w:val="right"/>
              <w:rPr>
                <w:rFonts w:ascii="Arial" w:hAnsi="Arial" w:cs="Arial"/>
                <w:color w:val="000000"/>
              </w:rPr>
            </w:pPr>
            <w:r>
              <w:rPr>
                <w:rFonts w:ascii="Arial" w:hAnsi="Arial" w:cs="Arial"/>
                <w:color w:val="000000"/>
              </w:rPr>
              <w:t> </w:t>
            </w:r>
          </w:p>
        </w:tc>
        <w:tc>
          <w:tcPr>
            <w:tcW w:w="249" w:type="dxa"/>
            <w:vAlign w:val="center"/>
            <w:hideMark/>
          </w:tcPr>
          <w:p w14:paraId="15AE547D" w14:textId="77777777" w:rsidR="00AF181F" w:rsidRDefault="00AF181F">
            <w:pPr>
              <w:rPr>
                <w:sz w:val="20"/>
                <w:szCs w:val="20"/>
              </w:rPr>
            </w:pPr>
          </w:p>
        </w:tc>
      </w:tr>
      <w:tr w:rsidR="00AF181F" w14:paraId="2D9E2C86"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09D3F1F9" w14:textId="77777777" w:rsidR="00AF181F" w:rsidRDefault="00AF181F">
            <w:pPr>
              <w:rPr>
                <w:rFonts w:ascii="Arial" w:hAnsi="Arial" w:cs="Arial"/>
                <w:color w:val="000000"/>
              </w:rPr>
            </w:pPr>
            <w:r>
              <w:rPr>
                <w:rFonts w:ascii="Arial" w:hAnsi="Arial" w:cs="Arial"/>
                <w:color w:val="000000"/>
              </w:rPr>
              <w:t>Trafford Extension</w:t>
            </w:r>
          </w:p>
        </w:tc>
        <w:tc>
          <w:tcPr>
            <w:tcW w:w="1196" w:type="dxa"/>
            <w:tcBorders>
              <w:top w:val="nil"/>
              <w:left w:val="single" w:sz="8" w:space="0" w:color="auto"/>
              <w:bottom w:val="nil"/>
              <w:right w:val="single" w:sz="8" w:space="0" w:color="auto"/>
            </w:tcBorders>
            <w:shd w:val="clear" w:color="auto" w:fill="auto"/>
            <w:noWrap/>
            <w:hideMark/>
          </w:tcPr>
          <w:p w14:paraId="22F68313" w14:textId="77777777" w:rsidR="00AF181F" w:rsidRDefault="00AF181F">
            <w:pPr>
              <w:jc w:val="right"/>
              <w:rPr>
                <w:rFonts w:ascii="Arial" w:hAnsi="Arial" w:cs="Arial"/>
              </w:rPr>
            </w:pPr>
            <w:r>
              <w:rPr>
                <w:rFonts w:ascii="Arial" w:hAnsi="Arial" w:cs="Arial"/>
              </w:rPr>
              <w:t xml:space="preserve">196 </w:t>
            </w:r>
          </w:p>
        </w:tc>
        <w:tc>
          <w:tcPr>
            <w:tcW w:w="1346" w:type="dxa"/>
            <w:tcBorders>
              <w:top w:val="nil"/>
              <w:left w:val="nil"/>
              <w:bottom w:val="nil"/>
              <w:right w:val="single" w:sz="8" w:space="0" w:color="auto"/>
            </w:tcBorders>
            <w:shd w:val="clear" w:color="auto" w:fill="auto"/>
            <w:noWrap/>
            <w:hideMark/>
          </w:tcPr>
          <w:p w14:paraId="660F2A6B" w14:textId="77777777" w:rsidR="00AF181F" w:rsidRDefault="00AF181F">
            <w:pPr>
              <w:jc w:val="right"/>
              <w:rPr>
                <w:rFonts w:ascii="Arial" w:hAnsi="Arial" w:cs="Arial"/>
              </w:rPr>
            </w:pPr>
            <w:r>
              <w:rPr>
                <w:rFonts w:ascii="Arial" w:hAnsi="Arial" w:cs="Arial"/>
              </w:rPr>
              <w:t xml:space="preserve">710 </w:t>
            </w:r>
          </w:p>
        </w:tc>
        <w:tc>
          <w:tcPr>
            <w:tcW w:w="1196" w:type="dxa"/>
            <w:tcBorders>
              <w:top w:val="nil"/>
              <w:left w:val="nil"/>
              <w:bottom w:val="nil"/>
              <w:right w:val="single" w:sz="8" w:space="0" w:color="auto"/>
            </w:tcBorders>
            <w:shd w:val="clear" w:color="auto" w:fill="auto"/>
            <w:noWrap/>
            <w:hideMark/>
          </w:tcPr>
          <w:p w14:paraId="6EDB45C0" w14:textId="77777777" w:rsidR="00AF181F" w:rsidRDefault="00AF181F">
            <w:pPr>
              <w:jc w:val="right"/>
              <w:rPr>
                <w:rFonts w:ascii="Arial" w:hAnsi="Arial" w:cs="Arial"/>
              </w:rPr>
            </w:pPr>
            <w:r>
              <w:rPr>
                <w:rFonts w:ascii="Arial" w:hAnsi="Arial" w:cs="Arial"/>
              </w:rPr>
              <w:t xml:space="preserve">988 </w:t>
            </w:r>
          </w:p>
        </w:tc>
        <w:tc>
          <w:tcPr>
            <w:tcW w:w="1497" w:type="dxa"/>
            <w:tcBorders>
              <w:top w:val="nil"/>
              <w:left w:val="nil"/>
              <w:bottom w:val="nil"/>
              <w:right w:val="single" w:sz="8" w:space="0" w:color="auto"/>
            </w:tcBorders>
            <w:shd w:val="clear" w:color="auto" w:fill="auto"/>
            <w:noWrap/>
            <w:hideMark/>
          </w:tcPr>
          <w:p w14:paraId="6D0FD2C1" w14:textId="77777777" w:rsidR="00AF181F" w:rsidRDefault="00AF181F">
            <w:pPr>
              <w:jc w:val="right"/>
              <w:rPr>
                <w:rFonts w:ascii="Arial" w:hAnsi="Arial" w:cs="Arial"/>
              </w:rPr>
            </w:pPr>
            <w:r>
              <w:rPr>
                <w:rFonts w:ascii="Arial" w:hAnsi="Arial" w:cs="Arial"/>
              </w:rPr>
              <w:t xml:space="preserve">278 </w:t>
            </w:r>
          </w:p>
        </w:tc>
        <w:tc>
          <w:tcPr>
            <w:tcW w:w="249" w:type="dxa"/>
            <w:vAlign w:val="center"/>
            <w:hideMark/>
          </w:tcPr>
          <w:p w14:paraId="131527A2" w14:textId="77777777" w:rsidR="00AF181F" w:rsidRDefault="00AF181F">
            <w:pPr>
              <w:rPr>
                <w:sz w:val="20"/>
                <w:szCs w:val="20"/>
              </w:rPr>
            </w:pPr>
          </w:p>
        </w:tc>
      </w:tr>
      <w:tr w:rsidR="00AF181F" w14:paraId="294F01EB" w14:textId="77777777" w:rsidTr="00030B86">
        <w:trPr>
          <w:trHeight w:val="307"/>
        </w:trPr>
        <w:tc>
          <w:tcPr>
            <w:tcW w:w="4631" w:type="dxa"/>
            <w:tcBorders>
              <w:top w:val="single" w:sz="4" w:space="0" w:color="auto"/>
              <w:left w:val="single" w:sz="8" w:space="0" w:color="auto"/>
              <w:bottom w:val="single" w:sz="4" w:space="0" w:color="auto"/>
              <w:right w:val="nil"/>
            </w:tcBorders>
            <w:shd w:val="clear" w:color="000000" w:fill="FFFFFF"/>
            <w:vAlign w:val="center"/>
            <w:hideMark/>
          </w:tcPr>
          <w:p w14:paraId="281ECCC6" w14:textId="77777777" w:rsidR="00AF181F" w:rsidRDefault="00AF181F">
            <w:pPr>
              <w:rPr>
                <w:rFonts w:ascii="Arial" w:hAnsi="Arial" w:cs="Arial"/>
                <w:b/>
                <w:bCs/>
                <w:color w:val="000000"/>
              </w:rPr>
            </w:pPr>
            <w:r>
              <w:rPr>
                <w:rFonts w:ascii="Arial" w:hAnsi="Arial" w:cs="Arial"/>
                <w:b/>
                <w:bCs/>
                <w:color w:val="000000"/>
              </w:rPr>
              <w:t>Other Metrolink Schemes total</w:t>
            </w:r>
          </w:p>
        </w:tc>
        <w:tc>
          <w:tcPr>
            <w:tcW w:w="1196"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40A29555" w14:textId="77777777" w:rsidR="00AF181F" w:rsidRDefault="00AF181F">
            <w:pPr>
              <w:jc w:val="right"/>
              <w:rPr>
                <w:rFonts w:ascii="Arial" w:hAnsi="Arial" w:cs="Arial"/>
                <w:b/>
                <w:bCs/>
                <w:color w:val="000000"/>
              </w:rPr>
            </w:pPr>
            <w:r>
              <w:rPr>
                <w:rFonts w:ascii="Arial" w:hAnsi="Arial" w:cs="Arial"/>
                <w:b/>
                <w:bCs/>
                <w:color w:val="000000"/>
              </w:rPr>
              <w:t>196</w:t>
            </w:r>
          </w:p>
        </w:tc>
        <w:tc>
          <w:tcPr>
            <w:tcW w:w="1346" w:type="dxa"/>
            <w:tcBorders>
              <w:top w:val="single" w:sz="4" w:space="0" w:color="auto"/>
              <w:left w:val="nil"/>
              <w:bottom w:val="single" w:sz="4" w:space="0" w:color="auto"/>
              <w:right w:val="single" w:sz="8" w:space="0" w:color="auto"/>
            </w:tcBorders>
            <w:shd w:val="clear" w:color="000000" w:fill="FFFFFF"/>
            <w:vAlign w:val="center"/>
            <w:hideMark/>
          </w:tcPr>
          <w:p w14:paraId="3847A9B5" w14:textId="77777777" w:rsidR="00AF181F" w:rsidRDefault="00AF181F">
            <w:pPr>
              <w:jc w:val="right"/>
              <w:rPr>
                <w:rFonts w:ascii="Arial" w:hAnsi="Arial" w:cs="Arial"/>
                <w:b/>
                <w:bCs/>
                <w:color w:val="000000"/>
              </w:rPr>
            </w:pPr>
            <w:r>
              <w:rPr>
                <w:rFonts w:ascii="Arial" w:hAnsi="Arial" w:cs="Arial"/>
                <w:b/>
                <w:bCs/>
                <w:color w:val="000000"/>
              </w:rPr>
              <w:t>710</w:t>
            </w:r>
          </w:p>
        </w:tc>
        <w:tc>
          <w:tcPr>
            <w:tcW w:w="1196" w:type="dxa"/>
            <w:tcBorders>
              <w:top w:val="single" w:sz="4" w:space="0" w:color="auto"/>
              <w:left w:val="nil"/>
              <w:bottom w:val="single" w:sz="4" w:space="0" w:color="auto"/>
              <w:right w:val="single" w:sz="8" w:space="0" w:color="auto"/>
            </w:tcBorders>
            <w:shd w:val="clear" w:color="000000" w:fill="FFFFFF"/>
            <w:vAlign w:val="center"/>
            <w:hideMark/>
          </w:tcPr>
          <w:p w14:paraId="304657B3" w14:textId="77777777" w:rsidR="00AF181F" w:rsidRDefault="00AF181F">
            <w:pPr>
              <w:jc w:val="right"/>
              <w:rPr>
                <w:rFonts w:ascii="Arial" w:hAnsi="Arial" w:cs="Arial"/>
                <w:b/>
                <w:bCs/>
                <w:color w:val="000000"/>
              </w:rPr>
            </w:pPr>
            <w:r>
              <w:rPr>
                <w:rFonts w:ascii="Arial" w:hAnsi="Arial" w:cs="Arial"/>
                <w:b/>
                <w:bCs/>
                <w:color w:val="000000"/>
              </w:rPr>
              <w:t>988</w:t>
            </w:r>
          </w:p>
        </w:tc>
        <w:tc>
          <w:tcPr>
            <w:tcW w:w="1497" w:type="dxa"/>
            <w:tcBorders>
              <w:top w:val="single" w:sz="4" w:space="0" w:color="auto"/>
              <w:left w:val="nil"/>
              <w:bottom w:val="single" w:sz="4" w:space="0" w:color="auto"/>
              <w:right w:val="single" w:sz="8" w:space="0" w:color="auto"/>
            </w:tcBorders>
            <w:shd w:val="clear" w:color="000000" w:fill="FFFFFF"/>
            <w:vAlign w:val="center"/>
            <w:hideMark/>
          </w:tcPr>
          <w:p w14:paraId="159F4ACB" w14:textId="77777777" w:rsidR="00AF181F" w:rsidRDefault="00AF181F">
            <w:pPr>
              <w:jc w:val="right"/>
              <w:rPr>
                <w:rFonts w:ascii="Arial" w:hAnsi="Arial" w:cs="Arial"/>
                <w:b/>
                <w:bCs/>
                <w:color w:val="000000"/>
              </w:rPr>
            </w:pPr>
            <w:r>
              <w:rPr>
                <w:rFonts w:ascii="Arial" w:hAnsi="Arial" w:cs="Arial"/>
                <w:b/>
                <w:bCs/>
                <w:color w:val="000000"/>
              </w:rPr>
              <w:t>278</w:t>
            </w:r>
          </w:p>
        </w:tc>
        <w:tc>
          <w:tcPr>
            <w:tcW w:w="249" w:type="dxa"/>
            <w:vAlign w:val="center"/>
            <w:hideMark/>
          </w:tcPr>
          <w:p w14:paraId="1B04FC47" w14:textId="77777777" w:rsidR="00AF181F" w:rsidRDefault="00AF181F">
            <w:pPr>
              <w:rPr>
                <w:sz w:val="20"/>
                <w:szCs w:val="20"/>
              </w:rPr>
            </w:pPr>
          </w:p>
        </w:tc>
      </w:tr>
      <w:tr w:rsidR="00AF181F" w14:paraId="3116629E"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57094AD8" w14:textId="77777777" w:rsidR="00AF181F" w:rsidRDefault="00AF181F">
            <w:pPr>
              <w:rPr>
                <w:rFonts w:ascii="Arial" w:hAnsi="Arial" w:cs="Arial"/>
                <w:b/>
                <w:bCs/>
                <w:color w:val="000000"/>
              </w:rPr>
            </w:pPr>
            <w:r>
              <w:rPr>
                <w:rFonts w:ascii="Arial" w:hAnsi="Arial" w:cs="Arial"/>
                <w:b/>
                <w:bCs/>
                <w:color w:val="000000"/>
              </w:rPr>
              <w:t> </w:t>
            </w:r>
          </w:p>
        </w:tc>
        <w:tc>
          <w:tcPr>
            <w:tcW w:w="1196" w:type="dxa"/>
            <w:tcBorders>
              <w:top w:val="nil"/>
              <w:left w:val="single" w:sz="8" w:space="0" w:color="auto"/>
              <w:bottom w:val="nil"/>
              <w:right w:val="nil"/>
            </w:tcBorders>
            <w:shd w:val="clear" w:color="000000" w:fill="FFFFFF"/>
            <w:vAlign w:val="center"/>
            <w:hideMark/>
          </w:tcPr>
          <w:p w14:paraId="1A891C55" w14:textId="77777777" w:rsidR="00AF181F" w:rsidRDefault="00AF181F">
            <w:pPr>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1910B6E2" w14:textId="77777777" w:rsidR="00AF181F" w:rsidRDefault="00AF181F">
            <w:pPr>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3144B2F3" w14:textId="77777777" w:rsidR="00AF181F" w:rsidRDefault="00AF181F">
            <w:pPr>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3391EC9E" w14:textId="77777777" w:rsidR="00AF181F" w:rsidRDefault="00AF181F">
            <w:pPr>
              <w:jc w:val="right"/>
              <w:rPr>
                <w:rFonts w:ascii="Arial" w:hAnsi="Arial" w:cs="Arial"/>
                <w:b/>
                <w:bCs/>
                <w:color w:val="000000"/>
              </w:rPr>
            </w:pPr>
            <w:r>
              <w:rPr>
                <w:rFonts w:ascii="Arial" w:hAnsi="Arial" w:cs="Arial"/>
                <w:b/>
                <w:bCs/>
                <w:color w:val="000000"/>
              </w:rPr>
              <w:t> </w:t>
            </w:r>
          </w:p>
        </w:tc>
        <w:tc>
          <w:tcPr>
            <w:tcW w:w="249" w:type="dxa"/>
            <w:vAlign w:val="center"/>
            <w:hideMark/>
          </w:tcPr>
          <w:p w14:paraId="002F4929" w14:textId="77777777" w:rsidR="00AF181F" w:rsidRDefault="00AF181F">
            <w:pPr>
              <w:rPr>
                <w:sz w:val="20"/>
                <w:szCs w:val="20"/>
              </w:rPr>
            </w:pPr>
          </w:p>
        </w:tc>
      </w:tr>
      <w:tr w:rsidR="00AF181F" w14:paraId="01119DDB"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2D20E22" w14:textId="77777777" w:rsidR="00AF181F" w:rsidRDefault="00AF181F">
            <w:pPr>
              <w:rPr>
                <w:rFonts w:ascii="Arial" w:hAnsi="Arial" w:cs="Arial"/>
                <w:b/>
                <w:bCs/>
                <w:color w:val="000000"/>
              </w:rPr>
            </w:pPr>
            <w:r>
              <w:rPr>
                <w:rFonts w:ascii="Arial" w:hAnsi="Arial" w:cs="Arial"/>
                <w:b/>
                <w:bCs/>
                <w:color w:val="000000"/>
              </w:rPr>
              <w:t>Clean Air Programme</w:t>
            </w:r>
          </w:p>
        </w:tc>
        <w:tc>
          <w:tcPr>
            <w:tcW w:w="1196" w:type="dxa"/>
            <w:tcBorders>
              <w:top w:val="nil"/>
              <w:left w:val="single" w:sz="8" w:space="0" w:color="auto"/>
              <w:bottom w:val="nil"/>
              <w:right w:val="nil"/>
            </w:tcBorders>
            <w:shd w:val="clear" w:color="000000" w:fill="FFFFFF"/>
            <w:vAlign w:val="center"/>
            <w:hideMark/>
          </w:tcPr>
          <w:p w14:paraId="0F750233" w14:textId="77777777" w:rsidR="00AF181F" w:rsidRDefault="00AF181F">
            <w:pPr>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16E21BD2" w14:textId="77777777" w:rsidR="00AF181F" w:rsidRDefault="00AF181F">
            <w:pPr>
              <w:jc w:val="right"/>
              <w:rPr>
                <w:rFonts w:ascii="Arial" w:hAnsi="Arial" w:cs="Arial"/>
                <w:color w:val="000000"/>
              </w:rPr>
            </w:pPr>
            <w:r>
              <w:rPr>
                <w:rFonts w:ascii="Arial" w:hAnsi="Arial" w:cs="Arial"/>
                <w:color w:val="000000"/>
              </w:rPr>
              <w:t> </w:t>
            </w:r>
          </w:p>
        </w:tc>
        <w:tc>
          <w:tcPr>
            <w:tcW w:w="1196" w:type="dxa"/>
            <w:tcBorders>
              <w:top w:val="nil"/>
              <w:left w:val="nil"/>
              <w:bottom w:val="nil"/>
              <w:right w:val="single" w:sz="8" w:space="0" w:color="auto"/>
            </w:tcBorders>
            <w:shd w:val="clear" w:color="000000" w:fill="FFFFFF"/>
            <w:vAlign w:val="center"/>
            <w:hideMark/>
          </w:tcPr>
          <w:p w14:paraId="7B521117" w14:textId="77777777" w:rsidR="00AF181F" w:rsidRDefault="00AF181F">
            <w:pPr>
              <w:jc w:val="right"/>
              <w:rPr>
                <w:rFonts w:ascii="Arial" w:hAnsi="Arial" w:cs="Arial"/>
                <w:color w:val="000000"/>
              </w:rPr>
            </w:pPr>
            <w:r>
              <w:rPr>
                <w:rFonts w:ascii="Arial" w:hAnsi="Arial" w:cs="Arial"/>
                <w:color w:val="000000"/>
              </w:rPr>
              <w:t> </w:t>
            </w:r>
          </w:p>
        </w:tc>
        <w:tc>
          <w:tcPr>
            <w:tcW w:w="1497" w:type="dxa"/>
            <w:tcBorders>
              <w:top w:val="nil"/>
              <w:left w:val="nil"/>
              <w:bottom w:val="nil"/>
              <w:right w:val="single" w:sz="8" w:space="0" w:color="auto"/>
            </w:tcBorders>
            <w:shd w:val="clear" w:color="000000" w:fill="FFFFFF"/>
            <w:vAlign w:val="center"/>
            <w:hideMark/>
          </w:tcPr>
          <w:p w14:paraId="16669C57" w14:textId="77777777" w:rsidR="00AF181F" w:rsidRDefault="00AF181F">
            <w:pPr>
              <w:jc w:val="right"/>
              <w:rPr>
                <w:rFonts w:ascii="Arial" w:hAnsi="Arial" w:cs="Arial"/>
                <w:color w:val="000000"/>
              </w:rPr>
            </w:pPr>
            <w:r>
              <w:rPr>
                <w:rFonts w:ascii="Arial" w:hAnsi="Arial" w:cs="Arial"/>
                <w:color w:val="000000"/>
              </w:rPr>
              <w:t> </w:t>
            </w:r>
          </w:p>
        </w:tc>
        <w:tc>
          <w:tcPr>
            <w:tcW w:w="249" w:type="dxa"/>
            <w:vAlign w:val="center"/>
            <w:hideMark/>
          </w:tcPr>
          <w:p w14:paraId="7988682E" w14:textId="77777777" w:rsidR="00AF181F" w:rsidRDefault="00AF181F">
            <w:pPr>
              <w:rPr>
                <w:sz w:val="20"/>
                <w:szCs w:val="20"/>
              </w:rPr>
            </w:pPr>
          </w:p>
        </w:tc>
      </w:tr>
      <w:tr w:rsidR="00AF181F" w14:paraId="15B4787B"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1BE198D4" w14:textId="77777777" w:rsidR="00AF181F" w:rsidRDefault="00AF181F">
            <w:pPr>
              <w:rPr>
                <w:rFonts w:ascii="Arial" w:hAnsi="Arial" w:cs="Arial"/>
                <w:color w:val="000000"/>
              </w:rPr>
            </w:pPr>
            <w:r>
              <w:rPr>
                <w:rFonts w:ascii="Arial" w:hAnsi="Arial" w:cs="Arial"/>
                <w:color w:val="000000"/>
              </w:rPr>
              <w:t>OZEV-EV Taxi</w:t>
            </w:r>
          </w:p>
        </w:tc>
        <w:tc>
          <w:tcPr>
            <w:tcW w:w="1196" w:type="dxa"/>
            <w:tcBorders>
              <w:top w:val="nil"/>
              <w:left w:val="single" w:sz="8" w:space="0" w:color="auto"/>
              <w:bottom w:val="nil"/>
              <w:right w:val="single" w:sz="8" w:space="0" w:color="auto"/>
            </w:tcBorders>
            <w:shd w:val="clear" w:color="000000" w:fill="FFFFFF"/>
            <w:noWrap/>
            <w:hideMark/>
          </w:tcPr>
          <w:p w14:paraId="38B0AE52" w14:textId="77777777" w:rsidR="00AF181F" w:rsidRDefault="00AF181F">
            <w:pPr>
              <w:jc w:val="right"/>
              <w:rPr>
                <w:rFonts w:ascii="Arial" w:hAnsi="Arial" w:cs="Arial"/>
              </w:rPr>
            </w:pPr>
            <w:r>
              <w:rPr>
                <w:rFonts w:ascii="Arial" w:hAnsi="Arial" w:cs="Arial"/>
              </w:rPr>
              <w:t xml:space="preserve">1,986 </w:t>
            </w:r>
          </w:p>
        </w:tc>
        <w:tc>
          <w:tcPr>
            <w:tcW w:w="1346" w:type="dxa"/>
            <w:tcBorders>
              <w:top w:val="nil"/>
              <w:left w:val="nil"/>
              <w:bottom w:val="nil"/>
              <w:right w:val="single" w:sz="8" w:space="0" w:color="auto"/>
            </w:tcBorders>
            <w:shd w:val="clear" w:color="000000" w:fill="FFFFFF"/>
            <w:noWrap/>
            <w:hideMark/>
          </w:tcPr>
          <w:p w14:paraId="6D1C52B2" w14:textId="77777777" w:rsidR="00AF181F" w:rsidRDefault="00AF181F">
            <w:pPr>
              <w:jc w:val="right"/>
              <w:rPr>
                <w:rFonts w:ascii="Arial" w:hAnsi="Arial" w:cs="Arial"/>
              </w:rPr>
            </w:pPr>
            <w:r>
              <w:rPr>
                <w:rFonts w:ascii="Arial" w:hAnsi="Arial" w:cs="Arial"/>
              </w:rPr>
              <w:t xml:space="preserve">2,530 </w:t>
            </w:r>
          </w:p>
        </w:tc>
        <w:tc>
          <w:tcPr>
            <w:tcW w:w="1196" w:type="dxa"/>
            <w:tcBorders>
              <w:top w:val="nil"/>
              <w:left w:val="nil"/>
              <w:bottom w:val="nil"/>
              <w:right w:val="single" w:sz="8" w:space="0" w:color="auto"/>
            </w:tcBorders>
            <w:shd w:val="clear" w:color="000000" w:fill="FFFFFF"/>
            <w:noWrap/>
            <w:hideMark/>
          </w:tcPr>
          <w:p w14:paraId="729D6328" w14:textId="77777777" w:rsidR="00AF181F" w:rsidRDefault="00AF181F">
            <w:pPr>
              <w:jc w:val="right"/>
              <w:rPr>
                <w:rFonts w:ascii="Arial" w:hAnsi="Arial" w:cs="Arial"/>
              </w:rPr>
            </w:pPr>
            <w:r>
              <w:rPr>
                <w:rFonts w:ascii="Arial" w:hAnsi="Arial" w:cs="Arial"/>
              </w:rPr>
              <w:t xml:space="preserve">2,109 </w:t>
            </w:r>
          </w:p>
        </w:tc>
        <w:tc>
          <w:tcPr>
            <w:tcW w:w="1497" w:type="dxa"/>
            <w:tcBorders>
              <w:top w:val="nil"/>
              <w:left w:val="nil"/>
              <w:bottom w:val="nil"/>
              <w:right w:val="single" w:sz="8" w:space="0" w:color="auto"/>
            </w:tcBorders>
            <w:shd w:val="clear" w:color="000000" w:fill="FFFFFF"/>
            <w:noWrap/>
            <w:hideMark/>
          </w:tcPr>
          <w:p w14:paraId="1AF1F656" w14:textId="77777777" w:rsidR="00AF181F" w:rsidRDefault="00AF181F">
            <w:pPr>
              <w:jc w:val="right"/>
              <w:rPr>
                <w:rFonts w:ascii="Arial" w:hAnsi="Arial" w:cs="Arial"/>
              </w:rPr>
            </w:pPr>
            <w:r>
              <w:rPr>
                <w:rFonts w:ascii="Arial" w:hAnsi="Arial" w:cs="Arial"/>
              </w:rPr>
              <w:t>(421)</w:t>
            </w:r>
          </w:p>
        </w:tc>
        <w:tc>
          <w:tcPr>
            <w:tcW w:w="249" w:type="dxa"/>
            <w:vAlign w:val="center"/>
            <w:hideMark/>
          </w:tcPr>
          <w:p w14:paraId="4F83FE02" w14:textId="77777777" w:rsidR="00AF181F" w:rsidRDefault="00AF181F">
            <w:pPr>
              <w:rPr>
                <w:sz w:val="20"/>
                <w:szCs w:val="20"/>
              </w:rPr>
            </w:pPr>
          </w:p>
        </w:tc>
      </w:tr>
      <w:tr w:rsidR="00AF181F" w14:paraId="6F7A4693"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77ED3C9" w14:textId="77777777" w:rsidR="00AF181F" w:rsidRDefault="00AF181F">
            <w:pPr>
              <w:rPr>
                <w:rFonts w:ascii="Arial" w:hAnsi="Arial" w:cs="Arial"/>
                <w:color w:val="000000"/>
              </w:rPr>
            </w:pPr>
            <w:r>
              <w:rPr>
                <w:rFonts w:ascii="Arial" w:hAnsi="Arial" w:cs="Arial"/>
                <w:color w:val="000000"/>
              </w:rPr>
              <w:t>Financial Support Scheme (FSS)</w:t>
            </w:r>
          </w:p>
        </w:tc>
        <w:tc>
          <w:tcPr>
            <w:tcW w:w="1196" w:type="dxa"/>
            <w:tcBorders>
              <w:top w:val="nil"/>
              <w:left w:val="single" w:sz="8" w:space="0" w:color="auto"/>
              <w:bottom w:val="nil"/>
              <w:right w:val="single" w:sz="8" w:space="0" w:color="auto"/>
            </w:tcBorders>
            <w:shd w:val="clear" w:color="000000" w:fill="FFFFFF"/>
            <w:noWrap/>
            <w:hideMark/>
          </w:tcPr>
          <w:p w14:paraId="678F9C56" w14:textId="77777777" w:rsidR="00AF181F" w:rsidRDefault="00AF181F">
            <w:pPr>
              <w:jc w:val="right"/>
              <w:rPr>
                <w:rFonts w:ascii="Arial" w:hAnsi="Arial" w:cs="Arial"/>
              </w:rPr>
            </w:pPr>
            <w:r>
              <w:rPr>
                <w:rFonts w:ascii="Arial" w:hAnsi="Arial" w:cs="Arial"/>
              </w:rPr>
              <w:t xml:space="preserve">0 </w:t>
            </w:r>
          </w:p>
        </w:tc>
        <w:tc>
          <w:tcPr>
            <w:tcW w:w="1346" w:type="dxa"/>
            <w:tcBorders>
              <w:top w:val="nil"/>
              <w:left w:val="nil"/>
              <w:bottom w:val="nil"/>
              <w:right w:val="single" w:sz="8" w:space="0" w:color="auto"/>
            </w:tcBorders>
            <w:shd w:val="clear" w:color="000000" w:fill="FFFFFF"/>
            <w:noWrap/>
            <w:hideMark/>
          </w:tcPr>
          <w:p w14:paraId="0B6D72AD" w14:textId="77777777" w:rsidR="00AF181F" w:rsidRDefault="00AF181F">
            <w:pPr>
              <w:jc w:val="right"/>
              <w:rPr>
                <w:rFonts w:ascii="Arial" w:hAnsi="Arial" w:cs="Arial"/>
              </w:rPr>
            </w:pPr>
            <w:r>
              <w:rPr>
                <w:rFonts w:ascii="Arial" w:hAnsi="Arial" w:cs="Arial"/>
              </w:rPr>
              <w:t xml:space="preserve">3,294 </w:t>
            </w:r>
          </w:p>
        </w:tc>
        <w:tc>
          <w:tcPr>
            <w:tcW w:w="1196" w:type="dxa"/>
            <w:tcBorders>
              <w:top w:val="nil"/>
              <w:left w:val="nil"/>
              <w:bottom w:val="nil"/>
              <w:right w:val="single" w:sz="8" w:space="0" w:color="auto"/>
            </w:tcBorders>
            <w:shd w:val="clear" w:color="000000" w:fill="FFFFFF"/>
            <w:noWrap/>
            <w:hideMark/>
          </w:tcPr>
          <w:p w14:paraId="00D50BC0" w14:textId="77777777" w:rsidR="00AF181F" w:rsidRDefault="00AF181F">
            <w:pPr>
              <w:jc w:val="right"/>
              <w:rPr>
                <w:rFonts w:ascii="Arial" w:hAnsi="Arial" w:cs="Arial"/>
              </w:rPr>
            </w:pPr>
            <w:r>
              <w:rPr>
                <w:rFonts w:ascii="Arial" w:hAnsi="Arial" w:cs="Arial"/>
              </w:rPr>
              <w:t xml:space="preserve">3,344 </w:t>
            </w:r>
          </w:p>
        </w:tc>
        <w:tc>
          <w:tcPr>
            <w:tcW w:w="1497" w:type="dxa"/>
            <w:tcBorders>
              <w:top w:val="nil"/>
              <w:left w:val="nil"/>
              <w:bottom w:val="nil"/>
              <w:right w:val="single" w:sz="8" w:space="0" w:color="auto"/>
            </w:tcBorders>
            <w:shd w:val="clear" w:color="000000" w:fill="FFFFFF"/>
            <w:noWrap/>
            <w:hideMark/>
          </w:tcPr>
          <w:p w14:paraId="0830815F" w14:textId="77777777" w:rsidR="00AF181F" w:rsidRDefault="00AF181F">
            <w:pPr>
              <w:jc w:val="right"/>
              <w:rPr>
                <w:rFonts w:ascii="Arial" w:hAnsi="Arial" w:cs="Arial"/>
              </w:rPr>
            </w:pPr>
            <w:r>
              <w:rPr>
                <w:rFonts w:ascii="Arial" w:hAnsi="Arial" w:cs="Arial"/>
              </w:rPr>
              <w:t xml:space="preserve">50 </w:t>
            </w:r>
          </w:p>
        </w:tc>
        <w:tc>
          <w:tcPr>
            <w:tcW w:w="249" w:type="dxa"/>
            <w:vAlign w:val="center"/>
            <w:hideMark/>
          </w:tcPr>
          <w:p w14:paraId="47DFCAF7" w14:textId="77777777" w:rsidR="00AF181F" w:rsidRDefault="00AF181F">
            <w:pPr>
              <w:rPr>
                <w:sz w:val="20"/>
                <w:szCs w:val="20"/>
              </w:rPr>
            </w:pPr>
          </w:p>
        </w:tc>
      </w:tr>
      <w:tr w:rsidR="00AF181F" w14:paraId="4A6C6A79"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0F259A8" w14:textId="77777777" w:rsidR="00AF181F" w:rsidRDefault="00AF181F">
            <w:pPr>
              <w:rPr>
                <w:rFonts w:ascii="Arial" w:hAnsi="Arial" w:cs="Arial"/>
                <w:color w:val="000000"/>
              </w:rPr>
            </w:pPr>
            <w:r>
              <w:rPr>
                <w:rFonts w:ascii="Arial" w:hAnsi="Arial" w:cs="Arial"/>
                <w:color w:val="000000"/>
              </w:rPr>
              <w:t>Clean Air Zone (CAZ)</w:t>
            </w:r>
          </w:p>
        </w:tc>
        <w:tc>
          <w:tcPr>
            <w:tcW w:w="1196" w:type="dxa"/>
            <w:tcBorders>
              <w:top w:val="nil"/>
              <w:left w:val="single" w:sz="8" w:space="0" w:color="auto"/>
              <w:bottom w:val="nil"/>
              <w:right w:val="single" w:sz="8" w:space="0" w:color="auto"/>
            </w:tcBorders>
            <w:shd w:val="clear" w:color="000000" w:fill="FFFFFF"/>
            <w:noWrap/>
            <w:hideMark/>
          </w:tcPr>
          <w:p w14:paraId="2C665D5F" w14:textId="77777777" w:rsidR="00AF181F" w:rsidRDefault="00AF181F">
            <w:pPr>
              <w:jc w:val="right"/>
              <w:rPr>
                <w:rFonts w:ascii="Arial" w:hAnsi="Arial" w:cs="Arial"/>
              </w:rPr>
            </w:pPr>
            <w:r>
              <w:rPr>
                <w:rFonts w:ascii="Arial" w:hAnsi="Arial" w:cs="Arial"/>
              </w:rPr>
              <w:t xml:space="preserve">0 </w:t>
            </w:r>
          </w:p>
        </w:tc>
        <w:tc>
          <w:tcPr>
            <w:tcW w:w="1346" w:type="dxa"/>
            <w:tcBorders>
              <w:top w:val="nil"/>
              <w:left w:val="nil"/>
              <w:bottom w:val="nil"/>
              <w:right w:val="single" w:sz="8" w:space="0" w:color="auto"/>
            </w:tcBorders>
            <w:shd w:val="clear" w:color="000000" w:fill="FFFFFF"/>
            <w:noWrap/>
            <w:hideMark/>
          </w:tcPr>
          <w:p w14:paraId="6E18C918" w14:textId="77777777" w:rsidR="00AF181F" w:rsidRDefault="00AF181F">
            <w:pPr>
              <w:jc w:val="right"/>
              <w:rPr>
                <w:rFonts w:ascii="Arial" w:hAnsi="Arial" w:cs="Arial"/>
              </w:rPr>
            </w:pPr>
            <w:r>
              <w:rPr>
                <w:rFonts w:ascii="Arial" w:hAnsi="Arial" w:cs="Arial"/>
              </w:rPr>
              <w:t xml:space="preserve">18,137 </w:t>
            </w:r>
          </w:p>
        </w:tc>
        <w:tc>
          <w:tcPr>
            <w:tcW w:w="1196" w:type="dxa"/>
            <w:tcBorders>
              <w:top w:val="nil"/>
              <w:left w:val="nil"/>
              <w:bottom w:val="nil"/>
              <w:right w:val="single" w:sz="8" w:space="0" w:color="auto"/>
            </w:tcBorders>
            <w:shd w:val="clear" w:color="000000" w:fill="FFFFFF"/>
            <w:noWrap/>
            <w:hideMark/>
          </w:tcPr>
          <w:p w14:paraId="47E797C7" w14:textId="77777777" w:rsidR="00AF181F" w:rsidRDefault="00AF181F">
            <w:pPr>
              <w:jc w:val="right"/>
              <w:rPr>
                <w:rFonts w:ascii="Arial" w:hAnsi="Arial" w:cs="Arial"/>
              </w:rPr>
            </w:pPr>
            <w:r>
              <w:rPr>
                <w:rFonts w:ascii="Arial" w:hAnsi="Arial" w:cs="Arial"/>
              </w:rPr>
              <w:t xml:space="preserve">12,127 </w:t>
            </w:r>
          </w:p>
        </w:tc>
        <w:tc>
          <w:tcPr>
            <w:tcW w:w="1497" w:type="dxa"/>
            <w:tcBorders>
              <w:top w:val="nil"/>
              <w:left w:val="nil"/>
              <w:bottom w:val="nil"/>
              <w:right w:val="single" w:sz="8" w:space="0" w:color="auto"/>
            </w:tcBorders>
            <w:shd w:val="clear" w:color="000000" w:fill="FFFFFF"/>
            <w:noWrap/>
            <w:hideMark/>
          </w:tcPr>
          <w:p w14:paraId="1AB68317" w14:textId="77777777" w:rsidR="00AF181F" w:rsidRDefault="00AF181F">
            <w:pPr>
              <w:jc w:val="right"/>
              <w:rPr>
                <w:rFonts w:ascii="Arial" w:hAnsi="Arial" w:cs="Arial"/>
              </w:rPr>
            </w:pPr>
            <w:r>
              <w:rPr>
                <w:rFonts w:ascii="Arial" w:hAnsi="Arial" w:cs="Arial"/>
              </w:rPr>
              <w:t>(6,010)</w:t>
            </w:r>
          </w:p>
        </w:tc>
        <w:tc>
          <w:tcPr>
            <w:tcW w:w="249" w:type="dxa"/>
            <w:vAlign w:val="center"/>
            <w:hideMark/>
          </w:tcPr>
          <w:p w14:paraId="66CFBC01" w14:textId="77777777" w:rsidR="00AF181F" w:rsidRDefault="00AF181F">
            <w:pPr>
              <w:rPr>
                <w:sz w:val="20"/>
                <w:szCs w:val="20"/>
              </w:rPr>
            </w:pPr>
          </w:p>
        </w:tc>
      </w:tr>
      <w:tr w:rsidR="00AF181F" w14:paraId="43191E59"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3C3D8451" w14:textId="77777777" w:rsidR="00AF181F" w:rsidRDefault="00AF181F">
            <w:pPr>
              <w:rPr>
                <w:rFonts w:ascii="Arial" w:hAnsi="Arial" w:cs="Arial"/>
                <w:color w:val="000000"/>
              </w:rPr>
            </w:pPr>
            <w:r>
              <w:rPr>
                <w:rFonts w:ascii="Arial" w:hAnsi="Arial" w:cs="Arial"/>
                <w:color w:val="000000"/>
              </w:rPr>
              <w:t>Clean Bus Technology Fund</w:t>
            </w:r>
          </w:p>
        </w:tc>
        <w:tc>
          <w:tcPr>
            <w:tcW w:w="1196" w:type="dxa"/>
            <w:tcBorders>
              <w:top w:val="nil"/>
              <w:left w:val="single" w:sz="8" w:space="0" w:color="auto"/>
              <w:bottom w:val="nil"/>
              <w:right w:val="single" w:sz="8" w:space="0" w:color="auto"/>
            </w:tcBorders>
            <w:shd w:val="clear" w:color="000000" w:fill="FFFFFF"/>
            <w:noWrap/>
            <w:hideMark/>
          </w:tcPr>
          <w:p w14:paraId="1F09E188" w14:textId="77777777" w:rsidR="00AF181F" w:rsidRDefault="00AF181F">
            <w:pPr>
              <w:jc w:val="right"/>
              <w:rPr>
                <w:rFonts w:ascii="Arial" w:hAnsi="Arial" w:cs="Arial"/>
              </w:rPr>
            </w:pPr>
            <w:r>
              <w:rPr>
                <w:rFonts w:ascii="Arial" w:hAnsi="Arial" w:cs="Arial"/>
              </w:rPr>
              <w:t xml:space="preserve">1,733 </w:t>
            </w:r>
          </w:p>
        </w:tc>
        <w:tc>
          <w:tcPr>
            <w:tcW w:w="1346" w:type="dxa"/>
            <w:tcBorders>
              <w:top w:val="nil"/>
              <w:left w:val="nil"/>
              <w:bottom w:val="nil"/>
              <w:right w:val="single" w:sz="8" w:space="0" w:color="auto"/>
            </w:tcBorders>
            <w:shd w:val="clear" w:color="000000" w:fill="FFFFFF"/>
            <w:noWrap/>
            <w:hideMark/>
          </w:tcPr>
          <w:p w14:paraId="591DEA88" w14:textId="77777777" w:rsidR="00AF181F" w:rsidRDefault="00AF181F">
            <w:pPr>
              <w:jc w:val="right"/>
              <w:rPr>
                <w:rFonts w:ascii="Arial" w:hAnsi="Arial" w:cs="Arial"/>
              </w:rPr>
            </w:pPr>
            <w:r>
              <w:rPr>
                <w:rFonts w:ascii="Arial" w:hAnsi="Arial" w:cs="Arial"/>
              </w:rPr>
              <w:t xml:space="preserve">2,071 </w:t>
            </w:r>
          </w:p>
        </w:tc>
        <w:tc>
          <w:tcPr>
            <w:tcW w:w="1196" w:type="dxa"/>
            <w:tcBorders>
              <w:top w:val="nil"/>
              <w:left w:val="nil"/>
              <w:bottom w:val="nil"/>
              <w:right w:val="single" w:sz="8" w:space="0" w:color="auto"/>
            </w:tcBorders>
            <w:shd w:val="clear" w:color="000000" w:fill="FFFFFF"/>
            <w:noWrap/>
            <w:hideMark/>
          </w:tcPr>
          <w:p w14:paraId="6BBB5239" w14:textId="77777777" w:rsidR="00AF181F" w:rsidRDefault="00AF181F">
            <w:pPr>
              <w:jc w:val="right"/>
              <w:rPr>
                <w:rFonts w:ascii="Arial" w:hAnsi="Arial" w:cs="Arial"/>
              </w:rPr>
            </w:pPr>
            <w:r>
              <w:rPr>
                <w:rFonts w:ascii="Arial" w:hAnsi="Arial" w:cs="Arial"/>
              </w:rPr>
              <w:t xml:space="preserve">1,646 </w:t>
            </w:r>
          </w:p>
        </w:tc>
        <w:tc>
          <w:tcPr>
            <w:tcW w:w="1497" w:type="dxa"/>
            <w:tcBorders>
              <w:top w:val="nil"/>
              <w:left w:val="nil"/>
              <w:bottom w:val="nil"/>
              <w:right w:val="single" w:sz="8" w:space="0" w:color="auto"/>
            </w:tcBorders>
            <w:shd w:val="clear" w:color="000000" w:fill="FFFFFF"/>
            <w:noWrap/>
            <w:hideMark/>
          </w:tcPr>
          <w:p w14:paraId="0C4E475A" w14:textId="77777777" w:rsidR="00AF181F" w:rsidRDefault="00AF181F">
            <w:pPr>
              <w:jc w:val="right"/>
              <w:rPr>
                <w:rFonts w:ascii="Arial" w:hAnsi="Arial" w:cs="Arial"/>
              </w:rPr>
            </w:pPr>
            <w:r>
              <w:rPr>
                <w:rFonts w:ascii="Arial" w:hAnsi="Arial" w:cs="Arial"/>
              </w:rPr>
              <w:t>(425)</w:t>
            </w:r>
          </w:p>
        </w:tc>
        <w:tc>
          <w:tcPr>
            <w:tcW w:w="249" w:type="dxa"/>
            <w:vAlign w:val="center"/>
            <w:hideMark/>
          </w:tcPr>
          <w:p w14:paraId="3213F7E0" w14:textId="77777777" w:rsidR="00AF181F" w:rsidRDefault="00AF181F">
            <w:pPr>
              <w:rPr>
                <w:sz w:val="20"/>
                <w:szCs w:val="20"/>
              </w:rPr>
            </w:pPr>
          </w:p>
        </w:tc>
      </w:tr>
      <w:tr w:rsidR="00AF181F" w14:paraId="4229AC32"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35AE0B3C" w14:textId="77777777" w:rsidR="00AF181F" w:rsidRDefault="00AF181F">
            <w:pPr>
              <w:rPr>
                <w:rFonts w:ascii="Arial" w:hAnsi="Arial" w:cs="Arial"/>
                <w:color w:val="000000"/>
              </w:rPr>
            </w:pPr>
            <w:r>
              <w:rPr>
                <w:rFonts w:ascii="Arial" w:hAnsi="Arial" w:cs="Arial"/>
                <w:color w:val="000000"/>
              </w:rPr>
              <w:t>Clean Bus Fund</w:t>
            </w:r>
          </w:p>
        </w:tc>
        <w:tc>
          <w:tcPr>
            <w:tcW w:w="1196" w:type="dxa"/>
            <w:tcBorders>
              <w:top w:val="nil"/>
              <w:left w:val="single" w:sz="8" w:space="0" w:color="auto"/>
              <w:bottom w:val="nil"/>
              <w:right w:val="single" w:sz="8" w:space="0" w:color="auto"/>
            </w:tcBorders>
            <w:shd w:val="clear" w:color="000000" w:fill="FFFFFF"/>
            <w:noWrap/>
            <w:hideMark/>
          </w:tcPr>
          <w:p w14:paraId="70F1BA89" w14:textId="77777777" w:rsidR="00AF181F" w:rsidRDefault="00AF181F">
            <w:pPr>
              <w:jc w:val="right"/>
              <w:rPr>
                <w:rFonts w:ascii="Arial" w:hAnsi="Arial" w:cs="Arial"/>
              </w:rPr>
            </w:pPr>
            <w:r>
              <w:rPr>
                <w:rFonts w:ascii="Arial" w:hAnsi="Arial" w:cs="Arial"/>
              </w:rPr>
              <w:t xml:space="preserve">11,571 </w:t>
            </w:r>
          </w:p>
        </w:tc>
        <w:tc>
          <w:tcPr>
            <w:tcW w:w="1346" w:type="dxa"/>
            <w:tcBorders>
              <w:top w:val="nil"/>
              <w:left w:val="nil"/>
              <w:bottom w:val="nil"/>
              <w:right w:val="single" w:sz="8" w:space="0" w:color="auto"/>
            </w:tcBorders>
            <w:shd w:val="clear" w:color="000000" w:fill="FFFFFF"/>
            <w:noWrap/>
            <w:hideMark/>
          </w:tcPr>
          <w:p w14:paraId="048E0D63" w14:textId="77777777" w:rsidR="00AF181F" w:rsidRDefault="00AF181F">
            <w:pPr>
              <w:jc w:val="right"/>
              <w:rPr>
                <w:rFonts w:ascii="Arial" w:hAnsi="Arial" w:cs="Arial"/>
              </w:rPr>
            </w:pPr>
            <w:r>
              <w:rPr>
                <w:rFonts w:ascii="Arial" w:hAnsi="Arial" w:cs="Arial"/>
              </w:rPr>
              <w:t xml:space="preserve">6,582 </w:t>
            </w:r>
          </w:p>
        </w:tc>
        <w:tc>
          <w:tcPr>
            <w:tcW w:w="1196" w:type="dxa"/>
            <w:tcBorders>
              <w:top w:val="nil"/>
              <w:left w:val="nil"/>
              <w:bottom w:val="nil"/>
              <w:right w:val="single" w:sz="8" w:space="0" w:color="auto"/>
            </w:tcBorders>
            <w:shd w:val="clear" w:color="000000" w:fill="FFFFFF"/>
            <w:noWrap/>
            <w:hideMark/>
          </w:tcPr>
          <w:p w14:paraId="58A44CEE" w14:textId="77777777" w:rsidR="00AF181F" w:rsidRDefault="00AF181F">
            <w:pPr>
              <w:jc w:val="right"/>
              <w:rPr>
                <w:rFonts w:ascii="Arial" w:hAnsi="Arial" w:cs="Arial"/>
              </w:rPr>
            </w:pPr>
            <w:r>
              <w:rPr>
                <w:rFonts w:ascii="Arial" w:hAnsi="Arial" w:cs="Arial"/>
              </w:rPr>
              <w:t xml:space="preserve">5,836 </w:t>
            </w:r>
          </w:p>
        </w:tc>
        <w:tc>
          <w:tcPr>
            <w:tcW w:w="1497" w:type="dxa"/>
            <w:tcBorders>
              <w:top w:val="nil"/>
              <w:left w:val="nil"/>
              <w:bottom w:val="nil"/>
              <w:right w:val="single" w:sz="8" w:space="0" w:color="auto"/>
            </w:tcBorders>
            <w:shd w:val="clear" w:color="000000" w:fill="FFFFFF"/>
            <w:noWrap/>
            <w:hideMark/>
          </w:tcPr>
          <w:p w14:paraId="3228289E" w14:textId="77777777" w:rsidR="00AF181F" w:rsidRDefault="00AF181F">
            <w:pPr>
              <w:jc w:val="right"/>
              <w:rPr>
                <w:rFonts w:ascii="Arial" w:hAnsi="Arial" w:cs="Arial"/>
              </w:rPr>
            </w:pPr>
            <w:r>
              <w:rPr>
                <w:rFonts w:ascii="Arial" w:hAnsi="Arial" w:cs="Arial"/>
              </w:rPr>
              <w:t>(746)</w:t>
            </w:r>
          </w:p>
        </w:tc>
        <w:tc>
          <w:tcPr>
            <w:tcW w:w="249" w:type="dxa"/>
            <w:vAlign w:val="center"/>
            <w:hideMark/>
          </w:tcPr>
          <w:p w14:paraId="49AB0D4A" w14:textId="77777777" w:rsidR="00AF181F" w:rsidRDefault="00AF181F">
            <w:pPr>
              <w:rPr>
                <w:sz w:val="20"/>
                <w:szCs w:val="20"/>
              </w:rPr>
            </w:pPr>
          </w:p>
        </w:tc>
      </w:tr>
      <w:tr w:rsidR="00AF181F" w14:paraId="508CCB3F"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53BFCB9C" w14:textId="77777777" w:rsidR="00AF181F" w:rsidRDefault="00AF181F">
            <w:pPr>
              <w:rPr>
                <w:rFonts w:ascii="Arial" w:hAnsi="Arial" w:cs="Arial"/>
                <w:color w:val="000000"/>
              </w:rPr>
            </w:pPr>
            <w:r>
              <w:rPr>
                <w:rFonts w:ascii="Arial" w:hAnsi="Arial" w:cs="Arial"/>
                <w:color w:val="000000"/>
              </w:rPr>
              <w:t>Early Measures Investment Fund</w:t>
            </w:r>
          </w:p>
        </w:tc>
        <w:tc>
          <w:tcPr>
            <w:tcW w:w="1196" w:type="dxa"/>
            <w:tcBorders>
              <w:top w:val="nil"/>
              <w:left w:val="single" w:sz="8" w:space="0" w:color="auto"/>
              <w:bottom w:val="nil"/>
              <w:right w:val="single" w:sz="8" w:space="0" w:color="auto"/>
            </w:tcBorders>
            <w:shd w:val="clear" w:color="000000" w:fill="FFFFFF"/>
            <w:noWrap/>
            <w:hideMark/>
          </w:tcPr>
          <w:p w14:paraId="7FF30A84" w14:textId="77777777" w:rsidR="00AF181F" w:rsidRDefault="00AF181F">
            <w:pPr>
              <w:jc w:val="right"/>
              <w:rPr>
                <w:rFonts w:ascii="Arial" w:hAnsi="Arial" w:cs="Arial"/>
              </w:rPr>
            </w:pPr>
            <w:r>
              <w:rPr>
                <w:rFonts w:ascii="Arial" w:hAnsi="Arial" w:cs="Arial"/>
              </w:rPr>
              <w:t xml:space="preserve">342 </w:t>
            </w:r>
          </w:p>
        </w:tc>
        <w:tc>
          <w:tcPr>
            <w:tcW w:w="1346" w:type="dxa"/>
            <w:tcBorders>
              <w:top w:val="nil"/>
              <w:left w:val="nil"/>
              <w:bottom w:val="nil"/>
              <w:right w:val="single" w:sz="8" w:space="0" w:color="auto"/>
            </w:tcBorders>
            <w:shd w:val="clear" w:color="000000" w:fill="FFFFFF"/>
            <w:noWrap/>
            <w:hideMark/>
          </w:tcPr>
          <w:p w14:paraId="29E76AE8" w14:textId="77777777" w:rsidR="00AF181F" w:rsidRDefault="00AF181F">
            <w:pPr>
              <w:jc w:val="right"/>
              <w:rPr>
                <w:rFonts w:ascii="Arial" w:hAnsi="Arial" w:cs="Arial"/>
              </w:rPr>
            </w:pPr>
            <w:r>
              <w:rPr>
                <w:rFonts w:ascii="Arial" w:hAnsi="Arial" w:cs="Arial"/>
              </w:rPr>
              <w:t xml:space="preserve">320 </w:t>
            </w:r>
          </w:p>
        </w:tc>
        <w:tc>
          <w:tcPr>
            <w:tcW w:w="1196" w:type="dxa"/>
            <w:tcBorders>
              <w:top w:val="nil"/>
              <w:left w:val="nil"/>
              <w:bottom w:val="nil"/>
              <w:right w:val="single" w:sz="8" w:space="0" w:color="auto"/>
            </w:tcBorders>
            <w:shd w:val="clear" w:color="000000" w:fill="FFFFFF"/>
            <w:noWrap/>
            <w:hideMark/>
          </w:tcPr>
          <w:p w14:paraId="2DFD10FC" w14:textId="77777777" w:rsidR="00AF181F" w:rsidRDefault="00AF181F">
            <w:pPr>
              <w:jc w:val="right"/>
              <w:rPr>
                <w:rFonts w:ascii="Arial" w:hAnsi="Arial" w:cs="Arial"/>
              </w:rPr>
            </w:pPr>
            <w:r>
              <w:rPr>
                <w:rFonts w:ascii="Arial" w:hAnsi="Arial" w:cs="Arial"/>
              </w:rPr>
              <w:t xml:space="preserve">332 </w:t>
            </w:r>
          </w:p>
        </w:tc>
        <w:tc>
          <w:tcPr>
            <w:tcW w:w="1497" w:type="dxa"/>
            <w:tcBorders>
              <w:top w:val="nil"/>
              <w:left w:val="nil"/>
              <w:bottom w:val="nil"/>
              <w:right w:val="single" w:sz="8" w:space="0" w:color="auto"/>
            </w:tcBorders>
            <w:shd w:val="clear" w:color="000000" w:fill="FFFFFF"/>
            <w:noWrap/>
            <w:hideMark/>
          </w:tcPr>
          <w:p w14:paraId="6081710E" w14:textId="77777777" w:rsidR="00AF181F" w:rsidRDefault="00AF181F">
            <w:pPr>
              <w:jc w:val="right"/>
              <w:rPr>
                <w:rFonts w:ascii="Arial" w:hAnsi="Arial" w:cs="Arial"/>
              </w:rPr>
            </w:pPr>
            <w:r>
              <w:rPr>
                <w:rFonts w:ascii="Arial" w:hAnsi="Arial" w:cs="Arial"/>
              </w:rPr>
              <w:t xml:space="preserve">12 </w:t>
            </w:r>
          </w:p>
        </w:tc>
        <w:tc>
          <w:tcPr>
            <w:tcW w:w="249" w:type="dxa"/>
            <w:vAlign w:val="center"/>
            <w:hideMark/>
          </w:tcPr>
          <w:p w14:paraId="60DB1A4C" w14:textId="77777777" w:rsidR="00AF181F" w:rsidRDefault="00AF181F">
            <w:pPr>
              <w:rPr>
                <w:sz w:val="20"/>
                <w:szCs w:val="20"/>
              </w:rPr>
            </w:pPr>
          </w:p>
        </w:tc>
      </w:tr>
      <w:tr w:rsidR="00AF181F" w14:paraId="4BD6A94F" w14:textId="77777777" w:rsidTr="00030B86">
        <w:trPr>
          <w:trHeight w:val="307"/>
        </w:trPr>
        <w:tc>
          <w:tcPr>
            <w:tcW w:w="4631" w:type="dxa"/>
            <w:tcBorders>
              <w:top w:val="single" w:sz="4" w:space="0" w:color="auto"/>
              <w:left w:val="single" w:sz="8" w:space="0" w:color="auto"/>
              <w:bottom w:val="single" w:sz="4" w:space="0" w:color="auto"/>
              <w:right w:val="nil"/>
            </w:tcBorders>
            <w:shd w:val="clear" w:color="000000" w:fill="FFFFFF"/>
            <w:vAlign w:val="center"/>
            <w:hideMark/>
          </w:tcPr>
          <w:p w14:paraId="445E1078" w14:textId="77777777" w:rsidR="00AF181F" w:rsidRDefault="00AF181F">
            <w:pPr>
              <w:rPr>
                <w:rFonts w:ascii="Arial" w:hAnsi="Arial" w:cs="Arial"/>
                <w:b/>
                <w:bCs/>
                <w:color w:val="000000"/>
              </w:rPr>
            </w:pPr>
            <w:r>
              <w:rPr>
                <w:rFonts w:ascii="Arial" w:hAnsi="Arial" w:cs="Arial"/>
                <w:b/>
                <w:bCs/>
                <w:color w:val="000000"/>
              </w:rPr>
              <w:t>Clean Air Programme total</w:t>
            </w:r>
          </w:p>
        </w:tc>
        <w:tc>
          <w:tcPr>
            <w:tcW w:w="1196" w:type="dxa"/>
            <w:tcBorders>
              <w:top w:val="single" w:sz="4" w:space="0" w:color="auto"/>
              <w:left w:val="single" w:sz="8" w:space="0" w:color="auto"/>
              <w:bottom w:val="single" w:sz="4" w:space="0" w:color="auto"/>
              <w:right w:val="single" w:sz="8" w:space="0" w:color="auto"/>
            </w:tcBorders>
            <w:shd w:val="clear" w:color="auto" w:fill="auto"/>
            <w:noWrap/>
            <w:hideMark/>
          </w:tcPr>
          <w:p w14:paraId="67AAAA9A" w14:textId="77777777" w:rsidR="00AF181F" w:rsidRDefault="00AF181F">
            <w:pPr>
              <w:jc w:val="right"/>
              <w:rPr>
                <w:rFonts w:ascii="Arial" w:hAnsi="Arial" w:cs="Arial"/>
                <w:b/>
                <w:bCs/>
              </w:rPr>
            </w:pPr>
            <w:r>
              <w:rPr>
                <w:rFonts w:ascii="Arial" w:hAnsi="Arial" w:cs="Arial"/>
                <w:b/>
                <w:bCs/>
              </w:rPr>
              <w:t xml:space="preserve">15,632 </w:t>
            </w:r>
          </w:p>
        </w:tc>
        <w:tc>
          <w:tcPr>
            <w:tcW w:w="1346" w:type="dxa"/>
            <w:tcBorders>
              <w:top w:val="single" w:sz="4" w:space="0" w:color="auto"/>
              <w:left w:val="nil"/>
              <w:bottom w:val="single" w:sz="4" w:space="0" w:color="auto"/>
              <w:right w:val="single" w:sz="8" w:space="0" w:color="auto"/>
            </w:tcBorders>
            <w:shd w:val="clear" w:color="auto" w:fill="auto"/>
            <w:noWrap/>
            <w:hideMark/>
          </w:tcPr>
          <w:p w14:paraId="195FBC13" w14:textId="77777777" w:rsidR="00AF181F" w:rsidRDefault="00AF181F">
            <w:pPr>
              <w:jc w:val="right"/>
              <w:rPr>
                <w:rFonts w:ascii="Arial" w:hAnsi="Arial" w:cs="Arial"/>
                <w:b/>
                <w:bCs/>
              </w:rPr>
            </w:pPr>
            <w:r>
              <w:rPr>
                <w:rFonts w:ascii="Arial" w:hAnsi="Arial" w:cs="Arial"/>
                <w:b/>
                <w:bCs/>
              </w:rPr>
              <w:t xml:space="preserve">32,934 </w:t>
            </w:r>
          </w:p>
        </w:tc>
        <w:tc>
          <w:tcPr>
            <w:tcW w:w="1196" w:type="dxa"/>
            <w:tcBorders>
              <w:top w:val="single" w:sz="4" w:space="0" w:color="auto"/>
              <w:left w:val="nil"/>
              <w:bottom w:val="single" w:sz="4" w:space="0" w:color="auto"/>
              <w:right w:val="single" w:sz="8" w:space="0" w:color="auto"/>
            </w:tcBorders>
            <w:shd w:val="clear" w:color="auto" w:fill="auto"/>
            <w:noWrap/>
            <w:hideMark/>
          </w:tcPr>
          <w:p w14:paraId="08BEEE7C" w14:textId="77777777" w:rsidR="00AF181F" w:rsidRDefault="00AF181F">
            <w:pPr>
              <w:jc w:val="right"/>
              <w:rPr>
                <w:rFonts w:ascii="Arial" w:hAnsi="Arial" w:cs="Arial"/>
                <w:b/>
                <w:bCs/>
              </w:rPr>
            </w:pPr>
            <w:r>
              <w:rPr>
                <w:rFonts w:ascii="Arial" w:hAnsi="Arial" w:cs="Arial"/>
                <w:b/>
                <w:bCs/>
              </w:rPr>
              <w:t xml:space="preserve">25,394 </w:t>
            </w:r>
          </w:p>
        </w:tc>
        <w:tc>
          <w:tcPr>
            <w:tcW w:w="1497" w:type="dxa"/>
            <w:tcBorders>
              <w:top w:val="single" w:sz="4" w:space="0" w:color="auto"/>
              <w:left w:val="nil"/>
              <w:bottom w:val="single" w:sz="4" w:space="0" w:color="auto"/>
              <w:right w:val="single" w:sz="8" w:space="0" w:color="auto"/>
            </w:tcBorders>
            <w:shd w:val="clear" w:color="auto" w:fill="auto"/>
            <w:noWrap/>
            <w:hideMark/>
          </w:tcPr>
          <w:p w14:paraId="1FCFCCC3" w14:textId="77777777" w:rsidR="00AF181F" w:rsidRDefault="00AF181F">
            <w:pPr>
              <w:jc w:val="right"/>
              <w:rPr>
                <w:rFonts w:ascii="Arial" w:hAnsi="Arial" w:cs="Arial"/>
                <w:b/>
                <w:bCs/>
              </w:rPr>
            </w:pPr>
            <w:r>
              <w:rPr>
                <w:rFonts w:ascii="Arial" w:hAnsi="Arial" w:cs="Arial"/>
                <w:b/>
                <w:bCs/>
              </w:rPr>
              <w:t>(7,540)</w:t>
            </w:r>
          </w:p>
        </w:tc>
        <w:tc>
          <w:tcPr>
            <w:tcW w:w="249" w:type="dxa"/>
            <w:vAlign w:val="center"/>
            <w:hideMark/>
          </w:tcPr>
          <w:p w14:paraId="01EF13C9" w14:textId="77777777" w:rsidR="00AF181F" w:rsidRDefault="00AF181F">
            <w:pPr>
              <w:rPr>
                <w:sz w:val="20"/>
                <w:szCs w:val="20"/>
              </w:rPr>
            </w:pPr>
          </w:p>
        </w:tc>
      </w:tr>
      <w:tr w:rsidR="00AF181F" w14:paraId="69B6CAA7"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052A2AC0" w14:textId="77777777" w:rsidR="00AF181F" w:rsidRDefault="00AF181F">
            <w:pPr>
              <w:rPr>
                <w:rFonts w:ascii="Arial" w:hAnsi="Arial" w:cs="Arial"/>
                <w:b/>
                <w:bCs/>
                <w:color w:val="000000"/>
              </w:rPr>
            </w:pPr>
            <w:r>
              <w:rPr>
                <w:rFonts w:ascii="Arial" w:hAnsi="Arial" w:cs="Arial"/>
                <w:b/>
                <w:bCs/>
                <w:color w:val="000000"/>
              </w:rPr>
              <w:t> </w:t>
            </w:r>
          </w:p>
        </w:tc>
        <w:tc>
          <w:tcPr>
            <w:tcW w:w="1196" w:type="dxa"/>
            <w:tcBorders>
              <w:top w:val="nil"/>
              <w:left w:val="single" w:sz="8" w:space="0" w:color="auto"/>
              <w:bottom w:val="nil"/>
              <w:right w:val="nil"/>
            </w:tcBorders>
            <w:shd w:val="clear" w:color="000000" w:fill="FFFFFF"/>
            <w:vAlign w:val="center"/>
            <w:hideMark/>
          </w:tcPr>
          <w:p w14:paraId="3DB6B335" w14:textId="77777777" w:rsidR="00AF181F" w:rsidRDefault="00AF181F">
            <w:pPr>
              <w:jc w:val="right"/>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2505DF95" w14:textId="77777777" w:rsidR="00AF181F" w:rsidRDefault="00AF181F">
            <w:pPr>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6D5F1D1C" w14:textId="77777777" w:rsidR="00AF181F" w:rsidRDefault="00AF181F">
            <w:pPr>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74ECAE09" w14:textId="77777777" w:rsidR="00AF181F" w:rsidRDefault="00AF181F">
            <w:pPr>
              <w:jc w:val="right"/>
              <w:rPr>
                <w:rFonts w:ascii="Arial" w:hAnsi="Arial" w:cs="Arial"/>
                <w:b/>
                <w:bCs/>
                <w:color w:val="000000"/>
              </w:rPr>
            </w:pPr>
            <w:r>
              <w:rPr>
                <w:rFonts w:ascii="Arial" w:hAnsi="Arial" w:cs="Arial"/>
                <w:b/>
                <w:bCs/>
                <w:color w:val="000000"/>
              </w:rPr>
              <w:t> </w:t>
            </w:r>
          </w:p>
        </w:tc>
        <w:tc>
          <w:tcPr>
            <w:tcW w:w="249" w:type="dxa"/>
            <w:vAlign w:val="center"/>
            <w:hideMark/>
          </w:tcPr>
          <w:p w14:paraId="36DD7AA5" w14:textId="77777777" w:rsidR="00AF181F" w:rsidRDefault="00AF181F">
            <w:pPr>
              <w:rPr>
                <w:sz w:val="20"/>
                <w:szCs w:val="20"/>
              </w:rPr>
            </w:pPr>
          </w:p>
        </w:tc>
      </w:tr>
      <w:tr w:rsidR="00AF181F" w14:paraId="3EAF4FA7"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24896A25" w14:textId="77777777" w:rsidR="00AF181F" w:rsidRDefault="00AF181F">
            <w:pPr>
              <w:rPr>
                <w:rFonts w:ascii="Arial" w:hAnsi="Arial" w:cs="Arial"/>
                <w:b/>
                <w:bCs/>
                <w:color w:val="000000"/>
              </w:rPr>
            </w:pPr>
            <w:r>
              <w:rPr>
                <w:rFonts w:ascii="Arial" w:hAnsi="Arial" w:cs="Arial"/>
                <w:b/>
                <w:bCs/>
                <w:color w:val="000000"/>
              </w:rPr>
              <w:t>Other Capital Schemes</w:t>
            </w:r>
          </w:p>
        </w:tc>
        <w:tc>
          <w:tcPr>
            <w:tcW w:w="1196" w:type="dxa"/>
            <w:tcBorders>
              <w:top w:val="nil"/>
              <w:left w:val="single" w:sz="8" w:space="0" w:color="auto"/>
              <w:bottom w:val="nil"/>
              <w:right w:val="nil"/>
            </w:tcBorders>
            <w:shd w:val="clear" w:color="000000" w:fill="FFFFFF"/>
            <w:vAlign w:val="center"/>
            <w:hideMark/>
          </w:tcPr>
          <w:p w14:paraId="46B9E27C" w14:textId="77777777" w:rsidR="00AF181F" w:rsidRDefault="00AF181F">
            <w:pPr>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64328F1A" w14:textId="77777777" w:rsidR="00AF181F" w:rsidRDefault="00AF181F">
            <w:pPr>
              <w:jc w:val="right"/>
              <w:rPr>
                <w:rFonts w:ascii="Arial" w:hAnsi="Arial" w:cs="Arial"/>
                <w:color w:val="000000"/>
              </w:rPr>
            </w:pPr>
            <w:r>
              <w:rPr>
                <w:rFonts w:ascii="Arial" w:hAnsi="Arial" w:cs="Arial"/>
                <w:color w:val="000000"/>
              </w:rPr>
              <w:t> </w:t>
            </w:r>
          </w:p>
        </w:tc>
        <w:tc>
          <w:tcPr>
            <w:tcW w:w="1196" w:type="dxa"/>
            <w:tcBorders>
              <w:top w:val="nil"/>
              <w:left w:val="nil"/>
              <w:bottom w:val="nil"/>
              <w:right w:val="single" w:sz="8" w:space="0" w:color="auto"/>
            </w:tcBorders>
            <w:shd w:val="clear" w:color="000000" w:fill="FFFFFF"/>
            <w:vAlign w:val="center"/>
            <w:hideMark/>
          </w:tcPr>
          <w:p w14:paraId="02A8D368" w14:textId="77777777" w:rsidR="00AF181F" w:rsidRDefault="00AF181F">
            <w:pPr>
              <w:jc w:val="right"/>
              <w:rPr>
                <w:rFonts w:ascii="Arial" w:hAnsi="Arial" w:cs="Arial"/>
                <w:color w:val="000000"/>
              </w:rPr>
            </w:pPr>
            <w:r>
              <w:rPr>
                <w:rFonts w:ascii="Arial" w:hAnsi="Arial" w:cs="Arial"/>
                <w:color w:val="000000"/>
              </w:rPr>
              <w:t> </w:t>
            </w:r>
          </w:p>
        </w:tc>
        <w:tc>
          <w:tcPr>
            <w:tcW w:w="1497" w:type="dxa"/>
            <w:tcBorders>
              <w:top w:val="nil"/>
              <w:left w:val="nil"/>
              <w:bottom w:val="nil"/>
              <w:right w:val="single" w:sz="8" w:space="0" w:color="auto"/>
            </w:tcBorders>
            <w:shd w:val="clear" w:color="000000" w:fill="FFFFFF"/>
            <w:vAlign w:val="center"/>
            <w:hideMark/>
          </w:tcPr>
          <w:p w14:paraId="21C2F308" w14:textId="77777777" w:rsidR="00AF181F" w:rsidRDefault="00AF181F">
            <w:pPr>
              <w:jc w:val="right"/>
              <w:rPr>
                <w:rFonts w:ascii="Arial" w:hAnsi="Arial" w:cs="Arial"/>
                <w:color w:val="000000"/>
              </w:rPr>
            </w:pPr>
            <w:r>
              <w:rPr>
                <w:rFonts w:ascii="Arial" w:hAnsi="Arial" w:cs="Arial"/>
                <w:color w:val="000000"/>
              </w:rPr>
              <w:t> </w:t>
            </w:r>
          </w:p>
        </w:tc>
        <w:tc>
          <w:tcPr>
            <w:tcW w:w="249" w:type="dxa"/>
            <w:vAlign w:val="center"/>
            <w:hideMark/>
          </w:tcPr>
          <w:p w14:paraId="4EF240DD" w14:textId="77777777" w:rsidR="00AF181F" w:rsidRDefault="00AF181F">
            <w:pPr>
              <w:rPr>
                <w:sz w:val="20"/>
                <w:szCs w:val="20"/>
              </w:rPr>
            </w:pPr>
          </w:p>
        </w:tc>
      </w:tr>
      <w:tr w:rsidR="00AF181F" w14:paraId="51DBD8E3"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668F8CB0" w14:textId="77777777" w:rsidR="00AF181F" w:rsidRDefault="00AF181F">
            <w:pPr>
              <w:rPr>
                <w:rFonts w:ascii="Arial" w:hAnsi="Arial" w:cs="Arial"/>
                <w:color w:val="000000"/>
              </w:rPr>
            </w:pPr>
            <w:r>
              <w:rPr>
                <w:rFonts w:ascii="Arial" w:hAnsi="Arial" w:cs="Arial"/>
                <w:color w:val="000000"/>
              </w:rPr>
              <w:t>CCAG 2</w:t>
            </w:r>
          </w:p>
        </w:tc>
        <w:tc>
          <w:tcPr>
            <w:tcW w:w="1196" w:type="dxa"/>
            <w:tcBorders>
              <w:top w:val="nil"/>
              <w:left w:val="single" w:sz="8" w:space="0" w:color="auto"/>
              <w:bottom w:val="nil"/>
              <w:right w:val="single" w:sz="8" w:space="0" w:color="auto"/>
            </w:tcBorders>
            <w:shd w:val="clear" w:color="000000" w:fill="FFFFFF"/>
            <w:noWrap/>
            <w:hideMark/>
          </w:tcPr>
          <w:p w14:paraId="2C151FAB" w14:textId="77777777" w:rsidR="00AF181F" w:rsidRDefault="00AF181F">
            <w:pPr>
              <w:jc w:val="right"/>
              <w:rPr>
                <w:rFonts w:ascii="Arial" w:hAnsi="Arial" w:cs="Arial"/>
              </w:rPr>
            </w:pPr>
            <w:r>
              <w:rPr>
                <w:rFonts w:ascii="Arial" w:hAnsi="Arial" w:cs="Arial"/>
              </w:rPr>
              <w:t xml:space="preserve">2,179 </w:t>
            </w:r>
          </w:p>
        </w:tc>
        <w:tc>
          <w:tcPr>
            <w:tcW w:w="1346" w:type="dxa"/>
            <w:tcBorders>
              <w:top w:val="nil"/>
              <w:left w:val="nil"/>
              <w:bottom w:val="nil"/>
              <w:right w:val="single" w:sz="8" w:space="0" w:color="auto"/>
            </w:tcBorders>
            <w:shd w:val="clear" w:color="000000" w:fill="FFFFFF"/>
            <w:noWrap/>
            <w:hideMark/>
          </w:tcPr>
          <w:p w14:paraId="416CB3E5" w14:textId="77777777" w:rsidR="00AF181F" w:rsidRDefault="00AF181F">
            <w:pPr>
              <w:jc w:val="right"/>
              <w:rPr>
                <w:rFonts w:ascii="Arial" w:hAnsi="Arial" w:cs="Arial"/>
              </w:rPr>
            </w:pPr>
            <w:r>
              <w:rPr>
                <w:rFonts w:ascii="Arial" w:hAnsi="Arial" w:cs="Arial"/>
              </w:rPr>
              <w:t xml:space="preserve">1,732 </w:t>
            </w:r>
          </w:p>
        </w:tc>
        <w:tc>
          <w:tcPr>
            <w:tcW w:w="1196" w:type="dxa"/>
            <w:tcBorders>
              <w:top w:val="nil"/>
              <w:left w:val="nil"/>
              <w:bottom w:val="nil"/>
              <w:right w:val="single" w:sz="8" w:space="0" w:color="auto"/>
            </w:tcBorders>
            <w:shd w:val="clear" w:color="000000" w:fill="FFFFFF"/>
            <w:noWrap/>
            <w:hideMark/>
          </w:tcPr>
          <w:p w14:paraId="023E2AB1" w14:textId="77777777" w:rsidR="00AF181F" w:rsidRDefault="00AF181F">
            <w:pPr>
              <w:jc w:val="right"/>
              <w:rPr>
                <w:rFonts w:ascii="Arial" w:hAnsi="Arial" w:cs="Arial"/>
              </w:rPr>
            </w:pPr>
            <w:r>
              <w:rPr>
                <w:rFonts w:ascii="Arial" w:hAnsi="Arial" w:cs="Arial"/>
              </w:rPr>
              <w:t xml:space="preserve">1,625 </w:t>
            </w:r>
          </w:p>
        </w:tc>
        <w:tc>
          <w:tcPr>
            <w:tcW w:w="1497" w:type="dxa"/>
            <w:tcBorders>
              <w:top w:val="nil"/>
              <w:left w:val="nil"/>
              <w:bottom w:val="nil"/>
              <w:right w:val="single" w:sz="8" w:space="0" w:color="auto"/>
            </w:tcBorders>
            <w:shd w:val="clear" w:color="000000" w:fill="FFFFFF"/>
            <w:noWrap/>
            <w:hideMark/>
          </w:tcPr>
          <w:p w14:paraId="25F87B41" w14:textId="77777777" w:rsidR="00AF181F" w:rsidRDefault="00AF181F">
            <w:pPr>
              <w:jc w:val="right"/>
              <w:rPr>
                <w:rFonts w:ascii="Arial" w:hAnsi="Arial" w:cs="Arial"/>
              </w:rPr>
            </w:pPr>
            <w:r>
              <w:rPr>
                <w:rFonts w:ascii="Arial" w:hAnsi="Arial" w:cs="Arial"/>
              </w:rPr>
              <w:t>(107)</w:t>
            </w:r>
          </w:p>
        </w:tc>
        <w:tc>
          <w:tcPr>
            <w:tcW w:w="249" w:type="dxa"/>
            <w:vAlign w:val="center"/>
            <w:hideMark/>
          </w:tcPr>
          <w:p w14:paraId="489D33DF" w14:textId="77777777" w:rsidR="00AF181F" w:rsidRDefault="00AF181F">
            <w:pPr>
              <w:rPr>
                <w:sz w:val="20"/>
                <w:szCs w:val="20"/>
              </w:rPr>
            </w:pPr>
          </w:p>
        </w:tc>
      </w:tr>
      <w:tr w:rsidR="00AF181F" w14:paraId="47288C47"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7A1C655C" w14:textId="77777777" w:rsidR="00AF181F" w:rsidRDefault="00AF181F">
            <w:pPr>
              <w:rPr>
                <w:rFonts w:ascii="Arial" w:hAnsi="Arial" w:cs="Arial"/>
                <w:color w:val="000000"/>
              </w:rPr>
            </w:pPr>
            <w:r>
              <w:rPr>
                <w:rFonts w:ascii="Arial" w:hAnsi="Arial" w:cs="Arial"/>
                <w:color w:val="000000"/>
              </w:rPr>
              <w:t>TCF - Mayors Challenge Fund</w:t>
            </w:r>
          </w:p>
        </w:tc>
        <w:tc>
          <w:tcPr>
            <w:tcW w:w="1196" w:type="dxa"/>
            <w:tcBorders>
              <w:top w:val="nil"/>
              <w:left w:val="single" w:sz="8" w:space="0" w:color="auto"/>
              <w:bottom w:val="nil"/>
              <w:right w:val="single" w:sz="8" w:space="0" w:color="auto"/>
            </w:tcBorders>
            <w:shd w:val="clear" w:color="000000" w:fill="FFFFFF"/>
            <w:noWrap/>
            <w:hideMark/>
          </w:tcPr>
          <w:p w14:paraId="2E698604" w14:textId="77777777" w:rsidR="00AF181F" w:rsidRDefault="00AF181F">
            <w:pPr>
              <w:jc w:val="right"/>
              <w:rPr>
                <w:rFonts w:ascii="Arial" w:hAnsi="Arial" w:cs="Arial"/>
              </w:rPr>
            </w:pPr>
            <w:r>
              <w:rPr>
                <w:rFonts w:ascii="Arial" w:hAnsi="Arial" w:cs="Arial"/>
              </w:rPr>
              <w:t xml:space="preserve">54,290 </w:t>
            </w:r>
          </w:p>
        </w:tc>
        <w:tc>
          <w:tcPr>
            <w:tcW w:w="1346" w:type="dxa"/>
            <w:tcBorders>
              <w:top w:val="nil"/>
              <w:left w:val="nil"/>
              <w:bottom w:val="nil"/>
              <w:right w:val="single" w:sz="8" w:space="0" w:color="auto"/>
            </w:tcBorders>
            <w:shd w:val="clear" w:color="000000" w:fill="FFFFFF"/>
            <w:noWrap/>
            <w:hideMark/>
          </w:tcPr>
          <w:p w14:paraId="21470A37" w14:textId="77777777" w:rsidR="00AF181F" w:rsidRDefault="00AF181F">
            <w:pPr>
              <w:jc w:val="right"/>
              <w:rPr>
                <w:rFonts w:ascii="Arial" w:hAnsi="Arial" w:cs="Arial"/>
              </w:rPr>
            </w:pPr>
            <w:r>
              <w:rPr>
                <w:rFonts w:ascii="Arial" w:hAnsi="Arial" w:cs="Arial"/>
              </w:rPr>
              <w:t xml:space="preserve">40,574 </w:t>
            </w:r>
          </w:p>
        </w:tc>
        <w:tc>
          <w:tcPr>
            <w:tcW w:w="1196" w:type="dxa"/>
            <w:tcBorders>
              <w:top w:val="nil"/>
              <w:left w:val="nil"/>
              <w:bottom w:val="nil"/>
              <w:right w:val="single" w:sz="8" w:space="0" w:color="auto"/>
            </w:tcBorders>
            <w:shd w:val="clear" w:color="000000" w:fill="FFFFFF"/>
            <w:noWrap/>
            <w:hideMark/>
          </w:tcPr>
          <w:p w14:paraId="3D5FB3C0" w14:textId="77777777" w:rsidR="00AF181F" w:rsidRDefault="00AF181F">
            <w:pPr>
              <w:jc w:val="right"/>
              <w:rPr>
                <w:rFonts w:ascii="Arial" w:hAnsi="Arial" w:cs="Arial"/>
              </w:rPr>
            </w:pPr>
            <w:r>
              <w:rPr>
                <w:rFonts w:ascii="Arial" w:hAnsi="Arial" w:cs="Arial"/>
              </w:rPr>
              <w:t xml:space="preserve">40,602 </w:t>
            </w:r>
          </w:p>
        </w:tc>
        <w:tc>
          <w:tcPr>
            <w:tcW w:w="1497" w:type="dxa"/>
            <w:tcBorders>
              <w:top w:val="nil"/>
              <w:left w:val="nil"/>
              <w:bottom w:val="nil"/>
              <w:right w:val="single" w:sz="8" w:space="0" w:color="auto"/>
            </w:tcBorders>
            <w:shd w:val="clear" w:color="000000" w:fill="FFFFFF"/>
            <w:noWrap/>
            <w:hideMark/>
          </w:tcPr>
          <w:p w14:paraId="1B7FA970" w14:textId="77777777" w:rsidR="00AF181F" w:rsidRDefault="00AF181F">
            <w:pPr>
              <w:jc w:val="right"/>
              <w:rPr>
                <w:rFonts w:ascii="Arial" w:hAnsi="Arial" w:cs="Arial"/>
              </w:rPr>
            </w:pPr>
            <w:r>
              <w:rPr>
                <w:rFonts w:ascii="Arial" w:hAnsi="Arial" w:cs="Arial"/>
              </w:rPr>
              <w:t xml:space="preserve">28 </w:t>
            </w:r>
          </w:p>
        </w:tc>
        <w:tc>
          <w:tcPr>
            <w:tcW w:w="249" w:type="dxa"/>
            <w:vAlign w:val="center"/>
            <w:hideMark/>
          </w:tcPr>
          <w:p w14:paraId="0B93FB9E" w14:textId="77777777" w:rsidR="00AF181F" w:rsidRDefault="00AF181F">
            <w:pPr>
              <w:rPr>
                <w:sz w:val="20"/>
                <w:szCs w:val="20"/>
              </w:rPr>
            </w:pPr>
          </w:p>
        </w:tc>
      </w:tr>
      <w:tr w:rsidR="00AF181F" w14:paraId="785A85D6"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799A5C40" w14:textId="77777777" w:rsidR="00AF181F" w:rsidRDefault="00AF181F">
            <w:pPr>
              <w:rPr>
                <w:rFonts w:ascii="Arial" w:hAnsi="Arial" w:cs="Arial"/>
                <w:color w:val="000000"/>
              </w:rPr>
            </w:pPr>
            <w:r>
              <w:rPr>
                <w:rFonts w:ascii="Arial" w:hAnsi="Arial" w:cs="Arial"/>
                <w:color w:val="000000"/>
              </w:rPr>
              <w:t>TCF - Metrolink Capacity Improvement Programme</w:t>
            </w:r>
          </w:p>
        </w:tc>
        <w:tc>
          <w:tcPr>
            <w:tcW w:w="1196" w:type="dxa"/>
            <w:tcBorders>
              <w:top w:val="nil"/>
              <w:left w:val="single" w:sz="8" w:space="0" w:color="auto"/>
              <w:bottom w:val="nil"/>
              <w:right w:val="single" w:sz="8" w:space="0" w:color="auto"/>
            </w:tcBorders>
            <w:shd w:val="clear" w:color="000000" w:fill="FFFFFF"/>
            <w:noWrap/>
            <w:hideMark/>
          </w:tcPr>
          <w:p w14:paraId="31D20900" w14:textId="77777777" w:rsidR="00AF181F" w:rsidRDefault="00AF181F">
            <w:pPr>
              <w:jc w:val="right"/>
              <w:rPr>
                <w:rFonts w:ascii="Arial" w:hAnsi="Arial" w:cs="Arial"/>
              </w:rPr>
            </w:pPr>
            <w:r>
              <w:rPr>
                <w:rFonts w:ascii="Arial" w:hAnsi="Arial" w:cs="Arial"/>
              </w:rPr>
              <w:t xml:space="preserve">18,132 </w:t>
            </w:r>
          </w:p>
        </w:tc>
        <w:tc>
          <w:tcPr>
            <w:tcW w:w="1346" w:type="dxa"/>
            <w:tcBorders>
              <w:top w:val="nil"/>
              <w:left w:val="nil"/>
              <w:bottom w:val="nil"/>
              <w:right w:val="single" w:sz="8" w:space="0" w:color="auto"/>
            </w:tcBorders>
            <w:shd w:val="clear" w:color="000000" w:fill="FFFFFF"/>
            <w:noWrap/>
            <w:hideMark/>
          </w:tcPr>
          <w:p w14:paraId="61B00151" w14:textId="77777777" w:rsidR="00AF181F" w:rsidRDefault="00AF181F">
            <w:pPr>
              <w:jc w:val="right"/>
              <w:rPr>
                <w:rFonts w:ascii="Arial" w:hAnsi="Arial" w:cs="Arial"/>
              </w:rPr>
            </w:pPr>
            <w:r>
              <w:rPr>
                <w:rFonts w:ascii="Arial" w:hAnsi="Arial" w:cs="Arial"/>
              </w:rPr>
              <w:t xml:space="preserve">16,856 </w:t>
            </w:r>
          </w:p>
        </w:tc>
        <w:tc>
          <w:tcPr>
            <w:tcW w:w="1196" w:type="dxa"/>
            <w:tcBorders>
              <w:top w:val="nil"/>
              <w:left w:val="nil"/>
              <w:bottom w:val="nil"/>
              <w:right w:val="single" w:sz="8" w:space="0" w:color="auto"/>
            </w:tcBorders>
            <w:shd w:val="clear" w:color="000000" w:fill="FFFFFF"/>
            <w:noWrap/>
            <w:hideMark/>
          </w:tcPr>
          <w:p w14:paraId="382F62BC" w14:textId="77777777" w:rsidR="00AF181F" w:rsidRDefault="00AF181F">
            <w:pPr>
              <w:jc w:val="right"/>
              <w:rPr>
                <w:rFonts w:ascii="Arial" w:hAnsi="Arial" w:cs="Arial"/>
              </w:rPr>
            </w:pPr>
            <w:r>
              <w:rPr>
                <w:rFonts w:ascii="Arial" w:hAnsi="Arial" w:cs="Arial"/>
              </w:rPr>
              <w:t xml:space="preserve">13,088 </w:t>
            </w:r>
          </w:p>
        </w:tc>
        <w:tc>
          <w:tcPr>
            <w:tcW w:w="1497" w:type="dxa"/>
            <w:tcBorders>
              <w:top w:val="nil"/>
              <w:left w:val="nil"/>
              <w:bottom w:val="nil"/>
              <w:right w:val="single" w:sz="8" w:space="0" w:color="auto"/>
            </w:tcBorders>
            <w:shd w:val="clear" w:color="000000" w:fill="FFFFFF"/>
            <w:noWrap/>
            <w:hideMark/>
          </w:tcPr>
          <w:p w14:paraId="0CEB85C4" w14:textId="77777777" w:rsidR="00AF181F" w:rsidRDefault="00AF181F">
            <w:pPr>
              <w:jc w:val="right"/>
              <w:rPr>
                <w:rFonts w:ascii="Arial" w:hAnsi="Arial" w:cs="Arial"/>
              </w:rPr>
            </w:pPr>
            <w:r>
              <w:rPr>
                <w:rFonts w:ascii="Arial" w:hAnsi="Arial" w:cs="Arial"/>
              </w:rPr>
              <w:t>(3,768)</w:t>
            </w:r>
          </w:p>
        </w:tc>
        <w:tc>
          <w:tcPr>
            <w:tcW w:w="249" w:type="dxa"/>
            <w:vAlign w:val="center"/>
            <w:hideMark/>
          </w:tcPr>
          <w:p w14:paraId="42775DE9" w14:textId="77777777" w:rsidR="00AF181F" w:rsidRDefault="00AF181F">
            <w:pPr>
              <w:rPr>
                <w:sz w:val="20"/>
                <w:szCs w:val="20"/>
              </w:rPr>
            </w:pPr>
          </w:p>
        </w:tc>
      </w:tr>
      <w:tr w:rsidR="00AF181F" w14:paraId="5CC8266B"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3CD6CE9" w14:textId="77777777" w:rsidR="00AF181F" w:rsidRDefault="00AF181F">
            <w:pPr>
              <w:rPr>
                <w:rFonts w:ascii="Arial" w:hAnsi="Arial" w:cs="Arial"/>
                <w:color w:val="000000"/>
              </w:rPr>
            </w:pPr>
            <w:r>
              <w:rPr>
                <w:rFonts w:ascii="Arial" w:hAnsi="Arial" w:cs="Arial"/>
                <w:color w:val="000000"/>
              </w:rPr>
              <w:t xml:space="preserve">Active Travel Fund </w:t>
            </w:r>
          </w:p>
        </w:tc>
        <w:tc>
          <w:tcPr>
            <w:tcW w:w="1196" w:type="dxa"/>
            <w:tcBorders>
              <w:top w:val="nil"/>
              <w:left w:val="single" w:sz="8" w:space="0" w:color="auto"/>
              <w:bottom w:val="nil"/>
              <w:right w:val="single" w:sz="8" w:space="0" w:color="auto"/>
            </w:tcBorders>
            <w:shd w:val="clear" w:color="000000" w:fill="FFFFFF"/>
            <w:noWrap/>
            <w:hideMark/>
          </w:tcPr>
          <w:p w14:paraId="3AD7FE63" w14:textId="77777777" w:rsidR="00AF181F" w:rsidRDefault="00AF181F">
            <w:pPr>
              <w:jc w:val="right"/>
              <w:rPr>
                <w:rFonts w:ascii="Arial" w:hAnsi="Arial" w:cs="Arial"/>
              </w:rPr>
            </w:pPr>
            <w:r>
              <w:rPr>
                <w:rFonts w:ascii="Arial" w:hAnsi="Arial" w:cs="Arial"/>
              </w:rPr>
              <w:t xml:space="preserve">6,697 </w:t>
            </w:r>
          </w:p>
        </w:tc>
        <w:tc>
          <w:tcPr>
            <w:tcW w:w="1346" w:type="dxa"/>
            <w:tcBorders>
              <w:top w:val="nil"/>
              <w:left w:val="nil"/>
              <w:bottom w:val="nil"/>
              <w:right w:val="single" w:sz="8" w:space="0" w:color="auto"/>
            </w:tcBorders>
            <w:shd w:val="clear" w:color="000000" w:fill="FFFFFF"/>
            <w:noWrap/>
            <w:hideMark/>
          </w:tcPr>
          <w:p w14:paraId="0B46EA58" w14:textId="77777777" w:rsidR="00AF181F" w:rsidRDefault="00AF181F">
            <w:pPr>
              <w:jc w:val="right"/>
              <w:rPr>
                <w:rFonts w:ascii="Arial" w:hAnsi="Arial" w:cs="Arial"/>
              </w:rPr>
            </w:pPr>
            <w:r>
              <w:rPr>
                <w:rFonts w:ascii="Arial" w:hAnsi="Arial" w:cs="Arial"/>
              </w:rPr>
              <w:t xml:space="preserve">2,461 </w:t>
            </w:r>
          </w:p>
        </w:tc>
        <w:tc>
          <w:tcPr>
            <w:tcW w:w="1196" w:type="dxa"/>
            <w:tcBorders>
              <w:top w:val="nil"/>
              <w:left w:val="nil"/>
              <w:bottom w:val="nil"/>
              <w:right w:val="single" w:sz="8" w:space="0" w:color="auto"/>
            </w:tcBorders>
            <w:shd w:val="clear" w:color="000000" w:fill="FFFFFF"/>
            <w:noWrap/>
            <w:hideMark/>
          </w:tcPr>
          <w:p w14:paraId="3A98E54C" w14:textId="77777777" w:rsidR="00AF181F" w:rsidRDefault="00AF181F">
            <w:pPr>
              <w:jc w:val="right"/>
              <w:rPr>
                <w:rFonts w:ascii="Arial" w:hAnsi="Arial" w:cs="Arial"/>
              </w:rPr>
            </w:pPr>
            <w:r>
              <w:rPr>
                <w:rFonts w:ascii="Arial" w:hAnsi="Arial" w:cs="Arial"/>
              </w:rPr>
              <w:t xml:space="preserve">1,842 </w:t>
            </w:r>
          </w:p>
        </w:tc>
        <w:tc>
          <w:tcPr>
            <w:tcW w:w="1497" w:type="dxa"/>
            <w:tcBorders>
              <w:top w:val="nil"/>
              <w:left w:val="nil"/>
              <w:bottom w:val="nil"/>
              <w:right w:val="single" w:sz="8" w:space="0" w:color="auto"/>
            </w:tcBorders>
            <w:shd w:val="clear" w:color="000000" w:fill="FFFFFF"/>
            <w:noWrap/>
            <w:hideMark/>
          </w:tcPr>
          <w:p w14:paraId="16A15859" w14:textId="77777777" w:rsidR="00AF181F" w:rsidRDefault="00AF181F">
            <w:pPr>
              <w:jc w:val="right"/>
              <w:rPr>
                <w:rFonts w:ascii="Arial" w:hAnsi="Arial" w:cs="Arial"/>
              </w:rPr>
            </w:pPr>
            <w:r>
              <w:rPr>
                <w:rFonts w:ascii="Arial" w:hAnsi="Arial" w:cs="Arial"/>
              </w:rPr>
              <w:t>(619)</w:t>
            </w:r>
          </w:p>
        </w:tc>
        <w:tc>
          <w:tcPr>
            <w:tcW w:w="249" w:type="dxa"/>
            <w:vAlign w:val="center"/>
            <w:hideMark/>
          </w:tcPr>
          <w:p w14:paraId="46C7099A" w14:textId="77777777" w:rsidR="00AF181F" w:rsidRDefault="00AF181F">
            <w:pPr>
              <w:rPr>
                <w:sz w:val="20"/>
                <w:szCs w:val="20"/>
              </w:rPr>
            </w:pPr>
          </w:p>
        </w:tc>
      </w:tr>
      <w:tr w:rsidR="00AF181F" w14:paraId="726DEA94"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0576D009" w14:textId="77777777" w:rsidR="00AF181F" w:rsidRDefault="00AF181F">
            <w:pPr>
              <w:rPr>
                <w:rFonts w:ascii="Arial" w:hAnsi="Arial" w:cs="Arial"/>
                <w:color w:val="000000"/>
              </w:rPr>
            </w:pPr>
            <w:r>
              <w:rPr>
                <w:rFonts w:ascii="Arial" w:hAnsi="Arial" w:cs="Arial"/>
                <w:color w:val="000000"/>
              </w:rPr>
              <w:t>Access For All</w:t>
            </w:r>
          </w:p>
        </w:tc>
        <w:tc>
          <w:tcPr>
            <w:tcW w:w="1196" w:type="dxa"/>
            <w:tcBorders>
              <w:top w:val="nil"/>
              <w:left w:val="single" w:sz="8" w:space="0" w:color="auto"/>
              <w:bottom w:val="nil"/>
              <w:right w:val="single" w:sz="8" w:space="0" w:color="auto"/>
            </w:tcBorders>
            <w:shd w:val="clear" w:color="000000" w:fill="FFFFFF"/>
            <w:noWrap/>
            <w:hideMark/>
          </w:tcPr>
          <w:p w14:paraId="3A1791BB" w14:textId="77777777" w:rsidR="00AF181F" w:rsidRDefault="00AF181F">
            <w:pPr>
              <w:jc w:val="right"/>
              <w:rPr>
                <w:rFonts w:ascii="Arial" w:hAnsi="Arial" w:cs="Arial"/>
              </w:rPr>
            </w:pPr>
            <w:r>
              <w:rPr>
                <w:rFonts w:ascii="Arial" w:hAnsi="Arial" w:cs="Arial"/>
              </w:rPr>
              <w:t xml:space="preserve">1,788 </w:t>
            </w:r>
          </w:p>
        </w:tc>
        <w:tc>
          <w:tcPr>
            <w:tcW w:w="1346" w:type="dxa"/>
            <w:tcBorders>
              <w:top w:val="nil"/>
              <w:left w:val="nil"/>
              <w:bottom w:val="nil"/>
              <w:right w:val="single" w:sz="8" w:space="0" w:color="auto"/>
            </w:tcBorders>
            <w:shd w:val="clear" w:color="000000" w:fill="FFFFFF"/>
            <w:noWrap/>
            <w:hideMark/>
          </w:tcPr>
          <w:p w14:paraId="353E9012" w14:textId="77777777" w:rsidR="00AF181F" w:rsidRDefault="00AF181F">
            <w:pPr>
              <w:jc w:val="right"/>
              <w:rPr>
                <w:rFonts w:ascii="Arial" w:hAnsi="Arial" w:cs="Arial"/>
              </w:rPr>
            </w:pPr>
            <w:r>
              <w:rPr>
                <w:rFonts w:ascii="Arial" w:hAnsi="Arial" w:cs="Arial"/>
              </w:rPr>
              <w:t xml:space="preserve">624 </w:t>
            </w:r>
          </w:p>
        </w:tc>
        <w:tc>
          <w:tcPr>
            <w:tcW w:w="1196" w:type="dxa"/>
            <w:tcBorders>
              <w:top w:val="nil"/>
              <w:left w:val="nil"/>
              <w:bottom w:val="nil"/>
              <w:right w:val="single" w:sz="8" w:space="0" w:color="auto"/>
            </w:tcBorders>
            <w:shd w:val="clear" w:color="000000" w:fill="FFFFFF"/>
            <w:noWrap/>
            <w:hideMark/>
          </w:tcPr>
          <w:p w14:paraId="3C29D3E9" w14:textId="77777777" w:rsidR="00AF181F" w:rsidRDefault="00AF181F">
            <w:pPr>
              <w:jc w:val="right"/>
              <w:rPr>
                <w:rFonts w:ascii="Arial" w:hAnsi="Arial" w:cs="Arial"/>
              </w:rPr>
            </w:pPr>
            <w:r>
              <w:rPr>
                <w:rFonts w:ascii="Arial" w:hAnsi="Arial" w:cs="Arial"/>
              </w:rPr>
              <w:t xml:space="preserve">463 </w:t>
            </w:r>
          </w:p>
        </w:tc>
        <w:tc>
          <w:tcPr>
            <w:tcW w:w="1497" w:type="dxa"/>
            <w:tcBorders>
              <w:top w:val="nil"/>
              <w:left w:val="nil"/>
              <w:bottom w:val="nil"/>
              <w:right w:val="single" w:sz="8" w:space="0" w:color="auto"/>
            </w:tcBorders>
            <w:shd w:val="clear" w:color="000000" w:fill="FFFFFF"/>
            <w:noWrap/>
            <w:hideMark/>
          </w:tcPr>
          <w:p w14:paraId="2BB37587" w14:textId="77777777" w:rsidR="00AF181F" w:rsidRDefault="00AF181F">
            <w:pPr>
              <w:jc w:val="right"/>
              <w:rPr>
                <w:rFonts w:ascii="Arial" w:hAnsi="Arial" w:cs="Arial"/>
              </w:rPr>
            </w:pPr>
            <w:r>
              <w:rPr>
                <w:rFonts w:ascii="Arial" w:hAnsi="Arial" w:cs="Arial"/>
              </w:rPr>
              <w:t>(161)</w:t>
            </w:r>
          </w:p>
        </w:tc>
        <w:tc>
          <w:tcPr>
            <w:tcW w:w="249" w:type="dxa"/>
            <w:vAlign w:val="center"/>
            <w:hideMark/>
          </w:tcPr>
          <w:p w14:paraId="1EB07464" w14:textId="77777777" w:rsidR="00AF181F" w:rsidRDefault="00AF181F">
            <w:pPr>
              <w:rPr>
                <w:sz w:val="20"/>
                <w:szCs w:val="20"/>
              </w:rPr>
            </w:pPr>
          </w:p>
        </w:tc>
      </w:tr>
      <w:tr w:rsidR="00AF181F" w14:paraId="4059D51C" w14:textId="77777777" w:rsidTr="00030B86">
        <w:trPr>
          <w:trHeight w:val="307"/>
        </w:trPr>
        <w:tc>
          <w:tcPr>
            <w:tcW w:w="4631" w:type="dxa"/>
            <w:tcBorders>
              <w:top w:val="single" w:sz="4" w:space="0" w:color="auto"/>
              <w:left w:val="single" w:sz="8" w:space="0" w:color="auto"/>
              <w:bottom w:val="single" w:sz="8" w:space="0" w:color="auto"/>
              <w:right w:val="nil"/>
            </w:tcBorders>
            <w:shd w:val="clear" w:color="000000" w:fill="FFFFFF"/>
            <w:vAlign w:val="center"/>
            <w:hideMark/>
          </w:tcPr>
          <w:p w14:paraId="7DCD3030" w14:textId="77777777" w:rsidR="00AF181F" w:rsidRDefault="00AF181F">
            <w:pPr>
              <w:rPr>
                <w:rFonts w:ascii="Arial" w:hAnsi="Arial" w:cs="Arial"/>
                <w:b/>
                <w:bCs/>
                <w:color w:val="000000"/>
              </w:rPr>
            </w:pPr>
            <w:r>
              <w:rPr>
                <w:rFonts w:ascii="Arial" w:hAnsi="Arial" w:cs="Arial"/>
                <w:b/>
                <w:bCs/>
                <w:color w:val="000000"/>
              </w:rPr>
              <w:t>Other Capital Schemes total</w:t>
            </w:r>
          </w:p>
        </w:tc>
        <w:tc>
          <w:tcPr>
            <w:tcW w:w="1196" w:type="dxa"/>
            <w:tcBorders>
              <w:top w:val="single" w:sz="4" w:space="0" w:color="auto"/>
              <w:left w:val="single" w:sz="8" w:space="0" w:color="auto"/>
              <w:bottom w:val="single" w:sz="8" w:space="0" w:color="auto"/>
              <w:right w:val="single" w:sz="8" w:space="0" w:color="auto"/>
            </w:tcBorders>
            <w:shd w:val="clear" w:color="auto" w:fill="auto"/>
            <w:noWrap/>
            <w:hideMark/>
          </w:tcPr>
          <w:p w14:paraId="43BEAE87" w14:textId="77777777" w:rsidR="00AF181F" w:rsidRDefault="00AF181F">
            <w:pPr>
              <w:jc w:val="right"/>
              <w:rPr>
                <w:rFonts w:ascii="Arial" w:hAnsi="Arial" w:cs="Arial"/>
                <w:b/>
                <w:bCs/>
              </w:rPr>
            </w:pPr>
            <w:r>
              <w:rPr>
                <w:rFonts w:ascii="Arial" w:hAnsi="Arial" w:cs="Arial"/>
                <w:b/>
                <w:bCs/>
              </w:rPr>
              <w:t xml:space="preserve">83,086 </w:t>
            </w:r>
          </w:p>
        </w:tc>
        <w:tc>
          <w:tcPr>
            <w:tcW w:w="1346" w:type="dxa"/>
            <w:tcBorders>
              <w:top w:val="single" w:sz="4" w:space="0" w:color="auto"/>
              <w:left w:val="nil"/>
              <w:bottom w:val="single" w:sz="8" w:space="0" w:color="auto"/>
              <w:right w:val="single" w:sz="8" w:space="0" w:color="auto"/>
            </w:tcBorders>
            <w:shd w:val="clear" w:color="auto" w:fill="auto"/>
            <w:noWrap/>
            <w:hideMark/>
          </w:tcPr>
          <w:p w14:paraId="053A4C16" w14:textId="77777777" w:rsidR="00AF181F" w:rsidRDefault="00AF181F">
            <w:pPr>
              <w:jc w:val="right"/>
              <w:rPr>
                <w:rFonts w:ascii="Arial" w:hAnsi="Arial" w:cs="Arial"/>
                <w:b/>
                <w:bCs/>
              </w:rPr>
            </w:pPr>
            <w:r>
              <w:rPr>
                <w:rFonts w:ascii="Arial" w:hAnsi="Arial" w:cs="Arial"/>
                <w:b/>
                <w:bCs/>
              </w:rPr>
              <w:t xml:space="preserve">62,247 </w:t>
            </w:r>
          </w:p>
        </w:tc>
        <w:tc>
          <w:tcPr>
            <w:tcW w:w="1196" w:type="dxa"/>
            <w:tcBorders>
              <w:top w:val="single" w:sz="4" w:space="0" w:color="auto"/>
              <w:left w:val="nil"/>
              <w:bottom w:val="single" w:sz="8" w:space="0" w:color="auto"/>
              <w:right w:val="single" w:sz="8" w:space="0" w:color="auto"/>
            </w:tcBorders>
            <w:shd w:val="clear" w:color="auto" w:fill="auto"/>
            <w:noWrap/>
            <w:hideMark/>
          </w:tcPr>
          <w:p w14:paraId="28858FB5" w14:textId="77777777" w:rsidR="00AF181F" w:rsidRDefault="00AF181F">
            <w:pPr>
              <w:jc w:val="right"/>
              <w:rPr>
                <w:rFonts w:ascii="Arial" w:hAnsi="Arial" w:cs="Arial"/>
                <w:b/>
                <w:bCs/>
              </w:rPr>
            </w:pPr>
            <w:r>
              <w:rPr>
                <w:rFonts w:ascii="Arial" w:hAnsi="Arial" w:cs="Arial"/>
                <w:b/>
                <w:bCs/>
              </w:rPr>
              <w:t xml:space="preserve">57,620 </w:t>
            </w:r>
          </w:p>
        </w:tc>
        <w:tc>
          <w:tcPr>
            <w:tcW w:w="1497" w:type="dxa"/>
            <w:tcBorders>
              <w:top w:val="single" w:sz="4" w:space="0" w:color="auto"/>
              <w:left w:val="nil"/>
              <w:bottom w:val="single" w:sz="8" w:space="0" w:color="auto"/>
              <w:right w:val="single" w:sz="8" w:space="0" w:color="auto"/>
            </w:tcBorders>
            <w:shd w:val="clear" w:color="auto" w:fill="auto"/>
            <w:noWrap/>
            <w:hideMark/>
          </w:tcPr>
          <w:p w14:paraId="26E6D092" w14:textId="77777777" w:rsidR="00AF181F" w:rsidRDefault="00AF181F">
            <w:pPr>
              <w:jc w:val="right"/>
              <w:rPr>
                <w:rFonts w:ascii="Arial" w:hAnsi="Arial" w:cs="Arial"/>
                <w:b/>
                <w:bCs/>
              </w:rPr>
            </w:pPr>
            <w:r>
              <w:rPr>
                <w:rFonts w:ascii="Arial" w:hAnsi="Arial" w:cs="Arial"/>
                <w:b/>
                <w:bCs/>
              </w:rPr>
              <w:t>(4,627)</w:t>
            </w:r>
          </w:p>
        </w:tc>
        <w:tc>
          <w:tcPr>
            <w:tcW w:w="249" w:type="dxa"/>
            <w:vAlign w:val="center"/>
            <w:hideMark/>
          </w:tcPr>
          <w:p w14:paraId="7FDC4541" w14:textId="77777777" w:rsidR="00AF181F" w:rsidRDefault="00AF181F">
            <w:pPr>
              <w:rPr>
                <w:sz w:val="20"/>
                <w:szCs w:val="20"/>
              </w:rPr>
            </w:pPr>
          </w:p>
        </w:tc>
      </w:tr>
    </w:tbl>
    <w:p w14:paraId="3E066C27" w14:textId="4A227C9B" w:rsidR="00BC716D" w:rsidRDefault="00BC716D" w:rsidP="00016C24">
      <w:pPr>
        <w:pStyle w:val="Normal0"/>
        <w:spacing w:after="160" w:line="240" w:lineRule="auto"/>
        <w:rPr>
          <w:rFonts w:ascii="Arial" w:hAnsi="Arial" w:cs="Arial"/>
          <w:sz w:val="24"/>
          <w:szCs w:val="22"/>
        </w:rPr>
      </w:pPr>
    </w:p>
    <w:p w14:paraId="281334D4" w14:textId="28D18DE5" w:rsidR="00BC716D" w:rsidRDefault="00BC716D" w:rsidP="00016C24">
      <w:pPr>
        <w:pStyle w:val="Normal0"/>
        <w:spacing w:after="160" w:line="240" w:lineRule="auto"/>
        <w:rPr>
          <w:rFonts w:ascii="Arial" w:hAnsi="Arial" w:cs="Arial"/>
          <w:sz w:val="24"/>
          <w:szCs w:val="22"/>
        </w:rPr>
      </w:pPr>
    </w:p>
    <w:p w14:paraId="0A3D453D" w14:textId="6B95EDBB" w:rsidR="00030B86" w:rsidRDefault="00030B86" w:rsidP="00016C24">
      <w:pPr>
        <w:pStyle w:val="Normal0"/>
        <w:spacing w:after="160" w:line="240" w:lineRule="auto"/>
        <w:rPr>
          <w:rFonts w:ascii="Arial" w:hAnsi="Arial" w:cs="Arial"/>
          <w:sz w:val="24"/>
          <w:szCs w:val="22"/>
        </w:rPr>
      </w:pPr>
    </w:p>
    <w:p w14:paraId="71CDFE17" w14:textId="0699AC93" w:rsidR="00030B86" w:rsidRDefault="00030B86" w:rsidP="00016C24">
      <w:pPr>
        <w:pStyle w:val="Normal0"/>
        <w:spacing w:after="160" w:line="240" w:lineRule="auto"/>
        <w:rPr>
          <w:rFonts w:ascii="Arial" w:hAnsi="Arial" w:cs="Arial"/>
          <w:sz w:val="24"/>
          <w:szCs w:val="22"/>
        </w:rPr>
      </w:pPr>
    </w:p>
    <w:p w14:paraId="507E2C63" w14:textId="77777777" w:rsidR="00030B86" w:rsidRDefault="00030B86" w:rsidP="00016C24">
      <w:pPr>
        <w:pStyle w:val="Normal0"/>
        <w:spacing w:after="160" w:line="240" w:lineRule="auto"/>
        <w:rPr>
          <w:rFonts w:ascii="Arial" w:hAnsi="Arial" w:cs="Arial"/>
          <w:sz w:val="24"/>
          <w:szCs w:val="22"/>
        </w:rPr>
      </w:pPr>
    </w:p>
    <w:tbl>
      <w:tblPr>
        <w:tblW w:w="10377" w:type="dxa"/>
        <w:tblLook w:val="04A0" w:firstRow="1" w:lastRow="0" w:firstColumn="1" w:lastColumn="0" w:noHBand="0" w:noVBand="1"/>
      </w:tblPr>
      <w:tblGrid>
        <w:gridCol w:w="4668"/>
        <w:gridCol w:w="1134"/>
        <w:gridCol w:w="1418"/>
        <w:gridCol w:w="1134"/>
        <w:gridCol w:w="1559"/>
        <w:gridCol w:w="464"/>
      </w:tblGrid>
      <w:tr w:rsidR="00030B86" w14:paraId="5D6B47FA" w14:textId="77777777" w:rsidTr="00030B86">
        <w:trPr>
          <w:gridAfter w:val="1"/>
          <w:wAfter w:w="464" w:type="dxa"/>
          <w:trHeight w:val="933"/>
        </w:trPr>
        <w:tc>
          <w:tcPr>
            <w:tcW w:w="4668" w:type="dxa"/>
            <w:vMerge w:val="restart"/>
            <w:tcBorders>
              <w:top w:val="single" w:sz="8" w:space="0" w:color="auto"/>
              <w:left w:val="single" w:sz="8" w:space="0" w:color="auto"/>
              <w:bottom w:val="nil"/>
              <w:right w:val="single" w:sz="8" w:space="0" w:color="auto"/>
            </w:tcBorders>
            <w:shd w:val="clear" w:color="000000" w:fill="FFFFFF"/>
            <w:hideMark/>
          </w:tcPr>
          <w:p w14:paraId="598890A9" w14:textId="77777777" w:rsidR="00030B86" w:rsidRDefault="00030B86">
            <w:pPr>
              <w:rPr>
                <w:rFonts w:ascii="Arial" w:hAnsi="Arial" w:cs="Arial"/>
                <w:b/>
                <w:bCs/>
                <w:color w:val="000000"/>
                <w:lang w:eastAsia="en-GB"/>
              </w:rPr>
            </w:pPr>
            <w:r>
              <w:rPr>
                <w:rFonts w:ascii="Arial" w:hAnsi="Arial" w:cs="Arial"/>
                <w:b/>
                <w:bCs/>
                <w:color w:val="000000"/>
              </w:rPr>
              <w:lastRenderedPageBreak/>
              <w:t>Capital Programme 2021/22 (continued)</w:t>
            </w:r>
          </w:p>
        </w:tc>
        <w:tc>
          <w:tcPr>
            <w:tcW w:w="1134" w:type="dxa"/>
            <w:vMerge w:val="restart"/>
            <w:tcBorders>
              <w:top w:val="single" w:sz="8" w:space="0" w:color="auto"/>
              <w:left w:val="single" w:sz="8" w:space="0" w:color="auto"/>
              <w:bottom w:val="nil"/>
              <w:right w:val="single" w:sz="8" w:space="0" w:color="auto"/>
            </w:tcBorders>
            <w:shd w:val="clear" w:color="000000" w:fill="FFFFFF"/>
            <w:hideMark/>
          </w:tcPr>
          <w:p w14:paraId="67228F5D" w14:textId="77777777" w:rsidR="00030B86" w:rsidRDefault="00030B86">
            <w:pPr>
              <w:jc w:val="center"/>
              <w:rPr>
                <w:rFonts w:ascii="Arial" w:hAnsi="Arial" w:cs="Arial"/>
                <w:b/>
                <w:bCs/>
                <w:color w:val="000000"/>
              </w:rPr>
            </w:pPr>
            <w:r>
              <w:rPr>
                <w:rFonts w:ascii="Arial" w:hAnsi="Arial" w:cs="Arial"/>
                <w:b/>
                <w:bCs/>
                <w:color w:val="000000"/>
              </w:rPr>
              <w:t>Original Budget</w:t>
            </w:r>
          </w:p>
        </w:tc>
        <w:tc>
          <w:tcPr>
            <w:tcW w:w="1418" w:type="dxa"/>
            <w:vMerge w:val="restart"/>
            <w:tcBorders>
              <w:top w:val="single" w:sz="8" w:space="0" w:color="auto"/>
              <w:left w:val="single" w:sz="8" w:space="0" w:color="auto"/>
              <w:bottom w:val="nil"/>
              <w:right w:val="single" w:sz="8" w:space="0" w:color="auto"/>
            </w:tcBorders>
            <w:shd w:val="clear" w:color="000000" w:fill="FFFFFF"/>
            <w:hideMark/>
          </w:tcPr>
          <w:p w14:paraId="33E2D92C" w14:textId="77777777" w:rsidR="00030B86" w:rsidRDefault="00030B86">
            <w:pPr>
              <w:jc w:val="center"/>
              <w:rPr>
                <w:rFonts w:ascii="Arial" w:hAnsi="Arial" w:cs="Arial"/>
                <w:b/>
                <w:bCs/>
                <w:color w:val="000000"/>
              </w:rPr>
            </w:pPr>
            <w:r>
              <w:rPr>
                <w:rFonts w:ascii="Arial" w:hAnsi="Arial" w:cs="Arial"/>
                <w:b/>
                <w:bCs/>
                <w:color w:val="000000"/>
              </w:rPr>
              <w:t>Revised Budget</w:t>
            </w:r>
          </w:p>
        </w:tc>
        <w:tc>
          <w:tcPr>
            <w:tcW w:w="1134" w:type="dxa"/>
            <w:vMerge w:val="restart"/>
            <w:tcBorders>
              <w:top w:val="single" w:sz="8" w:space="0" w:color="auto"/>
              <w:left w:val="single" w:sz="8" w:space="0" w:color="auto"/>
              <w:bottom w:val="nil"/>
              <w:right w:val="single" w:sz="8" w:space="0" w:color="auto"/>
            </w:tcBorders>
            <w:shd w:val="clear" w:color="000000" w:fill="FFFFFF"/>
            <w:hideMark/>
          </w:tcPr>
          <w:p w14:paraId="20B24687" w14:textId="77777777" w:rsidR="00030B86" w:rsidRDefault="00030B86">
            <w:pPr>
              <w:jc w:val="center"/>
              <w:rPr>
                <w:rFonts w:ascii="Arial" w:hAnsi="Arial" w:cs="Arial"/>
                <w:b/>
                <w:bCs/>
                <w:color w:val="000000"/>
              </w:rPr>
            </w:pPr>
            <w:r>
              <w:rPr>
                <w:rFonts w:ascii="Arial" w:hAnsi="Arial" w:cs="Arial"/>
                <w:b/>
                <w:bCs/>
                <w:color w:val="000000"/>
              </w:rPr>
              <w:t xml:space="preserve">Outturn </w:t>
            </w:r>
          </w:p>
        </w:tc>
        <w:tc>
          <w:tcPr>
            <w:tcW w:w="1559" w:type="dxa"/>
            <w:vMerge w:val="restart"/>
            <w:tcBorders>
              <w:top w:val="single" w:sz="8" w:space="0" w:color="auto"/>
              <w:left w:val="single" w:sz="8" w:space="0" w:color="auto"/>
              <w:bottom w:val="nil"/>
              <w:right w:val="single" w:sz="8" w:space="0" w:color="auto"/>
            </w:tcBorders>
            <w:shd w:val="clear" w:color="000000" w:fill="FFFFFF"/>
            <w:hideMark/>
          </w:tcPr>
          <w:p w14:paraId="72485ED7" w14:textId="48D33A22" w:rsidR="00030B86" w:rsidRDefault="00030B86">
            <w:pPr>
              <w:jc w:val="center"/>
              <w:rPr>
                <w:rFonts w:ascii="Arial" w:hAnsi="Arial" w:cs="Arial"/>
                <w:b/>
                <w:bCs/>
                <w:color w:val="000000"/>
              </w:rPr>
            </w:pPr>
            <w:r>
              <w:rPr>
                <w:rFonts w:ascii="Arial" w:hAnsi="Arial" w:cs="Arial"/>
                <w:b/>
                <w:bCs/>
                <w:color w:val="000000"/>
              </w:rPr>
              <w:t>Variance Over</w:t>
            </w:r>
            <w:r w:rsidR="00FD6B88">
              <w:rPr>
                <w:rFonts w:ascii="Arial" w:hAnsi="Arial" w:cs="Arial"/>
                <w:b/>
                <w:bCs/>
                <w:color w:val="000000"/>
              </w:rPr>
              <w:t xml:space="preserve"> / (Under) Spend</w:t>
            </w:r>
          </w:p>
        </w:tc>
      </w:tr>
      <w:tr w:rsidR="00030B86" w14:paraId="127B1029" w14:textId="77777777" w:rsidTr="00030B86">
        <w:trPr>
          <w:trHeight w:val="311"/>
        </w:trPr>
        <w:tc>
          <w:tcPr>
            <w:tcW w:w="4668" w:type="dxa"/>
            <w:vMerge/>
            <w:tcBorders>
              <w:top w:val="single" w:sz="8" w:space="0" w:color="auto"/>
              <w:left w:val="single" w:sz="8" w:space="0" w:color="auto"/>
              <w:bottom w:val="nil"/>
              <w:right w:val="single" w:sz="8" w:space="0" w:color="auto"/>
            </w:tcBorders>
            <w:vAlign w:val="center"/>
            <w:hideMark/>
          </w:tcPr>
          <w:p w14:paraId="77B534FB" w14:textId="77777777" w:rsidR="00030B86" w:rsidRDefault="00030B86">
            <w:pPr>
              <w:rPr>
                <w:rFonts w:ascii="Arial" w:hAnsi="Arial" w:cs="Arial"/>
                <w:b/>
                <w:bCs/>
                <w:color w:val="000000"/>
              </w:rPr>
            </w:pPr>
          </w:p>
        </w:tc>
        <w:tc>
          <w:tcPr>
            <w:tcW w:w="1134" w:type="dxa"/>
            <w:vMerge/>
            <w:tcBorders>
              <w:top w:val="single" w:sz="8" w:space="0" w:color="auto"/>
              <w:left w:val="single" w:sz="8" w:space="0" w:color="auto"/>
              <w:bottom w:val="nil"/>
              <w:right w:val="single" w:sz="8" w:space="0" w:color="auto"/>
            </w:tcBorders>
            <w:vAlign w:val="center"/>
            <w:hideMark/>
          </w:tcPr>
          <w:p w14:paraId="7DBE885A" w14:textId="77777777" w:rsidR="00030B86" w:rsidRDefault="00030B86">
            <w:pPr>
              <w:rPr>
                <w:rFonts w:ascii="Arial" w:hAnsi="Arial" w:cs="Arial"/>
                <w:b/>
                <w:bCs/>
                <w:color w:val="000000"/>
              </w:rPr>
            </w:pPr>
          </w:p>
        </w:tc>
        <w:tc>
          <w:tcPr>
            <w:tcW w:w="1418" w:type="dxa"/>
            <w:vMerge/>
            <w:tcBorders>
              <w:top w:val="single" w:sz="8" w:space="0" w:color="auto"/>
              <w:left w:val="single" w:sz="8" w:space="0" w:color="auto"/>
              <w:bottom w:val="nil"/>
              <w:right w:val="single" w:sz="8" w:space="0" w:color="auto"/>
            </w:tcBorders>
            <w:vAlign w:val="center"/>
            <w:hideMark/>
          </w:tcPr>
          <w:p w14:paraId="1181D89D" w14:textId="77777777" w:rsidR="00030B86" w:rsidRDefault="00030B86">
            <w:pPr>
              <w:rPr>
                <w:rFonts w:ascii="Arial" w:hAnsi="Arial" w:cs="Arial"/>
                <w:b/>
                <w:bCs/>
                <w:color w:val="000000"/>
              </w:rPr>
            </w:pPr>
          </w:p>
        </w:tc>
        <w:tc>
          <w:tcPr>
            <w:tcW w:w="1134" w:type="dxa"/>
            <w:vMerge/>
            <w:tcBorders>
              <w:top w:val="single" w:sz="8" w:space="0" w:color="auto"/>
              <w:left w:val="single" w:sz="8" w:space="0" w:color="auto"/>
              <w:bottom w:val="nil"/>
              <w:right w:val="single" w:sz="8" w:space="0" w:color="auto"/>
            </w:tcBorders>
            <w:vAlign w:val="center"/>
            <w:hideMark/>
          </w:tcPr>
          <w:p w14:paraId="3D5FB283" w14:textId="77777777" w:rsidR="00030B86" w:rsidRDefault="00030B86">
            <w:pPr>
              <w:rPr>
                <w:rFonts w:ascii="Arial" w:hAnsi="Arial" w:cs="Arial"/>
                <w:b/>
                <w:bCs/>
                <w:color w:val="000000"/>
              </w:rPr>
            </w:pPr>
          </w:p>
        </w:tc>
        <w:tc>
          <w:tcPr>
            <w:tcW w:w="1559" w:type="dxa"/>
            <w:vMerge/>
            <w:tcBorders>
              <w:top w:val="single" w:sz="8" w:space="0" w:color="auto"/>
              <w:left w:val="single" w:sz="8" w:space="0" w:color="auto"/>
              <w:bottom w:val="nil"/>
              <w:right w:val="single" w:sz="8" w:space="0" w:color="auto"/>
            </w:tcBorders>
            <w:vAlign w:val="center"/>
            <w:hideMark/>
          </w:tcPr>
          <w:p w14:paraId="1B501D44" w14:textId="77777777" w:rsidR="00030B86" w:rsidRDefault="00030B86">
            <w:pPr>
              <w:rPr>
                <w:rFonts w:ascii="Arial" w:hAnsi="Arial" w:cs="Arial"/>
                <w:b/>
                <w:bCs/>
                <w:color w:val="000000"/>
              </w:rPr>
            </w:pPr>
          </w:p>
        </w:tc>
        <w:tc>
          <w:tcPr>
            <w:tcW w:w="464" w:type="dxa"/>
            <w:tcBorders>
              <w:top w:val="nil"/>
              <w:left w:val="nil"/>
              <w:bottom w:val="nil"/>
              <w:right w:val="nil"/>
            </w:tcBorders>
            <w:shd w:val="clear" w:color="auto" w:fill="auto"/>
            <w:noWrap/>
            <w:vAlign w:val="bottom"/>
            <w:hideMark/>
          </w:tcPr>
          <w:p w14:paraId="6B7F6CBA" w14:textId="77777777" w:rsidR="00030B86" w:rsidRDefault="00030B86">
            <w:pPr>
              <w:jc w:val="center"/>
              <w:rPr>
                <w:rFonts w:ascii="Arial" w:hAnsi="Arial" w:cs="Arial"/>
                <w:b/>
                <w:bCs/>
                <w:color w:val="000000"/>
              </w:rPr>
            </w:pPr>
          </w:p>
        </w:tc>
      </w:tr>
      <w:tr w:rsidR="00030B86" w14:paraId="021DDB92" w14:textId="77777777" w:rsidTr="00030B86">
        <w:trPr>
          <w:trHeight w:val="311"/>
        </w:trPr>
        <w:tc>
          <w:tcPr>
            <w:tcW w:w="4668" w:type="dxa"/>
            <w:tcBorders>
              <w:top w:val="nil"/>
              <w:left w:val="single" w:sz="8" w:space="0" w:color="auto"/>
              <w:bottom w:val="single" w:sz="8" w:space="0" w:color="auto"/>
              <w:right w:val="single" w:sz="8" w:space="0" w:color="auto"/>
            </w:tcBorders>
            <w:shd w:val="clear" w:color="000000" w:fill="FFFFFF"/>
            <w:vAlign w:val="center"/>
            <w:hideMark/>
          </w:tcPr>
          <w:p w14:paraId="1627C0A6" w14:textId="77777777" w:rsidR="00030B86" w:rsidRDefault="00030B86">
            <w:pPr>
              <w:jc w:val="center"/>
              <w:rPr>
                <w:rFonts w:ascii="Arial" w:hAnsi="Arial" w:cs="Arial"/>
                <w:b/>
                <w:bCs/>
                <w:color w:val="003366"/>
              </w:rPr>
            </w:pPr>
            <w:r>
              <w:rPr>
                <w:rFonts w:ascii="Arial" w:hAnsi="Arial" w:cs="Arial"/>
                <w:b/>
                <w:bCs/>
                <w:color w:val="003366"/>
              </w:rPr>
              <w:t> </w:t>
            </w:r>
          </w:p>
        </w:tc>
        <w:tc>
          <w:tcPr>
            <w:tcW w:w="1134" w:type="dxa"/>
            <w:tcBorders>
              <w:top w:val="nil"/>
              <w:left w:val="nil"/>
              <w:bottom w:val="single" w:sz="8" w:space="0" w:color="auto"/>
              <w:right w:val="nil"/>
            </w:tcBorders>
            <w:shd w:val="clear" w:color="000000" w:fill="FFFFFF"/>
            <w:vAlign w:val="center"/>
            <w:hideMark/>
          </w:tcPr>
          <w:p w14:paraId="0E166C49" w14:textId="77777777" w:rsidR="00030B86" w:rsidRDefault="00030B86">
            <w:pPr>
              <w:jc w:val="center"/>
              <w:rPr>
                <w:rFonts w:ascii="Arial" w:hAnsi="Arial" w:cs="Arial"/>
                <w:b/>
                <w:bCs/>
                <w:color w:val="000000"/>
              </w:rPr>
            </w:pPr>
            <w:r>
              <w:rPr>
                <w:rFonts w:ascii="Arial" w:hAnsi="Arial" w:cs="Arial"/>
                <w:b/>
                <w:bCs/>
                <w:color w:val="000000"/>
              </w:rPr>
              <w:t>£000</w:t>
            </w:r>
          </w:p>
        </w:tc>
        <w:tc>
          <w:tcPr>
            <w:tcW w:w="1418" w:type="dxa"/>
            <w:tcBorders>
              <w:top w:val="nil"/>
              <w:left w:val="single" w:sz="8" w:space="0" w:color="auto"/>
              <w:bottom w:val="single" w:sz="8" w:space="0" w:color="auto"/>
              <w:right w:val="nil"/>
            </w:tcBorders>
            <w:shd w:val="clear" w:color="000000" w:fill="FFFFFF"/>
            <w:vAlign w:val="center"/>
            <w:hideMark/>
          </w:tcPr>
          <w:p w14:paraId="0D44E70B" w14:textId="77777777" w:rsidR="00030B86" w:rsidRDefault="00030B86">
            <w:pPr>
              <w:jc w:val="center"/>
              <w:rPr>
                <w:rFonts w:ascii="Arial" w:hAnsi="Arial" w:cs="Arial"/>
                <w:b/>
                <w:bCs/>
                <w:color w:val="000000"/>
              </w:rPr>
            </w:pPr>
            <w:r>
              <w:rPr>
                <w:rFonts w:ascii="Arial" w:hAnsi="Arial" w:cs="Arial"/>
                <w:b/>
                <w:bCs/>
                <w:color w:val="000000"/>
              </w:rPr>
              <w:t>£000</w:t>
            </w:r>
          </w:p>
        </w:tc>
        <w:tc>
          <w:tcPr>
            <w:tcW w:w="1134" w:type="dxa"/>
            <w:tcBorders>
              <w:top w:val="nil"/>
              <w:left w:val="single" w:sz="8" w:space="0" w:color="auto"/>
              <w:bottom w:val="single" w:sz="8" w:space="0" w:color="auto"/>
              <w:right w:val="nil"/>
            </w:tcBorders>
            <w:shd w:val="clear" w:color="000000" w:fill="FFFFFF"/>
            <w:vAlign w:val="center"/>
            <w:hideMark/>
          </w:tcPr>
          <w:p w14:paraId="27603F27" w14:textId="77777777" w:rsidR="00030B86" w:rsidRDefault="00030B86">
            <w:pPr>
              <w:jc w:val="center"/>
              <w:rPr>
                <w:rFonts w:ascii="Arial" w:hAnsi="Arial" w:cs="Arial"/>
                <w:b/>
                <w:bCs/>
                <w:color w:val="000000"/>
              </w:rPr>
            </w:pPr>
            <w:r>
              <w:rPr>
                <w:rFonts w:ascii="Arial" w:hAnsi="Arial" w:cs="Arial"/>
                <w:b/>
                <w:bCs/>
                <w:color w:val="000000"/>
              </w:rPr>
              <w:t>£000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326390D0" w14:textId="77777777" w:rsidR="00030B86" w:rsidRDefault="00030B86">
            <w:pPr>
              <w:jc w:val="center"/>
              <w:rPr>
                <w:rFonts w:ascii="Arial" w:hAnsi="Arial" w:cs="Arial"/>
                <w:b/>
                <w:bCs/>
                <w:color w:val="000000"/>
              </w:rPr>
            </w:pPr>
            <w:r>
              <w:rPr>
                <w:rFonts w:ascii="Arial" w:hAnsi="Arial" w:cs="Arial"/>
                <w:b/>
                <w:bCs/>
                <w:color w:val="000000"/>
              </w:rPr>
              <w:t>£000</w:t>
            </w:r>
          </w:p>
        </w:tc>
        <w:tc>
          <w:tcPr>
            <w:tcW w:w="464" w:type="dxa"/>
            <w:vAlign w:val="center"/>
            <w:hideMark/>
          </w:tcPr>
          <w:p w14:paraId="30B746A4" w14:textId="77777777" w:rsidR="00030B86" w:rsidRDefault="00030B86">
            <w:pPr>
              <w:rPr>
                <w:sz w:val="20"/>
                <w:szCs w:val="20"/>
              </w:rPr>
            </w:pPr>
          </w:p>
        </w:tc>
      </w:tr>
      <w:tr w:rsidR="00030B86" w14:paraId="1E9AD250"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4E7D2949" w14:textId="77777777" w:rsidR="00030B86" w:rsidRDefault="00030B86">
            <w:pPr>
              <w:rPr>
                <w:rFonts w:ascii="Arial" w:hAnsi="Arial" w:cs="Arial"/>
                <w:b/>
                <w:bCs/>
                <w:color w:val="000000"/>
              </w:rPr>
            </w:pPr>
            <w:r>
              <w:rPr>
                <w:rFonts w:ascii="Arial" w:hAnsi="Arial" w:cs="Arial"/>
                <w:b/>
                <w:bCs/>
                <w:color w:val="000000"/>
              </w:rPr>
              <w:t>Growth Deal Majors</w:t>
            </w:r>
          </w:p>
        </w:tc>
        <w:tc>
          <w:tcPr>
            <w:tcW w:w="1134" w:type="dxa"/>
            <w:tcBorders>
              <w:top w:val="nil"/>
              <w:left w:val="single" w:sz="8" w:space="0" w:color="auto"/>
              <w:bottom w:val="nil"/>
              <w:right w:val="nil"/>
            </w:tcBorders>
            <w:shd w:val="clear" w:color="000000" w:fill="FFFFFF"/>
            <w:vAlign w:val="center"/>
            <w:hideMark/>
          </w:tcPr>
          <w:p w14:paraId="32A5A6AC" w14:textId="77777777" w:rsidR="00030B86" w:rsidRDefault="00030B86">
            <w:pPr>
              <w:rPr>
                <w:rFonts w:ascii="Arial" w:hAnsi="Arial" w:cs="Arial"/>
                <w:b/>
                <w:bCs/>
                <w:color w:val="000000"/>
              </w:rPr>
            </w:pPr>
            <w:r>
              <w:rPr>
                <w:rFonts w:ascii="Arial" w:hAnsi="Arial" w:cs="Arial"/>
                <w:b/>
                <w:bCs/>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17F7D41A" w14:textId="77777777" w:rsidR="00030B86" w:rsidRDefault="00030B86">
            <w:pPr>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1990A517" w14:textId="77777777" w:rsidR="00030B86" w:rsidRDefault="00030B86">
            <w:pPr>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5D1A2D4F" w14:textId="77777777" w:rsidR="00030B86" w:rsidRDefault="00030B86">
            <w:pPr>
              <w:jc w:val="right"/>
              <w:rPr>
                <w:rFonts w:ascii="Arial" w:hAnsi="Arial" w:cs="Arial"/>
                <w:color w:val="000000"/>
              </w:rPr>
            </w:pPr>
            <w:r>
              <w:rPr>
                <w:rFonts w:ascii="Arial" w:hAnsi="Arial" w:cs="Arial"/>
                <w:color w:val="000000"/>
              </w:rPr>
              <w:t> </w:t>
            </w:r>
          </w:p>
        </w:tc>
        <w:tc>
          <w:tcPr>
            <w:tcW w:w="464" w:type="dxa"/>
            <w:vAlign w:val="center"/>
            <w:hideMark/>
          </w:tcPr>
          <w:p w14:paraId="50491441" w14:textId="77777777" w:rsidR="00030B86" w:rsidRDefault="00030B86">
            <w:pPr>
              <w:rPr>
                <w:sz w:val="20"/>
                <w:szCs w:val="20"/>
              </w:rPr>
            </w:pPr>
          </w:p>
        </w:tc>
      </w:tr>
      <w:tr w:rsidR="00030B86" w14:paraId="2EE4914E"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34831297" w14:textId="77777777" w:rsidR="00030B86" w:rsidRDefault="00030B86">
            <w:pPr>
              <w:rPr>
                <w:rFonts w:ascii="Arial" w:hAnsi="Arial" w:cs="Arial"/>
                <w:color w:val="000000"/>
              </w:rPr>
            </w:pPr>
            <w:r>
              <w:rPr>
                <w:rFonts w:ascii="Arial" w:hAnsi="Arial" w:cs="Arial"/>
                <w:color w:val="000000"/>
              </w:rPr>
              <w:t>TfGM Majors</w:t>
            </w:r>
          </w:p>
        </w:tc>
        <w:tc>
          <w:tcPr>
            <w:tcW w:w="1134" w:type="dxa"/>
            <w:tcBorders>
              <w:top w:val="nil"/>
              <w:left w:val="single" w:sz="8" w:space="0" w:color="auto"/>
              <w:bottom w:val="nil"/>
              <w:right w:val="single" w:sz="8" w:space="0" w:color="auto"/>
            </w:tcBorders>
            <w:shd w:val="clear" w:color="000000" w:fill="FFFFFF"/>
            <w:noWrap/>
            <w:hideMark/>
          </w:tcPr>
          <w:p w14:paraId="236D084B" w14:textId="77777777" w:rsidR="00030B86" w:rsidRDefault="00030B86">
            <w:pPr>
              <w:jc w:val="right"/>
              <w:rPr>
                <w:rFonts w:ascii="Arial" w:hAnsi="Arial" w:cs="Arial"/>
              </w:rPr>
            </w:pPr>
            <w:r>
              <w:rPr>
                <w:rFonts w:ascii="Arial" w:hAnsi="Arial" w:cs="Arial"/>
              </w:rPr>
              <w:t xml:space="preserve">22,117 </w:t>
            </w:r>
          </w:p>
        </w:tc>
        <w:tc>
          <w:tcPr>
            <w:tcW w:w="1418" w:type="dxa"/>
            <w:tcBorders>
              <w:top w:val="nil"/>
              <w:left w:val="nil"/>
              <w:bottom w:val="nil"/>
              <w:right w:val="single" w:sz="8" w:space="0" w:color="auto"/>
            </w:tcBorders>
            <w:shd w:val="clear" w:color="000000" w:fill="FFFFFF"/>
            <w:noWrap/>
            <w:hideMark/>
          </w:tcPr>
          <w:p w14:paraId="28E3EC21" w14:textId="77777777" w:rsidR="00030B86" w:rsidRDefault="00030B86">
            <w:pPr>
              <w:jc w:val="right"/>
              <w:rPr>
                <w:rFonts w:ascii="Arial" w:hAnsi="Arial" w:cs="Arial"/>
              </w:rPr>
            </w:pPr>
            <w:r>
              <w:rPr>
                <w:rFonts w:ascii="Arial" w:hAnsi="Arial" w:cs="Arial"/>
              </w:rPr>
              <w:t xml:space="preserve">16,765 </w:t>
            </w:r>
          </w:p>
        </w:tc>
        <w:tc>
          <w:tcPr>
            <w:tcW w:w="1134" w:type="dxa"/>
            <w:tcBorders>
              <w:top w:val="nil"/>
              <w:left w:val="nil"/>
              <w:bottom w:val="nil"/>
              <w:right w:val="single" w:sz="8" w:space="0" w:color="auto"/>
            </w:tcBorders>
            <w:shd w:val="clear" w:color="000000" w:fill="FFFFFF"/>
            <w:noWrap/>
            <w:hideMark/>
          </w:tcPr>
          <w:p w14:paraId="4AE68162" w14:textId="77777777" w:rsidR="00030B86" w:rsidRDefault="00030B86">
            <w:pPr>
              <w:jc w:val="right"/>
              <w:rPr>
                <w:rFonts w:ascii="Arial" w:hAnsi="Arial" w:cs="Arial"/>
              </w:rPr>
            </w:pPr>
            <w:r>
              <w:rPr>
                <w:rFonts w:ascii="Arial" w:hAnsi="Arial" w:cs="Arial"/>
              </w:rPr>
              <w:t xml:space="preserve">18,375 </w:t>
            </w:r>
          </w:p>
        </w:tc>
        <w:tc>
          <w:tcPr>
            <w:tcW w:w="1559" w:type="dxa"/>
            <w:tcBorders>
              <w:top w:val="nil"/>
              <w:left w:val="nil"/>
              <w:bottom w:val="nil"/>
              <w:right w:val="single" w:sz="8" w:space="0" w:color="auto"/>
            </w:tcBorders>
            <w:shd w:val="clear" w:color="000000" w:fill="FFFFFF"/>
            <w:noWrap/>
            <w:hideMark/>
          </w:tcPr>
          <w:p w14:paraId="07FE6CD0" w14:textId="77777777" w:rsidR="00030B86" w:rsidRDefault="00030B86">
            <w:pPr>
              <w:jc w:val="right"/>
              <w:rPr>
                <w:rFonts w:ascii="Arial" w:hAnsi="Arial" w:cs="Arial"/>
              </w:rPr>
            </w:pPr>
            <w:r>
              <w:rPr>
                <w:rFonts w:ascii="Arial" w:hAnsi="Arial" w:cs="Arial"/>
              </w:rPr>
              <w:t xml:space="preserve">1,610 </w:t>
            </w:r>
          </w:p>
        </w:tc>
        <w:tc>
          <w:tcPr>
            <w:tcW w:w="464" w:type="dxa"/>
            <w:vAlign w:val="center"/>
            <w:hideMark/>
          </w:tcPr>
          <w:p w14:paraId="46A123BB" w14:textId="77777777" w:rsidR="00030B86" w:rsidRDefault="00030B86">
            <w:pPr>
              <w:rPr>
                <w:sz w:val="20"/>
                <w:szCs w:val="20"/>
              </w:rPr>
            </w:pPr>
          </w:p>
        </w:tc>
      </w:tr>
      <w:tr w:rsidR="00030B86" w14:paraId="4B4C2A0B"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11A7250C" w14:textId="77777777" w:rsidR="00030B86" w:rsidRDefault="00030B86">
            <w:pPr>
              <w:rPr>
                <w:rFonts w:ascii="Arial" w:hAnsi="Arial" w:cs="Arial"/>
                <w:color w:val="000000"/>
              </w:rPr>
            </w:pPr>
            <w:r>
              <w:rPr>
                <w:rFonts w:ascii="Arial" w:hAnsi="Arial" w:cs="Arial"/>
                <w:color w:val="000000"/>
              </w:rPr>
              <w:t>Local Authorities Majors</w:t>
            </w:r>
          </w:p>
        </w:tc>
        <w:tc>
          <w:tcPr>
            <w:tcW w:w="1134" w:type="dxa"/>
            <w:tcBorders>
              <w:top w:val="nil"/>
              <w:left w:val="single" w:sz="8" w:space="0" w:color="auto"/>
              <w:bottom w:val="nil"/>
              <w:right w:val="single" w:sz="8" w:space="0" w:color="auto"/>
            </w:tcBorders>
            <w:shd w:val="clear" w:color="000000" w:fill="FFFFFF"/>
            <w:noWrap/>
            <w:hideMark/>
          </w:tcPr>
          <w:p w14:paraId="5444EA51" w14:textId="77777777" w:rsidR="00030B86" w:rsidRDefault="00030B86">
            <w:pPr>
              <w:jc w:val="right"/>
              <w:rPr>
                <w:rFonts w:ascii="Arial" w:hAnsi="Arial" w:cs="Arial"/>
              </w:rPr>
            </w:pPr>
            <w:r>
              <w:rPr>
                <w:rFonts w:ascii="Arial" w:hAnsi="Arial" w:cs="Arial"/>
              </w:rPr>
              <w:t xml:space="preserve">12,418 </w:t>
            </w:r>
          </w:p>
        </w:tc>
        <w:tc>
          <w:tcPr>
            <w:tcW w:w="1418" w:type="dxa"/>
            <w:tcBorders>
              <w:top w:val="nil"/>
              <w:left w:val="nil"/>
              <w:bottom w:val="nil"/>
              <w:right w:val="single" w:sz="8" w:space="0" w:color="auto"/>
            </w:tcBorders>
            <w:shd w:val="clear" w:color="000000" w:fill="FFFFFF"/>
            <w:noWrap/>
            <w:hideMark/>
          </w:tcPr>
          <w:p w14:paraId="72DDFEAA" w14:textId="77777777" w:rsidR="00030B86" w:rsidRDefault="00030B86">
            <w:pPr>
              <w:jc w:val="right"/>
              <w:rPr>
                <w:rFonts w:ascii="Arial" w:hAnsi="Arial" w:cs="Arial"/>
              </w:rPr>
            </w:pPr>
            <w:r>
              <w:rPr>
                <w:rFonts w:ascii="Arial" w:hAnsi="Arial" w:cs="Arial"/>
              </w:rPr>
              <w:t xml:space="preserve">9,675 </w:t>
            </w:r>
          </w:p>
        </w:tc>
        <w:tc>
          <w:tcPr>
            <w:tcW w:w="1134" w:type="dxa"/>
            <w:tcBorders>
              <w:top w:val="nil"/>
              <w:left w:val="nil"/>
              <w:bottom w:val="nil"/>
              <w:right w:val="single" w:sz="8" w:space="0" w:color="auto"/>
            </w:tcBorders>
            <w:shd w:val="clear" w:color="000000" w:fill="FFFFFF"/>
            <w:noWrap/>
            <w:hideMark/>
          </w:tcPr>
          <w:p w14:paraId="497FA669" w14:textId="77777777" w:rsidR="00030B86" w:rsidRDefault="00030B86">
            <w:pPr>
              <w:jc w:val="right"/>
              <w:rPr>
                <w:rFonts w:ascii="Arial" w:hAnsi="Arial" w:cs="Arial"/>
              </w:rPr>
            </w:pPr>
            <w:r>
              <w:rPr>
                <w:rFonts w:ascii="Arial" w:hAnsi="Arial" w:cs="Arial"/>
              </w:rPr>
              <w:t xml:space="preserve">9,669 </w:t>
            </w:r>
          </w:p>
        </w:tc>
        <w:tc>
          <w:tcPr>
            <w:tcW w:w="1559" w:type="dxa"/>
            <w:tcBorders>
              <w:top w:val="nil"/>
              <w:left w:val="nil"/>
              <w:bottom w:val="nil"/>
              <w:right w:val="single" w:sz="8" w:space="0" w:color="auto"/>
            </w:tcBorders>
            <w:shd w:val="clear" w:color="000000" w:fill="FFFFFF"/>
            <w:noWrap/>
            <w:hideMark/>
          </w:tcPr>
          <w:p w14:paraId="411FDE4A" w14:textId="77777777" w:rsidR="00030B86" w:rsidRDefault="00030B86">
            <w:pPr>
              <w:jc w:val="right"/>
              <w:rPr>
                <w:rFonts w:ascii="Arial" w:hAnsi="Arial" w:cs="Arial"/>
              </w:rPr>
            </w:pPr>
            <w:r>
              <w:rPr>
                <w:rFonts w:ascii="Arial" w:hAnsi="Arial" w:cs="Arial"/>
              </w:rPr>
              <w:t>(6)</w:t>
            </w:r>
          </w:p>
        </w:tc>
        <w:tc>
          <w:tcPr>
            <w:tcW w:w="464" w:type="dxa"/>
            <w:vAlign w:val="center"/>
            <w:hideMark/>
          </w:tcPr>
          <w:p w14:paraId="7E9F960B" w14:textId="77777777" w:rsidR="00030B86" w:rsidRDefault="00030B86">
            <w:pPr>
              <w:rPr>
                <w:sz w:val="20"/>
                <w:szCs w:val="20"/>
              </w:rPr>
            </w:pPr>
          </w:p>
        </w:tc>
      </w:tr>
      <w:tr w:rsidR="00030B86" w14:paraId="01432688" w14:textId="77777777" w:rsidTr="00030B86">
        <w:trPr>
          <w:trHeight w:val="311"/>
        </w:trPr>
        <w:tc>
          <w:tcPr>
            <w:tcW w:w="4668" w:type="dxa"/>
            <w:tcBorders>
              <w:top w:val="single" w:sz="4" w:space="0" w:color="auto"/>
              <w:left w:val="single" w:sz="8" w:space="0" w:color="auto"/>
              <w:bottom w:val="single" w:sz="4" w:space="0" w:color="auto"/>
              <w:right w:val="nil"/>
            </w:tcBorders>
            <w:shd w:val="clear" w:color="000000" w:fill="FFFFFF"/>
            <w:vAlign w:val="center"/>
            <w:hideMark/>
          </w:tcPr>
          <w:p w14:paraId="43F5C030" w14:textId="77777777" w:rsidR="00030B86" w:rsidRDefault="00030B86">
            <w:pPr>
              <w:rPr>
                <w:rFonts w:ascii="Arial" w:hAnsi="Arial" w:cs="Arial"/>
                <w:b/>
                <w:bCs/>
                <w:color w:val="000000"/>
              </w:rPr>
            </w:pPr>
            <w:r>
              <w:rPr>
                <w:rFonts w:ascii="Arial" w:hAnsi="Arial" w:cs="Arial"/>
                <w:b/>
                <w:bCs/>
                <w:color w:val="000000"/>
              </w:rPr>
              <w:t>Growth Deal total</w:t>
            </w:r>
          </w:p>
        </w:tc>
        <w:tc>
          <w:tcPr>
            <w:tcW w:w="1134" w:type="dxa"/>
            <w:tcBorders>
              <w:top w:val="single" w:sz="4" w:space="0" w:color="auto"/>
              <w:left w:val="single" w:sz="8" w:space="0" w:color="auto"/>
              <w:bottom w:val="single" w:sz="4" w:space="0" w:color="auto"/>
              <w:right w:val="single" w:sz="8" w:space="0" w:color="auto"/>
            </w:tcBorders>
            <w:shd w:val="clear" w:color="auto" w:fill="auto"/>
            <w:noWrap/>
            <w:hideMark/>
          </w:tcPr>
          <w:p w14:paraId="45DAC342" w14:textId="77777777" w:rsidR="00030B86" w:rsidRDefault="00030B86">
            <w:pPr>
              <w:jc w:val="right"/>
              <w:rPr>
                <w:rFonts w:ascii="Arial" w:hAnsi="Arial" w:cs="Arial"/>
                <w:b/>
                <w:bCs/>
              </w:rPr>
            </w:pPr>
            <w:r>
              <w:rPr>
                <w:rFonts w:ascii="Arial" w:hAnsi="Arial" w:cs="Arial"/>
                <w:b/>
                <w:bCs/>
              </w:rPr>
              <w:t xml:space="preserve">34,535 </w:t>
            </w:r>
          </w:p>
        </w:tc>
        <w:tc>
          <w:tcPr>
            <w:tcW w:w="1418" w:type="dxa"/>
            <w:tcBorders>
              <w:top w:val="single" w:sz="4" w:space="0" w:color="auto"/>
              <w:left w:val="nil"/>
              <w:bottom w:val="single" w:sz="4" w:space="0" w:color="auto"/>
              <w:right w:val="single" w:sz="8" w:space="0" w:color="auto"/>
            </w:tcBorders>
            <w:shd w:val="clear" w:color="auto" w:fill="auto"/>
            <w:noWrap/>
            <w:hideMark/>
          </w:tcPr>
          <w:p w14:paraId="7481A24D" w14:textId="77777777" w:rsidR="00030B86" w:rsidRDefault="00030B86">
            <w:pPr>
              <w:jc w:val="right"/>
              <w:rPr>
                <w:rFonts w:ascii="Arial" w:hAnsi="Arial" w:cs="Arial"/>
                <w:b/>
                <w:bCs/>
              </w:rPr>
            </w:pPr>
            <w:r>
              <w:rPr>
                <w:rFonts w:ascii="Arial" w:hAnsi="Arial" w:cs="Arial"/>
                <w:b/>
                <w:bCs/>
              </w:rPr>
              <w:t xml:space="preserve">26,440 </w:t>
            </w:r>
          </w:p>
        </w:tc>
        <w:tc>
          <w:tcPr>
            <w:tcW w:w="1134" w:type="dxa"/>
            <w:tcBorders>
              <w:top w:val="single" w:sz="4" w:space="0" w:color="auto"/>
              <w:left w:val="nil"/>
              <w:bottom w:val="single" w:sz="4" w:space="0" w:color="auto"/>
              <w:right w:val="single" w:sz="8" w:space="0" w:color="auto"/>
            </w:tcBorders>
            <w:shd w:val="clear" w:color="auto" w:fill="auto"/>
            <w:noWrap/>
            <w:hideMark/>
          </w:tcPr>
          <w:p w14:paraId="2C3C5052" w14:textId="77777777" w:rsidR="00030B86" w:rsidRDefault="00030B86">
            <w:pPr>
              <w:jc w:val="right"/>
              <w:rPr>
                <w:rFonts w:ascii="Arial" w:hAnsi="Arial" w:cs="Arial"/>
                <w:b/>
                <w:bCs/>
              </w:rPr>
            </w:pPr>
            <w:r>
              <w:rPr>
                <w:rFonts w:ascii="Arial" w:hAnsi="Arial" w:cs="Arial"/>
                <w:b/>
                <w:bCs/>
              </w:rPr>
              <w:t xml:space="preserve">28,044 </w:t>
            </w:r>
          </w:p>
        </w:tc>
        <w:tc>
          <w:tcPr>
            <w:tcW w:w="1559" w:type="dxa"/>
            <w:tcBorders>
              <w:top w:val="single" w:sz="4" w:space="0" w:color="auto"/>
              <w:left w:val="nil"/>
              <w:bottom w:val="single" w:sz="4" w:space="0" w:color="auto"/>
              <w:right w:val="single" w:sz="8" w:space="0" w:color="auto"/>
            </w:tcBorders>
            <w:shd w:val="clear" w:color="auto" w:fill="auto"/>
            <w:noWrap/>
            <w:hideMark/>
          </w:tcPr>
          <w:p w14:paraId="20E22671" w14:textId="77777777" w:rsidR="00030B86" w:rsidRDefault="00030B86">
            <w:pPr>
              <w:jc w:val="right"/>
              <w:rPr>
                <w:rFonts w:ascii="Arial" w:hAnsi="Arial" w:cs="Arial"/>
                <w:b/>
                <w:bCs/>
              </w:rPr>
            </w:pPr>
            <w:r>
              <w:rPr>
                <w:rFonts w:ascii="Arial" w:hAnsi="Arial" w:cs="Arial"/>
                <w:b/>
                <w:bCs/>
              </w:rPr>
              <w:t xml:space="preserve">1,604 </w:t>
            </w:r>
          </w:p>
        </w:tc>
        <w:tc>
          <w:tcPr>
            <w:tcW w:w="464" w:type="dxa"/>
            <w:vAlign w:val="center"/>
            <w:hideMark/>
          </w:tcPr>
          <w:p w14:paraId="1EE98FEC" w14:textId="77777777" w:rsidR="00030B86" w:rsidRDefault="00030B86">
            <w:pPr>
              <w:rPr>
                <w:sz w:val="20"/>
                <w:szCs w:val="20"/>
              </w:rPr>
            </w:pPr>
          </w:p>
        </w:tc>
      </w:tr>
      <w:tr w:rsidR="00030B86" w14:paraId="659289CE"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0829E210" w14:textId="77777777" w:rsidR="00030B86" w:rsidRDefault="00030B86">
            <w:pPr>
              <w:rPr>
                <w:rFonts w:ascii="Arial" w:hAnsi="Arial" w:cs="Arial"/>
                <w:color w:val="000000"/>
              </w:rPr>
            </w:pPr>
            <w:r>
              <w:rPr>
                <w:rFonts w:ascii="Arial" w:hAnsi="Arial" w:cs="Arial"/>
                <w:color w:val="000000"/>
              </w:rPr>
              <w:t> </w:t>
            </w:r>
          </w:p>
        </w:tc>
        <w:tc>
          <w:tcPr>
            <w:tcW w:w="1134" w:type="dxa"/>
            <w:tcBorders>
              <w:top w:val="nil"/>
              <w:left w:val="single" w:sz="8" w:space="0" w:color="auto"/>
              <w:bottom w:val="nil"/>
              <w:right w:val="nil"/>
            </w:tcBorders>
            <w:shd w:val="clear" w:color="000000" w:fill="FFFFFF"/>
            <w:vAlign w:val="center"/>
            <w:hideMark/>
          </w:tcPr>
          <w:p w14:paraId="49D22B32" w14:textId="77777777" w:rsidR="00030B86" w:rsidRDefault="00030B86">
            <w:pPr>
              <w:rPr>
                <w:rFonts w:ascii="Arial" w:hAnsi="Arial" w:cs="Arial"/>
                <w:color w:val="000000"/>
              </w:rPr>
            </w:pPr>
            <w:r>
              <w:rPr>
                <w:rFonts w:ascii="Arial" w:hAnsi="Arial" w:cs="Arial"/>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1ED00907" w14:textId="77777777" w:rsidR="00030B86" w:rsidRDefault="00030B86">
            <w:pPr>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2DF703E5" w14:textId="77777777" w:rsidR="00030B86" w:rsidRDefault="00030B86">
            <w:pPr>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785D446D" w14:textId="77777777" w:rsidR="00030B86" w:rsidRDefault="00030B86">
            <w:pPr>
              <w:jc w:val="right"/>
              <w:rPr>
                <w:rFonts w:ascii="Arial" w:hAnsi="Arial" w:cs="Arial"/>
                <w:color w:val="000000"/>
              </w:rPr>
            </w:pPr>
            <w:r>
              <w:rPr>
                <w:rFonts w:ascii="Arial" w:hAnsi="Arial" w:cs="Arial"/>
                <w:color w:val="000000"/>
              </w:rPr>
              <w:t> </w:t>
            </w:r>
          </w:p>
        </w:tc>
        <w:tc>
          <w:tcPr>
            <w:tcW w:w="464" w:type="dxa"/>
            <w:vAlign w:val="center"/>
            <w:hideMark/>
          </w:tcPr>
          <w:p w14:paraId="2D16FA71" w14:textId="77777777" w:rsidR="00030B86" w:rsidRDefault="00030B86">
            <w:pPr>
              <w:rPr>
                <w:sz w:val="20"/>
                <w:szCs w:val="20"/>
              </w:rPr>
            </w:pPr>
          </w:p>
        </w:tc>
      </w:tr>
      <w:tr w:rsidR="00030B86" w14:paraId="08CD3BA5"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41BD8BFD" w14:textId="77777777" w:rsidR="00030B86" w:rsidRDefault="00030B86">
            <w:pPr>
              <w:rPr>
                <w:rFonts w:ascii="Arial" w:hAnsi="Arial" w:cs="Arial"/>
                <w:b/>
                <w:bCs/>
                <w:color w:val="000000"/>
              </w:rPr>
            </w:pPr>
            <w:r>
              <w:rPr>
                <w:rFonts w:ascii="Arial" w:hAnsi="Arial" w:cs="Arial"/>
                <w:b/>
                <w:bCs/>
                <w:color w:val="000000"/>
              </w:rPr>
              <w:t>Minor Works</w:t>
            </w:r>
          </w:p>
        </w:tc>
        <w:tc>
          <w:tcPr>
            <w:tcW w:w="1134" w:type="dxa"/>
            <w:tcBorders>
              <w:top w:val="nil"/>
              <w:left w:val="single" w:sz="8" w:space="0" w:color="auto"/>
              <w:bottom w:val="nil"/>
              <w:right w:val="nil"/>
            </w:tcBorders>
            <w:shd w:val="clear" w:color="000000" w:fill="FFFFFF"/>
            <w:vAlign w:val="center"/>
            <w:hideMark/>
          </w:tcPr>
          <w:p w14:paraId="1FB02ED2" w14:textId="77777777" w:rsidR="00030B86" w:rsidRDefault="00030B86">
            <w:pPr>
              <w:rPr>
                <w:rFonts w:ascii="Arial" w:hAnsi="Arial" w:cs="Arial"/>
                <w:b/>
                <w:bCs/>
                <w:color w:val="000000"/>
              </w:rPr>
            </w:pPr>
            <w:r>
              <w:rPr>
                <w:rFonts w:ascii="Arial" w:hAnsi="Arial" w:cs="Arial"/>
                <w:b/>
                <w:bCs/>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4500F3D3" w14:textId="77777777" w:rsidR="00030B86" w:rsidRDefault="00030B86">
            <w:pPr>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5096AEB5" w14:textId="77777777" w:rsidR="00030B86" w:rsidRDefault="00030B86">
            <w:pPr>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3FB9336A" w14:textId="77777777" w:rsidR="00030B86" w:rsidRDefault="00030B86">
            <w:pPr>
              <w:jc w:val="right"/>
              <w:rPr>
                <w:rFonts w:ascii="Arial" w:hAnsi="Arial" w:cs="Arial"/>
                <w:color w:val="000000"/>
              </w:rPr>
            </w:pPr>
            <w:r>
              <w:rPr>
                <w:rFonts w:ascii="Arial" w:hAnsi="Arial" w:cs="Arial"/>
                <w:color w:val="000000"/>
              </w:rPr>
              <w:t> </w:t>
            </w:r>
          </w:p>
        </w:tc>
        <w:tc>
          <w:tcPr>
            <w:tcW w:w="464" w:type="dxa"/>
            <w:vAlign w:val="center"/>
            <w:hideMark/>
          </w:tcPr>
          <w:p w14:paraId="3EF6454C" w14:textId="77777777" w:rsidR="00030B86" w:rsidRDefault="00030B86">
            <w:pPr>
              <w:rPr>
                <w:sz w:val="20"/>
                <w:szCs w:val="20"/>
              </w:rPr>
            </w:pPr>
          </w:p>
        </w:tc>
      </w:tr>
      <w:tr w:rsidR="00030B86" w14:paraId="7D6ADE57"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4475E3E9" w14:textId="77777777" w:rsidR="00030B86" w:rsidRDefault="00030B86">
            <w:pPr>
              <w:rPr>
                <w:rFonts w:ascii="Arial" w:hAnsi="Arial" w:cs="Arial"/>
                <w:color w:val="000000"/>
              </w:rPr>
            </w:pPr>
            <w:r>
              <w:rPr>
                <w:rFonts w:ascii="Arial" w:hAnsi="Arial" w:cs="Arial"/>
                <w:color w:val="000000"/>
              </w:rPr>
              <w:t>ITB Local Authorities</w:t>
            </w:r>
          </w:p>
        </w:tc>
        <w:tc>
          <w:tcPr>
            <w:tcW w:w="1134" w:type="dxa"/>
            <w:tcBorders>
              <w:top w:val="nil"/>
              <w:left w:val="single" w:sz="8" w:space="0" w:color="auto"/>
              <w:bottom w:val="nil"/>
              <w:right w:val="single" w:sz="8" w:space="0" w:color="auto"/>
            </w:tcBorders>
            <w:shd w:val="clear" w:color="000000" w:fill="FFFFFF"/>
            <w:noWrap/>
            <w:hideMark/>
          </w:tcPr>
          <w:p w14:paraId="79B5399B" w14:textId="77777777" w:rsidR="00030B86" w:rsidRDefault="00030B86">
            <w:pPr>
              <w:jc w:val="right"/>
              <w:rPr>
                <w:rFonts w:ascii="Arial" w:hAnsi="Arial" w:cs="Arial"/>
              </w:rPr>
            </w:pPr>
            <w:r>
              <w:rPr>
                <w:rFonts w:ascii="Arial" w:hAnsi="Arial" w:cs="Arial"/>
              </w:rPr>
              <w:t xml:space="preserve">849 </w:t>
            </w:r>
          </w:p>
        </w:tc>
        <w:tc>
          <w:tcPr>
            <w:tcW w:w="1418" w:type="dxa"/>
            <w:tcBorders>
              <w:top w:val="nil"/>
              <w:left w:val="nil"/>
              <w:bottom w:val="nil"/>
              <w:right w:val="single" w:sz="8" w:space="0" w:color="auto"/>
            </w:tcBorders>
            <w:shd w:val="clear" w:color="000000" w:fill="FFFFFF"/>
            <w:noWrap/>
            <w:hideMark/>
          </w:tcPr>
          <w:p w14:paraId="386FF8F4" w14:textId="77777777" w:rsidR="00030B86" w:rsidRDefault="00030B86">
            <w:pPr>
              <w:jc w:val="right"/>
              <w:rPr>
                <w:rFonts w:ascii="Arial" w:hAnsi="Arial" w:cs="Arial"/>
              </w:rPr>
            </w:pPr>
            <w:r>
              <w:rPr>
                <w:rFonts w:ascii="Arial" w:hAnsi="Arial" w:cs="Arial"/>
              </w:rPr>
              <w:t xml:space="preserve">1,011 </w:t>
            </w:r>
          </w:p>
        </w:tc>
        <w:tc>
          <w:tcPr>
            <w:tcW w:w="1134" w:type="dxa"/>
            <w:tcBorders>
              <w:top w:val="nil"/>
              <w:left w:val="nil"/>
              <w:bottom w:val="nil"/>
              <w:right w:val="single" w:sz="8" w:space="0" w:color="auto"/>
            </w:tcBorders>
            <w:shd w:val="clear" w:color="000000" w:fill="FFFFFF"/>
            <w:noWrap/>
            <w:hideMark/>
          </w:tcPr>
          <w:p w14:paraId="3AAE760B" w14:textId="77777777" w:rsidR="00030B86" w:rsidRDefault="00030B86">
            <w:pPr>
              <w:jc w:val="right"/>
              <w:rPr>
                <w:rFonts w:ascii="Arial" w:hAnsi="Arial" w:cs="Arial"/>
              </w:rPr>
            </w:pPr>
            <w:r>
              <w:rPr>
                <w:rFonts w:ascii="Arial" w:hAnsi="Arial" w:cs="Arial"/>
              </w:rPr>
              <w:t xml:space="preserve">332 </w:t>
            </w:r>
          </w:p>
        </w:tc>
        <w:tc>
          <w:tcPr>
            <w:tcW w:w="1559" w:type="dxa"/>
            <w:tcBorders>
              <w:top w:val="nil"/>
              <w:left w:val="nil"/>
              <w:bottom w:val="nil"/>
              <w:right w:val="single" w:sz="8" w:space="0" w:color="auto"/>
            </w:tcBorders>
            <w:shd w:val="clear" w:color="000000" w:fill="FFFFFF"/>
            <w:noWrap/>
            <w:hideMark/>
          </w:tcPr>
          <w:p w14:paraId="51F34FD3" w14:textId="77777777" w:rsidR="00030B86" w:rsidRDefault="00030B86">
            <w:pPr>
              <w:jc w:val="right"/>
              <w:rPr>
                <w:rFonts w:ascii="Arial" w:hAnsi="Arial" w:cs="Arial"/>
              </w:rPr>
            </w:pPr>
            <w:r>
              <w:rPr>
                <w:rFonts w:ascii="Arial" w:hAnsi="Arial" w:cs="Arial"/>
              </w:rPr>
              <w:t>(679)</w:t>
            </w:r>
          </w:p>
        </w:tc>
        <w:tc>
          <w:tcPr>
            <w:tcW w:w="464" w:type="dxa"/>
            <w:vAlign w:val="center"/>
            <w:hideMark/>
          </w:tcPr>
          <w:p w14:paraId="7E4A2498" w14:textId="77777777" w:rsidR="00030B86" w:rsidRDefault="00030B86">
            <w:pPr>
              <w:rPr>
                <w:sz w:val="20"/>
                <w:szCs w:val="20"/>
              </w:rPr>
            </w:pPr>
          </w:p>
        </w:tc>
      </w:tr>
      <w:tr w:rsidR="00030B86" w14:paraId="4D5D9C7B"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07E0AB04" w14:textId="77777777" w:rsidR="00030B86" w:rsidRDefault="00030B86">
            <w:pPr>
              <w:rPr>
                <w:rFonts w:ascii="Arial" w:hAnsi="Arial" w:cs="Arial"/>
                <w:color w:val="000000"/>
              </w:rPr>
            </w:pPr>
            <w:r>
              <w:rPr>
                <w:rFonts w:ascii="Arial" w:hAnsi="Arial" w:cs="Arial"/>
                <w:color w:val="000000"/>
              </w:rPr>
              <w:t>Growth Deal 1 &amp; 2 Local Authorities</w:t>
            </w:r>
          </w:p>
        </w:tc>
        <w:tc>
          <w:tcPr>
            <w:tcW w:w="1134" w:type="dxa"/>
            <w:tcBorders>
              <w:top w:val="nil"/>
              <w:left w:val="single" w:sz="8" w:space="0" w:color="auto"/>
              <w:bottom w:val="nil"/>
              <w:right w:val="single" w:sz="8" w:space="0" w:color="auto"/>
            </w:tcBorders>
            <w:shd w:val="clear" w:color="000000" w:fill="FFFFFF"/>
            <w:noWrap/>
            <w:hideMark/>
          </w:tcPr>
          <w:p w14:paraId="510D7239" w14:textId="77777777" w:rsidR="00030B86" w:rsidRDefault="00030B86">
            <w:pPr>
              <w:jc w:val="right"/>
              <w:rPr>
                <w:rFonts w:ascii="Arial" w:hAnsi="Arial" w:cs="Arial"/>
              </w:rPr>
            </w:pPr>
            <w:r>
              <w:rPr>
                <w:rFonts w:ascii="Arial" w:hAnsi="Arial" w:cs="Arial"/>
              </w:rPr>
              <w:t xml:space="preserve">6,932 </w:t>
            </w:r>
          </w:p>
        </w:tc>
        <w:tc>
          <w:tcPr>
            <w:tcW w:w="1418" w:type="dxa"/>
            <w:tcBorders>
              <w:top w:val="nil"/>
              <w:left w:val="nil"/>
              <w:bottom w:val="nil"/>
              <w:right w:val="single" w:sz="8" w:space="0" w:color="auto"/>
            </w:tcBorders>
            <w:shd w:val="clear" w:color="000000" w:fill="FFFFFF"/>
            <w:noWrap/>
            <w:hideMark/>
          </w:tcPr>
          <w:p w14:paraId="0BE3D046" w14:textId="77777777" w:rsidR="00030B86" w:rsidRDefault="00030B86">
            <w:pPr>
              <w:jc w:val="right"/>
              <w:rPr>
                <w:rFonts w:ascii="Arial" w:hAnsi="Arial" w:cs="Arial"/>
              </w:rPr>
            </w:pPr>
            <w:r>
              <w:rPr>
                <w:rFonts w:ascii="Arial" w:hAnsi="Arial" w:cs="Arial"/>
              </w:rPr>
              <w:t xml:space="preserve">4,993 </w:t>
            </w:r>
          </w:p>
        </w:tc>
        <w:tc>
          <w:tcPr>
            <w:tcW w:w="1134" w:type="dxa"/>
            <w:tcBorders>
              <w:top w:val="nil"/>
              <w:left w:val="nil"/>
              <w:bottom w:val="nil"/>
              <w:right w:val="single" w:sz="8" w:space="0" w:color="auto"/>
            </w:tcBorders>
            <w:shd w:val="clear" w:color="000000" w:fill="FFFFFF"/>
            <w:noWrap/>
            <w:hideMark/>
          </w:tcPr>
          <w:p w14:paraId="3DB9BF8F" w14:textId="77777777" w:rsidR="00030B86" w:rsidRDefault="00030B86">
            <w:pPr>
              <w:jc w:val="right"/>
              <w:rPr>
                <w:rFonts w:ascii="Arial" w:hAnsi="Arial" w:cs="Arial"/>
              </w:rPr>
            </w:pPr>
            <w:r>
              <w:rPr>
                <w:rFonts w:ascii="Arial" w:hAnsi="Arial" w:cs="Arial"/>
              </w:rPr>
              <w:t xml:space="preserve">4,239 </w:t>
            </w:r>
          </w:p>
        </w:tc>
        <w:tc>
          <w:tcPr>
            <w:tcW w:w="1559" w:type="dxa"/>
            <w:tcBorders>
              <w:top w:val="nil"/>
              <w:left w:val="nil"/>
              <w:bottom w:val="nil"/>
              <w:right w:val="single" w:sz="8" w:space="0" w:color="auto"/>
            </w:tcBorders>
            <w:shd w:val="clear" w:color="000000" w:fill="FFFFFF"/>
            <w:noWrap/>
            <w:hideMark/>
          </w:tcPr>
          <w:p w14:paraId="19F69849" w14:textId="77777777" w:rsidR="00030B86" w:rsidRDefault="00030B86">
            <w:pPr>
              <w:jc w:val="right"/>
              <w:rPr>
                <w:rFonts w:ascii="Arial" w:hAnsi="Arial" w:cs="Arial"/>
              </w:rPr>
            </w:pPr>
            <w:r>
              <w:rPr>
                <w:rFonts w:ascii="Arial" w:hAnsi="Arial" w:cs="Arial"/>
              </w:rPr>
              <w:t>(754)</w:t>
            </w:r>
          </w:p>
        </w:tc>
        <w:tc>
          <w:tcPr>
            <w:tcW w:w="464" w:type="dxa"/>
            <w:vAlign w:val="center"/>
            <w:hideMark/>
          </w:tcPr>
          <w:p w14:paraId="243CD900" w14:textId="77777777" w:rsidR="00030B86" w:rsidRDefault="00030B86">
            <w:pPr>
              <w:rPr>
                <w:sz w:val="20"/>
                <w:szCs w:val="20"/>
              </w:rPr>
            </w:pPr>
          </w:p>
        </w:tc>
      </w:tr>
      <w:tr w:rsidR="00030B86" w14:paraId="20135FE2"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1B48FF77" w14:textId="77777777" w:rsidR="00030B86" w:rsidRDefault="00030B86">
            <w:pPr>
              <w:rPr>
                <w:rFonts w:ascii="Arial" w:hAnsi="Arial" w:cs="Arial"/>
                <w:color w:val="000000"/>
              </w:rPr>
            </w:pPr>
            <w:r>
              <w:rPr>
                <w:rFonts w:ascii="Arial" w:hAnsi="Arial" w:cs="Arial"/>
                <w:color w:val="000000"/>
              </w:rPr>
              <w:t>Growth Deal 2 TfGM Schemes</w:t>
            </w:r>
          </w:p>
        </w:tc>
        <w:tc>
          <w:tcPr>
            <w:tcW w:w="1134" w:type="dxa"/>
            <w:tcBorders>
              <w:top w:val="nil"/>
              <w:left w:val="single" w:sz="8" w:space="0" w:color="auto"/>
              <w:bottom w:val="nil"/>
              <w:right w:val="single" w:sz="8" w:space="0" w:color="auto"/>
            </w:tcBorders>
            <w:shd w:val="clear" w:color="000000" w:fill="FFFFFF"/>
            <w:noWrap/>
            <w:hideMark/>
          </w:tcPr>
          <w:p w14:paraId="5A7D3778" w14:textId="77777777" w:rsidR="00030B86" w:rsidRDefault="00030B86">
            <w:pPr>
              <w:jc w:val="right"/>
              <w:rPr>
                <w:rFonts w:ascii="Arial" w:hAnsi="Arial" w:cs="Arial"/>
              </w:rPr>
            </w:pPr>
            <w:r>
              <w:rPr>
                <w:rFonts w:ascii="Arial" w:hAnsi="Arial" w:cs="Arial"/>
              </w:rPr>
              <w:t xml:space="preserve">910 </w:t>
            </w:r>
          </w:p>
        </w:tc>
        <w:tc>
          <w:tcPr>
            <w:tcW w:w="1418" w:type="dxa"/>
            <w:tcBorders>
              <w:top w:val="nil"/>
              <w:left w:val="nil"/>
              <w:bottom w:val="nil"/>
              <w:right w:val="single" w:sz="8" w:space="0" w:color="auto"/>
            </w:tcBorders>
            <w:shd w:val="clear" w:color="000000" w:fill="FFFFFF"/>
            <w:noWrap/>
            <w:hideMark/>
          </w:tcPr>
          <w:p w14:paraId="10C5DC20" w14:textId="77777777" w:rsidR="00030B86" w:rsidRDefault="00030B86">
            <w:pPr>
              <w:jc w:val="right"/>
              <w:rPr>
                <w:rFonts w:ascii="Arial" w:hAnsi="Arial" w:cs="Arial"/>
              </w:rPr>
            </w:pPr>
            <w:r>
              <w:rPr>
                <w:rFonts w:ascii="Arial" w:hAnsi="Arial" w:cs="Arial"/>
              </w:rPr>
              <w:t xml:space="preserve">638 </w:t>
            </w:r>
          </w:p>
        </w:tc>
        <w:tc>
          <w:tcPr>
            <w:tcW w:w="1134" w:type="dxa"/>
            <w:tcBorders>
              <w:top w:val="nil"/>
              <w:left w:val="nil"/>
              <w:bottom w:val="nil"/>
              <w:right w:val="single" w:sz="8" w:space="0" w:color="auto"/>
            </w:tcBorders>
            <w:shd w:val="clear" w:color="000000" w:fill="FFFFFF"/>
            <w:noWrap/>
            <w:hideMark/>
          </w:tcPr>
          <w:p w14:paraId="119A6FD3" w14:textId="77777777" w:rsidR="00030B86" w:rsidRDefault="00030B86">
            <w:pPr>
              <w:jc w:val="right"/>
              <w:rPr>
                <w:rFonts w:ascii="Arial" w:hAnsi="Arial" w:cs="Arial"/>
              </w:rPr>
            </w:pPr>
            <w:r>
              <w:rPr>
                <w:rFonts w:ascii="Arial" w:hAnsi="Arial" w:cs="Arial"/>
              </w:rPr>
              <w:t xml:space="preserve">563 </w:t>
            </w:r>
          </w:p>
        </w:tc>
        <w:tc>
          <w:tcPr>
            <w:tcW w:w="1559" w:type="dxa"/>
            <w:tcBorders>
              <w:top w:val="nil"/>
              <w:left w:val="nil"/>
              <w:bottom w:val="nil"/>
              <w:right w:val="single" w:sz="8" w:space="0" w:color="auto"/>
            </w:tcBorders>
            <w:shd w:val="clear" w:color="000000" w:fill="FFFFFF"/>
            <w:noWrap/>
            <w:hideMark/>
          </w:tcPr>
          <w:p w14:paraId="6CC0ADF8" w14:textId="77777777" w:rsidR="00030B86" w:rsidRDefault="00030B86">
            <w:pPr>
              <w:jc w:val="right"/>
              <w:rPr>
                <w:rFonts w:ascii="Arial" w:hAnsi="Arial" w:cs="Arial"/>
              </w:rPr>
            </w:pPr>
            <w:r>
              <w:rPr>
                <w:rFonts w:ascii="Arial" w:hAnsi="Arial" w:cs="Arial"/>
              </w:rPr>
              <w:t>(75)</w:t>
            </w:r>
          </w:p>
        </w:tc>
        <w:tc>
          <w:tcPr>
            <w:tcW w:w="464" w:type="dxa"/>
            <w:vAlign w:val="center"/>
            <w:hideMark/>
          </w:tcPr>
          <w:p w14:paraId="36DEE567" w14:textId="77777777" w:rsidR="00030B86" w:rsidRDefault="00030B86">
            <w:pPr>
              <w:rPr>
                <w:sz w:val="20"/>
                <w:szCs w:val="20"/>
              </w:rPr>
            </w:pPr>
          </w:p>
        </w:tc>
      </w:tr>
      <w:tr w:rsidR="00030B86" w14:paraId="7D6F0A08"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2252352C" w14:textId="77777777" w:rsidR="00030B86" w:rsidRDefault="00030B86">
            <w:pPr>
              <w:rPr>
                <w:rFonts w:ascii="Arial" w:hAnsi="Arial" w:cs="Arial"/>
                <w:color w:val="000000"/>
              </w:rPr>
            </w:pPr>
            <w:r>
              <w:rPr>
                <w:rFonts w:ascii="Arial" w:hAnsi="Arial" w:cs="Arial"/>
                <w:color w:val="000000"/>
              </w:rPr>
              <w:t>Growth Deal 3 TfGM schemes</w:t>
            </w:r>
          </w:p>
        </w:tc>
        <w:tc>
          <w:tcPr>
            <w:tcW w:w="1134" w:type="dxa"/>
            <w:tcBorders>
              <w:top w:val="nil"/>
              <w:left w:val="single" w:sz="8" w:space="0" w:color="auto"/>
              <w:bottom w:val="nil"/>
              <w:right w:val="single" w:sz="8" w:space="0" w:color="auto"/>
            </w:tcBorders>
            <w:shd w:val="clear" w:color="000000" w:fill="FFFFFF"/>
            <w:noWrap/>
            <w:hideMark/>
          </w:tcPr>
          <w:p w14:paraId="46CEAB2E" w14:textId="77777777" w:rsidR="00030B86" w:rsidRDefault="00030B86">
            <w:pPr>
              <w:jc w:val="right"/>
              <w:rPr>
                <w:rFonts w:ascii="Arial" w:hAnsi="Arial" w:cs="Arial"/>
              </w:rPr>
            </w:pPr>
            <w:r>
              <w:rPr>
                <w:rFonts w:ascii="Arial" w:hAnsi="Arial" w:cs="Arial"/>
              </w:rPr>
              <w:t xml:space="preserve">1,347 </w:t>
            </w:r>
          </w:p>
        </w:tc>
        <w:tc>
          <w:tcPr>
            <w:tcW w:w="1418" w:type="dxa"/>
            <w:tcBorders>
              <w:top w:val="nil"/>
              <w:left w:val="nil"/>
              <w:bottom w:val="nil"/>
              <w:right w:val="single" w:sz="8" w:space="0" w:color="auto"/>
            </w:tcBorders>
            <w:shd w:val="clear" w:color="000000" w:fill="FFFFFF"/>
            <w:noWrap/>
            <w:hideMark/>
          </w:tcPr>
          <w:p w14:paraId="0189E785" w14:textId="77777777" w:rsidR="00030B86" w:rsidRDefault="00030B86">
            <w:pPr>
              <w:jc w:val="right"/>
              <w:rPr>
                <w:rFonts w:ascii="Arial" w:hAnsi="Arial" w:cs="Arial"/>
              </w:rPr>
            </w:pPr>
            <w:r>
              <w:rPr>
                <w:rFonts w:ascii="Arial" w:hAnsi="Arial" w:cs="Arial"/>
              </w:rPr>
              <w:t xml:space="preserve">2,343 </w:t>
            </w:r>
          </w:p>
        </w:tc>
        <w:tc>
          <w:tcPr>
            <w:tcW w:w="1134" w:type="dxa"/>
            <w:tcBorders>
              <w:top w:val="nil"/>
              <w:left w:val="nil"/>
              <w:bottom w:val="nil"/>
              <w:right w:val="single" w:sz="8" w:space="0" w:color="auto"/>
            </w:tcBorders>
            <w:shd w:val="clear" w:color="000000" w:fill="FFFFFF"/>
            <w:noWrap/>
            <w:hideMark/>
          </w:tcPr>
          <w:p w14:paraId="22838AB2" w14:textId="77777777" w:rsidR="00030B86" w:rsidRDefault="00030B86">
            <w:pPr>
              <w:jc w:val="right"/>
              <w:rPr>
                <w:rFonts w:ascii="Arial" w:hAnsi="Arial" w:cs="Arial"/>
              </w:rPr>
            </w:pPr>
            <w:r>
              <w:rPr>
                <w:rFonts w:ascii="Arial" w:hAnsi="Arial" w:cs="Arial"/>
              </w:rPr>
              <w:t xml:space="preserve">2,256 </w:t>
            </w:r>
          </w:p>
        </w:tc>
        <w:tc>
          <w:tcPr>
            <w:tcW w:w="1559" w:type="dxa"/>
            <w:tcBorders>
              <w:top w:val="nil"/>
              <w:left w:val="nil"/>
              <w:bottom w:val="nil"/>
              <w:right w:val="single" w:sz="8" w:space="0" w:color="auto"/>
            </w:tcBorders>
            <w:shd w:val="clear" w:color="000000" w:fill="FFFFFF"/>
            <w:noWrap/>
            <w:hideMark/>
          </w:tcPr>
          <w:p w14:paraId="2B6C9D0B" w14:textId="77777777" w:rsidR="00030B86" w:rsidRDefault="00030B86">
            <w:pPr>
              <w:jc w:val="right"/>
              <w:rPr>
                <w:rFonts w:ascii="Arial" w:hAnsi="Arial" w:cs="Arial"/>
              </w:rPr>
            </w:pPr>
            <w:r>
              <w:rPr>
                <w:rFonts w:ascii="Arial" w:hAnsi="Arial" w:cs="Arial"/>
              </w:rPr>
              <w:t>(87)</w:t>
            </w:r>
          </w:p>
        </w:tc>
        <w:tc>
          <w:tcPr>
            <w:tcW w:w="464" w:type="dxa"/>
            <w:vAlign w:val="center"/>
            <w:hideMark/>
          </w:tcPr>
          <w:p w14:paraId="00D16DD4" w14:textId="77777777" w:rsidR="00030B86" w:rsidRDefault="00030B86">
            <w:pPr>
              <w:rPr>
                <w:sz w:val="20"/>
                <w:szCs w:val="20"/>
              </w:rPr>
            </w:pPr>
          </w:p>
        </w:tc>
      </w:tr>
      <w:tr w:rsidR="00030B86" w14:paraId="5AC49E6E"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27E0DD51" w14:textId="77777777" w:rsidR="00030B86" w:rsidRDefault="00030B86">
            <w:pPr>
              <w:rPr>
                <w:rFonts w:ascii="Arial" w:hAnsi="Arial" w:cs="Arial"/>
                <w:color w:val="000000"/>
              </w:rPr>
            </w:pPr>
            <w:r>
              <w:rPr>
                <w:rFonts w:ascii="Arial" w:hAnsi="Arial" w:cs="Arial"/>
                <w:color w:val="000000"/>
              </w:rPr>
              <w:t>Growth Deal 3 Local Authorities</w:t>
            </w:r>
          </w:p>
        </w:tc>
        <w:tc>
          <w:tcPr>
            <w:tcW w:w="1134" w:type="dxa"/>
            <w:tcBorders>
              <w:top w:val="nil"/>
              <w:left w:val="single" w:sz="8" w:space="0" w:color="auto"/>
              <w:bottom w:val="nil"/>
              <w:right w:val="single" w:sz="8" w:space="0" w:color="auto"/>
            </w:tcBorders>
            <w:shd w:val="clear" w:color="000000" w:fill="FFFFFF"/>
            <w:noWrap/>
            <w:hideMark/>
          </w:tcPr>
          <w:p w14:paraId="7897322E" w14:textId="77777777" w:rsidR="00030B86" w:rsidRDefault="00030B86">
            <w:pPr>
              <w:jc w:val="right"/>
              <w:rPr>
                <w:rFonts w:ascii="Arial" w:hAnsi="Arial" w:cs="Arial"/>
              </w:rPr>
            </w:pPr>
            <w:r>
              <w:rPr>
                <w:rFonts w:ascii="Arial" w:hAnsi="Arial" w:cs="Arial"/>
              </w:rPr>
              <w:t xml:space="preserve">1,040 </w:t>
            </w:r>
          </w:p>
        </w:tc>
        <w:tc>
          <w:tcPr>
            <w:tcW w:w="1418" w:type="dxa"/>
            <w:tcBorders>
              <w:top w:val="nil"/>
              <w:left w:val="nil"/>
              <w:bottom w:val="nil"/>
              <w:right w:val="single" w:sz="8" w:space="0" w:color="auto"/>
            </w:tcBorders>
            <w:shd w:val="clear" w:color="000000" w:fill="FFFFFF"/>
            <w:noWrap/>
            <w:hideMark/>
          </w:tcPr>
          <w:p w14:paraId="5B6D1308" w14:textId="77777777" w:rsidR="00030B86" w:rsidRDefault="00030B86">
            <w:pPr>
              <w:jc w:val="right"/>
              <w:rPr>
                <w:rFonts w:ascii="Arial" w:hAnsi="Arial" w:cs="Arial"/>
              </w:rPr>
            </w:pPr>
            <w:r>
              <w:rPr>
                <w:rFonts w:ascii="Arial" w:hAnsi="Arial" w:cs="Arial"/>
              </w:rPr>
              <w:t xml:space="preserve">43 </w:t>
            </w:r>
          </w:p>
        </w:tc>
        <w:tc>
          <w:tcPr>
            <w:tcW w:w="1134" w:type="dxa"/>
            <w:tcBorders>
              <w:top w:val="nil"/>
              <w:left w:val="nil"/>
              <w:bottom w:val="nil"/>
              <w:right w:val="single" w:sz="8" w:space="0" w:color="auto"/>
            </w:tcBorders>
            <w:shd w:val="clear" w:color="000000" w:fill="FFFFFF"/>
            <w:noWrap/>
            <w:hideMark/>
          </w:tcPr>
          <w:p w14:paraId="028011B8" w14:textId="77777777" w:rsidR="00030B86" w:rsidRDefault="00030B86">
            <w:pPr>
              <w:jc w:val="right"/>
              <w:rPr>
                <w:rFonts w:ascii="Arial" w:hAnsi="Arial" w:cs="Arial"/>
              </w:rPr>
            </w:pPr>
            <w:r>
              <w:rPr>
                <w:rFonts w:ascii="Arial" w:hAnsi="Arial" w:cs="Arial"/>
              </w:rPr>
              <w:t xml:space="preserve">31 </w:t>
            </w:r>
          </w:p>
        </w:tc>
        <w:tc>
          <w:tcPr>
            <w:tcW w:w="1559" w:type="dxa"/>
            <w:tcBorders>
              <w:top w:val="nil"/>
              <w:left w:val="nil"/>
              <w:bottom w:val="nil"/>
              <w:right w:val="single" w:sz="8" w:space="0" w:color="auto"/>
            </w:tcBorders>
            <w:shd w:val="clear" w:color="000000" w:fill="FFFFFF"/>
            <w:noWrap/>
            <w:hideMark/>
          </w:tcPr>
          <w:p w14:paraId="06348455" w14:textId="77777777" w:rsidR="00030B86" w:rsidRDefault="00030B86">
            <w:pPr>
              <w:jc w:val="right"/>
              <w:rPr>
                <w:rFonts w:ascii="Arial" w:hAnsi="Arial" w:cs="Arial"/>
              </w:rPr>
            </w:pPr>
            <w:r>
              <w:rPr>
                <w:rFonts w:ascii="Arial" w:hAnsi="Arial" w:cs="Arial"/>
              </w:rPr>
              <w:t>(12)</w:t>
            </w:r>
          </w:p>
        </w:tc>
        <w:tc>
          <w:tcPr>
            <w:tcW w:w="464" w:type="dxa"/>
            <w:vAlign w:val="center"/>
            <w:hideMark/>
          </w:tcPr>
          <w:p w14:paraId="27C5651C" w14:textId="77777777" w:rsidR="00030B86" w:rsidRDefault="00030B86">
            <w:pPr>
              <w:rPr>
                <w:sz w:val="20"/>
                <w:szCs w:val="20"/>
              </w:rPr>
            </w:pPr>
          </w:p>
        </w:tc>
      </w:tr>
      <w:tr w:rsidR="00030B86" w14:paraId="581FC6E2" w14:textId="77777777" w:rsidTr="00030B86">
        <w:trPr>
          <w:trHeight w:val="311"/>
        </w:trPr>
        <w:tc>
          <w:tcPr>
            <w:tcW w:w="4668" w:type="dxa"/>
            <w:tcBorders>
              <w:top w:val="single" w:sz="4" w:space="0" w:color="auto"/>
              <w:left w:val="single" w:sz="8" w:space="0" w:color="auto"/>
              <w:bottom w:val="single" w:sz="4" w:space="0" w:color="auto"/>
              <w:right w:val="nil"/>
            </w:tcBorders>
            <w:shd w:val="clear" w:color="000000" w:fill="FFFFFF"/>
            <w:vAlign w:val="center"/>
            <w:hideMark/>
          </w:tcPr>
          <w:p w14:paraId="43FEC68D" w14:textId="77777777" w:rsidR="00030B86" w:rsidRDefault="00030B86">
            <w:pPr>
              <w:rPr>
                <w:rFonts w:ascii="Arial" w:hAnsi="Arial" w:cs="Arial"/>
                <w:b/>
                <w:bCs/>
                <w:color w:val="000000"/>
              </w:rPr>
            </w:pPr>
            <w:r>
              <w:rPr>
                <w:rFonts w:ascii="Arial" w:hAnsi="Arial" w:cs="Arial"/>
                <w:b/>
                <w:bCs/>
                <w:color w:val="000000"/>
              </w:rPr>
              <w:t>Minor Works total</w:t>
            </w:r>
          </w:p>
        </w:tc>
        <w:tc>
          <w:tcPr>
            <w:tcW w:w="1134" w:type="dxa"/>
            <w:tcBorders>
              <w:top w:val="single" w:sz="4" w:space="0" w:color="auto"/>
              <w:left w:val="single" w:sz="8" w:space="0" w:color="auto"/>
              <w:bottom w:val="single" w:sz="4" w:space="0" w:color="auto"/>
              <w:right w:val="single" w:sz="8" w:space="0" w:color="auto"/>
            </w:tcBorders>
            <w:shd w:val="clear" w:color="auto" w:fill="auto"/>
            <w:noWrap/>
            <w:hideMark/>
          </w:tcPr>
          <w:p w14:paraId="2013F6A0" w14:textId="77777777" w:rsidR="00030B86" w:rsidRDefault="00030B86">
            <w:pPr>
              <w:jc w:val="right"/>
              <w:rPr>
                <w:rFonts w:ascii="Arial" w:hAnsi="Arial" w:cs="Arial"/>
                <w:b/>
                <w:bCs/>
              </w:rPr>
            </w:pPr>
            <w:r>
              <w:rPr>
                <w:rFonts w:ascii="Arial" w:hAnsi="Arial" w:cs="Arial"/>
                <w:b/>
                <w:bCs/>
              </w:rPr>
              <w:t xml:space="preserve">11,078 </w:t>
            </w:r>
          </w:p>
        </w:tc>
        <w:tc>
          <w:tcPr>
            <w:tcW w:w="1418" w:type="dxa"/>
            <w:tcBorders>
              <w:top w:val="single" w:sz="4" w:space="0" w:color="auto"/>
              <w:left w:val="nil"/>
              <w:bottom w:val="single" w:sz="4" w:space="0" w:color="auto"/>
              <w:right w:val="single" w:sz="8" w:space="0" w:color="auto"/>
            </w:tcBorders>
            <w:shd w:val="clear" w:color="auto" w:fill="auto"/>
            <w:noWrap/>
            <w:hideMark/>
          </w:tcPr>
          <w:p w14:paraId="38E92514" w14:textId="77777777" w:rsidR="00030B86" w:rsidRDefault="00030B86">
            <w:pPr>
              <w:jc w:val="right"/>
              <w:rPr>
                <w:rFonts w:ascii="Arial" w:hAnsi="Arial" w:cs="Arial"/>
                <w:b/>
                <w:bCs/>
              </w:rPr>
            </w:pPr>
            <w:r>
              <w:rPr>
                <w:rFonts w:ascii="Arial" w:hAnsi="Arial" w:cs="Arial"/>
                <w:b/>
                <w:bCs/>
              </w:rPr>
              <w:t xml:space="preserve">9,028 </w:t>
            </w:r>
          </w:p>
        </w:tc>
        <w:tc>
          <w:tcPr>
            <w:tcW w:w="1134" w:type="dxa"/>
            <w:tcBorders>
              <w:top w:val="single" w:sz="4" w:space="0" w:color="auto"/>
              <w:left w:val="nil"/>
              <w:bottom w:val="single" w:sz="4" w:space="0" w:color="auto"/>
              <w:right w:val="single" w:sz="8" w:space="0" w:color="auto"/>
            </w:tcBorders>
            <w:shd w:val="clear" w:color="auto" w:fill="auto"/>
            <w:noWrap/>
            <w:hideMark/>
          </w:tcPr>
          <w:p w14:paraId="634038A5" w14:textId="77777777" w:rsidR="00030B86" w:rsidRDefault="00030B86">
            <w:pPr>
              <w:jc w:val="right"/>
              <w:rPr>
                <w:rFonts w:ascii="Arial" w:hAnsi="Arial" w:cs="Arial"/>
                <w:b/>
                <w:bCs/>
              </w:rPr>
            </w:pPr>
            <w:r>
              <w:rPr>
                <w:rFonts w:ascii="Arial" w:hAnsi="Arial" w:cs="Arial"/>
                <w:b/>
                <w:bCs/>
              </w:rPr>
              <w:t xml:space="preserve">7,421 </w:t>
            </w:r>
          </w:p>
        </w:tc>
        <w:tc>
          <w:tcPr>
            <w:tcW w:w="1559" w:type="dxa"/>
            <w:tcBorders>
              <w:top w:val="single" w:sz="4" w:space="0" w:color="auto"/>
              <w:left w:val="nil"/>
              <w:bottom w:val="single" w:sz="4" w:space="0" w:color="auto"/>
              <w:right w:val="single" w:sz="8" w:space="0" w:color="auto"/>
            </w:tcBorders>
            <w:shd w:val="clear" w:color="auto" w:fill="auto"/>
            <w:noWrap/>
            <w:hideMark/>
          </w:tcPr>
          <w:p w14:paraId="31C9FD9D" w14:textId="77777777" w:rsidR="00030B86" w:rsidRDefault="00030B86">
            <w:pPr>
              <w:jc w:val="right"/>
              <w:rPr>
                <w:rFonts w:ascii="Arial" w:hAnsi="Arial" w:cs="Arial"/>
                <w:b/>
                <w:bCs/>
              </w:rPr>
            </w:pPr>
            <w:r>
              <w:rPr>
                <w:rFonts w:ascii="Arial" w:hAnsi="Arial" w:cs="Arial"/>
                <w:b/>
                <w:bCs/>
              </w:rPr>
              <w:t>(1,607)</w:t>
            </w:r>
          </w:p>
        </w:tc>
        <w:tc>
          <w:tcPr>
            <w:tcW w:w="464" w:type="dxa"/>
            <w:vAlign w:val="center"/>
            <w:hideMark/>
          </w:tcPr>
          <w:p w14:paraId="2D134A8D" w14:textId="77777777" w:rsidR="00030B86" w:rsidRDefault="00030B86">
            <w:pPr>
              <w:rPr>
                <w:sz w:val="20"/>
                <w:szCs w:val="20"/>
              </w:rPr>
            </w:pPr>
          </w:p>
        </w:tc>
      </w:tr>
      <w:tr w:rsidR="00030B86" w14:paraId="37A54E8E"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561DA6C4" w14:textId="77777777" w:rsidR="00030B86" w:rsidRDefault="00030B86">
            <w:pPr>
              <w:rPr>
                <w:rFonts w:ascii="Arial" w:hAnsi="Arial" w:cs="Arial"/>
                <w:color w:val="000000"/>
              </w:rPr>
            </w:pPr>
            <w:r>
              <w:rPr>
                <w:rFonts w:ascii="Arial" w:hAnsi="Arial" w:cs="Arial"/>
                <w:color w:val="000000"/>
              </w:rPr>
              <w:t> </w:t>
            </w:r>
          </w:p>
        </w:tc>
        <w:tc>
          <w:tcPr>
            <w:tcW w:w="1134" w:type="dxa"/>
            <w:tcBorders>
              <w:top w:val="nil"/>
              <w:left w:val="single" w:sz="8" w:space="0" w:color="auto"/>
              <w:bottom w:val="nil"/>
              <w:right w:val="nil"/>
            </w:tcBorders>
            <w:shd w:val="clear" w:color="000000" w:fill="FFFFFF"/>
            <w:vAlign w:val="center"/>
            <w:hideMark/>
          </w:tcPr>
          <w:p w14:paraId="4A937ECD" w14:textId="77777777" w:rsidR="00030B86" w:rsidRDefault="00030B86">
            <w:pPr>
              <w:rPr>
                <w:rFonts w:ascii="Arial" w:hAnsi="Arial" w:cs="Arial"/>
                <w:color w:val="000000"/>
              </w:rPr>
            </w:pPr>
            <w:r>
              <w:rPr>
                <w:rFonts w:ascii="Arial" w:hAnsi="Arial" w:cs="Arial"/>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177450E6" w14:textId="77777777" w:rsidR="00030B86" w:rsidRDefault="00030B86">
            <w:pPr>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64503389" w14:textId="77777777" w:rsidR="00030B86" w:rsidRDefault="00030B86">
            <w:pPr>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73D60082" w14:textId="77777777" w:rsidR="00030B86" w:rsidRDefault="00030B86">
            <w:pPr>
              <w:jc w:val="right"/>
              <w:rPr>
                <w:rFonts w:ascii="Arial" w:hAnsi="Arial" w:cs="Arial"/>
                <w:color w:val="000000"/>
              </w:rPr>
            </w:pPr>
            <w:r>
              <w:rPr>
                <w:rFonts w:ascii="Arial" w:hAnsi="Arial" w:cs="Arial"/>
                <w:color w:val="000000"/>
              </w:rPr>
              <w:t> </w:t>
            </w:r>
          </w:p>
        </w:tc>
        <w:tc>
          <w:tcPr>
            <w:tcW w:w="464" w:type="dxa"/>
            <w:vAlign w:val="center"/>
            <w:hideMark/>
          </w:tcPr>
          <w:p w14:paraId="73DE7116" w14:textId="77777777" w:rsidR="00030B86" w:rsidRDefault="00030B86">
            <w:pPr>
              <w:rPr>
                <w:sz w:val="20"/>
                <w:szCs w:val="20"/>
              </w:rPr>
            </w:pPr>
          </w:p>
        </w:tc>
      </w:tr>
      <w:tr w:rsidR="00030B86" w14:paraId="67B611DB"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5BC37746" w14:textId="77777777" w:rsidR="00030B86" w:rsidRDefault="00030B86">
            <w:pPr>
              <w:rPr>
                <w:rFonts w:ascii="Arial" w:hAnsi="Arial" w:cs="Arial"/>
                <w:b/>
                <w:bCs/>
                <w:color w:val="000000"/>
              </w:rPr>
            </w:pPr>
            <w:r>
              <w:rPr>
                <w:rFonts w:ascii="Arial" w:hAnsi="Arial" w:cs="Arial"/>
                <w:b/>
                <w:bCs/>
                <w:color w:val="000000"/>
              </w:rPr>
              <w:t>Transforming Cities 2</w:t>
            </w:r>
          </w:p>
        </w:tc>
        <w:tc>
          <w:tcPr>
            <w:tcW w:w="1134" w:type="dxa"/>
            <w:tcBorders>
              <w:top w:val="nil"/>
              <w:left w:val="single" w:sz="8" w:space="0" w:color="auto"/>
              <w:bottom w:val="nil"/>
              <w:right w:val="nil"/>
            </w:tcBorders>
            <w:shd w:val="clear" w:color="000000" w:fill="FFFFFF"/>
            <w:vAlign w:val="center"/>
            <w:hideMark/>
          </w:tcPr>
          <w:p w14:paraId="74C3A286" w14:textId="77777777" w:rsidR="00030B86" w:rsidRDefault="00030B86">
            <w:pPr>
              <w:rPr>
                <w:rFonts w:ascii="Arial" w:hAnsi="Arial" w:cs="Arial"/>
                <w:color w:val="000000"/>
              </w:rPr>
            </w:pPr>
            <w:r>
              <w:rPr>
                <w:rFonts w:ascii="Arial" w:hAnsi="Arial" w:cs="Arial"/>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103EF6AE" w14:textId="77777777" w:rsidR="00030B86" w:rsidRDefault="00030B86">
            <w:pPr>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5A8A1866" w14:textId="77777777" w:rsidR="00030B86" w:rsidRDefault="00030B86">
            <w:pPr>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7ED6DAD1" w14:textId="77777777" w:rsidR="00030B86" w:rsidRDefault="00030B86">
            <w:pPr>
              <w:jc w:val="right"/>
              <w:rPr>
                <w:rFonts w:ascii="Arial" w:hAnsi="Arial" w:cs="Arial"/>
                <w:color w:val="000000"/>
              </w:rPr>
            </w:pPr>
            <w:r>
              <w:rPr>
                <w:rFonts w:ascii="Arial" w:hAnsi="Arial" w:cs="Arial"/>
                <w:color w:val="000000"/>
              </w:rPr>
              <w:t> </w:t>
            </w:r>
          </w:p>
        </w:tc>
        <w:tc>
          <w:tcPr>
            <w:tcW w:w="464" w:type="dxa"/>
            <w:vAlign w:val="center"/>
            <w:hideMark/>
          </w:tcPr>
          <w:p w14:paraId="139574FF" w14:textId="77777777" w:rsidR="00030B86" w:rsidRDefault="00030B86">
            <w:pPr>
              <w:rPr>
                <w:sz w:val="20"/>
                <w:szCs w:val="20"/>
              </w:rPr>
            </w:pPr>
          </w:p>
        </w:tc>
      </w:tr>
      <w:tr w:rsidR="00030B86" w14:paraId="66CA0EF0"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4ED7F9BD" w14:textId="77777777" w:rsidR="00030B86" w:rsidRDefault="00030B86">
            <w:pPr>
              <w:rPr>
                <w:rFonts w:ascii="Arial" w:hAnsi="Arial" w:cs="Arial"/>
                <w:color w:val="000000"/>
              </w:rPr>
            </w:pPr>
            <w:r>
              <w:rPr>
                <w:rFonts w:ascii="Arial" w:hAnsi="Arial" w:cs="Arial"/>
                <w:color w:val="000000"/>
              </w:rPr>
              <w:t>TCF2</w:t>
            </w:r>
          </w:p>
        </w:tc>
        <w:tc>
          <w:tcPr>
            <w:tcW w:w="1134" w:type="dxa"/>
            <w:tcBorders>
              <w:top w:val="nil"/>
              <w:left w:val="single" w:sz="8" w:space="0" w:color="auto"/>
              <w:bottom w:val="nil"/>
              <w:right w:val="single" w:sz="8" w:space="0" w:color="auto"/>
            </w:tcBorders>
            <w:shd w:val="clear" w:color="000000" w:fill="FFFFFF"/>
            <w:noWrap/>
            <w:hideMark/>
          </w:tcPr>
          <w:p w14:paraId="4E94B92D" w14:textId="77777777" w:rsidR="00030B86" w:rsidRDefault="00030B86">
            <w:pPr>
              <w:jc w:val="right"/>
              <w:rPr>
                <w:rFonts w:ascii="Arial" w:hAnsi="Arial" w:cs="Arial"/>
              </w:rPr>
            </w:pPr>
            <w:r>
              <w:rPr>
                <w:rFonts w:ascii="Arial" w:hAnsi="Arial" w:cs="Arial"/>
              </w:rPr>
              <w:t xml:space="preserve">2,625 </w:t>
            </w:r>
          </w:p>
        </w:tc>
        <w:tc>
          <w:tcPr>
            <w:tcW w:w="1418" w:type="dxa"/>
            <w:tcBorders>
              <w:top w:val="nil"/>
              <w:left w:val="nil"/>
              <w:bottom w:val="nil"/>
              <w:right w:val="single" w:sz="8" w:space="0" w:color="auto"/>
            </w:tcBorders>
            <w:shd w:val="clear" w:color="000000" w:fill="FFFFFF"/>
            <w:noWrap/>
            <w:hideMark/>
          </w:tcPr>
          <w:p w14:paraId="3A90D44E" w14:textId="77777777" w:rsidR="00030B86" w:rsidRDefault="00030B86">
            <w:pPr>
              <w:jc w:val="right"/>
              <w:rPr>
                <w:rFonts w:ascii="Arial" w:hAnsi="Arial" w:cs="Arial"/>
              </w:rPr>
            </w:pPr>
            <w:r>
              <w:rPr>
                <w:rFonts w:ascii="Arial" w:hAnsi="Arial" w:cs="Arial"/>
              </w:rPr>
              <w:t xml:space="preserve">1,029 </w:t>
            </w:r>
          </w:p>
        </w:tc>
        <w:tc>
          <w:tcPr>
            <w:tcW w:w="1134" w:type="dxa"/>
            <w:tcBorders>
              <w:top w:val="nil"/>
              <w:left w:val="nil"/>
              <w:bottom w:val="nil"/>
              <w:right w:val="single" w:sz="8" w:space="0" w:color="auto"/>
            </w:tcBorders>
            <w:shd w:val="clear" w:color="000000" w:fill="FFFFFF"/>
            <w:noWrap/>
            <w:hideMark/>
          </w:tcPr>
          <w:p w14:paraId="612D8FD2" w14:textId="77777777" w:rsidR="00030B86" w:rsidRDefault="00030B86">
            <w:pPr>
              <w:jc w:val="right"/>
              <w:rPr>
                <w:rFonts w:ascii="Arial" w:hAnsi="Arial" w:cs="Arial"/>
              </w:rPr>
            </w:pPr>
            <w:r>
              <w:rPr>
                <w:rFonts w:ascii="Arial" w:hAnsi="Arial" w:cs="Arial"/>
              </w:rPr>
              <w:t xml:space="preserve">1,017 </w:t>
            </w:r>
          </w:p>
        </w:tc>
        <w:tc>
          <w:tcPr>
            <w:tcW w:w="1559" w:type="dxa"/>
            <w:tcBorders>
              <w:top w:val="nil"/>
              <w:left w:val="nil"/>
              <w:bottom w:val="nil"/>
              <w:right w:val="single" w:sz="8" w:space="0" w:color="auto"/>
            </w:tcBorders>
            <w:shd w:val="clear" w:color="000000" w:fill="FFFFFF"/>
            <w:noWrap/>
            <w:hideMark/>
          </w:tcPr>
          <w:p w14:paraId="2BF3632D" w14:textId="77777777" w:rsidR="00030B86" w:rsidRDefault="00030B86">
            <w:pPr>
              <w:jc w:val="right"/>
              <w:rPr>
                <w:rFonts w:ascii="Arial" w:hAnsi="Arial" w:cs="Arial"/>
              </w:rPr>
            </w:pPr>
            <w:r>
              <w:rPr>
                <w:rFonts w:ascii="Arial" w:hAnsi="Arial" w:cs="Arial"/>
              </w:rPr>
              <w:t>(12)</w:t>
            </w:r>
          </w:p>
        </w:tc>
        <w:tc>
          <w:tcPr>
            <w:tcW w:w="464" w:type="dxa"/>
            <w:vAlign w:val="center"/>
            <w:hideMark/>
          </w:tcPr>
          <w:p w14:paraId="333080CD" w14:textId="77777777" w:rsidR="00030B86" w:rsidRDefault="00030B86">
            <w:pPr>
              <w:rPr>
                <w:sz w:val="20"/>
                <w:szCs w:val="20"/>
              </w:rPr>
            </w:pPr>
          </w:p>
        </w:tc>
      </w:tr>
      <w:tr w:rsidR="00030B86" w14:paraId="46F5CC5C" w14:textId="77777777" w:rsidTr="00030B86">
        <w:trPr>
          <w:trHeight w:val="311"/>
        </w:trPr>
        <w:tc>
          <w:tcPr>
            <w:tcW w:w="4668"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70ABFE8D" w14:textId="77777777" w:rsidR="00030B86" w:rsidRDefault="00030B86">
            <w:pPr>
              <w:rPr>
                <w:rFonts w:ascii="Arial" w:hAnsi="Arial" w:cs="Arial"/>
                <w:b/>
                <w:bCs/>
                <w:color w:val="000000"/>
              </w:rPr>
            </w:pPr>
            <w:r>
              <w:rPr>
                <w:rFonts w:ascii="Arial" w:hAnsi="Arial" w:cs="Arial"/>
                <w:b/>
                <w:bCs/>
                <w:color w:val="000000"/>
              </w:rPr>
              <w:t>Transforming Cities 2 total</w:t>
            </w:r>
          </w:p>
        </w:tc>
        <w:tc>
          <w:tcPr>
            <w:tcW w:w="1134" w:type="dxa"/>
            <w:tcBorders>
              <w:top w:val="single" w:sz="4" w:space="0" w:color="auto"/>
              <w:left w:val="nil"/>
              <w:bottom w:val="single" w:sz="4" w:space="0" w:color="auto"/>
              <w:right w:val="single" w:sz="8" w:space="0" w:color="auto"/>
            </w:tcBorders>
            <w:shd w:val="clear" w:color="auto" w:fill="auto"/>
            <w:noWrap/>
            <w:hideMark/>
          </w:tcPr>
          <w:p w14:paraId="1151609C" w14:textId="77777777" w:rsidR="00030B86" w:rsidRDefault="00030B86">
            <w:pPr>
              <w:jc w:val="right"/>
              <w:rPr>
                <w:rFonts w:ascii="Arial" w:hAnsi="Arial" w:cs="Arial"/>
                <w:b/>
                <w:bCs/>
              </w:rPr>
            </w:pPr>
            <w:r>
              <w:rPr>
                <w:rFonts w:ascii="Arial" w:hAnsi="Arial" w:cs="Arial"/>
                <w:b/>
                <w:bCs/>
              </w:rPr>
              <w:t xml:space="preserve">2,625 </w:t>
            </w:r>
          </w:p>
        </w:tc>
        <w:tc>
          <w:tcPr>
            <w:tcW w:w="1418" w:type="dxa"/>
            <w:tcBorders>
              <w:top w:val="single" w:sz="4" w:space="0" w:color="auto"/>
              <w:left w:val="nil"/>
              <w:bottom w:val="single" w:sz="4" w:space="0" w:color="auto"/>
              <w:right w:val="single" w:sz="8" w:space="0" w:color="auto"/>
            </w:tcBorders>
            <w:shd w:val="clear" w:color="auto" w:fill="auto"/>
            <w:noWrap/>
            <w:hideMark/>
          </w:tcPr>
          <w:p w14:paraId="79F3FE09" w14:textId="77777777" w:rsidR="00030B86" w:rsidRDefault="00030B86">
            <w:pPr>
              <w:jc w:val="right"/>
              <w:rPr>
                <w:rFonts w:ascii="Arial" w:hAnsi="Arial" w:cs="Arial"/>
                <w:b/>
                <w:bCs/>
              </w:rPr>
            </w:pPr>
            <w:r>
              <w:rPr>
                <w:rFonts w:ascii="Arial" w:hAnsi="Arial" w:cs="Arial"/>
                <w:b/>
                <w:bCs/>
              </w:rPr>
              <w:t xml:space="preserve">1,029 </w:t>
            </w:r>
          </w:p>
        </w:tc>
        <w:tc>
          <w:tcPr>
            <w:tcW w:w="1134" w:type="dxa"/>
            <w:tcBorders>
              <w:top w:val="single" w:sz="4" w:space="0" w:color="auto"/>
              <w:left w:val="nil"/>
              <w:bottom w:val="single" w:sz="4" w:space="0" w:color="auto"/>
              <w:right w:val="single" w:sz="8" w:space="0" w:color="auto"/>
            </w:tcBorders>
            <w:shd w:val="clear" w:color="auto" w:fill="auto"/>
            <w:noWrap/>
            <w:hideMark/>
          </w:tcPr>
          <w:p w14:paraId="20659668" w14:textId="77777777" w:rsidR="00030B86" w:rsidRDefault="00030B86">
            <w:pPr>
              <w:jc w:val="right"/>
              <w:rPr>
                <w:rFonts w:ascii="Arial" w:hAnsi="Arial" w:cs="Arial"/>
                <w:b/>
                <w:bCs/>
              </w:rPr>
            </w:pPr>
            <w:r>
              <w:rPr>
                <w:rFonts w:ascii="Arial" w:hAnsi="Arial" w:cs="Arial"/>
                <w:b/>
                <w:bCs/>
              </w:rPr>
              <w:t xml:space="preserve">1,017 </w:t>
            </w:r>
          </w:p>
        </w:tc>
        <w:tc>
          <w:tcPr>
            <w:tcW w:w="1559" w:type="dxa"/>
            <w:tcBorders>
              <w:top w:val="single" w:sz="4" w:space="0" w:color="auto"/>
              <w:left w:val="nil"/>
              <w:bottom w:val="single" w:sz="4" w:space="0" w:color="auto"/>
              <w:right w:val="single" w:sz="8" w:space="0" w:color="auto"/>
            </w:tcBorders>
            <w:shd w:val="clear" w:color="auto" w:fill="auto"/>
            <w:noWrap/>
            <w:hideMark/>
          </w:tcPr>
          <w:p w14:paraId="7447E66D" w14:textId="77777777" w:rsidR="00030B86" w:rsidRDefault="00030B86">
            <w:pPr>
              <w:jc w:val="right"/>
              <w:rPr>
                <w:rFonts w:ascii="Arial" w:hAnsi="Arial" w:cs="Arial"/>
                <w:b/>
                <w:bCs/>
              </w:rPr>
            </w:pPr>
            <w:r>
              <w:rPr>
                <w:rFonts w:ascii="Arial" w:hAnsi="Arial" w:cs="Arial"/>
                <w:b/>
                <w:bCs/>
              </w:rPr>
              <w:t>(12)</w:t>
            </w:r>
          </w:p>
        </w:tc>
        <w:tc>
          <w:tcPr>
            <w:tcW w:w="464" w:type="dxa"/>
            <w:vAlign w:val="center"/>
            <w:hideMark/>
          </w:tcPr>
          <w:p w14:paraId="055FCADA" w14:textId="77777777" w:rsidR="00030B86" w:rsidRDefault="00030B86">
            <w:pPr>
              <w:rPr>
                <w:sz w:val="20"/>
                <w:szCs w:val="20"/>
              </w:rPr>
            </w:pPr>
          </w:p>
        </w:tc>
      </w:tr>
      <w:tr w:rsidR="00030B86" w14:paraId="221B6F85"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5EADC3FB" w14:textId="77777777" w:rsidR="00030B86" w:rsidRDefault="00030B86">
            <w:pPr>
              <w:rPr>
                <w:rFonts w:ascii="Arial" w:hAnsi="Arial" w:cs="Arial"/>
                <w:b/>
                <w:bCs/>
                <w:color w:val="000000"/>
              </w:rPr>
            </w:pPr>
            <w:r>
              <w:rPr>
                <w:rFonts w:ascii="Arial" w:hAnsi="Arial" w:cs="Arial"/>
                <w:b/>
                <w:bCs/>
                <w:color w:val="000000"/>
              </w:rPr>
              <w:t>Bus Franchising</w:t>
            </w:r>
          </w:p>
        </w:tc>
        <w:tc>
          <w:tcPr>
            <w:tcW w:w="1134" w:type="dxa"/>
            <w:tcBorders>
              <w:top w:val="nil"/>
              <w:left w:val="single" w:sz="8" w:space="0" w:color="auto"/>
              <w:bottom w:val="nil"/>
              <w:right w:val="nil"/>
            </w:tcBorders>
            <w:shd w:val="clear" w:color="000000" w:fill="FFFFFF"/>
            <w:vAlign w:val="center"/>
            <w:hideMark/>
          </w:tcPr>
          <w:p w14:paraId="4B4456DD" w14:textId="77777777" w:rsidR="00030B86" w:rsidRDefault="00030B86">
            <w:pPr>
              <w:rPr>
                <w:rFonts w:ascii="Arial" w:hAnsi="Arial" w:cs="Arial"/>
                <w:b/>
                <w:bCs/>
                <w:color w:val="000000"/>
              </w:rPr>
            </w:pPr>
            <w:r>
              <w:rPr>
                <w:rFonts w:ascii="Arial" w:hAnsi="Arial" w:cs="Arial"/>
                <w:b/>
                <w:bCs/>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17C53E98" w14:textId="77777777" w:rsidR="00030B86" w:rsidRDefault="00030B86">
            <w:pPr>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04FF0CB0" w14:textId="77777777" w:rsidR="00030B86" w:rsidRDefault="00030B86">
            <w:pPr>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479669A5" w14:textId="77777777" w:rsidR="00030B86" w:rsidRDefault="00030B86">
            <w:pPr>
              <w:jc w:val="right"/>
              <w:rPr>
                <w:rFonts w:ascii="Arial" w:hAnsi="Arial" w:cs="Arial"/>
                <w:color w:val="000000"/>
              </w:rPr>
            </w:pPr>
            <w:r>
              <w:rPr>
                <w:rFonts w:ascii="Arial" w:hAnsi="Arial" w:cs="Arial"/>
                <w:color w:val="000000"/>
              </w:rPr>
              <w:t> </w:t>
            </w:r>
          </w:p>
        </w:tc>
        <w:tc>
          <w:tcPr>
            <w:tcW w:w="464" w:type="dxa"/>
            <w:vAlign w:val="center"/>
            <w:hideMark/>
          </w:tcPr>
          <w:p w14:paraId="705FB123" w14:textId="77777777" w:rsidR="00030B86" w:rsidRDefault="00030B86">
            <w:pPr>
              <w:rPr>
                <w:sz w:val="20"/>
                <w:szCs w:val="20"/>
              </w:rPr>
            </w:pPr>
          </w:p>
        </w:tc>
      </w:tr>
      <w:tr w:rsidR="00030B86" w14:paraId="1EAB2AD4"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11921910" w14:textId="77777777" w:rsidR="00030B86" w:rsidRDefault="00030B86">
            <w:pPr>
              <w:rPr>
                <w:rFonts w:ascii="Arial" w:hAnsi="Arial" w:cs="Arial"/>
                <w:color w:val="000000"/>
              </w:rPr>
            </w:pPr>
            <w:r>
              <w:rPr>
                <w:rFonts w:ascii="Arial" w:hAnsi="Arial" w:cs="Arial"/>
                <w:color w:val="000000"/>
              </w:rPr>
              <w:t>Bus Franchising</w:t>
            </w:r>
          </w:p>
        </w:tc>
        <w:tc>
          <w:tcPr>
            <w:tcW w:w="1134" w:type="dxa"/>
            <w:tcBorders>
              <w:top w:val="nil"/>
              <w:left w:val="single" w:sz="8" w:space="0" w:color="auto"/>
              <w:bottom w:val="nil"/>
              <w:right w:val="single" w:sz="8" w:space="0" w:color="auto"/>
            </w:tcBorders>
            <w:shd w:val="clear" w:color="000000" w:fill="FFFFFF"/>
            <w:noWrap/>
            <w:hideMark/>
          </w:tcPr>
          <w:p w14:paraId="2CD822D3" w14:textId="77777777" w:rsidR="00030B86" w:rsidRDefault="00030B86">
            <w:pPr>
              <w:jc w:val="right"/>
              <w:rPr>
                <w:rFonts w:ascii="Arial" w:hAnsi="Arial" w:cs="Arial"/>
              </w:rPr>
            </w:pPr>
            <w:r>
              <w:rPr>
                <w:rFonts w:ascii="Arial" w:hAnsi="Arial" w:cs="Arial"/>
              </w:rPr>
              <w:t xml:space="preserve">0 </w:t>
            </w:r>
          </w:p>
        </w:tc>
        <w:tc>
          <w:tcPr>
            <w:tcW w:w="1418" w:type="dxa"/>
            <w:tcBorders>
              <w:top w:val="nil"/>
              <w:left w:val="nil"/>
              <w:bottom w:val="nil"/>
              <w:right w:val="single" w:sz="8" w:space="0" w:color="auto"/>
            </w:tcBorders>
            <w:shd w:val="clear" w:color="000000" w:fill="FFFFFF"/>
            <w:noWrap/>
            <w:hideMark/>
          </w:tcPr>
          <w:p w14:paraId="7ABCD257" w14:textId="77777777" w:rsidR="00030B86" w:rsidRDefault="00030B86">
            <w:pPr>
              <w:jc w:val="right"/>
              <w:rPr>
                <w:rFonts w:ascii="Arial" w:hAnsi="Arial" w:cs="Arial"/>
              </w:rPr>
            </w:pPr>
            <w:r>
              <w:rPr>
                <w:rFonts w:ascii="Arial" w:hAnsi="Arial" w:cs="Arial"/>
              </w:rPr>
              <w:t xml:space="preserve">6,423 </w:t>
            </w:r>
          </w:p>
        </w:tc>
        <w:tc>
          <w:tcPr>
            <w:tcW w:w="1134" w:type="dxa"/>
            <w:tcBorders>
              <w:top w:val="nil"/>
              <w:left w:val="nil"/>
              <w:bottom w:val="nil"/>
              <w:right w:val="single" w:sz="8" w:space="0" w:color="auto"/>
            </w:tcBorders>
            <w:shd w:val="clear" w:color="000000" w:fill="FFFFFF"/>
            <w:noWrap/>
            <w:hideMark/>
          </w:tcPr>
          <w:p w14:paraId="38DE3DB4" w14:textId="77777777" w:rsidR="00030B86" w:rsidRDefault="00030B86">
            <w:pPr>
              <w:jc w:val="right"/>
              <w:rPr>
                <w:rFonts w:ascii="Arial" w:hAnsi="Arial" w:cs="Arial"/>
              </w:rPr>
            </w:pPr>
            <w:r>
              <w:rPr>
                <w:rFonts w:ascii="Arial" w:hAnsi="Arial" w:cs="Arial"/>
              </w:rPr>
              <w:t xml:space="preserve">5,223 </w:t>
            </w:r>
          </w:p>
        </w:tc>
        <w:tc>
          <w:tcPr>
            <w:tcW w:w="1559" w:type="dxa"/>
            <w:tcBorders>
              <w:top w:val="nil"/>
              <w:left w:val="nil"/>
              <w:bottom w:val="nil"/>
              <w:right w:val="single" w:sz="8" w:space="0" w:color="auto"/>
            </w:tcBorders>
            <w:shd w:val="clear" w:color="000000" w:fill="FFFFFF"/>
            <w:noWrap/>
            <w:hideMark/>
          </w:tcPr>
          <w:p w14:paraId="40F20406" w14:textId="77777777" w:rsidR="00030B86" w:rsidRDefault="00030B86">
            <w:pPr>
              <w:jc w:val="right"/>
              <w:rPr>
                <w:rFonts w:ascii="Arial" w:hAnsi="Arial" w:cs="Arial"/>
              </w:rPr>
            </w:pPr>
            <w:r>
              <w:rPr>
                <w:rFonts w:ascii="Arial" w:hAnsi="Arial" w:cs="Arial"/>
              </w:rPr>
              <w:t>(1,200)</w:t>
            </w:r>
          </w:p>
        </w:tc>
        <w:tc>
          <w:tcPr>
            <w:tcW w:w="464" w:type="dxa"/>
            <w:vAlign w:val="center"/>
            <w:hideMark/>
          </w:tcPr>
          <w:p w14:paraId="1F9127A8" w14:textId="77777777" w:rsidR="00030B86" w:rsidRDefault="00030B86">
            <w:pPr>
              <w:rPr>
                <w:sz w:val="20"/>
                <w:szCs w:val="20"/>
              </w:rPr>
            </w:pPr>
          </w:p>
        </w:tc>
      </w:tr>
      <w:tr w:rsidR="00030B86" w14:paraId="491D96ED" w14:textId="77777777" w:rsidTr="00030B86">
        <w:trPr>
          <w:trHeight w:val="311"/>
        </w:trPr>
        <w:tc>
          <w:tcPr>
            <w:tcW w:w="4668" w:type="dxa"/>
            <w:tcBorders>
              <w:top w:val="single" w:sz="4" w:space="0" w:color="auto"/>
              <w:left w:val="single" w:sz="8" w:space="0" w:color="auto"/>
              <w:bottom w:val="single" w:sz="4" w:space="0" w:color="auto"/>
              <w:right w:val="nil"/>
            </w:tcBorders>
            <w:shd w:val="clear" w:color="000000" w:fill="FFFFFF"/>
            <w:vAlign w:val="center"/>
            <w:hideMark/>
          </w:tcPr>
          <w:p w14:paraId="2796D5D8" w14:textId="77777777" w:rsidR="00030B86" w:rsidRDefault="00030B86">
            <w:pPr>
              <w:rPr>
                <w:rFonts w:ascii="Arial" w:hAnsi="Arial" w:cs="Arial"/>
                <w:b/>
                <w:bCs/>
                <w:color w:val="000000"/>
              </w:rPr>
            </w:pPr>
            <w:r>
              <w:rPr>
                <w:rFonts w:ascii="Arial" w:hAnsi="Arial" w:cs="Arial"/>
                <w:b/>
                <w:bCs/>
                <w:color w:val="000000"/>
              </w:rPr>
              <w:t>Bus Franchising total</w:t>
            </w:r>
          </w:p>
        </w:tc>
        <w:tc>
          <w:tcPr>
            <w:tcW w:w="1134" w:type="dxa"/>
            <w:tcBorders>
              <w:top w:val="single" w:sz="4" w:space="0" w:color="auto"/>
              <w:left w:val="single" w:sz="8" w:space="0" w:color="auto"/>
              <w:bottom w:val="single" w:sz="4" w:space="0" w:color="auto"/>
              <w:right w:val="single" w:sz="8" w:space="0" w:color="auto"/>
            </w:tcBorders>
            <w:shd w:val="clear" w:color="auto" w:fill="auto"/>
            <w:noWrap/>
            <w:hideMark/>
          </w:tcPr>
          <w:p w14:paraId="6096763D" w14:textId="77777777" w:rsidR="00030B86" w:rsidRDefault="00030B86">
            <w:pPr>
              <w:jc w:val="right"/>
              <w:rPr>
                <w:rFonts w:ascii="Arial" w:hAnsi="Arial" w:cs="Arial"/>
                <w:b/>
                <w:bCs/>
              </w:rPr>
            </w:pPr>
            <w:r>
              <w:rPr>
                <w:rFonts w:ascii="Arial" w:hAnsi="Arial" w:cs="Arial"/>
                <w:b/>
                <w:bCs/>
              </w:rPr>
              <w:t xml:space="preserve">0 </w:t>
            </w:r>
          </w:p>
        </w:tc>
        <w:tc>
          <w:tcPr>
            <w:tcW w:w="1418" w:type="dxa"/>
            <w:tcBorders>
              <w:top w:val="single" w:sz="4" w:space="0" w:color="auto"/>
              <w:left w:val="nil"/>
              <w:bottom w:val="single" w:sz="4" w:space="0" w:color="auto"/>
              <w:right w:val="single" w:sz="8" w:space="0" w:color="auto"/>
            </w:tcBorders>
            <w:shd w:val="clear" w:color="auto" w:fill="auto"/>
            <w:noWrap/>
            <w:hideMark/>
          </w:tcPr>
          <w:p w14:paraId="0742F9E6" w14:textId="77777777" w:rsidR="00030B86" w:rsidRDefault="00030B86">
            <w:pPr>
              <w:jc w:val="right"/>
              <w:rPr>
                <w:rFonts w:ascii="Arial" w:hAnsi="Arial" w:cs="Arial"/>
                <w:b/>
                <w:bCs/>
              </w:rPr>
            </w:pPr>
            <w:r>
              <w:rPr>
                <w:rFonts w:ascii="Arial" w:hAnsi="Arial" w:cs="Arial"/>
                <w:b/>
                <w:bCs/>
              </w:rPr>
              <w:t xml:space="preserve">6,423 </w:t>
            </w:r>
          </w:p>
        </w:tc>
        <w:tc>
          <w:tcPr>
            <w:tcW w:w="1134" w:type="dxa"/>
            <w:tcBorders>
              <w:top w:val="single" w:sz="4" w:space="0" w:color="auto"/>
              <w:left w:val="nil"/>
              <w:bottom w:val="single" w:sz="4" w:space="0" w:color="auto"/>
              <w:right w:val="single" w:sz="8" w:space="0" w:color="auto"/>
            </w:tcBorders>
            <w:shd w:val="clear" w:color="auto" w:fill="auto"/>
            <w:noWrap/>
            <w:hideMark/>
          </w:tcPr>
          <w:p w14:paraId="2F79AA12" w14:textId="77777777" w:rsidR="00030B86" w:rsidRDefault="00030B86">
            <w:pPr>
              <w:jc w:val="right"/>
              <w:rPr>
                <w:rFonts w:ascii="Arial" w:hAnsi="Arial" w:cs="Arial"/>
                <w:b/>
                <w:bCs/>
              </w:rPr>
            </w:pPr>
            <w:r>
              <w:rPr>
                <w:rFonts w:ascii="Arial" w:hAnsi="Arial" w:cs="Arial"/>
                <w:b/>
                <w:bCs/>
              </w:rPr>
              <w:t xml:space="preserve">5,223 </w:t>
            </w:r>
          </w:p>
        </w:tc>
        <w:tc>
          <w:tcPr>
            <w:tcW w:w="1559" w:type="dxa"/>
            <w:tcBorders>
              <w:top w:val="single" w:sz="4" w:space="0" w:color="auto"/>
              <w:left w:val="nil"/>
              <w:bottom w:val="single" w:sz="4" w:space="0" w:color="auto"/>
              <w:right w:val="single" w:sz="8" w:space="0" w:color="auto"/>
            </w:tcBorders>
            <w:shd w:val="clear" w:color="auto" w:fill="auto"/>
            <w:noWrap/>
            <w:hideMark/>
          </w:tcPr>
          <w:p w14:paraId="697E533F" w14:textId="77777777" w:rsidR="00030B86" w:rsidRDefault="00030B86">
            <w:pPr>
              <w:jc w:val="right"/>
              <w:rPr>
                <w:rFonts w:ascii="Arial" w:hAnsi="Arial" w:cs="Arial"/>
                <w:b/>
                <w:bCs/>
              </w:rPr>
            </w:pPr>
            <w:r>
              <w:rPr>
                <w:rFonts w:ascii="Arial" w:hAnsi="Arial" w:cs="Arial"/>
                <w:b/>
                <w:bCs/>
              </w:rPr>
              <w:t>(1,200)</w:t>
            </w:r>
          </w:p>
        </w:tc>
        <w:tc>
          <w:tcPr>
            <w:tcW w:w="464" w:type="dxa"/>
            <w:vAlign w:val="center"/>
            <w:hideMark/>
          </w:tcPr>
          <w:p w14:paraId="2E4C8881" w14:textId="77777777" w:rsidR="00030B86" w:rsidRDefault="00030B86">
            <w:pPr>
              <w:rPr>
                <w:sz w:val="20"/>
                <w:szCs w:val="20"/>
              </w:rPr>
            </w:pPr>
          </w:p>
        </w:tc>
      </w:tr>
      <w:tr w:rsidR="00030B86" w14:paraId="0A0E1CF2" w14:textId="77777777" w:rsidTr="00030B86">
        <w:trPr>
          <w:trHeight w:val="311"/>
        </w:trPr>
        <w:tc>
          <w:tcPr>
            <w:tcW w:w="4668" w:type="dxa"/>
            <w:tcBorders>
              <w:top w:val="single" w:sz="4" w:space="0" w:color="auto"/>
              <w:left w:val="single" w:sz="8" w:space="0" w:color="auto"/>
              <w:bottom w:val="nil"/>
              <w:right w:val="nil"/>
            </w:tcBorders>
            <w:shd w:val="clear" w:color="000000" w:fill="FFFFFF"/>
            <w:vAlign w:val="center"/>
            <w:hideMark/>
          </w:tcPr>
          <w:p w14:paraId="0F33E8AE" w14:textId="77777777" w:rsidR="00030B86" w:rsidRDefault="00030B86">
            <w:pPr>
              <w:rPr>
                <w:rFonts w:ascii="Arial" w:hAnsi="Arial" w:cs="Arial"/>
                <w:color w:val="000000"/>
              </w:rPr>
            </w:pPr>
            <w:r>
              <w:rPr>
                <w:rFonts w:ascii="Arial" w:hAnsi="Arial" w:cs="Arial"/>
                <w:color w:val="000000"/>
              </w:rPr>
              <w:t>Traffic Signals (Externally Funded)</w:t>
            </w:r>
          </w:p>
        </w:tc>
        <w:tc>
          <w:tcPr>
            <w:tcW w:w="1134" w:type="dxa"/>
            <w:tcBorders>
              <w:top w:val="single" w:sz="4" w:space="0" w:color="auto"/>
              <w:left w:val="single" w:sz="8" w:space="0" w:color="auto"/>
              <w:bottom w:val="nil"/>
              <w:right w:val="single" w:sz="8" w:space="0" w:color="auto"/>
            </w:tcBorders>
            <w:shd w:val="clear" w:color="000000" w:fill="FFFFFF"/>
            <w:noWrap/>
            <w:hideMark/>
          </w:tcPr>
          <w:p w14:paraId="557201DF" w14:textId="77777777" w:rsidR="00030B86" w:rsidRDefault="00030B86">
            <w:pPr>
              <w:jc w:val="right"/>
              <w:rPr>
                <w:rFonts w:ascii="Arial" w:hAnsi="Arial" w:cs="Arial"/>
              </w:rPr>
            </w:pPr>
            <w:r>
              <w:rPr>
                <w:rFonts w:ascii="Arial" w:hAnsi="Arial" w:cs="Arial"/>
              </w:rPr>
              <w:t xml:space="preserve">2,500 </w:t>
            </w:r>
          </w:p>
        </w:tc>
        <w:tc>
          <w:tcPr>
            <w:tcW w:w="1418" w:type="dxa"/>
            <w:tcBorders>
              <w:top w:val="single" w:sz="4" w:space="0" w:color="auto"/>
              <w:left w:val="nil"/>
              <w:bottom w:val="nil"/>
              <w:right w:val="single" w:sz="8" w:space="0" w:color="auto"/>
            </w:tcBorders>
            <w:shd w:val="clear" w:color="000000" w:fill="FFFFFF"/>
            <w:noWrap/>
            <w:hideMark/>
          </w:tcPr>
          <w:p w14:paraId="11BEBDBA" w14:textId="77777777" w:rsidR="00030B86" w:rsidRDefault="00030B86">
            <w:pPr>
              <w:jc w:val="right"/>
              <w:rPr>
                <w:rFonts w:ascii="Arial" w:hAnsi="Arial" w:cs="Arial"/>
              </w:rPr>
            </w:pPr>
            <w:r>
              <w:rPr>
                <w:rFonts w:ascii="Arial" w:hAnsi="Arial" w:cs="Arial"/>
              </w:rPr>
              <w:t xml:space="preserve">2,500 </w:t>
            </w:r>
          </w:p>
        </w:tc>
        <w:tc>
          <w:tcPr>
            <w:tcW w:w="1134" w:type="dxa"/>
            <w:tcBorders>
              <w:top w:val="single" w:sz="4" w:space="0" w:color="auto"/>
              <w:left w:val="nil"/>
              <w:bottom w:val="nil"/>
              <w:right w:val="single" w:sz="8" w:space="0" w:color="auto"/>
            </w:tcBorders>
            <w:shd w:val="clear" w:color="000000" w:fill="FFFFFF"/>
            <w:noWrap/>
            <w:hideMark/>
          </w:tcPr>
          <w:p w14:paraId="5D8149C2" w14:textId="77777777" w:rsidR="00030B86" w:rsidRDefault="00030B86">
            <w:pPr>
              <w:jc w:val="right"/>
              <w:rPr>
                <w:rFonts w:ascii="Arial" w:hAnsi="Arial" w:cs="Arial"/>
              </w:rPr>
            </w:pPr>
            <w:r>
              <w:rPr>
                <w:rFonts w:ascii="Arial" w:hAnsi="Arial" w:cs="Arial"/>
              </w:rPr>
              <w:t xml:space="preserve">2,230 </w:t>
            </w:r>
          </w:p>
        </w:tc>
        <w:tc>
          <w:tcPr>
            <w:tcW w:w="1559" w:type="dxa"/>
            <w:tcBorders>
              <w:top w:val="single" w:sz="4" w:space="0" w:color="auto"/>
              <w:left w:val="nil"/>
              <w:bottom w:val="nil"/>
              <w:right w:val="single" w:sz="8" w:space="0" w:color="auto"/>
            </w:tcBorders>
            <w:shd w:val="clear" w:color="000000" w:fill="FFFFFF"/>
            <w:noWrap/>
            <w:hideMark/>
          </w:tcPr>
          <w:p w14:paraId="43F7725D" w14:textId="77777777" w:rsidR="00030B86" w:rsidRDefault="00030B86">
            <w:pPr>
              <w:jc w:val="right"/>
              <w:rPr>
                <w:rFonts w:ascii="Arial" w:hAnsi="Arial" w:cs="Arial"/>
              </w:rPr>
            </w:pPr>
            <w:r>
              <w:rPr>
                <w:rFonts w:ascii="Arial" w:hAnsi="Arial" w:cs="Arial"/>
              </w:rPr>
              <w:t>(270)</w:t>
            </w:r>
          </w:p>
        </w:tc>
        <w:tc>
          <w:tcPr>
            <w:tcW w:w="464" w:type="dxa"/>
            <w:vAlign w:val="center"/>
            <w:hideMark/>
          </w:tcPr>
          <w:p w14:paraId="06EB404A" w14:textId="77777777" w:rsidR="00030B86" w:rsidRDefault="00030B86">
            <w:pPr>
              <w:rPr>
                <w:sz w:val="20"/>
                <w:szCs w:val="20"/>
              </w:rPr>
            </w:pPr>
          </w:p>
        </w:tc>
      </w:tr>
      <w:tr w:rsidR="00030B86" w14:paraId="2378FB62"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5A791D05" w14:textId="77777777" w:rsidR="00030B86" w:rsidRDefault="00030B86">
            <w:pPr>
              <w:rPr>
                <w:rFonts w:ascii="Arial" w:hAnsi="Arial" w:cs="Arial"/>
                <w:color w:val="000000"/>
              </w:rPr>
            </w:pPr>
            <w:r>
              <w:rPr>
                <w:rFonts w:ascii="Arial" w:hAnsi="Arial" w:cs="Arial"/>
                <w:color w:val="000000"/>
              </w:rPr>
              <w:t>Full Fibre Network</w:t>
            </w:r>
          </w:p>
        </w:tc>
        <w:tc>
          <w:tcPr>
            <w:tcW w:w="1134" w:type="dxa"/>
            <w:tcBorders>
              <w:top w:val="nil"/>
              <w:left w:val="single" w:sz="8" w:space="0" w:color="auto"/>
              <w:bottom w:val="nil"/>
              <w:right w:val="single" w:sz="8" w:space="0" w:color="auto"/>
            </w:tcBorders>
            <w:shd w:val="clear" w:color="000000" w:fill="FFFFFF"/>
            <w:noWrap/>
            <w:hideMark/>
          </w:tcPr>
          <w:p w14:paraId="735B2FFD" w14:textId="77777777" w:rsidR="00030B86" w:rsidRDefault="00030B86">
            <w:pPr>
              <w:jc w:val="right"/>
              <w:rPr>
                <w:rFonts w:ascii="Arial" w:hAnsi="Arial" w:cs="Arial"/>
              </w:rPr>
            </w:pPr>
            <w:r>
              <w:rPr>
                <w:rFonts w:ascii="Arial" w:hAnsi="Arial" w:cs="Arial"/>
              </w:rPr>
              <w:t xml:space="preserve">17,252 </w:t>
            </w:r>
          </w:p>
        </w:tc>
        <w:tc>
          <w:tcPr>
            <w:tcW w:w="1418" w:type="dxa"/>
            <w:tcBorders>
              <w:top w:val="nil"/>
              <w:left w:val="nil"/>
              <w:bottom w:val="nil"/>
              <w:right w:val="single" w:sz="8" w:space="0" w:color="auto"/>
            </w:tcBorders>
            <w:shd w:val="clear" w:color="000000" w:fill="FFFFFF"/>
            <w:noWrap/>
            <w:hideMark/>
          </w:tcPr>
          <w:p w14:paraId="0C4D01B0" w14:textId="77777777" w:rsidR="00030B86" w:rsidRDefault="00030B86">
            <w:pPr>
              <w:jc w:val="right"/>
              <w:rPr>
                <w:rFonts w:ascii="Arial" w:hAnsi="Arial" w:cs="Arial"/>
              </w:rPr>
            </w:pPr>
            <w:r>
              <w:rPr>
                <w:rFonts w:ascii="Arial" w:hAnsi="Arial" w:cs="Arial"/>
              </w:rPr>
              <w:t xml:space="preserve">11,200 </w:t>
            </w:r>
          </w:p>
        </w:tc>
        <w:tc>
          <w:tcPr>
            <w:tcW w:w="1134" w:type="dxa"/>
            <w:tcBorders>
              <w:top w:val="nil"/>
              <w:left w:val="nil"/>
              <w:bottom w:val="nil"/>
              <w:right w:val="single" w:sz="8" w:space="0" w:color="auto"/>
            </w:tcBorders>
            <w:shd w:val="clear" w:color="000000" w:fill="FFFFFF"/>
            <w:noWrap/>
            <w:hideMark/>
          </w:tcPr>
          <w:p w14:paraId="01466B53" w14:textId="77777777" w:rsidR="00030B86" w:rsidRDefault="00030B86">
            <w:pPr>
              <w:jc w:val="right"/>
              <w:rPr>
                <w:rFonts w:ascii="Arial" w:hAnsi="Arial" w:cs="Arial"/>
              </w:rPr>
            </w:pPr>
            <w:r>
              <w:rPr>
                <w:rFonts w:ascii="Arial" w:hAnsi="Arial" w:cs="Arial"/>
              </w:rPr>
              <w:t xml:space="preserve">12,313 </w:t>
            </w:r>
          </w:p>
        </w:tc>
        <w:tc>
          <w:tcPr>
            <w:tcW w:w="1559" w:type="dxa"/>
            <w:tcBorders>
              <w:top w:val="nil"/>
              <w:left w:val="nil"/>
              <w:bottom w:val="nil"/>
              <w:right w:val="single" w:sz="8" w:space="0" w:color="auto"/>
            </w:tcBorders>
            <w:shd w:val="clear" w:color="000000" w:fill="FFFFFF"/>
            <w:noWrap/>
            <w:hideMark/>
          </w:tcPr>
          <w:p w14:paraId="058FECFA" w14:textId="77777777" w:rsidR="00030B86" w:rsidRDefault="00030B86">
            <w:pPr>
              <w:jc w:val="right"/>
              <w:rPr>
                <w:rFonts w:ascii="Arial" w:hAnsi="Arial" w:cs="Arial"/>
              </w:rPr>
            </w:pPr>
            <w:r>
              <w:rPr>
                <w:rFonts w:ascii="Arial" w:hAnsi="Arial" w:cs="Arial"/>
              </w:rPr>
              <w:t xml:space="preserve">1,113 </w:t>
            </w:r>
          </w:p>
        </w:tc>
        <w:tc>
          <w:tcPr>
            <w:tcW w:w="464" w:type="dxa"/>
            <w:vAlign w:val="center"/>
            <w:hideMark/>
          </w:tcPr>
          <w:p w14:paraId="7D82F188" w14:textId="77777777" w:rsidR="00030B86" w:rsidRDefault="00030B86">
            <w:pPr>
              <w:rPr>
                <w:sz w:val="20"/>
                <w:szCs w:val="20"/>
              </w:rPr>
            </w:pPr>
          </w:p>
        </w:tc>
      </w:tr>
      <w:tr w:rsidR="00030B86" w14:paraId="29806109"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73509453" w14:textId="77777777" w:rsidR="00030B86" w:rsidRDefault="00030B86">
            <w:pPr>
              <w:rPr>
                <w:rFonts w:ascii="Arial" w:hAnsi="Arial" w:cs="Arial"/>
                <w:color w:val="000000"/>
              </w:rPr>
            </w:pPr>
            <w:r>
              <w:rPr>
                <w:rFonts w:ascii="Arial" w:hAnsi="Arial" w:cs="Arial"/>
                <w:color w:val="000000"/>
              </w:rPr>
              <w:t>GM One Network</w:t>
            </w:r>
          </w:p>
        </w:tc>
        <w:tc>
          <w:tcPr>
            <w:tcW w:w="1134" w:type="dxa"/>
            <w:tcBorders>
              <w:top w:val="nil"/>
              <w:left w:val="single" w:sz="8" w:space="0" w:color="auto"/>
              <w:bottom w:val="nil"/>
              <w:right w:val="single" w:sz="8" w:space="0" w:color="auto"/>
            </w:tcBorders>
            <w:shd w:val="clear" w:color="000000" w:fill="FFFFFF"/>
            <w:noWrap/>
            <w:hideMark/>
          </w:tcPr>
          <w:p w14:paraId="7557170E" w14:textId="77777777" w:rsidR="00030B86" w:rsidRDefault="00030B86">
            <w:pPr>
              <w:jc w:val="right"/>
              <w:rPr>
                <w:rFonts w:ascii="Arial" w:hAnsi="Arial" w:cs="Arial"/>
              </w:rPr>
            </w:pPr>
            <w:r>
              <w:rPr>
                <w:rFonts w:ascii="Arial" w:hAnsi="Arial" w:cs="Arial"/>
              </w:rPr>
              <w:t> </w:t>
            </w:r>
          </w:p>
        </w:tc>
        <w:tc>
          <w:tcPr>
            <w:tcW w:w="1418" w:type="dxa"/>
            <w:tcBorders>
              <w:top w:val="nil"/>
              <w:left w:val="nil"/>
              <w:bottom w:val="nil"/>
              <w:right w:val="single" w:sz="8" w:space="0" w:color="auto"/>
            </w:tcBorders>
            <w:shd w:val="clear" w:color="000000" w:fill="FFFFFF"/>
            <w:noWrap/>
            <w:hideMark/>
          </w:tcPr>
          <w:p w14:paraId="291C6B4C" w14:textId="77777777" w:rsidR="00030B86" w:rsidRDefault="00030B86">
            <w:pPr>
              <w:jc w:val="right"/>
              <w:rPr>
                <w:rFonts w:ascii="Arial" w:hAnsi="Arial" w:cs="Arial"/>
              </w:rPr>
            </w:pPr>
            <w:r>
              <w:rPr>
                <w:rFonts w:ascii="Arial" w:hAnsi="Arial" w:cs="Arial"/>
              </w:rPr>
              <w:t xml:space="preserve">0 </w:t>
            </w:r>
          </w:p>
        </w:tc>
        <w:tc>
          <w:tcPr>
            <w:tcW w:w="1134" w:type="dxa"/>
            <w:tcBorders>
              <w:top w:val="nil"/>
              <w:left w:val="nil"/>
              <w:bottom w:val="nil"/>
              <w:right w:val="single" w:sz="8" w:space="0" w:color="auto"/>
            </w:tcBorders>
            <w:shd w:val="clear" w:color="000000" w:fill="FFFFFF"/>
            <w:noWrap/>
            <w:hideMark/>
          </w:tcPr>
          <w:p w14:paraId="424D1C26" w14:textId="77777777" w:rsidR="00030B86" w:rsidRDefault="00030B86">
            <w:pPr>
              <w:jc w:val="right"/>
              <w:rPr>
                <w:rFonts w:ascii="Arial" w:hAnsi="Arial" w:cs="Arial"/>
              </w:rPr>
            </w:pPr>
            <w:r>
              <w:rPr>
                <w:rFonts w:ascii="Arial" w:hAnsi="Arial" w:cs="Arial"/>
              </w:rPr>
              <w:t xml:space="preserve">499 </w:t>
            </w:r>
          </w:p>
        </w:tc>
        <w:tc>
          <w:tcPr>
            <w:tcW w:w="1559" w:type="dxa"/>
            <w:tcBorders>
              <w:top w:val="nil"/>
              <w:left w:val="nil"/>
              <w:bottom w:val="nil"/>
              <w:right w:val="single" w:sz="8" w:space="0" w:color="auto"/>
            </w:tcBorders>
            <w:shd w:val="clear" w:color="000000" w:fill="FFFFFF"/>
            <w:noWrap/>
            <w:hideMark/>
          </w:tcPr>
          <w:p w14:paraId="233DB9F8" w14:textId="77777777" w:rsidR="00030B86" w:rsidRDefault="00030B86">
            <w:pPr>
              <w:jc w:val="right"/>
              <w:rPr>
                <w:rFonts w:ascii="Arial" w:hAnsi="Arial" w:cs="Arial"/>
              </w:rPr>
            </w:pPr>
            <w:r>
              <w:rPr>
                <w:rFonts w:ascii="Arial" w:hAnsi="Arial" w:cs="Arial"/>
              </w:rPr>
              <w:t xml:space="preserve">499 </w:t>
            </w:r>
          </w:p>
        </w:tc>
        <w:tc>
          <w:tcPr>
            <w:tcW w:w="464" w:type="dxa"/>
            <w:vAlign w:val="center"/>
            <w:hideMark/>
          </w:tcPr>
          <w:p w14:paraId="1214229B" w14:textId="77777777" w:rsidR="00030B86" w:rsidRDefault="00030B86">
            <w:pPr>
              <w:rPr>
                <w:sz w:val="20"/>
                <w:szCs w:val="20"/>
              </w:rPr>
            </w:pPr>
          </w:p>
        </w:tc>
      </w:tr>
      <w:tr w:rsidR="00030B86" w14:paraId="3CBFBAFB" w14:textId="77777777" w:rsidTr="00030B86">
        <w:trPr>
          <w:trHeight w:val="311"/>
        </w:trPr>
        <w:tc>
          <w:tcPr>
            <w:tcW w:w="4668" w:type="dxa"/>
            <w:tcBorders>
              <w:top w:val="nil"/>
              <w:left w:val="single" w:sz="8" w:space="0" w:color="auto"/>
              <w:bottom w:val="single" w:sz="4" w:space="0" w:color="auto"/>
              <w:right w:val="nil"/>
            </w:tcBorders>
            <w:shd w:val="clear" w:color="000000" w:fill="FFFFFF"/>
            <w:vAlign w:val="center"/>
            <w:hideMark/>
          </w:tcPr>
          <w:p w14:paraId="3D17701C" w14:textId="77777777" w:rsidR="00030B86" w:rsidRDefault="00030B86">
            <w:pPr>
              <w:rPr>
                <w:rFonts w:ascii="Arial" w:hAnsi="Arial" w:cs="Arial"/>
                <w:color w:val="000000"/>
              </w:rPr>
            </w:pPr>
            <w:r>
              <w:rPr>
                <w:rFonts w:ascii="Arial" w:hAnsi="Arial" w:cs="Arial"/>
                <w:color w:val="000000"/>
              </w:rPr>
              <w:t>Highways Capital Maintenance</w:t>
            </w:r>
          </w:p>
        </w:tc>
        <w:tc>
          <w:tcPr>
            <w:tcW w:w="1134" w:type="dxa"/>
            <w:tcBorders>
              <w:top w:val="nil"/>
              <w:left w:val="single" w:sz="8" w:space="0" w:color="auto"/>
              <w:bottom w:val="single" w:sz="4" w:space="0" w:color="auto"/>
              <w:right w:val="single" w:sz="8" w:space="0" w:color="auto"/>
            </w:tcBorders>
            <w:shd w:val="clear" w:color="000000" w:fill="FFFFFF"/>
            <w:noWrap/>
            <w:hideMark/>
          </w:tcPr>
          <w:p w14:paraId="4734B3D8" w14:textId="77777777" w:rsidR="00030B86" w:rsidRDefault="00030B86">
            <w:pPr>
              <w:jc w:val="right"/>
              <w:rPr>
                <w:rFonts w:ascii="Arial" w:hAnsi="Arial" w:cs="Arial"/>
              </w:rPr>
            </w:pPr>
            <w:r>
              <w:rPr>
                <w:rFonts w:ascii="Arial" w:hAnsi="Arial" w:cs="Arial"/>
              </w:rPr>
              <w:t xml:space="preserve">27,202 </w:t>
            </w:r>
          </w:p>
        </w:tc>
        <w:tc>
          <w:tcPr>
            <w:tcW w:w="1418" w:type="dxa"/>
            <w:tcBorders>
              <w:top w:val="nil"/>
              <w:left w:val="nil"/>
              <w:bottom w:val="single" w:sz="4" w:space="0" w:color="auto"/>
              <w:right w:val="single" w:sz="8" w:space="0" w:color="auto"/>
            </w:tcBorders>
            <w:shd w:val="clear" w:color="000000" w:fill="FFFFFF"/>
            <w:noWrap/>
            <w:hideMark/>
          </w:tcPr>
          <w:p w14:paraId="4BE43EDC" w14:textId="77777777" w:rsidR="00030B86" w:rsidRDefault="00030B86">
            <w:pPr>
              <w:jc w:val="right"/>
              <w:rPr>
                <w:rFonts w:ascii="Arial" w:hAnsi="Arial" w:cs="Arial"/>
              </w:rPr>
            </w:pPr>
            <w:r>
              <w:rPr>
                <w:rFonts w:ascii="Arial" w:hAnsi="Arial" w:cs="Arial"/>
              </w:rPr>
              <w:t xml:space="preserve">34,940 </w:t>
            </w:r>
          </w:p>
        </w:tc>
        <w:tc>
          <w:tcPr>
            <w:tcW w:w="1134" w:type="dxa"/>
            <w:tcBorders>
              <w:top w:val="nil"/>
              <w:left w:val="nil"/>
              <w:bottom w:val="single" w:sz="4" w:space="0" w:color="auto"/>
              <w:right w:val="single" w:sz="8" w:space="0" w:color="auto"/>
            </w:tcBorders>
            <w:shd w:val="clear" w:color="000000" w:fill="FFFFFF"/>
            <w:noWrap/>
            <w:hideMark/>
          </w:tcPr>
          <w:p w14:paraId="0E4C4C26" w14:textId="77777777" w:rsidR="00030B86" w:rsidRDefault="00030B86">
            <w:pPr>
              <w:jc w:val="right"/>
              <w:rPr>
                <w:rFonts w:ascii="Arial" w:hAnsi="Arial" w:cs="Arial"/>
              </w:rPr>
            </w:pPr>
            <w:r>
              <w:rPr>
                <w:rFonts w:ascii="Arial" w:hAnsi="Arial" w:cs="Arial"/>
              </w:rPr>
              <w:t xml:space="preserve">47,164 </w:t>
            </w:r>
          </w:p>
        </w:tc>
        <w:tc>
          <w:tcPr>
            <w:tcW w:w="1559" w:type="dxa"/>
            <w:tcBorders>
              <w:top w:val="nil"/>
              <w:left w:val="nil"/>
              <w:bottom w:val="single" w:sz="4" w:space="0" w:color="auto"/>
              <w:right w:val="single" w:sz="8" w:space="0" w:color="auto"/>
            </w:tcBorders>
            <w:shd w:val="clear" w:color="000000" w:fill="FFFFFF"/>
            <w:noWrap/>
            <w:hideMark/>
          </w:tcPr>
          <w:p w14:paraId="2012198F" w14:textId="77777777" w:rsidR="00030B86" w:rsidRDefault="00030B86">
            <w:pPr>
              <w:jc w:val="right"/>
              <w:rPr>
                <w:rFonts w:ascii="Arial" w:hAnsi="Arial" w:cs="Arial"/>
              </w:rPr>
            </w:pPr>
            <w:r>
              <w:rPr>
                <w:rFonts w:ascii="Arial" w:hAnsi="Arial" w:cs="Arial"/>
              </w:rPr>
              <w:t xml:space="preserve">12,224 </w:t>
            </w:r>
          </w:p>
        </w:tc>
        <w:tc>
          <w:tcPr>
            <w:tcW w:w="464" w:type="dxa"/>
            <w:vAlign w:val="center"/>
            <w:hideMark/>
          </w:tcPr>
          <w:p w14:paraId="716B4EEC" w14:textId="77777777" w:rsidR="00030B86" w:rsidRDefault="00030B86">
            <w:pPr>
              <w:rPr>
                <w:sz w:val="20"/>
                <w:szCs w:val="20"/>
              </w:rPr>
            </w:pPr>
          </w:p>
        </w:tc>
      </w:tr>
      <w:tr w:rsidR="00030B86" w14:paraId="6299F91C" w14:textId="77777777" w:rsidTr="00030B86">
        <w:trPr>
          <w:trHeight w:val="311"/>
        </w:trPr>
        <w:tc>
          <w:tcPr>
            <w:tcW w:w="4668" w:type="dxa"/>
            <w:tcBorders>
              <w:top w:val="nil"/>
              <w:left w:val="single" w:sz="8" w:space="0" w:color="auto"/>
              <w:bottom w:val="single" w:sz="4" w:space="0" w:color="auto"/>
              <w:right w:val="nil"/>
            </w:tcBorders>
            <w:shd w:val="clear" w:color="000000" w:fill="FFFFFF"/>
            <w:vAlign w:val="center"/>
            <w:hideMark/>
          </w:tcPr>
          <w:p w14:paraId="227503C8" w14:textId="77777777" w:rsidR="00030B86" w:rsidRDefault="00030B86">
            <w:pPr>
              <w:rPr>
                <w:rFonts w:ascii="Arial" w:hAnsi="Arial" w:cs="Arial"/>
                <w:b/>
                <w:bCs/>
                <w:color w:val="000000"/>
              </w:rPr>
            </w:pPr>
            <w:r>
              <w:rPr>
                <w:rFonts w:ascii="Arial" w:hAnsi="Arial" w:cs="Arial"/>
                <w:b/>
                <w:bCs/>
                <w:color w:val="000000"/>
              </w:rPr>
              <w:t>Other Transport</w:t>
            </w:r>
          </w:p>
        </w:tc>
        <w:tc>
          <w:tcPr>
            <w:tcW w:w="1134" w:type="dxa"/>
            <w:tcBorders>
              <w:top w:val="nil"/>
              <w:left w:val="single" w:sz="8" w:space="0" w:color="auto"/>
              <w:bottom w:val="single" w:sz="4" w:space="0" w:color="auto"/>
              <w:right w:val="single" w:sz="8" w:space="0" w:color="auto"/>
            </w:tcBorders>
            <w:shd w:val="clear" w:color="auto" w:fill="auto"/>
            <w:noWrap/>
            <w:hideMark/>
          </w:tcPr>
          <w:p w14:paraId="7E1EC5E7" w14:textId="77777777" w:rsidR="00030B86" w:rsidRDefault="00030B86">
            <w:pPr>
              <w:jc w:val="right"/>
              <w:rPr>
                <w:rFonts w:ascii="Arial" w:hAnsi="Arial" w:cs="Arial"/>
                <w:b/>
                <w:bCs/>
              </w:rPr>
            </w:pPr>
            <w:r>
              <w:rPr>
                <w:rFonts w:ascii="Arial" w:hAnsi="Arial" w:cs="Arial"/>
                <w:b/>
                <w:bCs/>
              </w:rPr>
              <w:t xml:space="preserve">46,954 </w:t>
            </w:r>
          </w:p>
        </w:tc>
        <w:tc>
          <w:tcPr>
            <w:tcW w:w="1418" w:type="dxa"/>
            <w:tcBorders>
              <w:top w:val="nil"/>
              <w:left w:val="nil"/>
              <w:bottom w:val="single" w:sz="4" w:space="0" w:color="auto"/>
              <w:right w:val="single" w:sz="8" w:space="0" w:color="auto"/>
            </w:tcBorders>
            <w:shd w:val="clear" w:color="auto" w:fill="auto"/>
            <w:noWrap/>
            <w:hideMark/>
          </w:tcPr>
          <w:p w14:paraId="7D9B1C3C" w14:textId="77777777" w:rsidR="00030B86" w:rsidRDefault="00030B86">
            <w:pPr>
              <w:jc w:val="right"/>
              <w:rPr>
                <w:rFonts w:ascii="Arial" w:hAnsi="Arial" w:cs="Arial"/>
                <w:b/>
                <w:bCs/>
              </w:rPr>
            </w:pPr>
            <w:r>
              <w:rPr>
                <w:rFonts w:ascii="Arial" w:hAnsi="Arial" w:cs="Arial"/>
                <w:b/>
                <w:bCs/>
              </w:rPr>
              <w:t xml:space="preserve">48,640 </w:t>
            </w:r>
          </w:p>
        </w:tc>
        <w:tc>
          <w:tcPr>
            <w:tcW w:w="1134" w:type="dxa"/>
            <w:tcBorders>
              <w:top w:val="nil"/>
              <w:left w:val="nil"/>
              <w:bottom w:val="single" w:sz="4" w:space="0" w:color="auto"/>
              <w:right w:val="single" w:sz="8" w:space="0" w:color="auto"/>
            </w:tcBorders>
            <w:shd w:val="clear" w:color="auto" w:fill="auto"/>
            <w:noWrap/>
            <w:hideMark/>
          </w:tcPr>
          <w:p w14:paraId="42972A99" w14:textId="77777777" w:rsidR="00030B86" w:rsidRDefault="00030B86">
            <w:pPr>
              <w:jc w:val="right"/>
              <w:rPr>
                <w:rFonts w:ascii="Arial" w:hAnsi="Arial" w:cs="Arial"/>
                <w:b/>
                <w:bCs/>
              </w:rPr>
            </w:pPr>
            <w:r>
              <w:rPr>
                <w:rFonts w:ascii="Arial" w:hAnsi="Arial" w:cs="Arial"/>
                <w:b/>
                <w:bCs/>
              </w:rPr>
              <w:t xml:space="preserve">62,206 </w:t>
            </w:r>
          </w:p>
        </w:tc>
        <w:tc>
          <w:tcPr>
            <w:tcW w:w="1559" w:type="dxa"/>
            <w:tcBorders>
              <w:top w:val="nil"/>
              <w:left w:val="nil"/>
              <w:bottom w:val="single" w:sz="4" w:space="0" w:color="auto"/>
              <w:right w:val="single" w:sz="8" w:space="0" w:color="auto"/>
            </w:tcBorders>
            <w:shd w:val="clear" w:color="auto" w:fill="auto"/>
            <w:noWrap/>
            <w:hideMark/>
          </w:tcPr>
          <w:p w14:paraId="3C4A12B6" w14:textId="77777777" w:rsidR="00030B86" w:rsidRDefault="00030B86">
            <w:pPr>
              <w:jc w:val="right"/>
              <w:rPr>
                <w:rFonts w:ascii="Arial" w:hAnsi="Arial" w:cs="Arial"/>
                <w:b/>
                <w:bCs/>
              </w:rPr>
            </w:pPr>
            <w:r>
              <w:rPr>
                <w:rFonts w:ascii="Arial" w:hAnsi="Arial" w:cs="Arial"/>
                <w:b/>
                <w:bCs/>
              </w:rPr>
              <w:t xml:space="preserve">13,566 </w:t>
            </w:r>
          </w:p>
        </w:tc>
        <w:tc>
          <w:tcPr>
            <w:tcW w:w="464" w:type="dxa"/>
            <w:vAlign w:val="center"/>
            <w:hideMark/>
          </w:tcPr>
          <w:p w14:paraId="00BCB5E0" w14:textId="77777777" w:rsidR="00030B86" w:rsidRDefault="00030B86">
            <w:pPr>
              <w:rPr>
                <w:sz w:val="20"/>
                <w:szCs w:val="20"/>
              </w:rPr>
            </w:pPr>
          </w:p>
        </w:tc>
      </w:tr>
      <w:tr w:rsidR="00030B86" w14:paraId="18A2E9FB"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47F6A3DB" w14:textId="77777777" w:rsidR="00030B86" w:rsidRDefault="00030B86">
            <w:pPr>
              <w:rPr>
                <w:rFonts w:ascii="Arial" w:hAnsi="Arial" w:cs="Arial"/>
                <w:b/>
                <w:bCs/>
                <w:color w:val="000000"/>
              </w:rPr>
            </w:pPr>
            <w:r>
              <w:rPr>
                <w:rFonts w:ascii="Arial" w:hAnsi="Arial" w:cs="Arial"/>
                <w:b/>
                <w:bCs/>
                <w:color w:val="000000"/>
              </w:rPr>
              <w:t> </w:t>
            </w:r>
          </w:p>
        </w:tc>
        <w:tc>
          <w:tcPr>
            <w:tcW w:w="1134" w:type="dxa"/>
            <w:tcBorders>
              <w:top w:val="nil"/>
              <w:left w:val="single" w:sz="8" w:space="0" w:color="auto"/>
              <w:bottom w:val="nil"/>
              <w:right w:val="nil"/>
            </w:tcBorders>
            <w:shd w:val="clear" w:color="000000" w:fill="FFFFFF"/>
            <w:vAlign w:val="center"/>
            <w:hideMark/>
          </w:tcPr>
          <w:p w14:paraId="5BF8D116" w14:textId="77777777" w:rsidR="00030B86" w:rsidRDefault="00030B86">
            <w:pPr>
              <w:rPr>
                <w:rFonts w:ascii="Arial" w:hAnsi="Arial" w:cs="Arial"/>
                <w:b/>
                <w:bCs/>
                <w:color w:val="000000"/>
              </w:rPr>
            </w:pPr>
            <w:r>
              <w:rPr>
                <w:rFonts w:ascii="Arial" w:hAnsi="Arial" w:cs="Arial"/>
                <w:b/>
                <w:bCs/>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737A3299" w14:textId="77777777" w:rsidR="00030B86" w:rsidRDefault="00030B86">
            <w:pPr>
              <w:jc w:val="right"/>
              <w:rPr>
                <w:rFonts w:ascii="Arial" w:hAnsi="Arial" w:cs="Arial"/>
                <w:b/>
                <w:bCs/>
                <w:color w:val="000000"/>
              </w:rPr>
            </w:pPr>
            <w:r>
              <w:rPr>
                <w:rFonts w:ascii="Arial" w:hAnsi="Arial" w:cs="Arial"/>
                <w:b/>
                <w:bCs/>
                <w:color w:val="000000"/>
              </w:rPr>
              <w:t> </w:t>
            </w:r>
          </w:p>
        </w:tc>
        <w:tc>
          <w:tcPr>
            <w:tcW w:w="1134" w:type="dxa"/>
            <w:tcBorders>
              <w:top w:val="nil"/>
              <w:left w:val="nil"/>
              <w:bottom w:val="nil"/>
              <w:right w:val="single" w:sz="8" w:space="0" w:color="auto"/>
            </w:tcBorders>
            <w:shd w:val="clear" w:color="000000" w:fill="FFFFFF"/>
            <w:vAlign w:val="center"/>
            <w:hideMark/>
          </w:tcPr>
          <w:p w14:paraId="31F41038" w14:textId="77777777" w:rsidR="00030B86" w:rsidRDefault="00030B86">
            <w:pPr>
              <w:jc w:val="right"/>
              <w:rPr>
                <w:rFonts w:ascii="Arial" w:hAnsi="Arial" w:cs="Arial"/>
                <w:b/>
                <w:bCs/>
                <w:color w:val="000000"/>
              </w:rPr>
            </w:pPr>
            <w:r>
              <w:rPr>
                <w:rFonts w:ascii="Arial" w:hAnsi="Arial" w:cs="Arial"/>
                <w:b/>
                <w:bCs/>
                <w:color w:val="000000"/>
              </w:rPr>
              <w:t> </w:t>
            </w:r>
          </w:p>
        </w:tc>
        <w:tc>
          <w:tcPr>
            <w:tcW w:w="1559" w:type="dxa"/>
            <w:tcBorders>
              <w:top w:val="nil"/>
              <w:left w:val="nil"/>
              <w:bottom w:val="nil"/>
              <w:right w:val="single" w:sz="8" w:space="0" w:color="auto"/>
            </w:tcBorders>
            <w:shd w:val="clear" w:color="000000" w:fill="FFFFFF"/>
            <w:vAlign w:val="center"/>
            <w:hideMark/>
          </w:tcPr>
          <w:p w14:paraId="7B1EF8E6" w14:textId="77777777" w:rsidR="00030B86" w:rsidRDefault="00030B86">
            <w:pPr>
              <w:jc w:val="right"/>
              <w:rPr>
                <w:rFonts w:ascii="Arial" w:hAnsi="Arial" w:cs="Arial"/>
                <w:b/>
                <w:bCs/>
                <w:color w:val="000000"/>
              </w:rPr>
            </w:pPr>
            <w:r>
              <w:rPr>
                <w:rFonts w:ascii="Arial" w:hAnsi="Arial" w:cs="Arial"/>
                <w:b/>
                <w:bCs/>
                <w:color w:val="000000"/>
              </w:rPr>
              <w:t> </w:t>
            </w:r>
          </w:p>
        </w:tc>
        <w:tc>
          <w:tcPr>
            <w:tcW w:w="464" w:type="dxa"/>
            <w:vAlign w:val="center"/>
            <w:hideMark/>
          </w:tcPr>
          <w:p w14:paraId="6E3F9779" w14:textId="77777777" w:rsidR="00030B86" w:rsidRDefault="00030B86">
            <w:pPr>
              <w:rPr>
                <w:sz w:val="20"/>
                <w:szCs w:val="20"/>
              </w:rPr>
            </w:pPr>
          </w:p>
        </w:tc>
      </w:tr>
      <w:tr w:rsidR="00030B86" w14:paraId="3FA2BCE3" w14:textId="77777777" w:rsidTr="00030B86">
        <w:trPr>
          <w:trHeight w:val="311"/>
        </w:trPr>
        <w:tc>
          <w:tcPr>
            <w:tcW w:w="4668" w:type="dxa"/>
            <w:tcBorders>
              <w:top w:val="single" w:sz="8" w:space="0" w:color="auto"/>
              <w:left w:val="single" w:sz="8" w:space="0" w:color="auto"/>
              <w:bottom w:val="single" w:sz="8" w:space="0" w:color="auto"/>
              <w:right w:val="nil"/>
            </w:tcBorders>
            <w:shd w:val="clear" w:color="000000" w:fill="FFFFFF"/>
            <w:vAlign w:val="center"/>
            <w:hideMark/>
          </w:tcPr>
          <w:p w14:paraId="3CF700C0" w14:textId="77777777" w:rsidR="00030B86" w:rsidRDefault="00030B86">
            <w:pPr>
              <w:rPr>
                <w:rFonts w:ascii="Arial" w:hAnsi="Arial" w:cs="Arial"/>
                <w:b/>
                <w:bCs/>
                <w:color w:val="000000"/>
              </w:rPr>
            </w:pPr>
            <w:r>
              <w:rPr>
                <w:rFonts w:ascii="Arial" w:hAnsi="Arial" w:cs="Arial"/>
                <w:b/>
                <w:bCs/>
                <w:color w:val="000000"/>
              </w:rPr>
              <w:t>TOTAL TRANSPORT</w:t>
            </w:r>
          </w:p>
        </w:tc>
        <w:tc>
          <w:tcPr>
            <w:tcW w:w="1134" w:type="dxa"/>
            <w:tcBorders>
              <w:top w:val="single" w:sz="8" w:space="0" w:color="auto"/>
              <w:left w:val="single" w:sz="8" w:space="0" w:color="auto"/>
              <w:bottom w:val="single" w:sz="8" w:space="0" w:color="auto"/>
              <w:right w:val="single" w:sz="8" w:space="0" w:color="auto"/>
            </w:tcBorders>
            <w:shd w:val="clear" w:color="auto" w:fill="auto"/>
            <w:noWrap/>
            <w:hideMark/>
          </w:tcPr>
          <w:p w14:paraId="6AE492ED" w14:textId="77777777" w:rsidR="00030B86" w:rsidRDefault="00030B86">
            <w:pPr>
              <w:jc w:val="right"/>
              <w:rPr>
                <w:rFonts w:ascii="Arial" w:hAnsi="Arial" w:cs="Arial"/>
                <w:b/>
                <w:bCs/>
              </w:rPr>
            </w:pPr>
            <w:r>
              <w:rPr>
                <w:rFonts w:ascii="Arial" w:hAnsi="Arial" w:cs="Arial"/>
                <w:b/>
                <w:bCs/>
              </w:rPr>
              <w:t xml:space="preserve">213,950 </w:t>
            </w:r>
          </w:p>
        </w:tc>
        <w:tc>
          <w:tcPr>
            <w:tcW w:w="1418" w:type="dxa"/>
            <w:tcBorders>
              <w:top w:val="single" w:sz="8" w:space="0" w:color="auto"/>
              <w:left w:val="nil"/>
              <w:bottom w:val="single" w:sz="8" w:space="0" w:color="auto"/>
              <w:right w:val="single" w:sz="8" w:space="0" w:color="auto"/>
            </w:tcBorders>
            <w:shd w:val="clear" w:color="auto" w:fill="auto"/>
            <w:noWrap/>
            <w:hideMark/>
          </w:tcPr>
          <w:p w14:paraId="5DE56B62" w14:textId="77777777" w:rsidR="00030B86" w:rsidRDefault="00030B86">
            <w:pPr>
              <w:jc w:val="right"/>
              <w:rPr>
                <w:rFonts w:ascii="Arial" w:hAnsi="Arial" w:cs="Arial"/>
                <w:b/>
                <w:bCs/>
              </w:rPr>
            </w:pPr>
            <w:r>
              <w:rPr>
                <w:rFonts w:ascii="Arial" w:hAnsi="Arial" w:cs="Arial"/>
                <w:b/>
                <w:bCs/>
              </w:rPr>
              <w:t xml:space="preserve">207,817 </w:t>
            </w:r>
          </w:p>
        </w:tc>
        <w:tc>
          <w:tcPr>
            <w:tcW w:w="1134" w:type="dxa"/>
            <w:tcBorders>
              <w:top w:val="single" w:sz="8" w:space="0" w:color="auto"/>
              <w:left w:val="nil"/>
              <w:bottom w:val="single" w:sz="8" w:space="0" w:color="auto"/>
              <w:right w:val="single" w:sz="8" w:space="0" w:color="auto"/>
            </w:tcBorders>
            <w:shd w:val="clear" w:color="auto" w:fill="auto"/>
            <w:noWrap/>
            <w:hideMark/>
          </w:tcPr>
          <w:p w14:paraId="45556DFC" w14:textId="77777777" w:rsidR="00030B86" w:rsidRDefault="00030B86">
            <w:pPr>
              <w:jc w:val="right"/>
              <w:rPr>
                <w:rFonts w:ascii="Arial" w:hAnsi="Arial" w:cs="Arial"/>
                <w:b/>
                <w:bCs/>
              </w:rPr>
            </w:pPr>
            <w:r>
              <w:rPr>
                <w:rFonts w:ascii="Arial" w:hAnsi="Arial" w:cs="Arial"/>
                <w:b/>
                <w:bCs/>
              </w:rPr>
              <w:t xml:space="preserve">207,303 </w:t>
            </w:r>
          </w:p>
        </w:tc>
        <w:tc>
          <w:tcPr>
            <w:tcW w:w="1559" w:type="dxa"/>
            <w:tcBorders>
              <w:top w:val="single" w:sz="8" w:space="0" w:color="auto"/>
              <w:left w:val="nil"/>
              <w:bottom w:val="single" w:sz="8" w:space="0" w:color="auto"/>
              <w:right w:val="single" w:sz="8" w:space="0" w:color="auto"/>
            </w:tcBorders>
            <w:shd w:val="clear" w:color="auto" w:fill="auto"/>
            <w:noWrap/>
            <w:hideMark/>
          </w:tcPr>
          <w:p w14:paraId="79693F26" w14:textId="77777777" w:rsidR="00030B86" w:rsidRDefault="00030B86">
            <w:pPr>
              <w:jc w:val="right"/>
              <w:rPr>
                <w:rFonts w:ascii="Arial" w:hAnsi="Arial" w:cs="Arial"/>
                <w:b/>
                <w:bCs/>
              </w:rPr>
            </w:pPr>
            <w:r>
              <w:rPr>
                <w:rFonts w:ascii="Arial" w:hAnsi="Arial" w:cs="Arial"/>
                <w:b/>
                <w:bCs/>
              </w:rPr>
              <w:t>(514)</w:t>
            </w:r>
          </w:p>
        </w:tc>
        <w:tc>
          <w:tcPr>
            <w:tcW w:w="464" w:type="dxa"/>
            <w:vAlign w:val="center"/>
            <w:hideMark/>
          </w:tcPr>
          <w:p w14:paraId="55A89681" w14:textId="77777777" w:rsidR="00030B86" w:rsidRDefault="00030B86">
            <w:pPr>
              <w:rPr>
                <w:sz w:val="20"/>
                <w:szCs w:val="20"/>
              </w:rPr>
            </w:pPr>
          </w:p>
        </w:tc>
      </w:tr>
    </w:tbl>
    <w:p w14:paraId="67220786" w14:textId="45D99428" w:rsidR="00AF181F" w:rsidRDefault="00AF181F" w:rsidP="00016C24">
      <w:pPr>
        <w:pStyle w:val="Normal0"/>
        <w:spacing w:after="160" w:line="240" w:lineRule="auto"/>
        <w:rPr>
          <w:rFonts w:ascii="Arial" w:hAnsi="Arial" w:cs="Arial"/>
          <w:sz w:val="24"/>
          <w:szCs w:val="22"/>
        </w:rPr>
      </w:pPr>
    </w:p>
    <w:p w14:paraId="4715916E" w14:textId="3D334024" w:rsidR="00030B86" w:rsidRDefault="00030B86" w:rsidP="00016C24">
      <w:pPr>
        <w:pStyle w:val="Normal0"/>
        <w:spacing w:after="160" w:line="240" w:lineRule="auto"/>
        <w:rPr>
          <w:rFonts w:ascii="Arial" w:hAnsi="Arial" w:cs="Arial"/>
          <w:sz w:val="24"/>
          <w:szCs w:val="22"/>
        </w:rPr>
      </w:pPr>
    </w:p>
    <w:p w14:paraId="72306AE9" w14:textId="46826893" w:rsidR="00030B86" w:rsidRDefault="00030B86" w:rsidP="00016C24">
      <w:pPr>
        <w:pStyle w:val="Normal0"/>
        <w:spacing w:after="160" w:line="240" w:lineRule="auto"/>
        <w:rPr>
          <w:rFonts w:ascii="Arial" w:hAnsi="Arial" w:cs="Arial"/>
          <w:sz w:val="24"/>
          <w:szCs w:val="22"/>
        </w:rPr>
      </w:pPr>
    </w:p>
    <w:p w14:paraId="13F2BA07" w14:textId="61D76439" w:rsidR="00030B86" w:rsidRDefault="00030B86" w:rsidP="00016C24">
      <w:pPr>
        <w:pStyle w:val="Normal0"/>
        <w:spacing w:after="160" w:line="240" w:lineRule="auto"/>
        <w:rPr>
          <w:rFonts w:ascii="Arial" w:hAnsi="Arial" w:cs="Arial"/>
          <w:sz w:val="24"/>
          <w:szCs w:val="22"/>
        </w:rPr>
      </w:pPr>
    </w:p>
    <w:p w14:paraId="1F2CDC10" w14:textId="1703273C" w:rsidR="00030B86" w:rsidRDefault="00030B86" w:rsidP="00016C24">
      <w:pPr>
        <w:pStyle w:val="Normal0"/>
        <w:spacing w:after="160" w:line="240" w:lineRule="auto"/>
        <w:rPr>
          <w:rFonts w:ascii="Arial" w:hAnsi="Arial" w:cs="Arial"/>
          <w:sz w:val="24"/>
          <w:szCs w:val="22"/>
        </w:rPr>
      </w:pPr>
    </w:p>
    <w:p w14:paraId="6F04DEF8" w14:textId="28EAB673" w:rsidR="00030B86" w:rsidRDefault="00030B86" w:rsidP="00016C24">
      <w:pPr>
        <w:pStyle w:val="Normal0"/>
        <w:spacing w:after="160" w:line="240" w:lineRule="auto"/>
        <w:rPr>
          <w:rFonts w:ascii="Arial" w:hAnsi="Arial" w:cs="Arial"/>
          <w:sz w:val="24"/>
          <w:szCs w:val="22"/>
        </w:rPr>
      </w:pPr>
    </w:p>
    <w:p w14:paraId="4F66120C" w14:textId="5FC7FFEC" w:rsidR="00030B86" w:rsidRDefault="00030B86" w:rsidP="00016C24">
      <w:pPr>
        <w:pStyle w:val="Normal0"/>
        <w:spacing w:after="160" w:line="240" w:lineRule="auto"/>
        <w:rPr>
          <w:rFonts w:ascii="Arial" w:hAnsi="Arial" w:cs="Arial"/>
          <w:sz w:val="24"/>
          <w:szCs w:val="22"/>
        </w:rPr>
      </w:pPr>
    </w:p>
    <w:p w14:paraId="16B1F51A" w14:textId="77777777" w:rsidR="00FD76D5" w:rsidRDefault="00FD76D5" w:rsidP="00016C24">
      <w:pPr>
        <w:pStyle w:val="Normal0"/>
        <w:spacing w:after="160" w:line="240" w:lineRule="auto"/>
        <w:rPr>
          <w:rFonts w:ascii="Arial" w:hAnsi="Arial" w:cs="Arial"/>
          <w:sz w:val="24"/>
          <w:szCs w:val="22"/>
        </w:rPr>
      </w:pPr>
    </w:p>
    <w:p w14:paraId="4B842D7A" w14:textId="77777777" w:rsidR="00030B86" w:rsidRDefault="00030B86" w:rsidP="00016C24">
      <w:pPr>
        <w:pStyle w:val="Normal0"/>
        <w:spacing w:after="160" w:line="240" w:lineRule="auto"/>
        <w:rPr>
          <w:rFonts w:ascii="Arial" w:hAnsi="Arial" w:cs="Arial"/>
          <w:sz w:val="24"/>
          <w:szCs w:val="22"/>
        </w:rPr>
      </w:pPr>
    </w:p>
    <w:p w14:paraId="3BF7126D" w14:textId="77777777" w:rsidR="00030B86" w:rsidRDefault="00030B86" w:rsidP="00016C24">
      <w:pPr>
        <w:pStyle w:val="Normal0"/>
        <w:spacing w:after="160" w:line="240" w:lineRule="auto"/>
        <w:rPr>
          <w:rFonts w:ascii="Arial" w:hAnsi="Arial" w:cs="Arial"/>
          <w:sz w:val="24"/>
          <w:szCs w:val="22"/>
        </w:rPr>
      </w:pPr>
    </w:p>
    <w:tbl>
      <w:tblPr>
        <w:tblW w:w="10416" w:type="dxa"/>
        <w:tblLook w:val="04A0" w:firstRow="1" w:lastRow="0" w:firstColumn="1" w:lastColumn="0" w:noHBand="0" w:noVBand="1"/>
      </w:tblPr>
      <w:tblGrid>
        <w:gridCol w:w="4668"/>
        <w:gridCol w:w="1276"/>
        <w:gridCol w:w="1276"/>
        <w:gridCol w:w="1275"/>
        <w:gridCol w:w="1418"/>
        <w:gridCol w:w="503"/>
      </w:tblGrid>
      <w:tr w:rsidR="00030B86" w14:paraId="40669429" w14:textId="77777777" w:rsidTr="00030B86">
        <w:trPr>
          <w:gridAfter w:val="1"/>
          <w:wAfter w:w="503" w:type="dxa"/>
          <w:trHeight w:val="319"/>
        </w:trPr>
        <w:tc>
          <w:tcPr>
            <w:tcW w:w="4668" w:type="dxa"/>
            <w:vMerge w:val="restart"/>
            <w:tcBorders>
              <w:top w:val="single" w:sz="8" w:space="0" w:color="auto"/>
              <w:left w:val="single" w:sz="8" w:space="0" w:color="auto"/>
              <w:bottom w:val="nil"/>
              <w:right w:val="single" w:sz="8" w:space="0" w:color="auto"/>
            </w:tcBorders>
            <w:shd w:val="clear" w:color="000000" w:fill="FFFFFF"/>
            <w:hideMark/>
          </w:tcPr>
          <w:p w14:paraId="171BF5D1" w14:textId="77777777" w:rsidR="00030B86" w:rsidRDefault="00030B86">
            <w:pPr>
              <w:rPr>
                <w:rFonts w:ascii="Arial" w:hAnsi="Arial" w:cs="Arial"/>
                <w:b/>
                <w:bCs/>
                <w:color w:val="000000"/>
                <w:lang w:eastAsia="en-GB"/>
              </w:rPr>
            </w:pPr>
            <w:r>
              <w:rPr>
                <w:rFonts w:ascii="Arial" w:hAnsi="Arial" w:cs="Arial"/>
                <w:b/>
                <w:bCs/>
                <w:color w:val="000000"/>
              </w:rPr>
              <w:lastRenderedPageBreak/>
              <w:t>Capital Programme 2021/22 (continued)</w:t>
            </w:r>
          </w:p>
        </w:tc>
        <w:tc>
          <w:tcPr>
            <w:tcW w:w="1276" w:type="dxa"/>
            <w:vMerge w:val="restart"/>
            <w:tcBorders>
              <w:top w:val="single" w:sz="8" w:space="0" w:color="auto"/>
              <w:left w:val="single" w:sz="8" w:space="0" w:color="auto"/>
              <w:bottom w:val="nil"/>
              <w:right w:val="single" w:sz="8" w:space="0" w:color="auto"/>
            </w:tcBorders>
            <w:shd w:val="clear" w:color="000000" w:fill="FFFFFF"/>
            <w:hideMark/>
          </w:tcPr>
          <w:p w14:paraId="26B2043B" w14:textId="77777777" w:rsidR="00030B86" w:rsidRDefault="00030B86">
            <w:pPr>
              <w:jc w:val="center"/>
              <w:rPr>
                <w:rFonts w:ascii="Arial" w:hAnsi="Arial" w:cs="Arial"/>
                <w:b/>
                <w:bCs/>
                <w:color w:val="000000"/>
              </w:rPr>
            </w:pPr>
            <w:r>
              <w:rPr>
                <w:rFonts w:ascii="Arial" w:hAnsi="Arial" w:cs="Arial"/>
                <w:b/>
                <w:bCs/>
                <w:color w:val="000000"/>
              </w:rPr>
              <w:t>Original Budget</w:t>
            </w:r>
          </w:p>
        </w:tc>
        <w:tc>
          <w:tcPr>
            <w:tcW w:w="1276" w:type="dxa"/>
            <w:vMerge w:val="restart"/>
            <w:tcBorders>
              <w:top w:val="single" w:sz="8" w:space="0" w:color="auto"/>
              <w:left w:val="single" w:sz="8" w:space="0" w:color="auto"/>
              <w:bottom w:val="nil"/>
              <w:right w:val="single" w:sz="8" w:space="0" w:color="auto"/>
            </w:tcBorders>
            <w:shd w:val="clear" w:color="000000" w:fill="FFFFFF"/>
            <w:hideMark/>
          </w:tcPr>
          <w:p w14:paraId="165912D8" w14:textId="77777777" w:rsidR="00030B86" w:rsidRDefault="00030B86">
            <w:pPr>
              <w:jc w:val="center"/>
              <w:rPr>
                <w:rFonts w:ascii="Arial" w:hAnsi="Arial" w:cs="Arial"/>
                <w:b/>
                <w:bCs/>
                <w:color w:val="000000"/>
              </w:rPr>
            </w:pPr>
            <w:r>
              <w:rPr>
                <w:rFonts w:ascii="Arial" w:hAnsi="Arial" w:cs="Arial"/>
                <w:b/>
                <w:bCs/>
                <w:color w:val="000000"/>
              </w:rPr>
              <w:t>Revised Budget</w:t>
            </w:r>
          </w:p>
        </w:tc>
        <w:tc>
          <w:tcPr>
            <w:tcW w:w="1275" w:type="dxa"/>
            <w:vMerge w:val="restart"/>
            <w:tcBorders>
              <w:top w:val="single" w:sz="8" w:space="0" w:color="auto"/>
              <w:left w:val="single" w:sz="8" w:space="0" w:color="auto"/>
              <w:bottom w:val="nil"/>
              <w:right w:val="single" w:sz="8" w:space="0" w:color="auto"/>
            </w:tcBorders>
            <w:shd w:val="clear" w:color="000000" w:fill="FFFFFF"/>
            <w:hideMark/>
          </w:tcPr>
          <w:p w14:paraId="72349FEA" w14:textId="77777777" w:rsidR="00030B86" w:rsidRDefault="00030B86">
            <w:pPr>
              <w:jc w:val="center"/>
              <w:rPr>
                <w:rFonts w:ascii="Arial" w:hAnsi="Arial" w:cs="Arial"/>
                <w:b/>
                <w:bCs/>
                <w:color w:val="000000"/>
              </w:rPr>
            </w:pPr>
            <w:r>
              <w:rPr>
                <w:rFonts w:ascii="Arial" w:hAnsi="Arial" w:cs="Arial"/>
                <w:b/>
                <w:bCs/>
                <w:color w:val="000000"/>
              </w:rPr>
              <w:t xml:space="preserve">Outturn </w:t>
            </w:r>
          </w:p>
        </w:tc>
        <w:tc>
          <w:tcPr>
            <w:tcW w:w="1418" w:type="dxa"/>
            <w:vMerge w:val="restart"/>
            <w:tcBorders>
              <w:top w:val="single" w:sz="8" w:space="0" w:color="auto"/>
              <w:left w:val="single" w:sz="8" w:space="0" w:color="auto"/>
              <w:bottom w:val="nil"/>
              <w:right w:val="single" w:sz="8" w:space="0" w:color="auto"/>
            </w:tcBorders>
            <w:shd w:val="clear" w:color="000000" w:fill="FFFFFF"/>
            <w:hideMark/>
          </w:tcPr>
          <w:p w14:paraId="67E7BDBB" w14:textId="27237D7B" w:rsidR="00030B86" w:rsidRDefault="00030B86">
            <w:pPr>
              <w:jc w:val="center"/>
              <w:rPr>
                <w:rFonts w:ascii="Arial" w:hAnsi="Arial" w:cs="Arial"/>
                <w:b/>
                <w:bCs/>
                <w:color w:val="000000"/>
              </w:rPr>
            </w:pPr>
            <w:r>
              <w:rPr>
                <w:rFonts w:ascii="Arial" w:hAnsi="Arial" w:cs="Arial"/>
                <w:b/>
                <w:bCs/>
                <w:color w:val="000000"/>
              </w:rPr>
              <w:t xml:space="preserve">Variance Over/       (Under) </w:t>
            </w:r>
            <w:r w:rsidR="00FD6B88">
              <w:rPr>
                <w:rFonts w:ascii="Arial" w:hAnsi="Arial" w:cs="Arial"/>
                <w:b/>
                <w:bCs/>
                <w:color w:val="000000"/>
              </w:rPr>
              <w:t xml:space="preserve">/ </w:t>
            </w:r>
            <w:r>
              <w:rPr>
                <w:rFonts w:ascii="Arial" w:hAnsi="Arial" w:cs="Arial"/>
                <w:b/>
                <w:bCs/>
                <w:color w:val="000000"/>
              </w:rPr>
              <w:t>Spend</w:t>
            </w:r>
          </w:p>
        </w:tc>
      </w:tr>
      <w:tr w:rsidR="00030B86" w14:paraId="70E2EBB3" w14:textId="77777777" w:rsidTr="00030B86">
        <w:trPr>
          <w:trHeight w:val="319"/>
        </w:trPr>
        <w:tc>
          <w:tcPr>
            <w:tcW w:w="4668" w:type="dxa"/>
            <w:vMerge/>
            <w:tcBorders>
              <w:top w:val="single" w:sz="8" w:space="0" w:color="auto"/>
              <w:left w:val="single" w:sz="8" w:space="0" w:color="auto"/>
              <w:bottom w:val="nil"/>
              <w:right w:val="single" w:sz="8" w:space="0" w:color="auto"/>
            </w:tcBorders>
            <w:vAlign w:val="center"/>
            <w:hideMark/>
          </w:tcPr>
          <w:p w14:paraId="3A4ED1F2" w14:textId="77777777" w:rsidR="00030B86" w:rsidRDefault="00030B86">
            <w:pPr>
              <w:rPr>
                <w:rFonts w:ascii="Arial" w:hAnsi="Arial" w:cs="Arial"/>
                <w:b/>
                <w:bCs/>
                <w:color w:val="000000"/>
              </w:rPr>
            </w:pPr>
          </w:p>
        </w:tc>
        <w:tc>
          <w:tcPr>
            <w:tcW w:w="1276" w:type="dxa"/>
            <w:vMerge/>
            <w:tcBorders>
              <w:top w:val="single" w:sz="8" w:space="0" w:color="auto"/>
              <w:left w:val="single" w:sz="8" w:space="0" w:color="auto"/>
              <w:bottom w:val="nil"/>
              <w:right w:val="single" w:sz="8" w:space="0" w:color="auto"/>
            </w:tcBorders>
            <w:vAlign w:val="center"/>
            <w:hideMark/>
          </w:tcPr>
          <w:p w14:paraId="7CD8FDB6" w14:textId="77777777" w:rsidR="00030B86" w:rsidRDefault="00030B86">
            <w:pPr>
              <w:rPr>
                <w:rFonts w:ascii="Arial" w:hAnsi="Arial" w:cs="Arial"/>
                <w:b/>
                <w:bCs/>
                <w:color w:val="000000"/>
              </w:rPr>
            </w:pPr>
          </w:p>
        </w:tc>
        <w:tc>
          <w:tcPr>
            <w:tcW w:w="1276" w:type="dxa"/>
            <w:vMerge/>
            <w:tcBorders>
              <w:top w:val="single" w:sz="8" w:space="0" w:color="auto"/>
              <w:left w:val="single" w:sz="8" w:space="0" w:color="auto"/>
              <w:bottom w:val="nil"/>
              <w:right w:val="single" w:sz="8" w:space="0" w:color="auto"/>
            </w:tcBorders>
            <w:vAlign w:val="center"/>
            <w:hideMark/>
          </w:tcPr>
          <w:p w14:paraId="2B8A364A" w14:textId="77777777" w:rsidR="00030B86" w:rsidRDefault="00030B86">
            <w:pPr>
              <w:rPr>
                <w:rFonts w:ascii="Arial" w:hAnsi="Arial" w:cs="Arial"/>
                <w:b/>
                <w:bCs/>
                <w:color w:val="000000"/>
              </w:rPr>
            </w:pPr>
          </w:p>
        </w:tc>
        <w:tc>
          <w:tcPr>
            <w:tcW w:w="1275" w:type="dxa"/>
            <w:vMerge/>
            <w:tcBorders>
              <w:top w:val="single" w:sz="8" w:space="0" w:color="auto"/>
              <w:left w:val="single" w:sz="8" w:space="0" w:color="auto"/>
              <w:bottom w:val="nil"/>
              <w:right w:val="single" w:sz="8" w:space="0" w:color="auto"/>
            </w:tcBorders>
            <w:vAlign w:val="center"/>
            <w:hideMark/>
          </w:tcPr>
          <w:p w14:paraId="7051826E" w14:textId="77777777" w:rsidR="00030B86" w:rsidRDefault="00030B86">
            <w:pPr>
              <w:rPr>
                <w:rFonts w:ascii="Arial" w:hAnsi="Arial" w:cs="Arial"/>
                <w:b/>
                <w:bCs/>
                <w:color w:val="000000"/>
              </w:rPr>
            </w:pPr>
          </w:p>
        </w:tc>
        <w:tc>
          <w:tcPr>
            <w:tcW w:w="1418" w:type="dxa"/>
            <w:vMerge/>
            <w:tcBorders>
              <w:top w:val="single" w:sz="8" w:space="0" w:color="auto"/>
              <w:left w:val="single" w:sz="8" w:space="0" w:color="auto"/>
              <w:bottom w:val="nil"/>
              <w:right w:val="single" w:sz="8" w:space="0" w:color="auto"/>
            </w:tcBorders>
            <w:vAlign w:val="center"/>
            <w:hideMark/>
          </w:tcPr>
          <w:p w14:paraId="0205B618" w14:textId="77777777" w:rsidR="00030B86" w:rsidRDefault="00030B86">
            <w:pPr>
              <w:rPr>
                <w:rFonts w:ascii="Arial" w:hAnsi="Arial" w:cs="Arial"/>
                <w:b/>
                <w:bCs/>
                <w:color w:val="000000"/>
              </w:rPr>
            </w:pPr>
          </w:p>
        </w:tc>
        <w:tc>
          <w:tcPr>
            <w:tcW w:w="503" w:type="dxa"/>
            <w:tcBorders>
              <w:top w:val="nil"/>
              <w:left w:val="nil"/>
              <w:bottom w:val="nil"/>
              <w:right w:val="nil"/>
            </w:tcBorders>
            <w:shd w:val="clear" w:color="auto" w:fill="auto"/>
            <w:noWrap/>
            <w:vAlign w:val="bottom"/>
            <w:hideMark/>
          </w:tcPr>
          <w:p w14:paraId="30275B36" w14:textId="77777777" w:rsidR="00030B86" w:rsidRDefault="00030B86">
            <w:pPr>
              <w:jc w:val="center"/>
              <w:rPr>
                <w:rFonts w:ascii="Arial" w:hAnsi="Arial" w:cs="Arial"/>
                <w:b/>
                <w:bCs/>
                <w:color w:val="000000"/>
              </w:rPr>
            </w:pPr>
          </w:p>
        </w:tc>
      </w:tr>
      <w:tr w:rsidR="00030B86" w14:paraId="71660F9C" w14:textId="77777777" w:rsidTr="00030B86">
        <w:trPr>
          <w:trHeight w:val="319"/>
        </w:trPr>
        <w:tc>
          <w:tcPr>
            <w:tcW w:w="4668" w:type="dxa"/>
            <w:tcBorders>
              <w:top w:val="nil"/>
              <w:left w:val="single" w:sz="8" w:space="0" w:color="auto"/>
              <w:bottom w:val="single" w:sz="8" w:space="0" w:color="auto"/>
              <w:right w:val="single" w:sz="8" w:space="0" w:color="auto"/>
            </w:tcBorders>
            <w:shd w:val="clear" w:color="000000" w:fill="FFFFFF"/>
            <w:vAlign w:val="center"/>
            <w:hideMark/>
          </w:tcPr>
          <w:p w14:paraId="4C793500" w14:textId="77777777" w:rsidR="00030B86" w:rsidRDefault="00030B86">
            <w:pPr>
              <w:jc w:val="center"/>
              <w:rPr>
                <w:rFonts w:ascii="Arial" w:hAnsi="Arial" w:cs="Arial"/>
                <w:b/>
                <w:bCs/>
                <w:color w:val="003366"/>
              </w:rPr>
            </w:pPr>
            <w:r>
              <w:rPr>
                <w:rFonts w:ascii="Arial" w:hAnsi="Arial" w:cs="Arial"/>
                <w:b/>
                <w:bCs/>
                <w:color w:val="003366"/>
              </w:rPr>
              <w:t> </w:t>
            </w:r>
          </w:p>
        </w:tc>
        <w:tc>
          <w:tcPr>
            <w:tcW w:w="1276" w:type="dxa"/>
            <w:tcBorders>
              <w:top w:val="nil"/>
              <w:left w:val="nil"/>
              <w:bottom w:val="single" w:sz="8" w:space="0" w:color="auto"/>
              <w:right w:val="nil"/>
            </w:tcBorders>
            <w:shd w:val="clear" w:color="000000" w:fill="FFFFFF"/>
            <w:vAlign w:val="center"/>
            <w:hideMark/>
          </w:tcPr>
          <w:p w14:paraId="60F32E52" w14:textId="77777777" w:rsidR="00030B86" w:rsidRDefault="00030B86">
            <w:pPr>
              <w:jc w:val="center"/>
              <w:rPr>
                <w:rFonts w:ascii="Arial" w:hAnsi="Arial" w:cs="Arial"/>
                <w:b/>
                <w:bCs/>
                <w:color w:val="000000"/>
              </w:rPr>
            </w:pPr>
            <w:r>
              <w:rPr>
                <w:rFonts w:ascii="Arial" w:hAnsi="Arial" w:cs="Arial"/>
                <w:b/>
                <w:bCs/>
                <w:color w:val="000000"/>
              </w:rPr>
              <w:t>£000</w:t>
            </w:r>
          </w:p>
        </w:tc>
        <w:tc>
          <w:tcPr>
            <w:tcW w:w="1276" w:type="dxa"/>
            <w:tcBorders>
              <w:top w:val="nil"/>
              <w:left w:val="single" w:sz="8" w:space="0" w:color="auto"/>
              <w:bottom w:val="single" w:sz="8" w:space="0" w:color="auto"/>
              <w:right w:val="nil"/>
            </w:tcBorders>
            <w:shd w:val="clear" w:color="000000" w:fill="FFFFFF"/>
            <w:vAlign w:val="center"/>
            <w:hideMark/>
          </w:tcPr>
          <w:p w14:paraId="6C44DA26" w14:textId="77777777" w:rsidR="00030B86" w:rsidRDefault="00030B86">
            <w:pPr>
              <w:jc w:val="center"/>
              <w:rPr>
                <w:rFonts w:ascii="Arial" w:hAnsi="Arial" w:cs="Arial"/>
                <w:b/>
                <w:bCs/>
                <w:color w:val="000000"/>
              </w:rPr>
            </w:pPr>
            <w:r>
              <w:rPr>
                <w:rFonts w:ascii="Arial" w:hAnsi="Arial" w:cs="Arial"/>
                <w:b/>
                <w:bCs/>
                <w:color w:val="000000"/>
              </w:rPr>
              <w:t>£000</w:t>
            </w:r>
          </w:p>
        </w:tc>
        <w:tc>
          <w:tcPr>
            <w:tcW w:w="1275" w:type="dxa"/>
            <w:tcBorders>
              <w:top w:val="nil"/>
              <w:left w:val="single" w:sz="8" w:space="0" w:color="auto"/>
              <w:bottom w:val="single" w:sz="8" w:space="0" w:color="auto"/>
              <w:right w:val="nil"/>
            </w:tcBorders>
            <w:shd w:val="clear" w:color="000000" w:fill="FFFFFF"/>
            <w:vAlign w:val="center"/>
            <w:hideMark/>
          </w:tcPr>
          <w:p w14:paraId="2871E642" w14:textId="77777777" w:rsidR="00030B86" w:rsidRDefault="00030B86">
            <w:pPr>
              <w:jc w:val="center"/>
              <w:rPr>
                <w:rFonts w:ascii="Arial" w:hAnsi="Arial" w:cs="Arial"/>
                <w:b/>
                <w:bCs/>
                <w:color w:val="000000"/>
              </w:rPr>
            </w:pPr>
            <w:r>
              <w:rPr>
                <w:rFonts w:ascii="Arial" w:hAnsi="Arial" w:cs="Arial"/>
                <w:b/>
                <w:bCs/>
                <w:color w:val="000000"/>
              </w:rPr>
              <w:t>£000</w:t>
            </w: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349B2E98" w14:textId="77777777" w:rsidR="00030B86" w:rsidRDefault="00030B86">
            <w:pPr>
              <w:jc w:val="center"/>
              <w:rPr>
                <w:rFonts w:ascii="Arial" w:hAnsi="Arial" w:cs="Arial"/>
                <w:b/>
                <w:bCs/>
                <w:color w:val="000000"/>
              </w:rPr>
            </w:pPr>
            <w:r>
              <w:rPr>
                <w:rFonts w:ascii="Arial" w:hAnsi="Arial" w:cs="Arial"/>
                <w:b/>
                <w:bCs/>
                <w:color w:val="000000"/>
              </w:rPr>
              <w:t>£000</w:t>
            </w:r>
          </w:p>
        </w:tc>
        <w:tc>
          <w:tcPr>
            <w:tcW w:w="503" w:type="dxa"/>
            <w:vAlign w:val="center"/>
            <w:hideMark/>
          </w:tcPr>
          <w:p w14:paraId="40575509" w14:textId="77777777" w:rsidR="00030B86" w:rsidRDefault="00030B86">
            <w:pPr>
              <w:rPr>
                <w:sz w:val="20"/>
                <w:szCs w:val="20"/>
              </w:rPr>
            </w:pPr>
          </w:p>
        </w:tc>
      </w:tr>
      <w:tr w:rsidR="00030B86" w14:paraId="305A7A50"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15BC8BF" w14:textId="77777777" w:rsidR="00030B86" w:rsidRDefault="00030B86">
            <w:pPr>
              <w:rPr>
                <w:rFonts w:ascii="Arial" w:hAnsi="Arial" w:cs="Arial"/>
                <w:color w:val="000000"/>
              </w:rPr>
            </w:pPr>
            <w:r>
              <w:rPr>
                <w:rFonts w:ascii="Arial" w:hAnsi="Arial" w:cs="Arial"/>
                <w:color w:val="000000"/>
              </w:rPr>
              <w:t>Recycled GF / RGF Capital Receipts</w:t>
            </w:r>
          </w:p>
        </w:tc>
        <w:tc>
          <w:tcPr>
            <w:tcW w:w="1276" w:type="dxa"/>
            <w:tcBorders>
              <w:top w:val="nil"/>
              <w:left w:val="single" w:sz="8" w:space="0" w:color="auto"/>
              <w:bottom w:val="nil"/>
              <w:right w:val="single" w:sz="8" w:space="0" w:color="auto"/>
            </w:tcBorders>
            <w:shd w:val="clear" w:color="000000" w:fill="FFFFFF"/>
            <w:noWrap/>
            <w:hideMark/>
          </w:tcPr>
          <w:p w14:paraId="493136BB" w14:textId="77777777" w:rsidR="00030B86" w:rsidRDefault="00030B86">
            <w:pPr>
              <w:jc w:val="right"/>
              <w:rPr>
                <w:rFonts w:ascii="Arial" w:hAnsi="Arial" w:cs="Arial"/>
              </w:rPr>
            </w:pPr>
            <w:r>
              <w:rPr>
                <w:rFonts w:ascii="Arial" w:hAnsi="Arial" w:cs="Arial"/>
              </w:rPr>
              <w:t xml:space="preserve">5,000 </w:t>
            </w:r>
          </w:p>
        </w:tc>
        <w:tc>
          <w:tcPr>
            <w:tcW w:w="1276" w:type="dxa"/>
            <w:tcBorders>
              <w:top w:val="nil"/>
              <w:left w:val="nil"/>
              <w:bottom w:val="nil"/>
              <w:right w:val="single" w:sz="8" w:space="0" w:color="auto"/>
            </w:tcBorders>
            <w:shd w:val="clear" w:color="000000" w:fill="FFFFFF"/>
            <w:noWrap/>
            <w:hideMark/>
          </w:tcPr>
          <w:p w14:paraId="000D7AA1" w14:textId="77777777" w:rsidR="00030B86" w:rsidRDefault="00030B86">
            <w:pPr>
              <w:jc w:val="right"/>
              <w:rPr>
                <w:rFonts w:ascii="Arial" w:hAnsi="Arial" w:cs="Arial"/>
              </w:rPr>
            </w:pPr>
            <w:r>
              <w:rPr>
                <w:rFonts w:ascii="Arial" w:hAnsi="Arial" w:cs="Arial"/>
              </w:rPr>
              <w:t xml:space="preserve">8,295 </w:t>
            </w:r>
          </w:p>
        </w:tc>
        <w:tc>
          <w:tcPr>
            <w:tcW w:w="1275" w:type="dxa"/>
            <w:tcBorders>
              <w:top w:val="nil"/>
              <w:left w:val="nil"/>
              <w:bottom w:val="nil"/>
              <w:right w:val="single" w:sz="8" w:space="0" w:color="auto"/>
            </w:tcBorders>
            <w:shd w:val="clear" w:color="000000" w:fill="FFFFFF"/>
            <w:noWrap/>
            <w:hideMark/>
          </w:tcPr>
          <w:p w14:paraId="20262C09" w14:textId="77777777" w:rsidR="00030B86" w:rsidRDefault="00030B86">
            <w:pPr>
              <w:jc w:val="right"/>
              <w:rPr>
                <w:rFonts w:ascii="Arial" w:hAnsi="Arial" w:cs="Arial"/>
              </w:rPr>
            </w:pPr>
            <w:r>
              <w:rPr>
                <w:rFonts w:ascii="Arial" w:hAnsi="Arial" w:cs="Arial"/>
              </w:rPr>
              <w:t xml:space="preserve">8,147 </w:t>
            </w:r>
          </w:p>
        </w:tc>
        <w:tc>
          <w:tcPr>
            <w:tcW w:w="1418" w:type="dxa"/>
            <w:tcBorders>
              <w:top w:val="nil"/>
              <w:left w:val="nil"/>
              <w:bottom w:val="nil"/>
              <w:right w:val="single" w:sz="8" w:space="0" w:color="auto"/>
            </w:tcBorders>
            <w:shd w:val="clear" w:color="000000" w:fill="FFFFFF"/>
            <w:noWrap/>
            <w:hideMark/>
          </w:tcPr>
          <w:p w14:paraId="73741BED" w14:textId="77777777" w:rsidR="00030B86" w:rsidRDefault="00030B86">
            <w:pPr>
              <w:jc w:val="right"/>
              <w:rPr>
                <w:rFonts w:ascii="Arial" w:hAnsi="Arial" w:cs="Arial"/>
              </w:rPr>
            </w:pPr>
            <w:r>
              <w:rPr>
                <w:rFonts w:ascii="Arial" w:hAnsi="Arial" w:cs="Arial"/>
              </w:rPr>
              <w:t>(148)</w:t>
            </w:r>
          </w:p>
        </w:tc>
        <w:tc>
          <w:tcPr>
            <w:tcW w:w="503" w:type="dxa"/>
            <w:vAlign w:val="center"/>
            <w:hideMark/>
          </w:tcPr>
          <w:p w14:paraId="48604597" w14:textId="77777777" w:rsidR="00030B86" w:rsidRDefault="00030B86">
            <w:pPr>
              <w:rPr>
                <w:sz w:val="20"/>
                <w:szCs w:val="20"/>
              </w:rPr>
            </w:pPr>
          </w:p>
        </w:tc>
      </w:tr>
      <w:tr w:rsidR="00030B86" w14:paraId="1744DADA"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1A131B58" w14:textId="77777777" w:rsidR="00030B86" w:rsidRDefault="00030B86">
            <w:pPr>
              <w:rPr>
                <w:rFonts w:ascii="Arial" w:hAnsi="Arial" w:cs="Arial"/>
                <w:color w:val="000000"/>
              </w:rPr>
            </w:pPr>
            <w:r>
              <w:rPr>
                <w:rFonts w:ascii="Arial" w:hAnsi="Arial" w:cs="Arial"/>
                <w:color w:val="000000"/>
              </w:rPr>
              <w:t>Growing Places</w:t>
            </w:r>
          </w:p>
        </w:tc>
        <w:tc>
          <w:tcPr>
            <w:tcW w:w="1276" w:type="dxa"/>
            <w:tcBorders>
              <w:top w:val="nil"/>
              <w:left w:val="single" w:sz="8" w:space="0" w:color="auto"/>
              <w:bottom w:val="nil"/>
              <w:right w:val="single" w:sz="8" w:space="0" w:color="auto"/>
            </w:tcBorders>
            <w:shd w:val="clear" w:color="000000" w:fill="FFFFFF"/>
            <w:noWrap/>
            <w:hideMark/>
          </w:tcPr>
          <w:p w14:paraId="6A0CAEFF" w14:textId="77777777" w:rsidR="00030B86" w:rsidRDefault="00030B86">
            <w:pPr>
              <w:jc w:val="right"/>
              <w:rPr>
                <w:rFonts w:ascii="Arial" w:hAnsi="Arial" w:cs="Arial"/>
              </w:rPr>
            </w:pPr>
            <w:r>
              <w:rPr>
                <w:rFonts w:ascii="Arial" w:hAnsi="Arial" w:cs="Arial"/>
              </w:rPr>
              <w:t xml:space="preserve">20,000 </w:t>
            </w:r>
          </w:p>
        </w:tc>
        <w:tc>
          <w:tcPr>
            <w:tcW w:w="1276" w:type="dxa"/>
            <w:tcBorders>
              <w:top w:val="nil"/>
              <w:left w:val="nil"/>
              <w:bottom w:val="nil"/>
              <w:right w:val="single" w:sz="8" w:space="0" w:color="auto"/>
            </w:tcBorders>
            <w:shd w:val="clear" w:color="000000" w:fill="FFFFFF"/>
            <w:noWrap/>
            <w:hideMark/>
          </w:tcPr>
          <w:p w14:paraId="03A2570A" w14:textId="77777777" w:rsidR="00030B86" w:rsidRDefault="00030B86">
            <w:pPr>
              <w:jc w:val="right"/>
              <w:rPr>
                <w:rFonts w:ascii="Arial" w:hAnsi="Arial" w:cs="Arial"/>
              </w:rPr>
            </w:pPr>
            <w:r>
              <w:rPr>
                <w:rFonts w:ascii="Arial" w:hAnsi="Arial" w:cs="Arial"/>
              </w:rPr>
              <w:t xml:space="preserve">10,250 </w:t>
            </w:r>
          </w:p>
        </w:tc>
        <w:tc>
          <w:tcPr>
            <w:tcW w:w="1275" w:type="dxa"/>
            <w:tcBorders>
              <w:top w:val="nil"/>
              <w:left w:val="nil"/>
              <w:bottom w:val="nil"/>
              <w:right w:val="single" w:sz="8" w:space="0" w:color="auto"/>
            </w:tcBorders>
            <w:shd w:val="clear" w:color="000000" w:fill="FFFFFF"/>
            <w:noWrap/>
            <w:hideMark/>
          </w:tcPr>
          <w:p w14:paraId="05F1CB6A" w14:textId="77777777" w:rsidR="00030B86" w:rsidRDefault="00030B86">
            <w:pPr>
              <w:jc w:val="right"/>
              <w:rPr>
                <w:rFonts w:ascii="Arial" w:hAnsi="Arial" w:cs="Arial"/>
              </w:rPr>
            </w:pPr>
            <w:r>
              <w:rPr>
                <w:rFonts w:ascii="Arial" w:hAnsi="Arial" w:cs="Arial"/>
              </w:rPr>
              <w:t xml:space="preserve">4,795 </w:t>
            </w:r>
          </w:p>
        </w:tc>
        <w:tc>
          <w:tcPr>
            <w:tcW w:w="1418" w:type="dxa"/>
            <w:tcBorders>
              <w:top w:val="nil"/>
              <w:left w:val="nil"/>
              <w:bottom w:val="nil"/>
              <w:right w:val="single" w:sz="8" w:space="0" w:color="auto"/>
            </w:tcBorders>
            <w:shd w:val="clear" w:color="000000" w:fill="FFFFFF"/>
            <w:noWrap/>
            <w:hideMark/>
          </w:tcPr>
          <w:p w14:paraId="28155E80" w14:textId="77777777" w:rsidR="00030B86" w:rsidRDefault="00030B86">
            <w:pPr>
              <w:jc w:val="right"/>
              <w:rPr>
                <w:rFonts w:ascii="Arial" w:hAnsi="Arial" w:cs="Arial"/>
              </w:rPr>
            </w:pPr>
            <w:r>
              <w:rPr>
                <w:rFonts w:ascii="Arial" w:hAnsi="Arial" w:cs="Arial"/>
              </w:rPr>
              <w:t>(5,455)</w:t>
            </w:r>
          </w:p>
        </w:tc>
        <w:tc>
          <w:tcPr>
            <w:tcW w:w="503" w:type="dxa"/>
            <w:vAlign w:val="center"/>
            <w:hideMark/>
          </w:tcPr>
          <w:p w14:paraId="56D728CB" w14:textId="77777777" w:rsidR="00030B86" w:rsidRDefault="00030B86">
            <w:pPr>
              <w:rPr>
                <w:sz w:val="20"/>
                <w:szCs w:val="20"/>
              </w:rPr>
            </w:pPr>
          </w:p>
        </w:tc>
      </w:tr>
      <w:tr w:rsidR="00030B86" w14:paraId="3829344E"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478C8E46" w14:textId="77777777" w:rsidR="00030B86" w:rsidRDefault="00030B86">
            <w:pPr>
              <w:rPr>
                <w:rFonts w:ascii="Arial" w:hAnsi="Arial" w:cs="Arial"/>
                <w:color w:val="000000"/>
              </w:rPr>
            </w:pPr>
            <w:r>
              <w:rPr>
                <w:rFonts w:ascii="Arial" w:hAnsi="Arial" w:cs="Arial"/>
                <w:color w:val="000000"/>
              </w:rPr>
              <w:t>Housing Investment Fund</w:t>
            </w:r>
          </w:p>
        </w:tc>
        <w:tc>
          <w:tcPr>
            <w:tcW w:w="1276" w:type="dxa"/>
            <w:tcBorders>
              <w:top w:val="nil"/>
              <w:left w:val="single" w:sz="8" w:space="0" w:color="auto"/>
              <w:bottom w:val="nil"/>
              <w:right w:val="single" w:sz="8" w:space="0" w:color="auto"/>
            </w:tcBorders>
            <w:shd w:val="clear" w:color="000000" w:fill="FFFFFF"/>
            <w:noWrap/>
            <w:hideMark/>
          </w:tcPr>
          <w:p w14:paraId="763AEC4B" w14:textId="77777777" w:rsidR="00030B86" w:rsidRDefault="00030B86">
            <w:pPr>
              <w:jc w:val="right"/>
              <w:rPr>
                <w:rFonts w:ascii="Arial" w:hAnsi="Arial" w:cs="Arial"/>
              </w:rPr>
            </w:pPr>
            <w:r>
              <w:rPr>
                <w:rFonts w:ascii="Arial" w:hAnsi="Arial" w:cs="Arial"/>
              </w:rPr>
              <w:t xml:space="preserve">90,142 </w:t>
            </w:r>
          </w:p>
        </w:tc>
        <w:tc>
          <w:tcPr>
            <w:tcW w:w="1276" w:type="dxa"/>
            <w:tcBorders>
              <w:top w:val="nil"/>
              <w:left w:val="nil"/>
              <w:bottom w:val="nil"/>
              <w:right w:val="single" w:sz="8" w:space="0" w:color="auto"/>
            </w:tcBorders>
            <w:shd w:val="clear" w:color="000000" w:fill="FFFFFF"/>
            <w:noWrap/>
            <w:hideMark/>
          </w:tcPr>
          <w:p w14:paraId="4D87E36B" w14:textId="77777777" w:rsidR="00030B86" w:rsidRDefault="00030B86">
            <w:pPr>
              <w:jc w:val="right"/>
              <w:rPr>
                <w:rFonts w:ascii="Arial" w:hAnsi="Arial" w:cs="Arial"/>
              </w:rPr>
            </w:pPr>
            <w:r>
              <w:rPr>
                <w:rFonts w:ascii="Arial" w:hAnsi="Arial" w:cs="Arial"/>
              </w:rPr>
              <w:t xml:space="preserve">77,434 </w:t>
            </w:r>
          </w:p>
        </w:tc>
        <w:tc>
          <w:tcPr>
            <w:tcW w:w="1275" w:type="dxa"/>
            <w:tcBorders>
              <w:top w:val="nil"/>
              <w:left w:val="nil"/>
              <w:bottom w:val="nil"/>
              <w:right w:val="single" w:sz="8" w:space="0" w:color="auto"/>
            </w:tcBorders>
            <w:shd w:val="clear" w:color="000000" w:fill="FFFFFF"/>
            <w:noWrap/>
            <w:hideMark/>
          </w:tcPr>
          <w:p w14:paraId="712C688B" w14:textId="77777777" w:rsidR="00030B86" w:rsidRDefault="00030B86">
            <w:pPr>
              <w:jc w:val="right"/>
              <w:rPr>
                <w:rFonts w:ascii="Arial" w:hAnsi="Arial" w:cs="Arial"/>
              </w:rPr>
            </w:pPr>
            <w:r>
              <w:rPr>
                <w:rFonts w:ascii="Arial" w:hAnsi="Arial" w:cs="Arial"/>
              </w:rPr>
              <w:t xml:space="preserve">139,412 </w:t>
            </w:r>
          </w:p>
        </w:tc>
        <w:tc>
          <w:tcPr>
            <w:tcW w:w="1418" w:type="dxa"/>
            <w:tcBorders>
              <w:top w:val="nil"/>
              <w:left w:val="nil"/>
              <w:bottom w:val="nil"/>
              <w:right w:val="single" w:sz="8" w:space="0" w:color="auto"/>
            </w:tcBorders>
            <w:shd w:val="clear" w:color="000000" w:fill="FFFFFF"/>
            <w:noWrap/>
            <w:hideMark/>
          </w:tcPr>
          <w:p w14:paraId="4FB3932F" w14:textId="77777777" w:rsidR="00030B86" w:rsidRDefault="00030B86">
            <w:pPr>
              <w:jc w:val="right"/>
              <w:rPr>
                <w:rFonts w:ascii="Arial" w:hAnsi="Arial" w:cs="Arial"/>
              </w:rPr>
            </w:pPr>
            <w:r>
              <w:rPr>
                <w:rFonts w:ascii="Arial" w:hAnsi="Arial" w:cs="Arial"/>
              </w:rPr>
              <w:t xml:space="preserve">61,978 </w:t>
            </w:r>
          </w:p>
        </w:tc>
        <w:tc>
          <w:tcPr>
            <w:tcW w:w="503" w:type="dxa"/>
            <w:vAlign w:val="center"/>
            <w:hideMark/>
          </w:tcPr>
          <w:p w14:paraId="37224120" w14:textId="77777777" w:rsidR="00030B86" w:rsidRDefault="00030B86">
            <w:pPr>
              <w:rPr>
                <w:sz w:val="20"/>
                <w:szCs w:val="20"/>
              </w:rPr>
            </w:pPr>
          </w:p>
        </w:tc>
      </w:tr>
      <w:tr w:rsidR="00030B86" w14:paraId="10C2AFB4"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1FC85959" w14:textId="77777777" w:rsidR="00030B86" w:rsidRDefault="00030B86">
            <w:pPr>
              <w:rPr>
                <w:rFonts w:ascii="Arial" w:hAnsi="Arial" w:cs="Arial"/>
                <w:color w:val="000000"/>
              </w:rPr>
            </w:pPr>
            <w:r>
              <w:rPr>
                <w:rFonts w:ascii="Arial" w:hAnsi="Arial" w:cs="Arial"/>
                <w:color w:val="000000"/>
              </w:rPr>
              <w:t>Growth Deal - Skills Capital Round 2/3</w:t>
            </w:r>
          </w:p>
        </w:tc>
        <w:tc>
          <w:tcPr>
            <w:tcW w:w="1276" w:type="dxa"/>
            <w:tcBorders>
              <w:top w:val="nil"/>
              <w:left w:val="single" w:sz="8" w:space="0" w:color="auto"/>
              <w:bottom w:val="nil"/>
              <w:right w:val="single" w:sz="8" w:space="0" w:color="auto"/>
            </w:tcBorders>
            <w:shd w:val="clear" w:color="000000" w:fill="FFFFFF"/>
            <w:noWrap/>
            <w:hideMark/>
          </w:tcPr>
          <w:p w14:paraId="641869F8" w14:textId="77777777" w:rsidR="00030B86" w:rsidRDefault="00030B86">
            <w:pPr>
              <w:jc w:val="right"/>
              <w:rPr>
                <w:rFonts w:ascii="Arial" w:hAnsi="Arial" w:cs="Arial"/>
              </w:rPr>
            </w:pPr>
            <w:r>
              <w:rPr>
                <w:rFonts w:ascii="Arial" w:hAnsi="Arial" w:cs="Arial"/>
              </w:rPr>
              <w:t xml:space="preserve">9,673 </w:t>
            </w:r>
          </w:p>
        </w:tc>
        <w:tc>
          <w:tcPr>
            <w:tcW w:w="1276" w:type="dxa"/>
            <w:tcBorders>
              <w:top w:val="nil"/>
              <w:left w:val="nil"/>
              <w:bottom w:val="nil"/>
              <w:right w:val="single" w:sz="8" w:space="0" w:color="auto"/>
            </w:tcBorders>
            <w:shd w:val="clear" w:color="000000" w:fill="FFFFFF"/>
            <w:noWrap/>
            <w:hideMark/>
          </w:tcPr>
          <w:p w14:paraId="17A6499B" w14:textId="77777777" w:rsidR="00030B86" w:rsidRDefault="00030B86">
            <w:pPr>
              <w:jc w:val="right"/>
              <w:rPr>
                <w:rFonts w:ascii="Arial" w:hAnsi="Arial" w:cs="Arial"/>
              </w:rPr>
            </w:pPr>
            <w:r>
              <w:rPr>
                <w:rFonts w:ascii="Arial" w:hAnsi="Arial" w:cs="Arial"/>
              </w:rPr>
              <w:t xml:space="preserve">4,596 </w:t>
            </w:r>
          </w:p>
        </w:tc>
        <w:tc>
          <w:tcPr>
            <w:tcW w:w="1275" w:type="dxa"/>
            <w:tcBorders>
              <w:top w:val="nil"/>
              <w:left w:val="nil"/>
              <w:bottom w:val="nil"/>
              <w:right w:val="single" w:sz="8" w:space="0" w:color="auto"/>
            </w:tcBorders>
            <w:shd w:val="clear" w:color="000000" w:fill="FFFFFF"/>
            <w:noWrap/>
            <w:hideMark/>
          </w:tcPr>
          <w:p w14:paraId="6162721C" w14:textId="77777777" w:rsidR="00030B86" w:rsidRDefault="00030B86">
            <w:pPr>
              <w:jc w:val="right"/>
              <w:rPr>
                <w:rFonts w:ascii="Arial" w:hAnsi="Arial" w:cs="Arial"/>
              </w:rPr>
            </w:pPr>
            <w:r>
              <w:rPr>
                <w:rFonts w:ascii="Arial" w:hAnsi="Arial" w:cs="Arial"/>
              </w:rPr>
              <w:t xml:space="preserve">3,445 </w:t>
            </w:r>
          </w:p>
        </w:tc>
        <w:tc>
          <w:tcPr>
            <w:tcW w:w="1418" w:type="dxa"/>
            <w:tcBorders>
              <w:top w:val="nil"/>
              <w:left w:val="nil"/>
              <w:bottom w:val="nil"/>
              <w:right w:val="single" w:sz="8" w:space="0" w:color="auto"/>
            </w:tcBorders>
            <w:shd w:val="clear" w:color="000000" w:fill="FFFFFF"/>
            <w:noWrap/>
            <w:hideMark/>
          </w:tcPr>
          <w:p w14:paraId="18C07BDC" w14:textId="77777777" w:rsidR="00030B86" w:rsidRDefault="00030B86">
            <w:pPr>
              <w:jc w:val="right"/>
              <w:rPr>
                <w:rFonts w:ascii="Arial" w:hAnsi="Arial" w:cs="Arial"/>
              </w:rPr>
            </w:pPr>
            <w:r>
              <w:rPr>
                <w:rFonts w:ascii="Arial" w:hAnsi="Arial" w:cs="Arial"/>
              </w:rPr>
              <w:t>(1,151)</w:t>
            </w:r>
          </w:p>
        </w:tc>
        <w:tc>
          <w:tcPr>
            <w:tcW w:w="503" w:type="dxa"/>
            <w:vAlign w:val="center"/>
            <w:hideMark/>
          </w:tcPr>
          <w:p w14:paraId="2B5C58AD" w14:textId="77777777" w:rsidR="00030B86" w:rsidRDefault="00030B86">
            <w:pPr>
              <w:rPr>
                <w:sz w:val="20"/>
                <w:szCs w:val="20"/>
              </w:rPr>
            </w:pPr>
          </w:p>
        </w:tc>
      </w:tr>
      <w:tr w:rsidR="00030B86" w14:paraId="36830939"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17DB517A" w14:textId="77777777" w:rsidR="00030B86" w:rsidRDefault="00030B86">
            <w:pPr>
              <w:rPr>
                <w:rFonts w:ascii="Arial" w:hAnsi="Arial" w:cs="Arial"/>
                <w:color w:val="000000"/>
              </w:rPr>
            </w:pPr>
            <w:r>
              <w:rPr>
                <w:rFonts w:ascii="Arial" w:hAnsi="Arial" w:cs="Arial"/>
                <w:color w:val="000000"/>
              </w:rPr>
              <w:t>Growth Deal - Life Sciences Fund</w:t>
            </w:r>
          </w:p>
        </w:tc>
        <w:tc>
          <w:tcPr>
            <w:tcW w:w="1276" w:type="dxa"/>
            <w:tcBorders>
              <w:top w:val="nil"/>
              <w:left w:val="single" w:sz="8" w:space="0" w:color="auto"/>
              <w:bottom w:val="nil"/>
              <w:right w:val="single" w:sz="8" w:space="0" w:color="auto"/>
            </w:tcBorders>
            <w:shd w:val="clear" w:color="000000" w:fill="FFFFFF"/>
            <w:noWrap/>
            <w:hideMark/>
          </w:tcPr>
          <w:p w14:paraId="53D17AEE" w14:textId="77777777" w:rsidR="00030B86" w:rsidRDefault="00030B86">
            <w:pPr>
              <w:jc w:val="right"/>
              <w:rPr>
                <w:rFonts w:ascii="Arial" w:hAnsi="Arial" w:cs="Arial"/>
              </w:rPr>
            </w:pPr>
            <w:r>
              <w:rPr>
                <w:rFonts w:ascii="Arial" w:hAnsi="Arial" w:cs="Arial"/>
              </w:rPr>
              <w:t xml:space="preserve">1,749 </w:t>
            </w:r>
          </w:p>
        </w:tc>
        <w:tc>
          <w:tcPr>
            <w:tcW w:w="1276" w:type="dxa"/>
            <w:tcBorders>
              <w:top w:val="nil"/>
              <w:left w:val="nil"/>
              <w:bottom w:val="nil"/>
              <w:right w:val="single" w:sz="8" w:space="0" w:color="auto"/>
            </w:tcBorders>
            <w:shd w:val="clear" w:color="000000" w:fill="FFFFFF"/>
            <w:noWrap/>
            <w:hideMark/>
          </w:tcPr>
          <w:p w14:paraId="2665CC7C" w14:textId="77777777" w:rsidR="00030B86" w:rsidRDefault="00030B86">
            <w:pPr>
              <w:jc w:val="right"/>
              <w:rPr>
                <w:rFonts w:ascii="Arial" w:hAnsi="Arial" w:cs="Arial"/>
              </w:rPr>
            </w:pPr>
            <w:r>
              <w:rPr>
                <w:rFonts w:ascii="Arial" w:hAnsi="Arial" w:cs="Arial"/>
              </w:rPr>
              <w:t xml:space="preserve">999 </w:t>
            </w:r>
          </w:p>
        </w:tc>
        <w:tc>
          <w:tcPr>
            <w:tcW w:w="1275" w:type="dxa"/>
            <w:tcBorders>
              <w:top w:val="nil"/>
              <w:left w:val="nil"/>
              <w:bottom w:val="nil"/>
              <w:right w:val="single" w:sz="8" w:space="0" w:color="auto"/>
            </w:tcBorders>
            <w:shd w:val="clear" w:color="000000" w:fill="FFFFFF"/>
            <w:noWrap/>
            <w:hideMark/>
          </w:tcPr>
          <w:p w14:paraId="2A628A96" w14:textId="77777777" w:rsidR="00030B86" w:rsidRDefault="00030B86">
            <w:pPr>
              <w:jc w:val="right"/>
              <w:rPr>
                <w:rFonts w:ascii="Arial" w:hAnsi="Arial" w:cs="Arial"/>
              </w:rPr>
            </w:pPr>
            <w:r>
              <w:rPr>
                <w:rFonts w:ascii="Arial" w:hAnsi="Arial" w:cs="Arial"/>
              </w:rPr>
              <w:t xml:space="preserve">749 </w:t>
            </w:r>
          </w:p>
        </w:tc>
        <w:tc>
          <w:tcPr>
            <w:tcW w:w="1418" w:type="dxa"/>
            <w:tcBorders>
              <w:top w:val="nil"/>
              <w:left w:val="nil"/>
              <w:bottom w:val="nil"/>
              <w:right w:val="single" w:sz="8" w:space="0" w:color="auto"/>
            </w:tcBorders>
            <w:shd w:val="clear" w:color="000000" w:fill="FFFFFF"/>
            <w:noWrap/>
            <w:hideMark/>
          </w:tcPr>
          <w:p w14:paraId="216B78A8" w14:textId="77777777" w:rsidR="00030B86" w:rsidRDefault="00030B86">
            <w:pPr>
              <w:jc w:val="right"/>
              <w:rPr>
                <w:rFonts w:ascii="Arial" w:hAnsi="Arial" w:cs="Arial"/>
              </w:rPr>
            </w:pPr>
            <w:r>
              <w:rPr>
                <w:rFonts w:ascii="Arial" w:hAnsi="Arial" w:cs="Arial"/>
              </w:rPr>
              <w:t>(250)</w:t>
            </w:r>
          </w:p>
        </w:tc>
        <w:tc>
          <w:tcPr>
            <w:tcW w:w="503" w:type="dxa"/>
            <w:vAlign w:val="center"/>
            <w:hideMark/>
          </w:tcPr>
          <w:p w14:paraId="3300888B" w14:textId="77777777" w:rsidR="00030B86" w:rsidRDefault="00030B86">
            <w:pPr>
              <w:rPr>
                <w:sz w:val="20"/>
                <w:szCs w:val="20"/>
              </w:rPr>
            </w:pPr>
          </w:p>
        </w:tc>
      </w:tr>
      <w:tr w:rsidR="00030B86" w14:paraId="67DE56EA"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C05A98B" w14:textId="77777777" w:rsidR="00030B86" w:rsidRDefault="00030B86">
            <w:pPr>
              <w:rPr>
                <w:rFonts w:ascii="Arial" w:hAnsi="Arial" w:cs="Arial"/>
                <w:color w:val="000000"/>
              </w:rPr>
            </w:pPr>
            <w:r>
              <w:rPr>
                <w:rFonts w:ascii="Arial" w:hAnsi="Arial" w:cs="Arial"/>
                <w:color w:val="000000"/>
              </w:rPr>
              <w:t>Growth Deal - Pankhurst Institute</w:t>
            </w:r>
          </w:p>
        </w:tc>
        <w:tc>
          <w:tcPr>
            <w:tcW w:w="1276" w:type="dxa"/>
            <w:tcBorders>
              <w:top w:val="nil"/>
              <w:left w:val="single" w:sz="8" w:space="0" w:color="auto"/>
              <w:bottom w:val="nil"/>
              <w:right w:val="single" w:sz="8" w:space="0" w:color="auto"/>
            </w:tcBorders>
            <w:shd w:val="clear" w:color="000000" w:fill="FFFFFF"/>
            <w:noWrap/>
            <w:hideMark/>
          </w:tcPr>
          <w:p w14:paraId="60463188" w14:textId="77777777" w:rsidR="00030B86" w:rsidRDefault="00030B86">
            <w:pPr>
              <w:jc w:val="right"/>
              <w:rPr>
                <w:rFonts w:ascii="Arial" w:hAnsi="Arial" w:cs="Arial"/>
              </w:rPr>
            </w:pPr>
            <w:r>
              <w:rPr>
                <w:rFonts w:ascii="Arial" w:hAnsi="Arial" w:cs="Arial"/>
              </w:rPr>
              <w:t xml:space="preserve">793 </w:t>
            </w:r>
          </w:p>
        </w:tc>
        <w:tc>
          <w:tcPr>
            <w:tcW w:w="1276" w:type="dxa"/>
            <w:tcBorders>
              <w:top w:val="nil"/>
              <w:left w:val="nil"/>
              <w:bottom w:val="nil"/>
              <w:right w:val="single" w:sz="8" w:space="0" w:color="auto"/>
            </w:tcBorders>
            <w:shd w:val="clear" w:color="000000" w:fill="FFFFFF"/>
            <w:noWrap/>
            <w:hideMark/>
          </w:tcPr>
          <w:p w14:paraId="7FE707CB" w14:textId="77777777" w:rsidR="00030B86" w:rsidRDefault="00030B86">
            <w:pPr>
              <w:jc w:val="right"/>
              <w:rPr>
                <w:rFonts w:ascii="Arial" w:hAnsi="Arial" w:cs="Arial"/>
              </w:rPr>
            </w:pPr>
            <w:r>
              <w:rPr>
                <w:rFonts w:ascii="Arial" w:hAnsi="Arial" w:cs="Arial"/>
              </w:rPr>
              <w:t xml:space="preserve">0 </w:t>
            </w:r>
          </w:p>
        </w:tc>
        <w:tc>
          <w:tcPr>
            <w:tcW w:w="1275" w:type="dxa"/>
            <w:tcBorders>
              <w:top w:val="nil"/>
              <w:left w:val="nil"/>
              <w:bottom w:val="nil"/>
              <w:right w:val="single" w:sz="8" w:space="0" w:color="auto"/>
            </w:tcBorders>
            <w:shd w:val="clear" w:color="000000" w:fill="FFFFFF"/>
            <w:noWrap/>
            <w:hideMark/>
          </w:tcPr>
          <w:p w14:paraId="5D22EB55" w14:textId="77777777" w:rsidR="00030B86" w:rsidRDefault="00030B86">
            <w:pPr>
              <w:jc w:val="right"/>
              <w:rPr>
                <w:rFonts w:ascii="Arial" w:hAnsi="Arial" w:cs="Arial"/>
              </w:rPr>
            </w:pPr>
            <w:r>
              <w:rPr>
                <w:rFonts w:ascii="Arial" w:hAnsi="Arial" w:cs="Arial"/>
              </w:rPr>
              <w:t xml:space="preserve">0 </w:t>
            </w:r>
          </w:p>
        </w:tc>
        <w:tc>
          <w:tcPr>
            <w:tcW w:w="1418" w:type="dxa"/>
            <w:tcBorders>
              <w:top w:val="nil"/>
              <w:left w:val="nil"/>
              <w:bottom w:val="nil"/>
              <w:right w:val="single" w:sz="8" w:space="0" w:color="auto"/>
            </w:tcBorders>
            <w:shd w:val="clear" w:color="000000" w:fill="FFFFFF"/>
            <w:noWrap/>
            <w:hideMark/>
          </w:tcPr>
          <w:p w14:paraId="1FAB0DFF" w14:textId="77777777" w:rsidR="00030B86" w:rsidRDefault="00030B86">
            <w:pPr>
              <w:jc w:val="right"/>
              <w:rPr>
                <w:rFonts w:ascii="Arial" w:hAnsi="Arial" w:cs="Arial"/>
              </w:rPr>
            </w:pPr>
            <w:r>
              <w:rPr>
                <w:rFonts w:ascii="Arial" w:hAnsi="Arial" w:cs="Arial"/>
              </w:rPr>
              <w:t xml:space="preserve">0 </w:t>
            </w:r>
          </w:p>
        </w:tc>
        <w:tc>
          <w:tcPr>
            <w:tcW w:w="503" w:type="dxa"/>
            <w:vAlign w:val="center"/>
            <w:hideMark/>
          </w:tcPr>
          <w:p w14:paraId="0044BB9E" w14:textId="77777777" w:rsidR="00030B86" w:rsidRDefault="00030B86">
            <w:pPr>
              <w:rPr>
                <w:sz w:val="20"/>
                <w:szCs w:val="20"/>
              </w:rPr>
            </w:pPr>
          </w:p>
        </w:tc>
      </w:tr>
      <w:tr w:rsidR="00030B86" w14:paraId="2CE4E7BD"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7B949E4" w14:textId="77777777" w:rsidR="00030B86" w:rsidRDefault="00030B86">
            <w:pPr>
              <w:rPr>
                <w:rFonts w:ascii="Arial" w:hAnsi="Arial" w:cs="Arial"/>
                <w:color w:val="000000"/>
              </w:rPr>
            </w:pPr>
            <w:r>
              <w:rPr>
                <w:rFonts w:ascii="Arial" w:hAnsi="Arial" w:cs="Arial"/>
                <w:color w:val="000000"/>
              </w:rPr>
              <w:t>Getting Building Fund</w:t>
            </w:r>
          </w:p>
        </w:tc>
        <w:tc>
          <w:tcPr>
            <w:tcW w:w="1276" w:type="dxa"/>
            <w:tcBorders>
              <w:top w:val="nil"/>
              <w:left w:val="single" w:sz="8" w:space="0" w:color="auto"/>
              <w:bottom w:val="nil"/>
              <w:right w:val="single" w:sz="8" w:space="0" w:color="auto"/>
            </w:tcBorders>
            <w:shd w:val="clear" w:color="000000" w:fill="FFFFFF"/>
            <w:noWrap/>
            <w:hideMark/>
          </w:tcPr>
          <w:p w14:paraId="7A5493DB" w14:textId="77777777" w:rsidR="00030B86" w:rsidRDefault="00030B86">
            <w:pPr>
              <w:jc w:val="right"/>
              <w:rPr>
                <w:rFonts w:ascii="Arial" w:hAnsi="Arial" w:cs="Arial"/>
              </w:rPr>
            </w:pPr>
            <w:r>
              <w:rPr>
                <w:rFonts w:ascii="Arial" w:hAnsi="Arial" w:cs="Arial"/>
              </w:rPr>
              <w:t xml:space="preserve">31,316 </w:t>
            </w:r>
          </w:p>
        </w:tc>
        <w:tc>
          <w:tcPr>
            <w:tcW w:w="1276" w:type="dxa"/>
            <w:tcBorders>
              <w:top w:val="nil"/>
              <w:left w:val="nil"/>
              <w:bottom w:val="nil"/>
              <w:right w:val="single" w:sz="8" w:space="0" w:color="auto"/>
            </w:tcBorders>
            <w:shd w:val="clear" w:color="000000" w:fill="FFFFFF"/>
            <w:noWrap/>
            <w:hideMark/>
          </w:tcPr>
          <w:p w14:paraId="19B92535" w14:textId="77777777" w:rsidR="00030B86" w:rsidRDefault="00030B86">
            <w:pPr>
              <w:jc w:val="right"/>
              <w:rPr>
                <w:rFonts w:ascii="Arial" w:hAnsi="Arial" w:cs="Arial"/>
              </w:rPr>
            </w:pPr>
            <w:r>
              <w:rPr>
                <w:rFonts w:ascii="Arial" w:hAnsi="Arial" w:cs="Arial"/>
              </w:rPr>
              <w:t xml:space="preserve">34,612 </w:t>
            </w:r>
          </w:p>
        </w:tc>
        <w:tc>
          <w:tcPr>
            <w:tcW w:w="1275" w:type="dxa"/>
            <w:tcBorders>
              <w:top w:val="nil"/>
              <w:left w:val="nil"/>
              <w:bottom w:val="nil"/>
              <w:right w:val="single" w:sz="8" w:space="0" w:color="auto"/>
            </w:tcBorders>
            <w:shd w:val="clear" w:color="000000" w:fill="FFFFFF"/>
            <w:noWrap/>
            <w:hideMark/>
          </w:tcPr>
          <w:p w14:paraId="6ED5246A" w14:textId="77777777" w:rsidR="00030B86" w:rsidRDefault="00030B86">
            <w:pPr>
              <w:jc w:val="right"/>
              <w:rPr>
                <w:rFonts w:ascii="Arial" w:hAnsi="Arial" w:cs="Arial"/>
              </w:rPr>
            </w:pPr>
            <w:r>
              <w:rPr>
                <w:rFonts w:ascii="Arial" w:hAnsi="Arial" w:cs="Arial"/>
              </w:rPr>
              <w:t xml:space="preserve">34,611 </w:t>
            </w:r>
          </w:p>
        </w:tc>
        <w:tc>
          <w:tcPr>
            <w:tcW w:w="1418" w:type="dxa"/>
            <w:tcBorders>
              <w:top w:val="nil"/>
              <w:left w:val="nil"/>
              <w:bottom w:val="nil"/>
              <w:right w:val="single" w:sz="8" w:space="0" w:color="auto"/>
            </w:tcBorders>
            <w:shd w:val="clear" w:color="000000" w:fill="FFFFFF"/>
            <w:noWrap/>
            <w:hideMark/>
          </w:tcPr>
          <w:p w14:paraId="01E2DF43" w14:textId="77777777" w:rsidR="00030B86" w:rsidRDefault="00030B86">
            <w:pPr>
              <w:jc w:val="right"/>
              <w:rPr>
                <w:rFonts w:ascii="Arial" w:hAnsi="Arial" w:cs="Arial"/>
              </w:rPr>
            </w:pPr>
            <w:r>
              <w:rPr>
                <w:rFonts w:ascii="Arial" w:hAnsi="Arial" w:cs="Arial"/>
              </w:rPr>
              <w:t>(1)</w:t>
            </w:r>
          </w:p>
        </w:tc>
        <w:tc>
          <w:tcPr>
            <w:tcW w:w="503" w:type="dxa"/>
            <w:vAlign w:val="center"/>
            <w:hideMark/>
          </w:tcPr>
          <w:p w14:paraId="779BBE6A" w14:textId="77777777" w:rsidR="00030B86" w:rsidRDefault="00030B86">
            <w:pPr>
              <w:rPr>
                <w:sz w:val="20"/>
                <w:szCs w:val="20"/>
              </w:rPr>
            </w:pPr>
          </w:p>
        </w:tc>
      </w:tr>
      <w:tr w:rsidR="00030B86" w14:paraId="72B2D5E8"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649B188C" w14:textId="77777777" w:rsidR="00030B86" w:rsidRDefault="00030B86">
            <w:pPr>
              <w:rPr>
                <w:rFonts w:ascii="Arial" w:hAnsi="Arial" w:cs="Arial"/>
                <w:color w:val="000000"/>
              </w:rPr>
            </w:pPr>
            <w:r>
              <w:rPr>
                <w:rFonts w:ascii="Arial" w:hAnsi="Arial" w:cs="Arial"/>
                <w:color w:val="000000"/>
              </w:rPr>
              <w:t>Brownfield Land Fund</w:t>
            </w:r>
          </w:p>
        </w:tc>
        <w:tc>
          <w:tcPr>
            <w:tcW w:w="1276" w:type="dxa"/>
            <w:tcBorders>
              <w:top w:val="nil"/>
              <w:left w:val="single" w:sz="8" w:space="0" w:color="auto"/>
              <w:bottom w:val="nil"/>
              <w:right w:val="single" w:sz="8" w:space="0" w:color="auto"/>
            </w:tcBorders>
            <w:shd w:val="clear" w:color="000000" w:fill="FFFFFF"/>
            <w:noWrap/>
            <w:hideMark/>
          </w:tcPr>
          <w:p w14:paraId="2D09995D" w14:textId="77777777" w:rsidR="00030B86" w:rsidRDefault="00030B86">
            <w:pPr>
              <w:jc w:val="right"/>
              <w:rPr>
                <w:rFonts w:ascii="Arial" w:hAnsi="Arial" w:cs="Arial"/>
              </w:rPr>
            </w:pPr>
            <w:r>
              <w:rPr>
                <w:rFonts w:ascii="Arial" w:hAnsi="Arial" w:cs="Arial"/>
              </w:rPr>
              <w:t xml:space="preserve">30,000 </w:t>
            </w:r>
          </w:p>
        </w:tc>
        <w:tc>
          <w:tcPr>
            <w:tcW w:w="1276" w:type="dxa"/>
            <w:tcBorders>
              <w:top w:val="nil"/>
              <w:left w:val="nil"/>
              <w:bottom w:val="nil"/>
              <w:right w:val="single" w:sz="8" w:space="0" w:color="auto"/>
            </w:tcBorders>
            <w:shd w:val="clear" w:color="000000" w:fill="FFFFFF"/>
            <w:noWrap/>
            <w:hideMark/>
          </w:tcPr>
          <w:p w14:paraId="644D4AD7" w14:textId="77777777" w:rsidR="00030B86" w:rsidRDefault="00030B86">
            <w:pPr>
              <w:jc w:val="right"/>
              <w:rPr>
                <w:rFonts w:ascii="Arial" w:hAnsi="Arial" w:cs="Arial"/>
              </w:rPr>
            </w:pPr>
            <w:r>
              <w:rPr>
                <w:rFonts w:ascii="Arial" w:hAnsi="Arial" w:cs="Arial"/>
              </w:rPr>
              <w:t xml:space="preserve">37,907 </w:t>
            </w:r>
          </w:p>
        </w:tc>
        <w:tc>
          <w:tcPr>
            <w:tcW w:w="1275" w:type="dxa"/>
            <w:tcBorders>
              <w:top w:val="nil"/>
              <w:left w:val="nil"/>
              <w:bottom w:val="nil"/>
              <w:right w:val="single" w:sz="8" w:space="0" w:color="auto"/>
            </w:tcBorders>
            <w:shd w:val="clear" w:color="000000" w:fill="FFFFFF"/>
            <w:noWrap/>
            <w:hideMark/>
          </w:tcPr>
          <w:p w14:paraId="043D13F1" w14:textId="77777777" w:rsidR="00030B86" w:rsidRDefault="00030B86">
            <w:pPr>
              <w:jc w:val="right"/>
              <w:rPr>
                <w:rFonts w:ascii="Arial" w:hAnsi="Arial" w:cs="Arial"/>
              </w:rPr>
            </w:pPr>
            <w:r>
              <w:rPr>
                <w:rFonts w:ascii="Arial" w:hAnsi="Arial" w:cs="Arial"/>
              </w:rPr>
              <w:t xml:space="preserve">39,780 </w:t>
            </w:r>
          </w:p>
        </w:tc>
        <w:tc>
          <w:tcPr>
            <w:tcW w:w="1418" w:type="dxa"/>
            <w:tcBorders>
              <w:top w:val="nil"/>
              <w:left w:val="nil"/>
              <w:bottom w:val="nil"/>
              <w:right w:val="single" w:sz="8" w:space="0" w:color="auto"/>
            </w:tcBorders>
            <w:shd w:val="clear" w:color="000000" w:fill="FFFFFF"/>
            <w:noWrap/>
            <w:hideMark/>
          </w:tcPr>
          <w:p w14:paraId="3632C55D" w14:textId="77777777" w:rsidR="00030B86" w:rsidRDefault="00030B86">
            <w:pPr>
              <w:jc w:val="right"/>
              <w:rPr>
                <w:rFonts w:ascii="Arial" w:hAnsi="Arial" w:cs="Arial"/>
              </w:rPr>
            </w:pPr>
            <w:r>
              <w:rPr>
                <w:rFonts w:ascii="Arial" w:hAnsi="Arial" w:cs="Arial"/>
              </w:rPr>
              <w:t xml:space="preserve">1,873 </w:t>
            </w:r>
          </w:p>
        </w:tc>
        <w:tc>
          <w:tcPr>
            <w:tcW w:w="503" w:type="dxa"/>
            <w:vAlign w:val="center"/>
            <w:hideMark/>
          </w:tcPr>
          <w:p w14:paraId="54CA5F32" w14:textId="77777777" w:rsidR="00030B86" w:rsidRDefault="00030B86">
            <w:pPr>
              <w:rPr>
                <w:sz w:val="20"/>
                <w:szCs w:val="20"/>
              </w:rPr>
            </w:pPr>
          </w:p>
        </w:tc>
      </w:tr>
      <w:tr w:rsidR="00030B86" w14:paraId="2C9A746C"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1C50FD4" w14:textId="77777777" w:rsidR="00030B86" w:rsidRDefault="00030B86">
            <w:pPr>
              <w:rPr>
                <w:rFonts w:ascii="Arial" w:hAnsi="Arial" w:cs="Arial"/>
                <w:color w:val="000000"/>
              </w:rPr>
            </w:pPr>
            <w:r>
              <w:rPr>
                <w:rFonts w:ascii="Arial" w:hAnsi="Arial" w:cs="Arial"/>
                <w:color w:val="000000"/>
              </w:rPr>
              <w:t>Affordable Homes</w:t>
            </w:r>
          </w:p>
        </w:tc>
        <w:tc>
          <w:tcPr>
            <w:tcW w:w="1276" w:type="dxa"/>
            <w:tcBorders>
              <w:top w:val="nil"/>
              <w:left w:val="single" w:sz="8" w:space="0" w:color="auto"/>
              <w:bottom w:val="nil"/>
              <w:right w:val="single" w:sz="8" w:space="0" w:color="auto"/>
            </w:tcBorders>
            <w:shd w:val="clear" w:color="000000" w:fill="FFFFFF"/>
            <w:noWrap/>
            <w:hideMark/>
          </w:tcPr>
          <w:p w14:paraId="0FFD1D3F" w14:textId="77777777" w:rsidR="00030B86" w:rsidRDefault="00030B86">
            <w:pPr>
              <w:jc w:val="right"/>
              <w:rPr>
                <w:rFonts w:ascii="Arial" w:hAnsi="Arial" w:cs="Arial"/>
              </w:rPr>
            </w:pPr>
            <w:r>
              <w:rPr>
                <w:rFonts w:ascii="Arial" w:hAnsi="Arial" w:cs="Arial"/>
              </w:rPr>
              <w:t xml:space="preserve">0 </w:t>
            </w:r>
          </w:p>
        </w:tc>
        <w:tc>
          <w:tcPr>
            <w:tcW w:w="1276" w:type="dxa"/>
            <w:tcBorders>
              <w:top w:val="nil"/>
              <w:left w:val="nil"/>
              <w:bottom w:val="nil"/>
              <w:right w:val="single" w:sz="8" w:space="0" w:color="auto"/>
            </w:tcBorders>
            <w:shd w:val="clear" w:color="000000" w:fill="FFFFFF"/>
            <w:noWrap/>
            <w:hideMark/>
          </w:tcPr>
          <w:p w14:paraId="7C57BC92" w14:textId="77777777" w:rsidR="00030B86" w:rsidRDefault="00030B86">
            <w:pPr>
              <w:jc w:val="right"/>
              <w:rPr>
                <w:rFonts w:ascii="Arial" w:hAnsi="Arial" w:cs="Arial"/>
              </w:rPr>
            </w:pPr>
            <w:r>
              <w:rPr>
                <w:rFonts w:ascii="Arial" w:hAnsi="Arial" w:cs="Arial"/>
              </w:rPr>
              <w:t xml:space="preserve">200 </w:t>
            </w:r>
          </w:p>
        </w:tc>
        <w:tc>
          <w:tcPr>
            <w:tcW w:w="1275" w:type="dxa"/>
            <w:tcBorders>
              <w:top w:val="nil"/>
              <w:left w:val="nil"/>
              <w:bottom w:val="nil"/>
              <w:right w:val="single" w:sz="8" w:space="0" w:color="auto"/>
            </w:tcBorders>
            <w:shd w:val="clear" w:color="000000" w:fill="FFFFFF"/>
            <w:noWrap/>
            <w:hideMark/>
          </w:tcPr>
          <w:p w14:paraId="4CEA2034" w14:textId="77777777" w:rsidR="00030B86" w:rsidRDefault="00030B86">
            <w:pPr>
              <w:jc w:val="right"/>
              <w:rPr>
                <w:rFonts w:ascii="Arial" w:hAnsi="Arial" w:cs="Arial"/>
              </w:rPr>
            </w:pPr>
            <w:r>
              <w:rPr>
                <w:rFonts w:ascii="Arial" w:hAnsi="Arial" w:cs="Arial"/>
              </w:rPr>
              <w:t xml:space="preserve">88 </w:t>
            </w:r>
          </w:p>
        </w:tc>
        <w:tc>
          <w:tcPr>
            <w:tcW w:w="1418" w:type="dxa"/>
            <w:tcBorders>
              <w:top w:val="nil"/>
              <w:left w:val="nil"/>
              <w:bottom w:val="nil"/>
              <w:right w:val="single" w:sz="8" w:space="0" w:color="auto"/>
            </w:tcBorders>
            <w:shd w:val="clear" w:color="000000" w:fill="FFFFFF"/>
            <w:noWrap/>
            <w:hideMark/>
          </w:tcPr>
          <w:p w14:paraId="4CE24BC6" w14:textId="77777777" w:rsidR="00030B86" w:rsidRDefault="00030B86">
            <w:pPr>
              <w:jc w:val="right"/>
              <w:rPr>
                <w:rFonts w:ascii="Arial" w:hAnsi="Arial" w:cs="Arial"/>
              </w:rPr>
            </w:pPr>
            <w:r>
              <w:rPr>
                <w:rFonts w:ascii="Arial" w:hAnsi="Arial" w:cs="Arial"/>
              </w:rPr>
              <w:t>(112)</w:t>
            </w:r>
          </w:p>
        </w:tc>
        <w:tc>
          <w:tcPr>
            <w:tcW w:w="503" w:type="dxa"/>
            <w:vAlign w:val="center"/>
            <w:hideMark/>
          </w:tcPr>
          <w:p w14:paraId="2081BF73" w14:textId="77777777" w:rsidR="00030B86" w:rsidRDefault="00030B86">
            <w:pPr>
              <w:rPr>
                <w:sz w:val="20"/>
                <w:szCs w:val="20"/>
              </w:rPr>
            </w:pPr>
          </w:p>
        </w:tc>
      </w:tr>
      <w:tr w:rsidR="00030B86" w14:paraId="4DB04A6F"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3C711E50" w14:textId="77777777" w:rsidR="00030B86" w:rsidRDefault="00030B86">
            <w:pPr>
              <w:rPr>
                <w:rFonts w:ascii="Arial" w:hAnsi="Arial" w:cs="Arial"/>
                <w:color w:val="000000"/>
              </w:rPr>
            </w:pPr>
            <w:r>
              <w:rPr>
                <w:rFonts w:ascii="Arial" w:hAnsi="Arial" w:cs="Arial"/>
                <w:color w:val="000000"/>
              </w:rPr>
              <w:t>Public Sector Decarbonisation Scheme</w:t>
            </w:r>
          </w:p>
        </w:tc>
        <w:tc>
          <w:tcPr>
            <w:tcW w:w="1276" w:type="dxa"/>
            <w:tcBorders>
              <w:top w:val="nil"/>
              <w:left w:val="nil"/>
              <w:bottom w:val="nil"/>
              <w:right w:val="single" w:sz="8" w:space="0" w:color="auto"/>
            </w:tcBorders>
            <w:shd w:val="clear" w:color="000000" w:fill="FFFFFF"/>
            <w:noWrap/>
            <w:hideMark/>
          </w:tcPr>
          <w:p w14:paraId="5AA4BD0D" w14:textId="77777777" w:rsidR="00030B86" w:rsidRDefault="00030B86">
            <w:pPr>
              <w:jc w:val="right"/>
              <w:rPr>
                <w:rFonts w:ascii="Arial" w:hAnsi="Arial" w:cs="Arial"/>
              </w:rPr>
            </w:pPr>
            <w:r>
              <w:rPr>
                <w:rFonts w:ascii="Arial" w:hAnsi="Arial" w:cs="Arial"/>
              </w:rPr>
              <w:t xml:space="preserve">0 </w:t>
            </w:r>
          </w:p>
        </w:tc>
        <w:tc>
          <w:tcPr>
            <w:tcW w:w="1276" w:type="dxa"/>
            <w:tcBorders>
              <w:top w:val="nil"/>
              <w:left w:val="nil"/>
              <w:bottom w:val="nil"/>
              <w:right w:val="single" w:sz="8" w:space="0" w:color="auto"/>
            </w:tcBorders>
            <w:shd w:val="clear" w:color="000000" w:fill="FFFFFF"/>
            <w:noWrap/>
            <w:hideMark/>
          </w:tcPr>
          <w:p w14:paraId="7CF57B54" w14:textId="77777777" w:rsidR="00030B86" w:rsidRDefault="00030B86">
            <w:pPr>
              <w:jc w:val="right"/>
              <w:rPr>
                <w:rFonts w:ascii="Arial" w:hAnsi="Arial" w:cs="Arial"/>
              </w:rPr>
            </w:pPr>
            <w:r>
              <w:rPr>
                <w:rFonts w:ascii="Arial" w:hAnsi="Arial" w:cs="Arial"/>
              </w:rPr>
              <w:t xml:space="preserve">57,648 </w:t>
            </w:r>
          </w:p>
        </w:tc>
        <w:tc>
          <w:tcPr>
            <w:tcW w:w="1275" w:type="dxa"/>
            <w:tcBorders>
              <w:top w:val="nil"/>
              <w:left w:val="nil"/>
              <w:bottom w:val="nil"/>
              <w:right w:val="single" w:sz="8" w:space="0" w:color="auto"/>
            </w:tcBorders>
            <w:shd w:val="clear" w:color="000000" w:fill="FFFFFF"/>
            <w:noWrap/>
            <w:hideMark/>
          </w:tcPr>
          <w:p w14:paraId="70893D06" w14:textId="77777777" w:rsidR="00030B86" w:rsidRDefault="00030B86">
            <w:pPr>
              <w:jc w:val="right"/>
              <w:rPr>
                <w:rFonts w:ascii="Arial" w:hAnsi="Arial" w:cs="Arial"/>
              </w:rPr>
            </w:pPr>
            <w:r>
              <w:rPr>
                <w:rFonts w:ascii="Arial" w:hAnsi="Arial" w:cs="Arial"/>
              </w:rPr>
              <w:t xml:space="preserve">35,257 </w:t>
            </w:r>
          </w:p>
        </w:tc>
        <w:tc>
          <w:tcPr>
            <w:tcW w:w="1418" w:type="dxa"/>
            <w:tcBorders>
              <w:top w:val="nil"/>
              <w:left w:val="nil"/>
              <w:bottom w:val="nil"/>
              <w:right w:val="single" w:sz="8" w:space="0" w:color="auto"/>
            </w:tcBorders>
            <w:shd w:val="clear" w:color="000000" w:fill="FFFFFF"/>
            <w:noWrap/>
            <w:hideMark/>
          </w:tcPr>
          <w:p w14:paraId="5BF70497" w14:textId="77777777" w:rsidR="00030B86" w:rsidRDefault="00030B86">
            <w:pPr>
              <w:jc w:val="right"/>
              <w:rPr>
                <w:rFonts w:ascii="Arial" w:hAnsi="Arial" w:cs="Arial"/>
              </w:rPr>
            </w:pPr>
            <w:r>
              <w:rPr>
                <w:rFonts w:ascii="Arial" w:hAnsi="Arial" w:cs="Arial"/>
              </w:rPr>
              <w:t>(22,391)</w:t>
            </w:r>
          </w:p>
        </w:tc>
        <w:tc>
          <w:tcPr>
            <w:tcW w:w="503" w:type="dxa"/>
            <w:vAlign w:val="center"/>
            <w:hideMark/>
          </w:tcPr>
          <w:p w14:paraId="2E7806F9" w14:textId="77777777" w:rsidR="00030B86" w:rsidRDefault="00030B86">
            <w:pPr>
              <w:rPr>
                <w:sz w:val="20"/>
                <w:szCs w:val="20"/>
              </w:rPr>
            </w:pPr>
          </w:p>
        </w:tc>
      </w:tr>
      <w:tr w:rsidR="00030B86" w14:paraId="3852E8DE"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7F246534" w14:textId="77777777" w:rsidR="00030B86" w:rsidRDefault="00030B86">
            <w:pPr>
              <w:rPr>
                <w:rFonts w:ascii="Arial" w:hAnsi="Arial" w:cs="Arial"/>
                <w:color w:val="000000"/>
              </w:rPr>
            </w:pPr>
            <w:r>
              <w:rPr>
                <w:rFonts w:ascii="Arial" w:hAnsi="Arial" w:cs="Arial"/>
                <w:color w:val="000000"/>
              </w:rPr>
              <w:t>Homelessness Rough Sleeper Programme</w:t>
            </w:r>
          </w:p>
        </w:tc>
        <w:tc>
          <w:tcPr>
            <w:tcW w:w="1276" w:type="dxa"/>
            <w:tcBorders>
              <w:top w:val="nil"/>
              <w:left w:val="nil"/>
              <w:bottom w:val="nil"/>
              <w:right w:val="single" w:sz="8" w:space="0" w:color="auto"/>
            </w:tcBorders>
            <w:shd w:val="clear" w:color="000000" w:fill="FFFFFF"/>
            <w:noWrap/>
            <w:hideMark/>
          </w:tcPr>
          <w:p w14:paraId="324B76C6" w14:textId="77777777" w:rsidR="00030B86" w:rsidRDefault="00030B86">
            <w:pPr>
              <w:jc w:val="right"/>
              <w:rPr>
                <w:rFonts w:ascii="Arial" w:hAnsi="Arial" w:cs="Arial"/>
              </w:rPr>
            </w:pPr>
            <w:r>
              <w:rPr>
                <w:rFonts w:ascii="Arial" w:hAnsi="Arial" w:cs="Arial"/>
              </w:rPr>
              <w:t xml:space="preserve">0 </w:t>
            </w:r>
          </w:p>
        </w:tc>
        <w:tc>
          <w:tcPr>
            <w:tcW w:w="1276" w:type="dxa"/>
            <w:tcBorders>
              <w:top w:val="nil"/>
              <w:left w:val="nil"/>
              <w:bottom w:val="nil"/>
              <w:right w:val="single" w:sz="8" w:space="0" w:color="auto"/>
            </w:tcBorders>
            <w:shd w:val="clear" w:color="000000" w:fill="FFFFFF"/>
            <w:noWrap/>
            <w:hideMark/>
          </w:tcPr>
          <w:p w14:paraId="14185F93" w14:textId="77777777" w:rsidR="00030B86" w:rsidRDefault="00030B86">
            <w:pPr>
              <w:jc w:val="right"/>
              <w:rPr>
                <w:rFonts w:ascii="Arial" w:hAnsi="Arial" w:cs="Arial"/>
              </w:rPr>
            </w:pPr>
            <w:r>
              <w:rPr>
                <w:rFonts w:ascii="Arial" w:hAnsi="Arial" w:cs="Arial"/>
              </w:rPr>
              <w:t xml:space="preserve">1,335 </w:t>
            </w:r>
          </w:p>
        </w:tc>
        <w:tc>
          <w:tcPr>
            <w:tcW w:w="1275" w:type="dxa"/>
            <w:tcBorders>
              <w:top w:val="nil"/>
              <w:left w:val="nil"/>
              <w:bottom w:val="nil"/>
              <w:right w:val="single" w:sz="8" w:space="0" w:color="auto"/>
            </w:tcBorders>
            <w:shd w:val="clear" w:color="000000" w:fill="FFFFFF"/>
            <w:noWrap/>
            <w:hideMark/>
          </w:tcPr>
          <w:p w14:paraId="0617557C" w14:textId="77777777" w:rsidR="00030B86" w:rsidRDefault="00030B86">
            <w:pPr>
              <w:jc w:val="right"/>
              <w:rPr>
                <w:rFonts w:ascii="Arial" w:hAnsi="Arial" w:cs="Arial"/>
              </w:rPr>
            </w:pPr>
            <w:r>
              <w:rPr>
                <w:rFonts w:ascii="Arial" w:hAnsi="Arial" w:cs="Arial"/>
              </w:rPr>
              <w:t xml:space="preserve">1,335 </w:t>
            </w:r>
          </w:p>
        </w:tc>
        <w:tc>
          <w:tcPr>
            <w:tcW w:w="1418" w:type="dxa"/>
            <w:tcBorders>
              <w:top w:val="nil"/>
              <w:left w:val="nil"/>
              <w:bottom w:val="nil"/>
              <w:right w:val="single" w:sz="8" w:space="0" w:color="auto"/>
            </w:tcBorders>
            <w:shd w:val="clear" w:color="000000" w:fill="FFFFFF"/>
            <w:noWrap/>
            <w:hideMark/>
          </w:tcPr>
          <w:p w14:paraId="483729AC" w14:textId="77777777" w:rsidR="00030B86" w:rsidRDefault="00030B86">
            <w:pPr>
              <w:jc w:val="right"/>
              <w:rPr>
                <w:rFonts w:ascii="Arial" w:hAnsi="Arial" w:cs="Arial"/>
              </w:rPr>
            </w:pPr>
            <w:r>
              <w:rPr>
                <w:rFonts w:ascii="Arial" w:hAnsi="Arial" w:cs="Arial"/>
              </w:rPr>
              <w:t xml:space="preserve">0 </w:t>
            </w:r>
          </w:p>
        </w:tc>
        <w:tc>
          <w:tcPr>
            <w:tcW w:w="503" w:type="dxa"/>
            <w:vAlign w:val="center"/>
            <w:hideMark/>
          </w:tcPr>
          <w:p w14:paraId="07468B19" w14:textId="77777777" w:rsidR="00030B86" w:rsidRDefault="00030B86">
            <w:pPr>
              <w:rPr>
                <w:sz w:val="20"/>
                <w:szCs w:val="20"/>
              </w:rPr>
            </w:pPr>
          </w:p>
        </w:tc>
      </w:tr>
      <w:tr w:rsidR="00030B86" w14:paraId="3CAEC40F"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5FBC5B9F" w14:textId="77777777" w:rsidR="00030B86" w:rsidRDefault="00030B86">
            <w:pPr>
              <w:rPr>
                <w:rFonts w:ascii="Arial" w:hAnsi="Arial" w:cs="Arial"/>
                <w:color w:val="000000"/>
              </w:rPr>
            </w:pPr>
            <w:r>
              <w:rPr>
                <w:rFonts w:ascii="Arial" w:hAnsi="Arial" w:cs="Arial"/>
                <w:color w:val="000000"/>
              </w:rPr>
              <w:t>Green Homes</w:t>
            </w:r>
          </w:p>
        </w:tc>
        <w:tc>
          <w:tcPr>
            <w:tcW w:w="1276" w:type="dxa"/>
            <w:tcBorders>
              <w:top w:val="nil"/>
              <w:left w:val="nil"/>
              <w:bottom w:val="nil"/>
              <w:right w:val="single" w:sz="8" w:space="0" w:color="auto"/>
            </w:tcBorders>
            <w:shd w:val="clear" w:color="000000" w:fill="FFFFFF"/>
            <w:noWrap/>
            <w:hideMark/>
          </w:tcPr>
          <w:p w14:paraId="5813CDD5" w14:textId="77777777" w:rsidR="00030B86" w:rsidRDefault="00030B86">
            <w:pPr>
              <w:jc w:val="right"/>
              <w:rPr>
                <w:rFonts w:ascii="Arial" w:hAnsi="Arial" w:cs="Arial"/>
              </w:rPr>
            </w:pPr>
            <w:r>
              <w:rPr>
                <w:rFonts w:ascii="Arial" w:hAnsi="Arial" w:cs="Arial"/>
              </w:rPr>
              <w:t xml:space="preserve">0 </w:t>
            </w:r>
          </w:p>
        </w:tc>
        <w:tc>
          <w:tcPr>
            <w:tcW w:w="1276" w:type="dxa"/>
            <w:tcBorders>
              <w:top w:val="nil"/>
              <w:left w:val="nil"/>
              <w:bottom w:val="nil"/>
              <w:right w:val="single" w:sz="8" w:space="0" w:color="auto"/>
            </w:tcBorders>
            <w:shd w:val="clear" w:color="000000" w:fill="FFFFFF"/>
            <w:noWrap/>
            <w:hideMark/>
          </w:tcPr>
          <w:p w14:paraId="0ACC53E0" w14:textId="77777777" w:rsidR="00030B86" w:rsidRDefault="00030B86">
            <w:pPr>
              <w:jc w:val="right"/>
              <w:rPr>
                <w:rFonts w:ascii="Arial" w:hAnsi="Arial" w:cs="Arial"/>
              </w:rPr>
            </w:pPr>
            <w:r>
              <w:rPr>
                <w:rFonts w:ascii="Arial" w:hAnsi="Arial" w:cs="Arial"/>
              </w:rPr>
              <w:t xml:space="preserve">3,300 </w:t>
            </w:r>
          </w:p>
        </w:tc>
        <w:tc>
          <w:tcPr>
            <w:tcW w:w="1275" w:type="dxa"/>
            <w:tcBorders>
              <w:top w:val="nil"/>
              <w:left w:val="nil"/>
              <w:bottom w:val="nil"/>
              <w:right w:val="single" w:sz="8" w:space="0" w:color="auto"/>
            </w:tcBorders>
            <w:shd w:val="clear" w:color="000000" w:fill="FFFFFF"/>
            <w:noWrap/>
            <w:hideMark/>
          </w:tcPr>
          <w:p w14:paraId="5BBA76A4" w14:textId="77777777" w:rsidR="00030B86" w:rsidRDefault="00030B86">
            <w:pPr>
              <w:jc w:val="right"/>
              <w:rPr>
                <w:rFonts w:ascii="Arial" w:hAnsi="Arial" w:cs="Arial"/>
              </w:rPr>
            </w:pPr>
            <w:r>
              <w:rPr>
                <w:rFonts w:ascii="Arial" w:hAnsi="Arial" w:cs="Arial"/>
              </w:rPr>
              <w:t xml:space="preserve">1,939 </w:t>
            </w:r>
          </w:p>
        </w:tc>
        <w:tc>
          <w:tcPr>
            <w:tcW w:w="1418" w:type="dxa"/>
            <w:tcBorders>
              <w:top w:val="nil"/>
              <w:left w:val="nil"/>
              <w:bottom w:val="nil"/>
              <w:right w:val="single" w:sz="8" w:space="0" w:color="auto"/>
            </w:tcBorders>
            <w:shd w:val="clear" w:color="000000" w:fill="FFFFFF"/>
            <w:noWrap/>
            <w:hideMark/>
          </w:tcPr>
          <w:p w14:paraId="1B66493F" w14:textId="77777777" w:rsidR="00030B86" w:rsidRDefault="00030B86">
            <w:pPr>
              <w:jc w:val="right"/>
              <w:rPr>
                <w:rFonts w:ascii="Arial" w:hAnsi="Arial" w:cs="Arial"/>
              </w:rPr>
            </w:pPr>
            <w:r>
              <w:rPr>
                <w:rFonts w:ascii="Arial" w:hAnsi="Arial" w:cs="Arial"/>
              </w:rPr>
              <w:t>(1,361)</w:t>
            </w:r>
          </w:p>
        </w:tc>
        <w:tc>
          <w:tcPr>
            <w:tcW w:w="503" w:type="dxa"/>
            <w:vAlign w:val="center"/>
            <w:hideMark/>
          </w:tcPr>
          <w:p w14:paraId="3E14BD4B" w14:textId="77777777" w:rsidR="00030B86" w:rsidRDefault="00030B86">
            <w:pPr>
              <w:rPr>
                <w:sz w:val="20"/>
                <w:szCs w:val="20"/>
              </w:rPr>
            </w:pPr>
          </w:p>
        </w:tc>
      </w:tr>
      <w:tr w:rsidR="00030B86" w14:paraId="5CCE6602" w14:textId="77777777" w:rsidTr="00030B86">
        <w:trPr>
          <w:trHeight w:val="319"/>
        </w:trPr>
        <w:tc>
          <w:tcPr>
            <w:tcW w:w="46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7A436D0" w14:textId="77777777" w:rsidR="00030B86" w:rsidRDefault="00030B86">
            <w:pPr>
              <w:rPr>
                <w:rFonts w:ascii="Arial" w:hAnsi="Arial" w:cs="Arial"/>
                <w:b/>
                <w:bCs/>
                <w:color w:val="000000"/>
              </w:rPr>
            </w:pPr>
            <w:r>
              <w:rPr>
                <w:rFonts w:ascii="Arial" w:hAnsi="Arial" w:cs="Arial"/>
                <w:b/>
                <w:bCs/>
                <w:color w:val="000000"/>
              </w:rPr>
              <w:t>TOTAL ECONOMIC DEVELOPMENT &amp; REGENERATION</w:t>
            </w:r>
          </w:p>
        </w:tc>
        <w:tc>
          <w:tcPr>
            <w:tcW w:w="1276" w:type="dxa"/>
            <w:tcBorders>
              <w:top w:val="single" w:sz="8" w:space="0" w:color="auto"/>
              <w:left w:val="nil"/>
              <w:bottom w:val="single" w:sz="8" w:space="0" w:color="auto"/>
              <w:right w:val="single" w:sz="8" w:space="0" w:color="auto"/>
            </w:tcBorders>
            <w:shd w:val="clear" w:color="auto" w:fill="auto"/>
            <w:noWrap/>
            <w:hideMark/>
          </w:tcPr>
          <w:p w14:paraId="11D7885B" w14:textId="77777777" w:rsidR="00030B86" w:rsidRDefault="00030B86">
            <w:pPr>
              <w:jc w:val="right"/>
              <w:rPr>
                <w:rFonts w:ascii="Arial" w:hAnsi="Arial" w:cs="Arial"/>
                <w:b/>
                <w:bCs/>
              </w:rPr>
            </w:pPr>
            <w:r>
              <w:rPr>
                <w:rFonts w:ascii="Arial" w:hAnsi="Arial" w:cs="Arial"/>
                <w:b/>
                <w:bCs/>
              </w:rPr>
              <w:t xml:space="preserve">188,673 </w:t>
            </w:r>
          </w:p>
        </w:tc>
        <w:tc>
          <w:tcPr>
            <w:tcW w:w="1276" w:type="dxa"/>
            <w:tcBorders>
              <w:top w:val="single" w:sz="8" w:space="0" w:color="auto"/>
              <w:left w:val="nil"/>
              <w:bottom w:val="single" w:sz="8" w:space="0" w:color="auto"/>
              <w:right w:val="single" w:sz="8" w:space="0" w:color="auto"/>
            </w:tcBorders>
            <w:shd w:val="clear" w:color="auto" w:fill="auto"/>
            <w:noWrap/>
            <w:hideMark/>
          </w:tcPr>
          <w:p w14:paraId="1496C6C8" w14:textId="77777777" w:rsidR="00030B86" w:rsidRDefault="00030B86">
            <w:pPr>
              <w:jc w:val="right"/>
              <w:rPr>
                <w:rFonts w:ascii="Arial" w:hAnsi="Arial" w:cs="Arial"/>
                <w:b/>
                <w:bCs/>
              </w:rPr>
            </w:pPr>
            <w:r>
              <w:rPr>
                <w:rFonts w:ascii="Arial" w:hAnsi="Arial" w:cs="Arial"/>
                <w:b/>
                <w:bCs/>
              </w:rPr>
              <w:t xml:space="preserve">236,576 </w:t>
            </w:r>
          </w:p>
        </w:tc>
        <w:tc>
          <w:tcPr>
            <w:tcW w:w="1275" w:type="dxa"/>
            <w:tcBorders>
              <w:top w:val="single" w:sz="8" w:space="0" w:color="auto"/>
              <w:left w:val="nil"/>
              <w:bottom w:val="single" w:sz="8" w:space="0" w:color="auto"/>
              <w:right w:val="single" w:sz="8" w:space="0" w:color="auto"/>
            </w:tcBorders>
            <w:shd w:val="clear" w:color="auto" w:fill="auto"/>
            <w:noWrap/>
            <w:hideMark/>
          </w:tcPr>
          <w:p w14:paraId="77549136" w14:textId="77777777" w:rsidR="00030B86" w:rsidRDefault="00030B86">
            <w:pPr>
              <w:jc w:val="right"/>
              <w:rPr>
                <w:rFonts w:ascii="Arial" w:hAnsi="Arial" w:cs="Arial"/>
                <w:b/>
                <w:bCs/>
              </w:rPr>
            </w:pPr>
            <w:r>
              <w:rPr>
                <w:rFonts w:ascii="Arial" w:hAnsi="Arial" w:cs="Arial"/>
                <w:b/>
                <w:bCs/>
              </w:rPr>
              <w:t xml:space="preserve">269,558 </w:t>
            </w:r>
          </w:p>
        </w:tc>
        <w:tc>
          <w:tcPr>
            <w:tcW w:w="1418" w:type="dxa"/>
            <w:tcBorders>
              <w:top w:val="single" w:sz="8" w:space="0" w:color="auto"/>
              <w:left w:val="nil"/>
              <w:bottom w:val="single" w:sz="8" w:space="0" w:color="auto"/>
              <w:right w:val="single" w:sz="8" w:space="0" w:color="auto"/>
            </w:tcBorders>
            <w:shd w:val="clear" w:color="auto" w:fill="auto"/>
            <w:noWrap/>
            <w:hideMark/>
          </w:tcPr>
          <w:p w14:paraId="0253CB6B" w14:textId="77777777" w:rsidR="00030B86" w:rsidRDefault="00030B86">
            <w:pPr>
              <w:jc w:val="right"/>
              <w:rPr>
                <w:rFonts w:ascii="Arial" w:hAnsi="Arial" w:cs="Arial"/>
                <w:b/>
                <w:bCs/>
              </w:rPr>
            </w:pPr>
            <w:r>
              <w:rPr>
                <w:rFonts w:ascii="Arial" w:hAnsi="Arial" w:cs="Arial"/>
                <w:b/>
                <w:bCs/>
              </w:rPr>
              <w:t xml:space="preserve">32,982 </w:t>
            </w:r>
          </w:p>
        </w:tc>
        <w:tc>
          <w:tcPr>
            <w:tcW w:w="503" w:type="dxa"/>
            <w:vAlign w:val="center"/>
            <w:hideMark/>
          </w:tcPr>
          <w:p w14:paraId="63AF72A7" w14:textId="77777777" w:rsidR="00030B86" w:rsidRDefault="00030B86">
            <w:pPr>
              <w:rPr>
                <w:sz w:val="20"/>
                <w:szCs w:val="20"/>
              </w:rPr>
            </w:pPr>
          </w:p>
        </w:tc>
      </w:tr>
      <w:tr w:rsidR="00030B86" w14:paraId="6ED695A2"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752C3670" w14:textId="77777777" w:rsidR="00030B86" w:rsidRDefault="00030B86">
            <w:pPr>
              <w:rPr>
                <w:rFonts w:ascii="Arial" w:hAnsi="Arial" w:cs="Arial"/>
                <w:b/>
                <w:bCs/>
                <w:color w:val="000000"/>
              </w:rPr>
            </w:pPr>
            <w:r>
              <w:rPr>
                <w:rFonts w:ascii="Arial" w:hAnsi="Arial" w:cs="Arial"/>
                <w:b/>
                <w:bCs/>
                <w:color w:val="000000"/>
              </w:rPr>
              <w:t> </w:t>
            </w:r>
          </w:p>
        </w:tc>
        <w:tc>
          <w:tcPr>
            <w:tcW w:w="1276" w:type="dxa"/>
            <w:tcBorders>
              <w:top w:val="nil"/>
              <w:left w:val="single" w:sz="8" w:space="0" w:color="auto"/>
              <w:bottom w:val="nil"/>
              <w:right w:val="nil"/>
            </w:tcBorders>
            <w:shd w:val="clear" w:color="000000" w:fill="FFFFFF"/>
            <w:vAlign w:val="center"/>
            <w:hideMark/>
          </w:tcPr>
          <w:p w14:paraId="3C314D1D" w14:textId="77777777" w:rsidR="00030B86" w:rsidRDefault="00030B86">
            <w:pPr>
              <w:rPr>
                <w:rFonts w:ascii="Arial" w:hAnsi="Arial" w:cs="Arial"/>
                <w:b/>
                <w:bCs/>
                <w:color w:val="000000"/>
              </w:rPr>
            </w:pPr>
            <w:r>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000000" w:fill="FFFFFF"/>
            <w:vAlign w:val="center"/>
            <w:hideMark/>
          </w:tcPr>
          <w:p w14:paraId="4A683710" w14:textId="77777777" w:rsidR="00030B86" w:rsidRDefault="00030B86">
            <w:pPr>
              <w:jc w:val="right"/>
              <w:rPr>
                <w:rFonts w:ascii="Arial" w:hAnsi="Arial" w:cs="Arial"/>
                <w:b/>
                <w:bCs/>
                <w:color w:val="000000"/>
              </w:rPr>
            </w:pPr>
            <w:r>
              <w:rPr>
                <w:rFonts w:ascii="Arial" w:hAnsi="Arial" w:cs="Arial"/>
                <w:b/>
                <w:bCs/>
                <w:color w:val="000000"/>
              </w:rPr>
              <w:t> </w:t>
            </w:r>
          </w:p>
        </w:tc>
        <w:tc>
          <w:tcPr>
            <w:tcW w:w="1275" w:type="dxa"/>
            <w:tcBorders>
              <w:top w:val="nil"/>
              <w:left w:val="nil"/>
              <w:bottom w:val="nil"/>
              <w:right w:val="single" w:sz="8" w:space="0" w:color="auto"/>
            </w:tcBorders>
            <w:shd w:val="clear" w:color="000000" w:fill="FFFFFF"/>
            <w:vAlign w:val="center"/>
            <w:hideMark/>
          </w:tcPr>
          <w:p w14:paraId="1B153F60" w14:textId="77777777" w:rsidR="00030B86" w:rsidRDefault="00030B86">
            <w:pPr>
              <w:jc w:val="right"/>
              <w:rPr>
                <w:rFonts w:ascii="Arial" w:hAnsi="Arial" w:cs="Arial"/>
                <w:b/>
                <w:bCs/>
                <w:color w:val="000000"/>
              </w:rPr>
            </w:pPr>
            <w:r>
              <w:rPr>
                <w:rFonts w:ascii="Arial" w:hAnsi="Arial" w:cs="Arial"/>
                <w:b/>
                <w:bCs/>
                <w:color w:val="000000"/>
              </w:rPr>
              <w:t> </w:t>
            </w:r>
          </w:p>
        </w:tc>
        <w:tc>
          <w:tcPr>
            <w:tcW w:w="1418" w:type="dxa"/>
            <w:tcBorders>
              <w:top w:val="nil"/>
              <w:left w:val="nil"/>
              <w:bottom w:val="nil"/>
              <w:right w:val="single" w:sz="8" w:space="0" w:color="auto"/>
            </w:tcBorders>
            <w:shd w:val="clear" w:color="000000" w:fill="FFFFFF"/>
            <w:vAlign w:val="center"/>
            <w:hideMark/>
          </w:tcPr>
          <w:p w14:paraId="192D0232" w14:textId="77777777" w:rsidR="00030B86" w:rsidRDefault="00030B86">
            <w:pPr>
              <w:jc w:val="right"/>
              <w:rPr>
                <w:rFonts w:ascii="Arial" w:hAnsi="Arial" w:cs="Arial"/>
                <w:b/>
                <w:bCs/>
                <w:color w:val="000000"/>
              </w:rPr>
            </w:pPr>
            <w:r>
              <w:rPr>
                <w:rFonts w:ascii="Arial" w:hAnsi="Arial" w:cs="Arial"/>
                <w:b/>
                <w:bCs/>
                <w:color w:val="000000"/>
              </w:rPr>
              <w:t> </w:t>
            </w:r>
          </w:p>
        </w:tc>
        <w:tc>
          <w:tcPr>
            <w:tcW w:w="503" w:type="dxa"/>
            <w:vAlign w:val="center"/>
            <w:hideMark/>
          </w:tcPr>
          <w:p w14:paraId="6EB9F41B" w14:textId="77777777" w:rsidR="00030B86" w:rsidRDefault="00030B86">
            <w:pPr>
              <w:rPr>
                <w:sz w:val="20"/>
                <w:szCs w:val="20"/>
              </w:rPr>
            </w:pPr>
          </w:p>
        </w:tc>
      </w:tr>
      <w:tr w:rsidR="00030B86" w14:paraId="3C4AC8C8"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3937625C" w14:textId="77777777" w:rsidR="00030B86" w:rsidRDefault="00030B86">
            <w:pPr>
              <w:rPr>
                <w:rFonts w:ascii="Arial" w:hAnsi="Arial" w:cs="Arial"/>
                <w:color w:val="000000"/>
              </w:rPr>
            </w:pPr>
            <w:r>
              <w:rPr>
                <w:rFonts w:ascii="Arial" w:hAnsi="Arial" w:cs="Arial"/>
                <w:color w:val="000000"/>
              </w:rPr>
              <w:t>Estates</w:t>
            </w:r>
          </w:p>
        </w:tc>
        <w:tc>
          <w:tcPr>
            <w:tcW w:w="1276" w:type="dxa"/>
            <w:tcBorders>
              <w:top w:val="nil"/>
              <w:left w:val="single" w:sz="8" w:space="0" w:color="auto"/>
              <w:bottom w:val="nil"/>
              <w:right w:val="single" w:sz="8" w:space="0" w:color="auto"/>
            </w:tcBorders>
            <w:shd w:val="clear" w:color="000000" w:fill="FFFFFF"/>
            <w:noWrap/>
            <w:hideMark/>
          </w:tcPr>
          <w:p w14:paraId="1CC53CAA" w14:textId="77777777" w:rsidR="00030B86" w:rsidRDefault="00030B86">
            <w:pPr>
              <w:jc w:val="right"/>
              <w:rPr>
                <w:rFonts w:ascii="Arial" w:hAnsi="Arial" w:cs="Arial"/>
              </w:rPr>
            </w:pPr>
            <w:r>
              <w:rPr>
                <w:rFonts w:ascii="Arial" w:hAnsi="Arial" w:cs="Arial"/>
              </w:rPr>
              <w:t xml:space="preserve">4,999 </w:t>
            </w:r>
          </w:p>
        </w:tc>
        <w:tc>
          <w:tcPr>
            <w:tcW w:w="1276" w:type="dxa"/>
            <w:tcBorders>
              <w:top w:val="nil"/>
              <w:left w:val="nil"/>
              <w:bottom w:val="nil"/>
              <w:right w:val="single" w:sz="8" w:space="0" w:color="auto"/>
            </w:tcBorders>
            <w:shd w:val="clear" w:color="000000" w:fill="FFFFFF"/>
            <w:noWrap/>
            <w:hideMark/>
          </w:tcPr>
          <w:p w14:paraId="55B5060C" w14:textId="77777777" w:rsidR="00030B86" w:rsidRDefault="00030B86">
            <w:pPr>
              <w:jc w:val="right"/>
              <w:rPr>
                <w:rFonts w:ascii="Arial" w:hAnsi="Arial" w:cs="Arial"/>
              </w:rPr>
            </w:pPr>
            <w:r>
              <w:rPr>
                <w:rFonts w:ascii="Arial" w:hAnsi="Arial" w:cs="Arial"/>
              </w:rPr>
              <w:t xml:space="preserve">3,194 </w:t>
            </w:r>
          </w:p>
        </w:tc>
        <w:tc>
          <w:tcPr>
            <w:tcW w:w="1275" w:type="dxa"/>
            <w:tcBorders>
              <w:top w:val="nil"/>
              <w:left w:val="nil"/>
              <w:bottom w:val="nil"/>
              <w:right w:val="single" w:sz="8" w:space="0" w:color="auto"/>
            </w:tcBorders>
            <w:shd w:val="clear" w:color="000000" w:fill="FFFFFF"/>
            <w:noWrap/>
            <w:hideMark/>
          </w:tcPr>
          <w:p w14:paraId="1CB5CE5B" w14:textId="77777777" w:rsidR="00030B86" w:rsidRDefault="00030B86">
            <w:pPr>
              <w:jc w:val="right"/>
              <w:rPr>
                <w:rFonts w:ascii="Arial" w:hAnsi="Arial" w:cs="Arial"/>
              </w:rPr>
            </w:pPr>
            <w:r>
              <w:rPr>
                <w:rFonts w:ascii="Arial" w:hAnsi="Arial" w:cs="Arial"/>
              </w:rPr>
              <w:t xml:space="preserve">2,305 </w:t>
            </w:r>
          </w:p>
        </w:tc>
        <w:tc>
          <w:tcPr>
            <w:tcW w:w="1418" w:type="dxa"/>
            <w:tcBorders>
              <w:top w:val="nil"/>
              <w:left w:val="nil"/>
              <w:bottom w:val="nil"/>
              <w:right w:val="single" w:sz="8" w:space="0" w:color="auto"/>
            </w:tcBorders>
            <w:shd w:val="clear" w:color="000000" w:fill="FFFFFF"/>
            <w:noWrap/>
            <w:hideMark/>
          </w:tcPr>
          <w:p w14:paraId="05BA444A" w14:textId="77777777" w:rsidR="00030B86" w:rsidRDefault="00030B86">
            <w:pPr>
              <w:jc w:val="right"/>
              <w:rPr>
                <w:rFonts w:ascii="Arial" w:hAnsi="Arial" w:cs="Arial"/>
              </w:rPr>
            </w:pPr>
            <w:r>
              <w:rPr>
                <w:rFonts w:ascii="Arial" w:hAnsi="Arial" w:cs="Arial"/>
              </w:rPr>
              <w:t>(889)</w:t>
            </w:r>
          </w:p>
        </w:tc>
        <w:tc>
          <w:tcPr>
            <w:tcW w:w="503" w:type="dxa"/>
            <w:vAlign w:val="center"/>
            <w:hideMark/>
          </w:tcPr>
          <w:p w14:paraId="55DA8C72" w14:textId="77777777" w:rsidR="00030B86" w:rsidRDefault="00030B86">
            <w:pPr>
              <w:rPr>
                <w:sz w:val="20"/>
                <w:szCs w:val="20"/>
              </w:rPr>
            </w:pPr>
          </w:p>
        </w:tc>
      </w:tr>
      <w:tr w:rsidR="00030B86" w14:paraId="3D469E47"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1C05728E" w14:textId="77777777" w:rsidR="00030B86" w:rsidRDefault="00030B86">
            <w:pPr>
              <w:rPr>
                <w:rFonts w:ascii="Arial" w:hAnsi="Arial" w:cs="Arial"/>
                <w:color w:val="000000"/>
              </w:rPr>
            </w:pPr>
            <w:r>
              <w:rPr>
                <w:rFonts w:ascii="Arial" w:hAnsi="Arial" w:cs="Arial"/>
                <w:color w:val="000000"/>
              </w:rPr>
              <w:t>ICT</w:t>
            </w:r>
          </w:p>
        </w:tc>
        <w:tc>
          <w:tcPr>
            <w:tcW w:w="1276" w:type="dxa"/>
            <w:tcBorders>
              <w:top w:val="nil"/>
              <w:left w:val="single" w:sz="8" w:space="0" w:color="auto"/>
              <w:bottom w:val="nil"/>
              <w:right w:val="single" w:sz="8" w:space="0" w:color="auto"/>
            </w:tcBorders>
            <w:shd w:val="clear" w:color="000000" w:fill="FFFFFF"/>
            <w:noWrap/>
            <w:hideMark/>
          </w:tcPr>
          <w:p w14:paraId="18087985" w14:textId="77777777" w:rsidR="00030B86" w:rsidRDefault="00030B86">
            <w:pPr>
              <w:jc w:val="right"/>
              <w:rPr>
                <w:rFonts w:ascii="Arial" w:hAnsi="Arial" w:cs="Arial"/>
              </w:rPr>
            </w:pPr>
            <w:r>
              <w:rPr>
                <w:rFonts w:ascii="Arial" w:hAnsi="Arial" w:cs="Arial"/>
              </w:rPr>
              <w:t xml:space="preserve">4,017 </w:t>
            </w:r>
          </w:p>
        </w:tc>
        <w:tc>
          <w:tcPr>
            <w:tcW w:w="1276" w:type="dxa"/>
            <w:tcBorders>
              <w:top w:val="nil"/>
              <w:left w:val="nil"/>
              <w:bottom w:val="nil"/>
              <w:right w:val="single" w:sz="8" w:space="0" w:color="auto"/>
            </w:tcBorders>
            <w:shd w:val="clear" w:color="000000" w:fill="FFFFFF"/>
            <w:noWrap/>
            <w:hideMark/>
          </w:tcPr>
          <w:p w14:paraId="182AA52E" w14:textId="77777777" w:rsidR="00030B86" w:rsidRDefault="00030B86">
            <w:pPr>
              <w:jc w:val="right"/>
              <w:rPr>
                <w:rFonts w:ascii="Arial" w:hAnsi="Arial" w:cs="Arial"/>
              </w:rPr>
            </w:pPr>
            <w:r>
              <w:rPr>
                <w:rFonts w:ascii="Arial" w:hAnsi="Arial" w:cs="Arial"/>
              </w:rPr>
              <w:t xml:space="preserve">1,820 </w:t>
            </w:r>
          </w:p>
        </w:tc>
        <w:tc>
          <w:tcPr>
            <w:tcW w:w="1275" w:type="dxa"/>
            <w:tcBorders>
              <w:top w:val="nil"/>
              <w:left w:val="nil"/>
              <w:bottom w:val="nil"/>
              <w:right w:val="single" w:sz="8" w:space="0" w:color="auto"/>
            </w:tcBorders>
            <w:shd w:val="clear" w:color="000000" w:fill="FFFFFF"/>
            <w:noWrap/>
            <w:hideMark/>
          </w:tcPr>
          <w:p w14:paraId="370FA297" w14:textId="77777777" w:rsidR="00030B86" w:rsidRDefault="00030B86">
            <w:pPr>
              <w:jc w:val="right"/>
              <w:rPr>
                <w:rFonts w:ascii="Arial" w:hAnsi="Arial" w:cs="Arial"/>
              </w:rPr>
            </w:pPr>
            <w:r>
              <w:rPr>
                <w:rFonts w:ascii="Arial" w:hAnsi="Arial" w:cs="Arial"/>
              </w:rPr>
              <w:t xml:space="preserve">407 </w:t>
            </w:r>
          </w:p>
        </w:tc>
        <w:tc>
          <w:tcPr>
            <w:tcW w:w="1418" w:type="dxa"/>
            <w:tcBorders>
              <w:top w:val="nil"/>
              <w:left w:val="nil"/>
              <w:bottom w:val="nil"/>
              <w:right w:val="single" w:sz="8" w:space="0" w:color="auto"/>
            </w:tcBorders>
            <w:shd w:val="clear" w:color="000000" w:fill="FFFFFF"/>
            <w:noWrap/>
            <w:hideMark/>
          </w:tcPr>
          <w:p w14:paraId="6DDD3C44" w14:textId="77777777" w:rsidR="00030B86" w:rsidRDefault="00030B86">
            <w:pPr>
              <w:jc w:val="right"/>
              <w:rPr>
                <w:rFonts w:ascii="Arial" w:hAnsi="Arial" w:cs="Arial"/>
              </w:rPr>
            </w:pPr>
            <w:r>
              <w:rPr>
                <w:rFonts w:ascii="Arial" w:hAnsi="Arial" w:cs="Arial"/>
              </w:rPr>
              <w:t>(1,413)</w:t>
            </w:r>
          </w:p>
        </w:tc>
        <w:tc>
          <w:tcPr>
            <w:tcW w:w="503" w:type="dxa"/>
            <w:vAlign w:val="center"/>
            <w:hideMark/>
          </w:tcPr>
          <w:p w14:paraId="5B5DEC7F" w14:textId="77777777" w:rsidR="00030B86" w:rsidRDefault="00030B86">
            <w:pPr>
              <w:rPr>
                <w:sz w:val="20"/>
                <w:szCs w:val="20"/>
              </w:rPr>
            </w:pPr>
          </w:p>
        </w:tc>
      </w:tr>
      <w:tr w:rsidR="00030B86" w14:paraId="5EB9FCAE"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932D0F9" w14:textId="77777777" w:rsidR="00030B86" w:rsidRDefault="00030B86">
            <w:pPr>
              <w:rPr>
                <w:rFonts w:ascii="Arial" w:hAnsi="Arial" w:cs="Arial"/>
                <w:color w:val="000000"/>
              </w:rPr>
            </w:pPr>
            <w:r>
              <w:rPr>
                <w:rFonts w:ascii="Arial" w:hAnsi="Arial" w:cs="Arial"/>
                <w:color w:val="000000"/>
              </w:rPr>
              <w:t>Vehicles &amp; Equipment</w:t>
            </w:r>
          </w:p>
        </w:tc>
        <w:tc>
          <w:tcPr>
            <w:tcW w:w="1276" w:type="dxa"/>
            <w:tcBorders>
              <w:top w:val="nil"/>
              <w:left w:val="single" w:sz="8" w:space="0" w:color="auto"/>
              <w:bottom w:val="nil"/>
              <w:right w:val="single" w:sz="8" w:space="0" w:color="auto"/>
            </w:tcBorders>
            <w:shd w:val="clear" w:color="000000" w:fill="FFFFFF"/>
            <w:noWrap/>
            <w:hideMark/>
          </w:tcPr>
          <w:p w14:paraId="0D87CFBB" w14:textId="77777777" w:rsidR="00030B86" w:rsidRDefault="00030B86">
            <w:pPr>
              <w:jc w:val="right"/>
              <w:rPr>
                <w:rFonts w:ascii="Arial" w:hAnsi="Arial" w:cs="Arial"/>
              </w:rPr>
            </w:pPr>
            <w:r>
              <w:rPr>
                <w:rFonts w:ascii="Arial" w:hAnsi="Arial" w:cs="Arial"/>
              </w:rPr>
              <w:t xml:space="preserve">4,186 </w:t>
            </w:r>
          </w:p>
        </w:tc>
        <w:tc>
          <w:tcPr>
            <w:tcW w:w="1276" w:type="dxa"/>
            <w:tcBorders>
              <w:top w:val="nil"/>
              <w:left w:val="nil"/>
              <w:bottom w:val="nil"/>
              <w:right w:val="single" w:sz="8" w:space="0" w:color="auto"/>
            </w:tcBorders>
            <w:shd w:val="clear" w:color="000000" w:fill="FFFFFF"/>
            <w:noWrap/>
            <w:hideMark/>
          </w:tcPr>
          <w:p w14:paraId="2E38E24C" w14:textId="77777777" w:rsidR="00030B86" w:rsidRDefault="00030B86">
            <w:pPr>
              <w:jc w:val="right"/>
              <w:rPr>
                <w:rFonts w:ascii="Arial" w:hAnsi="Arial" w:cs="Arial"/>
              </w:rPr>
            </w:pPr>
            <w:r>
              <w:rPr>
                <w:rFonts w:ascii="Arial" w:hAnsi="Arial" w:cs="Arial"/>
              </w:rPr>
              <w:t xml:space="preserve">3,779 </w:t>
            </w:r>
          </w:p>
        </w:tc>
        <w:tc>
          <w:tcPr>
            <w:tcW w:w="1275" w:type="dxa"/>
            <w:tcBorders>
              <w:top w:val="nil"/>
              <w:left w:val="nil"/>
              <w:bottom w:val="nil"/>
              <w:right w:val="single" w:sz="8" w:space="0" w:color="auto"/>
            </w:tcBorders>
            <w:shd w:val="clear" w:color="000000" w:fill="FFFFFF"/>
            <w:noWrap/>
            <w:hideMark/>
          </w:tcPr>
          <w:p w14:paraId="574E3B46" w14:textId="77777777" w:rsidR="00030B86" w:rsidRDefault="00030B86">
            <w:pPr>
              <w:jc w:val="right"/>
              <w:rPr>
                <w:rFonts w:ascii="Arial" w:hAnsi="Arial" w:cs="Arial"/>
              </w:rPr>
            </w:pPr>
            <w:r>
              <w:rPr>
                <w:rFonts w:ascii="Arial" w:hAnsi="Arial" w:cs="Arial"/>
              </w:rPr>
              <w:t xml:space="preserve">1,988 </w:t>
            </w:r>
          </w:p>
        </w:tc>
        <w:tc>
          <w:tcPr>
            <w:tcW w:w="1418" w:type="dxa"/>
            <w:tcBorders>
              <w:top w:val="nil"/>
              <w:left w:val="nil"/>
              <w:bottom w:val="nil"/>
              <w:right w:val="single" w:sz="8" w:space="0" w:color="auto"/>
            </w:tcBorders>
            <w:shd w:val="clear" w:color="000000" w:fill="FFFFFF"/>
            <w:noWrap/>
            <w:hideMark/>
          </w:tcPr>
          <w:p w14:paraId="6F44D913" w14:textId="77777777" w:rsidR="00030B86" w:rsidRDefault="00030B86">
            <w:pPr>
              <w:jc w:val="right"/>
              <w:rPr>
                <w:rFonts w:ascii="Arial" w:hAnsi="Arial" w:cs="Arial"/>
              </w:rPr>
            </w:pPr>
            <w:r>
              <w:rPr>
                <w:rFonts w:ascii="Arial" w:hAnsi="Arial" w:cs="Arial"/>
              </w:rPr>
              <w:t>(1,791)</w:t>
            </w:r>
          </w:p>
        </w:tc>
        <w:tc>
          <w:tcPr>
            <w:tcW w:w="503" w:type="dxa"/>
            <w:vAlign w:val="center"/>
            <w:hideMark/>
          </w:tcPr>
          <w:p w14:paraId="3F489647" w14:textId="77777777" w:rsidR="00030B86" w:rsidRDefault="00030B86">
            <w:pPr>
              <w:rPr>
                <w:sz w:val="20"/>
                <w:szCs w:val="20"/>
              </w:rPr>
            </w:pPr>
          </w:p>
        </w:tc>
      </w:tr>
      <w:tr w:rsidR="00030B86" w14:paraId="684CE506"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201F85B7" w14:textId="77777777" w:rsidR="00030B86" w:rsidRDefault="00030B86">
            <w:pPr>
              <w:rPr>
                <w:rFonts w:ascii="Arial" w:hAnsi="Arial" w:cs="Arial"/>
                <w:color w:val="000000"/>
              </w:rPr>
            </w:pPr>
            <w:r>
              <w:rPr>
                <w:rFonts w:ascii="Arial" w:hAnsi="Arial" w:cs="Arial"/>
                <w:color w:val="000000"/>
              </w:rPr>
              <w:t>Sustainability</w:t>
            </w:r>
          </w:p>
        </w:tc>
        <w:tc>
          <w:tcPr>
            <w:tcW w:w="1276" w:type="dxa"/>
            <w:tcBorders>
              <w:top w:val="nil"/>
              <w:left w:val="single" w:sz="8" w:space="0" w:color="auto"/>
              <w:bottom w:val="nil"/>
              <w:right w:val="single" w:sz="8" w:space="0" w:color="auto"/>
            </w:tcBorders>
            <w:shd w:val="clear" w:color="000000" w:fill="FFFFFF"/>
            <w:noWrap/>
            <w:hideMark/>
          </w:tcPr>
          <w:p w14:paraId="74598389" w14:textId="77777777" w:rsidR="00030B86" w:rsidRDefault="00030B86">
            <w:pPr>
              <w:jc w:val="right"/>
              <w:rPr>
                <w:rFonts w:ascii="Arial" w:hAnsi="Arial" w:cs="Arial"/>
              </w:rPr>
            </w:pPr>
            <w:r>
              <w:rPr>
                <w:rFonts w:ascii="Arial" w:hAnsi="Arial" w:cs="Arial"/>
              </w:rPr>
              <w:t xml:space="preserve">75 </w:t>
            </w:r>
          </w:p>
        </w:tc>
        <w:tc>
          <w:tcPr>
            <w:tcW w:w="1276" w:type="dxa"/>
            <w:tcBorders>
              <w:top w:val="nil"/>
              <w:left w:val="nil"/>
              <w:bottom w:val="nil"/>
              <w:right w:val="single" w:sz="8" w:space="0" w:color="auto"/>
            </w:tcBorders>
            <w:shd w:val="clear" w:color="000000" w:fill="FFFFFF"/>
            <w:noWrap/>
            <w:hideMark/>
          </w:tcPr>
          <w:p w14:paraId="2918189B" w14:textId="77777777" w:rsidR="00030B86" w:rsidRDefault="00030B86">
            <w:pPr>
              <w:jc w:val="right"/>
              <w:rPr>
                <w:rFonts w:ascii="Arial" w:hAnsi="Arial" w:cs="Arial"/>
              </w:rPr>
            </w:pPr>
            <w:r>
              <w:rPr>
                <w:rFonts w:ascii="Arial" w:hAnsi="Arial" w:cs="Arial"/>
              </w:rPr>
              <w:t xml:space="preserve">342 </w:t>
            </w:r>
          </w:p>
        </w:tc>
        <w:tc>
          <w:tcPr>
            <w:tcW w:w="1275" w:type="dxa"/>
            <w:tcBorders>
              <w:top w:val="nil"/>
              <w:left w:val="nil"/>
              <w:bottom w:val="nil"/>
              <w:right w:val="single" w:sz="8" w:space="0" w:color="auto"/>
            </w:tcBorders>
            <w:shd w:val="clear" w:color="000000" w:fill="FFFFFF"/>
            <w:noWrap/>
            <w:hideMark/>
          </w:tcPr>
          <w:p w14:paraId="1C74B346" w14:textId="77777777" w:rsidR="00030B86" w:rsidRDefault="00030B86">
            <w:pPr>
              <w:jc w:val="right"/>
              <w:rPr>
                <w:rFonts w:ascii="Arial" w:hAnsi="Arial" w:cs="Arial"/>
              </w:rPr>
            </w:pPr>
            <w:r>
              <w:rPr>
                <w:rFonts w:ascii="Arial" w:hAnsi="Arial" w:cs="Arial"/>
              </w:rPr>
              <w:t xml:space="preserve">409 </w:t>
            </w:r>
          </w:p>
        </w:tc>
        <w:tc>
          <w:tcPr>
            <w:tcW w:w="1418" w:type="dxa"/>
            <w:tcBorders>
              <w:top w:val="nil"/>
              <w:left w:val="nil"/>
              <w:bottom w:val="nil"/>
              <w:right w:val="single" w:sz="8" w:space="0" w:color="auto"/>
            </w:tcBorders>
            <w:shd w:val="clear" w:color="000000" w:fill="FFFFFF"/>
            <w:noWrap/>
            <w:hideMark/>
          </w:tcPr>
          <w:p w14:paraId="440E4A6A" w14:textId="77777777" w:rsidR="00030B86" w:rsidRDefault="00030B86">
            <w:pPr>
              <w:jc w:val="right"/>
              <w:rPr>
                <w:rFonts w:ascii="Arial" w:hAnsi="Arial" w:cs="Arial"/>
              </w:rPr>
            </w:pPr>
            <w:r>
              <w:rPr>
                <w:rFonts w:ascii="Arial" w:hAnsi="Arial" w:cs="Arial"/>
              </w:rPr>
              <w:t xml:space="preserve">67 </w:t>
            </w:r>
          </w:p>
        </w:tc>
        <w:tc>
          <w:tcPr>
            <w:tcW w:w="503" w:type="dxa"/>
            <w:vAlign w:val="center"/>
            <w:hideMark/>
          </w:tcPr>
          <w:p w14:paraId="73499102" w14:textId="77777777" w:rsidR="00030B86" w:rsidRDefault="00030B86">
            <w:pPr>
              <w:rPr>
                <w:sz w:val="20"/>
                <w:szCs w:val="20"/>
              </w:rPr>
            </w:pPr>
          </w:p>
        </w:tc>
      </w:tr>
      <w:tr w:rsidR="00030B86" w14:paraId="7397FA95"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68FAF536" w14:textId="77777777" w:rsidR="00030B86" w:rsidRDefault="00030B86">
            <w:pPr>
              <w:rPr>
                <w:rFonts w:ascii="Arial" w:hAnsi="Arial" w:cs="Arial"/>
                <w:color w:val="000000"/>
              </w:rPr>
            </w:pPr>
            <w:r>
              <w:rPr>
                <w:rFonts w:ascii="Arial" w:hAnsi="Arial" w:cs="Arial"/>
                <w:color w:val="000000"/>
              </w:rPr>
              <w:t>Waking Watch Relief</w:t>
            </w:r>
          </w:p>
        </w:tc>
        <w:tc>
          <w:tcPr>
            <w:tcW w:w="1276" w:type="dxa"/>
            <w:tcBorders>
              <w:top w:val="nil"/>
              <w:left w:val="nil"/>
              <w:bottom w:val="nil"/>
              <w:right w:val="single" w:sz="8" w:space="0" w:color="auto"/>
            </w:tcBorders>
            <w:shd w:val="clear" w:color="000000" w:fill="FFFFFF"/>
            <w:noWrap/>
            <w:hideMark/>
          </w:tcPr>
          <w:p w14:paraId="7E9E173E" w14:textId="77777777" w:rsidR="00030B86" w:rsidRDefault="00030B86">
            <w:pPr>
              <w:jc w:val="right"/>
              <w:rPr>
                <w:rFonts w:ascii="Arial" w:hAnsi="Arial" w:cs="Arial"/>
              </w:rPr>
            </w:pPr>
            <w:r>
              <w:rPr>
                <w:rFonts w:ascii="Arial" w:hAnsi="Arial" w:cs="Arial"/>
              </w:rPr>
              <w:t xml:space="preserve">0 </w:t>
            </w:r>
          </w:p>
        </w:tc>
        <w:tc>
          <w:tcPr>
            <w:tcW w:w="1276" w:type="dxa"/>
            <w:tcBorders>
              <w:top w:val="nil"/>
              <w:left w:val="nil"/>
              <w:bottom w:val="nil"/>
              <w:right w:val="single" w:sz="8" w:space="0" w:color="auto"/>
            </w:tcBorders>
            <w:shd w:val="clear" w:color="000000" w:fill="FFFFFF"/>
            <w:noWrap/>
            <w:hideMark/>
          </w:tcPr>
          <w:p w14:paraId="11EEA4AE" w14:textId="77777777" w:rsidR="00030B86" w:rsidRDefault="00030B86">
            <w:pPr>
              <w:jc w:val="right"/>
              <w:rPr>
                <w:rFonts w:ascii="Arial" w:hAnsi="Arial" w:cs="Arial"/>
              </w:rPr>
            </w:pPr>
            <w:r>
              <w:rPr>
                <w:rFonts w:ascii="Arial" w:hAnsi="Arial" w:cs="Arial"/>
              </w:rPr>
              <w:t xml:space="preserve">2,050 </w:t>
            </w:r>
          </w:p>
        </w:tc>
        <w:tc>
          <w:tcPr>
            <w:tcW w:w="1275" w:type="dxa"/>
            <w:tcBorders>
              <w:top w:val="nil"/>
              <w:left w:val="nil"/>
              <w:bottom w:val="nil"/>
              <w:right w:val="single" w:sz="8" w:space="0" w:color="auto"/>
            </w:tcBorders>
            <w:shd w:val="clear" w:color="000000" w:fill="FFFFFF"/>
            <w:noWrap/>
            <w:hideMark/>
          </w:tcPr>
          <w:p w14:paraId="0B306422" w14:textId="77777777" w:rsidR="00030B86" w:rsidRDefault="00030B86">
            <w:pPr>
              <w:jc w:val="right"/>
              <w:rPr>
                <w:rFonts w:ascii="Arial" w:hAnsi="Arial" w:cs="Arial"/>
              </w:rPr>
            </w:pPr>
            <w:r>
              <w:rPr>
                <w:rFonts w:ascii="Arial" w:hAnsi="Arial" w:cs="Arial"/>
              </w:rPr>
              <w:t xml:space="preserve">1,751 </w:t>
            </w:r>
          </w:p>
        </w:tc>
        <w:tc>
          <w:tcPr>
            <w:tcW w:w="1418" w:type="dxa"/>
            <w:tcBorders>
              <w:top w:val="nil"/>
              <w:left w:val="nil"/>
              <w:bottom w:val="nil"/>
              <w:right w:val="single" w:sz="8" w:space="0" w:color="auto"/>
            </w:tcBorders>
            <w:shd w:val="clear" w:color="000000" w:fill="FFFFFF"/>
            <w:noWrap/>
            <w:hideMark/>
          </w:tcPr>
          <w:p w14:paraId="5A7E1350" w14:textId="77777777" w:rsidR="00030B86" w:rsidRDefault="00030B86">
            <w:pPr>
              <w:jc w:val="right"/>
              <w:rPr>
                <w:rFonts w:ascii="Arial" w:hAnsi="Arial" w:cs="Arial"/>
              </w:rPr>
            </w:pPr>
            <w:r>
              <w:rPr>
                <w:rFonts w:ascii="Arial" w:hAnsi="Arial" w:cs="Arial"/>
              </w:rPr>
              <w:t>(299)</w:t>
            </w:r>
          </w:p>
        </w:tc>
        <w:tc>
          <w:tcPr>
            <w:tcW w:w="503" w:type="dxa"/>
            <w:vAlign w:val="center"/>
            <w:hideMark/>
          </w:tcPr>
          <w:p w14:paraId="31B7CF49" w14:textId="77777777" w:rsidR="00030B86" w:rsidRDefault="00030B86">
            <w:pPr>
              <w:rPr>
                <w:sz w:val="20"/>
                <w:szCs w:val="20"/>
              </w:rPr>
            </w:pPr>
          </w:p>
        </w:tc>
      </w:tr>
      <w:tr w:rsidR="00030B86" w14:paraId="04000899" w14:textId="77777777" w:rsidTr="00030B86">
        <w:trPr>
          <w:trHeight w:val="319"/>
        </w:trPr>
        <w:tc>
          <w:tcPr>
            <w:tcW w:w="46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87528E1" w14:textId="77777777" w:rsidR="00030B86" w:rsidRDefault="00030B86">
            <w:pPr>
              <w:rPr>
                <w:rFonts w:ascii="Arial" w:hAnsi="Arial" w:cs="Arial"/>
                <w:b/>
                <w:bCs/>
                <w:color w:val="000000"/>
              </w:rPr>
            </w:pPr>
            <w:r>
              <w:rPr>
                <w:rFonts w:ascii="Arial" w:hAnsi="Arial" w:cs="Arial"/>
                <w:b/>
                <w:bCs/>
                <w:color w:val="000000"/>
              </w:rPr>
              <w:t>TOTAL FIRE &amp; RESCUE SERVICE</w:t>
            </w:r>
          </w:p>
        </w:tc>
        <w:tc>
          <w:tcPr>
            <w:tcW w:w="1276" w:type="dxa"/>
            <w:tcBorders>
              <w:top w:val="single" w:sz="8" w:space="0" w:color="auto"/>
              <w:left w:val="nil"/>
              <w:bottom w:val="single" w:sz="8" w:space="0" w:color="auto"/>
              <w:right w:val="single" w:sz="8" w:space="0" w:color="auto"/>
            </w:tcBorders>
            <w:shd w:val="clear" w:color="auto" w:fill="auto"/>
            <w:noWrap/>
            <w:hideMark/>
          </w:tcPr>
          <w:p w14:paraId="31AE183B" w14:textId="77777777" w:rsidR="00030B86" w:rsidRDefault="00030B86">
            <w:pPr>
              <w:jc w:val="right"/>
              <w:rPr>
                <w:rFonts w:ascii="Arial" w:hAnsi="Arial" w:cs="Arial"/>
                <w:b/>
                <w:bCs/>
              </w:rPr>
            </w:pPr>
            <w:r>
              <w:rPr>
                <w:rFonts w:ascii="Arial" w:hAnsi="Arial" w:cs="Arial"/>
                <w:b/>
                <w:bCs/>
              </w:rPr>
              <w:t xml:space="preserve">13,277 </w:t>
            </w:r>
          </w:p>
        </w:tc>
        <w:tc>
          <w:tcPr>
            <w:tcW w:w="1276" w:type="dxa"/>
            <w:tcBorders>
              <w:top w:val="single" w:sz="8" w:space="0" w:color="auto"/>
              <w:left w:val="nil"/>
              <w:bottom w:val="single" w:sz="8" w:space="0" w:color="auto"/>
              <w:right w:val="single" w:sz="8" w:space="0" w:color="auto"/>
            </w:tcBorders>
            <w:shd w:val="clear" w:color="auto" w:fill="auto"/>
            <w:noWrap/>
            <w:hideMark/>
          </w:tcPr>
          <w:p w14:paraId="7EE456C3" w14:textId="77777777" w:rsidR="00030B86" w:rsidRDefault="00030B86">
            <w:pPr>
              <w:jc w:val="right"/>
              <w:rPr>
                <w:rFonts w:ascii="Arial" w:hAnsi="Arial" w:cs="Arial"/>
                <w:b/>
                <w:bCs/>
              </w:rPr>
            </w:pPr>
            <w:r>
              <w:rPr>
                <w:rFonts w:ascii="Arial" w:hAnsi="Arial" w:cs="Arial"/>
                <w:b/>
                <w:bCs/>
              </w:rPr>
              <w:t xml:space="preserve">11,185 </w:t>
            </w:r>
          </w:p>
        </w:tc>
        <w:tc>
          <w:tcPr>
            <w:tcW w:w="1275" w:type="dxa"/>
            <w:tcBorders>
              <w:top w:val="single" w:sz="8" w:space="0" w:color="auto"/>
              <w:left w:val="nil"/>
              <w:bottom w:val="single" w:sz="8" w:space="0" w:color="auto"/>
              <w:right w:val="single" w:sz="8" w:space="0" w:color="auto"/>
            </w:tcBorders>
            <w:shd w:val="clear" w:color="auto" w:fill="auto"/>
            <w:noWrap/>
            <w:hideMark/>
          </w:tcPr>
          <w:p w14:paraId="18E1740C" w14:textId="77777777" w:rsidR="00030B86" w:rsidRDefault="00030B86">
            <w:pPr>
              <w:jc w:val="right"/>
              <w:rPr>
                <w:rFonts w:ascii="Arial" w:hAnsi="Arial" w:cs="Arial"/>
                <w:b/>
                <w:bCs/>
              </w:rPr>
            </w:pPr>
            <w:r>
              <w:rPr>
                <w:rFonts w:ascii="Arial" w:hAnsi="Arial" w:cs="Arial"/>
                <w:b/>
                <w:bCs/>
              </w:rPr>
              <w:t xml:space="preserve">6,860 </w:t>
            </w:r>
          </w:p>
        </w:tc>
        <w:tc>
          <w:tcPr>
            <w:tcW w:w="1418" w:type="dxa"/>
            <w:tcBorders>
              <w:top w:val="single" w:sz="8" w:space="0" w:color="auto"/>
              <w:left w:val="nil"/>
              <w:bottom w:val="single" w:sz="8" w:space="0" w:color="auto"/>
              <w:right w:val="single" w:sz="8" w:space="0" w:color="auto"/>
            </w:tcBorders>
            <w:shd w:val="clear" w:color="auto" w:fill="auto"/>
            <w:noWrap/>
            <w:hideMark/>
          </w:tcPr>
          <w:p w14:paraId="1C2DB7EB" w14:textId="77777777" w:rsidR="00030B86" w:rsidRDefault="00030B86">
            <w:pPr>
              <w:jc w:val="right"/>
              <w:rPr>
                <w:rFonts w:ascii="Arial" w:hAnsi="Arial" w:cs="Arial"/>
                <w:b/>
                <w:bCs/>
              </w:rPr>
            </w:pPr>
            <w:r>
              <w:rPr>
                <w:rFonts w:ascii="Arial" w:hAnsi="Arial" w:cs="Arial"/>
                <w:b/>
                <w:bCs/>
              </w:rPr>
              <w:t>(4,325)</w:t>
            </w:r>
          </w:p>
        </w:tc>
        <w:tc>
          <w:tcPr>
            <w:tcW w:w="503" w:type="dxa"/>
            <w:vAlign w:val="center"/>
            <w:hideMark/>
          </w:tcPr>
          <w:p w14:paraId="20F577C2" w14:textId="77777777" w:rsidR="00030B86" w:rsidRDefault="00030B86">
            <w:pPr>
              <w:rPr>
                <w:sz w:val="20"/>
                <w:szCs w:val="20"/>
              </w:rPr>
            </w:pPr>
          </w:p>
        </w:tc>
      </w:tr>
      <w:tr w:rsidR="00030B86" w14:paraId="12C0E8F8"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10569520" w14:textId="77777777" w:rsidR="00030B86" w:rsidRDefault="00030B86">
            <w:pPr>
              <w:rPr>
                <w:rFonts w:ascii="Arial" w:hAnsi="Arial" w:cs="Arial"/>
                <w:b/>
                <w:bCs/>
                <w:color w:val="000000"/>
              </w:rPr>
            </w:pPr>
            <w:r>
              <w:rPr>
                <w:rFonts w:ascii="Arial" w:hAnsi="Arial" w:cs="Arial"/>
                <w:b/>
                <w:bCs/>
                <w:color w:val="000000"/>
              </w:rPr>
              <w:t> </w:t>
            </w:r>
          </w:p>
        </w:tc>
        <w:tc>
          <w:tcPr>
            <w:tcW w:w="1276" w:type="dxa"/>
            <w:tcBorders>
              <w:top w:val="nil"/>
              <w:left w:val="single" w:sz="8" w:space="0" w:color="auto"/>
              <w:bottom w:val="nil"/>
              <w:right w:val="nil"/>
            </w:tcBorders>
            <w:shd w:val="clear" w:color="000000" w:fill="FFFFFF"/>
            <w:vAlign w:val="center"/>
            <w:hideMark/>
          </w:tcPr>
          <w:p w14:paraId="64A3A14C" w14:textId="77777777" w:rsidR="00030B86" w:rsidRDefault="00030B86">
            <w:pPr>
              <w:rPr>
                <w:rFonts w:ascii="Arial" w:hAnsi="Arial" w:cs="Arial"/>
                <w:b/>
                <w:bCs/>
                <w:color w:val="000000"/>
              </w:rPr>
            </w:pPr>
            <w:r>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000000" w:fill="FFFFFF"/>
            <w:vAlign w:val="center"/>
            <w:hideMark/>
          </w:tcPr>
          <w:p w14:paraId="746FD50C" w14:textId="77777777" w:rsidR="00030B86" w:rsidRDefault="00030B86">
            <w:pPr>
              <w:jc w:val="right"/>
              <w:rPr>
                <w:rFonts w:ascii="Arial" w:hAnsi="Arial" w:cs="Arial"/>
                <w:b/>
                <w:bCs/>
                <w:color w:val="000000"/>
              </w:rPr>
            </w:pPr>
            <w:r>
              <w:rPr>
                <w:rFonts w:ascii="Arial" w:hAnsi="Arial" w:cs="Arial"/>
                <w:b/>
                <w:bCs/>
                <w:color w:val="000000"/>
              </w:rPr>
              <w:t> </w:t>
            </w:r>
          </w:p>
        </w:tc>
        <w:tc>
          <w:tcPr>
            <w:tcW w:w="1275" w:type="dxa"/>
            <w:tcBorders>
              <w:top w:val="nil"/>
              <w:left w:val="nil"/>
              <w:bottom w:val="nil"/>
              <w:right w:val="single" w:sz="8" w:space="0" w:color="auto"/>
            </w:tcBorders>
            <w:shd w:val="clear" w:color="000000" w:fill="FFFFFF"/>
            <w:vAlign w:val="center"/>
            <w:hideMark/>
          </w:tcPr>
          <w:p w14:paraId="014D118B" w14:textId="77777777" w:rsidR="00030B86" w:rsidRDefault="00030B86">
            <w:pPr>
              <w:jc w:val="right"/>
              <w:rPr>
                <w:rFonts w:ascii="Arial" w:hAnsi="Arial" w:cs="Arial"/>
                <w:b/>
                <w:bCs/>
                <w:color w:val="000000"/>
              </w:rPr>
            </w:pPr>
            <w:r>
              <w:rPr>
                <w:rFonts w:ascii="Arial" w:hAnsi="Arial" w:cs="Arial"/>
                <w:b/>
                <w:bCs/>
                <w:color w:val="000000"/>
              </w:rPr>
              <w:t> </w:t>
            </w:r>
          </w:p>
        </w:tc>
        <w:tc>
          <w:tcPr>
            <w:tcW w:w="1418" w:type="dxa"/>
            <w:tcBorders>
              <w:top w:val="nil"/>
              <w:left w:val="nil"/>
              <w:bottom w:val="nil"/>
              <w:right w:val="single" w:sz="8" w:space="0" w:color="auto"/>
            </w:tcBorders>
            <w:shd w:val="clear" w:color="000000" w:fill="FFFFFF"/>
            <w:vAlign w:val="center"/>
            <w:hideMark/>
          </w:tcPr>
          <w:p w14:paraId="04A6AF6E" w14:textId="77777777" w:rsidR="00030B86" w:rsidRDefault="00030B86">
            <w:pPr>
              <w:jc w:val="right"/>
              <w:rPr>
                <w:rFonts w:ascii="Arial" w:hAnsi="Arial" w:cs="Arial"/>
                <w:b/>
                <w:bCs/>
                <w:color w:val="000000"/>
              </w:rPr>
            </w:pPr>
            <w:r>
              <w:rPr>
                <w:rFonts w:ascii="Arial" w:hAnsi="Arial" w:cs="Arial"/>
                <w:b/>
                <w:bCs/>
                <w:color w:val="000000"/>
              </w:rPr>
              <w:t> </w:t>
            </w:r>
          </w:p>
        </w:tc>
        <w:tc>
          <w:tcPr>
            <w:tcW w:w="503" w:type="dxa"/>
            <w:vAlign w:val="center"/>
            <w:hideMark/>
          </w:tcPr>
          <w:p w14:paraId="09A4CFB4" w14:textId="77777777" w:rsidR="00030B86" w:rsidRDefault="00030B86">
            <w:pPr>
              <w:rPr>
                <w:sz w:val="20"/>
                <w:szCs w:val="20"/>
              </w:rPr>
            </w:pPr>
          </w:p>
        </w:tc>
      </w:tr>
      <w:tr w:rsidR="00030B86" w14:paraId="519C0407"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0DB62BA0" w14:textId="77777777" w:rsidR="00030B86" w:rsidRDefault="00030B86">
            <w:pPr>
              <w:rPr>
                <w:rFonts w:ascii="Arial" w:hAnsi="Arial" w:cs="Arial"/>
                <w:color w:val="000000"/>
              </w:rPr>
            </w:pPr>
            <w:r>
              <w:rPr>
                <w:rFonts w:ascii="Arial" w:hAnsi="Arial" w:cs="Arial"/>
                <w:color w:val="000000"/>
              </w:rPr>
              <w:t>Operational Sites</w:t>
            </w:r>
          </w:p>
        </w:tc>
        <w:tc>
          <w:tcPr>
            <w:tcW w:w="1276" w:type="dxa"/>
            <w:tcBorders>
              <w:top w:val="nil"/>
              <w:left w:val="nil"/>
              <w:bottom w:val="nil"/>
              <w:right w:val="single" w:sz="8" w:space="0" w:color="auto"/>
            </w:tcBorders>
            <w:shd w:val="clear" w:color="000000" w:fill="FFFFFF"/>
            <w:noWrap/>
            <w:hideMark/>
          </w:tcPr>
          <w:p w14:paraId="20B44145" w14:textId="77777777" w:rsidR="00030B86" w:rsidRDefault="00030B86">
            <w:pPr>
              <w:jc w:val="right"/>
              <w:rPr>
                <w:rFonts w:ascii="Arial" w:hAnsi="Arial" w:cs="Arial"/>
              </w:rPr>
            </w:pPr>
            <w:r>
              <w:rPr>
                <w:rFonts w:ascii="Arial" w:hAnsi="Arial" w:cs="Arial"/>
              </w:rPr>
              <w:t xml:space="preserve">21,300 </w:t>
            </w:r>
          </w:p>
        </w:tc>
        <w:tc>
          <w:tcPr>
            <w:tcW w:w="1276" w:type="dxa"/>
            <w:tcBorders>
              <w:top w:val="nil"/>
              <w:left w:val="nil"/>
              <w:bottom w:val="nil"/>
              <w:right w:val="single" w:sz="8" w:space="0" w:color="auto"/>
            </w:tcBorders>
            <w:shd w:val="clear" w:color="000000" w:fill="FFFFFF"/>
            <w:noWrap/>
            <w:hideMark/>
          </w:tcPr>
          <w:p w14:paraId="3E38BD2E" w14:textId="77777777" w:rsidR="00030B86" w:rsidRDefault="00030B86">
            <w:pPr>
              <w:jc w:val="right"/>
              <w:rPr>
                <w:rFonts w:ascii="Arial" w:hAnsi="Arial" w:cs="Arial"/>
              </w:rPr>
            </w:pPr>
            <w:r>
              <w:rPr>
                <w:rFonts w:ascii="Arial" w:hAnsi="Arial" w:cs="Arial"/>
              </w:rPr>
              <w:t xml:space="preserve">24,150 </w:t>
            </w:r>
          </w:p>
        </w:tc>
        <w:tc>
          <w:tcPr>
            <w:tcW w:w="1275" w:type="dxa"/>
            <w:tcBorders>
              <w:top w:val="nil"/>
              <w:left w:val="nil"/>
              <w:bottom w:val="nil"/>
              <w:right w:val="single" w:sz="8" w:space="0" w:color="auto"/>
            </w:tcBorders>
            <w:shd w:val="clear" w:color="000000" w:fill="FFFFFF"/>
            <w:noWrap/>
            <w:hideMark/>
          </w:tcPr>
          <w:p w14:paraId="21BE53D9" w14:textId="77777777" w:rsidR="00030B86" w:rsidRDefault="00030B86">
            <w:pPr>
              <w:jc w:val="right"/>
              <w:rPr>
                <w:rFonts w:ascii="Arial" w:hAnsi="Arial" w:cs="Arial"/>
              </w:rPr>
            </w:pPr>
            <w:r>
              <w:rPr>
                <w:rFonts w:ascii="Arial" w:hAnsi="Arial" w:cs="Arial"/>
              </w:rPr>
              <w:t xml:space="preserve">15,516 </w:t>
            </w:r>
          </w:p>
        </w:tc>
        <w:tc>
          <w:tcPr>
            <w:tcW w:w="1418" w:type="dxa"/>
            <w:tcBorders>
              <w:top w:val="nil"/>
              <w:left w:val="nil"/>
              <w:bottom w:val="nil"/>
              <w:right w:val="single" w:sz="8" w:space="0" w:color="auto"/>
            </w:tcBorders>
            <w:shd w:val="clear" w:color="000000" w:fill="FFFFFF"/>
            <w:noWrap/>
            <w:hideMark/>
          </w:tcPr>
          <w:p w14:paraId="1DA35FE9" w14:textId="77777777" w:rsidR="00030B86" w:rsidRDefault="00030B86">
            <w:pPr>
              <w:jc w:val="right"/>
              <w:rPr>
                <w:rFonts w:ascii="Arial" w:hAnsi="Arial" w:cs="Arial"/>
              </w:rPr>
            </w:pPr>
            <w:r>
              <w:rPr>
                <w:rFonts w:ascii="Arial" w:hAnsi="Arial" w:cs="Arial"/>
              </w:rPr>
              <w:t>(8,634)</w:t>
            </w:r>
          </w:p>
        </w:tc>
        <w:tc>
          <w:tcPr>
            <w:tcW w:w="503" w:type="dxa"/>
            <w:vAlign w:val="center"/>
            <w:hideMark/>
          </w:tcPr>
          <w:p w14:paraId="1FA32A57" w14:textId="77777777" w:rsidR="00030B86" w:rsidRDefault="00030B86">
            <w:pPr>
              <w:rPr>
                <w:sz w:val="20"/>
                <w:szCs w:val="20"/>
              </w:rPr>
            </w:pPr>
          </w:p>
        </w:tc>
      </w:tr>
      <w:tr w:rsidR="00030B86" w14:paraId="70FE2A0D"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695351C3" w14:textId="77777777" w:rsidR="00030B86" w:rsidRDefault="00030B86">
            <w:pPr>
              <w:rPr>
                <w:rFonts w:ascii="Arial" w:hAnsi="Arial" w:cs="Arial"/>
                <w:color w:val="000000"/>
              </w:rPr>
            </w:pPr>
            <w:r>
              <w:rPr>
                <w:rFonts w:ascii="Arial" w:hAnsi="Arial" w:cs="Arial"/>
                <w:color w:val="000000"/>
              </w:rPr>
              <w:t>Non-Operational - Sites</w:t>
            </w:r>
          </w:p>
        </w:tc>
        <w:tc>
          <w:tcPr>
            <w:tcW w:w="1276" w:type="dxa"/>
            <w:tcBorders>
              <w:top w:val="nil"/>
              <w:left w:val="nil"/>
              <w:bottom w:val="nil"/>
              <w:right w:val="single" w:sz="8" w:space="0" w:color="auto"/>
            </w:tcBorders>
            <w:shd w:val="clear" w:color="000000" w:fill="FFFFFF"/>
            <w:noWrap/>
            <w:hideMark/>
          </w:tcPr>
          <w:p w14:paraId="3C74A225" w14:textId="77777777" w:rsidR="00030B86" w:rsidRDefault="00030B86">
            <w:pPr>
              <w:jc w:val="right"/>
              <w:rPr>
                <w:rFonts w:ascii="Arial" w:hAnsi="Arial" w:cs="Arial"/>
              </w:rPr>
            </w:pPr>
            <w:r>
              <w:rPr>
                <w:rFonts w:ascii="Arial" w:hAnsi="Arial" w:cs="Arial"/>
              </w:rPr>
              <w:t xml:space="preserve">1,750 </w:t>
            </w:r>
          </w:p>
        </w:tc>
        <w:tc>
          <w:tcPr>
            <w:tcW w:w="1276" w:type="dxa"/>
            <w:tcBorders>
              <w:top w:val="nil"/>
              <w:left w:val="nil"/>
              <w:bottom w:val="nil"/>
              <w:right w:val="single" w:sz="8" w:space="0" w:color="auto"/>
            </w:tcBorders>
            <w:shd w:val="clear" w:color="000000" w:fill="FFFFFF"/>
            <w:noWrap/>
            <w:hideMark/>
          </w:tcPr>
          <w:p w14:paraId="617D4C64" w14:textId="77777777" w:rsidR="00030B86" w:rsidRDefault="00030B86">
            <w:pPr>
              <w:jc w:val="right"/>
              <w:rPr>
                <w:rFonts w:ascii="Arial" w:hAnsi="Arial" w:cs="Arial"/>
              </w:rPr>
            </w:pPr>
            <w:r>
              <w:rPr>
                <w:rFonts w:ascii="Arial" w:hAnsi="Arial" w:cs="Arial"/>
              </w:rPr>
              <w:t xml:space="preserve">189 </w:t>
            </w:r>
          </w:p>
        </w:tc>
        <w:tc>
          <w:tcPr>
            <w:tcW w:w="1275" w:type="dxa"/>
            <w:tcBorders>
              <w:top w:val="nil"/>
              <w:left w:val="nil"/>
              <w:bottom w:val="nil"/>
              <w:right w:val="single" w:sz="8" w:space="0" w:color="auto"/>
            </w:tcBorders>
            <w:shd w:val="clear" w:color="000000" w:fill="FFFFFF"/>
            <w:noWrap/>
            <w:hideMark/>
          </w:tcPr>
          <w:p w14:paraId="1EE88833" w14:textId="77777777" w:rsidR="00030B86" w:rsidRDefault="00030B86">
            <w:pPr>
              <w:jc w:val="right"/>
              <w:rPr>
                <w:rFonts w:ascii="Arial" w:hAnsi="Arial" w:cs="Arial"/>
              </w:rPr>
            </w:pPr>
            <w:r>
              <w:rPr>
                <w:rFonts w:ascii="Arial" w:hAnsi="Arial" w:cs="Arial"/>
              </w:rPr>
              <w:t xml:space="preserve">38 </w:t>
            </w:r>
          </w:p>
        </w:tc>
        <w:tc>
          <w:tcPr>
            <w:tcW w:w="1418" w:type="dxa"/>
            <w:tcBorders>
              <w:top w:val="nil"/>
              <w:left w:val="nil"/>
              <w:bottom w:val="nil"/>
              <w:right w:val="single" w:sz="8" w:space="0" w:color="auto"/>
            </w:tcBorders>
            <w:shd w:val="clear" w:color="000000" w:fill="FFFFFF"/>
            <w:noWrap/>
            <w:hideMark/>
          </w:tcPr>
          <w:p w14:paraId="59BDC745" w14:textId="77777777" w:rsidR="00030B86" w:rsidRDefault="00030B86">
            <w:pPr>
              <w:jc w:val="right"/>
              <w:rPr>
                <w:rFonts w:ascii="Arial" w:hAnsi="Arial" w:cs="Arial"/>
              </w:rPr>
            </w:pPr>
            <w:r>
              <w:rPr>
                <w:rFonts w:ascii="Arial" w:hAnsi="Arial" w:cs="Arial"/>
              </w:rPr>
              <w:t>(151)</w:t>
            </w:r>
          </w:p>
        </w:tc>
        <w:tc>
          <w:tcPr>
            <w:tcW w:w="503" w:type="dxa"/>
            <w:vAlign w:val="center"/>
            <w:hideMark/>
          </w:tcPr>
          <w:p w14:paraId="60928B7D" w14:textId="77777777" w:rsidR="00030B86" w:rsidRDefault="00030B86">
            <w:pPr>
              <w:rPr>
                <w:sz w:val="20"/>
                <w:szCs w:val="20"/>
              </w:rPr>
            </w:pPr>
          </w:p>
        </w:tc>
      </w:tr>
      <w:tr w:rsidR="00030B86" w14:paraId="7085D413" w14:textId="77777777" w:rsidTr="00030B86">
        <w:trPr>
          <w:trHeight w:val="330"/>
        </w:trPr>
        <w:tc>
          <w:tcPr>
            <w:tcW w:w="46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1A02749" w14:textId="77777777" w:rsidR="00030B86" w:rsidRDefault="00030B86">
            <w:pPr>
              <w:rPr>
                <w:rFonts w:ascii="Arial" w:hAnsi="Arial" w:cs="Arial"/>
                <w:b/>
                <w:bCs/>
                <w:color w:val="000000"/>
              </w:rPr>
            </w:pPr>
            <w:r>
              <w:rPr>
                <w:rFonts w:ascii="Arial" w:hAnsi="Arial" w:cs="Arial"/>
                <w:b/>
                <w:bCs/>
                <w:color w:val="000000"/>
              </w:rPr>
              <w:t>TOTAL WASTE &amp; RESOURCES</w:t>
            </w:r>
          </w:p>
        </w:tc>
        <w:tc>
          <w:tcPr>
            <w:tcW w:w="1276" w:type="dxa"/>
            <w:tcBorders>
              <w:top w:val="single" w:sz="8" w:space="0" w:color="auto"/>
              <w:left w:val="nil"/>
              <w:bottom w:val="single" w:sz="8" w:space="0" w:color="auto"/>
              <w:right w:val="single" w:sz="8" w:space="0" w:color="auto"/>
            </w:tcBorders>
            <w:shd w:val="clear" w:color="auto" w:fill="auto"/>
            <w:noWrap/>
            <w:hideMark/>
          </w:tcPr>
          <w:p w14:paraId="58101161" w14:textId="77777777" w:rsidR="00030B86" w:rsidRDefault="00030B86">
            <w:pPr>
              <w:jc w:val="right"/>
              <w:rPr>
                <w:rFonts w:ascii="Arial" w:hAnsi="Arial" w:cs="Arial"/>
                <w:b/>
                <w:bCs/>
              </w:rPr>
            </w:pPr>
            <w:r>
              <w:rPr>
                <w:rFonts w:ascii="Arial" w:hAnsi="Arial" w:cs="Arial"/>
                <w:b/>
                <w:bCs/>
              </w:rPr>
              <w:t xml:space="preserve">23,050 </w:t>
            </w:r>
          </w:p>
        </w:tc>
        <w:tc>
          <w:tcPr>
            <w:tcW w:w="1276" w:type="dxa"/>
            <w:tcBorders>
              <w:top w:val="single" w:sz="8" w:space="0" w:color="auto"/>
              <w:left w:val="nil"/>
              <w:bottom w:val="single" w:sz="8" w:space="0" w:color="auto"/>
              <w:right w:val="single" w:sz="8" w:space="0" w:color="auto"/>
            </w:tcBorders>
            <w:shd w:val="clear" w:color="auto" w:fill="auto"/>
            <w:noWrap/>
            <w:hideMark/>
          </w:tcPr>
          <w:p w14:paraId="7B77ABB9" w14:textId="77777777" w:rsidR="00030B86" w:rsidRDefault="00030B86">
            <w:pPr>
              <w:jc w:val="right"/>
              <w:rPr>
                <w:rFonts w:ascii="Arial" w:hAnsi="Arial" w:cs="Arial"/>
                <w:b/>
                <w:bCs/>
              </w:rPr>
            </w:pPr>
            <w:r>
              <w:rPr>
                <w:rFonts w:ascii="Arial" w:hAnsi="Arial" w:cs="Arial"/>
                <w:b/>
                <w:bCs/>
              </w:rPr>
              <w:t xml:space="preserve">24,339 </w:t>
            </w:r>
          </w:p>
        </w:tc>
        <w:tc>
          <w:tcPr>
            <w:tcW w:w="1275" w:type="dxa"/>
            <w:tcBorders>
              <w:top w:val="single" w:sz="8" w:space="0" w:color="auto"/>
              <w:left w:val="nil"/>
              <w:bottom w:val="single" w:sz="8" w:space="0" w:color="auto"/>
              <w:right w:val="single" w:sz="8" w:space="0" w:color="auto"/>
            </w:tcBorders>
            <w:shd w:val="clear" w:color="auto" w:fill="auto"/>
            <w:noWrap/>
            <w:hideMark/>
          </w:tcPr>
          <w:p w14:paraId="3903D138" w14:textId="77777777" w:rsidR="00030B86" w:rsidRDefault="00030B86">
            <w:pPr>
              <w:jc w:val="right"/>
              <w:rPr>
                <w:rFonts w:ascii="Arial" w:hAnsi="Arial" w:cs="Arial"/>
                <w:b/>
                <w:bCs/>
              </w:rPr>
            </w:pPr>
            <w:r>
              <w:rPr>
                <w:rFonts w:ascii="Arial" w:hAnsi="Arial" w:cs="Arial"/>
                <w:b/>
                <w:bCs/>
              </w:rPr>
              <w:t xml:space="preserve">15,554 </w:t>
            </w:r>
          </w:p>
        </w:tc>
        <w:tc>
          <w:tcPr>
            <w:tcW w:w="1418" w:type="dxa"/>
            <w:tcBorders>
              <w:top w:val="single" w:sz="8" w:space="0" w:color="auto"/>
              <w:left w:val="nil"/>
              <w:bottom w:val="single" w:sz="8" w:space="0" w:color="auto"/>
              <w:right w:val="single" w:sz="8" w:space="0" w:color="auto"/>
            </w:tcBorders>
            <w:shd w:val="clear" w:color="auto" w:fill="auto"/>
            <w:noWrap/>
            <w:hideMark/>
          </w:tcPr>
          <w:p w14:paraId="627E124E" w14:textId="77777777" w:rsidR="00030B86" w:rsidRDefault="00030B86">
            <w:pPr>
              <w:jc w:val="right"/>
              <w:rPr>
                <w:rFonts w:ascii="Arial" w:hAnsi="Arial" w:cs="Arial"/>
                <w:b/>
                <w:bCs/>
              </w:rPr>
            </w:pPr>
            <w:r>
              <w:rPr>
                <w:rFonts w:ascii="Arial" w:hAnsi="Arial" w:cs="Arial"/>
                <w:b/>
                <w:bCs/>
              </w:rPr>
              <w:t>(8,785)</w:t>
            </w:r>
          </w:p>
        </w:tc>
        <w:tc>
          <w:tcPr>
            <w:tcW w:w="503" w:type="dxa"/>
            <w:vAlign w:val="center"/>
            <w:hideMark/>
          </w:tcPr>
          <w:p w14:paraId="199126AF" w14:textId="77777777" w:rsidR="00030B86" w:rsidRDefault="00030B86">
            <w:pPr>
              <w:rPr>
                <w:sz w:val="20"/>
                <w:szCs w:val="20"/>
              </w:rPr>
            </w:pPr>
          </w:p>
        </w:tc>
      </w:tr>
      <w:tr w:rsidR="00030B86" w14:paraId="639524C9"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925C833" w14:textId="77777777" w:rsidR="00030B86" w:rsidRDefault="00030B86">
            <w:pPr>
              <w:rPr>
                <w:rFonts w:ascii="Arial" w:hAnsi="Arial" w:cs="Arial"/>
                <w:color w:val="000000"/>
              </w:rPr>
            </w:pPr>
            <w:r>
              <w:rPr>
                <w:rFonts w:ascii="Arial" w:hAnsi="Arial" w:cs="Arial"/>
                <w:color w:val="000000"/>
              </w:rPr>
              <w:t> </w:t>
            </w:r>
          </w:p>
        </w:tc>
        <w:tc>
          <w:tcPr>
            <w:tcW w:w="1276" w:type="dxa"/>
            <w:tcBorders>
              <w:top w:val="nil"/>
              <w:left w:val="single" w:sz="8" w:space="0" w:color="auto"/>
              <w:bottom w:val="nil"/>
              <w:right w:val="single" w:sz="8" w:space="0" w:color="auto"/>
            </w:tcBorders>
            <w:shd w:val="clear" w:color="000000" w:fill="FFFFFF"/>
            <w:noWrap/>
            <w:hideMark/>
          </w:tcPr>
          <w:p w14:paraId="197E2A91" w14:textId="77777777" w:rsidR="00030B86" w:rsidRDefault="00030B86">
            <w:pPr>
              <w:jc w:val="right"/>
              <w:rPr>
                <w:rFonts w:ascii="Arial" w:hAnsi="Arial" w:cs="Arial"/>
              </w:rPr>
            </w:pPr>
            <w:r>
              <w:rPr>
                <w:rFonts w:ascii="Arial" w:hAnsi="Arial" w:cs="Arial"/>
              </w:rPr>
              <w:t> </w:t>
            </w:r>
          </w:p>
        </w:tc>
        <w:tc>
          <w:tcPr>
            <w:tcW w:w="1276" w:type="dxa"/>
            <w:tcBorders>
              <w:top w:val="nil"/>
              <w:left w:val="nil"/>
              <w:bottom w:val="nil"/>
              <w:right w:val="single" w:sz="8" w:space="0" w:color="auto"/>
            </w:tcBorders>
            <w:shd w:val="clear" w:color="000000" w:fill="FFFFFF"/>
            <w:noWrap/>
            <w:hideMark/>
          </w:tcPr>
          <w:p w14:paraId="1833AE95" w14:textId="77777777" w:rsidR="00030B86" w:rsidRDefault="00030B86">
            <w:pPr>
              <w:jc w:val="right"/>
              <w:rPr>
                <w:rFonts w:ascii="Arial" w:hAnsi="Arial" w:cs="Arial"/>
              </w:rPr>
            </w:pPr>
            <w:r>
              <w:rPr>
                <w:rFonts w:ascii="Arial" w:hAnsi="Arial" w:cs="Arial"/>
              </w:rPr>
              <w:t> </w:t>
            </w:r>
          </w:p>
        </w:tc>
        <w:tc>
          <w:tcPr>
            <w:tcW w:w="1275" w:type="dxa"/>
            <w:tcBorders>
              <w:top w:val="nil"/>
              <w:left w:val="nil"/>
              <w:bottom w:val="nil"/>
              <w:right w:val="single" w:sz="8" w:space="0" w:color="auto"/>
            </w:tcBorders>
            <w:shd w:val="clear" w:color="000000" w:fill="FFFFFF"/>
            <w:noWrap/>
            <w:hideMark/>
          </w:tcPr>
          <w:p w14:paraId="11BD3C8F" w14:textId="77777777" w:rsidR="00030B86" w:rsidRDefault="00030B86">
            <w:pPr>
              <w:jc w:val="right"/>
              <w:rPr>
                <w:rFonts w:ascii="Arial" w:hAnsi="Arial" w:cs="Arial"/>
              </w:rPr>
            </w:pPr>
            <w:r>
              <w:rPr>
                <w:rFonts w:ascii="Arial" w:hAnsi="Arial" w:cs="Arial"/>
              </w:rPr>
              <w:t> </w:t>
            </w:r>
          </w:p>
        </w:tc>
        <w:tc>
          <w:tcPr>
            <w:tcW w:w="1418" w:type="dxa"/>
            <w:tcBorders>
              <w:top w:val="nil"/>
              <w:left w:val="nil"/>
              <w:bottom w:val="nil"/>
              <w:right w:val="single" w:sz="8" w:space="0" w:color="auto"/>
            </w:tcBorders>
            <w:shd w:val="clear" w:color="000000" w:fill="FFFFFF"/>
            <w:noWrap/>
            <w:hideMark/>
          </w:tcPr>
          <w:p w14:paraId="23C8F6CB" w14:textId="77777777" w:rsidR="00030B86" w:rsidRDefault="00030B86">
            <w:pPr>
              <w:jc w:val="right"/>
              <w:rPr>
                <w:rFonts w:ascii="Arial" w:hAnsi="Arial" w:cs="Arial"/>
              </w:rPr>
            </w:pPr>
            <w:r>
              <w:rPr>
                <w:rFonts w:ascii="Arial" w:hAnsi="Arial" w:cs="Arial"/>
              </w:rPr>
              <w:t> </w:t>
            </w:r>
          </w:p>
        </w:tc>
        <w:tc>
          <w:tcPr>
            <w:tcW w:w="503" w:type="dxa"/>
            <w:vAlign w:val="center"/>
            <w:hideMark/>
          </w:tcPr>
          <w:p w14:paraId="6FB0901A" w14:textId="77777777" w:rsidR="00030B86" w:rsidRDefault="00030B86">
            <w:pPr>
              <w:rPr>
                <w:sz w:val="20"/>
                <w:szCs w:val="20"/>
              </w:rPr>
            </w:pPr>
          </w:p>
        </w:tc>
      </w:tr>
      <w:tr w:rsidR="00030B86" w14:paraId="04600160"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6BB13039" w14:textId="77777777" w:rsidR="00030B86" w:rsidRDefault="00030B86">
            <w:pPr>
              <w:rPr>
                <w:rFonts w:ascii="Arial" w:hAnsi="Arial" w:cs="Arial"/>
                <w:color w:val="000000"/>
              </w:rPr>
            </w:pPr>
            <w:r>
              <w:rPr>
                <w:rFonts w:ascii="Arial" w:hAnsi="Arial" w:cs="Arial"/>
                <w:color w:val="000000"/>
              </w:rPr>
              <w:t>Plan on a Page</w:t>
            </w:r>
          </w:p>
        </w:tc>
        <w:tc>
          <w:tcPr>
            <w:tcW w:w="1276" w:type="dxa"/>
            <w:tcBorders>
              <w:top w:val="nil"/>
              <w:left w:val="single" w:sz="8" w:space="0" w:color="auto"/>
              <w:bottom w:val="nil"/>
              <w:right w:val="single" w:sz="8" w:space="0" w:color="auto"/>
            </w:tcBorders>
            <w:shd w:val="clear" w:color="000000" w:fill="FFFFFF"/>
            <w:noWrap/>
            <w:hideMark/>
          </w:tcPr>
          <w:p w14:paraId="0793E88E" w14:textId="77777777" w:rsidR="00030B86" w:rsidRDefault="00030B86">
            <w:pPr>
              <w:jc w:val="right"/>
              <w:rPr>
                <w:rFonts w:ascii="Arial" w:hAnsi="Arial" w:cs="Arial"/>
              </w:rPr>
            </w:pPr>
            <w:r>
              <w:rPr>
                <w:rFonts w:ascii="Arial" w:hAnsi="Arial" w:cs="Arial"/>
              </w:rPr>
              <w:t xml:space="preserve">15,222 </w:t>
            </w:r>
          </w:p>
        </w:tc>
        <w:tc>
          <w:tcPr>
            <w:tcW w:w="1276" w:type="dxa"/>
            <w:tcBorders>
              <w:top w:val="nil"/>
              <w:left w:val="nil"/>
              <w:bottom w:val="nil"/>
              <w:right w:val="single" w:sz="8" w:space="0" w:color="auto"/>
            </w:tcBorders>
            <w:shd w:val="clear" w:color="000000" w:fill="FFFFFF"/>
            <w:noWrap/>
            <w:hideMark/>
          </w:tcPr>
          <w:p w14:paraId="504D4E27" w14:textId="77777777" w:rsidR="00030B86" w:rsidRDefault="00030B86">
            <w:pPr>
              <w:jc w:val="right"/>
              <w:rPr>
                <w:rFonts w:ascii="Arial" w:hAnsi="Arial" w:cs="Arial"/>
              </w:rPr>
            </w:pPr>
            <w:r>
              <w:rPr>
                <w:rFonts w:ascii="Arial" w:hAnsi="Arial" w:cs="Arial"/>
              </w:rPr>
              <w:t xml:space="preserve">11,970 </w:t>
            </w:r>
          </w:p>
        </w:tc>
        <w:tc>
          <w:tcPr>
            <w:tcW w:w="1275" w:type="dxa"/>
            <w:tcBorders>
              <w:top w:val="nil"/>
              <w:left w:val="nil"/>
              <w:bottom w:val="nil"/>
              <w:right w:val="single" w:sz="8" w:space="0" w:color="auto"/>
            </w:tcBorders>
            <w:shd w:val="clear" w:color="000000" w:fill="FFFFFF"/>
            <w:noWrap/>
            <w:hideMark/>
          </w:tcPr>
          <w:p w14:paraId="40BBFB58" w14:textId="77777777" w:rsidR="00030B86" w:rsidRDefault="00030B86">
            <w:pPr>
              <w:jc w:val="right"/>
              <w:rPr>
                <w:rFonts w:ascii="Arial" w:hAnsi="Arial" w:cs="Arial"/>
              </w:rPr>
            </w:pPr>
            <w:r>
              <w:rPr>
                <w:rFonts w:ascii="Arial" w:hAnsi="Arial" w:cs="Arial"/>
              </w:rPr>
              <w:t xml:space="preserve">10,925 </w:t>
            </w:r>
          </w:p>
        </w:tc>
        <w:tc>
          <w:tcPr>
            <w:tcW w:w="1418" w:type="dxa"/>
            <w:tcBorders>
              <w:top w:val="nil"/>
              <w:left w:val="nil"/>
              <w:bottom w:val="nil"/>
              <w:right w:val="single" w:sz="8" w:space="0" w:color="auto"/>
            </w:tcBorders>
            <w:shd w:val="clear" w:color="000000" w:fill="FFFFFF"/>
            <w:noWrap/>
            <w:hideMark/>
          </w:tcPr>
          <w:p w14:paraId="06A63C42" w14:textId="77777777" w:rsidR="00030B86" w:rsidRDefault="00030B86">
            <w:pPr>
              <w:jc w:val="right"/>
              <w:rPr>
                <w:rFonts w:ascii="Arial" w:hAnsi="Arial" w:cs="Arial"/>
              </w:rPr>
            </w:pPr>
            <w:r>
              <w:rPr>
                <w:rFonts w:ascii="Arial" w:hAnsi="Arial" w:cs="Arial"/>
              </w:rPr>
              <w:t>(1,045)</w:t>
            </w:r>
          </w:p>
        </w:tc>
        <w:tc>
          <w:tcPr>
            <w:tcW w:w="503" w:type="dxa"/>
            <w:vAlign w:val="center"/>
            <w:hideMark/>
          </w:tcPr>
          <w:p w14:paraId="326268EC" w14:textId="77777777" w:rsidR="00030B86" w:rsidRDefault="00030B86">
            <w:pPr>
              <w:rPr>
                <w:sz w:val="20"/>
                <w:szCs w:val="20"/>
              </w:rPr>
            </w:pPr>
          </w:p>
        </w:tc>
      </w:tr>
      <w:tr w:rsidR="00030B86" w14:paraId="3A4A6EDC"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722178F8" w14:textId="77777777" w:rsidR="00030B86" w:rsidRDefault="00030B86">
            <w:pPr>
              <w:rPr>
                <w:rFonts w:ascii="Arial" w:hAnsi="Arial" w:cs="Arial"/>
                <w:color w:val="000000"/>
              </w:rPr>
            </w:pPr>
            <w:r>
              <w:rPr>
                <w:rFonts w:ascii="Arial" w:hAnsi="Arial" w:cs="Arial"/>
                <w:color w:val="000000"/>
              </w:rPr>
              <w:t>ICT</w:t>
            </w:r>
          </w:p>
        </w:tc>
        <w:tc>
          <w:tcPr>
            <w:tcW w:w="1276" w:type="dxa"/>
            <w:tcBorders>
              <w:top w:val="nil"/>
              <w:left w:val="single" w:sz="8" w:space="0" w:color="auto"/>
              <w:bottom w:val="nil"/>
              <w:right w:val="single" w:sz="8" w:space="0" w:color="auto"/>
            </w:tcBorders>
            <w:shd w:val="clear" w:color="000000" w:fill="FFFFFF"/>
            <w:noWrap/>
            <w:hideMark/>
          </w:tcPr>
          <w:p w14:paraId="092AABAC" w14:textId="77777777" w:rsidR="00030B86" w:rsidRDefault="00030B86">
            <w:pPr>
              <w:jc w:val="right"/>
              <w:rPr>
                <w:rFonts w:ascii="Arial" w:hAnsi="Arial" w:cs="Arial"/>
              </w:rPr>
            </w:pPr>
            <w:r>
              <w:rPr>
                <w:rFonts w:ascii="Arial" w:hAnsi="Arial" w:cs="Arial"/>
              </w:rPr>
              <w:t xml:space="preserve">29,914 </w:t>
            </w:r>
          </w:p>
        </w:tc>
        <w:tc>
          <w:tcPr>
            <w:tcW w:w="1276" w:type="dxa"/>
            <w:tcBorders>
              <w:top w:val="nil"/>
              <w:left w:val="nil"/>
              <w:bottom w:val="nil"/>
              <w:right w:val="single" w:sz="8" w:space="0" w:color="auto"/>
            </w:tcBorders>
            <w:shd w:val="clear" w:color="000000" w:fill="FFFFFF"/>
            <w:noWrap/>
            <w:hideMark/>
          </w:tcPr>
          <w:p w14:paraId="4508966A" w14:textId="77777777" w:rsidR="00030B86" w:rsidRDefault="00030B86">
            <w:pPr>
              <w:jc w:val="right"/>
              <w:rPr>
                <w:rFonts w:ascii="Arial" w:hAnsi="Arial" w:cs="Arial"/>
              </w:rPr>
            </w:pPr>
            <w:r>
              <w:rPr>
                <w:rFonts w:ascii="Arial" w:hAnsi="Arial" w:cs="Arial"/>
              </w:rPr>
              <w:t xml:space="preserve">22,739 </w:t>
            </w:r>
          </w:p>
        </w:tc>
        <w:tc>
          <w:tcPr>
            <w:tcW w:w="1275" w:type="dxa"/>
            <w:tcBorders>
              <w:top w:val="nil"/>
              <w:left w:val="nil"/>
              <w:bottom w:val="nil"/>
              <w:right w:val="single" w:sz="8" w:space="0" w:color="auto"/>
            </w:tcBorders>
            <w:shd w:val="clear" w:color="000000" w:fill="FFFFFF"/>
            <w:noWrap/>
            <w:hideMark/>
          </w:tcPr>
          <w:p w14:paraId="757F2B6F" w14:textId="77777777" w:rsidR="00030B86" w:rsidRDefault="00030B86">
            <w:pPr>
              <w:jc w:val="right"/>
              <w:rPr>
                <w:rFonts w:ascii="Arial" w:hAnsi="Arial" w:cs="Arial"/>
              </w:rPr>
            </w:pPr>
            <w:r>
              <w:rPr>
                <w:rFonts w:ascii="Arial" w:hAnsi="Arial" w:cs="Arial"/>
              </w:rPr>
              <w:t xml:space="preserve">22,025 </w:t>
            </w:r>
          </w:p>
        </w:tc>
        <w:tc>
          <w:tcPr>
            <w:tcW w:w="1418" w:type="dxa"/>
            <w:tcBorders>
              <w:top w:val="nil"/>
              <w:left w:val="nil"/>
              <w:bottom w:val="nil"/>
              <w:right w:val="single" w:sz="8" w:space="0" w:color="auto"/>
            </w:tcBorders>
            <w:shd w:val="clear" w:color="000000" w:fill="FFFFFF"/>
            <w:noWrap/>
            <w:hideMark/>
          </w:tcPr>
          <w:p w14:paraId="2AB233BE" w14:textId="77777777" w:rsidR="00030B86" w:rsidRDefault="00030B86">
            <w:pPr>
              <w:jc w:val="right"/>
              <w:rPr>
                <w:rFonts w:ascii="Arial" w:hAnsi="Arial" w:cs="Arial"/>
              </w:rPr>
            </w:pPr>
            <w:r>
              <w:rPr>
                <w:rFonts w:ascii="Arial" w:hAnsi="Arial" w:cs="Arial"/>
              </w:rPr>
              <w:t>(714)</w:t>
            </w:r>
          </w:p>
        </w:tc>
        <w:tc>
          <w:tcPr>
            <w:tcW w:w="503" w:type="dxa"/>
            <w:vAlign w:val="center"/>
            <w:hideMark/>
          </w:tcPr>
          <w:p w14:paraId="1177C197" w14:textId="77777777" w:rsidR="00030B86" w:rsidRDefault="00030B86">
            <w:pPr>
              <w:rPr>
                <w:sz w:val="20"/>
                <w:szCs w:val="20"/>
              </w:rPr>
            </w:pPr>
          </w:p>
        </w:tc>
      </w:tr>
      <w:tr w:rsidR="00030B86" w14:paraId="357F69EB"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48BBFD1" w14:textId="77777777" w:rsidR="00030B86" w:rsidRDefault="00030B86">
            <w:pPr>
              <w:rPr>
                <w:rFonts w:ascii="Arial" w:hAnsi="Arial" w:cs="Arial"/>
                <w:color w:val="000000"/>
              </w:rPr>
            </w:pPr>
            <w:r>
              <w:rPr>
                <w:rFonts w:ascii="Arial" w:hAnsi="Arial" w:cs="Arial"/>
                <w:color w:val="000000"/>
              </w:rPr>
              <w:t>Fleet</w:t>
            </w:r>
          </w:p>
        </w:tc>
        <w:tc>
          <w:tcPr>
            <w:tcW w:w="1276" w:type="dxa"/>
            <w:tcBorders>
              <w:top w:val="nil"/>
              <w:left w:val="single" w:sz="8" w:space="0" w:color="auto"/>
              <w:bottom w:val="nil"/>
              <w:right w:val="single" w:sz="8" w:space="0" w:color="auto"/>
            </w:tcBorders>
            <w:shd w:val="clear" w:color="000000" w:fill="FFFFFF"/>
            <w:noWrap/>
            <w:hideMark/>
          </w:tcPr>
          <w:p w14:paraId="104AA339" w14:textId="77777777" w:rsidR="00030B86" w:rsidRDefault="00030B86">
            <w:pPr>
              <w:jc w:val="right"/>
              <w:rPr>
                <w:rFonts w:ascii="Arial" w:hAnsi="Arial" w:cs="Arial"/>
              </w:rPr>
            </w:pPr>
            <w:r>
              <w:rPr>
                <w:rFonts w:ascii="Arial" w:hAnsi="Arial" w:cs="Arial"/>
              </w:rPr>
              <w:t xml:space="preserve">3,590 </w:t>
            </w:r>
          </w:p>
        </w:tc>
        <w:tc>
          <w:tcPr>
            <w:tcW w:w="1276" w:type="dxa"/>
            <w:tcBorders>
              <w:top w:val="nil"/>
              <w:left w:val="nil"/>
              <w:bottom w:val="nil"/>
              <w:right w:val="single" w:sz="8" w:space="0" w:color="auto"/>
            </w:tcBorders>
            <w:shd w:val="clear" w:color="000000" w:fill="FFFFFF"/>
            <w:noWrap/>
            <w:hideMark/>
          </w:tcPr>
          <w:p w14:paraId="1A648392" w14:textId="77777777" w:rsidR="00030B86" w:rsidRDefault="00030B86">
            <w:pPr>
              <w:jc w:val="right"/>
              <w:rPr>
                <w:rFonts w:ascii="Arial" w:hAnsi="Arial" w:cs="Arial"/>
              </w:rPr>
            </w:pPr>
            <w:r>
              <w:rPr>
                <w:rFonts w:ascii="Arial" w:hAnsi="Arial" w:cs="Arial"/>
              </w:rPr>
              <w:t xml:space="preserve">4,461 </w:t>
            </w:r>
          </w:p>
        </w:tc>
        <w:tc>
          <w:tcPr>
            <w:tcW w:w="1275" w:type="dxa"/>
            <w:tcBorders>
              <w:top w:val="nil"/>
              <w:left w:val="nil"/>
              <w:bottom w:val="nil"/>
              <w:right w:val="single" w:sz="8" w:space="0" w:color="auto"/>
            </w:tcBorders>
            <w:shd w:val="clear" w:color="000000" w:fill="FFFFFF"/>
            <w:noWrap/>
            <w:hideMark/>
          </w:tcPr>
          <w:p w14:paraId="1D1844EB" w14:textId="77777777" w:rsidR="00030B86" w:rsidRDefault="00030B86">
            <w:pPr>
              <w:jc w:val="right"/>
              <w:rPr>
                <w:rFonts w:ascii="Arial" w:hAnsi="Arial" w:cs="Arial"/>
              </w:rPr>
            </w:pPr>
            <w:r>
              <w:rPr>
                <w:rFonts w:ascii="Arial" w:hAnsi="Arial" w:cs="Arial"/>
              </w:rPr>
              <w:t xml:space="preserve">3,375 </w:t>
            </w:r>
          </w:p>
        </w:tc>
        <w:tc>
          <w:tcPr>
            <w:tcW w:w="1418" w:type="dxa"/>
            <w:tcBorders>
              <w:top w:val="nil"/>
              <w:left w:val="nil"/>
              <w:bottom w:val="nil"/>
              <w:right w:val="single" w:sz="8" w:space="0" w:color="auto"/>
            </w:tcBorders>
            <w:shd w:val="clear" w:color="000000" w:fill="FFFFFF"/>
            <w:noWrap/>
            <w:hideMark/>
          </w:tcPr>
          <w:p w14:paraId="4718ACC9" w14:textId="77777777" w:rsidR="00030B86" w:rsidRDefault="00030B86">
            <w:pPr>
              <w:jc w:val="right"/>
              <w:rPr>
                <w:rFonts w:ascii="Arial" w:hAnsi="Arial" w:cs="Arial"/>
              </w:rPr>
            </w:pPr>
            <w:r>
              <w:rPr>
                <w:rFonts w:ascii="Arial" w:hAnsi="Arial" w:cs="Arial"/>
              </w:rPr>
              <w:t>(1,086)</w:t>
            </w:r>
          </w:p>
        </w:tc>
        <w:tc>
          <w:tcPr>
            <w:tcW w:w="503" w:type="dxa"/>
            <w:vAlign w:val="center"/>
            <w:hideMark/>
          </w:tcPr>
          <w:p w14:paraId="18A96474" w14:textId="77777777" w:rsidR="00030B86" w:rsidRDefault="00030B86">
            <w:pPr>
              <w:rPr>
                <w:sz w:val="20"/>
                <w:szCs w:val="20"/>
              </w:rPr>
            </w:pPr>
          </w:p>
        </w:tc>
      </w:tr>
      <w:tr w:rsidR="00030B86" w14:paraId="5EDE045F"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740F238D" w14:textId="77777777" w:rsidR="00030B86" w:rsidRDefault="00030B86">
            <w:pPr>
              <w:rPr>
                <w:rFonts w:ascii="Arial" w:hAnsi="Arial" w:cs="Arial"/>
                <w:color w:val="000000"/>
              </w:rPr>
            </w:pPr>
            <w:r>
              <w:rPr>
                <w:rFonts w:ascii="Arial" w:hAnsi="Arial" w:cs="Arial"/>
                <w:color w:val="000000"/>
              </w:rPr>
              <w:t>Estates</w:t>
            </w:r>
          </w:p>
        </w:tc>
        <w:tc>
          <w:tcPr>
            <w:tcW w:w="1276" w:type="dxa"/>
            <w:tcBorders>
              <w:top w:val="nil"/>
              <w:left w:val="single" w:sz="8" w:space="0" w:color="auto"/>
              <w:bottom w:val="nil"/>
              <w:right w:val="single" w:sz="8" w:space="0" w:color="auto"/>
            </w:tcBorders>
            <w:shd w:val="clear" w:color="000000" w:fill="FFFFFF"/>
            <w:noWrap/>
            <w:hideMark/>
          </w:tcPr>
          <w:p w14:paraId="03D3C77F" w14:textId="77777777" w:rsidR="00030B86" w:rsidRDefault="00030B86">
            <w:pPr>
              <w:jc w:val="right"/>
              <w:rPr>
                <w:rFonts w:ascii="Arial" w:hAnsi="Arial" w:cs="Arial"/>
              </w:rPr>
            </w:pPr>
            <w:r>
              <w:rPr>
                <w:rFonts w:ascii="Arial" w:hAnsi="Arial" w:cs="Arial"/>
              </w:rPr>
              <w:t xml:space="preserve">1,662 </w:t>
            </w:r>
          </w:p>
        </w:tc>
        <w:tc>
          <w:tcPr>
            <w:tcW w:w="1276" w:type="dxa"/>
            <w:tcBorders>
              <w:top w:val="nil"/>
              <w:left w:val="nil"/>
              <w:bottom w:val="nil"/>
              <w:right w:val="single" w:sz="8" w:space="0" w:color="auto"/>
            </w:tcBorders>
            <w:shd w:val="clear" w:color="000000" w:fill="FFFFFF"/>
            <w:noWrap/>
            <w:hideMark/>
          </w:tcPr>
          <w:p w14:paraId="6E98FC92" w14:textId="77777777" w:rsidR="00030B86" w:rsidRDefault="00030B86">
            <w:pPr>
              <w:jc w:val="right"/>
              <w:rPr>
                <w:rFonts w:ascii="Arial" w:hAnsi="Arial" w:cs="Arial"/>
              </w:rPr>
            </w:pPr>
            <w:r>
              <w:rPr>
                <w:rFonts w:ascii="Arial" w:hAnsi="Arial" w:cs="Arial"/>
              </w:rPr>
              <w:t xml:space="preserve">1,697 </w:t>
            </w:r>
          </w:p>
        </w:tc>
        <w:tc>
          <w:tcPr>
            <w:tcW w:w="1275" w:type="dxa"/>
            <w:tcBorders>
              <w:top w:val="nil"/>
              <w:left w:val="nil"/>
              <w:bottom w:val="nil"/>
              <w:right w:val="single" w:sz="8" w:space="0" w:color="auto"/>
            </w:tcBorders>
            <w:shd w:val="clear" w:color="000000" w:fill="FFFFFF"/>
            <w:noWrap/>
            <w:hideMark/>
          </w:tcPr>
          <w:p w14:paraId="7E1E5808" w14:textId="77777777" w:rsidR="00030B86" w:rsidRDefault="00030B86">
            <w:pPr>
              <w:jc w:val="right"/>
              <w:rPr>
                <w:rFonts w:ascii="Arial" w:hAnsi="Arial" w:cs="Arial"/>
              </w:rPr>
            </w:pPr>
            <w:r>
              <w:rPr>
                <w:rFonts w:ascii="Arial" w:hAnsi="Arial" w:cs="Arial"/>
              </w:rPr>
              <w:t xml:space="preserve">1,611 </w:t>
            </w:r>
          </w:p>
        </w:tc>
        <w:tc>
          <w:tcPr>
            <w:tcW w:w="1418" w:type="dxa"/>
            <w:tcBorders>
              <w:top w:val="nil"/>
              <w:left w:val="nil"/>
              <w:bottom w:val="nil"/>
              <w:right w:val="single" w:sz="8" w:space="0" w:color="auto"/>
            </w:tcBorders>
            <w:shd w:val="clear" w:color="000000" w:fill="FFFFFF"/>
            <w:noWrap/>
            <w:hideMark/>
          </w:tcPr>
          <w:p w14:paraId="6D2439CB" w14:textId="77777777" w:rsidR="00030B86" w:rsidRDefault="00030B86">
            <w:pPr>
              <w:jc w:val="right"/>
              <w:rPr>
                <w:rFonts w:ascii="Arial" w:hAnsi="Arial" w:cs="Arial"/>
              </w:rPr>
            </w:pPr>
            <w:r>
              <w:rPr>
                <w:rFonts w:ascii="Arial" w:hAnsi="Arial" w:cs="Arial"/>
              </w:rPr>
              <w:t>(86)</w:t>
            </w:r>
          </w:p>
        </w:tc>
        <w:tc>
          <w:tcPr>
            <w:tcW w:w="503" w:type="dxa"/>
            <w:vAlign w:val="center"/>
            <w:hideMark/>
          </w:tcPr>
          <w:p w14:paraId="21CA0993" w14:textId="77777777" w:rsidR="00030B86" w:rsidRDefault="00030B86">
            <w:pPr>
              <w:rPr>
                <w:sz w:val="20"/>
                <w:szCs w:val="20"/>
              </w:rPr>
            </w:pPr>
          </w:p>
        </w:tc>
      </w:tr>
      <w:tr w:rsidR="00030B86" w14:paraId="354EE0FE" w14:textId="77777777" w:rsidTr="00030B86">
        <w:trPr>
          <w:trHeight w:val="330"/>
        </w:trPr>
        <w:tc>
          <w:tcPr>
            <w:tcW w:w="4668" w:type="dxa"/>
            <w:tcBorders>
              <w:top w:val="nil"/>
              <w:left w:val="single" w:sz="8" w:space="0" w:color="auto"/>
              <w:bottom w:val="nil"/>
              <w:right w:val="nil"/>
            </w:tcBorders>
            <w:shd w:val="clear" w:color="000000" w:fill="FFFFFF"/>
            <w:vAlign w:val="center"/>
            <w:hideMark/>
          </w:tcPr>
          <w:p w14:paraId="065AA4A8" w14:textId="77777777" w:rsidR="00030B86" w:rsidRDefault="00030B86">
            <w:pPr>
              <w:rPr>
                <w:rFonts w:ascii="Arial" w:hAnsi="Arial" w:cs="Arial"/>
                <w:color w:val="000000"/>
              </w:rPr>
            </w:pPr>
            <w:r>
              <w:rPr>
                <w:rFonts w:ascii="Arial" w:hAnsi="Arial" w:cs="Arial"/>
                <w:color w:val="000000"/>
              </w:rPr>
              <w:t>Other</w:t>
            </w:r>
          </w:p>
        </w:tc>
        <w:tc>
          <w:tcPr>
            <w:tcW w:w="1276" w:type="dxa"/>
            <w:tcBorders>
              <w:top w:val="nil"/>
              <w:left w:val="single" w:sz="8" w:space="0" w:color="auto"/>
              <w:bottom w:val="nil"/>
              <w:right w:val="single" w:sz="8" w:space="0" w:color="auto"/>
            </w:tcBorders>
            <w:shd w:val="clear" w:color="000000" w:fill="FFFFFF"/>
            <w:noWrap/>
            <w:hideMark/>
          </w:tcPr>
          <w:p w14:paraId="5E6B62F9" w14:textId="77777777" w:rsidR="00030B86" w:rsidRDefault="00030B86">
            <w:pPr>
              <w:jc w:val="right"/>
              <w:rPr>
                <w:rFonts w:ascii="Arial" w:hAnsi="Arial" w:cs="Arial"/>
              </w:rPr>
            </w:pPr>
            <w:r>
              <w:rPr>
                <w:rFonts w:ascii="Arial" w:hAnsi="Arial" w:cs="Arial"/>
              </w:rPr>
              <w:t xml:space="preserve">3,997 </w:t>
            </w:r>
          </w:p>
        </w:tc>
        <w:tc>
          <w:tcPr>
            <w:tcW w:w="1276" w:type="dxa"/>
            <w:tcBorders>
              <w:top w:val="nil"/>
              <w:left w:val="nil"/>
              <w:bottom w:val="nil"/>
              <w:right w:val="single" w:sz="8" w:space="0" w:color="auto"/>
            </w:tcBorders>
            <w:shd w:val="clear" w:color="000000" w:fill="FFFFFF"/>
            <w:noWrap/>
            <w:hideMark/>
          </w:tcPr>
          <w:p w14:paraId="58C0CF29" w14:textId="77777777" w:rsidR="00030B86" w:rsidRDefault="00030B86">
            <w:pPr>
              <w:jc w:val="right"/>
              <w:rPr>
                <w:rFonts w:ascii="Arial" w:hAnsi="Arial" w:cs="Arial"/>
              </w:rPr>
            </w:pPr>
            <w:r>
              <w:rPr>
                <w:rFonts w:ascii="Arial" w:hAnsi="Arial" w:cs="Arial"/>
              </w:rPr>
              <w:t xml:space="preserve">2,625 </w:t>
            </w:r>
          </w:p>
        </w:tc>
        <w:tc>
          <w:tcPr>
            <w:tcW w:w="1275" w:type="dxa"/>
            <w:tcBorders>
              <w:top w:val="nil"/>
              <w:left w:val="nil"/>
              <w:bottom w:val="nil"/>
              <w:right w:val="single" w:sz="8" w:space="0" w:color="auto"/>
            </w:tcBorders>
            <w:shd w:val="clear" w:color="000000" w:fill="FFFFFF"/>
            <w:noWrap/>
            <w:hideMark/>
          </w:tcPr>
          <w:p w14:paraId="77D83687" w14:textId="77777777" w:rsidR="00030B86" w:rsidRDefault="00030B86">
            <w:pPr>
              <w:jc w:val="right"/>
              <w:rPr>
                <w:rFonts w:ascii="Arial" w:hAnsi="Arial" w:cs="Arial"/>
              </w:rPr>
            </w:pPr>
            <w:r>
              <w:rPr>
                <w:rFonts w:ascii="Arial" w:hAnsi="Arial" w:cs="Arial"/>
              </w:rPr>
              <w:t xml:space="preserve">2,301 </w:t>
            </w:r>
          </w:p>
        </w:tc>
        <w:tc>
          <w:tcPr>
            <w:tcW w:w="1418" w:type="dxa"/>
            <w:tcBorders>
              <w:top w:val="nil"/>
              <w:left w:val="nil"/>
              <w:bottom w:val="nil"/>
              <w:right w:val="single" w:sz="8" w:space="0" w:color="auto"/>
            </w:tcBorders>
            <w:shd w:val="clear" w:color="000000" w:fill="FFFFFF"/>
            <w:noWrap/>
            <w:hideMark/>
          </w:tcPr>
          <w:p w14:paraId="3CB0C2B1" w14:textId="77777777" w:rsidR="00030B86" w:rsidRDefault="00030B86">
            <w:pPr>
              <w:jc w:val="right"/>
              <w:rPr>
                <w:rFonts w:ascii="Arial" w:hAnsi="Arial" w:cs="Arial"/>
              </w:rPr>
            </w:pPr>
            <w:r>
              <w:rPr>
                <w:rFonts w:ascii="Arial" w:hAnsi="Arial" w:cs="Arial"/>
              </w:rPr>
              <w:t>(324)</w:t>
            </w:r>
          </w:p>
        </w:tc>
        <w:tc>
          <w:tcPr>
            <w:tcW w:w="503" w:type="dxa"/>
            <w:vAlign w:val="center"/>
            <w:hideMark/>
          </w:tcPr>
          <w:p w14:paraId="6429DEA2" w14:textId="77777777" w:rsidR="00030B86" w:rsidRDefault="00030B86">
            <w:pPr>
              <w:rPr>
                <w:sz w:val="20"/>
                <w:szCs w:val="20"/>
              </w:rPr>
            </w:pPr>
          </w:p>
        </w:tc>
      </w:tr>
      <w:tr w:rsidR="00030B86" w14:paraId="266E6D0C" w14:textId="77777777" w:rsidTr="00030B86">
        <w:trPr>
          <w:trHeight w:val="330"/>
        </w:trPr>
        <w:tc>
          <w:tcPr>
            <w:tcW w:w="46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E1A3895" w14:textId="77777777" w:rsidR="00030B86" w:rsidRDefault="00030B86">
            <w:pPr>
              <w:rPr>
                <w:rFonts w:ascii="Arial" w:hAnsi="Arial" w:cs="Arial"/>
                <w:b/>
                <w:bCs/>
                <w:color w:val="000000"/>
              </w:rPr>
            </w:pPr>
            <w:r>
              <w:rPr>
                <w:rFonts w:ascii="Arial" w:hAnsi="Arial" w:cs="Arial"/>
                <w:b/>
                <w:bCs/>
                <w:color w:val="000000"/>
              </w:rPr>
              <w:t>TOTAL POLICE &amp; CRIME</w:t>
            </w:r>
          </w:p>
        </w:tc>
        <w:tc>
          <w:tcPr>
            <w:tcW w:w="1276" w:type="dxa"/>
            <w:tcBorders>
              <w:top w:val="single" w:sz="8" w:space="0" w:color="auto"/>
              <w:left w:val="nil"/>
              <w:bottom w:val="single" w:sz="8" w:space="0" w:color="auto"/>
              <w:right w:val="single" w:sz="8" w:space="0" w:color="auto"/>
            </w:tcBorders>
            <w:shd w:val="clear" w:color="auto" w:fill="auto"/>
            <w:noWrap/>
            <w:hideMark/>
          </w:tcPr>
          <w:p w14:paraId="3EF96A78" w14:textId="77777777" w:rsidR="00030B86" w:rsidRDefault="00030B86">
            <w:pPr>
              <w:jc w:val="right"/>
              <w:rPr>
                <w:rFonts w:ascii="Arial" w:hAnsi="Arial" w:cs="Arial"/>
                <w:b/>
                <w:bCs/>
              </w:rPr>
            </w:pPr>
            <w:r>
              <w:rPr>
                <w:rFonts w:ascii="Arial" w:hAnsi="Arial" w:cs="Arial"/>
                <w:b/>
                <w:bCs/>
              </w:rPr>
              <w:t xml:space="preserve">54,385 </w:t>
            </w:r>
          </w:p>
        </w:tc>
        <w:tc>
          <w:tcPr>
            <w:tcW w:w="1276" w:type="dxa"/>
            <w:tcBorders>
              <w:top w:val="single" w:sz="8" w:space="0" w:color="auto"/>
              <w:left w:val="nil"/>
              <w:bottom w:val="single" w:sz="8" w:space="0" w:color="auto"/>
              <w:right w:val="single" w:sz="8" w:space="0" w:color="auto"/>
            </w:tcBorders>
            <w:shd w:val="clear" w:color="auto" w:fill="auto"/>
            <w:noWrap/>
            <w:hideMark/>
          </w:tcPr>
          <w:p w14:paraId="01765C3B" w14:textId="77777777" w:rsidR="00030B86" w:rsidRDefault="00030B86">
            <w:pPr>
              <w:jc w:val="right"/>
              <w:rPr>
                <w:rFonts w:ascii="Arial" w:hAnsi="Arial" w:cs="Arial"/>
                <w:b/>
                <w:bCs/>
              </w:rPr>
            </w:pPr>
            <w:r>
              <w:rPr>
                <w:rFonts w:ascii="Arial" w:hAnsi="Arial" w:cs="Arial"/>
                <w:b/>
                <w:bCs/>
              </w:rPr>
              <w:t xml:space="preserve">43,492 </w:t>
            </w:r>
          </w:p>
        </w:tc>
        <w:tc>
          <w:tcPr>
            <w:tcW w:w="1275" w:type="dxa"/>
            <w:tcBorders>
              <w:top w:val="single" w:sz="8" w:space="0" w:color="auto"/>
              <w:left w:val="nil"/>
              <w:bottom w:val="single" w:sz="8" w:space="0" w:color="auto"/>
              <w:right w:val="single" w:sz="8" w:space="0" w:color="auto"/>
            </w:tcBorders>
            <w:shd w:val="clear" w:color="auto" w:fill="auto"/>
            <w:noWrap/>
            <w:hideMark/>
          </w:tcPr>
          <w:p w14:paraId="34BD06B8" w14:textId="77777777" w:rsidR="00030B86" w:rsidRDefault="00030B86">
            <w:pPr>
              <w:jc w:val="right"/>
              <w:rPr>
                <w:rFonts w:ascii="Arial" w:hAnsi="Arial" w:cs="Arial"/>
                <w:b/>
                <w:bCs/>
              </w:rPr>
            </w:pPr>
            <w:r>
              <w:rPr>
                <w:rFonts w:ascii="Arial" w:hAnsi="Arial" w:cs="Arial"/>
                <w:b/>
                <w:bCs/>
              </w:rPr>
              <w:t xml:space="preserve">40,237 </w:t>
            </w:r>
          </w:p>
        </w:tc>
        <w:tc>
          <w:tcPr>
            <w:tcW w:w="1418" w:type="dxa"/>
            <w:tcBorders>
              <w:top w:val="single" w:sz="8" w:space="0" w:color="auto"/>
              <w:left w:val="nil"/>
              <w:bottom w:val="single" w:sz="8" w:space="0" w:color="auto"/>
              <w:right w:val="single" w:sz="8" w:space="0" w:color="auto"/>
            </w:tcBorders>
            <w:shd w:val="clear" w:color="auto" w:fill="auto"/>
            <w:noWrap/>
            <w:hideMark/>
          </w:tcPr>
          <w:p w14:paraId="52B79F07" w14:textId="77777777" w:rsidR="00030B86" w:rsidRDefault="00030B86">
            <w:pPr>
              <w:jc w:val="right"/>
              <w:rPr>
                <w:rFonts w:ascii="Arial" w:hAnsi="Arial" w:cs="Arial"/>
                <w:b/>
                <w:bCs/>
              </w:rPr>
            </w:pPr>
            <w:r>
              <w:rPr>
                <w:rFonts w:ascii="Arial" w:hAnsi="Arial" w:cs="Arial"/>
                <w:b/>
                <w:bCs/>
              </w:rPr>
              <w:t>(3,255)</w:t>
            </w:r>
          </w:p>
        </w:tc>
        <w:tc>
          <w:tcPr>
            <w:tcW w:w="503" w:type="dxa"/>
            <w:vAlign w:val="center"/>
            <w:hideMark/>
          </w:tcPr>
          <w:p w14:paraId="695CC13F" w14:textId="77777777" w:rsidR="00030B86" w:rsidRDefault="00030B86">
            <w:pPr>
              <w:rPr>
                <w:sz w:val="20"/>
                <w:szCs w:val="20"/>
              </w:rPr>
            </w:pPr>
          </w:p>
        </w:tc>
      </w:tr>
      <w:tr w:rsidR="00030B86" w14:paraId="67E6DEFC" w14:textId="77777777" w:rsidTr="00030B86">
        <w:trPr>
          <w:trHeight w:val="330"/>
        </w:trPr>
        <w:tc>
          <w:tcPr>
            <w:tcW w:w="4668" w:type="dxa"/>
            <w:tcBorders>
              <w:top w:val="nil"/>
              <w:left w:val="single" w:sz="8" w:space="0" w:color="auto"/>
              <w:bottom w:val="nil"/>
              <w:right w:val="single" w:sz="8" w:space="0" w:color="auto"/>
            </w:tcBorders>
            <w:shd w:val="clear" w:color="000000" w:fill="FFFFFF"/>
            <w:vAlign w:val="center"/>
            <w:hideMark/>
          </w:tcPr>
          <w:p w14:paraId="755A330F" w14:textId="77777777" w:rsidR="00030B86" w:rsidRDefault="00030B86">
            <w:pPr>
              <w:rPr>
                <w:rFonts w:ascii="Arial" w:hAnsi="Arial" w:cs="Arial"/>
                <w:b/>
                <w:bCs/>
                <w:color w:val="000000"/>
              </w:rPr>
            </w:pPr>
            <w:r>
              <w:rPr>
                <w:rFonts w:ascii="Arial" w:hAnsi="Arial" w:cs="Arial"/>
                <w:b/>
                <w:bCs/>
                <w:color w:val="000000"/>
              </w:rPr>
              <w:t> </w:t>
            </w:r>
          </w:p>
        </w:tc>
        <w:tc>
          <w:tcPr>
            <w:tcW w:w="1276" w:type="dxa"/>
            <w:tcBorders>
              <w:top w:val="nil"/>
              <w:left w:val="nil"/>
              <w:bottom w:val="single" w:sz="8" w:space="0" w:color="auto"/>
              <w:right w:val="single" w:sz="8" w:space="0" w:color="auto"/>
            </w:tcBorders>
            <w:shd w:val="clear" w:color="000000" w:fill="FFFFFF"/>
            <w:vAlign w:val="center"/>
            <w:hideMark/>
          </w:tcPr>
          <w:p w14:paraId="2065AE27" w14:textId="77777777" w:rsidR="00030B86" w:rsidRDefault="00030B86">
            <w:pPr>
              <w:rPr>
                <w:rFonts w:ascii="Arial" w:hAnsi="Arial" w:cs="Arial"/>
                <w:b/>
                <w:bCs/>
                <w:color w:val="000000"/>
              </w:rPr>
            </w:pPr>
            <w:r>
              <w:rPr>
                <w:rFonts w:ascii="Arial" w:hAnsi="Arial" w:cs="Arial"/>
                <w:b/>
                <w:bCs/>
                <w:color w:val="000000"/>
              </w:rPr>
              <w:t> </w:t>
            </w:r>
          </w:p>
        </w:tc>
        <w:tc>
          <w:tcPr>
            <w:tcW w:w="1276" w:type="dxa"/>
            <w:tcBorders>
              <w:top w:val="nil"/>
              <w:left w:val="nil"/>
              <w:bottom w:val="single" w:sz="8" w:space="0" w:color="auto"/>
              <w:right w:val="single" w:sz="8" w:space="0" w:color="auto"/>
            </w:tcBorders>
            <w:shd w:val="clear" w:color="000000" w:fill="FFFFFF"/>
            <w:vAlign w:val="center"/>
            <w:hideMark/>
          </w:tcPr>
          <w:p w14:paraId="77D6D0A0" w14:textId="77777777" w:rsidR="00030B86" w:rsidRDefault="00030B86">
            <w:pPr>
              <w:jc w:val="right"/>
              <w:rPr>
                <w:rFonts w:ascii="Arial" w:hAnsi="Arial" w:cs="Arial"/>
                <w:b/>
                <w:bCs/>
                <w:color w:val="000000"/>
              </w:rPr>
            </w:pPr>
            <w:r>
              <w:rPr>
                <w:rFonts w:ascii="Arial" w:hAnsi="Arial" w:cs="Arial"/>
                <w:b/>
                <w:bCs/>
                <w:color w:val="000000"/>
              </w:rPr>
              <w:t> </w:t>
            </w:r>
          </w:p>
        </w:tc>
        <w:tc>
          <w:tcPr>
            <w:tcW w:w="1275" w:type="dxa"/>
            <w:tcBorders>
              <w:top w:val="nil"/>
              <w:left w:val="nil"/>
              <w:bottom w:val="single" w:sz="8" w:space="0" w:color="auto"/>
              <w:right w:val="single" w:sz="8" w:space="0" w:color="auto"/>
            </w:tcBorders>
            <w:shd w:val="clear" w:color="000000" w:fill="FFFFFF"/>
            <w:vAlign w:val="center"/>
            <w:hideMark/>
          </w:tcPr>
          <w:p w14:paraId="070E8EC0" w14:textId="77777777" w:rsidR="00030B86" w:rsidRDefault="00030B86">
            <w:pPr>
              <w:jc w:val="right"/>
              <w:rPr>
                <w:rFonts w:ascii="Arial" w:hAnsi="Arial" w:cs="Arial"/>
                <w:b/>
                <w:bCs/>
                <w:color w:val="000000"/>
              </w:rPr>
            </w:pPr>
            <w:r>
              <w:rPr>
                <w:rFonts w:ascii="Arial" w:hAnsi="Arial" w:cs="Arial"/>
                <w:b/>
                <w:bCs/>
                <w:color w:val="000000"/>
              </w:rPr>
              <w:t> </w:t>
            </w:r>
          </w:p>
        </w:tc>
        <w:tc>
          <w:tcPr>
            <w:tcW w:w="1418" w:type="dxa"/>
            <w:tcBorders>
              <w:top w:val="nil"/>
              <w:left w:val="nil"/>
              <w:bottom w:val="single" w:sz="8" w:space="0" w:color="auto"/>
              <w:right w:val="single" w:sz="8" w:space="0" w:color="auto"/>
            </w:tcBorders>
            <w:shd w:val="clear" w:color="000000" w:fill="FFFFFF"/>
            <w:vAlign w:val="center"/>
            <w:hideMark/>
          </w:tcPr>
          <w:p w14:paraId="548722B5" w14:textId="77777777" w:rsidR="00030B86" w:rsidRDefault="00030B86">
            <w:pPr>
              <w:jc w:val="right"/>
              <w:rPr>
                <w:rFonts w:ascii="Arial" w:hAnsi="Arial" w:cs="Arial"/>
                <w:b/>
                <w:bCs/>
                <w:color w:val="000000"/>
              </w:rPr>
            </w:pPr>
            <w:r>
              <w:rPr>
                <w:rFonts w:ascii="Arial" w:hAnsi="Arial" w:cs="Arial"/>
                <w:b/>
                <w:bCs/>
                <w:color w:val="000000"/>
              </w:rPr>
              <w:t> </w:t>
            </w:r>
          </w:p>
        </w:tc>
        <w:tc>
          <w:tcPr>
            <w:tcW w:w="503" w:type="dxa"/>
            <w:vAlign w:val="center"/>
            <w:hideMark/>
          </w:tcPr>
          <w:p w14:paraId="5F4B541E" w14:textId="77777777" w:rsidR="00030B86" w:rsidRDefault="00030B86">
            <w:pPr>
              <w:rPr>
                <w:sz w:val="20"/>
                <w:szCs w:val="20"/>
              </w:rPr>
            </w:pPr>
          </w:p>
        </w:tc>
      </w:tr>
      <w:tr w:rsidR="00030B86" w14:paraId="0D54DF9B" w14:textId="77777777" w:rsidTr="00030B86">
        <w:trPr>
          <w:trHeight w:val="330"/>
        </w:trPr>
        <w:tc>
          <w:tcPr>
            <w:tcW w:w="46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F054C74" w14:textId="77777777" w:rsidR="00030B86" w:rsidRDefault="00030B86">
            <w:pPr>
              <w:rPr>
                <w:rFonts w:ascii="Arial" w:hAnsi="Arial" w:cs="Arial"/>
                <w:b/>
                <w:bCs/>
                <w:color w:val="000000"/>
              </w:rPr>
            </w:pPr>
            <w:r>
              <w:rPr>
                <w:rFonts w:ascii="Arial" w:hAnsi="Arial" w:cs="Arial"/>
                <w:b/>
                <w:bCs/>
                <w:color w:val="000000"/>
              </w:rPr>
              <w:t>TOTAL CAPITAL</w:t>
            </w:r>
          </w:p>
        </w:tc>
        <w:tc>
          <w:tcPr>
            <w:tcW w:w="1276" w:type="dxa"/>
            <w:tcBorders>
              <w:top w:val="nil"/>
              <w:left w:val="nil"/>
              <w:bottom w:val="single" w:sz="8" w:space="0" w:color="auto"/>
              <w:right w:val="single" w:sz="8" w:space="0" w:color="auto"/>
            </w:tcBorders>
            <w:shd w:val="clear" w:color="auto" w:fill="auto"/>
            <w:noWrap/>
            <w:hideMark/>
          </w:tcPr>
          <w:p w14:paraId="2952CEFD" w14:textId="77777777" w:rsidR="00030B86" w:rsidRDefault="00030B86">
            <w:pPr>
              <w:jc w:val="right"/>
              <w:rPr>
                <w:rFonts w:ascii="Arial" w:hAnsi="Arial" w:cs="Arial"/>
                <w:b/>
                <w:bCs/>
              </w:rPr>
            </w:pPr>
            <w:r>
              <w:rPr>
                <w:rFonts w:ascii="Arial" w:hAnsi="Arial" w:cs="Arial"/>
                <w:b/>
                <w:bCs/>
              </w:rPr>
              <w:t xml:space="preserve">493,335 </w:t>
            </w:r>
          </w:p>
        </w:tc>
        <w:tc>
          <w:tcPr>
            <w:tcW w:w="1276" w:type="dxa"/>
            <w:tcBorders>
              <w:top w:val="nil"/>
              <w:left w:val="nil"/>
              <w:bottom w:val="single" w:sz="8" w:space="0" w:color="auto"/>
              <w:right w:val="single" w:sz="8" w:space="0" w:color="auto"/>
            </w:tcBorders>
            <w:shd w:val="clear" w:color="auto" w:fill="auto"/>
            <w:noWrap/>
            <w:hideMark/>
          </w:tcPr>
          <w:p w14:paraId="68DB995F" w14:textId="77777777" w:rsidR="00030B86" w:rsidRDefault="00030B86">
            <w:pPr>
              <w:jc w:val="right"/>
              <w:rPr>
                <w:rFonts w:ascii="Arial" w:hAnsi="Arial" w:cs="Arial"/>
                <w:b/>
                <w:bCs/>
              </w:rPr>
            </w:pPr>
            <w:r>
              <w:rPr>
                <w:rFonts w:ascii="Arial" w:hAnsi="Arial" w:cs="Arial"/>
                <w:b/>
                <w:bCs/>
              </w:rPr>
              <w:t xml:space="preserve">523,409 </w:t>
            </w:r>
          </w:p>
        </w:tc>
        <w:tc>
          <w:tcPr>
            <w:tcW w:w="1275" w:type="dxa"/>
            <w:tcBorders>
              <w:top w:val="nil"/>
              <w:left w:val="nil"/>
              <w:bottom w:val="single" w:sz="8" w:space="0" w:color="auto"/>
              <w:right w:val="single" w:sz="8" w:space="0" w:color="auto"/>
            </w:tcBorders>
            <w:shd w:val="clear" w:color="auto" w:fill="auto"/>
            <w:noWrap/>
            <w:hideMark/>
          </w:tcPr>
          <w:p w14:paraId="4B97CD11" w14:textId="77777777" w:rsidR="00030B86" w:rsidRDefault="00030B86">
            <w:pPr>
              <w:jc w:val="right"/>
              <w:rPr>
                <w:rFonts w:ascii="Arial" w:hAnsi="Arial" w:cs="Arial"/>
                <w:b/>
                <w:bCs/>
              </w:rPr>
            </w:pPr>
            <w:r>
              <w:rPr>
                <w:rFonts w:ascii="Arial" w:hAnsi="Arial" w:cs="Arial"/>
                <w:b/>
                <w:bCs/>
              </w:rPr>
              <w:t xml:space="preserve">539,512 </w:t>
            </w:r>
          </w:p>
        </w:tc>
        <w:tc>
          <w:tcPr>
            <w:tcW w:w="1418" w:type="dxa"/>
            <w:tcBorders>
              <w:top w:val="nil"/>
              <w:left w:val="nil"/>
              <w:bottom w:val="single" w:sz="8" w:space="0" w:color="auto"/>
              <w:right w:val="single" w:sz="8" w:space="0" w:color="auto"/>
            </w:tcBorders>
            <w:shd w:val="clear" w:color="auto" w:fill="auto"/>
            <w:noWrap/>
            <w:hideMark/>
          </w:tcPr>
          <w:p w14:paraId="19A2F32C" w14:textId="77777777" w:rsidR="00030B86" w:rsidRDefault="00030B86">
            <w:pPr>
              <w:jc w:val="right"/>
              <w:rPr>
                <w:rFonts w:ascii="Arial" w:hAnsi="Arial" w:cs="Arial"/>
                <w:b/>
                <w:bCs/>
              </w:rPr>
            </w:pPr>
            <w:r>
              <w:rPr>
                <w:rFonts w:ascii="Arial" w:hAnsi="Arial" w:cs="Arial"/>
                <w:b/>
                <w:bCs/>
              </w:rPr>
              <w:t xml:space="preserve">16,103 </w:t>
            </w:r>
          </w:p>
        </w:tc>
        <w:tc>
          <w:tcPr>
            <w:tcW w:w="503" w:type="dxa"/>
            <w:vAlign w:val="center"/>
            <w:hideMark/>
          </w:tcPr>
          <w:p w14:paraId="1B57AB57" w14:textId="77777777" w:rsidR="00030B86" w:rsidRDefault="00030B86">
            <w:pPr>
              <w:rPr>
                <w:sz w:val="20"/>
                <w:szCs w:val="20"/>
              </w:rPr>
            </w:pPr>
          </w:p>
        </w:tc>
      </w:tr>
    </w:tbl>
    <w:p w14:paraId="2C0B6C74" w14:textId="252E72A8" w:rsidR="00AF181F" w:rsidRDefault="00AF181F" w:rsidP="00016C24">
      <w:pPr>
        <w:pStyle w:val="Normal0"/>
        <w:spacing w:after="160" w:line="240" w:lineRule="auto"/>
        <w:rPr>
          <w:rFonts w:ascii="Arial" w:hAnsi="Arial" w:cs="Arial"/>
          <w:sz w:val="24"/>
          <w:szCs w:val="22"/>
        </w:rPr>
      </w:pPr>
    </w:p>
    <w:p w14:paraId="2817D0BE" w14:textId="44149D4B" w:rsidR="00AF181F" w:rsidRDefault="00AF181F" w:rsidP="00016C24">
      <w:pPr>
        <w:pStyle w:val="Normal0"/>
        <w:spacing w:after="160" w:line="240" w:lineRule="auto"/>
        <w:rPr>
          <w:rFonts w:ascii="Arial" w:hAnsi="Arial" w:cs="Arial"/>
          <w:sz w:val="24"/>
          <w:szCs w:val="22"/>
        </w:rPr>
      </w:pPr>
    </w:p>
    <w:p w14:paraId="65E31E96" w14:textId="77777777" w:rsidR="00FD76D5" w:rsidRDefault="00FD76D5" w:rsidP="00016C24">
      <w:pPr>
        <w:pStyle w:val="Normal0"/>
        <w:spacing w:after="160" w:line="240" w:lineRule="auto"/>
        <w:rPr>
          <w:rFonts w:ascii="Arial" w:hAnsi="Arial" w:cs="Arial"/>
          <w:sz w:val="24"/>
          <w:szCs w:val="22"/>
        </w:rPr>
      </w:pPr>
    </w:p>
    <w:tbl>
      <w:tblPr>
        <w:tblW w:w="6540" w:type="dxa"/>
        <w:tblInd w:w="841" w:type="dxa"/>
        <w:tblLook w:val="04A0" w:firstRow="1" w:lastRow="0" w:firstColumn="1" w:lastColumn="0" w:noHBand="0" w:noVBand="1"/>
      </w:tblPr>
      <w:tblGrid>
        <w:gridCol w:w="5340"/>
        <w:gridCol w:w="1200"/>
      </w:tblGrid>
      <w:tr w:rsidR="00016C24" w:rsidRPr="00C7581E" w14:paraId="503014BC" w14:textId="77777777" w:rsidTr="00500FD5">
        <w:trPr>
          <w:trHeight w:val="300"/>
        </w:trPr>
        <w:tc>
          <w:tcPr>
            <w:tcW w:w="5340" w:type="dxa"/>
            <w:tcBorders>
              <w:top w:val="single" w:sz="8" w:space="0" w:color="auto"/>
              <w:left w:val="single" w:sz="8" w:space="0" w:color="auto"/>
              <w:bottom w:val="nil"/>
              <w:right w:val="single" w:sz="8" w:space="0" w:color="auto"/>
            </w:tcBorders>
            <w:shd w:val="clear" w:color="auto" w:fill="auto"/>
            <w:noWrap/>
            <w:vAlign w:val="center"/>
            <w:hideMark/>
          </w:tcPr>
          <w:p w14:paraId="7D3DDE67" w14:textId="77777777" w:rsidR="00016C24" w:rsidRPr="00C7581E" w:rsidRDefault="00016C24" w:rsidP="00500FD5">
            <w:pPr>
              <w:spacing w:line="360" w:lineRule="auto"/>
              <w:rPr>
                <w:rFonts w:ascii="Arial" w:hAnsi="Arial" w:cs="Arial"/>
                <w:b/>
                <w:bCs/>
                <w:lang w:eastAsia="en-GB"/>
              </w:rPr>
            </w:pPr>
            <w:r w:rsidRPr="00C7581E">
              <w:rPr>
                <w:rFonts w:ascii="Arial" w:hAnsi="Arial" w:cs="Arial"/>
                <w:b/>
                <w:bCs/>
                <w:lang w:eastAsia="en-GB"/>
              </w:rPr>
              <w:lastRenderedPageBreak/>
              <w:t>Financed by:</w:t>
            </w:r>
          </w:p>
        </w:tc>
        <w:tc>
          <w:tcPr>
            <w:tcW w:w="1200" w:type="dxa"/>
            <w:tcBorders>
              <w:top w:val="single" w:sz="8" w:space="0" w:color="auto"/>
              <w:left w:val="nil"/>
              <w:bottom w:val="nil"/>
              <w:right w:val="single" w:sz="8" w:space="0" w:color="auto"/>
            </w:tcBorders>
            <w:shd w:val="clear" w:color="auto" w:fill="auto"/>
            <w:noWrap/>
            <w:vAlign w:val="center"/>
            <w:hideMark/>
          </w:tcPr>
          <w:p w14:paraId="498A0D61" w14:textId="77777777" w:rsidR="00016C24" w:rsidRPr="00C7581E" w:rsidRDefault="00016C24" w:rsidP="00500FD5">
            <w:pPr>
              <w:spacing w:line="360" w:lineRule="auto"/>
              <w:jc w:val="center"/>
              <w:rPr>
                <w:rFonts w:ascii="Arial" w:hAnsi="Arial" w:cs="Arial"/>
                <w:b/>
                <w:bCs/>
                <w:lang w:eastAsia="en-GB"/>
              </w:rPr>
            </w:pPr>
            <w:r w:rsidRPr="00C7581E">
              <w:rPr>
                <w:rFonts w:ascii="Arial" w:hAnsi="Arial" w:cs="Arial"/>
                <w:b/>
                <w:bCs/>
                <w:lang w:eastAsia="en-GB"/>
              </w:rPr>
              <w:t>£000</w:t>
            </w:r>
          </w:p>
        </w:tc>
      </w:tr>
      <w:tr w:rsidR="00016C24" w:rsidRPr="00C7581E" w14:paraId="4E52B41E"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5F98499C" w14:textId="77777777" w:rsidR="00016C24" w:rsidRPr="00C7581E" w:rsidRDefault="00016C24" w:rsidP="00500FD5">
            <w:pPr>
              <w:spacing w:line="360" w:lineRule="auto"/>
              <w:rPr>
                <w:rFonts w:ascii="Arial" w:hAnsi="Arial" w:cs="Arial"/>
                <w:u w:val="single"/>
                <w:lang w:eastAsia="en-GB"/>
              </w:rPr>
            </w:pPr>
            <w:r w:rsidRPr="00C7581E">
              <w:rPr>
                <w:rFonts w:ascii="Arial" w:hAnsi="Arial" w:cs="Arial"/>
                <w:u w:val="single"/>
                <w:lang w:eastAsia="en-GB"/>
              </w:rPr>
              <w:t>GMCA Resources</w:t>
            </w:r>
          </w:p>
        </w:tc>
        <w:tc>
          <w:tcPr>
            <w:tcW w:w="1200" w:type="dxa"/>
            <w:tcBorders>
              <w:top w:val="nil"/>
              <w:left w:val="nil"/>
              <w:bottom w:val="nil"/>
              <w:right w:val="single" w:sz="8" w:space="0" w:color="auto"/>
            </w:tcBorders>
            <w:shd w:val="clear" w:color="auto" w:fill="auto"/>
            <w:noWrap/>
            <w:vAlign w:val="center"/>
            <w:hideMark/>
          </w:tcPr>
          <w:p w14:paraId="704CD34A"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w:t>
            </w:r>
          </w:p>
        </w:tc>
      </w:tr>
      <w:tr w:rsidR="00016C24" w:rsidRPr="00C7581E" w14:paraId="5C554AD8"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55D4D503"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Borrowing</w:t>
            </w:r>
          </w:p>
        </w:tc>
        <w:tc>
          <w:tcPr>
            <w:tcW w:w="1200" w:type="dxa"/>
            <w:tcBorders>
              <w:top w:val="nil"/>
              <w:left w:val="nil"/>
              <w:bottom w:val="nil"/>
              <w:right w:val="single" w:sz="8" w:space="0" w:color="auto"/>
            </w:tcBorders>
            <w:shd w:val="clear" w:color="auto" w:fill="auto"/>
            <w:noWrap/>
            <w:vAlign w:val="center"/>
            <w:hideMark/>
          </w:tcPr>
          <w:p w14:paraId="60FCC66E"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43,346 </w:t>
            </w:r>
          </w:p>
        </w:tc>
      </w:tr>
      <w:tr w:rsidR="00016C24" w:rsidRPr="00C7581E" w14:paraId="74CC29A9"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4F2514FD"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Capital Grants</w:t>
            </w:r>
          </w:p>
        </w:tc>
        <w:tc>
          <w:tcPr>
            <w:tcW w:w="1200" w:type="dxa"/>
            <w:tcBorders>
              <w:top w:val="nil"/>
              <w:left w:val="nil"/>
              <w:bottom w:val="nil"/>
              <w:right w:val="single" w:sz="8" w:space="0" w:color="auto"/>
            </w:tcBorders>
            <w:shd w:val="clear" w:color="auto" w:fill="auto"/>
            <w:noWrap/>
            <w:vAlign w:val="center"/>
            <w:hideMark/>
          </w:tcPr>
          <w:p w14:paraId="5CA3038D"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116,519 </w:t>
            </w:r>
          </w:p>
        </w:tc>
      </w:tr>
      <w:tr w:rsidR="00016C24" w:rsidRPr="00C7581E" w14:paraId="3E5FA5A8"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576738BF"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Revenue Contribution to Capital Outlay</w:t>
            </w:r>
          </w:p>
        </w:tc>
        <w:tc>
          <w:tcPr>
            <w:tcW w:w="1200" w:type="dxa"/>
            <w:tcBorders>
              <w:top w:val="nil"/>
              <w:left w:val="nil"/>
              <w:bottom w:val="nil"/>
              <w:right w:val="single" w:sz="8" w:space="0" w:color="auto"/>
            </w:tcBorders>
            <w:shd w:val="clear" w:color="auto" w:fill="auto"/>
            <w:noWrap/>
            <w:vAlign w:val="center"/>
            <w:hideMark/>
          </w:tcPr>
          <w:p w14:paraId="2DF8D712"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31,847 </w:t>
            </w:r>
          </w:p>
        </w:tc>
      </w:tr>
      <w:tr w:rsidR="00016C24" w:rsidRPr="00C7581E" w14:paraId="7DE713FA" w14:textId="77777777" w:rsidTr="00500FD5">
        <w:trPr>
          <w:trHeight w:val="527"/>
        </w:trPr>
        <w:tc>
          <w:tcPr>
            <w:tcW w:w="5340" w:type="dxa"/>
            <w:tcBorders>
              <w:top w:val="nil"/>
              <w:left w:val="single" w:sz="8" w:space="0" w:color="auto"/>
              <w:bottom w:val="nil"/>
              <w:right w:val="single" w:sz="8" w:space="0" w:color="auto"/>
            </w:tcBorders>
            <w:shd w:val="clear" w:color="auto" w:fill="auto"/>
            <w:noWrap/>
            <w:vAlign w:val="center"/>
            <w:hideMark/>
          </w:tcPr>
          <w:p w14:paraId="7662E8E2"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External Contributions</w:t>
            </w:r>
          </w:p>
        </w:tc>
        <w:tc>
          <w:tcPr>
            <w:tcW w:w="1200" w:type="dxa"/>
            <w:tcBorders>
              <w:top w:val="nil"/>
              <w:left w:val="nil"/>
              <w:bottom w:val="nil"/>
              <w:right w:val="single" w:sz="8" w:space="0" w:color="auto"/>
            </w:tcBorders>
            <w:shd w:val="clear" w:color="auto" w:fill="auto"/>
            <w:noWrap/>
            <w:vAlign w:val="center"/>
            <w:hideMark/>
          </w:tcPr>
          <w:p w14:paraId="4B8D118C"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2,230 </w:t>
            </w:r>
          </w:p>
        </w:tc>
      </w:tr>
      <w:tr w:rsidR="00016C24" w:rsidRPr="00C7581E" w14:paraId="344F4D50" w14:textId="77777777" w:rsidTr="00500FD5">
        <w:trPr>
          <w:trHeight w:val="300"/>
        </w:trPr>
        <w:tc>
          <w:tcPr>
            <w:tcW w:w="5340" w:type="dxa"/>
            <w:tcBorders>
              <w:top w:val="nil"/>
              <w:left w:val="single" w:sz="8" w:space="0" w:color="auto"/>
              <w:bottom w:val="nil"/>
              <w:right w:val="single" w:sz="8" w:space="0" w:color="auto"/>
            </w:tcBorders>
            <w:shd w:val="clear" w:color="auto" w:fill="auto"/>
            <w:noWrap/>
            <w:vAlign w:val="center"/>
            <w:hideMark/>
          </w:tcPr>
          <w:p w14:paraId="24F66225"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External Contributions TfGM</w:t>
            </w:r>
          </w:p>
        </w:tc>
        <w:tc>
          <w:tcPr>
            <w:tcW w:w="1200" w:type="dxa"/>
            <w:tcBorders>
              <w:top w:val="nil"/>
              <w:left w:val="nil"/>
              <w:bottom w:val="nil"/>
              <w:right w:val="single" w:sz="8" w:space="0" w:color="auto"/>
            </w:tcBorders>
            <w:shd w:val="clear" w:color="auto" w:fill="auto"/>
            <w:noWrap/>
            <w:vAlign w:val="center"/>
            <w:hideMark/>
          </w:tcPr>
          <w:p w14:paraId="1B1FF6E4"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13,361 </w:t>
            </w:r>
          </w:p>
        </w:tc>
      </w:tr>
      <w:tr w:rsidR="00016C24" w:rsidRPr="00C7581E" w14:paraId="0BCB7728"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hideMark/>
          </w:tcPr>
          <w:p w14:paraId="6155D0A6" w14:textId="77777777" w:rsidR="00016C24" w:rsidRPr="00C7581E" w:rsidRDefault="00016C24" w:rsidP="00500FD5">
            <w:pPr>
              <w:spacing w:line="360" w:lineRule="auto"/>
              <w:rPr>
                <w:rFonts w:ascii="Arial" w:hAnsi="Arial" w:cs="Arial"/>
                <w:b/>
                <w:bCs/>
                <w:lang w:eastAsia="en-GB"/>
              </w:rPr>
            </w:pPr>
            <w:r w:rsidRPr="00C7581E">
              <w:rPr>
                <w:rFonts w:ascii="Arial" w:hAnsi="Arial" w:cs="Arial"/>
                <w:b/>
                <w:bCs/>
                <w:lang w:eastAsia="en-GB"/>
              </w:rPr>
              <w:t>Total Transport</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3432614C" w14:textId="77777777" w:rsidR="00016C24" w:rsidRPr="00C7581E" w:rsidRDefault="00016C24" w:rsidP="00500FD5">
            <w:pPr>
              <w:spacing w:line="360" w:lineRule="auto"/>
              <w:jc w:val="right"/>
              <w:rPr>
                <w:rFonts w:ascii="Arial" w:hAnsi="Arial" w:cs="Arial"/>
                <w:b/>
                <w:bCs/>
                <w:lang w:eastAsia="en-GB"/>
              </w:rPr>
            </w:pPr>
            <w:r w:rsidRPr="00C7581E">
              <w:rPr>
                <w:rFonts w:ascii="Arial" w:hAnsi="Arial" w:cs="Arial"/>
                <w:b/>
                <w:bCs/>
                <w:lang w:eastAsia="en-GB"/>
              </w:rPr>
              <w:t xml:space="preserve">207,302 </w:t>
            </w:r>
          </w:p>
        </w:tc>
      </w:tr>
      <w:tr w:rsidR="00016C24" w:rsidRPr="00C7581E" w14:paraId="487BAEED"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17A6E524"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Borrowing</w:t>
            </w:r>
          </w:p>
        </w:tc>
        <w:tc>
          <w:tcPr>
            <w:tcW w:w="1200" w:type="dxa"/>
            <w:tcBorders>
              <w:top w:val="nil"/>
              <w:left w:val="nil"/>
              <w:bottom w:val="nil"/>
              <w:right w:val="single" w:sz="8" w:space="0" w:color="auto"/>
            </w:tcBorders>
            <w:shd w:val="clear" w:color="auto" w:fill="auto"/>
            <w:noWrap/>
            <w:vAlign w:val="bottom"/>
            <w:hideMark/>
          </w:tcPr>
          <w:p w14:paraId="78B164F9"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0 </w:t>
            </w:r>
          </w:p>
        </w:tc>
      </w:tr>
      <w:tr w:rsidR="00016C24" w:rsidRPr="00C7581E" w14:paraId="405D66AE"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4BF28759"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Capital Grants</w:t>
            </w:r>
          </w:p>
        </w:tc>
        <w:tc>
          <w:tcPr>
            <w:tcW w:w="1200" w:type="dxa"/>
            <w:tcBorders>
              <w:top w:val="nil"/>
              <w:left w:val="nil"/>
              <w:bottom w:val="nil"/>
              <w:right w:val="single" w:sz="8" w:space="0" w:color="auto"/>
            </w:tcBorders>
            <w:shd w:val="clear" w:color="auto" w:fill="auto"/>
            <w:noWrap/>
            <w:vAlign w:val="center"/>
            <w:hideMark/>
          </w:tcPr>
          <w:p w14:paraId="323F4596"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112,205 </w:t>
            </w:r>
          </w:p>
        </w:tc>
      </w:tr>
      <w:tr w:rsidR="00016C24" w:rsidRPr="00C7581E" w14:paraId="4B9741E9"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5A38FD39"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Revenue Contribution to Capital Outlay</w:t>
            </w:r>
          </w:p>
        </w:tc>
        <w:tc>
          <w:tcPr>
            <w:tcW w:w="1200" w:type="dxa"/>
            <w:tcBorders>
              <w:top w:val="nil"/>
              <w:left w:val="nil"/>
              <w:bottom w:val="nil"/>
              <w:right w:val="single" w:sz="8" w:space="0" w:color="auto"/>
            </w:tcBorders>
            <w:shd w:val="clear" w:color="auto" w:fill="auto"/>
            <w:noWrap/>
            <w:vAlign w:val="center"/>
            <w:hideMark/>
          </w:tcPr>
          <w:p w14:paraId="57574FA5"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0 </w:t>
            </w:r>
          </w:p>
        </w:tc>
      </w:tr>
      <w:tr w:rsidR="00016C24" w:rsidRPr="00C7581E" w14:paraId="5FE58053" w14:textId="77777777" w:rsidTr="00500FD5">
        <w:trPr>
          <w:trHeight w:val="300"/>
        </w:trPr>
        <w:tc>
          <w:tcPr>
            <w:tcW w:w="5340" w:type="dxa"/>
            <w:tcBorders>
              <w:top w:val="nil"/>
              <w:left w:val="single" w:sz="8" w:space="0" w:color="auto"/>
              <w:bottom w:val="nil"/>
              <w:right w:val="single" w:sz="8" w:space="0" w:color="auto"/>
            </w:tcBorders>
            <w:shd w:val="clear" w:color="auto" w:fill="auto"/>
            <w:noWrap/>
            <w:vAlign w:val="center"/>
            <w:hideMark/>
          </w:tcPr>
          <w:p w14:paraId="04C860BD"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Useable Capital Receipts</w:t>
            </w:r>
          </w:p>
        </w:tc>
        <w:tc>
          <w:tcPr>
            <w:tcW w:w="1200" w:type="dxa"/>
            <w:tcBorders>
              <w:top w:val="nil"/>
              <w:left w:val="nil"/>
              <w:bottom w:val="nil"/>
              <w:right w:val="single" w:sz="8" w:space="0" w:color="auto"/>
            </w:tcBorders>
            <w:shd w:val="clear" w:color="auto" w:fill="auto"/>
            <w:noWrap/>
            <w:vAlign w:val="center"/>
            <w:hideMark/>
          </w:tcPr>
          <w:p w14:paraId="1633E504"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157,353 </w:t>
            </w:r>
          </w:p>
        </w:tc>
      </w:tr>
      <w:tr w:rsidR="00016C24" w:rsidRPr="00C7581E" w14:paraId="5CBEA7BD"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hideMark/>
          </w:tcPr>
          <w:p w14:paraId="0278E100" w14:textId="77777777" w:rsidR="00016C24" w:rsidRPr="00C7581E" w:rsidRDefault="00016C24" w:rsidP="00500FD5">
            <w:pPr>
              <w:spacing w:line="360" w:lineRule="auto"/>
              <w:rPr>
                <w:rFonts w:ascii="Arial" w:hAnsi="Arial" w:cs="Arial"/>
                <w:b/>
                <w:bCs/>
                <w:lang w:eastAsia="en-GB"/>
              </w:rPr>
            </w:pPr>
            <w:r w:rsidRPr="00C7581E">
              <w:rPr>
                <w:rFonts w:ascii="Arial" w:hAnsi="Arial" w:cs="Arial"/>
                <w:b/>
                <w:bCs/>
                <w:lang w:eastAsia="en-GB"/>
              </w:rPr>
              <w:t>Total Economic Development and Regen</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725C5F3D" w14:textId="77777777" w:rsidR="00016C24" w:rsidRPr="00C7581E" w:rsidRDefault="00016C24" w:rsidP="00500FD5">
            <w:pPr>
              <w:spacing w:line="360" w:lineRule="auto"/>
              <w:jc w:val="right"/>
              <w:rPr>
                <w:rFonts w:ascii="Arial" w:hAnsi="Arial" w:cs="Arial"/>
                <w:b/>
                <w:bCs/>
                <w:lang w:eastAsia="en-GB"/>
              </w:rPr>
            </w:pPr>
            <w:r w:rsidRPr="00C7581E">
              <w:rPr>
                <w:rFonts w:ascii="Arial" w:hAnsi="Arial" w:cs="Arial"/>
                <w:b/>
                <w:bCs/>
                <w:lang w:eastAsia="en-GB"/>
              </w:rPr>
              <w:t xml:space="preserve">269,558 </w:t>
            </w:r>
          </w:p>
        </w:tc>
      </w:tr>
      <w:tr w:rsidR="00016C24" w:rsidRPr="00C7581E" w14:paraId="23831FC2"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1935E2E4"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Borrowing</w:t>
            </w:r>
          </w:p>
        </w:tc>
        <w:tc>
          <w:tcPr>
            <w:tcW w:w="1200" w:type="dxa"/>
            <w:tcBorders>
              <w:top w:val="nil"/>
              <w:left w:val="nil"/>
              <w:bottom w:val="nil"/>
              <w:right w:val="single" w:sz="8" w:space="0" w:color="auto"/>
            </w:tcBorders>
            <w:shd w:val="clear" w:color="auto" w:fill="auto"/>
            <w:noWrap/>
            <w:vAlign w:val="bottom"/>
            <w:hideMark/>
          </w:tcPr>
          <w:p w14:paraId="434E0784"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1,779 </w:t>
            </w:r>
          </w:p>
        </w:tc>
      </w:tr>
      <w:tr w:rsidR="00016C24" w:rsidRPr="00C7581E" w14:paraId="342E305C"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78660FEB"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Capital Grants</w:t>
            </w:r>
          </w:p>
        </w:tc>
        <w:tc>
          <w:tcPr>
            <w:tcW w:w="1200" w:type="dxa"/>
            <w:tcBorders>
              <w:top w:val="nil"/>
              <w:left w:val="nil"/>
              <w:bottom w:val="nil"/>
              <w:right w:val="single" w:sz="8" w:space="0" w:color="auto"/>
            </w:tcBorders>
            <w:shd w:val="clear" w:color="auto" w:fill="auto"/>
            <w:noWrap/>
            <w:vAlign w:val="bottom"/>
            <w:hideMark/>
          </w:tcPr>
          <w:p w14:paraId="7E7D9E48"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1,751 </w:t>
            </w:r>
          </w:p>
        </w:tc>
      </w:tr>
      <w:tr w:rsidR="00016C24" w:rsidRPr="00C7581E" w14:paraId="0AF67771"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6B020B2B"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Revenue Contribution to Capital Outlay</w:t>
            </w:r>
          </w:p>
        </w:tc>
        <w:tc>
          <w:tcPr>
            <w:tcW w:w="1200" w:type="dxa"/>
            <w:tcBorders>
              <w:top w:val="nil"/>
              <w:left w:val="nil"/>
              <w:bottom w:val="nil"/>
              <w:right w:val="single" w:sz="8" w:space="0" w:color="auto"/>
            </w:tcBorders>
            <w:shd w:val="clear" w:color="auto" w:fill="auto"/>
            <w:noWrap/>
            <w:vAlign w:val="bottom"/>
            <w:hideMark/>
          </w:tcPr>
          <w:p w14:paraId="487350FB"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3,330 </w:t>
            </w:r>
          </w:p>
        </w:tc>
      </w:tr>
      <w:tr w:rsidR="00016C24" w:rsidRPr="00C7581E" w14:paraId="0A6B648C" w14:textId="77777777" w:rsidTr="00500FD5">
        <w:trPr>
          <w:trHeight w:val="300"/>
        </w:trPr>
        <w:tc>
          <w:tcPr>
            <w:tcW w:w="5340" w:type="dxa"/>
            <w:tcBorders>
              <w:top w:val="nil"/>
              <w:left w:val="single" w:sz="8" w:space="0" w:color="auto"/>
              <w:bottom w:val="nil"/>
              <w:right w:val="single" w:sz="8" w:space="0" w:color="auto"/>
            </w:tcBorders>
            <w:shd w:val="clear" w:color="auto" w:fill="auto"/>
            <w:noWrap/>
            <w:vAlign w:val="bottom"/>
            <w:hideMark/>
          </w:tcPr>
          <w:p w14:paraId="2C50DDC1"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Capital Receipts</w:t>
            </w:r>
          </w:p>
        </w:tc>
        <w:tc>
          <w:tcPr>
            <w:tcW w:w="1200" w:type="dxa"/>
            <w:tcBorders>
              <w:top w:val="nil"/>
              <w:left w:val="nil"/>
              <w:bottom w:val="nil"/>
              <w:right w:val="single" w:sz="8" w:space="0" w:color="auto"/>
            </w:tcBorders>
            <w:shd w:val="clear" w:color="auto" w:fill="auto"/>
            <w:noWrap/>
            <w:vAlign w:val="bottom"/>
            <w:hideMark/>
          </w:tcPr>
          <w:p w14:paraId="3557F554"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0 </w:t>
            </w:r>
          </w:p>
        </w:tc>
      </w:tr>
      <w:tr w:rsidR="00016C24" w:rsidRPr="00C7581E" w14:paraId="78DCF7B4"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hideMark/>
          </w:tcPr>
          <w:p w14:paraId="54FCF7D8" w14:textId="77777777" w:rsidR="00016C24" w:rsidRPr="00C7581E" w:rsidRDefault="00016C24" w:rsidP="00500FD5">
            <w:pPr>
              <w:spacing w:line="360" w:lineRule="auto"/>
              <w:rPr>
                <w:rFonts w:ascii="Arial" w:hAnsi="Arial" w:cs="Arial"/>
                <w:b/>
                <w:bCs/>
                <w:lang w:eastAsia="en-GB"/>
              </w:rPr>
            </w:pPr>
            <w:r w:rsidRPr="00C7581E">
              <w:rPr>
                <w:rFonts w:ascii="Arial" w:hAnsi="Arial" w:cs="Arial"/>
                <w:b/>
                <w:bCs/>
                <w:lang w:eastAsia="en-GB"/>
              </w:rPr>
              <w:t>Total Fire and Rescue Service</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07BD0106" w14:textId="77777777" w:rsidR="00016C24" w:rsidRPr="00C7581E" w:rsidRDefault="00016C24" w:rsidP="00500FD5">
            <w:pPr>
              <w:spacing w:line="360" w:lineRule="auto"/>
              <w:jc w:val="right"/>
              <w:rPr>
                <w:rFonts w:ascii="Arial" w:hAnsi="Arial" w:cs="Arial"/>
                <w:b/>
                <w:bCs/>
                <w:lang w:eastAsia="en-GB"/>
              </w:rPr>
            </w:pPr>
            <w:r w:rsidRPr="00C7581E">
              <w:rPr>
                <w:rFonts w:ascii="Arial" w:hAnsi="Arial" w:cs="Arial"/>
                <w:b/>
                <w:bCs/>
                <w:lang w:eastAsia="en-GB"/>
              </w:rPr>
              <w:t xml:space="preserve">6,861 </w:t>
            </w:r>
          </w:p>
        </w:tc>
      </w:tr>
      <w:tr w:rsidR="00016C24" w:rsidRPr="00C7581E" w14:paraId="2DD5AFB9"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50179AE4"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Borrowing</w:t>
            </w:r>
          </w:p>
        </w:tc>
        <w:tc>
          <w:tcPr>
            <w:tcW w:w="1200" w:type="dxa"/>
            <w:tcBorders>
              <w:top w:val="nil"/>
              <w:left w:val="nil"/>
              <w:bottom w:val="nil"/>
              <w:right w:val="single" w:sz="8" w:space="0" w:color="auto"/>
            </w:tcBorders>
            <w:shd w:val="clear" w:color="auto" w:fill="auto"/>
            <w:noWrap/>
            <w:vAlign w:val="bottom"/>
            <w:hideMark/>
          </w:tcPr>
          <w:p w14:paraId="349E0940"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14,295 </w:t>
            </w:r>
          </w:p>
        </w:tc>
      </w:tr>
      <w:tr w:rsidR="00016C24" w:rsidRPr="00C7581E" w14:paraId="423A20D0"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79C30D04"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Useable Capital Receipts</w:t>
            </w:r>
          </w:p>
        </w:tc>
        <w:tc>
          <w:tcPr>
            <w:tcW w:w="1200" w:type="dxa"/>
            <w:tcBorders>
              <w:top w:val="nil"/>
              <w:left w:val="nil"/>
              <w:bottom w:val="nil"/>
              <w:right w:val="single" w:sz="8" w:space="0" w:color="auto"/>
            </w:tcBorders>
            <w:shd w:val="clear" w:color="auto" w:fill="auto"/>
            <w:noWrap/>
            <w:vAlign w:val="bottom"/>
            <w:hideMark/>
          </w:tcPr>
          <w:p w14:paraId="4AD7573A"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318 </w:t>
            </w:r>
          </w:p>
        </w:tc>
      </w:tr>
      <w:tr w:rsidR="00016C24" w:rsidRPr="00C7581E" w14:paraId="59B3B35D" w14:textId="77777777" w:rsidTr="00500FD5">
        <w:trPr>
          <w:trHeight w:val="300"/>
        </w:trPr>
        <w:tc>
          <w:tcPr>
            <w:tcW w:w="5340" w:type="dxa"/>
            <w:tcBorders>
              <w:top w:val="nil"/>
              <w:left w:val="single" w:sz="8" w:space="0" w:color="auto"/>
              <w:bottom w:val="nil"/>
              <w:right w:val="single" w:sz="8" w:space="0" w:color="auto"/>
            </w:tcBorders>
            <w:shd w:val="clear" w:color="auto" w:fill="auto"/>
            <w:noWrap/>
            <w:vAlign w:val="center"/>
            <w:hideMark/>
          </w:tcPr>
          <w:p w14:paraId="4B09B61C" w14:textId="77777777" w:rsidR="00016C24" w:rsidRPr="00C7581E" w:rsidRDefault="00016C24" w:rsidP="00500FD5">
            <w:pPr>
              <w:spacing w:line="360" w:lineRule="auto"/>
              <w:rPr>
                <w:rFonts w:ascii="Arial" w:hAnsi="Arial" w:cs="Arial"/>
                <w:lang w:eastAsia="en-GB"/>
              </w:rPr>
            </w:pPr>
            <w:r w:rsidRPr="00C7581E">
              <w:rPr>
                <w:rFonts w:ascii="Arial" w:hAnsi="Arial" w:cs="Arial"/>
                <w:lang w:eastAsia="en-GB"/>
              </w:rPr>
              <w:t>Revenue Contribution to Capital Outlay</w:t>
            </w:r>
          </w:p>
        </w:tc>
        <w:tc>
          <w:tcPr>
            <w:tcW w:w="1200" w:type="dxa"/>
            <w:tcBorders>
              <w:top w:val="nil"/>
              <w:left w:val="nil"/>
              <w:bottom w:val="nil"/>
              <w:right w:val="single" w:sz="8" w:space="0" w:color="auto"/>
            </w:tcBorders>
            <w:shd w:val="clear" w:color="auto" w:fill="auto"/>
            <w:noWrap/>
            <w:vAlign w:val="bottom"/>
            <w:hideMark/>
          </w:tcPr>
          <w:p w14:paraId="4E9C3540" w14:textId="77777777" w:rsidR="00016C24" w:rsidRPr="00C7581E" w:rsidRDefault="00016C24" w:rsidP="00500FD5">
            <w:pPr>
              <w:spacing w:line="360" w:lineRule="auto"/>
              <w:jc w:val="right"/>
              <w:rPr>
                <w:rFonts w:ascii="Arial" w:hAnsi="Arial" w:cs="Arial"/>
                <w:lang w:eastAsia="en-GB"/>
              </w:rPr>
            </w:pPr>
            <w:r w:rsidRPr="00C7581E">
              <w:rPr>
                <w:rFonts w:ascii="Arial" w:hAnsi="Arial" w:cs="Arial"/>
                <w:lang w:eastAsia="en-GB"/>
              </w:rPr>
              <w:t xml:space="preserve">941 </w:t>
            </w:r>
          </w:p>
        </w:tc>
      </w:tr>
      <w:tr w:rsidR="00016C24" w:rsidRPr="00C7581E" w14:paraId="0ED80180"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hideMark/>
          </w:tcPr>
          <w:p w14:paraId="5DF4CBD4" w14:textId="77777777" w:rsidR="00016C24" w:rsidRPr="00C7581E" w:rsidRDefault="00016C24" w:rsidP="00500FD5">
            <w:pPr>
              <w:spacing w:line="360" w:lineRule="auto"/>
              <w:rPr>
                <w:rFonts w:ascii="Arial" w:hAnsi="Arial" w:cs="Arial"/>
                <w:b/>
                <w:bCs/>
                <w:lang w:eastAsia="en-GB"/>
              </w:rPr>
            </w:pPr>
            <w:r w:rsidRPr="00C7581E">
              <w:rPr>
                <w:rFonts w:ascii="Arial" w:hAnsi="Arial" w:cs="Arial"/>
                <w:b/>
                <w:bCs/>
                <w:lang w:eastAsia="en-GB"/>
              </w:rPr>
              <w:t>Total Waste</w:t>
            </w:r>
          </w:p>
        </w:tc>
        <w:tc>
          <w:tcPr>
            <w:tcW w:w="1200" w:type="dxa"/>
            <w:tcBorders>
              <w:top w:val="single" w:sz="8" w:space="0" w:color="auto"/>
              <w:left w:val="nil"/>
              <w:bottom w:val="nil"/>
              <w:right w:val="single" w:sz="8" w:space="0" w:color="auto"/>
            </w:tcBorders>
            <w:shd w:val="clear" w:color="auto" w:fill="auto"/>
            <w:noWrap/>
            <w:vAlign w:val="center"/>
            <w:hideMark/>
          </w:tcPr>
          <w:p w14:paraId="133C6414" w14:textId="77777777" w:rsidR="00016C24" w:rsidRPr="00C7581E" w:rsidRDefault="00016C24" w:rsidP="00500FD5">
            <w:pPr>
              <w:spacing w:line="360" w:lineRule="auto"/>
              <w:jc w:val="right"/>
              <w:rPr>
                <w:rFonts w:ascii="Arial" w:hAnsi="Arial" w:cs="Arial"/>
                <w:b/>
                <w:bCs/>
                <w:lang w:eastAsia="en-GB"/>
              </w:rPr>
            </w:pPr>
            <w:r w:rsidRPr="00C7581E">
              <w:rPr>
                <w:rFonts w:ascii="Arial" w:hAnsi="Arial" w:cs="Arial"/>
                <w:b/>
                <w:bCs/>
                <w:lang w:eastAsia="en-GB"/>
              </w:rPr>
              <w:t xml:space="preserve">15,554 </w:t>
            </w:r>
          </w:p>
        </w:tc>
      </w:tr>
      <w:tr w:rsidR="00016C24" w:rsidRPr="00C7581E" w14:paraId="7565DF1D"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tcPr>
          <w:p w14:paraId="0FBE41C0" w14:textId="77777777" w:rsidR="00016C24" w:rsidRPr="007A678E" w:rsidRDefault="00016C24" w:rsidP="00500FD5">
            <w:pPr>
              <w:spacing w:line="360" w:lineRule="auto"/>
              <w:rPr>
                <w:rFonts w:ascii="Arial" w:hAnsi="Arial" w:cs="Arial"/>
                <w:lang w:eastAsia="en-GB"/>
              </w:rPr>
            </w:pPr>
            <w:r>
              <w:rPr>
                <w:rFonts w:ascii="Arial" w:hAnsi="Arial" w:cs="Arial"/>
                <w:lang w:eastAsia="en-GB"/>
              </w:rPr>
              <w:t>Borrowing</w:t>
            </w:r>
          </w:p>
        </w:tc>
        <w:tc>
          <w:tcPr>
            <w:tcW w:w="1200" w:type="dxa"/>
            <w:tcBorders>
              <w:top w:val="single" w:sz="8" w:space="0" w:color="auto"/>
              <w:left w:val="nil"/>
              <w:right w:val="single" w:sz="8" w:space="0" w:color="auto"/>
            </w:tcBorders>
            <w:shd w:val="clear" w:color="auto" w:fill="auto"/>
            <w:noWrap/>
            <w:vAlign w:val="center"/>
          </w:tcPr>
          <w:p w14:paraId="10ED29B6" w14:textId="77777777" w:rsidR="00016C24" w:rsidRPr="00945306" w:rsidRDefault="00016C24" w:rsidP="00500FD5">
            <w:pPr>
              <w:spacing w:line="360" w:lineRule="auto"/>
              <w:jc w:val="right"/>
              <w:rPr>
                <w:rFonts w:ascii="Arial" w:hAnsi="Arial" w:cs="Arial"/>
                <w:lang w:eastAsia="en-GB"/>
              </w:rPr>
            </w:pPr>
            <w:r w:rsidRPr="00945306">
              <w:rPr>
                <w:rFonts w:ascii="Arial" w:hAnsi="Arial" w:cs="Arial"/>
                <w:lang w:eastAsia="en-GB"/>
              </w:rPr>
              <w:t>39</w:t>
            </w:r>
            <w:r>
              <w:rPr>
                <w:rFonts w:ascii="Arial" w:hAnsi="Arial" w:cs="Arial"/>
                <w:lang w:eastAsia="en-GB"/>
              </w:rPr>
              <w:t>,637</w:t>
            </w:r>
          </w:p>
        </w:tc>
      </w:tr>
      <w:tr w:rsidR="00016C24" w:rsidRPr="00C7581E" w14:paraId="657265DB"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tcPr>
          <w:p w14:paraId="602D5DFC" w14:textId="77777777" w:rsidR="00016C24" w:rsidRPr="007A678E" w:rsidRDefault="00016C24" w:rsidP="00500FD5">
            <w:pPr>
              <w:spacing w:line="360" w:lineRule="auto"/>
              <w:rPr>
                <w:rFonts w:ascii="Arial" w:hAnsi="Arial" w:cs="Arial"/>
                <w:lang w:eastAsia="en-GB"/>
              </w:rPr>
            </w:pPr>
            <w:r>
              <w:rPr>
                <w:rFonts w:ascii="Arial" w:hAnsi="Arial" w:cs="Arial"/>
                <w:lang w:eastAsia="en-GB"/>
              </w:rPr>
              <w:t>Capital Grant</w:t>
            </w:r>
          </w:p>
        </w:tc>
        <w:tc>
          <w:tcPr>
            <w:tcW w:w="1200" w:type="dxa"/>
            <w:tcBorders>
              <w:left w:val="nil"/>
              <w:right w:val="single" w:sz="8" w:space="0" w:color="auto"/>
            </w:tcBorders>
            <w:shd w:val="clear" w:color="auto" w:fill="auto"/>
            <w:noWrap/>
            <w:vAlign w:val="center"/>
          </w:tcPr>
          <w:p w14:paraId="477B6F87" w14:textId="77777777" w:rsidR="00016C24" w:rsidRPr="00945306" w:rsidRDefault="00016C24" w:rsidP="00500FD5">
            <w:pPr>
              <w:spacing w:line="360" w:lineRule="auto"/>
              <w:jc w:val="right"/>
              <w:rPr>
                <w:rFonts w:ascii="Arial" w:hAnsi="Arial" w:cs="Arial"/>
                <w:lang w:eastAsia="en-GB"/>
              </w:rPr>
            </w:pPr>
            <w:r w:rsidRPr="00945306">
              <w:rPr>
                <w:rFonts w:ascii="Arial" w:hAnsi="Arial" w:cs="Arial"/>
                <w:lang w:eastAsia="en-GB"/>
              </w:rPr>
              <w:t>600</w:t>
            </w:r>
          </w:p>
        </w:tc>
      </w:tr>
      <w:tr w:rsidR="00016C24" w:rsidRPr="00C7581E" w14:paraId="10CB5DB1"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tcPr>
          <w:p w14:paraId="70BA7E43" w14:textId="77777777" w:rsidR="00016C24" w:rsidRPr="007A678E" w:rsidRDefault="00016C24" w:rsidP="00500FD5">
            <w:pPr>
              <w:spacing w:line="360" w:lineRule="auto"/>
              <w:rPr>
                <w:rFonts w:ascii="Arial" w:hAnsi="Arial" w:cs="Arial"/>
                <w:lang w:eastAsia="en-GB"/>
              </w:rPr>
            </w:pPr>
            <w:r>
              <w:rPr>
                <w:rFonts w:ascii="Arial" w:hAnsi="Arial" w:cs="Arial"/>
                <w:lang w:eastAsia="en-GB"/>
              </w:rPr>
              <w:t>Capital Receipt</w:t>
            </w:r>
          </w:p>
        </w:tc>
        <w:tc>
          <w:tcPr>
            <w:tcW w:w="1200" w:type="dxa"/>
            <w:tcBorders>
              <w:left w:val="nil"/>
              <w:bottom w:val="single" w:sz="8" w:space="0" w:color="auto"/>
              <w:right w:val="single" w:sz="8" w:space="0" w:color="auto"/>
            </w:tcBorders>
            <w:shd w:val="clear" w:color="auto" w:fill="auto"/>
            <w:noWrap/>
            <w:vAlign w:val="center"/>
          </w:tcPr>
          <w:p w14:paraId="3D8ACC46" w14:textId="77777777" w:rsidR="00016C24" w:rsidRPr="00945306" w:rsidRDefault="00016C24" w:rsidP="00500FD5">
            <w:pPr>
              <w:spacing w:line="360" w:lineRule="auto"/>
              <w:jc w:val="right"/>
              <w:rPr>
                <w:rFonts w:ascii="Arial" w:hAnsi="Arial" w:cs="Arial"/>
                <w:lang w:eastAsia="en-GB"/>
              </w:rPr>
            </w:pPr>
            <w:r w:rsidRPr="00945306">
              <w:rPr>
                <w:rFonts w:ascii="Arial" w:hAnsi="Arial" w:cs="Arial"/>
                <w:lang w:eastAsia="en-GB"/>
              </w:rPr>
              <w:t>0</w:t>
            </w:r>
          </w:p>
        </w:tc>
      </w:tr>
      <w:tr w:rsidR="00016C24" w:rsidRPr="00C7581E" w14:paraId="2439298E"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tcPr>
          <w:p w14:paraId="64D614FB" w14:textId="77777777" w:rsidR="00016C24" w:rsidRPr="00C7581E" w:rsidRDefault="00016C24" w:rsidP="00500FD5">
            <w:pPr>
              <w:spacing w:line="360" w:lineRule="auto"/>
              <w:rPr>
                <w:rFonts w:ascii="Arial" w:hAnsi="Arial" w:cs="Arial"/>
                <w:b/>
                <w:bCs/>
                <w:lang w:eastAsia="en-GB"/>
              </w:rPr>
            </w:pPr>
            <w:r>
              <w:rPr>
                <w:rFonts w:ascii="Arial" w:hAnsi="Arial" w:cs="Arial"/>
                <w:b/>
                <w:bCs/>
                <w:lang w:eastAsia="en-GB"/>
              </w:rPr>
              <w:t>Total Police and Crime</w:t>
            </w:r>
          </w:p>
        </w:tc>
        <w:tc>
          <w:tcPr>
            <w:tcW w:w="1200" w:type="dxa"/>
            <w:tcBorders>
              <w:left w:val="nil"/>
              <w:bottom w:val="single" w:sz="8" w:space="0" w:color="auto"/>
              <w:right w:val="single" w:sz="8" w:space="0" w:color="auto"/>
            </w:tcBorders>
            <w:shd w:val="clear" w:color="auto" w:fill="auto"/>
            <w:noWrap/>
            <w:vAlign w:val="center"/>
          </w:tcPr>
          <w:p w14:paraId="03EFDE8B" w14:textId="77777777" w:rsidR="00016C24" w:rsidRPr="00C7581E" w:rsidRDefault="00016C24" w:rsidP="00500FD5">
            <w:pPr>
              <w:spacing w:line="360" w:lineRule="auto"/>
              <w:jc w:val="right"/>
              <w:rPr>
                <w:rFonts w:ascii="Arial" w:hAnsi="Arial" w:cs="Arial"/>
                <w:b/>
                <w:bCs/>
                <w:lang w:eastAsia="en-GB"/>
              </w:rPr>
            </w:pPr>
            <w:r>
              <w:rPr>
                <w:rFonts w:ascii="Arial" w:hAnsi="Arial" w:cs="Arial"/>
                <w:b/>
                <w:bCs/>
                <w:lang w:eastAsia="en-GB"/>
              </w:rPr>
              <w:t>40,237</w:t>
            </w:r>
          </w:p>
        </w:tc>
      </w:tr>
      <w:tr w:rsidR="00016C24" w:rsidRPr="00C7581E" w14:paraId="04DA2D81" w14:textId="77777777" w:rsidTr="00500FD5">
        <w:trPr>
          <w:trHeight w:val="315"/>
        </w:trPr>
        <w:tc>
          <w:tcPr>
            <w:tcW w:w="5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FBE2C2" w14:textId="77777777" w:rsidR="00016C24" w:rsidRPr="00C7581E" w:rsidRDefault="00016C24" w:rsidP="00500FD5">
            <w:pPr>
              <w:spacing w:line="360" w:lineRule="auto"/>
              <w:rPr>
                <w:rFonts w:ascii="Arial" w:hAnsi="Arial" w:cs="Arial"/>
                <w:b/>
                <w:bCs/>
                <w:lang w:eastAsia="en-GB"/>
              </w:rPr>
            </w:pPr>
            <w:r w:rsidRPr="00C7581E">
              <w:rPr>
                <w:rFonts w:ascii="Arial" w:hAnsi="Arial" w:cs="Arial"/>
                <w:b/>
                <w:bCs/>
                <w:lang w:eastAsia="en-GB"/>
              </w:rPr>
              <w:t>Total Funding</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3D3712D4" w14:textId="77777777" w:rsidR="00016C24" w:rsidRPr="00C7581E" w:rsidRDefault="00016C24" w:rsidP="00500FD5">
            <w:pPr>
              <w:spacing w:line="360" w:lineRule="auto"/>
              <w:jc w:val="right"/>
              <w:rPr>
                <w:rFonts w:ascii="Arial" w:hAnsi="Arial" w:cs="Arial"/>
                <w:b/>
                <w:bCs/>
                <w:lang w:eastAsia="en-GB"/>
              </w:rPr>
            </w:pPr>
            <w:r>
              <w:rPr>
                <w:rFonts w:ascii="Arial" w:hAnsi="Arial" w:cs="Arial"/>
                <w:b/>
                <w:bCs/>
                <w:lang w:eastAsia="en-GB"/>
              </w:rPr>
              <w:t>539</w:t>
            </w:r>
            <w:r w:rsidRPr="00C7581E">
              <w:rPr>
                <w:rFonts w:ascii="Arial" w:hAnsi="Arial" w:cs="Arial"/>
                <w:b/>
                <w:bCs/>
                <w:lang w:eastAsia="en-GB"/>
              </w:rPr>
              <w:t>,</w:t>
            </w:r>
            <w:r>
              <w:rPr>
                <w:rFonts w:ascii="Arial" w:hAnsi="Arial" w:cs="Arial"/>
                <w:b/>
                <w:bCs/>
                <w:lang w:eastAsia="en-GB"/>
              </w:rPr>
              <w:t>512</w:t>
            </w:r>
            <w:r w:rsidRPr="00C7581E">
              <w:rPr>
                <w:rFonts w:ascii="Arial" w:hAnsi="Arial" w:cs="Arial"/>
                <w:b/>
                <w:bCs/>
                <w:lang w:eastAsia="en-GB"/>
              </w:rPr>
              <w:t xml:space="preserve"> </w:t>
            </w:r>
          </w:p>
        </w:tc>
      </w:tr>
      <w:tr w:rsidR="00016C24" w:rsidRPr="00C7581E" w14:paraId="1B578C74" w14:textId="77777777" w:rsidTr="00500FD5">
        <w:trPr>
          <w:trHeight w:val="300"/>
        </w:trPr>
        <w:tc>
          <w:tcPr>
            <w:tcW w:w="5340" w:type="dxa"/>
            <w:tcBorders>
              <w:top w:val="nil"/>
              <w:left w:val="nil"/>
              <w:bottom w:val="nil"/>
              <w:right w:val="nil"/>
            </w:tcBorders>
            <w:shd w:val="clear" w:color="auto" w:fill="auto"/>
            <w:noWrap/>
            <w:vAlign w:val="bottom"/>
            <w:hideMark/>
          </w:tcPr>
          <w:p w14:paraId="41106336" w14:textId="77777777" w:rsidR="00016C24" w:rsidRPr="00C7581E" w:rsidRDefault="00016C24" w:rsidP="00500FD5">
            <w:pPr>
              <w:spacing w:line="360" w:lineRule="auto"/>
              <w:jc w:val="right"/>
              <w:rPr>
                <w:rFonts w:ascii="Arial" w:hAnsi="Arial" w:cs="Arial"/>
                <w:b/>
                <w:bCs/>
                <w:lang w:eastAsia="en-GB"/>
              </w:rPr>
            </w:pPr>
          </w:p>
        </w:tc>
        <w:tc>
          <w:tcPr>
            <w:tcW w:w="1200" w:type="dxa"/>
            <w:tcBorders>
              <w:top w:val="nil"/>
              <w:left w:val="nil"/>
              <w:bottom w:val="nil"/>
              <w:right w:val="nil"/>
            </w:tcBorders>
            <w:shd w:val="clear" w:color="auto" w:fill="auto"/>
            <w:noWrap/>
            <w:vAlign w:val="bottom"/>
            <w:hideMark/>
          </w:tcPr>
          <w:p w14:paraId="2CBAF50C" w14:textId="77777777" w:rsidR="00016C24" w:rsidRPr="00C7581E" w:rsidRDefault="00016C24" w:rsidP="00500FD5">
            <w:pPr>
              <w:spacing w:line="360" w:lineRule="auto"/>
              <w:rPr>
                <w:lang w:eastAsia="en-GB"/>
              </w:rPr>
            </w:pPr>
          </w:p>
        </w:tc>
      </w:tr>
    </w:tbl>
    <w:p w14:paraId="73207F35" w14:textId="77777777" w:rsidR="00016C24" w:rsidRDefault="00016C24" w:rsidP="00016C24">
      <w:pPr>
        <w:spacing w:line="360" w:lineRule="auto"/>
        <w:rPr>
          <w:rFonts w:ascii="Arial" w:hAnsi="Arial" w:cs="Arial"/>
        </w:rPr>
      </w:pPr>
    </w:p>
    <w:p w14:paraId="2DF03623" w14:textId="77777777" w:rsidR="00016C24" w:rsidRPr="00BB5C63" w:rsidRDefault="00016C24" w:rsidP="00016C24">
      <w:pPr>
        <w:pStyle w:val="Heading3"/>
        <w:spacing w:after="160"/>
      </w:pPr>
      <w:bookmarkStart w:id="41" w:name="_Toc109922591"/>
      <w:r w:rsidRPr="00BB5C63">
        <w:lastRenderedPageBreak/>
        <w:t>Treasury Management Performance in 2021/22</w:t>
      </w:r>
      <w:bookmarkEnd w:id="41"/>
    </w:p>
    <w:p w14:paraId="7359A53E" w14:textId="77777777" w:rsidR="00016C24" w:rsidRPr="00BB5C63" w:rsidRDefault="00016C24" w:rsidP="00016C24">
      <w:pPr>
        <w:pStyle w:val="Heading3"/>
        <w:spacing w:after="160"/>
      </w:pPr>
      <w:bookmarkStart w:id="42" w:name="_Toc109922592"/>
      <w:r w:rsidRPr="00BB5C63">
        <w:t>Borrowing and Borrowing Limits</w:t>
      </w:r>
      <w:bookmarkEnd w:id="42"/>
    </w:p>
    <w:p w14:paraId="51253522" w14:textId="77777777" w:rsidR="00016C24" w:rsidRPr="00BB5C63" w:rsidRDefault="00016C24" w:rsidP="00016C24">
      <w:pPr>
        <w:pStyle w:val="Normal0"/>
        <w:spacing w:after="160" w:line="240" w:lineRule="auto"/>
        <w:rPr>
          <w:rFonts w:ascii="Arial" w:hAnsi="Arial" w:cs="Arial"/>
          <w:sz w:val="24"/>
          <w:szCs w:val="24"/>
          <w:lang w:val="en-GB"/>
        </w:rPr>
      </w:pPr>
      <w:r w:rsidRPr="00BB5C63">
        <w:rPr>
          <w:rFonts w:ascii="Arial" w:hAnsi="Arial" w:cs="Arial"/>
          <w:sz w:val="24"/>
          <w:szCs w:val="24"/>
          <w:lang w:val="en-GB"/>
        </w:rPr>
        <w:t>In 2021/22, the Authority had an authorised limit for external debt of £2,685.1m, which compares to the actual level of debt outstanding at 31 March 2022 of £1,425.9m. Debt outstanding (including accounting adjustments) is made up of the following figures:</w:t>
      </w:r>
    </w:p>
    <w:p w14:paraId="1B742BB3" w14:textId="77777777" w:rsidR="00016C24" w:rsidRPr="00982EF6" w:rsidRDefault="00016C24" w:rsidP="00016C24">
      <w:pPr>
        <w:pStyle w:val="Normal0"/>
        <w:spacing w:after="160" w:line="240" w:lineRule="auto"/>
        <w:rPr>
          <w:rFonts w:ascii="Arial" w:hAnsi="Arial" w:cs="Arial"/>
          <w:sz w:val="24"/>
          <w:szCs w:val="24"/>
          <w:highlight w:val="green"/>
          <w:lang w:val="en-GB"/>
        </w:rPr>
      </w:pPr>
    </w:p>
    <w:tbl>
      <w:tblPr>
        <w:tblStyle w:val="TableGrid"/>
        <w:tblW w:w="0" w:type="auto"/>
        <w:jc w:val="center"/>
        <w:tblLook w:val="04A0" w:firstRow="1" w:lastRow="0" w:firstColumn="1" w:lastColumn="0" w:noHBand="0" w:noVBand="1"/>
      </w:tblPr>
      <w:tblGrid>
        <w:gridCol w:w="1084"/>
        <w:gridCol w:w="3831"/>
        <w:gridCol w:w="1084"/>
      </w:tblGrid>
      <w:tr w:rsidR="00016C24" w:rsidRPr="00982EF6" w14:paraId="541DC896" w14:textId="77777777" w:rsidTr="00500FD5">
        <w:trPr>
          <w:jc w:val="center"/>
        </w:trPr>
        <w:tc>
          <w:tcPr>
            <w:tcW w:w="0" w:type="auto"/>
          </w:tcPr>
          <w:p w14:paraId="52BD3D68" w14:textId="77777777" w:rsidR="00016C24" w:rsidRPr="00BB5C63" w:rsidRDefault="00016C24" w:rsidP="00500FD5">
            <w:pPr>
              <w:pStyle w:val="Normal0"/>
              <w:spacing w:after="160" w:line="240" w:lineRule="auto"/>
              <w:jc w:val="right"/>
              <w:rPr>
                <w:rFonts w:ascii="Arial" w:hAnsi="Arial" w:cs="Arial"/>
                <w:b/>
                <w:sz w:val="24"/>
                <w:szCs w:val="24"/>
                <w:lang w:val="en-GB"/>
              </w:rPr>
            </w:pPr>
            <w:r w:rsidRPr="00BB5C63">
              <w:rPr>
                <w:rFonts w:ascii="Arial" w:hAnsi="Arial" w:cs="Arial"/>
                <w:b/>
                <w:sz w:val="24"/>
                <w:szCs w:val="24"/>
                <w:lang w:val="en-GB"/>
              </w:rPr>
              <w:t>2020/21</w:t>
            </w:r>
          </w:p>
          <w:p w14:paraId="40E98E48" w14:textId="77777777" w:rsidR="00016C24" w:rsidRPr="00BB5C63" w:rsidRDefault="00016C24" w:rsidP="00500FD5">
            <w:pPr>
              <w:pStyle w:val="Normal0"/>
              <w:spacing w:after="160" w:line="240" w:lineRule="auto"/>
              <w:jc w:val="right"/>
              <w:rPr>
                <w:rFonts w:ascii="Arial" w:hAnsi="Arial" w:cs="Arial"/>
                <w:b/>
                <w:sz w:val="24"/>
                <w:szCs w:val="24"/>
                <w:lang w:val="en-GB"/>
              </w:rPr>
            </w:pPr>
            <w:r w:rsidRPr="00BB5C63">
              <w:rPr>
                <w:rFonts w:ascii="Arial" w:hAnsi="Arial" w:cs="Arial"/>
                <w:b/>
                <w:sz w:val="24"/>
                <w:szCs w:val="24"/>
                <w:lang w:val="en-GB"/>
              </w:rPr>
              <w:t>£m</w:t>
            </w:r>
          </w:p>
        </w:tc>
        <w:tc>
          <w:tcPr>
            <w:tcW w:w="0" w:type="auto"/>
          </w:tcPr>
          <w:p w14:paraId="5B042F47" w14:textId="77777777" w:rsidR="00016C24" w:rsidRPr="00BB5C63" w:rsidRDefault="00016C24" w:rsidP="00500FD5">
            <w:pPr>
              <w:pStyle w:val="Normal0"/>
              <w:spacing w:after="160" w:line="240" w:lineRule="auto"/>
              <w:rPr>
                <w:rFonts w:ascii="Arial" w:hAnsi="Arial" w:cs="Arial"/>
                <w:b/>
                <w:sz w:val="22"/>
                <w:szCs w:val="22"/>
                <w:lang w:val="en-GB"/>
              </w:rPr>
            </w:pPr>
            <w:bookmarkStart w:id="43" w:name="_Hlk75956512"/>
            <w:bookmarkStart w:id="44" w:name="_Hlk108528000"/>
          </w:p>
        </w:tc>
        <w:tc>
          <w:tcPr>
            <w:tcW w:w="0" w:type="auto"/>
          </w:tcPr>
          <w:p w14:paraId="4A96AFCD" w14:textId="77777777" w:rsidR="00016C24" w:rsidRPr="00BB5C63" w:rsidRDefault="00016C24" w:rsidP="00500FD5">
            <w:pPr>
              <w:pStyle w:val="Normal0"/>
              <w:spacing w:after="160" w:line="240" w:lineRule="auto"/>
              <w:jc w:val="right"/>
              <w:rPr>
                <w:rFonts w:ascii="Arial" w:hAnsi="Arial" w:cs="Arial"/>
                <w:b/>
                <w:sz w:val="24"/>
                <w:szCs w:val="24"/>
                <w:lang w:val="en-GB"/>
              </w:rPr>
            </w:pPr>
            <w:r w:rsidRPr="00BB5C63">
              <w:rPr>
                <w:rFonts w:ascii="Arial" w:hAnsi="Arial" w:cs="Arial"/>
                <w:b/>
                <w:sz w:val="24"/>
                <w:szCs w:val="24"/>
                <w:lang w:val="en-GB"/>
              </w:rPr>
              <w:t>2021/22</w:t>
            </w:r>
          </w:p>
          <w:p w14:paraId="11E332BA" w14:textId="77777777" w:rsidR="00016C24" w:rsidRPr="00982EF6" w:rsidRDefault="00016C24" w:rsidP="00500FD5">
            <w:pPr>
              <w:pStyle w:val="Normal0"/>
              <w:spacing w:after="160" w:line="240" w:lineRule="auto"/>
              <w:jc w:val="right"/>
              <w:rPr>
                <w:rFonts w:ascii="Arial" w:hAnsi="Arial" w:cs="Arial"/>
                <w:b/>
                <w:sz w:val="24"/>
                <w:szCs w:val="24"/>
                <w:highlight w:val="green"/>
                <w:lang w:val="en-GB"/>
              </w:rPr>
            </w:pPr>
            <w:r w:rsidRPr="00BB5C63">
              <w:rPr>
                <w:rFonts w:ascii="Arial" w:hAnsi="Arial" w:cs="Arial"/>
                <w:b/>
                <w:sz w:val="24"/>
                <w:szCs w:val="24"/>
                <w:lang w:val="en-GB"/>
              </w:rPr>
              <w:t>£m</w:t>
            </w:r>
          </w:p>
        </w:tc>
      </w:tr>
      <w:tr w:rsidR="00016C24" w:rsidRPr="00982EF6" w14:paraId="07ED0879" w14:textId="77777777" w:rsidTr="00500FD5">
        <w:trPr>
          <w:jc w:val="center"/>
        </w:trPr>
        <w:tc>
          <w:tcPr>
            <w:tcW w:w="0" w:type="auto"/>
            <w:tcBorders>
              <w:bottom w:val="nil"/>
            </w:tcBorders>
          </w:tcPr>
          <w:p w14:paraId="15A4F31E" w14:textId="77777777" w:rsidR="00016C24" w:rsidRPr="00BB5C63" w:rsidRDefault="00016C24" w:rsidP="00500FD5">
            <w:pPr>
              <w:pStyle w:val="Normal0"/>
              <w:spacing w:after="160" w:line="240" w:lineRule="auto"/>
              <w:jc w:val="right"/>
              <w:rPr>
                <w:rFonts w:ascii="Arial" w:hAnsi="Arial" w:cs="Arial"/>
                <w:sz w:val="24"/>
                <w:szCs w:val="24"/>
                <w:lang w:val="en-GB"/>
              </w:rPr>
            </w:pPr>
            <w:r w:rsidRPr="00BB5C63">
              <w:rPr>
                <w:rFonts w:ascii="Arial" w:hAnsi="Arial" w:cs="Arial"/>
                <w:sz w:val="24"/>
                <w:szCs w:val="24"/>
                <w:lang w:val="en-GB"/>
              </w:rPr>
              <w:t>567.5</w:t>
            </w:r>
          </w:p>
        </w:tc>
        <w:tc>
          <w:tcPr>
            <w:tcW w:w="0" w:type="auto"/>
            <w:tcBorders>
              <w:bottom w:val="nil"/>
            </w:tcBorders>
          </w:tcPr>
          <w:p w14:paraId="740F8A74" w14:textId="77777777" w:rsidR="00016C24" w:rsidRPr="00BB5C63" w:rsidRDefault="00016C24" w:rsidP="00500FD5">
            <w:pPr>
              <w:pStyle w:val="Normal0"/>
              <w:spacing w:after="160" w:line="240" w:lineRule="auto"/>
              <w:rPr>
                <w:rFonts w:ascii="Arial" w:hAnsi="Arial" w:cs="Arial"/>
                <w:sz w:val="24"/>
                <w:szCs w:val="24"/>
                <w:lang w:val="en-GB"/>
              </w:rPr>
            </w:pPr>
            <w:r w:rsidRPr="00BB5C63">
              <w:rPr>
                <w:rFonts w:ascii="Arial" w:hAnsi="Arial" w:cs="Arial"/>
                <w:sz w:val="24"/>
                <w:szCs w:val="24"/>
                <w:lang w:val="en-GB"/>
              </w:rPr>
              <w:t>Public Works Loan Board (PWLB)</w:t>
            </w:r>
          </w:p>
        </w:tc>
        <w:tc>
          <w:tcPr>
            <w:tcW w:w="0" w:type="auto"/>
            <w:tcBorders>
              <w:bottom w:val="nil"/>
            </w:tcBorders>
          </w:tcPr>
          <w:p w14:paraId="133F8C10" w14:textId="77777777" w:rsidR="00016C24" w:rsidRPr="00093EA4" w:rsidRDefault="00016C24" w:rsidP="00500FD5">
            <w:pPr>
              <w:pStyle w:val="Normal0"/>
              <w:spacing w:after="160" w:line="240" w:lineRule="auto"/>
              <w:jc w:val="right"/>
              <w:rPr>
                <w:rFonts w:ascii="Arial" w:hAnsi="Arial" w:cs="Arial"/>
                <w:sz w:val="24"/>
                <w:szCs w:val="24"/>
                <w:lang w:val="en-GB"/>
              </w:rPr>
            </w:pPr>
            <w:r w:rsidRPr="00093EA4">
              <w:rPr>
                <w:rFonts w:ascii="Arial" w:hAnsi="Arial" w:cs="Arial"/>
                <w:sz w:val="24"/>
                <w:szCs w:val="24"/>
                <w:lang w:val="en-GB"/>
              </w:rPr>
              <w:t>546.2</w:t>
            </w:r>
          </w:p>
        </w:tc>
      </w:tr>
      <w:tr w:rsidR="00016C24" w:rsidRPr="00982EF6" w14:paraId="4E90B493" w14:textId="77777777" w:rsidTr="00500FD5">
        <w:trPr>
          <w:jc w:val="center"/>
        </w:trPr>
        <w:tc>
          <w:tcPr>
            <w:tcW w:w="0" w:type="auto"/>
            <w:tcBorders>
              <w:top w:val="nil"/>
              <w:bottom w:val="nil"/>
            </w:tcBorders>
          </w:tcPr>
          <w:p w14:paraId="2B6AC873" w14:textId="77777777" w:rsidR="00016C24" w:rsidRPr="00BB5C63" w:rsidRDefault="00016C24" w:rsidP="00500FD5">
            <w:pPr>
              <w:pStyle w:val="Normal0"/>
              <w:spacing w:after="160" w:line="240" w:lineRule="auto"/>
              <w:jc w:val="right"/>
              <w:rPr>
                <w:rFonts w:ascii="Arial" w:hAnsi="Arial" w:cs="Arial"/>
                <w:sz w:val="24"/>
                <w:szCs w:val="24"/>
                <w:lang w:val="en-GB"/>
              </w:rPr>
            </w:pPr>
            <w:r w:rsidRPr="00BB5C63">
              <w:rPr>
                <w:rFonts w:ascii="Arial" w:hAnsi="Arial" w:cs="Arial"/>
                <w:sz w:val="24"/>
                <w:szCs w:val="24"/>
                <w:lang w:val="en-GB"/>
              </w:rPr>
              <w:t>571.6</w:t>
            </w:r>
          </w:p>
        </w:tc>
        <w:tc>
          <w:tcPr>
            <w:tcW w:w="0" w:type="auto"/>
            <w:tcBorders>
              <w:top w:val="nil"/>
              <w:bottom w:val="nil"/>
            </w:tcBorders>
          </w:tcPr>
          <w:p w14:paraId="3A98A9FC" w14:textId="77777777" w:rsidR="00016C24" w:rsidRPr="00BB5C63" w:rsidRDefault="00016C24" w:rsidP="00500FD5">
            <w:pPr>
              <w:pStyle w:val="Normal0"/>
              <w:spacing w:after="160" w:line="240" w:lineRule="auto"/>
              <w:rPr>
                <w:rFonts w:ascii="Arial" w:hAnsi="Arial" w:cs="Arial"/>
                <w:sz w:val="24"/>
                <w:szCs w:val="24"/>
                <w:lang w:val="en-GB"/>
              </w:rPr>
            </w:pPr>
            <w:r w:rsidRPr="00BB5C63">
              <w:rPr>
                <w:rFonts w:ascii="Arial" w:hAnsi="Arial" w:cs="Arial"/>
                <w:sz w:val="24"/>
                <w:szCs w:val="24"/>
                <w:lang w:val="en-GB"/>
              </w:rPr>
              <w:t>European Investment Bank (EIB)</w:t>
            </w:r>
          </w:p>
        </w:tc>
        <w:tc>
          <w:tcPr>
            <w:tcW w:w="0" w:type="auto"/>
            <w:tcBorders>
              <w:top w:val="nil"/>
              <w:bottom w:val="nil"/>
            </w:tcBorders>
          </w:tcPr>
          <w:p w14:paraId="0DBE09F5" w14:textId="77777777" w:rsidR="00016C24" w:rsidRPr="00093EA4" w:rsidRDefault="00016C24" w:rsidP="00500FD5">
            <w:pPr>
              <w:pStyle w:val="Normal0"/>
              <w:spacing w:after="160" w:line="240" w:lineRule="auto"/>
              <w:jc w:val="right"/>
              <w:rPr>
                <w:rFonts w:ascii="Arial" w:hAnsi="Arial" w:cs="Arial"/>
                <w:sz w:val="24"/>
                <w:szCs w:val="24"/>
                <w:lang w:val="en-GB"/>
              </w:rPr>
            </w:pPr>
            <w:r w:rsidRPr="00093EA4">
              <w:rPr>
                <w:rFonts w:ascii="Arial" w:hAnsi="Arial" w:cs="Arial"/>
                <w:sz w:val="24"/>
                <w:szCs w:val="24"/>
                <w:lang w:val="en-GB"/>
              </w:rPr>
              <w:t>559.9</w:t>
            </w:r>
          </w:p>
        </w:tc>
      </w:tr>
      <w:tr w:rsidR="00016C24" w:rsidRPr="00982EF6" w14:paraId="72A74434" w14:textId="77777777" w:rsidTr="00500FD5">
        <w:trPr>
          <w:jc w:val="center"/>
        </w:trPr>
        <w:tc>
          <w:tcPr>
            <w:tcW w:w="0" w:type="auto"/>
            <w:tcBorders>
              <w:top w:val="nil"/>
              <w:bottom w:val="nil"/>
            </w:tcBorders>
          </w:tcPr>
          <w:p w14:paraId="206C4A90" w14:textId="77777777" w:rsidR="00016C24" w:rsidRPr="00BB5C63" w:rsidRDefault="00016C24" w:rsidP="00500FD5">
            <w:pPr>
              <w:pStyle w:val="Normal0"/>
              <w:spacing w:after="160" w:line="240" w:lineRule="auto"/>
              <w:jc w:val="right"/>
              <w:rPr>
                <w:rFonts w:ascii="Arial" w:hAnsi="Arial" w:cs="Arial"/>
                <w:sz w:val="24"/>
                <w:szCs w:val="24"/>
                <w:lang w:val="en-GB"/>
              </w:rPr>
            </w:pPr>
            <w:r w:rsidRPr="00BB5C63">
              <w:rPr>
                <w:rFonts w:ascii="Arial" w:hAnsi="Arial" w:cs="Arial"/>
                <w:sz w:val="24"/>
                <w:szCs w:val="24"/>
                <w:lang w:val="en-GB"/>
              </w:rPr>
              <w:t>106.2</w:t>
            </w:r>
          </w:p>
        </w:tc>
        <w:tc>
          <w:tcPr>
            <w:tcW w:w="0" w:type="auto"/>
            <w:tcBorders>
              <w:top w:val="nil"/>
              <w:bottom w:val="nil"/>
            </w:tcBorders>
          </w:tcPr>
          <w:p w14:paraId="75754403" w14:textId="77777777" w:rsidR="00016C24" w:rsidRPr="00BB5C63" w:rsidRDefault="00016C24" w:rsidP="00500FD5">
            <w:pPr>
              <w:pStyle w:val="Normal0"/>
              <w:spacing w:after="160" w:line="240" w:lineRule="auto"/>
              <w:rPr>
                <w:rFonts w:ascii="Arial" w:hAnsi="Arial" w:cs="Arial"/>
                <w:sz w:val="24"/>
                <w:szCs w:val="24"/>
                <w:lang w:val="en-GB"/>
              </w:rPr>
            </w:pPr>
            <w:r w:rsidRPr="00BB5C63">
              <w:rPr>
                <w:rFonts w:ascii="Arial" w:hAnsi="Arial" w:cs="Arial"/>
                <w:sz w:val="24"/>
                <w:szCs w:val="24"/>
                <w:lang w:val="en-GB"/>
              </w:rPr>
              <w:t>Market</w:t>
            </w:r>
          </w:p>
        </w:tc>
        <w:tc>
          <w:tcPr>
            <w:tcW w:w="0" w:type="auto"/>
            <w:tcBorders>
              <w:top w:val="nil"/>
              <w:bottom w:val="nil"/>
            </w:tcBorders>
          </w:tcPr>
          <w:p w14:paraId="2EBF0ECB" w14:textId="77777777" w:rsidR="00016C24" w:rsidRPr="00093EA4" w:rsidRDefault="00016C24" w:rsidP="00500FD5">
            <w:pPr>
              <w:pStyle w:val="Normal0"/>
              <w:spacing w:after="160" w:line="240" w:lineRule="auto"/>
              <w:jc w:val="right"/>
              <w:rPr>
                <w:rFonts w:ascii="Arial" w:hAnsi="Arial" w:cs="Arial"/>
                <w:sz w:val="24"/>
                <w:szCs w:val="24"/>
                <w:lang w:val="en-GB"/>
              </w:rPr>
            </w:pPr>
            <w:r w:rsidRPr="00093EA4">
              <w:rPr>
                <w:rFonts w:ascii="Arial" w:hAnsi="Arial" w:cs="Arial"/>
                <w:sz w:val="24"/>
                <w:szCs w:val="24"/>
                <w:lang w:val="en-GB"/>
              </w:rPr>
              <w:t>106.2</w:t>
            </w:r>
          </w:p>
        </w:tc>
      </w:tr>
      <w:tr w:rsidR="00016C24" w:rsidRPr="00982EF6" w14:paraId="2715C6D1" w14:textId="77777777" w:rsidTr="00500FD5">
        <w:trPr>
          <w:jc w:val="center"/>
        </w:trPr>
        <w:tc>
          <w:tcPr>
            <w:tcW w:w="0" w:type="auto"/>
            <w:tcBorders>
              <w:top w:val="nil"/>
              <w:bottom w:val="nil"/>
            </w:tcBorders>
          </w:tcPr>
          <w:p w14:paraId="15F08384" w14:textId="77777777" w:rsidR="00016C24" w:rsidRPr="00BB5C63" w:rsidRDefault="00016C24" w:rsidP="00500FD5">
            <w:pPr>
              <w:pStyle w:val="Normal0"/>
              <w:spacing w:after="160" w:line="240" w:lineRule="auto"/>
              <w:jc w:val="right"/>
              <w:rPr>
                <w:rFonts w:ascii="Arial" w:hAnsi="Arial" w:cs="Arial"/>
                <w:sz w:val="24"/>
                <w:szCs w:val="24"/>
                <w:lang w:val="en-GB"/>
              </w:rPr>
            </w:pPr>
            <w:r w:rsidRPr="00BB5C63">
              <w:rPr>
                <w:rFonts w:ascii="Arial" w:hAnsi="Arial" w:cs="Arial"/>
                <w:sz w:val="24"/>
                <w:szCs w:val="24"/>
                <w:lang w:val="en-GB"/>
              </w:rPr>
              <w:t>61.8</w:t>
            </w:r>
          </w:p>
        </w:tc>
        <w:tc>
          <w:tcPr>
            <w:tcW w:w="0" w:type="auto"/>
            <w:tcBorders>
              <w:top w:val="nil"/>
              <w:bottom w:val="nil"/>
            </w:tcBorders>
          </w:tcPr>
          <w:p w14:paraId="46F225E9" w14:textId="77777777" w:rsidR="00016C24" w:rsidRPr="00BB5C63" w:rsidRDefault="00016C24" w:rsidP="00500FD5">
            <w:pPr>
              <w:pStyle w:val="Normal0"/>
              <w:spacing w:after="160" w:line="240" w:lineRule="auto"/>
              <w:rPr>
                <w:rFonts w:ascii="Arial" w:hAnsi="Arial" w:cs="Arial"/>
                <w:sz w:val="24"/>
                <w:szCs w:val="24"/>
                <w:lang w:val="en-GB"/>
              </w:rPr>
            </w:pPr>
            <w:r w:rsidRPr="00BB5C63">
              <w:rPr>
                <w:rFonts w:ascii="Arial" w:hAnsi="Arial" w:cs="Arial"/>
                <w:sz w:val="24"/>
                <w:szCs w:val="24"/>
                <w:lang w:val="en-GB"/>
              </w:rPr>
              <w:t>Temporary</w:t>
            </w:r>
          </w:p>
        </w:tc>
        <w:tc>
          <w:tcPr>
            <w:tcW w:w="0" w:type="auto"/>
            <w:tcBorders>
              <w:top w:val="nil"/>
              <w:bottom w:val="nil"/>
            </w:tcBorders>
          </w:tcPr>
          <w:p w14:paraId="52A53602" w14:textId="77777777" w:rsidR="00016C24" w:rsidRPr="00093EA4" w:rsidRDefault="00016C24" w:rsidP="00500FD5">
            <w:pPr>
              <w:pStyle w:val="Normal0"/>
              <w:spacing w:after="160" w:line="240" w:lineRule="auto"/>
              <w:jc w:val="right"/>
              <w:rPr>
                <w:rFonts w:ascii="Arial" w:hAnsi="Arial" w:cs="Arial"/>
                <w:sz w:val="24"/>
                <w:szCs w:val="24"/>
                <w:lang w:val="en-GB"/>
              </w:rPr>
            </w:pPr>
            <w:r w:rsidRPr="00093EA4">
              <w:rPr>
                <w:rFonts w:ascii="Arial" w:hAnsi="Arial" w:cs="Arial"/>
                <w:sz w:val="24"/>
                <w:szCs w:val="24"/>
                <w:lang w:val="en-GB"/>
              </w:rPr>
              <w:t>20.3</w:t>
            </w:r>
          </w:p>
        </w:tc>
      </w:tr>
      <w:tr w:rsidR="00016C24" w:rsidRPr="00982EF6" w14:paraId="04A95D27" w14:textId="77777777" w:rsidTr="00500FD5">
        <w:trPr>
          <w:jc w:val="center"/>
        </w:trPr>
        <w:tc>
          <w:tcPr>
            <w:tcW w:w="0" w:type="auto"/>
            <w:tcBorders>
              <w:top w:val="nil"/>
              <w:bottom w:val="nil"/>
            </w:tcBorders>
          </w:tcPr>
          <w:p w14:paraId="0978FC79" w14:textId="77777777" w:rsidR="00016C24" w:rsidRPr="00BB5C63" w:rsidRDefault="00016C24" w:rsidP="00500FD5">
            <w:pPr>
              <w:pStyle w:val="Normal0"/>
              <w:spacing w:after="160" w:line="240" w:lineRule="auto"/>
              <w:jc w:val="right"/>
              <w:rPr>
                <w:rFonts w:ascii="Arial" w:hAnsi="Arial" w:cs="Arial"/>
                <w:sz w:val="24"/>
                <w:szCs w:val="24"/>
                <w:lang w:val="en-GB"/>
              </w:rPr>
            </w:pPr>
            <w:r w:rsidRPr="00BB5C63">
              <w:rPr>
                <w:rFonts w:ascii="Arial" w:hAnsi="Arial" w:cs="Arial"/>
                <w:sz w:val="24"/>
                <w:szCs w:val="24"/>
                <w:lang w:val="en-GB"/>
              </w:rPr>
              <w:t>161.2</w:t>
            </w:r>
          </w:p>
        </w:tc>
        <w:tc>
          <w:tcPr>
            <w:tcW w:w="0" w:type="auto"/>
            <w:tcBorders>
              <w:top w:val="nil"/>
              <w:bottom w:val="nil"/>
            </w:tcBorders>
          </w:tcPr>
          <w:p w14:paraId="017A5872" w14:textId="77777777" w:rsidR="00016C24" w:rsidRPr="00BB5C63" w:rsidRDefault="00016C24" w:rsidP="00500FD5">
            <w:pPr>
              <w:pStyle w:val="Normal0"/>
              <w:spacing w:after="160" w:line="240" w:lineRule="auto"/>
              <w:rPr>
                <w:rFonts w:ascii="Arial" w:hAnsi="Arial" w:cs="Arial"/>
                <w:sz w:val="24"/>
                <w:szCs w:val="24"/>
                <w:lang w:val="en-GB"/>
              </w:rPr>
            </w:pPr>
            <w:r w:rsidRPr="00BB5C63">
              <w:rPr>
                <w:rFonts w:ascii="Arial" w:hAnsi="Arial" w:cs="Arial"/>
                <w:sz w:val="24"/>
                <w:szCs w:val="24"/>
                <w:lang w:val="en-GB"/>
              </w:rPr>
              <w:t>MHCLG – HIF</w:t>
            </w:r>
          </w:p>
        </w:tc>
        <w:tc>
          <w:tcPr>
            <w:tcW w:w="0" w:type="auto"/>
            <w:tcBorders>
              <w:top w:val="nil"/>
              <w:bottom w:val="nil"/>
            </w:tcBorders>
            <w:shd w:val="clear" w:color="auto" w:fill="auto"/>
          </w:tcPr>
          <w:p w14:paraId="4D9FC084" w14:textId="77777777" w:rsidR="00016C24" w:rsidRPr="00093EA4" w:rsidRDefault="00016C24" w:rsidP="00500FD5">
            <w:pPr>
              <w:pStyle w:val="Normal0"/>
              <w:spacing w:after="160" w:line="240" w:lineRule="auto"/>
              <w:jc w:val="right"/>
              <w:rPr>
                <w:rFonts w:ascii="Arial" w:hAnsi="Arial" w:cs="Arial"/>
                <w:sz w:val="24"/>
                <w:szCs w:val="24"/>
                <w:lang w:val="en-GB"/>
              </w:rPr>
            </w:pPr>
            <w:r w:rsidRPr="00093EA4">
              <w:rPr>
                <w:rFonts w:ascii="Arial" w:hAnsi="Arial" w:cs="Arial"/>
                <w:sz w:val="24"/>
                <w:szCs w:val="24"/>
                <w:lang w:val="en-GB"/>
              </w:rPr>
              <w:t>164.1</w:t>
            </w:r>
          </w:p>
        </w:tc>
      </w:tr>
      <w:tr w:rsidR="00016C24" w:rsidRPr="00982EF6" w14:paraId="197D9894" w14:textId="77777777" w:rsidTr="00500FD5">
        <w:trPr>
          <w:jc w:val="center"/>
        </w:trPr>
        <w:tc>
          <w:tcPr>
            <w:tcW w:w="0" w:type="auto"/>
            <w:tcBorders>
              <w:top w:val="nil"/>
            </w:tcBorders>
          </w:tcPr>
          <w:p w14:paraId="70674DE6" w14:textId="77777777" w:rsidR="00016C24" w:rsidRPr="00BB5C63" w:rsidRDefault="00016C24" w:rsidP="00500FD5">
            <w:pPr>
              <w:pStyle w:val="Normal0"/>
              <w:spacing w:after="160" w:line="240" w:lineRule="auto"/>
              <w:jc w:val="right"/>
              <w:rPr>
                <w:rFonts w:ascii="Arial" w:hAnsi="Arial" w:cs="Arial"/>
                <w:sz w:val="24"/>
                <w:szCs w:val="24"/>
                <w:lang w:val="en-GB"/>
              </w:rPr>
            </w:pPr>
            <w:r w:rsidRPr="00BB5C63">
              <w:rPr>
                <w:rFonts w:ascii="Arial" w:hAnsi="Arial" w:cs="Arial"/>
                <w:sz w:val="24"/>
                <w:szCs w:val="24"/>
                <w:lang w:val="en-GB"/>
              </w:rPr>
              <w:t>28.5</w:t>
            </w:r>
          </w:p>
        </w:tc>
        <w:tc>
          <w:tcPr>
            <w:tcW w:w="0" w:type="auto"/>
            <w:tcBorders>
              <w:top w:val="nil"/>
            </w:tcBorders>
          </w:tcPr>
          <w:p w14:paraId="46245B41" w14:textId="77777777" w:rsidR="00016C24" w:rsidRPr="00BB5C63" w:rsidRDefault="00016C24" w:rsidP="00500FD5">
            <w:pPr>
              <w:pStyle w:val="Normal0"/>
              <w:spacing w:after="160" w:line="240" w:lineRule="auto"/>
              <w:rPr>
                <w:rFonts w:ascii="Arial" w:hAnsi="Arial" w:cs="Arial"/>
                <w:sz w:val="24"/>
                <w:szCs w:val="24"/>
                <w:lang w:val="en-GB"/>
              </w:rPr>
            </w:pPr>
            <w:r w:rsidRPr="00BB5C63">
              <w:rPr>
                <w:rFonts w:ascii="Arial" w:hAnsi="Arial" w:cs="Arial"/>
                <w:sz w:val="24"/>
                <w:szCs w:val="24"/>
                <w:lang w:val="en-GB"/>
              </w:rPr>
              <w:t>Homes England</w:t>
            </w:r>
          </w:p>
        </w:tc>
        <w:tc>
          <w:tcPr>
            <w:tcW w:w="0" w:type="auto"/>
            <w:tcBorders>
              <w:top w:val="nil"/>
            </w:tcBorders>
            <w:shd w:val="clear" w:color="auto" w:fill="auto"/>
          </w:tcPr>
          <w:p w14:paraId="7BCD9943" w14:textId="77777777" w:rsidR="00016C24" w:rsidRPr="00093EA4" w:rsidRDefault="00016C24" w:rsidP="00500FD5">
            <w:pPr>
              <w:pStyle w:val="Normal0"/>
              <w:spacing w:after="160" w:line="240" w:lineRule="auto"/>
              <w:jc w:val="right"/>
              <w:rPr>
                <w:rFonts w:ascii="Arial" w:hAnsi="Arial" w:cs="Arial"/>
                <w:sz w:val="24"/>
                <w:szCs w:val="24"/>
                <w:lang w:val="en-GB"/>
              </w:rPr>
            </w:pPr>
            <w:r w:rsidRPr="00093EA4">
              <w:rPr>
                <w:rFonts w:ascii="Arial" w:hAnsi="Arial" w:cs="Arial"/>
                <w:sz w:val="24"/>
                <w:szCs w:val="24"/>
                <w:lang w:val="en-GB"/>
              </w:rPr>
              <w:t>29.2</w:t>
            </w:r>
          </w:p>
        </w:tc>
      </w:tr>
      <w:tr w:rsidR="00016C24" w:rsidRPr="00982EF6" w14:paraId="581EF645" w14:textId="77777777" w:rsidTr="00500FD5">
        <w:trPr>
          <w:jc w:val="center"/>
        </w:trPr>
        <w:tc>
          <w:tcPr>
            <w:tcW w:w="0" w:type="auto"/>
          </w:tcPr>
          <w:p w14:paraId="02531559" w14:textId="77777777" w:rsidR="00016C24" w:rsidRPr="00BB5C63" w:rsidRDefault="00016C24" w:rsidP="00500FD5">
            <w:pPr>
              <w:pStyle w:val="Normal0"/>
              <w:spacing w:after="160" w:line="240" w:lineRule="auto"/>
              <w:jc w:val="right"/>
              <w:rPr>
                <w:rFonts w:ascii="Arial" w:hAnsi="Arial" w:cs="Arial"/>
                <w:b/>
                <w:sz w:val="24"/>
                <w:szCs w:val="24"/>
                <w:lang w:val="en-GB"/>
              </w:rPr>
            </w:pPr>
            <w:r w:rsidRPr="00BB5C63">
              <w:rPr>
                <w:rFonts w:ascii="Arial" w:hAnsi="Arial" w:cs="Arial"/>
                <w:b/>
                <w:sz w:val="24"/>
                <w:szCs w:val="24"/>
                <w:lang w:val="en-GB"/>
              </w:rPr>
              <w:t>1,496.8</w:t>
            </w:r>
          </w:p>
        </w:tc>
        <w:bookmarkEnd w:id="43"/>
        <w:tc>
          <w:tcPr>
            <w:tcW w:w="0" w:type="auto"/>
          </w:tcPr>
          <w:p w14:paraId="4866B7EC" w14:textId="77777777" w:rsidR="00016C24" w:rsidRPr="00BB5C63" w:rsidRDefault="00016C24" w:rsidP="00500FD5">
            <w:pPr>
              <w:pStyle w:val="Normal0"/>
              <w:spacing w:after="160" w:line="240" w:lineRule="auto"/>
              <w:rPr>
                <w:rFonts w:ascii="Arial" w:hAnsi="Arial" w:cs="Arial"/>
                <w:b/>
                <w:sz w:val="24"/>
                <w:szCs w:val="24"/>
                <w:lang w:val="en-GB"/>
              </w:rPr>
            </w:pPr>
            <w:r w:rsidRPr="00BB5C63">
              <w:rPr>
                <w:rFonts w:ascii="Arial" w:hAnsi="Arial" w:cs="Arial"/>
                <w:b/>
                <w:sz w:val="24"/>
                <w:szCs w:val="24"/>
                <w:lang w:val="en-GB"/>
              </w:rPr>
              <w:t>Total</w:t>
            </w:r>
          </w:p>
        </w:tc>
        <w:tc>
          <w:tcPr>
            <w:tcW w:w="0" w:type="auto"/>
          </w:tcPr>
          <w:p w14:paraId="27AAA23E" w14:textId="77777777" w:rsidR="00016C24" w:rsidRPr="00982EF6" w:rsidRDefault="00016C24" w:rsidP="00500FD5">
            <w:pPr>
              <w:pStyle w:val="Normal0"/>
              <w:spacing w:after="160" w:line="240" w:lineRule="auto"/>
              <w:jc w:val="right"/>
              <w:rPr>
                <w:rFonts w:ascii="Arial" w:hAnsi="Arial" w:cs="Arial"/>
                <w:b/>
                <w:sz w:val="24"/>
                <w:szCs w:val="24"/>
                <w:highlight w:val="green"/>
                <w:lang w:val="en-GB"/>
              </w:rPr>
            </w:pPr>
            <w:r w:rsidRPr="00093EA4">
              <w:rPr>
                <w:rFonts w:ascii="Arial" w:hAnsi="Arial" w:cs="Arial"/>
                <w:b/>
                <w:sz w:val="24"/>
                <w:szCs w:val="24"/>
                <w:lang w:val="en-GB"/>
              </w:rPr>
              <w:t>1,425.9</w:t>
            </w:r>
          </w:p>
        </w:tc>
      </w:tr>
      <w:bookmarkEnd w:id="44"/>
    </w:tbl>
    <w:p w14:paraId="36DA956D" w14:textId="77777777" w:rsidR="00016C24" w:rsidRPr="00982EF6" w:rsidRDefault="00016C24" w:rsidP="00016C24">
      <w:pPr>
        <w:pStyle w:val="Normal0"/>
        <w:spacing w:after="160" w:line="240" w:lineRule="auto"/>
        <w:rPr>
          <w:rFonts w:ascii="Arial" w:hAnsi="Arial" w:cs="Arial"/>
          <w:sz w:val="24"/>
          <w:szCs w:val="24"/>
          <w:highlight w:val="green"/>
          <w:lang w:val="en-GB"/>
        </w:rPr>
      </w:pPr>
    </w:p>
    <w:p w14:paraId="7AA340B3" w14:textId="77777777" w:rsidR="00016C24" w:rsidRPr="00093EA4" w:rsidRDefault="00016C24" w:rsidP="00016C24">
      <w:pPr>
        <w:pStyle w:val="Normal0"/>
        <w:spacing w:after="160" w:line="240" w:lineRule="auto"/>
        <w:rPr>
          <w:rFonts w:ascii="Arial" w:hAnsi="Arial" w:cs="Arial"/>
          <w:bCs/>
          <w:sz w:val="24"/>
          <w:szCs w:val="22"/>
        </w:rPr>
      </w:pPr>
      <w:r w:rsidRPr="00093EA4">
        <w:rPr>
          <w:rFonts w:ascii="Arial" w:hAnsi="Arial" w:cs="Arial"/>
          <w:sz w:val="24"/>
          <w:szCs w:val="22"/>
        </w:rPr>
        <w:t>Total borrowings show a net decrease during the year of £70.9m due to</w:t>
      </w:r>
      <w:r w:rsidRPr="00093EA4">
        <w:rPr>
          <w:rFonts w:ascii="Arial" w:hAnsi="Arial" w:cs="Arial"/>
          <w:bCs/>
          <w:sz w:val="24"/>
          <w:szCs w:val="22"/>
        </w:rPr>
        <w:t xml:space="preserve"> scheduled repayments to PWLB and EIB, reduced temporary borrowing and other accounting adjustments.</w:t>
      </w:r>
    </w:p>
    <w:p w14:paraId="63F60584" w14:textId="77777777" w:rsidR="00016C24" w:rsidRPr="00BB5C63" w:rsidRDefault="00016C24" w:rsidP="00016C24">
      <w:pPr>
        <w:pStyle w:val="Heading3"/>
        <w:spacing w:after="160"/>
      </w:pPr>
      <w:bookmarkStart w:id="45" w:name="_Toc109922593"/>
      <w:r w:rsidRPr="00BB5C63">
        <w:t>Short Term Investments for Treasury Management Purposes</w:t>
      </w:r>
      <w:bookmarkEnd w:id="45"/>
    </w:p>
    <w:p w14:paraId="703E87C5" w14:textId="77777777" w:rsidR="00016C24" w:rsidRPr="00BB5C63" w:rsidRDefault="00016C24" w:rsidP="00016C24">
      <w:pPr>
        <w:pStyle w:val="Normal0"/>
        <w:spacing w:after="160" w:line="240" w:lineRule="auto"/>
        <w:rPr>
          <w:rFonts w:ascii="Arial" w:hAnsi="Arial" w:cs="Arial"/>
          <w:sz w:val="24"/>
          <w:szCs w:val="24"/>
          <w:lang w:val="en-GB"/>
        </w:rPr>
      </w:pPr>
      <w:r w:rsidRPr="00BB5C63">
        <w:rPr>
          <w:rFonts w:ascii="Arial" w:hAnsi="Arial" w:cs="Arial"/>
          <w:sz w:val="24"/>
          <w:szCs w:val="24"/>
          <w:lang w:val="en-GB"/>
        </w:rPr>
        <w:t>Whilst the Authority held short-term borrowing at the end of the financial year, a level of short</w:t>
      </w:r>
      <w:r>
        <w:rPr>
          <w:rFonts w:ascii="Arial" w:hAnsi="Arial" w:cs="Arial"/>
          <w:sz w:val="24"/>
          <w:szCs w:val="24"/>
          <w:lang w:val="en-GB"/>
        </w:rPr>
        <w:t>-</w:t>
      </w:r>
      <w:r w:rsidRPr="00BB5C63">
        <w:rPr>
          <w:rFonts w:ascii="Arial" w:hAnsi="Arial" w:cs="Arial"/>
          <w:sz w:val="24"/>
          <w:szCs w:val="24"/>
          <w:lang w:val="en-GB"/>
        </w:rPr>
        <w:t>term cash is always held to cover unexpected cash flow requirements. Short term deposits (excluding bank current accounts) as at 31 March 2022 were £245.7m. This is made up of the following figures:</w:t>
      </w:r>
    </w:p>
    <w:tbl>
      <w:tblPr>
        <w:tblStyle w:val="TableGrid"/>
        <w:tblW w:w="7947" w:type="dxa"/>
        <w:jc w:val="center"/>
        <w:tblLook w:val="04A0" w:firstRow="1" w:lastRow="0" w:firstColumn="1" w:lastColumn="0" w:noHBand="0" w:noVBand="1"/>
      </w:tblPr>
      <w:tblGrid>
        <w:gridCol w:w="1442"/>
        <w:gridCol w:w="5063"/>
        <w:gridCol w:w="1442"/>
      </w:tblGrid>
      <w:tr w:rsidR="00016C24" w:rsidRPr="00982EF6" w14:paraId="729C080E" w14:textId="77777777" w:rsidTr="00500FD5">
        <w:trPr>
          <w:jc w:val="center"/>
        </w:trPr>
        <w:tc>
          <w:tcPr>
            <w:tcW w:w="0" w:type="auto"/>
          </w:tcPr>
          <w:p w14:paraId="29EB8335" w14:textId="77777777" w:rsidR="00016C24" w:rsidRPr="00BB5C63" w:rsidRDefault="00016C24" w:rsidP="00500FD5">
            <w:pPr>
              <w:spacing w:after="160"/>
              <w:jc w:val="right"/>
              <w:rPr>
                <w:rFonts w:ascii="Arial" w:hAnsi="Arial" w:cs="Arial"/>
                <w:b/>
              </w:rPr>
            </w:pPr>
            <w:r w:rsidRPr="00BB5C63">
              <w:rPr>
                <w:rFonts w:ascii="Arial" w:hAnsi="Arial" w:cs="Arial"/>
                <w:b/>
              </w:rPr>
              <w:t>2020/21</w:t>
            </w:r>
          </w:p>
          <w:p w14:paraId="4B155ECC" w14:textId="77777777" w:rsidR="00016C24" w:rsidRPr="00BB5C63" w:rsidRDefault="00016C24" w:rsidP="00500FD5">
            <w:pPr>
              <w:spacing w:after="160"/>
              <w:jc w:val="right"/>
              <w:rPr>
                <w:rFonts w:ascii="Arial" w:hAnsi="Arial" w:cs="Arial"/>
                <w:b/>
              </w:rPr>
            </w:pPr>
            <w:r w:rsidRPr="00BB5C63">
              <w:rPr>
                <w:rFonts w:ascii="Arial" w:hAnsi="Arial" w:cs="Arial"/>
                <w:b/>
              </w:rPr>
              <w:t>£m</w:t>
            </w:r>
          </w:p>
        </w:tc>
        <w:tc>
          <w:tcPr>
            <w:tcW w:w="0" w:type="auto"/>
          </w:tcPr>
          <w:p w14:paraId="0DE28A16" w14:textId="77777777" w:rsidR="00016C24" w:rsidRPr="00BB5C63" w:rsidRDefault="00016C24" w:rsidP="00500FD5">
            <w:pPr>
              <w:spacing w:after="160"/>
              <w:rPr>
                <w:rFonts w:ascii="Arial" w:hAnsi="Arial" w:cs="Arial"/>
                <w:b/>
              </w:rPr>
            </w:pPr>
            <w:bookmarkStart w:id="46" w:name="_Hlk75956765"/>
          </w:p>
        </w:tc>
        <w:tc>
          <w:tcPr>
            <w:tcW w:w="0" w:type="auto"/>
          </w:tcPr>
          <w:p w14:paraId="46D81687" w14:textId="77777777" w:rsidR="00016C24" w:rsidRPr="00BB5C63" w:rsidRDefault="00016C24" w:rsidP="00500FD5">
            <w:pPr>
              <w:spacing w:after="160"/>
              <w:jc w:val="right"/>
              <w:rPr>
                <w:rFonts w:ascii="Arial" w:hAnsi="Arial" w:cs="Arial"/>
                <w:b/>
              </w:rPr>
            </w:pPr>
            <w:r w:rsidRPr="00BB5C63">
              <w:rPr>
                <w:rFonts w:ascii="Arial" w:hAnsi="Arial" w:cs="Arial"/>
                <w:b/>
              </w:rPr>
              <w:t>2021/22</w:t>
            </w:r>
          </w:p>
          <w:p w14:paraId="6AE51D25" w14:textId="77777777" w:rsidR="00016C24" w:rsidRPr="00BB5C63" w:rsidRDefault="00016C24" w:rsidP="00500FD5">
            <w:pPr>
              <w:spacing w:after="160"/>
              <w:jc w:val="right"/>
              <w:rPr>
                <w:rFonts w:ascii="Arial" w:hAnsi="Arial" w:cs="Arial"/>
                <w:b/>
              </w:rPr>
            </w:pPr>
            <w:r w:rsidRPr="00BB5C63">
              <w:rPr>
                <w:rFonts w:ascii="Arial" w:hAnsi="Arial" w:cs="Arial"/>
                <w:b/>
              </w:rPr>
              <w:t>£m</w:t>
            </w:r>
          </w:p>
        </w:tc>
      </w:tr>
      <w:tr w:rsidR="00016C24" w:rsidRPr="00982EF6" w14:paraId="7534F081" w14:textId="77777777" w:rsidTr="00500FD5">
        <w:trPr>
          <w:jc w:val="center"/>
        </w:trPr>
        <w:tc>
          <w:tcPr>
            <w:tcW w:w="0" w:type="auto"/>
            <w:tcBorders>
              <w:bottom w:val="nil"/>
            </w:tcBorders>
          </w:tcPr>
          <w:p w14:paraId="66EDE56A" w14:textId="77777777" w:rsidR="00016C24" w:rsidRPr="00BB5C63" w:rsidRDefault="00016C24" w:rsidP="00500FD5">
            <w:pPr>
              <w:spacing w:after="160"/>
              <w:jc w:val="right"/>
              <w:rPr>
                <w:rFonts w:ascii="Arial" w:hAnsi="Arial" w:cs="Arial"/>
              </w:rPr>
            </w:pPr>
            <w:r w:rsidRPr="00BB5C63">
              <w:rPr>
                <w:rFonts w:ascii="Arial" w:hAnsi="Arial" w:cs="Arial"/>
              </w:rPr>
              <w:t>89.4</w:t>
            </w:r>
          </w:p>
        </w:tc>
        <w:tc>
          <w:tcPr>
            <w:tcW w:w="0" w:type="auto"/>
            <w:tcBorders>
              <w:bottom w:val="nil"/>
            </w:tcBorders>
          </w:tcPr>
          <w:p w14:paraId="4F86F5BD" w14:textId="77777777" w:rsidR="00016C24" w:rsidRPr="00BB5C63" w:rsidRDefault="00016C24" w:rsidP="00500FD5">
            <w:pPr>
              <w:spacing w:after="160"/>
              <w:rPr>
                <w:rFonts w:ascii="Arial" w:hAnsi="Arial" w:cs="Arial"/>
              </w:rPr>
            </w:pPr>
            <w:r w:rsidRPr="00BB5C63">
              <w:rPr>
                <w:rFonts w:ascii="Arial" w:hAnsi="Arial" w:cs="Arial"/>
              </w:rPr>
              <w:t>Bank Deposits</w:t>
            </w:r>
          </w:p>
        </w:tc>
        <w:tc>
          <w:tcPr>
            <w:tcW w:w="0" w:type="auto"/>
            <w:tcBorders>
              <w:bottom w:val="nil"/>
            </w:tcBorders>
          </w:tcPr>
          <w:p w14:paraId="078E3286" w14:textId="77777777" w:rsidR="00016C24" w:rsidRPr="00BB5C63" w:rsidRDefault="00016C24" w:rsidP="00500FD5">
            <w:pPr>
              <w:spacing w:after="160"/>
              <w:jc w:val="right"/>
              <w:rPr>
                <w:rFonts w:ascii="Arial" w:hAnsi="Arial" w:cs="Arial"/>
              </w:rPr>
            </w:pPr>
            <w:r w:rsidRPr="00BB5C63">
              <w:rPr>
                <w:rFonts w:ascii="Arial" w:hAnsi="Arial" w:cs="Arial"/>
              </w:rPr>
              <w:t>13.4</w:t>
            </w:r>
          </w:p>
        </w:tc>
      </w:tr>
      <w:tr w:rsidR="00016C24" w:rsidRPr="00982EF6" w14:paraId="25299763" w14:textId="77777777" w:rsidTr="00500FD5">
        <w:trPr>
          <w:jc w:val="center"/>
        </w:trPr>
        <w:tc>
          <w:tcPr>
            <w:tcW w:w="0" w:type="auto"/>
            <w:tcBorders>
              <w:top w:val="nil"/>
              <w:bottom w:val="nil"/>
            </w:tcBorders>
          </w:tcPr>
          <w:p w14:paraId="0AFB7D0D" w14:textId="77777777" w:rsidR="00016C24" w:rsidRPr="00BB5C63" w:rsidRDefault="00016C24" w:rsidP="00500FD5">
            <w:pPr>
              <w:spacing w:after="160"/>
              <w:jc w:val="right"/>
              <w:rPr>
                <w:rFonts w:ascii="Arial" w:hAnsi="Arial" w:cs="Arial"/>
              </w:rPr>
            </w:pPr>
            <w:r w:rsidRPr="00BB5C63">
              <w:rPr>
                <w:rFonts w:ascii="Arial" w:hAnsi="Arial" w:cs="Arial"/>
              </w:rPr>
              <w:t>50.0</w:t>
            </w:r>
          </w:p>
        </w:tc>
        <w:tc>
          <w:tcPr>
            <w:tcW w:w="0" w:type="auto"/>
            <w:tcBorders>
              <w:top w:val="nil"/>
              <w:bottom w:val="nil"/>
            </w:tcBorders>
          </w:tcPr>
          <w:p w14:paraId="6CF91CAF" w14:textId="77777777" w:rsidR="00016C24" w:rsidRPr="00BB5C63" w:rsidRDefault="00016C24" w:rsidP="00500FD5">
            <w:pPr>
              <w:spacing w:after="160"/>
              <w:rPr>
                <w:rFonts w:ascii="Arial" w:hAnsi="Arial" w:cs="Arial"/>
              </w:rPr>
            </w:pPr>
            <w:r w:rsidRPr="00BB5C63">
              <w:rPr>
                <w:rFonts w:ascii="Arial" w:hAnsi="Arial" w:cs="Arial"/>
              </w:rPr>
              <w:t>UK Government Backed Deposits</w:t>
            </w:r>
          </w:p>
        </w:tc>
        <w:tc>
          <w:tcPr>
            <w:tcW w:w="0" w:type="auto"/>
            <w:tcBorders>
              <w:top w:val="nil"/>
              <w:bottom w:val="nil"/>
            </w:tcBorders>
          </w:tcPr>
          <w:p w14:paraId="2BCE51EC" w14:textId="77777777" w:rsidR="00016C24" w:rsidRPr="00BB5C63" w:rsidRDefault="00016C24" w:rsidP="00500FD5">
            <w:pPr>
              <w:spacing w:after="160"/>
              <w:jc w:val="right"/>
              <w:rPr>
                <w:rFonts w:ascii="Arial" w:hAnsi="Arial" w:cs="Arial"/>
              </w:rPr>
            </w:pPr>
            <w:r w:rsidRPr="00BB5C63">
              <w:rPr>
                <w:rFonts w:ascii="Arial" w:hAnsi="Arial" w:cs="Arial"/>
              </w:rPr>
              <w:t>232.3</w:t>
            </w:r>
          </w:p>
        </w:tc>
      </w:tr>
      <w:tr w:rsidR="00016C24" w:rsidRPr="00982EF6" w14:paraId="4DD6BEC4" w14:textId="77777777" w:rsidTr="00500FD5">
        <w:trPr>
          <w:jc w:val="center"/>
        </w:trPr>
        <w:tc>
          <w:tcPr>
            <w:tcW w:w="0" w:type="auto"/>
          </w:tcPr>
          <w:p w14:paraId="47A183D6" w14:textId="77777777" w:rsidR="00016C24" w:rsidRPr="00BB5C63" w:rsidRDefault="00016C24" w:rsidP="00500FD5">
            <w:pPr>
              <w:spacing w:after="160"/>
              <w:jc w:val="right"/>
              <w:rPr>
                <w:rFonts w:ascii="Arial" w:hAnsi="Arial" w:cs="Arial"/>
                <w:b/>
              </w:rPr>
            </w:pPr>
            <w:r w:rsidRPr="00BB5C63">
              <w:rPr>
                <w:rFonts w:ascii="Arial" w:hAnsi="Arial" w:cs="Arial"/>
                <w:b/>
              </w:rPr>
              <w:t>139.4</w:t>
            </w:r>
          </w:p>
        </w:tc>
        <w:tc>
          <w:tcPr>
            <w:tcW w:w="0" w:type="auto"/>
          </w:tcPr>
          <w:p w14:paraId="1A4B7E8A" w14:textId="77777777" w:rsidR="00016C24" w:rsidRPr="00BB5C63" w:rsidRDefault="00016C24" w:rsidP="00500FD5">
            <w:pPr>
              <w:spacing w:after="160"/>
              <w:rPr>
                <w:rFonts w:ascii="Arial" w:hAnsi="Arial" w:cs="Arial"/>
                <w:b/>
              </w:rPr>
            </w:pPr>
            <w:r w:rsidRPr="00BB5C63">
              <w:rPr>
                <w:rFonts w:ascii="Arial" w:hAnsi="Arial" w:cs="Arial"/>
                <w:b/>
              </w:rPr>
              <w:t>Total</w:t>
            </w:r>
          </w:p>
        </w:tc>
        <w:tc>
          <w:tcPr>
            <w:tcW w:w="0" w:type="auto"/>
          </w:tcPr>
          <w:p w14:paraId="5D4226C8" w14:textId="77777777" w:rsidR="00016C24" w:rsidRPr="00BB5C63" w:rsidRDefault="00016C24" w:rsidP="00500FD5">
            <w:pPr>
              <w:spacing w:after="160"/>
              <w:jc w:val="right"/>
              <w:rPr>
                <w:rFonts w:ascii="Arial" w:hAnsi="Arial" w:cs="Arial"/>
                <w:b/>
              </w:rPr>
            </w:pPr>
            <w:r w:rsidRPr="00BB5C63">
              <w:rPr>
                <w:rFonts w:ascii="Arial" w:hAnsi="Arial" w:cs="Arial"/>
                <w:b/>
              </w:rPr>
              <w:t>245.7</w:t>
            </w:r>
          </w:p>
        </w:tc>
      </w:tr>
      <w:bookmarkEnd w:id="46"/>
    </w:tbl>
    <w:p w14:paraId="42614590" w14:textId="77777777" w:rsidR="00016C24" w:rsidRPr="00982EF6" w:rsidRDefault="00016C24" w:rsidP="00016C24">
      <w:pPr>
        <w:pStyle w:val="Normal0"/>
        <w:spacing w:after="160" w:line="240" w:lineRule="auto"/>
        <w:rPr>
          <w:rFonts w:ascii="Arial" w:hAnsi="Arial" w:cs="Arial"/>
          <w:sz w:val="24"/>
          <w:szCs w:val="24"/>
          <w:highlight w:val="green"/>
          <w:lang w:val="en-GB"/>
        </w:rPr>
      </w:pPr>
    </w:p>
    <w:p w14:paraId="28B66F6B" w14:textId="77777777" w:rsidR="00016C24" w:rsidRPr="00F005F9" w:rsidRDefault="00016C24" w:rsidP="00016C24">
      <w:pPr>
        <w:pStyle w:val="Normal0"/>
        <w:spacing w:after="160" w:line="240" w:lineRule="auto"/>
        <w:rPr>
          <w:rFonts w:ascii="Arial" w:hAnsi="Arial" w:cs="Arial"/>
          <w:sz w:val="24"/>
          <w:szCs w:val="24"/>
          <w:lang w:val="en-GB"/>
        </w:rPr>
      </w:pPr>
      <w:r w:rsidRPr="00F005F9">
        <w:rPr>
          <w:rFonts w:ascii="Arial" w:hAnsi="Arial" w:cs="Arial"/>
          <w:sz w:val="24"/>
          <w:szCs w:val="24"/>
          <w:lang w:val="en-GB"/>
        </w:rPr>
        <w:t>Total investments showed an increase in the year of £106.3m, mainly due to the advanced receipt of grants from central government.</w:t>
      </w:r>
    </w:p>
    <w:p w14:paraId="490BEE0C" w14:textId="77777777" w:rsidR="00E853C6" w:rsidRDefault="00E853C6">
      <w:pPr>
        <w:rPr>
          <w:rFonts w:ascii="Arial" w:hAnsi="Arial" w:cs="Arial"/>
          <w:b/>
          <w:bCs/>
          <w:sz w:val="26"/>
          <w:szCs w:val="26"/>
        </w:rPr>
      </w:pPr>
      <w:r>
        <w:br w:type="page"/>
      </w:r>
    </w:p>
    <w:p w14:paraId="79DD27FF" w14:textId="18B3E95A" w:rsidR="00016C24" w:rsidRPr="00921BD1" w:rsidRDefault="00016C24" w:rsidP="00016C24">
      <w:pPr>
        <w:pStyle w:val="Heading3"/>
        <w:spacing w:after="160"/>
      </w:pPr>
      <w:bookmarkStart w:id="47" w:name="_Toc109922594"/>
      <w:bookmarkStart w:id="48" w:name="_Hlk112161669"/>
      <w:r w:rsidRPr="00921BD1">
        <w:lastRenderedPageBreak/>
        <w:t>Outlook for the future – financial landscape.</w:t>
      </w:r>
      <w:bookmarkEnd w:id="47"/>
    </w:p>
    <w:p w14:paraId="34545075" w14:textId="3EF2370C" w:rsidR="00016C24" w:rsidRDefault="00016C24" w:rsidP="00016C24">
      <w:pPr>
        <w:rPr>
          <w:rFonts w:ascii="Arial" w:hAnsi="Arial" w:cs="Arial"/>
        </w:rPr>
      </w:pPr>
      <w:r w:rsidRPr="0040174D">
        <w:rPr>
          <w:rFonts w:ascii="Arial" w:hAnsi="Arial" w:cs="Arial"/>
        </w:rPr>
        <w:t xml:space="preserve">The 2021 Spending Review </w:t>
      </w:r>
      <w:r>
        <w:rPr>
          <w:rFonts w:ascii="Arial" w:hAnsi="Arial" w:cs="Arial"/>
        </w:rPr>
        <w:t xml:space="preserve">covered the three-year period to 2024/25, however the government has only confirmed a </w:t>
      </w:r>
      <w:r w:rsidRPr="0040174D">
        <w:rPr>
          <w:rFonts w:ascii="Arial" w:hAnsi="Arial" w:cs="Arial"/>
        </w:rPr>
        <w:t xml:space="preserve">one-year settlement for </w:t>
      </w:r>
      <w:r>
        <w:rPr>
          <w:rFonts w:ascii="Arial" w:hAnsi="Arial" w:cs="Arial"/>
        </w:rPr>
        <w:t xml:space="preserve">Police and Crime Commissioners and </w:t>
      </w:r>
      <w:r w:rsidRPr="0040174D">
        <w:rPr>
          <w:rFonts w:ascii="Arial" w:hAnsi="Arial" w:cs="Arial"/>
        </w:rPr>
        <w:t>Fire and Rescue Service</w:t>
      </w:r>
      <w:r>
        <w:rPr>
          <w:rFonts w:ascii="Arial" w:hAnsi="Arial" w:cs="Arial"/>
        </w:rPr>
        <w:t>s</w:t>
      </w:r>
      <w:r w:rsidRPr="0040174D">
        <w:rPr>
          <w:rFonts w:ascii="Arial" w:hAnsi="Arial" w:cs="Arial"/>
        </w:rPr>
        <w:t xml:space="preserve"> in 2022/23. </w:t>
      </w:r>
      <w:r>
        <w:rPr>
          <w:rFonts w:ascii="Arial" w:hAnsi="Arial" w:cs="Arial"/>
        </w:rPr>
        <w:t>The budget approved in February 2022 for all areas of GMCA reflected the confirmed funding from government at that time and estimated funding for 2023/24 and 2024/25.</w:t>
      </w:r>
    </w:p>
    <w:bookmarkEnd w:id="48"/>
    <w:p w14:paraId="219F64DC" w14:textId="77777777" w:rsidR="00016C24" w:rsidRDefault="00016C24" w:rsidP="00016C24">
      <w:pPr>
        <w:rPr>
          <w:rFonts w:ascii="Arial" w:hAnsi="Arial" w:cs="Arial"/>
        </w:rPr>
      </w:pPr>
    </w:p>
    <w:p w14:paraId="7AED02EA" w14:textId="77777777" w:rsidR="00016C24" w:rsidRPr="0040174D" w:rsidRDefault="00016C24" w:rsidP="00016C24">
      <w:pPr>
        <w:rPr>
          <w:rFonts w:ascii="Arial" w:hAnsi="Arial" w:cs="Arial"/>
        </w:rPr>
      </w:pPr>
      <w:r w:rsidRPr="0040174D">
        <w:rPr>
          <w:rFonts w:ascii="Arial" w:hAnsi="Arial" w:cs="Arial"/>
        </w:rPr>
        <w:t xml:space="preserve">For 2022/23 the Mayor proposed a precept of £102.95 (Band D) which was an increase of £12 from 2021/22. This was to provide budget support to the Fire and Rescue Service which would receive £7.20 of the precept and other Mayoral General Functions which would receive £31.75. </w:t>
      </w:r>
    </w:p>
    <w:p w14:paraId="7195D7A5" w14:textId="6390D62C" w:rsidR="00016C24" w:rsidRPr="004E0B77" w:rsidRDefault="00016C24" w:rsidP="00016C24">
      <w:pPr>
        <w:pStyle w:val="2AGMAHeading2"/>
        <w:numPr>
          <w:ilvl w:val="0"/>
          <w:numId w:val="0"/>
        </w:numPr>
        <w:jc w:val="left"/>
      </w:pPr>
      <w:r w:rsidRPr="004E0B77">
        <w:t xml:space="preserve">Highways and Transport, Economic Development and Regeneration and Waste Disposal Services are all funded through a mixture of </w:t>
      </w:r>
      <w:r w:rsidR="00A632FA">
        <w:t>l</w:t>
      </w:r>
      <w:r w:rsidRPr="004E0B77">
        <w:t xml:space="preserve">evies and </w:t>
      </w:r>
      <w:r w:rsidR="00A632FA">
        <w:t>c</w:t>
      </w:r>
      <w:r w:rsidRPr="004E0B77">
        <w:t xml:space="preserve">ontributions from the GM Authorities alongside specific grant funding from Government Departments. </w:t>
      </w:r>
    </w:p>
    <w:p w14:paraId="1C7ED2E6" w14:textId="14C4DC76" w:rsidR="00016C24" w:rsidRPr="004E0B77" w:rsidRDefault="00016C24" w:rsidP="00016C24">
      <w:pPr>
        <w:pStyle w:val="2AGMAHeading2"/>
        <w:numPr>
          <w:ilvl w:val="0"/>
          <w:numId w:val="0"/>
        </w:numPr>
        <w:jc w:val="left"/>
      </w:pPr>
      <w:r w:rsidRPr="004E0B77">
        <w:t xml:space="preserve">For 2022/23 the Transport Levy has been set at £105.8m and the Statutory Charge </w:t>
      </w:r>
      <w:r w:rsidR="00BE70A8">
        <w:t xml:space="preserve">has </w:t>
      </w:r>
      <w:r w:rsidRPr="004E0B77">
        <w:t>be</w:t>
      </w:r>
      <w:r w:rsidR="00BE70A8">
        <w:t>en</w:t>
      </w:r>
      <w:r w:rsidRPr="004E0B77">
        <w:t xml:space="preserve"> set at £86.7m, a total of £192.5m which is unchanged from 2021/22. </w:t>
      </w:r>
      <w:r w:rsidRPr="004E0B77">
        <w:rPr>
          <w:lang w:val="en-US"/>
        </w:rPr>
        <w:t>The Transport Levy and Statutory Charge is distributed across the Districts based on mid-year 2020 population.</w:t>
      </w:r>
    </w:p>
    <w:p w14:paraId="486D8211" w14:textId="1B5EE4CE" w:rsidR="00016C24" w:rsidRDefault="00016C24" w:rsidP="00016C24">
      <w:pPr>
        <w:rPr>
          <w:rFonts w:ascii="Arial" w:hAnsi="Arial" w:cs="Arial"/>
        </w:rPr>
      </w:pPr>
      <w:r>
        <w:rPr>
          <w:rFonts w:ascii="Arial" w:hAnsi="Arial" w:cs="Arial"/>
        </w:rPr>
        <w:t>Since the budget was approved further capital and revenue funding for key programmes of work including the City Region Sustainable Transport Settlement (CRSTS), BSIP, UK Shared Prosperity Fund (UKSPF). The medium term financial plan including the capital programme for 2022-2025 will be updated and reported to GMCA for approval to reflect these changes during 2022/23 financial year.</w:t>
      </w:r>
    </w:p>
    <w:p w14:paraId="2C23AF14" w14:textId="77777777" w:rsidR="00016C24" w:rsidRDefault="00016C24" w:rsidP="00016C24">
      <w:pPr>
        <w:rPr>
          <w:rFonts w:ascii="Arial" w:hAnsi="Arial" w:cs="Arial"/>
        </w:rPr>
      </w:pPr>
    </w:p>
    <w:p w14:paraId="70005121" w14:textId="6223342F" w:rsidR="00016C24" w:rsidRPr="004E0B77" w:rsidRDefault="00016C24" w:rsidP="00016C24">
      <w:pPr>
        <w:rPr>
          <w:rFonts w:ascii="Arial" w:hAnsi="Arial" w:cs="Arial"/>
        </w:rPr>
      </w:pPr>
      <w:r w:rsidRPr="004E0B77">
        <w:rPr>
          <w:rFonts w:ascii="Arial" w:hAnsi="Arial" w:cs="Arial"/>
        </w:rPr>
        <w:t>The Business Rates 100% retention pilot was extended for a further year into 2022/23. Greater Manchester will strongly support the retention of the 100% pilot beyond 2022/23. Continuation of the 100% pilot would enable G</w:t>
      </w:r>
      <w:r>
        <w:rPr>
          <w:rFonts w:ascii="Arial" w:hAnsi="Arial" w:cs="Arial"/>
        </w:rPr>
        <w:t>reater Manchester</w:t>
      </w:r>
      <w:r w:rsidRPr="004E0B77">
        <w:rPr>
          <w:rFonts w:ascii="Arial" w:hAnsi="Arial" w:cs="Arial"/>
        </w:rPr>
        <w:t xml:space="preserve"> to maintain a source of income to cover its investment priorities to promote growth in the GM economic area. </w:t>
      </w:r>
    </w:p>
    <w:p w14:paraId="57354809" w14:textId="77777777" w:rsidR="00016C24" w:rsidRPr="001C6644" w:rsidRDefault="00016C24" w:rsidP="00016C24">
      <w:pPr>
        <w:rPr>
          <w:rFonts w:ascii="Arial" w:hAnsi="Arial" w:cs="Arial"/>
        </w:rPr>
      </w:pPr>
    </w:p>
    <w:p w14:paraId="32197496" w14:textId="1464CA0C" w:rsidR="00016C24" w:rsidRDefault="00016C24" w:rsidP="00016C24">
      <w:pPr>
        <w:pStyle w:val="Normal0"/>
        <w:spacing w:after="160" w:line="240" w:lineRule="auto"/>
        <w:rPr>
          <w:rFonts w:ascii="Arial" w:hAnsi="Arial" w:cs="Arial"/>
          <w:sz w:val="24"/>
          <w:szCs w:val="24"/>
          <w:lang w:val="en-GB"/>
        </w:rPr>
      </w:pPr>
      <w:r w:rsidRPr="001C6644">
        <w:rPr>
          <w:rFonts w:ascii="Arial" w:hAnsi="Arial" w:cs="Arial"/>
          <w:sz w:val="24"/>
          <w:szCs w:val="24"/>
          <w:lang w:val="en-GB"/>
        </w:rPr>
        <w:t xml:space="preserve">The </w:t>
      </w:r>
      <w:r w:rsidR="00336C9F">
        <w:rPr>
          <w:rFonts w:ascii="Arial" w:hAnsi="Arial" w:cs="Arial"/>
          <w:sz w:val="24"/>
          <w:szCs w:val="24"/>
          <w:lang w:val="en-GB"/>
        </w:rPr>
        <w:t>ten</w:t>
      </w:r>
      <w:r w:rsidRPr="001C6644">
        <w:rPr>
          <w:rFonts w:ascii="Arial" w:hAnsi="Arial" w:cs="Arial"/>
          <w:sz w:val="24"/>
          <w:szCs w:val="24"/>
          <w:lang w:val="en-GB"/>
        </w:rPr>
        <w:t xml:space="preserve"> GM Authorities continue to face uncertain financial prospects as the country emerges from the COVID-19 pandemic, with continuing pressure </w:t>
      </w:r>
      <w:r>
        <w:rPr>
          <w:rFonts w:ascii="Arial" w:hAnsi="Arial" w:cs="Arial"/>
          <w:sz w:val="24"/>
          <w:szCs w:val="24"/>
          <w:lang w:val="en-GB"/>
        </w:rPr>
        <w:t xml:space="preserve">on </w:t>
      </w:r>
      <w:r w:rsidRPr="001C6644">
        <w:rPr>
          <w:rFonts w:ascii="Arial" w:hAnsi="Arial" w:cs="Arial"/>
          <w:sz w:val="24"/>
          <w:szCs w:val="24"/>
          <w:lang w:val="en-GB"/>
        </w:rPr>
        <w:t xml:space="preserve">budgets from social care services and more recently the impact of inflationary increases and the long awaited Fair Funding Review. This will continue to impact on and influence the levels of Contributions and Waste and Transport Levies which are funded from the </w:t>
      </w:r>
      <w:r w:rsidR="00336C9F">
        <w:rPr>
          <w:rFonts w:ascii="Arial" w:hAnsi="Arial" w:cs="Arial"/>
          <w:sz w:val="24"/>
          <w:szCs w:val="24"/>
          <w:lang w:val="en-GB"/>
        </w:rPr>
        <w:t>ten</w:t>
      </w:r>
      <w:r w:rsidRPr="001C6644">
        <w:rPr>
          <w:rFonts w:ascii="Arial" w:hAnsi="Arial" w:cs="Arial"/>
          <w:sz w:val="24"/>
          <w:szCs w:val="24"/>
          <w:lang w:val="en-GB"/>
        </w:rPr>
        <w:t xml:space="preserve"> GM Authorities’ General Fund Budgets.</w:t>
      </w:r>
    </w:p>
    <w:p w14:paraId="159A66E0" w14:textId="37E0484E" w:rsidR="00016C24" w:rsidRDefault="00016C24" w:rsidP="00016C24">
      <w:pPr>
        <w:rPr>
          <w:rFonts w:ascii="Arial" w:hAnsi="Arial" w:cs="Arial"/>
        </w:rPr>
      </w:pPr>
      <w:r w:rsidRPr="003E05DA">
        <w:rPr>
          <w:rFonts w:ascii="Arial" w:hAnsi="Arial" w:cs="Arial"/>
        </w:rPr>
        <w:t>There is a</w:t>
      </w:r>
      <w:r>
        <w:rPr>
          <w:rFonts w:ascii="Arial" w:hAnsi="Arial" w:cs="Arial"/>
        </w:rPr>
        <w:t>n inherent</w:t>
      </w:r>
      <w:r w:rsidRPr="003E05DA">
        <w:rPr>
          <w:rFonts w:ascii="Arial" w:hAnsi="Arial" w:cs="Arial"/>
        </w:rPr>
        <w:t xml:space="preserve"> </w:t>
      </w:r>
      <w:r>
        <w:rPr>
          <w:rFonts w:ascii="Arial" w:hAnsi="Arial" w:cs="Arial"/>
        </w:rPr>
        <w:t xml:space="preserve">financial </w:t>
      </w:r>
      <w:r w:rsidRPr="003E05DA">
        <w:rPr>
          <w:rFonts w:ascii="Arial" w:hAnsi="Arial" w:cs="Arial"/>
        </w:rPr>
        <w:t>risk</w:t>
      </w:r>
      <w:r>
        <w:rPr>
          <w:rFonts w:ascii="Arial" w:hAnsi="Arial" w:cs="Arial"/>
        </w:rPr>
        <w:t xml:space="preserve"> across all areas of </w:t>
      </w:r>
      <w:r w:rsidR="00BE70A8">
        <w:rPr>
          <w:rFonts w:ascii="Arial" w:hAnsi="Arial" w:cs="Arial"/>
        </w:rPr>
        <w:t xml:space="preserve">the </w:t>
      </w:r>
      <w:r>
        <w:rPr>
          <w:rFonts w:ascii="Arial" w:hAnsi="Arial" w:cs="Arial"/>
        </w:rPr>
        <w:t>GMCA</w:t>
      </w:r>
      <w:r w:rsidRPr="003E05DA">
        <w:rPr>
          <w:rFonts w:ascii="Arial" w:hAnsi="Arial" w:cs="Arial"/>
        </w:rPr>
        <w:t xml:space="preserve"> </w:t>
      </w:r>
      <w:r>
        <w:rPr>
          <w:rFonts w:ascii="Arial" w:hAnsi="Arial" w:cs="Arial"/>
        </w:rPr>
        <w:t xml:space="preserve">with </w:t>
      </w:r>
      <w:r w:rsidRPr="003E05DA">
        <w:rPr>
          <w:rFonts w:ascii="Arial" w:hAnsi="Arial" w:cs="Arial"/>
        </w:rPr>
        <w:t>inflation as a consequence of the challenging global economic environment</w:t>
      </w:r>
      <w:r>
        <w:rPr>
          <w:rFonts w:ascii="Arial" w:hAnsi="Arial" w:cs="Arial"/>
        </w:rPr>
        <w:t>, the ‘cost of living crisis’ and pandemic recovery impacting particularly on transport revenues</w:t>
      </w:r>
      <w:r w:rsidRPr="003E05DA">
        <w:rPr>
          <w:rFonts w:ascii="Arial" w:hAnsi="Arial" w:cs="Arial"/>
        </w:rPr>
        <w:t xml:space="preserve">. </w:t>
      </w:r>
      <w:r>
        <w:rPr>
          <w:rFonts w:ascii="Arial" w:hAnsi="Arial" w:cs="Arial"/>
        </w:rPr>
        <w:t>The outcome of pay negotiations is difficult to predict and the availability of government funding to meet pressures is not confirmed.</w:t>
      </w:r>
    </w:p>
    <w:p w14:paraId="56A5F327" w14:textId="77777777" w:rsidR="00016C24" w:rsidRPr="001C6644" w:rsidRDefault="00016C24" w:rsidP="00016C24">
      <w:pPr>
        <w:rPr>
          <w:rFonts w:ascii="Arial" w:hAnsi="Arial" w:cs="Arial"/>
        </w:rPr>
      </w:pPr>
    </w:p>
    <w:p w14:paraId="5F6964AF" w14:textId="77777777" w:rsidR="00016C24" w:rsidRPr="00363998" w:rsidRDefault="00016C24" w:rsidP="00016C24">
      <w:pPr>
        <w:pStyle w:val="Heading6"/>
        <w:spacing w:after="160"/>
        <w:rPr>
          <w:rFonts w:cs="Arial"/>
        </w:rPr>
      </w:pPr>
      <w:r w:rsidRPr="00363998">
        <w:rPr>
          <w:rFonts w:cs="Arial"/>
        </w:rPr>
        <w:t>Mayor’s Police and Crime Services</w:t>
      </w:r>
    </w:p>
    <w:p w14:paraId="69486816" w14:textId="77777777" w:rsidR="00016C24" w:rsidRPr="00363998" w:rsidRDefault="00016C24" w:rsidP="00016C24">
      <w:pPr>
        <w:rPr>
          <w:rFonts w:ascii="Arial" w:hAnsi="Arial" w:cs="Arial"/>
          <w:lang w:val="en" w:eastAsia="en-GB"/>
        </w:rPr>
      </w:pPr>
      <w:r w:rsidRPr="00363998">
        <w:rPr>
          <w:rFonts w:ascii="Arial" w:hAnsi="Arial" w:cs="Arial"/>
          <w:lang w:val="en" w:eastAsia="en-GB"/>
        </w:rPr>
        <w:t xml:space="preserve">Funding for police is sourced 75% from a central Government grant and 25% from the policing precept. Revenue funding for 2022/23 is budgeted at £718.5m, which is an overall increase of £44.1m compared to 2021/22. </w:t>
      </w:r>
    </w:p>
    <w:p w14:paraId="0E96BA1F" w14:textId="77777777" w:rsidR="00016C24" w:rsidRDefault="00016C24" w:rsidP="00016C24">
      <w:pPr>
        <w:rPr>
          <w:rFonts w:ascii="Arial" w:hAnsi="Arial" w:cs="Arial"/>
        </w:rPr>
      </w:pPr>
      <w:r w:rsidRPr="00363998">
        <w:rPr>
          <w:rFonts w:ascii="Arial" w:hAnsi="Arial" w:cs="Arial"/>
          <w:lang w:val="en" w:eastAsia="en-GB"/>
        </w:rPr>
        <w:lastRenderedPageBreak/>
        <w:t xml:space="preserve">For 2021/22 the Government grant for police included an additional £29.9m for Greater Manchester Police. </w:t>
      </w:r>
      <w:r w:rsidRPr="00363998">
        <w:rPr>
          <w:rFonts w:ascii="Arial" w:hAnsi="Arial" w:cs="Arial"/>
        </w:rPr>
        <w:t xml:space="preserve">This includes the final year of the police uplift funding relating to the recruitment of the third tranche of the 20,000 new officers nationwide. </w:t>
      </w:r>
    </w:p>
    <w:p w14:paraId="476EE27F" w14:textId="77777777" w:rsidR="00016C24" w:rsidRDefault="00016C24" w:rsidP="00016C24">
      <w:pPr>
        <w:rPr>
          <w:rFonts w:ascii="Arial" w:hAnsi="Arial" w:cs="Arial"/>
        </w:rPr>
      </w:pPr>
    </w:p>
    <w:p w14:paraId="03F3F490" w14:textId="41199848" w:rsidR="00016C24" w:rsidRPr="00327AC3" w:rsidRDefault="00016C24" w:rsidP="00016C24">
      <w:pPr>
        <w:rPr>
          <w:rFonts w:ascii="Arial" w:hAnsi="Arial" w:cs="Arial"/>
        </w:rPr>
      </w:pPr>
      <w:r w:rsidRPr="00327AC3">
        <w:rPr>
          <w:rFonts w:ascii="Arial" w:hAnsi="Arial" w:cs="Arial"/>
        </w:rPr>
        <w:t>As part of the overall funding for policing in 2022/23, the Government gave PCCs the ability to raise the police element of council tax (the precept) by up to £10 a year for an average Band D property which was approved by the Police, Fire and Crime Panel in January 2022. With this increase the Greater Manchester police and crime precept remain</w:t>
      </w:r>
      <w:r>
        <w:rPr>
          <w:rFonts w:ascii="Arial" w:hAnsi="Arial" w:cs="Arial"/>
        </w:rPr>
        <w:t>s</w:t>
      </w:r>
      <w:r w:rsidRPr="00327AC3">
        <w:rPr>
          <w:rFonts w:ascii="Arial" w:hAnsi="Arial" w:cs="Arial"/>
        </w:rPr>
        <w:t xml:space="preserve"> one of the 10 lowest out of the 42 police and crime areas of England. However Greater Manchester is more dependent than other areas on changes to Government grant funding due to the lower council tax base in the region. </w:t>
      </w:r>
    </w:p>
    <w:p w14:paraId="40F9E44C" w14:textId="77777777" w:rsidR="00016C24" w:rsidRDefault="00016C24" w:rsidP="00016C24">
      <w:pPr>
        <w:rPr>
          <w:rFonts w:ascii="Arial" w:hAnsi="Arial" w:cs="Arial"/>
        </w:rPr>
      </w:pPr>
    </w:p>
    <w:p w14:paraId="4DB802FD" w14:textId="77777777" w:rsidR="00016C24" w:rsidRPr="003E05DA" w:rsidRDefault="00016C24" w:rsidP="00016C24">
      <w:pPr>
        <w:rPr>
          <w:rFonts w:ascii="Arial" w:hAnsi="Arial" w:cs="Arial"/>
        </w:rPr>
      </w:pPr>
      <w:r w:rsidRPr="003E05DA">
        <w:rPr>
          <w:rFonts w:ascii="Arial" w:hAnsi="Arial" w:cs="Arial"/>
        </w:rPr>
        <w:t>The revenue budget for 2022/23 sets out the resources which are available to fund Mayoral PCC functions and GMP to resource policing services with a focus on addressing the concerns raised by HMICFRS in their inspection of GMP in December 2020. Implementation of GMP’s improvement plan as set out in the ‘Plan on a Page’ (POAP) includes significant change and a commitment to fulfil promises made to the public to deliver an effective police service. Th</w:t>
      </w:r>
      <w:r>
        <w:rPr>
          <w:rFonts w:ascii="Arial" w:hAnsi="Arial" w:cs="Arial"/>
        </w:rPr>
        <w:t>is</w:t>
      </w:r>
      <w:r w:rsidRPr="003E05DA">
        <w:rPr>
          <w:rFonts w:ascii="Arial" w:hAnsi="Arial" w:cs="Arial"/>
        </w:rPr>
        <w:t xml:space="preserve"> is supported by a medium</w:t>
      </w:r>
      <w:r>
        <w:rPr>
          <w:rFonts w:ascii="Arial" w:hAnsi="Arial" w:cs="Arial"/>
        </w:rPr>
        <w:t>-</w:t>
      </w:r>
      <w:r w:rsidRPr="003E05DA">
        <w:rPr>
          <w:rFonts w:ascii="Arial" w:hAnsi="Arial" w:cs="Arial"/>
        </w:rPr>
        <w:t>term financial plan incorporating use of non-recurrent resources and efficiency savings from within existing budgets</w:t>
      </w:r>
      <w:r>
        <w:rPr>
          <w:rFonts w:ascii="Arial" w:hAnsi="Arial" w:cs="Arial"/>
        </w:rPr>
        <w:t>.</w:t>
      </w:r>
    </w:p>
    <w:p w14:paraId="27577369" w14:textId="77777777" w:rsidR="00016C24" w:rsidRPr="003E05DA" w:rsidRDefault="00016C24" w:rsidP="00016C24">
      <w:pPr>
        <w:rPr>
          <w:rFonts w:ascii="Arial" w:hAnsi="Arial" w:cs="Arial"/>
        </w:rPr>
      </w:pPr>
    </w:p>
    <w:p w14:paraId="60F35244" w14:textId="326DC414" w:rsidR="00016C24" w:rsidRPr="003E05DA" w:rsidRDefault="00016C24" w:rsidP="00016C24">
      <w:pPr>
        <w:rPr>
          <w:rFonts w:ascii="Arial" w:hAnsi="Arial" w:cs="Arial"/>
        </w:rPr>
      </w:pPr>
      <w:r w:rsidRPr="003E05DA">
        <w:rPr>
          <w:rFonts w:ascii="Arial" w:hAnsi="Arial" w:cs="Arial"/>
        </w:rPr>
        <w:t>Overall Police funding is dependent on Government grant and the PCC precept. There is an assumption of a £10 precept for each of the three years 2022/23, 2023/24 and 2024/25</w:t>
      </w:r>
      <w:r w:rsidR="00032DA3">
        <w:rPr>
          <w:rFonts w:ascii="Arial" w:hAnsi="Arial" w:cs="Arial"/>
        </w:rPr>
        <w:t xml:space="preserve">, </w:t>
      </w:r>
      <w:r w:rsidRPr="003E05DA">
        <w:rPr>
          <w:rFonts w:ascii="Arial" w:hAnsi="Arial" w:cs="Arial"/>
        </w:rPr>
        <w:t xml:space="preserve">however this is subject to local consultation and decision in January each year. There is a risk that police cost pressures will exceed available funding if the maximum £10 precept increase is not agreed upon locally. </w:t>
      </w:r>
    </w:p>
    <w:p w14:paraId="5793B087" w14:textId="4BE1081C" w:rsidR="00AD2D07" w:rsidRPr="00CA3482" w:rsidRDefault="00AD2D07" w:rsidP="0038082E">
      <w:pPr>
        <w:pStyle w:val="Heading3"/>
      </w:pPr>
      <w:bookmarkStart w:id="49" w:name="_Toc109922595"/>
      <w:r w:rsidRPr="00CA3482">
        <w:t>What is in the Statements of Accounts?</w:t>
      </w:r>
      <w:bookmarkEnd w:id="10"/>
      <w:bookmarkEnd w:id="11"/>
      <w:bookmarkEnd w:id="49"/>
    </w:p>
    <w:p w14:paraId="57E81584" w14:textId="77777777"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The Accounts are prepared using International Financial Reporting Standards (IFRS). These are the same standards that a large company would use in preparing its financial statements. The following paragraphs give a brief explanation of the purpose and relationship between each of the main statements, which make up the Authority’s Annual Statement of Accounts.</w:t>
      </w:r>
    </w:p>
    <w:p w14:paraId="7D8E470F" w14:textId="77777777" w:rsidR="00AD2D07" w:rsidRPr="0007572B" w:rsidRDefault="00AD2D07" w:rsidP="0038082E">
      <w:pPr>
        <w:pStyle w:val="Heading4bold"/>
      </w:pPr>
      <w:r w:rsidRPr="0007572B">
        <w:t>Statement of Responsibilities for the Statement of Accounts</w:t>
      </w:r>
    </w:p>
    <w:p w14:paraId="5649100C" w14:textId="77777777"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The statement confirms the responsibilities of the Authority and the Treasurer for the production and content of the Annual Statement of Accounts</w:t>
      </w:r>
    </w:p>
    <w:p w14:paraId="4BF9711A" w14:textId="77777777" w:rsidR="00AD2D07" w:rsidRPr="0007572B" w:rsidRDefault="00AD2D07" w:rsidP="0038082E">
      <w:pPr>
        <w:pStyle w:val="Heading4bold"/>
      </w:pPr>
      <w:r w:rsidRPr="0007572B">
        <w:t>Movement in Reserves Statement (MIRS)</w:t>
      </w:r>
    </w:p>
    <w:p w14:paraId="3B74DCFE" w14:textId="77777777"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 xml:space="preserve">This statement shows the movement in the year on the different reserves. It shows how the deficit for the year in the Comprehensive Income and Expenditure statement is adjusted by the costs that are not a charge to local taxpayers. </w:t>
      </w:r>
    </w:p>
    <w:p w14:paraId="0D4EE15B" w14:textId="77777777" w:rsidR="00AD2D07" w:rsidRPr="0007572B" w:rsidRDefault="00AD2D07" w:rsidP="0038082E">
      <w:pPr>
        <w:pStyle w:val="Heading4bold"/>
      </w:pPr>
      <w:r w:rsidRPr="0007572B">
        <w:t>Comprehensive Income and Expenditure Statement (CIES)</w:t>
      </w:r>
    </w:p>
    <w:p w14:paraId="262814CF" w14:textId="77777777"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 xml:space="preserve">This statement shows the accounting cost in the year of providing services in accordance with International Financial Reporting Standards (IFRS), rather than the amount to be funded by local taxpayers. </w:t>
      </w:r>
    </w:p>
    <w:p w14:paraId="6AB31E3E" w14:textId="2026FA25" w:rsidR="00AD2D07" w:rsidRPr="0007572B" w:rsidRDefault="00AD2D07" w:rsidP="0038082E">
      <w:pPr>
        <w:pStyle w:val="Heading4bold"/>
      </w:pPr>
      <w:r w:rsidRPr="0007572B">
        <w:lastRenderedPageBreak/>
        <w:t>Balance Sheet (BS)</w:t>
      </w:r>
    </w:p>
    <w:p w14:paraId="749C1094" w14:textId="77777777"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The balance sheet shows the value as at the balance sheet date of the Authority’s recognised assets and liabilities.</w:t>
      </w:r>
    </w:p>
    <w:p w14:paraId="2234F8BA" w14:textId="77777777" w:rsidR="00AD2D07" w:rsidRPr="0007572B" w:rsidRDefault="00AD2D07" w:rsidP="0038082E">
      <w:pPr>
        <w:pStyle w:val="Heading4bold"/>
      </w:pPr>
      <w:r w:rsidRPr="0007572B">
        <w:t>Cash Flow Statement</w:t>
      </w:r>
    </w:p>
    <w:p w14:paraId="6536ADE4" w14:textId="77777777"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 xml:space="preserve">This statement shows the changes in cash and cash equivalents held by the Authority during the reporting period. </w:t>
      </w:r>
    </w:p>
    <w:p w14:paraId="7DB9F81D" w14:textId="77777777" w:rsidR="00AD2D07" w:rsidRPr="0007572B" w:rsidRDefault="00AD2D07" w:rsidP="0038082E">
      <w:pPr>
        <w:pStyle w:val="Heading4bold"/>
      </w:pPr>
      <w:r w:rsidRPr="0007572B">
        <w:t>Expenditure and Funding Analysis</w:t>
      </w:r>
    </w:p>
    <w:p w14:paraId="62706D24" w14:textId="77777777"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This analysis shows how annual expenditure is used and funded from resources (government grants, precept and levy) by the Authority in comparison with those resources consumed or earned in accordance with generally accepted accounting practices.</w:t>
      </w:r>
    </w:p>
    <w:p w14:paraId="0E17DA9E" w14:textId="77777777" w:rsidR="00AD2D07" w:rsidRPr="0007572B" w:rsidRDefault="00AD2D07" w:rsidP="0038082E">
      <w:pPr>
        <w:pStyle w:val="Heading4bold"/>
      </w:pPr>
      <w:r w:rsidRPr="0007572B">
        <w:t>Accounting Policies and Concepts</w:t>
      </w:r>
    </w:p>
    <w:p w14:paraId="442A9F63" w14:textId="77777777"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 xml:space="preserve">These are the specific principles, bases, conventions, rules and practices applied by the Authority in preparing and presenting the financial statements. </w:t>
      </w:r>
    </w:p>
    <w:p w14:paraId="32317773" w14:textId="77777777" w:rsidR="00AD2D07" w:rsidRPr="0007572B" w:rsidRDefault="00AD2D07" w:rsidP="0038082E">
      <w:pPr>
        <w:pStyle w:val="Heading4bold"/>
      </w:pPr>
      <w:r w:rsidRPr="0007572B">
        <w:t>Notes to the Financial Statements</w:t>
      </w:r>
    </w:p>
    <w:p w14:paraId="2EC0527E" w14:textId="77777777"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These include information required by the Code and additional material items of interest to assist the readers understanding of the reported figures.</w:t>
      </w:r>
    </w:p>
    <w:p w14:paraId="23296BD7" w14:textId="77777777" w:rsidR="00AD2D07" w:rsidRPr="0007572B" w:rsidRDefault="00AD2D07" w:rsidP="0038082E">
      <w:pPr>
        <w:pStyle w:val="Heading4bold"/>
      </w:pPr>
      <w:r w:rsidRPr="0007572B">
        <w:t>Events after the reporting period and authorised for issue date</w:t>
      </w:r>
    </w:p>
    <w:p w14:paraId="071AD633" w14:textId="77777777"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This summarises any major events that happened between the year end and the authorised for issue date. Events coming to light after the authorised for issue date will not be included in the financial statements.</w:t>
      </w:r>
    </w:p>
    <w:p w14:paraId="2B9813C2" w14:textId="77777777" w:rsidR="00AD2D07" w:rsidRPr="0007572B" w:rsidRDefault="00AD2D07" w:rsidP="0038082E">
      <w:pPr>
        <w:pStyle w:val="Heading4bold"/>
      </w:pPr>
      <w:r w:rsidRPr="0007572B">
        <w:t>Group Accounts</w:t>
      </w:r>
    </w:p>
    <w:p w14:paraId="043AB9EB" w14:textId="77777777"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These include the accounts of the entities listed earlier in this narrative:</w:t>
      </w:r>
    </w:p>
    <w:p w14:paraId="5BFB27F0" w14:textId="5DC160D1" w:rsidR="00AD2D07" w:rsidRPr="0007572B" w:rsidRDefault="00AD2D07" w:rsidP="0038082E">
      <w:pPr>
        <w:pStyle w:val="Normal0"/>
        <w:spacing w:afterLines="160" w:after="384" w:line="240" w:lineRule="auto"/>
        <w:rPr>
          <w:rFonts w:ascii="Arial" w:hAnsi="Arial" w:cs="Arial"/>
          <w:sz w:val="24"/>
          <w:szCs w:val="24"/>
          <w:lang w:val="en-GB"/>
        </w:rPr>
      </w:pPr>
      <w:r w:rsidRPr="0007572B">
        <w:rPr>
          <w:rFonts w:ascii="Arial" w:hAnsi="Arial" w:cs="Arial"/>
          <w:sz w:val="24"/>
          <w:szCs w:val="24"/>
          <w:lang w:val="en-GB"/>
        </w:rPr>
        <w:t xml:space="preserve">Transport for Greater Manchester, Chief Constable of Greater Manchester Police, </w:t>
      </w:r>
      <w:r w:rsidRPr="0007572B">
        <w:rPr>
          <w:rFonts w:ascii="Arial" w:hAnsi="Arial" w:cs="Arial"/>
          <w:sz w:val="24"/>
          <w:szCs w:val="24"/>
        </w:rPr>
        <w:t>NW Evergreen Holdings Limited Partnership</w:t>
      </w:r>
      <w:r w:rsidR="00230EF6">
        <w:rPr>
          <w:rFonts w:ascii="Arial" w:hAnsi="Arial" w:cs="Arial"/>
          <w:sz w:val="24"/>
          <w:szCs w:val="24"/>
        </w:rPr>
        <w:t xml:space="preserve">, </w:t>
      </w:r>
      <w:r w:rsidR="00230EF6">
        <w:rPr>
          <w:rFonts w:ascii="Arial" w:hAnsi="Arial" w:cs="Arial"/>
          <w:bCs/>
          <w:sz w:val="24"/>
          <w:szCs w:val="24"/>
          <w:lang w:eastAsia="en-GB"/>
        </w:rPr>
        <w:t xml:space="preserve">Greater Manchester Evergreen 2 </w:t>
      </w:r>
      <w:r w:rsidR="00230EF6" w:rsidRPr="0007572B">
        <w:rPr>
          <w:rFonts w:ascii="Arial" w:hAnsi="Arial" w:cs="Arial"/>
          <w:sz w:val="24"/>
          <w:szCs w:val="24"/>
        </w:rPr>
        <w:t>Limited Partnership</w:t>
      </w:r>
      <w:r w:rsidRPr="0007572B">
        <w:rPr>
          <w:rFonts w:ascii="Arial" w:hAnsi="Arial" w:cs="Arial"/>
          <w:sz w:val="24"/>
          <w:szCs w:val="24"/>
        </w:rPr>
        <w:t xml:space="preserve"> and GM Fund of Funds Limited Partnership.</w:t>
      </w:r>
    </w:p>
    <w:p w14:paraId="4D380B89" w14:textId="77777777" w:rsidR="00AD2D07" w:rsidRPr="0007572B" w:rsidRDefault="00AD2D07" w:rsidP="0038082E">
      <w:pPr>
        <w:pStyle w:val="Heading4bold"/>
      </w:pPr>
      <w:r w:rsidRPr="0007572B">
        <w:t>Glossary of financial terms</w:t>
      </w:r>
    </w:p>
    <w:p w14:paraId="4A4E312D" w14:textId="2F3E7019" w:rsidR="00FD76D5" w:rsidRDefault="00AD2D07" w:rsidP="00FD76D5">
      <w:pPr>
        <w:pStyle w:val="Normal0"/>
        <w:spacing w:line="240" w:lineRule="auto"/>
        <w:rPr>
          <w:rFonts w:ascii="Arial" w:hAnsi="Arial" w:cs="Arial"/>
          <w:sz w:val="24"/>
          <w:szCs w:val="24"/>
          <w:lang w:val="en-GB"/>
        </w:rPr>
      </w:pPr>
      <w:r w:rsidRPr="0007572B">
        <w:rPr>
          <w:rFonts w:ascii="Arial" w:hAnsi="Arial" w:cs="Arial"/>
          <w:sz w:val="24"/>
          <w:szCs w:val="24"/>
          <w:lang w:val="en-GB"/>
        </w:rPr>
        <w:t>The nature of this document means that technical words are unavoidable. The glossary found at the end of the document is intended to simplify and explain such words.</w:t>
      </w:r>
    </w:p>
    <w:p w14:paraId="095F2A81" w14:textId="77777777" w:rsidR="00FD76D5" w:rsidRPr="0007572B" w:rsidRDefault="00FD76D5" w:rsidP="00FD76D5">
      <w:pPr>
        <w:pStyle w:val="Normal0"/>
        <w:spacing w:line="240" w:lineRule="auto"/>
        <w:rPr>
          <w:rFonts w:ascii="Arial" w:hAnsi="Arial" w:cs="Arial"/>
          <w:sz w:val="24"/>
          <w:szCs w:val="24"/>
          <w:lang w:val="en-GB"/>
        </w:rPr>
      </w:pPr>
    </w:p>
    <w:p w14:paraId="230338BD" w14:textId="77777777" w:rsidR="00AD2D07" w:rsidRPr="0007572B" w:rsidRDefault="00AD2D07" w:rsidP="00FD76D5">
      <w:pPr>
        <w:pStyle w:val="Normal0"/>
        <w:spacing w:line="240" w:lineRule="auto"/>
        <w:rPr>
          <w:rFonts w:ascii="Arial" w:hAnsi="Arial" w:cs="Arial"/>
          <w:sz w:val="24"/>
          <w:szCs w:val="24"/>
          <w:lang w:val="en-GB"/>
        </w:rPr>
      </w:pPr>
      <w:r w:rsidRPr="0007572B">
        <w:rPr>
          <w:rFonts w:ascii="Arial" w:hAnsi="Arial" w:cs="Arial"/>
          <w:noProof/>
          <w:sz w:val="24"/>
          <w:szCs w:val="24"/>
          <w:lang w:val="en-GB" w:eastAsia="en-GB"/>
        </w:rPr>
        <w:drawing>
          <wp:inline distT="0" distB="0" distL="0" distR="0" wp14:anchorId="3C7AB4E7" wp14:editId="7E0F6263">
            <wp:extent cx="1513840" cy="688387"/>
            <wp:effectExtent l="0" t="0" r="0" b="0"/>
            <wp:docPr id="54" name="Picture 54" descr="Signature of Steve Wilson, Greater Manchester Combined Authority Treas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ignature of Steve Wilson, Greater Manchester Combined Authority Treasur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4693" cy="702417"/>
                    </a:xfrm>
                    <a:prstGeom prst="rect">
                      <a:avLst/>
                    </a:prstGeom>
                    <a:noFill/>
                    <a:ln>
                      <a:noFill/>
                    </a:ln>
                  </pic:spPr>
                </pic:pic>
              </a:graphicData>
            </a:graphic>
          </wp:inline>
        </w:drawing>
      </w:r>
    </w:p>
    <w:p w14:paraId="1AE808F8" w14:textId="7F1EA234" w:rsidR="000811AC" w:rsidRPr="0007572B" w:rsidRDefault="00AD2D07" w:rsidP="00230EF6">
      <w:pPr>
        <w:pStyle w:val="Normal0"/>
        <w:spacing w:line="240" w:lineRule="auto"/>
        <w:rPr>
          <w:rFonts w:ascii="Arial" w:hAnsi="Arial" w:cs="Arial"/>
          <w:b/>
          <w:sz w:val="24"/>
          <w:szCs w:val="24"/>
          <w:lang w:val="en-GB"/>
        </w:rPr>
      </w:pPr>
      <w:r w:rsidRPr="0007572B">
        <w:rPr>
          <w:rFonts w:ascii="Arial" w:hAnsi="Arial" w:cs="Arial"/>
          <w:b/>
          <w:sz w:val="24"/>
          <w:szCs w:val="24"/>
          <w:lang w:val="en-GB"/>
        </w:rPr>
        <w:t>Steve Wilson</w:t>
      </w:r>
      <w:r w:rsidR="00230EF6">
        <w:rPr>
          <w:rFonts w:ascii="Arial" w:hAnsi="Arial" w:cs="Arial"/>
          <w:b/>
          <w:sz w:val="24"/>
          <w:szCs w:val="24"/>
          <w:lang w:val="en-GB"/>
        </w:rPr>
        <w:t xml:space="preserve">, </w:t>
      </w:r>
      <w:r w:rsidRPr="0007572B">
        <w:rPr>
          <w:rFonts w:ascii="Arial" w:hAnsi="Arial" w:cs="Arial"/>
          <w:b/>
          <w:sz w:val="24"/>
          <w:szCs w:val="24"/>
          <w:lang w:val="en-GB"/>
        </w:rPr>
        <w:t>Greater Manchester Combined Authority Treasurer</w:t>
      </w:r>
    </w:p>
    <w:p w14:paraId="1B658630" w14:textId="19D8E728" w:rsidR="00FD76D5" w:rsidRPr="0007572B" w:rsidRDefault="00FD76D5" w:rsidP="0038082E">
      <w:pPr>
        <w:jc w:val="both"/>
        <w:rPr>
          <w:rStyle w:val="Hyperlink"/>
          <w:rFonts w:ascii="Arial" w:hAnsi="Arial" w:cs="Arial"/>
          <w:b/>
          <w:color w:val="auto"/>
          <w:sz w:val="22"/>
          <w:szCs w:val="22"/>
          <w:highlight w:val="yellow"/>
          <w:u w:val="none"/>
        </w:rPr>
        <w:sectPr w:rsidR="00FD76D5" w:rsidRPr="0007572B" w:rsidSect="006962C5">
          <w:headerReference w:type="default" r:id="rId17"/>
          <w:pgSz w:w="11906" w:h="16838"/>
          <w:pgMar w:top="946" w:right="1416" w:bottom="1440" w:left="1080" w:header="283" w:footer="567" w:gutter="0"/>
          <w:cols w:space="708"/>
          <w:docGrid w:linePitch="360"/>
        </w:sectPr>
      </w:pPr>
    </w:p>
    <w:p w14:paraId="20D99B88" w14:textId="4EE9C805" w:rsidR="00482031" w:rsidRPr="0007572B" w:rsidRDefault="00482031" w:rsidP="0038082E">
      <w:pPr>
        <w:pStyle w:val="Heading2green"/>
      </w:pPr>
      <w:bookmarkStart w:id="50" w:name="_Toc109922596"/>
      <w:r w:rsidRPr="0007572B">
        <w:lastRenderedPageBreak/>
        <w:t>Statement of Responsibilities for the Statement of Accounts</w:t>
      </w:r>
      <w:bookmarkEnd w:id="50"/>
    </w:p>
    <w:p w14:paraId="57307DCE" w14:textId="77777777" w:rsidR="001A16CB" w:rsidRPr="0007572B" w:rsidRDefault="001A16CB" w:rsidP="0038082E">
      <w:pPr>
        <w:jc w:val="both"/>
        <w:rPr>
          <w:rStyle w:val="Hyperlink"/>
          <w:rFonts w:ascii="Arial" w:hAnsi="Arial" w:cs="Arial"/>
          <w:color w:val="auto"/>
          <w:sz w:val="22"/>
          <w:szCs w:val="22"/>
          <w:u w:val="none"/>
        </w:rPr>
      </w:pPr>
    </w:p>
    <w:p w14:paraId="7A573A06" w14:textId="77777777" w:rsidR="00482031" w:rsidRPr="0007572B" w:rsidRDefault="00482031" w:rsidP="0038082E">
      <w:pPr>
        <w:rPr>
          <w:rStyle w:val="Hyperlink"/>
          <w:rFonts w:ascii="Arial" w:hAnsi="Arial" w:cs="Arial"/>
          <w:color w:val="auto"/>
          <w:u w:val="none"/>
        </w:rPr>
      </w:pPr>
      <w:r w:rsidRPr="0007572B">
        <w:rPr>
          <w:rStyle w:val="Hyperlink"/>
          <w:rFonts w:ascii="Arial" w:hAnsi="Arial" w:cs="Arial"/>
          <w:color w:val="auto"/>
          <w:u w:val="none"/>
        </w:rPr>
        <w:t>Th</w:t>
      </w:r>
      <w:r w:rsidR="008A1801" w:rsidRPr="0007572B">
        <w:rPr>
          <w:rStyle w:val="Hyperlink"/>
          <w:rFonts w:ascii="Arial" w:hAnsi="Arial" w:cs="Arial"/>
          <w:color w:val="auto"/>
          <w:u w:val="none"/>
        </w:rPr>
        <w:t>is</w:t>
      </w:r>
      <w:r w:rsidRPr="0007572B">
        <w:rPr>
          <w:rStyle w:val="Hyperlink"/>
          <w:rFonts w:ascii="Arial" w:hAnsi="Arial" w:cs="Arial"/>
          <w:color w:val="auto"/>
          <w:u w:val="none"/>
        </w:rPr>
        <w:t xml:space="preserve"> statement confirms the responsibilities of the </w:t>
      </w:r>
      <w:r w:rsidR="00F0640C" w:rsidRPr="0007572B">
        <w:rPr>
          <w:rStyle w:val="Hyperlink"/>
          <w:rFonts w:ascii="Arial" w:hAnsi="Arial" w:cs="Arial"/>
          <w:color w:val="auto"/>
          <w:u w:val="none"/>
        </w:rPr>
        <w:t xml:space="preserve">Greater Manchester Combined </w:t>
      </w:r>
      <w:r w:rsidRPr="0007572B">
        <w:rPr>
          <w:rStyle w:val="Hyperlink"/>
          <w:rFonts w:ascii="Arial" w:hAnsi="Arial" w:cs="Arial"/>
          <w:color w:val="auto"/>
          <w:u w:val="none"/>
        </w:rPr>
        <w:t xml:space="preserve">Authority </w:t>
      </w:r>
      <w:r w:rsidR="00413CC3" w:rsidRPr="0007572B">
        <w:rPr>
          <w:rStyle w:val="Hyperlink"/>
          <w:rFonts w:ascii="Arial" w:hAnsi="Arial" w:cs="Arial"/>
          <w:color w:val="auto"/>
          <w:u w:val="none"/>
        </w:rPr>
        <w:t>(t</w:t>
      </w:r>
      <w:r w:rsidR="005B4139" w:rsidRPr="0007572B">
        <w:rPr>
          <w:rStyle w:val="Hyperlink"/>
          <w:rFonts w:ascii="Arial" w:hAnsi="Arial" w:cs="Arial"/>
          <w:color w:val="auto"/>
          <w:u w:val="none"/>
        </w:rPr>
        <w:t xml:space="preserve">he Authority) </w:t>
      </w:r>
      <w:r w:rsidRPr="0007572B">
        <w:rPr>
          <w:rStyle w:val="Hyperlink"/>
          <w:rFonts w:ascii="Arial" w:hAnsi="Arial" w:cs="Arial"/>
          <w:color w:val="auto"/>
          <w:u w:val="none"/>
        </w:rPr>
        <w:t>and the Treasurer for the production and content of the Annual Statement of Accounts.</w:t>
      </w:r>
    </w:p>
    <w:p w14:paraId="3892253F" w14:textId="77777777" w:rsidR="00CF3300" w:rsidRPr="0007572B" w:rsidRDefault="00CF3300" w:rsidP="0038082E">
      <w:pPr>
        <w:pStyle w:val="Heading3"/>
        <w:rPr>
          <w:highlight w:val="yellow"/>
        </w:rPr>
      </w:pPr>
      <w:bookmarkStart w:id="51" w:name="_Toc92894858"/>
      <w:bookmarkStart w:id="52" w:name="_Toc92895163"/>
      <w:bookmarkStart w:id="53" w:name="_Toc109160259"/>
      <w:bookmarkStart w:id="54" w:name="_Toc109922597"/>
      <w:r w:rsidRPr="0007572B">
        <w:t>Further Information</w:t>
      </w:r>
      <w:bookmarkEnd w:id="51"/>
      <w:bookmarkEnd w:id="52"/>
      <w:bookmarkEnd w:id="53"/>
      <w:bookmarkEnd w:id="54"/>
    </w:p>
    <w:p w14:paraId="59ABBDD3" w14:textId="77777777" w:rsidR="00CF3300" w:rsidRPr="0007572B" w:rsidRDefault="00CF3300" w:rsidP="0038082E">
      <w:pPr>
        <w:spacing w:after="240"/>
        <w:rPr>
          <w:rFonts w:ascii="Arial" w:hAnsi="Arial" w:cs="Arial"/>
        </w:rPr>
      </w:pPr>
      <w:r w:rsidRPr="0007572B">
        <w:rPr>
          <w:rFonts w:ascii="Arial" w:hAnsi="Arial" w:cs="Arial"/>
        </w:rPr>
        <w:t xml:space="preserve">Further information about the </w:t>
      </w:r>
      <w:r w:rsidR="00F0640C" w:rsidRPr="0007572B">
        <w:rPr>
          <w:rStyle w:val="Hyperlink"/>
          <w:rFonts w:ascii="Arial" w:hAnsi="Arial" w:cs="Arial"/>
          <w:color w:val="auto"/>
          <w:u w:val="none"/>
        </w:rPr>
        <w:t>Authority</w:t>
      </w:r>
      <w:r w:rsidRPr="0007572B">
        <w:rPr>
          <w:rFonts w:ascii="Arial" w:hAnsi="Arial" w:cs="Arial"/>
        </w:rPr>
        <w:t>’s Annual Statement of Accounts is available upon request from the following address:</w:t>
      </w:r>
    </w:p>
    <w:p w14:paraId="2C9E1C9F" w14:textId="77777777" w:rsidR="00B76ED8" w:rsidRPr="0007572B" w:rsidRDefault="00B76ED8" w:rsidP="0038082E">
      <w:pPr>
        <w:rPr>
          <w:rFonts w:ascii="Arial" w:hAnsi="Arial" w:cs="Arial"/>
        </w:rPr>
      </w:pPr>
      <w:r w:rsidRPr="0007572B">
        <w:rPr>
          <w:rFonts w:ascii="Arial" w:hAnsi="Arial" w:cs="Arial"/>
        </w:rPr>
        <w:t>Greater Manchester Combined Authority,</w:t>
      </w:r>
    </w:p>
    <w:p w14:paraId="48BCD8DA" w14:textId="7118177C" w:rsidR="00CF3300" w:rsidRPr="0007572B" w:rsidRDefault="00CF3300" w:rsidP="0038082E">
      <w:pPr>
        <w:rPr>
          <w:rFonts w:ascii="Arial" w:hAnsi="Arial" w:cs="Arial"/>
        </w:rPr>
      </w:pPr>
      <w:r w:rsidRPr="0007572B">
        <w:rPr>
          <w:rFonts w:ascii="Arial" w:hAnsi="Arial" w:cs="Arial"/>
        </w:rPr>
        <w:t>Finance Department</w:t>
      </w:r>
    </w:p>
    <w:p w14:paraId="0FD7FBEA" w14:textId="62650FF9" w:rsidR="00CF3300" w:rsidRPr="0007572B" w:rsidRDefault="003E69FE" w:rsidP="0038082E">
      <w:pPr>
        <w:rPr>
          <w:rFonts w:ascii="Arial" w:hAnsi="Arial" w:cs="Arial"/>
        </w:rPr>
      </w:pPr>
      <w:r w:rsidRPr="0007572B">
        <w:rPr>
          <w:rFonts w:ascii="Arial" w:hAnsi="Arial" w:cs="Arial"/>
        </w:rPr>
        <w:t>1</w:t>
      </w:r>
      <w:r w:rsidRPr="0007572B">
        <w:rPr>
          <w:rFonts w:ascii="Arial" w:hAnsi="Arial" w:cs="Arial"/>
          <w:vertAlign w:val="superscript"/>
        </w:rPr>
        <w:t>st</w:t>
      </w:r>
      <w:r w:rsidRPr="0007572B">
        <w:rPr>
          <w:rFonts w:ascii="Arial" w:hAnsi="Arial" w:cs="Arial"/>
        </w:rPr>
        <w:t xml:space="preserve"> Floor</w:t>
      </w:r>
      <w:r w:rsidR="00B76ED8" w:rsidRPr="0007572B">
        <w:rPr>
          <w:rFonts w:ascii="Arial" w:hAnsi="Arial" w:cs="Arial"/>
        </w:rPr>
        <w:t xml:space="preserve">, </w:t>
      </w:r>
      <w:r w:rsidR="002C411B" w:rsidRPr="0007572B">
        <w:rPr>
          <w:rFonts w:ascii="Arial" w:hAnsi="Arial" w:cs="Arial"/>
        </w:rPr>
        <w:t>Broadhurst</w:t>
      </w:r>
      <w:r w:rsidRPr="0007572B">
        <w:rPr>
          <w:rFonts w:ascii="Arial" w:hAnsi="Arial" w:cs="Arial"/>
        </w:rPr>
        <w:t xml:space="preserve"> House</w:t>
      </w:r>
    </w:p>
    <w:p w14:paraId="6BE7F5E1" w14:textId="77777777" w:rsidR="00CF3300" w:rsidRPr="0007572B" w:rsidRDefault="003E69FE" w:rsidP="0038082E">
      <w:pPr>
        <w:rPr>
          <w:rFonts w:ascii="Arial" w:hAnsi="Arial" w:cs="Arial"/>
        </w:rPr>
      </w:pPr>
      <w:r w:rsidRPr="0007572B">
        <w:rPr>
          <w:rFonts w:ascii="Arial" w:hAnsi="Arial" w:cs="Arial"/>
        </w:rPr>
        <w:t>56 Oxford Street</w:t>
      </w:r>
    </w:p>
    <w:p w14:paraId="3CD0A995" w14:textId="77777777" w:rsidR="00CF3300" w:rsidRPr="0007572B" w:rsidRDefault="00CF3300" w:rsidP="0038082E">
      <w:pPr>
        <w:rPr>
          <w:rFonts w:ascii="Arial" w:hAnsi="Arial" w:cs="Arial"/>
        </w:rPr>
      </w:pPr>
      <w:r w:rsidRPr="0007572B">
        <w:rPr>
          <w:rFonts w:ascii="Arial" w:hAnsi="Arial" w:cs="Arial"/>
        </w:rPr>
        <w:t>Manchester</w:t>
      </w:r>
    </w:p>
    <w:p w14:paraId="2C0681E3" w14:textId="77777777" w:rsidR="00CF3300" w:rsidRPr="0007572B" w:rsidRDefault="003E69FE" w:rsidP="0038082E">
      <w:pPr>
        <w:spacing w:after="240"/>
        <w:rPr>
          <w:rFonts w:ascii="Arial" w:hAnsi="Arial" w:cs="Arial"/>
        </w:rPr>
      </w:pPr>
      <w:r w:rsidRPr="0007572B">
        <w:rPr>
          <w:rFonts w:ascii="Arial" w:hAnsi="Arial" w:cs="Arial"/>
        </w:rPr>
        <w:t>M1 6EU</w:t>
      </w:r>
    </w:p>
    <w:p w14:paraId="27906C37" w14:textId="3D909E17" w:rsidR="004F14AA" w:rsidRPr="0007572B" w:rsidRDefault="004028D3" w:rsidP="0038082E">
      <w:pPr>
        <w:spacing w:after="240"/>
        <w:rPr>
          <w:rFonts w:ascii="Arial" w:hAnsi="Arial" w:cs="Arial"/>
        </w:rPr>
      </w:pPr>
      <w:r w:rsidRPr="0007572B">
        <w:rPr>
          <w:rFonts w:ascii="Arial" w:hAnsi="Arial" w:cs="Arial"/>
        </w:rPr>
        <w:t>This and previous year</w:t>
      </w:r>
      <w:r w:rsidR="00D93E0C" w:rsidRPr="0007572B">
        <w:rPr>
          <w:rFonts w:ascii="Arial" w:hAnsi="Arial" w:cs="Arial"/>
        </w:rPr>
        <w:t>’</w:t>
      </w:r>
      <w:r w:rsidRPr="0007572B">
        <w:rPr>
          <w:rFonts w:ascii="Arial" w:hAnsi="Arial" w:cs="Arial"/>
        </w:rPr>
        <w:t>s</w:t>
      </w:r>
      <w:r w:rsidR="00CF3300" w:rsidRPr="0007572B">
        <w:rPr>
          <w:rFonts w:ascii="Arial" w:hAnsi="Arial" w:cs="Arial"/>
        </w:rPr>
        <w:t xml:space="preserve"> Annual Statement of Accounts can be viewed on the Greater Manchester Combined Authority’s website</w:t>
      </w:r>
      <w:r w:rsidR="00D64FA5" w:rsidRPr="0007572B">
        <w:rPr>
          <w:rFonts w:ascii="Arial" w:hAnsi="Arial" w:cs="Arial"/>
        </w:rPr>
        <w:t>:</w:t>
      </w:r>
      <w:r w:rsidR="00CF3300" w:rsidRPr="0007572B">
        <w:rPr>
          <w:rFonts w:ascii="Arial" w:hAnsi="Arial" w:cs="Arial"/>
        </w:rPr>
        <w:t xml:space="preserve"> </w:t>
      </w:r>
      <w:r w:rsidR="00F460E0" w:rsidRPr="0007572B">
        <w:rPr>
          <w:rFonts w:ascii="Arial" w:hAnsi="Arial" w:cs="Arial"/>
        </w:rPr>
        <w:t>www.greatermanchester-ca.gov.uk</w:t>
      </w:r>
    </w:p>
    <w:p w14:paraId="6A944309" w14:textId="77777777" w:rsidR="00CF3300" w:rsidRPr="0007572B" w:rsidRDefault="00CF3300" w:rsidP="0038082E">
      <w:pPr>
        <w:pStyle w:val="Heading3"/>
      </w:pPr>
      <w:bookmarkStart w:id="55" w:name="_Toc92894859"/>
      <w:bookmarkStart w:id="56" w:name="_Toc92895164"/>
      <w:bookmarkStart w:id="57" w:name="_Toc109160260"/>
      <w:bookmarkStart w:id="58" w:name="_Toc109922598"/>
      <w:r w:rsidRPr="0007572B">
        <w:t>The Authority’s Responsibilities</w:t>
      </w:r>
      <w:bookmarkEnd w:id="55"/>
      <w:bookmarkEnd w:id="56"/>
      <w:bookmarkEnd w:id="57"/>
      <w:bookmarkEnd w:id="58"/>
    </w:p>
    <w:p w14:paraId="54DC8DEE" w14:textId="77777777" w:rsidR="00CF3300" w:rsidRPr="0007572B" w:rsidRDefault="00F0640C" w:rsidP="0038082E">
      <w:pPr>
        <w:pStyle w:val="SubHeader"/>
        <w:rPr>
          <w:b w:val="0"/>
          <w:sz w:val="24"/>
          <w:szCs w:val="24"/>
        </w:rPr>
      </w:pPr>
      <w:bookmarkStart w:id="59" w:name="_Toc92894860"/>
      <w:bookmarkStart w:id="60" w:name="_Toc92895165"/>
      <w:bookmarkStart w:id="61" w:name="_Toc109160261"/>
      <w:bookmarkStart w:id="62" w:name="_Toc109922599"/>
      <w:r w:rsidRPr="0007572B">
        <w:rPr>
          <w:b w:val="0"/>
          <w:sz w:val="24"/>
          <w:szCs w:val="24"/>
        </w:rPr>
        <w:t xml:space="preserve">The </w:t>
      </w:r>
      <w:r w:rsidR="002D40FF" w:rsidRPr="0007572B">
        <w:rPr>
          <w:b w:val="0"/>
          <w:sz w:val="24"/>
          <w:szCs w:val="24"/>
        </w:rPr>
        <w:t>A</w:t>
      </w:r>
      <w:r w:rsidR="00CF3300" w:rsidRPr="0007572B">
        <w:rPr>
          <w:b w:val="0"/>
          <w:sz w:val="24"/>
          <w:szCs w:val="24"/>
        </w:rPr>
        <w:t>uthority is required to:</w:t>
      </w:r>
      <w:bookmarkEnd w:id="59"/>
      <w:bookmarkEnd w:id="60"/>
      <w:bookmarkEnd w:id="61"/>
      <w:bookmarkEnd w:id="62"/>
    </w:p>
    <w:p w14:paraId="2C3DBF40" w14:textId="77777777" w:rsidR="00CF3300" w:rsidRPr="0007572B" w:rsidRDefault="00CF3300" w:rsidP="0038082E">
      <w:pPr>
        <w:rPr>
          <w:rFonts w:ascii="Arial" w:hAnsi="Arial" w:cs="Arial"/>
        </w:rPr>
      </w:pPr>
    </w:p>
    <w:p w14:paraId="57DEC148" w14:textId="7DD515CF" w:rsidR="00CF3300" w:rsidRPr="0007572B" w:rsidRDefault="001366B9" w:rsidP="0038082E">
      <w:pPr>
        <w:numPr>
          <w:ilvl w:val="0"/>
          <w:numId w:val="2"/>
        </w:numPr>
        <w:rPr>
          <w:rFonts w:ascii="Arial" w:hAnsi="Arial" w:cs="Arial"/>
        </w:rPr>
      </w:pPr>
      <w:proofErr w:type="gramStart"/>
      <w:r w:rsidRPr="0007572B">
        <w:rPr>
          <w:rFonts w:ascii="Arial" w:hAnsi="Arial" w:cs="Arial"/>
        </w:rPr>
        <w:t>Make</w:t>
      </w:r>
      <w:r w:rsidR="00CF3300" w:rsidRPr="0007572B">
        <w:rPr>
          <w:rFonts w:ascii="Arial" w:hAnsi="Arial" w:cs="Arial"/>
        </w:rPr>
        <w:t xml:space="preserve"> arrangements</w:t>
      </w:r>
      <w:proofErr w:type="gramEnd"/>
      <w:r w:rsidR="00CF3300" w:rsidRPr="0007572B">
        <w:rPr>
          <w:rFonts w:ascii="Arial" w:hAnsi="Arial" w:cs="Arial"/>
        </w:rPr>
        <w:t xml:space="preserve"> for the proper administration of its financial affairs and to secure that one of its officers has the responsibility for the administration of those affairs. In this </w:t>
      </w:r>
      <w:r w:rsidR="00413CC3" w:rsidRPr="0007572B">
        <w:rPr>
          <w:rFonts w:ascii="Arial" w:hAnsi="Arial" w:cs="Arial"/>
        </w:rPr>
        <w:t>A</w:t>
      </w:r>
      <w:r w:rsidR="00CF3300" w:rsidRPr="0007572B">
        <w:rPr>
          <w:rFonts w:ascii="Arial" w:hAnsi="Arial" w:cs="Arial"/>
        </w:rPr>
        <w:t>uthority, that officer is the Treasurer.</w:t>
      </w:r>
    </w:p>
    <w:p w14:paraId="17A9C87E" w14:textId="77777777" w:rsidR="00CF3300" w:rsidRPr="0007572B" w:rsidRDefault="001366B9" w:rsidP="0038082E">
      <w:pPr>
        <w:numPr>
          <w:ilvl w:val="0"/>
          <w:numId w:val="1"/>
        </w:numPr>
        <w:rPr>
          <w:rFonts w:ascii="Arial" w:hAnsi="Arial" w:cs="Arial"/>
        </w:rPr>
      </w:pPr>
      <w:r w:rsidRPr="0007572B">
        <w:rPr>
          <w:rFonts w:ascii="Arial" w:hAnsi="Arial" w:cs="Arial"/>
        </w:rPr>
        <w:t>Manage</w:t>
      </w:r>
      <w:r w:rsidR="00CF3300" w:rsidRPr="0007572B">
        <w:rPr>
          <w:rFonts w:ascii="Arial" w:hAnsi="Arial" w:cs="Arial"/>
        </w:rPr>
        <w:t xml:space="preserve"> its affairs to secure economic, efficient and effective use of resources and safeguard its assets.</w:t>
      </w:r>
    </w:p>
    <w:p w14:paraId="677D3B60" w14:textId="77777777" w:rsidR="00CF3300" w:rsidRPr="0007572B" w:rsidRDefault="001366B9" w:rsidP="0038082E">
      <w:pPr>
        <w:numPr>
          <w:ilvl w:val="0"/>
          <w:numId w:val="1"/>
        </w:numPr>
        <w:jc w:val="both"/>
        <w:rPr>
          <w:rFonts w:ascii="Arial" w:hAnsi="Arial" w:cs="Arial"/>
        </w:rPr>
      </w:pPr>
      <w:r w:rsidRPr="0007572B">
        <w:rPr>
          <w:rFonts w:ascii="Arial" w:hAnsi="Arial" w:cs="Arial"/>
        </w:rPr>
        <w:t>Approve</w:t>
      </w:r>
      <w:r w:rsidR="00CF3300" w:rsidRPr="0007572B">
        <w:rPr>
          <w:rFonts w:ascii="Arial" w:hAnsi="Arial" w:cs="Arial"/>
        </w:rPr>
        <w:t xml:space="preserve"> the Statement of Accounts.</w:t>
      </w:r>
    </w:p>
    <w:p w14:paraId="4A5BB528" w14:textId="36B0C110" w:rsidR="00CF3300" w:rsidRPr="00CA3482" w:rsidRDefault="00CF3300" w:rsidP="0038082E">
      <w:pPr>
        <w:pStyle w:val="Heading3"/>
      </w:pPr>
      <w:bookmarkStart w:id="63" w:name="_Toc92894861"/>
      <w:bookmarkStart w:id="64" w:name="_Toc92895166"/>
      <w:bookmarkStart w:id="65" w:name="_Toc109160262"/>
      <w:bookmarkStart w:id="66" w:name="_Toc109922600"/>
      <w:r w:rsidRPr="00CA3482">
        <w:t>The Treasurer’s Responsibilities</w:t>
      </w:r>
      <w:bookmarkEnd w:id="63"/>
      <w:bookmarkEnd w:id="64"/>
      <w:bookmarkEnd w:id="65"/>
      <w:bookmarkEnd w:id="66"/>
    </w:p>
    <w:p w14:paraId="5CC598C8" w14:textId="77777777" w:rsidR="00CF3300" w:rsidRPr="0007572B" w:rsidRDefault="00CF3300" w:rsidP="0038082E">
      <w:pPr>
        <w:rPr>
          <w:rFonts w:ascii="Arial" w:hAnsi="Arial" w:cs="Arial"/>
        </w:rPr>
      </w:pPr>
      <w:r w:rsidRPr="0007572B">
        <w:rPr>
          <w:rFonts w:ascii="Arial" w:hAnsi="Arial" w:cs="Arial"/>
        </w:rPr>
        <w:t xml:space="preserve">The Treasurer is responsible for the preparation of the </w:t>
      </w:r>
      <w:r w:rsidR="00F0640C" w:rsidRPr="0007572B">
        <w:rPr>
          <w:rFonts w:ascii="Arial" w:hAnsi="Arial" w:cs="Arial"/>
        </w:rPr>
        <w:t>a</w:t>
      </w:r>
      <w:r w:rsidRPr="0007572B">
        <w:rPr>
          <w:rFonts w:ascii="Arial" w:hAnsi="Arial" w:cs="Arial"/>
        </w:rPr>
        <w:t>uthority’s Statement of Accounts in accordance with proper practices as set out in the CIPFA/LASAAC Code of Practice on Local Authority Accounting in the United Kingdom (the Code).</w:t>
      </w:r>
    </w:p>
    <w:p w14:paraId="238307BA" w14:textId="77777777" w:rsidR="00CF3300" w:rsidRPr="0007572B" w:rsidRDefault="00CF3300" w:rsidP="0038082E">
      <w:pPr>
        <w:jc w:val="both"/>
        <w:rPr>
          <w:rFonts w:ascii="Arial" w:hAnsi="Arial" w:cs="Arial"/>
          <w:b/>
        </w:rPr>
      </w:pPr>
    </w:p>
    <w:p w14:paraId="74CC2097" w14:textId="77777777" w:rsidR="00CF3300" w:rsidRPr="0007572B" w:rsidRDefault="00CF3300" w:rsidP="0038082E">
      <w:pPr>
        <w:jc w:val="both"/>
        <w:rPr>
          <w:rFonts w:ascii="Arial" w:hAnsi="Arial" w:cs="Arial"/>
        </w:rPr>
      </w:pPr>
      <w:r w:rsidRPr="0007572B">
        <w:rPr>
          <w:rFonts w:ascii="Arial" w:hAnsi="Arial" w:cs="Arial"/>
        </w:rPr>
        <w:t>In preparing this Statement of Accounts, the Treasurer has:</w:t>
      </w:r>
    </w:p>
    <w:p w14:paraId="560B3FA2" w14:textId="77777777" w:rsidR="00CF3300" w:rsidRPr="0007572B" w:rsidRDefault="001A16CB" w:rsidP="0038082E">
      <w:pPr>
        <w:numPr>
          <w:ilvl w:val="0"/>
          <w:numId w:val="3"/>
        </w:numPr>
        <w:jc w:val="both"/>
        <w:rPr>
          <w:rFonts w:ascii="Arial" w:hAnsi="Arial" w:cs="Arial"/>
        </w:rPr>
      </w:pPr>
      <w:r w:rsidRPr="0007572B">
        <w:rPr>
          <w:rFonts w:ascii="Arial" w:hAnsi="Arial" w:cs="Arial"/>
        </w:rPr>
        <w:t>Selected</w:t>
      </w:r>
      <w:r w:rsidR="00CF3300" w:rsidRPr="0007572B">
        <w:rPr>
          <w:rFonts w:ascii="Arial" w:hAnsi="Arial" w:cs="Arial"/>
        </w:rPr>
        <w:t xml:space="preserve"> suitable accounting policies and then applied them consistently.</w:t>
      </w:r>
    </w:p>
    <w:p w14:paraId="08951095" w14:textId="77777777" w:rsidR="00CF3300" w:rsidRPr="0007572B" w:rsidRDefault="001A16CB" w:rsidP="0038082E">
      <w:pPr>
        <w:numPr>
          <w:ilvl w:val="0"/>
          <w:numId w:val="3"/>
        </w:numPr>
        <w:jc w:val="both"/>
        <w:rPr>
          <w:rFonts w:ascii="Arial" w:hAnsi="Arial" w:cs="Arial"/>
        </w:rPr>
      </w:pPr>
      <w:r w:rsidRPr="0007572B">
        <w:rPr>
          <w:rFonts w:ascii="Arial" w:hAnsi="Arial" w:cs="Arial"/>
        </w:rPr>
        <w:t>Made</w:t>
      </w:r>
      <w:r w:rsidR="00CF3300" w:rsidRPr="0007572B">
        <w:rPr>
          <w:rFonts w:ascii="Arial" w:hAnsi="Arial" w:cs="Arial"/>
        </w:rPr>
        <w:t xml:space="preserve"> judgements and estimates that were reasonable and prudent.</w:t>
      </w:r>
    </w:p>
    <w:p w14:paraId="59A9D8BA" w14:textId="77777777" w:rsidR="00CF3300" w:rsidRPr="0007572B" w:rsidRDefault="001A16CB" w:rsidP="0038082E">
      <w:pPr>
        <w:numPr>
          <w:ilvl w:val="0"/>
          <w:numId w:val="3"/>
        </w:numPr>
        <w:jc w:val="both"/>
        <w:rPr>
          <w:rFonts w:ascii="Arial" w:hAnsi="Arial" w:cs="Arial"/>
          <w:b/>
        </w:rPr>
      </w:pPr>
      <w:r w:rsidRPr="0007572B">
        <w:rPr>
          <w:rFonts w:ascii="Arial" w:hAnsi="Arial" w:cs="Arial"/>
        </w:rPr>
        <w:t>Complied</w:t>
      </w:r>
      <w:r w:rsidR="00413CC3" w:rsidRPr="0007572B">
        <w:rPr>
          <w:rFonts w:ascii="Arial" w:hAnsi="Arial" w:cs="Arial"/>
        </w:rPr>
        <w:t xml:space="preserve"> with the</w:t>
      </w:r>
      <w:r w:rsidR="00CF3300" w:rsidRPr="0007572B">
        <w:rPr>
          <w:rFonts w:ascii="Arial" w:hAnsi="Arial" w:cs="Arial"/>
        </w:rPr>
        <w:t xml:space="preserve"> Code.</w:t>
      </w:r>
    </w:p>
    <w:p w14:paraId="7A2178EE" w14:textId="711D4AC9" w:rsidR="00CF3300" w:rsidRPr="00CA3482" w:rsidRDefault="00CF3300" w:rsidP="0038082E">
      <w:pPr>
        <w:pStyle w:val="Heading3"/>
      </w:pPr>
      <w:bookmarkStart w:id="67" w:name="_Toc92894862"/>
      <w:bookmarkStart w:id="68" w:name="_Toc92895167"/>
      <w:bookmarkStart w:id="69" w:name="_Toc109160263"/>
      <w:bookmarkStart w:id="70" w:name="_Toc109922601"/>
      <w:r w:rsidRPr="00CA3482">
        <w:rPr>
          <w:rStyle w:val="SubHeaderChar"/>
          <w:b/>
          <w:bCs/>
        </w:rPr>
        <w:t>The Treasurer has also</w:t>
      </w:r>
      <w:r w:rsidRPr="00CA3482">
        <w:t>:</w:t>
      </w:r>
      <w:bookmarkEnd w:id="67"/>
      <w:bookmarkEnd w:id="68"/>
      <w:bookmarkEnd w:id="69"/>
      <w:bookmarkEnd w:id="70"/>
    </w:p>
    <w:p w14:paraId="71293CAB" w14:textId="39371F0F" w:rsidR="00CF3300" w:rsidRPr="0007572B" w:rsidRDefault="001A16CB" w:rsidP="0038082E">
      <w:pPr>
        <w:numPr>
          <w:ilvl w:val="0"/>
          <w:numId w:val="4"/>
        </w:numPr>
        <w:jc w:val="both"/>
        <w:rPr>
          <w:rFonts w:ascii="Arial" w:hAnsi="Arial" w:cs="Arial"/>
        </w:rPr>
      </w:pPr>
      <w:r w:rsidRPr="0007572B">
        <w:rPr>
          <w:rFonts w:ascii="Arial" w:hAnsi="Arial" w:cs="Arial"/>
        </w:rPr>
        <w:t>K</w:t>
      </w:r>
      <w:r w:rsidR="00CF3300" w:rsidRPr="0007572B">
        <w:rPr>
          <w:rFonts w:ascii="Arial" w:hAnsi="Arial" w:cs="Arial"/>
        </w:rPr>
        <w:t>ept proper accounting records which were up to date</w:t>
      </w:r>
      <w:r w:rsidR="00027EC2">
        <w:rPr>
          <w:rFonts w:ascii="Arial" w:hAnsi="Arial" w:cs="Arial"/>
        </w:rPr>
        <w:t>.</w:t>
      </w:r>
    </w:p>
    <w:p w14:paraId="56094FDA" w14:textId="77777777" w:rsidR="00CF3300" w:rsidRPr="0007572B" w:rsidRDefault="001A16CB" w:rsidP="0038082E">
      <w:pPr>
        <w:numPr>
          <w:ilvl w:val="0"/>
          <w:numId w:val="4"/>
        </w:numPr>
        <w:rPr>
          <w:rFonts w:ascii="Arial" w:hAnsi="Arial" w:cs="Arial"/>
        </w:rPr>
      </w:pPr>
      <w:r w:rsidRPr="0007572B">
        <w:rPr>
          <w:rFonts w:ascii="Arial" w:hAnsi="Arial" w:cs="Arial"/>
        </w:rPr>
        <w:t>T</w:t>
      </w:r>
      <w:r w:rsidR="00CF3300" w:rsidRPr="0007572B">
        <w:rPr>
          <w:rFonts w:ascii="Arial" w:hAnsi="Arial" w:cs="Arial"/>
        </w:rPr>
        <w:t>aken reasonable steps for the prevention and detection of fraud and other irregularities.</w:t>
      </w:r>
    </w:p>
    <w:p w14:paraId="3E492F0B" w14:textId="77777777" w:rsidR="00CF3300" w:rsidRPr="0007572B" w:rsidRDefault="00CF3300" w:rsidP="0038082E">
      <w:pPr>
        <w:pStyle w:val="Header"/>
        <w:tabs>
          <w:tab w:val="clear" w:pos="4153"/>
          <w:tab w:val="clear" w:pos="8306"/>
        </w:tabs>
        <w:jc w:val="both"/>
        <w:rPr>
          <w:rFonts w:cs="Arial"/>
          <w:b/>
        </w:rPr>
      </w:pPr>
    </w:p>
    <w:p w14:paraId="189E9277" w14:textId="3247AC80" w:rsidR="00CF3300" w:rsidRPr="0007572B" w:rsidRDefault="00CF3300" w:rsidP="0038082E">
      <w:pPr>
        <w:rPr>
          <w:rFonts w:ascii="Arial" w:hAnsi="Arial" w:cs="Arial"/>
        </w:rPr>
      </w:pPr>
      <w:r w:rsidRPr="0007572B">
        <w:rPr>
          <w:rFonts w:ascii="Arial" w:hAnsi="Arial" w:cs="Arial"/>
        </w:rPr>
        <w:lastRenderedPageBreak/>
        <w:t>I certify that the</w:t>
      </w:r>
      <w:r w:rsidR="00A664A1" w:rsidRPr="0007572B">
        <w:rPr>
          <w:rFonts w:ascii="Arial" w:hAnsi="Arial" w:cs="Arial"/>
        </w:rPr>
        <w:t xml:space="preserve">se </w:t>
      </w:r>
      <w:r w:rsidR="003B01B5" w:rsidRPr="0007572B">
        <w:rPr>
          <w:rFonts w:ascii="Arial" w:hAnsi="Arial" w:cs="Arial"/>
        </w:rPr>
        <w:t>audited</w:t>
      </w:r>
      <w:r w:rsidRPr="0007572B">
        <w:rPr>
          <w:rFonts w:ascii="Arial" w:hAnsi="Arial" w:cs="Arial"/>
        </w:rPr>
        <w:t xml:space="preserve"> Statement of Accounts give a true and fair view of the financial position of the </w:t>
      </w:r>
      <w:r w:rsidR="002D40FF" w:rsidRPr="0007572B">
        <w:rPr>
          <w:rFonts w:ascii="Arial" w:hAnsi="Arial" w:cs="Arial"/>
        </w:rPr>
        <w:t>A</w:t>
      </w:r>
      <w:r w:rsidRPr="0007572B">
        <w:rPr>
          <w:rFonts w:ascii="Arial" w:hAnsi="Arial" w:cs="Arial"/>
        </w:rPr>
        <w:t xml:space="preserve">uthority as at 31 March </w:t>
      </w:r>
      <w:r w:rsidR="00FF2959" w:rsidRPr="0007572B">
        <w:rPr>
          <w:rFonts w:ascii="Arial" w:hAnsi="Arial" w:cs="Arial"/>
        </w:rPr>
        <w:t>202</w:t>
      </w:r>
      <w:r w:rsidR="006721E7">
        <w:rPr>
          <w:rFonts w:ascii="Arial" w:hAnsi="Arial" w:cs="Arial"/>
        </w:rPr>
        <w:t>2</w:t>
      </w:r>
      <w:r w:rsidRPr="0007572B">
        <w:rPr>
          <w:rFonts w:ascii="Arial" w:hAnsi="Arial" w:cs="Arial"/>
        </w:rPr>
        <w:t xml:space="preserve"> and of its income and ex</w:t>
      </w:r>
      <w:r w:rsidR="00D22EC9" w:rsidRPr="0007572B">
        <w:rPr>
          <w:rFonts w:ascii="Arial" w:hAnsi="Arial" w:cs="Arial"/>
        </w:rPr>
        <w:t>penditure for the year ended 31</w:t>
      </w:r>
      <w:r w:rsidRPr="0007572B">
        <w:rPr>
          <w:rFonts w:ascii="Arial" w:hAnsi="Arial" w:cs="Arial"/>
        </w:rPr>
        <w:t xml:space="preserve"> March </w:t>
      </w:r>
      <w:r w:rsidR="00FF2959" w:rsidRPr="0007572B">
        <w:rPr>
          <w:rFonts w:ascii="Arial" w:hAnsi="Arial" w:cs="Arial"/>
        </w:rPr>
        <w:t>202</w:t>
      </w:r>
      <w:r w:rsidR="006721E7">
        <w:rPr>
          <w:rFonts w:ascii="Arial" w:hAnsi="Arial" w:cs="Arial"/>
        </w:rPr>
        <w:t>2</w:t>
      </w:r>
      <w:r w:rsidRPr="0007572B">
        <w:rPr>
          <w:rFonts w:ascii="Arial" w:hAnsi="Arial" w:cs="Arial"/>
        </w:rPr>
        <w:t>.</w:t>
      </w:r>
    </w:p>
    <w:p w14:paraId="3B7A1490" w14:textId="17BED530" w:rsidR="00D60764" w:rsidRPr="0007572B" w:rsidRDefault="00D60764" w:rsidP="0038082E">
      <w:pPr>
        <w:jc w:val="both"/>
        <w:rPr>
          <w:rFonts w:ascii="Arial" w:hAnsi="Arial" w:cs="Arial"/>
          <w:b/>
        </w:rPr>
      </w:pPr>
    </w:p>
    <w:p w14:paraId="28BDB731" w14:textId="01D6FD3C" w:rsidR="005D1F85" w:rsidRPr="0007572B" w:rsidRDefault="00CB356D" w:rsidP="0038082E">
      <w:pPr>
        <w:jc w:val="both"/>
        <w:rPr>
          <w:rFonts w:ascii="Arial" w:hAnsi="Arial" w:cs="Arial"/>
          <w:b/>
        </w:rPr>
      </w:pPr>
      <w:r w:rsidRPr="0007572B">
        <w:rPr>
          <w:rFonts w:ascii="Arial" w:hAnsi="Arial" w:cs="Arial"/>
          <w:noProof/>
          <w:sz w:val="28"/>
          <w:szCs w:val="28"/>
          <w:lang w:eastAsia="en-GB"/>
        </w:rPr>
        <w:drawing>
          <wp:inline distT="0" distB="0" distL="0" distR="0" wp14:anchorId="2FBDA4C4" wp14:editId="7DC498F0">
            <wp:extent cx="1617518" cy="889635"/>
            <wp:effectExtent l="0" t="0" r="1905" b="5715"/>
            <wp:docPr id="299" name="Picture 299" descr="Signature of Steve Wilson, Greater Manchester Combined Authority Treas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Signature of Steve Wilson, Greater Manchester Combined Authority Treasur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8307" cy="906569"/>
                    </a:xfrm>
                    <a:prstGeom prst="rect">
                      <a:avLst/>
                    </a:prstGeom>
                    <a:noFill/>
                    <a:ln>
                      <a:noFill/>
                    </a:ln>
                  </pic:spPr>
                </pic:pic>
              </a:graphicData>
            </a:graphic>
          </wp:inline>
        </w:drawing>
      </w:r>
    </w:p>
    <w:p w14:paraId="54637E5F" w14:textId="276AEE95" w:rsidR="00CF3300" w:rsidRPr="0007572B" w:rsidRDefault="005D1F85" w:rsidP="0038082E">
      <w:pPr>
        <w:jc w:val="both"/>
        <w:rPr>
          <w:rFonts w:ascii="Arial" w:hAnsi="Arial" w:cs="Arial"/>
          <w:b/>
        </w:rPr>
      </w:pPr>
      <w:r w:rsidRPr="0007572B">
        <w:rPr>
          <w:rFonts w:ascii="Arial" w:hAnsi="Arial" w:cs="Arial"/>
          <w:b/>
        </w:rPr>
        <w:t>Steve Wilson</w:t>
      </w:r>
    </w:p>
    <w:p w14:paraId="07F3E259" w14:textId="77777777" w:rsidR="00CF3300" w:rsidRPr="0007572B" w:rsidRDefault="00CF3300" w:rsidP="0038082E">
      <w:pPr>
        <w:jc w:val="both"/>
        <w:rPr>
          <w:rFonts w:ascii="Arial" w:hAnsi="Arial" w:cs="Arial"/>
          <w:b/>
        </w:rPr>
      </w:pPr>
      <w:r w:rsidRPr="0007572B">
        <w:rPr>
          <w:rFonts w:ascii="Arial" w:hAnsi="Arial" w:cs="Arial"/>
          <w:b/>
        </w:rPr>
        <w:t>Greater Manchester Combined Authority</w:t>
      </w:r>
      <w:r w:rsidR="00513B48" w:rsidRPr="0007572B">
        <w:rPr>
          <w:rFonts w:ascii="Arial" w:hAnsi="Arial" w:cs="Arial"/>
          <w:b/>
        </w:rPr>
        <w:t xml:space="preserve"> Treasurer</w:t>
      </w:r>
    </w:p>
    <w:p w14:paraId="601DE994" w14:textId="5AB443E2" w:rsidR="00AC02DA" w:rsidRPr="0007572B" w:rsidRDefault="00AC02DA" w:rsidP="0038082E">
      <w:pPr>
        <w:rPr>
          <w:rFonts w:ascii="Arial" w:hAnsi="Arial" w:cs="Arial"/>
          <w:color w:val="000000" w:themeColor="text1"/>
          <w:sz w:val="22"/>
          <w:szCs w:val="22"/>
        </w:rPr>
      </w:pPr>
    </w:p>
    <w:p w14:paraId="509D1A7B" w14:textId="77777777" w:rsidR="00A664A1" w:rsidRPr="0007572B" w:rsidRDefault="00A664A1" w:rsidP="0038082E">
      <w:pPr>
        <w:rPr>
          <w:rFonts w:ascii="Arial" w:hAnsi="Arial" w:cs="Arial"/>
          <w:color w:val="000000" w:themeColor="text1"/>
          <w:sz w:val="22"/>
          <w:szCs w:val="22"/>
        </w:rPr>
      </w:pPr>
    </w:p>
    <w:p w14:paraId="7696B7B1" w14:textId="77777777" w:rsidR="008A1801" w:rsidRPr="0007572B" w:rsidRDefault="00C66C51" w:rsidP="0038082E">
      <w:pPr>
        <w:rPr>
          <w:rFonts w:ascii="Arial" w:hAnsi="Arial" w:cs="Arial"/>
          <w:b/>
          <w:color w:val="000000" w:themeColor="text1"/>
          <w:sz w:val="22"/>
          <w:szCs w:val="22"/>
        </w:rPr>
      </w:pPr>
      <w:r w:rsidRPr="0007572B">
        <w:rPr>
          <w:rFonts w:ascii="Arial" w:hAnsi="Arial" w:cs="Arial"/>
          <w:b/>
          <w:color w:val="000000" w:themeColor="text1"/>
          <w:sz w:val="22"/>
          <w:szCs w:val="22"/>
        </w:rPr>
        <w:br w:type="page"/>
      </w:r>
    </w:p>
    <w:p w14:paraId="0F11F4D8" w14:textId="77777777" w:rsidR="008A1801" w:rsidRPr="0007572B" w:rsidRDefault="008A1801" w:rsidP="0038082E">
      <w:pPr>
        <w:jc w:val="center"/>
        <w:rPr>
          <w:rFonts w:ascii="Arial" w:hAnsi="Arial" w:cs="Arial"/>
          <w:b/>
          <w:sz w:val="40"/>
          <w:szCs w:val="40"/>
        </w:rPr>
      </w:pPr>
    </w:p>
    <w:p w14:paraId="3EEAB98B" w14:textId="77777777" w:rsidR="008A1801" w:rsidRPr="0007572B" w:rsidRDefault="008A1801" w:rsidP="0038082E">
      <w:pPr>
        <w:jc w:val="center"/>
        <w:rPr>
          <w:rFonts w:ascii="Arial" w:hAnsi="Arial" w:cs="Arial"/>
          <w:b/>
          <w:sz w:val="40"/>
          <w:szCs w:val="40"/>
        </w:rPr>
      </w:pPr>
    </w:p>
    <w:p w14:paraId="4DDCD061" w14:textId="77777777" w:rsidR="008A1801" w:rsidRPr="0007572B" w:rsidRDefault="008A1801" w:rsidP="0038082E">
      <w:pPr>
        <w:jc w:val="center"/>
        <w:rPr>
          <w:rFonts w:ascii="Arial" w:hAnsi="Arial" w:cs="Arial"/>
          <w:b/>
          <w:sz w:val="40"/>
          <w:szCs w:val="40"/>
        </w:rPr>
      </w:pPr>
    </w:p>
    <w:p w14:paraId="2B32ECA3" w14:textId="77777777" w:rsidR="008A1801" w:rsidRPr="0007572B" w:rsidRDefault="008A1801" w:rsidP="0038082E">
      <w:pPr>
        <w:jc w:val="center"/>
        <w:rPr>
          <w:rFonts w:ascii="Arial" w:hAnsi="Arial" w:cs="Arial"/>
          <w:b/>
          <w:sz w:val="40"/>
          <w:szCs w:val="40"/>
        </w:rPr>
      </w:pPr>
    </w:p>
    <w:p w14:paraId="5BACE30F" w14:textId="6B533CBF" w:rsidR="00CB4A8E" w:rsidRPr="002A6C4C" w:rsidRDefault="008A1801" w:rsidP="0038082E">
      <w:pPr>
        <w:pStyle w:val="Heading1"/>
        <w:jc w:val="center"/>
      </w:pPr>
      <w:bookmarkStart w:id="71" w:name="_Toc92895168"/>
      <w:bookmarkStart w:id="72" w:name="_Toc109922602"/>
      <w:r w:rsidRPr="002A6C4C">
        <w:t>Greate</w:t>
      </w:r>
      <w:r w:rsidR="00E266B1" w:rsidRPr="002A6C4C">
        <w:t>r Manchester Combined Authority</w:t>
      </w:r>
      <w:r w:rsidR="00261631">
        <w:t xml:space="preserve"> Single Entity Accounts</w:t>
      </w:r>
      <w:bookmarkEnd w:id="71"/>
      <w:bookmarkEnd w:id="72"/>
    </w:p>
    <w:p w14:paraId="128F98FC" w14:textId="77777777" w:rsidR="00E266B1" w:rsidRPr="0007572B" w:rsidRDefault="00E266B1" w:rsidP="0038082E">
      <w:pPr>
        <w:jc w:val="center"/>
        <w:rPr>
          <w:rFonts w:ascii="Arial" w:hAnsi="Arial" w:cs="Arial"/>
          <w:b/>
          <w:sz w:val="40"/>
          <w:szCs w:val="40"/>
        </w:rPr>
      </w:pPr>
    </w:p>
    <w:p w14:paraId="7731744A" w14:textId="77777777" w:rsidR="00CB4A8E" w:rsidRPr="0007572B" w:rsidRDefault="00CB4A8E" w:rsidP="0038082E">
      <w:pPr>
        <w:jc w:val="center"/>
        <w:rPr>
          <w:rFonts w:ascii="Arial" w:hAnsi="Arial" w:cs="Arial"/>
          <w:b/>
          <w:sz w:val="40"/>
          <w:szCs w:val="40"/>
        </w:rPr>
      </w:pPr>
    </w:p>
    <w:p w14:paraId="3F473491" w14:textId="2F6E37D4" w:rsidR="00FA2AC4" w:rsidRPr="0007572B" w:rsidRDefault="00DA6CEE" w:rsidP="0038082E">
      <w:pPr>
        <w:pStyle w:val="Heaading2green"/>
      </w:pPr>
      <w:bookmarkStart w:id="73" w:name="_Toc109922603"/>
      <w:r w:rsidRPr="0007572B">
        <w:t xml:space="preserve">Financial </w:t>
      </w:r>
      <w:r w:rsidR="008A1801" w:rsidRPr="0007572B">
        <w:t>Statements</w:t>
      </w:r>
      <w:bookmarkEnd w:id="73"/>
    </w:p>
    <w:p w14:paraId="29B877EB" w14:textId="77777777" w:rsidR="00DA6CEE" w:rsidRPr="0007572B" w:rsidRDefault="00DA6CEE" w:rsidP="0038082E">
      <w:pPr>
        <w:rPr>
          <w:rFonts w:ascii="Arial" w:hAnsi="Arial" w:cs="Arial"/>
          <w:b/>
          <w:sz w:val="22"/>
          <w:szCs w:val="22"/>
        </w:rPr>
      </w:pPr>
    </w:p>
    <w:p w14:paraId="24DD32A9" w14:textId="77777777" w:rsidR="004E11FD" w:rsidRPr="0007572B" w:rsidRDefault="004E11FD" w:rsidP="0038082E">
      <w:pPr>
        <w:rPr>
          <w:rFonts w:ascii="Arial" w:hAnsi="Arial" w:cs="Arial"/>
          <w:b/>
          <w:sz w:val="22"/>
          <w:szCs w:val="22"/>
        </w:rPr>
      </w:pPr>
    </w:p>
    <w:p w14:paraId="54ED5163" w14:textId="77777777" w:rsidR="00BA365E" w:rsidRPr="0007572B" w:rsidRDefault="00BA365E" w:rsidP="0038082E">
      <w:pPr>
        <w:rPr>
          <w:rFonts w:ascii="Arial" w:hAnsi="Arial" w:cs="Arial"/>
          <w:b/>
          <w:sz w:val="22"/>
          <w:szCs w:val="22"/>
        </w:rPr>
      </w:pPr>
    </w:p>
    <w:p w14:paraId="0BBA67CA" w14:textId="77777777" w:rsidR="00BA365E" w:rsidRPr="0007572B" w:rsidRDefault="00BA365E" w:rsidP="0038082E">
      <w:pPr>
        <w:rPr>
          <w:rFonts w:ascii="Arial" w:hAnsi="Arial" w:cs="Arial"/>
          <w:b/>
          <w:sz w:val="22"/>
          <w:szCs w:val="22"/>
        </w:rPr>
      </w:pPr>
    </w:p>
    <w:p w14:paraId="069F70CF" w14:textId="77777777" w:rsidR="00FF6768" w:rsidRPr="0007572B" w:rsidRDefault="00FF6768" w:rsidP="0038082E">
      <w:pPr>
        <w:rPr>
          <w:rFonts w:ascii="Arial" w:hAnsi="Arial" w:cs="Arial"/>
          <w:b/>
          <w:sz w:val="22"/>
          <w:szCs w:val="22"/>
        </w:rPr>
        <w:sectPr w:rsidR="00FF6768" w:rsidRPr="0007572B" w:rsidSect="008064FB">
          <w:pgSz w:w="11906" w:h="16838"/>
          <w:pgMar w:top="1444" w:right="1416" w:bottom="1440" w:left="1080" w:header="568" w:footer="567" w:gutter="0"/>
          <w:cols w:space="708"/>
          <w:docGrid w:linePitch="360"/>
        </w:sectPr>
      </w:pPr>
    </w:p>
    <w:p w14:paraId="55A6082B" w14:textId="3C168176" w:rsidR="00FA2AC4" w:rsidRPr="0007572B" w:rsidRDefault="00BC54CF" w:rsidP="0038082E">
      <w:pPr>
        <w:pStyle w:val="Heading3green"/>
      </w:pPr>
      <w:bookmarkStart w:id="74" w:name="_Toc109922604"/>
      <w:r w:rsidRPr="0007572B">
        <w:lastRenderedPageBreak/>
        <w:t>Comprehensive I</w:t>
      </w:r>
      <w:r w:rsidR="005B1B6B" w:rsidRPr="0007572B">
        <w:t>ncome and Expenditure Statement</w:t>
      </w:r>
      <w:bookmarkEnd w:id="74"/>
    </w:p>
    <w:p w14:paraId="1DC2B6C9" w14:textId="51409BDF" w:rsidR="00BC54CF" w:rsidRDefault="00D552A9" w:rsidP="0038082E">
      <w:pPr>
        <w:rPr>
          <w:rFonts w:ascii="Arial" w:eastAsia="Verdana" w:hAnsi="Arial" w:cs="Arial"/>
        </w:rPr>
      </w:pPr>
      <w:r w:rsidRPr="0007572B">
        <w:rPr>
          <w:rFonts w:ascii="Arial" w:eastAsia="Verdana" w:hAnsi="Arial" w:cs="Arial"/>
        </w:rPr>
        <w:t>The Comprehensive Income and Expenditure Statement shows the accounting cost in the year of providing services in accordance with generally accepted accounting practices, rather than the amount to be funded from taxation. Authorities raise taxation (and rents) to cover expenditure in accordance with statutory requirements; this may be different from the accounting cost. The taxation position is shown in both the Expenditure and Funding Analysis and the Movement in Reserves Statement.</w:t>
      </w:r>
    </w:p>
    <w:p w14:paraId="753E2DE7" w14:textId="1EB9F728" w:rsidR="007575E1" w:rsidRDefault="00212954" w:rsidP="0038082E">
      <w:pPr>
        <w:rPr>
          <w:rFonts w:ascii="Arial" w:eastAsia="Verdana" w:hAnsi="Arial" w:cs="Arial"/>
        </w:rPr>
      </w:pPr>
      <w:r w:rsidRPr="00212954">
        <w:rPr>
          <w:rFonts w:eastAsia="Verdana"/>
          <w:noProof/>
        </w:rPr>
        <w:drawing>
          <wp:inline distT="0" distB="0" distL="0" distR="0" wp14:anchorId="19716C10" wp14:editId="2C4BB38A">
            <wp:extent cx="8094428" cy="4298388"/>
            <wp:effectExtent l="0" t="0" r="1905" b="6985"/>
            <wp:docPr id="1396531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4149" cy="4303550"/>
                    </a:xfrm>
                    <a:prstGeom prst="rect">
                      <a:avLst/>
                    </a:prstGeom>
                    <a:noFill/>
                    <a:ln>
                      <a:noFill/>
                    </a:ln>
                  </pic:spPr>
                </pic:pic>
              </a:graphicData>
            </a:graphic>
          </wp:inline>
        </w:drawing>
      </w:r>
    </w:p>
    <w:p w14:paraId="671F08C7" w14:textId="00DADE8C" w:rsidR="00212954" w:rsidRDefault="00212954" w:rsidP="00F930D2">
      <w:pPr>
        <w:jc w:val="both"/>
        <w:rPr>
          <w:rFonts w:ascii="Arial" w:hAnsi="Arial" w:cs="Arial"/>
          <w:bCs/>
          <w:sz w:val="16"/>
          <w:szCs w:val="16"/>
        </w:rPr>
      </w:pPr>
      <w:r>
        <w:rPr>
          <w:rFonts w:ascii="Arial" w:hAnsi="Arial" w:cs="Arial"/>
          <w:bCs/>
          <w:sz w:val="16"/>
          <w:szCs w:val="16"/>
        </w:rPr>
        <w:t>*</w:t>
      </w:r>
      <w:r w:rsidRPr="00212954">
        <w:rPr>
          <w:rFonts w:ascii="Arial" w:hAnsi="Arial" w:cs="Arial"/>
          <w:bCs/>
          <w:sz w:val="16"/>
          <w:szCs w:val="16"/>
        </w:rPr>
        <w:t>20/21 restated figures are explained in note 36</w:t>
      </w:r>
      <w:r>
        <w:rPr>
          <w:rFonts w:ascii="Arial" w:hAnsi="Arial" w:cs="Arial"/>
          <w:bCs/>
          <w:sz w:val="16"/>
          <w:szCs w:val="16"/>
        </w:rPr>
        <w:t>.</w:t>
      </w:r>
      <w:r w:rsidRPr="00212954">
        <w:rPr>
          <w:rFonts w:ascii="Arial" w:hAnsi="Arial" w:cs="Arial"/>
          <w:bCs/>
          <w:sz w:val="16"/>
          <w:szCs w:val="16"/>
        </w:rPr>
        <w:t xml:space="preserve"> </w:t>
      </w:r>
    </w:p>
    <w:p w14:paraId="388B064A" w14:textId="77777777" w:rsidR="00212954" w:rsidRPr="00212954" w:rsidRDefault="00212954" w:rsidP="00F930D2">
      <w:pPr>
        <w:jc w:val="both"/>
        <w:rPr>
          <w:rFonts w:ascii="Arial" w:hAnsi="Arial" w:cs="Arial"/>
          <w:bCs/>
          <w:sz w:val="22"/>
          <w:szCs w:val="22"/>
        </w:rPr>
      </w:pPr>
    </w:p>
    <w:p w14:paraId="410D2B37" w14:textId="34EC44FA" w:rsidR="00F930D2" w:rsidRPr="0007572B" w:rsidRDefault="00F930D2" w:rsidP="00F930D2">
      <w:pPr>
        <w:jc w:val="both"/>
        <w:rPr>
          <w:rFonts w:ascii="Arial" w:hAnsi="Arial" w:cs="Arial"/>
          <w:b/>
          <w:sz w:val="22"/>
          <w:szCs w:val="22"/>
        </w:rPr>
      </w:pPr>
      <w:r w:rsidRPr="0007572B">
        <w:rPr>
          <w:rFonts w:ascii="Arial" w:hAnsi="Arial" w:cs="Arial"/>
          <w:b/>
          <w:sz w:val="22"/>
          <w:szCs w:val="22"/>
        </w:rPr>
        <w:t>Steve Wilson</w:t>
      </w:r>
      <w:r w:rsidR="007439A1">
        <w:rPr>
          <w:rFonts w:ascii="Arial" w:hAnsi="Arial" w:cs="Arial"/>
          <w:b/>
          <w:sz w:val="22"/>
          <w:szCs w:val="22"/>
        </w:rPr>
        <w:t xml:space="preserve">, </w:t>
      </w:r>
      <w:r w:rsidRPr="0007572B">
        <w:rPr>
          <w:rFonts w:ascii="Arial" w:hAnsi="Arial" w:cs="Arial"/>
          <w:b/>
          <w:sz w:val="22"/>
          <w:szCs w:val="22"/>
        </w:rPr>
        <w:t>Greater Manchester Combined Authority Treasurer</w:t>
      </w:r>
    </w:p>
    <w:p w14:paraId="313FBE17" w14:textId="2287C75F" w:rsidR="00F930D2" w:rsidRPr="0007572B" w:rsidRDefault="00F930D2" w:rsidP="00F930D2">
      <w:pPr>
        <w:jc w:val="both"/>
        <w:rPr>
          <w:rFonts w:ascii="Arial" w:hAnsi="Arial" w:cs="Arial"/>
          <w:b/>
          <w:sz w:val="22"/>
          <w:szCs w:val="22"/>
        </w:rPr>
        <w:sectPr w:rsidR="00F930D2" w:rsidRPr="0007572B" w:rsidSect="00212954">
          <w:pgSz w:w="16838" w:h="11906" w:orient="landscape"/>
          <w:pgMar w:top="1080" w:right="1444" w:bottom="1135" w:left="1440" w:header="568" w:footer="567" w:gutter="0"/>
          <w:cols w:space="708"/>
          <w:docGrid w:linePitch="360"/>
        </w:sectPr>
      </w:pPr>
      <w:r w:rsidRPr="0007572B">
        <w:rPr>
          <w:rFonts w:ascii="Arial" w:hAnsi="Arial" w:cs="Arial"/>
          <w:b/>
          <w:sz w:val="22"/>
          <w:szCs w:val="22"/>
        </w:rPr>
        <w:t>Date:</w:t>
      </w:r>
      <w:r>
        <w:rPr>
          <w:rFonts w:ascii="Arial" w:hAnsi="Arial" w:cs="Arial"/>
          <w:b/>
          <w:sz w:val="22"/>
          <w:szCs w:val="22"/>
        </w:rPr>
        <w:t xml:space="preserve"> </w:t>
      </w:r>
      <w:r w:rsidR="00CB4346" w:rsidRPr="00CB4346">
        <w:rPr>
          <w:rFonts w:ascii="Arial" w:hAnsi="Arial" w:cs="Arial"/>
          <w:b/>
          <w:sz w:val="22"/>
          <w:szCs w:val="22"/>
        </w:rPr>
        <w:t>9 November</w:t>
      </w:r>
      <w:r w:rsidR="00212C0B" w:rsidRPr="00CB4346">
        <w:rPr>
          <w:rFonts w:ascii="Arial" w:hAnsi="Arial" w:cs="Arial"/>
          <w:b/>
          <w:sz w:val="22"/>
          <w:szCs w:val="22"/>
        </w:rPr>
        <w:t xml:space="preserve"> 2023</w:t>
      </w:r>
    </w:p>
    <w:p w14:paraId="7C08C077" w14:textId="431F5A2A" w:rsidR="00A039AC" w:rsidRPr="002A6C4C" w:rsidRDefault="00A039AC" w:rsidP="0038082E">
      <w:pPr>
        <w:pStyle w:val="Heading3green"/>
      </w:pPr>
      <w:bookmarkStart w:id="75" w:name="_Toc109922605"/>
      <w:r w:rsidRPr="002A6C4C">
        <w:lastRenderedPageBreak/>
        <w:t>Movement in Reserves</w:t>
      </w:r>
      <w:r w:rsidR="005B1B6B" w:rsidRPr="002A6C4C">
        <w:t xml:space="preserve"> Statement</w:t>
      </w:r>
      <w:bookmarkEnd w:id="75"/>
    </w:p>
    <w:p w14:paraId="76CC8D56" w14:textId="77777777" w:rsidR="00EC408E" w:rsidRPr="0007572B" w:rsidRDefault="00EC408E" w:rsidP="0038082E">
      <w:pPr>
        <w:jc w:val="both"/>
        <w:rPr>
          <w:rFonts w:ascii="Arial" w:hAnsi="Arial" w:cs="Arial"/>
          <w:sz w:val="22"/>
          <w:szCs w:val="22"/>
        </w:rPr>
      </w:pPr>
    </w:p>
    <w:p w14:paraId="2057230A" w14:textId="273399AF" w:rsidR="00D552A9" w:rsidRDefault="00D552A9" w:rsidP="0038082E">
      <w:pPr>
        <w:rPr>
          <w:rFonts w:ascii="Arial" w:eastAsia="Calibri" w:hAnsi="Arial" w:cs="Arial"/>
          <w:lang w:val="pt-BR"/>
        </w:rPr>
      </w:pPr>
      <w:r w:rsidRPr="0007572B">
        <w:rPr>
          <w:rFonts w:ascii="Arial" w:eastAsia="Calibri" w:hAnsi="Arial" w:cs="Arial"/>
          <w:lang w:val="pt-BR"/>
        </w:rPr>
        <w:t xml:space="preserve">The Movement in Reserves Statement shows the movement from the start of the year to the end </w:t>
      </w:r>
      <w:r w:rsidR="00627BE3">
        <w:rPr>
          <w:rFonts w:ascii="Arial" w:eastAsia="Calibri" w:hAnsi="Arial" w:cs="Arial"/>
          <w:lang w:val="pt-BR"/>
        </w:rPr>
        <w:t xml:space="preserve">of the year </w:t>
      </w:r>
      <w:r w:rsidRPr="0007572B">
        <w:rPr>
          <w:rFonts w:ascii="Arial" w:eastAsia="Calibri" w:hAnsi="Arial" w:cs="Arial"/>
          <w:lang w:val="pt-BR"/>
        </w:rPr>
        <w:t>on the different reserves held by the Authority, analysed into ‘usable reserves’ (i</w:t>
      </w:r>
      <w:r w:rsidR="009D0BC9" w:rsidRPr="0007572B">
        <w:rPr>
          <w:rFonts w:ascii="Arial" w:eastAsia="Calibri" w:hAnsi="Arial" w:cs="Arial"/>
          <w:lang w:val="pt-BR"/>
        </w:rPr>
        <w:t>.</w:t>
      </w:r>
      <w:r w:rsidRPr="0007572B">
        <w:rPr>
          <w:rFonts w:ascii="Arial" w:eastAsia="Calibri" w:hAnsi="Arial" w:cs="Arial"/>
          <w:lang w:val="pt-BR"/>
        </w:rPr>
        <w:t>e</w:t>
      </w:r>
      <w:r w:rsidR="009D0BC9" w:rsidRPr="0007572B">
        <w:rPr>
          <w:rFonts w:ascii="Arial" w:eastAsia="Calibri" w:hAnsi="Arial" w:cs="Arial"/>
          <w:lang w:val="pt-BR"/>
        </w:rPr>
        <w:t>.</w:t>
      </w:r>
      <w:r w:rsidRPr="0007572B">
        <w:rPr>
          <w:rFonts w:ascii="Arial" w:eastAsia="Calibri" w:hAnsi="Arial" w:cs="Arial"/>
          <w:lang w:val="pt-BR"/>
        </w:rPr>
        <w:t xml:space="preserve"> those that can be applied to fund expenditure or reduce local taxation) and other ‘unusable reserves’. The Statement shows how the movements in year of the Authority’s reserves are broken down between gains and losses incurred in accordance with generally accepted accounting practices and the statutory adjustments required to return to the amounts chargeable to council tax for the year. The Net Increase/Decrease line shows the statutory General Fund Balance movements in the year following those adjustments.</w:t>
      </w:r>
    </w:p>
    <w:p w14:paraId="11C24610" w14:textId="77777777" w:rsidR="00B56B78" w:rsidRDefault="00B56B78" w:rsidP="0038082E">
      <w:pPr>
        <w:rPr>
          <w:rFonts w:ascii="Arial" w:eastAsia="Calibri" w:hAnsi="Arial" w:cs="Arial"/>
          <w:lang w:val="pt-BR"/>
        </w:rPr>
      </w:pPr>
    </w:p>
    <w:p w14:paraId="129856B8" w14:textId="6F339291" w:rsidR="007575E1" w:rsidRPr="0007572B" w:rsidRDefault="007575E1" w:rsidP="0038082E">
      <w:pPr>
        <w:rPr>
          <w:rFonts w:ascii="Arial" w:eastAsia="Calibri" w:hAnsi="Arial" w:cs="Arial"/>
          <w:lang w:val="pt-BR"/>
        </w:rPr>
      </w:pPr>
    </w:p>
    <w:p w14:paraId="53C4D8D8" w14:textId="5CF7463B" w:rsidR="007575E1" w:rsidRPr="0007572B" w:rsidRDefault="00212954" w:rsidP="0038082E">
      <w:pPr>
        <w:rPr>
          <w:rFonts w:ascii="Arial" w:hAnsi="Arial" w:cs="Arial"/>
          <w:b/>
          <w:sz w:val="28"/>
          <w:szCs w:val="28"/>
        </w:rPr>
        <w:sectPr w:rsidR="007575E1" w:rsidRPr="0007572B" w:rsidSect="00BC6411">
          <w:pgSz w:w="16838" w:h="11906" w:orient="landscape"/>
          <w:pgMar w:top="1080" w:right="1444" w:bottom="1416" w:left="1440" w:header="568" w:footer="567" w:gutter="0"/>
          <w:cols w:space="708"/>
          <w:docGrid w:linePitch="360"/>
        </w:sectPr>
      </w:pPr>
      <w:r w:rsidRPr="00212954">
        <w:rPr>
          <w:noProof/>
        </w:rPr>
        <w:drawing>
          <wp:inline distT="0" distB="0" distL="0" distR="0" wp14:anchorId="3BEB2ECF" wp14:editId="4E92295C">
            <wp:extent cx="8860790" cy="2785110"/>
            <wp:effectExtent l="0" t="0" r="0" b="0"/>
            <wp:docPr id="2001712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0790" cy="2785110"/>
                    </a:xfrm>
                    <a:prstGeom prst="rect">
                      <a:avLst/>
                    </a:prstGeom>
                    <a:noFill/>
                    <a:ln>
                      <a:noFill/>
                    </a:ln>
                  </pic:spPr>
                </pic:pic>
              </a:graphicData>
            </a:graphic>
          </wp:inline>
        </w:drawing>
      </w:r>
    </w:p>
    <w:p w14:paraId="72BE6ED4" w14:textId="60F44A9D" w:rsidR="00D2583B" w:rsidRPr="0007572B" w:rsidRDefault="00D2583B" w:rsidP="0038082E">
      <w:pPr>
        <w:pStyle w:val="Heading3green"/>
      </w:pPr>
      <w:bookmarkStart w:id="76" w:name="_Toc109922606"/>
      <w:r w:rsidRPr="0007572B">
        <w:lastRenderedPageBreak/>
        <w:t>Balance Sheet</w:t>
      </w:r>
      <w:bookmarkEnd w:id="76"/>
    </w:p>
    <w:p w14:paraId="60934230" w14:textId="7BA10F24" w:rsidR="009F53F8" w:rsidRPr="0007572B" w:rsidRDefault="009F53F8" w:rsidP="0038082E">
      <w:pPr>
        <w:rPr>
          <w:rFonts w:ascii="Arial" w:hAnsi="Arial" w:cs="Arial"/>
        </w:rPr>
      </w:pPr>
      <w:r w:rsidRPr="0007572B">
        <w:rPr>
          <w:rFonts w:ascii="Arial" w:hAnsi="Arial" w:cs="Arial"/>
        </w:rPr>
        <w:t xml:space="preserve">The </w:t>
      </w:r>
      <w:r w:rsidR="007E4DDF">
        <w:rPr>
          <w:rFonts w:ascii="Arial" w:hAnsi="Arial" w:cs="Arial"/>
        </w:rPr>
        <w:t>B</w:t>
      </w:r>
      <w:r w:rsidRPr="0007572B">
        <w:rPr>
          <w:rFonts w:ascii="Arial" w:hAnsi="Arial" w:cs="Arial"/>
        </w:rPr>
        <w:t>alance Sheet shows the value of assets and liabilities recognised by the Authority. The net assets/liabilities are matched by the usable and unusable reserves held. Usable reserves can be utilised to fund services whereas unusable reserves are accounting reserves held to reconcile the position between the accounting cost of services and the cost set out in legislation that is chargeable to precepts and taxation.</w:t>
      </w:r>
    </w:p>
    <w:p w14:paraId="7131E703" w14:textId="30C53922" w:rsidR="00F930D2" w:rsidRDefault="009F53F8" w:rsidP="0038082E">
      <w:pPr>
        <w:rPr>
          <w:rFonts w:ascii="Arial" w:hAnsi="Arial" w:cs="Arial"/>
        </w:rPr>
      </w:pPr>
      <w:r w:rsidRPr="0007572B">
        <w:rPr>
          <w:rFonts w:ascii="Arial" w:hAnsi="Arial" w:cs="Arial"/>
        </w:rPr>
        <w:t>Further details of balance sheet items can be found in the relevant associated notes.</w:t>
      </w:r>
    </w:p>
    <w:p w14:paraId="192D8ADF" w14:textId="77777777" w:rsidR="00F930D2" w:rsidRDefault="00F930D2" w:rsidP="0038082E">
      <w:pPr>
        <w:rPr>
          <w:rFonts w:ascii="Arial" w:hAnsi="Arial" w:cs="Arial"/>
        </w:rPr>
      </w:pPr>
    </w:p>
    <w:p w14:paraId="42966864" w14:textId="3B576676" w:rsidR="00F930D2" w:rsidRDefault="00F930D2" w:rsidP="00F930D2">
      <w:pPr>
        <w:jc w:val="both"/>
        <w:rPr>
          <w:rFonts w:ascii="Arial" w:hAnsi="Arial" w:cs="Arial"/>
          <w:b/>
        </w:rPr>
      </w:pPr>
      <w:r w:rsidRPr="00F930D2">
        <w:rPr>
          <w:rFonts w:ascii="Arial" w:hAnsi="Arial" w:cs="Arial"/>
          <w:b/>
        </w:rPr>
        <w:t xml:space="preserve"> </w:t>
      </w:r>
      <w:r w:rsidR="00AD4CBB" w:rsidRPr="00AD4CBB">
        <w:rPr>
          <w:noProof/>
        </w:rPr>
        <w:drawing>
          <wp:inline distT="0" distB="0" distL="0" distR="0" wp14:anchorId="55F028B7" wp14:editId="1FA8767E">
            <wp:extent cx="4991100" cy="63817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6381750"/>
                    </a:xfrm>
                    <a:prstGeom prst="rect">
                      <a:avLst/>
                    </a:prstGeom>
                    <a:noFill/>
                    <a:ln>
                      <a:noFill/>
                    </a:ln>
                  </pic:spPr>
                </pic:pic>
              </a:graphicData>
            </a:graphic>
          </wp:inline>
        </w:drawing>
      </w:r>
    </w:p>
    <w:p w14:paraId="1215E7F1" w14:textId="6D6FBCC6" w:rsidR="001628C2" w:rsidRPr="0007572B" w:rsidRDefault="001628C2" w:rsidP="0038082E">
      <w:pPr>
        <w:jc w:val="both"/>
        <w:rPr>
          <w:rFonts w:ascii="Arial" w:hAnsi="Arial" w:cs="Arial"/>
          <w:noProof/>
          <w:lang w:eastAsia="en-GB"/>
        </w:rPr>
      </w:pPr>
      <w:r w:rsidRPr="0007572B">
        <w:rPr>
          <w:rFonts w:ascii="Arial" w:hAnsi="Arial" w:cs="Arial"/>
          <w:noProof/>
          <w:sz w:val="28"/>
          <w:szCs w:val="28"/>
          <w:lang w:eastAsia="en-GB"/>
        </w:rPr>
        <w:drawing>
          <wp:inline distT="0" distB="0" distL="0" distR="0" wp14:anchorId="72A9E8EB" wp14:editId="13206403">
            <wp:extent cx="1117600" cy="542925"/>
            <wp:effectExtent l="0" t="0" r="6350" b="9525"/>
            <wp:docPr id="21696146" name="Picture 21696146" descr="Signature of Steve Wilson, Greater Manchester Combined Authority Treas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ignature of Steve Wilson, Greater Manchester Combined Authority Treasure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542925"/>
                    </a:xfrm>
                    <a:prstGeom prst="rect">
                      <a:avLst/>
                    </a:prstGeom>
                    <a:noFill/>
                    <a:ln>
                      <a:noFill/>
                    </a:ln>
                  </pic:spPr>
                </pic:pic>
              </a:graphicData>
            </a:graphic>
          </wp:inline>
        </w:drawing>
      </w:r>
    </w:p>
    <w:p w14:paraId="466BE280" w14:textId="0D41E3CB" w:rsidR="00B173FF" w:rsidRPr="0007572B" w:rsidRDefault="00A16916" w:rsidP="0038082E">
      <w:pPr>
        <w:jc w:val="both"/>
        <w:rPr>
          <w:rFonts w:ascii="Arial" w:hAnsi="Arial" w:cs="Arial"/>
          <w:b/>
        </w:rPr>
      </w:pPr>
      <w:r w:rsidRPr="0007572B">
        <w:rPr>
          <w:rFonts w:ascii="Arial" w:hAnsi="Arial" w:cs="Arial"/>
          <w:b/>
        </w:rPr>
        <w:t>Steve Wilson</w:t>
      </w:r>
      <w:r w:rsidR="00AD4CBB">
        <w:rPr>
          <w:rFonts w:ascii="Arial" w:hAnsi="Arial" w:cs="Arial"/>
          <w:b/>
        </w:rPr>
        <w:t xml:space="preserve">, </w:t>
      </w:r>
      <w:r w:rsidR="00B173FF" w:rsidRPr="0007572B">
        <w:rPr>
          <w:rFonts w:ascii="Arial" w:hAnsi="Arial" w:cs="Arial"/>
          <w:b/>
        </w:rPr>
        <w:t>Greater Manchester Combined Authority Treasurer</w:t>
      </w:r>
    </w:p>
    <w:p w14:paraId="3DF8D8BA" w14:textId="66D6E214" w:rsidR="00D50C37" w:rsidRPr="0007572B" w:rsidRDefault="00AD0EA6" w:rsidP="0038082E">
      <w:pPr>
        <w:jc w:val="both"/>
        <w:rPr>
          <w:rFonts w:ascii="Arial" w:hAnsi="Arial" w:cs="Arial"/>
          <w:b/>
          <w:sz w:val="22"/>
          <w:szCs w:val="22"/>
        </w:rPr>
      </w:pPr>
      <w:r w:rsidRPr="0007572B">
        <w:rPr>
          <w:rFonts w:ascii="Arial" w:hAnsi="Arial" w:cs="Arial"/>
          <w:b/>
        </w:rPr>
        <w:t>Date</w:t>
      </w:r>
      <w:r w:rsidR="00B51F59" w:rsidRPr="0007572B">
        <w:rPr>
          <w:rFonts w:ascii="Arial" w:hAnsi="Arial" w:cs="Arial"/>
          <w:b/>
        </w:rPr>
        <w:t xml:space="preserve">: </w:t>
      </w:r>
      <w:r w:rsidR="00CB4346" w:rsidRPr="00CB4346">
        <w:rPr>
          <w:rFonts w:ascii="Arial" w:hAnsi="Arial" w:cs="Arial"/>
          <w:b/>
        </w:rPr>
        <w:t>9 November</w:t>
      </w:r>
      <w:r w:rsidR="00655E4C" w:rsidRPr="00CB4346">
        <w:rPr>
          <w:rFonts w:ascii="Arial" w:hAnsi="Arial" w:cs="Arial"/>
          <w:b/>
        </w:rPr>
        <w:t xml:space="preserve"> 202</w:t>
      </w:r>
      <w:r w:rsidR="00E90F42" w:rsidRPr="00CB4346">
        <w:rPr>
          <w:rFonts w:ascii="Arial" w:hAnsi="Arial" w:cs="Arial"/>
          <w:b/>
        </w:rPr>
        <w:t>3</w:t>
      </w:r>
      <w:r w:rsidR="00D50C37" w:rsidRPr="0007572B">
        <w:rPr>
          <w:rFonts w:ascii="Arial" w:hAnsi="Arial" w:cs="Arial"/>
          <w:b/>
          <w:sz w:val="22"/>
          <w:szCs w:val="22"/>
        </w:rPr>
        <w:br w:type="page"/>
      </w:r>
    </w:p>
    <w:p w14:paraId="6F7A298C" w14:textId="05FAECE3" w:rsidR="00513B48" w:rsidRPr="0007572B" w:rsidRDefault="00513B48" w:rsidP="0038082E">
      <w:pPr>
        <w:pStyle w:val="Heading3green"/>
      </w:pPr>
      <w:bookmarkStart w:id="77" w:name="_Toc109922607"/>
      <w:r w:rsidRPr="0007572B">
        <w:lastRenderedPageBreak/>
        <w:t>Cash Flow Statement</w:t>
      </w:r>
      <w:bookmarkEnd w:id="77"/>
    </w:p>
    <w:p w14:paraId="3C98D4E6" w14:textId="77777777" w:rsidR="00986BB0" w:rsidRPr="0007572B" w:rsidRDefault="00986BB0" w:rsidP="0038082E">
      <w:pPr>
        <w:jc w:val="both"/>
        <w:rPr>
          <w:rFonts w:ascii="Arial" w:hAnsi="Arial" w:cs="Arial"/>
          <w:sz w:val="20"/>
          <w:szCs w:val="20"/>
        </w:rPr>
      </w:pPr>
    </w:p>
    <w:p w14:paraId="07D63A90" w14:textId="77777777" w:rsidR="00716A39" w:rsidRPr="0007572B" w:rsidRDefault="00D552A9" w:rsidP="0038082E">
      <w:pPr>
        <w:rPr>
          <w:rFonts w:ascii="Arial" w:eastAsia="Calibri" w:hAnsi="Arial" w:cs="Arial"/>
          <w:lang w:val="pt-BR"/>
        </w:rPr>
      </w:pPr>
      <w:r w:rsidRPr="0007572B">
        <w:rPr>
          <w:rFonts w:ascii="Arial" w:eastAsia="Calibri" w:hAnsi="Arial" w:cs="Arial"/>
          <w:lang w:val="pt-BR"/>
        </w:rPr>
        <w:t xml:space="preserve">The Cash Flow Statement shows the changes in cash and cash equivalents of the Authority during the reporting period. The statement shows how the Authority generates and uses cash and cash equivalents by classifying cash flows as operating, investing and financing activities. The amount of net cash flows arising from operating activities is a key indicator of the extent to which the operations of the Authority are funded by way of taxation and grant income or from the recipients of services provided by the Authority. </w:t>
      </w:r>
    </w:p>
    <w:p w14:paraId="2702127E" w14:textId="77777777" w:rsidR="00716A39" w:rsidRPr="0007572B" w:rsidRDefault="00716A39" w:rsidP="0038082E">
      <w:pPr>
        <w:rPr>
          <w:rFonts w:ascii="Arial" w:eastAsia="Calibri" w:hAnsi="Arial" w:cs="Arial"/>
          <w:lang w:val="pt-BR"/>
        </w:rPr>
      </w:pPr>
    </w:p>
    <w:p w14:paraId="4E2C4AE7" w14:textId="3117562C" w:rsidR="008A1801" w:rsidRDefault="00D552A9" w:rsidP="0038082E">
      <w:pPr>
        <w:rPr>
          <w:rFonts w:ascii="Arial" w:eastAsia="Calibri" w:hAnsi="Arial" w:cs="Arial"/>
          <w:lang w:val="pt-BR"/>
        </w:rPr>
      </w:pPr>
      <w:r w:rsidRPr="0007572B">
        <w:rPr>
          <w:rFonts w:ascii="Arial" w:eastAsia="Calibri" w:hAnsi="Arial" w:cs="Arial"/>
          <w:lang w:val="pt-BR"/>
        </w:rPr>
        <w:t>Investing activities represent the extent to which cash outflows have been made for resources which are intended to contribute to the Authority’s future service delivery. Cash flows arising from financing activities are useful in predicting claims on future cash flows by providers of capital (i</w:t>
      </w:r>
      <w:r w:rsidR="009D0BC9" w:rsidRPr="0007572B">
        <w:rPr>
          <w:rFonts w:ascii="Arial" w:eastAsia="Calibri" w:hAnsi="Arial" w:cs="Arial"/>
          <w:lang w:val="pt-BR"/>
        </w:rPr>
        <w:t>.</w:t>
      </w:r>
      <w:r w:rsidRPr="0007572B">
        <w:rPr>
          <w:rFonts w:ascii="Arial" w:eastAsia="Calibri" w:hAnsi="Arial" w:cs="Arial"/>
          <w:lang w:val="pt-BR"/>
        </w:rPr>
        <w:t>e</w:t>
      </w:r>
      <w:r w:rsidR="009D0BC9" w:rsidRPr="0007572B">
        <w:rPr>
          <w:rFonts w:ascii="Arial" w:eastAsia="Calibri" w:hAnsi="Arial" w:cs="Arial"/>
          <w:lang w:val="pt-BR"/>
        </w:rPr>
        <w:t>.</w:t>
      </w:r>
      <w:r w:rsidRPr="0007572B">
        <w:rPr>
          <w:rFonts w:ascii="Arial" w:eastAsia="Calibri" w:hAnsi="Arial" w:cs="Arial"/>
          <w:lang w:val="pt-BR"/>
        </w:rPr>
        <w:t xml:space="preserve"> borrowing) to the Authority.</w:t>
      </w:r>
    </w:p>
    <w:p w14:paraId="6751A807" w14:textId="19276D01" w:rsidR="00B006C9" w:rsidRDefault="00B006C9" w:rsidP="0038082E">
      <w:pPr>
        <w:rPr>
          <w:rFonts w:ascii="Arial" w:eastAsia="Calibri" w:hAnsi="Arial" w:cs="Arial"/>
          <w:lang w:val="pt-BR"/>
        </w:rPr>
      </w:pPr>
    </w:p>
    <w:p w14:paraId="188D7098" w14:textId="44DEBEF3" w:rsidR="00B006C9" w:rsidRPr="0007572B" w:rsidRDefault="00B006C9" w:rsidP="0038082E">
      <w:pPr>
        <w:rPr>
          <w:rFonts w:ascii="Arial" w:eastAsia="Calibri" w:hAnsi="Arial" w:cs="Arial"/>
          <w:lang w:val="pt-BR"/>
        </w:rPr>
      </w:pPr>
    </w:p>
    <w:p w14:paraId="14426779" w14:textId="61C4D7EC" w:rsidR="00543B15" w:rsidRPr="0007572B" w:rsidRDefault="00212954" w:rsidP="0038082E">
      <w:pPr>
        <w:jc w:val="both"/>
        <w:rPr>
          <w:rFonts w:ascii="Arial" w:hAnsi="Arial" w:cs="Arial"/>
          <w:sz w:val="22"/>
          <w:szCs w:val="22"/>
        </w:rPr>
      </w:pPr>
      <w:r w:rsidRPr="00212954">
        <w:rPr>
          <w:noProof/>
        </w:rPr>
        <w:drawing>
          <wp:inline distT="0" distB="0" distL="0" distR="0" wp14:anchorId="435F6FD5" wp14:editId="2796DDB9">
            <wp:extent cx="5748655" cy="2305685"/>
            <wp:effectExtent l="0" t="0" r="4445" b="0"/>
            <wp:docPr id="343511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655" cy="2305685"/>
                    </a:xfrm>
                    <a:prstGeom prst="rect">
                      <a:avLst/>
                    </a:prstGeom>
                    <a:noFill/>
                    <a:ln>
                      <a:noFill/>
                    </a:ln>
                  </pic:spPr>
                </pic:pic>
              </a:graphicData>
            </a:graphic>
          </wp:inline>
        </w:drawing>
      </w:r>
    </w:p>
    <w:p w14:paraId="5044F22F" w14:textId="00315D74" w:rsidR="00062B2C" w:rsidRPr="0007572B" w:rsidRDefault="00212954" w:rsidP="0038082E">
      <w:pPr>
        <w:jc w:val="both"/>
        <w:rPr>
          <w:rFonts w:ascii="Arial" w:hAnsi="Arial" w:cs="Arial"/>
          <w:sz w:val="22"/>
          <w:szCs w:val="22"/>
        </w:rPr>
      </w:pPr>
      <w:r>
        <w:rPr>
          <w:rFonts w:ascii="Arial" w:hAnsi="Arial" w:cs="Arial"/>
          <w:bCs/>
          <w:sz w:val="16"/>
          <w:szCs w:val="16"/>
        </w:rPr>
        <w:t>*</w:t>
      </w:r>
      <w:r w:rsidRPr="00212954">
        <w:rPr>
          <w:rFonts w:ascii="Arial" w:hAnsi="Arial" w:cs="Arial"/>
          <w:bCs/>
          <w:sz w:val="16"/>
          <w:szCs w:val="16"/>
        </w:rPr>
        <w:t>20/21 restated figures are explained in note 36</w:t>
      </w:r>
      <w:r>
        <w:rPr>
          <w:rFonts w:ascii="Arial" w:hAnsi="Arial" w:cs="Arial"/>
          <w:bCs/>
          <w:sz w:val="16"/>
          <w:szCs w:val="16"/>
        </w:rPr>
        <w:t>.</w:t>
      </w:r>
    </w:p>
    <w:p w14:paraId="000BE180" w14:textId="77777777" w:rsidR="00F2757F" w:rsidRPr="0007572B" w:rsidRDefault="00F2757F" w:rsidP="0038082E">
      <w:pPr>
        <w:jc w:val="both"/>
        <w:rPr>
          <w:rFonts w:ascii="Arial" w:hAnsi="Arial" w:cs="Arial"/>
          <w:b/>
          <w:sz w:val="22"/>
          <w:szCs w:val="22"/>
        </w:rPr>
      </w:pPr>
    </w:p>
    <w:p w14:paraId="62D6989B" w14:textId="77777777" w:rsidR="0095384C" w:rsidRPr="0007572B" w:rsidRDefault="0095384C" w:rsidP="0038082E">
      <w:pPr>
        <w:rPr>
          <w:rFonts w:ascii="Arial" w:hAnsi="Arial" w:cs="Arial"/>
          <w:b/>
          <w:sz w:val="40"/>
          <w:szCs w:val="40"/>
        </w:rPr>
      </w:pPr>
      <w:r w:rsidRPr="0007572B">
        <w:rPr>
          <w:rFonts w:ascii="Arial" w:hAnsi="Arial" w:cs="Arial"/>
          <w:b/>
          <w:sz w:val="40"/>
          <w:szCs w:val="40"/>
        </w:rPr>
        <w:br w:type="page"/>
      </w:r>
    </w:p>
    <w:p w14:paraId="4419846C" w14:textId="77777777" w:rsidR="00E266B1" w:rsidRPr="0007572B" w:rsidRDefault="00E266B1" w:rsidP="0038082E">
      <w:pPr>
        <w:jc w:val="center"/>
        <w:rPr>
          <w:rFonts w:ascii="Arial" w:hAnsi="Arial" w:cs="Arial"/>
          <w:b/>
          <w:sz w:val="40"/>
          <w:szCs w:val="40"/>
        </w:rPr>
      </w:pPr>
    </w:p>
    <w:p w14:paraId="21F9FEF3" w14:textId="111CD10A" w:rsidR="00CB4A8E" w:rsidRPr="0007572B" w:rsidRDefault="00CB4A8E" w:rsidP="0038082E">
      <w:pPr>
        <w:pStyle w:val="Heaading2green"/>
      </w:pPr>
      <w:bookmarkStart w:id="78" w:name="_Toc92895174"/>
      <w:bookmarkStart w:id="79" w:name="_Toc109922608"/>
      <w:r w:rsidRPr="0007572B">
        <w:t>Single Entity Accounts</w:t>
      </w:r>
      <w:bookmarkEnd w:id="78"/>
      <w:bookmarkEnd w:id="79"/>
    </w:p>
    <w:p w14:paraId="0EB67058" w14:textId="77777777" w:rsidR="00CB4A8E" w:rsidRPr="0007572B" w:rsidRDefault="00CB4A8E" w:rsidP="0038082E">
      <w:pPr>
        <w:jc w:val="center"/>
        <w:rPr>
          <w:rFonts w:ascii="Arial" w:hAnsi="Arial" w:cs="Arial"/>
          <w:b/>
          <w:sz w:val="40"/>
          <w:szCs w:val="40"/>
        </w:rPr>
      </w:pPr>
    </w:p>
    <w:p w14:paraId="08009F10" w14:textId="7331A0AD" w:rsidR="00CB4A8E" w:rsidRPr="0007572B" w:rsidRDefault="00CB4A8E" w:rsidP="0038082E">
      <w:pPr>
        <w:pStyle w:val="Heaading2green"/>
      </w:pPr>
      <w:bookmarkStart w:id="80" w:name="_Toc109922609"/>
      <w:r w:rsidRPr="0007572B">
        <w:t>Notes to the Financial Statements</w:t>
      </w:r>
      <w:bookmarkEnd w:id="80"/>
    </w:p>
    <w:p w14:paraId="1AE2DA0B" w14:textId="77777777" w:rsidR="00606E4A" w:rsidRPr="0007572B" w:rsidRDefault="00606E4A" w:rsidP="0038082E">
      <w:pPr>
        <w:rPr>
          <w:rFonts w:ascii="Arial" w:hAnsi="Arial" w:cs="Arial"/>
          <w:b/>
          <w:sz w:val="40"/>
          <w:szCs w:val="40"/>
        </w:rPr>
      </w:pPr>
      <w:r w:rsidRPr="0007572B">
        <w:rPr>
          <w:rFonts w:ascii="Arial" w:hAnsi="Arial" w:cs="Arial"/>
          <w:b/>
          <w:sz w:val="40"/>
          <w:szCs w:val="40"/>
        </w:rPr>
        <w:br w:type="page"/>
      </w:r>
    </w:p>
    <w:p w14:paraId="50CCA0A5" w14:textId="5D931CDF" w:rsidR="00B266FC" w:rsidRPr="004D2865" w:rsidRDefault="00B266FC" w:rsidP="0038082E">
      <w:pPr>
        <w:pStyle w:val="Heading3greennumbered"/>
      </w:pPr>
      <w:bookmarkStart w:id="81" w:name="_Toc92894872"/>
      <w:bookmarkStart w:id="82" w:name="_Toc92895176"/>
      <w:bookmarkStart w:id="83" w:name="_Toc109922610"/>
      <w:r w:rsidRPr="004D2865">
        <w:lastRenderedPageBreak/>
        <w:t>1 Accounting Concepts and Policies</w:t>
      </w:r>
      <w:bookmarkEnd w:id="81"/>
      <w:bookmarkEnd w:id="82"/>
      <w:bookmarkEnd w:id="83"/>
    </w:p>
    <w:p w14:paraId="19C16F86" w14:textId="77777777" w:rsidR="00924E51" w:rsidRPr="004D2865" w:rsidRDefault="00924E51" w:rsidP="0038082E">
      <w:pPr>
        <w:rPr>
          <w:rFonts w:eastAsiaTheme="minorHAnsi"/>
        </w:rPr>
      </w:pPr>
    </w:p>
    <w:p w14:paraId="376BD4E5" w14:textId="77777777" w:rsidR="00655E4C" w:rsidRPr="0007572B" w:rsidRDefault="00655E4C" w:rsidP="00655E4C">
      <w:pPr>
        <w:pStyle w:val="Heading4bold"/>
        <w:rPr>
          <w:rFonts w:eastAsiaTheme="minorHAnsi"/>
          <w:lang w:val="en-US"/>
        </w:rPr>
      </w:pPr>
      <w:r w:rsidRPr="0007572B">
        <w:rPr>
          <w:rFonts w:eastAsiaTheme="minorHAnsi"/>
          <w:lang w:val="en-US"/>
        </w:rPr>
        <w:t>1.1. General Principles</w:t>
      </w:r>
    </w:p>
    <w:p w14:paraId="3ED32990"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color w:val="000000"/>
          <w:sz w:val="24"/>
          <w:szCs w:val="24"/>
          <w:lang w:eastAsia="en-GB"/>
        </w:rPr>
        <w:t xml:space="preserve">The </w:t>
      </w:r>
      <w:r w:rsidRPr="0007572B">
        <w:rPr>
          <w:rFonts w:ascii="Arial" w:hAnsi="Arial" w:cs="Arial"/>
          <w:bCs/>
          <w:sz w:val="24"/>
          <w:szCs w:val="24"/>
          <w:lang w:eastAsia="en-GB"/>
        </w:rPr>
        <w:t>Statement of Accounts summarises the Authority’s transactions for the 202</w:t>
      </w:r>
      <w:r>
        <w:rPr>
          <w:rFonts w:ascii="Arial" w:hAnsi="Arial" w:cs="Arial"/>
          <w:bCs/>
          <w:sz w:val="24"/>
          <w:szCs w:val="24"/>
          <w:lang w:eastAsia="en-GB"/>
        </w:rPr>
        <w:t>1</w:t>
      </w:r>
      <w:r w:rsidRPr="0007572B">
        <w:rPr>
          <w:rFonts w:ascii="Arial" w:hAnsi="Arial" w:cs="Arial"/>
          <w:bCs/>
          <w:sz w:val="24"/>
          <w:szCs w:val="24"/>
          <w:lang w:eastAsia="en-GB"/>
        </w:rPr>
        <w:t>/2</w:t>
      </w:r>
      <w:r>
        <w:rPr>
          <w:rFonts w:ascii="Arial" w:hAnsi="Arial" w:cs="Arial"/>
          <w:bCs/>
          <w:sz w:val="24"/>
          <w:szCs w:val="24"/>
          <w:lang w:eastAsia="en-GB"/>
        </w:rPr>
        <w:t>2</w:t>
      </w:r>
      <w:r w:rsidRPr="0007572B">
        <w:rPr>
          <w:rFonts w:ascii="Arial" w:hAnsi="Arial" w:cs="Arial"/>
          <w:bCs/>
          <w:sz w:val="24"/>
          <w:szCs w:val="24"/>
          <w:lang w:eastAsia="en-GB"/>
        </w:rPr>
        <w:t xml:space="preserve"> financial year and its position at the year-end of 31 March 202</w:t>
      </w:r>
      <w:r>
        <w:rPr>
          <w:rFonts w:ascii="Arial" w:hAnsi="Arial" w:cs="Arial"/>
          <w:bCs/>
          <w:sz w:val="24"/>
          <w:szCs w:val="24"/>
          <w:lang w:eastAsia="en-GB"/>
        </w:rPr>
        <w:t>2</w:t>
      </w:r>
      <w:r w:rsidRPr="0007572B">
        <w:rPr>
          <w:rFonts w:ascii="Arial" w:hAnsi="Arial" w:cs="Arial"/>
          <w:bCs/>
          <w:sz w:val="24"/>
          <w:szCs w:val="24"/>
          <w:lang w:eastAsia="en-GB"/>
        </w:rPr>
        <w:t xml:space="preserve">. The Authority is required to prepare an annual Statement of Accounts by the Accounts and Audit Regulations 2015. These regulations require the Accounts to be prepared in accordance with proper accounting practices. </w:t>
      </w:r>
    </w:p>
    <w:p w14:paraId="45EE4105" w14:textId="77777777" w:rsidR="00655E4C" w:rsidRPr="0007572B" w:rsidRDefault="00655E4C" w:rsidP="00655E4C">
      <w:pPr>
        <w:pStyle w:val="Normal0"/>
        <w:spacing w:line="240" w:lineRule="auto"/>
        <w:rPr>
          <w:rFonts w:ascii="Arial" w:hAnsi="Arial" w:cs="Arial"/>
          <w:bCs/>
          <w:sz w:val="24"/>
          <w:szCs w:val="24"/>
          <w:lang w:eastAsia="en-GB"/>
        </w:rPr>
      </w:pPr>
    </w:p>
    <w:p w14:paraId="60413023" w14:textId="77777777" w:rsidR="00655E4C" w:rsidRPr="0007572B" w:rsidRDefault="00655E4C" w:rsidP="00655E4C">
      <w:pPr>
        <w:pStyle w:val="Normal0"/>
        <w:autoSpaceDE w:val="0"/>
        <w:autoSpaceDN w:v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These practices primarily comprise the Code of Practice on Local Authority Accounting in the United Kingdom </w:t>
      </w:r>
      <w:r>
        <w:rPr>
          <w:rFonts w:ascii="Arial" w:hAnsi="Arial" w:cs="Arial"/>
          <w:bCs/>
          <w:sz w:val="24"/>
          <w:szCs w:val="24"/>
          <w:lang w:eastAsia="en-GB"/>
        </w:rPr>
        <w:t>2021/22</w:t>
      </w:r>
      <w:r w:rsidRPr="0007572B">
        <w:rPr>
          <w:rFonts w:ascii="Arial" w:hAnsi="Arial" w:cs="Arial"/>
          <w:bCs/>
          <w:sz w:val="24"/>
          <w:szCs w:val="24"/>
          <w:lang w:eastAsia="en-GB"/>
        </w:rPr>
        <w:t>, supported by International Financial Reporting Standards (IFRS) and statutory guidance issued under section 12 of the Local Government Act 2003.</w:t>
      </w:r>
    </w:p>
    <w:p w14:paraId="3FE087F4" w14:textId="77777777" w:rsidR="00655E4C" w:rsidRPr="0007572B" w:rsidRDefault="00655E4C" w:rsidP="00655E4C">
      <w:pPr>
        <w:pStyle w:val="Normal0"/>
        <w:spacing w:line="240" w:lineRule="auto"/>
        <w:rPr>
          <w:rFonts w:ascii="Arial" w:hAnsi="Arial" w:cs="Arial"/>
          <w:bCs/>
          <w:sz w:val="24"/>
          <w:szCs w:val="24"/>
          <w:lang w:eastAsia="en-GB"/>
        </w:rPr>
      </w:pPr>
    </w:p>
    <w:p w14:paraId="23CC824B" w14:textId="77777777" w:rsidR="00655E4C" w:rsidRDefault="00655E4C" w:rsidP="00655E4C">
      <w:pPr>
        <w:rPr>
          <w:rFonts w:ascii="Arial" w:hAnsi="Arial" w:cs="Arial"/>
          <w:bCs/>
          <w:lang w:eastAsia="en-GB"/>
        </w:rPr>
      </w:pPr>
      <w:r w:rsidRPr="0007572B">
        <w:rPr>
          <w:rFonts w:ascii="Arial" w:hAnsi="Arial" w:cs="Arial"/>
          <w:bCs/>
          <w:lang w:eastAsia="en-GB"/>
        </w:rPr>
        <w:t>The accounting convention adopted in the Statement of Accounts is principally historical cost, modified by the revaluation of certain categories of non-current assets and financial instruments.</w:t>
      </w:r>
    </w:p>
    <w:p w14:paraId="77AF4B3D" w14:textId="77777777" w:rsidR="00655E4C" w:rsidRPr="0007572B" w:rsidRDefault="00655E4C" w:rsidP="00655E4C">
      <w:pPr>
        <w:rPr>
          <w:rFonts w:ascii="Arial" w:hAnsi="Arial" w:cs="Arial"/>
          <w:bCs/>
          <w:color w:val="000000"/>
          <w:lang w:val="en-US" w:eastAsia="en-GB"/>
        </w:rPr>
      </w:pPr>
    </w:p>
    <w:p w14:paraId="1AE654C1" w14:textId="77777777" w:rsidR="00655E4C" w:rsidRPr="0007572B" w:rsidRDefault="00655E4C" w:rsidP="00655E4C">
      <w:pPr>
        <w:pStyle w:val="Heading4bold"/>
        <w:rPr>
          <w:lang w:eastAsia="en-GB"/>
        </w:rPr>
      </w:pPr>
      <w:r w:rsidRPr="0007572B">
        <w:rPr>
          <w:lang w:eastAsia="en-GB"/>
        </w:rPr>
        <w:t>1.2. Accounting Concepts</w:t>
      </w:r>
    </w:p>
    <w:p w14:paraId="114E31AE" w14:textId="77777777" w:rsidR="00655E4C" w:rsidRPr="00C5321C" w:rsidRDefault="00655E4C" w:rsidP="00655E4C">
      <w:pPr>
        <w:rPr>
          <w:rFonts w:ascii="Arial" w:hAnsi="Arial" w:cs="Arial"/>
          <w:bCs/>
          <w:lang w:eastAsia="en-GB"/>
        </w:rPr>
      </w:pPr>
      <w:r w:rsidRPr="0007572B">
        <w:rPr>
          <w:rFonts w:ascii="Arial" w:hAnsi="Arial" w:cs="Arial"/>
          <w:bCs/>
          <w:lang w:eastAsia="en-GB"/>
        </w:rPr>
        <w:t xml:space="preserve">The accounts are prepared on a going concern basis. This </w:t>
      </w:r>
      <w:r w:rsidRPr="00C5321C">
        <w:rPr>
          <w:rFonts w:ascii="Arial" w:hAnsi="Arial" w:cs="Arial"/>
          <w:bCs/>
          <w:lang w:eastAsia="en-GB"/>
        </w:rPr>
        <w:t xml:space="preserve">assumes </w:t>
      </w:r>
      <w:r w:rsidRPr="00C5321C">
        <w:rPr>
          <w:rFonts w:ascii="Arial" w:hAnsi="Arial" w:cs="Arial"/>
        </w:rPr>
        <w:t>that the functions of the authority will continue in operational existence for the foreseeable future</w:t>
      </w:r>
      <w:r w:rsidRPr="00C5321C">
        <w:rPr>
          <w:rFonts w:ascii="Arial" w:hAnsi="Arial" w:cs="Arial"/>
          <w:bCs/>
          <w:lang w:eastAsia="en-GB"/>
        </w:rPr>
        <w:t>.</w:t>
      </w:r>
    </w:p>
    <w:p w14:paraId="7FD49136" w14:textId="77777777" w:rsidR="00655E4C" w:rsidRPr="0007572B" w:rsidRDefault="00655E4C" w:rsidP="00655E4C">
      <w:pPr>
        <w:rPr>
          <w:rFonts w:ascii="Arial" w:hAnsi="Arial" w:cs="Arial"/>
          <w:bCs/>
          <w:lang w:eastAsia="en-GB"/>
        </w:rPr>
      </w:pPr>
    </w:p>
    <w:p w14:paraId="18D3BCE1" w14:textId="77777777" w:rsidR="00655E4C" w:rsidRPr="0007572B" w:rsidRDefault="00655E4C" w:rsidP="00655E4C">
      <w:pPr>
        <w:rPr>
          <w:rFonts w:ascii="Arial" w:hAnsi="Arial" w:cs="Arial"/>
          <w:bCs/>
          <w:lang w:eastAsia="en-GB"/>
        </w:rPr>
      </w:pPr>
      <w:r w:rsidRPr="0007572B">
        <w:rPr>
          <w:rFonts w:ascii="Arial" w:hAnsi="Arial" w:cs="Arial"/>
          <w:bCs/>
          <w:lang w:eastAsia="en-GB"/>
        </w:rPr>
        <w:t xml:space="preserve">As a combined authority, the GMCA has to operate within its powers. The services provided by the GMCA include waste disposal functions, fire and rescue functions, police and crime commissioner, transport, economic development and regeneration. These services are funded by levies paid by the 10 Greater Manchester authorities, precepts collected by the 10 Greater Manchester authorities and grants provided by central government. The Authority does not anticipate that these levies, precepts or grants will cease in the foreseeable future given the statutory requirements placed on the GMCA to provide these services. </w:t>
      </w:r>
    </w:p>
    <w:p w14:paraId="0E01CBBF" w14:textId="77777777" w:rsidR="00655E4C" w:rsidRPr="0007572B" w:rsidRDefault="00655E4C" w:rsidP="00655E4C">
      <w:pPr>
        <w:rPr>
          <w:rFonts w:ascii="Arial" w:hAnsi="Arial" w:cs="Arial"/>
          <w:bCs/>
          <w:lang w:eastAsia="en-GB"/>
        </w:rPr>
      </w:pPr>
    </w:p>
    <w:p w14:paraId="43DE6B6A" w14:textId="77777777" w:rsidR="00D0656E" w:rsidRDefault="00655E4C" w:rsidP="00655E4C">
      <w:pPr>
        <w:rPr>
          <w:rFonts w:ascii="Arial" w:hAnsi="Arial" w:cs="Arial"/>
          <w:bCs/>
          <w:lang w:eastAsia="en-GB"/>
        </w:rPr>
      </w:pPr>
      <w:r w:rsidRPr="0007572B">
        <w:rPr>
          <w:rFonts w:ascii="Arial" w:hAnsi="Arial" w:cs="Arial"/>
          <w:bCs/>
          <w:lang w:eastAsia="en-GB"/>
        </w:rPr>
        <w:t xml:space="preserve">The group includes TfGM, which provides the transport network across Greater Manchester, and although transport related borrowing sits on the GMCA </w:t>
      </w:r>
      <w:r w:rsidR="00D0656E">
        <w:rPr>
          <w:rFonts w:ascii="Arial" w:hAnsi="Arial" w:cs="Arial"/>
          <w:bCs/>
          <w:lang w:eastAsia="en-GB"/>
        </w:rPr>
        <w:t xml:space="preserve">- Single Entity </w:t>
      </w:r>
      <w:r w:rsidRPr="0007572B">
        <w:rPr>
          <w:rFonts w:ascii="Arial" w:hAnsi="Arial" w:cs="Arial"/>
          <w:bCs/>
          <w:lang w:eastAsia="en-GB"/>
        </w:rPr>
        <w:t>balance sheet, all the transport assets sit on TFGM's balance sheet</w:t>
      </w:r>
      <w:r w:rsidR="002F083C">
        <w:rPr>
          <w:rFonts w:ascii="Arial" w:hAnsi="Arial" w:cs="Arial"/>
          <w:bCs/>
          <w:lang w:eastAsia="en-GB"/>
        </w:rPr>
        <w:t xml:space="preserve"> within the</w:t>
      </w:r>
    </w:p>
    <w:p w14:paraId="75F22737" w14:textId="458E59F9" w:rsidR="00655E4C" w:rsidRDefault="00D0656E" w:rsidP="00655E4C">
      <w:pPr>
        <w:rPr>
          <w:rFonts w:ascii="Arial" w:hAnsi="Arial" w:cs="Arial"/>
          <w:bCs/>
          <w:lang w:eastAsia="en-GB"/>
        </w:rPr>
      </w:pPr>
      <w:r>
        <w:rPr>
          <w:rFonts w:ascii="Arial" w:hAnsi="Arial" w:cs="Arial"/>
          <w:bCs/>
          <w:lang w:eastAsia="en-GB"/>
        </w:rPr>
        <w:t xml:space="preserve">GMCA - </w:t>
      </w:r>
      <w:r w:rsidR="002F083C">
        <w:rPr>
          <w:rFonts w:ascii="Arial" w:hAnsi="Arial" w:cs="Arial"/>
          <w:bCs/>
          <w:lang w:eastAsia="en-GB"/>
        </w:rPr>
        <w:t>Group accounts</w:t>
      </w:r>
      <w:r w:rsidR="00655E4C" w:rsidRPr="0007572B">
        <w:rPr>
          <w:rFonts w:ascii="Arial" w:hAnsi="Arial" w:cs="Arial"/>
          <w:bCs/>
          <w:lang w:eastAsia="en-GB"/>
        </w:rPr>
        <w:t>. GMCA carries sufficient reserves in respect of each of its functions to provide resilience in the event of volatility in its various funding sources.</w:t>
      </w:r>
    </w:p>
    <w:p w14:paraId="65D75819" w14:textId="77777777" w:rsidR="00655E4C" w:rsidRPr="0007572B" w:rsidRDefault="00655E4C" w:rsidP="00655E4C">
      <w:pPr>
        <w:rPr>
          <w:rFonts w:ascii="Arial" w:hAnsi="Arial" w:cs="Arial"/>
          <w:bCs/>
          <w:lang w:eastAsia="en-GB"/>
        </w:rPr>
      </w:pPr>
    </w:p>
    <w:p w14:paraId="115B9F4F" w14:textId="77777777" w:rsidR="00655E4C" w:rsidRPr="0007572B" w:rsidRDefault="00655E4C" w:rsidP="00655E4C">
      <w:pPr>
        <w:pStyle w:val="Heading4bold"/>
        <w:rPr>
          <w:lang w:eastAsia="en-GB"/>
        </w:rPr>
      </w:pPr>
      <w:r w:rsidRPr="002555A0">
        <w:rPr>
          <w:lang w:eastAsia="en-GB"/>
        </w:rPr>
        <w:t xml:space="preserve">1.3. Accruals </w:t>
      </w:r>
      <w:r w:rsidRPr="0007572B">
        <w:rPr>
          <w:lang w:eastAsia="en-GB"/>
        </w:rPr>
        <w:t>of Income and Expenditure</w:t>
      </w:r>
    </w:p>
    <w:p w14:paraId="02FB6694"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Activity is accounted for in the year that it takes place, not simply when cash payments are made or received. In particular:</w:t>
      </w:r>
    </w:p>
    <w:p w14:paraId="019AFD2F" w14:textId="77777777" w:rsidR="00655E4C" w:rsidRPr="0007572B" w:rsidRDefault="00655E4C" w:rsidP="00655E4C">
      <w:pPr>
        <w:pStyle w:val="Normal0"/>
        <w:spacing w:line="240" w:lineRule="auto"/>
        <w:rPr>
          <w:rFonts w:ascii="Arial" w:hAnsi="Arial" w:cs="Arial"/>
          <w:bCs/>
          <w:sz w:val="24"/>
          <w:szCs w:val="24"/>
          <w:lang w:eastAsia="en-GB"/>
        </w:rPr>
      </w:pPr>
    </w:p>
    <w:p w14:paraId="31EF9725" w14:textId="77777777" w:rsidR="00655E4C" w:rsidRPr="0007572B" w:rsidRDefault="00655E4C" w:rsidP="00EB27EB">
      <w:pPr>
        <w:pStyle w:val="ListParagraph"/>
        <w:numPr>
          <w:ilvl w:val="0"/>
          <w:numId w:val="18"/>
        </w:numPr>
        <w:spacing w:line="240" w:lineRule="auto"/>
        <w:ind w:left="993" w:hanging="426"/>
        <w:rPr>
          <w:rFonts w:ascii="Arial" w:hAnsi="Arial" w:cs="Arial"/>
          <w:bCs/>
          <w:sz w:val="24"/>
          <w:szCs w:val="24"/>
        </w:rPr>
      </w:pPr>
      <w:r w:rsidRPr="0007572B">
        <w:rPr>
          <w:rFonts w:ascii="Arial" w:hAnsi="Arial" w:cs="Arial"/>
          <w:bCs/>
          <w:sz w:val="24"/>
          <w:szCs w:val="24"/>
        </w:rPr>
        <w:t>Supplies are recorded as expenditure when they are consumed. Where there is a gap between the date supplies are received and their consumption they are carried as inventories on the Balance Sheet;</w:t>
      </w:r>
    </w:p>
    <w:p w14:paraId="4F863137" w14:textId="77777777" w:rsidR="00655E4C" w:rsidRPr="0007572B" w:rsidRDefault="00655E4C" w:rsidP="00EB27EB">
      <w:pPr>
        <w:pStyle w:val="ListParagraph"/>
        <w:numPr>
          <w:ilvl w:val="0"/>
          <w:numId w:val="18"/>
        </w:numPr>
        <w:spacing w:line="240" w:lineRule="auto"/>
        <w:ind w:left="993" w:hanging="426"/>
        <w:rPr>
          <w:rFonts w:ascii="Arial" w:hAnsi="Arial" w:cs="Arial"/>
          <w:bCs/>
          <w:sz w:val="24"/>
          <w:szCs w:val="24"/>
        </w:rPr>
      </w:pPr>
      <w:r w:rsidRPr="0007572B">
        <w:rPr>
          <w:rFonts w:ascii="Arial" w:hAnsi="Arial" w:cs="Arial"/>
          <w:bCs/>
          <w:sz w:val="24"/>
          <w:szCs w:val="24"/>
        </w:rPr>
        <w:t>Expenses relating to services received (including services provided by employees) are recorded as expenditure when the services are received rather than when payments are made;</w:t>
      </w:r>
    </w:p>
    <w:p w14:paraId="6A1ADC50" w14:textId="77777777" w:rsidR="00655E4C" w:rsidRPr="0007572B" w:rsidRDefault="00655E4C" w:rsidP="00EB27EB">
      <w:pPr>
        <w:pStyle w:val="ListParagraph"/>
        <w:numPr>
          <w:ilvl w:val="0"/>
          <w:numId w:val="18"/>
        </w:numPr>
        <w:spacing w:line="240" w:lineRule="auto"/>
        <w:ind w:left="993" w:hanging="426"/>
        <w:rPr>
          <w:rFonts w:ascii="Arial" w:hAnsi="Arial" w:cs="Arial"/>
          <w:bCs/>
          <w:sz w:val="24"/>
          <w:szCs w:val="24"/>
        </w:rPr>
      </w:pPr>
      <w:r w:rsidRPr="0007572B">
        <w:rPr>
          <w:rFonts w:ascii="Arial" w:hAnsi="Arial" w:cs="Arial"/>
          <w:bCs/>
          <w:sz w:val="24"/>
          <w:szCs w:val="24"/>
        </w:rPr>
        <w:lastRenderedPageBreak/>
        <w:t>Interest receivable on investments and payable on borrowings is accounted for respectively as income and expenditure on the basis of the effective interest rate for the relevant financial instrument rather than on the basis of the cash flows fixed or determined by the contract;</w:t>
      </w:r>
    </w:p>
    <w:p w14:paraId="2382DC9B" w14:textId="77777777" w:rsidR="00655E4C" w:rsidRDefault="00655E4C" w:rsidP="00EB27EB">
      <w:pPr>
        <w:pStyle w:val="ListParagraph"/>
        <w:numPr>
          <w:ilvl w:val="0"/>
          <w:numId w:val="18"/>
        </w:numPr>
        <w:spacing w:after="0" w:line="240" w:lineRule="auto"/>
        <w:ind w:left="992" w:hanging="425"/>
        <w:rPr>
          <w:rFonts w:ascii="Arial" w:hAnsi="Arial" w:cs="Arial"/>
          <w:bCs/>
          <w:sz w:val="24"/>
          <w:szCs w:val="24"/>
        </w:rPr>
      </w:pPr>
      <w:r w:rsidRPr="0007572B">
        <w:rPr>
          <w:rFonts w:ascii="Arial" w:hAnsi="Arial" w:cs="Arial"/>
          <w:bCs/>
          <w:sz w:val="24"/>
          <w:szCs w:val="24"/>
        </w:rPr>
        <w:t>Where revenue and expenditure have been recognised but cash has not been received or paid, a debtor or creditor for the relevant amount is recorded in the Balance sheet.</w:t>
      </w:r>
    </w:p>
    <w:p w14:paraId="6E55DD3B" w14:textId="77777777" w:rsidR="00655E4C" w:rsidRPr="0007572B" w:rsidRDefault="00655E4C" w:rsidP="00655E4C">
      <w:pPr>
        <w:pStyle w:val="ListParagraph"/>
        <w:spacing w:after="0" w:line="240" w:lineRule="auto"/>
        <w:ind w:left="992"/>
        <w:rPr>
          <w:rFonts w:ascii="Arial" w:hAnsi="Arial" w:cs="Arial"/>
          <w:bCs/>
          <w:sz w:val="24"/>
          <w:szCs w:val="24"/>
        </w:rPr>
      </w:pPr>
    </w:p>
    <w:p w14:paraId="6F14FFBD" w14:textId="77777777" w:rsidR="00655E4C" w:rsidRPr="0007572B" w:rsidRDefault="00655E4C" w:rsidP="00655E4C">
      <w:pPr>
        <w:pStyle w:val="Heading4bold"/>
        <w:rPr>
          <w:lang w:eastAsia="en-GB"/>
        </w:rPr>
      </w:pPr>
      <w:r w:rsidRPr="0007572B">
        <w:rPr>
          <w:lang w:eastAsia="en-GB"/>
        </w:rPr>
        <w:t>1.4. Cash and Cash Equivalents</w:t>
      </w:r>
    </w:p>
    <w:p w14:paraId="13A3F7AA"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Cash is represented by cash in hand and deposits with financial institutions and local authorities, repayable without penalty on notice of no more than 24 hours. </w:t>
      </w:r>
    </w:p>
    <w:p w14:paraId="1460EDEE" w14:textId="77777777" w:rsidR="00655E4C" w:rsidRPr="0007572B" w:rsidRDefault="00655E4C" w:rsidP="00655E4C">
      <w:pPr>
        <w:pStyle w:val="Normal0"/>
        <w:spacing w:line="240" w:lineRule="auto"/>
        <w:rPr>
          <w:rFonts w:ascii="Arial" w:hAnsi="Arial" w:cs="Arial"/>
          <w:bCs/>
          <w:sz w:val="24"/>
          <w:szCs w:val="24"/>
          <w:lang w:eastAsia="en-GB"/>
        </w:rPr>
      </w:pPr>
    </w:p>
    <w:p w14:paraId="65948DA3"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Cash equivalents are highly liquid investments that mature in no more than three months from the balance sheet date and that are readily convertible to known amounts of cash with insignificant risk of change in value.</w:t>
      </w:r>
    </w:p>
    <w:p w14:paraId="0F0A9FAD" w14:textId="77777777" w:rsidR="00655E4C" w:rsidRPr="0007572B" w:rsidRDefault="00655E4C" w:rsidP="00655E4C">
      <w:pPr>
        <w:pStyle w:val="Normal0"/>
        <w:spacing w:line="240" w:lineRule="auto"/>
        <w:rPr>
          <w:rFonts w:ascii="Arial" w:hAnsi="Arial" w:cs="Arial"/>
          <w:bCs/>
          <w:sz w:val="24"/>
          <w:szCs w:val="24"/>
          <w:lang w:eastAsia="en-GB"/>
        </w:rPr>
      </w:pPr>
    </w:p>
    <w:p w14:paraId="259C742F" w14:textId="77777777" w:rsidR="00655E4C" w:rsidRDefault="00655E4C" w:rsidP="00655E4C">
      <w:pPr>
        <w:rPr>
          <w:rFonts w:ascii="Arial" w:hAnsi="Arial" w:cs="Arial"/>
          <w:bCs/>
          <w:lang w:eastAsia="en-GB"/>
        </w:rPr>
      </w:pPr>
      <w:r w:rsidRPr="0007572B">
        <w:rPr>
          <w:rFonts w:ascii="Arial" w:hAnsi="Arial" w:cs="Arial"/>
          <w:bCs/>
          <w:lang w:eastAsia="en-GB"/>
        </w:rPr>
        <w:t>In the Cash Flow Statement, cash and cash equivalents are shown net of bank overdrafts that are repayable on demand and form an integral part of the Authority’s cash management.</w:t>
      </w:r>
    </w:p>
    <w:p w14:paraId="7E21FBB9" w14:textId="77777777" w:rsidR="00655E4C" w:rsidRPr="0007572B" w:rsidRDefault="00655E4C" w:rsidP="00655E4C">
      <w:pPr>
        <w:rPr>
          <w:rFonts w:ascii="Arial" w:hAnsi="Arial" w:cs="Arial"/>
          <w:bCs/>
          <w:color w:val="000000"/>
          <w:lang w:val="en-US" w:eastAsia="en-GB"/>
        </w:rPr>
      </w:pPr>
    </w:p>
    <w:p w14:paraId="78C2E170" w14:textId="77777777" w:rsidR="00655E4C" w:rsidRPr="0007572B" w:rsidRDefault="00655E4C" w:rsidP="00655E4C">
      <w:pPr>
        <w:pStyle w:val="Heading4bold"/>
        <w:rPr>
          <w:lang w:eastAsia="en-GB"/>
        </w:rPr>
      </w:pPr>
      <w:r w:rsidRPr="0007572B">
        <w:rPr>
          <w:lang w:eastAsia="en-GB"/>
        </w:rPr>
        <w:t>1.5. Prior Period Adjustments, Changes in Accounting Policies and Estimates and Errors</w:t>
      </w:r>
    </w:p>
    <w:p w14:paraId="674F81FE"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Prior period adjustments may arise </w:t>
      </w:r>
      <w:proofErr w:type="gramStart"/>
      <w:r w:rsidRPr="0007572B">
        <w:rPr>
          <w:rFonts w:ascii="Arial" w:hAnsi="Arial" w:cs="Arial"/>
          <w:bCs/>
          <w:sz w:val="24"/>
          <w:szCs w:val="24"/>
          <w:lang w:eastAsia="en-GB"/>
        </w:rPr>
        <w:t>as a result of</w:t>
      </w:r>
      <w:proofErr w:type="gramEnd"/>
      <w:r w:rsidRPr="0007572B">
        <w:rPr>
          <w:rFonts w:ascii="Arial" w:hAnsi="Arial" w:cs="Arial"/>
          <w:bCs/>
          <w:sz w:val="24"/>
          <w:szCs w:val="24"/>
          <w:lang w:eastAsia="en-GB"/>
        </w:rPr>
        <w:t xml:space="preserve"> a change in accounting policies, or to correct a material error. Changes in accounting estimates are accounted for prospectively, in other words, in the current and future years affected by the change and do not give rise to a prior period adjustment.</w:t>
      </w:r>
    </w:p>
    <w:p w14:paraId="703AD44C" w14:textId="77777777" w:rsidR="00655E4C" w:rsidRPr="0007572B" w:rsidRDefault="00655E4C" w:rsidP="00655E4C">
      <w:pPr>
        <w:pStyle w:val="Normal0"/>
        <w:spacing w:line="240" w:lineRule="auto"/>
        <w:rPr>
          <w:rFonts w:ascii="Arial" w:hAnsi="Arial" w:cs="Arial"/>
          <w:bCs/>
          <w:sz w:val="24"/>
          <w:szCs w:val="24"/>
          <w:lang w:eastAsia="en-GB"/>
        </w:rPr>
      </w:pPr>
    </w:p>
    <w:p w14:paraId="1BEF5E73"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Changes in accounting policies are only made when required by proper accounting practices or the change provides more reliable or relevant information about the effect of transactions, other events and conditions on the Authority’s financial position or financial performance. </w:t>
      </w:r>
    </w:p>
    <w:p w14:paraId="4907188D" w14:textId="77777777" w:rsidR="00655E4C" w:rsidRPr="0007572B" w:rsidRDefault="00655E4C" w:rsidP="00655E4C">
      <w:pPr>
        <w:pStyle w:val="Normal0"/>
        <w:spacing w:line="240" w:lineRule="auto"/>
        <w:rPr>
          <w:rFonts w:ascii="Arial" w:hAnsi="Arial" w:cs="Arial"/>
          <w:bCs/>
          <w:sz w:val="24"/>
          <w:szCs w:val="24"/>
          <w:lang w:eastAsia="en-GB"/>
        </w:rPr>
      </w:pPr>
    </w:p>
    <w:p w14:paraId="3045AA99" w14:textId="77777777" w:rsidR="00655E4C" w:rsidRPr="0007572B" w:rsidRDefault="00655E4C" w:rsidP="00655E4C">
      <w:pPr>
        <w:rPr>
          <w:rFonts w:ascii="Arial" w:hAnsi="Arial" w:cs="Arial"/>
          <w:bCs/>
          <w:color w:val="000000"/>
          <w:lang w:val="en-US" w:eastAsia="en-GB"/>
        </w:rPr>
      </w:pPr>
      <w:r w:rsidRPr="0007572B">
        <w:rPr>
          <w:rFonts w:ascii="Arial" w:hAnsi="Arial" w:cs="Arial"/>
          <w:bCs/>
          <w:lang w:eastAsia="en-GB"/>
        </w:rPr>
        <w:t>Where a change is made, it is applied retrospectively (unless stated otherwise) by adjusting opening balances and comparative amounts for the prior period as if the new policy had always been applied. If material errors are discovered in a prior period, figures are corrected retrospectively, by amending opening balances and comparative amounts for the prior period.</w:t>
      </w:r>
    </w:p>
    <w:p w14:paraId="7BAE6D18" w14:textId="77777777" w:rsidR="00655E4C" w:rsidRDefault="00655E4C" w:rsidP="00655E4C">
      <w:pPr>
        <w:pStyle w:val="Heading4bold"/>
        <w:rPr>
          <w:lang w:eastAsia="en-GB"/>
        </w:rPr>
      </w:pPr>
    </w:p>
    <w:p w14:paraId="6D9C36CA" w14:textId="77777777" w:rsidR="00655E4C" w:rsidRPr="0007572B" w:rsidRDefault="00655E4C" w:rsidP="00655E4C">
      <w:pPr>
        <w:pStyle w:val="Heading4bold"/>
        <w:rPr>
          <w:lang w:eastAsia="en-GB"/>
        </w:rPr>
      </w:pPr>
      <w:r w:rsidRPr="0007572B">
        <w:rPr>
          <w:lang w:eastAsia="en-GB"/>
        </w:rPr>
        <w:t>1.6. Charges to Revenue for Non-Current Assets</w:t>
      </w:r>
    </w:p>
    <w:p w14:paraId="1CEED401"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The Comprehensive Income and Expenditure Statement is debited with the following amounts to record the cost of holding non-current assets during the year:</w:t>
      </w:r>
    </w:p>
    <w:p w14:paraId="1147DE24" w14:textId="77777777" w:rsidR="00655E4C" w:rsidRPr="0007572B" w:rsidRDefault="00655E4C" w:rsidP="00655E4C">
      <w:pPr>
        <w:pStyle w:val="Normal0"/>
        <w:spacing w:line="240" w:lineRule="auto"/>
        <w:rPr>
          <w:rFonts w:ascii="Arial" w:hAnsi="Arial" w:cs="Arial"/>
          <w:bCs/>
          <w:sz w:val="24"/>
          <w:szCs w:val="24"/>
          <w:lang w:eastAsia="en-GB"/>
        </w:rPr>
      </w:pPr>
    </w:p>
    <w:p w14:paraId="0D21D243" w14:textId="77777777" w:rsidR="00655E4C" w:rsidRPr="0007572B" w:rsidRDefault="00655E4C" w:rsidP="00EB27EB">
      <w:pPr>
        <w:pStyle w:val="ListParagraph"/>
        <w:numPr>
          <w:ilvl w:val="0"/>
          <w:numId w:val="19"/>
        </w:numPr>
        <w:spacing w:line="240" w:lineRule="auto"/>
        <w:ind w:hanging="513"/>
        <w:rPr>
          <w:rFonts w:ascii="Arial" w:hAnsi="Arial" w:cs="Arial"/>
          <w:bCs/>
          <w:sz w:val="24"/>
          <w:szCs w:val="24"/>
        </w:rPr>
      </w:pPr>
      <w:r w:rsidRPr="0007572B">
        <w:rPr>
          <w:rFonts w:ascii="Arial" w:hAnsi="Arial" w:cs="Arial"/>
          <w:bCs/>
          <w:sz w:val="24"/>
          <w:szCs w:val="24"/>
        </w:rPr>
        <w:t>Depreciation attributable to the assets used by the relevant service;</w:t>
      </w:r>
    </w:p>
    <w:p w14:paraId="658C1D3E" w14:textId="77777777" w:rsidR="00655E4C" w:rsidRPr="0007572B" w:rsidRDefault="00655E4C" w:rsidP="00EB27EB">
      <w:pPr>
        <w:pStyle w:val="ListParagraph"/>
        <w:numPr>
          <w:ilvl w:val="0"/>
          <w:numId w:val="19"/>
        </w:numPr>
        <w:spacing w:line="240" w:lineRule="auto"/>
        <w:ind w:hanging="513"/>
        <w:rPr>
          <w:rFonts w:ascii="Arial" w:hAnsi="Arial" w:cs="Arial"/>
          <w:bCs/>
          <w:sz w:val="24"/>
          <w:szCs w:val="24"/>
        </w:rPr>
      </w:pPr>
      <w:r w:rsidRPr="0007572B">
        <w:rPr>
          <w:rFonts w:ascii="Arial" w:hAnsi="Arial" w:cs="Arial"/>
          <w:bCs/>
          <w:sz w:val="24"/>
          <w:szCs w:val="24"/>
        </w:rPr>
        <w:t>Revaluation and impairment losses on assets used by the service where there are no accumulated gains in the Revaluation Reserve against which the losses can be written off;</w:t>
      </w:r>
    </w:p>
    <w:p w14:paraId="4B4AC99C" w14:textId="77777777" w:rsidR="00655E4C" w:rsidRPr="0007572B" w:rsidRDefault="00655E4C" w:rsidP="00EB27EB">
      <w:pPr>
        <w:pStyle w:val="ListParagraph"/>
        <w:numPr>
          <w:ilvl w:val="0"/>
          <w:numId w:val="19"/>
        </w:numPr>
        <w:spacing w:line="240" w:lineRule="auto"/>
        <w:ind w:hanging="513"/>
        <w:rPr>
          <w:rFonts w:ascii="Arial" w:hAnsi="Arial" w:cs="Arial"/>
          <w:bCs/>
          <w:sz w:val="24"/>
          <w:szCs w:val="24"/>
        </w:rPr>
      </w:pPr>
      <w:r w:rsidRPr="0007572B">
        <w:rPr>
          <w:rFonts w:ascii="Arial" w:hAnsi="Arial" w:cs="Arial"/>
          <w:bCs/>
          <w:sz w:val="24"/>
          <w:szCs w:val="24"/>
        </w:rPr>
        <w:t>Amortisation of intangible non-current assets attributable to the service.</w:t>
      </w:r>
    </w:p>
    <w:p w14:paraId="248944AD" w14:textId="77777777" w:rsidR="00655E4C" w:rsidRPr="00042AAC"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lastRenderedPageBreak/>
        <w:t xml:space="preserve">The Authority is not required to raise precepts, levies or GM authority contributions to fund depreciation, revaluation and impairment losses or amortisations. </w:t>
      </w:r>
      <w:r w:rsidRPr="00042AAC">
        <w:rPr>
          <w:rFonts w:ascii="Arial" w:hAnsi="Arial" w:cs="Arial"/>
          <w:bCs/>
          <w:sz w:val="24"/>
          <w:szCs w:val="24"/>
          <w:lang w:eastAsia="en-GB"/>
        </w:rPr>
        <w:t xml:space="preserve">However, it is required to make an annual contribution from revenue towards the reduction in its overall borrowing requirement equal to a minimum revenue provision (MRP) amount calculated on a prudent basis determined by the Authority in accordance with statutory guidance. </w:t>
      </w:r>
    </w:p>
    <w:p w14:paraId="411C62DC" w14:textId="77777777" w:rsidR="00655E4C" w:rsidRPr="00042AAC" w:rsidRDefault="00655E4C" w:rsidP="00655E4C">
      <w:pPr>
        <w:pStyle w:val="Normal0"/>
        <w:spacing w:line="240" w:lineRule="auto"/>
        <w:rPr>
          <w:rFonts w:ascii="Arial" w:hAnsi="Arial" w:cs="Arial"/>
          <w:bCs/>
          <w:sz w:val="24"/>
          <w:szCs w:val="24"/>
          <w:lang w:eastAsia="en-GB"/>
        </w:rPr>
      </w:pPr>
    </w:p>
    <w:p w14:paraId="79096CBB" w14:textId="77777777" w:rsidR="00655E4C" w:rsidRDefault="00655E4C" w:rsidP="00655E4C">
      <w:pPr>
        <w:rPr>
          <w:rFonts w:ascii="Arial" w:hAnsi="Arial" w:cs="Arial"/>
          <w:bCs/>
          <w:lang w:eastAsia="en-GB"/>
        </w:rPr>
      </w:pPr>
      <w:r w:rsidRPr="00042AAC">
        <w:rPr>
          <w:rFonts w:ascii="Arial" w:hAnsi="Arial" w:cs="Arial"/>
          <w:bCs/>
          <w:lang w:eastAsia="en-GB"/>
        </w:rPr>
        <w:t>Depreciation, revaluation and impairment losses and amortisations are therefore replaced by the MRP contribution in the General Fund Balance, by way of an adjusting transaction with the Capital Adjustment Account in the Movement in Reserves Statement for the difference between the two.</w:t>
      </w:r>
    </w:p>
    <w:p w14:paraId="799D47D4" w14:textId="77777777" w:rsidR="00655E4C" w:rsidRPr="0007572B" w:rsidRDefault="00655E4C" w:rsidP="00655E4C">
      <w:pPr>
        <w:rPr>
          <w:rFonts w:ascii="Arial" w:hAnsi="Arial" w:cs="Arial"/>
          <w:bCs/>
          <w:color w:val="000000"/>
          <w:lang w:val="en-US" w:eastAsia="en-GB"/>
        </w:rPr>
      </w:pPr>
    </w:p>
    <w:p w14:paraId="21D980A3" w14:textId="77777777" w:rsidR="00655E4C" w:rsidRPr="0007572B" w:rsidRDefault="00655E4C" w:rsidP="00655E4C">
      <w:pPr>
        <w:pStyle w:val="Heading4bold"/>
        <w:rPr>
          <w:lang w:eastAsia="en-GB"/>
        </w:rPr>
      </w:pPr>
      <w:r w:rsidRPr="0007572B">
        <w:rPr>
          <w:color w:val="000000"/>
          <w:lang w:eastAsia="en-GB"/>
        </w:rPr>
        <w:t>1.7. T</w:t>
      </w:r>
      <w:r w:rsidRPr="0007572B">
        <w:rPr>
          <w:lang w:eastAsia="en-GB"/>
        </w:rPr>
        <w:t>ermination Benefits</w:t>
      </w:r>
    </w:p>
    <w:p w14:paraId="3028A0FE"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Termination benefits are amounts payable, as a result of a decision by the Authority, to terminate an Officer’s employment or an Officer’s decision to accept voluntary redundancy in exchange for those benefits and are charged on an accruals basis to the appropriate service in the Comprehensive Income and Expenditure Statement when the Authority is demonstrably committed to the termination of the employment of an Officer or group of Officers or making an offer to encourage voluntary redundancy. </w:t>
      </w:r>
    </w:p>
    <w:p w14:paraId="21B4F775" w14:textId="77777777" w:rsidR="00655E4C" w:rsidRPr="0007572B" w:rsidRDefault="00655E4C" w:rsidP="00655E4C">
      <w:pPr>
        <w:pStyle w:val="Normal0"/>
        <w:spacing w:line="240" w:lineRule="auto"/>
        <w:rPr>
          <w:rFonts w:ascii="Arial" w:hAnsi="Arial" w:cs="Arial"/>
          <w:bCs/>
          <w:sz w:val="24"/>
          <w:szCs w:val="24"/>
          <w:lang w:eastAsia="en-GB"/>
        </w:rPr>
      </w:pPr>
    </w:p>
    <w:p w14:paraId="36860C69" w14:textId="77777777" w:rsidR="00655E4C" w:rsidRDefault="00655E4C" w:rsidP="00655E4C">
      <w:pPr>
        <w:rPr>
          <w:rFonts w:ascii="Arial" w:hAnsi="Arial" w:cs="Arial"/>
          <w:bCs/>
          <w:lang w:eastAsia="en-GB"/>
        </w:rPr>
      </w:pPr>
      <w:r w:rsidRPr="0007572B">
        <w:rPr>
          <w:rFonts w:ascii="Arial" w:hAnsi="Arial" w:cs="Arial"/>
          <w:bCs/>
          <w:lang w:eastAsia="en-GB"/>
        </w:rPr>
        <w:t>Where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made to and from the Pensions Reserve to remove the notional debits and credits for pension enhancement termination benefits and replace them with debits for the cash paid to the pension fund and pensioners and any such amounts payable but unpaid at the year-end.</w:t>
      </w:r>
    </w:p>
    <w:p w14:paraId="4F96E7DE" w14:textId="77777777" w:rsidR="00655E4C" w:rsidRPr="0007572B" w:rsidRDefault="00655E4C" w:rsidP="00655E4C">
      <w:pPr>
        <w:rPr>
          <w:rFonts w:ascii="Arial" w:hAnsi="Arial" w:cs="Arial"/>
          <w:bCs/>
          <w:color w:val="000000"/>
          <w:lang w:val="en-US" w:eastAsia="en-GB"/>
        </w:rPr>
      </w:pPr>
    </w:p>
    <w:p w14:paraId="6B4A13AD" w14:textId="77777777" w:rsidR="00655E4C" w:rsidRPr="0007572B" w:rsidRDefault="00655E4C" w:rsidP="00655E4C">
      <w:pPr>
        <w:pStyle w:val="Heading4bold"/>
        <w:rPr>
          <w:lang w:eastAsia="en-GB"/>
        </w:rPr>
      </w:pPr>
      <w:r w:rsidRPr="0007572B">
        <w:rPr>
          <w:lang w:eastAsia="en-GB"/>
        </w:rPr>
        <w:t>1.8. Post-Employment Benefits – Pensions</w:t>
      </w:r>
    </w:p>
    <w:p w14:paraId="13E1C07F"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Employees of the Authority are divided between two separate pension schemes: The Firefighters’ Pension Scheme for its uniformed firefighters and the Local Government Pension Scheme for all other staff.</w:t>
      </w:r>
    </w:p>
    <w:p w14:paraId="56A28A4C" w14:textId="77777777" w:rsidR="00655E4C" w:rsidRPr="0007572B" w:rsidRDefault="00655E4C" w:rsidP="00655E4C">
      <w:pPr>
        <w:pStyle w:val="Normal0"/>
        <w:spacing w:line="240" w:lineRule="auto"/>
        <w:rPr>
          <w:rFonts w:ascii="Arial" w:hAnsi="Arial" w:cs="Arial"/>
          <w:bCs/>
          <w:sz w:val="24"/>
          <w:szCs w:val="24"/>
          <w:lang w:eastAsia="en-GB"/>
        </w:rPr>
      </w:pPr>
    </w:p>
    <w:p w14:paraId="34A06E5C" w14:textId="77777777" w:rsidR="00655E4C" w:rsidRDefault="00655E4C" w:rsidP="00655E4C">
      <w:pPr>
        <w:rPr>
          <w:rFonts w:ascii="Arial" w:hAnsi="Arial" w:cs="Arial"/>
          <w:bCs/>
          <w:lang w:eastAsia="en-GB"/>
        </w:rPr>
      </w:pPr>
      <w:r w:rsidRPr="0007572B">
        <w:rPr>
          <w:rFonts w:ascii="Arial" w:hAnsi="Arial" w:cs="Arial"/>
          <w:bCs/>
          <w:lang w:eastAsia="en-GB"/>
        </w:rPr>
        <w:t xml:space="preserve">In accordance with proper practices the Authority has fully complied with the International </w:t>
      </w:r>
      <w:r>
        <w:rPr>
          <w:rFonts w:ascii="Arial" w:hAnsi="Arial" w:cs="Arial"/>
          <w:bCs/>
          <w:lang w:eastAsia="en-GB"/>
        </w:rPr>
        <w:t>Accounting</w:t>
      </w:r>
      <w:r w:rsidRPr="0007572B">
        <w:rPr>
          <w:rFonts w:ascii="Arial" w:hAnsi="Arial" w:cs="Arial"/>
          <w:bCs/>
          <w:lang w:eastAsia="en-GB"/>
        </w:rPr>
        <w:t xml:space="preserve"> Standard IAS19 (Employee Benefits). All Pension schemes are classified as ‘defined benefit’ schemes under IAS19 and the accounting principles and their effect on the financial statements are explained below.</w:t>
      </w:r>
    </w:p>
    <w:p w14:paraId="09B696B8" w14:textId="77777777" w:rsidR="00655E4C" w:rsidRPr="0007572B" w:rsidRDefault="00655E4C" w:rsidP="00655E4C">
      <w:pPr>
        <w:rPr>
          <w:rFonts w:ascii="Arial" w:hAnsi="Arial" w:cs="Arial"/>
          <w:bCs/>
          <w:color w:val="000000"/>
          <w:lang w:val="en-US" w:eastAsia="en-GB"/>
        </w:rPr>
      </w:pPr>
    </w:p>
    <w:p w14:paraId="3CC0B569" w14:textId="77777777" w:rsidR="00655E4C" w:rsidRDefault="00655E4C" w:rsidP="00655E4C">
      <w:pPr>
        <w:pStyle w:val="Heading5"/>
        <w:rPr>
          <w:lang w:eastAsia="en-GB"/>
        </w:rPr>
      </w:pPr>
      <w:r w:rsidRPr="0007572B">
        <w:rPr>
          <w:lang w:eastAsia="en-GB"/>
        </w:rPr>
        <w:t>1.8.1. The Firefighters’ Pension Scheme</w:t>
      </w:r>
    </w:p>
    <w:p w14:paraId="47FC4932" w14:textId="77777777" w:rsidR="00655E4C" w:rsidRPr="004D2865" w:rsidRDefault="00655E4C" w:rsidP="00655E4C">
      <w:pPr>
        <w:rPr>
          <w:lang w:eastAsia="en-GB"/>
        </w:rPr>
      </w:pPr>
    </w:p>
    <w:p w14:paraId="3490EB04" w14:textId="77777777" w:rsidR="00655E4C" w:rsidRPr="0007572B" w:rsidRDefault="00655E4C" w:rsidP="00655E4C">
      <w:pPr>
        <w:spacing w:after="120"/>
        <w:rPr>
          <w:rFonts w:ascii="Arial" w:hAnsi="Arial" w:cs="Arial"/>
          <w:szCs w:val="28"/>
        </w:rPr>
      </w:pPr>
      <w:r w:rsidRPr="0007572B">
        <w:rPr>
          <w:rFonts w:ascii="Arial" w:hAnsi="Arial" w:cs="Arial"/>
          <w:szCs w:val="28"/>
        </w:rPr>
        <w:t>This is a defined benefit scheme, the rules of which are set out in the Firefighters’ Pension Regulations. The scheme is wholly unfunded. No investment assets have been built up to meet liabilities and cash ha</w:t>
      </w:r>
      <w:r>
        <w:rPr>
          <w:rFonts w:ascii="Arial" w:hAnsi="Arial" w:cs="Arial"/>
          <w:szCs w:val="28"/>
        </w:rPr>
        <w:t>s</w:t>
      </w:r>
      <w:r w:rsidRPr="0007572B">
        <w:rPr>
          <w:rFonts w:ascii="Arial" w:hAnsi="Arial" w:cs="Arial"/>
          <w:szCs w:val="28"/>
        </w:rPr>
        <w:t xml:space="preserve"> to be generated from employee and employer contributions to meet actual pension payments as they fall due.</w:t>
      </w:r>
    </w:p>
    <w:p w14:paraId="3694C8DA" w14:textId="77777777" w:rsidR="00655E4C" w:rsidRPr="0007572B" w:rsidRDefault="00655E4C" w:rsidP="00655E4C">
      <w:pPr>
        <w:spacing w:after="120"/>
        <w:rPr>
          <w:rFonts w:ascii="Arial" w:hAnsi="Arial" w:cs="Arial"/>
          <w:szCs w:val="28"/>
        </w:rPr>
      </w:pPr>
      <w:r w:rsidRPr="0007572B">
        <w:rPr>
          <w:rFonts w:ascii="Arial" w:hAnsi="Arial" w:cs="Arial"/>
          <w:szCs w:val="28"/>
        </w:rPr>
        <w:t>The Combined Authority as an employer, and firefighters as members, pay pension contribution</w:t>
      </w:r>
      <w:r>
        <w:rPr>
          <w:rFonts w:ascii="Arial" w:hAnsi="Arial" w:cs="Arial"/>
          <w:szCs w:val="28"/>
        </w:rPr>
        <w:t>s</w:t>
      </w:r>
      <w:r w:rsidRPr="0007572B">
        <w:rPr>
          <w:rFonts w:ascii="Arial" w:hAnsi="Arial" w:cs="Arial"/>
          <w:szCs w:val="28"/>
        </w:rPr>
        <w:t xml:space="preserve"> based on a percentage of pensionable pay into the Firefighters’ Pension Fund Account. Pension benefits are paid out of the Pension Fund Account.</w:t>
      </w:r>
    </w:p>
    <w:p w14:paraId="04EA2938" w14:textId="77777777" w:rsidR="00655E4C" w:rsidRPr="0007572B" w:rsidRDefault="00655E4C" w:rsidP="00655E4C">
      <w:pPr>
        <w:spacing w:after="120"/>
        <w:rPr>
          <w:rFonts w:ascii="Arial" w:hAnsi="Arial" w:cs="Arial"/>
          <w:szCs w:val="28"/>
        </w:rPr>
      </w:pPr>
      <w:r w:rsidRPr="0007572B">
        <w:rPr>
          <w:rFonts w:ascii="Arial" w:hAnsi="Arial" w:cs="Arial"/>
          <w:szCs w:val="28"/>
        </w:rPr>
        <w:lastRenderedPageBreak/>
        <w:t>The amounts payable into and out of the Pension Fund Account are specified by regulations. Any surplus or deficit on the Pension Fund Account must be transferred to or from the Authority and ultimately repaid to or received from the Home Office.</w:t>
      </w:r>
    </w:p>
    <w:p w14:paraId="263BEA8A" w14:textId="77777777" w:rsidR="00655E4C" w:rsidRPr="0007572B" w:rsidRDefault="00655E4C" w:rsidP="00655E4C">
      <w:pPr>
        <w:spacing w:after="120"/>
        <w:rPr>
          <w:rFonts w:ascii="Arial" w:hAnsi="Arial" w:cs="Arial"/>
        </w:rPr>
      </w:pPr>
      <w:r w:rsidRPr="0007572B">
        <w:rPr>
          <w:rFonts w:ascii="Arial" w:hAnsi="Arial" w:cs="Arial"/>
        </w:rPr>
        <w:t>Injury awards are not part of the pension scheme and are charged directly to the Comprehensive Income and Expenditure Statement. However, liabilities in respect of injury awards are disclosed as part of the overall pensions liability.</w:t>
      </w:r>
    </w:p>
    <w:p w14:paraId="63A17584" w14:textId="77777777" w:rsidR="00655E4C" w:rsidRDefault="00655E4C" w:rsidP="00655E4C">
      <w:pPr>
        <w:rPr>
          <w:rFonts w:ascii="Arial" w:hAnsi="Arial" w:cs="Arial"/>
        </w:rPr>
      </w:pPr>
      <w:r w:rsidRPr="0007572B">
        <w:rPr>
          <w:rFonts w:ascii="Arial" w:hAnsi="Arial" w:cs="Arial"/>
        </w:rPr>
        <w:t>Other than references to assets, these schemes are accounted for in the same way as the Local Government Pension Scheme set out below.</w:t>
      </w:r>
    </w:p>
    <w:p w14:paraId="44262A6F" w14:textId="77777777" w:rsidR="00655E4C" w:rsidRPr="0007572B" w:rsidRDefault="00655E4C" w:rsidP="00655E4C">
      <w:pPr>
        <w:rPr>
          <w:rFonts w:ascii="Arial" w:hAnsi="Arial" w:cs="Arial"/>
        </w:rPr>
      </w:pPr>
    </w:p>
    <w:p w14:paraId="0736CA3B" w14:textId="77777777" w:rsidR="00655E4C" w:rsidRDefault="00655E4C" w:rsidP="00655E4C">
      <w:pPr>
        <w:pStyle w:val="Heading5"/>
        <w:rPr>
          <w:lang w:eastAsia="en-GB"/>
        </w:rPr>
      </w:pPr>
      <w:r w:rsidRPr="0007572B">
        <w:rPr>
          <w:lang w:eastAsia="en-GB"/>
        </w:rPr>
        <w:t>1.8.2. Local Government Pension Scheme</w:t>
      </w:r>
    </w:p>
    <w:p w14:paraId="5BF8EE1B" w14:textId="77777777" w:rsidR="00655E4C" w:rsidRPr="004D2865" w:rsidRDefault="00655E4C" w:rsidP="00655E4C">
      <w:pPr>
        <w:rPr>
          <w:lang w:eastAsia="en-GB"/>
        </w:rPr>
      </w:pPr>
    </w:p>
    <w:p w14:paraId="77D3763E" w14:textId="13069676" w:rsidR="00655E4C" w:rsidRPr="0007572B" w:rsidRDefault="00655E4C" w:rsidP="00655E4C">
      <w:pPr>
        <w:rPr>
          <w:rFonts w:ascii="Arial" w:hAnsi="Arial" w:cs="Arial"/>
        </w:rPr>
      </w:pPr>
      <w:r w:rsidRPr="0007572B">
        <w:rPr>
          <w:rFonts w:ascii="Arial" w:hAnsi="Arial" w:cs="Arial"/>
        </w:rPr>
        <w:t>The Local Government Pension Scheme is a defined benefits scheme. Both employer and employees pay pension contributions based on a percentage of pensionable pay into the scheme.</w:t>
      </w:r>
    </w:p>
    <w:p w14:paraId="066C3312" w14:textId="77777777" w:rsidR="00655E4C" w:rsidRPr="0007572B" w:rsidRDefault="00655E4C" w:rsidP="00655E4C">
      <w:pPr>
        <w:pStyle w:val="Default"/>
      </w:pPr>
    </w:p>
    <w:p w14:paraId="7FEFE777" w14:textId="3FED6338" w:rsidR="00655E4C" w:rsidRPr="0007572B" w:rsidRDefault="00655E4C" w:rsidP="00EB27EB">
      <w:pPr>
        <w:pStyle w:val="Default"/>
        <w:numPr>
          <w:ilvl w:val="0"/>
          <w:numId w:val="45"/>
        </w:numPr>
        <w:spacing w:after="86"/>
        <w:rPr>
          <w:color w:val="auto"/>
        </w:rPr>
      </w:pPr>
      <w:r w:rsidRPr="0007572B">
        <w:rPr>
          <w:color w:val="auto"/>
        </w:rPr>
        <w:t>The liabilities of the Greater Manchester Pension Fund</w:t>
      </w:r>
      <w:r w:rsidR="00CA750E">
        <w:rPr>
          <w:color w:val="auto"/>
        </w:rPr>
        <w:t xml:space="preserve"> (GMPF)</w:t>
      </w:r>
      <w:r w:rsidRPr="0007572B">
        <w:rPr>
          <w:color w:val="auto"/>
        </w:rPr>
        <w:t xml:space="preserve"> attributable to the authority are included in the balance sheet on an actuarial basis using the projected unit credit method – i.e. an assessment of the future payments that will be made in relation to retirement benefits earned to date by employees, based on assumptions about mortality rates, employee turnover rates, etc. and projected earnings for current employees</w:t>
      </w:r>
    </w:p>
    <w:p w14:paraId="318FCDB2" w14:textId="77777777" w:rsidR="00655E4C" w:rsidRPr="0007572B" w:rsidRDefault="00655E4C" w:rsidP="00EB27EB">
      <w:pPr>
        <w:pStyle w:val="Default"/>
        <w:numPr>
          <w:ilvl w:val="0"/>
          <w:numId w:val="45"/>
        </w:numPr>
        <w:spacing w:after="86"/>
        <w:rPr>
          <w:color w:val="auto"/>
        </w:rPr>
      </w:pPr>
      <w:r w:rsidRPr="0007572B">
        <w:rPr>
          <w:color w:val="auto"/>
        </w:rPr>
        <w:t>Liabilities are discounted to their value at current prices, using a discount rate based on the rate of return on high quality corporate bonds constructed on the constituents of the iBoxx AA corporate bond index. The discount rate reflects the weighted average duration of the benefit obligation</w:t>
      </w:r>
    </w:p>
    <w:p w14:paraId="74D2FD1A" w14:textId="7EC6E00A" w:rsidR="00655E4C" w:rsidRPr="0007572B" w:rsidRDefault="00655E4C" w:rsidP="00EB27EB">
      <w:pPr>
        <w:pStyle w:val="Default"/>
        <w:numPr>
          <w:ilvl w:val="0"/>
          <w:numId w:val="45"/>
        </w:numPr>
        <w:spacing w:after="86"/>
        <w:rPr>
          <w:color w:val="auto"/>
        </w:rPr>
      </w:pPr>
      <w:r w:rsidRPr="0007572B">
        <w:rPr>
          <w:color w:val="auto"/>
        </w:rPr>
        <w:t xml:space="preserve">The assets of </w:t>
      </w:r>
      <w:r w:rsidR="00CA750E">
        <w:rPr>
          <w:color w:val="auto"/>
        </w:rPr>
        <w:t>GMPF</w:t>
      </w:r>
      <w:r w:rsidRPr="0007572B">
        <w:rPr>
          <w:color w:val="auto"/>
        </w:rPr>
        <w:t xml:space="preserve"> attributable to the authority are included in the balance sheet at their fair value: </w:t>
      </w:r>
    </w:p>
    <w:p w14:paraId="5D44CDAC" w14:textId="77777777" w:rsidR="00655E4C" w:rsidRPr="0007572B" w:rsidRDefault="00655E4C" w:rsidP="00EB27EB">
      <w:pPr>
        <w:pStyle w:val="Default"/>
        <w:numPr>
          <w:ilvl w:val="0"/>
          <w:numId w:val="46"/>
        </w:numPr>
        <w:spacing w:after="86"/>
        <w:rPr>
          <w:color w:val="auto"/>
        </w:rPr>
      </w:pPr>
      <w:r w:rsidRPr="0007572B">
        <w:rPr>
          <w:color w:val="auto"/>
        </w:rPr>
        <w:t xml:space="preserve">quoted securities – current bid price </w:t>
      </w:r>
    </w:p>
    <w:p w14:paraId="339329CF" w14:textId="77777777" w:rsidR="00655E4C" w:rsidRPr="0007572B" w:rsidRDefault="00655E4C" w:rsidP="00EB27EB">
      <w:pPr>
        <w:pStyle w:val="Default"/>
        <w:numPr>
          <w:ilvl w:val="0"/>
          <w:numId w:val="46"/>
        </w:numPr>
        <w:spacing w:after="86"/>
        <w:rPr>
          <w:color w:val="auto"/>
        </w:rPr>
      </w:pPr>
      <w:r w:rsidRPr="0007572B">
        <w:rPr>
          <w:color w:val="auto"/>
        </w:rPr>
        <w:t xml:space="preserve">unquoted securities – professional estimate </w:t>
      </w:r>
    </w:p>
    <w:p w14:paraId="2FB7BA60" w14:textId="77777777" w:rsidR="00655E4C" w:rsidRPr="0007572B" w:rsidRDefault="00655E4C" w:rsidP="00EB27EB">
      <w:pPr>
        <w:pStyle w:val="Default"/>
        <w:numPr>
          <w:ilvl w:val="0"/>
          <w:numId w:val="46"/>
        </w:numPr>
        <w:spacing w:after="86"/>
        <w:rPr>
          <w:color w:val="auto"/>
        </w:rPr>
      </w:pPr>
      <w:r w:rsidRPr="0007572B">
        <w:rPr>
          <w:color w:val="auto"/>
        </w:rPr>
        <w:t xml:space="preserve">unitised securities – current bid price </w:t>
      </w:r>
    </w:p>
    <w:p w14:paraId="3675B5FD" w14:textId="77777777" w:rsidR="00655E4C" w:rsidRDefault="00655E4C" w:rsidP="00EB27EB">
      <w:pPr>
        <w:pStyle w:val="Default"/>
        <w:numPr>
          <w:ilvl w:val="0"/>
          <w:numId w:val="46"/>
        </w:numPr>
        <w:spacing w:after="86"/>
        <w:rPr>
          <w:color w:val="auto"/>
        </w:rPr>
      </w:pPr>
      <w:r w:rsidRPr="0007572B">
        <w:rPr>
          <w:color w:val="auto"/>
        </w:rPr>
        <w:t xml:space="preserve">property – market value. </w:t>
      </w:r>
    </w:p>
    <w:p w14:paraId="5CD37ED4" w14:textId="77777777" w:rsidR="00655E4C" w:rsidRPr="0007572B" w:rsidRDefault="00655E4C" w:rsidP="00655E4C">
      <w:pPr>
        <w:pStyle w:val="Default"/>
        <w:spacing w:after="86"/>
        <w:ind w:left="1080"/>
        <w:rPr>
          <w:color w:val="auto"/>
        </w:rPr>
      </w:pPr>
    </w:p>
    <w:p w14:paraId="38B575A4" w14:textId="77777777" w:rsidR="00655E4C" w:rsidRDefault="00655E4C" w:rsidP="00655E4C">
      <w:pPr>
        <w:pStyle w:val="Heading5"/>
      </w:pPr>
      <w:r w:rsidRPr="0007572B">
        <w:t>1.8.3. Net Pensions Liability</w:t>
      </w:r>
    </w:p>
    <w:p w14:paraId="246EDA43" w14:textId="77777777" w:rsidR="00655E4C" w:rsidRPr="004D2865" w:rsidRDefault="00655E4C" w:rsidP="00655E4C"/>
    <w:p w14:paraId="4BB81355" w14:textId="77777777" w:rsidR="00655E4C" w:rsidRPr="0007572B" w:rsidRDefault="00655E4C" w:rsidP="00655E4C">
      <w:pPr>
        <w:rPr>
          <w:rFonts w:ascii="Arial" w:hAnsi="Arial" w:cs="Arial"/>
        </w:rPr>
      </w:pPr>
      <w:r w:rsidRPr="0007572B">
        <w:rPr>
          <w:rFonts w:ascii="Arial" w:hAnsi="Arial" w:cs="Arial"/>
        </w:rPr>
        <w:t>The change in the net pensions liability is analysed into the following components:</w:t>
      </w:r>
    </w:p>
    <w:p w14:paraId="6FCA794B" w14:textId="77777777" w:rsidR="00655E4C" w:rsidRPr="0007572B" w:rsidRDefault="00655E4C" w:rsidP="00655E4C">
      <w:pPr>
        <w:rPr>
          <w:rFonts w:ascii="Arial" w:hAnsi="Arial" w:cs="Arial"/>
        </w:rPr>
      </w:pPr>
    </w:p>
    <w:p w14:paraId="459C3525" w14:textId="77777777" w:rsidR="00655E4C" w:rsidRDefault="00655E4C" w:rsidP="00655E4C">
      <w:pPr>
        <w:pStyle w:val="Heading6"/>
      </w:pPr>
      <w:r w:rsidRPr="00924E51">
        <w:t>1.8.3.1. Service cost comprising:</w:t>
      </w:r>
    </w:p>
    <w:p w14:paraId="14AFB2DF" w14:textId="77777777" w:rsidR="00655E4C" w:rsidRPr="004D2865" w:rsidRDefault="00655E4C" w:rsidP="00655E4C"/>
    <w:p w14:paraId="336DD41A" w14:textId="77777777" w:rsidR="00655E4C" w:rsidRPr="0007572B" w:rsidRDefault="00655E4C" w:rsidP="00EB27EB">
      <w:pPr>
        <w:pStyle w:val="Default"/>
        <w:numPr>
          <w:ilvl w:val="0"/>
          <w:numId w:val="45"/>
        </w:numPr>
        <w:spacing w:after="86"/>
        <w:ind w:left="567" w:hanging="207"/>
      </w:pPr>
      <w:r w:rsidRPr="0007572B">
        <w:t xml:space="preserve">Current service cost – the increase in liabilities as a result of years of service earned this year, allocated in the comprehensive income and expenditure statement to the services for which the employees worked; </w:t>
      </w:r>
    </w:p>
    <w:p w14:paraId="176EC10A" w14:textId="77777777" w:rsidR="00655E4C" w:rsidRPr="0007572B" w:rsidRDefault="00655E4C" w:rsidP="00EB27EB">
      <w:pPr>
        <w:pStyle w:val="Default"/>
        <w:numPr>
          <w:ilvl w:val="0"/>
          <w:numId w:val="45"/>
        </w:numPr>
        <w:spacing w:after="86"/>
        <w:ind w:left="567" w:hanging="207"/>
      </w:pPr>
      <w:r w:rsidRPr="0007572B">
        <w:t xml:space="preserve">Past service cost – the increase in liabilities as a result of a scheme amendment or curtailment whose effect relates to years of service earned in earlier years, debited to the surplus or deficit on the provision of services in the comprehensive income and expenditure statement; and </w:t>
      </w:r>
    </w:p>
    <w:p w14:paraId="0EF05D13" w14:textId="77777777" w:rsidR="00655E4C" w:rsidRPr="0007572B" w:rsidRDefault="00655E4C" w:rsidP="00EB27EB">
      <w:pPr>
        <w:pStyle w:val="Default"/>
        <w:numPr>
          <w:ilvl w:val="0"/>
          <w:numId w:val="45"/>
        </w:numPr>
        <w:spacing w:after="86"/>
        <w:ind w:left="567" w:hanging="207"/>
      </w:pPr>
      <w:r w:rsidRPr="0007572B">
        <w:lastRenderedPageBreak/>
        <w:t xml:space="preserve">Net interest on the net defined benefit liability, i.e. net interest expense for the authority, – the change during the period in the net defined benefit liability that arises from the passage of time charged to the financing and investment income and expenditure line of the comprehensive income and expenditure statement – this is calculated by applying the discount rate used to measure the defined benefit obligation at the beginning of the period to the net defined benefit liability at the beginning of the period – taking into account any changes in the net defined benefit liability during the period as a result of contribution and benefit payments. </w:t>
      </w:r>
    </w:p>
    <w:p w14:paraId="362F5D79" w14:textId="77777777" w:rsidR="00655E4C" w:rsidRPr="0007572B" w:rsidRDefault="00655E4C" w:rsidP="00655E4C">
      <w:pPr>
        <w:autoSpaceDE w:val="0"/>
        <w:autoSpaceDN w:val="0"/>
        <w:adjustRightInd w:val="0"/>
        <w:rPr>
          <w:rFonts w:ascii="Arial" w:hAnsi="Arial" w:cs="Arial"/>
          <w:color w:val="000000"/>
        </w:rPr>
      </w:pPr>
    </w:p>
    <w:p w14:paraId="5221ADF1" w14:textId="77777777" w:rsidR="00655E4C" w:rsidRDefault="00655E4C" w:rsidP="00655E4C">
      <w:pPr>
        <w:pStyle w:val="Heading6"/>
      </w:pPr>
      <w:r w:rsidRPr="0007572B">
        <w:t>1.8.3.2. Remeasurements comprising:</w:t>
      </w:r>
    </w:p>
    <w:p w14:paraId="711ADF39" w14:textId="77777777" w:rsidR="00655E4C" w:rsidRPr="004D2865" w:rsidRDefault="00655E4C" w:rsidP="00655E4C"/>
    <w:p w14:paraId="2EF28465" w14:textId="77777777" w:rsidR="00655E4C" w:rsidRPr="0007572B" w:rsidRDefault="00655E4C" w:rsidP="00EB27EB">
      <w:pPr>
        <w:pStyle w:val="Default"/>
        <w:numPr>
          <w:ilvl w:val="0"/>
          <w:numId w:val="45"/>
        </w:numPr>
        <w:spacing w:after="86"/>
        <w:ind w:left="567" w:hanging="207"/>
      </w:pPr>
      <w:r w:rsidRPr="0007572B">
        <w:t xml:space="preserve">Return on plan assets – excluding amounts included in net interest on the net defined benefit liability – charged to the pensions reserve as other comprehensive income and expenditure; </w:t>
      </w:r>
    </w:p>
    <w:p w14:paraId="28CDE5BE" w14:textId="77777777" w:rsidR="00655E4C" w:rsidRPr="0007572B" w:rsidRDefault="00655E4C" w:rsidP="00EB27EB">
      <w:pPr>
        <w:pStyle w:val="Default"/>
        <w:numPr>
          <w:ilvl w:val="0"/>
          <w:numId w:val="45"/>
        </w:numPr>
        <w:spacing w:after="86"/>
        <w:ind w:left="567" w:hanging="207"/>
      </w:pPr>
      <w:r w:rsidRPr="0007572B">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 and</w:t>
      </w:r>
    </w:p>
    <w:p w14:paraId="7DF375B3" w14:textId="2E8DE229" w:rsidR="00655E4C" w:rsidRPr="0007572B" w:rsidRDefault="00655E4C" w:rsidP="00EB27EB">
      <w:pPr>
        <w:pStyle w:val="Default"/>
        <w:numPr>
          <w:ilvl w:val="0"/>
          <w:numId w:val="45"/>
        </w:numPr>
        <w:spacing w:after="86"/>
        <w:ind w:left="567" w:hanging="207"/>
      </w:pPr>
      <w:r w:rsidRPr="0007572B">
        <w:t xml:space="preserve">Contributions paid to the </w:t>
      </w:r>
      <w:r w:rsidR="00CA750E">
        <w:t>GMPF</w:t>
      </w:r>
      <w:r w:rsidRPr="0007572B">
        <w:t xml:space="preserve"> – cash paid as employer’s contributions to the pension fund in settlement of liabilities; not accounted for as an expense. </w:t>
      </w:r>
    </w:p>
    <w:p w14:paraId="7FF73F65" w14:textId="77777777" w:rsidR="00655E4C" w:rsidRPr="0007572B" w:rsidRDefault="00655E4C" w:rsidP="00655E4C">
      <w:pPr>
        <w:autoSpaceDE w:val="0"/>
        <w:autoSpaceDN w:val="0"/>
        <w:adjustRightInd w:val="0"/>
        <w:rPr>
          <w:rFonts w:ascii="Arial" w:hAnsi="Arial" w:cs="Arial"/>
          <w:color w:val="000000"/>
        </w:rPr>
      </w:pPr>
    </w:p>
    <w:p w14:paraId="4B481122" w14:textId="77777777" w:rsidR="00655E4C" w:rsidRPr="0007572B" w:rsidRDefault="00655E4C" w:rsidP="00655E4C">
      <w:pPr>
        <w:autoSpaceDE w:val="0"/>
        <w:autoSpaceDN w:val="0"/>
        <w:adjustRightInd w:val="0"/>
        <w:rPr>
          <w:rFonts w:ascii="Arial" w:hAnsi="Arial" w:cs="Arial"/>
          <w:color w:val="000000"/>
        </w:rPr>
      </w:pPr>
      <w:r w:rsidRPr="0007572B">
        <w:rPr>
          <w:rFonts w:ascii="Arial" w:hAnsi="Arial" w:cs="Arial"/>
          <w:color w:val="000000"/>
        </w:rPr>
        <w:t xml:space="preserve">In relation to retirement benefits, statutory provisions require the general fund balance to be charged with the amount payable by the </w:t>
      </w:r>
      <w:r>
        <w:rPr>
          <w:rFonts w:ascii="Arial" w:hAnsi="Arial" w:cs="Arial"/>
          <w:color w:val="000000"/>
        </w:rPr>
        <w:t>Authority</w:t>
      </w:r>
      <w:r w:rsidRPr="0007572B">
        <w:rPr>
          <w:rFonts w:ascii="Arial" w:hAnsi="Arial" w:cs="Arial"/>
          <w:color w:val="000000"/>
        </w:rPr>
        <w:t xml:space="preserve"> to the pension fund or directly to pensioners in the year, not the amount calculated according to the relevant accounting standards. In the movement in reserves statement, this means that there are transfers to and from the pensions reserve to remove the notional debits and credits for retirement benefits and replace them with debits for the cash paid to the pension fund and pensioners and any such amounts payable but unpaid at the year-end. The negative balance that arises on the pensions reserve thereby measures the beneficial impact to the general fund of being required to account for retirement benefits on the basis of cash flows rather than as benefits are earned by employees. </w:t>
      </w:r>
    </w:p>
    <w:p w14:paraId="26C6208B" w14:textId="77777777" w:rsidR="00655E4C" w:rsidRPr="0007572B" w:rsidRDefault="00655E4C" w:rsidP="00655E4C">
      <w:pPr>
        <w:autoSpaceDE w:val="0"/>
        <w:autoSpaceDN w:val="0"/>
        <w:adjustRightInd w:val="0"/>
        <w:rPr>
          <w:rFonts w:ascii="Arial" w:hAnsi="Arial" w:cs="Arial"/>
          <w:color w:val="000000"/>
        </w:rPr>
      </w:pPr>
    </w:p>
    <w:p w14:paraId="19DB2A26" w14:textId="77777777" w:rsidR="00655E4C" w:rsidRPr="0007572B" w:rsidRDefault="00655E4C" w:rsidP="00655E4C">
      <w:pPr>
        <w:pStyle w:val="Heading5"/>
      </w:pPr>
      <w:r w:rsidRPr="0007572B">
        <w:t xml:space="preserve">1.8.4. Discretionary benefits </w:t>
      </w:r>
    </w:p>
    <w:p w14:paraId="07ECA962" w14:textId="77777777" w:rsidR="00655E4C" w:rsidRPr="0007572B" w:rsidRDefault="00655E4C" w:rsidP="00655E4C">
      <w:pPr>
        <w:autoSpaceDE w:val="0"/>
        <w:autoSpaceDN w:val="0"/>
        <w:adjustRightInd w:val="0"/>
        <w:rPr>
          <w:rFonts w:ascii="Arial" w:hAnsi="Arial" w:cs="Arial"/>
          <w:b/>
          <w:color w:val="000000"/>
        </w:rPr>
      </w:pPr>
    </w:p>
    <w:p w14:paraId="1D2AC336" w14:textId="77777777" w:rsidR="00655E4C" w:rsidRPr="0007572B" w:rsidRDefault="00655E4C" w:rsidP="00655E4C">
      <w:pPr>
        <w:pStyle w:val="Normal0"/>
        <w:spacing w:line="240" w:lineRule="auto"/>
        <w:rPr>
          <w:rFonts w:ascii="Arial" w:hAnsi="Arial" w:cs="Arial"/>
          <w:color w:val="000000"/>
          <w:sz w:val="24"/>
          <w:szCs w:val="24"/>
        </w:rPr>
      </w:pPr>
      <w:r w:rsidRPr="0007572B">
        <w:rPr>
          <w:rFonts w:ascii="Arial" w:hAnsi="Arial" w:cs="Arial"/>
          <w:color w:val="000000"/>
          <w:sz w:val="24"/>
          <w:szCs w:val="24"/>
        </w:rPr>
        <w:t xml:space="preserve">The authority also has restricted powers to make discretionary awards of retirement benefits in the event of early retirements. Any liabilities estimated to arise </w:t>
      </w:r>
      <w:proofErr w:type="gramStart"/>
      <w:r w:rsidRPr="0007572B">
        <w:rPr>
          <w:rFonts w:ascii="Arial" w:hAnsi="Arial" w:cs="Arial"/>
          <w:color w:val="000000"/>
          <w:sz w:val="24"/>
          <w:szCs w:val="24"/>
        </w:rPr>
        <w:t>as a result of</w:t>
      </w:r>
      <w:proofErr w:type="gramEnd"/>
      <w:r w:rsidRPr="0007572B">
        <w:rPr>
          <w:rFonts w:ascii="Arial" w:hAnsi="Arial" w:cs="Arial"/>
          <w:color w:val="000000"/>
          <w:sz w:val="24"/>
          <w:szCs w:val="24"/>
        </w:rPr>
        <w:t xml:space="preserve"> an award to any member of staff are accrued in the year of the decision to make the award and accounted for using the same policies as are applied to the Local Government Pension Scheme.</w:t>
      </w:r>
    </w:p>
    <w:p w14:paraId="0C8FA159" w14:textId="77777777" w:rsidR="00655E4C" w:rsidRPr="0007572B" w:rsidRDefault="00655E4C" w:rsidP="00655E4C">
      <w:pPr>
        <w:pStyle w:val="Normal0"/>
        <w:spacing w:line="240" w:lineRule="auto"/>
        <w:rPr>
          <w:rFonts w:ascii="Arial" w:hAnsi="Arial" w:cs="Arial"/>
          <w:b/>
          <w:bCs/>
          <w:sz w:val="24"/>
          <w:szCs w:val="24"/>
          <w:lang w:eastAsia="en-GB"/>
        </w:rPr>
      </w:pPr>
    </w:p>
    <w:p w14:paraId="7D2D85AE" w14:textId="77777777" w:rsidR="00655E4C" w:rsidRPr="0097099A" w:rsidRDefault="00655E4C" w:rsidP="00655E4C">
      <w:pPr>
        <w:pStyle w:val="Heading4bold"/>
        <w:rPr>
          <w:lang w:eastAsia="en-GB"/>
        </w:rPr>
      </w:pPr>
      <w:r w:rsidRPr="0097099A">
        <w:rPr>
          <w:lang w:eastAsia="en-GB"/>
        </w:rPr>
        <w:t>1.9. Property, Plant and Equipment and Assets under Construction</w:t>
      </w:r>
    </w:p>
    <w:p w14:paraId="566E66CF" w14:textId="77777777" w:rsidR="00655E4C" w:rsidRPr="0097099A" w:rsidRDefault="00655E4C" w:rsidP="00655E4C">
      <w:pPr>
        <w:pStyle w:val="Normal0"/>
        <w:spacing w:line="240" w:lineRule="auto"/>
        <w:rPr>
          <w:rFonts w:ascii="Arial" w:hAnsi="Arial" w:cs="Arial"/>
          <w:b/>
          <w:bCs/>
          <w:sz w:val="24"/>
          <w:szCs w:val="24"/>
          <w:lang w:eastAsia="en-GB"/>
        </w:rPr>
      </w:pPr>
    </w:p>
    <w:p w14:paraId="646B041D"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 xml:space="preserve">Assets that have physical substance and are held for use in the production or supply of goods or services, for rental to others, or for administrative purposes and that are expected to be used during more than one financial year are classified as property, </w:t>
      </w:r>
      <w:proofErr w:type="gramStart"/>
      <w:r w:rsidRPr="0097099A">
        <w:rPr>
          <w:rFonts w:ascii="Arial" w:hAnsi="Arial" w:cs="Arial"/>
          <w:bCs/>
          <w:sz w:val="24"/>
          <w:szCs w:val="24"/>
          <w:lang w:eastAsia="en-GB"/>
        </w:rPr>
        <w:t>plant</w:t>
      </w:r>
      <w:proofErr w:type="gramEnd"/>
      <w:r w:rsidRPr="0097099A">
        <w:rPr>
          <w:rFonts w:ascii="Arial" w:hAnsi="Arial" w:cs="Arial"/>
          <w:bCs/>
          <w:sz w:val="24"/>
          <w:szCs w:val="24"/>
          <w:lang w:eastAsia="en-GB"/>
        </w:rPr>
        <w:t xml:space="preserve"> and equipment.</w:t>
      </w:r>
    </w:p>
    <w:p w14:paraId="7889C278" w14:textId="77777777" w:rsidR="00655E4C" w:rsidRPr="0097099A" w:rsidRDefault="00655E4C" w:rsidP="00655E4C">
      <w:pPr>
        <w:pStyle w:val="Normal0"/>
        <w:spacing w:line="240" w:lineRule="auto"/>
        <w:rPr>
          <w:rFonts w:ascii="Arial" w:hAnsi="Arial" w:cs="Arial"/>
          <w:bCs/>
          <w:sz w:val="24"/>
          <w:szCs w:val="24"/>
          <w:lang w:eastAsia="en-GB"/>
        </w:rPr>
      </w:pPr>
    </w:p>
    <w:p w14:paraId="57F6720C" w14:textId="77777777" w:rsidR="00655E4C" w:rsidRPr="0097099A" w:rsidRDefault="00655E4C" w:rsidP="00655E4C">
      <w:pPr>
        <w:pStyle w:val="Heading5"/>
        <w:rPr>
          <w:lang w:eastAsia="en-GB"/>
        </w:rPr>
      </w:pPr>
      <w:r w:rsidRPr="0097099A">
        <w:rPr>
          <w:lang w:eastAsia="en-GB"/>
        </w:rPr>
        <w:lastRenderedPageBreak/>
        <w:t>1.9.1. Recognition</w:t>
      </w:r>
    </w:p>
    <w:p w14:paraId="24822B53" w14:textId="77777777" w:rsidR="00655E4C" w:rsidRPr="0097099A" w:rsidRDefault="00655E4C" w:rsidP="00655E4C">
      <w:pPr>
        <w:pStyle w:val="Normal0"/>
        <w:spacing w:line="240" w:lineRule="auto"/>
        <w:rPr>
          <w:rFonts w:ascii="Arial" w:hAnsi="Arial" w:cs="Arial"/>
          <w:b/>
          <w:bCs/>
          <w:sz w:val="24"/>
          <w:szCs w:val="24"/>
          <w:lang w:eastAsia="en-GB"/>
        </w:rPr>
      </w:pPr>
    </w:p>
    <w:p w14:paraId="30C4D762"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 xml:space="preserve">Expenditure on the acquisition, creation or enhancement of property, plant and equipment is capitalised on an accruals basis, </w:t>
      </w:r>
      <w:proofErr w:type="gramStart"/>
      <w:r w:rsidRPr="0097099A">
        <w:rPr>
          <w:rFonts w:ascii="Arial" w:hAnsi="Arial" w:cs="Arial"/>
          <w:bCs/>
          <w:sz w:val="24"/>
          <w:szCs w:val="24"/>
          <w:lang w:eastAsia="en-GB"/>
        </w:rPr>
        <w:t>provided that</w:t>
      </w:r>
      <w:proofErr w:type="gramEnd"/>
      <w:r w:rsidRPr="0097099A">
        <w:rPr>
          <w:rFonts w:ascii="Arial" w:hAnsi="Arial" w:cs="Arial"/>
          <w:bCs/>
          <w:sz w:val="24"/>
          <w:szCs w:val="24"/>
          <w:lang w:eastAsia="en-GB"/>
        </w:rPr>
        <w:t xml:space="preserve"> it is probable that the future economic benefits or service potential associated with the item will flow to the authority and the cost of the item can be measured reliably. The authority has a £20,000 de minimis level for the recognition of property, </w:t>
      </w:r>
      <w:proofErr w:type="gramStart"/>
      <w:r w:rsidRPr="0097099A">
        <w:rPr>
          <w:rFonts w:ascii="Arial" w:hAnsi="Arial" w:cs="Arial"/>
          <w:bCs/>
          <w:sz w:val="24"/>
          <w:szCs w:val="24"/>
          <w:lang w:eastAsia="en-GB"/>
        </w:rPr>
        <w:t>plant</w:t>
      </w:r>
      <w:proofErr w:type="gramEnd"/>
      <w:r w:rsidRPr="0097099A">
        <w:rPr>
          <w:rFonts w:ascii="Arial" w:hAnsi="Arial" w:cs="Arial"/>
          <w:bCs/>
          <w:sz w:val="24"/>
          <w:szCs w:val="24"/>
          <w:lang w:eastAsia="en-GB"/>
        </w:rPr>
        <w:t xml:space="preserve"> and equipment. Exceptions to this are</w:t>
      </w:r>
      <w:r>
        <w:rPr>
          <w:rFonts w:ascii="Arial" w:hAnsi="Arial" w:cs="Arial"/>
          <w:bCs/>
          <w:sz w:val="24"/>
          <w:szCs w:val="24"/>
          <w:lang w:eastAsia="en-GB"/>
        </w:rPr>
        <w:t xml:space="preserve"> </w:t>
      </w:r>
      <w:r w:rsidRPr="0097099A">
        <w:rPr>
          <w:rFonts w:ascii="Arial" w:hAnsi="Arial" w:cs="Arial"/>
          <w:bCs/>
          <w:sz w:val="24"/>
          <w:szCs w:val="24"/>
          <w:lang w:eastAsia="en-GB"/>
        </w:rPr>
        <w:t>traffic signals and vehicles, which are capitalised with no minimum level.</w:t>
      </w:r>
    </w:p>
    <w:p w14:paraId="0A87A857" w14:textId="77777777" w:rsidR="00655E4C" w:rsidRPr="0097099A" w:rsidRDefault="00655E4C" w:rsidP="00655E4C">
      <w:pPr>
        <w:pStyle w:val="Normal0"/>
        <w:spacing w:line="240" w:lineRule="auto"/>
        <w:rPr>
          <w:rFonts w:ascii="Arial" w:hAnsi="Arial" w:cs="Arial"/>
          <w:bCs/>
          <w:sz w:val="24"/>
          <w:szCs w:val="24"/>
          <w:lang w:eastAsia="en-GB"/>
        </w:rPr>
      </w:pPr>
    </w:p>
    <w:p w14:paraId="1151CE00"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Expenditure that maintains but does not add to an asset’s potential to deliver future economic benefits or service potential (i.e. repairs and maintenance) is charged as an expense when it is incurred.</w:t>
      </w:r>
    </w:p>
    <w:p w14:paraId="0A5898EA" w14:textId="77777777" w:rsidR="00655E4C" w:rsidRPr="0097099A" w:rsidRDefault="00655E4C" w:rsidP="00655E4C">
      <w:pPr>
        <w:pStyle w:val="Normal0"/>
        <w:spacing w:line="240" w:lineRule="auto"/>
        <w:rPr>
          <w:rFonts w:ascii="Arial" w:hAnsi="Arial" w:cs="Arial"/>
          <w:bCs/>
          <w:sz w:val="24"/>
          <w:szCs w:val="24"/>
          <w:lang w:eastAsia="en-GB"/>
        </w:rPr>
      </w:pPr>
    </w:p>
    <w:p w14:paraId="03EF045B" w14:textId="77777777" w:rsidR="00655E4C" w:rsidRPr="0097099A" w:rsidRDefault="00655E4C" w:rsidP="00655E4C">
      <w:pPr>
        <w:pStyle w:val="Heading5"/>
        <w:rPr>
          <w:lang w:eastAsia="en-GB"/>
        </w:rPr>
      </w:pPr>
      <w:r w:rsidRPr="0097099A">
        <w:rPr>
          <w:lang w:eastAsia="en-GB"/>
        </w:rPr>
        <w:t xml:space="preserve">1.9.2. Measurement </w:t>
      </w:r>
    </w:p>
    <w:p w14:paraId="0386C525" w14:textId="77777777" w:rsidR="00655E4C" w:rsidRPr="0097099A" w:rsidRDefault="00655E4C" w:rsidP="00655E4C">
      <w:pPr>
        <w:pStyle w:val="Normal0"/>
        <w:spacing w:line="240" w:lineRule="auto"/>
        <w:rPr>
          <w:rFonts w:ascii="Arial" w:hAnsi="Arial" w:cs="Arial"/>
          <w:b/>
          <w:bCs/>
          <w:sz w:val="24"/>
          <w:szCs w:val="24"/>
          <w:lang w:eastAsia="en-GB"/>
        </w:rPr>
      </w:pPr>
    </w:p>
    <w:p w14:paraId="6445C4C0"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Assets are initially measured at cost, comprising:</w:t>
      </w:r>
    </w:p>
    <w:p w14:paraId="6399EF50" w14:textId="77777777" w:rsidR="00655E4C" w:rsidRPr="0097099A" w:rsidRDefault="00655E4C" w:rsidP="00655E4C">
      <w:pPr>
        <w:pStyle w:val="Normal0"/>
        <w:spacing w:line="240" w:lineRule="auto"/>
        <w:rPr>
          <w:rFonts w:ascii="Arial" w:hAnsi="Arial" w:cs="Arial"/>
          <w:bCs/>
          <w:sz w:val="24"/>
          <w:szCs w:val="24"/>
          <w:lang w:eastAsia="en-GB"/>
        </w:rPr>
      </w:pPr>
    </w:p>
    <w:p w14:paraId="237EA9AE" w14:textId="77777777" w:rsidR="00655E4C" w:rsidRPr="0097099A" w:rsidRDefault="00655E4C" w:rsidP="00EB27EB">
      <w:pPr>
        <w:pStyle w:val="Default"/>
        <w:numPr>
          <w:ilvl w:val="0"/>
          <w:numId w:val="45"/>
        </w:numPr>
        <w:spacing w:after="86"/>
        <w:ind w:left="567" w:hanging="207"/>
      </w:pPr>
      <w:r w:rsidRPr="0097099A">
        <w:rPr>
          <w:bCs/>
        </w:rPr>
        <w:t xml:space="preserve">the </w:t>
      </w:r>
      <w:r w:rsidRPr="0097099A">
        <w:t>purchase price;</w:t>
      </w:r>
    </w:p>
    <w:p w14:paraId="4D4034FA" w14:textId="77777777" w:rsidR="00655E4C" w:rsidRPr="0097099A" w:rsidRDefault="00655E4C" w:rsidP="00EB27EB">
      <w:pPr>
        <w:pStyle w:val="Default"/>
        <w:numPr>
          <w:ilvl w:val="0"/>
          <w:numId w:val="45"/>
        </w:numPr>
        <w:spacing w:after="86"/>
        <w:ind w:left="567" w:hanging="207"/>
      </w:pPr>
      <w:r w:rsidRPr="0097099A">
        <w:t>any costs attributable to bringing the asset to the location and condition necessary for it to be capable of operating in the manner intended by management; and</w:t>
      </w:r>
    </w:p>
    <w:p w14:paraId="333D4093" w14:textId="77777777" w:rsidR="00655E4C" w:rsidRPr="0097099A" w:rsidRDefault="00655E4C" w:rsidP="00EB27EB">
      <w:pPr>
        <w:pStyle w:val="Default"/>
        <w:numPr>
          <w:ilvl w:val="0"/>
          <w:numId w:val="45"/>
        </w:numPr>
        <w:spacing w:after="86"/>
        <w:ind w:left="567" w:hanging="207"/>
        <w:rPr>
          <w:bCs/>
        </w:rPr>
      </w:pPr>
      <w:r w:rsidRPr="0097099A">
        <w:t>the initial estimate of the costs of dismantling and removing the item and restoring the</w:t>
      </w:r>
      <w:r w:rsidRPr="0097099A">
        <w:rPr>
          <w:bCs/>
        </w:rPr>
        <w:t xml:space="preserve"> site on which it is located.</w:t>
      </w:r>
    </w:p>
    <w:p w14:paraId="4FE31481"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The authority does not capitalise borrowing costs incurred while assets are under construction.</w:t>
      </w:r>
    </w:p>
    <w:p w14:paraId="55966F2E" w14:textId="77777777" w:rsidR="00655E4C" w:rsidRPr="0097099A" w:rsidRDefault="00655E4C" w:rsidP="00655E4C">
      <w:pPr>
        <w:pStyle w:val="Normal0"/>
        <w:spacing w:line="240" w:lineRule="auto"/>
        <w:rPr>
          <w:rFonts w:ascii="Arial" w:hAnsi="Arial" w:cs="Arial"/>
          <w:bCs/>
          <w:sz w:val="24"/>
          <w:szCs w:val="24"/>
          <w:lang w:eastAsia="en-GB"/>
        </w:rPr>
      </w:pPr>
    </w:p>
    <w:p w14:paraId="07341B25"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 xml:space="preserve">The cost of assets acquired other than by purchase is deemed to be its fair </w:t>
      </w:r>
      <w:proofErr w:type="gramStart"/>
      <w:r w:rsidRPr="0097099A">
        <w:rPr>
          <w:rFonts w:ascii="Arial" w:hAnsi="Arial" w:cs="Arial"/>
          <w:bCs/>
          <w:sz w:val="24"/>
          <w:szCs w:val="24"/>
          <w:lang w:eastAsia="en-GB"/>
        </w:rPr>
        <w:t>value, unless</w:t>
      </w:r>
      <w:proofErr w:type="gramEnd"/>
      <w:r w:rsidRPr="0097099A">
        <w:rPr>
          <w:rFonts w:ascii="Arial" w:hAnsi="Arial" w:cs="Arial"/>
          <w:bCs/>
          <w:sz w:val="24"/>
          <w:szCs w:val="24"/>
          <w:lang w:eastAsia="en-GB"/>
        </w:rPr>
        <w:t xml:space="preserve"> the acquisition does not have commercial substance (i.e. it will not lead to a variation in the cash flows of the authority). In the latter case, where an asset is acquired via an exchange, the cost of the acquisition is the carrying amount of the asset given up by the authority. </w:t>
      </w:r>
    </w:p>
    <w:p w14:paraId="75020F56" w14:textId="77777777" w:rsidR="00655E4C" w:rsidRPr="0097099A" w:rsidRDefault="00655E4C" w:rsidP="00655E4C">
      <w:pPr>
        <w:pStyle w:val="Normal0"/>
        <w:spacing w:line="240" w:lineRule="auto"/>
        <w:rPr>
          <w:rFonts w:ascii="Arial" w:hAnsi="Arial" w:cs="Arial"/>
          <w:bCs/>
          <w:sz w:val="24"/>
          <w:szCs w:val="24"/>
          <w:lang w:eastAsia="en-GB"/>
        </w:rPr>
      </w:pPr>
    </w:p>
    <w:p w14:paraId="6B135F95" w14:textId="05AA5F18"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 xml:space="preserve">Donated assets are measured initially at fair value. The difference between fair value and any consideration paid is credited to the taxation and non-specific grant income line of the comprehensive income and expenditure </w:t>
      </w:r>
      <w:r w:rsidR="009D6FD6" w:rsidRPr="0097099A">
        <w:rPr>
          <w:rFonts w:ascii="Arial" w:hAnsi="Arial" w:cs="Arial"/>
          <w:bCs/>
          <w:sz w:val="24"/>
          <w:szCs w:val="24"/>
          <w:lang w:eastAsia="en-GB"/>
        </w:rPr>
        <w:t>statement unless</w:t>
      </w:r>
      <w:r w:rsidRPr="0097099A">
        <w:rPr>
          <w:rFonts w:ascii="Arial" w:hAnsi="Arial" w:cs="Arial"/>
          <w:bCs/>
          <w:sz w:val="24"/>
          <w:szCs w:val="24"/>
          <w:lang w:eastAsia="en-GB"/>
        </w:rPr>
        <w:t xml:space="preserve"> the donation has been made conditionally. Until conditions are satisfied, the gain is held in the donated assets account. Where gains are credited to the comprehensive income and expenditure statement, they are reversed out of the general fund balance to the capital adjustment account in the movement in reserves statement</w:t>
      </w:r>
    </w:p>
    <w:p w14:paraId="6146D562" w14:textId="77777777" w:rsidR="00655E4C" w:rsidRPr="0097099A" w:rsidRDefault="00655E4C" w:rsidP="00655E4C">
      <w:pPr>
        <w:pStyle w:val="Normal0"/>
        <w:spacing w:line="240" w:lineRule="auto"/>
        <w:rPr>
          <w:rFonts w:ascii="Arial" w:hAnsi="Arial" w:cs="Arial"/>
          <w:bCs/>
          <w:sz w:val="24"/>
          <w:szCs w:val="24"/>
          <w:lang w:eastAsia="en-GB"/>
        </w:rPr>
      </w:pPr>
    </w:p>
    <w:p w14:paraId="7574ECFC"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Assets are then carried in the balance sheet using the following measurement bases:</w:t>
      </w:r>
    </w:p>
    <w:p w14:paraId="21B47E54" w14:textId="77777777" w:rsidR="00655E4C" w:rsidRPr="0097099A" w:rsidRDefault="00655E4C" w:rsidP="00655E4C">
      <w:pPr>
        <w:pStyle w:val="Normal0"/>
        <w:spacing w:line="240" w:lineRule="auto"/>
        <w:rPr>
          <w:rFonts w:ascii="Arial" w:hAnsi="Arial" w:cs="Arial"/>
          <w:bCs/>
          <w:sz w:val="24"/>
          <w:szCs w:val="24"/>
          <w:lang w:eastAsia="en-GB"/>
        </w:rPr>
      </w:pPr>
    </w:p>
    <w:p w14:paraId="245F1CE2" w14:textId="77777777" w:rsidR="00655E4C" w:rsidRPr="0097099A" w:rsidRDefault="00655E4C" w:rsidP="00EB27EB">
      <w:pPr>
        <w:pStyle w:val="ListParagraph"/>
        <w:numPr>
          <w:ilvl w:val="0"/>
          <w:numId w:val="21"/>
        </w:numPr>
        <w:spacing w:line="240" w:lineRule="auto"/>
        <w:rPr>
          <w:rFonts w:ascii="Arial" w:hAnsi="Arial" w:cs="Arial"/>
          <w:bCs/>
          <w:sz w:val="24"/>
          <w:szCs w:val="24"/>
        </w:rPr>
      </w:pPr>
      <w:r w:rsidRPr="0097099A">
        <w:rPr>
          <w:rFonts w:ascii="Arial" w:hAnsi="Arial" w:cs="Arial"/>
          <w:bCs/>
          <w:sz w:val="24"/>
          <w:szCs w:val="24"/>
        </w:rPr>
        <w:t>assets under construction and infrastructure assets – depreciated historical cost;</w:t>
      </w:r>
    </w:p>
    <w:p w14:paraId="6FE3BEB3" w14:textId="77777777" w:rsidR="00655E4C" w:rsidRPr="0097099A" w:rsidRDefault="00655E4C" w:rsidP="00655E4C">
      <w:pPr>
        <w:pStyle w:val="ListParagraph"/>
        <w:spacing w:line="240" w:lineRule="auto"/>
        <w:rPr>
          <w:rFonts w:ascii="Arial" w:hAnsi="Arial" w:cs="Arial"/>
          <w:bCs/>
          <w:sz w:val="24"/>
          <w:szCs w:val="24"/>
        </w:rPr>
      </w:pPr>
    </w:p>
    <w:p w14:paraId="0F17C680" w14:textId="77777777" w:rsidR="00655E4C" w:rsidRPr="0097099A" w:rsidRDefault="00655E4C" w:rsidP="00EB27EB">
      <w:pPr>
        <w:pStyle w:val="ListParagraph"/>
        <w:numPr>
          <w:ilvl w:val="0"/>
          <w:numId w:val="21"/>
        </w:numPr>
        <w:spacing w:line="240" w:lineRule="auto"/>
        <w:rPr>
          <w:rFonts w:ascii="Arial" w:hAnsi="Arial" w:cs="Arial"/>
          <w:bCs/>
          <w:sz w:val="24"/>
          <w:szCs w:val="24"/>
        </w:rPr>
      </w:pPr>
      <w:r w:rsidRPr="0097099A">
        <w:rPr>
          <w:rFonts w:ascii="Arial" w:hAnsi="Arial" w:cs="Arial"/>
          <w:bCs/>
          <w:sz w:val="24"/>
          <w:szCs w:val="24"/>
        </w:rPr>
        <w:t>surplus assets – fair value, estimated at highest and best use from a market participants perspective; and</w:t>
      </w:r>
    </w:p>
    <w:p w14:paraId="1E26DE84" w14:textId="77777777" w:rsidR="00655E4C" w:rsidRPr="0097099A" w:rsidRDefault="00655E4C" w:rsidP="00655E4C">
      <w:pPr>
        <w:pStyle w:val="ListParagraph"/>
        <w:spacing w:line="240" w:lineRule="auto"/>
        <w:rPr>
          <w:rFonts w:ascii="Arial" w:hAnsi="Arial" w:cs="Arial"/>
          <w:bCs/>
          <w:sz w:val="24"/>
          <w:szCs w:val="24"/>
        </w:rPr>
      </w:pPr>
    </w:p>
    <w:p w14:paraId="54332267" w14:textId="77777777" w:rsidR="00655E4C" w:rsidRPr="0097099A" w:rsidRDefault="00655E4C" w:rsidP="00EB27EB">
      <w:pPr>
        <w:pStyle w:val="ListParagraph"/>
        <w:numPr>
          <w:ilvl w:val="0"/>
          <w:numId w:val="21"/>
        </w:numPr>
        <w:spacing w:line="240" w:lineRule="auto"/>
        <w:rPr>
          <w:rFonts w:ascii="Arial" w:hAnsi="Arial" w:cs="Arial"/>
          <w:bCs/>
          <w:sz w:val="24"/>
          <w:szCs w:val="24"/>
        </w:rPr>
      </w:pPr>
      <w:r w:rsidRPr="0097099A">
        <w:rPr>
          <w:rFonts w:ascii="Arial" w:hAnsi="Arial" w:cs="Arial"/>
          <w:bCs/>
          <w:sz w:val="24"/>
          <w:szCs w:val="24"/>
        </w:rPr>
        <w:t>all other assets – current value, determined as the amount that would be paid for the asset in its existing use (existing use value – EUV).</w:t>
      </w:r>
    </w:p>
    <w:p w14:paraId="48BBA8F4"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lastRenderedPageBreak/>
        <w:t xml:space="preserve">Where there is no market-based evidence of current value because of the specialist nature of an asset, depreciated replacement cost (DRC) is used as an estimate of current value. </w:t>
      </w:r>
    </w:p>
    <w:p w14:paraId="624D62D1" w14:textId="77777777" w:rsidR="00655E4C" w:rsidRPr="0097099A" w:rsidRDefault="00655E4C" w:rsidP="00655E4C">
      <w:pPr>
        <w:pStyle w:val="Normal0"/>
        <w:spacing w:line="240" w:lineRule="auto"/>
        <w:rPr>
          <w:rFonts w:ascii="Arial" w:hAnsi="Arial" w:cs="Arial"/>
          <w:bCs/>
          <w:sz w:val="24"/>
          <w:szCs w:val="24"/>
          <w:lang w:eastAsia="en-GB"/>
        </w:rPr>
      </w:pPr>
    </w:p>
    <w:p w14:paraId="4DD4E562"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Where non-property assets have short useful lives or low values (or both), the depreciated historical cost basis is used as a proxy for current value.</w:t>
      </w:r>
    </w:p>
    <w:p w14:paraId="7B70CB4C" w14:textId="77777777" w:rsidR="00655E4C" w:rsidRPr="0097099A" w:rsidRDefault="00655E4C" w:rsidP="00655E4C">
      <w:pPr>
        <w:pStyle w:val="Normal0"/>
        <w:spacing w:line="240" w:lineRule="auto"/>
        <w:rPr>
          <w:rFonts w:ascii="Arial" w:hAnsi="Arial" w:cs="Arial"/>
          <w:bCs/>
          <w:sz w:val="24"/>
          <w:szCs w:val="24"/>
          <w:lang w:eastAsia="en-GB"/>
        </w:rPr>
      </w:pPr>
    </w:p>
    <w:p w14:paraId="313415A0"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Assets included in the balance sheet at current value are revalued sufficiently regularly, as a minimum every five years, to ensure that their carrying amount is not materially different from their current value at the year-end. Increases in valuations are matched by credits to the revaluation reserve to recognise unrealised gains. Exceptionally, gains might be credited to the surplus or deficit on the provision of services where they arise from the reversal of a loss previously charged to a service.</w:t>
      </w:r>
    </w:p>
    <w:p w14:paraId="362E6E12" w14:textId="77777777" w:rsidR="00655E4C" w:rsidRPr="0097099A" w:rsidRDefault="00655E4C" w:rsidP="00655E4C">
      <w:pPr>
        <w:pStyle w:val="Normal0"/>
        <w:spacing w:line="240" w:lineRule="auto"/>
        <w:rPr>
          <w:rFonts w:ascii="Arial" w:hAnsi="Arial" w:cs="Arial"/>
          <w:bCs/>
          <w:sz w:val="24"/>
          <w:szCs w:val="24"/>
          <w:lang w:eastAsia="en-GB"/>
        </w:rPr>
      </w:pPr>
    </w:p>
    <w:p w14:paraId="2E41854D"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 xml:space="preserve">Where decreases in value are identified, they are accounted for as follows: </w:t>
      </w:r>
    </w:p>
    <w:p w14:paraId="22A3AFDE" w14:textId="77777777" w:rsidR="00655E4C" w:rsidRPr="0097099A" w:rsidRDefault="00655E4C" w:rsidP="00655E4C">
      <w:pPr>
        <w:pStyle w:val="Normal0"/>
        <w:spacing w:line="240" w:lineRule="auto"/>
        <w:rPr>
          <w:rFonts w:ascii="Arial" w:hAnsi="Arial" w:cs="Arial"/>
          <w:bCs/>
          <w:sz w:val="24"/>
          <w:szCs w:val="24"/>
          <w:lang w:eastAsia="en-GB"/>
        </w:rPr>
      </w:pPr>
    </w:p>
    <w:p w14:paraId="7C9EA9C4" w14:textId="77777777" w:rsidR="00655E4C" w:rsidRPr="0097099A" w:rsidRDefault="00655E4C" w:rsidP="00EB27EB">
      <w:pPr>
        <w:pStyle w:val="Normal0"/>
        <w:numPr>
          <w:ilvl w:val="0"/>
          <w:numId w:val="21"/>
        </w:numPr>
        <w:spacing w:line="240" w:lineRule="auto"/>
        <w:rPr>
          <w:rFonts w:ascii="Arial" w:eastAsia="Times New Roman" w:hAnsi="Arial" w:cs="Arial"/>
          <w:bCs/>
          <w:sz w:val="24"/>
          <w:szCs w:val="24"/>
          <w:lang w:val="en-GB" w:eastAsia="en-GB"/>
        </w:rPr>
      </w:pPr>
      <w:r w:rsidRPr="0097099A">
        <w:rPr>
          <w:rFonts w:ascii="Arial" w:eastAsia="Times New Roman" w:hAnsi="Arial" w:cs="Arial"/>
          <w:bCs/>
          <w:sz w:val="24"/>
          <w:szCs w:val="24"/>
          <w:lang w:val="en-GB" w:eastAsia="en-GB"/>
        </w:rPr>
        <w:t xml:space="preserve">where there is a balance of revaluation gains for the asset in the revaluation reserve, the carrying amount of the asset is written down against that balance (up to the amount of the accumulated gains); </w:t>
      </w:r>
    </w:p>
    <w:p w14:paraId="6DE3C766" w14:textId="77777777" w:rsidR="00655E4C" w:rsidRPr="0097099A" w:rsidRDefault="00655E4C" w:rsidP="00655E4C">
      <w:pPr>
        <w:pStyle w:val="Normal0"/>
        <w:spacing w:line="240" w:lineRule="auto"/>
        <w:ind w:left="426"/>
        <w:rPr>
          <w:rFonts w:ascii="Arial" w:eastAsia="Times New Roman" w:hAnsi="Arial" w:cs="Arial"/>
          <w:bCs/>
          <w:sz w:val="24"/>
          <w:szCs w:val="24"/>
          <w:lang w:val="en-GB" w:eastAsia="en-GB"/>
        </w:rPr>
      </w:pPr>
    </w:p>
    <w:p w14:paraId="5665965B" w14:textId="77777777" w:rsidR="00655E4C" w:rsidRPr="0097099A" w:rsidRDefault="00655E4C" w:rsidP="00EB27EB">
      <w:pPr>
        <w:pStyle w:val="Normal0"/>
        <w:numPr>
          <w:ilvl w:val="0"/>
          <w:numId w:val="21"/>
        </w:numPr>
        <w:spacing w:line="240" w:lineRule="auto"/>
        <w:rPr>
          <w:rFonts w:ascii="Arial" w:hAnsi="Arial" w:cs="Arial"/>
          <w:bCs/>
          <w:sz w:val="24"/>
          <w:szCs w:val="24"/>
          <w:lang w:eastAsia="en-GB"/>
        </w:rPr>
      </w:pPr>
      <w:r w:rsidRPr="0097099A">
        <w:rPr>
          <w:rFonts w:ascii="Arial" w:hAnsi="Arial" w:cs="Arial"/>
          <w:bCs/>
          <w:sz w:val="24"/>
          <w:szCs w:val="24"/>
          <w:lang w:eastAsia="en-GB"/>
        </w:rPr>
        <w:t>where there is no balance in the revaluation reserve or an insufficient balance, the carrying amount of the asset is written down against the relevant service line(s) in the comprehensive income and expenditure statement.</w:t>
      </w:r>
    </w:p>
    <w:p w14:paraId="1245F61B" w14:textId="77777777" w:rsidR="00655E4C" w:rsidRPr="0097099A" w:rsidRDefault="00655E4C" w:rsidP="00655E4C">
      <w:pPr>
        <w:pStyle w:val="Normal0"/>
        <w:spacing w:line="240" w:lineRule="auto"/>
        <w:ind w:left="720"/>
        <w:rPr>
          <w:rFonts w:ascii="Arial" w:hAnsi="Arial" w:cs="Arial"/>
          <w:bCs/>
          <w:sz w:val="24"/>
          <w:szCs w:val="24"/>
          <w:lang w:eastAsia="en-GB"/>
        </w:rPr>
      </w:pPr>
    </w:p>
    <w:p w14:paraId="20FF2381"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The revaluation reserve contains revaluation gains recognised since 1 April 2007 only, the date of its formal implementation. Gains arising before that date have been consolidated into the capital adjustment account.</w:t>
      </w:r>
    </w:p>
    <w:p w14:paraId="7701E074" w14:textId="77777777" w:rsidR="00655E4C" w:rsidRPr="00EE5700" w:rsidRDefault="00655E4C" w:rsidP="00655E4C">
      <w:pPr>
        <w:pStyle w:val="Normal0"/>
        <w:spacing w:line="240" w:lineRule="auto"/>
        <w:rPr>
          <w:rFonts w:ascii="Arial" w:hAnsi="Arial" w:cs="Arial"/>
          <w:bCs/>
          <w:sz w:val="24"/>
          <w:szCs w:val="24"/>
          <w:highlight w:val="cyan"/>
          <w:lang w:eastAsia="en-GB"/>
        </w:rPr>
      </w:pPr>
    </w:p>
    <w:p w14:paraId="1E0CC51E" w14:textId="77777777" w:rsidR="00655E4C" w:rsidRPr="0097099A" w:rsidRDefault="00655E4C" w:rsidP="00655E4C">
      <w:pPr>
        <w:pStyle w:val="Heading5"/>
        <w:rPr>
          <w:lang w:eastAsia="en-GB"/>
        </w:rPr>
      </w:pPr>
      <w:r w:rsidRPr="0097099A">
        <w:rPr>
          <w:lang w:eastAsia="en-GB"/>
        </w:rPr>
        <w:t>1.9.3. Impairment</w:t>
      </w:r>
    </w:p>
    <w:p w14:paraId="6AF2D6DA" w14:textId="77777777" w:rsidR="00655E4C" w:rsidRPr="0097099A" w:rsidRDefault="00655E4C" w:rsidP="00655E4C">
      <w:pPr>
        <w:pStyle w:val="Normal0"/>
        <w:spacing w:line="240" w:lineRule="auto"/>
        <w:rPr>
          <w:rFonts w:ascii="Arial" w:hAnsi="Arial" w:cs="Arial"/>
          <w:b/>
          <w:bCs/>
          <w:sz w:val="24"/>
          <w:szCs w:val="24"/>
          <w:lang w:eastAsia="en-GB"/>
        </w:rPr>
      </w:pPr>
    </w:p>
    <w:p w14:paraId="012969ED"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Assets are assessed at each year-end as to whether there are indications that an asset may be impaired. Where reliable indications exist and differences are estimated to be material, the recoverable amount of the asset is estimated and, where this is less than the carrying amount of the asset, an impairment loss is recognised for the shortfall. Where impairment losses are identified, they are accounted for as follows:</w:t>
      </w:r>
    </w:p>
    <w:p w14:paraId="2CD15EF9" w14:textId="77777777" w:rsidR="00655E4C" w:rsidRPr="0097099A" w:rsidRDefault="00655E4C" w:rsidP="00655E4C">
      <w:pPr>
        <w:pStyle w:val="Normal0"/>
        <w:spacing w:line="240" w:lineRule="auto"/>
        <w:rPr>
          <w:rFonts w:ascii="Arial" w:hAnsi="Arial" w:cs="Arial"/>
          <w:bCs/>
          <w:sz w:val="24"/>
          <w:szCs w:val="24"/>
          <w:lang w:eastAsia="en-GB"/>
        </w:rPr>
      </w:pPr>
    </w:p>
    <w:p w14:paraId="773540EF" w14:textId="77777777" w:rsidR="00655E4C" w:rsidRPr="0097099A" w:rsidRDefault="00655E4C" w:rsidP="00EB27EB">
      <w:pPr>
        <w:pStyle w:val="ListParagraph"/>
        <w:numPr>
          <w:ilvl w:val="1"/>
          <w:numId w:val="20"/>
        </w:numPr>
        <w:spacing w:line="240" w:lineRule="auto"/>
        <w:ind w:left="851" w:hanging="567"/>
        <w:rPr>
          <w:rFonts w:ascii="Arial" w:hAnsi="Arial" w:cs="Arial"/>
          <w:bCs/>
          <w:sz w:val="24"/>
          <w:szCs w:val="24"/>
        </w:rPr>
      </w:pPr>
      <w:r w:rsidRPr="0097099A">
        <w:rPr>
          <w:rFonts w:ascii="Arial" w:hAnsi="Arial" w:cs="Arial"/>
          <w:bCs/>
          <w:sz w:val="24"/>
          <w:szCs w:val="24"/>
        </w:rPr>
        <w:t>where there is a balance of revaluation gains for the asset in the revaluation reserve, the carrying amount of the asset is written down against that balance (up to the amount of the accumulated gains);</w:t>
      </w:r>
    </w:p>
    <w:p w14:paraId="51090B4B" w14:textId="77777777" w:rsidR="00655E4C" w:rsidRPr="0097099A" w:rsidRDefault="00655E4C" w:rsidP="00655E4C">
      <w:pPr>
        <w:pStyle w:val="ListParagraph"/>
        <w:spacing w:line="240" w:lineRule="auto"/>
        <w:ind w:left="851"/>
        <w:rPr>
          <w:rFonts w:ascii="Arial" w:hAnsi="Arial" w:cs="Arial"/>
          <w:bCs/>
          <w:sz w:val="24"/>
          <w:szCs w:val="24"/>
        </w:rPr>
      </w:pPr>
    </w:p>
    <w:p w14:paraId="63032538" w14:textId="77777777" w:rsidR="00655E4C" w:rsidRPr="0097099A" w:rsidRDefault="00655E4C" w:rsidP="00EB27EB">
      <w:pPr>
        <w:pStyle w:val="ListParagraph"/>
        <w:numPr>
          <w:ilvl w:val="1"/>
          <w:numId w:val="20"/>
        </w:numPr>
        <w:spacing w:line="240" w:lineRule="auto"/>
        <w:ind w:left="851" w:hanging="567"/>
        <w:rPr>
          <w:rFonts w:ascii="Arial" w:hAnsi="Arial" w:cs="Arial"/>
          <w:bCs/>
          <w:sz w:val="24"/>
          <w:szCs w:val="24"/>
        </w:rPr>
      </w:pPr>
      <w:r w:rsidRPr="0097099A">
        <w:rPr>
          <w:rFonts w:ascii="Arial" w:hAnsi="Arial" w:cs="Arial"/>
          <w:bCs/>
          <w:sz w:val="24"/>
          <w:szCs w:val="24"/>
        </w:rPr>
        <w:t>where there is no balance in the revaluation reserve or an insufficient balance, the carrying amount of the asset is written down against the relevant service line(s) in the comprehensive income and expenditure statement.</w:t>
      </w:r>
    </w:p>
    <w:p w14:paraId="0AB7C18B"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14:paraId="4688B010" w14:textId="77777777" w:rsidR="00655E4C" w:rsidRPr="0097099A" w:rsidRDefault="00655E4C" w:rsidP="00655E4C">
      <w:pPr>
        <w:rPr>
          <w:rFonts w:ascii="Arial" w:eastAsiaTheme="minorHAnsi" w:hAnsi="Arial" w:cs="Arial"/>
          <w:b/>
          <w:bCs/>
          <w:lang w:val="en-US" w:eastAsia="en-GB"/>
        </w:rPr>
      </w:pPr>
    </w:p>
    <w:p w14:paraId="04D722FE" w14:textId="77777777" w:rsidR="00655E4C" w:rsidRPr="0097099A" w:rsidRDefault="00655E4C" w:rsidP="00655E4C">
      <w:pPr>
        <w:pStyle w:val="Heading5"/>
        <w:rPr>
          <w:lang w:eastAsia="en-GB"/>
        </w:rPr>
      </w:pPr>
      <w:r w:rsidRPr="0097099A">
        <w:rPr>
          <w:lang w:eastAsia="en-GB"/>
        </w:rPr>
        <w:lastRenderedPageBreak/>
        <w:t>1.9.4. Depreciation</w:t>
      </w:r>
    </w:p>
    <w:p w14:paraId="4C662132" w14:textId="77777777" w:rsidR="00655E4C" w:rsidRPr="0097099A" w:rsidRDefault="00655E4C" w:rsidP="00655E4C">
      <w:pPr>
        <w:pStyle w:val="Normal0"/>
        <w:spacing w:line="240" w:lineRule="auto"/>
        <w:rPr>
          <w:rFonts w:ascii="Arial" w:hAnsi="Arial" w:cs="Arial"/>
          <w:b/>
          <w:bCs/>
          <w:sz w:val="24"/>
          <w:szCs w:val="24"/>
          <w:lang w:eastAsia="en-GB"/>
        </w:rPr>
      </w:pPr>
    </w:p>
    <w:p w14:paraId="05145A7A"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 xml:space="preserve">Depreciation is provided for on all property, </w:t>
      </w:r>
      <w:proofErr w:type="gramStart"/>
      <w:r w:rsidRPr="0097099A">
        <w:rPr>
          <w:rFonts w:ascii="Arial" w:hAnsi="Arial" w:cs="Arial"/>
          <w:bCs/>
          <w:sz w:val="24"/>
          <w:szCs w:val="24"/>
          <w:lang w:eastAsia="en-GB"/>
        </w:rPr>
        <w:t>plant</w:t>
      </w:r>
      <w:proofErr w:type="gramEnd"/>
      <w:r w:rsidRPr="0097099A">
        <w:rPr>
          <w:rFonts w:ascii="Arial" w:hAnsi="Arial" w:cs="Arial"/>
          <w:bCs/>
          <w:sz w:val="24"/>
          <w:szCs w:val="24"/>
          <w:lang w:eastAsia="en-GB"/>
        </w:rPr>
        <w:t xml:space="preserve"> and equipment assets by the systematic allocation of their depreciable amounts over their useful lives. An exception is made for assets without a determinable finite useful life (i.e. freehold land) and assets that are not yet available for use (i.e. assets under construction).</w:t>
      </w:r>
    </w:p>
    <w:p w14:paraId="78DFAF97" w14:textId="77777777" w:rsidR="00655E4C" w:rsidRPr="0097099A" w:rsidRDefault="00655E4C" w:rsidP="00655E4C">
      <w:pPr>
        <w:pStyle w:val="Normal0"/>
        <w:spacing w:line="240" w:lineRule="auto"/>
        <w:rPr>
          <w:rFonts w:ascii="Arial" w:hAnsi="Arial" w:cs="Arial"/>
          <w:bCs/>
          <w:sz w:val="24"/>
          <w:szCs w:val="24"/>
          <w:lang w:eastAsia="en-GB"/>
        </w:rPr>
      </w:pPr>
    </w:p>
    <w:p w14:paraId="386039AE"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Depreciation is calculated on the following bases:</w:t>
      </w:r>
    </w:p>
    <w:p w14:paraId="5E918B92" w14:textId="77777777" w:rsidR="00655E4C" w:rsidRPr="0097099A" w:rsidRDefault="00655E4C" w:rsidP="00655E4C">
      <w:pPr>
        <w:pStyle w:val="Normal0"/>
        <w:spacing w:line="240" w:lineRule="auto"/>
        <w:rPr>
          <w:rFonts w:ascii="Arial" w:hAnsi="Arial" w:cs="Arial"/>
          <w:bCs/>
          <w:sz w:val="24"/>
          <w:szCs w:val="24"/>
          <w:lang w:eastAsia="en-GB"/>
        </w:rPr>
      </w:pPr>
    </w:p>
    <w:p w14:paraId="10A44532" w14:textId="77777777" w:rsidR="00655E4C" w:rsidRPr="0097099A" w:rsidRDefault="00655E4C" w:rsidP="00EB27EB">
      <w:pPr>
        <w:pStyle w:val="ListParagraph"/>
        <w:numPr>
          <w:ilvl w:val="0"/>
          <w:numId w:val="22"/>
        </w:numPr>
        <w:spacing w:after="0" w:line="240" w:lineRule="auto"/>
        <w:ind w:left="714" w:hanging="357"/>
        <w:rPr>
          <w:rFonts w:ascii="Arial" w:hAnsi="Arial" w:cs="Arial"/>
          <w:bCs/>
          <w:sz w:val="24"/>
          <w:szCs w:val="24"/>
        </w:rPr>
      </w:pPr>
      <w:r w:rsidRPr="0097099A">
        <w:rPr>
          <w:rFonts w:ascii="Arial" w:hAnsi="Arial" w:cs="Arial"/>
          <w:bCs/>
          <w:sz w:val="24"/>
          <w:szCs w:val="24"/>
        </w:rPr>
        <w:t xml:space="preserve">infrastructure assets – straight-line allocation over the useful life of the assets </w:t>
      </w:r>
    </w:p>
    <w:p w14:paraId="08FF4AE3" w14:textId="142A028F" w:rsidR="00655E4C" w:rsidRPr="0097099A" w:rsidRDefault="00655E4C" w:rsidP="00655E4C">
      <w:pPr>
        <w:ind w:left="720"/>
        <w:rPr>
          <w:rFonts w:ascii="Arial" w:hAnsi="Arial" w:cs="Arial"/>
          <w:bCs/>
          <w:lang w:eastAsia="en-GB"/>
        </w:rPr>
      </w:pPr>
      <w:r w:rsidRPr="0097099A">
        <w:rPr>
          <w:rFonts w:ascii="Arial" w:hAnsi="Arial" w:cs="Arial"/>
          <w:bCs/>
        </w:rPr>
        <w:t xml:space="preserve">(11 years) as estimated by </w:t>
      </w:r>
      <w:r w:rsidR="00EF5EF0">
        <w:rPr>
          <w:rFonts w:ascii="Arial" w:hAnsi="Arial" w:cs="Arial"/>
          <w:bCs/>
        </w:rPr>
        <w:t>a relevant expert</w:t>
      </w:r>
      <w:r w:rsidRPr="0097099A">
        <w:rPr>
          <w:rFonts w:ascii="Arial" w:hAnsi="Arial" w:cs="Arial"/>
          <w:bCs/>
        </w:rPr>
        <w:t>;</w:t>
      </w:r>
    </w:p>
    <w:p w14:paraId="44E89106" w14:textId="77777777" w:rsidR="00655E4C" w:rsidRPr="0097099A" w:rsidRDefault="00655E4C" w:rsidP="00655E4C">
      <w:pPr>
        <w:pStyle w:val="ListParagraph"/>
        <w:spacing w:line="240" w:lineRule="auto"/>
        <w:rPr>
          <w:rFonts w:ascii="Arial" w:hAnsi="Arial" w:cs="Arial"/>
          <w:bCs/>
          <w:sz w:val="24"/>
          <w:szCs w:val="24"/>
        </w:rPr>
      </w:pPr>
    </w:p>
    <w:p w14:paraId="2910739D" w14:textId="77777777" w:rsidR="00655E4C" w:rsidRPr="0097099A" w:rsidRDefault="00655E4C" w:rsidP="00EB27EB">
      <w:pPr>
        <w:pStyle w:val="ListParagraph"/>
        <w:numPr>
          <w:ilvl w:val="0"/>
          <w:numId w:val="22"/>
        </w:numPr>
        <w:spacing w:line="240" w:lineRule="auto"/>
        <w:rPr>
          <w:rFonts w:ascii="Arial" w:hAnsi="Arial" w:cs="Arial"/>
          <w:bCs/>
          <w:sz w:val="24"/>
          <w:szCs w:val="24"/>
        </w:rPr>
      </w:pPr>
      <w:r w:rsidRPr="0097099A">
        <w:rPr>
          <w:rFonts w:ascii="Arial" w:hAnsi="Arial" w:cs="Arial"/>
          <w:bCs/>
          <w:sz w:val="24"/>
          <w:szCs w:val="24"/>
        </w:rPr>
        <w:t>buildings – straight-line allocation over the useful life of the property (5 to 100 years) as estimated by the valuer; and</w:t>
      </w:r>
    </w:p>
    <w:p w14:paraId="77301F1B" w14:textId="77777777" w:rsidR="00655E4C" w:rsidRPr="0097099A" w:rsidRDefault="00655E4C" w:rsidP="00655E4C">
      <w:pPr>
        <w:pStyle w:val="ListParagraph"/>
        <w:spacing w:line="240" w:lineRule="auto"/>
        <w:rPr>
          <w:rFonts w:ascii="Arial" w:hAnsi="Arial" w:cs="Arial"/>
          <w:bCs/>
          <w:sz w:val="24"/>
          <w:szCs w:val="24"/>
        </w:rPr>
      </w:pPr>
    </w:p>
    <w:p w14:paraId="0C263D2E" w14:textId="77777777" w:rsidR="00655E4C" w:rsidRPr="0097099A" w:rsidRDefault="00655E4C" w:rsidP="00EB27EB">
      <w:pPr>
        <w:pStyle w:val="ListParagraph"/>
        <w:numPr>
          <w:ilvl w:val="0"/>
          <w:numId w:val="22"/>
        </w:numPr>
        <w:spacing w:line="240" w:lineRule="auto"/>
        <w:rPr>
          <w:rFonts w:ascii="Arial" w:hAnsi="Arial" w:cs="Arial"/>
          <w:bCs/>
          <w:sz w:val="24"/>
          <w:szCs w:val="24"/>
        </w:rPr>
      </w:pPr>
      <w:r w:rsidRPr="0097099A">
        <w:rPr>
          <w:rFonts w:ascii="Arial" w:hAnsi="Arial" w:cs="Arial"/>
          <w:bCs/>
          <w:sz w:val="24"/>
          <w:szCs w:val="24"/>
        </w:rPr>
        <w:t>vehicles, plant and equipment – straight-line allocation over the useful life of the asset (5 to 30 years) as advised by a suitably qualified officer.</w:t>
      </w:r>
    </w:p>
    <w:p w14:paraId="3205D69E" w14:textId="77777777" w:rsidR="00655E4C" w:rsidRPr="0097099A" w:rsidRDefault="00655E4C" w:rsidP="00655E4C">
      <w:pPr>
        <w:pStyle w:val="Normal0"/>
        <w:tabs>
          <w:tab w:val="left" w:pos="9195"/>
        </w:tabs>
        <w:spacing w:line="240" w:lineRule="auto"/>
        <w:rPr>
          <w:rFonts w:ascii="Arial" w:hAnsi="Arial" w:cs="Arial"/>
          <w:bCs/>
          <w:sz w:val="24"/>
          <w:szCs w:val="24"/>
          <w:lang w:eastAsia="en-GB"/>
        </w:rPr>
      </w:pPr>
      <w:r w:rsidRPr="0097099A">
        <w:rPr>
          <w:rFonts w:ascii="Arial" w:hAnsi="Arial" w:cs="Arial"/>
          <w:bCs/>
          <w:sz w:val="24"/>
          <w:szCs w:val="24"/>
          <w:lang w:eastAsia="en-GB"/>
        </w:rPr>
        <w:t>Where an item of property, plant and equipment asset has major components whose cost is significant in relation to the total cost of the item, the components are depreciated separately. Where there is more than one significant part of the same asset that has the same useful life and depreciation method, such parts may be grouped in determining the depreciation charge. In practice, this can be achieved by only separately accounting for significant components that have different useful lives. The requirement for componentisation for depreciation purposes is applicable to enhancement and acquisition expenditure incurred and revaluations carried out from 1 April 2010.</w:t>
      </w:r>
    </w:p>
    <w:p w14:paraId="25073B20" w14:textId="77777777" w:rsidR="00655E4C" w:rsidRPr="0097099A" w:rsidRDefault="00655E4C" w:rsidP="00655E4C">
      <w:pPr>
        <w:pStyle w:val="Normal0"/>
        <w:tabs>
          <w:tab w:val="left" w:pos="9195"/>
        </w:tabs>
        <w:spacing w:line="240" w:lineRule="auto"/>
        <w:rPr>
          <w:rFonts w:ascii="Arial" w:hAnsi="Arial" w:cs="Arial"/>
          <w:bCs/>
          <w:sz w:val="24"/>
          <w:szCs w:val="24"/>
          <w:lang w:eastAsia="en-GB"/>
        </w:rPr>
      </w:pPr>
    </w:p>
    <w:p w14:paraId="2173F84B"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14:paraId="79091B87" w14:textId="77777777" w:rsidR="00655E4C" w:rsidRPr="0097099A" w:rsidRDefault="00655E4C" w:rsidP="00655E4C">
      <w:pPr>
        <w:pStyle w:val="Normal0"/>
        <w:spacing w:line="240" w:lineRule="auto"/>
        <w:rPr>
          <w:rFonts w:ascii="Arial" w:hAnsi="Arial" w:cs="Arial"/>
          <w:bCs/>
          <w:sz w:val="24"/>
          <w:szCs w:val="24"/>
          <w:lang w:eastAsia="en-GB"/>
        </w:rPr>
      </w:pPr>
    </w:p>
    <w:p w14:paraId="6D71F26A" w14:textId="77777777" w:rsidR="00655E4C" w:rsidRPr="0097099A" w:rsidRDefault="00655E4C" w:rsidP="00655E4C">
      <w:pPr>
        <w:pStyle w:val="Heading5"/>
        <w:rPr>
          <w:lang w:eastAsia="en-GB"/>
        </w:rPr>
      </w:pPr>
      <w:r w:rsidRPr="0097099A">
        <w:rPr>
          <w:lang w:eastAsia="en-GB"/>
        </w:rPr>
        <w:t>1.9.5. Non-current assets held for sale</w:t>
      </w:r>
    </w:p>
    <w:p w14:paraId="476DCDC2" w14:textId="77777777" w:rsidR="00655E4C" w:rsidRPr="0097099A" w:rsidRDefault="00655E4C" w:rsidP="00655E4C">
      <w:pPr>
        <w:pStyle w:val="Normal0"/>
        <w:spacing w:line="240" w:lineRule="auto"/>
        <w:rPr>
          <w:rFonts w:ascii="Arial" w:hAnsi="Arial" w:cs="Arial"/>
          <w:b/>
          <w:bCs/>
          <w:sz w:val="24"/>
          <w:szCs w:val="24"/>
          <w:lang w:eastAsia="en-GB"/>
        </w:rPr>
      </w:pPr>
    </w:p>
    <w:p w14:paraId="5A7B720D"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previously recognised losses in the surplus or deficit on provision of services. Depreciation is not charged on assets held for sale. </w:t>
      </w:r>
    </w:p>
    <w:p w14:paraId="4CD3501D" w14:textId="77777777" w:rsidR="00655E4C" w:rsidRPr="0097099A" w:rsidRDefault="00655E4C" w:rsidP="00655E4C">
      <w:pPr>
        <w:pStyle w:val="Normal0"/>
        <w:spacing w:line="240" w:lineRule="auto"/>
        <w:rPr>
          <w:rFonts w:ascii="Arial" w:hAnsi="Arial" w:cs="Arial"/>
          <w:bCs/>
          <w:sz w:val="24"/>
          <w:szCs w:val="24"/>
          <w:lang w:eastAsia="en-GB"/>
        </w:rPr>
      </w:pPr>
    </w:p>
    <w:p w14:paraId="61B537E2"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 xml:space="preserve">If assets no longer meet the criteria to be classified as assets held for sale, they are reclassified back to non-current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 </w:t>
      </w:r>
    </w:p>
    <w:p w14:paraId="002DC0A8" w14:textId="77777777" w:rsidR="00655E4C" w:rsidRPr="0097099A" w:rsidRDefault="00655E4C" w:rsidP="00655E4C">
      <w:pPr>
        <w:pStyle w:val="Normal0"/>
        <w:spacing w:line="240" w:lineRule="auto"/>
        <w:rPr>
          <w:rFonts w:ascii="Arial" w:hAnsi="Arial" w:cs="Arial"/>
          <w:bCs/>
          <w:sz w:val="24"/>
          <w:szCs w:val="24"/>
          <w:lang w:eastAsia="en-GB"/>
        </w:rPr>
      </w:pPr>
    </w:p>
    <w:p w14:paraId="7644A18E"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lastRenderedPageBreak/>
        <w:t xml:space="preserve">Assets that are to be abandoned or scrapped are not reclassified as assets held for sale. </w:t>
      </w:r>
    </w:p>
    <w:p w14:paraId="41F6AB17" w14:textId="77777777" w:rsidR="00655E4C" w:rsidRPr="0097099A" w:rsidRDefault="00655E4C" w:rsidP="00655E4C">
      <w:pPr>
        <w:pStyle w:val="Normal0"/>
        <w:spacing w:line="240" w:lineRule="auto"/>
        <w:rPr>
          <w:rFonts w:ascii="Arial" w:hAnsi="Arial" w:cs="Arial"/>
          <w:b/>
          <w:bCs/>
          <w:sz w:val="24"/>
          <w:szCs w:val="24"/>
          <w:lang w:eastAsia="en-GB"/>
        </w:rPr>
      </w:pPr>
    </w:p>
    <w:p w14:paraId="2F0E65CD" w14:textId="77777777" w:rsidR="00655E4C" w:rsidRPr="0097099A" w:rsidRDefault="00655E4C" w:rsidP="00655E4C">
      <w:pPr>
        <w:pStyle w:val="Heading5"/>
        <w:rPr>
          <w:lang w:eastAsia="en-GB"/>
        </w:rPr>
      </w:pPr>
      <w:r w:rsidRPr="0097099A">
        <w:rPr>
          <w:lang w:eastAsia="en-GB"/>
        </w:rPr>
        <w:t xml:space="preserve">1.9.6. Disposals </w:t>
      </w:r>
    </w:p>
    <w:p w14:paraId="56643825" w14:textId="77777777" w:rsidR="00655E4C" w:rsidRPr="0097099A" w:rsidRDefault="00655E4C" w:rsidP="00655E4C">
      <w:pPr>
        <w:pStyle w:val="Normal0"/>
        <w:spacing w:line="240" w:lineRule="auto"/>
        <w:rPr>
          <w:rFonts w:ascii="Arial" w:hAnsi="Arial" w:cs="Arial"/>
          <w:b/>
          <w:bCs/>
          <w:sz w:val="24"/>
          <w:szCs w:val="24"/>
          <w:lang w:eastAsia="en-GB"/>
        </w:rPr>
      </w:pPr>
    </w:p>
    <w:p w14:paraId="5DCAD901"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disposals (if any) are credited to the same line in the comprehensive income and expenditure statement also as part of the gain or loss on disposal (i.e. netted off against the carrying value of the asset at the time of disposal). Any revaluation gains accumulated for the asset in the revaluation reserve are transferred to the capital adjustment account.</w:t>
      </w:r>
    </w:p>
    <w:p w14:paraId="49F3D4FA" w14:textId="77777777" w:rsidR="00655E4C" w:rsidRPr="0097099A" w:rsidRDefault="00655E4C" w:rsidP="00655E4C">
      <w:pPr>
        <w:pStyle w:val="Normal0"/>
        <w:spacing w:line="240" w:lineRule="auto"/>
        <w:rPr>
          <w:rFonts w:ascii="Arial" w:hAnsi="Arial" w:cs="Arial"/>
          <w:bCs/>
          <w:sz w:val="24"/>
          <w:szCs w:val="24"/>
          <w:lang w:eastAsia="en-GB"/>
        </w:rPr>
      </w:pPr>
    </w:p>
    <w:p w14:paraId="2A3E5DF4"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Amounts received for a disposal of £10,000 or more are categorised as capital receipts and credited to the Capital Receipts Reserve (CRR). They can then only be used for new capital investment or set aside to reduce the Authority's underlying need to borrow (the capital financing requirement). Receipts are appropriated to the Mayoral or GMCA CRR from the relevant Mayoral or GMCA balances in the movement in reserves statement.</w:t>
      </w:r>
    </w:p>
    <w:p w14:paraId="35A71908" w14:textId="77777777" w:rsidR="00655E4C" w:rsidRPr="0097099A" w:rsidRDefault="00655E4C" w:rsidP="00655E4C">
      <w:pPr>
        <w:pStyle w:val="Normal0"/>
        <w:spacing w:line="240" w:lineRule="auto"/>
        <w:rPr>
          <w:rFonts w:ascii="Arial" w:hAnsi="Arial" w:cs="Arial"/>
          <w:bCs/>
          <w:sz w:val="24"/>
          <w:szCs w:val="24"/>
          <w:lang w:eastAsia="en-GB"/>
        </w:rPr>
      </w:pPr>
    </w:p>
    <w:p w14:paraId="66781501" w14:textId="7FAECFB0" w:rsidR="00655E4C"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The written-off value of disposals is not a charge against statutory funding, as the cost of non-current assets is fully provided for under separate arrangements for capital financing. Amounts are appropriated to the capital adjustment account from the relevant general fund balance in the movement in reserves statement.</w:t>
      </w:r>
    </w:p>
    <w:p w14:paraId="7F02AD20" w14:textId="77777777" w:rsidR="00B006C9" w:rsidRPr="00EE5700" w:rsidRDefault="00B006C9" w:rsidP="00B006C9">
      <w:pPr>
        <w:pStyle w:val="Normal0"/>
        <w:tabs>
          <w:tab w:val="left" w:pos="9195"/>
        </w:tabs>
        <w:spacing w:line="240" w:lineRule="auto"/>
        <w:rPr>
          <w:rFonts w:ascii="Arial" w:hAnsi="Arial" w:cs="Arial"/>
          <w:bCs/>
          <w:sz w:val="24"/>
          <w:szCs w:val="24"/>
          <w:highlight w:val="cyan"/>
          <w:lang w:eastAsia="en-GB"/>
        </w:rPr>
      </w:pPr>
    </w:p>
    <w:p w14:paraId="24B8B2C4" w14:textId="1E556DDA" w:rsidR="00B006C9" w:rsidRPr="006E4D9B" w:rsidRDefault="00B006C9" w:rsidP="00431F6F">
      <w:pPr>
        <w:pStyle w:val="Heading5"/>
      </w:pPr>
      <w:r w:rsidRPr="0097099A">
        <w:t>1.</w:t>
      </w:r>
      <w:r w:rsidR="006E4D9B">
        <w:t>9.7</w:t>
      </w:r>
      <w:r w:rsidRPr="0097099A">
        <w:t xml:space="preserve">. </w:t>
      </w:r>
      <w:r w:rsidRPr="00597417">
        <w:t xml:space="preserve">Highways </w:t>
      </w:r>
      <w:r>
        <w:t>I</w:t>
      </w:r>
      <w:r w:rsidRPr="00597417">
        <w:t xml:space="preserve">nfrastructure </w:t>
      </w:r>
      <w:r>
        <w:t>A</w:t>
      </w:r>
      <w:r w:rsidRPr="00597417">
        <w:t xml:space="preserve">ssets </w:t>
      </w:r>
    </w:p>
    <w:p w14:paraId="6900E729" w14:textId="77777777" w:rsidR="001F3CE0" w:rsidRPr="00431F6F" w:rsidRDefault="001F3CE0" w:rsidP="00431F6F">
      <w:pPr>
        <w:pStyle w:val="Normal0"/>
        <w:spacing w:line="240" w:lineRule="auto"/>
        <w:rPr>
          <w:lang w:eastAsia="en-GB"/>
        </w:rPr>
      </w:pPr>
    </w:p>
    <w:p w14:paraId="6098BC82" w14:textId="76040294" w:rsidR="00D3393B" w:rsidRPr="00886644" w:rsidRDefault="00D3393B" w:rsidP="00D3393B">
      <w:pPr>
        <w:rPr>
          <w:rFonts w:ascii="Arial" w:eastAsiaTheme="minorHAnsi" w:hAnsi="Arial" w:cs="Arial"/>
        </w:rPr>
      </w:pPr>
      <w:r w:rsidRPr="004F68FF">
        <w:rPr>
          <w:rFonts w:ascii="Arial" w:hAnsi="Arial" w:cs="Arial"/>
        </w:rPr>
        <w:t>Highways infrastructure assets include traffic</w:t>
      </w:r>
      <w:r w:rsidR="002914CC">
        <w:rPr>
          <w:rFonts w:ascii="Arial" w:hAnsi="Arial" w:cs="Arial"/>
        </w:rPr>
        <w:t xml:space="preserve"> signals</w:t>
      </w:r>
      <w:r>
        <w:rPr>
          <w:rFonts w:ascii="Arial" w:hAnsi="Arial" w:cs="Arial"/>
        </w:rPr>
        <w:t>,</w:t>
      </w:r>
      <w:r w:rsidRPr="004F68FF">
        <w:rPr>
          <w:rFonts w:ascii="Arial" w:hAnsi="Arial" w:cs="Arial"/>
        </w:rPr>
        <w:t xml:space="preserve"> </w:t>
      </w:r>
      <w:r>
        <w:rPr>
          <w:rFonts w:ascii="Arial" w:hAnsi="Arial" w:cs="Arial"/>
        </w:rPr>
        <w:t>tram</w:t>
      </w:r>
      <w:r w:rsidRPr="00886644">
        <w:rPr>
          <w:rFonts w:ascii="Arial" w:eastAsiaTheme="minorHAnsi" w:hAnsi="Arial" w:cs="Arial"/>
        </w:rPr>
        <w:t xml:space="preserve"> network</w:t>
      </w:r>
      <w:r>
        <w:rPr>
          <w:rFonts w:ascii="Arial" w:hAnsi="Arial" w:cs="Arial"/>
        </w:rPr>
        <w:t>s</w:t>
      </w:r>
      <w:r w:rsidRPr="00886644">
        <w:rPr>
          <w:rFonts w:ascii="Arial" w:eastAsiaTheme="minorHAnsi" w:hAnsi="Arial" w:cs="Arial"/>
        </w:rPr>
        <w:t xml:space="preserve">, </w:t>
      </w:r>
      <w:r>
        <w:rPr>
          <w:rFonts w:ascii="Arial" w:hAnsi="Arial" w:cs="Arial"/>
        </w:rPr>
        <w:t>bus i</w:t>
      </w:r>
      <w:r w:rsidRPr="00886644">
        <w:rPr>
          <w:rFonts w:ascii="Arial" w:eastAsiaTheme="minorHAnsi" w:hAnsi="Arial" w:cs="Arial"/>
        </w:rPr>
        <w:t xml:space="preserve">nterchanges and </w:t>
      </w:r>
      <w:r>
        <w:rPr>
          <w:rFonts w:ascii="Arial" w:hAnsi="Arial" w:cs="Arial"/>
        </w:rPr>
        <w:t>b</w:t>
      </w:r>
      <w:r w:rsidRPr="00886644">
        <w:rPr>
          <w:rFonts w:ascii="Arial" w:eastAsiaTheme="minorHAnsi" w:hAnsi="Arial" w:cs="Arial"/>
        </w:rPr>
        <w:t xml:space="preserve">us </w:t>
      </w:r>
      <w:r>
        <w:rPr>
          <w:rFonts w:ascii="Arial" w:hAnsi="Arial" w:cs="Arial"/>
        </w:rPr>
        <w:t>s</w:t>
      </w:r>
      <w:r w:rsidRPr="00886644">
        <w:rPr>
          <w:rFonts w:ascii="Arial" w:eastAsiaTheme="minorHAnsi" w:hAnsi="Arial" w:cs="Arial"/>
        </w:rPr>
        <w:t xml:space="preserve">tations, </w:t>
      </w:r>
      <w:r>
        <w:rPr>
          <w:rFonts w:ascii="Arial" w:hAnsi="Arial" w:cs="Arial"/>
        </w:rPr>
        <w:t>g</w:t>
      </w:r>
      <w:r w:rsidRPr="00886644">
        <w:rPr>
          <w:rFonts w:ascii="Arial" w:eastAsiaTheme="minorHAnsi" w:hAnsi="Arial" w:cs="Arial"/>
        </w:rPr>
        <w:t>uided busway</w:t>
      </w:r>
      <w:r>
        <w:rPr>
          <w:rFonts w:ascii="Arial" w:hAnsi="Arial" w:cs="Arial"/>
        </w:rPr>
        <w:t>s</w:t>
      </w:r>
      <w:r w:rsidRPr="00886644">
        <w:rPr>
          <w:rFonts w:ascii="Arial" w:eastAsiaTheme="minorHAnsi" w:hAnsi="Arial" w:cs="Arial"/>
        </w:rPr>
        <w:t xml:space="preserve"> and cycle hubs.</w:t>
      </w:r>
    </w:p>
    <w:p w14:paraId="0186E43F" w14:textId="048F5DB9" w:rsidR="00B006C9" w:rsidRDefault="00B006C9" w:rsidP="00B006C9">
      <w:pPr>
        <w:pStyle w:val="Standard"/>
      </w:pPr>
    </w:p>
    <w:p w14:paraId="0193F6F4" w14:textId="5E23086F" w:rsidR="00B006C9" w:rsidRDefault="00B006C9" w:rsidP="001F3CE0">
      <w:pPr>
        <w:pStyle w:val="Heading5"/>
        <w:rPr>
          <w:lang w:eastAsia="en-GB"/>
        </w:rPr>
      </w:pPr>
      <w:r w:rsidRPr="0097099A">
        <w:rPr>
          <w:lang w:eastAsia="en-GB"/>
        </w:rPr>
        <w:t>1.</w:t>
      </w:r>
      <w:r w:rsidR="006E4D9B">
        <w:rPr>
          <w:lang w:eastAsia="en-GB"/>
        </w:rPr>
        <w:t>9</w:t>
      </w:r>
      <w:r w:rsidRPr="0097099A">
        <w:rPr>
          <w:lang w:eastAsia="en-GB"/>
        </w:rPr>
        <w:t>.</w:t>
      </w:r>
      <w:r w:rsidR="006E4D9B">
        <w:rPr>
          <w:lang w:eastAsia="en-GB"/>
        </w:rPr>
        <w:t>8</w:t>
      </w:r>
      <w:r w:rsidRPr="0097099A">
        <w:rPr>
          <w:lang w:eastAsia="en-GB"/>
        </w:rPr>
        <w:t>. Recognition</w:t>
      </w:r>
    </w:p>
    <w:p w14:paraId="6098F6C2" w14:textId="77777777" w:rsidR="001F3CE0" w:rsidRPr="001F3CE0" w:rsidRDefault="001F3CE0" w:rsidP="00431F6F">
      <w:pPr>
        <w:rPr>
          <w:lang w:eastAsia="en-GB"/>
        </w:rPr>
      </w:pPr>
    </w:p>
    <w:p w14:paraId="4A426D28" w14:textId="164247C3" w:rsidR="00B006C9" w:rsidRDefault="00B006C9" w:rsidP="001F3CE0">
      <w:pPr>
        <w:pStyle w:val="Normal0"/>
        <w:spacing w:line="240" w:lineRule="auto"/>
        <w:rPr>
          <w:rFonts w:ascii="Arial" w:hAnsi="Arial" w:cs="Arial"/>
          <w:sz w:val="24"/>
          <w:szCs w:val="24"/>
          <w:lang w:eastAsia="en-GB"/>
        </w:rPr>
      </w:pPr>
      <w:r w:rsidRPr="00431F6F">
        <w:rPr>
          <w:rFonts w:ascii="Arial" w:hAnsi="Arial" w:cs="Arial"/>
          <w:sz w:val="24"/>
          <w:szCs w:val="24"/>
          <w:lang w:eastAsia="en-GB"/>
        </w:rPr>
        <w:t xml:space="preserve">Expenditure on the acquisition or replacement of components of the network is capitalised on an accrual basis, </w:t>
      </w:r>
      <w:proofErr w:type="gramStart"/>
      <w:r w:rsidRPr="00431F6F">
        <w:rPr>
          <w:rFonts w:ascii="Arial" w:hAnsi="Arial" w:cs="Arial"/>
          <w:sz w:val="24"/>
          <w:szCs w:val="24"/>
          <w:lang w:eastAsia="en-GB"/>
        </w:rPr>
        <w:t>provided that</w:t>
      </w:r>
      <w:proofErr w:type="gramEnd"/>
      <w:r w:rsidRPr="00431F6F">
        <w:rPr>
          <w:rFonts w:ascii="Arial" w:hAnsi="Arial" w:cs="Arial"/>
          <w:sz w:val="24"/>
          <w:szCs w:val="24"/>
          <w:lang w:eastAsia="en-GB"/>
        </w:rPr>
        <w:t xml:space="preserve"> it is probable that the future economic benefits associated with the item will flow to the authority and the cost of the item can be measured reliably. </w:t>
      </w:r>
    </w:p>
    <w:p w14:paraId="07C7CF12" w14:textId="77777777" w:rsidR="001F3CE0" w:rsidRPr="00431F6F" w:rsidRDefault="001F3CE0" w:rsidP="00431F6F">
      <w:pPr>
        <w:pStyle w:val="Normal0"/>
        <w:spacing w:line="240" w:lineRule="auto"/>
        <w:rPr>
          <w:b/>
          <w:bCs/>
          <w:lang w:eastAsia="en-GB"/>
        </w:rPr>
      </w:pPr>
    </w:p>
    <w:p w14:paraId="24A57A21" w14:textId="6818A3FF" w:rsidR="00B006C9" w:rsidRDefault="00B006C9" w:rsidP="001F3CE0">
      <w:pPr>
        <w:pStyle w:val="Heading5"/>
        <w:rPr>
          <w:lang w:eastAsia="en-GB"/>
        </w:rPr>
      </w:pPr>
      <w:r>
        <w:rPr>
          <w:lang w:eastAsia="en-GB"/>
        </w:rPr>
        <w:t>1</w:t>
      </w:r>
      <w:r w:rsidRPr="0097099A">
        <w:rPr>
          <w:lang w:eastAsia="en-GB"/>
        </w:rPr>
        <w:t>.</w:t>
      </w:r>
      <w:r w:rsidR="006E4D9B">
        <w:rPr>
          <w:lang w:eastAsia="en-GB"/>
        </w:rPr>
        <w:t>9</w:t>
      </w:r>
      <w:r w:rsidRPr="0097099A">
        <w:rPr>
          <w:lang w:eastAsia="en-GB"/>
        </w:rPr>
        <w:t>.</w:t>
      </w:r>
      <w:r w:rsidR="006E4D9B">
        <w:rPr>
          <w:lang w:eastAsia="en-GB"/>
        </w:rPr>
        <w:t>9.</w:t>
      </w:r>
      <w:r w:rsidRPr="0097099A">
        <w:rPr>
          <w:lang w:eastAsia="en-GB"/>
        </w:rPr>
        <w:t xml:space="preserve"> </w:t>
      </w:r>
      <w:r>
        <w:rPr>
          <w:lang w:eastAsia="en-GB"/>
        </w:rPr>
        <w:t>Measurement</w:t>
      </w:r>
    </w:p>
    <w:p w14:paraId="56D612B0" w14:textId="77777777" w:rsidR="001F3CE0" w:rsidRPr="001F3CE0" w:rsidRDefault="001F3CE0" w:rsidP="00431F6F">
      <w:pPr>
        <w:rPr>
          <w:lang w:eastAsia="en-GB"/>
        </w:rPr>
      </w:pPr>
    </w:p>
    <w:p w14:paraId="5AE83111" w14:textId="232E05BA" w:rsidR="00B006C9" w:rsidRPr="00B36E46" w:rsidRDefault="00B006C9" w:rsidP="001F3CE0">
      <w:pPr>
        <w:pStyle w:val="Normal0"/>
        <w:spacing w:line="240" w:lineRule="auto"/>
        <w:rPr>
          <w:rFonts w:ascii="Arial" w:hAnsi="Arial" w:cs="Arial"/>
          <w:sz w:val="24"/>
          <w:szCs w:val="24"/>
          <w:lang w:eastAsia="en-GB"/>
        </w:rPr>
      </w:pPr>
      <w:r w:rsidRPr="00431F6F">
        <w:rPr>
          <w:rFonts w:ascii="Arial" w:hAnsi="Arial" w:cs="Arial"/>
          <w:sz w:val="24"/>
          <w:szCs w:val="24"/>
          <w:lang w:eastAsia="en-GB"/>
        </w:rPr>
        <w:t>Highways infrastructure assets are generally measured at depreciated historical cost. However, this is a modified form of historical cost. Opening balances for highways infrastructure assets were originally recorded in balance sheets at amounts of capital undischarged for sums borrowed as at</w:t>
      </w:r>
      <w:r w:rsidR="00B36E46">
        <w:rPr>
          <w:rFonts w:ascii="Arial" w:hAnsi="Arial" w:cs="Arial"/>
          <w:sz w:val="24"/>
          <w:szCs w:val="24"/>
          <w:lang w:eastAsia="en-GB"/>
        </w:rPr>
        <w:t xml:space="preserve"> </w:t>
      </w:r>
      <w:r w:rsidRPr="00431F6F">
        <w:rPr>
          <w:rFonts w:ascii="Arial" w:hAnsi="Arial" w:cs="Arial"/>
          <w:sz w:val="24"/>
          <w:szCs w:val="24"/>
          <w:lang w:eastAsia="en-GB"/>
        </w:rPr>
        <w:t>1 April 1994 England and Scotland</w:t>
      </w:r>
      <w:r w:rsidR="00126B18">
        <w:rPr>
          <w:rFonts w:ascii="Arial" w:hAnsi="Arial" w:cs="Arial"/>
          <w:sz w:val="24"/>
          <w:szCs w:val="24"/>
          <w:lang w:eastAsia="en-GB"/>
        </w:rPr>
        <w:t>,</w:t>
      </w:r>
      <w:r w:rsidR="009E0091">
        <w:rPr>
          <w:rFonts w:ascii="Arial" w:hAnsi="Arial" w:cs="Arial"/>
          <w:sz w:val="24"/>
          <w:szCs w:val="24"/>
          <w:lang w:eastAsia="en-GB"/>
        </w:rPr>
        <w:t xml:space="preserve"> </w:t>
      </w:r>
      <w:r w:rsidRPr="00431F6F">
        <w:rPr>
          <w:rFonts w:ascii="Arial" w:hAnsi="Arial" w:cs="Arial"/>
          <w:sz w:val="24"/>
          <w:szCs w:val="24"/>
          <w:lang w:eastAsia="en-GB"/>
        </w:rPr>
        <w:t>which was deemed at that time to be historical cost. Where impairment losses are identified, they are accounted</w:t>
      </w:r>
      <w:r w:rsidRPr="00431F6F">
        <w:rPr>
          <w:rFonts w:ascii="Arial" w:hAnsi="Arial" w:cs="Times New Roman"/>
          <w:sz w:val="24"/>
          <w:szCs w:val="24"/>
          <w:lang w:eastAsia="en-GB"/>
        </w:rPr>
        <w:t xml:space="preserve"> for by the carrying amount of the asset being written down to the recoverable amount. </w:t>
      </w:r>
    </w:p>
    <w:p w14:paraId="11057659" w14:textId="7385F3D3" w:rsidR="001F3CE0" w:rsidRDefault="001F3CE0" w:rsidP="001F3CE0">
      <w:pPr>
        <w:pStyle w:val="Normal0"/>
        <w:spacing w:line="240" w:lineRule="auto"/>
        <w:rPr>
          <w:rFonts w:ascii="Arial" w:hAnsi="Arial" w:cs="Times New Roman"/>
          <w:sz w:val="24"/>
          <w:szCs w:val="24"/>
          <w:lang w:eastAsia="en-GB"/>
        </w:rPr>
      </w:pPr>
    </w:p>
    <w:p w14:paraId="74E7D465" w14:textId="6CCEC1A6" w:rsidR="001F3CE0" w:rsidRDefault="001F3CE0" w:rsidP="00431F6F">
      <w:pPr>
        <w:pStyle w:val="Normal0"/>
        <w:spacing w:line="240" w:lineRule="auto"/>
        <w:rPr>
          <w:rFonts w:ascii="Arial" w:hAnsi="Arial" w:cs="Times New Roman"/>
          <w:lang w:eastAsia="en-GB"/>
        </w:rPr>
      </w:pPr>
    </w:p>
    <w:p w14:paraId="52E7FAF5" w14:textId="77777777" w:rsidR="007E4DDF" w:rsidRPr="00431F6F" w:rsidRDefault="007E4DDF" w:rsidP="00431F6F">
      <w:pPr>
        <w:pStyle w:val="Normal0"/>
        <w:spacing w:line="240" w:lineRule="auto"/>
        <w:rPr>
          <w:rFonts w:ascii="Arial" w:hAnsi="Arial" w:cs="Times New Roman"/>
          <w:lang w:eastAsia="en-GB"/>
        </w:rPr>
      </w:pPr>
    </w:p>
    <w:p w14:paraId="390FC3AF" w14:textId="55398722" w:rsidR="00B006C9" w:rsidRDefault="00B006C9" w:rsidP="001F3CE0">
      <w:pPr>
        <w:pStyle w:val="Heading5"/>
        <w:rPr>
          <w:lang w:eastAsia="en-GB"/>
        </w:rPr>
      </w:pPr>
      <w:r>
        <w:rPr>
          <w:lang w:eastAsia="en-GB"/>
        </w:rPr>
        <w:lastRenderedPageBreak/>
        <w:t>1</w:t>
      </w:r>
      <w:r w:rsidRPr="0097099A">
        <w:rPr>
          <w:lang w:eastAsia="en-GB"/>
        </w:rPr>
        <w:t>.</w:t>
      </w:r>
      <w:r w:rsidR="006E4D9B">
        <w:rPr>
          <w:lang w:eastAsia="en-GB"/>
        </w:rPr>
        <w:t>9</w:t>
      </w:r>
      <w:r w:rsidRPr="0097099A">
        <w:rPr>
          <w:lang w:eastAsia="en-GB"/>
        </w:rPr>
        <w:t>.</w:t>
      </w:r>
      <w:r w:rsidR="006E4D9B">
        <w:rPr>
          <w:lang w:eastAsia="en-GB"/>
        </w:rPr>
        <w:t>10</w:t>
      </w:r>
      <w:r w:rsidRPr="0097099A">
        <w:rPr>
          <w:lang w:eastAsia="en-GB"/>
        </w:rPr>
        <w:t xml:space="preserve"> </w:t>
      </w:r>
      <w:r>
        <w:rPr>
          <w:lang w:eastAsia="en-GB"/>
        </w:rPr>
        <w:t>Depreciation</w:t>
      </w:r>
    </w:p>
    <w:p w14:paraId="69CB2484" w14:textId="77777777" w:rsidR="001F3CE0" w:rsidRPr="001F3CE0" w:rsidRDefault="001F3CE0" w:rsidP="00431F6F">
      <w:pPr>
        <w:rPr>
          <w:lang w:eastAsia="en-GB"/>
        </w:rPr>
      </w:pPr>
    </w:p>
    <w:p w14:paraId="2AEBE55A" w14:textId="77777777" w:rsidR="00E85440" w:rsidRPr="00431F6F" w:rsidRDefault="00E85440" w:rsidP="00E85440">
      <w:pPr>
        <w:rPr>
          <w:rFonts w:ascii="Arial" w:eastAsiaTheme="minorHAnsi" w:hAnsi="Arial"/>
          <w:lang w:val="en-US" w:eastAsia="en-GB"/>
        </w:rPr>
      </w:pPr>
      <w:r w:rsidRPr="00431F6F">
        <w:rPr>
          <w:rFonts w:ascii="Arial" w:eastAsiaTheme="minorHAnsi" w:hAnsi="Arial"/>
          <w:lang w:val="en-US" w:eastAsia="en-GB"/>
        </w:rPr>
        <w:t xml:space="preserve">Depreciation is provided on the parts of the highways network infrastructure assets that are subject to deterioration or depletion and by the systematic allocation of their depreciable amounts over their useful lives.  Depreciation is charged on a straight-line basis. </w:t>
      </w:r>
    </w:p>
    <w:p w14:paraId="36CA80F1" w14:textId="77777777" w:rsidR="00E85440" w:rsidRPr="00431F6F" w:rsidRDefault="00E85440" w:rsidP="00E85440">
      <w:pPr>
        <w:rPr>
          <w:rFonts w:ascii="Arial" w:eastAsiaTheme="minorHAnsi" w:hAnsi="Arial"/>
          <w:lang w:val="en-US" w:eastAsia="en-GB"/>
        </w:rPr>
      </w:pPr>
    </w:p>
    <w:p w14:paraId="11C16FD3" w14:textId="1E2A0638" w:rsidR="00E85440" w:rsidRPr="00431F6F" w:rsidRDefault="00E85440" w:rsidP="00E85440">
      <w:pPr>
        <w:rPr>
          <w:rFonts w:ascii="Arial" w:eastAsiaTheme="minorHAnsi" w:hAnsi="Arial"/>
          <w:lang w:val="en-US" w:eastAsia="en-GB"/>
        </w:rPr>
      </w:pPr>
      <w:r w:rsidRPr="00431F6F">
        <w:rPr>
          <w:rFonts w:ascii="Arial" w:eastAsiaTheme="minorHAnsi" w:hAnsi="Arial"/>
          <w:lang w:val="en-US" w:eastAsia="en-GB"/>
        </w:rPr>
        <w:t>Annual depreciation is the depreciation amount allocated each year and the useful li</w:t>
      </w:r>
      <w:r w:rsidR="0084483A">
        <w:rPr>
          <w:rFonts w:ascii="Arial" w:eastAsiaTheme="minorHAnsi" w:hAnsi="Arial"/>
          <w:lang w:val="en-US" w:eastAsia="en-GB"/>
        </w:rPr>
        <w:t>f</w:t>
      </w:r>
      <w:r w:rsidRPr="00431F6F">
        <w:rPr>
          <w:rFonts w:ascii="Arial" w:eastAsiaTheme="minorHAnsi" w:hAnsi="Arial"/>
          <w:lang w:val="en-US" w:eastAsia="en-GB"/>
        </w:rPr>
        <w:t>e of a Traffic Signal is estimated to be 11 years.</w:t>
      </w:r>
    </w:p>
    <w:p w14:paraId="22373D4F" w14:textId="2D4765B5" w:rsidR="00E85440" w:rsidRDefault="00E85440" w:rsidP="00431F6F">
      <w:pPr>
        <w:rPr>
          <w:lang w:eastAsia="en-GB"/>
        </w:rPr>
      </w:pPr>
    </w:p>
    <w:p w14:paraId="6D562EE7" w14:textId="10C1296D" w:rsidR="00E85440" w:rsidRDefault="00E85440" w:rsidP="001F3CE0">
      <w:pPr>
        <w:pStyle w:val="Heading5"/>
        <w:rPr>
          <w:lang w:eastAsia="en-GB"/>
        </w:rPr>
      </w:pPr>
      <w:r>
        <w:rPr>
          <w:lang w:eastAsia="en-GB"/>
        </w:rPr>
        <w:t>1</w:t>
      </w:r>
      <w:r w:rsidRPr="0097099A">
        <w:rPr>
          <w:lang w:eastAsia="en-GB"/>
        </w:rPr>
        <w:t>.</w:t>
      </w:r>
      <w:r w:rsidR="006E4D9B">
        <w:rPr>
          <w:lang w:eastAsia="en-GB"/>
        </w:rPr>
        <w:t>9</w:t>
      </w:r>
      <w:r w:rsidRPr="0097099A">
        <w:rPr>
          <w:lang w:eastAsia="en-GB"/>
        </w:rPr>
        <w:t>.</w:t>
      </w:r>
      <w:r w:rsidR="006E4D9B">
        <w:rPr>
          <w:lang w:eastAsia="en-GB"/>
        </w:rPr>
        <w:t>11</w:t>
      </w:r>
      <w:r w:rsidRPr="0097099A">
        <w:rPr>
          <w:lang w:eastAsia="en-GB"/>
        </w:rPr>
        <w:t xml:space="preserve"> </w:t>
      </w:r>
      <w:r>
        <w:rPr>
          <w:lang w:eastAsia="en-GB"/>
        </w:rPr>
        <w:t>Disposals and derecognition</w:t>
      </w:r>
    </w:p>
    <w:p w14:paraId="3C3D02FC" w14:textId="77777777" w:rsidR="001F3CE0" w:rsidRPr="001F3CE0" w:rsidRDefault="001F3CE0" w:rsidP="00431F6F">
      <w:pPr>
        <w:rPr>
          <w:lang w:eastAsia="en-GB"/>
        </w:rPr>
      </w:pPr>
    </w:p>
    <w:p w14:paraId="33B8A079" w14:textId="77777777" w:rsidR="00E85440" w:rsidRPr="00431F6F" w:rsidRDefault="00E85440" w:rsidP="001F3CE0">
      <w:pPr>
        <w:rPr>
          <w:rFonts w:ascii="Arial" w:eastAsiaTheme="minorHAnsi" w:hAnsi="Arial"/>
          <w:lang w:val="en-US" w:eastAsia="en-GB"/>
        </w:rPr>
      </w:pPr>
      <w:r w:rsidRPr="00431F6F">
        <w:rPr>
          <w:rFonts w:ascii="Arial" w:eastAsiaTheme="minorHAnsi" w:hAnsi="Arial"/>
          <w:lang w:val="en-US" w:eastAsia="en-GB"/>
        </w:rPr>
        <w:t xml:space="preserve">When a component of the network is disposed of or decommissioned, the carrying amount of the component in the Balance Sheet is written off to the ‘Other operating expenditure’ line in the Comprehensive Income and Expenditure Statement as part of the gain or loss on disposal. </w:t>
      </w:r>
    </w:p>
    <w:p w14:paraId="4CF121B7" w14:textId="77777777" w:rsidR="00E85440" w:rsidRPr="00431F6F" w:rsidRDefault="00E85440" w:rsidP="001F3CE0">
      <w:pPr>
        <w:rPr>
          <w:rFonts w:ascii="Arial" w:eastAsiaTheme="minorHAnsi" w:hAnsi="Arial"/>
          <w:lang w:val="en-US" w:eastAsia="en-GB"/>
        </w:rPr>
      </w:pPr>
      <w:r w:rsidRPr="00431F6F">
        <w:rPr>
          <w:rFonts w:ascii="Arial" w:eastAsiaTheme="minorHAnsi" w:hAnsi="Arial"/>
          <w:lang w:val="en-US" w:eastAsia="en-GB"/>
        </w:rPr>
        <w:t xml:space="preserve">Receipts from disposals (if any) are credited to the same line in the Comprehensive Income and Expenditure Statement, also as part of the gain or loss on disposal (i.e. netted off against the carrying value of the asset at the time of disposal). </w:t>
      </w:r>
    </w:p>
    <w:p w14:paraId="59A74890" w14:textId="77777777" w:rsidR="00E85440" w:rsidRPr="004F68FF" w:rsidRDefault="00E85440" w:rsidP="00E85440">
      <w:pPr>
        <w:rPr>
          <w:rFonts w:ascii="Arial" w:hAnsi="Arial" w:cs="Arial"/>
        </w:rPr>
      </w:pPr>
    </w:p>
    <w:p w14:paraId="2B709CDD" w14:textId="593306B7" w:rsidR="005061FA" w:rsidRDefault="00E85440" w:rsidP="005061FA">
      <w:pPr>
        <w:rPr>
          <w:rFonts w:ascii="Arial" w:eastAsiaTheme="minorHAnsi" w:hAnsi="Arial"/>
          <w:lang w:val="en-US" w:eastAsia="en-GB"/>
        </w:rPr>
      </w:pPr>
      <w:r w:rsidRPr="005061FA">
        <w:rPr>
          <w:rFonts w:ascii="Arial" w:eastAsiaTheme="minorHAnsi" w:hAnsi="Arial"/>
          <w:lang w:val="en-US" w:eastAsia="en-GB"/>
        </w:rPr>
        <w:t>The written-off amounts of disposals are not a charge against the general fund, as the cost of non-current assets are fully provided for under separate arrangements for capital financing. Amounts are transferred to the capital adjustment account from the General Fund Balance in the Movement in Reserves Statement</w:t>
      </w:r>
    </w:p>
    <w:p w14:paraId="1595912B" w14:textId="77777777" w:rsidR="005061FA" w:rsidRPr="005061FA" w:rsidRDefault="005061FA" w:rsidP="005061FA">
      <w:pPr>
        <w:rPr>
          <w:rFonts w:ascii="Arial" w:eastAsiaTheme="minorHAnsi" w:hAnsi="Arial"/>
          <w:lang w:val="en-US" w:eastAsia="en-GB"/>
        </w:rPr>
      </w:pPr>
    </w:p>
    <w:p w14:paraId="28CFBD6D" w14:textId="4F201BC8" w:rsidR="00655E4C" w:rsidRPr="0097099A" w:rsidRDefault="00655E4C" w:rsidP="00655E4C">
      <w:pPr>
        <w:pStyle w:val="Heading4bold"/>
      </w:pPr>
      <w:r w:rsidRPr="0097099A">
        <w:t>1.</w:t>
      </w:r>
      <w:r w:rsidR="006E4D9B">
        <w:t>10</w:t>
      </w:r>
      <w:r w:rsidRPr="0097099A">
        <w:t>. Intangible Assets</w:t>
      </w:r>
    </w:p>
    <w:p w14:paraId="44A2D9DC" w14:textId="77777777" w:rsidR="00655E4C" w:rsidRPr="0097099A" w:rsidRDefault="00655E4C" w:rsidP="00655E4C">
      <w:pPr>
        <w:pStyle w:val="Standard"/>
      </w:pPr>
      <w:r w:rsidRPr="0097099A">
        <w:t>Expenditure on non-monetary assets that do not have physical substance but are controlled by the Authority as a result of past events (e.g. software licences) is capitalised when it is expected that future economic benefits or service potential will flow from the intangible asset to the Authority.</w:t>
      </w:r>
    </w:p>
    <w:p w14:paraId="368CAFE7" w14:textId="77777777" w:rsidR="00655E4C" w:rsidRPr="0097099A" w:rsidRDefault="00655E4C" w:rsidP="00655E4C">
      <w:pPr>
        <w:pStyle w:val="Standard"/>
      </w:pPr>
    </w:p>
    <w:p w14:paraId="4E4508BC" w14:textId="77777777" w:rsidR="00655E4C" w:rsidRPr="0097099A" w:rsidRDefault="00655E4C" w:rsidP="00655E4C">
      <w:pPr>
        <w:pStyle w:val="Standard"/>
      </w:pPr>
      <w:r w:rsidRPr="0097099A">
        <w:t>Internally generated assets are capitalised where it is demonstrable that the project is technically feasible and is intended to be completed (with adequate resources being available) and the Authority will be able to generate future economic benefits or deliver service potential by being able to sell or use the asset. Expenditure is capitalised where it can be measured reliably as attributable to the asset and is restricted to that incurred during the development phase (research expenditure cannot be capitalised). Expenditure on the development of websites is not capitalised if the website is solely or primarily intended to promote or advertise the Authority’s goods or services.</w:t>
      </w:r>
    </w:p>
    <w:p w14:paraId="496CE9A4" w14:textId="77777777" w:rsidR="00655E4C" w:rsidRPr="0097099A" w:rsidRDefault="00655E4C" w:rsidP="00655E4C">
      <w:pPr>
        <w:pStyle w:val="Standard"/>
      </w:pPr>
    </w:p>
    <w:p w14:paraId="6BAB1586" w14:textId="77777777" w:rsidR="00523C48" w:rsidRDefault="00655E4C" w:rsidP="00655E4C">
      <w:pPr>
        <w:pStyle w:val="Standard"/>
      </w:pPr>
      <w:r w:rsidRPr="0097099A">
        <w:t>Intangible assets are measured initially at cost. Amounts are only revalued where the fair value of the assets held by the Authority can be determined by reference to an active market. In practice, no intangible asset held by the Authority meets this criterion, and they are therefore carried at amortised cost. The depreciable amount of an intangible asset is amortised over its useful life to the relevant area in the Comprehensive Income and Expenditure Statement. An asset is tested for impairment whenever there is an indication that the asset might be impaired – any losses recognised are posted to the relevant area in the Comprehensive Income and Expenditure Statement. Any gain or</w:t>
      </w:r>
    </w:p>
    <w:p w14:paraId="6AC78BEA" w14:textId="16BCFFB9" w:rsidR="00655E4C" w:rsidRPr="0097099A" w:rsidRDefault="00655E4C" w:rsidP="00655E4C">
      <w:pPr>
        <w:pStyle w:val="Standard"/>
      </w:pPr>
      <w:r w:rsidRPr="0097099A">
        <w:lastRenderedPageBreak/>
        <w:t>loss arising on the disposal or abandonment of an intangible asset is posted to the Other Operating Expenditure line in the Comprehensive Income and Expenditure Statement.</w:t>
      </w:r>
    </w:p>
    <w:p w14:paraId="044F6E32" w14:textId="77777777" w:rsidR="00655E4C" w:rsidRPr="0007572B" w:rsidRDefault="00655E4C" w:rsidP="00655E4C">
      <w:pPr>
        <w:pStyle w:val="Standard"/>
      </w:pPr>
      <w:r w:rsidRPr="0097099A">
        <w:t>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76433413" w14:textId="77777777" w:rsidR="00655E4C" w:rsidRPr="0007572B" w:rsidRDefault="00655E4C" w:rsidP="00655E4C">
      <w:pPr>
        <w:rPr>
          <w:rFonts w:ascii="Arial" w:eastAsiaTheme="minorHAnsi" w:hAnsi="Arial" w:cs="Arial"/>
          <w:b/>
          <w:bCs/>
          <w:lang w:val="en-US" w:eastAsia="en-GB"/>
        </w:rPr>
      </w:pPr>
    </w:p>
    <w:p w14:paraId="0B31BAC9" w14:textId="4D0CE1AC" w:rsidR="00655E4C" w:rsidRPr="00EB1AAB" w:rsidRDefault="00655E4C" w:rsidP="00655E4C">
      <w:pPr>
        <w:pStyle w:val="Heading4bold"/>
        <w:rPr>
          <w:lang w:eastAsia="en-GB"/>
        </w:rPr>
      </w:pPr>
      <w:r w:rsidRPr="00EB1AAB">
        <w:rPr>
          <w:lang w:eastAsia="en-GB"/>
        </w:rPr>
        <w:t>1.1</w:t>
      </w:r>
      <w:r w:rsidR="006E4D9B">
        <w:rPr>
          <w:lang w:eastAsia="en-GB"/>
        </w:rPr>
        <w:t>1</w:t>
      </w:r>
      <w:r w:rsidRPr="00EB1AAB">
        <w:rPr>
          <w:lang w:eastAsia="en-GB"/>
        </w:rPr>
        <w:t>. Fair Value</w:t>
      </w:r>
    </w:p>
    <w:p w14:paraId="0DD76A7E" w14:textId="77777777" w:rsidR="00655E4C" w:rsidRPr="00EB1AAB" w:rsidRDefault="00655E4C" w:rsidP="00655E4C">
      <w:pPr>
        <w:tabs>
          <w:tab w:val="left" w:pos="9195"/>
        </w:tabs>
        <w:rPr>
          <w:rFonts w:ascii="Arial" w:eastAsia="Calibri" w:hAnsi="Arial" w:cs="Arial"/>
          <w:bCs/>
          <w:lang w:val="en-US" w:eastAsia="en-GB"/>
        </w:rPr>
      </w:pPr>
      <w:r w:rsidRPr="00EB1AAB">
        <w:rPr>
          <w:rFonts w:ascii="Arial" w:eastAsia="Calibri" w:hAnsi="Arial" w:cs="Arial"/>
          <w:bCs/>
          <w:lang w:val="en-US" w:eastAsia="en-GB"/>
        </w:rPr>
        <w:t>The Authority measures some of its non-financial assets, such as Investment Properties and Surplus Assets, and some of its financial instruments at fair value at each reporting date, if material.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1C1D2377" w14:textId="77777777" w:rsidR="00655E4C" w:rsidRPr="00EB1AAB" w:rsidRDefault="00655E4C" w:rsidP="00655E4C">
      <w:pPr>
        <w:tabs>
          <w:tab w:val="left" w:pos="9195"/>
        </w:tabs>
        <w:rPr>
          <w:rFonts w:ascii="Arial" w:eastAsia="Calibri" w:hAnsi="Arial" w:cs="Arial"/>
          <w:bCs/>
          <w:lang w:val="en-US" w:eastAsia="en-GB"/>
        </w:rPr>
      </w:pPr>
    </w:p>
    <w:p w14:paraId="24E64ED8" w14:textId="77777777" w:rsidR="00655E4C" w:rsidRPr="00EB1AAB" w:rsidRDefault="00655E4C" w:rsidP="00EB27EB">
      <w:pPr>
        <w:numPr>
          <w:ilvl w:val="0"/>
          <w:numId w:val="23"/>
        </w:numPr>
        <w:tabs>
          <w:tab w:val="left" w:pos="9195"/>
        </w:tabs>
        <w:spacing w:after="200"/>
        <w:contextualSpacing/>
        <w:rPr>
          <w:rFonts w:ascii="Arial" w:hAnsi="Arial" w:cs="Arial"/>
          <w:bCs/>
          <w:lang w:eastAsia="en-GB"/>
        </w:rPr>
      </w:pPr>
      <w:r w:rsidRPr="00EB1AAB">
        <w:rPr>
          <w:rFonts w:ascii="Arial" w:hAnsi="Arial" w:cs="Arial"/>
          <w:bCs/>
          <w:lang w:eastAsia="en-GB"/>
        </w:rPr>
        <w:t>In the principal market for the asset; or</w:t>
      </w:r>
    </w:p>
    <w:p w14:paraId="326B7A4E" w14:textId="77777777" w:rsidR="00655E4C" w:rsidRPr="00EB1AAB" w:rsidRDefault="00655E4C" w:rsidP="00EB27EB">
      <w:pPr>
        <w:numPr>
          <w:ilvl w:val="0"/>
          <w:numId w:val="23"/>
        </w:numPr>
        <w:tabs>
          <w:tab w:val="left" w:pos="9195"/>
        </w:tabs>
        <w:spacing w:after="200"/>
        <w:contextualSpacing/>
        <w:rPr>
          <w:rFonts w:ascii="Arial" w:hAnsi="Arial" w:cs="Arial"/>
          <w:bCs/>
          <w:lang w:eastAsia="en-GB"/>
        </w:rPr>
      </w:pPr>
      <w:r w:rsidRPr="00EB1AAB">
        <w:rPr>
          <w:rFonts w:ascii="Arial" w:hAnsi="Arial" w:cs="Arial"/>
          <w:bCs/>
          <w:lang w:eastAsia="en-GB"/>
        </w:rPr>
        <w:t>In the absence of a principal market, in the most advantageous market for the asset.</w:t>
      </w:r>
    </w:p>
    <w:p w14:paraId="603FC0E6" w14:textId="77777777" w:rsidR="00655E4C" w:rsidRPr="00EB1AAB" w:rsidRDefault="00655E4C" w:rsidP="00655E4C">
      <w:pPr>
        <w:tabs>
          <w:tab w:val="left" w:pos="9195"/>
        </w:tabs>
        <w:spacing w:after="200"/>
        <w:ind w:left="780"/>
        <w:contextualSpacing/>
        <w:rPr>
          <w:rFonts w:ascii="Arial" w:hAnsi="Arial" w:cs="Arial"/>
          <w:bCs/>
          <w:lang w:eastAsia="en-GB"/>
        </w:rPr>
      </w:pPr>
    </w:p>
    <w:p w14:paraId="08D82B19" w14:textId="77777777" w:rsidR="00655E4C" w:rsidRPr="00EB1AAB" w:rsidRDefault="00655E4C" w:rsidP="00655E4C">
      <w:pPr>
        <w:tabs>
          <w:tab w:val="left" w:pos="9195"/>
        </w:tabs>
        <w:rPr>
          <w:rFonts w:ascii="Arial" w:eastAsia="Calibri" w:hAnsi="Arial" w:cs="Arial"/>
          <w:bCs/>
          <w:lang w:val="en-US" w:eastAsia="en-GB"/>
        </w:rPr>
      </w:pPr>
      <w:r w:rsidRPr="00EB1AAB">
        <w:rPr>
          <w:rFonts w:ascii="Arial" w:eastAsia="Calibri" w:hAnsi="Arial" w:cs="Arial"/>
          <w:bCs/>
          <w:lang w:val="en-US" w:eastAsia="en-GB"/>
        </w:rPr>
        <w:t>The Authority uses valuers to provide a valuation of its assets and liabilities in line with the highest and best use definition within the accounting standard. The highest and best use of the asset or liability being valued is considered from the perspective of a market participant in terms of pricing (assuming those market participants were acting in their economic best interest).</w:t>
      </w:r>
    </w:p>
    <w:p w14:paraId="67FA1501" w14:textId="77777777" w:rsidR="00655E4C" w:rsidRPr="00EB1AAB" w:rsidRDefault="00655E4C" w:rsidP="00655E4C">
      <w:pPr>
        <w:tabs>
          <w:tab w:val="left" w:pos="9195"/>
        </w:tabs>
        <w:rPr>
          <w:rFonts w:ascii="Arial" w:eastAsia="Calibri" w:hAnsi="Arial" w:cs="Arial"/>
          <w:bCs/>
          <w:lang w:val="en-US" w:eastAsia="en-GB"/>
        </w:rPr>
      </w:pPr>
    </w:p>
    <w:p w14:paraId="0004A6AD" w14:textId="77777777" w:rsidR="00655E4C" w:rsidRPr="00EB1AAB" w:rsidRDefault="00655E4C" w:rsidP="00655E4C">
      <w:pPr>
        <w:tabs>
          <w:tab w:val="left" w:pos="9195"/>
        </w:tabs>
        <w:rPr>
          <w:rFonts w:ascii="Arial" w:eastAsia="Calibri" w:hAnsi="Arial" w:cs="Arial"/>
          <w:bCs/>
          <w:lang w:val="en-US" w:eastAsia="en-GB"/>
        </w:rPr>
      </w:pPr>
      <w:r w:rsidRPr="00EB1AAB">
        <w:rPr>
          <w:rFonts w:ascii="Arial" w:eastAsia="Calibri" w:hAnsi="Arial" w:cs="Arial"/>
          <w:bCs/>
          <w:lang w:val="en-US" w:eastAsia="en-GB"/>
        </w:rPr>
        <w:t xml:space="preserve">When measuring the fair value of a non-financial asset, the Authority </w:t>
      </w:r>
      <w:proofErr w:type="gramStart"/>
      <w:r w:rsidRPr="00EB1AAB">
        <w:rPr>
          <w:rFonts w:ascii="Arial" w:eastAsia="Calibri" w:hAnsi="Arial" w:cs="Arial"/>
          <w:bCs/>
          <w:lang w:val="en-US" w:eastAsia="en-GB"/>
        </w:rPr>
        <w:t>takes into account</w:t>
      </w:r>
      <w:proofErr w:type="gramEnd"/>
      <w:r w:rsidRPr="00EB1AAB">
        <w:rPr>
          <w:rFonts w:ascii="Arial" w:eastAsia="Calibri" w:hAnsi="Arial" w:cs="Arial"/>
          <w:bCs/>
          <w:lang w:val="en-US" w:eastAsia="en-GB"/>
        </w:rPr>
        <w:t xml:space="preserve"> a market participant’s ability to generate economic benefits by using the asset in its highest and best use or by selling it to another market participant that would use the asset in its highest and best use.</w:t>
      </w:r>
    </w:p>
    <w:p w14:paraId="4D7AF01F" w14:textId="77777777" w:rsidR="00655E4C" w:rsidRPr="00EB1AAB" w:rsidRDefault="00655E4C" w:rsidP="00655E4C">
      <w:pPr>
        <w:tabs>
          <w:tab w:val="left" w:pos="9195"/>
        </w:tabs>
        <w:rPr>
          <w:rFonts w:ascii="Arial" w:eastAsia="Calibri" w:hAnsi="Arial" w:cs="Arial"/>
          <w:bCs/>
          <w:lang w:val="en-US" w:eastAsia="en-GB"/>
        </w:rPr>
      </w:pPr>
    </w:p>
    <w:p w14:paraId="005AB4BA" w14:textId="77777777" w:rsidR="00655E4C" w:rsidRPr="00EB1AAB" w:rsidRDefault="00655E4C" w:rsidP="00655E4C">
      <w:pPr>
        <w:tabs>
          <w:tab w:val="left" w:pos="9195"/>
        </w:tabs>
        <w:rPr>
          <w:rFonts w:ascii="Arial" w:eastAsia="Calibri" w:hAnsi="Arial" w:cs="Arial"/>
          <w:bCs/>
          <w:lang w:val="en-US" w:eastAsia="en-GB"/>
        </w:rPr>
      </w:pPr>
      <w:r w:rsidRPr="00EB1AAB">
        <w:rPr>
          <w:rFonts w:ascii="Arial" w:eastAsia="Calibri" w:hAnsi="Arial" w:cs="Arial"/>
          <w:bCs/>
          <w:lang w:val="en-US" w:eastAsia="en-GB"/>
        </w:rPr>
        <w:t>Unquoted Equity Investments are recognised on the trade date, i.e. the date the Authority becomes committed to the purchase and would not be able to avoid acquiring it without breaking the contract, rather than the date the settlement takes place, if this is a later date.</w:t>
      </w:r>
    </w:p>
    <w:p w14:paraId="32D3EE48" w14:textId="77777777" w:rsidR="00655E4C" w:rsidRPr="00EB1AAB" w:rsidRDefault="00655E4C" w:rsidP="00655E4C">
      <w:pPr>
        <w:tabs>
          <w:tab w:val="left" w:pos="9195"/>
        </w:tabs>
        <w:rPr>
          <w:rFonts w:ascii="Arial" w:eastAsia="Calibri" w:hAnsi="Arial" w:cs="Arial"/>
          <w:bCs/>
          <w:lang w:val="en-US" w:eastAsia="en-GB"/>
        </w:rPr>
      </w:pPr>
    </w:p>
    <w:p w14:paraId="0769082B" w14:textId="77777777" w:rsidR="00655E4C" w:rsidRPr="00EB1AAB" w:rsidRDefault="00655E4C" w:rsidP="00655E4C">
      <w:pPr>
        <w:tabs>
          <w:tab w:val="left" w:pos="9195"/>
        </w:tabs>
        <w:rPr>
          <w:rFonts w:ascii="Arial" w:eastAsia="Calibri" w:hAnsi="Arial" w:cs="Arial"/>
          <w:bCs/>
          <w:lang w:val="en-US" w:eastAsia="en-GB"/>
        </w:rPr>
      </w:pPr>
      <w:r w:rsidRPr="00EB1AAB">
        <w:rPr>
          <w:rFonts w:ascii="Arial" w:eastAsia="Calibri" w:hAnsi="Arial" w:cs="Arial"/>
          <w:bCs/>
          <w:lang w:val="en-US" w:eastAsia="en-GB"/>
        </w:rPr>
        <w:t xml:space="preserve">If there is no quoted market price for the asset, then a reliable valuation technique should be applied. This could be a discounted cash flow analysis of dividends received or a valuation of the Authority’s share of the company. </w:t>
      </w:r>
    </w:p>
    <w:p w14:paraId="636B0A79" w14:textId="77777777" w:rsidR="00655E4C" w:rsidRPr="00EB1AAB" w:rsidRDefault="00655E4C" w:rsidP="00655E4C">
      <w:pPr>
        <w:tabs>
          <w:tab w:val="left" w:pos="9195"/>
        </w:tabs>
        <w:rPr>
          <w:rFonts w:ascii="Arial" w:eastAsia="Calibri" w:hAnsi="Arial" w:cs="Arial"/>
          <w:bCs/>
          <w:lang w:val="en-US" w:eastAsia="en-GB"/>
        </w:rPr>
      </w:pPr>
    </w:p>
    <w:p w14:paraId="1C7DAE48" w14:textId="77777777" w:rsidR="00655E4C" w:rsidRPr="00EB1AAB" w:rsidRDefault="00655E4C" w:rsidP="00655E4C">
      <w:pPr>
        <w:tabs>
          <w:tab w:val="left" w:pos="9195"/>
        </w:tabs>
        <w:rPr>
          <w:rFonts w:ascii="Arial" w:eastAsia="Calibri" w:hAnsi="Arial" w:cs="Arial"/>
          <w:bCs/>
          <w:lang w:val="en-US" w:eastAsia="en-GB"/>
        </w:rPr>
      </w:pPr>
      <w:r w:rsidRPr="00EB1AAB">
        <w:rPr>
          <w:rFonts w:ascii="Arial" w:eastAsia="Calibri" w:hAnsi="Arial" w:cs="Arial"/>
          <w:bCs/>
          <w:lang w:val="en-US" w:eastAsia="en-GB"/>
        </w:rPr>
        <w:t>Where financial liabilities and financial assets are carried in the balance sheet at amortised cost, they are shown below. Their fair value can be assessed by calculating the present value of the cash flows that will take place over the remaining term of the instruments, using the following assumptions:</w:t>
      </w:r>
    </w:p>
    <w:p w14:paraId="1C93D055" w14:textId="77777777" w:rsidR="00655E4C" w:rsidRPr="00EB1AAB" w:rsidRDefault="00655E4C" w:rsidP="00655E4C">
      <w:pPr>
        <w:tabs>
          <w:tab w:val="left" w:pos="9195"/>
        </w:tabs>
        <w:rPr>
          <w:rFonts w:ascii="Arial" w:eastAsia="Calibri" w:hAnsi="Arial" w:cs="Arial"/>
          <w:bCs/>
          <w:lang w:val="en-US" w:eastAsia="en-GB"/>
        </w:rPr>
      </w:pPr>
    </w:p>
    <w:p w14:paraId="6DAC0DFD" w14:textId="77777777" w:rsidR="00655E4C" w:rsidRPr="00EB1AAB" w:rsidRDefault="00655E4C" w:rsidP="00EB27EB">
      <w:pPr>
        <w:numPr>
          <w:ilvl w:val="0"/>
          <w:numId w:val="24"/>
        </w:numPr>
        <w:tabs>
          <w:tab w:val="left" w:pos="9195"/>
        </w:tabs>
        <w:spacing w:after="200"/>
        <w:contextualSpacing/>
        <w:rPr>
          <w:rFonts w:ascii="Arial" w:hAnsi="Arial" w:cs="Arial"/>
          <w:bCs/>
          <w:lang w:eastAsia="en-GB"/>
        </w:rPr>
      </w:pPr>
      <w:r w:rsidRPr="00EB1AAB">
        <w:rPr>
          <w:rFonts w:ascii="Arial" w:hAnsi="Arial" w:cs="Arial"/>
          <w:bCs/>
          <w:lang w:eastAsia="en-GB"/>
        </w:rPr>
        <w:t>For loans from the PWLB, new borrowing rates from the PWLB have been applied to provide the fair value;</w:t>
      </w:r>
    </w:p>
    <w:p w14:paraId="7CA19D31" w14:textId="77777777" w:rsidR="00655E4C" w:rsidRPr="00EB1AAB" w:rsidRDefault="00655E4C" w:rsidP="00EB27EB">
      <w:pPr>
        <w:numPr>
          <w:ilvl w:val="0"/>
          <w:numId w:val="24"/>
        </w:numPr>
        <w:tabs>
          <w:tab w:val="left" w:pos="9195"/>
        </w:tabs>
        <w:spacing w:after="200"/>
        <w:contextualSpacing/>
        <w:rPr>
          <w:rFonts w:ascii="Arial" w:hAnsi="Arial" w:cs="Arial"/>
          <w:bCs/>
          <w:lang w:eastAsia="en-GB"/>
        </w:rPr>
      </w:pPr>
      <w:r w:rsidRPr="00EB1AAB">
        <w:rPr>
          <w:rFonts w:ascii="Arial" w:hAnsi="Arial" w:cs="Arial"/>
          <w:bCs/>
          <w:lang w:eastAsia="en-GB"/>
        </w:rPr>
        <w:lastRenderedPageBreak/>
        <w:t>For non-PWLB loans payable, prevailing market rates have been applied to provide the fair value;</w:t>
      </w:r>
    </w:p>
    <w:p w14:paraId="5F184B6C" w14:textId="77777777" w:rsidR="00655E4C" w:rsidRPr="00EB1AAB" w:rsidRDefault="00655E4C" w:rsidP="00EB27EB">
      <w:pPr>
        <w:numPr>
          <w:ilvl w:val="0"/>
          <w:numId w:val="24"/>
        </w:numPr>
        <w:tabs>
          <w:tab w:val="left" w:pos="9195"/>
        </w:tabs>
        <w:spacing w:after="200"/>
        <w:contextualSpacing/>
        <w:rPr>
          <w:rFonts w:ascii="Arial" w:hAnsi="Arial" w:cs="Arial"/>
          <w:bCs/>
          <w:lang w:eastAsia="en-GB"/>
        </w:rPr>
      </w:pPr>
      <w:r w:rsidRPr="00EB1AAB">
        <w:rPr>
          <w:rFonts w:ascii="Arial" w:hAnsi="Arial" w:cs="Arial"/>
          <w:bCs/>
          <w:lang w:eastAsia="en-GB"/>
        </w:rPr>
        <w:t>The fair value of trade and other receivables and creditors is taken to be the invoiced or billed amount;</w:t>
      </w:r>
    </w:p>
    <w:p w14:paraId="42125A5B" w14:textId="77777777" w:rsidR="00655E4C" w:rsidRPr="00EB1AAB" w:rsidRDefault="00655E4C" w:rsidP="00655E4C">
      <w:pPr>
        <w:tabs>
          <w:tab w:val="left" w:pos="9195"/>
        </w:tabs>
        <w:ind w:left="495"/>
        <w:rPr>
          <w:rFonts w:ascii="Arial" w:eastAsia="Calibri" w:hAnsi="Arial" w:cs="Arial"/>
          <w:bCs/>
          <w:lang w:val="en-US" w:eastAsia="en-GB"/>
        </w:rPr>
      </w:pPr>
    </w:p>
    <w:p w14:paraId="55213305" w14:textId="77777777" w:rsidR="00655E4C" w:rsidRPr="00EB1AAB" w:rsidRDefault="00655E4C" w:rsidP="00655E4C">
      <w:pPr>
        <w:tabs>
          <w:tab w:val="left" w:pos="9195"/>
        </w:tabs>
        <w:rPr>
          <w:rFonts w:ascii="Arial" w:eastAsia="Calibri" w:hAnsi="Arial" w:cs="Arial"/>
          <w:bCs/>
          <w:lang w:val="en-US" w:eastAsia="en-GB"/>
        </w:rPr>
      </w:pPr>
      <w:r w:rsidRPr="00EB1AAB">
        <w:rPr>
          <w:rFonts w:ascii="Arial" w:eastAsia="Calibri" w:hAnsi="Arial" w:cs="Arial"/>
          <w:bCs/>
          <w:lang w:val="en-US" w:eastAsia="en-GB"/>
        </w:rPr>
        <w:t xml:space="preserve">The Authority uses appropriate valuation techniques for each circumstance, maximising the use of relevant known data and minimising the use of estimates or unknowns. This </w:t>
      </w:r>
      <w:proofErr w:type="gramStart"/>
      <w:r w:rsidRPr="00EB1AAB">
        <w:rPr>
          <w:rFonts w:ascii="Arial" w:eastAsia="Calibri" w:hAnsi="Arial" w:cs="Arial"/>
          <w:bCs/>
          <w:lang w:val="en-US" w:eastAsia="en-GB"/>
        </w:rPr>
        <w:t>takes into account</w:t>
      </w:r>
      <w:proofErr w:type="gramEnd"/>
      <w:r w:rsidRPr="00EB1AAB">
        <w:rPr>
          <w:rFonts w:ascii="Arial" w:eastAsia="Calibri" w:hAnsi="Arial" w:cs="Arial"/>
          <w:bCs/>
          <w:lang w:val="en-US" w:eastAsia="en-GB"/>
        </w:rPr>
        <w:t xml:space="preserve"> the three levels of categories for inputs to valuations for fair value assets:</w:t>
      </w:r>
    </w:p>
    <w:p w14:paraId="75AF181C" w14:textId="77777777" w:rsidR="00655E4C" w:rsidRPr="00EB1AAB" w:rsidRDefault="00655E4C" w:rsidP="00655E4C">
      <w:pPr>
        <w:tabs>
          <w:tab w:val="left" w:pos="9195"/>
        </w:tabs>
        <w:rPr>
          <w:rFonts w:ascii="Arial" w:eastAsia="Calibri" w:hAnsi="Arial" w:cs="Arial"/>
          <w:bCs/>
          <w:lang w:val="en-US" w:eastAsia="en-GB"/>
        </w:rPr>
      </w:pPr>
    </w:p>
    <w:p w14:paraId="593CED72" w14:textId="77777777" w:rsidR="00655E4C" w:rsidRPr="00EB1AAB" w:rsidRDefault="00655E4C" w:rsidP="00EB27EB">
      <w:pPr>
        <w:numPr>
          <w:ilvl w:val="0"/>
          <w:numId w:val="25"/>
        </w:numPr>
        <w:tabs>
          <w:tab w:val="left" w:pos="9195"/>
        </w:tabs>
        <w:spacing w:after="200"/>
        <w:ind w:left="851" w:hanging="284"/>
        <w:contextualSpacing/>
        <w:rPr>
          <w:rFonts w:ascii="Arial" w:hAnsi="Arial" w:cs="Arial"/>
          <w:bCs/>
          <w:lang w:eastAsia="en-GB"/>
        </w:rPr>
      </w:pPr>
      <w:r w:rsidRPr="00EB1AAB">
        <w:rPr>
          <w:rFonts w:ascii="Arial" w:hAnsi="Arial" w:cs="Arial"/>
          <w:bCs/>
          <w:lang w:eastAsia="en-GB"/>
        </w:rPr>
        <w:t>Level 1 inputs – quoted prices in active markets for identical assets that the Authority can access at the measurement date;</w:t>
      </w:r>
    </w:p>
    <w:p w14:paraId="116E113F" w14:textId="77777777" w:rsidR="00655E4C" w:rsidRPr="00EB1AAB" w:rsidRDefault="00655E4C" w:rsidP="00EB27EB">
      <w:pPr>
        <w:numPr>
          <w:ilvl w:val="0"/>
          <w:numId w:val="25"/>
        </w:numPr>
        <w:tabs>
          <w:tab w:val="left" w:pos="9195"/>
        </w:tabs>
        <w:spacing w:after="200"/>
        <w:ind w:left="851" w:hanging="284"/>
        <w:contextualSpacing/>
        <w:rPr>
          <w:rFonts w:ascii="Arial" w:hAnsi="Arial" w:cs="Arial"/>
          <w:bCs/>
          <w:lang w:eastAsia="en-GB"/>
        </w:rPr>
      </w:pPr>
      <w:r w:rsidRPr="00EB1AAB">
        <w:rPr>
          <w:rFonts w:ascii="Arial" w:hAnsi="Arial" w:cs="Arial"/>
          <w:bCs/>
          <w:lang w:eastAsia="en-GB"/>
        </w:rPr>
        <w:t>Level 2 inputs – inputs other than quoted prices included within Level 1 that are observable for the asset or liability, either directly or indirectly;</w:t>
      </w:r>
    </w:p>
    <w:p w14:paraId="469867C4" w14:textId="77777777" w:rsidR="00655E4C" w:rsidRPr="00EB1AAB" w:rsidRDefault="00655E4C" w:rsidP="00EB27EB">
      <w:pPr>
        <w:numPr>
          <w:ilvl w:val="0"/>
          <w:numId w:val="25"/>
        </w:numPr>
        <w:tabs>
          <w:tab w:val="left" w:pos="9195"/>
        </w:tabs>
        <w:spacing w:after="200"/>
        <w:ind w:left="851" w:hanging="284"/>
        <w:contextualSpacing/>
        <w:rPr>
          <w:rFonts w:ascii="Arial" w:hAnsi="Arial" w:cs="Arial"/>
          <w:bCs/>
          <w:lang w:eastAsia="en-GB"/>
        </w:rPr>
      </w:pPr>
      <w:r w:rsidRPr="00EB1AAB">
        <w:rPr>
          <w:rFonts w:ascii="Arial" w:hAnsi="Arial" w:cs="Arial"/>
          <w:bCs/>
          <w:lang w:eastAsia="en-GB"/>
        </w:rPr>
        <w:t>Level 3 inputs – unobservable inputs for the asset or liability where market data is not available.</w:t>
      </w:r>
    </w:p>
    <w:p w14:paraId="5FD1A7C9" w14:textId="77777777" w:rsidR="00655E4C" w:rsidRPr="0007572B" w:rsidRDefault="00655E4C" w:rsidP="00655E4C">
      <w:pPr>
        <w:pStyle w:val="Normal0"/>
        <w:spacing w:line="240" w:lineRule="auto"/>
        <w:rPr>
          <w:rFonts w:ascii="Arial" w:hAnsi="Arial" w:cs="Arial"/>
          <w:b/>
          <w:bCs/>
          <w:sz w:val="24"/>
          <w:szCs w:val="24"/>
          <w:lang w:eastAsia="en-GB"/>
        </w:rPr>
      </w:pPr>
    </w:p>
    <w:p w14:paraId="091EC535" w14:textId="142C4A0D" w:rsidR="00655E4C" w:rsidRPr="0007572B" w:rsidRDefault="00655E4C" w:rsidP="00655E4C">
      <w:pPr>
        <w:pStyle w:val="Heading4bold"/>
        <w:rPr>
          <w:lang w:eastAsia="en-GB"/>
        </w:rPr>
      </w:pPr>
      <w:r w:rsidRPr="0007572B">
        <w:rPr>
          <w:lang w:eastAsia="en-GB"/>
        </w:rPr>
        <w:t>1.1</w:t>
      </w:r>
      <w:r w:rsidR="006E4D9B">
        <w:rPr>
          <w:lang w:eastAsia="en-GB"/>
        </w:rPr>
        <w:t>2</w:t>
      </w:r>
      <w:r w:rsidRPr="0007572B">
        <w:rPr>
          <w:lang w:eastAsia="en-GB"/>
        </w:rPr>
        <w:t>. Revenue Expenditure Funded by Capital Under Statute</w:t>
      </w:r>
    </w:p>
    <w:p w14:paraId="7C80270A"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Revenue Expenditure Funded by Capital under Statute (REFCUS) is expenditure of a capital nature that does not result in the creation of a non-current asset on the Balance Sheet. Expenditure is charged to the Deficit / (Surplus) on the Provision of Services as the expenditure is incurred. This is reversed out through the Movement in Reserves Statement and a transfer made to the Capital Adjustment Account.</w:t>
      </w:r>
    </w:p>
    <w:p w14:paraId="5B66B1F4" w14:textId="77777777" w:rsidR="00655E4C" w:rsidRPr="0007572B" w:rsidRDefault="00655E4C" w:rsidP="00655E4C">
      <w:pPr>
        <w:pStyle w:val="Normal0"/>
        <w:spacing w:line="240" w:lineRule="auto"/>
        <w:rPr>
          <w:rFonts w:ascii="Arial" w:hAnsi="Arial" w:cs="Arial"/>
          <w:b/>
          <w:bCs/>
          <w:sz w:val="24"/>
          <w:szCs w:val="24"/>
          <w:lang w:eastAsia="en-GB"/>
        </w:rPr>
      </w:pPr>
    </w:p>
    <w:p w14:paraId="0DC5B948" w14:textId="5D6CDE70" w:rsidR="00655E4C" w:rsidRPr="0080779E" w:rsidRDefault="00655E4C" w:rsidP="00655E4C">
      <w:pPr>
        <w:pStyle w:val="Heading4bold"/>
        <w:rPr>
          <w:lang w:eastAsia="en-GB"/>
        </w:rPr>
      </w:pPr>
      <w:r w:rsidRPr="0080779E">
        <w:rPr>
          <w:lang w:eastAsia="en-GB"/>
        </w:rPr>
        <w:t>1.1</w:t>
      </w:r>
      <w:r w:rsidR="006E4D9B">
        <w:rPr>
          <w:lang w:eastAsia="en-GB"/>
        </w:rPr>
        <w:t>3</w:t>
      </w:r>
      <w:r w:rsidRPr="0080779E">
        <w:rPr>
          <w:lang w:eastAsia="en-GB"/>
        </w:rPr>
        <w:t>. Minimum Revenue Provision</w:t>
      </w:r>
    </w:p>
    <w:p w14:paraId="7561B840" w14:textId="77777777" w:rsidR="00655E4C" w:rsidRPr="0080779E" w:rsidRDefault="00655E4C" w:rsidP="00655E4C">
      <w:pPr>
        <w:pStyle w:val="Normal0"/>
        <w:spacing w:line="240" w:lineRule="auto"/>
        <w:rPr>
          <w:rFonts w:ascii="Arial" w:hAnsi="Arial" w:cs="Arial"/>
          <w:bCs/>
          <w:sz w:val="24"/>
          <w:szCs w:val="24"/>
          <w:lang w:eastAsia="en-GB"/>
        </w:rPr>
      </w:pPr>
      <w:r w:rsidRPr="0080779E">
        <w:rPr>
          <w:rFonts w:ascii="Arial" w:hAnsi="Arial" w:cs="Arial"/>
          <w:bCs/>
          <w:sz w:val="24"/>
          <w:szCs w:val="24"/>
          <w:lang w:eastAsia="en-GB"/>
        </w:rPr>
        <w:t>The Authority is required to make a provision for the repayment of an element of the accumulated capital expenditure each year, financed by borrowing, through a revenue charge, in accordance with the Minimum Revenue Provision (MRP) requirements. Regulations have replaced the detailed formula for calculating MRP with a requirement to be prudent. The MRP policy is included within the annual Treasury Management Strategy agreed by the Authority, which details the guidance and options for the basis of the provision. The GMCA has adopted the following policy:</w:t>
      </w:r>
    </w:p>
    <w:p w14:paraId="40E658D3" w14:textId="77777777" w:rsidR="00655E4C" w:rsidRPr="0080779E" w:rsidRDefault="00655E4C" w:rsidP="00655E4C">
      <w:pPr>
        <w:pStyle w:val="Normal0"/>
        <w:spacing w:line="240" w:lineRule="auto"/>
        <w:rPr>
          <w:rFonts w:ascii="Arial" w:hAnsi="Arial" w:cs="Arial"/>
          <w:bCs/>
          <w:sz w:val="24"/>
          <w:szCs w:val="24"/>
          <w:lang w:eastAsia="en-GB"/>
        </w:rPr>
      </w:pPr>
    </w:p>
    <w:p w14:paraId="5FEA6DF1" w14:textId="77777777" w:rsidR="00655E4C" w:rsidRPr="0080779E" w:rsidRDefault="00655E4C" w:rsidP="00EB27EB">
      <w:pPr>
        <w:numPr>
          <w:ilvl w:val="0"/>
          <w:numId w:val="40"/>
        </w:numPr>
        <w:tabs>
          <w:tab w:val="clear" w:pos="1512"/>
          <w:tab w:val="num" w:pos="720"/>
          <w:tab w:val="right" w:pos="9498"/>
        </w:tabs>
        <w:overflowPunct w:val="0"/>
        <w:autoSpaceDE w:val="0"/>
        <w:autoSpaceDN w:val="0"/>
        <w:adjustRightInd w:val="0"/>
        <w:spacing w:before="120" w:after="120"/>
        <w:ind w:left="720" w:hanging="720"/>
        <w:textAlignment w:val="baseline"/>
        <w:rPr>
          <w:rFonts w:ascii="Arial" w:hAnsi="Arial" w:cs="Arial"/>
        </w:rPr>
      </w:pPr>
      <w:r w:rsidRPr="0080779E">
        <w:rPr>
          <w:rFonts w:ascii="Arial" w:hAnsi="Arial" w:cs="Arial"/>
        </w:rPr>
        <w:t>For capital expenditure incurred before 1 April 2008 or which in the future will be Supported Capital Expenditure, MRP will be calculated using an Asset Life annuity basis over 50 years.</w:t>
      </w:r>
    </w:p>
    <w:p w14:paraId="3F88A7D8" w14:textId="30A0F3AD" w:rsidR="00655E4C" w:rsidRPr="0080779E" w:rsidRDefault="00655E4C" w:rsidP="00EB27EB">
      <w:pPr>
        <w:numPr>
          <w:ilvl w:val="0"/>
          <w:numId w:val="40"/>
        </w:numPr>
        <w:tabs>
          <w:tab w:val="clear" w:pos="1512"/>
          <w:tab w:val="num" w:pos="720"/>
          <w:tab w:val="right" w:pos="9498"/>
        </w:tabs>
        <w:overflowPunct w:val="0"/>
        <w:autoSpaceDE w:val="0"/>
        <w:autoSpaceDN w:val="0"/>
        <w:adjustRightInd w:val="0"/>
        <w:spacing w:before="120" w:after="120"/>
        <w:ind w:left="720" w:hanging="720"/>
        <w:textAlignment w:val="baseline"/>
        <w:rPr>
          <w:rFonts w:ascii="Arial" w:hAnsi="Arial" w:cs="Arial"/>
        </w:rPr>
      </w:pPr>
      <w:r w:rsidRPr="0080779E">
        <w:rPr>
          <w:rFonts w:ascii="Arial" w:hAnsi="Arial" w:cs="Arial"/>
        </w:rPr>
        <w:t>For capital expenditure incurred from 1 April 2008 for all unsupported borrowing (including PFI and finance leases), MRP will be calculated on an Asset Life annuity basis. The interest rate applied will be linked to PWLB interest rates and the useful life of the asset.</w:t>
      </w:r>
    </w:p>
    <w:p w14:paraId="789BD585" w14:textId="77777777" w:rsidR="00655E4C" w:rsidRPr="0080779E" w:rsidRDefault="00655E4C" w:rsidP="00EB27EB">
      <w:pPr>
        <w:numPr>
          <w:ilvl w:val="0"/>
          <w:numId w:val="40"/>
        </w:numPr>
        <w:tabs>
          <w:tab w:val="clear" w:pos="1512"/>
          <w:tab w:val="num" w:pos="720"/>
          <w:tab w:val="right" w:pos="9498"/>
        </w:tabs>
        <w:overflowPunct w:val="0"/>
        <w:autoSpaceDE w:val="0"/>
        <w:autoSpaceDN w:val="0"/>
        <w:adjustRightInd w:val="0"/>
        <w:spacing w:before="120" w:after="120"/>
        <w:ind w:left="720" w:hanging="720"/>
        <w:textAlignment w:val="baseline"/>
        <w:rPr>
          <w:rFonts w:ascii="Arial" w:hAnsi="Arial" w:cs="Arial"/>
        </w:rPr>
      </w:pPr>
      <w:r w:rsidRPr="0080779E">
        <w:rPr>
          <w:rFonts w:ascii="Arial" w:hAnsi="Arial" w:cs="Arial"/>
        </w:rPr>
        <w:t>MRP will generally commence in the financial year following the one in which the expenditure was incurred. However, for long life assets, the Authority will postpone the commencement of MRP until the financial year following the one in which the asset becomes operational.</w:t>
      </w:r>
    </w:p>
    <w:p w14:paraId="0D5B372C" w14:textId="3CCA6188" w:rsidR="00655E4C" w:rsidRDefault="00655E4C" w:rsidP="00655E4C">
      <w:pPr>
        <w:rPr>
          <w:rFonts w:ascii="Arial" w:hAnsi="Arial" w:cs="Arial"/>
          <w:b/>
          <w:bCs/>
          <w:lang w:eastAsia="en-GB"/>
        </w:rPr>
      </w:pPr>
    </w:p>
    <w:p w14:paraId="3B0C8223" w14:textId="77777777" w:rsidR="007E4DDF" w:rsidRDefault="007E4DDF" w:rsidP="00655E4C">
      <w:pPr>
        <w:rPr>
          <w:rFonts w:ascii="Arial" w:hAnsi="Arial" w:cs="Arial"/>
          <w:b/>
          <w:bCs/>
          <w:lang w:eastAsia="en-GB"/>
        </w:rPr>
      </w:pPr>
    </w:p>
    <w:p w14:paraId="7F603D2A" w14:textId="3C2DF3B8" w:rsidR="00655E4C" w:rsidRPr="0007572B" w:rsidRDefault="00655E4C" w:rsidP="00655E4C">
      <w:pPr>
        <w:pStyle w:val="Heading4bold"/>
        <w:rPr>
          <w:lang w:eastAsia="en-GB"/>
        </w:rPr>
      </w:pPr>
      <w:r w:rsidRPr="0007572B">
        <w:rPr>
          <w:lang w:eastAsia="en-GB"/>
        </w:rPr>
        <w:lastRenderedPageBreak/>
        <w:t>1.1</w:t>
      </w:r>
      <w:r w:rsidR="006E4D9B">
        <w:rPr>
          <w:lang w:eastAsia="en-GB"/>
        </w:rPr>
        <w:t>4</w:t>
      </w:r>
      <w:r w:rsidRPr="0007572B">
        <w:rPr>
          <w:lang w:eastAsia="en-GB"/>
        </w:rPr>
        <w:t>. Capital and Revenue Grants and Contributions</w:t>
      </w:r>
    </w:p>
    <w:p w14:paraId="2A177E94" w14:textId="77777777" w:rsidR="00655E4C" w:rsidRPr="0007572B" w:rsidRDefault="00655E4C" w:rsidP="00655E4C">
      <w:pPr>
        <w:pStyle w:val="Normal0"/>
        <w:spacing w:line="240" w:lineRule="auto"/>
        <w:rPr>
          <w:rFonts w:ascii="Arial" w:hAnsi="Arial" w:cs="Arial"/>
          <w:b/>
          <w:bCs/>
          <w:sz w:val="24"/>
          <w:szCs w:val="24"/>
          <w:lang w:eastAsia="en-GB"/>
        </w:rPr>
      </w:pPr>
    </w:p>
    <w:p w14:paraId="625FB33A" w14:textId="73B7C277" w:rsidR="00655E4C" w:rsidRPr="0007572B" w:rsidRDefault="00655E4C" w:rsidP="00655E4C">
      <w:pPr>
        <w:pStyle w:val="Heading5"/>
        <w:rPr>
          <w:lang w:eastAsia="en-GB"/>
        </w:rPr>
      </w:pPr>
      <w:r w:rsidRPr="0007572B">
        <w:rPr>
          <w:lang w:eastAsia="en-GB"/>
        </w:rPr>
        <w:t>1.1</w:t>
      </w:r>
      <w:r w:rsidR="006E4D9B">
        <w:rPr>
          <w:lang w:eastAsia="en-GB"/>
        </w:rPr>
        <w:t>4</w:t>
      </w:r>
      <w:r w:rsidRPr="0007572B">
        <w:rPr>
          <w:lang w:eastAsia="en-GB"/>
        </w:rPr>
        <w:t>.1. Revenue Grants and Contributions</w:t>
      </w:r>
    </w:p>
    <w:p w14:paraId="0C6BB282" w14:textId="77777777" w:rsidR="00655E4C" w:rsidRPr="0007572B" w:rsidRDefault="00655E4C" w:rsidP="00655E4C">
      <w:pPr>
        <w:pStyle w:val="Normal0"/>
        <w:spacing w:line="240" w:lineRule="auto"/>
        <w:rPr>
          <w:rFonts w:ascii="Arial" w:hAnsi="Arial" w:cs="Arial"/>
          <w:bCs/>
          <w:sz w:val="24"/>
          <w:szCs w:val="24"/>
          <w:u w:val="single"/>
          <w:lang w:eastAsia="en-GB"/>
        </w:rPr>
      </w:pPr>
    </w:p>
    <w:p w14:paraId="1AABD110"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Revenue grants and contributions received by the Authority can either be classified as non-specific for general purposes or specific for use in relation to a service and/or function. Where conditions have been met, specific revenue grants and contributions are credited to the relevant service line within Cost of Services; non-specific grants are credited to Taxation and Non-Specific Grant Income. </w:t>
      </w:r>
    </w:p>
    <w:p w14:paraId="4C801041" w14:textId="77777777" w:rsidR="00655E4C" w:rsidRPr="0007572B" w:rsidRDefault="00655E4C" w:rsidP="00655E4C">
      <w:pPr>
        <w:pStyle w:val="Normal0"/>
        <w:spacing w:line="240" w:lineRule="auto"/>
        <w:rPr>
          <w:rFonts w:ascii="Arial" w:hAnsi="Arial" w:cs="Arial"/>
          <w:bCs/>
          <w:sz w:val="24"/>
          <w:szCs w:val="24"/>
          <w:lang w:eastAsia="en-GB"/>
        </w:rPr>
      </w:pPr>
    </w:p>
    <w:p w14:paraId="67FC655A"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When the expenditure relating to specific grants has not been incurred, the Authority has elected to </w:t>
      </w:r>
      <w:proofErr w:type="gramStart"/>
      <w:r w:rsidRPr="0007572B">
        <w:rPr>
          <w:rFonts w:ascii="Arial" w:hAnsi="Arial" w:cs="Arial"/>
          <w:bCs/>
          <w:sz w:val="24"/>
          <w:szCs w:val="24"/>
          <w:lang w:eastAsia="en-GB"/>
        </w:rPr>
        <w:t>make a contribution</w:t>
      </w:r>
      <w:proofErr w:type="gramEnd"/>
      <w:r w:rsidRPr="0007572B">
        <w:rPr>
          <w:rFonts w:ascii="Arial" w:hAnsi="Arial" w:cs="Arial"/>
          <w:bCs/>
          <w:sz w:val="24"/>
          <w:szCs w:val="24"/>
          <w:lang w:eastAsia="en-GB"/>
        </w:rPr>
        <w:t xml:space="preserve"> equivalent to the unspent amount of grant to an earmarked reserve. This reserve will be released in future financial years when the expenditure to which the grant relates is incurred.</w:t>
      </w:r>
    </w:p>
    <w:p w14:paraId="58C9226F" w14:textId="77777777" w:rsidR="00655E4C" w:rsidRPr="0007572B" w:rsidRDefault="00655E4C" w:rsidP="00655E4C">
      <w:pPr>
        <w:pStyle w:val="Normal0"/>
        <w:spacing w:line="240" w:lineRule="auto"/>
        <w:rPr>
          <w:rFonts w:ascii="Arial" w:hAnsi="Arial" w:cs="Arial"/>
          <w:bCs/>
          <w:sz w:val="24"/>
          <w:szCs w:val="24"/>
          <w:lang w:eastAsia="en-GB"/>
        </w:rPr>
      </w:pPr>
    </w:p>
    <w:p w14:paraId="373AD604"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Monies advanced as grants and contributions for which conditions have not been satisfied are carried in the Balance Sheet as receipts in advance. When conditions are satisfied, the grant or contribution is credited to the relevant service line (attributable revenue grants and contributions) or Taxation and Non-Specific Grant Income (non-ringfenced revenue grants and all capital grants) in the Comprehensive Income and Expenditure Statement.</w:t>
      </w:r>
    </w:p>
    <w:p w14:paraId="67311B30" w14:textId="77777777" w:rsidR="00655E4C" w:rsidRPr="0007572B" w:rsidRDefault="00655E4C" w:rsidP="00655E4C">
      <w:pPr>
        <w:pStyle w:val="Normal0"/>
        <w:spacing w:line="240" w:lineRule="auto"/>
        <w:rPr>
          <w:rFonts w:ascii="Arial" w:hAnsi="Arial" w:cs="Arial"/>
          <w:bCs/>
          <w:sz w:val="24"/>
          <w:szCs w:val="24"/>
          <w:lang w:eastAsia="en-GB"/>
        </w:rPr>
      </w:pPr>
    </w:p>
    <w:p w14:paraId="61ECE211" w14:textId="549E7BF3" w:rsidR="00655E4C" w:rsidRPr="00636E1B" w:rsidRDefault="00655E4C" w:rsidP="00655E4C">
      <w:pPr>
        <w:pStyle w:val="Heading5"/>
        <w:rPr>
          <w:lang w:eastAsia="en-GB"/>
        </w:rPr>
      </w:pPr>
      <w:r w:rsidRPr="00636E1B">
        <w:rPr>
          <w:lang w:eastAsia="en-GB"/>
        </w:rPr>
        <w:t>1.1</w:t>
      </w:r>
      <w:r w:rsidR="006E4D9B">
        <w:rPr>
          <w:lang w:eastAsia="en-GB"/>
        </w:rPr>
        <w:t>4.</w:t>
      </w:r>
      <w:r w:rsidRPr="00636E1B">
        <w:rPr>
          <w:lang w:eastAsia="en-GB"/>
        </w:rPr>
        <w:t>2. Capital Grants and Contributions</w:t>
      </w:r>
    </w:p>
    <w:p w14:paraId="57A99A04" w14:textId="77777777" w:rsidR="00655E4C" w:rsidRPr="00636E1B" w:rsidRDefault="00655E4C" w:rsidP="00655E4C">
      <w:pPr>
        <w:pStyle w:val="Normal0"/>
        <w:spacing w:line="240" w:lineRule="auto"/>
        <w:rPr>
          <w:rFonts w:ascii="Arial" w:hAnsi="Arial" w:cs="Arial"/>
          <w:b/>
          <w:bCs/>
          <w:sz w:val="24"/>
          <w:szCs w:val="24"/>
          <w:lang w:eastAsia="en-GB"/>
        </w:rPr>
      </w:pPr>
    </w:p>
    <w:p w14:paraId="20865E40" w14:textId="77777777" w:rsidR="00655E4C" w:rsidRPr="00636E1B" w:rsidRDefault="00655E4C" w:rsidP="00655E4C">
      <w:pPr>
        <w:pStyle w:val="Normal0"/>
        <w:spacing w:line="240" w:lineRule="auto"/>
        <w:rPr>
          <w:rFonts w:ascii="Arial" w:hAnsi="Arial" w:cs="Arial"/>
          <w:bCs/>
          <w:sz w:val="24"/>
          <w:szCs w:val="24"/>
          <w:lang w:eastAsia="en-GB"/>
        </w:rPr>
      </w:pPr>
      <w:r w:rsidRPr="00636E1B">
        <w:rPr>
          <w:rFonts w:ascii="Arial" w:hAnsi="Arial" w:cs="Arial"/>
          <w:bCs/>
          <w:sz w:val="24"/>
          <w:szCs w:val="24"/>
          <w:lang w:eastAsia="en-GB"/>
        </w:rPr>
        <w:t>Where conditions have been met, capital grants and contributions are credited to Taxation and Non-Specific Grant Income in the Comprehensive Income and Expenditure Statement. The balance of the grant or contribution that has not been used to finance expenditure is transferred to the Capital Grants Unapplied Account via the Movement in Reserves Statement. The amount of grant or contribution that has been used to finance expenditure is transferred to the Capital Adjustment Account via the Movement in Reserves Statement. Amounts in the Capital Grants Unapplied Account are transferred to the Capital Adjustment Account when they have been applied to fund capital expenditure.</w:t>
      </w:r>
    </w:p>
    <w:p w14:paraId="5DDA8C13" w14:textId="77777777" w:rsidR="00655E4C" w:rsidRPr="00EE5700" w:rsidRDefault="00655E4C" w:rsidP="00655E4C">
      <w:pPr>
        <w:pStyle w:val="Normal0"/>
        <w:spacing w:line="240" w:lineRule="auto"/>
        <w:rPr>
          <w:rFonts w:ascii="Arial" w:hAnsi="Arial" w:cs="Arial"/>
          <w:bCs/>
          <w:sz w:val="24"/>
          <w:szCs w:val="24"/>
          <w:highlight w:val="yellow"/>
          <w:lang w:eastAsia="en-GB"/>
        </w:rPr>
      </w:pPr>
    </w:p>
    <w:p w14:paraId="243C920A" w14:textId="05E46E31" w:rsidR="00655E4C" w:rsidRPr="0080779E" w:rsidRDefault="00655E4C" w:rsidP="00655E4C">
      <w:pPr>
        <w:pStyle w:val="Heading5"/>
        <w:rPr>
          <w:lang w:eastAsia="en-GB"/>
        </w:rPr>
      </w:pPr>
      <w:r w:rsidRPr="0080779E">
        <w:rPr>
          <w:lang w:eastAsia="en-GB"/>
        </w:rPr>
        <w:t>1.1</w:t>
      </w:r>
      <w:r w:rsidR="006E4D9B">
        <w:rPr>
          <w:lang w:eastAsia="en-GB"/>
        </w:rPr>
        <w:t>4</w:t>
      </w:r>
      <w:r w:rsidRPr="0080779E">
        <w:rPr>
          <w:lang w:eastAsia="en-GB"/>
        </w:rPr>
        <w:t>.3. Grants and Contributions relating to Revenue Expenditure funded by Capital under Statute (REFCUS)</w:t>
      </w:r>
    </w:p>
    <w:p w14:paraId="42BB5B01" w14:textId="77777777" w:rsidR="00655E4C" w:rsidRPr="0080779E" w:rsidRDefault="00655E4C" w:rsidP="00655E4C">
      <w:pPr>
        <w:pStyle w:val="Normal0"/>
        <w:spacing w:line="240" w:lineRule="auto"/>
        <w:rPr>
          <w:rFonts w:ascii="Arial" w:hAnsi="Arial" w:cs="Arial"/>
          <w:b/>
          <w:bCs/>
          <w:sz w:val="24"/>
          <w:szCs w:val="24"/>
          <w:lang w:eastAsia="en-GB"/>
        </w:rPr>
      </w:pPr>
    </w:p>
    <w:p w14:paraId="289F193F" w14:textId="6A46EBA1" w:rsidR="00655E4C" w:rsidRPr="0080779E" w:rsidRDefault="00655E4C" w:rsidP="00655E4C">
      <w:pPr>
        <w:pStyle w:val="Normal0"/>
        <w:spacing w:line="240" w:lineRule="auto"/>
        <w:rPr>
          <w:rFonts w:ascii="Arial" w:hAnsi="Arial" w:cs="Arial"/>
          <w:bCs/>
          <w:sz w:val="24"/>
          <w:szCs w:val="24"/>
          <w:lang w:eastAsia="en-GB"/>
        </w:rPr>
      </w:pPr>
      <w:r w:rsidRPr="0080779E">
        <w:rPr>
          <w:rFonts w:ascii="Arial" w:hAnsi="Arial" w:cs="Arial"/>
          <w:bCs/>
          <w:sz w:val="24"/>
          <w:szCs w:val="24"/>
          <w:lang w:eastAsia="en-GB"/>
        </w:rPr>
        <w:t xml:space="preserve">Where conditions have been met, grants and contributions to fund expenditure not attributable to assets owned by the Authority (Revenue Expenditure Funded by Capital Under Statute) are credited to the non-specific income line within the Cost of Services. They are then transferred to the Capital Adjustment Account when the related expenditure has been incurred via the Movement in Reserves Statement. If the grant is not </w:t>
      </w:r>
      <w:r w:rsidR="00203B09" w:rsidRPr="0080779E">
        <w:rPr>
          <w:rFonts w:ascii="Arial" w:hAnsi="Arial" w:cs="Arial"/>
          <w:bCs/>
          <w:sz w:val="24"/>
          <w:szCs w:val="24"/>
          <w:lang w:eastAsia="en-GB"/>
        </w:rPr>
        <w:t>spent,</w:t>
      </w:r>
      <w:r w:rsidRPr="0080779E">
        <w:rPr>
          <w:rFonts w:ascii="Arial" w:hAnsi="Arial" w:cs="Arial"/>
          <w:bCs/>
          <w:sz w:val="24"/>
          <w:szCs w:val="24"/>
          <w:lang w:eastAsia="en-GB"/>
        </w:rPr>
        <w:t xml:space="preserve"> it goes to the Capital Grants Unapplied Reserve via the Movement in Reserves Statement. When spent, it is transferred from the Capital Grants Unapplied Reserve to the Capital Adjustment Account.</w:t>
      </w:r>
    </w:p>
    <w:p w14:paraId="7A983E3B" w14:textId="77777777" w:rsidR="00655E4C" w:rsidRPr="0007572B" w:rsidRDefault="00655E4C" w:rsidP="00655E4C">
      <w:pPr>
        <w:rPr>
          <w:rFonts w:ascii="Arial" w:hAnsi="Arial" w:cs="Arial"/>
          <w:bCs/>
          <w:color w:val="000000"/>
          <w:lang w:val="en-US" w:eastAsia="en-GB"/>
        </w:rPr>
      </w:pPr>
    </w:p>
    <w:p w14:paraId="79137EE2" w14:textId="77777777" w:rsidR="00A506A6" w:rsidRDefault="00A506A6">
      <w:pPr>
        <w:rPr>
          <w:rFonts w:ascii="Arial" w:hAnsi="Arial" w:cs="Arial"/>
          <w:b/>
          <w:bCs/>
          <w:lang w:eastAsia="en-GB"/>
        </w:rPr>
      </w:pPr>
      <w:r>
        <w:rPr>
          <w:lang w:eastAsia="en-GB"/>
        </w:rPr>
        <w:br w:type="page"/>
      </w:r>
    </w:p>
    <w:p w14:paraId="3D984E0D" w14:textId="4058AC12" w:rsidR="00655E4C" w:rsidRPr="0007572B" w:rsidRDefault="00655E4C" w:rsidP="00655E4C">
      <w:pPr>
        <w:pStyle w:val="Heading4bold"/>
        <w:rPr>
          <w:lang w:eastAsia="en-GB"/>
        </w:rPr>
      </w:pPr>
      <w:r w:rsidRPr="0007572B">
        <w:rPr>
          <w:lang w:eastAsia="en-GB"/>
        </w:rPr>
        <w:lastRenderedPageBreak/>
        <w:t>1.1</w:t>
      </w:r>
      <w:r w:rsidR="006E4D9B">
        <w:rPr>
          <w:lang w:eastAsia="en-GB"/>
        </w:rPr>
        <w:t>5</w:t>
      </w:r>
      <w:r w:rsidRPr="0007572B">
        <w:rPr>
          <w:lang w:eastAsia="en-GB"/>
        </w:rPr>
        <w:t>. Local Taxation</w:t>
      </w:r>
    </w:p>
    <w:p w14:paraId="16F722DD" w14:textId="109FB1D8" w:rsidR="00655E4C" w:rsidRPr="0007572B" w:rsidRDefault="00655E4C" w:rsidP="00655E4C">
      <w:pPr>
        <w:pStyle w:val="Heading5"/>
        <w:rPr>
          <w:lang w:eastAsia="en-GB"/>
        </w:rPr>
      </w:pPr>
      <w:r w:rsidRPr="0007572B">
        <w:rPr>
          <w:lang w:eastAsia="en-GB"/>
        </w:rPr>
        <w:t>1.1</w:t>
      </w:r>
      <w:r w:rsidR="006E4D9B">
        <w:rPr>
          <w:lang w:eastAsia="en-GB"/>
        </w:rPr>
        <w:t>5</w:t>
      </w:r>
      <w:r w:rsidRPr="0007572B">
        <w:rPr>
          <w:lang w:eastAsia="en-GB"/>
        </w:rPr>
        <w:t>.1. Council Tax</w:t>
      </w:r>
    </w:p>
    <w:p w14:paraId="22013F78" w14:textId="77777777" w:rsidR="00655E4C" w:rsidRPr="0007572B" w:rsidRDefault="00655E4C" w:rsidP="00655E4C">
      <w:pPr>
        <w:pStyle w:val="Normal0"/>
        <w:spacing w:line="240" w:lineRule="auto"/>
        <w:rPr>
          <w:rFonts w:ascii="Arial" w:hAnsi="Arial" w:cs="Arial"/>
          <w:b/>
          <w:bCs/>
          <w:sz w:val="24"/>
          <w:szCs w:val="24"/>
          <w:lang w:eastAsia="en-GB"/>
        </w:rPr>
      </w:pPr>
    </w:p>
    <w:p w14:paraId="24ECA780"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Following the abolishment of GM Fire and Rescue Authority and GM Office for the Police and Crime Commissioner, the Mayor now collects funds via the Mayoral General Fund and the Mayoral Police Fund respectively.</w:t>
      </w:r>
    </w:p>
    <w:p w14:paraId="25E2A93A" w14:textId="77777777" w:rsidR="00655E4C" w:rsidRPr="0007572B" w:rsidRDefault="00655E4C" w:rsidP="00655E4C">
      <w:pPr>
        <w:pStyle w:val="Normal0"/>
        <w:spacing w:line="240" w:lineRule="auto"/>
        <w:rPr>
          <w:rFonts w:ascii="Arial" w:hAnsi="Arial" w:cs="Arial"/>
          <w:bCs/>
          <w:sz w:val="24"/>
          <w:szCs w:val="24"/>
          <w:lang w:eastAsia="en-GB"/>
        </w:rPr>
      </w:pPr>
    </w:p>
    <w:p w14:paraId="0382D3BE" w14:textId="255BA4AB"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In their capacity as billing authorities the </w:t>
      </w:r>
      <w:r w:rsidR="00336C9F">
        <w:rPr>
          <w:rFonts w:ascii="Arial" w:hAnsi="Arial" w:cs="Arial"/>
          <w:bCs/>
          <w:sz w:val="24"/>
          <w:szCs w:val="24"/>
          <w:lang w:eastAsia="en-GB"/>
        </w:rPr>
        <w:t>ten</w:t>
      </w:r>
      <w:r w:rsidRPr="0007572B">
        <w:rPr>
          <w:rFonts w:ascii="Arial" w:hAnsi="Arial" w:cs="Arial"/>
          <w:bCs/>
          <w:sz w:val="24"/>
          <w:szCs w:val="24"/>
          <w:lang w:eastAsia="en-GB"/>
        </w:rPr>
        <w:t xml:space="preserve"> GM Authorities act as agents: they collect and distribute council tax income on behalf of the major preceptors and themselves. The cash collected by the billing authorities from council tax debtors belongs proportionately to the billing authorities and the major preceptors. There will therefore be a debtor/creditor position between the billing authorities and GMCA to be recognised since the net cash paid to GMCA in the year will not be its share of cash collected from council taxpayers. </w:t>
      </w:r>
    </w:p>
    <w:p w14:paraId="4D01BFF1" w14:textId="77777777" w:rsidR="00655E4C" w:rsidRPr="0007572B" w:rsidRDefault="00655E4C" w:rsidP="00655E4C">
      <w:pPr>
        <w:pStyle w:val="Normal0"/>
        <w:spacing w:line="240" w:lineRule="auto"/>
        <w:rPr>
          <w:rFonts w:ascii="Arial" w:hAnsi="Arial" w:cs="Arial"/>
          <w:bCs/>
          <w:sz w:val="24"/>
          <w:szCs w:val="24"/>
          <w:lang w:eastAsia="en-GB"/>
        </w:rPr>
      </w:pPr>
    </w:p>
    <w:p w14:paraId="572D68ED" w14:textId="2C0B8843" w:rsidR="00655E4C" w:rsidRPr="0007572B" w:rsidRDefault="00655E4C" w:rsidP="00655E4C">
      <w:pPr>
        <w:pStyle w:val="Heading5"/>
        <w:rPr>
          <w:lang w:eastAsia="en-GB"/>
        </w:rPr>
      </w:pPr>
      <w:r w:rsidRPr="0007572B">
        <w:rPr>
          <w:lang w:eastAsia="en-GB"/>
        </w:rPr>
        <w:t>1.1</w:t>
      </w:r>
      <w:r w:rsidR="006E4D9B">
        <w:rPr>
          <w:lang w:eastAsia="en-GB"/>
        </w:rPr>
        <w:t>5</w:t>
      </w:r>
      <w:r w:rsidRPr="0007572B">
        <w:rPr>
          <w:lang w:eastAsia="en-GB"/>
        </w:rPr>
        <w:t xml:space="preserve">.2. </w:t>
      </w:r>
      <w:r>
        <w:rPr>
          <w:lang w:eastAsia="en-GB"/>
        </w:rPr>
        <w:t>Business Rates</w:t>
      </w:r>
    </w:p>
    <w:p w14:paraId="041F26EA" w14:textId="77777777" w:rsidR="00655E4C" w:rsidRPr="0007572B" w:rsidRDefault="00655E4C" w:rsidP="00655E4C">
      <w:pPr>
        <w:pStyle w:val="Normal0"/>
        <w:spacing w:line="240" w:lineRule="auto"/>
        <w:rPr>
          <w:rFonts w:ascii="Arial" w:hAnsi="Arial" w:cs="Arial"/>
          <w:b/>
          <w:bCs/>
          <w:sz w:val="24"/>
          <w:szCs w:val="24"/>
          <w:lang w:eastAsia="en-GB"/>
        </w:rPr>
      </w:pPr>
    </w:p>
    <w:p w14:paraId="3A24982E" w14:textId="046927BA"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From 1 April 2013 the </w:t>
      </w:r>
      <w:r w:rsidR="00336C9F">
        <w:rPr>
          <w:rFonts w:ascii="Arial" w:hAnsi="Arial" w:cs="Arial"/>
          <w:bCs/>
          <w:sz w:val="24"/>
          <w:szCs w:val="24"/>
          <w:lang w:eastAsia="en-GB"/>
        </w:rPr>
        <w:t>ten</w:t>
      </w:r>
      <w:r w:rsidRPr="0007572B">
        <w:rPr>
          <w:rFonts w:ascii="Arial" w:hAnsi="Arial" w:cs="Arial"/>
          <w:bCs/>
          <w:sz w:val="24"/>
          <w:szCs w:val="24"/>
          <w:lang w:eastAsia="en-GB"/>
        </w:rPr>
        <w:t xml:space="preserve"> GM Authorities as billing authorities of Greater Manchester have acted as agents; they have collected </w:t>
      </w:r>
      <w:r>
        <w:rPr>
          <w:rFonts w:ascii="Arial" w:hAnsi="Arial" w:cs="Arial"/>
          <w:bCs/>
          <w:sz w:val="24"/>
          <w:szCs w:val="24"/>
          <w:lang w:eastAsia="en-GB"/>
        </w:rPr>
        <w:t>business rates</w:t>
      </w:r>
      <w:r w:rsidRPr="0007572B">
        <w:rPr>
          <w:rFonts w:ascii="Arial" w:hAnsi="Arial" w:cs="Arial"/>
          <w:bCs/>
          <w:sz w:val="24"/>
          <w:szCs w:val="24"/>
          <w:lang w:eastAsia="en-GB"/>
        </w:rPr>
        <w:t xml:space="preserve"> income on behalf of Central Government, the GMCA and themselves.</w:t>
      </w:r>
    </w:p>
    <w:p w14:paraId="28EEE6E4" w14:textId="77777777" w:rsidR="00655E4C" w:rsidRPr="0007572B" w:rsidRDefault="00655E4C" w:rsidP="00655E4C">
      <w:pPr>
        <w:pStyle w:val="Normal0"/>
        <w:spacing w:line="240" w:lineRule="auto"/>
        <w:rPr>
          <w:rFonts w:ascii="Arial" w:hAnsi="Arial" w:cs="Arial"/>
          <w:bCs/>
          <w:sz w:val="24"/>
          <w:szCs w:val="24"/>
          <w:lang w:eastAsia="en-GB"/>
        </w:rPr>
      </w:pPr>
    </w:p>
    <w:p w14:paraId="701C8BEC"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The </w:t>
      </w:r>
      <w:r>
        <w:rPr>
          <w:rFonts w:ascii="Arial" w:hAnsi="Arial" w:cs="Arial"/>
          <w:bCs/>
          <w:sz w:val="24"/>
          <w:szCs w:val="24"/>
          <w:lang w:eastAsia="en-GB"/>
        </w:rPr>
        <w:t>business rates</w:t>
      </w:r>
      <w:r w:rsidRPr="0007572B">
        <w:rPr>
          <w:rFonts w:ascii="Arial" w:hAnsi="Arial" w:cs="Arial"/>
          <w:bCs/>
          <w:sz w:val="24"/>
          <w:szCs w:val="24"/>
          <w:lang w:eastAsia="en-GB"/>
        </w:rPr>
        <w:t xml:space="preserve"> income distributed to each of the parties is the amount after deducting an allowance for the GM Authorities’ cost of collection. The </w:t>
      </w:r>
      <w:r>
        <w:rPr>
          <w:rFonts w:ascii="Arial" w:hAnsi="Arial" w:cs="Arial"/>
          <w:bCs/>
          <w:sz w:val="24"/>
          <w:szCs w:val="24"/>
          <w:lang w:eastAsia="en-GB"/>
        </w:rPr>
        <w:t>business rates</w:t>
      </w:r>
      <w:r w:rsidRPr="0007572B">
        <w:rPr>
          <w:rFonts w:ascii="Arial" w:hAnsi="Arial" w:cs="Arial"/>
          <w:bCs/>
          <w:sz w:val="24"/>
          <w:szCs w:val="24"/>
          <w:lang w:eastAsia="en-GB"/>
        </w:rPr>
        <w:t xml:space="preserve"> cash collected by the billing authorities through the national scheme belongs proportionately to Central Government, the GM Authorities and GMCA; there will therefore be a debtor/creditor position between these parties to be recognised since the net cash paid in the year to each party will not be their share of the cash collected from business ratepayers.</w:t>
      </w:r>
    </w:p>
    <w:p w14:paraId="1230C76F" w14:textId="77777777" w:rsidR="00655E4C" w:rsidRPr="0007572B" w:rsidRDefault="00655E4C" w:rsidP="00655E4C">
      <w:pPr>
        <w:pStyle w:val="Normal0"/>
        <w:spacing w:line="240" w:lineRule="auto"/>
        <w:rPr>
          <w:rFonts w:ascii="Arial" w:hAnsi="Arial" w:cs="Arial"/>
          <w:bCs/>
          <w:sz w:val="24"/>
          <w:szCs w:val="24"/>
          <w:lang w:eastAsia="en-GB"/>
        </w:rPr>
      </w:pPr>
    </w:p>
    <w:p w14:paraId="745FB9F9" w14:textId="5125C9CF" w:rsidR="00655E4C" w:rsidRPr="0007572B" w:rsidRDefault="00655E4C" w:rsidP="00655E4C">
      <w:pPr>
        <w:pStyle w:val="Normal0"/>
        <w:spacing w:line="240" w:lineRule="auto"/>
        <w:rPr>
          <w:rFonts w:ascii="Arial" w:hAnsi="Arial" w:cs="Arial"/>
          <w:bCs/>
          <w:sz w:val="24"/>
          <w:szCs w:val="24"/>
          <w:lang w:eastAsia="en-GB"/>
        </w:rPr>
      </w:pPr>
      <w:r w:rsidRPr="00817AA9">
        <w:rPr>
          <w:rFonts w:ascii="Arial" w:hAnsi="Arial" w:cs="Arial"/>
          <w:bCs/>
          <w:sz w:val="24"/>
          <w:szCs w:val="24"/>
          <w:lang w:eastAsia="en-GB"/>
        </w:rPr>
        <w:t xml:space="preserve">In 2021/22 </w:t>
      </w:r>
      <w:r w:rsidR="00336C9F">
        <w:rPr>
          <w:rFonts w:ascii="Arial" w:hAnsi="Arial" w:cs="Arial"/>
          <w:bCs/>
          <w:sz w:val="24"/>
          <w:szCs w:val="24"/>
          <w:lang w:eastAsia="en-GB"/>
        </w:rPr>
        <w:t>GM</w:t>
      </w:r>
      <w:r w:rsidRPr="00817AA9">
        <w:rPr>
          <w:rFonts w:ascii="Arial" w:hAnsi="Arial" w:cs="Arial"/>
          <w:bCs/>
          <w:sz w:val="24"/>
          <w:szCs w:val="24"/>
          <w:lang w:eastAsia="en-GB"/>
        </w:rPr>
        <w:t xml:space="preserve"> continues to be a pilot area for the 100% Business Rates Retention Scheme and the relevant shares of business rates income for 2021/22 are Central Government (0%), GM Authorities (99%) and GMCA (1%).</w:t>
      </w:r>
    </w:p>
    <w:p w14:paraId="176E7EB2" w14:textId="77777777" w:rsidR="00655E4C" w:rsidRPr="0007572B" w:rsidRDefault="00655E4C" w:rsidP="00655E4C">
      <w:pPr>
        <w:pStyle w:val="Normal0"/>
        <w:spacing w:line="240" w:lineRule="auto"/>
        <w:rPr>
          <w:rFonts w:ascii="Arial" w:hAnsi="Arial" w:cs="Arial"/>
          <w:bCs/>
          <w:sz w:val="24"/>
          <w:szCs w:val="24"/>
          <w:lang w:eastAsia="en-GB"/>
        </w:rPr>
      </w:pPr>
    </w:p>
    <w:p w14:paraId="04FF223F"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For both council tax and </w:t>
      </w:r>
      <w:r>
        <w:rPr>
          <w:rFonts w:ascii="Arial" w:hAnsi="Arial" w:cs="Arial"/>
          <w:bCs/>
          <w:sz w:val="24"/>
          <w:szCs w:val="24"/>
          <w:lang w:eastAsia="en-GB"/>
        </w:rPr>
        <w:t>business rates</w:t>
      </w:r>
      <w:r w:rsidRPr="0007572B">
        <w:rPr>
          <w:rFonts w:ascii="Arial" w:hAnsi="Arial" w:cs="Arial"/>
          <w:bCs/>
          <w:sz w:val="24"/>
          <w:szCs w:val="24"/>
          <w:lang w:eastAsia="en-GB"/>
        </w:rPr>
        <w:t xml:space="preserve">, the income reflected in the CIES in </w:t>
      </w:r>
      <w:r>
        <w:rPr>
          <w:rFonts w:ascii="Arial" w:hAnsi="Arial" w:cs="Arial"/>
          <w:bCs/>
          <w:sz w:val="24"/>
          <w:szCs w:val="24"/>
          <w:lang w:eastAsia="en-GB"/>
        </w:rPr>
        <w:t>2021/22</w:t>
      </w:r>
      <w:r w:rsidRPr="0007572B">
        <w:rPr>
          <w:rFonts w:ascii="Arial" w:hAnsi="Arial" w:cs="Arial"/>
          <w:bCs/>
          <w:sz w:val="24"/>
          <w:szCs w:val="24"/>
          <w:lang w:eastAsia="en-GB"/>
        </w:rPr>
        <w:t xml:space="preserve"> is the GMCA’s share of the income relating to that year. However, the amount of council tax / </w:t>
      </w:r>
      <w:r>
        <w:rPr>
          <w:rFonts w:ascii="Arial" w:hAnsi="Arial" w:cs="Arial"/>
          <w:bCs/>
          <w:sz w:val="24"/>
          <w:szCs w:val="24"/>
          <w:lang w:eastAsia="en-GB"/>
        </w:rPr>
        <w:t>business rates</w:t>
      </w:r>
      <w:r w:rsidRPr="0007572B">
        <w:rPr>
          <w:rFonts w:ascii="Arial" w:hAnsi="Arial" w:cs="Arial"/>
          <w:bCs/>
          <w:sz w:val="24"/>
          <w:szCs w:val="24"/>
          <w:lang w:eastAsia="en-GB"/>
        </w:rPr>
        <w:t xml:space="preserve"> income that can be credited to the General Fund for the year is determined by statute and may be different from the accrued income position shown in the CIES. An adjustment is made via the Movement in Reserves Statement for the difference between the income due under proper accounting practice and the income per statute.</w:t>
      </w:r>
    </w:p>
    <w:p w14:paraId="4AD18B79" w14:textId="77777777" w:rsidR="00655E4C" w:rsidRPr="0007572B" w:rsidRDefault="00655E4C" w:rsidP="00655E4C">
      <w:pPr>
        <w:pStyle w:val="Normal0"/>
        <w:spacing w:line="240" w:lineRule="auto"/>
        <w:rPr>
          <w:rFonts w:ascii="Arial" w:hAnsi="Arial" w:cs="Arial"/>
          <w:b/>
          <w:bCs/>
          <w:sz w:val="24"/>
          <w:szCs w:val="24"/>
          <w:lang w:eastAsia="en-GB"/>
        </w:rPr>
      </w:pPr>
    </w:p>
    <w:p w14:paraId="63E090D3" w14:textId="36F272CB" w:rsidR="00655E4C" w:rsidRPr="00EB1AAB" w:rsidRDefault="00655E4C" w:rsidP="00655E4C">
      <w:pPr>
        <w:pStyle w:val="Heading4bold"/>
        <w:rPr>
          <w:lang w:eastAsia="en-GB"/>
        </w:rPr>
      </w:pPr>
      <w:r w:rsidRPr="00EB1AAB">
        <w:rPr>
          <w:lang w:eastAsia="en-GB"/>
        </w:rPr>
        <w:t>1.1</w:t>
      </w:r>
      <w:r w:rsidR="006E4D9B">
        <w:rPr>
          <w:lang w:eastAsia="en-GB"/>
        </w:rPr>
        <w:t>6</w:t>
      </w:r>
      <w:r w:rsidRPr="00EB1AAB">
        <w:rPr>
          <w:lang w:eastAsia="en-GB"/>
        </w:rPr>
        <w:t>. Financial Assets</w:t>
      </w:r>
    </w:p>
    <w:p w14:paraId="3920CFC3" w14:textId="77777777" w:rsidR="00655E4C" w:rsidRPr="00EB1AAB" w:rsidRDefault="00655E4C" w:rsidP="00655E4C">
      <w:pPr>
        <w:ind w:right="54"/>
        <w:rPr>
          <w:rFonts w:ascii="Arial" w:eastAsia="Arial" w:hAnsi="Arial" w:cs="Arial"/>
        </w:rPr>
      </w:pPr>
      <w:r w:rsidRPr="00EB1AAB">
        <w:rPr>
          <w:rFonts w:ascii="Arial" w:eastAsia="Arial" w:hAnsi="Arial" w:cs="Arial"/>
          <w:spacing w:val="-1"/>
        </w:rPr>
        <w:t>F</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3"/>
        </w:rPr>
        <w:t xml:space="preserve"> </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rPr>
        <w:t>ets</w:t>
      </w:r>
      <w:r w:rsidRPr="00EB1AAB">
        <w:rPr>
          <w:rFonts w:ascii="Arial" w:eastAsia="Arial" w:hAnsi="Arial" w:cs="Arial"/>
          <w:spacing w:val="9"/>
        </w:rPr>
        <w:t xml:space="preserve"> </w:t>
      </w:r>
      <w:r w:rsidRPr="00EB1AAB">
        <w:rPr>
          <w:rFonts w:ascii="Arial" w:eastAsia="Arial" w:hAnsi="Arial" w:cs="Arial"/>
          <w:spacing w:val="-2"/>
        </w:rPr>
        <w:t>such as</w:t>
      </w:r>
      <w:r w:rsidRPr="00EB1AAB">
        <w:rPr>
          <w:rFonts w:ascii="Arial" w:eastAsia="Arial" w:hAnsi="Arial" w:cs="Arial"/>
          <w:spacing w:val="7"/>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2"/>
        </w:rPr>
        <w:t>v</w:t>
      </w:r>
      <w:r w:rsidRPr="00EB1AAB">
        <w:rPr>
          <w:rFonts w:ascii="Arial" w:eastAsia="Arial" w:hAnsi="Arial" w:cs="Arial"/>
        </w:rPr>
        <w:t>e</w:t>
      </w:r>
      <w:r w:rsidRPr="00EB1AAB">
        <w:rPr>
          <w:rFonts w:ascii="Arial" w:eastAsia="Arial" w:hAnsi="Arial" w:cs="Arial"/>
          <w:spacing w:val="-2"/>
        </w:rPr>
        <w:t>s</w:t>
      </w:r>
      <w:r w:rsidRPr="00EB1AAB">
        <w:rPr>
          <w:rFonts w:ascii="Arial" w:eastAsia="Arial" w:hAnsi="Arial" w:cs="Arial"/>
          <w:spacing w:val="2"/>
        </w:rPr>
        <w:t>t</w:t>
      </w:r>
      <w:r w:rsidRPr="00EB1AAB">
        <w:rPr>
          <w:rFonts w:ascii="Arial" w:eastAsia="Arial" w:hAnsi="Arial" w:cs="Arial"/>
        </w:rPr>
        <w:t>m</w:t>
      </w:r>
      <w:r w:rsidRPr="00EB1AAB">
        <w:rPr>
          <w:rFonts w:ascii="Arial" w:eastAsia="Arial" w:hAnsi="Arial" w:cs="Arial"/>
          <w:spacing w:val="2"/>
        </w:rPr>
        <w:t>e</w:t>
      </w:r>
      <w:r w:rsidRPr="00EB1AAB">
        <w:rPr>
          <w:rFonts w:ascii="Arial" w:eastAsia="Arial" w:hAnsi="Arial" w:cs="Arial"/>
        </w:rPr>
        <w:t>nts</w:t>
      </w:r>
      <w:r w:rsidRPr="00EB1AAB">
        <w:rPr>
          <w:rFonts w:ascii="Arial" w:eastAsia="Arial" w:hAnsi="Arial" w:cs="Arial"/>
          <w:spacing w:val="14"/>
        </w:rPr>
        <w:t xml:space="preserve"> </w:t>
      </w:r>
      <w:r w:rsidRPr="00EB1AAB">
        <w:rPr>
          <w:rFonts w:ascii="Arial" w:eastAsia="Arial" w:hAnsi="Arial" w:cs="Arial"/>
          <w:spacing w:val="-1"/>
        </w:rPr>
        <w:t>(</w:t>
      </w:r>
      <w:r w:rsidRPr="00EB1AAB">
        <w:rPr>
          <w:rFonts w:ascii="Arial" w:eastAsia="Arial" w:hAnsi="Arial" w:cs="Arial"/>
          <w:spacing w:val="-2"/>
        </w:rPr>
        <w:t>e</w:t>
      </w:r>
      <w:r w:rsidRPr="00EB1AAB">
        <w:rPr>
          <w:rFonts w:ascii="Arial" w:eastAsia="Arial" w:hAnsi="Arial" w:cs="Arial"/>
          <w:spacing w:val="1"/>
        </w:rPr>
        <w:t>xcl</w:t>
      </w:r>
      <w:r w:rsidRPr="00EB1AAB">
        <w:rPr>
          <w:rFonts w:ascii="Arial" w:eastAsia="Arial" w:hAnsi="Arial" w:cs="Arial"/>
          <w:spacing w:val="2"/>
        </w:rPr>
        <w:t>u</w:t>
      </w:r>
      <w:r w:rsidRPr="00EB1AAB">
        <w:rPr>
          <w:rFonts w:ascii="Arial" w:eastAsia="Arial" w:hAnsi="Arial" w:cs="Arial"/>
          <w:spacing w:val="-3"/>
        </w:rPr>
        <w:t>d</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g</w:t>
      </w:r>
      <w:r w:rsidRPr="00EB1AAB">
        <w:rPr>
          <w:rFonts w:ascii="Arial" w:eastAsia="Arial" w:hAnsi="Arial" w:cs="Arial"/>
          <w:spacing w:val="13"/>
        </w:rPr>
        <w:t xml:space="preserve"> </w:t>
      </w:r>
      <w:r w:rsidRPr="00EB1AAB">
        <w:rPr>
          <w:rFonts w:ascii="Arial" w:eastAsia="Arial" w:hAnsi="Arial" w:cs="Arial"/>
        </w:rPr>
        <w:t>th</w:t>
      </w:r>
      <w:r w:rsidRPr="00EB1AAB">
        <w:rPr>
          <w:rFonts w:ascii="Arial" w:eastAsia="Arial" w:hAnsi="Arial" w:cs="Arial"/>
          <w:spacing w:val="-3"/>
        </w:rPr>
        <w:t>o</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3"/>
        </w:rPr>
        <w:t xml:space="preserve"> </w:t>
      </w:r>
      <w:r w:rsidRPr="00EB1AAB">
        <w:rPr>
          <w:rFonts w:ascii="Arial" w:eastAsia="Arial" w:hAnsi="Arial" w:cs="Arial"/>
          <w:spacing w:val="-1"/>
        </w:rPr>
        <w:t>c</w:t>
      </w:r>
      <w:r w:rsidRPr="00EB1AAB">
        <w:rPr>
          <w:rFonts w:ascii="Arial" w:eastAsia="Arial" w:hAnsi="Arial" w:cs="Arial"/>
        </w:rPr>
        <w:t>o</w:t>
      </w:r>
      <w:r w:rsidRPr="00EB1AAB">
        <w:rPr>
          <w:rFonts w:ascii="Arial" w:eastAsia="Arial" w:hAnsi="Arial" w:cs="Arial"/>
          <w:spacing w:val="2"/>
        </w:rPr>
        <w:t>m</w:t>
      </w:r>
      <w:r w:rsidRPr="00EB1AAB">
        <w:rPr>
          <w:rFonts w:ascii="Arial" w:eastAsia="Arial" w:hAnsi="Arial" w:cs="Arial"/>
          <w:spacing w:val="-3"/>
        </w:rPr>
        <w:t>p</w:t>
      </w:r>
      <w:r w:rsidRPr="00EB1AAB">
        <w:rPr>
          <w:rFonts w:ascii="Arial" w:eastAsia="Arial" w:hAnsi="Arial" w:cs="Arial"/>
          <w:spacing w:val="2"/>
        </w:rPr>
        <w:t>a</w:t>
      </w:r>
      <w:r w:rsidRPr="00EB1AAB">
        <w:rPr>
          <w:rFonts w:ascii="Arial" w:eastAsia="Arial" w:hAnsi="Arial" w:cs="Arial"/>
          <w:spacing w:val="-3"/>
        </w:rPr>
        <w:t>n</w:t>
      </w:r>
      <w:r w:rsidRPr="00EB1AAB">
        <w:rPr>
          <w:rFonts w:ascii="Arial" w:eastAsia="Arial" w:hAnsi="Arial" w:cs="Arial"/>
          <w:spacing w:val="3"/>
        </w:rPr>
        <w:t>i</w:t>
      </w:r>
      <w:r w:rsidRPr="00EB1AAB">
        <w:rPr>
          <w:rFonts w:ascii="Arial" w:eastAsia="Arial" w:hAnsi="Arial" w:cs="Arial"/>
          <w:spacing w:val="-2"/>
        </w:rPr>
        <w:t>e</w:t>
      </w:r>
      <w:r w:rsidRPr="00EB1AAB">
        <w:rPr>
          <w:rFonts w:ascii="Arial" w:eastAsia="Arial" w:hAnsi="Arial" w:cs="Arial"/>
        </w:rPr>
        <w:t>s</w:t>
      </w:r>
      <w:r w:rsidRPr="00EB1AAB">
        <w:rPr>
          <w:rFonts w:ascii="Arial" w:eastAsia="Arial" w:hAnsi="Arial" w:cs="Arial"/>
          <w:spacing w:val="13"/>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cl</w:t>
      </w:r>
      <w:r w:rsidRPr="00EB1AAB">
        <w:rPr>
          <w:rFonts w:ascii="Arial" w:eastAsia="Arial" w:hAnsi="Arial" w:cs="Arial"/>
        </w:rPr>
        <w:t>u</w:t>
      </w:r>
      <w:r w:rsidRPr="00EB1AAB">
        <w:rPr>
          <w:rFonts w:ascii="Arial" w:eastAsia="Arial" w:hAnsi="Arial" w:cs="Arial"/>
          <w:spacing w:val="-3"/>
        </w:rPr>
        <w:t>d</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7"/>
        </w:rPr>
        <w:t xml:space="preserve"> </w:t>
      </w:r>
      <w:r w:rsidRPr="00EB1AAB">
        <w:rPr>
          <w:rFonts w:ascii="Arial" w:eastAsia="Arial" w:hAnsi="Arial" w:cs="Arial"/>
          <w:spacing w:val="4"/>
        </w:rPr>
        <w:t>i</w:t>
      </w:r>
      <w:r w:rsidRPr="00EB1AAB">
        <w:rPr>
          <w:rFonts w:ascii="Arial" w:eastAsia="Arial" w:hAnsi="Arial" w:cs="Arial"/>
        </w:rPr>
        <w:t>n</w:t>
      </w:r>
      <w:r w:rsidRPr="00EB1AAB">
        <w:rPr>
          <w:rFonts w:ascii="Arial" w:eastAsia="Arial" w:hAnsi="Arial" w:cs="Arial"/>
          <w:spacing w:val="3"/>
        </w:rPr>
        <w:t xml:space="preserve"> </w:t>
      </w:r>
      <w:r w:rsidRPr="00EB1AAB">
        <w:rPr>
          <w:rFonts w:ascii="Arial" w:eastAsia="Arial" w:hAnsi="Arial" w:cs="Arial"/>
          <w:w w:val="101"/>
        </w:rPr>
        <w:t>t</w:t>
      </w:r>
      <w:r w:rsidRPr="00EB1AAB">
        <w:rPr>
          <w:rFonts w:ascii="Arial" w:eastAsia="Arial" w:hAnsi="Arial" w:cs="Arial"/>
          <w:spacing w:val="-2"/>
          <w:w w:val="101"/>
        </w:rPr>
        <w:t>h</w:t>
      </w:r>
      <w:r w:rsidRPr="00EB1AAB">
        <w:rPr>
          <w:rFonts w:ascii="Arial" w:eastAsia="Arial" w:hAnsi="Arial" w:cs="Arial"/>
          <w:w w:val="101"/>
        </w:rPr>
        <w:t xml:space="preserve">e </w:t>
      </w:r>
      <w:r w:rsidRPr="00EB1AAB">
        <w:rPr>
          <w:rFonts w:ascii="Arial" w:eastAsia="Arial" w:hAnsi="Arial" w:cs="Arial"/>
        </w:rPr>
        <w:t>Authority</w:t>
      </w:r>
      <w:r w:rsidRPr="00EB1AAB">
        <w:rPr>
          <w:rFonts w:ascii="Arial" w:eastAsia="Arial" w:hAnsi="Arial" w:cs="Arial"/>
          <w:spacing w:val="3"/>
        </w:rPr>
        <w:t>’</w:t>
      </w:r>
      <w:r w:rsidRPr="00EB1AAB">
        <w:rPr>
          <w:rFonts w:ascii="Arial" w:eastAsia="Arial" w:hAnsi="Arial" w:cs="Arial"/>
        </w:rPr>
        <w:t>s</w:t>
      </w:r>
      <w:r w:rsidRPr="00EB1AAB">
        <w:rPr>
          <w:rFonts w:ascii="Arial" w:eastAsia="Arial" w:hAnsi="Arial" w:cs="Arial"/>
          <w:spacing w:val="9"/>
        </w:rPr>
        <w:t xml:space="preserve"> </w:t>
      </w:r>
      <w:r w:rsidRPr="00EB1AAB">
        <w:rPr>
          <w:rFonts w:ascii="Arial" w:eastAsia="Arial" w:hAnsi="Arial" w:cs="Arial"/>
        </w:rPr>
        <w:t>g</w:t>
      </w:r>
      <w:r w:rsidRPr="00EB1AAB">
        <w:rPr>
          <w:rFonts w:ascii="Arial" w:eastAsia="Arial" w:hAnsi="Arial" w:cs="Arial"/>
          <w:spacing w:val="-1"/>
        </w:rPr>
        <w:t>r</w:t>
      </w:r>
      <w:r w:rsidRPr="00EB1AAB">
        <w:rPr>
          <w:rFonts w:ascii="Arial" w:eastAsia="Arial" w:hAnsi="Arial" w:cs="Arial"/>
        </w:rPr>
        <w:t>o</w:t>
      </w:r>
      <w:r w:rsidRPr="00EB1AAB">
        <w:rPr>
          <w:rFonts w:ascii="Arial" w:eastAsia="Arial" w:hAnsi="Arial" w:cs="Arial"/>
          <w:spacing w:val="-3"/>
        </w:rPr>
        <w:t>u</w:t>
      </w:r>
      <w:r w:rsidRPr="00EB1AAB">
        <w:rPr>
          <w:rFonts w:ascii="Arial" w:eastAsia="Arial" w:hAnsi="Arial" w:cs="Arial"/>
        </w:rPr>
        <w:t>p</w:t>
      </w:r>
      <w:r w:rsidRPr="00EB1AAB">
        <w:rPr>
          <w:rFonts w:ascii="Arial" w:eastAsia="Arial" w:hAnsi="Arial" w:cs="Arial"/>
          <w:spacing w:val="9"/>
        </w:rPr>
        <w:t xml:space="preserve"> </w:t>
      </w:r>
      <w:r w:rsidRPr="00EB1AAB">
        <w:rPr>
          <w:rFonts w:ascii="Arial" w:eastAsia="Arial" w:hAnsi="Arial" w:cs="Arial"/>
          <w:spacing w:val="-3"/>
        </w:rPr>
        <w:t>a</w:t>
      </w:r>
      <w:r w:rsidRPr="00EB1AAB">
        <w:rPr>
          <w:rFonts w:ascii="Arial" w:eastAsia="Arial" w:hAnsi="Arial" w:cs="Arial"/>
          <w:spacing w:val="1"/>
        </w:rPr>
        <w:t>cc</w:t>
      </w:r>
      <w:r w:rsidRPr="00EB1AAB">
        <w:rPr>
          <w:rFonts w:ascii="Arial" w:eastAsia="Arial" w:hAnsi="Arial" w:cs="Arial"/>
        </w:rPr>
        <w:t>o</w:t>
      </w:r>
      <w:r w:rsidRPr="00EB1AAB">
        <w:rPr>
          <w:rFonts w:ascii="Arial" w:eastAsia="Arial" w:hAnsi="Arial" w:cs="Arial"/>
          <w:spacing w:val="2"/>
        </w:rPr>
        <w:t>u</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spacing w:val="-2"/>
        </w:rPr>
        <w:t>s</w:t>
      </w:r>
      <w:r w:rsidRPr="00EB1AAB">
        <w:rPr>
          <w:rFonts w:ascii="Arial" w:eastAsia="Arial" w:hAnsi="Arial" w:cs="Arial"/>
        </w:rPr>
        <w:t>)</w:t>
      </w:r>
      <w:r w:rsidRPr="00EB1AAB">
        <w:rPr>
          <w:rFonts w:ascii="Arial" w:eastAsia="Arial" w:hAnsi="Arial" w:cs="Arial"/>
          <w:spacing w:val="13"/>
        </w:rPr>
        <w:t xml:space="preserve"> </w:t>
      </w:r>
      <w:r w:rsidRPr="00EB1AAB">
        <w:rPr>
          <w:rFonts w:ascii="Arial" w:eastAsia="Arial" w:hAnsi="Arial" w:cs="Arial"/>
        </w:rPr>
        <w:t>and</w:t>
      </w:r>
      <w:r w:rsidRPr="00EB1AAB">
        <w:rPr>
          <w:rFonts w:ascii="Arial" w:eastAsia="Arial" w:hAnsi="Arial" w:cs="Arial"/>
          <w:spacing w:val="5"/>
        </w:rPr>
        <w:t xml:space="preserve"> </w:t>
      </w:r>
      <w:r w:rsidRPr="00EB1AAB">
        <w:rPr>
          <w:rFonts w:ascii="Arial" w:eastAsia="Arial" w:hAnsi="Arial" w:cs="Arial"/>
        </w:rPr>
        <w:t>debt</w:t>
      </w:r>
      <w:r w:rsidRPr="00EB1AAB">
        <w:rPr>
          <w:rFonts w:ascii="Arial" w:eastAsia="Arial" w:hAnsi="Arial" w:cs="Arial"/>
          <w:spacing w:val="2"/>
        </w:rPr>
        <w:t>o</w:t>
      </w:r>
      <w:r w:rsidRPr="00EB1AAB">
        <w:rPr>
          <w:rFonts w:ascii="Arial" w:eastAsia="Arial" w:hAnsi="Arial" w:cs="Arial"/>
          <w:spacing w:val="-1"/>
        </w:rPr>
        <w:t>r</w:t>
      </w:r>
      <w:r w:rsidRPr="00EB1AAB">
        <w:rPr>
          <w:rFonts w:ascii="Arial" w:eastAsia="Arial" w:hAnsi="Arial" w:cs="Arial"/>
        </w:rPr>
        <w:t>s</w:t>
      </w:r>
      <w:r w:rsidRPr="00EB1AAB">
        <w:rPr>
          <w:rFonts w:ascii="Arial" w:eastAsia="Arial" w:hAnsi="Arial" w:cs="Arial"/>
          <w:spacing w:val="10"/>
        </w:rPr>
        <w:t xml:space="preserve"> </w:t>
      </w:r>
      <w:r w:rsidRPr="00EB1AAB">
        <w:rPr>
          <w:rFonts w:ascii="Arial" w:eastAsia="Arial" w:hAnsi="Arial" w:cs="Arial"/>
          <w:spacing w:val="-3"/>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cl</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spacing w:val="3"/>
        </w:rPr>
        <w:t>i</w:t>
      </w:r>
      <w:r w:rsidRPr="00EB1AAB">
        <w:rPr>
          <w:rFonts w:ascii="Arial" w:eastAsia="Arial" w:hAnsi="Arial" w:cs="Arial"/>
        </w:rPr>
        <w:t>f</w:t>
      </w:r>
      <w:r w:rsidRPr="00EB1AAB">
        <w:rPr>
          <w:rFonts w:ascii="Arial" w:eastAsia="Arial" w:hAnsi="Arial" w:cs="Arial"/>
          <w:spacing w:val="1"/>
        </w:rPr>
        <w:t>i</w:t>
      </w:r>
      <w:r w:rsidRPr="00EB1AAB">
        <w:rPr>
          <w:rFonts w:ascii="Arial" w:eastAsia="Arial" w:hAnsi="Arial" w:cs="Arial"/>
        </w:rPr>
        <w:t>ed</w:t>
      </w:r>
      <w:r w:rsidRPr="00EB1AAB">
        <w:rPr>
          <w:rFonts w:ascii="Arial" w:eastAsia="Arial" w:hAnsi="Arial" w:cs="Arial"/>
          <w:spacing w:val="7"/>
        </w:rPr>
        <w:t xml:space="preserve"> </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rPr>
        <w:t>o</w:t>
      </w:r>
      <w:r w:rsidRPr="00EB1AAB">
        <w:rPr>
          <w:rFonts w:ascii="Arial" w:eastAsia="Arial" w:hAnsi="Arial" w:cs="Arial"/>
          <w:spacing w:val="3"/>
        </w:rPr>
        <w:t xml:space="preserve"> </w:t>
      </w:r>
      <w:r w:rsidRPr="00EB1AAB">
        <w:rPr>
          <w:rFonts w:ascii="Arial" w:eastAsia="Arial" w:hAnsi="Arial" w:cs="Arial"/>
          <w:spacing w:val="2"/>
        </w:rPr>
        <w:t>t</w:t>
      </w:r>
      <w:r w:rsidRPr="00EB1AAB">
        <w:rPr>
          <w:rFonts w:ascii="Arial" w:eastAsia="Arial" w:hAnsi="Arial" w:cs="Arial"/>
          <w:spacing w:val="-3"/>
        </w:rPr>
        <w:t>h</w:t>
      </w:r>
      <w:r w:rsidRPr="00EB1AAB">
        <w:rPr>
          <w:rFonts w:ascii="Arial" w:eastAsia="Arial" w:hAnsi="Arial" w:cs="Arial"/>
          <w:spacing w:val="-1"/>
        </w:rPr>
        <w:t>r</w:t>
      </w:r>
      <w:r w:rsidRPr="00EB1AAB">
        <w:rPr>
          <w:rFonts w:ascii="Arial" w:eastAsia="Arial" w:hAnsi="Arial" w:cs="Arial"/>
          <w:spacing w:val="2"/>
        </w:rPr>
        <w:t>e</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2"/>
        </w:rPr>
        <w:t>t</w:t>
      </w:r>
      <w:r w:rsidRPr="00EB1AAB">
        <w:rPr>
          <w:rFonts w:ascii="Arial" w:eastAsia="Arial" w:hAnsi="Arial" w:cs="Arial"/>
          <w:spacing w:val="-1"/>
        </w:rPr>
        <w:t>y</w:t>
      </w:r>
      <w:r w:rsidRPr="00EB1AAB">
        <w:rPr>
          <w:rFonts w:ascii="Arial" w:eastAsia="Arial" w:hAnsi="Arial" w:cs="Arial"/>
        </w:rPr>
        <w:t>p</w:t>
      </w:r>
      <w:r w:rsidRPr="00EB1AAB">
        <w:rPr>
          <w:rFonts w:ascii="Arial" w:eastAsia="Arial" w:hAnsi="Arial" w:cs="Arial"/>
          <w:spacing w:val="2"/>
        </w:rPr>
        <w:t>e</w:t>
      </w:r>
      <w:r w:rsidRPr="00EB1AAB">
        <w:rPr>
          <w:rFonts w:ascii="Arial" w:eastAsia="Arial" w:hAnsi="Arial" w:cs="Arial"/>
        </w:rPr>
        <w:t>s</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2"/>
        </w:rPr>
        <w:t>m</w:t>
      </w:r>
      <w:r w:rsidRPr="00EB1AAB">
        <w:rPr>
          <w:rFonts w:ascii="Arial" w:eastAsia="Arial" w:hAnsi="Arial" w:cs="Arial"/>
          <w:spacing w:val="-2"/>
        </w:rPr>
        <w:t>o</w:t>
      </w:r>
      <w:r w:rsidRPr="00EB1AAB">
        <w:rPr>
          <w:rFonts w:ascii="Arial" w:eastAsia="Arial" w:hAnsi="Arial" w:cs="Arial"/>
          <w:spacing w:val="-1"/>
        </w:rPr>
        <w:t>r</w:t>
      </w:r>
      <w:r w:rsidRPr="00EB1AAB">
        <w:rPr>
          <w:rFonts w:ascii="Arial" w:eastAsia="Arial" w:hAnsi="Arial" w:cs="Arial"/>
        </w:rPr>
        <w:t>t</w:t>
      </w:r>
      <w:r w:rsidRPr="00EB1AAB">
        <w:rPr>
          <w:rFonts w:ascii="Arial" w:eastAsia="Arial" w:hAnsi="Arial" w:cs="Arial"/>
          <w:spacing w:val="4"/>
        </w:rPr>
        <w:t>i</w:t>
      </w:r>
      <w:r w:rsidRPr="00EB1AAB">
        <w:rPr>
          <w:rFonts w:ascii="Arial" w:eastAsia="Arial" w:hAnsi="Arial" w:cs="Arial"/>
          <w:spacing w:val="1"/>
        </w:rPr>
        <w:t>s</w:t>
      </w:r>
      <w:r w:rsidRPr="00EB1AAB">
        <w:rPr>
          <w:rFonts w:ascii="Arial" w:eastAsia="Arial" w:hAnsi="Arial" w:cs="Arial"/>
          <w:spacing w:val="-3"/>
        </w:rPr>
        <w:t>e</w:t>
      </w:r>
      <w:r w:rsidRPr="00EB1AAB">
        <w:rPr>
          <w:rFonts w:ascii="Arial" w:eastAsia="Arial" w:hAnsi="Arial" w:cs="Arial"/>
        </w:rPr>
        <w:t>d</w:t>
      </w:r>
      <w:r w:rsidRPr="00EB1AAB">
        <w:rPr>
          <w:rFonts w:ascii="Arial" w:eastAsia="Arial" w:hAnsi="Arial" w:cs="Arial"/>
          <w:spacing w:val="11"/>
        </w:rPr>
        <w:t xml:space="preserve"> </w:t>
      </w:r>
      <w:r w:rsidRPr="00EB1AAB">
        <w:rPr>
          <w:rFonts w:ascii="Arial" w:eastAsia="Arial" w:hAnsi="Arial" w:cs="Arial"/>
          <w:spacing w:val="1"/>
          <w:w w:val="101"/>
        </w:rPr>
        <w:t>c</w:t>
      </w:r>
      <w:r w:rsidRPr="00EB1AAB">
        <w:rPr>
          <w:rFonts w:ascii="Arial" w:eastAsia="Arial" w:hAnsi="Arial" w:cs="Arial"/>
          <w:w w:val="101"/>
        </w:rPr>
        <w:t>o</w:t>
      </w:r>
      <w:r w:rsidRPr="00EB1AAB">
        <w:rPr>
          <w:rFonts w:ascii="Arial" w:eastAsia="Arial" w:hAnsi="Arial" w:cs="Arial"/>
          <w:spacing w:val="1"/>
          <w:w w:val="101"/>
        </w:rPr>
        <w:t>s</w:t>
      </w:r>
      <w:r w:rsidRPr="00EB1AAB">
        <w:rPr>
          <w:rFonts w:ascii="Arial" w:eastAsia="Arial" w:hAnsi="Arial" w:cs="Arial"/>
          <w:w w:val="101"/>
        </w:rPr>
        <w:t xml:space="preserve">t, </w:t>
      </w:r>
      <w:r w:rsidRPr="00EB1AAB">
        <w:rPr>
          <w:rFonts w:ascii="Arial" w:eastAsia="Arial" w:hAnsi="Arial" w:cs="Arial"/>
          <w:spacing w:val="2"/>
        </w:rPr>
        <w:t>f</w:t>
      </w:r>
      <w:r w:rsidRPr="00EB1AAB">
        <w:rPr>
          <w:rFonts w:ascii="Arial" w:eastAsia="Arial" w:hAnsi="Arial" w:cs="Arial"/>
        </w:rPr>
        <w:t>air</w:t>
      </w:r>
      <w:r w:rsidRPr="00EB1AAB">
        <w:rPr>
          <w:rFonts w:ascii="Arial" w:eastAsia="Arial" w:hAnsi="Arial" w:cs="Arial"/>
          <w:spacing w:val="6"/>
        </w:rPr>
        <w:t xml:space="preserve"> </w:t>
      </w:r>
      <w:r w:rsidRPr="00EB1AAB">
        <w:rPr>
          <w:rFonts w:ascii="Arial" w:eastAsia="Arial" w:hAnsi="Arial" w:cs="Arial"/>
          <w:spacing w:val="-2"/>
        </w:rPr>
        <w:t>v</w:t>
      </w:r>
      <w:r w:rsidRPr="00EB1AAB">
        <w:rPr>
          <w:rFonts w:ascii="Arial" w:eastAsia="Arial" w:hAnsi="Arial" w:cs="Arial"/>
        </w:rPr>
        <w:t>a</w:t>
      </w:r>
      <w:r w:rsidRPr="00EB1AAB">
        <w:rPr>
          <w:rFonts w:ascii="Arial" w:eastAsia="Arial" w:hAnsi="Arial" w:cs="Arial"/>
          <w:spacing w:val="1"/>
        </w:rPr>
        <w:t>l</w:t>
      </w:r>
      <w:r w:rsidRPr="00EB1AAB">
        <w:rPr>
          <w:rFonts w:ascii="Arial" w:eastAsia="Arial" w:hAnsi="Arial" w:cs="Arial"/>
        </w:rPr>
        <w:t>ue</w:t>
      </w:r>
      <w:r w:rsidRPr="00EB1AAB">
        <w:rPr>
          <w:rFonts w:ascii="Arial" w:eastAsia="Arial" w:hAnsi="Arial" w:cs="Arial"/>
          <w:spacing w:val="3"/>
        </w:rPr>
        <w:t xml:space="preserve"> </w:t>
      </w:r>
      <w:r w:rsidRPr="00EB1AAB">
        <w:rPr>
          <w:rFonts w:ascii="Arial" w:eastAsia="Arial" w:hAnsi="Arial" w:cs="Arial"/>
          <w:spacing w:val="2"/>
        </w:rPr>
        <w:t>t</w:t>
      </w:r>
      <w:r w:rsidRPr="00EB1AAB">
        <w:rPr>
          <w:rFonts w:ascii="Arial" w:eastAsia="Arial" w:hAnsi="Arial" w:cs="Arial"/>
          <w:spacing w:val="-2"/>
        </w:rPr>
        <w:t>h</w:t>
      </w:r>
      <w:r w:rsidRPr="00EB1AAB">
        <w:rPr>
          <w:rFonts w:ascii="Arial" w:eastAsia="Arial" w:hAnsi="Arial" w:cs="Arial"/>
          <w:spacing w:val="-1"/>
        </w:rPr>
        <w:t>r</w:t>
      </w:r>
      <w:r w:rsidRPr="00EB1AAB">
        <w:rPr>
          <w:rFonts w:ascii="Arial" w:eastAsia="Arial" w:hAnsi="Arial" w:cs="Arial"/>
          <w:spacing w:val="2"/>
        </w:rPr>
        <w:t>o</w:t>
      </w:r>
      <w:r w:rsidRPr="00EB1AAB">
        <w:rPr>
          <w:rFonts w:ascii="Arial" w:eastAsia="Arial" w:hAnsi="Arial" w:cs="Arial"/>
          <w:spacing w:val="-3"/>
        </w:rPr>
        <w:t>u</w:t>
      </w:r>
      <w:r w:rsidRPr="00EB1AAB">
        <w:rPr>
          <w:rFonts w:ascii="Arial" w:eastAsia="Arial" w:hAnsi="Arial" w:cs="Arial"/>
          <w:spacing w:val="2"/>
        </w:rPr>
        <w:t>g</w:t>
      </w:r>
      <w:r w:rsidRPr="00EB1AAB">
        <w:rPr>
          <w:rFonts w:ascii="Arial" w:eastAsia="Arial" w:hAnsi="Arial" w:cs="Arial"/>
        </w:rPr>
        <w:t>h</w:t>
      </w:r>
      <w:r w:rsidRPr="00EB1AAB">
        <w:rPr>
          <w:rFonts w:ascii="Arial" w:eastAsia="Arial" w:hAnsi="Arial" w:cs="Arial"/>
          <w:spacing w:val="9"/>
        </w:rPr>
        <w:t xml:space="preserve"> </w:t>
      </w:r>
      <w:r w:rsidRPr="00EB1AAB">
        <w:rPr>
          <w:rFonts w:ascii="Arial" w:eastAsia="Arial" w:hAnsi="Arial" w:cs="Arial"/>
          <w:spacing w:val="-2"/>
        </w:rPr>
        <w:t>o</w:t>
      </w:r>
      <w:r w:rsidRPr="00EB1AAB">
        <w:rPr>
          <w:rFonts w:ascii="Arial" w:eastAsia="Arial" w:hAnsi="Arial" w:cs="Arial"/>
          <w:spacing w:val="2"/>
        </w:rPr>
        <w:t>t</w:t>
      </w:r>
      <w:r w:rsidRPr="00EB1AAB">
        <w:rPr>
          <w:rFonts w:ascii="Arial" w:eastAsia="Arial" w:hAnsi="Arial" w:cs="Arial"/>
        </w:rPr>
        <w:t>h</w:t>
      </w:r>
      <w:r w:rsidRPr="00EB1AAB">
        <w:rPr>
          <w:rFonts w:ascii="Arial" w:eastAsia="Arial" w:hAnsi="Arial" w:cs="Arial"/>
          <w:spacing w:val="-1"/>
        </w:rPr>
        <w:t>e</w:t>
      </w:r>
      <w:r w:rsidRPr="00EB1AAB">
        <w:rPr>
          <w:rFonts w:ascii="Arial" w:eastAsia="Arial" w:hAnsi="Arial" w:cs="Arial"/>
        </w:rPr>
        <w:t>r</w:t>
      </w:r>
      <w:r w:rsidRPr="00EB1AAB">
        <w:rPr>
          <w:rFonts w:ascii="Arial" w:eastAsia="Arial" w:hAnsi="Arial" w:cs="Arial"/>
          <w:spacing w:val="8"/>
        </w:rPr>
        <w:t xml:space="preserve"> </w:t>
      </w:r>
      <w:r w:rsidRPr="00EB1AAB">
        <w:rPr>
          <w:rFonts w:ascii="Arial" w:eastAsia="Arial" w:hAnsi="Arial" w:cs="Arial"/>
          <w:spacing w:val="1"/>
        </w:rPr>
        <w:t>c</w:t>
      </w:r>
      <w:r w:rsidRPr="00EB1AAB">
        <w:rPr>
          <w:rFonts w:ascii="Arial" w:eastAsia="Arial" w:hAnsi="Arial" w:cs="Arial"/>
          <w:spacing w:val="-3"/>
        </w:rPr>
        <w:t>o</w:t>
      </w:r>
      <w:r w:rsidRPr="00EB1AAB">
        <w:rPr>
          <w:rFonts w:ascii="Arial" w:eastAsia="Arial" w:hAnsi="Arial" w:cs="Arial"/>
          <w:spacing w:val="2"/>
        </w:rPr>
        <w:t>m</w:t>
      </w:r>
      <w:r w:rsidRPr="00EB1AAB">
        <w:rPr>
          <w:rFonts w:ascii="Arial" w:eastAsia="Arial" w:hAnsi="Arial" w:cs="Arial"/>
          <w:spacing w:val="-3"/>
        </w:rPr>
        <w:t>p</w:t>
      </w:r>
      <w:r w:rsidRPr="00EB1AAB">
        <w:rPr>
          <w:rFonts w:ascii="Arial" w:eastAsia="Arial" w:hAnsi="Arial" w:cs="Arial"/>
          <w:spacing w:val="1"/>
        </w:rPr>
        <w:t>r</w:t>
      </w:r>
      <w:r w:rsidRPr="00EB1AAB">
        <w:rPr>
          <w:rFonts w:ascii="Arial" w:eastAsia="Arial" w:hAnsi="Arial" w:cs="Arial"/>
        </w:rPr>
        <w:t>ehen</w:t>
      </w:r>
      <w:r w:rsidRPr="00EB1AAB">
        <w:rPr>
          <w:rFonts w:ascii="Arial" w:eastAsia="Arial" w:hAnsi="Arial" w:cs="Arial"/>
          <w:spacing w:val="-2"/>
        </w:rPr>
        <w:t>s</w:t>
      </w:r>
      <w:r w:rsidRPr="00EB1AAB">
        <w:rPr>
          <w:rFonts w:ascii="Arial" w:eastAsia="Arial" w:hAnsi="Arial" w:cs="Arial"/>
          <w:spacing w:val="4"/>
        </w:rPr>
        <w:t>i</w:t>
      </w:r>
      <w:r w:rsidRPr="00EB1AAB">
        <w:rPr>
          <w:rFonts w:ascii="Arial" w:eastAsia="Arial" w:hAnsi="Arial" w:cs="Arial"/>
          <w:spacing w:val="-2"/>
        </w:rPr>
        <w:t>v</w:t>
      </w:r>
      <w:r w:rsidRPr="00EB1AAB">
        <w:rPr>
          <w:rFonts w:ascii="Arial" w:eastAsia="Arial" w:hAnsi="Arial" w:cs="Arial"/>
        </w:rPr>
        <w:t>e</w:t>
      </w:r>
      <w:r w:rsidRPr="00EB1AAB">
        <w:rPr>
          <w:rFonts w:ascii="Arial" w:eastAsia="Arial" w:hAnsi="Arial" w:cs="Arial"/>
          <w:spacing w:val="17"/>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3"/>
        </w:rPr>
        <w:t>c</w:t>
      </w:r>
      <w:r w:rsidRPr="00EB1AAB">
        <w:rPr>
          <w:rFonts w:ascii="Arial" w:eastAsia="Arial" w:hAnsi="Arial" w:cs="Arial"/>
        </w:rPr>
        <w:t>o</w:t>
      </w:r>
      <w:r w:rsidRPr="00EB1AAB">
        <w:rPr>
          <w:rFonts w:ascii="Arial" w:eastAsia="Arial" w:hAnsi="Arial" w:cs="Arial"/>
          <w:spacing w:val="2"/>
        </w:rPr>
        <w:t>m</w:t>
      </w:r>
      <w:r w:rsidRPr="00EB1AAB">
        <w:rPr>
          <w:rFonts w:ascii="Arial" w:eastAsia="Arial" w:hAnsi="Arial" w:cs="Arial"/>
        </w:rPr>
        <w:t>e</w:t>
      </w:r>
      <w:r w:rsidRPr="00EB1AAB">
        <w:rPr>
          <w:rFonts w:ascii="Arial" w:eastAsia="Arial" w:hAnsi="Arial" w:cs="Arial"/>
          <w:spacing w:val="8"/>
        </w:rPr>
        <w:t xml:space="preserve"> </w:t>
      </w:r>
      <w:r w:rsidRPr="00EB1AAB">
        <w:rPr>
          <w:rFonts w:ascii="Arial" w:eastAsia="Arial" w:hAnsi="Arial" w:cs="Arial"/>
          <w:spacing w:val="-1"/>
        </w:rPr>
        <w:t>(F</w:t>
      </w:r>
      <w:r w:rsidRPr="00EB1AAB">
        <w:rPr>
          <w:rFonts w:ascii="Arial" w:eastAsia="Arial" w:hAnsi="Arial" w:cs="Arial"/>
        </w:rPr>
        <w:t>V</w:t>
      </w:r>
      <w:r w:rsidRPr="00EB1AAB">
        <w:rPr>
          <w:rFonts w:ascii="Arial" w:eastAsia="Arial" w:hAnsi="Arial" w:cs="Arial"/>
          <w:spacing w:val="-2"/>
        </w:rPr>
        <w:t>O</w:t>
      </w:r>
      <w:r w:rsidRPr="00EB1AAB">
        <w:rPr>
          <w:rFonts w:ascii="Arial" w:eastAsia="Arial" w:hAnsi="Arial" w:cs="Arial"/>
          <w:spacing w:val="-1"/>
        </w:rPr>
        <w:t>C</w:t>
      </w:r>
      <w:r w:rsidRPr="00EB1AAB">
        <w:rPr>
          <w:rFonts w:ascii="Arial" w:eastAsia="Arial" w:hAnsi="Arial" w:cs="Arial"/>
          <w:spacing w:val="2"/>
        </w:rPr>
        <w:t>I</w:t>
      </w:r>
      <w:r w:rsidRPr="00EB1AAB">
        <w:rPr>
          <w:rFonts w:ascii="Arial" w:eastAsia="Arial" w:hAnsi="Arial" w:cs="Arial"/>
        </w:rPr>
        <w:t>)</w:t>
      </w:r>
      <w:r w:rsidRPr="00EB1AAB">
        <w:rPr>
          <w:rFonts w:ascii="Arial" w:eastAsia="Arial" w:hAnsi="Arial" w:cs="Arial"/>
          <w:spacing w:val="9"/>
        </w:rPr>
        <w:t xml:space="preserve"> </w:t>
      </w:r>
      <w:r w:rsidRPr="00EB1AAB">
        <w:rPr>
          <w:rFonts w:ascii="Arial" w:eastAsia="Arial" w:hAnsi="Arial" w:cs="Arial"/>
          <w:spacing w:val="2"/>
        </w:rPr>
        <w:t>a</w:t>
      </w:r>
      <w:r w:rsidRPr="00EB1AAB">
        <w:rPr>
          <w:rFonts w:ascii="Arial" w:eastAsia="Arial" w:hAnsi="Arial" w:cs="Arial"/>
        </w:rPr>
        <w:t>nd</w:t>
      </w:r>
      <w:r w:rsidRPr="00EB1AAB">
        <w:rPr>
          <w:rFonts w:ascii="Arial" w:eastAsia="Arial" w:hAnsi="Arial" w:cs="Arial"/>
          <w:spacing w:val="5"/>
        </w:rPr>
        <w:t xml:space="preserve"> </w:t>
      </w:r>
      <w:r w:rsidRPr="00EB1AAB">
        <w:rPr>
          <w:rFonts w:ascii="Arial" w:eastAsia="Arial" w:hAnsi="Arial" w:cs="Arial"/>
          <w:spacing w:val="2"/>
        </w:rPr>
        <w:t>f</w:t>
      </w:r>
      <w:r w:rsidRPr="00EB1AAB">
        <w:rPr>
          <w:rFonts w:ascii="Arial" w:eastAsia="Arial" w:hAnsi="Arial" w:cs="Arial"/>
        </w:rPr>
        <w:t>a</w:t>
      </w:r>
      <w:r w:rsidRPr="00EB1AAB">
        <w:rPr>
          <w:rFonts w:ascii="Arial" w:eastAsia="Arial" w:hAnsi="Arial" w:cs="Arial"/>
          <w:spacing w:val="1"/>
        </w:rPr>
        <w:t>i</w:t>
      </w:r>
      <w:r w:rsidRPr="00EB1AAB">
        <w:rPr>
          <w:rFonts w:ascii="Arial" w:eastAsia="Arial" w:hAnsi="Arial" w:cs="Arial"/>
        </w:rPr>
        <w:t>r</w:t>
      </w:r>
      <w:r w:rsidRPr="00EB1AAB">
        <w:rPr>
          <w:rFonts w:ascii="Arial" w:eastAsia="Arial" w:hAnsi="Arial" w:cs="Arial"/>
          <w:spacing w:val="3"/>
        </w:rPr>
        <w:t xml:space="preserve"> </w:t>
      </w:r>
      <w:r w:rsidRPr="00EB1AAB">
        <w:rPr>
          <w:rFonts w:ascii="Arial" w:eastAsia="Arial" w:hAnsi="Arial" w:cs="Arial"/>
          <w:spacing w:val="-1"/>
        </w:rPr>
        <w:t>v</w:t>
      </w:r>
      <w:r w:rsidRPr="00EB1AAB">
        <w:rPr>
          <w:rFonts w:ascii="Arial" w:eastAsia="Arial" w:hAnsi="Arial" w:cs="Arial"/>
        </w:rPr>
        <w:t>a</w:t>
      </w:r>
      <w:r w:rsidRPr="00EB1AAB">
        <w:rPr>
          <w:rFonts w:ascii="Arial" w:eastAsia="Arial" w:hAnsi="Arial" w:cs="Arial"/>
          <w:spacing w:val="1"/>
        </w:rPr>
        <w:t>l</w:t>
      </w:r>
      <w:r w:rsidRPr="00EB1AAB">
        <w:rPr>
          <w:rFonts w:ascii="Arial" w:eastAsia="Arial" w:hAnsi="Arial" w:cs="Arial"/>
        </w:rPr>
        <w:t>ue</w:t>
      </w:r>
      <w:r w:rsidRPr="00EB1AAB">
        <w:rPr>
          <w:rFonts w:ascii="Arial" w:eastAsia="Arial" w:hAnsi="Arial" w:cs="Arial"/>
          <w:spacing w:val="3"/>
        </w:rPr>
        <w:t xml:space="preserve"> </w:t>
      </w:r>
      <w:r w:rsidRPr="00EB1AAB">
        <w:rPr>
          <w:rFonts w:ascii="Arial" w:eastAsia="Arial" w:hAnsi="Arial" w:cs="Arial"/>
          <w:spacing w:val="2"/>
        </w:rPr>
        <w:t>t</w:t>
      </w:r>
      <w:r w:rsidRPr="00EB1AAB">
        <w:rPr>
          <w:rFonts w:ascii="Arial" w:eastAsia="Arial" w:hAnsi="Arial" w:cs="Arial"/>
        </w:rPr>
        <w:t>h</w:t>
      </w:r>
      <w:r w:rsidRPr="00EB1AAB">
        <w:rPr>
          <w:rFonts w:ascii="Arial" w:eastAsia="Arial" w:hAnsi="Arial" w:cs="Arial"/>
          <w:spacing w:val="-1"/>
        </w:rPr>
        <w:t>r</w:t>
      </w:r>
      <w:r w:rsidRPr="00EB1AAB">
        <w:rPr>
          <w:rFonts w:ascii="Arial" w:eastAsia="Arial" w:hAnsi="Arial" w:cs="Arial"/>
          <w:spacing w:val="2"/>
        </w:rPr>
        <w:t>o</w:t>
      </w:r>
      <w:r w:rsidRPr="00EB1AAB">
        <w:rPr>
          <w:rFonts w:ascii="Arial" w:eastAsia="Arial" w:hAnsi="Arial" w:cs="Arial"/>
          <w:spacing w:val="-2"/>
        </w:rPr>
        <w:t>u</w:t>
      </w:r>
      <w:r w:rsidRPr="00EB1AAB">
        <w:rPr>
          <w:rFonts w:ascii="Arial" w:eastAsia="Arial" w:hAnsi="Arial" w:cs="Arial"/>
          <w:spacing w:val="2"/>
        </w:rPr>
        <w:t>g</w:t>
      </w:r>
      <w:r w:rsidRPr="00EB1AAB">
        <w:rPr>
          <w:rFonts w:ascii="Arial" w:eastAsia="Arial" w:hAnsi="Arial" w:cs="Arial"/>
        </w:rPr>
        <w:t>h</w:t>
      </w:r>
      <w:r w:rsidRPr="00EB1AAB">
        <w:rPr>
          <w:rFonts w:ascii="Arial" w:eastAsia="Arial" w:hAnsi="Arial" w:cs="Arial"/>
          <w:spacing w:val="9"/>
        </w:rPr>
        <w:t xml:space="preserve"> </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rPr>
        <w:t>o</w:t>
      </w:r>
      <w:r w:rsidRPr="00EB1AAB">
        <w:rPr>
          <w:rFonts w:ascii="Arial" w:eastAsia="Arial" w:hAnsi="Arial" w:cs="Arial"/>
          <w:spacing w:val="2"/>
        </w:rPr>
        <w:t>f</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3"/>
          <w:w w:val="101"/>
        </w:rPr>
        <w:t>o</w:t>
      </w:r>
      <w:r w:rsidRPr="00EB1AAB">
        <w:rPr>
          <w:rFonts w:ascii="Arial" w:eastAsia="Arial" w:hAnsi="Arial" w:cs="Arial"/>
          <w:w w:val="101"/>
        </w:rPr>
        <w:t xml:space="preserve">r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1"/>
        </w:rPr>
        <w:t>s</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spacing w:val="-1"/>
          <w:w w:val="101"/>
        </w:rPr>
        <w:t>(F</w:t>
      </w:r>
      <w:r w:rsidRPr="00EB1AAB">
        <w:rPr>
          <w:rFonts w:ascii="Arial" w:eastAsia="Arial" w:hAnsi="Arial" w:cs="Arial"/>
          <w:w w:val="101"/>
        </w:rPr>
        <w:t>VPL</w:t>
      </w:r>
      <w:r w:rsidRPr="00EB1AAB">
        <w:rPr>
          <w:rFonts w:ascii="Arial" w:eastAsia="Arial" w:hAnsi="Arial" w:cs="Arial"/>
          <w:spacing w:val="-1"/>
          <w:w w:val="101"/>
        </w:rPr>
        <w:t>)</w:t>
      </w:r>
      <w:r w:rsidRPr="00EB1AAB">
        <w:rPr>
          <w:rFonts w:ascii="Arial" w:eastAsia="Arial" w:hAnsi="Arial" w:cs="Arial"/>
          <w:w w:val="101"/>
        </w:rPr>
        <w:t>.</w:t>
      </w:r>
    </w:p>
    <w:p w14:paraId="3ACF2EE7" w14:textId="77777777" w:rsidR="00655E4C" w:rsidRPr="00EB1AAB" w:rsidRDefault="00655E4C" w:rsidP="00655E4C">
      <w:pPr>
        <w:spacing w:before="6"/>
        <w:rPr>
          <w:rFonts w:ascii="Arial" w:hAnsi="Arial" w:cs="Arial"/>
        </w:rPr>
      </w:pPr>
    </w:p>
    <w:p w14:paraId="39471D33" w14:textId="77777777" w:rsidR="00655E4C" w:rsidRPr="00EB1AAB" w:rsidRDefault="00655E4C" w:rsidP="00655E4C">
      <w:pPr>
        <w:ind w:right="-88"/>
        <w:rPr>
          <w:rFonts w:ascii="Arial" w:eastAsia="Arial" w:hAnsi="Arial" w:cs="Arial"/>
        </w:rPr>
      </w:pPr>
      <w:r w:rsidRPr="00EB1AAB">
        <w:rPr>
          <w:rFonts w:ascii="Arial" w:eastAsia="Arial" w:hAnsi="Arial" w:cs="Arial"/>
          <w:spacing w:val="-1"/>
        </w:rPr>
        <w:lastRenderedPageBreak/>
        <w:t>T</w:t>
      </w:r>
      <w:r w:rsidRPr="00EB1AAB">
        <w:rPr>
          <w:rFonts w:ascii="Arial" w:eastAsia="Arial" w:hAnsi="Arial" w:cs="Arial"/>
        </w:rPr>
        <w:t>he</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rPr>
        <w:t>at</w:t>
      </w:r>
      <w:r w:rsidRPr="00EB1AAB">
        <w:rPr>
          <w:rFonts w:ascii="Arial" w:eastAsia="Arial" w:hAnsi="Arial" w:cs="Arial"/>
          <w:spacing w:val="2"/>
        </w:rPr>
        <w:t>e</w:t>
      </w:r>
      <w:r w:rsidRPr="00EB1AAB">
        <w:rPr>
          <w:rFonts w:ascii="Arial" w:eastAsia="Arial" w:hAnsi="Arial" w:cs="Arial"/>
          <w:spacing w:val="-2"/>
        </w:rPr>
        <w:t>g</w:t>
      </w:r>
      <w:r w:rsidRPr="00EB1AAB">
        <w:rPr>
          <w:rFonts w:ascii="Arial" w:eastAsia="Arial" w:hAnsi="Arial" w:cs="Arial"/>
          <w:spacing w:val="2"/>
        </w:rPr>
        <w:t>o</w:t>
      </w:r>
      <w:r w:rsidRPr="00EB1AAB">
        <w:rPr>
          <w:rFonts w:ascii="Arial" w:eastAsia="Arial" w:hAnsi="Arial" w:cs="Arial"/>
          <w:spacing w:val="-1"/>
        </w:rPr>
        <w:t>r</w:t>
      </w:r>
      <w:r w:rsidRPr="00EB1AAB">
        <w:rPr>
          <w:rFonts w:ascii="Arial" w:eastAsia="Arial" w:hAnsi="Arial" w:cs="Arial"/>
          <w:spacing w:val="1"/>
        </w:rPr>
        <w:t>is</w:t>
      </w:r>
      <w:r w:rsidRPr="00EB1AAB">
        <w:rPr>
          <w:rFonts w:ascii="Arial" w:eastAsia="Arial" w:hAnsi="Arial" w:cs="Arial"/>
          <w:spacing w:val="-3"/>
        </w:rPr>
        <w:t>a</w:t>
      </w:r>
      <w:r w:rsidRPr="00EB1AAB">
        <w:rPr>
          <w:rFonts w:ascii="Arial" w:eastAsia="Arial" w:hAnsi="Arial" w:cs="Arial"/>
          <w:spacing w:val="2"/>
        </w:rPr>
        <w:t>t</w:t>
      </w:r>
      <w:r w:rsidRPr="00EB1AAB">
        <w:rPr>
          <w:rFonts w:ascii="Arial" w:eastAsia="Arial" w:hAnsi="Arial" w:cs="Arial"/>
          <w:spacing w:val="1"/>
        </w:rPr>
        <w:t>i</w:t>
      </w:r>
      <w:r w:rsidRPr="00EB1AAB">
        <w:rPr>
          <w:rFonts w:ascii="Arial" w:eastAsia="Arial" w:hAnsi="Arial" w:cs="Arial"/>
        </w:rPr>
        <w:t>on</w:t>
      </w:r>
      <w:r w:rsidRPr="00EB1AAB">
        <w:rPr>
          <w:rFonts w:ascii="Arial" w:eastAsia="Arial" w:hAnsi="Arial" w:cs="Arial"/>
          <w:spacing w:val="12"/>
        </w:rPr>
        <w:t xml:space="preserve"> </w:t>
      </w:r>
      <w:r w:rsidRPr="00EB1AAB">
        <w:rPr>
          <w:rFonts w:ascii="Arial" w:eastAsia="Arial" w:hAnsi="Arial" w:cs="Arial"/>
        </w:rPr>
        <w:t>of</w:t>
      </w:r>
      <w:r w:rsidRPr="00EB1AAB">
        <w:rPr>
          <w:rFonts w:ascii="Arial" w:eastAsia="Arial" w:hAnsi="Arial" w:cs="Arial"/>
          <w:spacing w:val="5"/>
        </w:rPr>
        <w:t xml:space="preserve"> </w:t>
      </w:r>
      <w:r w:rsidRPr="00EB1AAB">
        <w:rPr>
          <w:rFonts w:ascii="Arial" w:eastAsia="Arial" w:hAnsi="Arial" w:cs="Arial"/>
          <w:spacing w:val="3"/>
        </w:rPr>
        <w:t>f</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a</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3"/>
        </w:rPr>
        <w:t>i</w:t>
      </w:r>
      <w:r w:rsidRPr="00EB1AAB">
        <w:rPr>
          <w:rFonts w:ascii="Arial" w:eastAsia="Arial" w:hAnsi="Arial" w:cs="Arial"/>
          <w:spacing w:val="-2"/>
        </w:rPr>
        <w:t>a</w:t>
      </w:r>
      <w:r w:rsidRPr="00EB1AAB">
        <w:rPr>
          <w:rFonts w:ascii="Arial" w:eastAsia="Arial" w:hAnsi="Arial" w:cs="Arial"/>
        </w:rPr>
        <w:t>l</w:t>
      </w:r>
      <w:r w:rsidRPr="00EB1AAB">
        <w:rPr>
          <w:rFonts w:ascii="Arial" w:eastAsia="Arial" w:hAnsi="Arial" w:cs="Arial"/>
          <w:spacing w:val="12"/>
        </w:rPr>
        <w:t xml:space="preserve"> </w:t>
      </w:r>
      <w:r w:rsidRPr="00EB1AAB">
        <w:rPr>
          <w:rFonts w:ascii="Arial" w:eastAsia="Arial" w:hAnsi="Arial" w:cs="Arial"/>
          <w:spacing w:val="-3"/>
        </w:rPr>
        <w:t>a</w:t>
      </w:r>
      <w:r w:rsidRPr="00EB1AAB">
        <w:rPr>
          <w:rFonts w:ascii="Arial" w:eastAsia="Arial" w:hAnsi="Arial" w:cs="Arial"/>
          <w:spacing w:val="1"/>
        </w:rPr>
        <w:t>ss</w:t>
      </w:r>
      <w:r w:rsidRPr="00EB1AAB">
        <w:rPr>
          <w:rFonts w:ascii="Arial" w:eastAsia="Arial" w:hAnsi="Arial" w:cs="Arial"/>
          <w:spacing w:val="-3"/>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rPr>
        <w:t>o</w:t>
      </w:r>
      <w:r w:rsidRPr="00EB1AAB">
        <w:rPr>
          <w:rFonts w:ascii="Arial" w:eastAsia="Arial" w:hAnsi="Arial" w:cs="Arial"/>
          <w:spacing w:val="2"/>
        </w:rPr>
        <w:t xml:space="preserve"> t</w:t>
      </w:r>
      <w:r w:rsidRPr="00EB1AAB">
        <w:rPr>
          <w:rFonts w:ascii="Arial" w:eastAsia="Arial" w:hAnsi="Arial" w:cs="Arial"/>
        </w:rPr>
        <w:t>h</w:t>
      </w:r>
      <w:r w:rsidRPr="00EB1AAB">
        <w:rPr>
          <w:rFonts w:ascii="Arial" w:eastAsia="Arial" w:hAnsi="Arial" w:cs="Arial"/>
          <w:spacing w:val="2"/>
        </w:rPr>
        <w:t>e</w:t>
      </w:r>
      <w:r w:rsidRPr="00EB1AAB">
        <w:rPr>
          <w:rFonts w:ascii="Arial" w:eastAsia="Arial" w:hAnsi="Arial" w:cs="Arial"/>
          <w:spacing w:val="-2"/>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2"/>
        </w:rPr>
        <w:t>t</w:t>
      </w:r>
      <w:r w:rsidRPr="00EB1AAB">
        <w:rPr>
          <w:rFonts w:ascii="Arial" w:eastAsia="Arial" w:hAnsi="Arial" w:cs="Arial"/>
          <w:spacing w:val="-2"/>
        </w:rPr>
        <w:t>y</w:t>
      </w:r>
      <w:r w:rsidRPr="00EB1AAB">
        <w:rPr>
          <w:rFonts w:ascii="Arial" w:eastAsia="Arial" w:hAnsi="Arial" w:cs="Arial"/>
        </w:rPr>
        <w:t>p</w:t>
      </w:r>
      <w:r w:rsidRPr="00EB1AAB">
        <w:rPr>
          <w:rFonts w:ascii="Arial" w:eastAsia="Arial" w:hAnsi="Arial" w:cs="Arial"/>
          <w:spacing w:val="-3"/>
        </w:rPr>
        <w:t>e</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spacing w:val="1"/>
        </w:rPr>
        <w:t>i</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rPr>
        <w:t>d</w:t>
      </w:r>
      <w:r w:rsidRPr="00EB1AAB">
        <w:rPr>
          <w:rFonts w:ascii="Arial" w:eastAsia="Arial" w:hAnsi="Arial" w:cs="Arial"/>
          <w:spacing w:val="-1"/>
        </w:rPr>
        <w:t>e</w:t>
      </w:r>
      <w:r w:rsidRPr="00EB1AAB">
        <w:rPr>
          <w:rFonts w:ascii="Arial" w:eastAsia="Arial" w:hAnsi="Arial" w:cs="Arial"/>
          <w:spacing w:val="2"/>
        </w:rPr>
        <w:t>p</w:t>
      </w:r>
      <w:r w:rsidRPr="00EB1AAB">
        <w:rPr>
          <w:rFonts w:ascii="Arial" w:eastAsia="Arial" w:hAnsi="Arial" w:cs="Arial"/>
          <w:spacing w:val="-3"/>
        </w:rPr>
        <w:t>e</w:t>
      </w:r>
      <w:r w:rsidRPr="00EB1AAB">
        <w:rPr>
          <w:rFonts w:ascii="Arial" w:eastAsia="Arial" w:hAnsi="Arial" w:cs="Arial"/>
          <w:spacing w:val="2"/>
        </w:rPr>
        <w:t>n</w:t>
      </w:r>
      <w:r w:rsidRPr="00EB1AAB">
        <w:rPr>
          <w:rFonts w:ascii="Arial" w:eastAsia="Arial" w:hAnsi="Arial" w:cs="Arial"/>
        </w:rPr>
        <w:t>de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7"/>
        </w:rPr>
        <w:t xml:space="preserve"> </w:t>
      </w:r>
      <w:r w:rsidRPr="00EB1AAB">
        <w:rPr>
          <w:rFonts w:ascii="Arial" w:eastAsia="Arial" w:hAnsi="Arial" w:cs="Arial"/>
        </w:rPr>
        <w:t>on</w:t>
      </w:r>
      <w:r w:rsidRPr="00EB1AAB">
        <w:rPr>
          <w:rFonts w:ascii="Arial" w:eastAsia="Arial" w:hAnsi="Arial" w:cs="Arial"/>
          <w:spacing w:val="2"/>
        </w:rPr>
        <w:t xml:space="preserve"> t</w:t>
      </w:r>
      <w:r w:rsidRPr="00EB1AAB">
        <w:rPr>
          <w:rFonts w:ascii="Arial" w:eastAsia="Arial" w:hAnsi="Arial" w:cs="Arial"/>
        </w:rPr>
        <w:t>he</w:t>
      </w:r>
      <w:r w:rsidRPr="00EB1AAB">
        <w:rPr>
          <w:rFonts w:ascii="Arial" w:eastAsia="Arial" w:hAnsi="Arial" w:cs="Arial"/>
          <w:spacing w:val="3"/>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rPr>
        <w:t>a</w:t>
      </w:r>
      <w:r w:rsidRPr="00EB1AAB">
        <w:rPr>
          <w:rFonts w:ascii="Arial" w:eastAsia="Arial" w:hAnsi="Arial" w:cs="Arial"/>
          <w:spacing w:val="3"/>
        </w:rPr>
        <w:t>s</w:t>
      </w:r>
      <w:r w:rsidRPr="00EB1AAB">
        <w:rPr>
          <w:rFonts w:ascii="Arial" w:eastAsia="Arial" w:hAnsi="Arial" w:cs="Arial"/>
        </w:rPr>
        <w:t>on</w:t>
      </w:r>
      <w:r w:rsidRPr="00EB1AAB">
        <w:rPr>
          <w:rFonts w:ascii="Arial" w:eastAsia="Arial" w:hAnsi="Arial" w:cs="Arial"/>
          <w:spacing w:val="7"/>
        </w:rPr>
        <w:t xml:space="preserve"> </w:t>
      </w:r>
      <w:r w:rsidRPr="00EB1AAB">
        <w:rPr>
          <w:rFonts w:ascii="Arial" w:eastAsia="Arial" w:hAnsi="Arial" w:cs="Arial"/>
          <w:spacing w:val="2"/>
          <w:w w:val="101"/>
        </w:rPr>
        <w:t>f</w:t>
      </w:r>
      <w:r w:rsidRPr="00EB1AAB">
        <w:rPr>
          <w:rFonts w:ascii="Arial" w:eastAsia="Arial" w:hAnsi="Arial" w:cs="Arial"/>
          <w:w w:val="101"/>
        </w:rPr>
        <w:t xml:space="preserve">or </w:t>
      </w:r>
      <w:r w:rsidRPr="00EB1AAB">
        <w:rPr>
          <w:rFonts w:ascii="Arial" w:eastAsia="Arial" w:hAnsi="Arial" w:cs="Arial"/>
        </w:rPr>
        <w:t>h</w:t>
      </w:r>
      <w:r w:rsidRPr="00EB1AAB">
        <w:rPr>
          <w:rFonts w:ascii="Arial" w:eastAsia="Arial" w:hAnsi="Arial" w:cs="Arial"/>
          <w:spacing w:val="-3"/>
        </w:rPr>
        <w:t>o</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1"/>
        </w:rPr>
        <w:t>i</w:t>
      </w:r>
      <w:r w:rsidRPr="00EB1AAB">
        <w:rPr>
          <w:rFonts w:ascii="Arial" w:eastAsia="Arial" w:hAnsi="Arial" w:cs="Arial"/>
          <w:spacing w:val="2"/>
        </w:rPr>
        <w:t>n</w:t>
      </w:r>
      <w:r w:rsidRPr="00EB1AAB">
        <w:rPr>
          <w:rFonts w:ascii="Arial" w:eastAsia="Arial" w:hAnsi="Arial" w:cs="Arial"/>
        </w:rPr>
        <w:t>g</w:t>
      </w:r>
      <w:r w:rsidRPr="00EB1AAB">
        <w:rPr>
          <w:rFonts w:ascii="Arial" w:eastAsia="Arial" w:hAnsi="Arial" w:cs="Arial"/>
          <w:spacing w:val="8"/>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1"/>
        </w:rPr>
        <w:t>ss</w:t>
      </w:r>
      <w:r w:rsidRPr="00EB1AAB">
        <w:rPr>
          <w:rFonts w:ascii="Arial" w:eastAsia="Arial" w:hAnsi="Arial" w:cs="Arial"/>
        </w:rPr>
        <w:t>ets</w:t>
      </w:r>
      <w:r w:rsidRPr="00EB1AAB">
        <w:rPr>
          <w:rFonts w:ascii="Arial" w:eastAsia="Arial" w:hAnsi="Arial" w:cs="Arial"/>
          <w:spacing w:val="9"/>
        </w:rPr>
        <w:t>, which</w:t>
      </w:r>
      <w:r w:rsidRPr="00EB1AAB">
        <w:rPr>
          <w:rFonts w:ascii="Arial" w:eastAsia="Arial" w:hAnsi="Arial" w:cs="Arial"/>
          <w:spacing w:val="-1"/>
        </w:rPr>
        <w:t xml:space="preserve"> can be </w:t>
      </w:r>
      <w:r w:rsidRPr="00EB1AAB">
        <w:rPr>
          <w:rFonts w:ascii="Arial" w:eastAsia="Arial" w:hAnsi="Arial" w:cs="Arial"/>
          <w:spacing w:val="2"/>
        </w:rPr>
        <w:t>t</w:t>
      </w:r>
      <w:r w:rsidRPr="00EB1AAB">
        <w:rPr>
          <w:rFonts w:ascii="Arial" w:eastAsia="Arial" w:hAnsi="Arial" w:cs="Arial"/>
        </w:rPr>
        <w:t>o</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spacing w:val="-2"/>
        </w:rPr>
        <w:t>o</w:t>
      </w:r>
      <w:r w:rsidRPr="00EB1AAB">
        <w:rPr>
          <w:rFonts w:ascii="Arial" w:eastAsia="Arial" w:hAnsi="Arial" w:cs="Arial"/>
          <w:spacing w:val="3"/>
        </w:rPr>
        <w:t>l</w:t>
      </w:r>
      <w:r w:rsidRPr="00EB1AAB">
        <w:rPr>
          <w:rFonts w:ascii="Arial" w:eastAsia="Arial" w:hAnsi="Arial" w:cs="Arial"/>
          <w:spacing w:val="1"/>
        </w:rPr>
        <w:t>l</w:t>
      </w:r>
      <w:r w:rsidRPr="00EB1AAB">
        <w:rPr>
          <w:rFonts w:ascii="Arial" w:eastAsia="Arial" w:hAnsi="Arial" w:cs="Arial"/>
        </w:rPr>
        <w:t>e</w:t>
      </w:r>
      <w:r w:rsidRPr="00EB1AAB">
        <w:rPr>
          <w:rFonts w:ascii="Arial" w:eastAsia="Arial" w:hAnsi="Arial" w:cs="Arial"/>
          <w:spacing w:val="-2"/>
        </w:rPr>
        <w:t>c</w:t>
      </w:r>
      <w:r w:rsidRPr="00EB1AAB">
        <w:rPr>
          <w:rFonts w:ascii="Arial" w:eastAsia="Arial" w:hAnsi="Arial" w:cs="Arial"/>
        </w:rPr>
        <w:t>t</w:t>
      </w:r>
      <w:r w:rsidRPr="00EB1AAB">
        <w:rPr>
          <w:rFonts w:ascii="Arial" w:eastAsia="Arial" w:hAnsi="Arial" w:cs="Arial"/>
          <w:spacing w:val="10"/>
        </w:rPr>
        <w:t xml:space="preserve"> </w:t>
      </w:r>
      <w:r w:rsidRPr="00EB1AAB">
        <w:rPr>
          <w:rFonts w:ascii="Arial" w:eastAsia="Arial" w:hAnsi="Arial" w:cs="Arial"/>
          <w:spacing w:val="-1"/>
        </w:rPr>
        <w:t>c</w:t>
      </w:r>
      <w:r w:rsidRPr="00EB1AAB">
        <w:rPr>
          <w:rFonts w:ascii="Arial" w:eastAsia="Arial" w:hAnsi="Arial" w:cs="Arial"/>
        </w:rPr>
        <w:t>a</w:t>
      </w:r>
      <w:r w:rsidRPr="00EB1AAB">
        <w:rPr>
          <w:rFonts w:ascii="Arial" w:eastAsia="Arial" w:hAnsi="Arial" w:cs="Arial"/>
          <w:spacing w:val="1"/>
        </w:rPr>
        <w:t>s</w:t>
      </w:r>
      <w:r w:rsidRPr="00EB1AAB">
        <w:rPr>
          <w:rFonts w:ascii="Arial" w:eastAsia="Arial" w:hAnsi="Arial" w:cs="Arial"/>
        </w:rPr>
        <w:t>h</w:t>
      </w:r>
      <w:r w:rsidRPr="00EB1AAB">
        <w:rPr>
          <w:rFonts w:ascii="Arial" w:eastAsia="Arial" w:hAnsi="Arial" w:cs="Arial"/>
          <w:spacing w:val="3"/>
        </w:rPr>
        <w:t xml:space="preserve"> </w:t>
      </w:r>
      <w:r w:rsidRPr="00EB1AAB">
        <w:rPr>
          <w:rFonts w:ascii="Arial" w:eastAsia="Arial" w:hAnsi="Arial" w:cs="Arial"/>
          <w:spacing w:val="5"/>
        </w:rPr>
        <w:t>f</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3"/>
        </w:rPr>
        <w:t>w</w:t>
      </w:r>
      <w:r w:rsidRPr="00EB1AAB">
        <w:rPr>
          <w:rFonts w:ascii="Arial" w:eastAsia="Arial" w:hAnsi="Arial" w:cs="Arial"/>
          <w:spacing w:val="-2"/>
        </w:rPr>
        <w:t>s</w:t>
      </w:r>
      <w:r w:rsidRPr="00EB1AAB">
        <w:rPr>
          <w:rFonts w:ascii="Arial" w:eastAsia="Arial" w:hAnsi="Arial" w:cs="Arial"/>
        </w:rPr>
        <w:t>,</w:t>
      </w:r>
      <w:r w:rsidRPr="00EB1AAB">
        <w:rPr>
          <w:rFonts w:ascii="Arial" w:eastAsia="Arial" w:hAnsi="Arial" w:cs="Arial"/>
          <w:spacing w:val="10"/>
        </w:rPr>
        <w:t xml:space="preserve"> </w:t>
      </w:r>
      <w:r w:rsidRPr="00EB1AAB">
        <w:rPr>
          <w:rFonts w:ascii="Arial" w:eastAsia="Arial" w:hAnsi="Arial" w:cs="Arial"/>
        </w:rPr>
        <w:t>to</w:t>
      </w:r>
      <w:r w:rsidRPr="00EB1AAB">
        <w:rPr>
          <w:rFonts w:ascii="Arial" w:eastAsia="Arial" w:hAnsi="Arial" w:cs="Arial"/>
          <w:spacing w:val="5"/>
        </w:rPr>
        <w:t xml:space="preserve"> </w:t>
      </w:r>
      <w:r w:rsidRPr="00EB1AAB">
        <w:rPr>
          <w:rFonts w:ascii="Arial" w:eastAsia="Arial" w:hAnsi="Arial" w:cs="Arial"/>
          <w:spacing w:val="1"/>
        </w:rPr>
        <w:t>s</w:t>
      </w:r>
      <w:r w:rsidRPr="00EB1AAB">
        <w:rPr>
          <w:rFonts w:ascii="Arial" w:eastAsia="Arial" w:hAnsi="Arial" w:cs="Arial"/>
          <w:spacing w:val="-2"/>
        </w:rPr>
        <w:t>e</w:t>
      </w:r>
      <w:r w:rsidRPr="00EB1AAB">
        <w:rPr>
          <w:rFonts w:ascii="Arial" w:eastAsia="Arial" w:hAnsi="Arial" w:cs="Arial"/>
          <w:spacing w:val="1"/>
        </w:rPr>
        <w:t>l</w:t>
      </w:r>
      <w:r w:rsidRPr="00EB1AAB">
        <w:rPr>
          <w:rFonts w:ascii="Arial" w:eastAsia="Arial" w:hAnsi="Arial" w:cs="Arial"/>
        </w:rPr>
        <w:t>l</w:t>
      </w:r>
      <w:r w:rsidRPr="00EB1AAB">
        <w:rPr>
          <w:rFonts w:ascii="Arial" w:eastAsia="Arial" w:hAnsi="Arial" w:cs="Arial"/>
          <w:spacing w:val="7"/>
        </w:rPr>
        <w:t xml:space="preserve"> </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rPr>
        <w:t>ets</w:t>
      </w:r>
      <w:r w:rsidRPr="00EB1AAB">
        <w:rPr>
          <w:rFonts w:ascii="Arial" w:eastAsia="Arial" w:hAnsi="Arial" w:cs="Arial"/>
          <w:spacing w:val="9"/>
        </w:rPr>
        <w:t xml:space="preserve"> </w:t>
      </w:r>
      <w:r w:rsidRPr="00EB1AAB">
        <w:rPr>
          <w:rFonts w:ascii="Arial" w:eastAsia="Arial" w:hAnsi="Arial" w:cs="Arial"/>
          <w:spacing w:val="-3"/>
        </w:rPr>
        <w:t>o</w:t>
      </w:r>
      <w:r w:rsidRPr="00EB1AAB">
        <w:rPr>
          <w:rFonts w:ascii="Arial" w:eastAsia="Arial" w:hAnsi="Arial" w:cs="Arial"/>
        </w:rPr>
        <w:t>r</w:t>
      </w:r>
      <w:r w:rsidRPr="00EB1AAB">
        <w:rPr>
          <w:rFonts w:ascii="Arial" w:eastAsia="Arial" w:hAnsi="Arial" w:cs="Arial"/>
          <w:spacing w:val="5"/>
        </w:rPr>
        <w:t xml:space="preserve"> </w:t>
      </w:r>
      <w:r w:rsidRPr="00EB1AAB">
        <w:rPr>
          <w:rFonts w:ascii="Arial" w:eastAsia="Arial" w:hAnsi="Arial" w:cs="Arial"/>
          <w:spacing w:val="-3"/>
        </w:rPr>
        <w:t>a</w:t>
      </w:r>
      <w:r w:rsidRPr="00EB1AAB">
        <w:rPr>
          <w:rFonts w:ascii="Arial" w:eastAsia="Arial" w:hAnsi="Arial" w:cs="Arial"/>
          <w:spacing w:val="1"/>
        </w:rPr>
        <w:t>c</w:t>
      </w:r>
      <w:r w:rsidRPr="00EB1AAB">
        <w:rPr>
          <w:rFonts w:ascii="Arial" w:eastAsia="Arial" w:hAnsi="Arial" w:cs="Arial"/>
          <w:spacing w:val="-3"/>
        </w:rPr>
        <w:t>h</w:t>
      </w:r>
      <w:r w:rsidRPr="00EB1AAB">
        <w:rPr>
          <w:rFonts w:ascii="Arial" w:eastAsia="Arial" w:hAnsi="Arial" w:cs="Arial"/>
          <w:spacing w:val="4"/>
        </w:rPr>
        <w:t>i</w:t>
      </w:r>
      <w:r w:rsidRPr="00EB1AAB">
        <w:rPr>
          <w:rFonts w:ascii="Arial" w:eastAsia="Arial" w:hAnsi="Arial" w:cs="Arial"/>
          <w:spacing w:val="-3"/>
        </w:rPr>
        <w:t>e</w:t>
      </w:r>
      <w:r w:rsidRPr="00EB1AAB">
        <w:rPr>
          <w:rFonts w:ascii="Arial" w:eastAsia="Arial" w:hAnsi="Arial" w:cs="Arial"/>
          <w:spacing w:val="3"/>
        </w:rPr>
        <w:t>v</w:t>
      </w:r>
      <w:r w:rsidRPr="00EB1AAB">
        <w:rPr>
          <w:rFonts w:ascii="Arial" w:eastAsia="Arial" w:hAnsi="Arial" w:cs="Arial"/>
        </w:rPr>
        <w:t>e</w:t>
      </w:r>
      <w:r w:rsidRPr="00EB1AAB">
        <w:rPr>
          <w:rFonts w:ascii="Arial" w:eastAsia="Arial" w:hAnsi="Arial" w:cs="Arial"/>
          <w:spacing w:val="11"/>
        </w:rPr>
        <w:t xml:space="preserve"> </w:t>
      </w:r>
      <w:r w:rsidRPr="00EB1AAB">
        <w:rPr>
          <w:rFonts w:ascii="Arial" w:eastAsia="Arial" w:hAnsi="Arial" w:cs="Arial"/>
          <w:spacing w:val="-3"/>
        </w:rPr>
        <w:t>o</w:t>
      </w:r>
      <w:r w:rsidRPr="00EB1AAB">
        <w:rPr>
          <w:rFonts w:ascii="Arial" w:eastAsia="Arial" w:hAnsi="Arial" w:cs="Arial"/>
        </w:rPr>
        <w:t>b</w:t>
      </w:r>
      <w:r w:rsidRPr="00EB1AAB">
        <w:rPr>
          <w:rFonts w:ascii="Arial" w:eastAsia="Arial" w:hAnsi="Arial" w:cs="Arial"/>
          <w:spacing w:val="1"/>
        </w:rPr>
        <w:t>j</w:t>
      </w:r>
      <w:r w:rsidRPr="00EB1AAB">
        <w:rPr>
          <w:rFonts w:ascii="Arial" w:eastAsia="Arial" w:hAnsi="Arial" w:cs="Arial"/>
        </w:rPr>
        <w:t>e</w:t>
      </w:r>
      <w:r w:rsidRPr="00EB1AAB">
        <w:rPr>
          <w:rFonts w:ascii="Arial" w:eastAsia="Arial" w:hAnsi="Arial" w:cs="Arial"/>
          <w:spacing w:val="-2"/>
        </w:rPr>
        <w:t>c</w:t>
      </w:r>
      <w:r w:rsidRPr="00EB1AAB">
        <w:rPr>
          <w:rFonts w:ascii="Arial" w:eastAsia="Arial" w:hAnsi="Arial" w:cs="Arial"/>
          <w:spacing w:val="2"/>
        </w:rPr>
        <w:t>t</w:t>
      </w:r>
      <w:r w:rsidRPr="00EB1AAB">
        <w:rPr>
          <w:rFonts w:ascii="Arial" w:eastAsia="Arial" w:hAnsi="Arial" w:cs="Arial"/>
          <w:spacing w:val="1"/>
        </w:rPr>
        <w:t>iv</w:t>
      </w:r>
      <w:r w:rsidRPr="00EB1AAB">
        <w:rPr>
          <w:rFonts w:ascii="Arial" w:eastAsia="Arial" w:hAnsi="Arial" w:cs="Arial"/>
          <w:spacing w:val="-3"/>
        </w:rPr>
        <w:t>e</w:t>
      </w:r>
      <w:r w:rsidRPr="00EB1AAB">
        <w:rPr>
          <w:rFonts w:ascii="Arial" w:eastAsia="Arial" w:hAnsi="Arial" w:cs="Arial"/>
        </w:rPr>
        <w:t>s</w:t>
      </w:r>
      <w:r w:rsidRPr="00EB1AAB">
        <w:rPr>
          <w:rFonts w:ascii="Arial" w:eastAsia="Arial" w:hAnsi="Arial" w:cs="Arial"/>
          <w:spacing w:val="12"/>
        </w:rPr>
        <w:t xml:space="preserve"> </w:t>
      </w:r>
      <w:r w:rsidRPr="00EB1AAB">
        <w:rPr>
          <w:rFonts w:ascii="Arial" w:eastAsia="Arial" w:hAnsi="Arial" w:cs="Arial"/>
          <w:spacing w:val="2"/>
        </w:rPr>
        <w:t>b</w:t>
      </w:r>
      <w:r w:rsidRPr="00EB1AAB">
        <w:rPr>
          <w:rFonts w:ascii="Arial" w:eastAsia="Arial" w:hAnsi="Arial" w:cs="Arial"/>
        </w:rPr>
        <w:t>y</w:t>
      </w:r>
      <w:r w:rsidRPr="00EB1AAB">
        <w:rPr>
          <w:rFonts w:ascii="Arial" w:eastAsia="Arial" w:hAnsi="Arial" w:cs="Arial"/>
          <w:spacing w:val="2"/>
        </w:rPr>
        <w:t xml:space="preserve"> </w:t>
      </w:r>
      <w:r w:rsidRPr="00EB1AAB">
        <w:rPr>
          <w:rFonts w:ascii="Arial" w:eastAsia="Arial" w:hAnsi="Arial" w:cs="Arial"/>
          <w:w w:val="101"/>
        </w:rPr>
        <w:t>ot</w:t>
      </w:r>
      <w:r w:rsidRPr="00EB1AAB">
        <w:rPr>
          <w:rFonts w:ascii="Arial" w:eastAsia="Arial" w:hAnsi="Arial" w:cs="Arial"/>
          <w:spacing w:val="2"/>
          <w:w w:val="101"/>
        </w:rPr>
        <w:t>h</w:t>
      </w:r>
      <w:r w:rsidRPr="00EB1AAB">
        <w:rPr>
          <w:rFonts w:ascii="Arial" w:eastAsia="Arial" w:hAnsi="Arial" w:cs="Arial"/>
          <w:spacing w:val="-3"/>
          <w:w w:val="101"/>
        </w:rPr>
        <w:t>e</w:t>
      </w:r>
      <w:r w:rsidRPr="00EB1AAB">
        <w:rPr>
          <w:rFonts w:ascii="Arial" w:eastAsia="Arial" w:hAnsi="Arial" w:cs="Arial"/>
          <w:w w:val="101"/>
        </w:rPr>
        <w:t xml:space="preserve">r </w:t>
      </w:r>
      <w:r w:rsidRPr="00EB1AAB">
        <w:rPr>
          <w:rFonts w:ascii="Arial" w:eastAsia="Arial" w:hAnsi="Arial" w:cs="Arial"/>
          <w:spacing w:val="3"/>
          <w:w w:val="101"/>
        </w:rPr>
        <w:t>m</w:t>
      </w:r>
      <w:r w:rsidRPr="00EB1AAB">
        <w:rPr>
          <w:rFonts w:ascii="Arial" w:eastAsia="Arial" w:hAnsi="Arial" w:cs="Arial"/>
          <w:spacing w:val="-3"/>
          <w:w w:val="101"/>
        </w:rPr>
        <w:t>e</w:t>
      </w:r>
      <w:r w:rsidRPr="00EB1AAB">
        <w:rPr>
          <w:rFonts w:ascii="Arial" w:eastAsia="Arial" w:hAnsi="Arial" w:cs="Arial"/>
          <w:w w:val="101"/>
        </w:rPr>
        <w:t>a</w:t>
      </w:r>
      <w:r w:rsidRPr="00EB1AAB">
        <w:rPr>
          <w:rFonts w:ascii="Arial" w:eastAsia="Arial" w:hAnsi="Arial" w:cs="Arial"/>
          <w:spacing w:val="-3"/>
          <w:w w:val="101"/>
        </w:rPr>
        <w:t>n</w:t>
      </w:r>
      <w:r w:rsidRPr="00EB1AAB">
        <w:rPr>
          <w:rFonts w:ascii="Arial" w:eastAsia="Arial" w:hAnsi="Arial" w:cs="Arial"/>
          <w:spacing w:val="1"/>
          <w:w w:val="101"/>
        </w:rPr>
        <w:t>s</w:t>
      </w:r>
      <w:r w:rsidRPr="00EB1AAB">
        <w:rPr>
          <w:rFonts w:ascii="Arial" w:eastAsia="Arial" w:hAnsi="Arial" w:cs="Arial"/>
          <w:w w:val="101"/>
        </w:rPr>
        <w:t>.</w:t>
      </w:r>
    </w:p>
    <w:p w14:paraId="7837F9BA" w14:textId="77777777" w:rsidR="00655E4C" w:rsidRPr="00EB1AAB" w:rsidRDefault="00655E4C" w:rsidP="00655E4C">
      <w:pPr>
        <w:spacing w:before="9"/>
        <w:ind w:right="-88"/>
        <w:rPr>
          <w:rFonts w:ascii="Arial" w:hAnsi="Arial" w:cs="Arial"/>
        </w:rPr>
      </w:pPr>
    </w:p>
    <w:p w14:paraId="16744A5C" w14:textId="77777777" w:rsidR="00655E4C" w:rsidRPr="00EB1AAB" w:rsidRDefault="00655E4C" w:rsidP="00655E4C">
      <w:pPr>
        <w:ind w:right="-88"/>
        <w:rPr>
          <w:rFonts w:ascii="Arial" w:eastAsia="Arial" w:hAnsi="Arial" w:cs="Arial"/>
        </w:rPr>
      </w:pPr>
      <w:r w:rsidRPr="00EB1AAB">
        <w:rPr>
          <w:rFonts w:ascii="Arial" w:eastAsia="Arial" w:hAnsi="Arial" w:cs="Arial"/>
          <w:spacing w:val="-1"/>
        </w:rPr>
        <w:t>F</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3"/>
        </w:rPr>
        <w:t xml:space="preserve"> </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spacing w:val="-1"/>
        </w:rPr>
        <w:t>s</w:t>
      </w:r>
      <w:r w:rsidRPr="00EB1AAB">
        <w:rPr>
          <w:rFonts w:ascii="Arial" w:eastAsia="Arial" w:hAnsi="Arial" w:cs="Arial"/>
        </w:rPr>
        <w:t>e</w:t>
      </w:r>
      <w:r w:rsidRPr="00EB1AAB">
        <w:rPr>
          <w:rFonts w:ascii="Arial" w:eastAsia="Arial" w:hAnsi="Arial" w:cs="Arial"/>
          <w:spacing w:val="-1"/>
        </w:rPr>
        <w:t>t</w:t>
      </w:r>
      <w:r w:rsidRPr="00EB1AAB">
        <w:rPr>
          <w:rFonts w:ascii="Arial" w:eastAsia="Arial" w:hAnsi="Arial" w:cs="Arial"/>
        </w:rPr>
        <w:t>s</w:t>
      </w:r>
      <w:r w:rsidRPr="00EB1AAB">
        <w:rPr>
          <w:rFonts w:ascii="Arial" w:eastAsia="Arial" w:hAnsi="Arial" w:cs="Arial"/>
          <w:spacing w:val="9"/>
        </w:rPr>
        <w:t xml:space="preserve"> </w:t>
      </w:r>
      <w:r w:rsidRPr="00EB1AAB">
        <w:rPr>
          <w:rFonts w:ascii="Arial" w:eastAsia="Arial" w:hAnsi="Arial" w:cs="Arial"/>
          <w:spacing w:val="2"/>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2"/>
        </w:rPr>
        <w:t>introduced</w:t>
      </w:r>
      <w:r w:rsidRPr="00EB1AAB">
        <w:rPr>
          <w:rFonts w:ascii="Arial" w:eastAsia="Arial" w:hAnsi="Arial" w:cs="Arial"/>
          <w:spacing w:val="14"/>
        </w:rPr>
        <w:t xml:space="preserve"> </w:t>
      </w:r>
      <w:r w:rsidRPr="00EB1AAB">
        <w:rPr>
          <w:rFonts w:ascii="Arial" w:eastAsia="Arial" w:hAnsi="Arial" w:cs="Arial"/>
          <w:spacing w:val="-2"/>
        </w:rPr>
        <w:t>o</w:t>
      </w:r>
      <w:r w:rsidRPr="00EB1AAB">
        <w:rPr>
          <w:rFonts w:ascii="Arial" w:eastAsia="Arial" w:hAnsi="Arial" w:cs="Arial"/>
        </w:rPr>
        <w:t>n</w:t>
      </w:r>
      <w:r w:rsidRPr="00EB1AAB">
        <w:rPr>
          <w:rFonts w:ascii="Arial" w:eastAsia="Arial" w:hAnsi="Arial" w:cs="Arial"/>
          <w:spacing w:val="2"/>
        </w:rPr>
        <w:t>t</w:t>
      </w:r>
      <w:r w:rsidRPr="00EB1AAB">
        <w:rPr>
          <w:rFonts w:ascii="Arial" w:eastAsia="Arial" w:hAnsi="Arial" w:cs="Arial"/>
        </w:rPr>
        <w:t>o</w:t>
      </w:r>
      <w:r w:rsidRPr="00EB1AAB">
        <w:rPr>
          <w:rFonts w:ascii="Arial" w:eastAsia="Arial" w:hAnsi="Arial" w:cs="Arial"/>
          <w:spacing w:val="5"/>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2"/>
        </w:rPr>
        <w:t xml:space="preserve"> b</w:t>
      </w:r>
      <w:r w:rsidRPr="00EB1AAB">
        <w:rPr>
          <w:rFonts w:ascii="Arial" w:eastAsia="Arial" w:hAnsi="Arial" w:cs="Arial"/>
          <w:spacing w:val="-3"/>
        </w:rPr>
        <w:t>a</w:t>
      </w:r>
      <w:r w:rsidRPr="00EB1AAB">
        <w:rPr>
          <w:rFonts w:ascii="Arial" w:eastAsia="Arial" w:hAnsi="Arial" w:cs="Arial"/>
          <w:spacing w:val="4"/>
        </w:rPr>
        <w:t>l</w:t>
      </w:r>
      <w:r w:rsidRPr="00EB1AAB">
        <w:rPr>
          <w:rFonts w:ascii="Arial" w:eastAsia="Arial" w:hAnsi="Arial" w:cs="Arial"/>
          <w:spacing w:val="-3"/>
        </w:rPr>
        <w:t>a</w:t>
      </w:r>
      <w:r w:rsidRPr="00EB1AAB">
        <w:rPr>
          <w:rFonts w:ascii="Arial" w:eastAsia="Arial" w:hAnsi="Arial" w:cs="Arial"/>
        </w:rPr>
        <w:t>n</w:t>
      </w:r>
      <w:r w:rsidRPr="00EB1AAB">
        <w:rPr>
          <w:rFonts w:ascii="Arial" w:eastAsia="Arial" w:hAnsi="Arial" w:cs="Arial"/>
          <w:spacing w:val="3"/>
        </w:rPr>
        <w:t>c</w:t>
      </w:r>
      <w:r w:rsidRPr="00EB1AAB">
        <w:rPr>
          <w:rFonts w:ascii="Arial" w:eastAsia="Arial" w:hAnsi="Arial" w:cs="Arial"/>
        </w:rPr>
        <w:t>e</w:t>
      </w:r>
      <w:r w:rsidRPr="00EB1AAB">
        <w:rPr>
          <w:rFonts w:ascii="Arial" w:eastAsia="Arial" w:hAnsi="Arial" w:cs="Arial"/>
          <w:spacing w:val="9"/>
        </w:rPr>
        <w:t xml:space="preserve"> </w:t>
      </w:r>
      <w:r w:rsidRPr="00EB1AAB">
        <w:rPr>
          <w:rFonts w:ascii="Arial" w:eastAsia="Arial" w:hAnsi="Arial" w:cs="Arial"/>
          <w:spacing w:val="1"/>
        </w:rPr>
        <w:t>s</w:t>
      </w:r>
      <w:r w:rsidRPr="00EB1AAB">
        <w:rPr>
          <w:rFonts w:ascii="Arial" w:eastAsia="Arial" w:hAnsi="Arial" w:cs="Arial"/>
        </w:rPr>
        <w:t>he</w:t>
      </w:r>
      <w:r w:rsidRPr="00EB1AAB">
        <w:rPr>
          <w:rFonts w:ascii="Arial" w:eastAsia="Arial" w:hAnsi="Arial" w:cs="Arial"/>
          <w:spacing w:val="-1"/>
        </w:rPr>
        <w:t>e</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rPr>
        <w:t>at</w:t>
      </w:r>
      <w:r w:rsidRPr="00EB1AAB">
        <w:rPr>
          <w:rFonts w:ascii="Arial" w:eastAsia="Arial" w:hAnsi="Arial" w:cs="Arial"/>
          <w:spacing w:val="3"/>
        </w:rPr>
        <w:t xml:space="preserve"> </w:t>
      </w:r>
      <w:r w:rsidRPr="00EB1AAB">
        <w:rPr>
          <w:rFonts w:ascii="Arial" w:eastAsia="Arial" w:hAnsi="Arial" w:cs="Arial"/>
          <w:spacing w:val="2"/>
        </w:rPr>
        <w:t>f</w:t>
      </w:r>
      <w:r w:rsidRPr="00EB1AAB">
        <w:rPr>
          <w:rFonts w:ascii="Arial" w:eastAsia="Arial" w:hAnsi="Arial" w:cs="Arial"/>
        </w:rPr>
        <w:t>a</w:t>
      </w:r>
      <w:r w:rsidRPr="00EB1AAB">
        <w:rPr>
          <w:rFonts w:ascii="Arial" w:eastAsia="Arial" w:hAnsi="Arial" w:cs="Arial"/>
          <w:spacing w:val="1"/>
        </w:rPr>
        <w:t>i</w:t>
      </w:r>
      <w:r w:rsidRPr="00EB1AAB">
        <w:rPr>
          <w:rFonts w:ascii="Arial" w:eastAsia="Arial" w:hAnsi="Arial" w:cs="Arial"/>
        </w:rPr>
        <w:t>r</w:t>
      </w:r>
      <w:r w:rsidRPr="00EB1AAB">
        <w:rPr>
          <w:rFonts w:ascii="Arial" w:eastAsia="Arial" w:hAnsi="Arial" w:cs="Arial"/>
          <w:spacing w:val="6"/>
        </w:rPr>
        <w:t xml:space="preserve"> </w:t>
      </w:r>
      <w:r w:rsidRPr="00EB1AAB">
        <w:rPr>
          <w:rFonts w:ascii="Arial" w:eastAsia="Arial" w:hAnsi="Arial" w:cs="Arial"/>
          <w:spacing w:val="-1"/>
        </w:rPr>
        <w:t>v</w:t>
      </w:r>
      <w:r w:rsidRPr="00EB1AAB">
        <w:rPr>
          <w:rFonts w:ascii="Arial" w:eastAsia="Arial" w:hAnsi="Arial" w:cs="Arial"/>
        </w:rPr>
        <w:t>a</w:t>
      </w:r>
      <w:r w:rsidRPr="00EB1AAB">
        <w:rPr>
          <w:rFonts w:ascii="Arial" w:eastAsia="Arial" w:hAnsi="Arial" w:cs="Arial"/>
          <w:spacing w:val="1"/>
        </w:rPr>
        <w:t>l</w:t>
      </w:r>
      <w:r w:rsidRPr="00EB1AAB">
        <w:rPr>
          <w:rFonts w:ascii="Arial" w:eastAsia="Arial" w:hAnsi="Arial" w:cs="Arial"/>
        </w:rPr>
        <w:t>ue</w:t>
      </w:r>
      <w:r w:rsidRPr="00EB1AAB">
        <w:rPr>
          <w:rFonts w:ascii="Arial" w:eastAsia="Arial" w:hAnsi="Arial" w:cs="Arial"/>
          <w:spacing w:val="5"/>
        </w:rPr>
        <w:t xml:space="preserve"> </w:t>
      </w:r>
      <w:r w:rsidRPr="00EB1AAB">
        <w:rPr>
          <w:rFonts w:ascii="Arial" w:eastAsia="Arial" w:hAnsi="Arial" w:cs="Arial"/>
        </w:rPr>
        <w:t>wh</w:t>
      </w:r>
      <w:r w:rsidRPr="00EB1AAB">
        <w:rPr>
          <w:rFonts w:ascii="Arial" w:eastAsia="Arial" w:hAnsi="Arial" w:cs="Arial"/>
          <w:spacing w:val="-1"/>
        </w:rPr>
        <w:t>e</w:t>
      </w:r>
      <w:r w:rsidRPr="00EB1AAB">
        <w:rPr>
          <w:rFonts w:ascii="Arial" w:eastAsia="Arial" w:hAnsi="Arial" w:cs="Arial"/>
        </w:rPr>
        <w:t>n</w:t>
      </w:r>
      <w:r w:rsidRPr="00EB1AAB">
        <w:rPr>
          <w:rFonts w:ascii="Arial" w:eastAsia="Arial" w:hAnsi="Arial" w:cs="Arial"/>
          <w:spacing w:val="3"/>
        </w:rPr>
        <w:t xml:space="preserve"> </w:t>
      </w:r>
      <w:r w:rsidRPr="00EB1AAB">
        <w:rPr>
          <w:rFonts w:ascii="Arial" w:eastAsia="Arial" w:hAnsi="Arial" w:cs="Arial"/>
          <w:spacing w:val="2"/>
        </w:rPr>
        <w:t>t</w:t>
      </w:r>
      <w:r w:rsidRPr="00EB1AAB">
        <w:rPr>
          <w:rFonts w:ascii="Arial" w:eastAsia="Arial" w:hAnsi="Arial" w:cs="Arial"/>
        </w:rPr>
        <w:t>he</w:t>
      </w:r>
      <w:r w:rsidRPr="00EB1AAB">
        <w:rPr>
          <w:rFonts w:ascii="Arial" w:eastAsia="Arial" w:hAnsi="Arial" w:cs="Arial"/>
          <w:spacing w:val="4"/>
        </w:rPr>
        <w:t xml:space="preserve"> </w:t>
      </w:r>
      <w:r w:rsidRPr="00EB1AAB">
        <w:rPr>
          <w:rFonts w:ascii="Arial" w:eastAsia="Arial" w:hAnsi="Arial" w:cs="Arial"/>
          <w:spacing w:val="2"/>
          <w:w w:val="101"/>
        </w:rPr>
        <w:t xml:space="preserve">Authority </w:t>
      </w:r>
      <w:r w:rsidRPr="00EB1AAB">
        <w:rPr>
          <w:rFonts w:ascii="Arial" w:eastAsia="Arial" w:hAnsi="Arial" w:cs="Arial"/>
        </w:rPr>
        <w:t>b</w:t>
      </w:r>
      <w:r w:rsidRPr="00EB1AAB">
        <w:rPr>
          <w:rFonts w:ascii="Arial" w:eastAsia="Arial" w:hAnsi="Arial" w:cs="Arial"/>
          <w:spacing w:val="-3"/>
        </w:rPr>
        <w:t>e</w:t>
      </w:r>
      <w:r w:rsidRPr="00EB1AAB">
        <w:rPr>
          <w:rFonts w:ascii="Arial" w:eastAsia="Arial" w:hAnsi="Arial" w:cs="Arial"/>
          <w:spacing w:val="3"/>
        </w:rPr>
        <w:t>c</w:t>
      </w:r>
      <w:r w:rsidRPr="00EB1AAB">
        <w:rPr>
          <w:rFonts w:ascii="Arial" w:eastAsia="Arial" w:hAnsi="Arial" w:cs="Arial"/>
          <w:spacing w:val="-3"/>
        </w:rPr>
        <w:t>o</w:t>
      </w:r>
      <w:r w:rsidRPr="00EB1AAB">
        <w:rPr>
          <w:rFonts w:ascii="Arial" w:eastAsia="Arial" w:hAnsi="Arial" w:cs="Arial"/>
          <w:spacing w:val="2"/>
        </w:rPr>
        <w:t>m</w:t>
      </w:r>
      <w:r w:rsidRPr="00EB1AAB">
        <w:rPr>
          <w:rFonts w:ascii="Arial" w:eastAsia="Arial" w:hAnsi="Arial" w:cs="Arial"/>
        </w:rPr>
        <w:t>es</w:t>
      </w:r>
      <w:r w:rsidRPr="00EB1AAB">
        <w:rPr>
          <w:rFonts w:ascii="Arial" w:eastAsia="Arial" w:hAnsi="Arial" w:cs="Arial"/>
          <w:spacing w:val="8"/>
        </w:rPr>
        <w:t xml:space="preserve"> </w:t>
      </w:r>
      <w:r w:rsidRPr="00EB1AAB">
        <w:rPr>
          <w:rFonts w:ascii="Arial" w:eastAsia="Arial" w:hAnsi="Arial" w:cs="Arial"/>
        </w:rPr>
        <w:t>a</w:t>
      </w:r>
      <w:r w:rsidRPr="00EB1AAB">
        <w:rPr>
          <w:rFonts w:ascii="Arial" w:eastAsia="Arial" w:hAnsi="Arial" w:cs="Arial"/>
          <w:spacing w:val="4"/>
        </w:rPr>
        <w:t xml:space="preserve"> </w:t>
      </w:r>
      <w:r w:rsidRPr="00EB1AAB">
        <w:rPr>
          <w:rFonts w:ascii="Arial" w:eastAsia="Arial" w:hAnsi="Arial" w:cs="Arial"/>
        </w:rPr>
        <w:t>p</w:t>
      </w:r>
      <w:r w:rsidRPr="00EB1AAB">
        <w:rPr>
          <w:rFonts w:ascii="Arial" w:eastAsia="Arial" w:hAnsi="Arial" w:cs="Arial"/>
          <w:spacing w:val="-1"/>
        </w:rPr>
        <w:t>ar</w:t>
      </w:r>
      <w:r w:rsidRPr="00EB1AAB">
        <w:rPr>
          <w:rFonts w:ascii="Arial" w:eastAsia="Arial" w:hAnsi="Arial" w:cs="Arial"/>
          <w:spacing w:val="5"/>
        </w:rPr>
        <w:t>t</w:t>
      </w:r>
      <w:r w:rsidRPr="00EB1AAB">
        <w:rPr>
          <w:rFonts w:ascii="Arial" w:eastAsia="Arial" w:hAnsi="Arial" w:cs="Arial"/>
        </w:rPr>
        <w:t>y</w:t>
      </w:r>
      <w:r w:rsidRPr="00EB1AAB">
        <w:rPr>
          <w:rFonts w:ascii="Arial" w:eastAsia="Arial" w:hAnsi="Arial" w:cs="Arial"/>
          <w:spacing w:val="2"/>
        </w:rPr>
        <w:t xml:space="preserve"> t</w:t>
      </w:r>
      <w:r w:rsidRPr="00EB1AAB">
        <w:rPr>
          <w:rFonts w:ascii="Arial" w:eastAsia="Arial" w:hAnsi="Arial" w:cs="Arial"/>
        </w:rPr>
        <w:t>o</w:t>
      </w:r>
      <w:r w:rsidRPr="00EB1AAB">
        <w:rPr>
          <w:rFonts w:ascii="Arial" w:eastAsia="Arial" w:hAnsi="Arial" w:cs="Arial"/>
          <w:spacing w:val="3"/>
        </w:rPr>
        <w:t xml:space="preserve"> any </w:t>
      </w:r>
      <w:r w:rsidRPr="00EB1AAB">
        <w:rPr>
          <w:rFonts w:ascii="Arial" w:eastAsia="Arial" w:hAnsi="Arial" w:cs="Arial"/>
          <w:spacing w:val="-1"/>
        </w:rPr>
        <w:t>c</w:t>
      </w:r>
      <w:r w:rsidRPr="00EB1AAB">
        <w:rPr>
          <w:rFonts w:ascii="Arial" w:eastAsia="Arial" w:hAnsi="Arial" w:cs="Arial"/>
          <w:spacing w:val="2"/>
        </w:rPr>
        <w:t>o</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spacing w:val="-1"/>
        </w:rPr>
        <w:t>r</w:t>
      </w:r>
      <w:r w:rsidRPr="00EB1AAB">
        <w:rPr>
          <w:rFonts w:ascii="Arial" w:eastAsia="Arial" w:hAnsi="Arial" w:cs="Arial"/>
          <w:spacing w:val="-3"/>
        </w:rPr>
        <w:t>a</w:t>
      </w:r>
      <w:r w:rsidRPr="00EB1AAB">
        <w:rPr>
          <w:rFonts w:ascii="Arial" w:eastAsia="Arial" w:hAnsi="Arial" w:cs="Arial"/>
          <w:spacing w:val="1"/>
        </w:rPr>
        <w:t>c</w:t>
      </w:r>
      <w:r w:rsidRPr="00EB1AAB">
        <w:rPr>
          <w:rFonts w:ascii="Arial" w:eastAsia="Arial" w:hAnsi="Arial" w:cs="Arial"/>
          <w:spacing w:val="2"/>
        </w:rPr>
        <w:t>t</w:t>
      </w:r>
      <w:r w:rsidRPr="00EB1AAB">
        <w:rPr>
          <w:rFonts w:ascii="Arial" w:eastAsia="Arial" w:hAnsi="Arial" w:cs="Arial"/>
        </w:rPr>
        <w:t>u</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15"/>
        </w:rPr>
        <w:t xml:space="preserve"> </w:t>
      </w:r>
      <w:r w:rsidRPr="00EB1AAB">
        <w:rPr>
          <w:rFonts w:ascii="Arial" w:eastAsia="Arial" w:hAnsi="Arial" w:cs="Arial"/>
          <w:spacing w:val="-3"/>
          <w:w w:val="101"/>
        </w:rPr>
        <w:t>p</w:t>
      </w:r>
      <w:r w:rsidRPr="00EB1AAB">
        <w:rPr>
          <w:rFonts w:ascii="Arial" w:eastAsia="Arial" w:hAnsi="Arial" w:cs="Arial"/>
          <w:spacing w:val="1"/>
          <w:w w:val="101"/>
        </w:rPr>
        <w:t>r</w:t>
      </w:r>
      <w:r w:rsidRPr="00EB1AAB">
        <w:rPr>
          <w:rFonts w:ascii="Arial" w:eastAsia="Arial" w:hAnsi="Arial" w:cs="Arial"/>
          <w:w w:val="101"/>
        </w:rPr>
        <w:t>o</w:t>
      </w:r>
      <w:r w:rsidRPr="00EB1AAB">
        <w:rPr>
          <w:rFonts w:ascii="Arial" w:eastAsia="Arial" w:hAnsi="Arial" w:cs="Arial"/>
          <w:spacing w:val="1"/>
          <w:w w:val="101"/>
        </w:rPr>
        <w:t>visi</w:t>
      </w:r>
      <w:r w:rsidRPr="00EB1AAB">
        <w:rPr>
          <w:rFonts w:ascii="Arial" w:eastAsia="Arial" w:hAnsi="Arial" w:cs="Arial"/>
          <w:w w:val="101"/>
        </w:rPr>
        <w:t>o</w:t>
      </w:r>
      <w:r w:rsidRPr="00EB1AAB">
        <w:rPr>
          <w:rFonts w:ascii="Arial" w:eastAsia="Arial" w:hAnsi="Arial" w:cs="Arial"/>
          <w:spacing w:val="-3"/>
          <w:w w:val="101"/>
        </w:rPr>
        <w:t>n</w:t>
      </w:r>
      <w:r w:rsidRPr="00EB1AAB">
        <w:rPr>
          <w:rFonts w:ascii="Arial" w:eastAsia="Arial" w:hAnsi="Arial" w:cs="Arial"/>
          <w:w w:val="101"/>
        </w:rPr>
        <w:t>.</w:t>
      </w:r>
    </w:p>
    <w:p w14:paraId="06557395" w14:textId="77777777" w:rsidR="00655E4C" w:rsidRPr="00EB1AAB" w:rsidRDefault="00655E4C" w:rsidP="00655E4C">
      <w:pPr>
        <w:spacing w:before="6"/>
        <w:ind w:right="-88"/>
        <w:rPr>
          <w:rFonts w:ascii="Arial" w:hAnsi="Arial" w:cs="Arial"/>
        </w:rPr>
      </w:pPr>
    </w:p>
    <w:p w14:paraId="173FCB89" w14:textId="6101F636" w:rsidR="00655E4C" w:rsidRPr="00EB1AAB" w:rsidRDefault="00655E4C" w:rsidP="00655E4C">
      <w:pPr>
        <w:pStyle w:val="Heading5underline"/>
      </w:pPr>
      <w:r w:rsidRPr="00EB1AAB">
        <w:t>1.1</w:t>
      </w:r>
      <w:r w:rsidR="006E4D9B">
        <w:t>6</w:t>
      </w:r>
      <w:r w:rsidRPr="00EB1AAB">
        <w:t>.1. A</w:t>
      </w:r>
      <w:r w:rsidRPr="00EB1AAB">
        <w:rPr>
          <w:spacing w:val="1"/>
        </w:rPr>
        <w:t>m</w:t>
      </w:r>
      <w:r w:rsidRPr="00EB1AAB">
        <w:rPr>
          <w:spacing w:val="-1"/>
        </w:rPr>
        <w:t>o</w:t>
      </w:r>
      <w:r w:rsidRPr="00EB1AAB">
        <w:rPr>
          <w:spacing w:val="1"/>
        </w:rPr>
        <w:t>r</w:t>
      </w:r>
      <w:r w:rsidRPr="00EB1AAB">
        <w:rPr>
          <w:spacing w:val="-1"/>
        </w:rPr>
        <w:t>t</w:t>
      </w:r>
      <w:r w:rsidRPr="00EB1AAB">
        <w:rPr>
          <w:spacing w:val="2"/>
        </w:rPr>
        <w:t>i</w:t>
      </w:r>
      <w:r w:rsidRPr="00EB1AAB">
        <w:t>sed</w:t>
      </w:r>
      <w:r w:rsidRPr="00EB1AAB">
        <w:rPr>
          <w:spacing w:val="13"/>
        </w:rPr>
        <w:t xml:space="preserve"> </w:t>
      </w:r>
      <w:r w:rsidRPr="00EB1AAB">
        <w:t>C</w:t>
      </w:r>
      <w:r w:rsidRPr="00EB1AAB">
        <w:rPr>
          <w:spacing w:val="1"/>
        </w:rPr>
        <w:t>o</w:t>
      </w:r>
      <w:r w:rsidRPr="00EB1AAB">
        <w:t>st</w:t>
      </w:r>
    </w:p>
    <w:p w14:paraId="05700749" w14:textId="77777777" w:rsidR="00655E4C" w:rsidRPr="00EB1AAB" w:rsidRDefault="00655E4C" w:rsidP="00655E4C">
      <w:pPr>
        <w:ind w:right="-88"/>
        <w:rPr>
          <w:rFonts w:ascii="Arial" w:eastAsia="Arial" w:hAnsi="Arial" w:cs="Arial"/>
          <w:u w:val="single"/>
        </w:rPr>
      </w:pPr>
    </w:p>
    <w:p w14:paraId="35D43E0F" w14:textId="77777777" w:rsidR="00655E4C" w:rsidRPr="00EB1AAB" w:rsidRDefault="00655E4C" w:rsidP="00655E4C">
      <w:pPr>
        <w:spacing w:before="7"/>
        <w:ind w:right="-88"/>
        <w:rPr>
          <w:rFonts w:ascii="Arial" w:eastAsia="Arial" w:hAnsi="Arial" w:cs="Arial"/>
        </w:rPr>
      </w:pPr>
      <w:r w:rsidRPr="00EB1AAB">
        <w:rPr>
          <w:rFonts w:ascii="Arial" w:eastAsia="Arial" w:hAnsi="Arial" w:cs="Arial"/>
          <w:spacing w:val="-1"/>
        </w:rPr>
        <w:t>T</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spacing w:val="3"/>
        </w:rPr>
        <w:t>s</w:t>
      </w:r>
      <w:r w:rsidRPr="00EB1AAB">
        <w:rPr>
          <w:rFonts w:ascii="Arial" w:eastAsia="Arial" w:hAnsi="Arial" w:cs="Arial"/>
          <w:spacing w:val="-3"/>
        </w:rPr>
        <w:t>e</w:t>
      </w:r>
      <w:r w:rsidRPr="00EB1AAB">
        <w:rPr>
          <w:rFonts w:ascii="Arial" w:eastAsia="Arial" w:hAnsi="Arial" w:cs="Arial"/>
        </w:rPr>
        <w:t>ts</w:t>
      </w:r>
      <w:r w:rsidRPr="00EB1AAB">
        <w:rPr>
          <w:rFonts w:ascii="Arial" w:eastAsia="Arial" w:hAnsi="Arial" w:cs="Arial"/>
          <w:spacing w:val="9"/>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3"/>
        </w:rPr>
        <w:t>l</w:t>
      </w:r>
      <w:r w:rsidRPr="00EB1AAB">
        <w:rPr>
          <w:rFonts w:ascii="Arial" w:eastAsia="Arial" w:hAnsi="Arial" w:cs="Arial"/>
          <w:spacing w:val="-3"/>
        </w:rPr>
        <w:t>a</w:t>
      </w:r>
      <w:r w:rsidRPr="00EB1AAB">
        <w:rPr>
          <w:rFonts w:ascii="Arial" w:eastAsia="Arial" w:hAnsi="Arial" w:cs="Arial"/>
          <w:spacing w:val="2"/>
        </w:rPr>
        <w:t>t</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to</w:t>
      </w:r>
      <w:r w:rsidRPr="00EB1AAB">
        <w:rPr>
          <w:rFonts w:ascii="Arial" w:eastAsia="Arial" w:hAnsi="Arial" w:cs="Arial"/>
          <w:spacing w:val="6"/>
        </w:rPr>
        <w:t xml:space="preserve"> </w:t>
      </w:r>
      <w:r w:rsidRPr="00EB1AAB">
        <w:rPr>
          <w:rFonts w:ascii="Arial" w:eastAsia="Arial" w:hAnsi="Arial" w:cs="Arial"/>
        </w:rPr>
        <w:t>f</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2"/>
        </w:rPr>
        <w:t xml:space="preserve"> </w:t>
      </w:r>
      <w:r w:rsidRPr="00EB1AAB">
        <w:rPr>
          <w:rFonts w:ascii="Arial" w:eastAsia="Arial" w:hAnsi="Arial" w:cs="Arial"/>
          <w:spacing w:val="1"/>
        </w:rPr>
        <w:t>i</w:t>
      </w:r>
      <w:r w:rsidRPr="00EB1AAB">
        <w:rPr>
          <w:rFonts w:ascii="Arial" w:eastAsia="Arial" w:hAnsi="Arial" w:cs="Arial"/>
          <w:spacing w:val="-3"/>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2"/>
        </w:rPr>
        <w:t>r</w:t>
      </w:r>
      <w:r w:rsidRPr="00EB1AAB">
        <w:rPr>
          <w:rFonts w:ascii="Arial" w:eastAsia="Arial" w:hAnsi="Arial" w:cs="Arial"/>
          <w:spacing w:val="-2"/>
        </w:rPr>
        <w:t>u</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rPr>
        <w:t>n</w:t>
      </w:r>
      <w:r w:rsidRPr="00EB1AAB">
        <w:rPr>
          <w:rFonts w:ascii="Arial" w:eastAsia="Arial" w:hAnsi="Arial" w:cs="Arial"/>
          <w:spacing w:val="-1"/>
        </w:rPr>
        <w:t>t</w:t>
      </w:r>
      <w:r w:rsidRPr="00EB1AAB">
        <w:rPr>
          <w:rFonts w:ascii="Arial" w:eastAsia="Arial" w:hAnsi="Arial" w:cs="Arial"/>
        </w:rPr>
        <w:t>s</w:t>
      </w:r>
      <w:r w:rsidRPr="00EB1AAB">
        <w:rPr>
          <w:rFonts w:ascii="Arial" w:eastAsia="Arial" w:hAnsi="Arial" w:cs="Arial"/>
          <w:spacing w:val="16"/>
        </w:rPr>
        <w:t xml:space="preserve"> </w:t>
      </w:r>
      <w:r w:rsidRPr="00EB1AAB">
        <w:rPr>
          <w:rFonts w:ascii="Arial" w:eastAsia="Arial" w:hAnsi="Arial" w:cs="Arial"/>
        </w:rPr>
        <w:t>wh</w:t>
      </w:r>
      <w:r w:rsidRPr="00EB1AAB">
        <w:rPr>
          <w:rFonts w:ascii="Arial" w:eastAsia="Arial" w:hAnsi="Arial" w:cs="Arial"/>
          <w:spacing w:val="-1"/>
        </w:rPr>
        <w:t>er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2"/>
        </w:rPr>
        <w:t>a</w:t>
      </w:r>
      <w:r w:rsidRPr="00EB1AAB">
        <w:rPr>
          <w:rFonts w:ascii="Arial" w:eastAsia="Arial" w:hAnsi="Arial" w:cs="Arial"/>
          <w:spacing w:val="2"/>
        </w:rPr>
        <w:t>m</w:t>
      </w:r>
      <w:r w:rsidRPr="00EB1AAB">
        <w:rPr>
          <w:rFonts w:ascii="Arial" w:eastAsia="Arial" w:hAnsi="Arial" w:cs="Arial"/>
        </w:rPr>
        <w:t>o</w:t>
      </w:r>
      <w:r w:rsidRPr="00EB1AAB">
        <w:rPr>
          <w:rFonts w:ascii="Arial" w:eastAsia="Arial" w:hAnsi="Arial" w:cs="Arial"/>
          <w:spacing w:val="2"/>
        </w:rPr>
        <w:t>u</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11"/>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3"/>
        </w:rPr>
        <w:t>c</w:t>
      </w:r>
      <w:r w:rsidRPr="00EB1AAB">
        <w:rPr>
          <w:rFonts w:ascii="Arial" w:eastAsia="Arial" w:hAnsi="Arial" w:cs="Arial"/>
          <w:spacing w:val="-3"/>
        </w:rPr>
        <w:t>e</w:t>
      </w:r>
      <w:r w:rsidRPr="00EB1AAB">
        <w:rPr>
          <w:rFonts w:ascii="Arial" w:eastAsia="Arial" w:hAnsi="Arial" w:cs="Arial"/>
          <w:spacing w:val="4"/>
        </w:rPr>
        <w:t>i</w:t>
      </w:r>
      <w:r w:rsidRPr="00EB1AAB">
        <w:rPr>
          <w:rFonts w:ascii="Arial" w:eastAsia="Arial" w:hAnsi="Arial" w:cs="Arial"/>
          <w:spacing w:val="-1"/>
        </w:rPr>
        <w:t>v</w:t>
      </w:r>
      <w:r w:rsidRPr="00EB1AAB">
        <w:rPr>
          <w:rFonts w:ascii="Arial" w:eastAsia="Arial" w:hAnsi="Arial" w:cs="Arial"/>
        </w:rPr>
        <w:t>ed</w:t>
      </w:r>
      <w:r w:rsidRPr="00EB1AAB">
        <w:rPr>
          <w:rFonts w:ascii="Arial" w:eastAsia="Arial" w:hAnsi="Arial" w:cs="Arial"/>
          <w:spacing w:val="10"/>
        </w:rPr>
        <w:t xml:space="preserve"> 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s</w:t>
      </w:r>
      <w:r w:rsidRPr="00EB1AAB">
        <w:rPr>
          <w:rFonts w:ascii="Arial" w:eastAsia="Arial" w:hAnsi="Arial" w:cs="Arial"/>
        </w:rPr>
        <w:t>o</w:t>
      </w:r>
      <w:r w:rsidRPr="00EB1AAB">
        <w:rPr>
          <w:rFonts w:ascii="Arial" w:eastAsia="Arial" w:hAnsi="Arial" w:cs="Arial"/>
          <w:spacing w:val="1"/>
        </w:rPr>
        <w:t>l</w:t>
      </w:r>
      <w:r w:rsidRPr="00EB1AAB">
        <w:rPr>
          <w:rFonts w:ascii="Arial" w:eastAsia="Arial" w:hAnsi="Arial" w:cs="Arial"/>
        </w:rPr>
        <w:t>e</w:t>
      </w:r>
      <w:r w:rsidRPr="00EB1AAB">
        <w:rPr>
          <w:rFonts w:ascii="Arial" w:eastAsia="Arial" w:hAnsi="Arial" w:cs="Arial"/>
          <w:spacing w:val="3"/>
        </w:rPr>
        <w:t>l</w:t>
      </w:r>
      <w:r w:rsidRPr="00EB1AAB">
        <w:rPr>
          <w:rFonts w:ascii="Arial" w:eastAsia="Arial" w:hAnsi="Arial" w:cs="Arial"/>
        </w:rPr>
        <w:t>y</w:t>
      </w:r>
      <w:r w:rsidRPr="00EB1AAB">
        <w:rPr>
          <w:rFonts w:ascii="Arial" w:eastAsia="Arial" w:hAnsi="Arial" w:cs="Arial"/>
          <w:spacing w:val="6"/>
        </w:rPr>
        <w:t xml:space="preserve"> </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4"/>
        </w:rPr>
        <w:t>i</w:t>
      </w:r>
      <w:r w:rsidRPr="00EB1AAB">
        <w:rPr>
          <w:rFonts w:ascii="Arial" w:eastAsia="Arial" w:hAnsi="Arial" w:cs="Arial"/>
        </w:rPr>
        <w:t>pal</w:t>
      </w:r>
      <w:r w:rsidRPr="00EB1AAB">
        <w:rPr>
          <w:rFonts w:ascii="Arial" w:eastAsia="Arial" w:hAnsi="Arial" w:cs="Arial"/>
          <w:spacing w:val="13"/>
        </w:rPr>
        <w:t xml:space="preserve"> </w:t>
      </w:r>
      <w:r w:rsidRPr="00EB1AAB">
        <w:rPr>
          <w:rFonts w:ascii="Arial" w:eastAsia="Arial" w:hAnsi="Arial" w:cs="Arial"/>
          <w:spacing w:val="-3"/>
        </w:rPr>
        <w:t>a</w:t>
      </w:r>
      <w:r w:rsidRPr="00EB1AAB">
        <w:rPr>
          <w:rFonts w:ascii="Arial" w:eastAsia="Arial" w:hAnsi="Arial" w:cs="Arial"/>
        </w:rPr>
        <w:t>nd</w:t>
      </w:r>
      <w:r w:rsidRPr="00EB1AAB">
        <w:rPr>
          <w:rFonts w:ascii="Arial" w:eastAsia="Arial" w:hAnsi="Arial" w:cs="Arial"/>
          <w:spacing w:val="2"/>
        </w:rPr>
        <w:t xml:space="preserve"> </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spacing w:val="5"/>
        </w:rPr>
        <w:t>t</w:t>
      </w:r>
      <w:r w:rsidRPr="00EB1AAB">
        <w:rPr>
          <w:rFonts w:ascii="Arial" w:eastAsia="Arial" w:hAnsi="Arial" w:cs="Arial"/>
          <w:spacing w:val="-3"/>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spacing w:val="-3"/>
        </w:rPr>
        <w:t>a</w:t>
      </w:r>
      <w:r w:rsidRPr="00EB1AAB">
        <w:rPr>
          <w:rFonts w:ascii="Arial" w:eastAsia="Arial" w:hAnsi="Arial" w:cs="Arial"/>
          <w:spacing w:val="2"/>
        </w:rPr>
        <w:t>n</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rPr>
        <w:t>th</w:t>
      </w:r>
      <w:r w:rsidRPr="00EB1AAB">
        <w:rPr>
          <w:rFonts w:ascii="Arial" w:eastAsia="Arial" w:hAnsi="Arial" w:cs="Arial"/>
          <w:spacing w:val="2"/>
        </w:rPr>
        <w:t>e</w:t>
      </w:r>
      <w:r w:rsidRPr="00EB1AAB">
        <w:rPr>
          <w:rFonts w:ascii="Arial" w:eastAsia="Arial" w:hAnsi="Arial" w:cs="Arial"/>
        </w:rPr>
        <w:t>y</w:t>
      </w:r>
      <w:r w:rsidRPr="00EB1AAB">
        <w:rPr>
          <w:rFonts w:ascii="Arial" w:eastAsia="Arial" w:hAnsi="Arial" w:cs="Arial"/>
          <w:spacing w:val="4"/>
        </w:rPr>
        <w:t xml:space="preserve"> </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3"/>
        </w:rPr>
        <w:t>l</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rPr>
        <w:t>in a hold to collect business model</w:t>
      </w:r>
      <w:r w:rsidRPr="00EB1AAB">
        <w:rPr>
          <w:rFonts w:ascii="Arial" w:eastAsia="Arial" w:hAnsi="Arial" w:cs="Arial"/>
          <w:spacing w:val="7"/>
        </w:rPr>
        <w:t xml:space="preserve"> </w:t>
      </w:r>
      <w:r w:rsidRPr="00EB1AAB">
        <w:rPr>
          <w:rFonts w:ascii="Arial" w:eastAsia="Arial" w:hAnsi="Arial" w:cs="Arial"/>
          <w:spacing w:val="1"/>
          <w:w w:val="101"/>
        </w:rPr>
        <w:t>(</w:t>
      </w:r>
      <w:r w:rsidRPr="00EB1AAB">
        <w:rPr>
          <w:rFonts w:ascii="Arial" w:eastAsia="Arial" w:hAnsi="Arial" w:cs="Arial"/>
          <w:w w:val="101"/>
        </w:rPr>
        <w:t>e.</w:t>
      </w:r>
      <w:r w:rsidRPr="00EB1AAB">
        <w:rPr>
          <w:rFonts w:ascii="Arial" w:eastAsia="Arial" w:hAnsi="Arial" w:cs="Arial"/>
          <w:spacing w:val="-3"/>
          <w:w w:val="101"/>
        </w:rPr>
        <w:t xml:space="preserve">g.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v</w:t>
      </w:r>
      <w:r w:rsidRPr="00EB1AAB">
        <w:rPr>
          <w:rFonts w:ascii="Arial" w:eastAsia="Arial" w:hAnsi="Arial" w:cs="Arial"/>
          <w:spacing w:val="-2"/>
        </w:rPr>
        <w:t>e</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2"/>
        </w:rPr>
        <w:t>m</w:t>
      </w:r>
      <w:r w:rsidRPr="00EB1AAB">
        <w:rPr>
          <w:rFonts w:ascii="Arial" w:eastAsia="Arial" w:hAnsi="Arial" w:cs="Arial"/>
          <w:spacing w:val="-2"/>
        </w:rPr>
        <w:t>e</w:t>
      </w:r>
      <w:r w:rsidRPr="00EB1AAB">
        <w:rPr>
          <w:rFonts w:ascii="Arial" w:eastAsia="Arial" w:hAnsi="Arial" w:cs="Arial"/>
        </w:rPr>
        <w:t>nts</w:t>
      </w:r>
      <w:r w:rsidRPr="00EB1AAB">
        <w:rPr>
          <w:rFonts w:ascii="Arial" w:eastAsia="Arial" w:hAnsi="Arial" w:cs="Arial"/>
          <w:spacing w:val="14"/>
        </w:rPr>
        <w:t xml:space="preserve"> </w:t>
      </w:r>
      <w:r w:rsidRPr="00EB1AAB">
        <w:rPr>
          <w:rFonts w:ascii="Arial" w:eastAsia="Arial" w:hAnsi="Arial" w:cs="Arial"/>
        </w:rPr>
        <w:t>of</w:t>
      </w:r>
      <w:r w:rsidRPr="00EB1AAB">
        <w:rPr>
          <w:rFonts w:ascii="Arial" w:eastAsia="Arial" w:hAnsi="Arial" w:cs="Arial"/>
          <w:spacing w:val="5"/>
        </w:rPr>
        <w:t xml:space="preserve"> </w:t>
      </w:r>
      <w:r w:rsidRPr="00EB1AAB">
        <w:rPr>
          <w:rFonts w:ascii="Arial" w:eastAsia="Arial" w:hAnsi="Arial" w:cs="Arial"/>
          <w:spacing w:val="1"/>
        </w:rPr>
        <w:t>s</w:t>
      </w:r>
      <w:r w:rsidRPr="00EB1AAB">
        <w:rPr>
          <w:rFonts w:ascii="Arial" w:eastAsia="Arial" w:hAnsi="Arial" w:cs="Arial"/>
          <w:spacing w:val="-2"/>
        </w:rPr>
        <w:t>u</w:t>
      </w:r>
      <w:r w:rsidRPr="00EB1AAB">
        <w:rPr>
          <w:rFonts w:ascii="Arial" w:eastAsia="Arial" w:hAnsi="Arial" w:cs="Arial"/>
          <w:spacing w:val="-1"/>
        </w:rPr>
        <w:t>r</w:t>
      </w:r>
      <w:r w:rsidRPr="00EB1AAB">
        <w:rPr>
          <w:rFonts w:ascii="Arial" w:eastAsia="Arial" w:hAnsi="Arial" w:cs="Arial"/>
        </w:rPr>
        <w:t>p</w:t>
      </w:r>
      <w:r w:rsidRPr="00EB1AAB">
        <w:rPr>
          <w:rFonts w:ascii="Arial" w:eastAsia="Arial" w:hAnsi="Arial" w:cs="Arial"/>
          <w:spacing w:val="1"/>
        </w:rPr>
        <w:t>l</w:t>
      </w:r>
      <w:r w:rsidRPr="00EB1AAB">
        <w:rPr>
          <w:rFonts w:ascii="Arial" w:eastAsia="Arial" w:hAnsi="Arial" w:cs="Arial"/>
        </w:rPr>
        <w:t>us</w:t>
      </w:r>
      <w:r w:rsidRPr="00EB1AAB">
        <w:rPr>
          <w:rFonts w:ascii="Arial" w:eastAsia="Arial" w:hAnsi="Arial" w:cs="Arial"/>
          <w:spacing w:val="11"/>
        </w:rPr>
        <w:t xml:space="preserve"> </w:t>
      </w:r>
      <w:r w:rsidRPr="00EB1AAB">
        <w:rPr>
          <w:rFonts w:ascii="Arial" w:eastAsia="Arial" w:hAnsi="Arial" w:cs="Arial"/>
          <w:spacing w:val="-2"/>
        </w:rPr>
        <w:t>c</w:t>
      </w:r>
      <w:r w:rsidRPr="00EB1AAB">
        <w:rPr>
          <w:rFonts w:ascii="Arial" w:eastAsia="Arial" w:hAnsi="Arial" w:cs="Arial"/>
        </w:rPr>
        <w:t>a</w:t>
      </w:r>
      <w:r w:rsidRPr="00EB1AAB">
        <w:rPr>
          <w:rFonts w:ascii="Arial" w:eastAsia="Arial" w:hAnsi="Arial" w:cs="Arial"/>
          <w:spacing w:val="1"/>
        </w:rPr>
        <w:t>s</w:t>
      </w:r>
      <w:r w:rsidRPr="00EB1AAB">
        <w:rPr>
          <w:rFonts w:ascii="Arial" w:eastAsia="Arial" w:hAnsi="Arial" w:cs="Arial"/>
        </w:rPr>
        <w:t>h</w:t>
      </w:r>
      <w:r w:rsidRPr="00EB1AAB">
        <w:rPr>
          <w:rFonts w:ascii="Arial" w:eastAsia="Arial" w:hAnsi="Arial" w:cs="Arial"/>
          <w:spacing w:val="6"/>
        </w:rPr>
        <w:t xml:space="preserve"> </w:t>
      </w:r>
      <w:r w:rsidRPr="00EB1AAB">
        <w:rPr>
          <w:rFonts w:ascii="Arial" w:eastAsia="Arial" w:hAnsi="Arial" w:cs="Arial"/>
          <w:spacing w:val="-3"/>
        </w:rPr>
        <w:t>w</w:t>
      </w:r>
      <w:r w:rsidRPr="00EB1AAB">
        <w:rPr>
          <w:rFonts w:ascii="Arial" w:eastAsia="Arial" w:hAnsi="Arial" w:cs="Arial"/>
          <w:spacing w:val="4"/>
        </w:rPr>
        <w:t>i</w:t>
      </w:r>
      <w:r w:rsidRPr="00EB1AAB">
        <w:rPr>
          <w:rFonts w:ascii="Arial" w:eastAsia="Arial" w:hAnsi="Arial" w:cs="Arial"/>
        </w:rPr>
        <w:t>th</w:t>
      </w:r>
      <w:r w:rsidRPr="00EB1AAB">
        <w:rPr>
          <w:rFonts w:ascii="Arial" w:eastAsia="Arial" w:hAnsi="Arial" w:cs="Arial"/>
          <w:spacing w:val="5"/>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1"/>
        </w:rPr>
        <w:t xml:space="preserve"> </w:t>
      </w:r>
      <w:r w:rsidRPr="00EB1AAB">
        <w:rPr>
          <w:rFonts w:ascii="Arial" w:eastAsia="Arial" w:hAnsi="Arial" w:cs="Arial"/>
          <w:spacing w:val="2"/>
        </w:rPr>
        <w:t>g</w:t>
      </w:r>
      <w:r w:rsidRPr="00EB1AAB">
        <w:rPr>
          <w:rFonts w:ascii="Arial" w:eastAsia="Arial" w:hAnsi="Arial" w:cs="Arial"/>
          <w:spacing w:val="-3"/>
        </w:rPr>
        <w:t>o</w:t>
      </w:r>
      <w:r w:rsidRPr="00EB1AAB">
        <w:rPr>
          <w:rFonts w:ascii="Arial" w:eastAsia="Arial" w:hAnsi="Arial" w:cs="Arial"/>
          <w:spacing w:val="1"/>
        </w:rPr>
        <w:t>v</w:t>
      </w:r>
      <w:r w:rsidRPr="00EB1AAB">
        <w:rPr>
          <w:rFonts w:ascii="Arial" w:eastAsia="Arial" w:hAnsi="Arial" w:cs="Arial"/>
          <w:spacing w:val="2"/>
        </w:rPr>
        <w:t>e</w:t>
      </w:r>
      <w:r w:rsidRPr="00EB1AAB">
        <w:rPr>
          <w:rFonts w:ascii="Arial" w:eastAsia="Arial" w:hAnsi="Arial" w:cs="Arial"/>
          <w:spacing w:val="-1"/>
        </w:rPr>
        <w:t>r</w:t>
      </w:r>
      <w:r w:rsidRPr="00EB1AAB">
        <w:rPr>
          <w:rFonts w:ascii="Arial" w:eastAsia="Arial" w:hAnsi="Arial" w:cs="Arial"/>
          <w:spacing w:val="-3"/>
        </w:rPr>
        <w:t>n</w:t>
      </w:r>
      <w:r w:rsidRPr="00EB1AAB">
        <w:rPr>
          <w:rFonts w:ascii="Arial" w:eastAsia="Arial" w:hAnsi="Arial" w:cs="Arial"/>
          <w:spacing w:val="5"/>
        </w:rPr>
        <w:t>m</w:t>
      </w:r>
      <w:r w:rsidRPr="00EB1AAB">
        <w:rPr>
          <w:rFonts w:ascii="Arial" w:eastAsia="Arial" w:hAnsi="Arial" w:cs="Arial"/>
        </w:rPr>
        <w:t>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4"/>
        </w:rPr>
        <w:t>’</w:t>
      </w:r>
      <w:r w:rsidRPr="00EB1AAB">
        <w:rPr>
          <w:rFonts w:ascii="Arial" w:eastAsia="Arial" w:hAnsi="Arial" w:cs="Arial"/>
        </w:rPr>
        <w:t>s</w:t>
      </w:r>
      <w:r w:rsidRPr="00EB1AAB">
        <w:rPr>
          <w:rFonts w:ascii="Arial" w:eastAsia="Arial" w:hAnsi="Arial" w:cs="Arial"/>
          <w:spacing w:val="16"/>
        </w:rPr>
        <w:t xml:space="preserve"> </w:t>
      </w:r>
      <w:r w:rsidRPr="00EB1AAB">
        <w:rPr>
          <w:rFonts w:ascii="Arial" w:eastAsia="Arial" w:hAnsi="Arial" w:cs="Arial"/>
          <w:spacing w:val="-3"/>
        </w:rPr>
        <w:t>d</w:t>
      </w:r>
      <w:r w:rsidRPr="00EB1AAB">
        <w:rPr>
          <w:rFonts w:ascii="Arial" w:eastAsia="Arial" w:hAnsi="Arial" w:cs="Arial"/>
          <w:spacing w:val="2"/>
        </w:rPr>
        <w:t>e</w:t>
      </w:r>
      <w:r w:rsidRPr="00EB1AAB">
        <w:rPr>
          <w:rFonts w:ascii="Arial" w:eastAsia="Arial" w:hAnsi="Arial" w:cs="Arial"/>
          <w:spacing w:val="-2"/>
        </w:rPr>
        <w:t>b</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spacing w:val="2"/>
        </w:rPr>
        <w:t>m</w:t>
      </w:r>
      <w:r w:rsidRPr="00EB1AAB">
        <w:rPr>
          <w:rFonts w:ascii="Arial" w:eastAsia="Arial" w:hAnsi="Arial" w:cs="Arial"/>
          <w:spacing w:val="-3"/>
        </w:rPr>
        <w:t>a</w:t>
      </w:r>
      <w:r w:rsidRPr="00EB1AAB">
        <w:rPr>
          <w:rFonts w:ascii="Arial" w:eastAsia="Arial" w:hAnsi="Arial" w:cs="Arial"/>
          <w:spacing w:val="2"/>
        </w:rPr>
        <w:t>n</w:t>
      </w:r>
      <w:r w:rsidRPr="00EB1AAB">
        <w:rPr>
          <w:rFonts w:ascii="Arial" w:eastAsia="Arial" w:hAnsi="Arial" w:cs="Arial"/>
          <w:spacing w:val="-3"/>
        </w:rPr>
        <w:t>a</w:t>
      </w:r>
      <w:r w:rsidRPr="00EB1AAB">
        <w:rPr>
          <w:rFonts w:ascii="Arial" w:eastAsia="Arial" w:hAnsi="Arial" w:cs="Arial"/>
          <w:spacing w:val="2"/>
        </w:rPr>
        <w:t>g</w:t>
      </w:r>
      <w:r w:rsidRPr="00EB1AAB">
        <w:rPr>
          <w:rFonts w:ascii="Arial" w:eastAsia="Arial" w:hAnsi="Arial" w:cs="Arial"/>
          <w:spacing w:val="-3"/>
        </w:rPr>
        <w:t>e</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spacing w:val="2"/>
        </w:rPr>
        <w:t>n</w:t>
      </w:r>
      <w:r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rPr>
        <w:t>of</w:t>
      </w:r>
      <w:r w:rsidRPr="00EB1AAB">
        <w:rPr>
          <w:rFonts w:ascii="Arial" w:eastAsia="Arial" w:hAnsi="Arial" w:cs="Arial"/>
          <w:spacing w:val="2"/>
        </w:rPr>
        <w:t>f</w:t>
      </w:r>
      <w:r w:rsidRPr="00EB1AAB">
        <w:rPr>
          <w:rFonts w:ascii="Arial" w:eastAsia="Arial" w:hAnsi="Arial" w:cs="Arial"/>
          <w:spacing w:val="1"/>
        </w:rPr>
        <w:t>ic</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rPr>
        <w:t>or</w:t>
      </w:r>
      <w:r w:rsidRPr="00EB1AAB">
        <w:rPr>
          <w:rFonts w:ascii="Arial" w:eastAsia="Arial" w:hAnsi="Arial" w:cs="Arial"/>
          <w:spacing w:val="2"/>
        </w:rPr>
        <w:t xml:space="preserve"> </w:t>
      </w:r>
      <w:r w:rsidRPr="00EB1AAB">
        <w:rPr>
          <w:rFonts w:ascii="Arial" w:eastAsia="Arial" w:hAnsi="Arial" w:cs="Arial"/>
          <w:spacing w:val="4"/>
        </w:rPr>
        <w:t>l</w:t>
      </w:r>
      <w:r w:rsidRPr="00EB1AAB">
        <w:rPr>
          <w:rFonts w:ascii="Arial" w:eastAsia="Arial" w:hAnsi="Arial" w:cs="Arial"/>
          <w:spacing w:val="-3"/>
        </w:rPr>
        <w:t>o</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w w:val="101"/>
        </w:rPr>
        <w:t xml:space="preserve">to </w:t>
      </w:r>
      <w:r w:rsidRPr="00EB1AAB">
        <w:rPr>
          <w:rFonts w:ascii="Arial" w:eastAsia="Arial" w:hAnsi="Arial" w:cs="Arial"/>
        </w:rPr>
        <w:t>th</w:t>
      </w:r>
      <w:r w:rsidRPr="00EB1AAB">
        <w:rPr>
          <w:rFonts w:ascii="Arial" w:eastAsia="Arial" w:hAnsi="Arial" w:cs="Arial"/>
          <w:spacing w:val="1"/>
        </w:rPr>
        <w:t>i</w:t>
      </w:r>
      <w:r w:rsidRPr="00EB1AAB">
        <w:rPr>
          <w:rFonts w:ascii="Arial" w:eastAsia="Arial" w:hAnsi="Arial" w:cs="Arial"/>
          <w:spacing w:val="-1"/>
        </w:rPr>
        <w:t>r</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2"/>
          <w:w w:val="101"/>
        </w:rPr>
        <w:t>p</w:t>
      </w:r>
      <w:r w:rsidRPr="00EB1AAB">
        <w:rPr>
          <w:rFonts w:ascii="Arial" w:eastAsia="Arial" w:hAnsi="Arial" w:cs="Arial"/>
          <w:spacing w:val="-3"/>
          <w:w w:val="101"/>
        </w:rPr>
        <w:t>a</w:t>
      </w:r>
      <w:r w:rsidRPr="00EB1AAB">
        <w:rPr>
          <w:rFonts w:ascii="Arial" w:eastAsia="Arial" w:hAnsi="Arial" w:cs="Arial"/>
          <w:spacing w:val="-1"/>
          <w:w w:val="101"/>
        </w:rPr>
        <w:t>r</w:t>
      </w:r>
      <w:r w:rsidRPr="00EB1AAB">
        <w:rPr>
          <w:rFonts w:ascii="Arial" w:eastAsia="Arial" w:hAnsi="Arial" w:cs="Arial"/>
          <w:spacing w:val="2"/>
          <w:w w:val="101"/>
        </w:rPr>
        <w:t>t</w:t>
      </w:r>
      <w:r w:rsidRPr="00EB1AAB">
        <w:rPr>
          <w:rFonts w:ascii="Arial" w:eastAsia="Arial" w:hAnsi="Arial" w:cs="Arial"/>
          <w:spacing w:val="1"/>
          <w:w w:val="101"/>
        </w:rPr>
        <w:t>i</w:t>
      </w:r>
      <w:r w:rsidRPr="00EB1AAB">
        <w:rPr>
          <w:rFonts w:ascii="Arial" w:eastAsia="Arial" w:hAnsi="Arial" w:cs="Arial"/>
          <w:spacing w:val="-3"/>
          <w:w w:val="101"/>
        </w:rPr>
        <w:t>e</w:t>
      </w:r>
      <w:r w:rsidRPr="00EB1AAB">
        <w:rPr>
          <w:rFonts w:ascii="Arial" w:eastAsia="Arial" w:hAnsi="Arial" w:cs="Arial"/>
          <w:spacing w:val="1"/>
          <w:w w:val="101"/>
        </w:rPr>
        <w:t>s</w:t>
      </w:r>
      <w:r w:rsidRPr="00EB1AAB">
        <w:rPr>
          <w:rFonts w:ascii="Arial" w:eastAsia="Arial" w:hAnsi="Arial" w:cs="Arial"/>
          <w:spacing w:val="-1"/>
          <w:w w:val="101"/>
        </w:rPr>
        <w:t>)</w:t>
      </w:r>
      <w:r w:rsidRPr="00EB1AAB">
        <w:rPr>
          <w:rFonts w:ascii="Arial" w:eastAsia="Arial" w:hAnsi="Arial" w:cs="Arial"/>
          <w:w w:val="101"/>
        </w:rPr>
        <w:t>.</w:t>
      </w:r>
    </w:p>
    <w:p w14:paraId="2A5D8451" w14:textId="77777777" w:rsidR="00655E4C" w:rsidRPr="00EB1AAB" w:rsidRDefault="00655E4C" w:rsidP="00655E4C">
      <w:pPr>
        <w:spacing w:before="12"/>
        <w:ind w:right="-88"/>
        <w:rPr>
          <w:rFonts w:ascii="Arial" w:hAnsi="Arial" w:cs="Arial"/>
        </w:rPr>
      </w:pPr>
    </w:p>
    <w:p w14:paraId="60A9DA1C" w14:textId="77777777" w:rsidR="00655E4C" w:rsidRPr="00EB1AAB" w:rsidRDefault="00655E4C" w:rsidP="00655E4C">
      <w:pPr>
        <w:ind w:right="-88"/>
        <w:rPr>
          <w:rFonts w:ascii="Arial" w:eastAsia="Arial" w:hAnsi="Arial" w:cs="Arial"/>
          <w:w w:val="101"/>
        </w:rPr>
      </w:pPr>
      <w:r w:rsidRPr="00EB1AAB">
        <w:rPr>
          <w:rFonts w:ascii="Arial" w:eastAsia="Arial" w:hAnsi="Arial" w:cs="Arial"/>
          <w:spacing w:val="-1"/>
        </w:rPr>
        <w:t>T</w:t>
      </w:r>
      <w:r w:rsidRPr="00EB1AAB">
        <w:rPr>
          <w:rFonts w:ascii="Arial" w:eastAsia="Arial" w:hAnsi="Arial" w:cs="Arial"/>
        </w:rPr>
        <w:t>he</w:t>
      </w:r>
      <w:r w:rsidRPr="00EB1AAB">
        <w:rPr>
          <w:rFonts w:ascii="Arial" w:eastAsia="Arial" w:hAnsi="Arial" w:cs="Arial"/>
          <w:spacing w:val="4"/>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t</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1"/>
        </w:rPr>
        <w:t>c</w:t>
      </w:r>
      <w:r w:rsidRPr="00EB1AAB">
        <w:rPr>
          <w:rFonts w:ascii="Arial" w:eastAsia="Arial" w:hAnsi="Arial" w:cs="Arial"/>
          <w:spacing w:val="-3"/>
        </w:rPr>
        <w:t>e</w:t>
      </w:r>
      <w:r w:rsidRPr="00EB1AAB">
        <w:rPr>
          <w:rFonts w:ascii="Arial" w:eastAsia="Arial" w:hAnsi="Arial" w:cs="Arial"/>
          <w:spacing w:val="1"/>
        </w:rPr>
        <w:t>iv</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8"/>
        </w:rPr>
        <w:t xml:space="preserve"> </w:t>
      </w:r>
      <w:r w:rsidRPr="00EB1AAB">
        <w:rPr>
          <w:rFonts w:ascii="Arial" w:eastAsia="Arial" w:hAnsi="Arial" w:cs="Arial"/>
          <w:spacing w:val="2"/>
        </w:rPr>
        <w:t>o</w:t>
      </w:r>
      <w:r w:rsidRPr="00EB1AAB">
        <w:rPr>
          <w:rFonts w:ascii="Arial" w:eastAsia="Arial" w:hAnsi="Arial" w:cs="Arial"/>
        </w:rPr>
        <w:t>n</w:t>
      </w:r>
      <w:r w:rsidRPr="00EB1AAB">
        <w:rPr>
          <w:rFonts w:ascii="Arial" w:eastAsia="Arial" w:hAnsi="Arial" w:cs="Arial"/>
          <w:spacing w:val="4"/>
        </w:rPr>
        <w:t xml:space="preserve"> </w:t>
      </w:r>
      <w:r w:rsidRPr="00EB1AAB">
        <w:rPr>
          <w:rFonts w:ascii="Arial" w:eastAsia="Arial" w:hAnsi="Arial" w:cs="Arial"/>
        </w:rPr>
        <w:t>t</w:t>
      </w:r>
      <w:r w:rsidRPr="00EB1AAB">
        <w:rPr>
          <w:rFonts w:ascii="Arial" w:eastAsia="Arial" w:hAnsi="Arial" w:cs="Arial"/>
          <w:spacing w:val="-3"/>
        </w:rPr>
        <w:t>h</w:t>
      </w:r>
      <w:r w:rsidRPr="00EB1AAB">
        <w:rPr>
          <w:rFonts w:ascii="Arial" w:eastAsia="Arial" w:hAnsi="Arial" w:cs="Arial"/>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1"/>
        </w:rPr>
        <w:t>ss</w:t>
      </w:r>
      <w:r w:rsidRPr="00EB1AAB">
        <w:rPr>
          <w:rFonts w:ascii="Arial" w:eastAsia="Arial" w:hAnsi="Arial" w:cs="Arial"/>
        </w:rPr>
        <w:t>ets</w:t>
      </w:r>
      <w:r w:rsidRPr="00EB1AAB">
        <w:rPr>
          <w:rFonts w:ascii="Arial" w:eastAsia="Arial" w:hAnsi="Arial" w:cs="Arial"/>
          <w:spacing w:val="9"/>
        </w:rPr>
        <w:t xml:space="preserve"> </w:t>
      </w:r>
      <w:r w:rsidRPr="00EB1AAB">
        <w:rPr>
          <w:rFonts w:ascii="Arial" w:eastAsia="Arial" w:hAnsi="Arial" w:cs="Arial"/>
          <w:spacing w:val="1"/>
        </w:rPr>
        <w:t>i</w:t>
      </w:r>
      <w:r w:rsidRPr="00EB1AAB">
        <w:rPr>
          <w:rFonts w:ascii="Arial" w:eastAsia="Arial" w:hAnsi="Arial" w:cs="Arial"/>
        </w:rPr>
        <w:t>s measured using the Effective Interest Rate model</w:t>
      </w:r>
      <w:r w:rsidRPr="00EB1AAB">
        <w:rPr>
          <w:rFonts w:ascii="Arial" w:eastAsia="Arial" w:hAnsi="Arial" w:cs="Arial"/>
          <w:w w:val="101"/>
        </w:rPr>
        <w:t>.</w:t>
      </w:r>
    </w:p>
    <w:p w14:paraId="6F215756" w14:textId="77777777" w:rsidR="00655E4C" w:rsidRPr="00EB1AAB" w:rsidRDefault="00655E4C" w:rsidP="00655E4C">
      <w:pPr>
        <w:spacing w:before="6"/>
        <w:ind w:right="-88"/>
        <w:rPr>
          <w:rFonts w:ascii="Arial" w:hAnsi="Arial" w:cs="Arial"/>
        </w:rPr>
      </w:pPr>
    </w:p>
    <w:p w14:paraId="6D205F0C" w14:textId="170C1A41" w:rsidR="00655E4C" w:rsidRPr="00EB1AAB" w:rsidRDefault="00655E4C" w:rsidP="00655E4C">
      <w:pPr>
        <w:pStyle w:val="Heading5underline"/>
      </w:pPr>
      <w:r w:rsidRPr="00EB1AAB">
        <w:rPr>
          <w:spacing w:val="-1"/>
        </w:rPr>
        <w:t>1.1</w:t>
      </w:r>
      <w:r w:rsidR="006E4D9B">
        <w:rPr>
          <w:spacing w:val="-1"/>
        </w:rPr>
        <w:t>6</w:t>
      </w:r>
      <w:r w:rsidRPr="00EB1AAB">
        <w:rPr>
          <w:spacing w:val="-1"/>
        </w:rPr>
        <w:t>.2. F</w:t>
      </w:r>
      <w:r w:rsidRPr="00EB1AAB">
        <w:t>a</w:t>
      </w:r>
      <w:r w:rsidRPr="00EB1AAB">
        <w:rPr>
          <w:spacing w:val="-1"/>
        </w:rPr>
        <w:t>i</w:t>
      </w:r>
      <w:r w:rsidRPr="00EB1AAB">
        <w:t>r</w:t>
      </w:r>
      <w:r w:rsidRPr="00EB1AAB">
        <w:rPr>
          <w:spacing w:val="5"/>
        </w:rPr>
        <w:t xml:space="preserve"> </w:t>
      </w:r>
      <w:r w:rsidRPr="00EB1AAB">
        <w:rPr>
          <w:spacing w:val="3"/>
        </w:rPr>
        <w:t>V</w:t>
      </w:r>
      <w:r w:rsidRPr="00EB1AAB">
        <w:rPr>
          <w:spacing w:val="-3"/>
        </w:rPr>
        <w:t>a</w:t>
      </w:r>
      <w:r w:rsidRPr="00EB1AAB">
        <w:t>l</w:t>
      </w:r>
      <w:r w:rsidRPr="00EB1AAB">
        <w:rPr>
          <w:spacing w:val="1"/>
        </w:rPr>
        <w:t>u</w:t>
      </w:r>
      <w:r w:rsidRPr="00EB1AAB">
        <w:t>e</w:t>
      </w:r>
      <w:r w:rsidRPr="00EB1AAB">
        <w:rPr>
          <w:spacing w:val="7"/>
        </w:rPr>
        <w:t xml:space="preserve"> </w:t>
      </w:r>
      <w:r w:rsidRPr="00EB1AAB">
        <w:rPr>
          <w:spacing w:val="-1"/>
        </w:rPr>
        <w:t>th</w:t>
      </w:r>
      <w:r w:rsidRPr="00EB1AAB">
        <w:rPr>
          <w:spacing w:val="1"/>
        </w:rPr>
        <w:t>r</w:t>
      </w:r>
      <w:r w:rsidRPr="00EB1AAB">
        <w:rPr>
          <w:spacing w:val="-1"/>
        </w:rPr>
        <w:t>o</w:t>
      </w:r>
      <w:r w:rsidRPr="00EB1AAB">
        <w:rPr>
          <w:spacing w:val="1"/>
        </w:rPr>
        <w:t>u</w:t>
      </w:r>
      <w:r w:rsidRPr="00EB1AAB">
        <w:rPr>
          <w:spacing w:val="-1"/>
        </w:rPr>
        <w:t>g</w:t>
      </w:r>
      <w:r w:rsidRPr="00EB1AAB">
        <w:t>h</w:t>
      </w:r>
      <w:r w:rsidRPr="00EB1AAB">
        <w:rPr>
          <w:spacing w:val="13"/>
        </w:rPr>
        <w:t xml:space="preserve"> </w:t>
      </w:r>
      <w:r w:rsidRPr="00EB1AAB">
        <w:rPr>
          <w:spacing w:val="-2"/>
        </w:rPr>
        <w:t>O</w:t>
      </w:r>
      <w:r w:rsidRPr="00EB1AAB">
        <w:rPr>
          <w:spacing w:val="2"/>
        </w:rPr>
        <w:t>t</w:t>
      </w:r>
      <w:r w:rsidRPr="00EB1AAB">
        <w:rPr>
          <w:spacing w:val="-1"/>
        </w:rPr>
        <w:t>h</w:t>
      </w:r>
      <w:r w:rsidRPr="00EB1AAB">
        <w:t>er</w:t>
      </w:r>
      <w:r w:rsidRPr="00EB1AAB">
        <w:rPr>
          <w:spacing w:val="7"/>
        </w:rPr>
        <w:t xml:space="preserve"> </w:t>
      </w:r>
      <w:r w:rsidRPr="00EB1AAB">
        <w:t>C</w:t>
      </w:r>
      <w:r w:rsidRPr="00EB1AAB">
        <w:rPr>
          <w:spacing w:val="2"/>
        </w:rPr>
        <w:t>o</w:t>
      </w:r>
      <w:r w:rsidRPr="00EB1AAB">
        <w:rPr>
          <w:spacing w:val="-1"/>
        </w:rPr>
        <w:t>mp</w:t>
      </w:r>
      <w:r w:rsidRPr="00EB1AAB">
        <w:t>re</w:t>
      </w:r>
      <w:r w:rsidRPr="00EB1AAB">
        <w:rPr>
          <w:spacing w:val="1"/>
        </w:rPr>
        <w:t>h</w:t>
      </w:r>
      <w:r w:rsidRPr="00EB1AAB">
        <w:t>e</w:t>
      </w:r>
      <w:r w:rsidRPr="00EB1AAB">
        <w:rPr>
          <w:spacing w:val="1"/>
        </w:rPr>
        <w:t>n</w:t>
      </w:r>
      <w:r w:rsidRPr="00EB1AAB">
        <w:t>s</w:t>
      </w:r>
      <w:r w:rsidRPr="00EB1AAB">
        <w:rPr>
          <w:spacing w:val="2"/>
        </w:rPr>
        <w:t>i</w:t>
      </w:r>
      <w:r w:rsidRPr="00EB1AAB">
        <w:rPr>
          <w:spacing w:val="-5"/>
        </w:rPr>
        <w:t>v</w:t>
      </w:r>
      <w:r w:rsidRPr="00EB1AAB">
        <w:t>e</w:t>
      </w:r>
      <w:r w:rsidRPr="00EB1AAB">
        <w:rPr>
          <w:spacing w:val="20"/>
        </w:rPr>
        <w:t xml:space="preserve"> </w:t>
      </w:r>
      <w:r w:rsidRPr="00EB1AAB">
        <w:t>I</w:t>
      </w:r>
      <w:r w:rsidRPr="00EB1AAB">
        <w:rPr>
          <w:spacing w:val="2"/>
        </w:rPr>
        <w:t>n</w:t>
      </w:r>
      <w:r w:rsidRPr="00EB1AAB">
        <w:rPr>
          <w:spacing w:val="-3"/>
        </w:rPr>
        <w:t>c</w:t>
      </w:r>
      <w:r w:rsidRPr="00EB1AAB">
        <w:rPr>
          <w:spacing w:val="4"/>
        </w:rPr>
        <w:t>o</w:t>
      </w:r>
      <w:r w:rsidRPr="00EB1AAB">
        <w:rPr>
          <w:spacing w:val="-3"/>
        </w:rPr>
        <w:t>m</w:t>
      </w:r>
      <w:r w:rsidRPr="00EB1AAB">
        <w:t>e</w:t>
      </w:r>
      <w:r w:rsidRPr="00EB1AAB">
        <w:rPr>
          <w:spacing w:val="9"/>
        </w:rPr>
        <w:t xml:space="preserve"> </w:t>
      </w:r>
      <w:r w:rsidRPr="00EB1AAB">
        <w:rPr>
          <w:spacing w:val="1"/>
        </w:rPr>
        <w:t>(F</w:t>
      </w:r>
      <w:r w:rsidRPr="00EB1AAB">
        <w:t>V</w:t>
      </w:r>
      <w:r w:rsidRPr="00EB1AAB">
        <w:rPr>
          <w:spacing w:val="-2"/>
        </w:rPr>
        <w:t>O</w:t>
      </w:r>
      <w:r w:rsidRPr="00EB1AAB">
        <w:rPr>
          <w:spacing w:val="-1"/>
        </w:rPr>
        <w:t>C</w:t>
      </w:r>
      <w:r w:rsidRPr="00EB1AAB">
        <w:t>I)</w:t>
      </w:r>
    </w:p>
    <w:p w14:paraId="0DEB4347" w14:textId="77777777" w:rsidR="00655E4C" w:rsidRPr="00EB1AAB" w:rsidRDefault="00655E4C" w:rsidP="00655E4C">
      <w:pPr>
        <w:ind w:right="-88"/>
        <w:rPr>
          <w:rFonts w:ascii="Arial" w:eastAsia="Arial" w:hAnsi="Arial" w:cs="Arial"/>
          <w:b/>
        </w:rPr>
      </w:pPr>
    </w:p>
    <w:p w14:paraId="1580AE46" w14:textId="0F8A5920" w:rsidR="00655E4C" w:rsidRPr="00EB1AAB" w:rsidRDefault="00655E4C" w:rsidP="00655E4C">
      <w:pPr>
        <w:spacing w:before="7"/>
        <w:ind w:right="-88"/>
        <w:rPr>
          <w:rFonts w:ascii="Arial" w:eastAsia="Arial" w:hAnsi="Arial" w:cs="Arial"/>
        </w:rPr>
      </w:pPr>
      <w:r w:rsidRPr="00EB1AAB">
        <w:rPr>
          <w:rFonts w:ascii="Arial" w:eastAsia="Arial" w:hAnsi="Arial" w:cs="Arial"/>
          <w:spacing w:val="-1"/>
        </w:rPr>
        <w:t>T</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spacing w:val="3"/>
        </w:rPr>
        <w:t>s</w:t>
      </w:r>
      <w:r w:rsidRPr="00EB1AAB">
        <w:rPr>
          <w:rFonts w:ascii="Arial" w:eastAsia="Arial" w:hAnsi="Arial" w:cs="Arial"/>
          <w:spacing w:val="-3"/>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1"/>
        </w:rPr>
        <w:t>l</w:t>
      </w:r>
      <w:r w:rsidRPr="00EB1AAB">
        <w:rPr>
          <w:rFonts w:ascii="Arial" w:eastAsia="Arial" w:hAnsi="Arial" w:cs="Arial"/>
        </w:rPr>
        <w:t>a</w:t>
      </w:r>
      <w:r w:rsidRPr="00EB1AAB">
        <w:rPr>
          <w:rFonts w:ascii="Arial" w:eastAsia="Arial" w:hAnsi="Arial" w:cs="Arial"/>
          <w:spacing w:val="2"/>
        </w:rPr>
        <w:t>t</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to</w:t>
      </w:r>
      <w:r w:rsidRPr="00EB1AAB">
        <w:rPr>
          <w:rFonts w:ascii="Arial" w:eastAsia="Arial" w:hAnsi="Arial" w:cs="Arial"/>
          <w:spacing w:val="6"/>
        </w:rPr>
        <w:t xml:space="preserve"> </w:t>
      </w:r>
      <w:r w:rsidRPr="00EB1AAB">
        <w:rPr>
          <w:rFonts w:ascii="Arial" w:eastAsia="Arial" w:hAnsi="Arial" w:cs="Arial"/>
        </w:rPr>
        <w:t>f</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2"/>
        </w:rPr>
        <w:t xml:space="preserve"> </w:t>
      </w:r>
      <w:r w:rsidRPr="00EB1AAB">
        <w:rPr>
          <w:rFonts w:ascii="Arial" w:eastAsia="Arial" w:hAnsi="Arial" w:cs="Arial"/>
          <w:spacing w:val="1"/>
        </w:rPr>
        <w:t>i</w:t>
      </w:r>
      <w:r w:rsidRPr="00EB1AAB">
        <w:rPr>
          <w:rFonts w:ascii="Arial" w:eastAsia="Arial" w:hAnsi="Arial" w:cs="Arial"/>
          <w:spacing w:val="-3"/>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u</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rPr>
        <w:t>n</w:t>
      </w:r>
      <w:r w:rsidRPr="00EB1AAB">
        <w:rPr>
          <w:rFonts w:ascii="Arial" w:eastAsia="Arial" w:hAnsi="Arial" w:cs="Arial"/>
          <w:spacing w:val="-1"/>
        </w:rPr>
        <w:t>t</w:t>
      </w:r>
      <w:r w:rsidRPr="00EB1AAB">
        <w:rPr>
          <w:rFonts w:ascii="Arial" w:eastAsia="Arial" w:hAnsi="Arial" w:cs="Arial"/>
        </w:rPr>
        <w:t>s</w:t>
      </w:r>
      <w:r w:rsidRPr="00EB1AAB">
        <w:rPr>
          <w:rFonts w:ascii="Arial" w:eastAsia="Arial" w:hAnsi="Arial" w:cs="Arial"/>
          <w:spacing w:val="16"/>
        </w:rPr>
        <w:t xml:space="preserve"> </w:t>
      </w:r>
      <w:r w:rsidRPr="00EB1AAB">
        <w:rPr>
          <w:rFonts w:ascii="Arial" w:eastAsia="Arial" w:hAnsi="Arial" w:cs="Arial"/>
        </w:rPr>
        <w:t>wh</w:t>
      </w:r>
      <w:r w:rsidRPr="00EB1AAB">
        <w:rPr>
          <w:rFonts w:ascii="Arial" w:eastAsia="Arial" w:hAnsi="Arial" w:cs="Arial"/>
          <w:spacing w:val="-1"/>
        </w:rPr>
        <w:t>er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2"/>
        </w:rPr>
        <w:t>a</w:t>
      </w:r>
      <w:r w:rsidRPr="00EB1AAB">
        <w:rPr>
          <w:rFonts w:ascii="Arial" w:eastAsia="Arial" w:hAnsi="Arial" w:cs="Arial"/>
          <w:spacing w:val="2"/>
        </w:rPr>
        <w:t>m</w:t>
      </w:r>
      <w:r w:rsidRPr="00EB1AAB">
        <w:rPr>
          <w:rFonts w:ascii="Arial" w:eastAsia="Arial" w:hAnsi="Arial" w:cs="Arial"/>
        </w:rPr>
        <w:t>o</w:t>
      </w:r>
      <w:r w:rsidRPr="00EB1AAB">
        <w:rPr>
          <w:rFonts w:ascii="Arial" w:eastAsia="Arial" w:hAnsi="Arial" w:cs="Arial"/>
          <w:spacing w:val="2"/>
        </w:rPr>
        <w:t>u</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11"/>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3"/>
        </w:rPr>
        <w:t>c</w:t>
      </w:r>
      <w:r w:rsidRPr="00EB1AAB">
        <w:rPr>
          <w:rFonts w:ascii="Arial" w:eastAsia="Arial" w:hAnsi="Arial" w:cs="Arial"/>
          <w:spacing w:val="-3"/>
        </w:rPr>
        <w:t>e</w:t>
      </w:r>
      <w:r w:rsidRPr="00EB1AAB">
        <w:rPr>
          <w:rFonts w:ascii="Arial" w:eastAsia="Arial" w:hAnsi="Arial" w:cs="Arial"/>
          <w:spacing w:val="4"/>
        </w:rPr>
        <w:t>i</w:t>
      </w:r>
      <w:r w:rsidRPr="00EB1AAB">
        <w:rPr>
          <w:rFonts w:ascii="Arial" w:eastAsia="Arial" w:hAnsi="Arial" w:cs="Arial"/>
          <w:spacing w:val="-1"/>
        </w:rPr>
        <w:t>v</w:t>
      </w:r>
      <w:r w:rsidRPr="00EB1AAB">
        <w:rPr>
          <w:rFonts w:ascii="Arial" w:eastAsia="Arial" w:hAnsi="Arial" w:cs="Arial"/>
        </w:rPr>
        <w:t>ed</w:t>
      </w:r>
      <w:r w:rsidRPr="00EB1AAB">
        <w:rPr>
          <w:rFonts w:ascii="Arial" w:eastAsia="Arial" w:hAnsi="Arial" w:cs="Arial"/>
          <w:spacing w:val="10"/>
        </w:rPr>
        <w:t xml:space="preserve"> </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s</w:t>
      </w:r>
      <w:r w:rsidRPr="00EB1AAB">
        <w:rPr>
          <w:rFonts w:ascii="Arial" w:eastAsia="Arial" w:hAnsi="Arial" w:cs="Arial"/>
        </w:rPr>
        <w:t>o</w:t>
      </w:r>
      <w:r w:rsidRPr="00EB1AAB">
        <w:rPr>
          <w:rFonts w:ascii="Arial" w:eastAsia="Arial" w:hAnsi="Arial" w:cs="Arial"/>
          <w:spacing w:val="1"/>
        </w:rPr>
        <w:t>l</w:t>
      </w:r>
      <w:r w:rsidRPr="00EB1AAB">
        <w:rPr>
          <w:rFonts w:ascii="Arial" w:eastAsia="Arial" w:hAnsi="Arial" w:cs="Arial"/>
        </w:rPr>
        <w:t>e</w:t>
      </w:r>
      <w:r w:rsidRPr="00EB1AAB">
        <w:rPr>
          <w:rFonts w:ascii="Arial" w:eastAsia="Arial" w:hAnsi="Arial" w:cs="Arial"/>
          <w:spacing w:val="3"/>
        </w:rPr>
        <w:t>l</w:t>
      </w:r>
      <w:r w:rsidRPr="00EB1AAB">
        <w:rPr>
          <w:rFonts w:ascii="Arial" w:eastAsia="Arial" w:hAnsi="Arial" w:cs="Arial"/>
        </w:rPr>
        <w:t>y</w:t>
      </w:r>
      <w:r w:rsidRPr="00EB1AAB">
        <w:rPr>
          <w:rFonts w:ascii="Arial" w:eastAsia="Arial" w:hAnsi="Arial" w:cs="Arial"/>
          <w:spacing w:val="6"/>
        </w:rPr>
        <w:t xml:space="preserve"> </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4"/>
        </w:rPr>
        <w:t>i</w:t>
      </w:r>
      <w:r w:rsidRPr="00EB1AAB">
        <w:rPr>
          <w:rFonts w:ascii="Arial" w:eastAsia="Arial" w:hAnsi="Arial" w:cs="Arial"/>
        </w:rPr>
        <w:t>pal</w:t>
      </w:r>
      <w:r w:rsidRPr="00EB1AAB">
        <w:rPr>
          <w:rFonts w:ascii="Arial" w:eastAsia="Arial" w:hAnsi="Arial" w:cs="Arial"/>
          <w:spacing w:val="13"/>
        </w:rPr>
        <w:t xml:space="preserve"> </w:t>
      </w:r>
      <w:r w:rsidRPr="00EB1AAB">
        <w:rPr>
          <w:rFonts w:ascii="Arial" w:eastAsia="Arial" w:hAnsi="Arial" w:cs="Arial"/>
          <w:spacing w:val="-3"/>
        </w:rPr>
        <w:t>a</w:t>
      </w:r>
      <w:r w:rsidRPr="00EB1AAB">
        <w:rPr>
          <w:rFonts w:ascii="Arial" w:eastAsia="Arial" w:hAnsi="Arial" w:cs="Arial"/>
        </w:rPr>
        <w:t>nd</w:t>
      </w:r>
      <w:r w:rsidRPr="00EB1AAB">
        <w:rPr>
          <w:rFonts w:ascii="Arial" w:eastAsia="Arial" w:hAnsi="Arial" w:cs="Arial"/>
          <w:spacing w:val="2"/>
        </w:rPr>
        <w:t xml:space="preserve"> </w:t>
      </w:r>
      <w:r w:rsidR="00203B09" w:rsidRPr="00EB1AAB">
        <w:rPr>
          <w:rFonts w:ascii="Arial" w:eastAsia="Arial" w:hAnsi="Arial" w:cs="Arial"/>
          <w:spacing w:val="4"/>
        </w:rPr>
        <w:t>i</w:t>
      </w:r>
      <w:r w:rsidR="00203B09" w:rsidRPr="00EB1AAB">
        <w:rPr>
          <w:rFonts w:ascii="Arial" w:eastAsia="Arial" w:hAnsi="Arial" w:cs="Arial"/>
          <w:spacing w:val="-3"/>
        </w:rPr>
        <w:t>n</w:t>
      </w:r>
      <w:r w:rsidR="00203B09" w:rsidRPr="00EB1AAB">
        <w:rPr>
          <w:rFonts w:ascii="Arial" w:eastAsia="Arial" w:hAnsi="Arial" w:cs="Arial"/>
          <w:spacing w:val="5"/>
        </w:rPr>
        <w:t>t</w:t>
      </w:r>
      <w:r w:rsidR="00203B09" w:rsidRPr="00EB1AAB">
        <w:rPr>
          <w:rFonts w:ascii="Arial" w:eastAsia="Arial" w:hAnsi="Arial" w:cs="Arial"/>
          <w:spacing w:val="-3"/>
        </w:rPr>
        <w:t>e</w:t>
      </w:r>
      <w:r w:rsidR="00203B09" w:rsidRPr="00EB1AAB">
        <w:rPr>
          <w:rFonts w:ascii="Arial" w:eastAsia="Arial" w:hAnsi="Arial" w:cs="Arial"/>
          <w:spacing w:val="-1"/>
        </w:rPr>
        <w:t>r</w:t>
      </w:r>
      <w:r w:rsidR="00203B09" w:rsidRPr="00EB1AAB">
        <w:rPr>
          <w:rFonts w:ascii="Arial" w:eastAsia="Arial" w:hAnsi="Arial" w:cs="Arial"/>
        </w:rPr>
        <w:t>e</w:t>
      </w:r>
      <w:r w:rsidR="00203B09" w:rsidRPr="00EB1AAB">
        <w:rPr>
          <w:rFonts w:ascii="Arial" w:eastAsia="Arial" w:hAnsi="Arial" w:cs="Arial"/>
          <w:spacing w:val="-1"/>
        </w:rPr>
        <w:t>s</w:t>
      </w:r>
      <w:r w:rsidR="00203B09"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spacing w:val="-3"/>
        </w:rPr>
        <w:t>b</w:t>
      </w:r>
      <w:r w:rsidRPr="00EB1AAB">
        <w:rPr>
          <w:rFonts w:ascii="Arial" w:eastAsia="Arial" w:hAnsi="Arial" w:cs="Arial"/>
        </w:rPr>
        <w:t>ut</w:t>
      </w:r>
      <w:r w:rsidRPr="00EB1AAB">
        <w:rPr>
          <w:rFonts w:ascii="Arial" w:eastAsia="Arial" w:hAnsi="Arial" w:cs="Arial"/>
          <w:spacing w:val="4"/>
        </w:rPr>
        <w:t xml:space="preserve"> </w:t>
      </w:r>
      <w:r w:rsidRPr="00EB1AAB">
        <w:rPr>
          <w:rFonts w:ascii="Arial" w:eastAsia="Arial" w:hAnsi="Arial" w:cs="Arial"/>
          <w:spacing w:val="2"/>
        </w:rPr>
        <w:t>t</w:t>
      </w:r>
      <w:r w:rsidRPr="00EB1AAB">
        <w:rPr>
          <w:rFonts w:ascii="Arial" w:eastAsia="Arial" w:hAnsi="Arial" w:cs="Arial"/>
        </w:rPr>
        <w:t>h</w:t>
      </w:r>
      <w:r w:rsidRPr="00EB1AAB">
        <w:rPr>
          <w:rFonts w:ascii="Arial" w:eastAsia="Arial" w:hAnsi="Arial" w:cs="Arial"/>
          <w:spacing w:val="2"/>
        </w:rPr>
        <w:t>e</w:t>
      </w:r>
      <w:r w:rsidRPr="00EB1AAB">
        <w:rPr>
          <w:rFonts w:ascii="Arial" w:eastAsia="Arial" w:hAnsi="Arial" w:cs="Arial"/>
        </w:rPr>
        <w:t>y</w:t>
      </w:r>
      <w:r w:rsidRPr="00EB1AAB">
        <w:rPr>
          <w:rFonts w:ascii="Arial" w:eastAsia="Arial" w:hAnsi="Arial" w:cs="Arial"/>
          <w:spacing w:val="6"/>
        </w:rPr>
        <w:t xml:space="preserve"> </w:t>
      </w:r>
      <w:r w:rsidRPr="00EB1AAB">
        <w:rPr>
          <w:rFonts w:ascii="Arial" w:eastAsia="Arial" w:hAnsi="Arial" w:cs="Arial"/>
          <w:spacing w:val="-3"/>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2"/>
        </w:rPr>
        <w:t>t</w:t>
      </w:r>
      <w:r w:rsidRPr="00EB1AAB">
        <w:rPr>
          <w:rFonts w:ascii="Arial" w:eastAsia="Arial" w:hAnsi="Arial" w:cs="Arial"/>
        </w:rPr>
        <w:t xml:space="preserve">o </w:t>
      </w:r>
      <w:r w:rsidRPr="00EB1AAB">
        <w:rPr>
          <w:rFonts w:ascii="Arial" w:eastAsia="Arial" w:hAnsi="Arial" w:cs="Arial"/>
          <w:spacing w:val="3"/>
        </w:rPr>
        <w:t>c</w:t>
      </w:r>
      <w:r w:rsidRPr="00EB1AAB">
        <w:rPr>
          <w:rFonts w:ascii="Arial" w:eastAsia="Arial" w:hAnsi="Arial" w:cs="Arial"/>
        </w:rPr>
        <w:t>o</w:t>
      </w:r>
      <w:r w:rsidRPr="00EB1AAB">
        <w:rPr>
          <w:rFonts w:ascii="Arial" w:eastAsia="Arial" w:hAnsi="Arial" w:cs="Arial"/>
          <w:spacing w:val="1"/>
        </w:rPr>
        <w:t>ll</w:t>
      </w:r>
      <w:r w:rsidRPr="00EB1AAB">
        <w:rPr>
          <w:rFonts w:ascii="Arial" w:eastAsia="Arial" w:hAnsi="Arial" w:cs="Arial"/>
        </w:rPr>
        <w:t>e</w:t>
      </w:r>
      <w:r w:rsidRPr="00EB1AAB">
        <w:rPr>
          <w:rFonts w:ascii="Arial" w:eastAsia="Arial" w:hAnsi="Arial" w:cs="Arial"/>
          <w:spacing w:val="-2"/>
        </w:rPr>
        <w:t>c</w:t>
      </w:r>
      <w:r w:rsidRPr="00EB1AAB">
        <w:rPr>
          <w:rFonts w:ascii="Arial" w:eastAsia="Arial" w:hAnsi="Arial" w:cs="Arial"/>
        </w:rPr>
        <w:t>t</w:t>
      </w:r>
      <w:r w:rsidRPr="00EB1AAB">
        <w:rPr>
          <w:rFonts w:ascii="Arial" w:eastAsia="Arial" w:hAnsi="Arial" w:cs="Arial"/>
          <w:spacing w:val="10"/>
        </w:rPr>
        <w:t xml:space="preserve"> </w:t>
      </w:r>
      <w:r w:rsidRPr="00EB1AAB">
        <w:rPr>
          <w:rFonts w:ascii="Arial" w:eastAsia="Arial" w:hAnsi="Arial" w:cs="Arial"/>
          <w:spacing w:val="1"/>
        </w:rPr>
        <w:t>c</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rPr>
        <w:t>h</w:t>
      </w:r>
      <w:r w:rsidRPr="00EB1AAB">
        <w:rPr>
          <w:rFonts w:ascii="Arial" w:eastAsia="Arial" w:hAnsi="Arial" w:cs="Arial"/>
          <w:spacing w:val="6"/>
        </w:rPr>
        <w:t xml:space="preserve"> </w:t>
      </w:r>
      <w:r w:rsidRPr="00EB1AAB">
        <w:rPr>
          <w:rFonts w:ascii="Arial" w:eastAsia="Arial" w:hAnsi="Arial" w:cs="Arial"/>
        </w:rPr>
        <w:t>and have the ability</w:t>
      </w:r>
      <w:r w:rsidRPr="00EB1AAB">
        <w:rPr>
          <w:rFonts w:ascii="Arial" w:eastAsia="Arial" w:hAnsi="Arial" w:cs="Arial"/>
          <w:spacing w:val="2"/>
        </w:rPr>
        <w:t xml:space="preserve"> </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1"/>
        </w:rPr>
        <w:t>l</w:t>
      </w:r>
      <w:r w:rsidRPr="00EB1AAB">
        <w:rPr>
          <w:rFonts w:ascii="Arial" w:eastAsia="Arial" w:hAnsi="Arial" w:cs="Arial"/>
        </w:rPr>
        <w:t>l</w:t>
      </w:r>
      <w:r w:rsidRPr="00EB1AAB">
        <w:rPr>
          <w:rFonts w:ascii="Arial" w:eastAsia="Arial" w:hAnsi="Arial" w:cs="Arial"/>
          <w:spacing w:val="7"/>
        </w:rPr>
        <w:t xml:space="preserve"> </w:t>
      </w:r>
      <w:r w:rsidRPr="00EB1AAB">
        <w:rPr>
          <w:rFonts w:ascii="Arial" w:eastAsia="Arial" w:hAnsi="Arial" w:cs="Arial"/>
          <w:w w:val="101"/>
        </w:rPr>
        <w:t>t</w:t>
      </w:r>
      <w:r w:rsidRPr="00EB1AAB">
        <w:rPr>
          <w:rFonts w:ascii="Arial" w:eastAsia="Arial" w:hAnsi="Arial" w:cs="Arial"/>
          <w:spacing w:val="-3"/>
          <w:w w:val="101"/>
        </w:rPr>
        <w:t>h</w:t>
      </w:r>
      <w:r w:rsidRPr="00EB1AAB">
        <w:rPr>
          <w:rFonts w:ascii="Arial" w:eastAsia="Arial" w:hAnsi="Arial" w:cs="Arial"/>
          <w:w w:val="101"/>
        </w:rPr>
        <w:t xml:space="preserve">e </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spacing w:val="-3"/>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9"/>
        </w:rPr>
        <w:t xml:space="preserve"> </w:t>
      </w:r>
      <w:r w:rsidRPr="00EB1AAB">
        <w:rPr>
          <w:rFonts w:ascii="Arial" w:eastAsia="Arial" w:hAnsi="Arial" w:cs="Arial"/>
          <w:spacing w:val="2"/>
        </w:rPr>
        <w:t>(</w:t>
      </w:r>
      <w:r w:rsidRPr="00EB1AAB">
        <w:rPr>
          <w:rFonts w:ascii="Arial" w:eastAsia="Arial" w:hAnsi="Arial" w:cs="Arial"/>
          <w:spacing w:val="-3"/>
        </w:rPr>
        <w:t>e</w:t>
      </w:r>
      <w:r w:rsidRPr="00EB1AAB">
        <w:rPr>
          <w:rFonts w:ascii="Arial" w:eastAsia="Arial" w:hAnsi="Arial" w:cs="Arial"/>
        </w:rPr>
        <w:t>.g.</w:t>
      </w:r>
      <w:r w:rsidRPr="00EB1AAB">
        <w:rPr>
          <w:rFonts w:ascii="Arial" w:eastAsia="Arial" w:hAnsi="Arial" w:cs="Arial"/>
          <w:spacing w:val="8"/>
        </w:rPr>
        <w:t xml:space="preserve"> </w:t>
      </w:r>
      <w:r w:rsidRPr="00EB1AAB">
        <w:rPr>
          <w:rFonts w:ascii="Arial" w:eastAsia="Arial" w:hAnsi="Arial" w:cs="Arial"/>
        </w:rPr>
        <w:t>mon</w:t>
      </w:r>
      <w:r w:rsidRPr="00EB1AAB">
        <w:rPr>
          <w:rFonts w:ascii="Arial" w:eastAsia="Arial" w:hAnsi="Arial" w:cs="Arial"/>
          <w:spacing w:val="2"/>
        </w:rPr>
        <w:t>e</w:t>
      </w:r>
      <w:r w:rsidRPr="00EB1AAB">
        <w:rPr>
          <w:rFonts w:ascii="Arial" w:eastAsia="Arial" w:hAnsi="Arial" w:cs="Arial"/>
        </w:rPr>
        <w:t>y</w:t>
      </w:r>
      <w:r w:rsidRPr="00EB1AAB">
        <w:rPr>
          <w:rFonts w:ascii="Arial" w:eastAsia="Arial" w:hAnsi="Arial" w:cs="Arial"/>
          <w:spacing w:val="7"/>
        </w:rPr>
        <w:t xml:space="preserve"> </w:t>
      </w:r>
      <w:r w:rsidRPr="00EB1AAB">
        <w:rPr>
          <w:rFonts w:ascii="Arial" w:eastAsia="Arial" w:hAnsi="Arial" w:cs="Arial"/>
          <w:spacing w:val="2"/>
        </w:rPr>
        <w:t>m</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spacing w:val="1"/>
        </w:rPr>
        <w:t>k</w:t>
      </w:r>
      <w:r w:rsidRPr="00EB1AAB">
        <w:rPr>
          <w:rFonts w:ascii="Arial" w:eastAsia="Arial" w:hAnsi="Arial" w:cs="Arial"/>
          <w:spacing w:val="-3"/>
        </w:rPr>
        <w:t>e</w:t>
      </w:r>
      <w:r w:rsidRPr="00EB1AAB">
        <w:rPr>
          <w:rFonts w:ascii="Arial" w:eastAsia="Arial" w:hAnsi="Arial" w:cs="Arial"/>
        </w:rPr>
        <w:t>t</w:t>
      </w:r>
      <w:r w:rsidRPr="00EB1AAB">
        <w:rPr>
          <w:rFonts w:ascii="Arial" w:eastAsia="Arial" w:hAnsi="Arial" w:cs="Arial"/>
          <w:spacing w:val="11"/>
        </w:rPr>
        <w:t xml:space="preserve"> </w:t>
      </w:r>
      <w:r w:rsidRPr="00EB1AAB">
        <w:rPr>
          <w:rFonts w:ascii="Arial" w:eastAsia="Arial" w:hAnsi="Arial" w:cs="Arial"/>
          <w:spacing w:val="2"/>
          <w:w w:val="101"/>
        </w:rPr>
        <w:t>f</w:t>
      </w:r>
      <w:r w:rsidRPr="00EB1AAB">
        <w:rPr>
          <w:rFonts w:ascii="Arial" w:eastAsia="Arial" w:hAnsi="Arial" w:cs="Arial"/>
          <w:w w:val="101"/>
        </w:rPr>
        <w:t>u</w:t>
      </w:r>
      <w:r w:rsidRPr="00EB1AAB">
        <w:rPr>
          <w:rFonts w:ascii="Arial" w:eastAsia="Arial" w:hAnsi="Arial" w:cs="Arial"/>
          <w:spacing w:val="-3"/>
          <w:w w:val="101"/>
        </w:rPr>
        <w:t>n</w:t>
      </w:r>
      <w:r w:rsidRPr="00EB1AAB">
        <w:rPr>
          <w:rFonts w:ascii="Arial" w:eastAsia="Arial" w:hAnsi="Arial" w:cs="Arial"/>
          <w:w w:val="101"/>
        </w:rPr>
        <w:t>d</w:t>
      </w:r>
      <w:r w:rsidRPr="00EB1AAB">
        <w:rPr>
          <w:rFonts w:ascii="Arial" w:eastAsia="Arial" w:hAnsi="Arial" w:cs="Arial"/>
          <w:spacing w:val="-2"/>
          <w:w w:val="101"/>
        </w:rPr>
        <w:t>s</w:t>
      </w:r>
      <w:r w:rsidRPr="00EB1AAB">
        <w:rPr>
          <w:rFonts w:ascii="Arial" w:eastAsia="Arial" w:hAnsi="Arial" w:cs="Arial"/>
          <w:spacing w:val="-1"/>
          <w:w w:val="101"/>
        </w:rPr>
        <w:t>)</w:t>
      </w:r>
      <w:r w:rsidRPr="00EB1AAB">
        <w:rPr>
          <w:rFonts w:ascii="Arial" w:eastAsia="Arial" w:hAnsi="Arial" w:cs="Arial"/>
          <w:w w:val="101"/>
        </w:rPr>
        <w:t>.</w:t>
      </w:r>
    </w:p>
    <w:p w14:paraId="04AA5EBE" w14:textId="77777777" w:rsidR="00655E4C" w:rsidRPr="00EB1AAB" w:rsidRDefault="00655E4C" w:rsidP="00655E4C">
      <w:pPr>
        <w:spacing w:before="9"/>
        <w:ind w:right="-88"/>
        <w:rPr>
          <w:rFonts w:ascii="Arial" w:hAnsi="Arial" w:cs="Arial"/>
        </w:rPr>
      </w:pPr>
    </w:p>
    <w:p w14:paraId="1701520D" w14:textId="77777777" w:rsidR="00655E4C" w:rsidRPr="00EB1AAB" w:rsidRDefault="00655E4C" w:rsidP="00655E4C">
      <w:pPr>
        <w:ind w:right="-88"/>
        <w:rPr>
          <w:rFonts w:ascii="Arial" w:eastAsia="Arial" w:hAnsi="Arial" w:cs="Arial"/>
          <w:w w:val="101"/>
        </w:rPr>
      </w:pPr>
      <w:r w:rsidRPr="00EB1AAB">
        <w:rPr>
          <w:rFonts w:ascii="Arial" w:eastAsia="Arial" w:hAnsi="Arial" w:cs="Arial"/>
          <w:spacing w:val="-1"/>
        </w:rPr>
        <w:t>T</w:t>
      </w:r>
      <w:r w:rsidRPr="00EB1AAB">
        <w:rPr>
          <w:rFonts w:ascii="Arial" w:eastAsia="Arial" w:hAnsi="Arial" w:cs="Arial"/>
        </w:rPr>
        <w:t>he</w:t>
      </w:r>
      <w:r w:rsidRPr="00EB1AAB">
        <w:rPr>
          <w:rFonts w:ascii="Arial" w:eastAsia="Arial" w:hAnsi="Arial" w:cs="Arial"/>
          <w:spacing w:val="4"/>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t</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1"/>
        </w:rPr>
        <w:t>c</w:t>
      </w:r>
      <w:r w:rsidRPr="00EB1AAB">
        <w:rPr>
          <w:rFonts w:ascii="Arial" w:eastAsia="Arial" w:hAnsi="Arial" w:cs="Arial"/>
          <w:spacing w:val="-3"/>
        </w:rPr>
        <w:t>e</w:t>
      </w:r>
      <w:r w:rsidRPr="00EB1AAB">
        <w:rPr>
          <w:rFonts w:ascii="Arial" w:eastAsia="Arial" w:hAnsi="Arial" w:cs="Arial"/>
          <w:spacing w:val="1"/>
        </w:rPr>
        <w:t>iv</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8"/>
        </w:rPr>
        <w:t xml:space="preserve"> </w:t>
      </w:r>
      <w:r w:rsidRPr="00EB1AAB">
        <w:rPr>
          <w:rFonts w:ascii="Arial" w:eastAsia="Arial" w:hAnsi="Arial" w:cs="Arial"/>
          <w:spacing w:val="2"/>
        </w:rPr>
        <w:t>o</w:t>
      </w:r>
      <w:r w:rsidRPr="00EB1AAB">
        <w:rPr>
          <w:rFonts w:ascii="Arial" w:eastAsia="Arial" w:hAnsi="Arial" w:cs="Arial"/>
        </w:rPr>
        <w:t>n</w:t>
      </w:r>
      <w:r w:rsidRPr="00EB1AAB">
        <w:rPr>
          <w:rFonts w:ascii="Arial" w:eastAsia="Arial" w:hAnsi="Arial" w:cs="Arial"/>
          <w:spacing w:val="4"/>
        </w:rPr>
        <w:t xml:space="preserve"> </w:t>
      </w:r>
      <w:r w:rsidRPr="00EB1AAB">
        <w:rPr>
          <w:rFonts w:ascii="Arial" w:eastAsia="Arial" w:hAnsi="Arial" w:cs="Arial"/>
        </w:rPr>
        <w:t>t</w:t>
      </w:r>
      <w:r w:rsidRPr="00EB1AAB">
        <w:rPr>
          <w:rFonts w:ascii="Arial" w:eastAsia="Arial" w:hAnsi="Arial" w:cs="Arial"/>
          <w:spacing w:val="-3"/>
        </w:rPr>
        <w:t>h</w:t>
      </w:r>
      <w:r w:rsidRPr="00EB1AAB">
        <w:rPr>
          <w:rFonts w:ascii="Arial" w:eastAsia="Arial" w:hAnsi="Arial" w:cs="Arial"/>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1"/>
        </w:rPr>
        <w:t>ss</w:t>
      </w:r>
      <w:r w:rsidRPr="00EB1AAB">
        <w:rPr>
          <w:rFonts w:ascii="Arial" w:eastAsia="Arial" w:hAnsi="Arial" w:cs="Arial"/>
        </w:rPr>
        <w:t>ets</w:t>
      </w:r>
      <w:r w:rsidRPr="00EB1AAB">
        <w:rPr>
          <w:rFonts w:ascii="Arial" w:eastAsia="Arial" w:hAnsi="Arial" w:cs="Arial"/>
          <w:spacing w:val="9"/>
        </w:rPr>
        <w:t xml:space="preserve"> </w:t>
      </w:r>
      <w:r w:rsidRPr="00EB1AAB">
        <w:rPr>
          <w:rFonts w:ascii="Arial" w:eastAsia="Arial" w:hAnsi="Arial" w:cs="Arial"/>
          <w:spacing w:val="1"/>
        </w:rPr>
        <w:t>i</w:t>
      </w:r>
      <w:r w:rsidRPr="00EB1AAB">
        <w:rPr>
          <w:rFonts w:ascii="Arial" w:eastAsia="Arial" w:hAnsi="Arial" w:cs="Arial"/>
        </w:rPr>
        <w:t>s measured using the Effective Interest Rate model</w:t>
      </w:r>
      <w:r w:rsidRPr="00EB1AAB">
        <w:rPr>
          <w:rFonts w:ascii="Arial" w:eastAsia="Arial" w:hAnsi="Arial" w:cs="Arial"/>
          <w:w w:val="101"/>
        </w:rPr>
        <w:t>.</w:t>
      </w:r>
    </w:p>
    <w:p w14:paraId="28B58AF3" w14:textId="77777777" w:rsidR="00655E4C" w:rsidRPr="00EB1AAB" w:rsidRDefault="00655E4C" w:rsidP="00655E4C">
      <w:pPr>
        <w:spacing w:before="9"/>
        <w:rPr>
          <w:rFonts w:ascii="Arial" w:hAnsi="Arial" w:cs="Arial"/>
        </w:rPr>
      </w:pPr>
    </w:p>
    <w:p w14:paraId="57A05807" w14:textId="77777777" w:rsidR="00655E4C" w:rsidRPr="00EB1AAB" w:rsidRDefault="00655E4C" w:rsidP="00655E4C">
      <w:pPr>
        <w:ind w:right="100"/>
        <w:rPr>
          <w:rFonts w:ascii="Arial" w:eastAsia="Arial" w:hAnsi="Arial" w:cs="Arial"/>
        </w:rPr>
      </w:pPr>
      <w:r w:rsidRPr="00EB1AAB">
        <w:rPr>
          <w:rFonts w:ascii="Arial" w:eastAsia="Arial" w:hAnsi="Arial" w:cs="Arial"/>
        </w:rPr>
        <w:t xml:space="preserve">All gains and losses due to changes in the fair value of these assets are accounted for through an unusable reserve (the Financial Instruments Revaluation Reserve) and charged to </w:t>
      </w:r>
      <w:r w:rsidRPr="00EB1AAB">
        <w:rPr>
          <w:rFonts w:ascii="Arial" w:eastAsia="Arial" w:hAnsi="Arial" w:cs="Arial"/>
          <w:spacing w:val="-2"/>
        </w:rPr>
        <w:t>O</w:t>
      </w:r>
      <w:r w:rsidRPr="00EB1AAB">
        <w:rPr>
          <w:rFonts w:ascii="Arial" w:eastAsia="Arial" w:hAnsi="Arial" w:cs="Arial"/>
          <w:spacing w:val="2"/>
        </w:rPr>
        <w:t>t</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rPr>
        <w:t>r</w:t>
      </w:r>
      <w:r w:rsidRPr="00EB1AAB">
        <w:rPr>
          <w:rFonts w:ascii="Arial" w:eastAsia="Arial" w:hAnsi="Arial" w:cs="Arial"/>
          <w:spacing w:val="11"/>
        </w:rPr>
        <w:t xml:space="preserve"> </w:t>
      </w:r>
      <w:r w:rsidRPr="00EB1AAB">
        <w:rPr>
          <w:rFonts w:ascii="Arial" w:eastAsia="Arial" w:hAnsi="Arial" w:cs="Arial"/>
        </w:rPr>
        <w:t>C</w:t>
      </w:r>
      <w:r w:rsidRPr="00EB1AAB">
        <w:rPr>
          <w:rFonts w:ascii="Arial" w:eastAsia="Arial" w:hAnsi="Arial" w:cs="Arial"/>
          <w:spacing w:val="-3"/>
        </w:rPr>
        <w:t>o</w:t>
      </w:r>
      <w:r w:rsidRPr="00EB1AAB">
        <w:rPr>
          <w:rFonts w:ascii="Arial" w:eastAsia="Arial" w:hAnsi="Arial" w:cs="Arial"/>
          <w:spacing w:val="2"/>
        </w:rPr>
        <w:t>m</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2"/>
        </w:rPr>
        <w:t>h</w:t>
      </w:r>
      <w:r w:rsidRPr="00EB1AAB">
        <w:rPr>
          <w:rFonts w:ascii="Arial" w:eastAsia="Arial" w:hAnsi="Arial" w:cs="Arial"/>
          <w:spacing w:val="-2"/>
        </w:rPr>
        <w:t>e</w:t>
      </w:r>
      <w:r w:rsidRPr="00EB1AAB">
        <w:rPr>
          <w:rFonts w:ascii="Arial" w:eastAsia="Arial" w:hAnsi="Arial" w:cs="Arial"/>
        </w:rPr>
        <w:t>n</w:t>
      </w:r>
      <w:r w:rsidRPr="00EB1AAB">
        <w:rPr>
          <w:rFonts w:ascii="Arial" w:eastAsia="Arial" w:hAnsi="Arial" w:cs="Arial"/>
          <w:spacing w:val="1"/>
        </w:rPr>
        <w:t>siv</w:t>
      </w:r>
      <w:r w:rsidRPr="00EB1AAB">
        <w:rPr>
          <w:rFonts w:ascii="Arial" w:eastAsia="Arial" w:hAnsi="Arial" w:cs="Arial"/>
        </w:rPr>
        <w:t>e</w:t>
      </w:r>
      <w:r w:rsidRPr="00EB1AAB">
        <w:rPr>
          <w:rFonts w:ascii="Arial" w:eastAsia="Arial" w:hAnsi="Arial" w:cs="Arial"/>
          <w:spacing w:val="14"/>
        </w:rPr>
        <w:t xml:space="preserve"> </w:t>
      </w:r>
      <w:r w:rsidRPr="00EB1AAB">
        <w:rPr>
          <w:rFonts w:ascii="Arial" w:eastAsia="Arial" w:hAnsi="Arial" w:cs="Arial"/>
          <w:spacing w:val="3"/>
          <w:w w:val="101"/>
        </w:rPr>
        <w:t>I</w:t>
      </w:r>
      <w:r w:rsidRPr="00EB1AAB">
        <w:rPr>
          <w:rFonts w:ascii="Arial" w:eastAsia="Arial" w:hAnsi="Arial" w:cs="Arial"/>
          <w:spacing w:val="-3"/>
          <w:w w:val="101"/>
        </w:rPr>
        <w:t>n</w:t>
      </w:r>
      <w:r w:rsidRPr="00EB1AAB">
        <w:rPr>
          <w:rFonts w:ascii="Arial" w:eastAsia="Arial" w:hAnsi="Arial" w:cs="Arial"/>
          <w:spacing w:val="3"/>
          <w:w w:val="101"/>
        </w:rPr>
        <w:t>c</w:t>
      </w:r>
      <w:r w:rsidRPr="00EB1AAB">
        <w:rPr>
          <w:rFonts w:ascii="Arial" w:eastAsia="Arial" w:hAnsi="Arial" w:cs="Arial"/>
          <w:spacing w:val="-3"/>
          <w:w w:val="101"/>
        </w:rPr>
        <w:t>o</w:t>
      </w:r>
      <w:r w:rsidRPr="00EB1AAB">
        <w:rPr>
          <w:rFonts w:ascii="Arial" w:eastAsia="Arial" w:hAnsi="Arial" w:cs="Arial"/>
          <w:spacing w:val="2"/>
          <w:w w:val="101"/>
        </w:rPr>
        <w:t>m</w:t>
      </w:r>
      <w:r w:rsidRPr="00EB1AAB">
        <w:rPr>
          <w:rFonts w:ascii="Arial" w:eastAsia="Arial" w:hAnsi="Arial" w:cs="Arial"/>
          <w:w w:val="101"/>
        </w:rPr>
        <w:t xml:space="preserve">e </w:t>
      </w:r>
      <w:r w:rsidRPr="00EB1AAB">
        <w:rPr>
          <w:rFonts w:ascii="Arial" w:eastAsia="Arial" w:hAnsi="Arial" w:cs="Arial"/>
        </w:rPr>
        <w:t>and</w:t>
      </w:r>
      <w:r w:rsidRPr="00EB1AAB">
        <w:rPr>
          <w:rFonts w:ascii="Arial" w:eastAsia="Arial" w:hAnsi="Arial" w:cs="Arial"/>
          <w:spacing w:val="5"/>
        </w:rPr>
        <w:t xml:space="preserve"> </w:t>
      </w:r>
      <w:r w:rsidRPr="00EB1AAB">
        <w:rPr>
          <w:rFonts w:ascii="Arial" w:eastAsia="Arial" w:hAnsi="Arial" w:cs="Arial"/>
        </w:rPr>
        <w:t>E</w:t>
      </w:r>
      <w:r w:rsidRPr="00EB1AAB">
        <w:rPr>
          <w:rFonts w:ascii="Arial" w:eastAsia="Arial" w:hAnsi="Arial" w:cs="Arial"/>
          <w:spacing w:val="1"/>
        </w:rPr>
        <w:t>x</w:t>
      </w:r>
      <w:r w:rsidRPr="00EB1AAB">
        <w:rPr>
          <w:rFonts w:ascii="Arial" w:eastAsia="Arial" w:hAnsi="Arial" w:cs="Arial"/>
        </w:rPr>
        <w:t>p</w:t>
      </w:r>
      <w:r w:rsidRPr="00EB1AAB">
        <w:rPr>
          <w:rFonts w:ascii="Arial" w:eastAsia="Arial" w:hAnsi="Arial" w:cs="Arial"/>
          <w:spacing w:val="-1"/>
        </w:rPr>
        <w:t>e</w:t>
      </w:r>
      <w:r w:rsidRPr="00EB1AAB">
        <w:rPr>
          <w:rFonts w:ascii="Arial" w:eastAsia="Arial" w:hAnsi="Arial" w:cs="Arial"/>
        </w:rPr>
        <w:t>n</w:t>
      </w:r>
      <w:r w:rsidRPr="00EB1AAB">
        <w:rPr>
          <w:rFonts w:ascii="Arial" w:eastAsia="Arial" w:hAnsi="Arial" w:cs="Arial"/>
          <w:spacing w:val="-1"/>
        </w:rPr>
        <w:t>d</w:t>
      </w:r>
      <w:r w:rsidRPr="00EB1AAB">
        <w:rPr>
          <w:rFonts w:ascii="Arial" w:eastAsia="Arial" w:hAnsi="Arial" w:cs="Arial"/>
          <w:spacing w:val="1"/>
        </w:rPr>
        <w:t>i</w:t>
      </w:r>
      <w:r w:rsidRPr="00EB1AAB">
        <w:rPr>
          <w:rFonts w:ascii="Arial" w:eastAsia="Arial" w:hAnsi="Arial" w:cs="Arial"/>
        </w:rPr>
        <w:t>tu</w:t>
      </w:r>
      <w:r w:rsidRPr="00EB1AAB">
        <w:rPr>
          <w:rFonts w:ascii="Arial" w:eastAsia="Arial" w:hAnsi="Arial" w:cs="Arial"/>
          <w:spacing w:val="-1"/>
        </w:rPr>
        <w:t>r</w:t>
      </w:r>
      <w:r w:rsidRPr="00EB1AAB">
        <w:rPr>
          <w:rFonts w:ascii="Arial" w:eastAsia="Arial" w:hAnsi="Arial" w:cs="Arial"/>
        </w:rPr>
        <w:t>e.</w:t>
      </w:r>
    </w:p>
    <w:p w14:paraId="3D5DF6E2" w14:textId="77777777" w:rsidR="00655E4C" w:rsidRPr="00EB1AAB" w:rsidRDefault="00655E4C" w:rsidP="00655E4C">
      <w:pPr>
        <w:ind w:right="100"/>
        <w:rPr>
          <w:rFonts w:ascii="Arial" w:eastAsia="Arial" w:hAnsi="Arial" w:cs="Arial"/>
        </w:rPr>
      </w:pPr>
    </w:p>
    <w:p w14:paraId="58D51CFC" w14:textId="77777777" w:rsidR="00655E4C" w:rsidRPr="00EB1AAB" w:rsidRDefault="00655E4C" w:rsidP="00655E4C">
      <w:pPr>
        <w:ind w:right="-88"/>
        <w:rPr>
          <w:rFonts w:ascii="Arial" w:eastAsia="Arial" w:hAnsi="Arial" w:cs="Arial"/>
        </w:rPr>
      </w:pPr>
      <w:r w:rsidRPr="00EB1AAB">
        <w:rPr>
          <w:rFonts w:ascii="Arial" w:eastAsia="Arial" w:hAnsi="Arial" w:cs="Arial"/>
        </w:rPr>
        <w:t>The cumulative gain or loss is debited or credited to the su</w:t>
      </w:r>
      <w:r w:rsidRPr="00EB1AAB">
        <w:rPr>
          <w:rFonts w:ascii="Arial" w:eastAsia="Arial" w:hAnsi="Arial" w:cs="Arial"/>
          <w:spacing w:val="-1"/>
        </w:rPr>
        <w:t>r</w:t>
      </w:r>
      <w:r w:rsidRPr="00EB1AAB">
        <w:rPr>
          <w:rFonts w:ascii="Arial" w:eastAsia="Arial" w:hAnsi="Arial" w:cs="Arial"/>
        </w:rPr>
        <w:t>p</w:t>
      </w:r>
      <w:r w:rsidRPr="00EB1AAB">
        <w:rPr>
          <w:rFonts w:ascii="Arial" w:eastAsia="Arial" w:hAnsi="Arial" w:cs="Arial"/>
          <w:spacing w:val="1"/>
        </w:rPr>
        <w:t>l</w:t>
      </w:r>
      <w:r w:rsidRPr="00EB1AAB">
        <w:rPr>
          <w:rFonts w:ascii="Arial" w:eastAsia="Arial" w:hAnsi="Arial" w:cs="Arial"/>
        </w:rPr>
        <w:t>us</w:t>
      </w:r>
      <w:r w:rsidRPr="00EB1AAB">
        <w:rPr>
          <w:rFonts w:ascii="Arial" w:eastAsia="Arial" w:hAnsi="Arial" w:cs="Arial"/>
          <w:spacing w:val="9"/>
        </w:rPr>
        <w:t>/</w:t>
      </w:r>
      <w:r w:rsidRPr="00EB1AAB">
        <w:rPr>
          <w:rFonts w:ascii="Arial" w:eastAsia="Arial" w:hAnsi="Arial" w:cs="Arial"/>
        </w:rPr>
        <w:t>d</w:t>
      </w:r>
      <w:r w:rsidRPr="00EB1AAB">
        <w:rPr>
          <w:rFonts w:ascii="Arial" w:eastAsia="Arial" w:hAnsi="Arial" w:cs="Arial"/>
          <w:spacing w:val="-3"/>
        </w:rPr>
        <w:t>e</w:t>
      </w:r>
      <w:r w:rsidRPr="00EB1AAB">
        <w:rPr>
          <w:rFonts w:ascii="Arial" w:eastAsia="Arial" w:hAnsi="Arial" w:cs="Arial"/>
          <w:spacing w:val="2"/>
        </w:rPr>
        <w:t>f</w:t>
      </w:r>
      <w:r w:rsidRPr="00EB1AAB">
        <w:rPr>
          <w:rFonts w:ascii="Arial" w:eastAsia="Arial" w:hAnsi="Arial" w:cs="Arial"/>
          <w:spacing w:val="4"/>
        </w:rPr>
        <w:t>i</w:t>
      </w:r>
      <w:r w:rsidRPr="00EB1AAB">
        <w:rPr>
          <w:rFonts w:ascii="Arial" w:eastAsia="Arial" w:hAnsi="Arial" w:cs="Arial"/>
          <w:spacing w:val="1"/>
        </w:rPr>
        <w:t>c</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w w:val="101"/>
        </w:rPr>
        <w:t xml:space="preserve">on </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spacing w:val="-3"/>
        </w:rPr>
        <w:t>o</w:t>
      </w:r>
      <w:r w:rsidRPr="00EB1AAB">
        <w:rPr>
          <w:rFonts w:ascii="Arial" w:eastAsia="Arial" w:hAnsi="Arial" w:cs="Arial"/>
          <w:spacing w:val="1"/>
        </w:rPr>
        <w:t>visi</w:t>
      </w:r>
      <w:r w:rsidRPr="00EB1AAB">
        <w:rPr>
          <w:rFonts w:ascii="Arial" w:eastAsia="Arial" w:hAnsi="Arial" w:cs="Arial"/>
        </w:rPr>
        <w:t>on</w:t>
      </w:r>
      <w:r w:rsidRPr="00EB1AAB">
        <w:rPr>
          <w:rFonts w:ascii="Arial" w:eastAsia="Arial" w:hAnsi="Arial" w:cs="Arial"/>
          <w:spacing w:val="10"/>
        </w:rPr>
        <w:t xml:space="preserve"> </w:t>
      </w:r>
      <w:r w:rsidRPr="00EB1AAB">
        <w:rPr>
          <w:rFonts w:ascii="Arial" w:eastAsia="Arial" w:hAnsi="Arial" w:cs="Arial"/>
          <w:spacing w:val="-3"/>
        </w:rPr>
        <w:t>o</w:t>
      </w:r>
      <w:r w:rsidRPr="00EB1AAB">
        <w:rPr>
          <w:rFonts w:ascii="Arial" w:eastAsia="Arial" w:hAnsi="Arial" w:cs="Arial"/>
        </w:rPr>
        <w:t>f</w:t>
      </w:r>
      <w:r w:rsidRPr="00EB1AAB">
        <w:rPr>
          <w:rFonts w:ascii="Arial" w:eastAsia="Arial" w:hAnsi="Arial" w:cs="Arial"/>
          <w:spacing w:val="8"/>
        </w:rPr>
        <w:t xml:space="preserve"> </w:t>
      </w:r>
      <w:r w:rsidRPr="00EB1AAB">
        <w:rPr>
          <w:rFonts w:ascii="Arial" w:eastAsia="Arial" w:hAnsi="Arial" w:cs="Arial"/>
          <w:spacing w:val="-1"/>
        </w:rPr>
        <w:t>s</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1"/>
        </w:rPr>
        <w:t>vic</w:t>
      </w:r>
      <w:r w:rsidRPr="00EB1AAB">
        <w:rPr>
          <w:rFonts w:ascii="Arial" w:eastAsia="Arial" w:hAnsi="Arial" w:cs="Arial"/>
          <w:spacing w:val="-3"/>
        </w:rPr>
        <w:t>e</w:t>
      </w:r>
      <w:r w:rsidRPr="00EB1AAB">
        <w:rPr>
          <w:rFonts w:ascii="Arial" w:eastAsia="Arial" w:hAnsi="Arial" w:cs="Arial"/>
        </w:rPr>
        <w:t>s</w:t>
      </w:r>
      <w:r w:rsidRPr="00EB1AAB">
        <w:rPr>
          <w:rFonts w:ascii="Arial" w:eastAsia="Arial" w:hAnsi="Arial" w:cs="Arial"/>
          <w:spacing w:val="10"/>
        </w:rPr>
        <w:t xml:space="preserve"> </w:t>
      </w:r>
      <w:r w:rsidRPr="00EB1AAB">
        <w:rPr>
          <w:rFonts w:ascii="Arial" w:eastAsia="Arial" w:hAnsi="Arial" w:cs="Arial"/>
          <w:spacing w:val="-1"/>
        </w:rPr>
        <w:t>w</w:t>
      </w:r>
      <w:r w:rsidRPr="00EB1AAB">
        <w:rPr>
          <w:rFonts w:ascii="Arial" w:eastAsia="Arial" w:hAnsi="Arial" w:cs="Arial"/>
        </w:rPr>
        <w:t>h</w:t>
      </w:r>
      <w:r w:rsidRPr="00EB1AAB">
        <w:rPr>
          <w:rFonts w:ascii="Arial" w:eastAsia="Arial" w:hAnsi="Arial" w:cs="Arial"/>
          <w:spacing w:val="-1"/>
        </w:rPr>
        <w:t>e</w:t>
      </w:r>
      <w:r w:rsidRPr="00EB1AAB">
        <w:rPr>
          <w:rFonts w:ascii="Arial" w:eastAsia="Arial" w:hAnsi="Arial" w:cs="Arial"/>
        </w:rPr>
        <w:t>n</w:t>
      </w:r>
      <w:r w:rsidRPr="00EB1AAB">
        <w:rPr>
          <w:rFonts w:ascii="Arial" w:eastAsia="Arial" w:hAnsi="Arial" w:cs="Arial"/>
          <w:spacing w:val="6"/>
        </w:rPr>
        <w:t xml:space="preserve"> </w:t>
      </w:r>
      <w:r w:rsidRPr="00EB1AAB">
        <w:rPr>
          <w:rFonts w:ascii="Arial" w:eastAsia="Arial" w:hAnsi="Arial" w:cs="Arial"/>
        </w:rPr>
        <w:t>an asset is</w:t>
      </w:r>
      <w:r w:rsidRPr="00EB1AAB">
        <w:rPr>
          <w:rFonts w:ascii="Arial" w:eastAsia="Arial" w:hAnsi="Arial" w:cs="Arial"/>
          <w:spacing w:val="4"/>
        </w:rPr>
        <w:t xml:space="preserve"> </w:t>
      </w:r>
      <w:r w:rsidRPr="00EB1AAB">
        <w:rPr>
          <w:rFonts w:ascii="Arial" w:eastAsia="Arial" w:hAnsi="Arial" w:cs="Arial"/>
          <w:spacing w:val="-3"/>
        </w:rPr>
        <w:t>d</w:t>
      </w:r>
      <w:r w:rsidRPr="00EB1AAB">
        <w:rPr>
          <w:rFonts w:ascii="Arial" w:eastAsia="Arial" w:hAnsi="Arial" w:cs="Arial"/>
          <w:spacing w:val="3"/>
        </w:rPr>
        <w:t>i</w:t>
      </w:r>
      <w:r w:rsidRPr="00EB1AAB">
        <w:rPr>
          <w:rFonts w:ascii="Arial" w:eastAsia="Arial" w:hAnsi="Arial" w:cs="Arial"/>
          <w:spacing w:val="-1"/>
        </w:rPr>
        <w:t>s</w:t>
      </w:r>
      <w:r w:rsidRPr="00EB1AAB">
        <w:rPr>
          <w:rFonts w:ascii="Arial" w:eastAsia="Arial" w:hAnsi="Arial" w:cs="Arial"/>
          <w:spacing w:val="2"/>
        </w:rPr>
        <w:t>p</w:t>
      </w:r>
      <w:r w:rsidRPr="00EB1AAB">
        <w:rPr>
          <w:rFonts w:ascii="Arial" w:eastAsia="Arial" w:hAnsi="Arial" w:cs="Arial"/>
          <w:spacing w:val="-3"/>
        </w:rPr>
        <w:t>o</w:t>
      </w:r>
      <w:r w:rsidRPr="00EB1AAB">
        <w:rPr>
          <w:rFonts w:ascii="Arial" w:eastAsia="Arial" w:hAnsi="Arial" w:cs="Arial"/>
          <w:spacing w:val="1"/>
        </w:rPr>
        <w:t>s</w:t>
      </w:r>
      <w:r w:rsidRPr="00EB1AAB">
        <w:rPr>
          <w:rFonts w:ascii="Arial" w:eastAsia="Arial" w:hAnsi="Arial" w:cs="Arial"/>
        </w:rPr>
        <w:t>ed</w:t>
      </w:r>
      <w:r w:rsidRPr="00EB1AAB">
        <w:rPr>
          <w:rFonts w:ascii="Arial" w:eastAsia="Arial" w:hAnsi="Arial" w:cs="Arial"/>
          <w:spacing w:val="12"/>
        </w:rPr>
        <w:t xml:space="preserve"> </w:t>
      </w:r>
      <w:r w:rsidRPr="00EB1AAB">
        <w:rPr>
          <w:rFonts w:ascii="Arial" w:eastAsia="Arial" w:hAnsi="Arial" w:cs="Arial"/>
          <w:w w:val="101"/>
        </w:rPr>
        <w:t>o</w:t>
      </w:r>
      <w:r w:rsidRPr="00EB1AAB">
        <w:rPr>
          <w:rFonts w:ascii="Arial" w:eastAsia="Arial" w:hAnsi="Arial" w:cs="Arial"/>
          <w:spacing w:val="2"/>
          <w:w w:val="101"/>
        </w:rPr>
        <w:t>f</w:t>
      </w:r>
      <w:r w:rsidRPr="00EB1AAB">
        <w:rPr>
          <w:rFonts w:ascii="Arial" w:eastAsia="Arial" w:hAnsi="Arial" w:cs="Arial"/>
          <w:w w:val="101"/>
        </w:rPr>
        <w:t>.</w:t>
      </w:r>
    </w:p>
    <w:p w14:paraId="02C5C412" w14:textId="77777777" w:rsidR="00655E4C" w:rsidRPr="00EB1AAB" w:rsidRDefault="00655E4C" w:rsidP="00655E4C">
      <w:pPr>
        <w:spacing w:before="7"/>
        <w:rPr>
          <w:rFonts w:ascii="Arial" w:hAnsi="Arial" w:cs="Arial"/>
        </w:rPr>
      </w:pPr>
    </w:p>
    <w:p w14:paraId="77FF95D1" w14:textId="3425C13C" w:rsidR="00655E4C" w:rsidRPr="00EB1AAB" w:rsidRDefault="00655E4C" w:rsidP="00655E4C">
      <w:pPr>
        <w:pStyle w:val="Heading5underline"/>
      </w:pPr>
      <w:r w:rsidRPr="00EB1AAB">
        <w:t>1.1</w:t>
      </w:r>
      <w:r w:rsidR="006E4D9B">
        <w:t>6</w:t>
      </w:r>
      <w:r w:rsidRPr="00EB1AAB">
        <w:t>.3. Fair</w:t>
      </w:r>
      <w:r w:rsidRPr="00EB1AAB">
        <w:rPr>
          <w:spacing w:val="5"/>
        </w:rPr>
        <w:t xml:space="preserve"> </w:t>
      </w:r>
      <w:r w:rsidRPr="00EB1AAB">
        <w:rPr>
          <w:spacing w:val="3"/>
        </w:rPr>
        <w:t>V</w:t>
      </w:r>
      <w:r w:rsidRPr="00EB1AAB">
        <w:rPr>
          <w:spacing w:val="-3"/>
        </w:rPr>
        <w:t>a</w:t>
      </w:r>
      <w:r w:rsidRPr="00EB1AAB">
        <w:t>l</w:t>
      </w:r>
      <w:r w:rsidRPr="00EB1AAB">
        <w:rPr>
          <w:spacing w:val="1"/>
        </w:rPr>
        <w:t>u</w:t>
      </w:r>
      <w:r w:rsidRPr="00EB1AAB">
        <w:t>e</w:t>
      </w:r>
      <w:r w:rsidRPr="00EB1AAB">
        <w:rPr>
          <w:spacing w:val="7"/>
        </w:rPr>
        <w:t xml:space="preserve"> </w:t>
      </w:r>
      <w:r w:rsidRPr="00EB1AAB">
        <w:t>th</w:t>
      </w:r>
      <w:r w:rsidRPr="00EB1AAB">
        <w:rPr>
          <w:spacing w:val="1"/>
        </w:rPr>
        <w:t>r</w:t>
      </w:r>
      <w:r w:rsidRPr="00EB1AAB">
        <w:t>o</w:t>
      </w:r>
      <w:r w:rsidRPr="00EB1AAB">
        <w:rPr>
          <w:spacing w:val="1"/>
        </w:rPr>
        <w:t>u</w:t>
      </w:r>
      <w:r w:rsidRPr="00EB1AAB">
        <w:t>gh</w:t>
      </w:r>
      <w:r w:rsidRPr="00EB1AAB">
        <w:rPr>
          <w:spacing w:val="10"/>
        </w:rPr>
        <w:t xml:space="preserve"> </w:t>
      </w:r>
      <w:r w:rsidRPr="00EB1AAB">
        <w:t>P</w:t>
      </w:r>
      <w:r w:rsidRPr="00EB1AAB">
        <w:rPr>
          <w:spacing w:val="3"/>
        </w:rPr>
        <w:t>r</w:t>
      </w:r>
      <w:r w:rsidRPr="00EB1AAB">
        <w:t>of</w:t>
      </w:r>
      <w:r w:rsidRPr="00EB1AAB">
        <w:rPr>
          <w:spacing w:val="2"/>
        </w:rPr>
        <w:t>i</w:t>
      </w:r>
      <w:r w:rsidRPr="00EB1AAB">
        <w:t>t</w:t>
      </w:r>
      <w:r w:rsidRPr="00EB1AAB">
        <w:rPr>
          <w:spacing w:val="6"/>
        </w:rPr>
        <w:t xml:space="preserve"> </w:t>
      </w:r>
      <w:r w:rsidRPr="00EB1AAB">
        <w:t>and</w:t>
      </w:r>
      <w:r w:rsidRPr="00EB1AAB">
        <w:rPr>
          <w:spacing w:val="6"/>
        </w:rPr>
        <w:t xml:space="preserve"> </w:t>
      </w:r>
      <w:r w:rsidRPr="00EB1AAB">
        <w:t>L</w:t>
      </w:r>
      <w:r w:rsidRPr="00EB1AAB">
        <w:rPr>
          <w:spacing w:val="1"/>
        </w:rPr>
        <w:t>o</w:t>
      </w:r>
      <w:r w:rsidRPr="00EB1AAB">
        <w:t>ss</w:t>
      </w:r>
      <w:r w:rsidRPr="00EB1AAB">
        <w:rPr>
          <w:spacing w:val="6"/>
        </w:rPr>
        <w:t xml:space="preserve"> </w:t>
      </w:r>
      <w:r w:rsidRPr="00EB1AAB">
        <w:t>(FV</w:t>
      </w:r>
      <w:r w:rsidRPr="00EB1AAB">
        <w:rPr>
          <w:spacing w:val="3"/>
        </w:rPr>
        <w:t>P</w:t>
      </w:r>
      <w:r w:rsidRPr="00EB1AAB">
        <w:t>L)</w:t>
      </w:r>
    </w:p>
    <w:p w14:paraId="2323645F" w14:textId="77777777" w:rsidR="00655E4C" w:rsidRPr="00EB1AAB" w:rsidRDefault="00655E4C" w:rsidP="00655E4C">
      <w:pPr>
        <w:rPr>
          <w:rFonts w:ascii="Arial" w:eastAsia="Arial" w:hAnsi="Arial" w:cs="Arial"/>
          <w:u w:val="single"/>
        </w:rPr>
      </w:pPr>
    </w:p>
    <w:p w14:paraId="1FCE5B38" w14:textId="77777777" w:rsidR="00655E4C" w:rsidRPr="00EB1AAB" w:rsidRDefault="00655E4C" w:rsidP="00655E4C">
      <w:pPr>
        <w:spacing w:before="6"/>
        <w:ind w:right="54"/>
        <w:rPr>
          <w:rFonts w:ascii="Arial" w:eastAsia="Arial" w:hAnsi="Arial" w:cs="Arial"/>
        </w:rPr>
      </w:pPr>
      <w:r w:rsidRPr="00EB1AAB">
        <w:rPr>
          <w:rFonts w:ascii="Arial" w:eastAsia="Arial" w:hAnsi="Arial" w:cs="Arial"/>
          <w:spacing w:val="-1"/>
        </w:rPr>
        <w:t>T</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spacing w:val="3"/>
        </w:rPr>
        <w:t>s</w:t>
      </w:r>
      <w:r w:rsidRPr="00EB1AAB">
        <w:rPr>
          <w:rFonts w:ascii="Arial" w:eastAsia="Arial" w:hAnsi="Arial" w:cs="Arial"/>
          <w:spacing w:val="-3"/>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1"/>
        </w:rPr>
        <w:t>l</w:t>
      </w:r>
      <w:r w:rsidRPr="00EB1AAB">
        <w:rPr>
          <w:rFonts w:ascii="Arial" w:eastAsia="Arial" w:hAnsi="Arial" w:cs="Arial"/>
        </w:rPr>
        <w:t>a</w:t>
      </w:r>
      <w:r w:rsidRPr="00EB1AAB">
        <w:rPr>
          <w:rFonts w:ascii="Arial" w:eastAsia="Arial" w:hAnsi="Arial" w:cs="Arial"/>
          <w:spacing w:val="2"/>
        </w:rPr>
        <w:t>t</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to</w:t>
      </w:r>
      <w:r w:rsidRPr="00EB1AAB">
        <w:rPr>
          <w:rFonts w:ascii="Arial" w:eastAsia="Arial" w:hAnsi="Arial" w:cs="Arial"/>
          <w:spacing w:val="6"/>
        </w:rPr>
        <w:t xml:space="preserve"> </w:t>
      </w:r>
      <w:r w:rsidRPr="00EB1AAB">
        <w:rPr>
          <w:rFonts w:ascii="Arial" w:eastAsia="Arial" w:hAnsi="Arial" w:cs="Arial"/>
        </w:rPr>
        <w:t>f</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2"/>
        </w:rPr>
        <w:t xml:space="preserve"> </w:t>
      </w:r>
      <w:r w:rsidRPr="00EB1AAB">
        <w:rPr>
          <w:rFonts w:ascii="Arial" w:eastAsia="Arial" w:hAnsi="Arial" w:cs="Arial"/>
          <w:spacing w:val="1"/>
        </w:rPr>
        <w:t>i</w:t>
      </w:r>
      <w:r w:rsidRPr="00EB1AAB">
        <w:rPr>
          <w:rFonts w:ascii="Arial" w:eastAsia="Arial" w:hAnsi="Arial" w:cs="Arial"/>
          <w:spacing w:val="-3"/>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u</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rPr>
        <w:t>n</w:t>
      </w:r>
      <w:r w:rsidRPr="00EB1AAB">
        <w:rPr>
          <w:rFonts w:ascii="Arial" w:eastAsia="Arial" w:hAnsi="Arial" w:cs="Arial"/>
          <w:spacing w:val="-1"/>
        </w:rPr>
        <w:t>t</w:t>
      </w:r>
      <w:r w:rsidRPr="00EB1AAB">
        <w:rPr>
          <w:rFonts w:ascii="Arial" w:eastAsia="Arial" w:hAnsi="Arial" w:cs="Arial"/>
        </w:rPr>
        <w:t>s</w:t>
      </w:r>
      <w:r w:rsidRPr="00EB1AAB">
        <w:rPr>
          <w:rFonts w:ascii="Arial" w:eastAsia="Arial" w:hAnsi="Arial" w:cs="Arial"/>
          <w:spacing w:val="16"/>
        </w:rPr>
        <w:t xml:space="preserve"> </w:t>
      </w:r>
      <w:r w:rsidRPr="00EB1AAB">
        <w:rPr>
          <w:rFonts w:ascii="Arial" w:eastAsia="Arial" w:hAnsi="Arial" w:cs="Arial"/>
        </w:rPr>
        <w:t>wh</w:t>
      </w:r>
      <w:r w:rsidRPr="00EB1AAB">
        <w:rPr>
          <w:rFonts w:ascii="Arial" w:eastAsia="Arial" w:hAnsi="Arial" w:cs="Arial"/>
          <w:spacing w:val="-1"/>
        </w:rPr>
        <w:t>er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2"/>
        </w:rPr>
        <w:t>a</w:t>
      </w:r>
      <w:r w:rsidRPr="00EB1AAB">
        <w:rPr>
          <w:rFonts w:ascii="Arial" w:eastAsia="Arial" w:hAnsi="Arial" w:cs="Arial"/>
          <w:spacing w:val="2"/>
        </w:rPr>
        <w:t>m</w:t>
      </w:r>
      <w:r w:rsidRPr="00EB1AAB">
        <w:rPr>
          <w:rFonts w:ascii="Arial" w:eastAsia="Arial" w:hAnsi="Arial" w:cs="Arial"/>
        </w:rPr>
        <w:t>o</w:t>
      </w:r>
      <w:r w:rsidRPr="00EB1AAB">
        <w:rPr>
          <w:rFonts w:ascii="Arial" w:eastAsia="Arial" w:hAnsi="Arial" w:cs="Arial"/>
          <w:spacing w:val="2"/>
        </w:rPr>
        <w:t>u</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11"/>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3"/>
        </w:rPr>
        <w:t>c</w:t>
      </w:r>
      <w:r w:rsidRPr="00EB1AAB">
        <w:rPr>
          <w:rFonts w:ascii="Arial" w:eastAsia="Arial" w:hAnsi="Arial" w:cs="Arial"/>
          <w:spacing w:val="-3"/>
        </w:rPr>
        <w:t>e</w:t>
      </w:r>
      <w:r w:rsidRPr="00EB1AAB">
        <w:rPr>
          <w:rFonts w:ascii="Arial" w:eastAsia="Arial" w:hAnsi="Arial" w:cs="Arial"/>
          <w:spacing w:val="4"/>
        </w:rPr>
        <w:t>i</w:t>
      </w:r>
      <w:r w:rsidRPr="00EB1AAB">
        <w:rPr>
          <w:rFonts w:ascii="Arial" w:eastAsia="Arial" w:hAnsi="Arial" w:cs="Arial"/>
          <w:spacing w:val="-1"/>
        </w:rPr>
        <w:t>v</w:t>
      </w:r>
      <w:r w:rsidRPr="00EB1AAB">
        <w:rPr>
          <w:rFonts w:ascii="Arial" w:eastAsia="Arial" w:hAnsi="Arial" w:cs="Arial"/>
        </w:rPr>
        <w:t>ed</w:t>
      </w:r>
      <w:r w:rsidRPr="00EB1AAB">
        <w:rPr>
          <w:rFonts w:ascii="Arial" w:eastAsia="Arial" w:hAnsi="Arial" w:cs="Arial"/>
          <w:spacing w:val="10"/>
        </w:rPr>
        <w:t xml:space="preserve"> </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rPr>
        <w:t>not</w:t>
      </w:r>
      <w:r w:rsidRPr="00EB1AAB">
        <w:rPr>
          <w:rFonts w:ascii="Arial" w:eastAsia="Arial" w:hAnsi="Arial" w:cs="Arial"/>
          <w:spacing w:val="4"/>
        </w:rPr>
        <w:t xml:space="preserve"> </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ci</w:t>
      </w:r>
      <w:r w:rsidRPr="00EB1AAB">
        <w:rPr>
          <w:rFonts w:ascii="Arial" w:eastAsia="Arial" w:hAnsi="Arial" w:cs="Arial"/>
        </w:rPr>
        <w:t>p</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13"/>
        </w:rPr>
        <w:t xml:space="preserve"> </w:t>
      </w:r>
      <w:r w:rsidRPr="00EB1AAB">
        <w:rPr>
          <w:rFonts w:ascii="Arial" w:eastAsia="Arial" w:hAnsi="Arial" w:cs="Arial"/>
          <w:spacing w:val="-3"/>
        </w:rPr>
        <w:t>a</w:t>
      </w:r>
      <w:r w:rsidRPr="00EB1AAB">
        <w:rPr>
          <w:rFonts w:ascii="Arial" w:eastAsia="Arial" w:hAnsi="Arial" w:cs="Arial"/>
          <w:spacing w:val="2"/>
        </w:rPr>
        <w:t>n</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1"/>
        </w:rPr>
        <w:t>i</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spacing w:val="-3"/>
        </w:rPr>
        <w:t>e</w:t>
      </w:r>
      <w:r w:rsidRPr="00EB1AAB">
        <w:rPr>
          <w:rFonts w:ascii="Arial" w:eastAsia="Arial" w:hAnsi="Arial" w:cs="Arial"/>
          <w:spacing w:val="2"/>
        </w:rPr>
        <w:t>r</w:t>
      </w:r>
      <w:r w:rsidRPr="00EB1AAB">
        <w:rPr>
          <w:rFonts w:ascii="Arial" w:eastAsia="Arial" w:hAnsi="Arial" w:cs="Arial"/>
        </w:rPr>
        <w:t>est</w:t>
      </w:r>
      <w:r w:rsidRPr="00EB1AAB">
        <w:rPr>
          <w:rFonts w:ascii="Arial" w:eastAsia="Arial" w:hAnsi="Arial" w:cs="Arial"/>
          <w:spacing w:val="9"/>
        </w:rPr>
        <w:t xml:space="preserve"> </w:t>
      </w:r>
      <w:r w:rsidRPr="00EB1AAB">
        <w:rPr>
          <w:rFonts w:ascii="Arial" w:eastAsia="Arial" w:hAnsi="Arial" w:cs="Arial"/>
          <w:spacing w:val="-1"/>
        </w:rPr>
        <w:t>(</w:t>
      </w:r>
      <w:r w:rsidRPr="00EB1AAB">
        <w:rPr>
          <w:rFonts w:ascii="Arial" w:eastAsia="Arial" w:hAnsi="Arial" w:cs="Arial"/>
        </w:rPr>
        <w:t>e</w:t>
      </w:r>
      <w:r w:rsidRPr="00EB1AAB">
        <w:rPr>
          <w:rFonts w:ascii="Arial" w:eastAsia="Arial" w:hAnsi="Arial" w:cs="Arial"/>
          <w:spacing w:val="2"/>
        </w:rPr>
        <w:t>.</w:t>
      </w:r>
      <w:r w:rsidRPr="00EB1AAB">
        <w:rPr>
          <w:rFonts w:ascii="Arial" w:eastAsia="Arial" w:hAnsi="Arial" w:cs="Arial"/>
          <w:spacing w:val="-3"/>
        </w:rPr>
        <w:t>g</w:t>
      </w:r>
      <w:r w:rsidRPr="00EB1AAB">
        <w:rPr>
          <w:rFonts w:ascii="Arial" w:eastAsia="Arial" w:hAnsi="Arial" w:cs="Arial"/>
        </w:rPr>
        <w:t>.</w:t>
      </w:r>
      <w:r w:rsidRPr="00EB1AAB">
        <w:rPr>
          <w:rFonts w:ascii="Arial" w:eastAsia="Arial" w:hAnsi="Arial" w:cs="Arial"/>
          <w:spacing w:val="9"/>
        </w:rPr>
        <w:t xml:space="preserve"> </w:t>
      </w:r>
      <w:r w:rsidRPr="00EB1AAB">
        <w:rPr>
          <w:rFonts w:ascii="Arial" w:eastAsia="Arial" w:hAnsi="Arial" w:cs="Arial"/>
        </w:rPr>
        <w:t>equity</w:t>
      </w:r>
      <w:r w:rsidRPr="00EB1AAB">
        <w:rPr>
          <w:rFonts w:ascii="Arial" w:eastAsia="Arial" w:hAnsi="Arial" w:cs="Arial"/>
          <w:spacing w:val="6"/>
        </w:rPr>
        <w:t xml:space="preserve"> </w:t>
      </w:r>
      <w:r w:rsidRPr="00EB1AAB">
        <w:rPr>
          <w:rFonts w:ascii="Arial" w:eastAsia="Arial" w:hAnsi="Arial" w:cs="Arial"/>
          <w:spacing w:val="1"/>
          <w:w w:val="101"/>
        </w:rPr>
        <w:t>i</w:t>
      </w:r>
      <w:r w:rsidRPr="00EB1AAB">
        <w:rPr>
          <w:rFonts w:ascii="Arial" w:eastAsia="Arial" w:hAnsi="Arial" w:cs="Arial"/>
          <w:w w:val="101"/>
        </w:rPr>
        <w:t>n</w:t>
      </w:r>
      <w:r w:rsidRPr="00EB1AAB">
        <w:rPr>
          <w:rFonts w:ascii="Arial" w:eastAsia="Arial" w:hAnsi="Arial" w:cs="Arial"/>
          <w:spacing w:val="1"/>
          <w:w w:val="101"/>
        </w:rPr>
        <w:t>v</w:t>
      </w:r>
      <w:r w:rsidRPr="00EB1AAB">
        <w:rPr>
          <w:rFonts w:ascii="Arial" w:eastAsia="Arial" w:hAnsi="Arial" w:cs="Arial"/>
          <w:spacing w:val="-3"/>
          <w:w w:val="101"/>
        </w:rPr>
        <w:t>e</w:t>
      </w:r>
      <w:r w:rsidRPr="00EB1AAB">
        <w:rPr>
          <w:rFonts w:ascii="Arial" w:eastAsia="Arial" w:hAnsi="Arial" w:cs="Arial"/>
          <w:spacing w:val="1"/>
          <w:w w:val="101"/>
        </w:rPr>
        <w:t>s</w:t>
      </w:r>
      <w:r w:rsidRPr="00EB1AAB">
        <w:rPr>
          <w:rFonts w:ascii="Arial" w:eastAsia="Arial" w:hAnsi="Arial" w:cs="Arial"/>
          <w:w w:val="101"/>
        </w:rPr>
        <w:t>t</w:t>
      </w:r>
      <w:r w:rsidRPr="00EB1AAB">
        <w:rPr>
          <w:rFonts w:ascii="Arial" w:eastAsia="Arial" w:hAnsi="Arial" w:cs="Arial"/>
          <w:spacing w:val="3"/>
          <w:w w:val="101"/>
        </w:rPr>
        <w:t>m</w:t>
      </w:r>
      <w:r w:rsidRPr="00EB1AAB">
        <w:rPr>
          <w:rFonts w:ascii="Arial" w:eastAsia="Arial" w:hAnsi="Arial" w:cs="Arial"/>
          <w:w w:val="101"/>
        </w:rPr>
        <w:t>e</w:t>
      </w:r>
      <w:r w:rsidRPr="00EB1AAB">
        <w:rPr>
          <w:rFonts w:ascii="Arial" w:eastAsia="Arial" w:hAnsi="Arial" w:cs="Arial"/>
          <w:spacing w:val="-1"/>
          <w:w w:val="101"/>
        </w:rPr>
        <w:t>n</w:t>
      </w:r>
      <w:r w:rsidRPr="00EB1AAB">
        <w:rPr>
          <w:rFonts w:ascii="Arial" w:eastAsia="Arial" w:hAnsi="Arial" w:cs="Arial"/>
          <w:w w:val="101"/>
        </w:rPr>
        <w:t>t</w:t>
      </w:r>
      <w:r w:rsidRPr="00EB1AAB">
        <w:rPr>
          <w:rFonts w:ascii="Arial" w:eastAsia="Arial" w:hAnsi="Arial" w:cs="Arial"/>
          <w:spacing w:val="1"/>
          <w:w w:val="101"/>
        </w:rPr>
        <w:t>s</w:t>
      </w:r>
      <w:r w:rsidRPr="00EB1AAB">
        <w:rPr>
          <w:rFonts w:ascii="Arial" w:eastAsia="Arial" w:hAnsi="Arial" w:cs="Arial"/>
          <w:spacing w:val="-1"/>
          <w:w w:val="101"/>
        </w:rPr>
        <w:t>)</w:t>
      </w:r>
      <w:r w:rsidRPr="00EB1AAB">
        <w:rPr>
          <w:rFonts w:ascii="Arial" w:eastAsia="Arial" w:hAnsi="Arial" w:cs="Arial"/>
          <w:w w:val="101"/>
        </w:rPr>
        <w:t>.</w:t>
      </w:r>
    </w:p>
    <w:p w14:paraId="4A8E2A7E" w14:textId="77777777" w:rsidR="00655E4C" w:rsidRPr="00EB1AAB" w:rsidRDefault="00655E4C" w:rsidP="00655E4C">
      <w:pPr>
        <w:spacing w:before="9"/>
        <w:ind w:right="54"/>
        <w:rPr>
          <w:rFonts w:ascii="Arial" w:hAnsi="Arial" w:cs="Arial"/>
        </w:rPr>
      </w:pPr>
    </w:p>
    <w:p w14:paraId="4B00F1A0" w14:textId="77777777" w:rsidR="00655E4C" w:rsidRPr="00EB1AAB" w:rsidRDefault="00655E4C" w:rsidP="00655E4C">
      <w:pPr>
        <w:ind w:right="-88"/>
        <w:rPr>
          <w:rFonts w:ascii="Arial" w:eastAsia="Arial" w:hAnsi="Arial" w:cs="Arial"/>
        </w:rPr>
      </w:pPr>
      <w:r w:rsidRPr="00EB1AAB">
        <w:rPr>
          <w:rFonts w:ascii="Arial" w:eastAsia="Arial" w:hAnsi="Arial" w:cs="Arial"/>
        </w:rPr>
        <w:t>Ch</w:t>
      </w:r>
      <w:r w:rsidRPr="00EB1AAB">
        <w:rPr>
          <w:rFonts w:ascii="Arial" w:eastAsia="Arial" w:hAnsi="Arial" w:cs="Arial"/>
          <w:spacing w:val="-1"/>
        </w:rPr>
        <w:t>an</w:t>
      </w:r>
      <w:r w:rsidRPr="00EB1AAB">
        <w:rPr>
          <w:rFonts w:ascii="Arial" w:eastAsia="Arial" w:hAnsi="Arial" w:cs="Arial"/>
          <w:spacing w:val="2"/>
        </w:rPr>
        <w:t>g</w:t>
      </w:r>
      <w:r w:rsidRPr="00EB1AAB">
        <w:rPr>
          <w:rFonts w:ascii="Arial" w:eastAsia="Arial" w:hAnsi="Arial" w:cs="Arial"/>
          <w:spacing w:val="-3"/>
        </w:rPr>
        <w:t>e</w:t>
      </w:r>
      <w:r w:rsidRPr="00EB1AAB">
        <w:rPr>
          <w:rFonts w:ascii="Arial" w:eastAsia="Arial" w:hAnsi="Arial" w:cs="Arial"/>
        </w:rPr>
        <w:t>s</w:t>
      </w:r>
      <w:r w:rsidRPr="00EB1AAB">
        <w:rPr>
          <w:rFonts w:ascii="Arial" w:eastAsia="Arial" w:hAnsi="Arial" w:cs="Arial"/>
          <w:spacing w:val="11"/>
        </w:rPr>
        <w:t xml:space="preserve"> </w:t>
      </w:r>
      <w:r w:rsidRPr="00EB1AAB">
        <w:rPr>
          <w:rFonts w:ascii="Arial" w:eastAsia="Arial" w:hAnsi="Arial" w:cs="Arial"/>
          <w:spacing w:val="4"/>
        </w:rPr>
        <w:t>i</w:t>
      </w:r>
      <w:r w:rsidRPr="00EB1AAB">
        <w:rPr>
          <w:rFonts w:ascii="Arial" w:eastAsia="Arial" w:hAnsi="Arial" w:cs="Arial"/>
        </w:rPr>
        <w:t xml:space="preserve">n </w:t>
      </w:r>
      <w:r w:rsidRPr="00EB1AAB">
        <w:rPr>
          <w:rFonts w:ascii="Arial" w:eastAsia="Arial" w:hAnsi="Arial" w:cs="Arial"/>
          <w:spacing w:val="5"/>
        </w:rPr>
        <w:t>f</w:t>
      </w:r>
      <w:r w:rsidRPr="00EB1AAB">
        <w:rPr>
          <w:rFonts w:ascii="Arial" w:eastAsia="Arial" w:hAnsi="Arial" w:cs="Arial"/>
          <w:spacing w:val="-3"/>
        </w:rPr>
        <w:t>a</w:t>
      </w:r>
      <w:r w:rsidRPr="00EB1AAB">
        <w:rPr>
          <w:rFonts w:ascii="Arial" w:eastAsia="Arial" w:hAnsi="Arial" w:cs="Arial"/>
          <w:spacing w:val="4"/>
        </w:rPr>
        <w:t>i</w:t>
      </w:r>
      <w:r w:rsidRPr="00EB1AAB">
        <w:rPr>
          <w:rFonts w:ascii="Arial" w:eastAsia="Arial" w:hAnsi="Arial" w:cs="Arial"/>
        </w:rPr>
        <w:t>r</w:t>
      </w:r>
      <w:r w:rsidRPr="00EB1AAB">
        <w:rPr>
          <w:rFonts w:ascii="Arial" w:eastAsia="Arial" w:hAnsi="Arial" w:cs="Arial"/>
          <w:spacing w:val="3"/>
        </w:rPr>
        <w:t xml:space="preserve"> </w:t>
      </w:r>
      <w:r w:rsidRPr="00EB1AAB">
        <w:rPr>
          <w:rFonts w:ascii="Arial" w:eastAsia="Arial" w:hAnsi="Arial" w:cs="Arial"/>
          <w:spacing w:val="1"/>
        </w:rPr>
        <w:t>v</w:t>
      </w:r>
      <w:r w:rsidRPr="00EB1AAB">
        <w:rPr>
          <w:rFonts w:ascii="Arial" w:eastAsia="Arial" w:hAnsi="Arial" w:cs="Arial"/>
          <w:spacing w:val="-3"/>
        </w:rPr>
        <w:t>a</w:t>
      </w:r>
      <w:r w:rsidRPr="00EB1AAB">
        <w:rPr>
          <w:rFonts w:ascii="Arial" w:eastAsia="Arial" w:hAnsi="Arial" w:cs="Arial"/>
          <w:spacing w:val="3"/>
        </w:rPr>
        <w:t>l</w:t>
      </w:r>
      <w:r w:rsidRPr="00EB1AAB">
        <w:rPr>
          <w:rFonts w:ascii="Arial" w:eastAsia="Arial" w:hAnsi="Arial" w:cs="Arial"/>
          <w:spacing w:val="-2"/>
        </w:rPr>
        <w:t>u</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rPr>
        <w:t>ha</w:t>
      </w:r>
      <w:r w:rsidRPr="00EB1AAB">
        <w:rPr>
          <w:rFonts w:ascii="Arial" w:eastAsia="Arial" w:hAnsi="Arial" w:cs="Arial"/>
          <w:spacing w:val="2"/>
        </w:rPr>
        <w:t>r</w:t>
      </w:r>
      <w:r w:rsidRPr="00EB1AAB">
        <w:rPr>
          <w:rFonts w:ascii="Arial" w:eastAsia="Arial" w:hAnsi="Arial" w:cs="Arial"/>
        </w:rPr>
        <w:t>ged</w:t>
      </w:r>
      <w:r w:rsidRPr="00EB1AAB">
        <w:rPr>
          <w:rFonts w:ascii="Arial" w:eastAsia="Arial" w:hAnsi="Arial" w:cs="Arial"/>
          <w:spacing w:val="9"/>
        </w:rPr>
        <w:t xml:space="preserve"> </w:t>
      </w:r>
      <w:r w:rsidRPr="00EB1AAB">
        <w:rPr>
          <w:rFonts w:ascii="Arial" w:eastAsia="Arial" w:hAnsi="Arial" w:cs="Arial"/>
        </w:rPr>
        <w:t>to</w:t>
      </w:r>
      <w:r w:rsidRPr="00EB1AAB">
        <w:rPr>
          <w:rFonts w:ascii="Arial" w:eastAsia="Arial" w:hAnsi="Arial" w:cs="Arial"/>
          <w:spacing w:val="3"/>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1"/>
        </w:rPr>
        <w:t xml:space="preserve"> </w:t>
      </w:r>
      <w:r w:rsidRPr="00EB1AAB">
        <w:rPr>
          <w:rFonts w:ascii="Arial" w:eastAsia="Arial" w:hAnsi="Arial" w:cs="Arial"/>
          <w:spacing w:val="3"/>
        </w:rPr>
        <w:t>s</w:t>
      </w:r>
      <w:r w:rsidRPr="00EB1AAB">
        <w:rPr>
          <w:rFonts w:ascii="Arial" w:eastAsia="Arial" w:hAnsi="Arial" w:cs="Arial"/>
        </w:rPr>
        <w:t>u</w:t>
      </w:r>
      <w:r w:rsidRPr="00EB1AAB">
        <w:rPr>
          <w:rFonts w:ascii="Arial" w:eastAsia="Arial" w:hAnsi="Arial" w:cs="Arial"/>
          <w:spacing w:val="-1"/>
        </w:rPr>
        <w:t>r</w:t>
      </w:r>
      <w:r w:rsidRPr="00EB1AAB">
        <w:rPr>
          <w:rFonts w:ascii="Arial" w:eastAsia="Arial" w:hAnsi="Arial" w:cs="Arial"/>
          <w:spacing w:val="-3"/>
        </w:rPr>
        <w:t>p</w:t>
      </w:r>
      <w:r w:rsidRPr="00EB1AAB">
        <w:rPr>
          <w:rFonts w:ascii="Arial" w:eastAsia="Arial" w:hAnsi="Arial" w:cs="Arial"/>
          <w:spacing w:val="6"/>
        </w:rPr>
        <w:t>l</w:t>
      </w:r>
      <w:r w:rsidRPr="00EB1AAB">
        <w:rPr>
          <w:rFonts w:ascii="Arial" w:eastAsia="Arial" w:hAnsi="Arial" w:cs="Arial"/>
          <w:spacing w:val="-3"/>
        </w:rPr>
        <w:t>u</w:t>
      </w:r>
      <w:r w:rsidRPr="00EB1AAB">
        <w:rPr>
          <w:rFonts w:ascii="Arial" w:eastAsia="Arial" w:hAnsi="Arial" w:cs="Arial"/>
        </w:rPr>
        <w:t>s</w:t>
      </w:r>
      <w:r w:rsidRPr="00EB1AAB">
        <w:rPr>
          <w:rFonts w:ascii="Arial" w:eastAsia="Arial" w:hAnsi="Arial" w:cs="Arial"/>
          <w:spacing w:val="9"/>
        </w:rPr>
        <w:t xml:space="preserve"> </w:t>
      </w:r>
      <w:r w:rsidRPr="00EB1AAB">
        <w:rPr>
          <w:rFonts w:ascii="Arial" w:eastAsia="Arial" w:hAnsi="Arial" w:cs="Arial"/>
        </w:rPr>
        <w:t>/</w:t>
      </w:r>
      <w:r w:rsidRPr="00EB1AAB">
        <w:rPr>
          <w:rFonts w:ascii="Arial" w:eastAsia="Arial" w:hAnsi="Arial" w:cs="Arial"/>
          <w:spacing w:val="4"/>
        </w:rPr>
        <w:t xml:space="preserve"> </w:t>
      </w:r>
      <w:r w:rsidRPr="00EB1AAB">
        <w:rPr>
          <w:rFonts w:ascii="Arial" w:eastAsia="Arial" w:hAnsi="Arial" w:cs="Arial"/>
          <w:spacing w:val="-3"/>
        </w:rPr>
        <w:t>d</w:t>
      </w:r>
      <w:r w:rsidRPr="00EB1AAB">
        <w:rPr>
          <w:rFonts w:ascii="Arial" w:eastAsia="Arial" w:hAnsi="Arial" w:cs="Arial"/>
        </w:rPr>
        <w:t>e</w:t>
      </w:r>
      <w:r w:rsidRPr="00EB1AAB">
        <w:rPr>
          <w:rFonts w:ascii="Arial" w:eastAsia="Arial" w:hAnsi="Arial" w:cs="Arial"/>
          <w:spacing w:val="2"/>
        </w:rPr>
        <w:t>f</w:t>
      </w:r>
      <w:r w:rsidRPr="00EB1AAB">
        <w:rPr>
          <w:rFonts w:ascii="Arial" w:eastAsia="Arial" w:hAnsi="Arial" w:cs="Arial"/>
          <w:spacing w:val="1"/>
        </w:rPr>
        <w:t>i</w:t>
      </w:r>
      <w:r w:rsidRPr="00EB1AAB">
        <w:rPr>
          <w:rFonts w:ascii="Arial" w:eastAsia="Arial" w:hAnsi="Arial" w:cs="Arial"/>
          <w:spacing w:val="-1"/>
        </w:rPr>
        <w:t>c</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3"/>
        </w:rPr>
        <w:t>o</w:t>
      </w:r>
      <w:r w:rsidRPr="00EB1AAB">
        <w:rPr>
          <w:rFonts w:ascii="Arial" w:eastAsia="Arial" w:hAnsi="Arial" w:cs="Arial"/>
        </w:rPr>
        <w:t>n</w:t>
      </w:r>
      <w:r w:rsidRPr="00EB1AAB">
        <w:rPr>
          <w:rFonts w:ascii="Arial" w:eastAsia="Arial" w:hAnsi="Arial" w:cs="Arial"/>
          <w:spacing w:val="4"/>
        </w:rPr>
        <w:t xml:space="preserve"> </w:t>
      </w:r>
      <w:r w:rsidRPr="00EB1AAB">
        <w:rPr>
          <w:rFonts w:ascii="Arial" w:eastAsia="Arial" w:hAnsi="Arial" w:cs="Arial"/>
        </w:rPr>
        <w:t>the</w:t>
      </w:r>
      <w:r w:rsidRPr="00EB1AAB">
        <w:rPr>
          <w:rFonts w:ascii="Arial" w:eastAsia="Arial" w:hAnsi="Arial" w:cs="Arial"/>
          <w:spacing w:val="3"/>
        </w:rPr>
        <w:t xml:space="preserve"> </w:t>
      </w:r>
      <w:r w:rsidRPr="00EB1AAB">
        <w:rPr>
          <w:rFonts w:ascii="Arial" w:eastAsia="Arial" w:hAnsi="Arial" w:cs="Arial"/>
        </w:rPr>
        <w:t>net</w:t>
      </w:r>
      <w:r w:rsidRPr="00EB1AAB">
        <w:rPr>
          <w:rFonts w:ascii="Arial" w:eastAsia="Arial" w:hAnsi="Arial" w:cs="Arial"/>
          <w:spacing w:val="4"/>
        </w:rPr>
        <w:t xml:space="preserve"> </w:t>
      </w:r>
      <w:r w:rsidRPr="00EB1AAB">
        <w:rPr>
          <w:rFonts w:ascii="Arial" w:eastAsia="Arial" w:hAnsi="Arial" w:cs="Arial"/>
          <w:spacing w:val="2"/>
        </w:rPr>
        <w:t>p</w:t>
      </w:r>
      <w:r w:rsidRPr="00EB1AAB">
        <w:rPr>
          <w:rFonts w:ascii="Arial" w:eastAsia="Arial" w:hAnsi="Arial" w:cs="Arial"/>
          <w:spacing w:val="-1"/>
        </w:rPr>
        <w:t>r</w:t>
      </w:r>
      <w:r w:rsidRPr="00EB1AAB">
        <w:rPr>
          <w:rFonts w:ascii="Arial" w:eastAsia="Arial" w:hAnsi="Arial" w:cs="Arial"/>
          <w:spacing w:val="-3"/>
        </w:rPr>
        <w:t>o</w:t>
      </w:r>
      <w:r w:rsidRPr="00EB1AAB">
        <w:rPr>
          <w:rFonts w:ascii="Arial" w:eastAsia="Arial" w:hAnsi="Arial" w:cs="Arial"/>
          <w:spacing w:val="1"/>
        </w:rPr>
        <w:t>v</w:t>
      </w:r>
      <w:r w:rsidRPr="00EB1AAB">
        <w:rPr>
          <w:rFonts w:ascii="Arial" w:eastAsia="Arial" w:hAnsi="Arial" w:cs="Arial"/>
          <w:spacing w:val="4"/>
        </w:rPr>
        <w:t>i</w:t>
      </w:r>
      <w:r w:rsidRPr="00EB1AAB">
        <w:rPr>
          <w:rFonts w:ascii="Arial" w:eastAsia="Arial" w:hAnsi="Arial" w:cs="Arial"/>
          <w:spacing w:val="-2"/>
        </w:rPr>
        <w:t>s</w:t>
      </w:r>
      <w:r w:rsidRPr="00EB1AAB">
        <w:rPr>
          <w:rFonts w:ascii="Arial" w:eastAsia="Arial" w:hAnsi="Arial" w:cs="Arial"/>
          <w:spacing w:val="4"/>
        </w:rPr>
        <w:t>i</w:t>
      </w:r>
      <w:r w:rsidRPr="00EB1AAB">
        <w:rPr>
          <w:rFonts w:ascii="Arial" w:eastAsia="Arial" w:hAnsi="Arial" w:cs="Arial"/>
          <w:spacing w:val="-3"/>
        </w:rPr>
        <w:t>o</w:t>
      </w:r>
      <w:r w:rsidRPr="00EB1AAB">
        <w:rPr>
          <w:rFonts w:ascii="Arial" w:eastAsia="Arial" w:hAnsi="Arial" w:cs="Arial"/>
        </w:rPr>
        <w:t>n</w:t>
      </w:r>
      <w:r w:rsidRPr="00EB1AAB">
        <w:rPr>
          <w:rFonts w:ascii="Arial" w:eastAsia="Arial" w:hAnsi="Arial" w:cs="Arial"/>
          <w:spacing w:val="10"/>
        </w:rPr>
        <w:t xml:space="preserve"> </w:t>
      </w:r>
      <w:r w:rsidRPr="00EB1AAB">
        <w:rPr>
          <w:rFonts w:ascii="Arial" w:eastAsia="Arial" w:hAnsi="Arial" w:cs="Arial"/>
          <w:spacing w:val="-3"/>
        </w:rPr>
        <w:t>o</w:t>
      </w:r>
      <w:r w:rsidRPr="00EB1AAB">
        <w:rPr>
          <w:rFonts w:ascii="Arial" w:eastAsia="Arial" w:hAnsi="Arial" w:cs="Arial"/>
        </w:rPr>
        <w:t>f</w:t>
      </w:r>
      <w:r w:rsidRPr="00EB1AAB">
        <w:rPr>
          <w:rFonts w:ascii="Arial" w:eastAsia="Arial" w:hAnsi="Arial" w:cs="Arial"/>
          <w:spacing w:val="8"/>
        </w:rPr>
        <w:t xml:space="preserve"> </w:t>
      </w:r>
      <w:r w:rsidRPr="00EB1AAB">
        <w:rPr>
          <w:rFonts w:ascii="Arial" w:eastAsia="Arial" w:hAnsi="Arial" w:cs="Arial"/>
          <w:spacing w:val="1"/>
          <w:w w:val="101"/>
        </w:rPr>
        <w:t>s</w:t>
      </w:r>
      <w:r w:rsidRPr="00EB1AAB">
        <w:rPr>
          <w:rFonts w:ascii="Arial" w:eastAsia="Arial" w:hAnsi="Arial" w:cs="Arial"/>
          <w:spacing w:val="-3"/>
          <w:w w:val="101"/>
        </w:rPr>
        <w:t>e</w:t>
      </w:r>
      <w:r w:rsidRPr="00EB1AAB">
        <w:rPr>
          <w:rFonts w:ascii="Arial" w:eastAsia="Arial" w:hAnsi="Arial" w:cs="Arial"/>
          <w:spacing w:val="-1"/>
          <w:w w:val="101"/>
        </w:rPr>
        <w:t>r</w:t>
      </w:r>
      <w:r w:rsidRPr="00EB1AAB">
        <w:rPr>
          <w:rFonts w:ascii="Arial" w:eastAsia="Arial" w:hAnsi="Arial" w:cs="Arial"/>
          <w:spacing w:val="1"/>
          <w:w w:val="101"/>
        </w:rPr>
        <w:t>vic</w:t>
      </w:r>
      <w:r w:rsidRPr="00EB1AAB">
        <w:rPr>
          <w:rFonts w:ascii="Arial" w:eastAsia="Arial" w:hAnsi="Arial" w:cs="Arial"/>
          <w:spacing w:val="-3"/>
          <w:w w:val="101"/>
        </w:rPr>
        <w:t>e</w:t>
      </w:r>
      <w:r w:rsidRPr="00EB1AAB">
        <w:rPr>
          <w:rFonts w:ascii="Arial" w:eastAsia="Arial" w:hAnsi="Arial" w:cs="Arial"/>
          <w:w w:val="101"/>
        </w:rPr>
        <w:t xml:space="preserve">s </w:t>
      </w:r>
      <w:r w:rsidRPr="00EB1AAB">
        <w:rPr>
          <w:rFonts w:ascii="Arial" w:eastAsia="Arial" w:hAnsi="Arial" w:cs="Arial"/>
        </w:rPr>
        <w:t>as</w:t>
      </w:r>
      <w:r w:rsidRPr="00EB1AAB">
        <w:rPr>
          <w:rFonts w:ascii="Arial" w:eastAsia="Arial" w:hAnsi="Arial" w:cs="Arial"/>
          <w:spacing w:val="1"/>
        </w:rPr>
        <w:t xml:space="preserve"> </w:t>
      </w:r>
      <w:r w:rsidRPr="00EB1AAB">
        <w:rPr>
          <w:rFonts w:ascii="Arial" w:eastAsia="Arial" w:hAnsi="Arial" w:cs="Arial"/>
          <w:spacing w:val="3"/>
        </w:rPr>
        <w:t>t</w:t>
      </w:r>
      <w:r w:rsidRPr="00EB1AAB">
        <w:rPr>
          <w:rFonts w:ascii="Arial" w:eastAsia="Arial" w:hAnsi="Arial" w:cs="Arial"/>
          <w:spacing w:val="-3"/>
        </w:rPr>
        <w:t>h</w:t>
      </w:r>
      <w:r w:rsidRPr="00EB1AAB">
        <w:rPr>
          <w:rFonts w:ascii="Arial" w:eastAsia="Arial" w:hAnsi="Arial" w:cs="Arial"/>
          <w:spacing w:val="2"/>
        </w:rPr>
        <w:t>e</w:t>
      </w:r>
      <w:r w:rsidRPr="00EB1AAB">
        <w:rPr>
          <w:rFonts w:ascii="Arial" w:eastAsia="Arial" w:hAnsi="Arial" w:cs="Arial"/>
        </w:rPr>
        <w:t>y</w:t>
      </w:r>
      <w:r w:rsidRPr="00EB1AAB">
        <w:rPr>
          <w:rFonts w:ascii="Arial" w:eastAsia="Arial" w:hAnsi="Arial" w:cs="Arial"/>
          <w:spacing w:val="6"/>
        </w:rPr>
        <w:t xml:space="preserve"> </w:t>
      </w:r>
      <w:r w:rsidRPr="00EB1AAB">
        <w:rPr>
          <w:rFonts w:ascii="Arial" w:eastAsia="Arial" w:hAnsi="Arial" w:cs="Arial"/>
          <w:spacing w:val="-3"/>
          <w:w w:val="101"/>
        </w:rPr>
        <w:t>o</w:t>
      </w:r>
      <w:r w:rsidRPr="00EB1AAB">
        <w:rPr>
          <w:rFonts w:ascii="Arial" w:eastAsia="Arial" w:hAnsi="Arial" w:cs="Arial"/>
          <w:spacing w:val="1"/>
          <w:w w:val="101"/>
        </w:rPr>
        <w:t>cc</w:t>
      </w:r>
      <w:r w:rsidRPr="00EB1AAB">
        <w:rPr>
          <w:rFonts w:ascii="Arial" w:eastAsia="Arial" w:hAnsi="Arial" w:cs="Arial"/>
          <w:w w:val="101"/>
        </w:rPr>
        <w:t>u</w:t>
      </w:r>
      <w:r w:rsidRPr="00EB1AAB">
        <w:rPr>
          <w:rFonts w:ascii="Arial" w:eastAsia="Arial" w:hAnsi="Arial" w:cs="Arial"/>
          <w:spacing w:val="-1"/>
          <w:w w:val="101"/>
        </w:rPr>
        <w:t>r</w:t>
      </w:r>
      <w:r w:rsidRPr="00EB1AAB">
        <w:rPr>
          <w:rFonts w:ascii="Arial" w:eastAsia="Arial" w:hAnsi="Arial" w:cs="Arial"/>
          <w:w w:val="101"/>
        </w:rPr>
        <w:t>.</w:t>
      </w:r>
    </w:p>
    <w:p w14:paraId="7E425665" w14:textId="77777777" w:rsidR="00655E4C" w:rsidRPr="00EB1AAB" w:rsidRDefault="00655E4C" w:rsidP="00655E4C">
      <w:pPr>
        <w:spacing w:before="12"/>
        <w:rPr>
          <w:rFonts w:ascii="Arial" w:hAnsi="Arial" w:cs="Arial"/>
        </w:rPr>
      </w:pPr>
    </w:p>
    <w:p w14:paraId="51F967A3" w14:textId="77777777" w:rsidR="00655E4C" w:rsidRPr="00EB1AAB" w:rsidRDefault="00655E4C" w:rsidP="00655E4C">
      <w:pPr>
        <w:ind w:right="-88"/>
        <w:rPr>
          <w:rFonts w:ascii="Arial" w:eastAsia="Arial" w:hAnsi="Arial" w:cs="Arial"/>
        </w:rPr>
      </w:pPr>
      <w:r w:rsidRPr="00EB1AAB">
        <w:rPr>
          <w:rFonts w:ascii="Arial" w:eastAsia="Arial" w:hAnsi="Arial" w:cs="Arial"/>
        </w:rPr>
        <w:t>Un</w:t>
      </w:r>
      <w:r w:rsidRPr="00EB1AAB">
        <w:rPr>
          <w:rFonts w:ascii="Arial" w:eastAsia="Arial" w:hAnsi="Arial" w:cs="Arial"/>
          <w:spacing w:val="-1"/>
        </w:rPr>
        <w:t>d</w:t>
      </w:r>
      <w:r w:rsidRPr="00EB1AAB">
        <w:rPr>
          <w:rFonts w:ascii="Arial" w:eastAsia="Arial" w:hAnsi="Arial" w:cs="Arial"/>
        </w:rPr>
        <w:t>er</w:t>
      </w:r>
      <w:r w:rsidRPr="00EB1AAB">
        <w:rPr>
          <w:rFonts w:ascii="Arial" w:eastAsia="Arial" w:hAnsi="Arial" w:cs="Arial"/>
          <w:spacing w:val="6"/>
        </w:rPr>
        <w:t xml:space="preserve"> </w:t>
      </w:r>
      <w:r w:rsidRPr="00EB1AAB">
        <w:rPr>
          <w:rFonts w:ascii="Arial" w:eastAsia="Arial" w:hAnsi="Arial" w:cs="Arial"/>
          <w:spacing w:val="3"/>
        </w:rPr>
        <w:t>c</w:t>
      </w:r>
      <w:r w:rsidRPr="00EB1AAB">
        <w:rPr>
          <w:rFonts w:ascii="Arial" w:eastAsia="Arial" w:hAnsi="Arial" w:cs="Arial"/>
          <w:spacing w:val="-3"/>
        </w:rPr>
        <w:t>a</w:t>
      </w:r>
      <w:r w:rsidRPr="00EB1AAB">
        <w:rPr>
          <w:rFonts w:ascii="Arial" w:eastAsia="Arial" w:hAnsi="Arial" w:cs="Arial"/>
        </w:rPr>
        <w:t>p</w:t>
      </w:r>
      <w:r w:rsidRPr="00EB1AAB">
        <w:rPr>
          <w:rFonts w:ascii="Arial" w:eastAsia="Arial" w:hAnsi="Arial" w:cs="Arial"/>
          <w:spacing w:val="1"/>
        </w:rPr>
        <w:t>i</w:t>
      </w:r>
      <w:r w:rsidRPr="00EB1AAB">
        <w:rPr>
          <w:rFonts w:ascii="Arial" w:eastAsia="Arial" w:hAnsi="Arial" w:cs="Arial"/>
        </w:rPr>
        <w:t>tal</w:t>
      </w:r>
      <w:r w:rsidRPr="00EB1AAB">
        <w:rPr>
          <w:rFonts w:ascii="Arial" w:eastAsia="Arial" w:hAnsi="Arial" w:cs="Arial"/>
          <w:spacing w:val="11"/>
        </w:rPr>
        <w:t xml:space="preserve"> </w:t>
      </w:r>
      <w:r w:rsidRPr="00EB1AAB">
        <w:rPr>
          <w:rFonts w:ascii="Arial" w:eastAsia="Arial" w:hAnsi="Arial" w:cs="Arial"/>
          <w:spacing w:val="-3"/>
        </w:rPr>
        <w:t>a</w:t>
      </w:r>
      <w:r w:rsidRPr="00EB1AAB">
        <w:rPr>
          <w:rFonts w:ascii="Arial" w:eastAsia="Arial" w:hAnsi="Arial" w:cs="Arial"/>
          <w:spacing w:val="1"/>
        </w:rPr>
        <w:t>c</w:t>
      </w:r>
      <w:r w:rsidRPr="00EB1AAB">
        <w:rPr>
          <w:rFonts w:ascii="Arial" w:eastAsia="Arial" w:hAnsi="Arial" w:cs="Arial"/>
          <w:spacing w:val="-2"/>
        </w:rPr>
        <w:t>c</w:t>
      </w:r>
      <w:r w:rsidRPr="00EB1AAB">
        <w:rPr>
          <w:rFonts w:ascii="Arial" w:eastAsia="Arial" w:hAnsi="Arial" w:cs="Arial"/>
          <w:spacing w:val="2"/>
        </w:rPr>
        <w:t>o</w:t>
      </w:r>
      <w:r w:rsidRPr="00EB1AAB">
        <w:rPr>
          <w:rFonts w:ascii="Arial" w:eastAsia="Arial" w:hAnsi="Arial" w:cs="Arial"/>
        </w:rPr>
        <w:t>unt</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g</w:t>
      </w:r>
      <w:r w:rsidRPr="00EB1AAB">
        <w:rPr>
          <w:rFonts w:ascii="Arial" w:eastAsia="Arial" w:hAnsi="Arial" w:cs="Arial"/>
          <w:spacing w:val="12"/>
        </w:rPr>
        <w:t xml:space="preserve"> </w:t>
      </w:r>
      <w:r w:rsidRPr="00EB1AAB">
        <w:rPr>
          <w:rFonts w:ascii="Arial" w:eastAsia="Arial" w:hAnsi="Arial" w:cs="Arial"/>
          <w:spacing w:val="2"/>
        </w:rPr>
        <w:t>re</w:t>
      </w:r>
      <w:r w:rsidRPr="00EB1AAB">
        <w:rPr>
          <w:rFonts w:ascii="Arial" w:eastAsia="Arial" w:hAnsi="Arial" w:cs="Arial"/>
          <w:spacing w:val="-2"/>
        </w:rPr>
        <w:t>g</w:t>
      </w:r>
      <w:r w:rsidRPr="00EB1AAB">
        <w:rPr>
          <w:rFonts w:ascii="Arial" w:eastAsia="Arial" w:hAnsi="Arial" w:cs="Arial"/>
        </w:rPr>
        <w:t>u</w:t>
      </w:r>
      <w:r w:rsidRPr="00EB1AAB">
        <w:rPr>
          <w:rFonts w:ascii="Arial" w:eastAsia="Arial" w:hAnsi="Arial" w:cs="Arial"/>
          <w:spacing w:val="1"/>
        </w:rPr>
        <w:t>l</w:t>
      </w:r>
      <w:r w:rsidRPr="00EB1AAB">
        <w:rPr>
          <w:rFonts w:ascii="Arial" w:eastAsia="Arial" w:hAnsi="Arial" w:cs="Arial"/>
        </w:rPr>
        <w:t>at</w:t>
      </w:r>
      <w:r w:rsidRPr="00EB1AAB">
        <w:rPr>
          <w:rFonts w:ascii="Arial" w:eastAsia="Arial" w:hAnsi="Arial" w:cs="Arial"/>
          <w:spacing w:val="1"/>
        </w:rPr>
        <w:t>i</w:t>
      </w:r>
      <w:r w:rsidRPr="00EB1AAB">
        <w:rPr>
          <w:rFonts w:ascii="Arial" w:eastAsia="Arial" w:hAnsi="Arial" w:cs="Arial"/>
        </w:rPr>
        <w:t>o</w:t>
      </w:r>
      <w:r w:rsidRPr="00EB1AAB">
        <w:rPr>
          <w:rFonts w:ascii="Arial" w:eastAsia="Arial" w:hAnsi="Arial" w:cs="Arial"/>
          <w:spacing w:val="-3"/>
        </w:rPr>
        <w:t>n</w:t>
      </w:r>
      <w:r w:rsidRPr="00EB1AAB">
        <w:rPr>
          <w:rFonts w:ascii="Arial" w:eastAsia="Arial" w:hAnsi="Arial" w:cs="Arial"/>
        </w:rPr>
        <w:t>s</w:t>
      </w:r>
      <w:r w:rsidRPr="00EB1AAB">
        <w:rPr>
          <w:rFonts w:ascii="Arial" w:eastAsia="Arial" w:hAnsi="Arial" w:cs="Arial"/>
          <w:spacing w:val="16"/>
        </w:rPr>
        <w:t xml:space="preserve"> </w:t>
      </w:r>
      <w:r w:rsidRPr="00EB1AAB">
        <w:rPr>
          <w:rFonts w:ascii="Arial" w:eastAsia="Arial" w:hAnsi="Arial" w:cs="Arial"/>
          <w:spacing w:val="-1"/>
        </w:rPr>
        <w:t>w</w:t>
      </w:r>
      <w:r w:rsidRPr="00EB1AAB">
        <w:rPr>
          <w:rFonts w:ascii="Arial" w:eastAsia="Arial" w:hAnsi="Arial" w:cs="Arial"/>
          <w:spacing w:val="2"/>
        </w:rPr>
        <w:t>h</w:t>
      </w:r>
      <w:r w:rsidRPr="00EB1AAB">
        <w:rPr>
          <w:rFonts w:ascii="Arial" w:eastAsia="Arial" w:hAnsi="Arial" w:cs="Arial"/>
          <w:spacing w:val="-3"/>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3"/>
        </w:rPr>
        <w:t>t</w:t>
      </w:r>
      <w:r w:rsidRPr="00EB1AAB">
        <w:rPr>
          <w:rFonts w:ascii="Arial" w:eastAsia="Arial" w:hAnsi="Arial" w:cs="Arial"/>
        </w:rPr>
        <w:t>h</w:t>
      </w:r>
      <w:r w:rsidRPr="00EB1AAB">
        <w:rPr>
          <w:rFonts w:ascii="Arial" w:eastAsia="Arial" w:hAnsi="Arial" w:cs="Arial"/>
          <w:spacing w:val="-2"/>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spacing w:val="3"/>
        </w:rPr>
        <w:t>s</w:t>
      </w:r>
      <w:r w:rsidRPr="00EB1AAB">
        <w:rPr>
          <w:rFonts w:ascii="Arial" w:eastAsia="Arial" w:hAnsi="Arial" w:cs="Arial"/>
          <w:spacing w:val="-2"/>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9"/>
        </w:rPr>
        <w:t xml:space="preserve"> </w:t>
      </w:r>
      <w:r w:rsidRPr="00EB1AAB">
        <w:rPr>
          <w:rFonts w:ascii="Arial" w:eastAsia="Arial" w:hAnsi="Arial" w:cs="Arial"/>
        </w:rPr>
        <w:t>we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3"/>
        </w:rPr>
        <w:t>a</w:t>
      </w:r>
      <w:r w:rsidRPr="00EB1AAB">
        <w:rPr>
          <w:rFonts w:ascii="Arial" w:eastAsia="Arial" w:hAnsi="Arial" w:cs="Arial"/>
          <w:spacing w:val="5"/>
        </w:rPr>
        <w:t>t</w:t>
      </w:r>
      <w:r w:rsidRPr="00EB1AAB">
        <w:rPr>
          <w:rFonts w:ascii="Arial" w:eastAsia="Arial" w:hAnsi="Arial" w:cs="Arial"/>
          <w:spacing w:val="-3"/>
        </w:rPr>
        <w:t>e</w:t>
      </w:r>
      <w:r w:rsidRPr="00EB1AAB">
        <w:rPr>
          <w:rFonts w:ascii="Arial" w:eastAsia="Arial" w:hAnsi="Arial" w:cs="Arial"/>
        </w:rPr>
        <w:t>d</w:t>
      </w:r>
      <w:r w:rsidRPr="00EB1AAB">
        <w:rPr>
          <w:rFonts w:ascii="Arial" w:eastAsia="Arial" w:hAnsi="Arial" w:cs="Arial"/>
          <w:spacing w:val="10"/>
        </w:rPr>
        <w:t xml:space="preserve"> </w:t>
      </w:r>
      <w:r w:rsidRPr="00EB1AAB">
        <w:rPr>
          <w:rFonts w:ascii="Arial" w:eastAsia="Arial" w:hAnsi="Arial" w:cs="Arial"/>
          <w:spacing w:val="-2"/>
        </w:rPr>
        <w:t>a</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1"/>
          <w:w w:val="101"/>
        </w:rPr>
        <w:t>c</w:t>
      </w:r>
      <w:r w:rsidRPr="00EB1AAB">
        <w:rPr>
          <w:rFonts w:ascii="Arial" w:eastAsia="Arial" w:hAnsi="Arial" w:cs="Arial"/>
          <w:w w:val="101"/>
        </w:rPr>
        <w:t>ap</w:t>
      </w:r>
      <w:r w:rsidRPr="00EB1AAB">
        <w:rPr>
          <w:rFonts w:ascii="Arial" w:eastAsia="Arial" w:hAnsi="Arial" w:cs="Arial"/>
          <w:spacing w:val="1"/>
          <w:w w:val="101"/>
        </w:rPr>
        <w:t>i</w:t>
      </w:r>
      <w:r w:rsidRPr="00EB1AAB">
        <w:rPr>
          <w:rFonts w:ascii="Arial" w:eastAsia="Arial" w:hAnsi="Arial" w:cs="Arial"/>
          <w:spacing w:val="2"/>
          <w:w w:val="101"/>
        </w:rPr>
        <w:t>t</w:t>
      </w:r>
      <w:r w:rsidRPr="00EB1AAB">
        <w:rPr>
          <w:rFonts w:ascii="Arial" w:eastAsia="Arial" w:hAnsi="Arial" w:cs="Arial"/>
          <w:spacing w:val="-3"/>
          <w:w w:val="101"/>
        </w:rPr>
        <w:t>a</w:t>
      </w:r>
      <w:r w:rsidRPr="00EB1AAB">
        <w:rPr>
          <w:rFonts w:ascii="Arial" w:eastAsia="Arial" w:hAnsi="Arial" w:cs="Arial"/>
          <w:w w:val="101"/>
        </w:rPr>
        <w:t xml:space="preserve">l </w:t>
      </w:r>
      <w:r w:rsidRPr="00EB1AAB">
        <w:rPr>
          <w:rFonts w:ascii="Arial" w:eastAsia="Arial" w:hAnsi="Arial" w:cs="Arial"/>
        </w:rPr>
        <w:t>e</w:t>
      </w:r>
      <w:r w:rsidRPr="00EB1AAB">
        <w:rPr>
          <w:rFonts w:ascii="Arial" w:eastAsia="Arial" w:hAnsi="Arial" w:cs="Arial"/>
          <w:spacing w:val="-2"/>
        </w:rPr>
        <w:t>x</w:t>
      </w:r>
      <w:r w:rsidRPr="00EB1AAB">
        <w:rPr>
          <w:rFonts w:ascii="Arial" w:eastAsia="Arial" w:hAnsi="Arial" w:cs="Arial"/>
          <w:spacing w:val="2"/>
        </w:rPr>
        <w:t>p</w:t>
      </w:r>
      <w:r w:rsidRPr="00EB1AAB">
        <w:rPr>
          <w:rFonts w:ascii="Arial" w:eastAsia="Arial" w:hAnsi="Arial" w:cs="Arial"/>
          <w:spacing w:val="-3"/>
        </w:rPr>
        <w:t>e</w:t>
      </w:r>
      <w:r w:rsidRPr="00EB1AAB">
        <w:rPr>
          <w:rFonts w:ascii="Arial" w:eastAsia="Arial" w:hAnsi="Arial" w:cs="Arial"/>
          <w:spacing w:val="2"/>
        </w:rPr>
        <w:t>n</w:t>
      </w:r>
      <w:r w:rsidRPr="00EB1AAB">
        <w:rPr>
          <w:rFonts w:ascii="Arial" w:eastAsia="Arial" w:hAnsi="Arial" w:cs="Arial"/>
          <w:spacing w:val="-3"/>
        </w:rPr>
        <w:t>d</w:t>
      </w:r>
      <w:r w:rsidRPr="00EB1AAB">
        <w:rPr>
          <w:rFonts w:ascii="Arial" w:eastAsia="Arial" w:hAnsi="Arial" w:cs="Arial"/>
          <w:spacing w:val="4"/>
        </w:rPr>
        <w:t>i</w:t>
      </w:r>
      <w:r w:rsidRPr="00EB1AAB">
        <w:rPr>
          <w:rFonts w:ascii="Arial" w:eastAsia="Arial" w:hAnsi="Arial" w:cs="Arial"/>
        </w:rPr>
        <w:t>t</w:t>
      </w:r>
      <w:r w:rsidRPr="00EB1AAB">
        <w:rPr>
          <w:rFonts w:ascii="Arial" w:eastAsia="Arial" w:hAnsi="Arial" w:cs="Arial"/>
          <w:spacing w:val="-2"/>
        </w:rPr>
        <w:t>u</w:t>
      </w:r>
      <w:r w:rsidRPr="00EB1AAB">
        <w:rPr>
          <w:rFonts w:ascii="Arial" w:eastAsia="Arial" w:hAnsi="Arial" w:cs="Arial"/>
          <w:spacing w:val="4"/>
        </w:rPr>
        <w:t>r</w:t>
      </w:r>
      <w:r w:rsidRPr="00EB1AAB">
        <w:rPr>
          <w:rFonts w:ascii="Arial" w:eastAsia="Arial" w:hAnsi="Arial" w:cs="Arial"/>
        </w:rPr>
        <w:t>e</w:t>
      </w:r>
      <w:r w:rsidRPr="00EB1AAB">
        <w:rPr>
          <w:rFonts w:ascii="Arial" w:eastAsia="Arial" w:hAnsi="Arial" w:cs="Arial"/>
          <w:spacing w:val="11"/>
        </w:rPr>
        <w:t xml:space="preserve"> </w:t>
      </w:r>
      <w:r w:rsidRPr="00EB1AAB">
        <w:rPr>
          <w:rFonts w:ascii="Arial" w:eastAsia="Arial" w:hAnsi="Arial" w:cs="Arial"/>
          <w:spacing w:val="2"/>
        </w:rPr>
        <w:t>t</w:t>
      </w:r>
      <w:r w:rsidRPr="00EB1AAB">
        <w:rPr>
          <w:rFonts w:ascii="Arial" w:eastAsia="Arial" w:hAnsi="Arial" w:cs="Arial"/>
          <w:spacing w:val="-3"/>
        </w:rPr>
        <w:t>h</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3"/>
        </w:rPr>
        <w:t>g</w:t>
      </w:r>
      <w:r w:rsidRPr="00EB1AAB">
        <w:rPr>
          <w:rFonts w:ascii="Arial" w:eastAsia="Arial" w:hAnsi="Arial" w:cs="Arial"/>
        </w:rPr>
        <w:t>a</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7"/>
        </w:rPr>
        <w:t xml:space="preserve"> </w:t>
      </w:r>
      <w:r w:rsidRPr="00EB1AAB">
        <w:rPr>
          <w:rFonts w:ascii="Arial" w:eastAsia="Arial" w:hAnsi="Arial" w:cs="Arial"/>
        </w:rPr>
        <w:t>or</w:t>
      </w:r>
      <w:r w:rsidRPr="00EB1AAB">
        <w:rPr>
          <w:rFonts w:ascii="Arial" w:eastAsia="Arial" w:hAnsi="Arial" w:cs="Arial"/>
          <w:spacing w:val="4"/>
        </w:rPr>
        <w:t xml:space="preserve"> </w:t>
      </w:r>
      <w:r w:rsidRPr="00EB1AAB">
        <w:rPr>
          <w:rFonts w:ascii="Arial" w:eastAsia="Arial" w:hAnsi="Arial" w:cs="Arial"/>
          <w:spacing w:val="1"/>
        </w:rPr>
        <w:t>l</w:t>
      </w:r>
      <w:r w:rsidRPr="00EB1AAB">
        <w:rPr>
          <w:rFonts w:ascii="Arial" w:eastAsia="Arial" w:hAnsi="Arial" w:cs="Arial"/>
        </w:rPr>
        <w:t>oss</w:t>
      </w:r>
      <w:r w:rsidRPr="00EB1AAB">
        <w:rPr>
          <w:rFonts w:ascii="Arial" w:eastAsia="Arial" w:hAnsi="Arial" w:cs="Arial"/>
          <w:spacing w:val="4"/>
        </w:rPr>
        <w:t xml:space="preserve"> i</w:t>
      </w:r>
      <w:r w:rsidRPr="00EB1AAB">
        <w:rPr>
          <w:rFonts w:ascii="Arial" w:eastAsia="Arial" w:hAnsi="Arial" w:cs="Arial"/>
        </w:rPr>
        <w:t>s</w:t>
      </w:r>
      <w:r w:rsidRPr="00EB1AAB">
        <w:rPr>
          <w:rFonts w:ascii="Arial" w:eastAsia="Arial" w:hAnsi="Arial" w:cs="Arial"/>
          <w:spacing w:val="2"/>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1"/>
        </w:rPr>
        <w:t>v</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1"/>
        </w:rPr>
        <w:t>s</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10"/>
        </w:rPr>
        <w:t xml:space="preserve"> </w:t>
      </w:r>
      <w:r w:rsidRPr="00EB1AAB">
        <w:rPr>
          <w:rFonts w:ascii="Arial" w:eastAsia="Arial" w:hAnsi="Arial" w:cs="Arial"/>
        </w:rPr>
        <w:t>th</w:t>
      </w:r>
      <w:r w:rsidRPr="00EB1AAB">
        <w:rPr>
          <w:rFonts w:ascii="Arial" w:eastAsia="Arial" w:hAnsi="Arial" w:cs="Arial"/>
          <w:spacing w:val="1"/>
        </w:rPr>
        <w:t>r</w:t>
      </w:r>
      <w:r w:rsidRPr="00EB1AAB">
        <w:rPr>
          <w:rFonts w:ascii="Arial" w:eastAsia="Arial" w:hAnsi="Arial" w:cs="Arial"/>
          <w:spacing w:val="-3"/>
        </w:rPr>
        <w:t>o</w:t>
      </w:r>
      <w:r w:rsidRPr="00EB1AAB">
        <w:rPr>
          <w:rFonts w:ascii="Arial" w:eastAsia="Arial" w:hAnsi="Arial" w:cs="Arial"/>
          <w:spacing w:val="2"/>
        </w:rPr>
        <w:t>u</w:t>
      </w:r>
      <w:r w:rsidRPr="00EB1AAB">
        <w:rPr>
          <w:rFonts w:ascii="Arial" w:eastAsia="Arial" w:hAnsi="Arial" w:cs="Arial"/>
          <w:spacing w:val="-3"/>
        </w:rPr>
        <w:t>g</w:t>
      </w:r>
      <w:r w:rsidRPr="00EB1AAB">
        <w:rPr>
          <w:rFonts w:ascii="Arial" w:eastAsia="Arial" w:hAnsi="Arial" w:cs="Arial"/>
        </w:rPr>
        <w:t>h</w:t>
      </w:r>
      <w:r w:rsidRPr="00EB1AAB">
        <w:rPr>
          <w:rFonts w:ascii="Arial" w:eastAsia="Arial" w:hAnsi="Arial" w:cs="Arial"/>
          <w:spacing w:val="9"/>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rPr>
        <w:t>M</w:t>
      </w:r>
      <w:r w:rsidRPr="00EB1AAB">
        <w:rPr>
          <w:rFonts w:ascii="Arial" w:eastAsia="Arial" w:hAnsi="Arial" w:cs="Arial"/>
          <w:spacing w:val="-1"/>
        </w:rPr>
        <w:t>ov</w:t>
      </w:r>
      <w:r w:rsidRPr="00EB1AAB">
        <w:rPr>
          <w:rFonts w:ascii="Arial" w:eastAsia="Arial" w:hAnsi="Arial" w:cs="Arial"/>
        </w:rPr>
        <w:t>e</w:t>
      </w:r>
      <w:r w:rsidRPr="00EB1AAB">
        <w:rPr>
          <w:rFonts w:ascii="Arial" w:eastAsia="Arial" w:hAnsi="Arial" w:cs="Arial"/>
          <w:spacing w:val="2"/>
        </w:rPr>
        <w:t>m</w:t>
      </w:r>
      <w:r w:rsidRPr="00EB1AAB">
        <w:rPr>
          <w:rFonts w:ascii="Arial" w:eastAsia="Arial" w:hAnsi="Arial" w:cs="Arial"/>
        </w:rPr>
        <w:t>ent</w:t>
      </w:r>
      <w:r w:rsidRPr="00EB1AAB">
        <w:rPr>
          <w:rFonts w:ascii="Arial" w:eastAsia="Arial" w:hAnsi="Arial" w:cs="Arial"/>
          <w:spacing w:val="11"/>
        </w:rPr>
        <w:t xml:space="preserve"> </w:t>
      </w:r>
      <w:r w:rsidRPr="00EB1AAB">
        <w:rPr>
          <w:rFonts w:ascii="Arial" w:eastAsia="Arial" w:hAnsi="Arial" w:cs="Arial"/>
          <w:spacing w:val="4"/>
        </w:rPr>
        <w:t>i</w:t>
      </w:r>
      <w:r w:rsidRPr="00EB1AAB">
        <w:rPr>
          <w:rFonts w:ascii="Arial" w:eastAsia="Arial" w:hAnsi="Arial" w:cs="Arial"/>
        </w:rPr>
        <w:t>n</w:t>
      </w:r>
      <w:r w:rsidRPr="00EB1AAB">
        <w:rPr>
          <w:rFonts w:ascii="Arial" w:eastAsia="Arial" w:hAnsi="Arial" w:cs="Arial"/>
          <w:spacing w:val="3"/>
        </w:rPr>
        <w:t xml:space="preserve"> </w:t>
      </w:r>
      <w:r w:rsidRPr="00EB1AAB">
        <w:rPr>
          <w:rFonts w:ascii="Arial" w:eastAsia="Arial" w:hAnsi="Arial" w:cs="Arial"/>
        </w:rPr>
        <w:t>R</w:t>
      </w:r>
      <w:r w:rsidRPr="00EB1AAB">
        <w:rPr>
          <w:rFonts w:ascii="Arial" w:eastAsia="Arial" w:hAnsi="Arial" w:cs="Arial"/>
          <w:spacing w:val="-2"/>
        </w:rPr>
        <w:t>e</w:t>
      </w:r>
      <w:r w:rsidRPr="00EB1AAB">
        <w:rPr>
          <w:rFonts w:ascii="Arial" w:eastAsia="Arial" w:hAnsi="Arial" w:cs="Arial"/>
          <w:spacing w:val="1"/>
        </w:rPr>
        <w:t>s</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1"/>
        </w:rPr>
        <w:t>v</w:t>
      </w:r>
      <w:r w:rsidRPr="00EB1AAB">
        <w:rPr>
          <w:rFonts w:ascii="Arial" w:eastAsia="Arial" w:hAnsi="Arial" w:cs="Arial"/>
        </w:rPr>
        <w:t>es</w:t>
      </w:r>
      <w:r w:rsidRPr="00EB1AAB">
        <w:rPr>
          <w:rFonts w:ascii="Arial" w:eastAsia="Arial" w:hAnsi="Arial" w:cs="Arial"/>
          <w:spacing w:val="12"/>
        </w:rPr>
        <w:t xml:space="preserve"> </w:t>
      </w:r>
      <w:r w:rsidRPr="00EB1AAB">
        <w:rPr>
          <w:rFonts w:ascii="Arial" w:eastAsia="Arial" w:hAnsi="Arial" w:cs="Arial"/>
          <w:w w:val="101"/>
        </w:rPr>
        <w:t>Sta</w:t>
      </w:r>
      <w:r w:rsidRPr="00EB1AAB">
        <w:rPr>
          <w:rFonts w:ascii="Arial" w:eastAsia="Arial" w:hAnsi="Arial" w:cs="Arial"/>
          <w:spacing w:val="-1"/>
          <w:w w:val="101"/>
        </w:rPr>
        <w:t>t</w:t>
      </w:r>
      <w:r w:rsidRPr="00EB1AAB">
        <w:rPr>
          <w:rFonts w:ascii="Arial" w:eastAsia="Arial" w:hAnsi="Arial" w:cs="Arial"/>
          <w:spacing w:val="-3"/>
          <w:w w:val="101"/>
        </w:rPr>
        <w:t>e</w:t>
      </w:r>
      <w:r w:rsidRPr="00EB1AAB">
        <w:rPr>
          <w:rFonts w:ascii="Arial" w:eastAsia="Arial" w:hAnsi="Arial" w:cs="Arial"/>
          <w:spacing w:val="2"/>
          <w:w w:val="101"/>
        </w:rPr>
        <w:t>me</w:t>
      </w:r>
      <w:r w:rsidRPr="00EB1AAB">
        <w:rPr>
          <w:rFonts w:ascii="Arial" w:eastAsia="Arial" w:hAnsi="Arial" w:cs="Arial"/>
          <w:spacing w:val="-3"/>
          <w:w w:val="101"/>
        </w:rPr>
        <w:t>n</w:t>
      </w:r>
      <w:r w:rsidRPr="00EB1AAB">
        <w:rPr>
          <w:rFonts w:ascii="Arial" w:eastAsia="Arial" w:hAnsi="Arial" w:cs="Arial"/>
          <w:w w:val="101"/>
        </w:rPr>
        <w:t xml:space="preserve">t </w:t>
      </w:r>
      <w:r w:rsidRPr="00EB1AAB">
        <w:rPr>
          <w:rFonts w:ascii="Arial" w:eastAsia="Arial" w:hAnsi="Arial" w:cs="Arial"/>
        </w:rPr>
        <w:t>and</w:t>
      </w:r>
      <w:r w:rsidRPr="00EB1AAB">
        <w:rPr>
          <w:rFonts w:ascii="Arial" w:eastAsia="Arial" w:hAnsi="Arial" w:cs="Arial"/>
          <w:spacing w:val="5"/>
        </w:rPr>
        <w:t xml:space="preserve"> </w:t>
      </w:r>
      <w:r w:rsidRPr="00EB1AAB">
        <w:rPr>
          <w:rFonts w:ascii="Arial" w:eastAsia="Arial" w:hAnsi="Arial" w:cs="Arial"/>
          <w:spacing w:val="1"/>
        </w:rPr>
        <w:t>c</w:t>
      </w:r>
      <w:r w:rsidRPr="00EB1AAB">
        <w:rPr>
          <w:rFonts w:ascii="Arial" w:eastAsia="Arial" w:hAnsi="Arial" w:cs="Arial"/>
        </w:rPr>
        <w:t>ha</w:t>
      </w:r>
      <w:r w:rsidRPr="00EB1AAB">
        <w:rPr>
          <w:rFonts w:ascii="Arial" w:eastAsia="Arial" w:hAnsi="Arial" w:cs="Arial"/>
          <w:spacing w:val="1"/>
        </w:rPr>
        <w:t>r</w:t>
      </w:r>
      <w:r w:rsidRPr="00EB1AAB">
        <w:rPr>
          <w:rFonts w:ascii="Arial" w:eastAsia="Arial" w:hAnsi="Arial" w:cs="Arial"/>
          <w:spacing w:val="-2"/>
        </w:rPr>
        <w:t>g</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7"/>
        </w:rPr>
        <w:t xml:space="preserve"> </w:t>
      </w:r>
      <w:r w:rsidRPr="00EB1AAB">
        <w:rPr>
          <w:rFonts w:ascii="Arial" w:eastAsia="Arial" w:hAnsi="Arial" w:cs="Arial"/>
          <w:spacing w:val="2"/>
        </w:rPr>
        <w:t>t</w:t>
      </w:r>
      <w:r w:rsidRPr="00EB1AAB">
        <w:rPr>
          <w:rFonts w:ascii="Arial" w:eastAsia="Arial" w:hAnsi="Arial" w:cs="Arial"/>
        </w:rPr>
        <w:t>o</w:t>
      </w:r>
      <w:r w:rsidRPr="00EB1AAB">
        <w:rPr>
          <w:rFonts w:ascii="Arial" w:eastAsia="Arial" w:hAnsi="Arial" w:cs="Arial"/>
          <w:spacing w:val="3"/>
        </w:rPr>
        <w:t xml:space="preserve"> the </w:t>
      </w:r>
      <w:r w:rsidRPr="00EB1AAB">
        <w:rPr>
          <w:rFonts w:ascii="Arial" w:eastAsia="Arial" w:hAnsi="Arial" w:cs="Arial"/>
          <w:spacing w:val="2"/>
        </w:rPr>
        <w:t>C</w:t>
      </w:r>
      <w:r w:rsidRPr="00EB1AAB">
        <w:rPr>
          <w:rFonts w:ascii="Arial" w:eastAsia="Arial" w:hAnsi="Arial" w:cs="Arial"/>
        </w:rPr>
        <w:t>a</w:t>
      </w:r>
      <w:r w:rsidRPr="00EB1AAB">
        <w:rPr>
          <w:rFonts w:ascii="Arial" w:eastAsia="Arial" w:hAnsi="Arial" w:cs="Arial"/>
          <w:spacing w:val="-1"/>
        </w:rPr>
        <w:t>p</w:t>
      </w:r>
      <w:r w:rsidRPr="00EB1AAB">
        <w:rPr>
          <w:rFonts w:ascii="Arial" w:eastAsia="Arial" w:hAnsi="Arial" w:cs="Arial"/>
          <w:spacing w:val="1"/>
        </w:rPr>
        <w:t>i</w:t>
      </w:r>
      <w:r w:rsidRPr="00EB1AAB">
        <w:rPr>
          <w:rFonts w:ascii="Arial" w:eastAsia="Arial" w:hAnsi="Arial" w:cs="Arial"/>
        </w:rPr>
        <w:t>tal</w:t>
      </w:r>
      <w:r w:rsidRPr="00EB1AAB">
        <w:rPr>
          <w:rFonts w:ascii="Arial" w:eastAsia="Arial" w:hAnsi="Arial" w:cs="Arial"/>
          <w:spacing w:val="9"/>
        </w:rPr>
        <w:t xml:space="preserve"> </w:t>
      </w:r>
      <w:r w:rsidRPr="00EB1AAB">
        <w:rPr>
          <w:rFonts w:ascii="Arial" w:eastAsia="Arial" w:hAnsi="Arial" w:cs="Arial"/>
          <w:spacing w:val="3"/>
        </w:rPr>
        <w:t>A</w:t>
      </w:r>
      <w:r w:rsidRPr="00EB1AAB">
        <w:rPr>
          <w:rFonts w:ascii="Arial" w:eastAsia="Arial" w:hAnsi="Arial" w:cs="Arial"/>
          <w:spacing w:val="-2"/>
        </w:rPr>
        <w:t>d</w:t>
      </w:r>
      <w:r w:rsidRPr="00EB1AAB">
        <w:rPr>
          <w:rFonts w:ascii="Arial" w:eastAsia="Arial" w:hAnsi="Arial" w:cs="Arial"/>
          <w:spacing w:val="3"/>
        </w:rPr>
        <w:t>j</w:t>
      </w:r>
      <w:r w:rsidRPr="00EB1AAB">
        <w:rPr>
          <w:rFonts w:ascii="Arial" w:eastAsia="Arial" w:hAnsi="Arial" w:cs="Arial"/>
          <w:spacing w:val="-3"/>
        </w:rPr>
        <w:t>u</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rPr>
        <w:t>nt</w:t>
      </w:r>
      <w:r w:rsidRPr="00EB1AAB">
        <w:rPr>
          <w:rFonts w:ascii="Arial" w:eastAsia="Arial" w:hAnsi="Arial" w:cs="Arial"/>
          <w:spacing w:val="12"/>
        </w:rPr>
        <w:t xml:space="preserve"> </w:t>
      </w:r>
      <w:r w:rsidRPr="00EB1AAB">
        <w:rPr>
          <w:rFonts w:ascii="Arial" w:eastAsia="Arial" w:hAnsi="Arial" w:cs="Arial"/>
          <w:spacing w:val="3"/>
          <w:w w:val="101"/>
        </w:rPr>
        <w:t>A</w:t>
      </w:r>
      <w:r w:rsidRPr="00EB1AAB">
        <w:rPr>
          <w:rFonts w:ascii="Arial" w:eastAsia="Arial" w:hAnsi="Arial" w:cs="Arial"/>
          <w:spacing w:val="-1"/>
          <w:w w:val="101"/>
        </w:rPr>
        <w:t>c</w:t>
      </w:r>
      <w:r w:rsidRPr="00EB1AAB">
        <w:rPr>
          <w:rFonts w:ascii="Arial" w:eastAsia="Arial" w:hAnsi="Arial" w:cs="Arial"/>
          <w:spacing w:val="1"/>
          <w:w w:val="101"/>
        </w:rPr>
        <w:t>c</w:t>
      </w:r>
      <w:r w:rsidRPr="00EB1AAB">
        <w:rPr>
          <w:rFonts w:ascii="Arial" w:eastAsia="Arial" w:hAnsi="Arial" w:cs="Arial"/>
          <w:spacing w:val="-3"/>
          <w:w w:val="101"/>
        </w:rPr>
        <w:t>o</w:t>
      </w:r>
      <w:r w:rsidRPr="00EB1AAB">
        <w:rPr>
          <w:rFonts w:ascii="Arial" w:eastAsia="Arial" w:hAnsi="Arial" w:cs="Arial"/>
          <w:w w:val="101"/>
        </w:rPr>
        <w:t>u</w:t>
      </w:r>
      <w:r w:rsidRPr="00EB1AAB">
        <w:rPr>
          <w:rFonts w:ascii="Arial" w:eastAsia="Arial" w:hAnsi="Arial" w:cs="Arial"/>
          <w:spacing w:val="-1"/>
          <w:w w:val="101"/>
        </w:rPr>
        <w:t>n</w:t>
      </w:r>
      <w:r w:rsidRPr="00EB1AAB">
        <w:rPr>
          <w:rFonts w:ascii="Arial" w:eastAsia="Arial" w:hAnsi="Arial" w:cs="Arial"/>
          <w:w w:val="101"/>
        </w:rPr>
        <w:t>t</w:t>
      </w:r>
      <w:r w:rsidRPr="00EB1AAB">
        <w:rPr>
          <w:rFonts w:ascii="Arial" w:eastAsia="Arial" w:hAnsi="Arial" w:cs="Arial"/>
        </w:rPr>
        <w:t>, which is an</w:t>
      </w:r>
      <w:r w:rsidRPr="00EB1AAB">
        <w:rPr>
          <w:rFonts w:ascii="Arial" w:eastAsia="Arial" w:hAnsi="Arial" w:cs="Arial"/>
          <w:spacing w:val="6"/>
        </w:rPr>
        <w:t xml:space="preserve"> </w:t>
      </w:r>
      <w:r w:rsidRPr="00EB1AAB">
        <w:rPr>
          <w:rFonts w:ascii="Arial" w:eastAsia="Arial" w:hAnsi="Arial" w:cs="Arial"/>
          <w:spacing w:val="-3"/>
        </w:rPr>
        <w:t>u</w:t>
      </w:r>
      <w:r w:rsidRPr="00EB1AAB">
        <w:rPr>
          <w:rFonts w:ascii="Arial" w:eastAsia="Arial" w:hAnsi="Arial" w:cs="Arial"/>
          <w:spacing w:val="2"/>
        </w:rPr>
        <w:t>n</w:t>
      </w:r>
      <w:r w:rsidRPr="00EB1AAB">
        <w:rPr>
          <w:rFonts w:ascii="Arial" w:eastAsia="Arial" w:hAnsi="Arial" w:cs="Arial"/>
        </w:rPr>
        <w:t>usa</w:t>
      </w:r>
      <w:r w:rsidRPr="00EB1AAB">
        <w:rPr>
          <w:rFonts w:ascii="Arial" w:eastAsia="Arial" w:hAnsi="Arial" w:cs="Arial"/>
          <w:spacing w:val="-3"/>
        </w:rPr>
        <w:t>b</w:t>
      </w:r>
      <w:r w:rsidRPr="00EB1AAB">
        <w:rPr>
          <w:rFonts w:ascii="Arial" w:eastAsia="Arial" w:hAnsi="Arial" w:cs="Arial"/>
          <w:spacing w:val="1"/>
        </w:rPr>
        <w:t>l</w:t>
      </w:r>
      <w:r w:rsidRPr="00EB1AAB">
        <w:rPr>
          <w:rFonts w:ascii="Arial" w:eastAsia="Arial" w:hAnsi="Arial" w:cs="Arial"/>
        </w:rPr>
        <w:t>e</w:t>
      </w:r>
      <w:r w:rsidRPr="00EB1AAB">
        <w:rPr>
          <w:rFonts w:ascii="Arial" w:eastAsia="Arial" w:hAnsi="Arial" w:cs="Arial"/>
          <w:spacing w:val="10"/>
        </w:rPr>
        <w:t xml:space="preserve"> </w:t>
      </w:r>
      <w:r w:rsidRPr="00EB1AAB">
        <w:rPr>
          <w:rFonts w:ascii="Arial" w:eastAsia="Arial" w:hAnsi="Arial" w:cs="Arial"/>
          <w:spacing w:val="2"/>
        </w:rPr>
        <w:t>r</w:t>
      </w:r>
      <w:r w:rsidRPr="00EB1AAB">
        <w:rPr>
          <w:rFonts w:ascii="Arial" w:eastAsia="Arial" w:hAnsi="Arial" w:cs="Arial"/>
        </w:rPr>
        <w:t>ese</w:t>
      </w:r>
      <w:r w:rsidRPr="00EB1AAB">
        <w:rPr>
          <w:rFonts w:ascii="Arial" w:eastAsia="Arial" w:hAnsi="Arial" w:cs="Arial"/>
          <w:spacing w:val="-1"/>
        </w:rPr>
        <w:t>r</w:t>
      </w:r>
      <w:r w:rsidRPr="00EB1AAB">
        <w:rPr>
          <w:rFonts w:ascii="Arial" w:eastAsia="Arial" w:hAnsi="Arial" w:cs="Arial"/>
          <w:spacing w:val="1"/>
        </w:rPr>
        <w:t>v</w:t>
      </w:r>
      <w:r w:rsidRPr="00EB1AAB">
        <w:rPr>
          <w:rFonts w:ascii="Arial" w:eastAsia="Arial" w:hAnsi="Arial" w:cs="Arial"/>
        </w:rPr>
        <w:t>e.</w:t>
      </w:r>
      <w:r w:rsidRPr="00EB1AAB">
        <w:rPr>
          <w:rFonts w:ascii="Arial" w:eastAsia="Arial" w:hAnsi="Arial" w:cs="Arial"/>
          <w:spacing w:val="9"/>
        </w:rPr>
        <w:t xml:space="preserve"> </w:t>
      </w:r>
    </w:p>
    <w:p w14:paraId="6809B74C" w14:textId="77777777" w:rsidR="00655E4C" w:rsidRPr="00EB1AAB" w:rsidRDefault="00655E4C" w:rsidP="00655E4C">
      <w:pPr>
        <w:rPr>
          <w:rFonts w:ascii="Arial" w:eastAsia="Arial" w:hAnsi="Arial" w:cs="Arial"/>
        </w:rPr>
      </w:pPr>
    </w:p>
    <w:p w14:paraId="40DBC847" w14:textId="4A9F1167" w:rsidR="00A506A6" w:rsidRPr="00A506A6" w:rsidRDefault="00655E4C" w:rsidP="00A506A6">
      <w:pPr>
        <w:spacing w:before="4"/>
        <w:ind w:right="-88"/>
        <w:rPr>
          <w:rFonts w:ascii="Arial" w:eastAsia="Arial" w:hAnsi="Arial" w:cs="Arial"/>
        </w:rPr>
      </w:pPr>
      <w:r w:rsidRPr="00EB1AAB">
        <w:rPr>
          <w:rFonts w:ascii="Arial" w:eastAsia="Arial" w:hAnsi="Arial" w:cs="Arial"/>
        </w:rPr>
        <w:t>An</w:t>
      </w:r>
      <w:r w:rsidRPr="00EB1AAB">
        <w:rPr>
          <w:rFonts w:ascii="Arial" w:eastAsia="Arial" w:hAnsi="Arial" w:cs="Arial"/>
          <w:spacing w:val="4"/>
        </w:rPr>
        <w:t xml:space="preserve"> </w:t>
      </w:r>
      <w:r w:rsidRPr="00EB1AAB">
        <w:rPr>
          <w:rFonts w:ascii="Arial" w:eastAsia="Arial" w:hAnsi="Arial" w:cs="Arial"/>
        </w:rPr>
        <w:t>eq</w:t>
      </w:r>
      <w:r w:rsidRPr="00EB1AAB">
        <w:rPr>
          <w:rFonts w:ascii="Arial" w:eastAsia="Arial" w:hAnsi="Arial" w:cs="Arial"/>
          <w:spacing w:val="-1"/>
        </w:rPr>
        <w:t>u</w:t>
      </w:r>
      <w:r w:rsidRPr="00EB1AAB">
        <w:rPr>
          <w:rFonts w:ascii="Arial" w:eastAsia="Arial" w:hAnsi="Arial" w:cs="Arial"/>
          <w:spacing w:val="1"/>
        </w:rPr>
        <w:t>i</w:t>
      </w:r>
      <w:r w:rsidRPr="00EB1AAB">
        <w:rPr>
          <w:rFonts w:ascii="Arial" w:eastAsia="Arial" w:hAnsi="Arial" w:cs="Arial"/>
          <w:spacing w:val="2"/>
        </w:rPr>
        <w:t>t</w:t>
      </w:r>
      <w:r w:rsidRPr="00EB1AAB">
        <w:rPr>
          <w:rFonts w:ascii="Arial" w:eastAsia="Arial" w:hAnsi="Arial" w:cs="Arial"/>
        </w:rPr>
        <w:t>y</w:t>
      </w:r>
      <w:r w:rsidRPr="00EB1AAB">
        <w:rPr>
          <w:rFonts w:ascii="Arial" w:eastAsia="Arial" w:hAnsi="Arial" w:cs="Arial"/>
          <w:spacing w:val="3"/>
        </w:rPr>
        <w:t xml:space="preserve"> i</w:t>
      </w:r>
      <w:r w:rsidRPr="00EB1AAB">
        <w:rPr>
          <w:rFonts w:ascii="Arial" w:eastAsia="Arial" w:hAnsi="Arial" w:cs="Arial"/>
          <w:spacing w:val="-3"/>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u</w:t>
      </w:r>
      <w:r w:rsidRPr="00EB1AAB">
        <w:rPr>
          <w:rFonts w:ascii="Arial" w:eastAsia="Arial" w:hAnsi="Arial" w:cs="Arial"/>
          <w:spacing w:val="-1"/>
        </w:rPr>
        <w:t>m</w:t>
      </w:r>
      <w:r w:rsidRPr="00EB1AAB">
        <w:rPr>
          <w:rFonts w:ascii="Arial" w:eastAsia="Arial" w:hAnsi="Arial" w:cs="Arial"/>
          <w:spacing w:val="2"/>
        </w:rPr>
        <w:t>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spacing w:val="-3"/>
        </w:rPr>
        <w:t>a</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spacing w:val="-2"/>
        </w:rPr>
        <w:t>h</w:t>
      </w:r>
      <w:r w:rsidRPr="00EB1AAB">
        <w:rPr>
          <w:rFonts w:ascii="Arial" w:eastAsia="Arial" w:hAnsi="Arial" w:cs="Arial"/>
        </w:rPr>
        <w:t>as</w:t>
      </w:r>
      <w:r w:rsidRPr="00EB1AAB">
        <w:rPr>
          <w:rFonts w:ascii="Arial" w:eastAsia="Arial" w:hAnsi="Arial" w:cs="Arial"/>
          <w:spacing w:val="9"/>
        </w:rPr>
        <w:t xml:space="preserve"> </w:t>
      </w:r>
      <w:r w:rsidRPr="00EB1AAB">
        <w:rPr>
          <w:rFonts w:ascii="Arial" w:eastAsia="Arial" w:hAnsi="Arial" w:cs="Arial"/>
          <w:spacing w:val="-3"/>
        </w:rPr>
        <w:t>b</w:t>
      </w:r>
      <w:r w:rsidRPr="00EB1AAB">
        <w:rPr>
          <w:rFonts w:ascii="Arial" w:eastAsia="Arial" w:hAnsi="Arial" w:cs="Arial"/>
          <w:spacing w:val="2"/>
        </w:rPr>
        <w:t>e</w:t>
      </w:r>
      <w:r w:rsidRPr="00EB1AAB">
        <w:rPr>
          <w:rFonts w:ascii="Arial" w:eastAsia="Arial" w:hAnsi="Arial" w:cs="Arial"/>
        </w:rPr>
        <w:t>en</w:t>
      </w:r>
      <w:r w:rsidRPr="00EB1AAB">
        <w:rPr>
          <w:rFonts w:ascii="Arial" w:eastAsia="Arial" w:hAnsi="Arial" w:cs="Arial"/>
          <w:spacing w:val="6"/>
        </w:rPr>
        <w:t xml:space="preserve"> </w:t>
      </w:r>
      <w:r w:rsidRPr="00EB1AAB">
        <w:rPr>
          <w:rFonts w:ascii="Arial" w:eastAsia="Arial" w:hAnsi="Arial" w:cs="Arial"/>
          <w:spacing w:val="1"/>
        </w:rPr>
        <w:t>cl</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7"/>
        </w:rPr>
        <w:t xml:space="preserve"> </w:t>
      </w:r>
      <w:r w:rsidRPr="00EB1AAB">
        <w:rPr>
          <w:rFonts w:ascii="Arial" w:eastAsia="Arial" w:hAnsi="Arial" w:cs="Arial"/>
        </w:rPr>
        <w:t>as</w:t>
      </w:r>
      <w:r w:rsidRPr="00EB1AAB">
        <w:rPr>
          <w:rFonts w:ascii="Arial" w:eastAsia="Arial" w:hAnsi="Arial" w:cs="Arial"/>
          <w:spacing w:val="6"/>
        </w:rPr>
        <w:t xml:space="preserve"> </w:t>
      </w:r>
      <w:r w:rsidRPr="00EB1AAB">
        <w:rPr>
          <w:rFonts w:ascii="Arial" w:eastAsia="Arial" w:hAnsi="Arial" w:cs="Arial"/>
          <w:spacing w:val="-1"/>
        </w:rPr>
        <w:t>F</w:t>
      </w:r>
      <w:r w:rsidRPr="00EB1AAB">
        <w:rPr>
          <w:rFonts w:ascii="Arial" w:eastAsia="Arial" w:hAnsi="Arial" w:cs="Arial"/>
        </w:rPr>
        <w:t>V</w:t>
      </w:r>
      <w:r w:rsidRPr="00EB1AAB">
        <w:rPr>
          <w:rFonts w:ascii="Arial" w:eastAsia="Arial" w:hAnsi="Arial" w:cs="Arial"/>
          <w:spacing w:val="3"/>
        </w:rPr>
        <w:t>P</w:t>
      </w:r>
      <w:r w:rsidRPr="00EB1AAB">
        <w:rPr>
          <w:rFonts w:ascii="Arial" w:eastAsia="Arial" w:hAnsi="Arial" w:cs="Arial"/>
        </w:rPr>
        <w:t>L</w:t>
      </w:r>
      <w:r w:rsidRPr="00EB1AAB">
        <w:rPr>
          <w:rFonts w:ascii="Arial" w:eastAsia="Arial" w:hAnsi="Arial" w:cs="Arial"/>
          <w:spacing w:val="5"/>
        </w:rPr>
        <w:t xml:space="preserve"> </w:t>
      </w:r>
      <w:r w:rsidRPr="00EB1AAB">
        <w:rPr>
          <w:rFonts w:ascii="Arial" w:eastAsia="Arial" w:hAnsi="Arial" w:cs="Arial"/>
          <w:spacing w:val="1"/>
        </w:rPr>
        <w:t>c</w:t>
      </w:r>
      <w:r w:rsidRPr="00EB1AAB">
        <w:rPr>
          <w:rFonts w:ascii="Arial" w:eastAsia="Arial" w:hAnsi="Arial" w:cs="Arial"/>
        </w:rPr>
        <w:t>an</w:t>
      </w:r>
      <w:r w:rsidRPr="00EB1AAB">
        <w:rPr>
          <w:rFonts w:ascii="Arial" w:eastAsia="Arial" w:hAnsi="Arial" w:cs="Arial"/>
          <w:spacing w:val="2"/>
        </w:rPr>
        <w:t xml:space="preserve"> b</w:t>
      </w:r>
      <w:r w:rsidRPr="00EB1AAB">
        <w:rPr>
          <w:rFonts w:ascii="Arial" w:eastAsia="Arial" w:hAnsi="Arial" w:cs="Arial"/>
        </w:rPr>
        <w:t>e</w:t>
      </w:r>
      <w:r w:rsidRPr="00EB1AAB">
        <w:rPr>
          <w:rFonts w:ascii="Arial" w:eastAsia="Arial" w:hAnsi="Arial" w:cs="Arial"/>
          <w:spacing w:val="4"/>
        </w:rPr>
        <w:t xml:space="preserve"> d</w:t>
      </w:r>
      <w:r w:rsidRPr="00EB1AAB">
        <w:rPr>
          <w:rFonts w:ascii="Arial" w:eastAsia="Arial" w:hAnsi="Arial" w:cs="Arial"/>
        </w:rPr>
        <w:t>e</w:t>
      </w:r>
      <w:r w:rsidRPr="00EB1AAB">
        <w:rPr>
          <w:rFonts w:ascii="Arial" w:eastAsia="Arial" w:hAnsi="Arial" w:cs="Arial"/>
          <w:spacing w:val="-2"/>
        </w:rPr>
        <w:t>s</w:t>
      </w:r>
      <w:r w:rsidRPr="00EB1AAB">
        <w:rPr>
          <w:rFonts w:ascii="Arial" w:eastAsia="Arial" w:hAnsi="Arial" w:cs="Arial"/>
          <w:spacing w:val="3"/>
        </w:rPr>
        <w:t>i</w:t>
      </w:r>
      <w:r w:rsidRPr="00EB1AAB">
        <w:rPr>
          <w:rFonts w:ascii="Arial" w:eastAsia="Arial" w:hAnsi="Arial" w:cs="Arial"/>
          <w:spacing w:val="-3"/>
        </w:rPr>
        <w:t>g</w:t>
      </w:r>
      <w:r w:rsidRPr="00EB1AAB">
        <w:rPr>
          <w:rFonts w:ascii="Arial" w:eastAsia="Arial" w:hAnsi="Arial" w:cs="Arial"/>
          <w:spacing w:val="2"/>
        </w:rPr>
        <w:t>n</w:t>
      </w:r>
      <w:r w:rsidRPr="00EB1AAB">
        <w:rPr>
          <w:rFonts w:ascii="Arial" w:eastAsia="Arial" w:hAnsi="Arial" w:cs="Arial"/>
          <w:spacing w:val="-3"/>
        </w:rPr>
        <w:t>a</w:t>
      </w:r>
      <w:r w:rsidRPr="00EB1AAB">
        <w:rPr>
          <w:rFonts w:ascii="Arial" w:eastAsia="Arial" w:hAnsi="Arial" w:cs="Arial"/>
          <w:spacing w:val="2"/>
        </w:rPr>
        <w:t>t</w:t>
      </w:r>
      <w:r w:rsidRPr="00EB1AAB">
        <w:rPr>
          <w:rFonts w:ascii="Arial" w:eastAsia="Arial" w:hAnsi="Arial" w:cs="Arial"/>
        </w:rPr>
        <w:t>ed</w:t>
      </w:r>
      <w:r w:rsidRPr="00EB1AAB">
        <w:rPr>
          <w:rFonts w:ascii="Arial" w:eastAsia="Arial" w:hAnsi="Arial" w:cs="Arial"/>
          <w:spacing w:val="14"/>
        </w:rPr>
        <w:t xml:space="preserve"> </w:t>
      </w:r>
      <w:r w:rsidRPr="00EB1AAB">
        <w:rPr>
          <w:rFonts w:ascii="Arial" w:eastAsia="Arial" w:hAnsi="Arial" w:cs="Arial"/>
          <w:spacing w:val="-3"/>
        </w:rPr>
        <w:t>a</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1"/>
        </w:rPr>
        <w:t>FV</w:t>
      </w:r>
      <w:r w:rsidRPr="00EB1AAB">
        <w:rPr>
          <w:rFonts w:ascii="Arial" w:eastAsia="Arial" w:hAnsi="Arial" w:cs="Arial"/>
          <w:spacing w:val="-2"/>
        </w:rPr>
        <w:t>O</w:t>
      </w:r>
      <w:r w:rsidRPr="00EB1AAB">
        <w:rPr>
          <w:rFonts w:ascii="Arial" w:eastAsia="Arial" w:hAnsi="Arial" w:cs="Arial"/>
          <w:spacing w:val="-1"/>
        </w:rPr>
        <w:t>C</w:t>
      </w:r>
      <w:r w:rsidRPr="00EB1AAB">
        <w:rPr>
          <w:rFonts w:ascii="Arial" w:eastAsia="Arial" w:hAnsi="Arial" w:cs="Arial"/>
        </w:rPr>
        <w:t>I</w:t>
      </w:r>
      <w:r w:rsidRPr="00EB1AAB">
        <w:rPr>
          <w:rFonts w:ascii="Arial" w:eastAsia="Arial" w:hAnsi="Arial" w:cs="Arial"/>
          <w:spacing w:val="8"/>
        </w:rPr>
        <w:t xml:space="preserve"> </w:t>
      </w:r>
      <w:r w:rsidRPr="00EB1AAB">
        <w:rPr>
          <w:rFonts w:ascii="Arial" w:eastAsia="Arial" w:hAnsi="Arial" w:cs="Arial"/>
          <w:spacing w:val="4"/>
        </w:rPr>
        <w:t>i</w:t>
      </w:r>
      <w:r w:rsidRPr="00EB1AAB">
        <w:rPr>
          <w:rFonts w:ascii="Arial" w:eastAsia="Arial" w:hAnsi="Arial" w:cs="Arial"/>
        </w:rPr>
        <w:t>f</w:t>
      </w:r>
      <w:r w:rsidRPr="00EB1AAB">
        <w:rPr>
          <w:rFonts w:ascii="Arial" w:eastAsia="Arial" w:hAnsi="Arial" w:cs="Arial"/>
          <w:spacing w:val="2"/>
        </w:rPr>
        <w:t xml:space="preserve"> </w:t>
      </w:r>
      <w:r w:rsidRPr="00EB1AAB">
        <w:rPr>
          <w:rFonts w:ascii="Arial" w:eastAsia="Arial" w:hAnsi="Arial" w:cs="Arial"/>
          <w:spacing w:val="3"/>
        </w:rPr>
        <w:t>i</w:t>
      </w:r>
      <w:r w:rsidRPr="00EB1AAB">
        <w:rPr>
          <w:rFonts w:ascii="Arial" w:eastAsia="Arial" w:hAnsi="Arial" w:cs="Arial"/>
        </w:rPr>
        <w:t xml:space="preserve">t </w:t>
      </w:r>
      <w:r w:rsidRPr="00EB1AAB">
        <w:rPr>
          <w:rFonts w:ascii="Arial" w:eastAsia="Arial" w:hAnsi="Arial" w:cs="Arial"/>
          <w:spacing w:val="4"/>
          <w:w w:val="101"/>
        </w:rPr>
        <w:t>i</w:t>
      </w:r>
      <w:r w:rsidRPr="00EB1AAB">
        <w:rPr>
          <w:rFonts w:ascii="Arial" w:eastAsia="Arial" w:hAnsi="Arial" w:cs="Arial"/>
          <w:w w:val="101"/>
        </w:rPr>
        <w:t xml:space="preserve">s </w:t>
      </w:r>
      <w:r w:rsidRPr="00EB1AAB">
        <w:rPr>
          <w:rFonts w:ascii="Arial" w:eastAsia="Arial" w:hAnsi="Arial" w:cs="Arial"/>
        </w:rPr>
        <w:t>n</w:t>
      </w:r>
      <w:r w:rsidRPr="00EB1AAB">
        <w:rPr>
          <w:rFonts w:ascii="Arial" w:eastAsia="Arial" w:hAnsi="Arial" w:cs="Arial"/>
          <w:spacing w:val="-3"/>
        </w:rPr>
        <w:t>o</w:t>
      </w:r>
      <w:r w:rsidRPr="00EB1AAB">
        <w:rPr>
          <w:rFonts w:ascii="Arial" w:eastAsia="Arial" w:hAnsi="Arial" w:cs="Arial"/>
        </w:rPr>
        <w:t>t</w:t>
      </w:r>
      <w:r w:rsidRPr="00EB1AAB">
        <w:rPr>
          <w:rFonts w:ascii="Arial" w:eastAsia="Arial" w:hAnsi="Arial" w:cs="Arial"/>
          <w:spacing w:val="6"/>
        </w:rPr>
        <w:t xml:space="preserve"> </w:t>
      </w:r>
      <w:r w:rsidRPr="00EB1AAB">
        <w:rPr>
          <w:rFonts w:ascii="Arial" w:eastAsia="Arial" w:hAnsi="Arial" w:cs="Arial"/>
        </w:rPr>
        <w:t>he</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2"/>
        </w:rPr>
        <w:t>f</w:t>
      </w:r>
      <w:r w:rsidRPr="00EB1AAB">
        <w:rPr>
          <w:rFonts w:ascii="Arial" w:eastAsia="Arial" w:hAnsi="Arial" w:cs="Arial"/>
        </w:rPr>
        <w:t>or</w:t>
      </w:r>
      <w:r w:rsidRPr="00EB1AAB">
        <w:rPr>
          <w:rFonts w:ascii="Arial" w:eastAsia="Arial" w:hAnsi="Arial" w:cs="Arial"/>
          <w:spacing w:val="3"/>
        </w:rPr>
        <w:t xml:space="preserve"> </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a</w:t>
      </w:r>
      <w:r w:rsidRPr="00EB1AAB">
        <w:rPr>
          <w:rFonts w:ascii="Arial" w:eastAsia="Arial" w:hAnsi="Arial" w:cs="Arial"/>
          <w:spacing w:val="-3"/>
        </w:rPr>
        <w:t>d</w:t>
      </w:r>
      <w:r w:rsidRPr="00EB1AAB">
        <w:rPr>
          <w:rFonts w:ascii="Arial" w:eastAsia="Arial" w:hAnsi="Arial" w:cs="Arial"/>
          <w:spacing w:val="4"/>
        </w:rPr>
        <w:t>i</w:t>
      </w:r>
      <w:r w:rsidRPr="00EB1AAB">
        <w:rPr>
          <w:rFonts w:ascii="Arial" w:eastAsia="Arial" w:hAnsi="Arial" w:cs="Arial"/>
        </w:rPr>
        <w:t>ng</w:t>
      </w:r>
      <w:r w:rsidRPr="00EB1AAB">
        <w:rPr>
          <w:rFonts w:ascii="Arial" w:eastAsia="Arial" w:hAnsi="Arial" w:cs="Arial"/>
          <w:spacing w:val="7"/>
        </w:rPr>
        <w:t xml:space="preserve"> </w:t>
      </w:r>
      <w:r w:rsidRPr="00EB1AAB">
        <w:rPr>
          <w:rFonts w:ascii="Arial" w:eastAsia="Arial" w:hAnsi="Arial" w:cs="Arial"/>
          <w:spacing w:val="1"/>
        </w:rPr>
        <w:t>(</w:t>
      </w:r>
      <w:r w:rsidRPr="00EB1AAB">
        <w:rPr>
          <w:rFonts w:ascii="Arial" w:eastAsia="Arial" w:hAnsi="Arial" w:cs="Arial"/>
        </w:rPr>
        <w:t>e.</w:t>
      </w:r>
      <w:r w:rsidRPr="00EB1AAB">
        <w:rPr>
          <w:rFonts w:ascii="Arial" w:eastAsia="Arial" w:hAnsi="Arial" w:cs="Arial"/>
          <w:spacing w:val="-3"/>
        </w:rPr>
        <w:t>g</w:t>
      </w:r>
      <w:r w:rsidRPr="00EB1AAB">
        <w:rPr>
          <w:rFonts w:ascii="Arial" w:eastAsia="Arial" w:hAnsi="Arial" w:cs="Arial"/>
        </w:rPr>
        <w:t>.</w:t>
      </w:r>
      <w:r w:rsidRPr="00EB1AAB">
        <w:rPr>
          <w:rFonts w:ascii="Arial" w:eastAsia="Arial" w:hAnsi="Arial" w:cs="Arial"/>
          <w:spacing w:val="9"/>
        </w:rPr>
        <w:t xml:space="preserve"> </w:t>
      </w:r>
      <w:r w:rsidRPr="00EB1AAB">
        <w:rPr>
          <w:rFonts w:ascii="Arial" w:eastAsia="Arial" w:hAnsi="Arial" w:cs="Arial"/>
        </w:rPr>
        <w:t>a</w:t>
      </w:r>
      <w:r w:rsidRPr="00EB1AAB">
        <w:rPr>
          <w:rFonts w:ascii="Arial" w:eastAsia="Arial" w:hAnsi="Arial" w:cs="Arial"/>
          <w:spacing w:val="2"/>
        </w:rPr>
        <w:t xml:space="preserve"> </w:t>
      </w:r>
      <w:r w:rsidRPr="00EB1AAB">
        <w:rPr>
          <w:rFonts w:ascii="Arial" w:eastAsia="Arial" w:hAnsi="Arial" w:cs="Arial"/>
          <w:spacing w:val="-1"/>
        </w:rPr>
        <w:t>s</w:t>
      </w:r>
      <w:r w:rsidRPr="00EB1AAB">
        <w:rPr>
          <w:rFonts w:ascii="Arial" w:eastAsia="Arial" w:hAnsi="Arial" w:cs="Arial"/>
          <w:spacing w:val="2"/>
        </w:rPr>
        <w:t>t</w:t>
      </w:r>
      <w:r w:rsidRPr="00EB1AAB">
        <w:rPr>
          <w:rFonts w:ascii="Arial" w:eastAsia="Arial" w:hAnsi="Arial" w:cs="Arial"/>
          <w:spacing w:val="-1"/>
        </w:rPr>
        <w:t>r</w:t>
      </w:r>
      <w:r w:rsidRPr="00EB1AAB">
        <w:rPr>
          <w:rFonts w:ascii="Arial" w:eastAsia="Arial" w:hAnsi="Arial" w:cs="Arial"/>
          <w:spacing w:val="-3"/>
        </w:rPr>
        <w:t>a</w:t>
      </w:r>
      <w:r w:rsidRPr="00EB1AAB">
        <w:rPr>
          <w:rFonts w:ascii="Arial" w:eastAsia="Arial" w:hAnsi="Arial" w:cs="Arial"/>
          <w:spacing w:val="5"/>
        </w:rPr>
        <w:t>t</w:t>
      </w:r>
      <w:r w:rsidRPr="00EB1AAB">
        <w:rPr>
          <w:rFonts w:ascii="Arial" w:eastAsia="Arial" w:hAnsi="Arial" w:cs="Arial"/>
          <w:spacing w:val="-3"/>
        </w:rPr>
        <w:t>e</w:t>
      </w:r>
      <w:r w:rsidRPr="00EB1AAB">
        <w:rPr>
          <w:rFonts w:ascii="Arial" w:eastAsia="Arial" w:hAnsi="Arial" w:cs="Arial"/>
        </w:rPr>
        <w:t>g</w:t>
      </w:r>
      <w:r w:rsidRPr="00EB1AAB">
        <w:rPr>
          <w:rFonts w:ascii="Arial" w:eastAsia="Arial" w:hAnsi="Arial" w:cs="Arial"/>
          <w:spacing w:val="1"/>
        </w:rPr>
        <w:t>i</w:t>
      </w:r>
      <w:r w:rsidRPr="00EB1AAB">
        <w:rPr>
          <w:rFonts w:ascii="Arial" w:eastAsia="Arial" w:hAnsi="Arial" w:cs="Arial"/>
        </w:rPr>
        <w:t>c</w:t>
      </w:r>
      <w:r w:rsidRPr="00EB1AAB">
        <w:rPr>
          <w:rFonts w:ascii="Arial" w:eastAsia="Arial" w:hAnsi="Arial" w:cs="Arial"/>
          <w:spacing w:val="11"/>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v</w:t>
      </w:r>
      <w:r w:rsidRPr="00EB1AAB">
        <w:rPr>
          <w:rFonts w:ascii="Arial" w:eastAsia="Arial" w:hAnsi="Arial" w:cs="Arial"/>
          <w:spacing w:val="-2"/>
        </w:rPr>
        <w:t>e</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2"/>
        </w:rPr>
        <w:t>m</w:t>
      </w:r>
      <w:r w:rsidRPr="00EB1AAB">
        <w:rPr>
          <w:rFonts w:ascii="Arial" w:eastAsia="Arial" w:hAnsi="Arial" w:cs="Arial"/>
        </w:rPr>
        <w:t>ent</w:t>
      </w:r>
      <w:r w:rsidRPr="00EB1AAB">
        <w:rPr>
          <w:rFonts w:ascii="Arial" w:eastAsia="Arial" w:hAnsi="Arial" w:cs="Arial"/>
          <w:spacing w:val="-1"/>
        </w:rPr>
        <w:t>)</w:t>
      </w:r>
      <w:r w:rsidRPr="00EB1AAB">
        <w:rPr>
          <w:rFonts w:ascii="Arial" w:eastAsia="Arial" w:hAnsi="Arial" w:cs="Arial"/>
        </w:rPr>
        <w:t>.</w:t>
      </w:r>
      <w:r w:rsidRPr="00EB1AAB">
        <w:rPr>
          <w:rFonts w:ascii="Arial" w:eastAsia="Arial" w:hAnsi="Arial" w:cs="Arial"/>
          <w:spacing w:val="15"/>
        </w:rPr>
        <w:t xml:space="preserve"> </w:t>
      </w:r>
      <w:r w:rsidRPr="00EB1AAB">
        <w:rPr>
          <w:rFonts w:ascii="Arial" w:eastAsia="Arial" w:hAnsi="Arial" w:cs="Arial"/>
          <w:spacing w:val="1"/>
        </w:rPr>
        <w:t>O</w:t>
      </w:r>
      <w:r w:rsidRPr="00EB1AAB">
        <w:rPr>
          <w:rFonts w:ascii="Arial" w:eastAsia="Arial" w:hAnsi="Arial" w:cs="Arial"/>
          <w:spacing w:val="-3"/>
        </w:rPr>
        <w:t>n</w:t>
      </w:r>
      <w:r w:rsidRPr="00EB1AAB">
        <w:rPr>
          <w:rFonts w:ascii="Arial" w:eastAsia="Arial" w:hAnsi="Arial" w:cs="Arial"/>
          <w:spacing w:val="1"/>
        </w:rPr>
        <w:t>c</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2"/>
        </w:rPr>
        <w:t>t</w:t>
      </w:r>
      <w:r w:rsidRPr="00EB1AAB">
        <w:rPr>
          <w:rFonts w:ascii="Arial" w:eastAsia="Arial" w:hAnsi="Arial" w:cs="Arial"/>
          <w:spacing w:val="-3"/>
        </w:rPr>
        <w:t>h</w:t>
      </w:r>
      <w:r w:rsidRPr="00EB1AAB">
        <w:rPr>
          <w:rFonts w:ascii="Arial" w:eastAsia="Arial" w:hAnsi="Arial" w:cs="Arial"/>
          <w:spacing w:val="3"/>
        </w:rPr>
        <w:t>i</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spacing w:val="-3"/>
        </w:rPr>
        <w:t>d</w:t>
      </w:r>
      <w:r w:rsidRPr="00EB1AAB">
        <w:rPr>
          <w:rFonts w:ascii="Arial" w:eastAsia="Arial" w:hAnsi="Arial" w:cs="Arial"/>
        </w:rPr>
        <w:t>e</w:t>
      </w:r>
      <w:r w:rsidRPr="00EB1AAB">
        <w:rPr>
          <w:rFonts w:ascii="Arial" w:eastAsia="Arial" w:hAnsi="Arial" w:cs="Arial"/>
          <w:spacing w:val="-2"/>
        </w:rPr>
        <w:t>s</w:t>
      </w:r>
      <w:r w:rsidRPr="00EB1AAB">
        <w:rPr>
          <w:rFonts w:ascii="Arial" w:eastAsia="Arial" w:hAnsi="Arial" w:cs="Arial"/>
          <w:spacing w:val="3"/>
        </w:rPr>
        <w:t>i</w:t>
      </w:r>
      <w:r w:rsidRPr="00EB1AAB">
        <w:rPr>
          <w:rFonts w:ascii="Arial" w:eastAsia="Arial" w:hAnsi="Arial" w:cs="Arial"/>
          <w:spacing w:val="-2"/>
        </w:rPr>
        <w:t>g</w:t>
      </w:r>
      <w:r w:rsidRPr="00EB1AAB">
        <w:rPr>
          <w:rFonts w:ascii="Arial" w:eastAsia="Arial" w:hAnsi="Arial" w:cs="Arial"/>
          <w:spacing w:val="2"/>
        </w:rPr>
        <w:t>n</w:t>
      </w:r>
      <w:r w:rsidRPr="00EB1AAB">
        <w:rPr>
          <w:rFonts w:ascii="Arial" w:eastAsia="Arial" w:hAnsi="Arial" w:cs="Arial"/>
          <w:spacing w:val="-3"/>
        </w:rPr>
        <w:t>a</w:t>
      </w:r>
      <w:r w:rsidRPr="00EB1AAB">
        <w:rPr>
          <w:rFonts w:ascii="Arial" w:eastAsia="Arial" w:hAnsi="Arial" w:cs="Arial"/>
          <w:spacing w:val="2"/>
        </w:rPr>
        <w:t>t</w:t>
      </w:r>
      <w:r w:rsidRPr="00EB1AAB">
        <w:rPr>
          <w:rFonts w:ascii="Arial" w:eastAsia="Arial" w:hAnsi="Arial" w:cs="Arial"/>
          <w:spacing w:val="1"/>
        </w:rPr>
        <w:t>i</w:t>
      </w:r>
      <w:r w:rsidRPr="00EB1AAB">
        <w:rPr>
          <w:rFonts w:ascii="Arial" w:eastAsia="Arial" w:hAnsi="Arial" w:cs="Arial"/>
        </w:rPr>
        <w:t>on</w:t>
      </w:r>
      <w:r w:rsidRPr="00EB1AAB">
        <w:rPr>
          <w:rFonts w:ascii="Arial" w:eastAsia="Arial" w:hAnsi="Arial" w:cs="Arial"/>
          <w:spacing w:val="13"/>
        </w:rPr>
        <w:t xml:space="preserve"> </w:t>
      </w:r>
      <w:r w:rsidRPr="00EB1AAB">
        <w:rPr>
          <w:rFonts w:ascii="Arial" w:eastAsia="Arial" w:hAnsi="Arial" w:cs="Arial"/>
        </w:rPr>
        <w:t>h</w:t>
      </w:r>
      <w:r w:rsidRPr="00EB1AAB">
        <w:rPr>
          <w:rFonts w:ascii="Arial" w:eastAsia="Arial" w:hAnsi="Arial" w:cs="Arial"/>
          <w:spacing w:val="-2"/>
        </w:rPr>
        <w:t>a</w:t>
      </w:r>
      <w:r w:rsidRPr="00EB1AAB">
        <w:rPr>
          <w:rFonts w:ascii="Arial" w:eastAsia="Arial" w:hAnsi="Arial" w:cs="Arial"/>
        </w:rPr>
        <w:t>s</w:t>
      </w:r>
      <w:r w:rsidRPr="00EB1AAB">
        <w:rPr>
          <w:rFonts w:ascii="Arial" w:eastAsia="Arial" w:hAnsi="Arial" w:cs="Arial"/>
          <w:spacing w:val="8"/>
        </w:rPr>
        <w:t xml:space="preserve"> </w:t>
      </w:r>
      <w:r w:rsidRPr="00EB1AAB">
        <w:rPr>
          <w:rFonts w:ascii="Arial" w:eastAsia="Arial" w:hAnsi="Arial" w:cs="Arial"/>
        </w:rPr>
        <w:t>be</w:t>
      </w:r>
      <w:r w:rsidRPr="00EB1AAB">
        <w:rPr>
          <w:rFonts w:ascii="Arial" w:eastAsia="Arial" w:hAnsi="Arial" w:cs="Arial"/>
          <w:spacing w:val="2"/>
        </w:rPr>
        <w:t>e</w:t>
      </w:r>
      <w:r w:rsidRPr="00EB1AAB">
        <w:rPr>
          <w:rFonts w:ascii="Arial" w:eastAsia="Arial" w:hAnsi="Arial" w:cs="Arial"/>
        </w:rPr>
        <w:t>n</w:t>
      </w:r>
      <w:r w:rsidRPr="00EB1AAB">
        <w:rPr>
          <w:rFonts w:ascii="Arial" w:eastAsia="Arial" w:hAnsi="Arial" w:cs="Arial"/>
          <w:spacing w:val="6"/>
        </w:rPr>
        <w:t xml:space="preserve"> </w:t>
      </w:r>
      <w:r w:rsidRPr="00EB1AAB">
        <w:rPr>
          <w:rFonts w:ascii="Arial" w:eastAsia="Arial" w:hAnsi="Arial" w:cs="Arial"/>
          <w:w w:val="101"/>
        </w:rPr>
        <w:t>ma</w:t>
      </w:r>
      <w:r w:rsidRPr="00EB1AAB">
        <w:rPr>
          <w:rFonts w:ascii="Arial" w:eastAsia="Arial" w:hAnsi="Arial" w:cs="Arial"/>
          <w:spacing w:val="-3"/>
          <w:w w:val="101"/>
        </w:rPr>
        <w:t>d</w:t>
      </w:r>
      <w:r w:rsidRPr="00EB1AAB">
        <w:rPr>
          <w:rFonts w:ascii="Arial" w:eastAsia="Arial" w:hAnsi="Arial" w:cs="Arial"/>
          <w:w w:val="101"/>
        </w:rPr>
        <w:t>e</w:t>
      </w:r>
      <w:r w:rsidRPr="00EB1AAB">
        <w:rPr>
          <w:rFonts w:ascii="Arial" w:eastAsia="Arial" w:hAnsi="Arial" w:cs="Arial"/>
        </w:rPr>
        <w:t xml:space="preserve"> </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5"/>
        </w:rPr>
        <w:t xml:space="preserve"> </w:t>
      </w:r>
      <w:r w:rsidRPr="00EB1AAB">
        <w:rPr>
          <w:rFonts w:ascii="Arial" w:eastAsia="Arial" w:hAnsi="Arial" w:cs="Arial"/>
          <w:spacing w:val="1"/>
        </w:rPr>
        <w:t>c</w:t>
      </w:r>
      <w:r w:rsidRPr="00EB1AAB">
        <w:rPr>
          <w:rFonts w:ascii="Arial" w:eastAsia="Arial" w:hAnsi="Arial" w:cs="Arial"/>
          <w:spacing w:val="-3"/>
        </w:rPr>
        <w:t>a</w:t>
      </w:r>
      <w:r w:rsidRPr="00EB1AAB">
        <w:rPr>
          <w:rFonts w:ascii="Arial" w:eastAsia="Arial" w:hAnsi="Arial" w:cs="Arial"/>
        </w:rPr>
        <w:t>n</w:t>
      </w:r>
      <w:r w:rsidRPr="00EB1AAB">
        <w:rPr>
          <w:rFonts w:ascii="Arial" w:eastAsia="Arial" w:hAnsi="Arial" w:cs="Arial"/>
          <w:spacing w:val="-3"/>
        </w:rPr>
        <w:t>n</w:t>
      </w:r>
      <w:r w:rsidRPr="00EB1AAB">
        <w:rPr>
          <w:rFonts w:ascii="Arial" w:eastAsia="Arial" w:hAnsi="Arial" w:cs="Arial"/>
        </w:rPr>
        <w:t>ot</w:t>
      </w:r>
      <w:r w:rsidRPr="00EB1AAB">
        <w:rPr>
          <w:rFonts w:ascii="Arial" w:eastAsia="Arial" w:hAnsi="Arial" w:cs="Arial"/>
          <w:spacing w:val="8"/>
        </w:rPr>
        <w:t xml:space="preserve"> </w:t>
      </w:r>
      <w:r w:rsidRPr="00EB1AAB">
        <w:rPr>
          <w:rFonts w:ascii="Arial" w:eastAsia="Arial" w:hAnsi="Arial" w:cs="Arial"/>
          <w:spacing w:val="2"/>
        </w:rPr>
        <w:t>b</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1"/>
        </w:rPr>
        <w:t>v</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1"/>
        </w:rPr>
        <w:t>s</w:t>
      </w:r>
      <w:r w:rsidRPr="00EB1AAB">
        <w:rPr>
          <w:rFonts w:ascii="Arial" w:eastAsia="Arial" w:hAnsi="Arial" w:cs="Arial"/>
          <w:spacing w:val="2"/>
        </w:rPr>
        <w:t>e</w:t>
      </w:r>
      <w:r w:rsidRPr="00EB1AAB">
        <w:rPr>
          <w:rFonts w:ascii="Arial" w:eastAsia="Arial" w:hAnsi="Arial" w:cs="Arial"/>
          <w:spacing w:val="-3"/>
        </w:rPr>
        <w:t>d</w:t>
      </w:r>
      <w:r w:rsidRPr="00EB1AAB">
        <w:rPr>
          <w:rFonts w:ascii="Arial" w:eastAsia="Arial" w:hAnsi="Arial" w:cs="Arial"/>
        </w:rPr>
        <w:t>.</w:t>
      </w:r>
      <w:r w:rsidRPr="00EB1AAB">
        <w:rPr>
          <w:rFonts w:ascii="Arial" w:eastAsia="Arial" w:hAnsi="Arial" w:cs="Arial"/>
          <w:spacing w:val="16"/>
        </w:rPr>
        <w:t xml:space="preserve"> </w:t>
      </w:r>
      <w:r w:rsidRPr="00EB1AAB">
        <w:rPr>
          <w:rFonts w:ascii="Arial" w:eastAsia="Arial" w:hAnsi="Arial" w:cs="Arial"/>
          <w:spacing w:val="-1"/>
        </w:rPr>
        <w:t>T</w:t>
      </w:r>
      <w:r w:rsidRPr="00EB1AAB">
        <w:rPr>
          <w:rFonts w:ascii="Arial" w:eastAsia="Arial" w:hAnsi="Arial" w:cs="Arial"/>
        </w:rPr>
        <w:t>h</w:t>
      </w:r>
      <w:r w:rsidRPr="00EB1AAB">
        <w:rPr>
          <w:rFonts w:ascii="Arial" w:eastAsia="Arial" w:hAnsi="Arial" w:cs="Arial"/>
          <w:spacing w:val="1"/>
        </w:rPr>
        <w:t>i</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spacing w:val="-2"/>
        </w:rPr>
        <w:t>d</w:t>
      </w:r>
      <w:r w:rsidRPr="00EB1AAB">
        <w:rPr>
          <w:rFonts w:ascii="Arial" w:eastAsia="Arial" w:hAnsi="Arial" w:cs="Arial"/>
        </w:rPr>
        <w:t>e</w:t>
      </w:r>
      <w:r w:rsidRPr="00EB1AAB">
        <w:rPr>
          <w:rFonts w:ascii="Arial" w:eastAsia="Arial" w:hAnsi="Arial" w:cs="Arial"/>
          <w:spacing w:val="1"/>
        </w:rPr>
        <w:t>si</w:t>
      </w:r>
      <w:r w:rsidRPr="00EB1AAB">
        <w:rPr>
          <w:rFonts w:ascii="Arial" w:eastAsia="Arial" w:hAnsi="Arial" w:cs="Arial"/>
          <w:spacing w:val="-3"/>
        </w:rPr>
        <w:t>g</w:t>
      </w:r>
      <w:r w:rsidRPr="00EB1AAB">
        <w:rPr>
          <w:rFonts w:ascii="Arial" w:eastAsia="Arial" w:hAnsi="Arial" w:cs="Arial"/>
          <w:spacing w:val="2"/>
        </w:rPr>
        <w:t>n</w:t>
      </w:r>
      <w:r w:rsidRPr="00EB1AAB">
        <w:rPr>
          <w:rFonts w:ascii="Arial" w:eastAsia="Arial" w:hAnsi="Arial" w:cs="Arial"/>
        </w:rPr>
        <w:t>at</w:t>
      </w:r>
      <w:r w:rsidRPr="00EB1AAB">
        <w:rPr>
          <w:rFonts w:ascii="Arial" w:eastAsia="Arial" w:hAnsi="Arial" w:cs="Arial"/>
          <w:spacing w:val="1"/>
        </w:rPr>
        <w:t>i</w:t>
      </w:r>
      <w:r w:rsidRPr="00EB1AAB">
        <w:rPr>
          <w:rFonts w:ascii="Arial" w:eastAsia="Arial" w:hAnsi="Arial" w:cs="Arial"/>
        </w:rPr>
        <w:t>on</w:t>
      </w:r>
      <w:r w:rsidRPr="00EB1AAB">
        <w:rPr>
          <w:rFonts w:ascii="Arial" w:eastAsia="Arial" w:hAnsi="Arial" w:cs="Arial"/>
          <w:spacing w:val="13"/>
        </w:rPr>
        <w:t xml:space="preserve"> </w:t>
      </w:r>
      <w:r w:rsidRPr="00EB1AAB">
        <w:rPr>
          <w:rFonts w:ascii="Arial" w:eastAsia="Arial" w:hAnsi="Arial" w:cs="Arial"/>
          <w:spacing w:val="2"/>
        </w:rPr>
        <w:t>w</w:t>
      </w:r>
      <w:r w:rsidRPr="00EB1AAB">
        <w:rPr>
          <w:rFonts w:ascii="Arial" w:eastAsia="Arial" w:hAnsi="Arial" w:cs="Arial"/>
        </w:rPr>
        <w:t>ou</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7"/>
        </w:rPr>
        <w:t xml:space="preserve"> </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rPr>
        <w:t>an</w:t>
      </w:r>
      <w:r w:rsidRPr="00EB1AAB">
        <w:rPr>
          <w:rFonts w:ascii="Arial" w:eastAsia="Arial" w:hAnsi="Arial" w:cs="Arial"/>
          <w:spacing w:val="4"/>
        </w:rPr>
        <w:t xml:space="preserve"> </w:t>
      </w:r>
      <w:r w:rsidRPr="00EB1AAB">
        <w:rPr>
          <w:rFonts w:ascii="Arial" w:eastAsia="Arial" w:hAnsi="Arial" w:cs="Arial"/>
          <w:spacing w:val="3"/>
        </w:rPr>
        <w:t>t</w:t>
      </w:r>
      <w:r w:rsidRPr="00EB1AAB">
        <w:rPr>
          <w:rFonts w:ascii="Arial" w:eastAsia="Arial" w:hAnsi="Arial" w:cs="Arial"/>
        </w:rPr>
        <w:t>h</w:t>
      </w:r>
      <w:r w:rsidRPr="00EB1AAB">
        <w:rPr>
          <w:rFonts w:ascii="Arial" w:eastAsia="Arial" w:hAnsi="Arial" w:cs="Arial"/>
          <w:spacing w:val="-1"/>
        </w:rPr>
        <w:t>a</w:t>
      </w:r>
      <w:r w:rsidRPr="00EB1AAB">
        <w:rPr>
          <w:rFonts w:ascii="Arial" w:eastAsia="Arial" w:hAnsi="Arial" w:cs="Arial"/>
        </w:rPr>
        <w:t>t</w:t>
      </w:r>
      <w:r w:rsidRPr="00EB1AAB">
        <w:rPr>
          <w:rFonts w:ascii="Arial" w:eastAsia="Arial" w:hAnsi="Arial" w:cs="Arial"/>
          <w:spacing w:val="5"/>
        </w:rPr>
        <w:t xml:space="preserve"> </w:t>
      </w:r>
      <w:r w:rsidRPr="00EB1AAB">
        <w:rPr>
          <w:rFonts w:ascii="Arial" w:eastAsia="Arial" w:hAnsi="Arial" w:cs="Arial"/>
          <w:spacing w:val="2"/>
        </w:rPr>
        <w:t>a</w:t>
      </w:r>
      <w:r w:rsidRPr="00EB1AAB">
        <w:rPr>
          <w:rFonts w:ascii="Arial" w:eastAsia="Arial" w:hAnsi="Arial" w:cs="Arial"/>
        </w:rPr>
        <w:t>ny</w:t>
      </w:r>
      <w:r w:rsidRPr="00EB1AAB">
        <w:rPr>
          <w:rFonts w:ascii="Arial" w:eastAsia="Arial" w:hAnsi="Arial" w:cs="Arial"/>
          <w:spacing w:val="3"/>
        </w:rPr>
        <w:t xml:space="preserve"> </w:t>
      </w:r>
      <w:r w:rsidRPr="00EB1AAB">
        <w:rPr>
          <w:rFonts w:ascii="Arial" w:eastAsia="Arial" w:hAnsi="Arial" w:cs="Arial"/>
          <w:spacing w:val="2"/>
        </w:rPr>
        <w:t>g</w:t>
      </w:r>
      <w:r w:rsidRPr="00EB1AAB">
        <w:rPr>
          <w:rFonts w:ascii="Arial" w:eastAsia="Arial" w:hAnsi="Arial" w:cs="Arial"/>
          <w:spacing w:val="-2"/>
        </w:rPr>
        <w:t>a</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spacing w:val="2"/>
        </w:rPr>
        <w:t>a</w:t>
      </w:r>
      <w:r w:rsidRPr="00EB1AAB">
        <w:rPr>
          <w:rFonts w:ascii="Arial" w:eastAsia="Arial" w:hAnsi="Arial" w:cs="Arial"/>
          <w:spacing w:val="-3"/>
        </w:rPr>
        <w:t>n</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rPr>
        <w:t>es</w:t>
      </w:r>
      <w:r w:rsidRPr="00EB1AAB">
        <w:rPr>
          <w:rFonts w:ascii="Arial" w:eastAsia="Arial" w:hAnsi="Arial" w:cs="Arial"/>
          <w:spacing w:val="12"/>
        </w:rPr>
        <w:t xml:space="preserve"> </w:t>
      </w:r>
      <w:r w:rsidRPr="00EB1AAB">
        <w:rPr>
          <w:rFonts w:ascii="Arial" w:eastAsia="Arial" w:hAnsi="Arial" w:cs="Arial"/>
          <w:spacing w:val="-1"/>
        </w:rPr>
        <w:t>w</w:t>
      </w:r>
      <w:r w:rsidRPr="00EB1AAB">
        <w:rPr>
          <w:rFonts w:ascii="Arial" w:eastAsia="Arial" w:hAnsi="Arial" w:cs="Arial"/>
        </w:rPr>
        <w:t>o</w:t>
      </w:r>
      <w:r w:rsidRPr="00EB1AAB">
        <w:rPr>
          <w:rFonts w:ascii="Arial" w:eastAsia="Arial" w:hAnsi="Arial" w:cs="Arial"/>
          <w:spacing w:val="-1"/>
        </w:rPr>
        <w:t>u</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7"/>
        </w:rPr>
        <w:t xml:space="preserve"> </w:t>
      </w:r>
      <w:r w:rsidRPr="00EB1AAB">
        <w:rPr>
          <w:rFonts w:ascii="Arial" w:eastAsia="Arial" w:hAnsi="Arial" w:cs="Arial"/>
          <w:w w:val="101"/>
        </w:rPr>
        <w:t xml:space="preserve">be </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3"/>
        </w:rPr>
        <w:t>i</w:t>
      </w:r>
      <w:r w:rsidRPr="00EB1AAB">
        <w:rPr>
          <w:rFonts w:ascii="Arial" w:eastAsia="Arial" w:hAnsi="Arial" w:cs="Arial"/>
        </w:rPr>
        <w:t>n</w:t>
      </w:r>
      <w:r w:rsidRPr="00EB1AAB">
        <w:rPr>
          <w:rFonts w:ascii="Arial" w:eastAsia="Arial" w:hAnsi="Arial" w:cs="Arial"/>
          <w:spacing w:val="1"/>
        </w:rPr>
        <w:t xml:space="preserve"> </w:t>
      </w:r>
      <w:r w:rsidRPr="00EB1AAB">
        <w:rPr>
          <w:rFonts w:ascii="Arial" w:eastAsia="Arial" w:hAnsi="Arial" w:cs="Arial"/>
          <w:spacing w:val="2"/>
        </w:rPr>
        <w:t>t</w:t>
      </w:r>
      <w:r w:rsidRPr="00EB1AAB">
        <w:rPr>
          <w:rFonts w:ascii="Arial" w:eastAsia="Arial" w:hAnsi="Arial" w:cs="Arial"/>
        </w:rPr>
        <w:t>he</w:t>
      </w:r>
      <w:r w:rsidRPr="00EB1AAB">
        <w:rPr>
          <w:rFonts w:ascii="Arial" w:eastAsia="Arial" w:hAnsi="Arial" w:cs="Arial"/>
          <w:spacing w:val="3"/>
        </w:rPr>
        <w:t xml:space="preserve"> </w:t>
      </w:r>
      <w:r w:rsidRPr="00EB1AAB">
        <w:rPr>
          <w:rFonts w:ascii="Arial" w:eastAsia="Arial" w:hAnsi="Arial" w:cs="Arial"/>
          <w:spacing w:val="-1"/>
        </w:rPr>
        <w:t>F</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3"/>
        </w:rPr>
        <w:t xml:space="preserve"> </w:t>
      </w:r>
      <w:r w:rsidRPr="00EB1AAB">
        <w:rPr>
          <w:rFonts w:ascii="Arial" w:eastAsia="Arial" w:hAnsi="Arial" w:cs="Arial"/>
        </w:rPr>
        <w:t>In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u</w:t>
      </w:r>
      <w:r w:rsidRPr="00EB1AAB">
        <w:rPr>
          <w:rFonts w:ascii="Arial" w:eastAsia="Arial" w:hAnsi="Arial" w:cs="Arial"/>
          <w:spacing w:val="2"/>
        </w:rPr>
        <w:t>m</w:t>
      </w:r>
      <w:r w:rsidRPr="00EB1AAB">
        <w:rPr>
          <w:rFonts w:ascii="Arial" w:eastAsia="Arial" w:hAnsi="Arial" w:cs="Arial"/>
          <w:spacing w:val="-2"/>
        </w:rPr>
        <w:t>e</w:t>
      </w:r>
      <w:r w:rsidRPr="00EB1AAB">
        <w:rPr>
          <w:rFonts w:ascii="Arial" w:eastAsia="Arial" w:hAnsi="Arial" w:cs="Arial"/>
        </w:rPr>
        <w:t>nts</w:t>
      </w:r>
      <w:r w:rsidRPr="00EB1AAB">
        <w:rPr>
          <w:rFonts w:ascii="Arial" w:eastAsia="Arial" w:hAnsi="Arial" w:cs="Arial"/>
          <w:spacing w:val="14"/>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1"/>
        </w:rPr>
        <w:t>v</w:t>
      </w:r>
      <w:r w:rsidRPr="00EB1AAB">
        <w:rPr>
          <w:rFonts w:ascii="Arial" w:eastAsia="Arial" w:hAnsi="Arial" w:cs="Arial"/>
        </w:rPr>
        <w:t>a</w:t>
      </w:r>
      <w:r w:rsidRPr="00EB1AAB">
        <w:rPr>
          <w:rFonts w:ascii="Arial" w:eastAsia="Arial" w:hAnsi="Arial" w:cs="Arial"/>
          <w:spacing w:val="1"/>
        </w:rPr>
        <w:t>l</w:t>
      </w:r>
      <w:r w:rsidRPr="00EB1AAB">
        <w:rPr>
          <w:rFonts w:ascii="Arial" w:eastAsia="Arial" w:hAnsi="Arial" w:cs="Arial"/>
          <w:spacing w:val="2"/>
        </w:rPr>
        <w:t>u</w:t>
      </w:r>
      <w:r w:rsidRPr="00EB1AAB">
        <w:rPr>
          <w:rFonts w:ascii="Arial" w:eastAsia="Arial" w:hAnsi="Arial" w:cs="Arial"/>
          <w:spacing w:val="-3"/>
        </w:rPr>
        <w:t>a</w:t>
      </w:r>
      <w:r w:rsidRPr="00EB1AAB">
        <w:rPr>
          <w:rFonts w:ascii="Arial" w:eastAsia="Arial" w:hAnsi="Arial" w:cs="Arial"/>
        </w:rPr>
        <w:t>t</w:t>
      </w:r>
      <w:r w:rsidRPr="00EB1AAB">
        <w:rPr>
          <w:rFonts w:ascii="Arial" w:eastAsia="Arial" w:hAnsi="Arial" w:cs="Arial"/>
          <w:spacing w:val="4"/>
        </w:rPr>
        <w:t>i</w:t>
      </w:r>
      <w:r w:rsidRPr="00EB1AAB">
        <w:rPr>
          <w:rFonts w:ascii="Arial" w:eastAsia="Arial" w:hAnsi="Arial" w:cs="Arial"/>
          <w:spacing w:val="-3"/>
        </w:rPr>
        <w:t>o</w:t>
      </w:r>
      <w:r w:rsidRPr="00EB1AAB">
        <w:rPr>
          <w:rFonts w:ascii="Arial" w:eastAsia="Arial" w:hAnsi="Arial" w:cs="Arial"/>
        </w:rPr>
        <w:t>n</w:t>
      </w:r>
      <w:r w:rsidRPr="00EB1AAB">
        <w:rPr>
          <w:rFonts w:ascii="Arial" w:eastAsia="Arial" w:hAnsi="Arial" w:cs="Arial"/>
          <w:spacing w:val="15"/>
        </w:rPr>
        <w:t xml:space="preserve"> </w:t>
      </w:r>
      <w:r w:rsidRPr="00EB1AAB">
        <w:rPr>
          <w:rFonts w:ascii="Arial" w:eastAsia="Arial" w:hAnsi="Arial" w:cs="Arial"/>
          <w:spacing w:val="-1"/>
          <w:w w:val="101"/>
        </w:rPr>
        <w:t>R</w:t>
      </w:r>
      <w:r w:rsidRPr="00EB1AAB">
        <w:rPr>
          <w:rFonts w:ascii="Arial" w:eastAsia="Arial" w:hAnsi="Arial" w:cs="Arial"/>
          <w:w w:val="101"/>
        </w:rPr>
        <w:t>e</w:t>
      </w:r>
      <w:r w:rsidRPr="00EB1AAB">
        <w:rPr>
          <w:rFonts w:ascii="Arial" w:eastAsia="Arial" w:hAnsi="Arial" w:cs="Arial"/>
          <w:spacing w:val="-2"/>
          <w:w w:val="101"/>
        </w:rPr>
        <w:t>s</w:t>
      </w:r>
      <w:r w:rsidRPr="00EB1AAB">
        <w:rPr>
          <w:rFonts w:ascii="Arial" w:eastAsia="Arial" w:hAnsi="Arial" w:cs="Arial"/>
          <w:spacing w:val="2"/>
          <w:w w:val="101"/>
        </w:rPr>
        <w:t>e</w:t>
      </w:r>
      <w:r w:rsidRPr="00EB1AAB">
        <w:rPr>
          <w:rFonts w:ascii="Arial" w:eastAsia="Arial" w:hAnsi="Arial" w:cs="Arial"/>
          <w:spacing w:val="-1"/>
          <w:w w:val="101"/>
        </w:rPr>
        <w:t>r</w:t>
      </w:r>
      <w:r w:rsidRPr="00EB1AAB">
        <w:rPr>
          <w:rFonts w:ascii="Arial" w:eastAsia="Arial" w:hAnsi="Arial" w:cs="Arial"/>
          <w:spacing w:val="1"/>
          <w:w w:val="101"/>
        </w:rPr>
        <w:t>v</w:t>
      </w:r>
      <w:r w:rsidRPr="00EB1AAB">
        <w:rPr>
          <w:rFonts w:ascii="Arial" w:eastAsia="Arial" w:hAnsi="Arial" w:cs="Arial"/>
          <w:spacing w:val="-3"/>
          <w:w w:val="101"/>
        </w:rPr>
        <w:t>e</w:t>
      </w:r>
      <w:r w:rsidRPr="00EB1AAB">
        <w:rPr>
          <w:rFonts w:ascii="Arial" w:eastAsia="Arial" w:hAnsi="Arial" w:cs="Arial"/>
          <w:w w:val="101"/>
        </w:rPr>
        <w:t>.</w:t>
      </w:r>
      <w:bookmarkStart w:id="84" w:name="_Hlk76058916"/>
      <w:r w:rsidR="00A506A6">
        <w:br w:type="page"/>
      </w:r>
    </w:p>
    <w:p w14:paraId="41E09411" w14:textId="00F49952" w:rsidR="00655E4C" w:rsidRPr="00EB1AAB" w:rsidRDefault="00655E4C" w:rsidP="00655E4C">
      <w:pPr>
        <w:pStyle w:val="Heading5underline"/>
      </w:pPr>
      <w:r w:rsidRPr="00EB1AAB">
        <w:lastRenderedPageBreak/>
        <w:t>1.1</w:t>
      </w:r>
      <w:r w:rsidR="006E4D9B">
        <w:t>6</w:t>
      </w:r>
      <w:r w:rsidRPr="00EB1AAB">
        <w:t>.4. Cre</w:t>
      </w:r>
      <w:r w:rsidRPr="00EB1AAB">
        <w:rPr>
          <w:spacing w:val="-1"/>
        </w:rPr>
        <w:t>d</w:t>
      </w:r>
      <w:r w:rsidRPr="00EB1AAB">
        <w:t>it</w:t>
      </w:r>
      <w:r w:rsidRPr="00EB1AAB">
        <w:rPr>
          <w:spacing w:val="8"/>
        </w:rPr>
        <w:t xml:space="preserve"> </w:t>
      </w:r>
      <w:r w:rsidRPr="00EB1AAB">
        <w:t>l</w:t>
      </w:r>
      <w:r w:rsidRPr="00EB1AAB">
        <w:rPr>
          <w:spacing w:val="-1"/>
        </w:rPr>
        <w:t>o</w:t>
      </w:r>
      <w:r w:rsidRPr="00EB1AAB">
        <w:rPr>
          <w:spacing w:val="2"/>
        </w:rPr>
        <w:t>s</w:t>
      </w:r>
      <w:r w:rsidRPr="00EB1AAB">
        <w:t>s</w:t>
      </w:r>
    </w:p>
    <w:p w14:paraId="5F9D321B" w14:textId="77777777" w:rsidR="00655E4C" w:rsidRPr="00EB1AAB" w:rsidRDefault="00655E4C" w:rsidP="00655E4C">
      <w:pPr>
        <w:rPr>
          <w:rFonts w:eastAsia="Arial"/>
        </w:rPr>
      </w:pPr>
    </w:p>
    <w:p w14:paraId="2C981F29" w14:textId="77777777" w:rsidR="00655E4C" w:rsidRPr="00EB1AAB" w:rsidRDefault="00655E4C" w:rsidP="00655E4C">
      <w:pPr>
        <w:spacing w:before="6"/>
        <w:ind w:right="54"/>
        <w:rPr>
          <w:rFonts w:ascii="Arial" w:eastAsia="Arial" w:hAnsi="Arial" w:cs="Arial"/>
          <w:w w:val="101"/>
        </w:rPr>
      </w:pPr>
      <w:r w:rsidRPr="00EB1AAB">
        <w:rPr>
          <w:rFonts w:ascii="Arial" w:eastAsia="Arial" w:hAnsi="Arial" w:cs="Arial"/>
          <w:spacing w:val="-1"/>
        </w:rPr>
        <w:t>T</w:t>
      </w:r>
      <w:r w:rsidRPr="00EB1AAB">
        <w:rPr>
          <w:rFonts w:ascii="Arial" w:eastAsia="Arial" w:hAnsi="Arial" w:cs="Arial"/>
        </w:rPr>
        <w:t>he</w:t>
      </w:r>
      <w:r w:rsidRPr="00EB1AAB">
        <w:rPr>
          <w:rFonts w:ascii="Arial" w:eastAsia="Arial" w:hAnsi="Arial" w:cs="Arial"/>
          <w:spacing w:val="4"/>
        </w:rPr>
        <w:t xml:space="preserve"> </w:t>
      </w:r>
      <w:r w:rsidRPr="00EB1AAB">
        <w:rPr>
          <w:rFonts w:ascii="Arial" w:eastAsia="Arial" w:hAnsi="Arial" w:cs="Arial"/>
          <w:spacing w:val="2"/>
        </w:rPr>
        <w:t>Authority</w:t>
      </w:r>
      <w:r w:rsidRPr="00EB1AAB">
        <w:rPr>
          <w:rFonts w:ascii="Arial" w:eastAsia="Arial" w:hAnsi="Arial" w:cs="Arial"/>
          <w:spacing w:val="12"/>
        </w:rPr>
        <w:t xml:space="preserve"> </w:t>
      </w:r>
      <w:r w:rsidRPr="00EB1AAB">
        <w:rPr>
          <w:rFonts w:ascii="Arial" w:eastAsia="Arial" w:hAnsi="Arial" w:cs="Arial"/>
          <w:spacing w:val="-3"/>
        </w:rPr>
        <w:t>w</w:t>
      </w:r>
      <w:r w:rsidRPr="00EB1AAB">
        <w:rPr>
          <w:rFonts w:ascii="Arial" w:eastAsia="Arial" w:hAnsi="Arial" w:cs="Arial"/>
          <w:spacing w:val="3"/>
        </w:rPr>
        <w:t>i</w:t>
      </w:r>
      <w:r w:rsidRPr="00EB1AAB">
        <w:rPr>
          <w:rFonts w:ascii="Arial" w:eastAsia="Arial" w:hAnsi="Arial" w:cs="Arial"/>
          <w:spacing w:val="-1"/>
        </w:rPr>
        <w:t>l</w:t>
      </w:r>
      <w:r w:rsidRPr="00EB1AAB">
        <w:rPr>
          <w:rFonts w:ascii="Arial" w:eastAsia="Arial" w:hAnsi="Arial" w:cs="Arial"/>
        </w:rPr>
        <w:t>l</w:t>
      </w:r>
      <w:r w:rsidRPr="00EB1AAB">
        <w:rPr>
          <w:rFonts w:ascii="Arial" w:eastAsia="Arial" w:hAnsi="Arial" w:cs="Arial"/>
          <w:spacing w:val="7"/>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1"/>
        </w:rPr>
        <w:t>c</w:t>
      </w:r>
      <w:r w:rsidRPr="00EB1AAB">
        <w:rPr>
          <w:rFonts w:ascii="Arial" w:eastAsia="Arial" w:hAnsi="Arial" w:cs="Arial"/>
          <w:spacing w:val="-3"/>
        </w:rPr>
        <w:t>o</w:t>
      </w:r>
      <w:r w:rsidRPr="00EB1AAB">
        <w:rPr>
          <w:rFonts w:ascii="Arial" w:eastAsia="Arial" w:hAnsi="Arial" w:cs="Arial"/>
          <w:spacing w:val="2"/>
        </w:rPr>
        <w:t>g</w:t>
      </w:r>
      <w:r w:rsidRPr="00EB1AAB">
        <w:rPr>
          <w:rFonts w:ascii="Arial" w:eastAsia="Arial" w:hAnsi="Arial" w:cs="Arial"/>
          <w:spacing w:val="-3"/>
        </w:rPr>
        <w:t>n</w:t>
      </w:r>
      <w:r w:rsidRPr="00EB1AAB">
        <w:rPr>
          <w:rFonts w:ascii="Arial" w:eastAsia="Arial" w:hAnsi="Arial" w:cs="Arial"/>
          <w:spacing w:val="4"/>
        </w:rPr>
        <w:t>i</w:t>
      </w:r>
      <w:r w:rsidRPr="00EB1AAB">
        <w:rPr>
          <w:rFonts w:ascii="Arial" w:eastAsia="Arial" w:hAnsi="Arial" w:cs="Arial"/>
          <w:spacing w:val="1"/>
        </w:rPr>
        <w:t>s</w:t>
      </w:r>
      <w:r w:rsidRPr="00EB1AAB">
        <w:rPr>
          <w:rFonts w:ascii="Arial" w:eastAsia="Arial" w:hAnsi="Arial" w:cs="Arial"/>
        </w:rPr>
        <w:t>e</w:t>
      </w:r>
      <w:r w:rsidRPr="00EB1AAB">
        <w:rPr>
          <w:rFonts w:ascii="Arial" w:eastAsia="Arial" w:hAnsi="Arial" w:cs="Arial"/>
          <w:spacing w:val="9"/>
        </w:rPr>
        <w:t xml:space="preserve"> </w:t>
      </w:r>
      <w:r w:rsidRPr="00EB1AAB">
        <w:rPr>
          <w:rFonts w:ascii="Arial" w:eastAsia="Arial" w:hAnsi="Arial" w:cs="Arial"/>
        </w:rPr>
        <w:t>a</w:t>
      </w:r>
      <w:r w:rsidRPr="00EB1AAB">
        <w:rPr>
          <w:rFonts w:ascii="Arial" w:eastAsia="Arial" w:hAnsi="Arial" w:cs="Arial"/>
          <w:spacing w:val="2"/>
        </w:rPr>
        <w:t xml:space="preserve">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1"/>
        </w:rPr>
        <w:t>s</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spacing w:val="-3"/>
        </w:rPr>
        <w:t>a</w:t>
      </w:r>
      <w:r w:rsidRPr="00EB1AAB">
        <w:rPr>
          <w:rFonts w:ascii="Arial" w:eastAsia="Arial" w:hAnsi="Arial" w:cs="Arial"/>
          <w:spacing w:val="3"/>
        </w:rPr>
        <w:t>l</w:t>
      </w:r>
      <w:r w:rsidRPr="00EB1AAB">
        <w:rPr>
          <w:rFonts w:ascii="Arial" w:eastAsia="Arial" w:hAnsi="Arial" w:cs="Arial"/>
          <w:spacing w:val="1"/>
        </w:rPr>
        <w:t>l</w:t>
      </w:r>
      <w:r w:rsidRPr="00EB1AAB">
        <w:rPr>
          <w:rFonts w:ascii="Arial" w:eastAsia="Arial" w:hAnsi="Arial" w:cs="Arial"/>
          <w:spacing w:val="-3"/>
        </w:rPr>
        <w:t>o</w:t>
      </w:r>
      <w:r w:rsidRPr="00EB1AAB">
        <w:rPr>
          <w:rFonts w:ascii="Arial" w:eastAsia="Arial" w:hAnsi="Arial" w:cs="Arial"/>
          <w:spacing w:val="2"/>
        </w:rPr>
        <w:t>w</w:t>
      </w:r>
      <w:r w:rsidRPr="00EB1AAB">
        <w:rPr>
          <w:rFonts w:ascii="Arial" w:eastAsia="Arial" w:hAnsi="Arial" w:cs="Arial"/>
          <w:spacing w:val="-2"/>
        </w:rPr>
        <w:t>a</w:t>
      </w:r>
      <w:r w:rsidRPr="00EB1AAB">
        <w:rPr>
          <w:rFonts w:ascii="Arial" w:eastAsia="Arial" w:hAnsi="Arial" w:cs="Arial"/>
        </w:rPr>
        <w:t>n</w:t>
      </w:r>
      <w:r w:rsidRPr="00EB1AAB">
        <w:rPr>
          <w:rFonts w:ascii="Arial" w:eastAsia="Arial" w:hAnsi="Arial" w:cs="Arial"/>
          <w:spacing w:val="1"/>
        </w:rPr>
        <w:t>c</w:t>
      </w:r>
      <w:r w:rsidRPr="00EB1AAB">
        <w:rPr>
          <w:rFonts w:ascii="Arial" w:eastAsia="Arial" w:hAnsi="Arial" w:cs="Arial"/>
        </w:rPr>
        <w:t>e</w:t>
      </w:r>
      <w:r w:rsidRPr="00EB1AAB">
        <w:rPr>
          <w:rFonts w:ascii="Arial" w:eastAsia="Arial" w:hAnsi="Arial" w:cs="Arial"/>
          <w:spacing w:val="11"/>
        </w:rPr>
        <w:t xml:space="preserve"> </w:t>
      </w:r>
      <w:r w:rsidRPr="00EB1AAB">
        <w:rPr>
          <w:rFonts w:ascii="Arial" w:eastAsia="Arial" w:hAnsi="Arial" w:cs="Arial"/>
          <w:spacing w:val="2"/>
        </w:rPr>
        <w:t>f</w:t>
      </w:r>
      <w:r w:rsidRPr="00EB1AAB">
        <w:rPr>
          <w:rFonts w:ascii="Arial" w:eastAsia="Arial" w:hAnsi="Arial" w:cs="Arial"/>
        </w:rPr>
        <w:t>or</w:t>
      </w:r>
      <w:r w:rsidRPr="00EB1AAB">
        <w:rPr>
          <w:rFonts w:ascii="Arial" w:eastAsia="Arial" w:hAnsi="Arial" w:cs="Arial"/>
          <w:spacing w:val="3"/>
        </w:rPr>
        <w:t xml:space="preserve"> </w:t>
      </w:r>
      <w:r w:rsidRPr="00EB1AAB">
        <w:rPr>
          <w:rFonts w:ascii="Arial" w:eastAsia="Arial" w:hAnsi="Arial" w:cs="Arial"/>
        </w:rPr>
        <w:t>e</w:t>
      </w:r>
      <w:r w:rsidRPr="00EB1AAB">
        <w:rPr>
          <w:rFonts w:ascii="Arial" w:eastAsia="Arial" w:hAnsi="Arial" w:cs="Arial"/>
          <w:spacing w:val="1"/>
        </w:rPr>
        <w:t>x</w:t>
      </w:r>
      <w:r w:rsidRPr="00EB1AAB">
        <w:rPr>
          <w:rFonts w:ascii="Arial" w:eastAsia="Arial" w:hAnsi="Arial" w:cs="Arial"/>
          <w:spacing w:val="2"/>
        </w:rPr>
        <w:t>p</w:t>
      </w:r>
      <w:r w:rsidRPr="00EB1AAB">
        <w:rPr>
          <w:rFonts w:ascii="Arial" w:eastAsia="Arial" w:hAnsi="Arial" w:cs="Arial"/>
          <w:spacing w:val="-3"/>
        </w:rPr>
        <w:t>e</w:t>
      </w:r>
      <w:r w:rsidRPr="00EB1AAB">
        <w:rPr>
          <w:rFonts w:ascii="Arial" w:eastAsia="Arial" w:hAnsi="Arial" w:cs="Arial"/>
          <w:spacing w:val="1"/>
        </w:rPr>
        <w:t>c</w:t>
      </w:r>
      <w:r w:rsidRPr="00EB1AAB">
        <w:rPr>
          <w:rFonts w:ascii="Arial" w:eastAsia="Arial" w:hAnsi="Arial" w:cs="Arial"/>
        </w:rPr>
        <w:t>t</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10"/>
        </w:rPr>
        <w:t xml:space="preserve"> </w:t>
      </w:r>
      <w:r w:rsidRPr="00EB1AAB">
        <w:rPr>
          <w:rFonts w:ascii="Arial" w:eastAsia="Arial" w:hAnsi="Arial" w:cs="Arial"/>
          <w:spacing w:val="-1"/>
        </w:rPr>
        <w:t>cr</w:t>
      </w:r>
      <w:r w:rsidRPr="00EB1AAB">
        <w:rPr>
          <w:rFonts w:ascii="Arial" w:eastAsia="Arial" w:hAnsi="Arial" w:cs="Arial"/>
          <w:spacing w:val="2"/>
        </w:rPr>
        <w:t>e</w:t>
      </w:r>
      <w:r w:rsidRPr="00EB1AAB">
        <w:rPr>
          <w:rFonts w:ascii="Arial" w:eastAsia="Arial" w:hAnsi="Arial" w:cs="Arial"/>
          <w:spacing w:val="-3"/>
        </w:rPr>
        <w:t>d</w:t>
      </w:r>
      <w:r w:rsidRPr="00EB1AAB">
        <w:rPr>
          <w:rFonts w:ascii="Arial" w:eastAsia="Arial" w:hAnsi="Arial" w:cs="Arial"/>
          <w:spacing w:val="3"/>
        </w:rPr>
        <w:t>i</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spacing w:val="3"/>
        </w:rPr>
        <w:t>l</w:t>
      </w:r>
      <w:r w:rsidRPr="00EB1AAB">
        <w:rPr>
          <w:rFonts w:ascii="Arial" w:eastAsia="Arial" w:hAnsi="Arial" w:cs="Arial"/>
          <w:spacing w:val="-2"/>
        </w:rPr>
        <w:t>o</w:t>
      </w:r>
      <w:r w:rsidRPr="00EB1AAB">
        <w:rPr>
          <w:rFonts w:ascii="Arial" w:eastAsia="Arial" w:hAnsi="Arial" w:cs="Arial"/>
          <w:spacing w:val="1"/>
        </w:rPr>
        <w:t>ss</w:t>
      </w:r>
      <w:r w:rsidRPr="00EB1AAB">
        <w:rPr>
          <w:rFonts w:ascii="Arial" w:eastAsia="Arial" w:hAnsi="Arial" w:cs="Arial"/>
          <w:spacing w:val="-3"/>
        </w:rPr>
        <w:t>e</w:t>
      </w:r>
      <w:r w:rsidRPr="00EB1AAB">
        <w:rPr>
          <w:rFonts w:ascii="Arial" w:eastAsia="Arial" w:hAnsi="Arial" w:cs="Arial"/>
          <w:spacing w:val="1"/>
        </w:rPr>
        <w:t>s</w:t>
      </w:r>
      <w:r w:rsidRPr="00EB1AAB">
        <w:rPr>
          <w:rFonts w:ascii="Arial" w:eastAsia="Arial" w:hAnsi="Arial" w:cs="Arial"/>
        </w:rPr>
        <w:t>,</w:t>
      </w:r>
      <w:r w:rsidRPr="00EB1AAB">
        <w:rPr>
          <w:rFonts w:ascii="Arial" w:eastAsia="Arial" w:hAnsi="Arial" w:cs="Arial"/>
          <w:spacing w:val="8"/>
        </w:rPr>
        <w:t xml:space="preserve"> </w:t>
      </w:r>
      <w:r w:rsidRPr="00EB1AAB">
        <w:rPr>
          <w:rFonts w:ascii="Arial" w:eastAsia="Arial" w:hAnsi="Arial" w:cs="Arial"/>
          <w:spacing w:val="1"/>
        </w:rPr>
        <w:t>i</w:t>
      </w:r>
      <w:r w:rsidRPr="00EB1AAB">
        <w:rPr>
          <w:rFonts w:ascii="Arial" w:eastAsia="Arial" w:hAnsi="Arial" w:cs="Arial"/>
        </w:rPr>
        <w:t>f</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3"/>
        </w:rPr>
        <w:t>p</w:t>
      </w:r>
      <w:r w:rsidRPr="00EB1AAB">
        <w:rPr>
          <w:rFonts w:ascii="Arial" w:eastAsia="Arial" w:hAnsi="Arial" w:cs="Arial"/>
        </w:rPr>
        <w:t>p</w:t>
      </w:r>
      <w:r w:rsidRPr="00EB1AAB">
        <w:rPr>
          <w:rFonts w:ascii="Arial" w:eastAsia="Arial" w:hAnsi="Arial" w:cs="Arial"/>
          <w:spacing w:val="1"/>
        </w:rPr>
        <w:t>l</w:t>
      </w:r>
      <w:r w:rsidRPr="00EB1AAB">
        <w:rPr>
          <w:rFonts w:ascii="Arial" w:eastAsia="Arial" w:hAnsi="Arial" w:cs="Arial"/>
          <w:spacing w:val="3"/>
        </w:rPr>
        <w:t>i</w:t>
      </w:r>
      <w:r w:rsidRPr="00EB1AAB">
        <w:rPr>
          <w:rFonts w:ascii="Arial" w:eastAsia="Arial" w:hAnsi="Arial" w:cs="Arial"/>
          <w:spacing w:val="-1"/>
        </w:rPr>
        <w:t>c</w:t>
      </w:r>
      <w:r w:rsidRPr="00EB1AAB">
        <w:rPr>
          <w:rFonts w:ascii="Arial" w:eastAsia="Arial" w:hAnsi="Arial" w:cs="Arial"/>
        </w:rPr>
        <w:t>a</w:t>
      </w:r>
      <w:r w:rsidRPr="00EB1AAB">
        <w:rPr>
          <w:rFonts w:ascii="Arial" w:eastAsia="Arial" w:hAnsi="Arial" w:cs="Arial"/>
          <w:spacing w:val="-3"/>
        </w:rPr>
        <w:t>b</w:t>
      </w:r>
      <w:r w:rsidRPr="00EB1AAB">
        <w:rPr>
          <w:rFonts w:ascii="Arial" w:eastAsia="Arial" w:hAnsi="Arial" w:cs="Arial"/>
          <w:spacing w:val="3"/>
        </w:rPr>
        <w:t>l</w:t>
      </w:r>
      <w:r w:rsidRPr="00EB1AAB">
        <w:rPr>
          <w:rFonts w:ascii="Arial" w:eastAsia="Arial" w:hAnsi="Arial" w:cs="Arial"/>
          <w:spacing w:val="-2"/>
        </w:rPr>
        <w:t>e</w:t>
      </w:r>
      <w:r w:rsidRPr="00EB1AAB">
        <w:rPr>
          <w:rFonts w:ascii="Arial" w:eastAsia="Arial" w:hAnsi="Arial" w:cs="Arial"/>
        </w:rPr>
        <w:t>,</w:t>
      </w:r>
      <w:r w:rsidRPr="00EB1AAB">
        <w:rPr>
          <w:rFonts w:ascii="Arial" w:eastAsia="Arial" w:hAnsi="Arial" w:cs="Arial"/>
          <w:spacing w:val="14"/>
        </w:rPr>
        <w:t xml:space="preserve"> </w:t>
      </w:r>
      <w:r w:rsidRPr="00EB1AAB">
        <w:rPr>
          <w:rFonts w:ascii="Arial" w:eastAsia="Arial" w:hAnsi="Arial" w:cs="Arial"/>
          <w:spacing w:val="-3"/>
          <w:w w:val="101"/>
        </w:rPr>
        <w:t>o</w:t>
      </w:r>
      <w:r w:rsidRPr="00EB1AAB">
        <w:rPr>
          <w:rFonts w:ascii="Arial" w:eastAsia="Arial" w:hAnsi="Arial" w:cs="Arial"/>
          <w:w w:val="101"/>
        </w:rPr>
        <w:t xml:space="preserve">n </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spacing w:val="-3"/>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11"/>
        </w:rPr>
        <w:t xml:space="preserve"> </w:t>
      </w:r>
      <w:r w:rsidRPr="00EB1AAB">
        <w:rPr>
          <w:rFonts w:ascii="Arial" w:eastAsia="Arial" w:hAnsi="Arial" w:cs="Arial"/>
          <w:spacing w:val="-1"/>
        </w:rPr>
        <w:t>w</w:t>
      </w:r>
      <w:r w:rsidRPr="00EB1AAB">
        <w:rPr>
          <w:rFonts w:ascii="Arial" w:eastAsia="Arial" w:hAnsi="Arial" w:cs="Arial"/>
          <w:spacing w:val="-2"/>
        </w:rPr>
        <w:t>h</w:t>
      </w:r>
      <w:r w:rsidRPr="00EB1AAB">
        <w:rPr>
          <w:rFonts w:ascii="Arial" w:eastAsia="Arial" w:hAnsi="Arial" w:cs="Arial"/>
          <w:spacing w:val="2"/>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1"/>
        </w:rPr>
        <w:t>c</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rPr>
        <w:t>h</w:t>
      </w:r>
      <w:r w:rsidRPr="00EB1AAB">
        <w:rPr>
          <w:rFonts w:ascii="Arial" w:eastAsia="Arial" w:hAnsi="Arial" w:cs="Arial"/>
          <w:spacing w:val="6"/>
        </w:rPr>
        <w:t xml:space="preserve"> </w:t>
      </w:r>
      <w:r w:rsidRPr="00EB1AAB">
        <w:rPr>
          <w:rFonts w:ascii="Arial" w:eastAsia="Arial" w:hAnsi="Arial" w:cs="Arial"/>
          <w:spacing w:val="2"/>
        </w:rPr>
        <w:t>f</w:t>
      </w:r>
      <w:r w:rsidRPr="00EB1AAB">
        <w:rPr>
          <w:rFonts w:ascii="Arial" w:eastAsia="Arial" w:hAnsi="Arial" w:cs="Arial"/>
          <w:spacing w:val="3"/>
        </w:rPr>
        <w:t>l</w:t>
      </w:r>
      <w:r w:rsidRPr="00EB1AAB">
        <w:rPr>
          <w:rFonts w:ascii="Arial" w:eastAsia="Arial" w:hAnsi="Arial" w:cs="Arial"/>
          <w:spacing w:val="-3"/>
        </w:rPr>
        <w:t>ow</w:t>
      </w:r>
      <w:r w:rsidRPr="00EB1AAB">
        <w:rPr>
          <w:rFonts w:ascii="Arial" w:eastAsia="Arial" w:hAnsi="Arial" w:cs="Arial"/>
        </w:rPr>
        <w:t>s</w:t>
      </w:r>
      <w:r w:rsidRPr="00EB1AAB">
        <w:rPr>
          <w:rFonts w:ascii="Arial" w:eastAsia="Arial" w:hAnsi="Arial" w:cs="Arial"/>
          <w:spacing w:val="10"/>
        </w:rPr>
        <w:t xml:space="preserve"> </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s</w:t>
      </w:r>
      <w:r w:rsidRPr="00EB1AAB">
        <w:rPr>
          <w:rFonts w:ascii="Arial" w:eastAsia="Arial" w:hAnsi="Arial" w:cs="Arial"/>
        </w:rPr>
        <w:t>o</w:t>
      </w:r>
      <w:r w:rsidRPr="00EB1AAB">
        <w:rPr>
          <w:rFonts w:ascii="Arial" w:eastAsia="Arial" w:hAnsi="Arial" w:cs="Arial"/>
          <w:spacing w:val="1"/>
        </w:rPr>
        <w:t>l</w:t>
      </w:r>
      <w:r w:rsidRPr="00EB1AAB">
        <w:rPr>
          <w:rFonts w:ascii="Arial" w:eastAsia="Arial" w:hAnsi="Arial" w:cs="Arial"/>
        </w:rPr>
        <w:t>e</w:t>
      </w:r>
      <w:r w:rsidRPr="00EB1AAB">
        <w:rPr>
          <w:rFonts w:ascii="Arial" w:eastAsia="Arial" w:hAnsi="Arial" w:cs="Arial"/>
          <w:spacing w:val="3"/>
        </w:rPr>
        <w:t>l</w:t>
      </w:r>
      <w:r w:rsidRPr="00EB1AAB">
        <w:rPr>
          <w:rFonts w:ascii="Arial" w:eastAsia="Arial" w:hAnsi="Arial" w:cs="Arial"/>
        </w:rPr>
        <w:t>y</w:t>
      </w:r>
      <w:r w:rsidRPr="00EB1AAB">
        <w:rPr>
          <w:rFonts w:ascii="Arial" w:eastAsia="Arial" w:hAnsi="Arial" w:cs="Arial"/>
          <w:spacing w:val="3"/>
        </w:rPr>
        <w:t xml:space="preserve"> </w:t>
      </w:r>
      <w:r w:rsidRPr="00EB1AAB">
        <w:rPr>
          <w:rFonts w:ascii="Arial" w:eastAsia="Arial" w:hAnsi="Arial" w:cs="Arial"/>
          <w:spacing w:val="2"/>
        </w:rPr>
        <w:t>p</w:t>
      </w:r>
      <w:r w:rsidRPr="00EB1AAB">
        <w:rPr>
          <w:rFonts w:ascii="Arial" w:eastAsia="Arial" w:hAnsi="Arial" w:cs="Arial"/>
          <w:spacing w:val="-1"/>
        </w:rPr>
        <w:t>r</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4"/>
        </w:rPr>
        <w:t>i</w:t>
      </w:r>
      <w:r w:rsidRPr="00EB1AAB">
        <w:rPr>
          <w:rFonts w:ascii="Arial" w:eastAsia="Arial" w:hAnsi="Arial" w:cs="Arial"/>
          <w:spacing w:val="-3"/>
        </w:rPr>
        <w:t>p</w:t>
      </w:r>
      <w:r w:rsidRPr="00EB1AAB">
        <w:rPr>
          <w:rFonts w:ascii="Arial" w:eastAsia="Arial" w:hAnsi="Arial" w:cs="Arial"/>
        </w:rPr>
        <w:t>al</w:t>
      </w:r>
      <w:r w:rsidRPr="00EB1AAB">
        <w:rPr>
          <w:rFonts w:ascii="Arial" w:eastAsia="Arial" w:hAnsi="Arial" w:cs="Arial"/>
          <w:spacing w:val="14"/>
        </w:rPr>
        <w:t xml:space="preserve"> </w:t>
      </w:r>
      <w:r w:rsidRPr="00EB1AAB">
        <w:rPr>
          <w:rFonts w:ascii="Arial" w:eastAsia="Arial" w:hAnsi="Arial" w:cs="Arial"/>
          <w:spacing w:val="-3"/>
        </w:rPr>
        <w:t>a</w:t>
      </w:r>
      <w:r w:rsidRPr="00EB1AAB">
        <w:rPr>
          <w:rFonts w:ascii="Arial" w:eastAsia="Arial" w:hAnsi="Arial" w:cs="Arial"/>
          <w:spacing w:val="2"/>
        </w:rPr>
        <w:t>n</w:t>
      </w:r>
      <w:r w:rsidRPr="00EB1AAB">
        <w:rPr>
          <w:rFonts w:ascii="Arial" w:eastAsia="Arial" w:hAnsi="Arial" w:cs="Arial"/>
        </w:rPr>
        <w:t>d</w:t>
      </w:r>
      <w:r w:rsidRPr="00EB1AAB">
        <w:rPr>
          <w:rFonts w:ascii="Arial" w:eastAsia="Arial" w:hAnsi="Arial" w:cs="Arial"/>
          <w:spacing w:val="2"/>
        </w:rPr>
        <w:t xml:space="preserve"> </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spacing w:val="-3"/>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2"/>
        </w:rPr>
        <w:t>s</w:t>
      </w:r>
      <w:r w:rsidRPr="00EB1AAB">
        <w:rPr>
          <w:rFonts w:ascii="Arial" w:eastAsia="Arial" w:hAnsi="Arial" w:cs="Arial"/>
        </w:rPr>
        <w:t>t</w:t>
      </w:r>
      <w:r w:rsidRPr="00EB1AAB">
        <w:rPr>
          <w:rFonts w:ascii="Arial" w:eastAsia="Arial" w:hAnsi="Arial" w:cs="Arial"/>
          <w:spacing w:val="11"/>
        </w:rPr>
        <w:t xml:space="preserve"> </w:t>
      </w:r>
      <w:r w:rsidRPr="00EB1AAB">
        <w:rPr>
          <w:rFonts w:ascii="Arial" w:eastAsia="Arial" w:hAnsi="Arial" w:cs="Arial"/>
          <w:spacing w:val="-1"/>
        </w:rPr>
        <w:t>(</w:t>
      </w:r>
      <w:r w:rsidRPr="00EB1AAB">
        <w:rPr>
          <w:rFonts w:ascii="Arial" w:eastAsia="Arial" w:hAnsi="Arial" w:cs="Arial"/>
          <w:spacing w:val="1"/>
        </w:rPr>
        <w:t>i</w:t>
      </w:r>
      <w:r w:rsidRPr="00EB1AAB">
        <w:rPr>
          <w:rFonts w:ascii="Arial" w:eastAsia="Arial" w:hAnsi="Arial" w:cs="Arial"/>
          <w:spacing w:val="2"/>
        </w:rPr>
        <w:t>.</w:t>
      </w:r>
      <w:r w:rsidRPr="00EB1AAB">
        <w:rPr>
          <w:rFonts w:ascii="Arial" w:eastAsia="Arial" w:hAnsi="Arial" w:cs="Arial"/>
          <w:spacing w:val="-3"/>
        </w:rPr>
        <w:t>e</w:t>
      </w:r>
      <w:r w:rsidRPr="00EB1AAB">
        <w:rPr>
          <w:rFonts w:ascii="Arial" w:eastAsia="Arial" w:hAnsi="Arial" w:cs="Arial"/>
        </w:rPr>
        <w:t>.</w:t>
      </w:r>
      <w:r w:rsidRPr="00EB1AAB">
        <w:rPr>
          <w:rFonts w:ascii="Arial" w:eastAsia="Arial" w:hAnsi="Arial" w:cs="Arial"/>
          <w:spacing w:val="8"/>
        </w:rPr>
        <w:t xml:space="preserve"> </w:t>
      </w:r>
      <w:r w:rsidRPr="00EB1AAB">
        <w:rPr>
          <w:rFonts w:ascii="Arial" w:eastAsia="Arial" w:hAnsi="Arial" w:cs="Arial"/>
        </w:rPr>
        <w:t>f</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3"/>
        </w:rPr>
        <w:t>a</w:t>
      </w:r>
      <w:r w:rsidRPr="00EB1AAB">
        <w:rPr>
          <w:rFonts w:ascii="Arial" w:eastAsia="Arial" w:hAnsi="Arial" w:cs="Arial"/>
        </w:rPr>
        <w:t>n</w:t>
      </w:r>
      <w:r w:rsidRPr="00EB1AAB">
        <w:rPr>
          <w:rFonts w:ascii="Arial" w:eastAsia="Arial" w:hAnsi="Arial" w:cs="Arial"/>
          <w:spacing w:val="3"/>
        </w:rPr>
        <w:t>c</w:t>
      </w:r>
      <w:r w:rsidRPr="00EB1AAB">
        <w:rPr>
          <w:rFonts w:ascii="Arial" w:eastAsia="Arial" w:hAnsi="Arial" w:cs="Arial"/>
          <w:spacing w:val="1"/>
        </w:rPr>
        <w:t>i</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10"/>
        </w:rPr>
        <w:t xml:space="preserve"> </w:t>
      </w:r>
      <w:r w:rsidRPr="00EB1AAB">
        <w:rPr>
          <w:rFonts w:ascii="Arial" w:eastAsia="Arial" w:hAnsi="Arial" w:cs="Arial"/>
          <w:spacing w:val="3"/>
          <w:w w:val="101"/>
        </w:rPr>
        <w:t>i</w:t>
      </w:r>
      <w:r w:rsidRPr="00EB1AAB">
        <w:rPr>
          <w:rFonts w:ascii="Arial" w:eastAsia="Arial" w:hAnsi="Arial" w:cs="Arial"/>
          <w:spacing w:val="-3"/>
          <w:w w:val="101"/>
        </w:rPr>
        <w:t>n</w:t>
      </w:r>
      <w:r w:rsidRPr="00EB1AAB">
        <w:rPr>
          <w:rFonts w:ascii="Arial" w:eastAsia="Arial" w:hAnsi="Arial" w:cs="Arial"/>
          <w:spacing w:val="1"/>
          <w:w w:val="101"/>
        </w:rPr>
        <w:t>s</w:t>
      </w:r>
      <w:r w:rsidRPr="00EB1AAB">
        <w:rPr>
          <w:rFonts w:ascii="Arial" w:eastAsia="Arial" w:hAnsi="Arial" w:cs="Arial"/>
          <w:w w:val="101"/>
        </w:rPr>
        <w:t>t</w:t>
      </w:r>
      <w:r w:rsidRPr="00EB1AAB">
        <w:rPr>
          <w:rFonts w:ascii="Arial" w:eastAsia="Arial" w:hAnsi="Arial" w:cs="Arial"/>
          <w:spacing w:val="-1"/>
          <w:w w:val="101"/>
        </w:rPr>
        <w:t>r</w:t>
      </w:r>
      <w:r w:rsidRPr="00EB1AAB">
        <w:rPr>
          <w:rFonts w:ascii="Arial" w:eastAsia="Arial" w:hAnsi="Arial" w:cs="Arial"/>
          <w:w w:val="101"/>
        </w:rPr>
        <w:t>u</w:t>
      </w:r>
      <w:r w:rsidRPr="00EB1AAB">
        <w:rPr>
          <w:rFonts w:ascii="Arial" w:eastAsia="Arial" w:hAnsi="Arial" w:cs="Arial"/>
          <w:spacing w:val="-1"/>
          <w:w w:val="101"/>
        </w:rPr>
        <w:t>m</w:t>
      </w:r>
      <w:r w:rsidRPr="00EB1AAB">
        <w:rPr>
          <w:rFonts w:ascii="Arial" w:eastAsia="Arial" w:hAnsi="Arial" w:cs="Arial"/>
          <w:w w:val="101"/>
        </w:rPr>
        <w:t>e</w:t>
      </w:r>
      <w:r w:rsidRPr="00EB1AAB">
        <w:rPr>
          <w:rFonts w:ascii="Arial" w:eastAsia="Arial" w:hAnsi="Arial" w:cs="Arial"/>
          <w:spacing w:val="-3"/>
          <w:w w:val="101"/>
        </w:rPr>
        <w:t>n</w:t>
      </w:r>
      <w:r w:rsidRPr="00EB1AAB">
        <w:rPr>
          <w:rFonts w:ascii="Arial" w:eastAsia="Arial" w:hAnsi="Arial" w:cs="Arial"/>
          <w:spacing w:val="2"/>
          <w:w w:val="101"/>
        </w:rPr>
        <w:t>t</w:t>
      </w:r>
      <w:r w:rsidRPr="00EB1AAB">
        <w:rPr>
          <w:rFonts w:ascii="Arial" w:eastAsia="Arial" w:hAnsi="Arial" w:cs="Arial"/>
          <w:w w:val="101"/>
        </w:rPr>
        <w:t xml:space="preserve">s </w:t>
      </w:r>
      <w:r w:rsidRPr="00EB1AAB">
        <w:rPr>
          <w:rFonts w:ascii="Arial" w:eastAsia="Arial" w:hAnsi="Arial" w:cs="Arial"/>
          <w:spacing w:val="3"/>
        </w:rPr>
        <w:t>m</w:t>
      </w:r>
      <w:r w:rsidRPr="00EB1AAB">
        <w:rPr>
          <w:rFonts w:ascii="Arial" w:eastAsia="Arial" w:hAnsi="Arial" w:cs="Arial"/>
          <w:spacing w:val="-3"/>
        </w:rPr>
        <w:t>e</w:t>
      </w:r>
      <w:r w:rsidRPr="00EB1AAB">
        <w:rPr>
          <w:rFonts w:ascii="Arial" w:eastAsia="Arial" w:hAnsi="Arial" w:cs="Arial"/>
        </w:rPr>
        <w:t>a</w:t>
      </w:r>
      <w:r w:rsidRPr="00EB1AAB">
        <w:rPr>
          <w:rFonts w:ascii="Arial" w:eastAsia="Arial" w:hAnsi="Arial" w:cs="Arial"/>
          <w:spacing w:val="1"/>
        </w:rPr>
        <w:t>s</w:t>
      </w:r>
      <w:r w:rsidRPr="00EB1AAB">
        <w:rPr>
          <w:rFonts w:ascii="Arial" w:eastAsia="Arial" w:hAnsi="Arial" w:cs="Arial"/>
          <w:spacing w:val="-3"/>
        </w:rPr>
        <w:t>u</w:t>
      </w:r>
      <w:r w:rsidRPr="00EB1AAB">
        <w:rPr>
          <w:rFonts w:ascii="Arial" w:eastAsia="Arial" w:hAnsi="Arial" w:cs="Arial"/>
          <w:spacing w:val="1"/>
        </w:rPr>
        <w:t>r</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9"/>
        </w:rPr>
        <w:t xml:space="preserve"> </w:t>
      </w:r>
      <w:r w:rsidRPr="00EB1AAB">
        <w:rPr>
          <w:rFonts w:ascii="Arial" w:eastAsia="Arial" w:hAnsi="Arial" w:cs="Arial"/>
        </w:rPr>
        <w:t>at</w:t>
      </w:r>
      <w:r w:rsidRPr="00EB1AAB">
        <w:rPr>
          <w:rFonts w:ascii="Arial" w:eastAsia="Arial" w:hAnsi="Arial" w:cs="Arial"/>
          <w:spacing w:val="3"/>
        </w:rPr>
        <w:t xml:space="preserve"> </w:t>
      </w:r>
      <w:r w:rsidRPr="00EB1AAB">
        <w:rPr>
          <w:rFonts w:ascii="Arial" w:eastAsia="Arial" w:hAnsi="Arial" w:cs="Arial"/>
        </w:rPr>
        <w:t>a</w:t>
      </w:r>
      <w:r w:rsidRPr="00EB1AAB">
        <w:rPr>
          <w:rFonts w:ascii="Arial" w:eastAsia="Arial" w:hAnsi="Arial" w:cs="Arial"/>
          <w:spacing w:val="2"/>
        </w:rPr>
        <w:t>m</w:t>
      </w:r>
      <w:r w:rsidRPr="00EB1AAB">
        <w:rPr>
          <w:rFonts w:ascii="Arial" w:eastAsia="Arial" w:hAnsi="Arial" w:cs="Arial"/>
        </w:rPr>
        <w:t>o</w:t>
      </w:r>
      <w:r w:rsidRPr="00EB1AAB">
        <w:rPr>
          <w:rFonts w:ascii="Arial" w:eastAsia="Arial" w:hAnsi="Arial" w:cs="Arial"/>
          <w:spacing w:val="-1"/>
        </w:rPr>
        <w:t>r</w:t>
      </w:r>
      <w:r w:rsidRPr="00EB1AAB">
        <w:rPr>
          <w:rFonts w:ascii="Arial" w:eastAsia="Arial" w:hAnsi="Arial" w:cs="Arial"/>
          <w:spacing w:val="2"/>
        </w:rPr>
        <w:t>t</w:t>
      </w:r>
      <w:r w:rsidRPr="00EB1AAB">
        <w:rPr>
          <w:rFonts w:ascii="Arial" w:eastAsia="Arial" w:hAnsi="Arial" w:cs="Arial"/>
          <w:spacing w:val="1"/>
        </w:rPr>
        <w:t>is</w:t>
      </w:r>
      <w:r w:rsidRPr="00EB1AAB">
        <w:rPr>
          <w:rFonts w:ascii="Arial" w:eastAsia="Arial" w:hAnsi="Arial" w:cs="Arial"/>
          <w:spacing w:val="-3"/>
        </w:rPr>
        <w:t>e</w:t>
      </w:r>
      <w:r w:rsidRPr="00EB1AAB">
        <w:rPr>
          <w:rFonts w:ascii="Arial" w:eastAsia="Arial" w:hAnsi="Arial" w:cs="Arial"/>
        </w:rPr>
        <w:t>d</w:t>
      </w:r>
      <w:r w:rsidRPr="00EB1AAB">
        <w:rPr>
          <w:rFonts w:ascii="Arial" w:eastAsia="Arial" w:hAnsi="Arial" w:cs="Arial"/>
          <w:spacing w:val="13"/>
        </w:rPr>
        <w:t xml:space="preserve"> </w:t>
      </w:r>
      <w:r w:rsidRPr="00EB1AAB">
        <w:rPr>
          <w:rFonts w:ascii="Arial" w:eastAsia="Arial" w:hAnsi="Arial" w:cs="Arial"/>
          <w:spacing w:val="1"/>
        </w:rPr>
        <w:t>c</w:t>
      </w:r>
      <w:r w:rsidRPr="00EB1AAB">
        <w:rPr>
          <w:rFonts w:ascii="Arial" w:eastAsia="Arial" w:hAnsi="Arial" w:cs="Arial"/>
          <w:spacing w:val="-3"/>
        </w:rPr>
        <w:t>o</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5"/>
        </w:rPr>
        <w:t xml:space="preserve"> </w:t>
      </w:r>
      <w:r w:rsidRPr="00EB1AAB">
        <w:rPr>
          <w:rFonts w:ascii="Arial" w:eastAsia="Arial" w:hAnsi="Arial" w:cs="Arial"/>
        </w:rPr>
        <w:t>or</w:t>
      </w:r>
      <w:r w:rsidRPr="00EB1AAB">
        <w:rPr>
          <w:rFonts w:ascii="Arial" w:eastAsia="Arial" w:hAnsi="Arial" w:cs="Arial"/>
          <w:spacing w:val="2"/>
        </w:rPr>
        <w:t xml:space="preserve"> </w:t>
      </w:r>
      <w:r w:rsidRPr="00EB1AAB">
        <w:rPr>
          <w:rFonts w:ascii="Arial" w:eastAsia="Arial" w:hAnsi="Arial" w:cs="Arial"/>
          <w:spacing w:val="1"/>
        </w:rPr>
        <w:t>FV</w:t>
      </w:r>
      <w:r w:rsidRPr="00EB1AAB">
        <w:rPr>
          <w:rFonts w:ascii="Arial" w:eastAsia="Arial" w:hAnsi="Arial" w:cs="Arial"/>
          <w:spacing w:val="-2"/>
        </w:rPr>
        <w:t>O</w:t>
      </w:r>
      <w:r w:rsidRPr="00EB1AAB">
        <w:rPr>
          <w:rFonts w:ascii="Arial" w:eastAsia="Arial" w:hAnsi="Arial" w:cs="Arial"/>
          <w:spacing w:val="-1"/>
        </w:rPr>
        <w:t>C</w:t>
      </w:r>
      <w:r w:rsidRPr="00EB1AAB">
        <w:rPr>
          <w:rFonts w:ascii="Arial" w:eastAsia="Arial" w:hAnsi="Arial" w:cs="Arial"/>
        </w:rPr>
        <w:t>I).</w:t>
      </w:r>
      <w:r w:rsidRPr="00EB1AAB">
        <w:rPr>
          <w:rFonts w:ascii="Arial" w:eastAsia="Arial" w:hAnsi="Arial" w:cs="Arial"/>
          <w:spacing w:val="10"/>
        </w:rPr>
        <w:t xml:space="preserve"> </w:t>
      </w:r>
      <w:r w:rsidRPr="00EB1AAB">
        <w:rPr>
          <w:rFonts w:ascii="Arial" w:eastAsia="Arial" w:hAnsi="Arial" w:cs="Arial"/>
          <w:spacing w:val="1"/>
          <w:w w:val="101"/>
        </w:rPr>
        <w:t>T</w:t>
      </w:r>
      <w:r w:rsidRPr="00EB1AAB">
        <w:rPr>
          <w:rFonts w:ascii="Arial" w:eastAsia="Arial" w:hAnsi="Arial" w:cs="Arial"/>
          <w:w w:val="101"/>
        </w:rPr>
        <w:t>h</w:t>
      </w:r>
      <w:r w:rsidRPr="00EB1AAB">
        <w:rPr>
          <w:rFonts w:ascii="Arial" w:eastAsia="Arial" w:hAnsi="Arial" w:cs="Arial"/>
          <w:spacing w:val="1"/>
          <w:w w:val="101"/>
        </w:rPr>
        <w:t>i</w:t>
      </w:r>
      <w:r w:rsidRPr="00EB1AAB">
        <w:rPr>
          <w:rFonts w:ascii="Arial" w:eastAsia="Arial" w:hAnsi="Arial" w:cs="Arial"/>
          <w:w w:val="101"/>
        </w:rPr>
        <w:t xml:space="preserve">s </w:t>
      </w:r>
      <w:r w:rsidRPr="00EB1AAB">
        <w:rPr>
          <w:rFonts w:ascii="Arial" w:eastAsia="Arial" w:hAnsi="Arial" w:cs="Arial"/>
        </w:rPr>
        <w:t>does</w:t>
      </w:r>
      <w:r w:rsidRPr="00EB1AAB">
        <w:rPr>
          <w:rFonts w:ascii="Arial" w:eastAsia="Arial" w:hAnsi="Arial" w:cs="Arial"/>
          <w:spacing w:val="7"/>
        </w:rPr>
        <w:t xml:space="preserve"> </w:t>
      </w:r>
      <w:r w:rsidRPr="00EB1AAB">
        <w:rPr>
          <w:rFonts w:ascii="Arial" w:eastAsia="Arial" w:hAnsi="Arial" w:cs="Arial"/>
        </w:rPr>
        <w:t>not</w:t>
      </w:r>
      <w:r w:rsidRPr="00EB1AAB">
        <w:rPr>
          <w:rFonts w:ascii="Arial" w:eastAsia="Arial" w:hAnsi="Arial" w:cs="Arial"/>
          <w:spacing w:val="4"/>
        </w:rPr>
        <w:t xml:space="preserve"> </w:t>
      </w:r>
      <w:r w:rsidRPr="00EB1AAB">
        <w:rPr>
          <w:rFonts w:ascii="Arial" w:eastAsia="Arial" w:hAnsi="Arial" w:cs="Arial"/>
          <w:spacing w:val="2"/>
        </w:rPr>
        <w:t>a</w:t>
      </w:r>
      <w:r w:rsidRPr="00EB1AAB">
        <w:rPr>
          <w:rFonts w:ascii="Arial" w:eastAsia="Arial" w:hAnsi="Arial" w:cs="Arial"/>
          <w:spacing w:val="-3"/>
        </w:rPr>
        <w:t>p</w:t>
      </w:r>
      <w:r w:rsidRPr="00EB1AAB">
        <w:rPr>
          <w:rFonts w:ascii="Arial" w:eastAsia="Arial" w:hAnsi="Arial" w:cs="Arial"/>
        </w:rPr>
        <w:t>p</w:t>
      </w:r>
      <w:r w:rsidRPr="00EB1AAB">
        <w:rPr>
          <w:rFonts w:ascii="Arial" w:eastAsia="Arial" w:hAnsi="Arial" w:cs="Arial"/>
          <w:spacing w:val="3"/>
        </w:rPr>
        <w:t>l</w:t>
      </w:r>
      <w:r w:rsidRPr="00EB1AAB">
        <w:rPr>
          <w:rFonts w:ascii="Arial" w:eastAsia="Arial" w:hAnsi="Arial" w:cs="Arial"/>
        </w:rPr>
        <w:t>y</w:t>
      </w:r>
      <w:r w:rsidRPr="00EB1AAB">
        <w:rPr>
          <w:rFonts w:ascii="Arial" w:eastAsia="Arial" w:hAnsi="Arial" w:cs="Arial"/>
          <w:spacing w:val="5"/>
        </w:rPr>
        <w:t xml:space="preserve"> </w:t>
      </w:r>
      <w:r w:rsidRPr="00EB1AAB">
        <w:rPr>
          <w:rFonts w:ascii="Arial" w:eastAsia="Arial" w:hAnsi="Arial" w:cs="Arial"/>
          <w:spacing w:val="-1"/>
        </w:rPr>
        <w:t>w</w:t>
      </w:r>
      <w:r w:rsidRPr="00EB1AAB">
        <w:rPr>
          <w:rFonts w:ascii="Arial" w:eastAsia="Arial" w:hAnsi="Arial" w:cs="Arial"/>
          <w:spacing w:val="2"/>
        </w:rPr>
        <w:t>h</w:t>
      </w:r>
      <w:r w:rsidRPr="00EB1AAB">
        <w:rPr>
          <w:rFonts w:ascii="Arial" w:eastAsia="Arial" w:hAnsi="Arial" w:cs="Arial"/>
          <w:spacing w:val="-3"/>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the</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rPr>
        <w:t>ounte</w:t>
      </w:r>
      <w:r w:rsidRPr="00EB1AAB">
        <w:rPr>
          <w:rFonts w:ascii="Arial" w:eastAsia="Arial" w:hAnsi="Arial" w:cs="Arial"/>
          <w:spacing w:val="1"/>
        </w:rPr>
        <w:t>r</w:t>
      </w:r>
      <w:r w:rsidRPr="00EB1AAB">
        <w:rPr>
          <w:rFonts w:ascii="Arial" w:eastAsia="Arial" w:hAnsi="Arial" w:cs="Arial"/>
        </w:rPr>
        <w:t>pa</w:t>
      </w:r>
      <w:r w:rsidRPr="00EB1AAB">
        <w:rPr>
          <w:rFonts w:ascii="Arial" w:eastAsia="Arial" w:hAnsi="Arial" w:cs="Arial"/>
          <w:spacing w:val="-1"/>
        </w:rPr>
        <w:t>r</w:t>
      </w:r>
      <w:r w:rsidRPr="00EB1AAB">
        <w:rPr>
          <w:rFonts w:ascii="Arial" w:eastAsia="Arial" w:hAnsi="Arial" w:cs="Arial"/>
          <w:spacing w:val="2"/>
        </w:rPr>
        <w:t>t</w:t>
      </w:r>
      <w:r w:rsidRPr="00EB1AAB">
        <w:rPr>
          <w:rFonts w:ascii="Arial" w:eastAsia="Arial" w:hAnsi="Arial" w:cs="Arial"/>
        </w:rPr>
        <w:t>y</w:t>
      </w:r>
      <w:r w:rsidRPr="00EB1AAB">
        <w:rPr>
          <w:rFonts w:ascii="Arial" w:eastAsia="Arial" w:hAnsi="Arial" w:cs="Arial"/>
          <w:spacing w:val="13"/>
        </w:rPr>
        <w:t xml:space="preserve"> </w:t>
      </w:r>
      <w:r w:rsidRPr="00EB1AAB">
        <w:rPr>
          <w:rFonts w:ascii="Arial" w:eastAsia="Arial" w:hAnsi="Arial" w:cs="Arial"/>
          <w:spacing w:val="1"/>
        </w:rPr>
        <w:t>i</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spacing w:val="-2"/>
        </w:rPr>
        <w:t>e</w:t>
      </w:r>
      <w:r w:rsidRPr="00EB1AAB">
        <w:rPr>
          <w:rFonts w:ascii="Arial" w:eastAsia="Arial" w:hAnsi="Arial" w:cs="Arial"/>
        </w:rPr>
        <w:t>n</w:t>
      </w:r>
      <w:r w:rsidRPr="00EB1AAB">
        <w:rPr>
          <w:rFonts w:ascii="Arial" w:eastAsia="Arial" w:hAnsi="Arial" w:cs="Arial"/>
          <w:spacing w:val="2"/>
        </w:rPr>
        <w:t>t</w:t>
      </w:r>
      <w:r w:rsidRPr="00EB1AAB">
        <w:rPr>
          <w:rFonts w:ascii="Arial" w:eastAsia="Arial" w:hAnsi="Arial" w:cs="Arial"/>
          <w:spacing w:val="-1"/>
        </w:rPr>
        <w:t>r</w:t>
      </w:r>
      <w:r w:rsidRPr="00EB1AAB">
        <w:rPr>
          <w:rFonts w:ascii="Arial" w:eastAsia="Arial" w:hAnsi="Arial" w:cs="Arial"/>
        </w:rPr>
        <w:t>al</w:t>
      </w:r>
      <w:r w:rsidRPr="00EB1AAB">
        <w:rPr>
          <w:rFonts w:ascii="Arial" w:eastAsia="Arial" w:hAnsi="Arial" w:cs="Arial"/>
          <w:spacing w:val="11"/>
        </w:rPr>
        <w:t xml:space="preserve"> </w:t>
      </w:r>
      <w:r w:rsidRPr="00EB1AAB">
        <w:rPr>
          <w:rFonts w:ascii="Arial" w:eastAsia="Arial" w:hAnsi="Arial" w:cs="Arial"/>
          <w:spacing w:val="-2"/>
        </w:rPr>
        <w:t>g</w:t>
      </w:r>
      <w:r w:rsidRPr="00EB1AAB">
        <w:rPr>
          <w:rFonts w:ascii="Arial" w:eastAsia="Arial" w:hAnsi="Arial" w:cs="Arial"/>
        </w:rPr>
        <w:t>o</w:t>
      </w:r>
      <w:r w:rsidRPr="00EB1AAB">
        <w:rPr>
          <w:rFonts w:ascii="Arial" w:eastAsia="Arial" w:hAnsi="Arial" w:cs="Arial"/>
          <w:spacing w:val="1"/>
        </w:rPr>
        <w:t>v</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2"/>
        </w:rPr>
        <w:t>n</w:t>
      </w:r>
      <w:r w:rsidRPr="00EB1AAB">
        <w:rPr>
          <w:rFonts w:ascii="Arial" w:eastAsia="Arial" w:hAnsi="Arial" w:cs="Arial"/>
          <w:spacing w:val="2"/>
        </w:rPr>
        <w:t>m</w:t>
      </w:r>
      <w:r w:rsidRPr="00EB1AAB">
        <w:rPr>
          <w:rFonts w:ascii="Arial" w:eastAsia="Arial" w:hAnsi="Arial" w:cs="Arial"/>
        </w:rPr>
        <w:t>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5"/>
        </w:rPr>
        <w:t xml:space="preserve"> </w:t>
      </w:r>
      <w:r w:rsidRPr="00EB1AAB">
        <w:rPr>
          <w:rFonts w:ascii="Arial" w:eastAsia="Arial" w:hAnsi="Arial" w:cs="Arial"/>
        </w:rPr>
        <w:t>or</w:t>
      </w:r>
      <w:r w:rsidRPr="00EB1AAB">
        <w:rPr>
          <w:rFonts w:ascii="Arial" w:eastAsia="Arial" w:hAnsi="Arial" w:cs="Arial"/>
          <w:spacing w:val="4"/>
        </w:rPr>
        <w:t xml:space="preserve"> </w:t>
      </w:r>
      <w:r w:rsidRPr="00EB1AAB">
        <w:rPr>
          <w:rFonts w:ascii="Arial" w:eastAsia="Arial" w:hAnsi="Arial" w:cs="Arial"/>
        </w:rPr>
        <w:t>an</w:t>
      </w:r>
      <w:r w:rsidRPr="00EB1AAB">
        <w:rPr>
          <w:rFonts w:ascii="Arial" w:eastAsia="Arial" w:hAnsi="Arial" w:cs="Arial"/>
          <w:spacing w:val="-3"/>
        </w:rPr>
        <w:t>o</w:t>
      </w:r>
      <w:r w:rsidRPr="00EB1AAB">
        <w:rPr>
          <w:rFonts w:ascii="Arial" w:eastAsia="Arial" w:hAnsi="Arial" w:cs="Arial"/>
          <w:spacing w:val="2"/>
        </w:rPr>
        <w:t>t</w:t>
      </w:r>
      <w:r w:rsidRPr="00EB1AAB">
        <w:rPr>
          <w:rFonts w:ascii="Arial" w:eastAsia="Arial" w:hAnsi="Arial" w:cs="Arial"/>
        </w:rPr>
        <w:t>her</w:t>
      </w:r>
      <w:r w:rsidRPr="00EB1AAB">
        <w:rPr>
          <w:rFonts w:ascii="Arial" w:eastAsia="Arial" w:hAnsi="Arial" w:cs="Arial"/>
          <w:spacing w:val="11"/>
        </w:rPr>
        <w:t xml:space="preserve">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2"/>
        </w:rPr>
        <w:t>c</w:t>
      </w:r>
      <w:r w:rsidRPr="00EB1AAB">
        <w:rPr>
          <w:rFonts w:ascii="Arial" w:eastAsia="Arial" w:hAnsi="Arial" w:cs="Arial"/>
        </w:rPr>
        <w:t>al</w:t>
      </w:r>
      <w:r w:rsidRPr="00EB1AAB">
        <w:rPr>
          <w:rFonts w:ascii="Arial" w:eastAsia="Arial" w:hAnsi="Arial" w:cs="Arial"/>
          <w:spacing w:val="9"/>
        </w:rPr>
        <w:t xml:space="preserve"> </w:t>
      </w:r>
      <w:r w:rsidRPr="00EB1AAB">
        <w:rPr>
          <w:rFonts w:ascii="Arial" w:eastAsia="Arial" w:hAnsi="Arial" w:cs="Arial"/>
          <w:spacing w:val="-3"/>
          <w:w w:val="101"/>
        </w:rPr>
        <w:t>a</w:t>
      </w:r>
      <w:r w:rsidRPr="00EB1AAB">
        <w:rPr>
          <w:rFonts w:ascii="Arial" w:eastAsia="Arial" w:hAnsi="Arial" w:cs="Arial"/>
          <w:w w:val="101"/>
        </w:rPr>
        <w:t>u</w:t>
      </w:r>
      <w:r w:rsidRPr="00EB1AAB">
        <w:rPr>
          <w:rFonts w:ascii="Arial" w:eastAsia="Arial" w:hAnsi="Arial" w:cs="Arial"/>
          <w:spacing w:val="-1"/>
          <w:w w:val="101"/>
        </w:rPr>
        <w:t>t</w:t>
      </w:r>
      <w:r w:rsidRPr="00EB1AAB">
        <w:rPr>
          <w:rFonts w:ascii="Arial" w:eastAsia="Arial" w:hAnsi="Arial" w:cs="Arial"/>
          <w:w w:val="101"/>
        </w:rPr>
        <w:t>ho</w:t>
      </w:r>
      <w:r w:rsidRPr="00EB1AAB">
        <w:rPr>
          <w:rFonts w:ascii="Arial" w:eastAsia="Arial" w:hAnsi="Arial" w:cs="Arial"/>
          <w:spacing w:val="-1"/>
          <w:w w:val="101"/>
        </w:rPr>
        <w:t>r</w:t>
      </w:r>
      <w:r w:rsidRPr="00EB1AAB">
        <w:rPr>
          <w:rFonts w:ascii="Arial" w:eastAsia="Arial" w:hAnsi="Arial" w:cs="Arial"/>
          <w:spacing w:val="1"/>
          <w:w w:val="101"/>
        </w:rPr>
        <w:t>i</w:t>
      </w:r>
      <w:r w:rsidRPr="00EB1AAB">
        <w:rPr>
          <w:rFonts w:ascii="Arial" w:eastAsia="Arial" w:hAnsi="Arial" w:cs="Arial"/>
          <w:spacing w:val="5"/>
          <w:w w:val="101"/>
        </w:rPr>
        <w:t>t</w:t>
      </w:r>
      <w:r w:rsidRPr="00EB1AAB">
        <w:rPr>
          <w:rFonts w:ascii="Arial" w:eastAsia="Arial" w:hAnsi="Arial" w:cs="Arial"/>
          <w:spacing w:val="-6"/>
          <w:w w:val="101"/>
        </w:rPr>
        <w:t>y</w:t>
      </w:r>
      <w:r w:rsidRPr="00EB1AAB">
        <w:rPr>
          <w:rFonts w:ascii="Arial" w:eastAsia="Arial" w:hAnsi="Arial" w:cs="Arial"/>
          <w:w w:val="101"/>
        </w:rPr>
        <w:t>.</w:t>
      </w:r>
    </w:p>
    <w:p w14:paraId="62F02A34" w14:textId="77777777" w:rsidR="00655E4C" w:rsidRPr="00EB1AAB" w:rsidRDefault="00655E4C" w:rsidP="00655E4C">
      <w:pPr>
        <w:spacing w:before="6"/>
        <w:ind w:right="102"/>
        <w:rPr>
          <w:rFonts w:ascii="Arial" w:eastAsia="Arial" w:hAnsi="Arial" w:cs="Arial"/>
          <w:w w:val="101"/>
        </w:rPr>
      </w:pPr>
    </w:p>
    <w:p w14:paraId="32900394" w14:textId="77777777" w:rsidR="00655E4C" w:rsidRPr="00EB1AAB" w:rsidRDefault="00655E4C" w:rsidP="00655E4C">
      <w:pPr>
        <w:spacing w:before="33"/>
        <w:ind w:right="54"/>
        <w:rPr>
          <w:rFonts w:ascii="Arial" w:eastAsia="Arial" w:hAnsi="Arial" w:cs="Arial"/>
        </w:rPr>
      </w:pPr>
      <w:r w:rsidRPr="00EB1AAB">
        <w:rPr>
          <w:rFonts w:ascii="Arial" w:eastAsia="Arial" w:hAnsi="Arial" w:cs="Arial"/>
        </w:rPr>
        <w:t>At</w:t>
      </w:r>
      <w:r w:rsidRPr="00EB1AAB">
        <w:rPr>
          <w:rFonts w:ascii="Arial" w:eastAsia="Arial" w:hAnsi="Arial" w:cs="Arial"/>
          <w:spacing w:val="6"/>
        </w:rPr>
        <w:t xml:space="preserve"> </w:t>
      </w:r>
      <w:r w:rsidRPr="00EB1AAB">
        <w:rPr>
          <w:rFonts w:ascii="Arial" w:eastAsia="Arial" w:hAnsi="Arial" w:cs="Arial"/>
          <w:spacing w:val="-3"/>
        </w:rPr>
        <w:t>e</w:t>
      </w:r>
      <w:r w:rsidRPr="00EB1AAB">
        <w:rPr>
          <w:rFonts w:ascii="Arial" w:eastAsia="Arial" w:hAnsi="Arial" w:cs="Arial"/>
        </w:rPr>
        <w:t>a</w:t>
      </w:r>
      <w:r w:rsidRPr="00EB1AAB">
        <w:rPr>
          <w:rFonts w:ascii="Arial" w:eastAsia="Arial" w:hAnsi="Arial" w:cs="Arial"/>
          <w:spacing w:val="-2"/>
        </w:rPr>
        <w:t>c</w:t>
      </w:r>
      <w:r w:rsidRPr="00EB1AAB">
        <w:rPr>
          <w:rFonts w:ascii="Arial" w:eastAsia="Arial" w:hAnsi="Arial" w:cs="Arial"/>
        </w:rPr>
        <w:t>h</w:t>
      </w:r>
      <w:r w:rsidRPr="00EB1AAB">
        <w:rPr>
          <w:rFonts w:ascii="Arial" w:eastAsia="Arial" w:hAnsi="Arial" w:cs="Arial"/>
          <w:spacing w:val="9"/>
        </w:rPr>
        <w:t xml:space="preserve"> </w:t>
      </w:r>
      <w:r w:rsidRPr="00EB1AAB">
        <w:rPr>
          <w:rFonts w:ascii="Arial" w:eastAsia="Arial" w:hAnsi="Arial" w:cs="Arial"/>
          <w:spacing w:val="-2"/>
        </w:rPr>
        <w:t>y</w:t>
      </w:r>
      <w:r w:rsidRPr="00EB1AAB">
        <w:rPr>
          <w:rFonts w:ascii="Arial" w:eastAsia="Arial" w:hAnsi="Arial" w:cs="Arial"/>
        </w:rPr>
        <w:t>ear</w:t>
      </w:r>
      <w:r w:rsidRPr="00EB1AAB">
        <w:rPr>
          <w:rFonts w:ascii="Arial" w:eastAsia="Arial" w:hAnsi="Arial" w:cs="Arial"/>
          <w:spacing w:val="6"/>
        </w:rPr>
        <w:t xml:space="preserve"> </w:t>
      </w:r>
      <w:r w:rsidRPr="00EB1AAB">
        <w:rPr>
          <w:rFonts w:ascii="Arial" w:eastAsia="Arial" w:hAnsi="Arial" w:cs="Arial"/>
        </w:rPr>
        <w:t>end,</w:t>
      </w:r>
      <w:r w:rsidRPr="00EB1AAB">
        <w:rPr>
          <w:rFonts w:ascii="Arial" w:eastAsia="Arial" w:hAnsi="Arial" w:cs="Arial"/>
          <w:spacing w:val="4"/>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2"/>
        </w:rPr>
        <w:t>s</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rPr>
        <w:t>a</w:t>
      </w:r>
      <w:r w:rsidRPr="00EB1AAB">
        <w:rPr>
          <w:rFonts w:ascii="Arial" w:eastAsia="Arial" w:hAnsi="Arial" w:cs="Arial"/>
          <w:spacing w:val="1"/>
        </w:rPr>
        <w:t>l</w:t>
      </w:r>
      <w:r w:rsidRPr="00EB1AAB">
        <w:rPr>
          <w:rFonts w:ascii="Arial" w:eastAsia="Arial" w:hAnsi="Arial" w:cs="Arial"/>
          <w:spacing w:val="4"/>
        </w:rPr>
        <w:t>l</w:t>
      </w:r>
      <w:r w:rsidRPr="00EB1AAB">
        <w:rPr>
          <w:rFonts w:ascii="Arial" w:eastAsia="Arial" w:hAnsi="Arial" w:cs="Arial"/>
          <w:spacing w:val="-3"/>
        </w:rPr>
        <w:t>o</w:t>
      </w:r>
      <w:r w:rsidRPr="00EB1AAB">
        <w:rPr>
          <w:rFonts w:ascii="Arial" w:eastAsia="Arial" w:hAnsi="Arial" w:cs="Arial"/>
          <w:spacing w:val="-1"/>
        </w:rPr>
        <w:t>w</w:t>
      </w:r>
      <w:r w:rsidRPr="00EB1AAB">
        <w:rPr>
          <w:rFonts w:ascii="Arial" w:eastAsia="Arial" w:hAnsi="Arial" w:cs="Arial"/>
          <w:spacing w:val="2"/>
        </w:rPr>
        <w:t>a</w:t>
      </w:r>
      <w:r w:rsidRPr="00EB1AAB">
        <w:rPr>
          <w:rFonts w:ascii="Arial" w:eastAsia="Arial" w:hAnsi="Arial" w:cs="Arial"/>
          <w:spacing w:val="-3"/>
        </w:rPr>
        <w:t>n</w:t>
      </w:r>
      <w:r w:rsidRPr="00EB1AAB">
        <w:rPr>
          <w:rFonts w:ascii="Arial" w:eastAsia="Arial" w:hAnsi="Arial" w:cs="Arial"/>
          <w:spacing w:val="1"/>
        </w:rPr>
        <w:t>c</w:t>
      </w:r>
      <w:r w:rsidRPr="00EB1AAB">
        <w:rPr>
          <w:rFonts w:ascii="Arial" w:eastAsia="Arial" w:hAnsi="Arial" w:cs="Arial"/>
        </w:rPr>
        <w:t>e</w:t>
      </w:r>
      <w:r w:rsidRPr="00EB1AAB">
        <w:rPr>
          <w:rFonts w:ascii="Arial" w:eastAsia="Arial" w:hAnsi="Arial" w:cs="Arial"/>
          <w:spacing w:val="11"/>
        </w:rPr>
        <w:t xml:space="preserve"> </w:t>
      </w:r>
      <w:r w:rsidRPr="00EB1AAB">
        <w:rPr>
          <w:rFonts w:ascii="Arial" w:eastAsia="Arial" w:hAnsi="Arial" w:cs="Arial"/>
          <w:spacing w:val="2"/>
        </w:rPr>
        <w:t>f</w:t>
      </w:r>
      <w:r w:rsidRPr="00EB1AAB">
        <w:rPr>
          <w:rFonts w:ascii="Arial" w:eastAsia="Arial" w:hAnsi="Arial" w:cs="Arial"/>
          <w:spacing w:val="-3"/>
        </w:rPr>
        <w:t>o</w:t>
      </w:r>
      <w:r w:rsidRPr="00EB1AAB">
        <w:rPr>
          <w:rFonts w:ascii="Arial" w:eastAsia="Arial" w:hAnsi="Arial" w:cs="Arial"/>
        </w:rPr>
        <w:t>r</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2"/>
        </w:rPr>
        <w:t xml:space="preserve"> f</w:t>
      </w:r>
      <w:r w:rsidRPr="00EB1AAB">
        <w:rPr>
          <w:rFonts w:ascii="Arial" w:eastAsia="Arial" w:hAnsi="Arial" w:cs="Arial"/>
          <w:spacing w:val="1"/>
        </w:rPr>
        <w:t>i</w:t>
      </w:r>
      <w:r w:rsidRPr="00EB1AAB">
        <w:rPr>
          <w:rFonts w:ascii="Arial" w:eastAsia="Arial" w:hAnsi="Arial" w:cs="Arial"/>
          <w:spacing w:val="-3"/>
        </w:rPr>
        <w:t>na</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4"/>
        </w:rPr>
        <w:t>i</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12"/>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spacing w:val="-2"/>
        </w:rPr>
        <w:t>u</w:t>
      </w:r>
      <w:r w:rsidRPr="00EB1AAB">
        <w:rPr>
          <w:rFonts w:ascii="Arial" w:eastAsia="Arial" w:hAnsi="Arial" w:cs="Arial"/>
          <w:spacing w:val="2"/>
        </w:rPr>
        <w:t>m</w:t>
      </w:r>
      <w:r w:rsidRPr="00EB1AAB">
        <w:rPr>
          <w:rFonts w:ascii="Arial" w:eastAsia="Arial" w:hAnsi="Arial" w:cs="Arial"/>
        </w:rPr>
        <w:t>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spacing w:val="1"/>
        </w:rPr>
        <w:t>i</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spacing w:val="-3"/>
        </w:rPr>
        <w:t>a</w:t>
      </w:r>
      <w:r w:rsidRPr="00EB1AAB">
        <w:rPr>
          <w:rFonts w:ascii="Arial" w:eastAsia="Arial" w:hAnsi="Arial" w:cs="Arial"/>
          <w:spacing w:val="4"/>
        </w:rPr>
        <w:t>l</w:t>
      </w:r>
      <w:r w:rsidRPr="00EB1AAB">
        <w:rPr>
          <w:rFonts w:ascii="Arial" w:eastAsia="Arial" w:hAnsi="Arial" w:cs="Arial"/>
          <w:spacing w:val="-2"/>
        </w:rPr>
        <w:t>c</w:t>
      </w:r>
      <w:r w:rsidRPr="00EB1AAB">
        <w:rPr>
          <w:rFonts w:ascii="Arial" w:eastAsia="Arial" w:hAnsi="Arial" w:cs="Arial"/>
        </w:rPr>
        <w:t>u</w:t>
      </w:r>
      <w:r w:rsidRPr="00EB1AAB">
        <w:rPr>
          <w:rFonts w:ascii="Arial" w:eastAsia="Arial" w:hAnsi="Arial" w:cs="Arial"/>
          <w:spacing w:val="1"/>
        </w:rPr>
        <w:t>l</w:t>
      </w:r>
      <w:r w:rsidRPr="00EB1AAB">
        <w:rPr>
          <w:rFonts w:ascii="Arial" w:eastAsia="Arial" w:hAnsi="Arial" w:cs="Arial"/>
        </w:rPr>
        <w:t>ated</w:t>
      </w:r>
      <w:r w:rsidRPr="00EB1AAB">
        <w:rPr>
          <w:rFonts w:ascii="Arial" w:eastAsia="Arial" w:hAnsi="Arial" w:cs="Arial"/>
          <w:spacing w:val="11"/>
        </w:rPr>
        <w:t xml:space="preserve"> </w:t>
      </w:r>
      <w:r w:rsidRPr="00EB1AAB">
        <w:rPr>
          <w:rFonts w:ascii="Arial" w:eastAsia="Arial" w:hAnsi="Arial" w:cs="Arial"/>
        </w:rPr>
        <w:t>as</w:t>
      </w:r>
      <w:r w:rsidRPr="00EB1AAB">
        <w:rPr>
          <w:rFonts w:ascii="Arial" w:eastAsia="Arial" w:hAnsi="Arial" w:cs="Arial"/>
          <w:spacing w:val="3"/>
        </w:rPr>
        <w:t xml:space="preserve"> </w:t>
      </w:r>
      <w:r w:rsidRPr="00EB1AAB">
        <w:rPr>
          <w:rFonts w:ascii="Arial" w:eastAsia="Arial" w:hAnsi="Arial" w:cs="Arial"/>
        </w:rPr>
        <w:t>e</w:t>
      </w:r>
      <w:r w:rsidRPr="00EB1AAB">
        <w:rPr>
          <w:rFonts w:ascii="Arial" w:eastAsia="Arial" w:hAnsi="Arial" w:cs="Arial"/>
          <w:spacing w:val="2"/>
        </w:rPr>
        <w:t>q</w:t>
      </w:r>
      <w:r w:rsidRPr="00EB1AAB">
        <w:rPr>
          <w:rFonts w:ascii="Arial" w:eastAsia="Arial" w:hAnsi="Arial" w:cs="Arial"/>
          <w:spacing w:val="-3"/>
        </w:rPr>
        <w:t>u</w:t>
      </w:r>
      <w:r w:rsidRPr="00EB1AAB">
        <w:rPr>
          <w:rFonts w:ascii="Arial" w:eastAsia="Arial" w:hAnsi="Arial" w:cs="Arial"/>
        </w:rPr>
        <w:t>al</w:t>
      </w:r>
      <w:r w:rsidRPr="00EB1AAB">
        <w:rPr>
          <w:rFonts w:ascii="Arial" w:eastAsia="Arial" w:hAnsi="Arial" w:cs="Arial"/>
          <w:spacing w:val="10"/>
        </w:rPr>
        <w:t xml:space="preserve"> </w:t>
      </w:r>
      <w:r w:rsidRPr="00EB1AAB">
        <w:rPr>
          <w:rFonts w:ascii="Arial" w:eastAsia="Arial" w:hAnsi="Arial" w:cs="Arial"/>
          <w:w w:val="101"/>
        </w:rPr>
        <w:t xml:space="preserve">to </w:t>
      </w:r>
      <w:r w:rsidRPr="00EB1AAB">
        <w:rPr>
          <w:rFonts w:ascii="Arial" w:eastAsia="Arial" w:hAnsi="Arial" w:cs="Arial"/>
        </w:rPr>
        <w:t>the</w:t>
      </w:r>
      <w:r w:rsidRPr="00EB1AAB">
        <w:rPr>
          <w:rFonts w:ascii="Arial" w:eastAsia="Arial" w:hAnsi="Arial" w:cs="Arial"/>
          <w:spacing w:val="4"/>
        </w:rPr>
        <w:t xml:space="preserve"> </w:t>
      </w:r>
      <w:r w:rsidRPr="00EB1AAB">
        <w:rPr>
          <w:rFonts w:ascii="Arial" w:eastAsia="Arial" w:hAnsi="Arial" w:cs="Arial"/>
          <w:spacing w:val="1"/>
        </w:rPr>
        <w:t>l</w:t>
      </w:r>
      <w:r w:rsidRPr="00EB1AAB">
        <w:rPr>
          <w:rFonts w:ascii="Arial" w:eastAsia="Arial" w:hAnsi="Arial" w:cs="Arial"/>
          <w:spacing w:val="-2"/>
        </w:rPr>
        <w:t>i</w:t>
      </w:r>
      <w:r w:rsidRPr="00EB1AAB">
        <w:rPr>
          <w:rFonts w:ascii="Arial" w:eastAsia="Arial" w:hAnsi="Arial" w:cs="Arial"/>
          <w:spacing w:val="5"/>
        </w:rPr>
        <w:t>f</w:t>
      </w:r>
      <w:r w:rsidRPr="00EB1AAB">
        <w:rPr>
          <w:rFonts w:ascii="Arial" w:eastAsia="Arial" w:hAnsi="Arial" w:cs="Arial"/>
          <w:spacing w:val="-3"/>
        </w:rPr>
        <w:t>e</w:t>
      </w:r>
      <w:r w:rsidRPr="00EB1AAB">
        <w:rPr>
          <w:rFonts w:ascii="Arial" w:eastAsia="Arial" w:hAnsi="Arial" w:cs="Arial"/>
        </w:rPr>
        <w:t>t</w:t>
      </w:r>
      <w:r w:rsidRPr="00EB1AAB">
        <w:rPr>
          <w:rFonts w:ascii="Arial" w:eastAsia="Arial" w:hAnsi="Arial" w:cs="Arial"/>
          <w:spacing w:val="1"/>
        </w:rPr>
        <w:t>i</w:t>
      </w:r>
      <w:r w:rsidRPr="00EB1AAB">
        <w:rPr>
          <w:rFonts w:ascii="Arial" w:eastAsia="Arial" w:hAnsi="Arial" w:cs="Arial"/>
          <w:spacing w:val="2"/>
        </w:rPr>
        <w:t>m</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rPr>
        <w:t>e</w:t>
      </w:r>
      <w:r w:rsidRPr="00EB1AAB">
        <w:rPr>
          <w:rFonts w:ascii="Arial" w:eastAsia="Arial" w:hAnsi="Arial" w:cs="Arial"/>
          <w:spacing w:val="1"/>
        </w:rPr>
        <w:t>x</w:t>
      </w:r>
      <w:r w:rsidRPr="00EB1AAB">
        <w:rPr>
          <w:rFonts w:ascii="Arial" w:eastAsia="Arial" w:hAnsi="Arial" w:cs="Arial"/>
          <w:spacing w:val="-3"/>
        </w:rPr>
        <w:t>p</w:t>
      </w:r>
      <w:r w:rsidRPr="00EB1AAB">
        <w:rPr>
          <w:rFonts w:ascii="Arial" w:eastAsia="Arial" w:hAnsi="Arial" w:cs="Arial"/>
        </w:rPr>
        <w:t>e</w:t>
      </w:r>
      <w:r w:rsidRPr="00EB1AAB">
        <w:rPr>
          <w:rFonts w:ascii="Arial" w:eastAsia="Arial" w:hAnsi="Arial" w:cs="Arial"/>
          <w:spacing w:val="-2"/>
        </w:rPr>
        <w:t>c</w:t>
      </w:r>
      <w:r w:rsidRPr="00EB1AAB">
        <w:rPr>
          <w:rFonts w:ascii="Arial" w:eastAsia="Arial" w:hAnsi="Arial" w:cs="Arial"/>
          <w:spacing w:val="5"/>
        </w:rPr>
        <w:t>t</w:t>
      </w:r>
      <w:r w:rsidRPr="00EB1AAB">
        <w:rPr>
          <w:rFonts w:ascii="Arial" w:eastAsia="Arial" w:hAnsi="Arial" w:cs="Arial"/>
          <w:spacing w:val="-3"/>
        </w:rPr>
        <w:t>e</w:t>
      </w:r>
      <w:r w:rsidRPr="00EB1AAB">
        <w:rPr>
          <w:rFonts w:ascii="Arial" w:eastAsia="Arial" w:hAnsi="Arial" w:cs="Arial"/>
        </w:rPr>
        <w:t>d</w:t>
      </w:r>
      <w:r w:rsidRPr="00EB1AAB">
        <w:rPr>
          <w:rFonts w:ascii="Arial" w:eastAsia="Arial" w:hAnsi="Arial" w:cs="Arial"/>
          <w:spacing w:val="10"/>
        </w:rPr>
        <w:t xml:space="preserve"> </w:t>
      </w:r>
      <w:r w:rsidRPr="00EB1AAB">
        <w:rPr>
          <w:rFonts w:ascii="Arial" w:eastAsia="Arial" w:hAnsi="Arial" w:cs="Arial"/>
          <w:spacing w:val="1"/>
        </w:rPr>
        <w:t>cr</w:t>
      </w:r>
      <w:r w:rsidRPr="00EB1AAB">
        <w:rPr>
          <w:rFonts w:ascii="Arial" w:eastAsia="Arial" w:hAnsi="Arial" w:cs="Arial"/>
        </w:rPr>
        <w:t>ed</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1"/>
        </w:rPr>
        <w:t>l</w:t>
      </w:r>
      <w:r w:rsidRPr="00EB1AAB">
        <w:rPr>
          <w:rFonts w:ascii="Arial" w:eastAsia="Arial" w:hAnsi="Arial" w:cs="Arial"/>
          <w:spacing w:val="-3"/>
        </w:rPr>
        <w:t>o</w:t>
      </w:r>
      <w:r w:rsidRPr="00EB1AAB">
        <w:rPr>
          <w:rFonts w:ascii="Arial" w:eastAsia="Arial" w:hAnsi="Arial" w:cs="Arial"/>
          <w:spacing w:val="1"/>
        </w:rPr>
        <w:t>ss</w:t>
      </w:r>
      <w:r w:rsidRPr="00EB1AAB">
        <w:rPr>
          <w:rFonts w:ascii="Arial" w:eastAsia="Arial" w:hAnsi="Arial" w:cs="Arial"/>
          <w:spacing w:val="-3"/>
        </w:rPr>
        <w:t>e</w:t>
      </w:r>
      <w:r w:rsidRPr="00EB1AAB">
        <w:rPr>
          <w:rFonts w:ascii="Arial" w:eastAsia="Arial" w:hAnsi="Arial" w:cs="Arial"/>
        </w:rPr>
        <w:t>s</w:t>
      </w:r>
      <w:r w:rsidRPr="00EB1AAB">
        <w:rPr>
          <w:rFonts w:ascii="Arial" w:eastAsia="Arial" w:hAnsi="Arial" w:cs="Arial"/>
          <w:spacing w:val="8"/>
        </w:rPr>
        <w:t xml:space="preserve"> </w:t>
      </w:r>
      <w:r w:rsidRPr="00EB1AAB">
        <w:rPr>
          <w:rFonts w:ascii="Arial" w:eastAsia="Arial" w:hAnsi="Arial" w:cs="Arial"/>
          <w:spacing w:val="1"/>
        </w:rPr>
        <w:t>i</w:t>
      </w:r>
      <w:r w:rsidRPr="00EB1AAB">
        <w:rPr>
          <w:rFonts w:ascii="Arial" w:eastAsia="Arial" w:hAnsi="Arial" w:cs="Arial"/>
        </w:rPr>
        <w:t>f</w:t>
      </w:r>
      <w:r w:rsidRPr="00EB1AAB">
        <w:rPr>
          <w:rFonts w:ascii="Arial" w:eastAsia="Arial" w:hAnsi="Arial" w:cs="Arial"/>
          <w:spacing w:val="2"/>
        </w:rPr>
        <w:t xml:space="preserve"> </w:t>
      </w:r>
      <w:r w:rsidRPr="00EB1AAB">
        <w:rPr>
          <w:rFonts w:ascii="Arial" w:eastAsia="Arial" w:hAnsi="Arial" w:cs="Arial"/>
        </w:rPr>
        <w:t>the</w:t>
      </w:r>
      <w:r w:rsidRPr="00EB1AAB">
        <w:rPr>
          <w:rFonts w:ascii="Arial" w:eastAsia="Arial" w:hAnsi="Arial" w:cs="Arial"/>
          <w:spacing w:val="3"/>
        </w:rPr>
        <w:t xml:space="preserve"> </w:t>
      </w:r>
      <w:r w:rsidRPr="00EB1AAB">
        <w:rPr>
          <w:rFonts w:ascii="Arial" w:eastAsia="Arial" w:hAnsi="Arial" w:cs="Arial"/>
          <w:spacing w:val="-1"/>
        </w:rPr>
        <w:t>c</w:t>
      </w:r>
      <w:r w:rsidRPr="00EB1AAB">
        <w:rPr>
          <w:rFonts w:ascii="Arial" w:eastAsia="Arial" w:hAnsi="Arial" w:cs="Arial"/>
          <w:spacing w:val="1"/>
        </w:rPr>
        <w:t>r</w:t>
      </w:r>
      <w:r w:rsidRPr="00EB1AAB">
        <w:rPr>
          <w:rFonts w:ascii="Arial" w:eastAsia="Arial" w:hAnsi="Arial" w:cs="Arial"/>
        </w:rPr>
        <w:t>ed</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spacing w:val="1"/>
        </w:rPr>
        <w:t>ris</w:t>
      </w:r>
      <w:r w:rsidRPr="00EB1AAB">
        <w:rPr>
          <w:rFonts w:ascii="Arial" w:eastAsia="Arial" w:hAnsi="Arial" w:cs="Arial"/>
        </w:rPr>
        <w:t>k</w:t>
      </w:r>
      <w:r w:rsidRPr="00EB1AAB">
        <w:rPr>
          <w:rFonts w:ascii="Arial" w:eastAsia="Arial" w:hAnsi="Arial" w:cs="Arial"/>
          <w:spacing w:val="6"/>
        </w:rPr>
        <w:t xml:space="preserve"> </w:t>
      </w:r>
      <w:r w:rsidRPr="00EB1AAB">
        <w:rPr>
          <w:rFonts w:ascii="Arial" w:eastAsia="Arial" w:hAnsi="Arial" w:cs="Arial"/>
          <w:spacing w:val="-3"/>
        </w:rPr>
        <w:t>o</w:t>
      </w:r>
      <w:r w:rsidRPr="00EB1AAB">
        <w:rPr>
          <w:rFonts w:ascii="Arial" w:eastAsia="Arial" w:hAnsi="Arial" w:cs="Arial"/>
        </w:rPr>
        <w:t>n</w:t>
      </w:r>
      <w:r w:rsidRPr="00EB1AAB">
        <w:rPr>
          <w:rFonts w:ascii="Arial" w:eastAsia="Arial" w:hAnsi="Arial" w:cs="Arial"/>
          <w:spacing w:val="4"/>
        </w:rPr>
        <w:t xml:space="preserve"> </w:t>
      </w:r>
      <w:r w:rsidRPr="00EB1AAB">
        <w:rPr>
          <w:rFonts w:ascii="Arial" w:eastAsia="Arial" w:hAnsi="Arial" w:cs="Arial"/>
        </w:rPr>
        <w:t>th</w:t>
      </w:r>
      <w:r w:rsidRPr="00EB1AAB">
        <w:rPr>
          <w:rFonts w:ascii="Arial" w:eastAsia="Arial" w:hAnsi="Arial" w:cs="Arial"/>
          <w:spacing w:val="-3"/>
        </w:rPr>
        <w:t>a</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spacing w:val="2"/>
        </w:rPr>
        <w:t>f</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3"/>
        </w:rPr>
        <w:t>a</w:t>
      </w:r>
      <w:r w:rsidRPr="00EB1AAB">
        <w:rPr>
          <w:rFonts w:ascii="Arial" w:eastAsia="Arial" w:hAnsi="Arial" w:cs="Arial"/>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0"/>
        </w:rPr>
        <w:t xml:space="preserve"> </w:t>
      </w:r>
      <w:r w:rsidRPr="00EB1AAB">
        <w:rPr>
          <w:rFonts w:ascii="Arial" w:eastAsia="Arial" w:hAnsi="Arial" w:cs="Arial"/>
          <w:spacing w:val="4"/>
        </w:rPr>
        <w:t>i</w:t>
      </w:r>
      <w:r w:rsidRPr="00EB1AAB">
        <w:rPr>
          <w:rFonts w:ascii="Arial" w:eastAsia="Arial" w:hAnsi="Arial" w:cs="Arial"/>
          <w:spacing w:val="-5"/>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um</w:t>
      </w:r>
      <w:r w:rsidRPr="00EB1AAB">
        <w:rPr>
          <w:rFonts w:ascii="Arial" w:eastAsia="Arial" w:hAnsi="Arial" w:cs="Arial"/>
          <w:spacing w:val="-1"/>
        </w:rPr>
        <w:t>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5"/>
        </w:rPr>
        <w:t xml:space="preserve"> </w:t>
      </w:r>
      <w:r w:rsidRPr="00EB1AAB">
        <w:rPr>
          <w:rFonts w:ascii="Arial" w:eastAsia="Arial" w:hAnsi="Arial" w:cs="Arial"/>
          <w:spacing w:val="2"/>
          <w:w w:val="101"/>
        </w:rPr>
        <w:t>h</w:t>
      </w:r>
      <w:r w:rsidRPr="00EB1AAB">
        <w:rPr>
          <w:rFonts w:ascii="Arial" w:eastAsia="Arial" w:hAnsi="Arial" w:cs="Arial"/>
          <w:spacing w:val="-3"/>
          <w:w w:val="101"/>
        </w:rPr>
        <w:t>a</w:t>
      </w:r>
      <w:r w:rsidRPr="00EB1AAB">
        <w:rPr>
          <w:rFonts w:ascii="Arial" w:eastAsia="Arial" w:hAnsi="Arial" w:cs="Arial"/>
          <w:w w:val="101"/>
        </w:rPr>
        <w:t xml:space="preserve">s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c</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rPr>
        <w:t>a</w:t>
      </w:r>
      <w:r w:rsidRPr="00EB1AAB">
        <w:rPr>
          <w:rFonts w:ascii="Arial" w:eastAsia="Arial" w:hAnsi="Arial" w:cs="Arial"/>
          <w:spacing w:val="1"/>
        </w:rPr>
        <w:t>s</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11"/>
        </w:rPr>
        <w:t xml:space="preserve"> </w:t>
      </w:r>
      <w:r w:rsidRPr="00EB1AAB">
        <w:rPr>
          <w:rFonts w:ascii="Arial" w:eastAsia="Arial" w:hAnsi="Arial" w:cs="Arial"/>
          <w:spacing w:val="-2"/>
        </w:rPr>
        <w:t>s</w:t>
      </w:r>
      <w:r w:rsidRPr="00EB1AAB">
        <w:rPr>
          <w:rFonts w:ascii="Arial" w:eastAsia="Arial" w:hAnsi="Arial" w:cs="Arial"/>
          <w:spacing w:val="4"/>
        </w:rPr>
        <w:t>i</w:t>
      </w:r>
      <w:r w:rsidRPr="00EB1AAB">
        <w:rPr>
          <w:rFonts w:ascii="Arial" w:eastAsia="Arial" w:hAnsi="Arial" w:cs="Arial"/>
          <w:spacing w:val="-3"/>
        </w:rPr>
        <w:t>g</w:t>
      </w:r>
      <w:r w:rsidRPr="00EB1AAB">
        <w:rPr>
          <w:rFonts w:ascii="Arial" w:eastAsia="Arial" w:hAnsi="Arial" w:cs="Arial"/>
        </w:rPr>
        <w:t>n</w:t>
      </w:r>
      <w:r w:rsidRPr="00EB1AAB">
        <w:rPr>
          <w:rFonts w:ascii="Arial" w:eastAsia="Arial" w:hAnsi="Arial" w:cs="Arial"/>
          <w:spacing w:val="1"/>
        </w:rPr>
        <w:t>i</w:t>
      </w:r>
      <w:r w:rsidRPr="00EB1AAB">
        <w:rPr>
          <w:rFonts w:ascii="Arial" w:eastAsia="Arial" w:hAnsi="Arial" w:cs="Arial"/>
        </w:rPr>
        <w:t>f</w:t>
      </w:r>
      <w:r w:rsidRPr="00EB1AAB">
        <w:rPr>
          <w:rFonts w:ascii="Arial" w:eastAsia="Arial" w:hAnsi="Arial" w:cs="Arial"/>
          <w:spacing w:val="4"/>
        </w:rPr>
        <w:t>i</w:t>
      </w:r>
      <w:r w:rsidRPr="00EB1AAB">
        <w:rPr>
          <w:rFonts w:ascii="Arial" w:eastAsia="Arial" w:hAnsi="Arial" w:cs="Arial"/>
          <w:spacing w:val="1"/>
        </w:rPr>
        <w:t>c</w:t>
      </w:r>
      <w:r w:rsidRPr="00EB1AAB">
        <w:rPr>
          <w:rFonts w:ascii="Arial" w:eastAsia="Arial" w:hAnsi="Arial" w:cs="Arial"/>
          <w:spacing w:val="-3"/>
        </w:rPr>
        <w:t>a</w:t>
      </w:r>
      <w:r w:rsidRPr="00EB1AAB">
        <w:rPr>
          <w:rFonts w:ascii="Arial" w:eastAsia="Arial" w:hAnsi="Arial" w:cs="Arial"/>
        </w:rPr>
        <w:t>nt</w:t>
      </w:r>
      <w:r w:rsidRPr="00EB1AAB">
        <w:rPr>
          <w:rFonts w:ascii="Arial" w:eastAsia="Arial" w:hAnsi="Arial" w:cs="Arial"/>
          <w:spacing w:val="1"/>
        </w:rPr>
        <w:t>l</w:t>
      </w:r>
      <w:r w:rsidRPr="00EB1AAB">
        <w:rPr>
          <w:rFonts w:ascii="Arial" w:eastAsia="Arial" w:hAnsi="Arial" w:cs="Arial"/>
        </w:rPr>
        <w:t>y</w:t>
      </w:r>
      <w:r w:rsidRPr="00EB1AAB">
        <w:rPr>
          <w:rFonts w:ascii="Arial" w:eastAsia="Arial" w:hAnsi="Arial" w:cs="Arial"/>
          <w:spacing w:val="12"/>
        </w:rPr>
        <w:t xml:space="preserve"> </w:t>
      </w:r>
      <w:r w:rsidRPr="00EB1AAB">
        <w:rPr>
          <w:rFonts w:ascii="Arial" w:eastAsia="Arial" w:hAnsi="Arial" w:cs="Arial"/>
          <w:spacing w:val="1"/>
        </w:rPr>
        <w:t>si</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spacing w:val="3"/>
        </w:rPr>
        <w:t>i</w:t>
      </w:r>
      <w:r w:rsidRPr="00EB1AAB">
        <w:rPr>
          <w:rFonts w:ascii="Arial" w:eastAsia="Arial" w:hAnsi="Arial" w:cs="Arial"/>
          <w:spacing w:val="-3"/>
        </w:rPr>
        <w:t>t</w:t>
      </w:r>
      <w:r w:rsidRPr="00EB1AAB">
        <w:rPr>
          <w:rFonts w:ascii="Arial" w:eastAsia="Arial" w:hAnsi="Arial" w:cs="Arial"/>
          <w:spacing w:val="1"/>
        </w:rPr>
        <w:t>i</w:t>
      </w:r>
      <w:r w:rsidRPr="00EB1AAB">
        <w:rPr>
          <w:rFonts w:ascii="Arial" w:eastAsia="Arial" w:hAnsi="Arial" w:cs="Arial"/>
        </w:rPr>
        <w:t>al</w:t>
      </w:r>
      <w:r w:rsidRPr="00EB1AAB">
        <w:rPr>
          <w:rFonts w:ascii="Arial" w:eastAsia="Arial" w:hAnsi="Arial" w:cs="Arial"/>
          <w:spacing w:val="7"/>
        </w:rPr>
        <w:t xml:space="preserve"> </w:t>
      </w:r>
      <w:r w:rsidRPr="00EB1AAB">
        <w:rPr>
          <w:rFonts w:ascii="Arial" w:eastAsia="Arial" w:hAnsi="Arial" w:cs="Arial"/>
          <w:spacing w:val="2"/>
          <w:w w:val="101"/>
        </w:rPr>
        <w:t>r</w:t>
      </w:r>
      <w:r w:rsidRPr="00EB1AAB">
        <w:rPr>
          <w:rFonts w:ascii="Arial" w:eastAsia="Arial" w:hAnsi="Arial" w:cs="Arial"/>
          <w:spacing w:val="-3"/>
          <w:w w:val="101"/>
        </w:rPr>
        <w:t>e</w:t>
      </w:r>
      <w:r w:rsidRPr="00EB1AAB">
        <w:rPr>
          <w:rFonts w:ascii="Arial" w:eastAsia="Arial" w:hAnsi="Arial" w:cs="Arial"/>
          <w:spacing w:val="1"/>
          <w:w w:val="101"/>
        </w:rPr>
        <w:t>c</w:t>
      </w:r>
      <w:r w:rsidRPr="00EB1AAB">
        <w:rPr>
          <w:rFonts w:ascii="Arial" w:eastAsia="Arial" w:hAnsi="Arial" w:cs="Arial"/>
          <w:spacing w:val="-2"/>
          <w:w w:val="101"/>
        </w:rPr>
        <w:t>o</w:t>
      </w:r>
      <w:r w:rsidRPr="00EB1AAB">
        <w:rPr>
          <w:rFonts w:ascii="Arial" w:eastAsia="Arial" w:hAnsi="Arial" w:cs="Arial"/>
          <w:spacing w:val="2"/>
          <w:w w:val="101"/>
        </w:rPr>
        <w:t>g</w:t>
      </w:r>
      <w:r w:rsidRPr="00EB1AAB">
        <w:rPr>
          <w:rFonts w:ascii="Arial" w:eastAsia="Arial" w:hAnsi="Arial" w:cs="Arial"/>
          <w:spacing w:val="-3"/>
          <w:w w:val="101"/>
        </w:rPr>
        <w:t>n</w:t>
      </w:r>
      <w:r w:rsidRPr="00EB1AAB">
        <w:rPr>
          <w:rFonts w:ascii="Arial" w:eastAsia="Arial" w:hAnsi="Arial" w:cs="Arial"/>
          <w:spacing w:val="4"/>
          <w:w w:val="101"/>
        </w:rPr>
        <w:t>i</w:t>
      </w:r>
      <w:r w:rsidRPr="00EB1AAB">
        <w:rPr>
          <w:rFonts w:ascii="Arial" w:eastAsia="Arial" w:hAnsi="Arial" w:cs="Arial"/>
          <w:w w:val="101"/>
        </w:rPr>
        <w:t>t</w:t>
      </w:r>
      <w:r w:rsidRPr="00EB1AAB">
        <w:rPr>
          <w:rFonts w:ascii="Arial" w:eastAsia="Arial" w:hAnsi="Arial" w:cs="Arial"/>
          <w:spacing w:val="1"/>
          <w:w w:val="101"/>
        </w:rPr>
        <w:t>i</w:t>
      </w:r>
      <w:r w:rsidRPr="00EB1AAB">
        <w:rPr>
          <w:rFonts w:ascii="Arial" w:eastAsia="Arial" w:hAnsi="Arial" w:cs="Arial"/>
          <w:w w:val="101"/>
        </w:rPr>
        <w:t>o</w:t>
      </w:r>
      <w:r w:rsidRPr="00EB1AAB">
        <w:rPr>
          <w:rFonts w:ascii="Arial" w:eastAsia="Arial" w:hAnsi="Arial" w:cs="Arial"/>
          <w:spacing w:val="-3"/>
          <w:w w:val="101"/>
        </w:rPr>
        <w:t>n</w:t>
      </w:r>
      <w:r w:rsidRPr="00EB1AAB">
        <w:rPr>
          <w:rFonts w:ascii="Arial" w:eastAsia="Arial" w:hAnsi="Arial" w:cs="Arial"/>
          <w:w w:val="101"/>
        </w:rPr>
        <w:t>.</w:t>
      </w:r>
    </w:p>
    <w:p w14:paraId="59E613D0" w14:textId="77777777" w:rsidR="00655E4C" w:rsidRPr="00EB1AAB" w:rsidRDefault="00655E4C" w:rsidP="00655E4C">
      <w:pPr>
        <w:spacing w:before="9"/>
        <w:rPr>
          <w:rFonts w:ascii="Arial" w:hAnsi="Arial" w:cs="Arial"/>
        </w:rPr>
      </w:pPr>
    </w:p>
    <w:p w14:paraId="6A93049A" w14:textId="77777777" w:rsidR="00655E4C" w:rsidRPr="00EB1AAB" w:rsidRDefault="00655E4C" w:rsidP="00655E4C">
      <w:pPr>
        <w:ind w:right="103"/>
        <w:rPr>
          <w:rFonts w:ascii="Arial" w:eastAsia="Arial" w:hAnsi="Arial" w:cs="Arial"/>
          <w:w w:val="101"/>
        </w:rPr>
      </w:pPr>
      <w:r w:rsidRPr="00EB1AAB">
        <w:rPr>
          <w:rFonts w:ascii="Arial" w:eastAsia="Arial" w:hAnsi="Arial" w:cs="Arial"/>
        </w:rPr>
        <w:t>If</w:t>
      </w:r>
      <w:r w:rsidRPr="00EB1AAB">
        <w:rPr>
          <w:rFonts w:ascii="Arial" w:eastAsia="Arial" w:hAnsi="Arial" w:cs="Arial"/>
          <w:spacing w:val="5"/>
        </w:rPr>
        <w:t xml:space="preserve"> </w:t>
      </w:r>
      <w:r w:rsidRPr="00EB1AAB">
        <w:rPr>
          <w:rFonts w:ascii="Arial" w:eastAsia="Arial" w:hAnsi="Arial" w:cs="Arial"/>
          <w:spacing w:val="-3"/>
        </w:rPr>
        <w:t>a</w:t>
      </w:r>
      <w:r w:rsidRPr="00EB1AAB">
        <w:rPr>
          <w:rFonts w:ascii="Arial" w:eastAsia="Arial" w:hAnsi="Arial" w:cs="Arial"/>
        </w:rPr>
        <w:t>t</w:t>
      </w:r>
      <w:r w:rsidRPr="00EB1AAB">
        <w:rPr>
          <w:rFonts w:ascii="Arial" w:eastAsia="Arial" w:hAnsi="Arial" w:cs="Arial"/>
          <w:spacing w:val="8"/>
        </w:rPr>
        <w:t xml:space="preserve"> the </w:t>
      </w:r>
      <w:r w:rsidRPr="00EB1AAB">
        <w:rPr>
          <w:rFonts w:ascii="Arial" w:eastAsia="Arial" w:hAnsi="Arial" w:cs="Arial"/>
          <w:spacing w:val="-4"/>
        </w:rPr>
        <w:t>y</w:t>
      </w:r>
      <w:r w:rsidRPr="00EB1AAB">
        <w:rPr>
          <w:rFonts w:ascii="Arial" w:eastAsia="Arial" w:hAnsi="Arial" w:cs="Arial"/>
        </w:rPr>
        <w:t>e</w:t>
      </w:r>
      <w:r w:rsidRPr="00EB1AAB">
        <w:rPr>
          <w:rFonts w:ascii="Arial" w:eastAsia="Arial" w:hAnsi="Arial" w:cs="Arial"/>
          <w:spacing w:val="-1"/>
        </w:rPr>
        <w:t>a</w:t>
      </w:r>
      <w:r w:rsidRPr="00EB1AAB">
        <w:rPr>
          <w:rFonts w:ascii="Arial" w:eastAsia="Arial" w:hAnsi="Arial" w:cs="Arial"/>
        </w:rPr>
        <w:t>r</w:t>
      </w:r>
      <w:r w:rsidRPr="00EB1AAB">
        <w:rPr>
          <w:rFonts w:ascii="Arial" w:eastAsia="Arial" w:hAnsi="Arial" w:cs="Arial"/>
          <w:spacing w:val="4"/>
        </w:rPr>
        <w:t xml:space="preserve"> </w:t>
      </w:r>
      <w:r w:rsidRPr="00EB1AAB">
        <w:rPr>
          <w:rFonts w:ascii="Arial" w:eastAsia="Arial" w:hAnsi="Arial" w:cs="Arial"/>
        </w:rPr>
        <w:t>e</w:t>
      </w:r>
      <w:r w:rsidRPr="00EB1AAB">
        <w:rPr>
          <w:rFonts w:ascii="Arial" w:eastAsia="Arial" w:hAnsi="Arial" w:cs="Arial"/>
          <w:spacing w:val="2"/>
        </w:rPr>
        <w:t>n</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rPr>
        <w:t>the</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spacing w:val="-1"/>
        </w:rPr>
        <w:t>r</w:t>
      </w:r>
      <w:r w:rsidRPr="00EB1AAB">
        <w:rPr>
          <w:rFonts w:ascii="Arial" w:eastAsia="Arial" w:hAnsi="Arial" w:cs="Arial"/>
          <w:spacing w:val="2"/>
        </w:rPr>
        <w:t>e</w:t>
      </w:r>
      <w:r w:rsidRPr="00EB1AAB">
        <w:rPr>
          <w:rFonts w:ascii="Arial" w:eastAsia="Arial" w:hAnsi="Arial" w:cs="Arial"/>
          <w:spacing w:val="-2"/>
        </w:rPr>
        <w:t>d</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1"/>
        </w:rPr>
        <w:t>r</w:t>
      </w:r>
      <w:r w:rsidRPr="00EB1AAB">
        <w:rPr>
          <w:rFonts w:ascii="Arial" w:eastAsia="Arial" w:hAnsi="Arial" w:cs="Arial"/>
          <w:spacing w:val="1"/>
        </w:rPr>
        <w:t>is</w:t>
      </w:r>
      <w:r w:rsidRPr="00EB1AAB">
        <w:rPr>
          <w:rFonts w:ascii="Arial" w:eastAsia="Arial" w:hAnsi="Arial" w:cs="Arial"/>
        </w:rPr>
        <w:t>k</w:t>
      </w:r>
      <w:r w:rsidRPr="00EB1AAB">
        <w:rPr>
          <w:rFonts w:ascii="Arial" w:eastAsia="Arial" w:hAnsi="Arial" w:cs="Arial"/>
          <w:spacing w:val="6"/>
        </w:rPr>
        <w:t xml:space="preserve"> </w:t>
      </w:r>
      <w:r w:rsidRPr="00EB1AAB">
        <w:rPr>
          <w:rFonts w:ascii="Arial" w:eastAsia="Arial" w:hAnsi="Arial" w:cs="Arial"/>
        </w:rPr>
        <w:t>h</w:t>
      </w:r>
      <w:r w:rsidRPr="00EB1AAB">
        <w:rPr>
          <w:rFonts w:ascii="Arial" w:eastAsia="Arial" w:hAnsi="Arial" w:cs="Arial"/>
          <w:spacing w:val="-3"/>
        </w:rPr>
        <w:t>a</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rPr>
        <w:t>n</w:t>
      </w:r>
      <w:r w:rsidRPr="00EB1AAB">
        <w:rPr>
          <w:rFonts w:ascii="Arial" w:eastAsia="Arial" w:hAnsi="Arial" w:cs="Arial"/>
          <w:spacing w:val="-3"/>
        </w:rPr>
        <w:t>o</w:t>
      </w:r>
      <w:r w:rsidRPr="00EB1AAB">
        <w:rPr>
          <w:rFonts w:ascii="Arial" w:eastAsia="Arial" w:hAnsi="Arial" w:cs="Arial"/>
        </w:rPr>
        <w:t>t</w:t>
      </w:r>
      <w:r w:rsidRPr="00EB1AAB">
        <w:rPr>
          <w:rFonts w:ascii="Arial" w:eastAsia="Arial" w:hAnsi="Arial" w:cs="Arial"/>
          <w:spacing w:val="6"/>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3"/>
        </w:rPr>
        <w:t>a</w:t>
      </w:r>
      <w:r w:rsidRPr="00EB1AAB">
        <w:rPr>
          <w:rFonts w:ascii="Arial" w:eastAsia="Arial" w:hAnsi="Arial" w:cs="Arial"/>
          <w:spacing w:val="3"/>
        </w:rPr>
        <w:t>s</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11"/>
        </w:rPr>
        <w:t xml:space="preserve"> </w:t>
      </w:r>
      <w:r w:rsidRPr="00EB1AAB">
        <w:rPr>
          <w:rFonts w:ascii="Arial" w:eastAsia="Arial" w:hAnsi="Arial" w:cs="Arial"/>
          <w:spacing w:val="1"/>
        </w:rPr>
        <w:t>si</w:t>
      </w:r>
      <w:r w:rsidRPr="00EB1AAB">
        <w:rPr>
          <w:rFonts w:ascii="Arial" w:eastAsia="Arial" w:hAnsi="Arial" w:cs="Arial"/>
        </w:rPr>
        <w:t>g</w:t>
      </w:r>
      <w:r w:rsidRPr="00EB1AAB">
        <w:rPr>
          <w:rFonts w:ascii="Arial" w:eastAsia="Arial" w:hAnsi="Arial" w:cs="Arial"/>
          <w:spacing w:val="-3"/>
        </w:rPr>
        <w:t>n</w:t>
      </w:r>
      <w:r w:rsidRPr="00EB1AAB">
        <w:rPr>
          <w:rFonts w:ascii="Arial" w:eastAsia="Arial" w:hAnsi="Arial" w:cs="Arial"/>
          <w:spacing w:val="1"/>
        </w:rPr>
        <w:t>i</w:t>
      </w:r>
      <w:r w:rsidRPr="00EB1AAB">
        <w:rPr>
          <w:rFonts w:ascii="Arial" w:eastAsia="Arial" w:hAnsi="Arial" w:cs="Arial"/>
        </w:rPr>
        <w:t>f</w:t>
      </w:r>
      <w:r w:rsidRPr="00EB1AAB">
        <w:rPr>
          <w:rFonts w:ascii="Arial" w:eastAsia="Arial" w:hAnsi="Arial" w:cs="Arial"/>
          <w:spacing w:val="1"/>
        </w:rPr>
        <w:t>ic</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6"/>
        </w:rPr>
        <w:t>l</w:t>
      </w:r>
      <w:r w:rsidRPr="00EB1AAB">
        <w:rPr>
          <w:rFonts w:ascii="Arial" w:eastAsia="Arial" w:hAnsi="Arial" w:cs="Arial"/>
        </w:rPr>
        <w:t>y</w:t>
      </w:r>
      <w:r w:rsidRPr="00EB1AAB">
        <w:rPr>
          <w:rFonts w:ascii="Arial" w:eastAsia="Arial" w:hAnsi="Arial" w:cs="Arial"/>
          <w:spacing w:val="9"/>
        </w:rPr>
        <w:t xml:space="preserve"> </w:t>
      </w:r>
      <w:r w:rsidRPr="00EB1AAB">
        <w:rPr>
          <w:rFonts w:ascii="Arial" w:eastAsia="Arial" w:hAnsi="Arial" w:cs="Arial"/>
          <w:spacing w:val="-2"/>
        </w:rPr>
        <w:t>s</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spacing w:val="1"/>
        </w:rPr>
        <w:t>c</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1"/>
        </w:rPr>
        <w:t>i</w:t>
      </w:r>
      <w:r w:rsidRPr="00EB1AAB">
        <w:rPr>
          <w:rFonts w:ascii="Arial" w:eastAsia="Arial" w:hAnsi="Arial" w:cs="Arial"/>
        </w:rPr>
        <w:t>nit</w:t>
      </w:r>
      <w:r w:rsidRPr="00EB1AAB">
        <w:rPr>
          <w:rFonts w:ascii="Arial" w:eastAsia="Arial" w:hAnsi="Arial" w:cs="Arial"/>
          <w:spacing w:val="1"/>
        </w:rPr>
        <w:t>i</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9"/>
        </w:rPr>
        <w:t xml:space="preserve"> </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2"/>
        </w:rPr>
        <w:t>c</w:t>
      </w:r>
      <w:r w:rsidRPr="00EB1AAB">
        <w:rPr>
          <w:rFonts w:ascii="Arial" w:eastAsia="Arial" w:hAnsi="Arial" w:cs="Arial"/>
          <w:spacing w:val="2"/>
        </w:rPr>
        <w:t>o</w:t>
      </w:r>
      <w:r w:rsidRPr="00EB1AAB">
        <w:rPr>
          <w:rFonts w:ascii="Arial" w:eastAsia="Arial" w:hAnsi="Arial" w:cs="Arial"/>
          <w:spacing w:val="-3"/>
        </w:rPr>
        <w:t>g</w:t>
      </w:r>
      <w:r w:rsidRPr="00EB1AAB">
        <w:rPr>
          <w:rFonts w:ascii="Arial" w:eastAsia="Arial" w:hAnsi="Arial" w:cs="Arial"/>
        </w:rPr>
        <w:t>n</w:t>
      </w:r>
      <w:r w:rsidRPr="00EB1AAB">
        <w:rPr>
          <w:rFonts w:ascii="Arial" w:eastAsia="Arial" w:hAnsi="Arial" w:cs="Arial"/>
          <w:spacing w:val="1"/>
        </w:rPr>
        <w:t>i</w:t>
      </w:r>
      <w:r w:rsidRPr="00EB1AAB">
        <w:rPr>
          <w:rFonts w:ascii="Arial" w:eastAsia="Arial" w:hAnsi="Arial" w:cs="Arial"/>
          <w:spacing w:val="2"/>
        </w:rPr>
        <w:t>t</w:t>
      </w:r>
      <w:r w:rsidRPr="00EB1AAB">
        <w:rPr>
          <w:rFonts w:ascii="Arial" w:eastAsia="Arial" w:hAnsi="Arial" w:cs="Arial"/>
          <w:spacing w:val="1"/>
        </w:rPr>
        <w:t>i</w:t>
      </w:r>
      <w:r w:rsidRPr="00EB1AAB">
        <w:rPr>
          <w:rFonts w:ascii="Arial" w:eastAsia="Arial" w:hAnsi="Arial" w:cs="Arial"/>
          <w:spacing w:val="-3"/>
        </w:rPr>
        <w:t>o</w:t>
      </w:r>
      <w:r w:rsidRPr="00EB1AAB">
        <w:rPr>
          <w:rFonts w:ascii="Arial" w:eastAsia="Arial" w:hAnsi="Arial" w:cs="Arial"/>
        </w:rPr>
        <w:t>n</w:t>
      </w:r>
      <w:r w:rsidRPr="00EB1AAB">
        <w:rPr>
          <w:rFonts w:ascii="Arial" w:eastAsia="Arial" w:hAnsi="Arial" w:cs="Arial"/>
          <w:spacing w:val="12"/>
        </w:rPr>
        <w:t xml:space="preserve"> </w:t>
      </w:r>
      <w:r w:rsidRPr="00EB1AAB">
        <w:rPr>
          <w:rFonts w:ascii="Arial" w:eastAsia="Arial" w:hAnsi="Arial" w:cs="Arial"/>
          <w:w w:val="101"/>
        </w:rPr>
        <w:t>t</w:t>
      </w:r>
      <w:r w:rsidRPr="00EB1AAB">
        <w:rPr>
          <w:rFonts w:ascii="Arial" w:eastAsia="Arial" w:hAnsi="Arial" w:cs="Arial"/>
          <w:spacing w:val="2"/>
          <w:w w:val="101"/>
        </w:rPr>
        <w:t>h</w:t>
      </w:r>
      <w:r w:rsidRPr="00EB1AAB">
        <w:rPr>
          <w:rFonts w:ascii="Arial" w:eastAsia="Arial" w:hAnsi="Arial" w:cs="Arial"/>
          <w:w w:val="101"/>
        </w:rPr>
        <w:t xml:space="preserve">e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1"/>
        </w:rPr>
        <w:t>s</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spacing w:val="-3"/>
        </w:rPr>
        <w:t>a</w:t>
      </w:r>
      <w:r w:rsidRPr="00EB1AAB">
        <w:rPr>
          <w:rFonts w:ascii="Arial" w:eastAsia="Arial" w:hAnsi="Arial" w:cs="Arial"/>
          <w:spacing w:val="1"/>
        </w:rPr>
        <w:t>l</w:t>
      </w:r>
      <w:r w:rsidRPr="00EB1AAB">
        <w:rPr>
          <w:rFonts w:ascii="Arial" w:eastAsia="Arial" w:hAnsi="Arial" w:cs="Arial"/>
          <w:spacing w:val="4"/>
        </w:rPr>
        <w:t>l</w:t>
      </w:r>
      <w:r w:rsidRPr="00EB1AAB">
        <w:rPr>
          <w:rFonts w:ascii="Arial" w:eastAsia="Arial" w:hAnsi="Arial" w:cs="Arial"/>
          <w:spacing w:val="-3"/>
        </w:rPr>
        <w:t>ow</w:t>
      </w:r>
      <w:r w:rsidRPr="00EB1AAB">
        <w:rPr>
          <w:rFonts w:ascii="Arial" w:eastAsia="Arial" w:hAnsi="Arial" w:cs="Arial"/>
          <w:spacing w:val="2"/>
        </w:rPr>
        <w:t>a</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rPr>
        <w:t>e</w:t>
      </w:r>
      <w:r w:rsidRPr="00EB1AAB">
        <w:rPr>
          <w:rFonts w:ascii="Arial" w:eastAsia="Arial" w:hAnsi="Arial" w:cs="Arial"/>
          <w:spacing w:val="11"/>
        </w:rPr>
        <w:t xml:space="preserve"> </w:t>
      </w:r>
      <w:r w:rsidRPr="00EB1AAB">
        <w:rPr>
          <w:rFonts w:ascii="Arial" w:eastAsia="Arial" w:hAnsi="Arial" w:cs="Arial"/>
          <w:spacing w:val="1"/>
        </w:rPr>
        <w:t>i</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2"/>
        </w:rPr>
        <w:t>m</w:t>
      </w:r>
      <w:r w:rsidRPr="00EB1AAB">
        <w:rPr>
          <w:rFonts w:ascii="Arial" w:eastAsia="Arial" w:hAnsi="Arial" w:cs="Arial"/>
        </w:rPr>
        <w:t>e</w:t>
      </w:r>
      <w:r w:rsidRPr="00EB1AAB">
        <w:rPr>
          <w:rFonts w:ascii="Arial" w:eastAsia="Arial" w:hAnsi="Arial" w:cs="Arial"/>
          <w:spacing w:val="-2"/>
        </w:rPr>
        <w:t>a</w:t>
      </w:r>
      <w:r w:rsidRPr="00EB1AAB">
        <w:rPr>
          <w:rFonts w:ascii="Arial" w:eastAsia="Arial" w:hAnsi="Arial" w:cs="Arial"/>
          <w:spacing w:val="3"/>
        </w:rPr>
        <w:t>s</w:t>
      </w:r>
      <w:r w:rsidRPr="00EB1AAB">
        <w:rPr>
          <w:rFonts w:ascii="Arial" w:eastAsia="Arial" w:hAnsi="Arial" w:cs="Arial"/>
          <w:spacing w:val="-3"/>
        </w:rPr>
        <w:t>u</w:t>
      </w:r>
      <w:r w:rsidRPr="00EB1AAB">
        <w:rPr>
          <w:rFonts w:ascii="Arial" w:eastAsia="Arial" w:hAnsi="Arial" w:cs="Arial"/>
          <w:spacing w:val="1"/>
        </w:rPr>
        <w:t>r</w:t>
      </w:r>
      <w:r w:rsidRPr="00EB1AAB">
        <w:rPr>
          <w:rFonts w:ascii="Arial" w:eastAsia="Arial" w:hAnsi="Arial" w:cs="Arial"/>
        </w:rPr>
        <w:t>ed</w:t>
      </w:r>
      <w:r w:rsidRPr="00EB1AAB">
        <w:rPr>
          <w:rFonts w:ascii="Arial" w:eastAsia="Arial" w:hAnsi="Arial" w:cs="Arial"/>
          <w:spacing w:val="13"/>
        </w:rPr>
        <w:t xml:space="preserve"> </w:t>
      </w:r>
      <w:r w:rsidRPr="00EB1AAB">
        <w:rPr>
          <w:rFonts w:ascii="Arial" w:eastAsia="Arial" w:hAnsi="Arial" w:cs="Arial"/>
          <w:spacing w:val="-2"/>
        </w:rPr>
        <w:t>a</w:t>
      </w:r>
      <w:r w:rsidRPr="00EB1AAB">
        <w:rPr>
          <w:rFonts w:ascii="Arial" w:eastAsia="Arial" w:hAnsi="Arial" w:cs="Arial"/>
        </w:rPr>
        <w:t>t</w:t>
      </w:r>
      <w:r w:rsidRPr="00EB1AAB">
        <w:rPr>
          <w:rFonts w:ascii="Arial" w:eastAsia="Arial" w:hAnsi="Arial" w:cs="Arial"/>
          <w:spacing w:val="5"/>
        </w:rPr>
        <w:t xml:space="preserve"> </w:t>
      </w:r>
      <w:r w:rsidRPr="00EB1AAB">
        <w:rPr>
          <w:rFonts w:ascii="Arial" w:eastAsia="Arial" w:hAnsi="Arial" w:cs="Arial"/>
          <w:spacing w:val="-3"/>
        </w:rPr>
        <w:t>a</w:t>
      </w:r>
      <w:r w:rsidRPr="00EB1AAB">
        <w:rPr>
          <w:rFonts w:ascii="Arial" w:eastAsia="Arial" w:hAnsi="Arial" w:cs="Arial"/>
        </w:rPr>
        <w:t>n</w:t>
      </w:r>
      <w:r w:rsidRPr="00EB1AAB">
        <w:rPr>
          <w:rFonts w:ascii="Arial" w:eastAsia="Arial" w:hAnsi="Arial" w:cs="Arial"/>
          <w:spacing w:val="6"/>
        </w:rPr>
        <w:t xml:space="preserve"> </w:t>
      </w:r>
      <w:r w:rsidRPr="00EB1AAB">
        <w:rPr>
          <w:rFonts w:ascii="Arial" w:eastAsia="Arial" w:hAnsi="Arial" w:cs="Arial"/>
        </w:rPr>
        <w:t>amount</w:t>
      </w:r>
      <w:r w:rsidRPr="00EB1AAB">
        <w:rPr>
          <w:rFonts w:ascii="Arial" w:eastAsia="Arial" w:hAnsi="Arial" w:cs="Arial"/>
          <w:spacing w:val="9"/>
        </w:rPr>
        <w:t xml:space="preserve"> </w:t>
      </w:r>
      <w:r w:rsidRPr="00EB1AAB">
        <w:rPr>
          <w:rFonts w:ascii="Arial" w:eastAsia="Arial" w:hAnsi="Arial" w:cs="Arial"/>
          <w:spacing w:val="2"/>
        </w:rPr>
        <w:t>e</w:t>
      </w:r>
      <w:r w:rsidRPr="00EB1AAB">
        <w:rPr>
          <w:rFonts w:ascii="Arial" w:eastAsia="Arial" w:hAnsi="Arial" w:cs="Arial"/>
          <w:spacing w:val="-3"/>
        </w:rPr>
        <w:t>q</w:t>
      </w:r>
      <w:r w:rsidRPr="00EB1AAB">
        <w:rPr>
          <w:rFonts w:ascii="Arial" w:eastAsia="Arial" w:hAnsi="Arial" w:cs="Arial"/>
          <w:spacing w:val="2"/>
        </w:rPr>
        <w:t>u</w:t>
      </w:r>
      <w:r w:rsidRPr="00EB1AAB">
        <w:rPr>
          <w:rFonts w:ascii="Arial" w:eastAsia="Arial" w:hAnsi="Arial" w:cs="Arial"/>
          <w:spacing w:val="-2"/>
        </w:rPr>
        <w:t>a</w:t>
      </w:r>
      <w:r w:rsidRPr="00EB1AAB">
        <w:rPr>
          <w:rFonts w:ascii="Arial" w:eastAsia="Arial" w:hAnsi="Arial" w:cs="Arial"/>
        </w:rPr>
        <w:t>l</w:t>
      </w:r>
      <w:r w:rsidRPr="00EB1AAB">
        <w:rPr>
          <w:rFonts w:ascii="Arial" w:eastAsia="Arial" w:hAnsi="Arial" w:cs="Arial"/>
          <w:spacing w:val="10"/>
        </w:rPr>
        <w:t xml:space="preserve"> </w:t>
      </w:r>
      <w:r w:rsidRPr="00EB1AAB">
        <w:rPr>
          <w:rFonts w:ascii="Arial" w:eastAsia="Arial" w:hAnsi="Arial" w:cs="Arial"/>
        </w:rPr>
        <w:t>to</w:t>
      </w:r>
      <w:r w:rsidRPr="00EB1AAB">
        <w:rPr>
          <w:rFonts w:ascii="Arial" w:eastAsia="Arial" w:hAnsi="Arial" w:cs="Arial"/>
          <w:spacing w:val="3"/>
        </w:rPr>
        <w:t xml:space="preserve"> </w:t>
      </w:r>
      <w:r w:rsidRPr="00EB1AAB">
        <w:rPr>
          <w:rFonts w:ascii="Arial" w:eastAsia="Arial" w:hAnsi="Arial" w:cs="Arial"/>
        </w:rPr>
        <w:t>t</w:t>
      </w:r>
      <w:r w:rsidRPr="00EB1AAB">
        <w:rPr>
          <w:rFonts w:ascii="Arial" w:eastAsia="Arial" w:hAnsi="Arial" w:cs="Arial"/>
          <w:spacing w:val="-3"/>
        </w:rPr>
        <w:t>w</w:t>
      </w:r>
      <w:r w:rsidRPr="00EB1AAB">
        <w:rPr>
          <w:rFonts w:ascii="Arial" w:eastAsia="Arial" w:hAnsi="Arial" w:cs="Arial"/>
        </w:rPr>
        <w:t>e</w:t>
      </w:r>
      <w:r w:rsidRPr="00EB1AAB">
        <w:rPr>
          <w:rFonts w:ascii="Arial" w:eastAsia="Arial" w:hAnsi="Arial" w:cs="Arial"/>
          <w:spacing w:val="1"/>
        </w:rPr>
        <w:t>lv</w:t>
      </w:r>
      <w:r w:rsidRPr="00EB1AAB">
        <w:rPr>
          <w:rFonts w:ascii="Arial" w:eastAsia="Arial" w:hAnsi="Arial" w:cs="Arial"/>
        </w:rPr>
        <w:t>e</w:t>
      </w:r>
      <w:r w:rsidRPr="00EB1AAB">
        <w:rPr>
          <w:rFonts w:ascii="Arial" w:eastAsia="Arial" w:hAnsi="Arial" w:cs="Arial"/>
          <w:spacing w:val="8"/>
        </w:rPr>
        <w:t xml:space="preserve"> </w:t>
      </w:r>
      <w:r w:rsidRPr="00EB1AAB">
        <w:rPr>
          <w:rFonts w:ascii="Arial" w:eastAsia="Arial" w:hAnsi="Arial" w:cs="Arial"/>
          <w:spacing w:val="2"/>
        </w:rPr>
        <w:t>m</w:t>
      </w:r>
      <w:r w:rsidRPr="00EB1AAB">
        <w:rPr>
          <w:rFonts w:ascii="Arial" w:eastAsia="Arial" w:hAnsi="Arial" w:cs="Arial"/>
        </w:rPr>
        <w:t>onth</w:t>
      </w:r>
      <w:r w:rsidRPr="00EB1AAB">
        <w:rPr>
          <w:rFonts w:ascii="Arial" w:eastAsia="Arial" w:hAnsi="Arial" w:cs="Arial"/>
          <w:spacing w:val="7"/>
        </w:rPr>
        <w:t xml:space="preserve"> </w:t>
      </w:r>
      <w:r w:rsidRPr="00EB1AAB">
        <w:rPr>
          <w:rFonts w:ascii="Arial" w:eastAsia="Arial" w:hAnsi="Arial" w:cs="Arial"/>
          <w:spacing w:val="-2"/>
        </w:rPr>
        <w:t>e</w:t>
      </w:r>
      <w:r w:rsidRPr="00EB1AAB">
        <w:rPr>
          <w:rFonts w:ascii="Arial" w:eastAsia="Arial" w:hAnsi="Arial" w:cs="Arial"/>
          <w:spacing w:val="3"/>
        </w:rPr>
        <w:t>x</w:t>
      </w:r>
      <w:r w:rsidRPr="00EB1AAB">
        <w:rPr>
          <w:rFonts w:ascii="Arial" w:eastAsia="Arial" w:hAnsi="Arial" w:cs="Arial"/>
        </w:rPr>
        <w:t>pe</w:t>
      </w:r>
      <w:r w:rsidRPr="00EB1AAB">
        <w:rPr>
          <w:rFonts w:ascii="Arial" w:eastAsia="Arial" w:hAnsi="Arial" w:cs="Arial"/>
          <w:spacing w:val="1"/>
        </w:rPr>
        <w:t>c</w:t>
      </w:r>
      <w:r w:rsidRPr="00EB1AAB">
        <w:rPr>
          <w:rFonts w:ascii="Arial" w:eastAsia="Arial" w:hAnsi="Arial" w:cs="Arial"/>
        </w:rPr>
        <w:t>ted</w:t>
      </w:r>
      <w:r w:rsidRPr="00EB1AAB">
        <w:rPr>
          <w:rFonts w:ascii="Arial" w:eastAsia="Arial" w:hAnsi="Arial" w:cs="Arial"/>
          <w:spacing w:val="10"/>
        </w:rPr>
        <w:t xml:space="preserve"> </w:t>
      </w:r>
      <w:r w:rsidRPr="00EB1AAB">
        <w:rPr>
          <w:rFonts w:ascii="Arial" w:eastAsia="Arial" w:hAnsi="Arial" w:cs="Arial"/>
          <w:spacing w:val="1"/>
        </w:rPr>
        <w:t>c</w:t>
      </w:r>
      <w:r w:rsidRPr="00EB1AAB">
        <w:rPr>
          <w:rFonts w:ascii="Arial" w:eastAsia="Arial" w:hAnsi="Arial" w:cs="Arial"/>
          <w:spacing w:val="-1"/>
        </w:rPr>
        <w:t>r</w:t>
      </w:r>
      <w:r w:rsidRPr="00EB1AAB">
        <w:rPr>
          <w:rFonts w:ascii="Arial" w:eastAsia="Arial" w:hAnsi="Arial" w:cs="Arial"/>
        </w:rPr>
        <w:t>ed</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10"/>
        </w:rPr>
        <w:t xml:space="preserve"> </w:t>
      </w:r>
      <w:r w:rsidRPr="00EB1AAB">
        <w:rPr>
          <w:rFonts w:ascii="Arial" w:eastAsia="Arial" w:hAnsi="Arial" w:cs="Arial"/>
          <w:spacing w:val="1"/>
          <w:w w:val="101"/>
        </w:rPr>
        <w:t>l</w:t>
      </w:r>
      <w:r w:rsidRPr="00EB1AAB">
        <w:rPr>
          <w:rFonts w:ascii="Arial" w:eastAsia="Arial" w:hAnsi="Arial" w:cs="Arial"/>
          <w:w w:val="101"/>
        </w:rPr>
        <w:t>o</w:t>
      </w:r>
      <w:r w:rsidRPr="00EB1AAB">
        <w:rPr>
          <w:rFonts w:ascii="Arial" w:eastAsia="Arial" w:hAnsi="Arial" w:cs="Arial"/>
          <w:spacing w:val="-1"/>
          <w:w w:val="101"/>
        </w:rPr>
        <w:t>s</w:t>
      </w:r>
      <w:r w:rsidRPr="00EB1AAB">
        <w:rPr>
          <w:rFonts w:ascii="Arial" w:eastAsia="Arial" w:hAnsi="Arial" w:cs="Arial"/>
          <w:spacing w:val="1"/>
          <w:w w:val="101"/>
        </w:rPr>
        <w:t>s</w:t>
      </w:r>
      <w:r w:rsidRPr="00EB1AAB">
        <w:rPr>
          <w:rFonts w:ascii="Arial" w:eastAsia="Arial" w:hAnsi="Arial" w:cs="Arial"/>
          <w:w w:val="101"/>
        </w:rPr>
        <w:t>e</w:t>
      </w:r>
      <w:r w:rsidRPr="00EB1AAB">
        <w:rPr>
          <w:rFonts w:ascii="Arial" w:eastAsia="Arial" w:hAnsi="Arial" w:cs="Arial"/>
          <w:spacing w:val="-2"/>
          <w:w w:val="101"/>
        </w:rPr>
        <w:t>s</w:t>
      </w:r>
      <w:r w:rsidRPr="00EB1AAB">
        <w:rPr>
          <w:rFonts w:ascii="Arial" w:eastAsia="Arial" w:hAnsi="Arial" w:cs="Arial"/>
          <w:w w:val="101"/>
        </w:rPr>
        <w:t>.</w:t>
      </w:r>
    </w:p>
    <w:p w14:paraId="25247352" w14:textId="77777777" w:rsidR="00655E4C" w:rsidRPr="00EB1AAB" w:rsidRDefault="00655E4C" w:rsidP="00655E4C">
      <w:pPr>
        <w:ind w:right="103"/>
        <w:rPr>
          <w:rFonts w:ascii="Arial" w:eastAsia="Arial" w:hAnsi="Arial" w:cs="Arial"/>
          <w:w w:val="101"/>
        </w:rPr>
      </w:pPr>
    </w:p>
    <w:p w14:paraId="04B47BFB" w14:textId="77777777" w:rsidR="00655E4C" w:rsidRPr="00EB1AAB" w:rsidRDefault="00655E4C" w:rsidP="00655E4C">
      <w:pPr>
        <w:ind w:right="76"/>
        <w:rPr>
          <w:rFonts w:ascii="Arial" w:eastAsia="Arial" w:hAnsi="Arial" w:cs="Arial"/>
        </w:rPr>
      </w:pPr>
      <w:r w:rsidRPr="00EB1AAB">
        <w:rPr>
          <w:rFonts w:ascii="Arial" w:eastAsia="Arial" w:hAnsi="Arial" w:cs="Arial"/>
          <w:spacing w:val="8"/>
        </w:rPr>
        <w:t>W</w:t>
      </w:r>
      <w:r w:rsidRPr="00EB1AAB">
        <w:rPr>
          <w:rFonts w:ascii="Arial" w:eastAsia="Arial" w:hAnsi="Arial" w:cs="Arial"/>
          <w:spacing w:val="-3"/>
        </w:rPr>
        <w:t>h</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5"/>
        </w:rPr>
        <w:t xml:space="preserve"> </w:t>
      </w:r>
      <w:r w:rsidRPr="00EB1AAB">
        <w:rPr>
          <w:rFonts w:ascii="Arial" w:eastAsia="Arial" w:hAnsi="Arial" w:cs="Arial"/>
          <w:spacing w:val="2"/>
        </w:rPr>
        <w:t>t</w:t>
      </w:r>
      <w:r w:rsidRPr="00EB1AAB">
        <w:rPr>
          <w:rFonts w:ascii="Arial" w:eastAsia="Arial" w:hAnsi="Arial" w:cs="Arial"/>
          <w:spacing w:val="-3"/>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rPr>
        <w:t>f</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0"/>
        </w:rPr>
        <w:t xml:space="preserve"> </w:t>
      </w:r>
      <w:r w:rsidRPr="00EB1AAB">
        <w:rPr>
          <w:rFonts w:ascii="Arial" w:eastAsia="Arial" w:hAnsi="Arial" w:cs="Arial"/>
        </w:rPr>
        <w:t>a</w:t>
      </w:r>
      <w:r w:rsidRPr="00EB1AAB">
        <w:rPr>
          <w:rFonts w:ascii="Arial" w:eastAsia="Arial" w:hAnsi="Arial" w:cs="Arial"/>
          <w:spacing w:val="1"/>
        </w:rPr>
        <w:t>s</w:t>
      </w:r>
      <w:r w:rsidRPr="00EB1AAB">
        <w:rPr>
          <w:rFonts w:ascii="Arial" w:eastAsia="Arial" w:hAnsi="Arial" w:cs="Arial"/>
          <w:spacing w:val="-2"/>
        </w:rPr>
        <w:t>s</w:t>
      </w:r>
      <w:r w:rsidRPr="00EB1AAB">
        <w:rPr>
          <w:rFonts w:ascii="Arial" w:eastAsia="Arial" w:hAnsi="Arial" w:cs="Arial"/>
        </w:rPr>
        <w:t>et</w:t>
      </w:r>
      <w:r w:rsidRPr="00EB1AAB">
        <w:rPr>
          <w:rFonts w:ascii="Arial" w:eastAsia="Arial" w:hAnsi="Arial" w:cs="Arial"/>
          <w:spacing w:val="6"/>
        </w:rPr>
        <w:t xml:space="preserve"> </w:t>
      </w:r>
      <w:r w:rsidRPr="00EB1AAB">
        <w:rPr>
          <w:rFonts w:ascii="Arial" w:eastAsia="Arial" w:hAnsi="Arial" w:cs="Arial"/>
        </w:rPr>
        <w:t>was</w:t>
      </w:r>
      <w:r w:rsidRPr="00EB1AAB">
        <w:rPr>
          <w:rFonts w:ascii="Arial" w:eastAsia="Arial" w:hAnsi="Arial" w:cs="Arial"/>
          <w:spacing w:val="6"/>
        </w:rPr>
        <w:t xml:space="preserve"> </w:t>
      </w:r>
      <w:r w:rsidRPr="00EB1AAB">
        <w:rPr>
          <w:rFonts w:ascii="Arial" w:eastAsia="Arial" w:hAnsi="Arial" w:cs="Arial"/>
        </w:rPr>
        <w:t>t</w:t>
      </w:r>
      <w:r w:rsidRPr="00EB1AAB">
        <w:rPr>
          <w:rFonts w:ascii="Arial" w:eastAsia="Arial" w:hAnsi="Arial" w:cs="Arial"/>
          <w:spacing w:val="2"/>
        </w:rPr>
        <w:t>r</w:t>
      </w:r>
      <w:r w:rsidRPr="00EB1AAB">
        <w:rPr>
          <w:rFonts w:ascii="Arial" w:eastAsia="Arial" w:hAnsi="Arial" w:cs="Arial"/>
        </w:rPr>
        <w:t>e</w:t>
      </w:r>
      <w:r w:rsidRPr="00EB1AAB">
        <w:rPr>
          <w:rFonts w:ascii="Arial" w:eastAsia="Arial" w:hAnsi="Arial" w:cs="Arial"/>
          <w:spacing w:val="-3"/>
        </w:rPr>
        <w:t>a</w:t>
      </w:r>
      <w:r w:rsidRPr="00EB1AAB">
        <w:rPr>
          <w:rFonts w:ascii="Arial" w:eastAsia="Arial" w:hAnsi="Arial" w:cs="Arial"/>
          <w:spacing w:val="5"/>
        </w:rPr>
        <w:t>t</w:t>
      </w:r>
      <w:r w:rsidRPr="00EB1AAB">
        <w:rPr>
          <w:rFonts w:ascii="Arial" w:eastAsia="Arial" w:hAnsi="Arial" w:cs="Arial"/>
          <w:spacing w:val="-3"/>
        </w:rPr>
        <w:t>e</w:t>
      </w:r>
      <w:r w:rsidRPr="00EB1AAB">
        <w:rPr>
          <w:rFonts w:ascii="Arial" w:eastAsia="Arial" w:hAnsi="Arial" w:cs="Arial"/>
        </w:rPr>
        <w:t>d</w:t>
      </w:r>
      <w:r w:rsidRPr="00EB1AAB">
        <w:rPr>
          <w:rFonts w:ascii="Arial" w:eastAsia="Arial" w:hAnsi="Arial" w:cs="Arial"/>
          <w:spacing w:val="10"/>
        </w:rPr>
        <w:t xml:space="preserve"> </w:t>
      </w:r>
      <w:r w:rsidRPr="00EB1AAB">
        <w:rPr>
          <w:rFonts w:ascii="Arial" w:eastAsia="Arial" w:hAnsi="Arial" w:cs="Arial"/>
          <w:spacing w:val="-2"/>
        </w:rPr>
        <w:t>a</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rPr>
        <w:t>a</w:t>
      </w:r>
      <w:r w:rsidRPr="00EB1AAB">
        <w:rPr>
          <w:rFonts w:ascii="Arial" w:eastAsia="Arial" w:hAnsi="Arial" w:cs="Arial"/>
          <w:spacing w:val="-1"/>
        </w:rPr>
        <w:t>p</w:t>
      </w:r>
      <w:r w:rsidRPr="00EB1AAB">
        <w:rPr>
          <w:rFonts w:ascii="Arial" w:eastAsia="Arial" w:hAnsi="Arial" w:cs="Arial"/>
          <w:spacing w:val="1"/>
        </w:rPr>
        <w:t>i</w:t>
      </w:r>
      <w:r w:rsidRPr="00EB1AAB">
        <w:rPr>
          <w:rFonts w:ascii="Arial" w:eastAsia="Arial" w:hAnsi="Arial" w:cs="Arial"/>
          <w:spacing w:val="2"/>
        </w:rPr>
        <w:t>t</w:t>
      </w:r>
      <w:r w:rsidRPr="00EB1AAB">
        <w:rPr>
          <w:rFonts w:ascii="Arial" w:eastAsia="Arial" w:hAnsi="Arial" w:cs="Arial"/>
          <w:spacing w:val="-2"/>
        </w:rPr>
        <w:t>a</w:t>
      </w:r>
      <w:r w:rsidRPr="00EB1AAB">
        <w:rPr>
          <w:rFonts w:ascii="Arial" w:eastAsia="Arial" w:hAnsi="Arial" w:cs="Arial"/>
        </w:rPr>
        <w:t>l</w:t>
      </w:r>
      <w:r w:rsidRPr="00EB1AAB">
        <w:rPr>
          <w:rFonts w:ascii="Arial" w:eastAsia="Arial" w:hAnsi="Arial" w:cs="Arial"/>
          <w:spacing w:val="11"/>
        </w:rPr>
        <w:t xml:space="preserve"> </w:t>
      </w:r>
      <w:r w:rsidRPr="00EB1AAB">
        <w:rPr>
          <w:rFonts w:ascii="Arial" w:eastAsia="Arial" w:hAnsi="Arial" w:cs="Arial"/>
          <w:spacing w:val="-3"/>
        </w:rPr>
        <w:t>e</w:t>
      </w:r>
      <w:r w:rsidRPr="00EB1AAB">
        <w:rPr>
          <w:rFonts w:ascii="Arial" w:eastAsia="Arial" w:hAnsi="Arial" w:cs="Arial"/>
          <w:spacing w:val="1"/>
        </w:rPr>
        <w:t>x</w:t>
      </w:r>
      <w:r w:rsidRPr="00EB1AAB">
        <w:rPr>
          <w:rFonts w:ascii="Arial" w:eastAsia="Arial" w:hAnsi="Arial" w:cs="Arial"/>
        </w:rPr>
        <w:t>pe</w:t>
      </w:r>
      <w:r w:rsidRPr="00EB1AAB">
        <w:rPr>
          <w:rFonts w:ascii="Arial" w:eastAsia="Arial" w:hAnsi="Arial" w:cs="Arial"/>
          <w:spacing w:val="2"/>
        </w:rPr>
        <w:t>n</w:t>
      </w:r>
      <w:r w:rsidRPr="00EB1AAB">
        <w:rPr>
          <w:rFonts w:ascii="Arial" w:eastAsia="Arial" w:hAnsi="Arial" w:cs="Arial"/>
          <w:spacing w:val="-2"/>
        </w:rPr>
        <w:t>d</w:t>
      </w:r>
      <w:r w:rsidRPr="00EB1AAB">
        <w:rPr>
          <w:rFonts w:ascii="Arial" w:eastAsia="Arial" w:hAnsi="Arial" w:cs="Arial"/>
          <w:spacing w:val="1"/>
        </w:rPr>
        <w:t>i</w:t>
      </w:r>
      <w:r w:rsidRPr="00EB1AAB">
        <w:rPr>
          <w:rFonts w:ascii="Arial" w:eastAsia="Arial" w:hAnsi="Arial" w:cs="Arial"/>
          <w:spacing w:val="3"/>
        </w:rPr>
        <w:t>t</w:t>
      </w:r>
      <w:r w:rsidRPr="00EB1AAB">
        <w:rPr>
          <w:rFonts w:ascii="Arial" w:eastAsia="Arial" w:hAnsi="Arial" w:cs="Arial"/>
          <w:spacing w:val="-3"/>
        </w:rPr>
        <w:t>u</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13"/>
        </w:rPr>
        <w:t xml:space="preserve"> </w:t>
      </w:r>
      <w:r w:rsidRPr="00EB1AAB">
        <w:rPr>
          <w:rFonts w:ascii="Arial" w:eastAsia="Arial" w:hAnsi="Arial" w:cs="Arial"/>
          <w:spacing w:val="2"/>
        </w:rPr>
        <w:t>a</w:t>
      </w:r>
      <w:r w:rsidRPr="00EB1AAB">
        <w:rPr>
          <w:rFonts w:ascii="Arial" w:eastAsia="Arial" w:hAnsi="Arial" w:cs="Arial"/>
        </w:rPr>
        <w:t>ny</w:t>
      </w:r>
      <w:r w:rsidRPr="00EB1AAB">
        <w:rPr>
          <w:rFonts w:ascii="Arial" w:eastAsia="Arial" w:hAnsi="Arial" w:cs="Arial"/>
          <w:spacing w:val="3"/>
        </w:rPr>
        <w:t xml:space="preserve"> l</w:t>
      </w:r>
      <w:r w:rsidRPr="00EB1AAB">
        <w:rPr>
          <w:rFonts w:ascii="Arial" w:eastAsia="Arial" w:hAnsi="Arial" w:cs="Arial"/>
          <w:spacing w:val="-3"/>
        </w:rPr>
        <w:t>o</w:t>
      </w:r>
      <w:r w:rsidRPr="00EB1AAB">
        <w:rPr>
          <w:rFonts w:ascii="Arial" w:eastAsia="Arial" w:hAnsi="Arial" w:cs="Arial"/>
          <w:spacing w:val="3"/>
        </w:rPr>
        <w:t>s</w:t>
      </w:r>
      <w:r w:rsidRPr="00EB1AAB">
        <w:rPr>
          <w:rFonts w:ascii="Arial" w:eastAsia="Arial" w:hAnsi="Arial" w:cs="Arial"/>
          <w:spacing w:val="-1"/>
        </w:rPr>
        <w:t>s</w:t>
      </w:r>
      <w:r w:rsidRPr="00EB1AAB">
        <w:rPr>
          <w:rFonts w:ascii="Arial" w:eastAsia="Arial" w:hAnsi="Arial" w:cs="Arial"/>
        </w:rPr>
        <w:t>es</w:t>
      </w:r>
      <w:r w:rsidRPr="00EB1AAB">
        <w:rPr>
          <w:rFonts w:ascii="Arial" w:eastAsia="Arial" w:hAnsi="Arial" w:cs="Arial"/>
          <w:spacing w:val="10"/>
        </w:rPr>
        <w:t xml:space="preserve"> </w:t>
      </w:r>
      <w:r w:rsidRPr="00EB1AAB">
        <w:rPr>
          <w:rFonts w:ascii="Arial" w:eastAsia="Arial" w:hAnsi="Arial" w:cs="Arial"/>
          <w:spacing w:val="-3"/>
        </w:rPr>
        <w:t>w</w:t>
      </w:r>
      <w:r w:rsidRPr="00EB1AAB">
        <w:rPr>
          <w:rFonts w:ascii="Arial" w:eastAsia="Arial" w:hAnsi="Arial" w:cs="Arial"/>
          <w:spacing w:val="1"/>
        </w:rPr>
        <w:t>il</w:t>
      </w:r>
      <w:r w:rsidRPr="00EB1AAB">
        <w:rPr>
          <w:rFonts w:ascii="Arial" w:eastAsia="Arial" w:hAnsi="Arial" w:cs="Arial"/>
        </w:rPr>
        <w:t>l</w:t>
      </w:r>
      <w:r w:rsidRPr="00EB1AAB">
        <w:rPr>
          <w:rFonts w:ascii="Arial" w:eastAsia="Arial" w:hAnsi="Arial" w:cs="Arial"/>
          <w:spacing w:val="5"/>
        </w:rPr>
        <w:t xml:space="preserve"> </w:t>
      </w:r>
      <w:r w:rsidRPr="00EB1AAB">
        <w:rPr>
          <w:rFonts w:ascii="Arial" w:eastAsia="Arial" w:hAnsi="Arial" w:cs="Arial"/>
        </w:rPr>
        <w:t>be</w:t>
      </w:r>
      <w:r w:rsidRPr="00EB1AAB">
        <w:rPr>
          <w:rFonts w:ascii="Arial" w:eastAsia="Arial" w:hAnsi="Arial" w:cs="Arial"/>
          <w:spacing w:val="3"/>
        </w:rPr>
        <w:t xml:space="preserve"> </w:t>
      </w:r>
      <w:r w:rsidRPr="00EB1AAB">
        <w:rPr>
          <w:rFonts w:ascii="Arial" w:eastAsia="Arial" w:hAnsi="Arial" w:cs="Arial"/>
          <w:spacing w:val="-1"/>
          <w:w w:val="101"/>
        </w:rPr>
        <w:t>r</w:t>
      </w:r>
      <w:r w:rsidRPr="00EB1AAB">
        <w:rPr>
          <w:rFonts w:ascii="Arial" w:eastAsia="Arial" w:hAnsi="Arial" w:cs="Arial"/>
          <w:spacing w:val="-3"/>
          <w:w w:val="101"/>
        </w:rPr>
        <w:t>e</w:t>
      </w:r>
      <w:r w:rsidRPr="00EB1AAB">
        <w:rPr>
          <w:rFonts w:ascii="Arial" w:eastAsia="Arial" w:hAnsi="Arial" w:cs="Arial"/>
          <w:spacing w:val="3"/>
          <w:w w:val="101"/>
        </w:rPr>
        <w:t>v</w:t>
      </w:r>
      <w:r w:rsidRPr="00EB1AAB">
        <w:rPr>
          <w:rFonts w:ascii="Arial" w:eastAsia="Arial" w:hAnsi="Arial" w:cs="Arial"/>
          <w:spacing w:val="-3"/>
          <w:w w:val="101"/>
        </w:rPr>
        <w:t>e</w:t>
      </w:r>
      <w:r w:rsidRPr="00EB1AAB">
        <w:rPr>
          <w:rFonts w:ascii="Arial" w:eastAsia="Arial" w:hAnsi="Arial" w:cs="Arial"/>
          <w:spacing w:val="1"/>
          <w:w w:val="101"/>
        </w:rPr>
        <w:t>rs</w:t>
      </w:r>
      <w:r w:rsidRPr="00EB1AAB">
        <w:rPr>
          <w:rFonts w:ascii="Arial" w:eastAsia="Arial" w:hAnsi="Arial" w:cs="Arial"/>
          <w:w w:val="101"/>
        </w:rPr>
        <w:t xml:space="preserve">ed </w:t>
      </w:r>
      <w:r w:rsidRPr="00EB1AAB">
        <w:rPr>
          <w:rFonts w:ascii="Arial" w:eastAsia="Arial" w:hAnsi="Arial" w:cs="Arial"/>
          <w:spacing w:val="1"/>
        </w:rPr>
        <w:t>vi</w:t>
      </w:r>
      <w:r w:rsidRPr="00EB1AAB">
        <w:rPr>
          <w:rFonts w:ascii="Arial" w:eastAsia="Arial" w:hAnsi="Arial" w:cs="Arial"/>
        </w:rPr>
        <w:t>a</w:t>
      </w:r>
      <w:r w:rsidRPr="00EB1AAB">
        <w:rPr>
          <w:rFonts w:ascii="Arial" w:eastAsia="Arial" w:hAnsi="Arial" w:cs="Arial"/>
          <w:spacing w:val="4"/>
        </w:rPr>
        <w:t xml:space="preserve"> </w:t>
      </w:r>
      <w:r w:rsidRPr="00EB1AAB">
        <w:rPr>
          <w:rFonts w:ascii="Arial" w:eastAsia="Arial" w:hAnsi="Arial" w:cs="Arial"/>
        </w:rPr>
        <w:t>the</w:t>
      </w:r>
      <w:r w:rsidRPr="00EB1AAB">
        <w:rPr>
          <w:rFonts w:ascii="Arial" w:eastAsia="Arial" w:hAnsi="Arial" w:cs="Arial"/>
          <w:spacing w:val="1"/>
        </w:rPr>
        <w:t xml:space="preserve"> </w:t>
      </w:r>
      <w:r w:rsidRPr="00EB1AAB">
        <w:rPr>
          <w:rFonts w:ascii="Arial" w:eastAsia="Arial" w:hAnsi="Arial" w:cs="Arial"/>
        </w:rPr>
        <w:t>M</w:t>
      </w:r>
      <w:r w:rsidRPr="00EB1AAB">
        <w:rPr>
          <w:rFonts w:ascii="Arial" w:eastAsia="Arial" w:hAnsi="Arial" w:cs="Arial"/>
          <w:spacing w:val="-1"/>
        </w:rPr>
        <w:t>o</w:t>
      </w:r>
      <w:r w:rsidRPr="00EB1AAB">
        <w:rPr>
          <w:rFonts w:ascii="Arial" w:eastAsia="Arial" w:hAnsi="Arial" w:cs="Arial"/>
          <w:spacing w:val="1"/>
        </w:rPr>
        <w:t>v</w:t>
      </w:r>
      <w:r w:rsidRPr="00EB1AAB">
        <w:rPr>
          <w:rFonts w:ascii="Arial" w:eastAsia="Arial" w:hAnsi="Arial" w:cs="Arial"/>
        </w:rPr>
        <w:t>e</w:t>
      </w:r>
      <w:r w:rsidRPr="00EB1AAB">
        <w:rPr>
          <w:rFonts w:ascii="Arial" w:eastAsia="Arial" w:hAnsi="Arial" w:cs="Arial"/>
          <w:spacing w:val="2"/>
        </w:rPr>
        <w:t>m</w:t>
      </w:r>
      <w:r w:rsidRPr="00EB1AAB">
        <w:rPr>
          <w:rFonts w:ascii="Arial" w:eastAsia="Arial" w:hAnsi="Arial" w:cs="Arial"/>
        </w:rPr>
        <w:t>ent</w:t>
      </w:r>
      <w:r w:rsidRPr="00EB1AAB">
        <w:rPr>
          <w:rFonts w:ascii="Arial" w:eastAsia="Arial" w:hAnsi="Arial" w:cs="Arial"/>
          <w:spacing w:val="12"/>
        </w:rPr>
        <w:t xml:space="preserve"> </w:t>
      </w:r>
      <w:r w:rsidRPr="00EB1AAB">
        <w:rPr>
          <w:rFonts w:ascii="Arial" w:eastAsia="Arial" w:hAnsi="Arial" w:cs="Arial"/>
          <w:spacing w:val="3"/>
        </w:rPr>
        <w:t>i</w:t>
      </w:r>
      <w:r w:rsidRPr="00EB1AAB">
        <w:rPr>
          <w:rFonts w:ascii="Arial" w:eastAsia="Arial" w:hAnsi="Arial" w:cs="Arial"/>
        </w:rPr>
        <w:t>n</w:t>
      </w:r>
      <w:r w:rsidRPr="00EB1AAB">
        <w:rPr>
          <w:rFonts w:ascii="Arial" w:eastAsia="Arial" w:hAnsi="Arial" w:cs="Arial"/>
          <w:spacing w:val="1"/>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1"/>
        </w:rPr>
        <w:t>s</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1"/>
        </w:rPr>
        <w:t>v</w:t>
      </w:r>
      <w:r w:rsidRPr="00EB1AAB">
        <w:rPr>
          <w:rFonts w:ascii="Arial" w:eastAsia="Arial" w:hAnsi="Arial" w:cs="Arial"/>
        </w:rPr>
        <w:t>es</w:t>
      </w:r>
      <w:r w:rsidRPr="00EB1AAB">
        <w:rPr>
          <w:rFonts w:ascii="Arial" w:eastAsia="Arial" w:hAnsi="Arial" w:cs="Arial"/>
          <w:spacing w:val="9"/>
        </w:rPr>
        <w:t xml:space="preserve"> </w:t>
      </w:r>
      <w:r w:rsidRPr="00EB1AAB">
        <w:rPr>
          <w:rFonts w:ascii="Arial" w:eastAsia="Arial" w:hAnsi="Arial" w:cs="Arial"/>
          <w:spacing w:val="3"/>
        </w:rPr>
        <w:t>S</w:t>
      </w:r>
      <w:r w:rsidRPr="00EB1AAB">
        <w:rPr>
          <w:rFonts w:ascii="Arial" w:eastAsia="Arial" w:hAnsi="Arial" w:cs="Arial"/>
        </w:rPr>
        <w:t>t</w:t>
      </w:r>
      <w:r w:rsidRPr="00EB1AAB">
        <w:rPr>
          <w:rFonts w:ascii="Arial" w:eastAsia="Arial" w:hAnsi="Arial" w:cs="Arial"/>
          <w:spacing w:val="-2"/>
        </w:rPr>
        <w:t>a</w:t>
      </w:r>
      <w:r w:rsidRPr="00EB1AAB">
        <w:rPr>
          <w:rFonts w:ascii="Arial" w:eastAsia="Arial" w:hAnsi="Arial" w:cs="Arial"/>
          <w:spacing w:val="2"/>
        </w:rPr>
        <w:t>t</w:t>
      </w:r>
      <w:r w:rsidRPr="00EB1AAB">
        <w:rPr>
          <w:rFonts w:ascii="Arial" w:eastAsia="Arial" w:hAnsi="Arial" w:cs="Arial"/>
          <w:spacing w:val="-3"/>
        </w:rPr>
        <w:t>e</w:t>
      </w:r>
      <w:r w:rsidRPr="00EB1AAB">
        <w:rPr>
          <w:rFonts w:ascii="Arial" w:eastAsia="Arial" w:hAnsi="Arial" w:cs="Arial"/>
          <w:spacing w:val="2"/>
        </w:rPr>
        <w:t>me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3"/>
        </w:rPr>
        <w:t xml:space="preserve"> </w:t>
      </w:r>
      <w:r w:rsidRPr="00EB1AAB">
        <w:rPr>
          <w:rFonts w:ascii="Arial" w:eastAsia="Arial" w:hAnsi="Arial" w:cs="Arial"/>
        </w:rPr>
        <w:t>to</w:t>
      </w:r>
      <w:r w:rsidRPr="00EB1AAB">
        <w:rPr>
          <w:rFonts w:ascii="Arial" w:eastAsia="Arial" w:hAnsi="Arial" w:cs="Arial"/>
          <w:spacing w:val="2"/>
        </w:rPr>
        <w:t xml:space="preserve"> 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2"/>
        </w:rPr>
        <w:t>C</w:t>
      </w:r>
      <w:r w:rsidRPr="00EB1AAB">
        <w:rPr>
          <w:rFonts w:ascii="Arial" w:eastAsia="Arial" w:hAnsi="Arial" w:cs="Arial"/>
        </w:rPr>
        <w:t>a</w:t>
      </w:r>
      <w:r w:rsidRPr="00EB1AAB">
        <w:rPr>
          <w:rFonts w:ascii="Arial" w:eastAsia="Arial" w:hAnsi="Arial" w:cs="Arial"/>
          <w:spacing w:val="-3"/>
        </w:rPr>
        <w:t>p</w:t>
      </w:r>
      <w:r w:rsidRPr="00EB1AAB">
        <w:rPr>
          <w:rFonts w:ascii="Arial" w:eastAsia="Arial" w:hAnsi="Arial" w:cs="Arial"/>
          <w:spacing w:val="4"/>
        </w:rPr>
        <w:t>i</w:t>
      </w:r>
      <w:r w:rsidRPr="00EB1AAB">
        <w:rPr>
          <w:rFonts w:ascii="Arial" w:eastAsia="Arial" w:hAnsi="Arial" w:cs="Arial"/>
        </w:rPr>
        <w:t>t</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11"/>
        </w:rPr>
        <w:t xml:space="preserve"> </w:t>
      </w:r>
      <w:r w:rsidRPr="00EB1AAB">
        <w:rPr>
          <w:rFonts w:ascii="Arial" w:eastAsia="Arial" w:hAnsi="Arial" w:cs="Arial"/>
        </w:rPr>
        <w:t>Ad</w:t>
      </w:r>
      <w:r w:rsidRPr="00EB1AAB">
        <w:rPr>
          <w:rFonts w:ascii="Arial" w:eastAsia="Arial" w:hAnsi="Arial" w:cs="Arial"/>
          <w:spacing w:val="1"/>
        </w:rPr>
        <w:t>j</w:t>
      </w:r>
      <w:r w:rsidRPr="00EB1AAB">
        <w:rPr>
          <w:rFonts w:ascii="Arial" w:eastAsia="Arial" w:hAnsi="Arial" w:cs="Arial"/>
        </w:rPr>
        <w:t>u</w:t>
      </w:r>
      <w:r w:rsidRPr="00EB1AAB">
        <w:rPr>
          <w:rFonts w:ascii="Arial" w:eastAsia="Arial" w:hAnsi="Arial" w:cs="Arial"/>
          <w:spacing w:val="-2"/>
        </w:rPr>
        <w:t>s</w:t>
      </w:r>
      <w:r w:rsidRPr="00EB1AAB">
        <w:rPr>
          <w:rFonts w:ascii="Arial" w:eastAsia="Arial" w:hAnsi="Arial" w:cs="Arial"/>
          <w:spacing w:val="2"/>
        </w:rPr>
        <w:t>t</w:t>
      </w:r>
      <w:r w:rsidRPr="00EB1AAB">
        <w:rPr>
          <w:rFonts w:ascii="Arial" w:eastAsia="Arial" w:hAnsi="Arial" w:cs="Arial"/>
        </w:rPr>
        <w:t>me</w:t>
      </w:r>
      <w:r w:rsidRPr="00EB1AAB">
        <w:rPr>
          <w:rFonts w:ascii="Arial" w:eastAsia="Arial" w:hAnsi="Arial" w:cs="Arial"/>
          <w:spacing w:val="-2"/>
        </w:rPr>
        <w:t>n</w:t>
      </w:r>
      <w:r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w w:val="101"/>
        </w:rPr>
        <w:t>A</w:t>
      </w:r>
      <w:r w:rsidRPr="00EB1AAB">
        <w:rPr>
          <w:rFonts w:ascii="Arial" w:eastAsia="Arial" w:hAnsi="Arial" w:cs="Arial"/>
          <w:spacing w:val="1"/>
          <w:w w:val="101"/>
        </w:rPr>
        <w:t>cc</w:t>
      </w:r>
      <w:r w:rsidRPr="00EB1AAB">
        <w:rPr>
          <w:rFonts w:ascii="Arial" w:eastAsia="Arial" w:hAnsi="Arial" w:cs="Arial"/>
          <w:spacing w:val="-3"/>
          <w:w w:val="101"/>
        </w:rPr>
        <w:t>o</w:t>
      </w:r>
      <w:r w:rsidRPr="00EB1AAB">
        <w:rPr>
          <w:rFonts w:ascii="Arial" w:eastAsia="Arial" w:hAnsi="Arial" w:cs="Arial"/>
          <w:spacing w:val="2"/>
          <w:w w:val="101"/>
        </w:rPr>
        <w:t>u</w:t>
      </w:r>
      <w:r w:rsidRPr="00EB1AAB">
        <w:rPr>
          <w:rFonts w:ascii="Arial" w:eastAsia="Arial" w:hAnsi="Arial" w:cs="Arial"/>
          <w:spacing w:val="-2"/>
          <w:w w:val="101"/>
        </w:rPr>
        <w:t>n</w:t>
      </w:r>
      <w:r w:rsidRPr="00EB1AAB">
        <w:rPr>
          <w:rFonts w:ascii="Arial" w:eastAsia="Arial" w:hAnsi="Arial" w:cs="Arial"/>
          <w:w w:val="101"/>
        </w:rPr>
        <w:t>t.</w:t>
      </w:r>
    </w:p>
    <w:bookmarkEnd w:id="84"/>
    <w:p w14:paraId="1B04F623" w14:textId="77777777" w:rsidR="00655E4C" w:rsidRPr="00EB1AAB" w:rsidRDefault="00655E4C" w:rsidP="00655E4C">
      <w:pPr>
        <w:pStyle w:val="Normal0"/>
        <w:spacing w:line="240" w:lineRule="auto"/>
        <w:rPr>
          <w:rFonts w:ascii="Arial" w:hAnsi="Arial" w:cs="Arial"/>
          <w:b/>
          <w:bCs/>
          <w:sz w:val="24"/>
          <w:szCs w:val="24"/>
          <w:lang w:eastAsia="en-GB"/>
        </w:rPr>
      </w:pPr>
    </w:p>
    <w:p w14:paraId="28635C82" w14:textId="67814732" w:rsidR="00655E4C" w:rsidRPr="00EB1AAB" w:rsidRDefault="00655E4C" w:rsidP="00655E4C">
      <w:pPr>
        <w:pStyle w:val="Heading4bold"/>
        <w:rPr>
          <w:lang w:eastAsia="en-GB"/>
        </w:rPr>
      </w:pPr>
      <w:r w:rsidRPr="00EB1AAB">
        <w:rPr>
          <w:lang w:eastAsia="en-GB"/>
        </w:rPr>
        <w:t>1.</w:t>
      </w:r>
      <w:r w:rsidR="006E4D9B">
        <w:rPr>
          <w:lang w:eastAsia="en-GB"/>
        </w:rPr>
        <w:t>17</w:t>
      </w:r>
      <w:r w:rsidRPr="00EB1AAB">
        <w:rPr>
          <w:lang w:eastAsia="en-GB"/>
        </w:rPr>
        <w:t>. Financial Liabilities</w:t>
      </w:r>
    </w:p>
    <w:p w14:paraId="06E0B83A" w14:textId="77777777" w:rsidR="00655E4C" w:rsidRPr="00EB1AAB" w:rsidRDefault="00655E4C" w:rsidP="00655E4C">
      <w:pPr>
        <w:pStyle w:val="Normal0"/>
        <w:spacing w:line="240" w:lineRule="auto"/>
        <w:rPr>
          <w:rFonts w:ascii="Arial" w:hAnsi="Arial" w:cs="Arial"/>
          <w:bCs/>
          <w:sz w:val="24"/>
          <w:szCs w:val="24"/>
          <w:lang w:eastAsia="en-GB"/>
        </w:rPr>
      </w:pPr>
      <w:r w:rsidRPr="00EB1AAB">
        <w:rPr>
          <w:rFonts w:ascii="Arial" w:hAnsi="Arial" w:cs="Arial"/>
          <w:bCs/>
          <w:sz w:val="24"/>
          <w:szCs w:val="24"/>
          <w:lang w:eastAsia="en-GB"/>
        </w:rPr>
        <w:t xml:space="preserve">Financial liabilities are recognised on the Balance Sheet when the Authority becomes a party to the contractual provisions of a financial instrument and are initially measured at fair value and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 </w:t>
      </w:r>
    </w:p>
    <w:p w14:paraId="76084A1B" w14:textId="77777777" w:rsidR="00655E4C" w:rsidRPr="00EB1AAB" w:rsidRDefault="00655E4C" w:rsidP="00655E4C">
      <w:pPr>
        <w:pStyle w:val="Normal0"/>
        <w:spacing w:line="240" w:lineRule="auto"/>
        <w:rPr>
          <w:rFonts w:ascii="Arial" w:hAnsi="Arial" w:cs="Arial"/>
          <w:bCs/>
          <w:sz w:val="24"/>
          <w:szCs w:val="24"/>
          <w:lang w:eastAsia="en-GB"/>
        </w:rPr>
      </w:pPr>
    </w:p>
    <w:p w14:paraId="370FE120" w14:textId="77777777" w:rsidR="00655E4C" w:rsidRPr="00EB1AAB" w:rsidRDefault="00655E4C" w:rsidP="00655E4C">
      <w:pPr>
        <w:pStyle w:val="Normal0"/>
        <w:spacing w:line="240" w:lineRule="auto"/>
        <w:rPr>
          <w:rFonts w:ascii="Arial" w:hAnsi="Arial" w:cs="Arial"/>
          <w:bCs/>
          <w:sz w:val="24"/>
          <w:szCs w:val="24"/>
          <w:lang w:eastAsia="en-GB"/>
        </w:rPr>
      </w:pPr>
      <w:r w:rsidRPr="00EB1AAB">
        <w:rPr>
          <w:rFonts w:ascii="Arial" w:hAnsi="Arial" w:cs="Arial"/>
          <w:bCs/>
          <w:sz w:val="24"/>
          <w:szCs w:val="24"/>
          <w:lang w:eastAsia="en-GB"/>
        </w:rPr>
        <w:t>For most of the borrowings that the Authority has, this means that the amount presented in the Balance Sheet is the outstanding principal repayable plus accrued interest. The interest charged to the Comprehensive Income and Expenditure Statement is the amount payable for the year according to the loan agreement.</w:t>
      </w:r>
    </w:p>
    <w:p w14:paraId="773C5114" w14:textId="77777777" w:rsidR="00655E4C" w:rsidRPr="00EB1AAB" w:rsidRDefault="00655E4C" w:rsidP="00655E4C">
      <w:pPr>
        <w:pStyle w:val="Normal0"/>
        <w:spacing w:line="240" w:lineRule="auto"/>
        <w:rPr>
          <w:rFonts w:ascii="Arial" w:hAnsi="Arial" w:cs="Arial"/>
          <w:bCs/>
          <w:sz w:val="24"/>
          <w:szCs w:val="24"/>
          <w:lang w:eastAsia="en-GB"/>
        </w:rPr>
      </w:pPr>
    </w:p>
    <w:p w14:paraId="5FFF5EE8" w14:textId="77777777" w:rsidR="00655E4C" w:rsidRPr="0007572B" w:rsidRDefault="00655E4C" w:rsidP="00655E4C">
      <w:pPr>
        <w:pStyle w:val="Normal0"/>
        <w:spacing w:line="240" w:lineRule="auto"/>
        <w:rPr>
          <w:rFonts w:ascii="Arial" w:hAnsi="Arial" w:cs="Arial"/>
          <w:bCs/>
          <w:sz w:val="24"/>
          <w:szCs w:val="24"/>
          <w:lang w:eastAsia="en-GB"/>
        </w:rPr>
      </w:pPr>
      <w:r w:rsidRPr="00EB1AAB">
        <w:rPr>
          <w:rFonts w:ascii="Arial" w:hAnsi="Arial" w:cs="Arial"/>
          <w:bCs/>
          <w:sz w:val="24"/>
          <w:szCs w:val="24"/>
          <w:lang w:eastAsia="en-GB"/>
        </w:rPr>
        <w:t xml:space="preserve">For Lender Option Borrower Option (LOBO) loans, the effective interest rate has been calculated over the life of the loan. This is an average and differs from the amounts actually paid in the year. The difference between the calculated interest charge and interest paid has been adjusted in the carrying amount of the loan and the amount charged in the Comprehensive Income and Expenditure Statement is the effective interest rate for the life of the loan rather than the amount payable per the loan agreement. A statutory over-ride allows the reversal of this difference through the Movement in Reserves Statement </w:t>
      </w:r>
      <w:proofErr w:type="gramStart"/>
      <w:r w:rsidRPr="00EB1AAB">
        <w:rPr>
          <w:rFonts w:ascii="Arial" w:hAnsi="Arial" w:cs="Arial"/>
          <w:bCs/>
          <w:sz w:val="24"/>
          <w:szCs w:val="24"/>
          <w:lang w:eastAsia="en-GB"/>
        </w:rPr>
        <w:t>in order to</w:t>
      </w:r>
      <w:proofErr w:type="gramEnd"/>
      <w:r w:rsidRPr="00EB1AAB">
        <w:rPr>
          <w:rFonts w:ascii="Arial" w:hAnsi="Arial" w:cs="Arial"/>
          <w:bCs/>
          <w:sz w:val="24"/>
          <w:szCs w:val="24"/>
          <w:lang w:eastAsia="en-GB"/>
        </w:rPr>
        <w:t xml:space="preserve"> charge the actual interest payable to the General Fund.</w:t>
      </w:r>
    </w:p>
    <w:p w14:paraId="65EB7B91" w14:textId="77777777" w:rsidR="00A506A6" w:rsidRPr="00431F6F" w:rsidRDefault="00A506A6" w:rsidP="00431F6F">
      <w:pPr>
        <w:rPr>
          <w:rFonts w:ascii="Arial" w:hAnsi="Arial"/>
          <w:b/>
        </w:rPr>
      </w:pPr>
      <w:r>
        <w:rPr>
          <w:lang w:eastAsia="en-GB"/>
        </w:rPr>
        <w:br w:type="page"/>
      </w:r>
    </w:p>
    <w:p w14:paraId="163A30A0" w14:textId="1D68A822" w:rsidR="00655E4C" w:rsidRPr="0097099A" w:rsidRDefault="00655E4C" w:rsidP="00655E4C">
      <w:pPr>
        <w:pStyle w:val="Heading4bold"/>
        <w:rPr>
          <w:lang w:eastAsia="en-GB"/>
        </w:rPr>
      </w:pPr>
      <w:r w:rsidRPr="0097099A">
        <w:rPr>
          <w:lang w:eastAsia="en-GB"/>
        </w:rPr>
        <w:lastRenderedPageBreak/>
        <w:t>1.</w:t>
      </w:r>
      <w:r w:rsidR="006E4D9B">
        <w:rPr>
          <w:lang w:eastAsia="en-GB"/>
        </w:rPr>
        <w:t>18</w:t>
      </w:r>
      <w:r w:rsidRPr="0097099A">
        <w:rPr>
          <w:lang w:eastAsia="en-GB"/>
        </w:rPr>
        <w:t>. Impairment of non-financial assets</w:t>
      </w:r>
    </w:p>
    <w:p w14:paraId="51683906"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Assets are assessed at each year-end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26607F49" w14:textId="77777777" w:rsidR="00655E4C" w:rsidRPr="0097099A" w:rsidRDefault="00655E4C" w:rsidP="00655E4C">
      <w:pPr>
        <w:pStyle w:val="Normal0"/>
        <w:spacing w:line="240" w:lineRule="auto"/>
        <w:rPr>
          <w:rFonts w:ascii="Arial" w:hAnsi="Arial" w:cs="Arial"/>
          <w:bCs/>
          <w:sz w:val="24"/>
          <w:szCs w:val="24"/>
          <w:lang w:eastAsia="en-GB"/>
        </w:rPr>
      </w:pPr>
    </w:p>
    <w:p w14:paraId="5EFFE0C5" w14:textId="77777777" w:rsidR="00655E4C" w:rsidRPr="0097099A"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Where impairment losses are identified, they are accounted for as follows:</w:t>
      </w:r>
    </w:p>
    <w:p w14:paraId="195EC9D3" w14:textId="77777777" w:rsidR="00655E4C" w:rsidRPr="0097099A" w:rsidRDefault="00655E4C" w:rsidP="00655E4C">
      <w:pPr>
        <w:pStyle w:val="Normal0"/>
        <w:spacing w:line="240" w:lineRule="auto"/>
        <w:rPr>
          <w:rFonts w:ascii="Arial" w:hAnsi="Arial" w:cs="Arial"/>
          <w:bCs/>
          <w:sz w:val="24"/>
          <w:szCs w:val="24"/>
          <w:lang w:eastAsia="en-GB"/>
        </w:rPr>
      </w:pPr>
    </w:p>
    <w:p w14:paraId="6471587A" w14:textId="77777777" w:rsidR="00655E4C" w:rsidRPr="0097099A" w:rsidRDefault="00655E4C" w:rsidP="00EB27EB">
      <w:pPr>
        <w:pStyle w:val="ListParagraph"/>
        <w:numPr>
          <w:ilvl w:val="0"/>
          <w:numId w:val="26"/>
        </w:numPr>
        <w:spacing w:line="240" w:lineRule="auto"/>
        <w:rPr>
          <w:rFonts w:ascii="Arial" w:hAnsi="Arial" w:cs="Arial"/>
          <w:bCs/>
          <w:sz w:val="24"/>
          <w:szCs w:val="24"/>
        </w:rPr>
      </w:pPr>
      <w:r w:rsidRPr="0097099A">
        <w:rPr>
          <w:rFonts w:ascii="Arial" w:hAnsi="Arial" w:cs="Arial"/>
          <w:bCs/>
          <w:sz w:val="24"/>
          <w:szCs w:val="24"/>
        </w:rPr>
        <w:t>Where there is a balance of revaluation gains for the asset in the Revaluation Reserve, the carrying amount of the asset is written down against that balance (up to the amount of the accumulated gains)</w:t>
      </w:r>
    </w:p>
    <w:p w14:paraId="6B5C1C54" w14:textId="77777777" w:rsidR="00655E4C" w:rsidRPr="0097099A" w:rsidRDefault="00655E4C" w:rsidP="00EB27EB">
      <w:pPr>
        <w:pStyle w:val="ListParagraph"/>
        <w:numPr>
          <w:ilvl w:val="0"/>
          <w:numId w:val="26"/>
        </w:numPr>
        <w:spacing w:line="240" w:lineRule="auto"/>
        <w:rPr>
          <w:rFonts w:ascii="Arial" w:hAnsi="Arial" w:cs="Arial"/>
          <w:bCs/>
          <w:sz w:val="24"/>
          <w:szCs w:val="24"/>
        </w:rPr>
      </w:pPr>
      <w:r w:rsidRPr="0097099A">
        <w:rPr>
          <w:rFonts w:ascii="Arial" w:hAnsi="Arial" w:cs="Arial"/>
          <w:bCs/>
          <w:sz w:val="24"/>
          <w:szCs w:val="24"/>
        </w:rPr>
        <w:t>Where there is no balance in the Revaluation Reserve or an insufficient balance, the carrying amount of the asset is written down against the relevant service line(s) in the Comprehensive Income and Expenditure Statement.</w:t>
      </w:r>
    </w:p>
    <w:p w14:paraId="47B7C4D1" w14:textId="77777777" w:rsidR="00655E4C" w:rsidRPr="0007572B" w:rsidRDefault="00655E4C" w:rsidP="00655E4C">
      <w:pPr>
        <w:pStyle w:val="Normal0"/>
        <w:spacing w:line="240" w:lineRule="auto"/>
        <w:rPr>
          <w:rFonts w:ascii="Arial" w:hAnsi="Arial" w:cs="Arial"/>
          <w:bCs/>
          <w:sz w:val="24"/>
          <w:szCs w:val="24"/>
          <w:lang w:eastAsia="en-GB"/>
        </w:rPr>
      </w:pPr>
      <w:r w:rsidRPr="0097099A">
        <w:rPr>
          <w:rFonts w:ascii="Arial" w:hAnsi="Arial" w:cs="Arial"/>
          <w:bCs/>
          <w:sz w:val="24"/>
          <w:szCs w:val="24"/>
          <w:lang w:eastAsia="en-GB"/>
        </w:rPr>
        <w:t>Where an impairment loss is subsequently reversed, the reversal is credited to the relevant service line(s) in the Comprehensive Income and Expenditure Statement, up to the amount of the original loss, adjusted for depreciation that would have been charged if the loss had not been recognised.</w:t>
      </w:r>
    </w:p>
    <w:p w14:paraId="70065AF7" w14:textId="77777777" w:rsidR="00655E4C" w:rsidRPr="0007572B" w:rsidRDefault="00655E4C" w:rsidP="00655E4C">
      <w:pPr>
        <w:pStyle w:val="Normal0"/>
        <w:spacing w:line="240" w:lineRule="auto"/>
        <w:rPr>
          <w:rFonts w:ascii="Arial" w:hAnsi="Arial" w:cs="Arial"/>
          <w:bCs/>
          <w:sz w:val="24"/>
          <w:szCs w:val="24"/>
          <w:lang w:eastAsia="en-GB"/>
        </w:rPr>
      </w:pPr>
    </w:p>
    <w:p w14:paraId="3EDCBC27" w14:textId="1CCD5244" w:rsidR="00655E4C" w:rsidRPr="0007572B" w:rsidRDefault="00655E4C" w:rsidP="00655E4C">
      <w:pPr>
        <w:pStyle w:val="Heading4bold"/>
        <w:rPr>
          <w:lang w:eastAsia="en-GB"/>
        </w:rPr>
      </w:pPr>
      <w:r w:rsidRPr="0007572B">
        <w:rPr>
          <w:lang w:eastAsia="en-GB"/>
        </w:rPr>
        <w:t>1.</w:t>
      </w:r>
      <w:r w:rsidR="006E4D9B">
        <w:rPr>
          <w:lang w:eastAsia="en-GB"/>
        </w:rPr>
        <w:t>19</w:t>
      </w:r>
      <w:r w:rsidRPr="0007572B">
        <w:rPr>
          <w:lang w:eastAsia="en-GB"/>
        </w:rPr>
        <w:t>. Value Added Tax (VAT)</w:t>
      </w:r>
    </w:p>
    <w:p w14:paraId="352AF8EA" w14:textId="61AA2B51"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VAT payable is included as an expense only to the extent that it is not recoverable from </w:t>
      </w:r>
      <w:r w:rsidR="001C49A0">
        <w:rPr>
          <w:rFonts w:ascii="Arial" w:hAnsi="Arial" w:cs="Arial"/>
          <w:bCs/>
          <w:sz w:val="24"/>
          <w:szCs w:val="24"/>
          <w:lang w:eastAsia="en-GB"/>
        </w:rPr>
        <w:t>HMRC</w:t>
      </w:r>
      <w:r w:rsidRPr="0007572B">
        <w:rPr>
          <w:rFonts w:ascii="Arial" w:hAnsi="Arial" w:cs="Arial"/>
          <w:bCs/>
          <w:sz w:val="24"/>
          <w:szCs w:val="24"/>
          <w:lang w:eastAsia="en-GB"/>
        </w:rPr>
        <w:t>. VAT receivable is excluded from income.</w:t>
      </w:r>
    </w:p>
    <w:p w14:paraId="4C9BED31" w14:textId="77777777" w:rsidR="00655E4C" w:rsidRPr="0007572B" w:rsidRDefault="00655E4C" w:rsidP="00655E4C">
      <w:pPr>
        <w:pStyle w:val="Normal0"/>
        <w:spacing w:line="240" w:lineRule="auto"/>
        <w:rPr>
          <w:rFonts w:ascii="Arial" w:hAnsi="Arial" w:cs="Arial"/>
          <w:b/>
          <w:bCs/>
          <w:sz w:val="24"/>
          <w:szCs w:val="24"/>
          <w:lang w:eastAsia="en-GB"/>
        </w:rPr>
      </w:pPr>
    </w:p>
    <w:p w14:paraId="14E755E2" w14:textId="395AC81E" w:rsidR="00655E4C" w:rsidRPr="0007572B" w:rsidRDefault="00655E4C" w:rsidP="00655E4C">
      <w:pPr>
        <w:pStyle w:val="Heading4bold"/>
        <w:rPr>
          <w:lang w:eastAsia="en-GB"/>
        </w:rPr>
      </w:pPr>
      <w:r w:rsidRPr="0007572B">
        <w:rPr>
          <w:lang w:eastAsia="en-GB"/>
        </w:rPr>
        <w:t>1.</w:t>
      </w:r>
      <w:r w:rsidR="00E85440">
        <w:rPr>
          <w:lang w:eastAsia="en-GB"/>
        </w:rPr>
        <w:t>2</w:t>
      </w:r>
      <w:r w:rsidR="006E4D9B">
        <w:rPr>
          <w:lang w:eastAsia="en-GB"/>
        </w:rPr>
        <w:t>0</w:t>
      </w:r>
      <w:r w:rsidRPr="0007572B">
        <w:rPr>
          <w:lang w:eastAsia="en-GB"/>
        </w:rPr>
        <w:t>. Reserves and Balances</w:t>
      </w:r>
    </w:p>
    <w:p w14:paraId="09D673DB"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The Authority sets aside specific amounts as reserves for future policy purposes or to cover contingencies. Reserves are created by appropriating amounts out of the General Fund Balance in the Movement in Reserves Statement. When expenditure to be financed from a reserve is incurred, it is charged to the appropriate service in that year to score against the Surplus and Deficit on the Provision of Services in the Comprehensive Income and Expenditure Statement. The reserve is then appropriated back into the General Fund Balance in the Movement in Reserves Statement so that there is no net charge for the expenditure.</w:t>
      </w:r>
    </w:p>
    <w:p w14:paraId="0327473E" w14:textId="77777777" w:rsidR="00655E4C" w:rsidRPr="0007572B" w:rsidRDefault="00655E4C" w:rsidP="00655E4C">
      <w:pPr>
        <w:pStyle w:val="Normal0"/>
        <w:spacing w:line="240" w:lineRule="auto"/>
        <w:rPr>
          <w:rFonts w:ascii="Arial" w:hAnsi="Arial" w:cs="Arial"/>
          <w:bCs/>
          <w:sz w:val="24"/>
          <w:szCs w:val="24"/>
          <w:lang w:eastAsia="en-GB"/>
        </w:rPr>
      </w:pPr>
    </w:p>
    <w:p w14:paraId="14E4CF39"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Certain reserves are kept to manage the accounting processes for non-current assets, financial instruments and retirement and employee benefits and they do not represent usable resources for the Authority.</w:t>
      </w:r>
    </w:p>
    <w:p w14:paraId="28EE6BF1" w14:textId="77777777" w:rsidR="00655E4C" w:rsidRPr="0007572B" w:rsidRDefault="00655E4C" w:rsidP="00655E4C">
      <w:pPr>
        <w:pStyle w:val="Normal0"/>
        <w:spacing w:line="240" w:lineRule="auto"/>
        <w:rPr>
          <w:rFonts w:ascii="Arial" w:hAnsi="Arial" w:cs="Arial"/>
          <w:bCs/>
          <w:sz w:val="24"/>
          <w:szCs w:val="24"/>
          <w:lang w:eastAsia="en-GB"/>
        </w:rPr>
      </w:pPr>
    </w:p>
    <w:p w14:paraId="5DAFC9CD" w14:textId="464D4A1E"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The Authority produces memorandum accounts to hold the </w:t>
      </w:r>
      <w:r w:rsidR="00203B09" w:rsidRPr="0007572B">
        <w:rPr>
          <w:rFonts w:ascii="Arial" w:hAnsi="Arial" w:cs="Arial"/>
          <w:bCs/>
          <w:sz w:val="24"/>
          <w:szCs w:val="24"/>
          <w:lang w:eastAsia="en-GB"/>
        </w:rPr>
        <w:t>ring-fenced</w:t>
      </w:r>
      <w:r w:rsidRPr="0007572B">
        <w:rPr>
          <w:rFonts w:ascii="Arial" w:hAnsi="Arial" w:cs="Arial"/>
          <w:bCs/>
          <w:sz w:val="24"/>
          <w:szCs w:val="24"/>
          <w:lang w:eastAsia="en-GB"/>
        </w:rPr>
        <w:t xml:space="preserve"> reserves and balances relating to the Mayoral General Fund and the Mayoral Police Fund. </w:t>
      </w:r>
    </w:p>
    <w:p w14:paraId="3BDDA1BA" w14:textId="77777777" w:rsidR="00655E4C" w:rsidRPr="0007572B" w:rsidRDefault="00655E4C" w:rsidP="00655E4C">
      <w:pPr>
        <w:pStyle w:val="Normal0"/>
        <w:spacing w:line="240" w:lineRule="auto"/>
        <w:rPr>
          <w:rFonts w:ascii="Arial" w:hAnsi="Arial" w:cs="Arial"/>
          <w:b/>
          <w:bCs/>
          <w:sz w:val="24"/>
          <w:szCs w:val="24"/>
          <w:lang w:eastAsia="en-GB"/>
        </w:rPr>
      </w:pPr>
    </w:p>
    <w:p w14:paraId="409237C2" w14:textId="4641E931" w:rsidR="00655E4C" w:rsidRPr="0007572B" w:rsidRDefault="00655E4C" w:rsidP="00655E4C">
      <w:pPr>
        <w:pStyle w:val="Heading4bold"/>
        <w:rPr>
          <w:lang w:eastAsia="en-GB"/>
        </w:rPr>
      </w:pPr>
      <w:r w:rsidRPr="0007572B">
        <w:rPr>
          <w:lang w:eastAsia="en-GB"/>
        </w:rPr>
        <w:t>1.2</w:t>
      </w:r>
      <w:r w:rsidR="006E4D9B">
        <w:rPr>
          <w:lang w:eastAsia="en-GB"/>
        </w:rPr>
        <w:t>1</w:t>
      </w:r>
      <w:r w:rsidRPr="0007572B">
        <w:rPr>
          <w:lang w:eastAsia="en-GB"/>
        </w:rPr>
        <w:t>. Revenue</w:t>
      </w:r>
    </w:p>
    <w:p w14:paraId="4471E97D"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Revenue is a sub-set of income and is defined as the gross inflow of economic benefits or service potential during the reporting period when those inflows result in an increase in net worth.</w:t>
      </w:r>
    </w:p>
    <w:p w14:paraId="61173C58" w14:textId="77777777" w:rsidR="00655E4C" w:rsidRPr="0007572B" w:rsidRDefault="00655E4C" w:rsidP="00655E4C">
      <w:pPr>
        <w:pStyle w:val="Normal0"/>
        <w:spacing w:line="240" w:lineRule="auto"/>
        <w:rPr>
          <w:rFonts w:ascii="Arial" w:hAnsi="Arial" w:cs="Arial"/>
          <w:bCs/>
          <w:sz w:val="24"/>
          <w:szCs w:val="24"/>
          <w:lang w:eastAsia="en-GB"/>
        </w:rPr>
      </w:pPr>
    </w:p>
    <w:p w14:paraId="5372F74D"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lastRenderedPageBreak/>
        <w:t xml:space="preserve">Revenue from contracts with service recipients, whether for services or the provision of goods, is recognised when (or as) the goods or services are transferred to the service recipient in accordance with the performance obligations in the contract. </w:t>
      </w:r>
    </w:p>
    <w:p w14:paraId="7C861E0F"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Interest receivable on investments and payable on borrowings is accounted for respectively as income and expenditure </w:t>
      </w:r>
      <w:proofErr w:type="gramStart"/>
      <w:r w:rsidRPr="0007572B">
        <w:rPr>
          <w:rFonts w:ascii="Arial" w:hAnsi="Arial" w:cs="Arial"/>
          <w:bCs/>
          <w:sz w:val="24"/>
          <w:szCs w:val="24"/>
          <w:lang w:eastAsia="en-GB"/>
        </w:rPr>
        <w:t>on the basis of</w:t>
      </w:r>
      <w:proofErr w:type="gramEnd"/>
      <w:r w:rsidRPr="0007572B">
        <w:rPr>
          <w:rFonts w:ascii="Arial" w:hAnsi="Arial" w:cs="Arial"/>
          <w:bCs/>
          <w:sz w:val="24"/>
          <w:szCs w:val="24"/>
          <w:lang w:eastAsia="en-GB"/>
        </w:rPr>
        <w:t xml:space="preserve"> the effective interest rate for the relevant financial instrument rather than the cash flows fixed or determined by the contract.</w:t>
      </w:r>
    </w:p>
    <w:p w14:paraId="403C2487" w14:textId="77777777" w:rsidR="00655E4C" w:rsidRPr="0007572B" w:rsidRDefault="00655E4C" w:rsidP="00655E4C">
      <w:pPr>
        <w:pStyle w:val="Normal0"/>
        <w:spacing w:line="240" w:lineRule="auto"/>
        <w:rPr>
          <w:rFonts w:ascii="Arial" w:hAnsi="Arial" w:cs="Arial"/>
          <w:bCs/>
          <w:sz w:val="24"/>
          <w:szCs w:val="24"/>
          <w:lang w:eastAsia="en-GB"/>
        </w:rPr>
      </w:pPr>
    </w:p>
    <w:p w14:paraId="5E522B47"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Where revenue has been recognised but cash has not been received or paid, a debtor for the relevant amount is recorded in the Balance Sheet. Where debts may not be settled, the balance of debtors is written down and a charge made to revenue for the income that might not be collected.</w:t>
      </w:r>
    </w:p>
    <w:p w14:paraId="115333A3" w14:textId="77777777" w:rsidR="00655E4C" w:rsidRPr="0007572B" w:rsidRDefault="00655E4C" w:rsidP="00655E4C">
      <w:pPr>
        <w:pStyle w:val="Normal0"/>
        <w:spacing w:line="240" w:lineRule="auto"/>
        <w:rPr>
          <w:rFonts w:ascii="Arial" w:hAnsi="Arial" w:cs="Arial"/>
          <w:bCs/>
          <w:sz w:val="24"/>
          <w:szCs w:val="24"/>
          <w:lang w:eastAsia="en-GB"/>
        </w:rPr>
      </w:pPr>
    </w:p>
    <w:p w14:paraId="3FF0BCD2"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Rentals receivable under operating leases and secondary rentals received and retained by the group under finance leases are credited to income as they arise. Any premia or incentives within the lease are recognised within income on an equal basis over the term of the lease.</w:t>
      </w:r>
    </w:p>
    <w:p w14:paraId="11889E82" w14:textId="77777777" w:rsidR="00655E4C" w:rsidRPr="0007572B" w:rsidRDefault="00655E4C" w:rsidP="00655E4C">
      <w:pPr>
        <w:pStyle w:val="Normal0"/>
        <w:spacing w:line="240" w:lineRule="auto"/>
        <w:rPr>
          <w:rFonts w:ascii="Arial" w:hAnsi="Arial" w:cs="Arial"/>
          <w:bCs/>
          <w:sz w:val="24"/>
          <w:szCs w:val="24"/>
          <w:lang w:eastAsia="en-GB"/>
        </w:rPr>
      </w:pPr>
    </w:p>
    <w:p w14:paraId="41358904" w14:textId="183E9D82" w:rsidR="00655E4C" w:rsidRPr="0007572B" w:rsidRDefault="00655E4C" w:rsidP="00655E4C">
      <w:pPr>
        <w:pStyle w:val="Heading4bold"/>
        <w:rPr>
          <w:lang w:eastAsia="en-GB"/>
        </w:rPr>
      </w:pPr>
      <w:r w:rsidRPr="0007572B">
        <w:rPr>
          <w:lang w:eastAsia="en-GB"/>
        </w:rPr>
        <w:t>1.2</w:t>
      </w:r>
      <w:r w:rsidR="006E4D9B">
        <w:rPr>
          <w:lang w:eastAsia="en-GB"/>
        </w:rPr>
        <w:t>2</w:t>
      </w:r>
      <w:r w:rsidRPr="0007572B">
        <w:rPr>
          <w:lang w:eastAsia="en-GB"/>
        </w:rPr>
        <w:t>. Contingent assets</w:t>
      </w:r>
    </w:p>
    <w:p w14:paraId="3DD6233D"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A contingent asset arises where an event has taken place that gives the Authority a possible asset whose existence will only be confirmed by the occurrence or otherwise of uncertain future events not wholly within the control of the Authority.</w:t>
      </w:r>
    </w:p>
    <w:p w14:paraId="5B12AB42" w14:textId="77777777" w:rsidR="00655E4C" w:rsidRPr="0007572B" w:rsidRDefault="00655E4C" w:rsidP="00655E4C">
      <w:pPr>
        <w:pStyle w:val="Normal0"/>
        <w:spacing w:line="240" w:lineRule="auto"/>
        <w:rPr>
          <w:rFonts w:ascii="Arial" w:hAnsi="Arial" w:cs="Arial"/>
          <w:bCs/>
          <w:sz w:val="24"/>
          <w:szCs w:val="24"/>
          <w:lang w:eastAsia="en-GB"/>
        </w:rPr>
      </w:pPr>
    </w:p>
    <w:p w14:paraId="7640E37B"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Contingent assets are not recognised in the Balance Sheet but disclosed in a note to the accounts where it is probable that there will be an inflow of economic benefits or service potential.</w:t>
      </w:r>
    </w:p>
    <w:p w14:paraId="3263E417" w14:textId="77777777" w:rsidR="00655E4C" w:rsidRPr="0007572B" w:rsidRDefault="00655E4C" w:rsidP="00655E4C">
      <w:pPr>
        <w:pStyle w:val="Normal0"/>
        <w:spacing w:line="240" w:lineRule="auto"/>
        <w:rPr>
          <w:rFonts w:ascii="Arial" w:hAnsi="Arial" w:cs="Arial"/>
          <w:bCs/>
          <w:sz w:val="24"/>
          <w:szCs w:val="24"/>
          <w:lang w:eastAsia="en-GB"/>
        </w:rPr>
      </w:pPr>
    </w:p>
    <w:p w14:paraId="3D320A51" w14:textId="2190F3A5" w:rsidR="00655E4C" w:rsidRPr="0007572B" w:rsidRDefault="00655E4C" w:rsidP="00655E4C">
      <w:pPr>
        <w:pStyle w:val="Heading4bold"/>
        <w:rPr>
          <w:lang w:eastAsia="en-GB"/>
        </w:rPr>
      </w:pPr>
      <w:r w:rsidRPr="0007572B">
        <w:rPr>
          <w:lang w:eastAsia="en-GB"/>
        </w:rPr>
        <w:t>1.2</w:t>
      </w:r>
      <w:r w:rsidR="006E4D9B">
        <w:rPr>
          <w:lang w:eastAsia="en-GB"/>
        </w:rPr>
        <w:t>3</w:t>
      </w:r>
      <w:r w:rsidRPr="0007572B">
        <w:rPr>
          <w:lang w:eastAsia="en-GB"/>
        </w:rPr>
        <w:t>. Contingent liabilities</w:t>
      </w:r>
    </w:p>
    <w:p w14:paraId="43C29599" w14:textId="1D8F5720"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A contingent liability arises where an event has taken place that gives the Authority a possible obligation whose existence will only be confirmed by the occurrence or otherwise of uncertain future events not wholly within the control of the Authority. Contingent liabilities also arise in circumstances where a provision would otherwise be made but either it is not probable that an outflow of resources will be </w:t>
      </w:r>
      <w:r w:rsidR="00203B09" w:rsidRPr="0007572B">
        <w:rPr>
          <w:rFonts w:ascii="Arial" w:hAnsi="Arial" w:cs="Arial"/>
          <w:bCs/>
          <w:sz w:val="24"/>
          <w:szCs w:val="24"/>
          <w:lang w:eastAsia="en-GB"/>
        </w:rPr>
        <w:t>required,</w:t>
      </w:r>
      <w:r w:rsidRPr="0007572B">
        <w:rPr>
          <w:rFonts w:ascii="Arial" w:hAnsi="Arial" w:cs="Arial"/>
          <w:bCs/>
          <w:sz w:val="24"/>
          <w:szCs w:val="24"/>
          <w:lang w:eastAsia="en-GB"/>
        </w:rPr>
        <w:t xml:space="preserve"> or the amount of the obligation cannot be measured reliably.</w:t>
      </w:r>
    </w:p>
    <w:p w14:paraId="1AF1F610" w14:textId="77777777" w:rsidR="00655E4C" w:rsidRPr="0007572B" w:rsidRDefault="00655E4C" w:rsidP="00655E4C">
      <w:pPr>
        <w:pStyle w:val="Normal0"/>
        <w:spacing w:line="240" w:lineRule="auto"/>
        <w:rPr>
          <w:rFonts w:ascii="Arial" w:hAnsi="Arial" w:cs="Arial"/>
          <w:bCs/>
          <w:sz w:val="24"/>
          <w:szCs w:val="24"/>
          <w:lang w:eastAsia="en-GB"/>
        </w:rPr>
      </w:pPr>
    </w:p>
    <w:p w14:paraId="4F79715E"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Contingent liabilities are not recognised in the Balance Sheet but disclosed in a note to the accounts.</w:t>
      </w:r>
    </w:p>
    <w:p w14:paraId="00FF0DC7" w14:textId="77777777" w:rsidR="00655E4C" w:rsidRPr="0007572B" w:rsidRDefault="00655E4C" w:rsidP="00655E4C">
      <w:pPr>
        <w:pStyle w:val="Normal0"/>
        <w:spacing w:line="240" w:lineRule="auto"/>
        <w:rPr>
          <w:rFonts w:ascii="Arial" w:hAnsi="Arial" w:cs="Arial"/>
          <w:bCs/>
          <w:sz w:val="24"/>
          <w:szCs w:val="24"/>
          <w:lang w:eastAsia="en-GB"/>
        </w:rPr>
      </w:pPr>
    </w:p>
    <w:p w14:paraId="53C02A9D" w14:textId="32A30CD4" w:rsidR="00655E4C" w:rsidRPr="0007572B" w:rsidRDefault="00655E4C" w:rsidP="00655E4C">
      <w:pPr>
        <w:pStyle w:val="Heading4bold"/>
        <w:rPr>
          <w:lang w:eastAsia="en-GB"/>
        </w:rPr>
      </w:pPr>
      <w:r w:rsidRPr="0007572B">
        <w:rPr>
          <w:lang w:eastAsia="en-GB"/>
        </w:rPr>
        <w:t>1.2</w:t>
      </w:r>
      <w:r w:rsidR="006E4D9B">
        <w:rPr>
          <w:lang w:eastAsia="en-GB"/>
        </w:rPr>
        <w:t>4</w:t>
      </w:r>
      <w:r w:rsidRPr="0007572B">
        <w:rPr>
          <w:lang w:eastAsia="en-GB"/>
        </w:rPr>
        <w:t>. Provisions</w:t>
      </w:r>
    </w:p>
    <w:p w14:paraId="0E2FA008"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Provisions are made where an event has taken place that gives the Authority a legal or constructive obligation that probably requires settlement by a transfer of economic benefits or service potential, and a reliable estimate can be made of the amount of the obligation. For instance, the Authority may be involved in a court case that could eventually result in the making of a settlement or the payment of compensation. </w:t>
      </w:r>
    </w:p>
    <w:p w14:paraId="541B0D6D" w14:textId="77777777" w:rsidR="00655E4C" w:rsidRPr="0007572B" w:rsidRDefault="00655E4C" w:rsidP="00655E4C">
      <w:pPr>
        <w:pStyle w:val="Normal0"/>
        <w:spacing w:line="240" w:lineRule="auto"/>
        <w:rPr>
          <w:rFonts w:ascii="Arial" w:hAnsi="Arial" w:cs="Arial"/>
          <w:bCs/>
          <w:sz w:val="24"/>
          <w:szCs w:val="24"/>
          <w:lang w:eastAsia="en-GB"/>
        </w:rPr>
      </w:pPr>
    </w:p>
    <w:p w14:paraId="2CDEE31E" w14:textId="7ABBACBC"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Provisions are charged as an expense to the appropriate service line in the Comprehensive Income and Expenditure Statement in the year that the authority becomes aware of the </w:t>
      </w:r>
      <w:r w:rsidR="00203B09" w:rsidRPr="0007572B">
        <w:rPr>
          <w:rFonts w:ascii="Arial" w:hAnsi="Arial" w:cs="Arial"/>
          <w:bCs/>
          <w:sz w:val="24"/>
          <w:szCs w:val="24"/>
          <w:lang w:eastAsia="en-GB"/>
        </w:rPr>
        <w:t>obligation and</w:t>
      </w:r>
      <w:r w:rsidRPr="0007572B">
        <w:rPr>
          <w:rFonts w:ascii="Arial" w:hAnsi="Arial" w:cs="Arial"/>
          <w:bCs/>
          <w:sz w:val="24"/>
          <w:szCs w:val="24"/>
          <w:lang w:eastAsia="en-GB"/>
        </w:rPr>
        <w:t xml:space="preserve"> are measured at the best estimate at the balance </w:t>
      </w:r>
      <w:r w:rsidRPr="0007572B">
        <w:rPr>
          <w:rFonts w:ascii="Arial" w:hAnsi="Arial" w:cs="Arial"/>
          <w:bCs/>
          <w:sz w:val="24"/>
          <w:szCs w:val="24"/>
          <w:lang w:eastAsia="en-GB"/>
        </w:rPr>
        <w:lastRenderedPageBreak/>
        <w:t xml:space="preserve">sheet date of the expenditure required to settle the obligation, </w:t>
      </w:r>
      <w:proofErr w:type="gramStart"/>
      <w:r w:rsidRPr="0007572B">
        <w:rPr>
          <w:rFonts w:ascii="Arial" w:hAnsi="Arial" w:cs="Arial"/>
          <w:bCs/>
          <w:sz w:val="24"/>
          <w:szCs w:val="24"/>
          <w:lang w:eastAsia="en-GB"/>
        </w:rPr>
        <w:t>taking into account</w:t>
      </w:r>
      <w:proofErr w:type="gramEnd"/>
      <w:r w:rsidRPr="0007572B">
        <w:rPr>
          <w:rFonts w:ascii="Arial" w:hAnsi="Arial" w:cs="Arial"/>
          <w:bCs/>
          <w:sz w:val="24"/>
          <w:szCs w:val="24"/>
          <w:lang w:eastAsia="en-GB"/>
        </w:rPr>
        <w:t xml:space="preserve"> relevant risks and uncertainties.</w:t>
      </w:r>
    </w:p>
    <w:p w14:paraId="7DBBCB8A" w14:textId="77777777" w:rsidR="00655E4C" w:rsidRPr="0007572B" w:rsidRDefault="00655E4C" w:rsidP="00655E4C">
      <w:pPr>
        <w:pStyle w:val="Normal0"/>
        <w:spacing w:line="240" w:lineRule="auto"/>
        <w:rPr>
          <w:rFonts w:ascii="Arial" w:hAnsi="Arial" w:cs="Arial"/>
          <w:bCs/>
          <w:sz w:val="24"/>
          <w:szCs w:val="24"/>
          <w:lang w:eastAsia="en-GB"/>
        </w:rPr>
      </w:pPr>
    </w:p>
    <w:p w14:paraId="287C5E93"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When payments are eventually made, they are charged to the provision carried in the Balance Sheet. Estimated settlements are reviewed at the end of each financial year – where it becomes less than probable that a transfer of economic benefits will now be required (or a lower settlement than anticipated is made), the provision is reversed and credited back to the relevant service.</w:t>
      </w:r>
    </w:p>
    <w:p w14:paraId="4645078B" w14:textId="77777777" w:rsidR="00655E4C" w:rsidRPr="0007572B" w:rsidRDefault="00655E4C" w:rsidP="00655E4C">
      <w:pPr>
        <w:pStyle w:val="Normal0"/>
        <w:spacing w:line="240" w:lineRule="auto"/>
        <w:rPr>
          <w:rFonts w:ascii="Arial" w:hAnsi="Arial" w:cs="Arial"/>
          <w:bCs/>
          <w:sz w:val="24"/>
          <w:szCs w:val="24"/>
          <w:lang w:eastAsia="en-GB"/>
        </w:rPr>
      </w:pPr>
    </w:p>
    <w:p w14:paraId="613F26AD"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Where some or </w:t>
      </w:r>
      <w:proofErr w:type="gramStart"/>
      <w:r w:rsidRPr="0007572B">
        <w:rPr>
          <w:rFonts w:ascii="Arial" w:hAnsi="Arial" w:cs="Arial"/>
          <w:bCs/>
          <w:sz w:val="24"/>
          <w:szCs w:val="24"/>
          <w:lang w:eastAsia="en-GB"/>
        </w:rPr>
        <w:t>all of</w:t>
      </w:r>
      <w:proofErr w:type="gramEnd"/>
      <w:r w:rsidRPr="0007572B">
        <w:rPr>
          <w:rFonts w:ascii="Arial" w:hAnsi="Arial" w:cs="Arial"/>
          <w:bCs/>
          <w:sz w:val="24"/>
          <w:szCs w:val="24"/>
          <w:lang w:eastAsia="en-GB"/>
        </w:rPr>
        <w:t xml:space="preserve"> the payment required to settle a provision is expected to be recovered from another party (e.g. from an insurance claim), this is only recognised as income for the relevant service if it is virtually certain that reimbursement will be received if the authority settles the obligation.</w:t>
      </w:r>
    </w:p>
    <w:p w14:paraId="4EBBAA1E" w14:textId="77777777" w:rsidR="00655E4C" w:rsidRPr="0007572B" w:rsidRDefault="00655E4C" w:rsidP="00655E4C">
      <w:pPr>
        <w:rPr>
          <w:rFonts w:ascii="Arial" w:eastAsiaTheme="minorHAnsi" w:hAnsi="Arial" w:cs="Arial"/>
          <w:b/>
          <w:bCs/>
          <w:lang w:val="en-US" w:eastAsia="en-GB"/>
        </w:rPr>
      </w:pPr>
    </w:p>
    <w:p w14:paraId="107A10A0" w14:textId="2B874578" w:rsidR="00655E4C" w:rsidRPr="0007572B" w:rsidRDefault="00655E4C" w:rsidP="00655E4C">
      <w:pPr>
        <w:pStyle w:val="Heading4bold"/>
        <w:rPr>
          <w:lang w:eastAsia="en-GB"/>
        </w:rPr>
      </w:pPr>
      <w:r w:rsidRPr="0007572B">
        <w:rPr>
          <w:lang w:eastAsia="en-GB"/>
        </w:rPr>
        <w:t>1.2</w:t>
      </w:r>
      <w:r w:rsidR="006E4D9B">
        <w:rPr>
          <w:lang w:eastAsia="en-GB"/>
        </w:rPr>
        <w:t>5</w:t>
      </w:r>
      <w:r w:rsidRPr="0007572B">
        <w:rPr>
          <w:lang w:eastAsia="en-GB"/>
        </w:rPr>
        <w:t>. Events after the Reporting Period</w:t>
      </w:r>
    </w:p>
    <w:p w14:paraId="35DC87CB"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Events after the reporting period are those events that occur between the balance sheet date and the date when the Statement of Accounts is authorised for issue.</w:t>
      </w:r>
    </w:p>
    <w:p w14:paraId="68523D07" w14:textId="77777777" w:rsidR="00655E4C" w:rsidRPr="0007572B" w:rsidRDefault="00655E4C" w:rsidP="00655E4C">
      <w:pPr>
        <w:pStyle w:val="Normal0"/>
        <w:spacing w:line="240" w:lineRule="auto"/>
        <w:rPr>
          <w:rFonts w:ascii="Arial" w:hAnsi="Arial" w:cs="Arial"/>
          <w:bCs/>
          <w:sz w:val="24"/>
          <w:szCs w:val="24"/>
          <w:lang w:eastAsia="en-GB"/>
        </w:rPr>
      </w:pPr>
    </w:p>
    <w:p w14:paraId="35FC1DEB"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Where these provide evidence of conditions in existence at the balance sheet date, the amounts recognised in the accounts are adjusted. </w:t>
      </w:r>
    </w:p>
    <w:p w14:paraId="24149B30" w14:textId="77777777" w:rsidR="00655E4C" w:rsidRPr="0007572B" w:rsidRDefault="00655E4C" w:rsidP="00655E4C">
      <w:pPr>
        <w:pStyle w:val="Normal0"/>
        <w:spacing w:line="240" w:lineRule="auto"/>
        <w:rPr>
          <w:rFonts w:ascii="Arial" w:hAnsi="Arial" w:cs="Arial"/>
          <w:bCs/>
          <w:sz w:val="24"/>
          <w:szCs w:val="24"/>
          <w:lang w:eastAsia="en-GB"/>
        </w:rPr>
      </w:pPr>
    </w:p>
    <w:p w14:paraId="4592399C"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Where these are indicative of conditions that arose after the balance sheet date the amounts in the accounts are not adjusted. This is known as a non-adjusting event and is disclosed as a note to the accounts.</w:t>
      </w:r>
    </w:p>
    <w:p w14:paraId="15B8DFDB" w14:textId="77777777" w:rsidR="00655E4C" w:rsidRPr="0007572B" w:rsidRDefault="00655E4C" w:rsidP="00655E4C">
      <w:pPr>
        <w:pStyle w:val="Normal0"/>
        <w:spacing w:line="240" w:lineRule="auto"/>
        <w:rPr>
          <w:rFonts w:ascii="Arial" w:hAnsi="Arial" w:cs="Arial"/>
          <w:bCs/>
          <w:sz w:val="24"/>
          <w:szCs w:val="24"/>
          <w:lang w:eastAsia="en-GB"/>
        </w:rPr>
      </w:pPr>
    </w:p>
    <w:p w14:paraId="7070814A"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Events taking place after the date of authorisation for issue are not reflected in the Statement of Accounts.</w:t>
      </w:r>
    </w:p>
    <w:p w14:paraId="271CDE95" w14:textId="77777777" w:rsidR="00655E4C" w:rsidRPr="0007572B" w:rsidRDefault="00655E4C" w:rsidP="00655E4C">
      <w:pPr>
        <w:pStyle w:val="Normal0"/>
        <w:spacing w:line="240" w:lineRule="auto"/>
        <w:rPr>
          <w:rFonts w:ascii="Arial" w:hAnsi="Arial" w:cs="Arial"/>
          <w:bCs/>
          <w:sz w:val="24"/>
          <w:szCs w:val="24"/>
          <w:lang w:eastAsia="en-GB"/>
        </w:rPr>
      </w:pPr>
    </w:p>
    <w:p w14:paraId="1993C6C9" w14:textId="0F685E40" w:rsidR="00655E4C" w:rsidRPr="0007572B" w:rsidRDefault="00655E4C" w:rsidP="00655E4C">
      <w:pPr>
        <w:pStyle w:val="Heading4bold"/>
        <w:rPr>
          <w:lang w:eastAsia="en-GB"/>
        </w:rPr>
      </w:pPr>
      <w:r w:rsidRPr="0007572B">
        <w:rPr>
          <w:lang w:eastAsia="en-GB"/>
        </w:rPr>
        <w:t>1.2</w:t>
      </w:r>
      <w:r w:rsidR="006E4D9B">
        <w:rPr>
          <w:lang w:eastAsia="en-GB"/>
        </w:rPr>
        <w:t>6</w:t>
      </w:r>
      <w:r w:rsidRPr="0007572B">
        <w:rPr>
          <w:lang w:eastAsia="en-GB"/>
        </w:rPr>
        <w:t>. Interests in Companies and Other Entities - Group Accounts</w:t>
      </w:r>
    </w:p>
    <w:p w14:paraId="553DB987"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The Authority is required to produce group accounts where it has interests in subsidiaries, associates and/or joint ventures unless interest is considered not material. The group boundary is dependent upon the extent of the Authority’s control or significant influence over the entity, which is based on the requirements of IFRS10, IFRS11 and IAS 28.</w:t>
      </w:r>
    </w:p>
    <w:p w14:paraId="3C0345D6" w14:textId="77777777" w:rsidR="00655E4C" w:rsidRPr="0007572B" w:rsidRDefault="00655E4C" w:rsidP="00655E4C">
      <w:pPr>
        <w:pStyle w:val="Normal0"/>
        <w:spacing w:line="240" w:lineRule="auto"/>
        <w:rPr>
          <w:rFonts w:ascii="Arial" w:hAnsi="Arial" w:cs="Arial"/>
          <w:bCs/>
          <w:sz w:val="24"/>
          <w:szCs w:val="24"/>
          <w:lang w:eastAsia="en-GB"/>
        </w:rPr>
      </w:pPr>
    </w:p>
    <w:p w14:paraId="649AFBC1"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Inclusion in the group is dependent upon the extent of the Authority’s interest and power to influence an entity. The Authority is considered to control an entity if it has power over the entity, </w:t>
      </w:r>
      <w:proofErr w:type="gramStart"/>
      <w:r w:rsidRPr="0007572B">
        <w:rPr>
          <w:rFonts w:ascii="Arial" w:hAnsi="Arial" w:cs="Arial"/>
          <w:bCs/>
          <w:sz w:val="24"/>
          <w:szCs w:val="24"/>
          <w:lang w:eastAsia="en-GB"/>
        </w:rPr>
        <w:t>exposure</w:t>
      </w:r>
      <w:proofErr w:type="gramEnd"/>
      <w:r w:rsidRPr="0007572B">
        <w:rPr>
          <w:rFonts w:ascii="Arial" w:hAnsi="Arial" w:cs="Arial"/>
          <w:bCs/>
          <w:sz w:val="24"/>
          <w:szCs w:val="24"/>
          <w:lang w:eastAsia="en-GB"/>
        </w:rPr>
        <w:t xml:space="preserve"> or rights to variable returns from its interest with the entity and the ability to use its power to affect the level of returns. The determining factor for assessing the extent of interest and power to influence is either through ownership of an entity, or representation on an entity’s board of directors/trustees.</w:t>
      </w:r>
    </w:p>
    <w:p w14:paraId="28B9133A" w14:textId="77777777" w:rsidR="00655E4C" w:rsidRPr="0007572B" w:rsidRDefault="00655E4C" w:rsidP="00655E4C">
      <w:pPr>
        <w:pStyle w:val="Normal0"/>
        <w:spacing w:line="240" w:lineRule="auto"/>
        <w:rPr>
          <w:rFonts w:ascii="Arial" w:hAnsi="Arial" w:cs="Arial"/>
          <w:bCs/>
          <w:sz w:val="24"/>
          <w:szCs w:val="24"/>
          <w:lang w:eastAsia="en-GB"/>
        </w:rPr>
      </w:pPr>
    </w:p>
    <w:p w14:paraId="5F235210" w14:textId="4958B575"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An assessment of all the Authority’s interests has been carried out during the year, in accordance with the Code of Practice, to determine the relationships that exist and whether they should be included within the Authority’s group accounts. As such, group accounts have been prepared for the Authority to include Transport for Greater Manchester, Greater Manchester Police, NW Evergreen Holdings LP</w:t>
      </w:r>
      <w:r w:rsidR="00994314">
        <w:rPr>
          <w:rFonts w:ascii="Arial" w:hAnsi="Arial" w:cs="Arial"/>
          <w:bCs/>
          <w:sz w:val="24"/>
          <w:szCs w:val="24"/>
          <w:lang w:eastAsia="en-GB"/>
        </w:rPr>
        <w:t>,</w:t>
      </w:r>
      <w:r w:rsidRPr="0007572B">
        <w:rPr>
          <w:rFonts w:ascii="Arial" w:hAnsi="Arial" w:cs="Arial"/>
          <w:bCs/>
          <w:sz w:val="24"/>
          <w:szCs w:val="24"/>
          <w:lang w:eastAsia="en-GB"/>
        </w:rPr>
        <w:t xml:space="preserve"> GM Fund of Funds LP</w:t>
      </w:r>
      <w:r w:rsidR="00994314">
        <w:rPr>
          <w:rFonts w:ascii="Arial" w:hAnsi="Arial" w:cs="Arial"/>
          <w:bCs/>
          <w:sz w:val="24"/>
          <w:szCs w:val="24"/>
          <w:lang w:eastAsia="en-GB"/>
        </w:rPr>
        <w:t xml:space="preserve"> and Greater Manchester Evergreen 2 LP</w:t>
      </w:r>
      <w:r w:rsidRPr="0007572B">
        <w:rPr>
          <w:rFonts w:ascii="Arial" w:hAnsi="Arial" w:cs="Arial"/>
          <w:bCs/>
          <w:sz w:val="24"/>
          <w:szCs w:val="24"/>
          <w:lang w:eastAsia="en-GB"/>
        </w:rPr>
        <w:t xml:space="preserve">. </w:t>
      </w:r>
    </w:p>
    <w:p w14:paraId="69102047" w14:textId="77777777" w:rsidR="00655E4C" w:rsidRPr="0007572B" w:rsidRDefault="00655E4C" w:rsidP="00655E4C">
      <w:pPr>
        <w:pStyle w:val="Normal0"/>
        <w:spacing w:line="240" w:lineRule="auto"/>
        <w:rPr>
          <w:rFonts w:ascii="Arial" w:hAnsi="Arial" w:cs="Arial"/>
          <w:bCs/>
          <w:sz w:val="24"/>
          <w:szCs w:val="24"/>
          <w:lang w:eastAsia="en-GB"/>
        </w:rPr>
      </w:pPr>
    </w:p>
    <w:p w14:paraId="2AB33649" w14:textId="08DD6986" w:rsidR="00655E4C" w:rsidRPr="0007572B" w:rsidRDefault="00655E4C" w:rsidP="00655E4C">
      <w:pPr>
        <w:pStyle w:val="Heading4bold"/>
        <w:rPr>
          <w:lang w:eastAsia="en-GB"/>
        </w:rPr>
      </w:pPr>
      <w:r w:rsidRPr="0007572B">
        <w:rPr>
          <w:lang w:eastAsia="en-GB"/>
        </w:rPr>
        <w:lastRenderedPageBreak/>
        <w:t>1.2</w:t>
      </w:r>
      <w:r w:rsidR="006E4D9B">
        <w:rPr>
          <w:lang w:eastAsia="en-GB"/>
        </w:rPr>
        <w:t>7</w:t>
      </w:r>
      <w:r w:rsidRPr="0007572B">
        <w:rPr>
          <w:lang w:eastAsia="en-GB"/>
        </w:rPr>
        <w:t>. Discretionary Benefits</w:t>
      </w:r>
    </w:p>
    <w:p w14:paraId="383656FA"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The Authority also has restricted powers to make discretionary awards of retirement benefits in the event of early retirements. Any liabilities estimated to arise </w:t>
      </w:r>
      <w:proofErr w:type="gramStart"/>
      <w:r w:rsidRPr="0007572B">
        <w:rPr>
          <w:rFonts w:ascii="Arial" w:hAnsi="Arial" w:cs="Arial"/>
          <w:bCs/>
          <w:sz w:val="24"/>
          <w:szCs w:val="24"/>
          <w:lang w:eastAsia="en-GB"/>
        </w:rPr>
        <w:t>as a result of</w:t>
      </w:r>
      <w:proofErr w:type="gramEnd"/>
      <w:r w:rsidRPr="0007572B">
        <w:rPr>
          <w:rFonts w:ascii="Arial" w:hAnsi="Arial" w:cs="Arial"/>
          <w:bCs/>
          <w:sz w:val="24"/>
          <w:szCs w:val="24"/>
          <w:lang w:eastAsia="en-GB"/>
        </w:rPr>
        <w:t xml:space="preserve"> an award to any member of staff are accrued in the year of the decision to make the award and accounted for using the same policies that are applied to the Local Government Pension Scheme.</w:t>
      </w:r>
    </w:p>
    <w:p w14:paraId="17B3811A" w14:textId="77777777" w:rsidR="00655E4C" w:rsidRPr="0007572B" w:rsidRDefault="00655E4C" w:rsidP="00655E4C">
      <w:pPr>
        <w:rPr>
          <w:rFonts w:ascii="Arial" w:eastAsiaTheme="minorHAnsi" w:hAnsi="Arial" w:cs="Arial"/>
          <w:b/>
          <w:bCs/>
          <w:lang w:val="en-US" w:eastAsia="en-GB"/>
        </w:rPr>
      </w:pPr>
    </w:p>
    <w:p w14:paraId="5C6C7279" w14:textId="44E15754" w:rsidR="00655E4C" w:rsidRPr="0007572B" w:rsidRDefault="00655E4C" w:rsidP="00655E4C">
      <w:pPr>
        <w:pStyle w:val="Heading4bold"/>
        <w:rPr>
          <w:lang w:eastAsia="en-GB"/>
        </w:rPr>
      </w:pPr>
      <w:r w:rsidRPr="0007572B">
        <w:rPr>
          <w:lang w:eastAsia="en-GB"/>
        </w:rPr>
        <w:t>1.</w:t>
      </w:r>
      <w:r w:rsidR="006E4D9B">
        <w:rPr>
          <w:lang w:eastAsia="en-GB"/>
        </w:rPr>
        <w:t>28</w:t>
      </w:r>
      <w:r w:rsidRPr="0007572B">
        <w:rPr>
          <w:lang w:eastAsia="en-GB"/>
        </w:rPr>
        <w:t>. Benefits Payable During Employment</w:t>
      </w:r>
    </w:p>
    <w:p w14:paraId="4770765B"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Short-term employee benefits are those due to be settled within 12 months of the year-end. They include such benefits as wages and salaries, paid annual leave and paid sick leave, bonuses and non-monetary benefits (e.g. cars) for current employees, and are recognised as an expense for services in the year in which employees render service to the Authority. </w:t>
      </w:r>
    </w:p>
    <w:p w14:paraId="40795833" w14:textId="77777777" w:rsidR="00655E4C" w:rsidRPr="0007572B" w:rsidRDefault="00655E4C" w:rsidP="00655E4C">
      <w:pPr>
        <w:pStyle w:val="Normal0"/>
        <w:spacing w:line="240" w:lineRule="auto"/>
        <w:rPr>
          <w:rFonts w:ascii="Arial" w:hAnsi="Arial" w:cs="Arial"/>
          <w:bCs/>
          <w:sz w:val="24"/>
          <w:szCs w:val="24"/>
          <w:lang w:eastAsia="en-GB"/>
        </w:rPr>
      </w:pPr>
    </w:p>
    <w:p w14:paraId="0A397FE3" w14:textId="2FF4A190"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In 2018/19, the Authority adopted a policy of not accruing for employee benefits if the value of the adjustment was considered immaterial. An annual assessment will be made each </w:t>
      </w:r>
      <w:proofErr w:type="gramStart"/>
      <w:r w:rsidR="00C028B4" w:rsidRPr="0007572B">
        <w:rPr>
          <w:rFonts w:ascii="Arial" w:hAnsi="Arial" w:cs="Arial"/>
          <w:bCs/>
          <w:sz w:val="24"/>
          <w:szCs w:val="24"/>
          <w:lang w:eastAsia="en-GB"/>
        </w:rPr>
        <w:t>year</w:t>
      </w:r>
      <w:proofErr w:type="gramEnd"/>
      <w:r w:rsidR="00C028B4" w:rsidRPr="0007572B">
        <w:rPr>
          <w:rFonts w:ascii="Arial" w:hAnsi="Arial" w:cs="Arial"/>
          <w:bCs/>
          <w:sz w:val="24"/>
          <w:szCs w:val="24"/>
          <w:lang w:eastAsia="en-GB"/>
        </w:rPr>
        <w:t xml:space="preserve"> and</w:t>
      </w:r>
      <w:r w:rsidRPr="0007572B">
        <w:rPr>
          <w:rFonts w:ascii="Arial" w:hAnsi="Arial" w:cs="Arial"/>
          <w:bCs/>
          <w:sz w:val="24"/>
          <w:szCs w:val="24"/>
          <w:lang w:eastAsia="en-GB"/>
        </w:rPr>
        <w:t xml:space="preserve"> should this result in an adjustment that would be material then these benefits will be accrued</w:t>
      </w:r>
      <w:r w:rsidRPr="006E29C3">
        <w:rPr>
          <w:rFonts w:ascii="Arial" w:hAnsi="Arial" w:cs="Arial"/>
          <w:bCs/>
          <w:sz w:val="24"/>
          <w:szCs w:val="24"/>
          <w:lang w:eastAsia="en-GB"/>
        </w:rPr>
        <w:t>. In the 2021/22 accounts the employee benefit accrual was calculated and considered not to be material, therefore the accounts have not been adjusted.</w:t>
      </w:r>
    </w:p>
    <w:p w14:paraId="5AEBD565" w14:textId="77777777" w:rsidR="00655E4C" w:rsidRPr="0007572B" w:rsidRDefault="00655E4C" w:rsidP="00655E4C">
      <w:pPr>
        <w:pStyle w:val="Normal0"/>
        <w:spacing w:line="240" w:lineRule="auto"/>
        <w:rPr>
          <w:rFonts w:ascii="Arial" w:hAnsi="Arial" w:cs="Arial"/>
          <w:bCs/>
          <w:sz w:val="24"/>
          <w:szCs w:val="24"/>
          <w:lang w:eastAsia="en-GB"/>
        </w:rPr>
      </w:pPr>
    </w:p>
    <w:p w14:paraId="24666ACB" w14:textId="6BDD7DBD" w:rsidR="00655E4C" w:rsidRPr="0007572B" w:rsidRDefault="00655E4C" w:rsidP="00655E4C">
      <w:pPr>
        <w:pStyle w:val="Heading4bold"/>
        <w:rPr>
          <w:lang w:eastAsia="en-GB"/>
        </w:rPr>
      </w:pPr>
      <w:r w:rsidRPr="0007572B">
        <w:rPr>
          <w:lang w:eastAsia="en-GB"/>
        </w:rPr>
        <w:t>1.</w:t>
      </w:r>
      <w:r w:rsidR="006E4D9B">
        <w:rPr>
          <w:lang w:eastAsia="en-GB"/>
        </w:rPr>
        <w:t>29</w:t>
      </w:r>
      <w:r w:rsidRPr="0007572B">
        <w:rPr>
          <w:lang w:eastAsia="en-GB"/>
        </w:rPr>
        <w:t>. Private Finance Initiative (PFI)</w:t>
      </w:r>
    </w:p>
    <w:p w14:paraId="081BC531"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PFI and similar contracts are agreements to receive services, where the responsibility for making available the property, plant and equipment needed to provide the services passes to the PFI contractor. As the Authority is deemed to control the services that are provided under these PFI schemes, and as ownership of the property, plant and equipment will pass to the Authority at the end of the contracts for no additional charge, the Authority carries the assets used under the contracts on </w:t>
      </w:r>
      <w:r>
        <w:rPr>
          <w:rFonts w:ascii="Arial" w:hAnsi="Arial" w:cs="Arial"/>
          <w:bCs/>
          <w:sz w:val="24"/>
          <w:szCs w:val="24"/>
          <w:lang w:eastAsia="en-GB"/>
        </w:rPr>
        <w:t>the</w:t>
      </w:r>
      <w:r w:rsidRPr="0007572B">
        <w:rPr>
          <w:rFonts w:ascii="Arial" w:hAnsi="Arial" w:cs="Arial"/>
          <w:bCs/>
          <w:sz w:val="24"/>
          <w:szCs w:val="24"/>
          <w:lang w:eastAsia="en-GB"/>
        </w:rPr>
        <w:t xml:space="preserve"> Balance Sheet as part of Property, Plant and Equipment. </w:t>
      </w:r>
    </w:p>
    <w:p w14:paraId="2C689B4E" w14:textId="77777777" w:rsidR="00655E4C" w:rsidRPr="0007572B" w:rsidRDefault="00655E4C" w:rsidP="00655E4C">
      <w:pPr>
        <w:pStyle w:val="Normal0"/>
        <w:spacing w:line="240" w:lineRule="auto"/>
        <w:rPr>
          <w:rFonts w:ascii="Arial" w:hAnsi="Arial" w:cs="Arial"/>
          <w:bCs/>
          <w:sz w:val="24"/>
          <w:szCs w:val="24"/>
          <w:lang w:eastAsia="en-GB"/>
        </w:rPr>
      </w:pPr>
    </w:p>
    <w:p w14:paraId="441AC325"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The original recognition of these assets at fair value (based on the cost to purchase the property, </w:t>
      </w:r>
      <w:proofErr w:type="gramStart"/>
      <w:r w:rsidRPr="0007572B">
        <w:rPr>
          <w:rFonts w:ascii="Arial" w:hAnsi="Arial" w:cs="Arial"/>
          <w:bCs/>
          <w:sz w:val="24"/>
          <w:szCs w:val="24"/>
          <w:lang w:eastAsia="en-GB"/>
        </w:rPr>
        <w:t>plant</w:t>
      </w:r>
      <w:proofErr w:type="gramEnd"/>
      <w:r w:rsidRPr="0007572B">
        <w:rPr>
          <w:rFonts w:ascii="Arial" w:hAnsi="Arial" w:cs="Arial"/>
          <w:bCs/>
          <w:sz w:val="24"/>
          <w:szCs w:val="24"/>
          <w:lang w:eastAsia="en-GB"/>
        </w:rPr>
        <w:t xml:space="preserve"> and equipment) is balanced by the recognition of a liability for amounts due to the scheme operator to pay for the capital investment. When establishing the recognition point of an asset, the Authority considers when probable and future benefits of the asset will flow to it and the extent to which the cost of the asset can be reliably measured.</w:t>
      </w:r>
    </w:p>
    <w:p w14:paraId="51BD4B0A" w14:textId="77777777" w:rsidR="00655E4C" w:rsidRPr="0007572B" w:rsidRDefault="00655E4C" w:rsidP="00655E4C">
      <w:pPr>
        <w:pStyle w:val="Normal0"/>
        <w:spacing w:line="240" w:lineRule="auto"/>
        <w:rPr>
          <w:rFonts w:ascii="Arial" w:hAnsi="Arial" w:cs="Arial"/>
          <w:bCs/>
          <w:sz w:val="24"/>
          <w:szCs w:val="24"/>
          <w:lang w:eastAsia="en-GB"/>
        </w:rPr>
      </w:pPr>
    </w:p>
    <w:p w14:paraId="65F4AE59"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PFI and similar contracts recognised on the Balance Sheet are revalued and depreciated in the same way as property, plant and equipment owned by the Authority.</w:t>
      </w:r>
    </w:p>
    <w:p w14:paraId="76D185DD" w14:textId="77777777" w:rsidR="00655E4C" w:rsidRPr="0007572B" w:rsidRDefault="00655E4C" w:rsidP="00655E4C">
      <w:pPr>
        <w:pStyle w:val="Normal0"/>
        <w:spacing w:line="240" w:lineRule="auto"/>
        <w:rPr>
          <w:rFonts w:ascii="Arial" w:hAnsi="Arial" w:cs="Arial"/>
          <w:bCs/>
          <w:sz w:val="24"/>
          <w:szCs w:val="24"/>
          <w:lang w:eastAsia="en-GB"/>
        </w:rPr>
      </w:pPr>
    </w:p>
    <w:p w14:paraId="5F0960F3" w14:textId="77777777" w:rsidR="00655E4C" w:rsidRPr="0007572B"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The amounts payable to the PFI operators each year are analysed into the following elements:</w:t>
      </w:r>
    </w:p>
    <w:p w14:paraId="05D93940" w14:textId="77777777" w:rsidR="00655E4C" w:rsidRPr="0007572B" w:rsidRDefault="00655E4C" w:rsidP="00655E4C">
      <w:pPr>
        <w:pStyle w:val="Normal0"/>
        <w:spacing w:line="240" w:lineRule="auto"/>
        <w:rPr>
          <w:rFonts w:ascii="Arial" w:hAnsi="Arial" w:cs="Arial"/>
          <w:bCs/>
          <w:sz w:val="24"/>
          <w:szCs w:val="24"/>
          <w:lang w:eastAsia="en-GB"/>
        </w:rPr>
      </w:pPr>
    </w:p>
    <w:p w14:paraId="79760019" w14:textId="77777777" w:rsidR="00655E4C" w:rsidRPr="0007572B" w:rsidRDefault="00655E4C" w:rsidP="00EB27EB">
      <w:pPr>
        <w:pStyle w:val="ListParagraph"/>
        <w:numPr>
          <w:ilvl w:val="0"/>
          <w:numId w:val="27"/>
        </w:numPr>
        <w:spacing w:line="240" w:lineRule="auto"/>
        <w:rPr>
          <w:rFonts w:ascii="Arial" w:hAnsi="Arial" w:cs="Arial"/>
          <w:bCs/>
          <w:sz w:val="24"/>
          <w:szCs w:val="24"/>
        </w:rPr>
      </w:pPr>
      <w:r w:rsidRPr="0007572B">
        <w:rPr>
          <w:rFonts w:ascii="Arial" w:hAnsi="Arial" w:cs="Arial"/>
          <w:b/>
          <w:bCs/>
          <w:sz w:val="24"/>
          <w:szCs w:val="24"/>
        </w:rPr>
        <w:t>Fair value of the services received during the year</w:t>
      </w:r>
      <w:r w:rsidRPr="0007572B">
        <w:rPr>
          <w:rFonts w:ascii="Arial" w:hAnsi="Arial" w:cs="Arial"/>
          <w:bCs/>
          <w:sz w:val="24"/>
          <w:szCs w:val="24"/>
        </w:rPr>
        <w:t xml:space="preserve"> – debited to the relevant service in the Comprehensive Income and Expenditure Statement;</w:t>
      </w:r>
    </w:p>
    <w:p w14:paraId="3EEEB399" w14:textId="77777777" w:rsidR="00655E4C" w:rsidRPr="0007572B" w:rsidRDefault="00655E4C" w:rsidP="00EB27EB">
      <w:pPr>
        <w:pStyle w:val="ListParagraph"/>
        <w:numPr>
          <w:ilvl w:val="0"/>
          <w:numId w:val="27"/>
        </w:numPr>
        <w:spacing w:line="240" w:lineRule="auto"/>
        <w:rPr>
          <w:rFonts w:ascii="Arial" w:hAnsi="Arial" w:cs="Arial"/>
          <w:bCs/>
          <w:sz w:val="24"/>
          <w:szCs w:val="24"/>
        </w:rPr>
      </w:pPr>
      <w:r w:rsidRPr="0007572B">
        <w:rPr>
          <w:rFonts w:ascii="Arial" w:hAnsi="Arial" w:cs="Arial"/>
          <w:b/>
          <w:bCs/>
          <w:sz w:val="24"/>
          <w:szCs w:val="24"/>
        </w:rPr>
        <w:t>Finance costs</w:t>
      </w:r>
      <w:r w:rsidRPr="0007572B">
        <w:rPr>
          <w:rFonts w:ascii="Arial" w:hAnsi="Arial" w:cs="Arial"/>
          <w:bCs/>
          <w:sz w:val="24"/>
          <w:szCs w:val="24"/>
        </w:rPr>
        <w:t xml:space="preserve"> – an interest charge on the outstanding Balance Sheet liability, debited to the Financing and Investment Income and Expenditure line in the Comprehensive Income and Expenditure Statement;</w:t>
      </w:r>
    </w:p>
    <w:p w14:paraId="666CB970" w14:textId="77777777" w:rsidR="00655E4C" w:rsidRPr="0007572B" w:rsidRDefault="00655E4C" w:rsidP="00EB27EB">
      <w:pPr>
        <w:pStyle w:val="ListParagraph"/>
        <w:numPr>
          <w:ilvl w:val="0"/>
          <w:numId w:val="27"/>
        </w:numPr>
        <w:spacing w:line="240" w:lineRule="auto"/>
        <w:rPr>
          <w:rFonts w:ascii="Arial" w:hAnsi="Arial" w:cs="Arial"/>
          <w:bCs/>
          <w:sz w:val="24"/>
          <w:szCs w:val="24"/>
        </w:rPr>
      </w:pPr>
      <w:r w:rsidRPr="0007572B">
        <w:rPr>
          <w:rFonts w:ascii="Arial" w:hAnsi="Arial" w:cs="Arial"/>
          <w:b/>
          <w:bCs/>
          <w:sz w:val="24"/>
          <w:szCs w:val="24"/>
        </w:rPr>
        <w:lastRenderedPageBreak/>
        <w:t>Contingent Rents</w:t>
      </w:r>
      <w:r w:rsidRPr="0007572B">
        <w:rPr>
          <w:rFonts w:ascii="Arial" w:hAnsi="Arial" w:cs="Arial"/>
          <w:bCs/>
          <w:sz w:val="24"/>
          <w:szCs w:val="24"/>
        </w:rPr>
        <w:t xml:space="preserve"> – Increases in the amount to be paid for the property arising during the contract, debited to the Financing and Investment Income and Expenditure line in the Comprehensive Income and Expenditure Statement;</w:t>
      </w:r>
    </w:p>
    <w:p w14:paraId="7412FB1D" w14:textId="77777777" w:rsidR="00655E4C" w:rsidRPr="0007572B" w:rsidRDefault="00655E4C" w:rsidP="00EB27EB">
      <w:pPr>
        <w:pStyle w:val="ListParagraph"/>
        <w:numPr>
          <w:ilvl w:val="0"/>
          <w:numId w:val="27"/>
        </w:numPr>
        <w:spacing w:line="240" w:lineRule="auto"/>
        <w:rPr>
          <w:rFonts w:ascii="Arial" w:hAnsi="Arial" w:cs="Arial"/>
          <w:bCs/>
          <w:sz w:val="24"/>
          <w:szCs w:val="24"/>
        </w:rPr>
      </w:pPr>
      <w:r w:rsidRPr="0007572B">
        <w:rPr>
          <w:rFonts w:ascii="Arial" w:hAnsi="Arial" w:cs="Arial"/>
          <w:b/>
          <w:bCs/>
          <w:sz w:val="24"/>
          <w:szCs w:val="24"/>
        </w:rPr>
        <w:t>Payment towards liability</w:t>
      </w:r>
      <w:r w:rsidRPr="0007572B">
        <w:rPr>
          <w:rFonts w:ascii="Arial" w:hAnsi="Arial" w:cs="Arial"/>
          <w:bCs/>
          <w:sz w:val="24"/>
          <w:szCs w:val="24"/>
        </w:rPr>
        <w:t xml:space="preserve"> – applied to write down the Balance Sheet liability towards the PFI operator (the profile of write-downs is calculated using the same principles as for a finance lease);</w:t>
      </w:r>
    </w:p>
    <w:p w14:paraId="17388A4A" w14:textId="77777777" w:rsidR="00655E4C" w:rsidRPr="0007572B" w:rsidRDefault="00655E4C" w:rsidP="00EB27EB">
      <w:pPr>
        <w:pStyle w:val="ListParagraph"/>
        <w:numPr>
          <w:ilvl w:val="0"/>
          <w:numId w:val="27"/>
        </w:numPr>
        <w:spacing w:line="240" w:lineRule="auto"/>
        <w:rPr>
          <w:rFonts w:ascii="Arial" w:hAnsi="Arial" w:cs="Arial"/>
          <w:bCs/>
          <w:sz w:val="24"/>
          <w:szCs w:val="24"/>
        </w:rPr>
      </w:pPr>
      <w:r w:rsidRPr="0007572B">
        <w:rPr>
          <w:rFonts w:ascii="Arial" w:hAnsi="Arial" w:cs="Arial"/>
          <w:b/>
          <w:bCs/>
          <w:sz w:val="24"/>
          <w:szCs w:val="24"/>
        </w:rPr>
        <w:t>Lifecycle replacement costs</w:t>
      </w:r>
      <w:r w:rsidRPr="0007572B">
        <w:rPr>
          <w:rFonts w:ascii="Arial" w:hAnsi="Arial" w:cs="Arial"/>
          <w:bCs/>
          <w:sz w:val="24"/>
          <w:szCs w:val="24"/>
        </w:rPr>
        <w:t xml:space="preserve"> – proportion of the amounts payable is posted to the Balance Sheet as a prepayment and then recognised as additions to Property, Plant and Equipment when the relevant works are eventually carried out. </w:t>
      </w:r>
    </w:p>
    <w:p w14:paraId="6F1DEB02" w14:textId="562F288A" w:rsidR="00655E4C" w:rsidRDefault="00655E4C" w:rsidP="00655E4C">
      <w:pPr>
        <w:pStyle w:val="Normal0"/>
        <w:spacing w:line="240" w:lineRule="auto"/>
        <w:rPr>
          <w:rFonts w:ascii="Arial" w:hAnsi="Arial" w:cs="Arial"/>
          <w:bCs/>
          <w:sz w:val="24"/>
          <w:szCs w:val="24"/>
          <w:lang w:eastAsia="en-GB"/>
        </w:rPr>
      </w:pPr>
      <w:r w:rsidRPr="0007572B">
        <w:rPr>
          <w:rFonts w:ascii="Arial" w:hAnsi="Arial" w:cs="Arial"/>
          <w:bCs/>
          <w:sz w:val="24"/>
          <w:szCs w:val="24"/>
          <w:lang w:eastAsia="en-GB"/>
        </w:rPr>
        <w:t xml:space="preserve">The Authority is deemed to control the services provided under its PFI arrangement for the Stretford Fire Station site. The Authority also has a PFI contract for the construction and maintenance of 17 police stations across </w:t>
      </w:r>
      <w:r w:rsidR="00336C9F">
        <w:rPr>
          <w:rFonts w:ascii="Arial" w:hAnsi="Arial" w:cs="Arial"/>
          <w:bCs/>
          <w:sz w:val="24"/>
          <w:szCs w:val="24"/>
          <w:lang w:eastAsia="en-GB"/>
        </w:rPr>
        <w:t>GM</w:t>
      </w:r>
      <w:r w:rsidRPr="0007572B">
        <w:rPr>
          <w:rFonts w:ascii="Arial" w:hAnsi="Arial" w:cs="Arial"/>
          <w:bCs/>
          <w:sz w:val="24"/>
          <w:szCs w:val="24"/>
          <w:lang w:eastAsia="en-GB"/>
        </w:rPr>
        <w:t xml:space="preserve"> whereby the contractor will operate and service the stations for 25 years after which ownership will revert to the Mayor of </w:t>
      </w:r>
      <w:r w:rsidR="00336C9F">
        <w:rPr>
          <w:rFonts w:ascii="Arial" w:hAnsi="Arial" w:cs="Arial"/>
          <w:bCs/>
          <w:sz w:val="24"/>
          <w:szCs w:val="24"/>
          <w:lang w:eastAsia="en-GB"/>
        </w:rPr>
        <w:t>GM</w:t>
      </w:r>
      <w:r w:rsidRPr="0007572B">
        <w:rPr>
          <w:rFonts w:ascii="Arial" w:hAnsi="Arial" w:cs="Arial"/>
          <w:bCs/>
          <w:sz w:val="24"/>
          <w:szCs w:val="24"/>
          <w:lang w:eastAsia="en-GB"/>
        </w:rPr>
        <w:t xml:space="preserve"> for nil consideration. The accounting policy for PFIs and similar arrangements has been applied to these arrangements and the assets are recognised as Property, Plant and Equipment in the Balance Sheet.</w:t>
      </w:r>
    </w:p>
    <w:p w14:paraId="6A330CD3" w14:textId="77777777" w:rsidR="007E4DDF" w:rsidRDefault="007E4DDF" w:rsidP="00655E4C">
      <w:pPr>
        <w:pStyle w:val="Normal0"/>
        <w:spacing w:line="240" w:lineRule="auto"/>
        <w:rPr>
          <w:rFonts w:ascii="Arial" w:hAnsi="Arial" w:cs="Arial"/>
          <w:bCs/>
          <w:sz w:val="24"/>
          <w:szCs w:val="24"/>
          <w:lang w:eastAsia="en-GB"/>
        </w:rPr>
      </w:pPr>
    </w:p>
    <w:p w14:paraId="0F839B14" w14:textId="4A587D11" w:rsidR="00655E4C" w:rsidRPr="0007572B" w:rsidRDefault="00655E4C" w:rsidP="00655E4C">
      <w:pPr>
        <w:pStyle w:val="Heading3greennumbered"/>
      </w:pPr>
      <w:bookmarkStart w:id="85" w:name="_Toc109922611"/>
      <w:r w:rsidRPr="0007572B">
        <w:t>2 Critical Accounting</w:t>
      </w:r>
      <w:r w:rsidRPr="0007572B">
        <w:rPr>
          <w:spacing w:val="2"/>
        </w:rPr>
        <w:t xml:space="preserve"> </w:t>
      </w:r>
      <w:r w:rsidRPr="0007572B">
        <w:t>Judgements</w:t>
      </w:r>
      <w:bookmarkEnd w:id="85"/>
    </w:p>
    <w:p w14:paraId="46E115BF" w14:textId="77777777" w:rsidR="00655E4C" w:rsidRDefault="00655E4C" w:rsidP="00655E4C">
      <w:pPr>
        <w:pStyle w:val="Normal0"/>
        <w:autoSpaceDE w:val="0"/>
        <w:autoSpaceDN w:val="0"/>
        <w:adjustRightInd w:val="0"/>
        <w:spacing w:line="240" w:lineRule="auto"/>
        <w:rPr>
          <w:rFonts w:ascii="Arial" w:hAnsi="Arial" w:cs="Arial"/>
          <w:sz w:val="24"/>
          <w:szCs w:val="24"/>
        </w:rPr>
      </w:pPr>
    </w:p>
    <w:p w14:paraId="440C252A" w14:textId="77777777" w:rsidR="00655E4C" w:rsidRPr="0007572B" w:rsidRDefault="00655E4C" w:rsidP="00655E4C">
      <w:pPr>
        <w:pStyle w:val="Normal0"/>
        <w:autoSpaceDE w:val="0"/>
        <w:autoSpaceDN w:val="0"/>
        <w:adjustRightInd w:val="0"/>
        <w:spacing w:line="240" w:lineRule="auto"/>
        <w:rPr>
          <w:rFonts w:ascii="Arial" w:hAnsi="Arial" w:cs="Arial"/>
          <w:sz w:val="24"/>
          <w:szCs w:val="24"/>
        </w:rPr>
      </w:pPr>
      <w:r w:rsidRPr="0007572B">
        <w:rPr>
          <w:rFonts w:ascii="Arial" w:hAnsi="Arial" w:cs="Arial"/>
          <w:sz w:val="24"/>
          <w:szCs w:val="24"/>
        </w:rPr>
        <w:t>In applying the accounting policies set out in the notes to the accounts, the Authority has had to make certain judgements about complex in year transactions or those involving uncertainty about future events. The following are significant management judgements made in applying the accounting policies of the Authority that have the most significant effect on the Statement of Accounts. Material estimation uncertainties are described in the notes to the accounts.</w:t>
      </w:r>
    </w:p>
    <w:p w14:paraId="20FAA1DD" w14:textId="77777777" w:rsidR="00655E4C" w:rsidRPr="0007572B" w:rsidRDefault="00655E4C" w:rsidP="00655E4C">
      <w:pPr>
        <w:pStyle w:val="Normal0"/>
        <w:autoSpaceDE w:val="0"/>
        <w:autoSpaceDN w:val="0"/>
        <w:spacing w:line="240" w:lineRule="auto"/>
        <w:rPr>
          <w:rFonts w:ascii="Arial" w:hAnsi="Arial" w:cs="Arial"/>
          <w:b/>
          <w:sz w:val="24"/>
          <w:szCs w:val="24"/>
        </w:rPr>
      </w:pPr>
    </w:p>
    <w:p w14:paraId="4A205A73" w14:textId="77777777" w:rsidR="00655E4C" w:rsidRPr="0007572B" w:rsidRDefault="00655E4C" w:rsidP="00655E4C">
      <w:pPr>
        <w:pStyle w:val="Heading4bold"/>
      </w:pPr>
      <w:bookmarkStart w:id="86" w:name="_Hlk114673293"/>
      <w:r w:rsidRPr="0007572B">
        <w:t>Government Funding</w:t>
      </w:r>
    </w:p>
    <w:p w14:paraId="641575DB" w14:textId="15340BCB" w:rsidR="00290F44" w:rsidRDefault="00290F44" w:rsidP="00290F44">
      <w:pPr>
        <w:pStyle w:val="Normal0"/>
        <w:autoSpaceDE w:val="0"/>
        <w:autoSpaceDN w:val="0"/>
        <w:spacing w:line="240" w:lineRule="auto"/>
        <w:rPr>
          <w:rFonts w:ascii="Arial" w:hAnsi="Arial" w:cs="Arial"/>
          <w:sz w:val="24"/>
          <w:szCs w:val="24"/>
        </w:rPr>
      </w:pPr>
      <w:r>
        <w:rPr>
          <w:rFonts w:ascii="Arial" w:hAnsi="Arial" w:cs="Arial"/>
          <w:sz w:val="24"/>
          <w:szCs w:val="24"/>
        </w:rPr>
        <w:t xml:space="preserve">There is an inherent degree of uncertainty about future levels of funding for major Government programmes devolved to GMCA and Local Government </w:t>
      </w:r>
      <w:proofErr w:type="gramStart"/>
      <w:r>
        <w:rPr>
          <w:rFonts w:ascii="Arial" w:hAnsi="Arial" w:cs="Arial"/>
          <w:sz w:val="24"/>
          <w:szCs w:val="24"/>
        </w:rPr>
        <w:t>funding as a whole</w:t>
      </w:r>
      <w:proofErr w:type="gramEnd"/>
      <w:r>
        <w:rPr>
          <w:rFonts w:ascii="Arial" w:hAnsi="Arial" w:cs="Arial"/>
          <w:sz w:val="24"/>
          <w:szCs w:val="24"/>
        </w:rPr>
        <w:t>. Where necessary the Authority would have to consider a range of options on how to continue to provide some elements of its services with a reduced level of funding.</w:t>
      </w:r>
    </w:p>
    <w:bookmarkEnd w:id="86"/>
    <w:p w14:paraId="28BDE1ED" w14:textId="77777777" w:rsidR="00655E4C" w:rsidRDefault="00655E4C" w:rsidP="00655E4C">
      <w:pPr>
        <w:pStyle w:val="Normal0"/>
        <w:autoSpaceDE w:val="0"/>
        <w:autoSpaceDN w:val="0"/>
        <w:spacing w:line="240" w:lineRule="auto"/>
        <w:rPr>
          <w:rFonts w:ascii="Arial" w:hAnsi="Arial" w:cs="Arial"/>
          <w:sz w:val="24"/>
          <w:szCs w:val="24"/>
        </w:rPr>
      </w:pPr>
    </w:p>
    <w:p w14:paraId="1790FD0B" w14:textId="77777777" w:rsidR="00655E4C" w:rsidRDefault="00655E4C" w:rsidP="00655E4C">
      <w:pPr>
        <w:pStyle w:val="Normal0"/>
        <w:autoSpaceDE w:val="0"/>
        <w:autoSpaceDN w:val="0"/>
        <w:spacing w:line="240" w:lineRule="auto"/>
        <w:rPr>
          <w:rFonts w:ascii="Arial" w:hAnsi="Arial" w:cs="Arial"/>
          <w:sz w:val="24"/>
          <w:szCs w:val="24"/>
        </w:rPr>
      </w:pPr>
      <w:r>
        <w:rPr>
          <w:rFonts w:ascii="Arial" w:hAnsi="Arial" w:cs="Arial"/>
          <w:sz w:val="24"/>
          <w:szCs w:val="24"/>
        </w:rPr>
        <w:t xml:space="preserve">The asset base across Police and Crime, Fire and Rescue and Transport functions is considered as part of the financial planning process and there is not currently a sufficient indication that the assets of the Authority might be impaired </w:t>
      </w:r>
      <w:proofErr w:type="gramStart"/>
      <w:r>
        <w:rPr>
          <w:rFonts w:ascii="Arial" w:hAnsi="Arial" w:cs="Arial"/>
          <w:sz w:val="24"/>
          <w:szCs w:val="24"/>
        </w:rPr>
        <w:t>as a result of</w:t>
      </w:r>
      <w:proofErr w:type="gramEnd"/>
      <w:r>
        <w:rPr>
          <w:rFonts w:ascii="Arial" w:hAnsi="Arial" w:cs="Arial"/>
          <w:sz w:val="24"/>
          <w:szCs w:val="24"/>
        </w:rPr>
        <w:t xml:space="preserve"> a need to close facilities and reduce levels of service provision.</w:t>
      </w:r>
    </w:p>
    <w:p w14:paraId="30484E76" w14:textId="77777777" w:rsidR="00655E4C" w:rsidRPr="0007572B" w:rsidRDefault="00655E4C" w:rsidP="00655E4C">
      <w:pPr>
        <w:rPr>
          <w:rFonts w:ascii="Arial" w:eastAsiaTheme="minorHAnsi" w:hAnsi="Arial" w:cs="Arial"/>
          <w:b/>
          <w:lang w:val="en-US"/>
        </w:rPr>
      </w:pPr>
    </w:p>
    <w:p w14:paraId="60F6D8EF" w14:textId="77777777" w:rsidR="00655E4C" w:rsidRPr="0007572B" w:rsidRDefault="00655E4C" w:rsidP="00655E4C">
      <w:pPr>
        <w:pStyle w:val="Heading4bold"/>
      </w:pPr>
      <w:r w:rsidRPr="0007572B">
        <w:t>Private Finance Initiative (PFI)</w:t>
      </w:r>
    </w:p>
    <w:p w14:paraId="78ED4161" w14:textId="77777777" w:rsidR="00655E4C" w:rsidRPr="0007572B" w:rsidRDefault="00655E4C" w:rsidP="00655E4C">
      <w:pPr>
        <w:rPr>
          <w:rFonts w:ascii="Arial" w:hAnsi="Arial" w:cs="Arial"/>
        </w:rPr>
      </w:pPr>
      <w:r w:rsidRPr="0007572B">
        <w:rPr>
          <w:rFonts w:ascii="Arial" w:hAnsi="Arial" w:cs="Arial"/>
        </w:rPr>
        <w:t>The Authority has entered into Private Finance Initiative (PFI) agreements for the Stretford Fire Station and 17 new Police Stations across 16 sites. The ownership of the buildings is determined by who holds the balance of control in line with accounting standards. The Authority considers the buildings and equipment associated with these sites should be included on its Balance Sheet because:</w:t>
      </w:r>
    </w:p>
    <w:p w14:paraId="40F23068" w14:textId="77777777" w:rsidR="00655E4C" w:rsidRPr="0007572B" w:rsidRDefault="00655E4C" w:rsidP="00EB27EB">
      <w:pPr>
        <w:pStyle w:val="ListParagraph"/>
        <w:numPr>
          <w:ilvl w:val="0"/>
          <w:numId w:val="27"/>
        </w:numPr>
        <w:spacing w:line="240" w:lineRule="auto"/>
        <w:rPr>
          <w:rFonts w:ascii="Arial" w:hAnsi="Arial" w:cs="Arial"/>
          <w:b/>
          <w:bCs/>
          <w:sz w:val="24"/>
          <w:szCs w:val="24"/>
        </w:rPr>
      </w:pPr>
      <w:r w:rsidRPr="0007572B">
        <w:rPr>
          <w:rFonts w:ascii="Arial" w:hAnsi="Arial" w:cs="Arial"/>
          <w:bCs/>
          <w:sz w:val="24"/>
          <w:szCs w:val="24"/>
        </w:rPr>
        <w:t>The reversion clause within the PFI agreement results in the Authority having a residual interest in the buildings at the end of the agreement;</w:t>
      </w:r>
    </w:p>
    <w:p w14:paraId="2637DD86" w14:textId="77777777" w:rsidR="00655E4C" w:rsidRPr="0007572B" w:rsidRDefault="00655E4C" w:rsidP="00EB27EB">
      <w:pPr>
        <w:pStyle w:val="ListParagraph"/>
        <w:numPr>
          <w:ilvl w:val="0"/>
          <w:numId w:val="27"/>
        </w:numPr>
        <w:spacing w:line="240" w:lineRule="auto"/>
        <w:rPr>
          <w:rFonts w:ascii="Arial" w:hAnsi="Arial" w:cs="Arial"/>
          <w:b/>
          <w:bCs/>
          <w:sz w:val="24"/>
          <w:szCs w:val="24"/>
        </w:rPr>
      </w:pPr>
      <w:r w:rsidRPr="0007572B">
        <w:rPr>
          <w:rFonts w:ascii="Arial" w:hAnsi="Arial" w:cs="Arial"/>
          <w:bCs/>
          <w:sz w:val="24"/>
          <w:szCs w:val="24"/>
        </w:rPr>
        <w:lastRenderedPageBreak/>
        <w:t>The services provided and the use of the building is controlled by the Authority through the PFI agreement; and</w:t>
      </w:r>
    </w:p>
    <w:p w14:paraId="483A2C0E" w14:textId="77777777" w:rsidR="00655E4C" w:rsidRPr="0007572B" w:rsidRDefault="00655E4C" w:rsidP="00EB27EB">
      <w:pPr>
        <w:pStyle w:val="ListParagraph"/>
        <w:numPr>
          <w:ilvl w:val="0"/>
          <w:numId w:val="27"/>
        </w:numPr>
        <w:spacing w:line="240" w:lineRule="auto"/>
        <w:rPr>
          <w:rFonts w:ascii="Arial" w:hAnsi="Arial" w:cs="Arial"/>
          <w:sz w:val="24"/>
          <w:szCs w:val="24"/>
        </w:rPr>
      </w:pPr>
      <w:r w:rsidRPr="0007572B">
        <w:rPr>
          <w:rFonts w:ascii="Arial" w:hAnsi="Arial" w:cs="Arial"/>
          <w:bCs/>
          <w:sz w:val="24"/>
          <w:szCs w:val="24"/>
        </w:rPr>
        <w:t>The PFI agreement</w:t>
      </w:r>
      <w:r w:rsidRPr="0007572B">
        <w:rPr>
          <w:rFonts w:ascii="Arial" w:hAnsi="Arial" w:cs="Arial"/>
          <w:sz w:val="24"/>
          <w:szCs w:val="24"/>
        </w:rPr>
        <w:t xml:space="preserve"> is between the PFI contractor and the Authority.</w:t>
      </w:r>
    </w:p>
    <w:p w14:paraId="28AF779B" w14:textId="6F2341B5" w:rsidR="00B66F43" w:rsidRPr="00B66F43" w:rsidRDefault="00B66F43" w:rsidP="00431F6F">
      <w:pPr>
        <w:pStyle w:val="Heading4bold"/>
      </w:pPr>
      <w:r w:rsidRPr="00B66F43">
        <w:t xml:space="preserve">Group boundary </w:t>
      </w:r>
    </w:p>
    <w:p w14:paraId="6E8C39A4" w14:textId="77777777" w:rsidR="00B66F43" w:rsidRPr="00B66F43" w:rsidRDefault="00B66F43" w:rsidP="00B66F43">
      <w:pPr>
        <w:rPr>
          <w:rFonts w:ascii="Arial" w:hAnsi="Arial" w:cs="Arial"/>
        </w:rPr>
      </w:pPr>
      <w:r w:rsidRPr="00B66F43">
        <w:rPr>
          <w:rFonts w:ascii="Arial" w:hAnsi="Arial" w:cs="Arial"/>
        </w:rPr>
        <w:t xml:space="preserve">The GMCA has interests in a number of external companies either as a direct owner or in partnership with other organisations. The nature of these relationships has been </w:t>
      </w:r>
    </w:p>
    <w:p w14:paraId="148C3B99" w14:textId="77777777" w:rsidR="00B66F43" w:rsidRPr="00B66F43" w:rsidRDefault="00B66F43" w:rsidP="00B66F43">
      <w:pPr>
        <w:rPr>
          <w:rFonts w:ascii="Arial" w:hAnsi="Arial" w:cs="Arial"/>
        </w:rPr>
      </w:pPr>
      <w:r w:rsidRPr="00B66F43">
        <w:rPr>
          <w:rFonts w:ascii="Arial" w:hAnsi="Arial" w:cs="Arial"/>
        </w:rPr>
        <w:t xml:space="preserve">assessed under IFRS 11, IAS 27 and IAS 28 (Accounting for Joint Arrangements, </w:t>
      </w:r>
    </w:p>
    <w:p w14:paraId="62D7092A" w14:textId="77777777" w:rsidR="00B66F43" w:rsidRPr="00B66F43" w:rsidRDefault="00B66F43" w:rsidP="00B66F43">
      <w:pPr>
        <w:rPr>
          <w:rFonts w:ascii="Arial" w:hAnsi="Arial" w:cs="Arial"/>
        </w:rPr>
      </w:pPr>
      <w:r w:rsidRPr="00B66F43">
        <w:rPr>
          <w:rFonts w:ascii="Arial" w:hAnsi="Arial" w:cs="Arial"/>
        </w:rPr>
        <w:t xml:space="preserve">Subsidiaries and Associates) </w:t>
      </w:r>
    </w:p>
    <w:p w14:paraId="6E876D04" w14:textId="77777777" w:rsidR="00B66F43" w:rsidRPr="00B66F43" w:rsidRDefault="00B66F43" w:rsidP="00B66F43">
      <w:pPr>
        <w:rPr>
          <w:rFonts w:ascii="Arial" w:hAnsi="Arial" w:cs="Arial"/>
        </w:rPr>
      </w:pPr>
    </w:p>
    <w:p w14:paraId="5C6E2DB5" w14:textId="77777777" w:rsidR="00B66F43" w:rsidRPr="00B66F43" w:rsidRDefault="00B66F43" w:rsidP="00B66F43">
      <w:pPr>
        <w:rPr>
          <w:rFonts w:ascii="Arial" w:hAnsi="Arial" w:cs="Arial"/>
        </w:rPr>
      </w:pPr>
      <w:r w:rsidRPr="00B66F43">
        <w:rPr>
          <w:rFonts w:ascii="Arial" w:hAnsi="Arial" w:cs="Arial"/>
        </w:rPr>
        <w:t>These Accounts contain a set of group statements and supporting notes to reflect the nature and value of the Authorities’ interests in other entities. Where the Authority is considered to have control or significant influence over another entity, they are deemed to be within the group boundary and are assessed for inclusion in the group accounts.</w:t>
      </w:r>
    </w:p>
    <w:p w14:paraId="09DC7151" w14:textId="77777777" w:rsidR="00B66F43" w:rsidRPr="00B66F43" w:rsidRDefault="00B66F43" w:rsidP="00B66F43">
      <w:pPr>
        <w:rPr>
          <w:rFonts w:ascii="Arial" w:hAnsi="Arial" w:cs="Arial"/>
        </w:rPr>
      </w:pPr>
    </w:p>
    <w:p w14:paraId="7AB8EEC6" w14:textId="18AA6692" w:rsidR="00655E4C" w:rsidRDefault="00B66F43" w:rsidP="00B66F43">
      <w:pPr>
        <w:rPr>
          <w:rFonts w:ascii="Arial" w:hAnsi="Arial" w:cs="Arial"/>
        </w:rPr>
      </w:pPr>
      <w:r w:rsidRPr="00B66F43">
        <w:rPr>
          <w:rFonts w:ascii="Arial" w:hAnsi="Arial" w:cs="Arial"/>
        </w:rPr>
        <w:t>Consolidation of entities considered for inclusion in the group account is dependent on several factors, including the extent of the Authorities’ interest and power to influence and control, materiality, investment, and transparency; where these factors are not considered material those members of the Group have not been consolidated.</w:t>
      </w:r>
    </w:p>
    <w:p w14:paraId="5C2DA908" w14:textId="77777777" w:rsidR="00B66F43" w:rsidRPr="0007572B" w:rsidRDefault="00B66F43" w:rsidP="00B66F43">
      <w:pPr>
        <w:rPr>
          <w:rFonts w:ascii="Arial" w:hAnsi="Arial" w:cs="Arial"/>
        </w:rPr>
      </w:pPr>
    </w:p>
    <w:p w14:paraId="23AD0C08" w14:textId="77777777" w:rsidR="00655E4C" w:rsidRPr="0007572B" w:rsidRDefault="00655E4C" w:rsidP="00655E4C">
      <w:pPr>
        <w:pStyle w:val="Heading4bold"/>
      </w:pPr>
      <w:r w:rsidRPr="0007572B">
        <w:t>Group Accounts Considerations</w:t>
      </w:r>
    </w:p>
    <w:p w14:paraId="40B34A2D" w14:textId="77777777" w:rsidR="00655E4C" w:rsidRPr="0007572B" w:rsidRDefault="00655E4C" w:rsidP="00655E4C">
      <w:pPr>
        <w:pStyle w:val="Normal0"/>
        <w:autoSpaceDE w:val="0"/>
        <w:autoSpaceDN w:val="0"/>
        <w:adjustRightInd w:val="0"/>
        <w:spacing w:line="240" w:lineRule="auto"/>
        <w:rPr>
          <w:rFonts w:ascii="Arial" w:hAnsi="Arial" w:cs="Arial"/>
          <w:sz w:val="24"/>
          <w:szCs w:val="24"/>
        </w:rPr>
      </w:pPr>
      <w:r w:rsidRPr="0007572B">
        <w:rPr>
          <w:rFonts w:ascii="Arial" w:hAnsi="Arial" w:cs="Arial"/>
          <w:sz w:val="24"/>
          <w:szCs w:val="24"/>
        </w:rPr>
        <w:t xml:space="preserve">A review of the entities related to the Authority in </w:t>
      </w:r>
      <w:r>
        <w:rPr>
          <w:rFonts w:ascii="Arial" w:hAnsi="Arial" w:cs="Arial"/>
          <w:sz w:val="24"/>
          <w:szCs w:val="24"/>
        </w:rPr>
        <w:t>2021/22</w:t>
      </w:r>
      <w:r w:rsidRPr="0007572B">
        <w:rPr>
          <w:rFonts w:ascii="Arial" w:hAnsi="Arial" w:cs="Arial"/>
          <w:sz w:val="24"/>
          <w:szCs w:val="24"/>
        </w:rPr>
        <w:t xml:space="preserve"> has taken place and the conclusions are provided below:</w:t>
      </w:r>
    </w:p>
    <w:p w14:paraId="39316DD3" w14:textId="77777777" w:rsidR="00655E4C" w:rsidRPr="0007572B" w:rsidRDefault="00655E4C" w:rsidP="00655E4C">
      <w:pPr>
        <w:pStyle w:val="Normal0"/>
        <w:autoSpaceDE w:val="0"/>
        <w:autoSpaceDN w:val="0"/>
        <w:adjustRightInd w:val="0"/>
        <w:spacing w:line="240" w:lineRule="auto"/>
        <w:rPr>
          <w:rFonts w:ascii="Arial" w:hAnsi="Arial" w:cs="Arial"/>
          <w:b/>
          <w:sz w:val="24"/>
          <w:szCs w:val="24"/>
        </w:rPr>
      </w:pPr>
    </w:p>
    <w:p w14:paraId="384F0A73" w14:textId="77777777" w:rsidR="00655E4C" w:rsidRPr="0007572B" w:rsidRDefault="00655E4C" w:rsidP="00655E4C">
      <w:pPr>
        <w:pStyle w:val="Heading4bold"/>
      </w:pPr>
      <w:r w:rsidRPr="0007572B">
        <w:t>Chief Constable of Greater Manchester Police (GMP)</w:t>
      </w:r>
    </w:p>
    <w:p w14:paraId="4B50AC9A" w14:textId="77777777" w:rsidR="00655E4C" w:rsidRPr="0007572B" w:rsidRDefault="00655E4C" w:rsidP="00655E4C">
      <w:pPr>
        <w:pStyle w:val="Normal0"/>
        <w:autoSpaceDE w:val="0"/>
        <w:autoSpaceDN w:val="0"/>
        <w:adjustRightInd w:val="0"/>
        <w:spacing w:line="240" w:lineRule="auto"/>
        <w:rPr>
          <w:rFonts w:ascii="Arial" w:hAnsi="Arial" w:cs="Arial"/>
          <w:sz w:val="24"/>
          <w:szCs w:val="24"/>
        </w:rPr>
      </w:pPr>
      <w:r w:rsidRPr="0007572B">
        <w:rPr>
          <w:rFonts w:ascii="Arial" w:hAnsi="Arial" w:cs="Arial"/>
          <w:b/>
          <w:sz w:val="24"/>
          <w:szCs w:val="24"/>
        </w:rPr>
        <w:t>GMP is included</w:t>
      </w:r>
      <w:r w:rsidRPr="0007572B">
        <w:rPr>
          <w:rFonts w:ascii="Arial" w:hAnsi="Arial" w:cs="Arial"/>
          <w:sz w:val="24"/>
          <w:szCs w:val="24"/>
        </w:rPr>
        <w:t xml:space="preserve"> in the Authority’s group accounts from 8 May 2017. The Mayor is responsible for the formal oversight of GMP, including provision of all funding, budget setting, performance scrutiny and strategic policy development, and for ensuring GMP is run efficiently and effectively. Operational decision-making on day-to-day policing including the employment of police staff remains the responsibility of the Chief Constable.</w:t>
      </w:r>
    </w:p>
    <w:p w14:paraId="70FA6D14" w14:textId="77777777" w:rsidR="00655E4C" w:rsidRPr="0007572B" w:rsidRDefault="00655E4C" w:rsidP="00655E4C">
      <w:pPr>
        <w:pStyle w:val="Normal0"/>
        <w:autoSpaceDE w:val="0"/>
        <w:autoSpaceDN w:val="0"/>
        <w:adjustRightInd w:val="0"/>
        <w:spacing w:line="240" w:lineRule="auto"/>
        <w:rPr>
          <w:rFonts w:ascii="Arial" w:hAnsi="Arial" w:cs="Arial"/>
          <w:sz w:val="24"/>
          <w:szCs w:val="24"/>
        </w:rPr>
      </w:pPr>
    </w:p>
    <w:p w14:paraId="52379000" w14:textId="77777777" w:rsidR="00655E4C" w:rsidRPr="0007572B" w:rsidRDefault="00655E4C" w:rsidP="00655E4C">
      <w:pPr>
        <w:pStyle w:val="Normal0"/>
        <w:autoSpaceDE w:val="0"/>
        <w:autoSpaceDN w:val="0"/>
        <w:adjustRightInd w:val="0"/>
        <w:spacing w:line="240" w:lineRule="auto"/>
        <w:rPr>
          <w:rFonts w:ascii="Arial" w:hAnsi="Arial" w:cs="Arial"/>
          <w:sz w:val="24"/>
          <w:szCs w:val="24"/>
        </w:rPr>
      </w:pPr>
      <w:r w:rsidRPr="0007572B">
        <w:rPr>
          <w:rFonts w:ascii="Arial" w:hAnsi="Arial" w:cs="Arial"/>
          <w:sz w:val="24"/>
          <w:szCs w:val="24"/>
        </w:rPr>
        <w:t xml:space="preserve">Under the legislative framework and local arrangements, the Authority under sole instruction from the Mayor, is responsible for the finances of the Mayoral Police Fund including assets, </w:t>
      </w:r>
      <w:proofErr w:type="gramStart"/>
      <w:r w:rsidRPr="0007572B">
        <w:rPr>
          <w:rFonts w:ascii="Arial" w:hAnsi="Arial" w:cs="Arial"/>
          <w:sz w:val="24"/>
          <w:szCs w:val="24"/>
        </w:rPr>
        <w:t>liabilities</w:t>
      </w:r>
      <w:proofErr w:type="gramEnd"/>
      <w:r w:rsidRPr="0007572B">
        <w:rPr>
          <w:rFonts w:ascii="Arial" w:hAnsi="Arial" w:cs="Arial"/>
          <w:sz w:val="24"/>
          <w:szCs w:val="24"/>
        </w:rPr>
        <w:t xml:space="preserve"> and reserves. The Authority has responsibility for </w:t>
      </w:r>
      <w:proofErr w:type="gramStart"/>
      <w:r w:rsidRPr="0007572B">
        <w:rPr>
          <w:rFonts w:ascii="Arial" w:hAnsi="Arial" w:cs="Arial"/>
          <w:sz w:val="24"/>
          <w:szCs w:val="24"/>
        </w:rPr>
        <w:t>entering into</w:t>
      </w:r>
      <w:proofErr w:type="gramEnd"/>
      <w:r w:rsidRPr="0007572B">
        <w:rPr>
          <w:rFonts w:ascii="Arial" w:hAnsi="Arial" w:cs="Arial"/>
          <w:sz w:val="24"/>
          <w:szCs w:val="24"/>
        </w:rPr>
        <w:t xml:space="preserve"> contracts and establishing the contractual framework under which the Chief Constable’s officers and staff operate. The Authority receives all income and funding and makes all the payments for the policing activity from the Mayoral Police Fund. Details of the Mayoral Police Fund are disclosed in the notes to the accounts.</w:t>
      </w:r>
    </w:p>
    <w:p w14:paraId="389C3408" w14:textId="77777777" w:rsidR="00655E4C" w:rsidRPr="0007572B" w:rsidRDefault="00655E4C" w:rsidP="00655E4C">
      <w:pPr>
        <w:pStyle w:val="Normal0"/>
        <w:autoSpaceDE w:val="0"/>
        <w:autoSpaceDN w:val="0"/>
        <w:adjustRightInd w:val="0"/>
        <w:spacing w:line="240" w:lineRule="auto"/>
        <w:rPr>
          <w:rFonts w:ascii="Arial" w:hAnsi="Arial" w:cs="Arial"/>
          <w:sz w:val="24"/>
          <w:szCs w:val="24"/>
        </w:rPr>
      </w:pPr>
    </w:p>
    <w:p w14:paraId="5B84DD30" w14:textId="77777777" w:rsidR="00655E4C" w:rsidRPr="0007572B" w:rsidRDefault="00655E4C" w:rsidP="00655E4C">
      <w:pPr>
        <w:pStyle w:val="Heading4bold"/>
      </w:pPr>
      <w:r w:rsidRPr="0007572B">
        <w:t>Transport for Greater Manchester (TfGM)</w:t>
      </w:r>
    </w:p>
    <w:p w14:paraId="132662D1" w14:textId="426EDD2A" w:rsidR="00655E4C" w:rsidRPr="0007572B" w:rsidRDefault="00655E4C" w:rsidP="00655E4C">
      <w:pPr>
        <w:pStyle w:val="Normal0"/>
        <w:autoSpaceDE w:val="0"/>
        <w:autoSpaceDN w:val="0"/>
        <w:adjustRightInd w:val="0"/>
        <w:spacing w:line="240" w:lineRule="auto"/>
        <w:rPr>
          <w:rFonts w:ascii="Arial" w:hAnsi="Arial" w:cs="Arial"/>
          <w:sz w:val="24"/>
          <w:szCs w:val="24"/>
        </w:rPr>
      </w:pPr>
      <w:r w:rsidRPr="0007572B">
        <w:rPr>
          <w:rFonts w:ascii="Arial" w:hAnsi="Arial" w:cs="Arial"/>
          <w:b/>
          <w:sz w:val="24"/>
          <w:szCs w:val="24"/>
        </w:rPr>
        <w:t>TfGM will continue to be included</w:t>
      </w:r>
      <w:r w:rsidRPr="0007572B">
        <w:rPr>
          <w:rFonts w:ascii="Arial" w:hAnsi="Arial" w:cs="Arial"/>
          <w:sz w:val="24"/>
          <w:szCs w:val="24"/>
        </w:rPr>
        <w:t xml:space="preserve"> in the Authority’s group accounts. The Authority and/or the Mayor sets local public transport policy and is responsible for deciding how funds are spent on supporting and improving </w:t>
      </w:r>
      <w:r w:rsidR="00336C9F">
        <w:rPr>
          <w:rFonts w:ascii="Arial" w:hAnsi="Arial" w:cs="Arial"/>
          <w:sz w:val="24"/>
          <w:szCs w:val="24"/>
        </w:rPr>
        <w:t>GM</w:t>
      </w:r>
      <w:r w:rsidRPr="0007572B">
        <w:rPr>
          <w:rFonts w:ascii="Arial" w:hAnsi="Arial" w:cs="Arial"/>
          <w:sz w:val="24"/>
          <w:szCs w:val="24"/>
        </w:rPr>
        <w:t xml:space="preserve">’s public transport network. The decisions of the Authority and/or the Mayor are implemented by TfGM and TfGM is responsible for implementing the policies of the Authority. TfGM’s net expenditure after </w:t>
      </w:r>
      <w:proofErr w:type="gramStart"/>
      <w:r w:rsidRPr="0007572B">
        <w:rPr>
          <w:rFonts w:ascii="Arial" w:hAnsi="Arial" w:cs="Arial"/>
          <w:sz w:val="24"/>
          <w:szCs w:val="24"/>
        </w:rPr>
        <w:t>taking into account</w:t>
      </w:r>
      <w:proofErr w:type="gramEnd"/>
      <w:r w:rsidRPr="0007572B">
        <w:rPr>
          <w:rFonts w:ascii="Arial" w:hAnsi="Arial" w:cs="Arial"/>
          <w:sz w:val="24"/>
          <w:szCs w:val="24"/>
        </w:rPr>
        <w:t xml:space="preserve"> all sources of income and expenditure is financed by way of a Revenue Grant from the Authority. TfGM’s corporate objectives are derived from the </w:t>
      </w:r>
      <w:r w:rsidRPr="0007572B">
        <w:rPr>
          <w:rFonts w:ascii="Arial" w:hAnsi="Arial" w:cs="Arial"/>
          <w:sz w:val="24"/>
          <w:szCs w:val="24"/>
        </w:rPr>
        <w:lastRenderedPageBreak/>
        <w:t>Authority’s policy priorities, stakeholder consultation and its principal statutory obligations. Strategic objectives and targets are set out in the Authority/TfGM Business and Performance Plan.</w:t>
      </w:r>
    </w:p>
    <w:p w14:paraId="42A9A060" w14:textId="77777777" w:rsidR="00655E4C" w:rsidRPr="0007572B" w:rsidRDefault="00655E4C" w:rsidP="00655E4C">
      <w:pPr>
        <w:pStyle w:val="Normal0"/>
        <w:autoSpaceDE w:val="0"/>
        <w:autoSpaceDN w:val="0"/>
        <w:adjustRightInd w:val="0"/>
        <w:spacing w:line="240" w:lineRule="auto"/>
        <w:rPr>
          <w:rFonts w:ascii="Arial" w:hAnsi="Arial" w:cs="Arial"/>
          <w:sz w:val="24"/>
          <w:szCs w:val="24"/>
        </w:rPr>
      </w:pPr>
    </w:p>
    <w:p w14:paraId="007A626A" w14:textId="77777777" w:rsidR="00655E4C" w:rsidRPr="0007572B" w:rsidRDefault="00655E4C" w:rsidP="00655E4C">
      <w:pPr>
        <w:pStyle w:val="Normal0"/>
        <w:autoSpaceDE w:val="0"/>
        <w:autoSpaceDN w:val="0"/>
        <w:adjustRightInd w:val="0"/>
        <w:spacing w:line="240" w:lineRule="auto"/>
        <w:rPr>
          <w:rFonts w:ascii="Arial" w:hAnsi="Arial" w:cs="Arial"/>
          <w:sz w:val="24"/>
          <w:szCs w:val="24"/>
        </w:rPr>
      </w:pPr>
      <w:r w:rsidRPr="0007572B">
        <w:rPr>
          <w:rFonts w:ascii="Arial" w:hAnsi="Arial" w:cs="Arial"/>
          <w:sz w:val="24"/>
          <w:szCs w:val="24"/>
        </w:rPr>
        <w:t>For information, details of transactions with TfGM will be included within the related parties note.</w:t>
      </w:r>
    </w:p>
    <w:p w14:paraId="721E2052" w14:textId="77777777" w:rsidR="00655E4C" w:rsidRPr="0007572B" w:rsidRDefault="00655E4C" w:rsidP="00655E4C">
      <w:pPr>
        <w:pStyle w:val="Normal0"/>
        <w:autoSpaceDE w:val="0"/>
        <w:autoSpaceDN w:val="0"/>
        <w:adjustRightInd w:val="0"/>
        <w:spacing w:line="240" w:lineRule="auto"/>
        <w:rPr>
          <w:rFonts w:ascii="Arial" w:hAnsi="Arial" w:cs="Arial"/>
          <w:sz w:val="24"/>
          <w:szCs w:val="24"/>
        </w:rPr>
      </w:pPr>
    </w:p>
    <w:p w14:paraId="08CAE341" w14:textId="77777777" w:rsidR="00655E4C" w:rsidRPr="0007572B" w:rsidRDefault="00655E4C" w:rsidP="00655E4C">
      <w:pPr>
        <w:pStyle w:val="Heading4bold"/>
      </w:pPr>
      <w:r w:rsidRPr="000A0695">
        <w:t>Greater Manchester Fund of Funds Limited Partnership (FoFLP</w:t>
      </w:r>
      <w:r w:rsidRPr="0007572B">
        <w:t>)</w:t>
      </w:r>
    </w:p>
    <w:p w14:paraId="6A7CDE32" w14:textId="0EE93468" w:rsidR="00655E4C" w:rsidRPr="0007572B" w:rsidRDefault="00655E4C" w:rsidP="00655E4C">
      <w:pPr>
        <w:pStyle w:val="Normal0"/>
        <w:autoSpaceDE w:val="0"/>
        <w:autoSpaceDN w:val="0"/>
        <w:adjustRightInd w:val="0"/>
        <w:spacing w:line="240" w:lineRule="auto"/>
        <w:rPr>
          <w:rFonts w:ascii="Arial" w:hAnsi="Arial" w:cs="Arial"/>
          <w:sz w:val="24"/>
          <w:szCs w:val="24"/>
        </w:rPr>
      </w:pPr>
      <w:r w:rsidRPr="0007572B">
        <w:rPr>
          <w:rFonts w:ascii="Arial" w:hAnsi="Arial" w:cs="Arial"/>
          <w:sz w:val="24"/>
          <w:szCs w:val="24"/>
        </w:rPr>
        <w:t xml:space="preserve">In November 2016 the Authority established FoFLP to act as a holding fund for ERDF funding. </w:t>
      </w:r>
      <w:r w:rsidR="00B66F43" w:rsidRPr="00431F6F">
        <w:rPr>
          <w:rFonts w:ascii="Arial" w:hAnsi="Arial" w:cs="Arial"/>
          <w:sz w:val="24"/>
          <w:szCs w:val="24"/>
        </w:rPr>
        <w:t xml:space="preserve">The Company registration number is </w:t>
      </w:r>
      <w:r w:rsidR="00F765E7" w:rsidRPr="00F765E7">
        <w:rPr>
          <w:rFonts w:ascii="Arial" w:hAnsi="Arial" w:cs="Arial"/>
          <w:sz w:val="24"/>
          <w:szCs w:val="24"/>
        </w:rPr>
        <w:t>10482059</w:t>
      </w:r>
      <w:r w:rsidR="00B66F43">
        <w:rPr>
          <w:rFonts w:ascii="Arial" w:hAnsi="Arial" w:cs="Arial"/>
        </w:rPr>
        <w:t xml:space="preserve">. </w:t>
      </w:r>
      <w:r>
        <w:rPr>
          <w:rFonts w:ascii="Arial" w:hAnsi="Arial" w:cs="Arial"/>
          <w:sz w:val="24"/>
          <w:szCs w:val="24"/>
        </w:rPr>
        <w:t xml:space="preserve">As at 31 March 2022, the fund had drawn down £30m of ERDF </w:t>
      </w:r>
      <w:r w:rsidRPr="007C5045">
        <w:rPr>
          <w:rFonts w:ascii="Arial" w:hAnsi="Arial" w:cs="Arial"/>
          <w:sz w:val="24"/>
          <w:szCs w:val="24"/>
        </w:rPr>
        <w:t xml:space="preserve">funding from Department for Levelling Up, Housing and Communities, and £0.6m from the Authority. FoFLP invest in sub-funds that seek to support the shift towards a low carbon economy and for research and innovation workspace. The fund has a further £30m of ERDF funding awarded which can be drawn </w:t>
      </w:r>
      <w:r>
        <w:rPr>
          <w:rFonts w:ascii="Arial" w:hAnsi="Arial" w:cs="Arial"/>
          <w:sz w:val="24"/>
          <w:szCs w:val="24"/>
        </w:rPr>
        <w:t xml:space="preserve">down </w:t>
      </w:r>
      <w:r w:rsidRPr="007C5045">
        <w:rPr>
          <w:rFonts w:ascii="Arial" w:hAnsi="Arial" w:cs="Arial"/>
          <w:sz w:val="24"/>
          <w:szCs w:val="24"/>
        </w:rPr>
        <w:t xml:space="preserve">upon the achievement of certain milestones. On the grounds of materiality, </w:t>
      </w:r>
      <w:r w:rsidRPr="007C5045">
        <w:rPr>
          <w:rFonts w:ascii="Arial" w:hAnsi="Arial" w:cs="Arial"/>
          <w:b/>
          <w:bCs/>
          <w:sz w:val="24"/>
          <w:szCs w:val="24"/>
        </w:rPr>
        <w:t>FoFLP will continue to be included</w:t>
      </w:r>
      <w:r w:rsidRPr="007C5045">
        <w:rPr>
          <w:rFonts w:ascii="Arial" w:hAnsi="Arial" w:cs="Arial"/>
          <w:sz w:val="24"/>
          <w:szCs w:val="24"/>
        </w:rPr>
        <w:t xml:space="preserve"> in the group accounts.</w:t>
      </w:r>
    </w:p>
    <w:p w14:paraId="53651D19" w14:textId="77777777" w:rsidR="00655E4C" w:rsidRPr="0007572B" w:rsidRDefault="00655E4C" w:rsidP="00655E4C">
      <w:pPr>
        <w:pStyle w:val="Normal0"/>
        <w:autoSpaceDE w:val="0"/>
        <w:autoSpaceDN w:val="0"/>
        <w:adjustRightInd w:val="0"/>
        <w:spacing w:line="240" w:lineRule="auto"/>
        <w:rPr>
          <w:rFonts w:ascii="Arial" w:hAnsi="Arial" w:cs="Arial"/>
          <w:sz w:val="24"/>
          <w:szCs w:val="24"/>
        </w:rPr>
      </w:pPr>
    </w:p>
    <w:p w14:paraId="691A285D" w14:textId="77777777" w:rsidR="00655E4C" w:rsidRPr="0007572B" w:rsidRDefault="00655E4C" w:rsidP="00655E4C">
      <w:pPr>
        <w:pStyle w:val="Heading4bold"/>
      </w:pPr>
      <w:r w:rsidRPr="0007572B">
        <w:t>NW Evergreen Holdings Limited Partnership (NWEH)</w:t>
      </w:r>
    </w:p>
    <w:p w14:paraId="2B8B6149" w14:textId="01BAAF16" w:rsidR="00655E4C" w:rsidRPr="0007572B" w:rsidRDefault="00655E4C" w:rsidP="00655E4C">
      <w:pPr>
        <w:pStyle w:val="Normal0"/>
        <w:autoSpaceDE w:val="0"/>
        <w:autoSpaceDN w:val="0"/>
        <w:adjustRightInd w:val="0"/>
        <w:spacing w:line="240" w:lineRule="auto"/>
        <w:rPr>
          <w:rFonts w:ascii="Arial" w:hAnsi="Arial" w:cs="Arial"/>
          <w:sz w:val="24"/>
          <w:szCs w:val="24"/>
        </w:rPr>
      </w:pPr>
      <w:r w:rsidRPr="0007572B">
        <w:rPr>
          <w:rFonts w:ascii="Arial" w:hAnsi="Arial" w:cs="Arial"/>
          <w:sz w:val="24"/>
          <w:szCs w:val="24"/>
        </w:rPr>
        <w:t xml:space="preserve">In September 2016 the Authority established NWEH to act as a holding fund for </w:t>
      </w:r>
      <w:r>
        <w:rPr>
          <w:rFonts w:ascii="Arial" w:hAnsi="Arial" w:cs="Arial"/>
          <w:sz w:val="24"/>
          <w:szCs w:val="24"/>
        </w:rPr>
        <w:t xml:space="preserve">the ERDF funding attributed to the North West Evergreen Fund, an urban development </w:t>
      </w:r>
      <w:r w:rsidRPr="007C5045">
        <w:rPr>
          <w:rFonts w:ascii="Arial" w:hAnsi="Arial" w:cs="Arial"/>
          <w:sz w:val="24"/>
          <w:szCs w:val="24"/>
        </w:rPr>
        <w:t xml:space="preserve">fund established under the 2007-13 European Operational Programme. </w:t>
      </w:r>
      <w:r w:rsidR="00B66F43" w:rsidRPr="00B66F43">
        <w:rPr>
          <w:rFonts w:ascii="Arial" w:hAnsi="Arial" w:cs="Arial"/>
          <w:sz w:val="24"/>
          <w:szCs w:val="24"/>
        </w:rPr>
        <w:t xml:space="preserve">The Company registration number is LP017585. </w:t>
      </w:r>
      <w:r w:rsidRPr="007C5045">
        <w:rPr>
          <w:rFonts w:ascii="Arial" w:hAnsi="Arial" w:cs="Arial"/>
          <w:sz w:val="24"/>
          <w:szCs w:val="24"/>
        </w:rPr>
        <w:t>NWEH received over £60m of funding from ERDF and matched funding sources and invest</w:t>
      </w:r>
      <w:r>
        <w:rPr>
          <w:rFonts w:ascii="Arial" w:hAnsi="Arial" w:cs="Arial"/>
          <w:sz w:val="24"/>
          <w:szCs w:val="24"/>
        </w:rPr>
        <w:t>s</w:t>
      </w:r>
      <w:r w:rsidRPr="007C5045">
        <w:rPr>
          <w:rFonts w:ascii="Arial" w:hAnsi="Arial" w:cs="Arial"/>
          <w:sz w:val="24"/>
          <w:szCs w:val="24"/>
        </w:rPr>
        <w:t xml:space="preserve"> </w:t>
      </w:r>
      <w:r>
        <w:rPr>
          <w:rFonts w:ascii="Arial" w:hAnsi="Arial" w:cs="Arial"/>
          <w:sz w:val="24"/>
          <w:szCs w:val="24"/>
        </w:rPr>
        <w:t xml:space="preserve">via its </w:t>
      </w:r>
      <w:r w:rsidRPr="007C5045">
        <w:rPr>
          <w:rFonts w:ascii="Arial" w:hAnsi="Arial" w:cs="Arial"/>
          <w:sz w:val="24"/>
          <w:szCs w:val="24"/>
        </w:rPr>
        <w:t>sub</w:t>
      </w:r>
      <w:r>
        <w:rPr>
          <w:rFonts w:ascii="Arial" w:hAnsi="Arial" w:cs="Arial"/>
          <w:sz w:val="24"/>
          <w:szCs w:val="24"/>
        </w:rPr>
        <w:t>-</w:t>
      </w:r>
      <w:r w:rsidRPr="007C5045">
        <w:rPr>
          <w:rFonts w:ascii="Arial" w:hAnsi="Arial" w:cs="Arial"/>
          <w:sz w:val="24"/>
          <w:szCs w:val="24"/>
        </w:rPr>
        <w:t xml:space="preserve">fund </w:t>
      </w:r>
      <w:r>
        <w:rPr>
          <w:rFonts w:ascii="Arial" w:hAnsi="Arial" w:cs="Arial"/>
          <w:sz w:val="24"/>
          <w:szCs w:val="24"/>
        </w:rPr>
        <w:t xml:space="preserve">in commercial development projects in the North West of England. </w:t>
      </w:r>
      <w:r w:rsidRPr="0007572B">
        <w:rPr>
          <w:rFonts w:ascii="Arial" w:hAnsi="Arial" w:cs="Arial"/>
          <w:b/>
          <w:sz w:val="24"/>
          <w:szCs w:val="24"/>
        </w:rPr>
        <w:t>NWEH will continue to be included</w:t>
      </w:r>
      <w:r w:rsidRPr="0007572B">
        <w:rPr>
          <w:rFonts w:ascii="Arial" w:hAnsi="Arial" w:cs="Arial"/>
          <w:sz w:val="24"/>
          <w:szCs w:val="24"/>
        </w:rPr>
        <w:t xml:space="preserve"> in the Authority’s group accounts.</w:t>
      </w:r>
    </w:p>
    <w:p w14:paraId="1D1FFDC5" w14:textId="16E856F7" w:rsidR="00655E4C" w:rsidRDefault="00655E4C" w:rsidP="00655E4C">
      <w:pPr>
        <w:pStyle w:val="Normal0"/>
        <w:autoSpaceDE w:val="0"/>
        <w:autoSpaceDN w:val="0"/>
        <w:adjustRightInd w:val="0"/>
        <w:spacing w:line="240" w:lineRule="auto"/>
        <w:rPr>
          <w:rFonts w:ascii="Arial" w:hAnsi="Arial" w:cs="Arial"/>
          <w:sz w:val="24"/>
          <w:szCs w:val="24"/>
        </w:rPr>
      </w:pPr>
    </w:p>
    <w:p w14:paraId="231FF18F" w14:textId="3F06237A" w:rsidR="00FE41DD" w:rsidRPr="005B26A1" w:rsidRDefault="00FE41DD" w:rsidP="005B26A1">
      <w:pPr>
        <w:pStyle w:val="Heading4bold"/>
      </w:pPr>
      <w:r w:rsidRPr="00431F6F">
        <w:t>Greater Manchester Evergreen 2 Limited Partnership</w:t>
      </w:r>
      <w:r w:rsidR="00123E80">
        <w:t xml:space="preserve"> (</w:t>
      </w:r>
      <w:r w:rsidR="00D361AD">
        <w:t>GM</w:t>
      </w:r>
      <w:r w:rsidR="00123E80">
        <w:t>E2LP)</w:t>
      </w:r>
    </w:p>
    <w:p w14:paraId="6A5D0683" w14:textId="0EC43616" w:rsidR="00FE41DD" w:rsidRDefault="00FE41DD" w:rsidP="00FE41DD">
      <w:pPr>
        <w:pStyle w:val="Normal0"/>
        <w:autoSpaceDE w:val="0"/>
        <w:autoSpaceDN w:val="0"/>
        <w:adjustRightInd w:val="0"/>
        <w:spacing w:line="240" w:lineRule="auto"/>
        <w:rPr>
          <w:rFonts w:ascii="Arial" w:hAnsi="Arial" w:cs="Arial"/>
          <w:sz w:val="24"/>
          <w:szCs w:val="24"/>
        </w:rPr>
      </w:pPr>
      <w:r w:rsidRPr="00FE41DD">
        <w:rPr>
          <w:rFonts w:ascii="Arial" w:hAnsi="Arial" w:cs="Arial"/>
          <w:sz w:val="24"/>
          <w:szCs w:val="24"/>
        </w:rPr>
        <w:t xml:space="preserve">Evergreen 2 was incorporated on 20 February 2017 under England's 2014-20 </w:t>
      </w:r>
      <w:r w:rsidR="005B26A1">
        <w:rPr>
          <w:rFonts w:ascii="Arial" w:hAnsi="Arial" w:cs="Arial"/>
          <w:sz w:val="24"/>
          <w:szCs w:val="24"/>
        </w:rPr>
        <w:t xml:space="preserve">ERDF </w:t>
      </w:r>
      <w:r w:rsidRPr="00FE41DD">
        <w:rPr>
          <w:rFonts w:ascii="Arial" w:hAnsi="Arial" w:cs="Arial"/>
          <w:sz w:val="24"/>
          <w:szCs w:val="24"/>
        </w:rPr>
        <w:t xml:space="preserve">Operational Programme and is solely a Greater Manchester fund. The Company registration number is LP017867. It has been decided that the </w:t>
      </w:r>
      <w:r w:rsidRPr="00431F6F">
        <w:rPr>
          <w:rFonts w:ascii="Arial" w:hAnsi="Arial" w:cs="Arial"/>
          <w:b/>
          <w:bCs/>
          <w:sz w:val="24"/>
          <w:szCs w:val="24"/>
        </w:rPr>
        <w:t>GM Evergreen 2 LP will be Included</w:t>
      </w:r>
      <w:r w:rsidRPr="00FE41DD">
        <w:rPr>
          <w:rFonts w:ascii="Arial" w:hAnsi="Arial" w:cs="Arial"/>
          <w:sz w:val="24"/>
          <w:szCs w:val="24"/>
        </w:rPr>
        <w:t xml:space="preserve"> in the group accounts for the first time this year.</w:t>
      </w:r>
    </w:p>
    <w:p w14:paraId="3C14128F" w14:textId="7E885FAD" w:rsidR="00FE41DD" w:rsidRDefault="00FE41DD" w:rsidP="00FE41DD">
      <w:pPr>
        <w:pStyle w:val="Normal0"/>
        <w:autoSpaceDE w:val="0"/>
        <w:autoSpaceDN w:val="0"/>
        <w:adjustRightInd w:val="0"/>
        <w:spacing w:line="240" w:lineRule="auto"/>
        <w:rPr>
          <w:rFonts w:ascii="Arial" w:hAnsi="Arial" w:cs="Arial"/>
          <w:sz w:val="24"/>
          <w:szCs w:val="24"/>
        </w:rPr>
      </w:pPr>
    </w:p>
    <w:p w14:paraId="7A0558FA" w14:textId="12646601" w:rsidR="00FE41DD" w:rsidRPr="00FE41DD" w:rsidRDefault="00FE41DD" w:rsidP="00431F6F">
      <w:pPr>
        <w:pStyle w:val="Heading4bold"/>
      </w:pPr>
      <w:r w:rsidRPr="00FE41DD">
        <w:t>Greater Manchester Low Carbon UDF Limited Partnership</w:t>
      </w:r>
      <w:r w:rsidR="00123E80">
        <w:t xml:space="preserve"> </w:t>
      </w:r>
    </w:p>
    <w:p w14:paraId="50CB5F31" w14:textId="339F3466" w:rsidR="00FE41DD" w:rsidRDefault="00FE41DD" w:rsidP="00FE41DD">
      <w:pPr>
        <w:pStyle w:val="Normal0"/>
        <w:autoSpaceDE w:val="0"/>
        <w:autoSpaceDN w:val="0"/>
        <w:adjustRightInd w:val="0"/>
        <w:spacing w:line="240" w:lineRule="auto"/>
        <w:rPr>
          <w:rFonts w:ascii="Arial" w:hAnsi="Arial" w:cs="Arial"/>
          <w:sz w:val="24"/>
          <w:szCs w:val="24"/>
        </w:rPr>
      </w:pPr>
      <w:r w:rsidRPr="00FE41DD">
        <w:rPr>
          <w:rFonts w:ascii="Arial" w:hAnsi="Arial" w:cs="Arial"/>
          <w:sz w:val="24"/>
          <w:szCs w:val="24"/>
        </w:rPr>
        <w:t xml:space="preserve">The GM Low Carbon UDF LP was incorporated on 20th February 2017, Company registration number LP017868. The GM FOF LP is supplying a loan facility of £15m to the GM Low Carbon UDF LP under a Contingent Loan Facility. The GM Low Carbon UDF LP is to use the funds to increase small scale renewable energy schemes. On the grounds of immateriality, it has been decided that the </w:t>
      </w:r>
      <w:r w:rsidRPr="00431F6F">
        <w:rPr>
          <w:rFonts w:ascii="Arial" w:hAnsi="Arial" w:cs="Arial"/>
          <w:b/>
          <w:bCs/>
          <w:sz w:val="24"/>
          <w:szCs w:val="24"/>
        </w:rPr>
        <w:t>GM Low Carbon UDF LP will not be Included</w:t>
      </w:r>
      <w:r w:rsidRPr="00FE41DD">
        <w:rPr>
          <w:rFonts w:ascii="Arial" w:hAnsi="Arial" w:cs="Arial"/>
          <w:sz w:val="24"/>
          <w:szCs w:val="24"/>
        </w:rPr>
        <w:t xml:space="preserve"> in the group accounts</w:t>
      </w:r>
    </w:p>
    <w:p w14:paraId="7DA9F2A9" w14:textId="1C9BDF53" w:rsidR="00990F1E" w:rsidRDefault="00990F1E" w:rsidP="00FE41DD">
      <w:pPr>
        <w:pStyle w:val="Normal0"/>
        <w:autoSpaceDE w:val="0"/>
        <w:autoSpaceDN w:val="0"/>
        <w:adjustRightInd w:val="0"/>
        <w:spacing w:line="240" w:lineRule="auto"/>
        <w:rPr>
          <w:rFonts w:ascii="Arial" w:hAnsi="Arial" w:cs="Arial"/>
          <w:sz w:val="24"/>
          <w:szCs w:val="24"/>
        </w:rPr>
      </w:pPr>
    </w:p>
    <w:p w14:paraId="22D337F0" w14:textId="0E2AA617" w:rsidR="00990F1E" w:rsidRDefault="00990F1E" w:rsidP="00FE41DD">
      <w:pPr>
        <w:pStyle w:val="Normal0"/>
        <w:autoSpaceDE w:val="0"/>
        <w:autoSpaceDN w:val="0"/>
        <w:adjustRightInd w:val="0"/>
        <w:spacing w:line="240" w:lineRule="auto"/>
        <w:rPr>
          <w:rFonts w:ascii="Arial" w:hAnsi="Arial" w:cs="Arial"/>
          <w:sz w:val="24"/>
          <w:szCs w:val="24"/>
        </w:rPr>
      </w:pPr>
    </w:p>
    <w:p w14:paraId="15327BA0" w14:textId="1292F66B" w:rsidR="00990F1E" w:rsidRDefault="00990F1E" w:rsidP="00FE41DD">
      <w:pPr>
        <w:pStyle w:val="Normal0"/>
        <w:autoSpaceDE w:val="0"/>
        <w:autoSpaceDN w:val="0"/>
        <w:adjustRightInd w:val="0"/>
        <w:spacing w:line="240" w:lineRule="auto"/>
        <w:rPr>
          <w:rFonts w:ascii="Arial" w:hAnsi="Arial" w:cs="Arial"/>
          <w:sz w:val="24"/>
          <w:szCs w:val="24"/>
        </w:rPr>
      </w:pPr>
    </w:p>
    <w:p w14:paraId="2B042F68" w14:textId="70F27C86" w:rsidR="00990F1E" w:rsidRDefault="00990F1E" w:rsidP="00FE41DD">
      <w:pPr>
        <w:pStyle w:val="Normal0"/>
        <w:autoSpaceDE w:val="0"/>
        <w:autoSpaceDN w:val="0"/>
        <w:adjustRightInd w:val="0"/>
        <w:spacing w:line="240" w:lineRule="auto"/>
        <w:rPr>
          <w:rFonts w:ascii="Arial" w:hAnsi="Arial" w:cs="Arial"/>
          <w:sz w:val="24"/>
          <w:szCs w:val="24"/>
        </w:rPr>
      </w:pPr>
    </w:p>
    <w:p w14:paraId="21A008AF" w14:textId="77777777" w:rsidR="00990F1E" w:rsidRDefault="00990F1E" w:rsidP="00FE41DD">
      <w:pPr>
        <w:pStyle w:val="Normal0"/>
        <w:autoSpaceDE w:val="0"/>
        <w:autoSpaceDN w:val="0"/>
        <w:adjustRightInd w:val="0"/>
        <w:spacing w:line="240" w:lineRule="auto"/>
        <w:rPr>
          <w:rFonts w:ascii="Arial" w:hAnsi="Arial" w:cs="Arial"/>
          <w:sz w:val="24"/>
          <w:szCs w:val="24"/>
        </w:rPr>
      </w:pPr>
    </w:p>
    <w:p w14:paraId="725D7BBF" w14:textId="77777777" w:rsidR="00FE41DD" w:rsidRPr="0007572B" w:rsidRDefault="00FE41DD" w:rsidP="00FE41DD">
      <w:pPr>
        <w:pStyle w:val="Normal0"/>
        <w:autoSpaceDE w:val="0"/>
        <w:autoSpaceDN w:val="0"/>
        <w:adjustRightInd w:val="0"/>
        <w:spacing w:line="240" w:lineRule="auto"/>
        <w:rPr>
          <w:rFonts w:ascii="Arial" w:hAnsi="Arial" w:cs="Arial"/>
          <w:sz w:val="24"/>
          <w:szCs w:val="24"/>
        </w:rPr>
      </w:pPr>
    </w:p>
    <w:p w14:paraId="6F5736A5" w14:textId="77777777" w:rsidR="00655E4C" w:rsidRPr="00431F6F" w:rsidRDefault="00655E4C" w:rsidP="00655E4C">
      <w:pPr>
        <w:pStyle w:val="Heading4bold"/>
        <w:rPr>
          <w:b w:val="0"/>
          <w:bCs w:val="0"/>
        </w:rPr>
      </w:pPr>
      <w:r w:rsidRPr="0007572B">
        <w:lastRenderedPageBreak/>
        <w:t>NW Fire Control Company</w:t>
      </w:r>
    </w:p>
    <w:p w14:paraId="7FD84E1A" w14:textId="0E0E99DF" w:rsidR="00655E4C" w:rsidRPr="0007572B" w:rsidRDefault="00B66F43" w:rsidP="00655E4C">
      <w:pPr>
        <w:pStyle w:val="Normal0"/>
        <w:autoSpaceDE w:val="0"/>
        <w:autoSpaceDN w:val="0"/>
        <w:adjustRightInd w:val="0"/>
        <w:spacing w:line="240" w:lineRule="auto"/>
        <w:rPr>
          <w:rFonts w:ascii="Arial" w:hAnsi="Arial" w:cs="Arial"/>
          <w:sz w:val="24"/>
          <w:szCs w:val="24"/>
        </w:rPr>
      </w:pPr>
      <w:r>
        <w:rPr>
          <w:rFonts w:ascii="Arial" w:hAnsi="Arial" w:cs="Arial"/>
          <w:sz w:val="24"/>
          <w:szCs w:val="24"/>
        </w:rPr>
        <w:t>NW</w:t>
      </w:r>
      <w:r w:rsidRPr="00B66F43">
        <w:rPr>
          <w:rFonts w:ascii="Arial" w:hAnsi="Arial" w:cs="Arial"/>
          <w:sz w:val="24"/>
          <w:szCs w:val="24"/>
        </w:rPr>
        <w:t xml:space="preserve"> Fire Control Limited (NWFCC) is a Company limited by Guarantee with the responsibility for Fire and Rescue services mobilisation for the North West Region. The Company registration number is 06314891</w:t>
      </w:r>
      <w:r>
        <w:rPr>
          <w:rFonts w:ascii="Arial" w:hAnsi="Arial" w:cs="Arial"/>
          <w:sz w:val="24"/>
          <w:szCs w:val="24"/>
        </w:rPr>
        <w:t>.</w:t>
      </w:r>
      <w:r w:rsidR="00655E4C" w:rsidRPr="0007572B">
        <w:rPr>
          <w:rFonts w:ascii="Arial" w:hAnsi="Arial" w:cs="Arial"/>
          <w:sz w:val="24"/>
          <w:szCs w:val="24"/>
        </w:rPr>
        <w:t xml:space="preserve"> The company has four equal partners namely: </w:t>
      </w:r>
      <w:r w:rsidR="00336C9F">
        <w:rPr>
          <w:rFonts w:ascii="Arial" w:hAnsi="Arial" w:cs="Arial"/>
          <w:sz w:val="24"/>
          <w:szCs w:val="24"/>
        </w:rPr>
        <w:t>GMCA</w:t>
      </w:r>
      <w:r w:rsidR="00655E4C" w:rsidRPr="0007572B">
        <w:rPr>
          <w:rFonts w:ascii="Arial" w:hAnsi="Arial" w:cs="Arial"/>
          <w:sz w:val="24"/>
          <w:szCs w:val="24"/>
        </w:rPr>
        <w:t>, Cheshire, Cumbria County Council and Lancashire Fire and Rescue Authorities.</w:t>
      </w:r>
    </w:p>
    <w:p w14:paraId="28392685" w14:textId="77777777" w:rsidR="00655E4C" w:rsidRPr="0007572B" w:rsidRDefault="00655E4C" w:rsidP="00655E4C">
      <w:pPr>
        <w:pStyle w:val="Normal0"/>
        <w:autoSpaceDE w:val="0"/>
        <w:autoSpaceDN w:val="0"/>
        <w:adjustRightInd w:val="0"/>
        <w:spacing w:line="240" w:lineRule="auto"/>
        <w:rPr>
          <w:rFonts w:ascii="Arial" w:hAnsi="Arial" w:cs="Arial"/>
          <w:sz w:val="24"/>
          <w:szCs w:val="24"/>
        </w:rPr>
      </w:pPr>
    </w:p>
    <w:p w14:paraId="58C7EF69" w14:textId="77777777" w:rsidR="00FE41DD" w:rsidRPr="00FE41DD" w:rsidRDefault="00FE41DD" w:rsidP="00FE41DD">
      <w:pPr>
        <w:pStyle w:val="Normal0"/>
        <w:autoSpaceDE w:val="0"/>
        <w:autoSpaceDN w:val="0"/>
        <w:adjustRightInd w:val="0"/>
        <w:rPr>
          <w:rFonts w:ascii="Arial" w:eastAsia="Times New Roman" w:hAnsi="Arial" w:cs="Arial"/>
          <w:sz w:val="24"/>
          <w:szCs w:val="24"/>
          <w:lang w:val="en-GB"/>
        </w:rPr>
      </w:pPr>
      <w:r w:rsidRPr="00FE41DD">
        <w:rPr>
          <w:rFonts w:ascii="Arial" w:eastAsia="Times New Roman" w:hAnsi="Arial" w:cs="Arial"/>
          <w:sz w:val="24"/>
          <w:szCs w:val="24"/>
          <w:lang w:val="en-GB"/>
        </w:rPr>
        <w:t>NWFCC became operational during 2014/15 and it meets with the definition of a Joint Operation for group accounts purposes. The Company is governing by unanimous consent for all key decisions, with each member having equal voting rights. The liability of each member in the event of the company being wound up is limited and shall not exceed £1. Each member of the company has the right to appoint two directors, who are Councillors appointed to their respective FRAs. In 2014 all four services transferred their Control Room functions into the regionalised service provided by NW Fire Control Limited. The cost of the service is charged out to the four FRAs on an agreed pro rata basis set out in a Service Level Agreement.</w:t>
      </w:r>
    </w:p>
    <w:p w14:paraId="09388469" w14:textId="77777777" w:rsidR="00FE41DD" w:rsidRPr="00FE41DD" w:rsidRDefault="00FE41DD" w:rsidP="00FE41DD">
      <w:pPr>
        <w:pStyle w:val="Normal0"/>
        <w:autoSpaceDE w:val="0"/>
        <w:autoSpaceDN w:val="0"/>
        <w:adjustRightInd w:val="0"/>
        <w:rPr>
          <w:rFonts w:ascii="Arial" w:eastAsia="Times New Roman" w:hAnsi="Arial" w:cs="Arial"/>
          <w:sz w:val="24"/>
          <w:szCs w:val="24"/>
          <w:lang w:val="en-GB"/>
        </w:rPr>
      </w:pPr>
    </w:p>
    <w:p w14:paraId="583C6DE2" w14:textId="5CAC12CC" w:rsidR="00FE41DD" w:rsidRPr="00FE41DD" w:rsidRDefault="00FE41DD" w:rsidP="00FE41DD">
      <w:pPr>
        <w:pStyle w:val="Normal0"/>
        <w:autoSpaceDE w:val="0"/>
        <w:autoSpaceDN w:val="0"/>
        <w:adjustRightInd w:val="0"/>
        <w:rPr>
          <w:rFonts w:ascii="Arial" w:eastAsia="Times New Roman" w:hAnsi="Arial" w:cs="Arial"/>
          <w:sz w:val="24"/>
          <w:szCs w:val="24"/>
          <w:lang w:val="en-GB"/>
        </w:rPr>
      </w:pPr>
      <w:r w:rsidRPr="00FE41DD">
        <w:rPr>
          <w:rFonts w:ascii="Arial" w:eastAsia="Times New Roman" w:hAnsi="Arial" w:cs="Arial"/>
          <w:sz w:val="24"/>
          <w:szCs w:val="24"/>
          <w:lang w:val="en-GB"/>
        </w:rPr>
        <w:t xml:space="preserve">However, on the grounds of immateriality </w:t>
      </w:r>
      <w:r w:rsidRPr="00431F6F">
        <w:rPr>
          <w:rFonts w:ascii="Arial" w:eastAsia="Times New Roman" w:hAnsi="Arial" w:cs="Arial"/>
          <w:b/>
          <w:bCs/>
          <w:sz w:val="24"/>
          <w:szCs w:val="24"/>
          <w:lang w:val="en-GB"/>
        </w:rPr>
        <w:t>NWFCC will not be Included</w:t>
      </w:r>
      <w:r w:rsidRPr="00FE41DD">
        <w:rPr>
          <w:rFonts w:ascii="Arial" w:eastAsia="Times New Roman" w:hAnsi="Arial" w:cs="Arial"/>
          <w:sz w:val="24"/>
          <w:szCs w:val="24"/>
          <w:lang w:val="en-GB"/>
        </w:rPr>
        <w:t xml:space="preserve"> the group accounts</w:t>
      </w:r>
      <w:r w:rsidR="00CB4346">
        <w:rPr>
          <w:rFonts w:ascii="Arial" w:eastAsia="Times New Roman" w:hAnsi="Arial" w:cs="Arial"/>
          <w:sz w:val="24"/>
          <w:szCs w:val="24"/>
          <w:lang w:val="en-GB"/>
        </w:rPr>
        <w:t>.</w:t>
      </w:r>
    </w:p>
    <w:p w14:paraId="21506AB8" w14:textId="77777777" w:rsidR="00FE41DD" w:rsidRPr="00FE41DD" w:rsidRDefault="00FE41DD" w:rsidP="00FE41DD">
      <w:pPr>
        <w:pStyle w:val="Normal0"/>
        <w:autoSpaceDE w:val="0"/>
        <w:autoSpaceDN w:val="0"/>
        <w:adjustRightInd w:val="0"/>
        <w:rPr>
          <w:rFonts w:ascii="Arial" w:eastAsia="Times New Roman" w:hAnsi="Arial" w:cs="Arial"/>
          <w:sz w:val="24"/>
          <w:szCs w:val="24"/>
          <w:lang w:val="en-GB"/>
        </w:rPr>
      </w:pPr>
    </w:p>
    <w:p w14:paraId="65CBB7E1" w14:textId="7AB56EC5" w:rsidR="00FE41DD" w:rsidRPr="00523C48" w:rsidRDefault="00FE41DD" w:rsidP="00FE41DD">
      <w:pPr>
        <w:pStyle w:val="Normal0"/>
        <w:autoSpaceDE w:val="0"/>
        <w:autoSpaceDN w:val="0"/>
        <w:adjustRightInd w:val="0"/>
        <w:spacing w:line="240" w:lineRule="auto"/>
        <w:rPr>
          <w:rFonts w:ascii="Arial" w:eastAsia="Times New Roman" w:hAnsi="Arial" w:cs="Arial"/>
          <w:sz w:val="24"/>
          <w:szCs w:val="24"/>
          <w:lang w:val="en-GB"/>
        </w:rPr>
      </w:pPr>
      <w:r w:rsidRPr="00523C48">
        <w:rPr>
          <w:rFonts w:ascii="Arial" w:eastAsia="Times New Roman" w:hAnsi="Arial" w:cs="Arial"/>
          <w:sz w:val="24"/>
          <w:szCs w:val="24"/>
          <w:lang w:val="en-GB"/>
        </w:rPr>
        <w:t>For information, details of transactions with NWFCC will be included within the related parties note.</w:t>
      </w:r>
    </w:p>
    <w:p w14:paraId="711A2AE9" w14:textId="77777777" w:rsidR="00655E4C" w:rsidRPr="0007572B" w:rsidRDefault="00655E4C" w:rsidP="00655E4C">
      <w:pPr>
        <w:rPr>
          <w:rFonts w:ascii="Arial" w:eastAsiaTheme="minorHAnsi" w:hAnsi="Arial" w:cs="Arial"/>
          <w:b/>
          <w:lang w:val="en-US"/>
        </w:rPr>
      </w:pPr>
    </w:p>
    <w:p w14:paraId="13ED268E" w14:textId="77777777" w:rsidR="00655E4C" w:rsidRPr="0007572B" w:rsidRDefault="00655E4C" w:rsidP="00655E4C">
      <w:pPr>
        <w:pStyle w:val="Heading4bold"/>
      </w:pPr>
      <w:r w:rsidRPr="0007572B">
        <w:t>Greater Manchester Accessible Transport Limited (GMATL)</w:t>
      </w:r>
    </w:p>
    <w:p w14:paraId="0BECDD72" w14:textId="1D678476" w:rsidR="00655E4C" w:rsidRPr="0007572B" w:rsidRDefault="00655E4C" w:rsidP="00655E4C">
      <w:pPr>
        <w:pStyle w:val="Normal0"/>
        <w:autoSpaceDE w:val="0"/>
        <w:autoSpaceDN w:val="0"/>
        <w:adjustRightInd w:val="0"/>
        <w:spacing w:line="240" w:lineRule="auto"/>
        <w:rPr>
          <w:rFonts w:ascii="Arial" w:hAnsi="Arial" w:cs="Arial"/>
          <w:sz w:val="24"/>
          <w:szCs w:val="24"/>
        </w:rPr>
      </w:pPr>
      <w:r w:rsidRPr="0007572B">
        <w:rPr>
          <w:rFonts w:ascii="Arial" w:hAnsi="Arial" w:cs="Arial"/>
          <w:sz w:val="24"/>
          <w:szCs w:val="24"/>
        </w:rPr>
        <w:t xml:space="preserve">GMATL is a private company limited by guarantee without share capital. </w:t>
      </w:r>
      <w:r w:rsidR="00FE41DD" w:rsidRPr="00FE41DD">
        <w:rPr>
          <w:rFonts w:ascii="Arial" w:hAnsi="Arial" w:cs="Arial"/>
          <w:sz w:val="24"/>
          <w:szCs w:val="24"/>
        </w:rPr>
        <w:t>The Company registration number is 02483763</w:t>
      </w:r>
      <w:r w:rsidR="00FE41DD">
        <w:rPr>
          <w:rFonts w:ascii="Arial" w:hAnsi="Arial" w:cs="Arial"/>
          <w:sz w:val="24"/>
          <w:szCs w:val="24"/>
        </w:rPr>
        <w:t xml:space="preserve">. </w:t>
      </w:r>
      <w:r w:rsidRPr="0007572B">
        <w:rPr>
          <w:rFonts w:ascii="Arial" w:hAnsi="Arial" w:cs="Arial"/>
          <w:sz w:val="24"/>
          <w:szCs w:val="24"/>
        </w:rPr>
        <w:t xml:space="preserve">The Authority is the person with significant control and has previously included GMATL in its group accounts. The balance sheet value is </w:t>
      </w:r>
      <w:r w:rsidRPr="001043ED">
        <w:rPr>
          <w:rFonts w:ascii="Arial" w:hAnsi="Arial" w:cs="Arial"/>
          <w:sz w:val="24"/>
          <w:szCs w:val="24"/>
        </w:rPr>
        <w:t>approximately £2.</w:t>
      </w:r>
      <w:r w:rsidR="00FE41DD">
        <w:rPr>
          <w:rFonts w:ascii="Arial" w:hAnsi="Arial" w:cs="Arial"/>
          <w:sz w:val="24"/>
          <w:szCs w:val="24"/>
        </w:rPr>
        <w:t>9</w:t>
      </w:r>
      <w:r w:rsidRPr="001043ED">
        <w:rPr>
          <w:rFonts w:ascii="Arial" w:hAnsi="Arial" w:cs="Arial"/>
          <w:sz w:val="24"/>
          <w:szCs w:val="24"/>
        </w:rPr>
        <w:t>m.</w:t>
      </w:r>
      <w:r w:rsidRPr="0007572B">
        <w:rPr>
          <w:rFonts w:ascii="Arial" w:hAnsi="Arial" w:cs="Arial"/>
          <w:sz w:val="24"/>
          <w:szCs w:val="24"/>
        </w:rPr>
        <w:t xml:space="preserve"> On the grounds of immateriality, it has been decided that </w:t>
      </w:r>
      <w:r w:rsidRPr="0007572B">
        <w:rPr>
          <w:rFonts w:ascii="Arial" w:hAnsi="Arial" w:cs="Arial"/>
          <w:b/>
          <w:sz w:val="24"/>
          <w:szCs w:val="24"/>
        </w:rPr>
        <w:t>GMATL will not be included</w:t>
      </w:r>
      <w:r w:rsidRPr="0007572B">
        <w:rPr>
          <w:rFonts w:ascii="Arial" w:hAnsi="Arial" w:cs="Arial"/>
          <w:sz w:val="24"/>
          <w:szCs w:val="24"/>
        </w:rPr>
        <w:t xml:space="preserve"> in the group accounts. </w:t>
      </w:r>
    </w:p>
    <w:p w14:paraId="18F8194F" w14:textId="77777777" w:rsidR="00655E4C" w:rsidRPr="0007572B" w:rsidRDefault="00655E4C" w:rsidP="00655E4C">
      <w:pPr>
        <w:pStyle w:val="BodyText3"/>
        <w:rPr>
          <w:rFonts w:ascii="Arial" w:hAnsi="Arial" w:cs="Arial"/>
          <w:b/>
          <w:sz w:val="24"/>
          <w:szCs w:val="24"/>
        </w:rPr>
      </w:pPr>
    </w:p>
    <w:p w14:paraId="00EFBCB3" w14:textId="77777777" w:rsidR="00655E4C" w:rsidRPr="0007572B" w:rsidRDefault="00655E4C" w:rsidP="00655E4C">
      <w:pPr>
        <w:pStyle w:val="Heading4bold"/>
      </w:pPr>
      <w:r w:rsidRPr="0007572B">
        <w:t>Manchester Investment and Development Agency Service (MIDAS)</w:t>
      </w:r>
    </w:p>
    <w:p w14:paraId="0826E012" w14:textId="7B5B06BC" w:rsidR="00655E4C" w:rsidRDefault="00655E4C" w:rsidP="00655E4C">
      <w:pPr>
        <w:pStyle w:val="BodyText3"/>
        <w:spacing w:after="0"/>
        <w:rPr>
          <w:rFonts w:ascii="Arial" w:hAnsi="Arial" w:cs="Arial"/>
          <w:sz w:val="24"/>
          <w:szCs w:val="24"/>
        </w:rPr>
      </w:pPr>
      <w:r w:rsidRPr="0007572B">
        <w:rPr>
          <w:rFonts w:ascii="Arial" w:hAnsi="Arial" w:cs="Arial"/>
          <w:sz w:val="24"/>
          <w:szCs w:val="24"/>
        </w:rPr>
        <w:t>MIDAS is a private company limited by guarantee without share capital.</w:t>
      </w:r>
      <w:r w:rsidR="00FE41DD" w:rsidRPr="00FE41DD">
        <w:t xml:space="preserve"> </w:t>
      </w:r>
      <w:r w:rsidR="00FE41DD" w:rsidRPr="00FE41DD">
        <w:rPr>
          <w:rFonts w:ascii="Arial" w:hAnsi="Arial" w:cs="Arial"/>
          <w:sz w:val="24"/>
          <w:szCs w:val="24"/>
        </w:rPr>
        <w:t>The Company registration number is 03323710</w:t>
      </w:r>
      <w:r w:rsidR="00FE41DD">
        <w:rPr>
          <w:rFonts w:ascii="Arial" w:hAnsi="Arial" w:cs="Arial"/>
          <w:sz w:val="24"/>
          <w:szCs w:val="24"/>
        </w:rPr>
        <w:t xml:space="preserve">. </w:t>
      </w:r>
      <w:r w:rsidRPr="0007572B">
        <w:rPr>
          <w:rFonts w:ascii="Arial" w:hAnsi="Arial" w:cs="Arial"/>
          <w:sz w:val="24"/>
          <w:szCs w:val="24"/>
        </w:rPr>
        <w:t xml:space="preserve">The Authority is the person with significant control and has previously included MIDAS in its group accounts. The balance sheet value is approximately </w:t>
      </w:r>
      <w:r w:rsidRPr="001043ED">
        <w:rPr>
          <w:rFonts w:ascii="Arial" w:hAnsi="Arial" w:cs="Arial"/>
          <w:sz w:val="24"/>
          <w:szCs w:val="24"/>
        </w:rPr>
        <w:t>£</w:t>
      </w:r>
      <w:r w:rsidR="00FE41DD">
        <w:rPr>
          <w:rFonts w:ascii="Arial" w:hAnsi="Arial" w:cs="Arial"/>
          <w:sz w:val="24"/>
          <w:szCs w:val="24"/>
        </w:rPr>
        <w:t>2.6</w:t>
      </w:r>
      <w:r w:rsidRPr="001043ED">
        <w:rPr>
          <w:rFonts w:ascii="Arial" w:hAnsi="Arial" w:cs="Arial"/>
          <w:sz w:val="24"/>
          <w:szCs w:val="24"/>
        </w:rPr>
        <w:t>m.</w:t>
      </w:r>
      <w:r w:rsidRPr="0007572B">
        <w:rPr>
          <w:rFonts w:ascii="Arial" w:hAnsi="Arial" w:cs="Arial"/>
          <w:sz w:val="24"/>
          <w:szCs w:val="24"/>
        </w:rPr>
        <w:t xml:space="preserve"> On the grounds of immateriality, it has been decided that </w:t>
      </w:r>
      <w:r w:rsidRPr="0007572B">
        <w:rPr>
          <w:rFonts w:ascii="Arial" w:hAnsi="Arial" w:cs="Arial"/>
          <w:b/>
          <w:sz w:val="24"/>
          <w:szCs w:val="24"/>
        </w:rPr>
        <w:t xml:space="preserve">MIDAS will not be included </w:t>
      </w:r>
      <w:r w:rsidRPr="0007572B">
        <w:rPr>
          <w:rFonts w:ascii="Arial" w:hAnsi="Arial" w:cs="Arial"/>
          <w:sz w:val="24"/>
          <w:szCs w:val="24"/>
        </w:rPr>
        <w:t xml:space="preserve">in the group accounts. </w:t>
      </w:r>
    </w:p>
    <w:p w14:paraId="322DD1FA" w14:textId="52CA4939" w:rsidR="00FE41DD" w:rsidRDefault="00FE41DD" w:rsidP="00655E4C">
      <w:pPr>
        <w:pStyle w:val="BodyText3"/>
        <w:spacing w:after="0"/>
        <w:rPr>
          <w:rFonts w:ascii="Arial" w:hAnsi="Arial" w:cs="Arial"/>
          <w:sz w:val="24"/>
          <w:szCs w:val="24"/>
        </w:rPr>
      </w:pPr>
    </w:p>
    <w:p w14:paraId="7DC7EB04" w14:textId="505A0DC6" w:rsidR="00990F1E" w:rsidRPr="0007572B" w:rsidRDefault="00FE41DD" w:rsidP="00655E4C">
      <w:pPr>
        <w:pStyle w:val="BodyText3"/>
        <w:spacing w:after="0"/>
        <w:rPr>
          <w:rFonts w:ascii="Arial" w:hAnsi="Arial" w:cs="Arial"/>
          <w:sz w:val="24"/>
          <w:szCs w:val="24"/>
        </w:rPr>
      </w:pPr>
      <w:r w:rsidRPr="00FE41DD">
        <w:rPr>
          <w:rFonts w:ascii="Arial" w:hAnsi="Arial" w:cs="Arial"/>
          <w:sz w:val="24"/>
          <w:szCs w:val="24"/>
        </w:rPr>
        <w:t>For information, details of transactions with MIDAS will be included within the related parties note</w:t>
      </w:r>
      <w:r w:rsidR="00CB4346">
        <w:rPr>
          <w:rFonts w:ascii="Arial" w:hAnsi="Arial" w:cs="Arial"/>
          <w:sz w:val="24"/>
          <w:szCs w:val="24"/>
        </w:rPr>
        <w:t>.</w:t>
      </w:r>
    </w:p>
    <w:p w14:paraId="3075D926" w14:textId="77777777" w:rsidR="00990F1E" w:rsidRDefault="00990F1E" w:rsidP="00431F6F">
      <w:pPr>
        <w:pStyle w:val="BodyText3"/>
        <w:spacing w:after="0"/>
      </w:pPr>
    </w:p>
    <w:p w14:paraId="70C0FADE" w14:textId="6DE07987" w:rsidR="00655E4C" w:rsidRPr="0007572B" w:rsidRDefault="00655E4C" w:rsidP="00655E4C">
      <w:pPr>
        <w:pStyle w:val="Heading4bold"/>
      </w:pPr>
      <w:r w:rsidRPr="0007572B">
        <w:t xml:space="preserve">HIVE Homes </w:t>
      </w:r>
    </w:p>
    <w:p w14:paraId="7A6432D2" w14:textId="1BEA849D" w:rsidR="00990F1E" w:rsidRPr="0007572B" w:rsidRDefault="00655E4C" w:rsidP="00655E4C">
      <w:pPr>
        <w:pStyle w:val="BodyText3"/>
        <w:rPr>
          <w:rFonts w:ascii="Arial" w:hAnsi="Arial" w:cs="Arial"/>
          <w:sz w:val="24"/>
          <w:szCs w:val="24"/>
        </w:rPr>
      </w:pPr>
      <w:r w:rsidRPr="0007572B">
        <w:rPr>
          <w:rFonts w:ascii="Arial" w:hAnsi="Arial" w:cs="Arial"/>
          <w:sz w:val="24"/>
          <w:szCs w:val="24"/>
        </w:rPr>
        <w:t xml:space="preserve">HIVE Homes is a joint venture with 10 Registered Housing providers and has been incorporated to acquire sites in </w:t>
      </w:r>
      <w:r w:rsidR="00336C9F">
        <w:rPr>
          <w:rFonts w:ascii="Arial" w:hAnsi="Arial" w:cs="Arial"/>
          <w:sz w:val="24"/>
          <w:szCs w:val="24"/>
        </w:rPr>
        <w:t>GM</w:t>
      </w:r>
      <w:r w:rsidRPr="0007572B">
        <w:rPr>
          <w:rFonts w:ascii="Arial" w:hAnsi="Arial" w:cs="Arial"/>
          <w:sz w:val="24"/>
          <w:szCs w:val="24"/>
        </w:rPr>
        <w:t xml:space="preserve"> and then develop them for sale as residential use. </w:t>
      </w:r>
      <w:r w:rsidR="00FE41DD" w:rsidRPr="00FE41DD">
        <w:rPr>
          <w:rFonts w:ascii="Arial" w:hAnsi="Arial" w:cs="Arial"/>
          <w:sz w:val="24"/>
          <w:szCs w:val="24"/>
        </w:rPr>
        <w:t>The Company registration number is OC425196</w:t>
      </w:r>
      <w:r w:rsidR="00FE41DD">
        <w:rPr>
          <w:rFonts w:ascii="Arial" w:hAnsi="Arial" w:cs="Arial"/>
          <w:sz w:val="24"/>
          <w:szCs w:val="24"/>
        </w:rPr>
        <w:t xml:space="preserve">. </w:t>
      </w:r>
      <w:r w:rsidRPr="0007572B">
        <w:rPr>
          <w:rFonts w:ascii="Arial" w:hAnsi="Arial" w:cs="Arial"/>
          <w:sz w:val="24"/>
          <w:szCs w:val="24"/>
        </w:rPr>
        <w:t xml:space="preserve">From March 2019 </w:t>
      </w:r>
      <w:r w:rsidRPr="006F573A">
        <w:rPr>
          <w:rFonts w:ascii="Arial" w:hAnsi="Arial" w:cs="Arial"/>
          <w:sz w:val="24"/>
          <w:szCs w:val="24"/>
        </w:rPr>
        <w:t>the Authority has a 20% share</w:t>
      </w:r>
      <w:r w:rsidRPr="0007572B">
        <w:rPr>
          <w:rFonts w:ascii="Arial" w:hAnsi="Arial" w:cs="Arial"/>
          <w:sz w:val="24"/>
          <w:szCs w:val="24"/>
        </w:rPr>
        <w:t xml:space="preserve"> within the company, </w:t>
      </w:r>
      <w:r>
        <w:rPr>
          <w:rFonts w:ascii="Arial" w:hAnsi="Arial" w:cs="Arial"/>
          <w:sz w:val="24"/>
          <w:szCs w:val="24"/>
        </w:rPr>
        <w:t>and</w:t>
      </w:r>
      <w:r w:rsidRPr="00E77DF4">
        <w:rPr>
          <w:rFonts w:ascii="Arial" w:hAnsi="Arial" w:cs="Arial"/>
          <w:sz w:val="24"/>
          <w:szCs w:val="24"/>
        </w:rPr>
        <w:t xml:space="preserve"> £2m has been invested</w:t>
      </w:r>
      <w:r>
        <w:rPr>
          <w:rFonts w:ascii="Arial" w:hAnsi="Arial" w:cs="Arial"/>
          <w:sz w:val="24"/>
          <w:szCs w:val="24"/>
        </w:rPr>
        <w:t xml:space="preserve"> to date</w:t>
      </w:r>
      <w:r w:rsidRPr="00E77DF4">
        <w:rPr>
          <w:rFonts w:ascii="Arial" w:hAnsi="Arial" w:cs="Arial"/>
          <w:sz w:val="24"/>
          <w:szCs w:val="24"/>
        </w:rPr>
        <w:t>.</w:t>
      </w:r>
      <w:r w:rsidRPr="0007572B">
        <w:rPr>
          <w:rFonts w:ascii="Arial" w:hAnsi="Arial" w:cs="Arial"/>
          <w:sz w:val="24"/>
          <w:szCs w:val="24"/>
        </w:rPr>
        <w:t xml:space="preserve"> On the grounds of immateriality, it has been decided that </w:t>
      </w:r>
      <w:r w:rsidRPr="0007572B">
        <w:rPr>
          <w:rFonts w:ascii="Arial" w:hAnsi="Arial" w:cs="Arial"/>
          <w:b/>
          <w:sz w:val="24"/>
          <w:szCs w:val="24"/>
        </w:rPr>
        <w:t>HIVE Homes will not be included</w:t>
      </w:r>
      <w:r w:rsidRPr="0007572B">
        <w:rPr>
          <w:rFonts w:ascii="Arial" w:hAnsi="Arial" w:cs="Arial"/>
          <w:sz w:val="24"/>
          <w:szCs w:val="24"/>
        </w:rPr>
        <w:t xml:space="preserve"> in the group accounts.</w:t>
      </w:r>
    </w:p>
    <w:p w14:paraId="66934731" w14:textId="77777777" w:rsidR="00FE41DD" w:rsidRPr="00431F6F" w:rsidRDefault="00FE41DD" w:rsidP="00431F6F">
      <w:pPr>
        <w:pStyle w:val="Heading4bold"/>
      </w:pPr>
      <w:r w:rsidRPr="00431F6F">
        <w:lastRenderedPageBreak/>
        <w:t>Resonance Supported Homes Fund Limited Partnership</w:t>
      </w:r>
    </w:p>
    <w:p w14:paraId="47C83A02" w14:textId="5E0A307E" w:rsidR="00990F1E" w:rsidRDefault="00FE41DD" w:rsidP="00FE41DD">
      <w:pPr>
        <w:spacing w:after="120"/>
        <w:jc w:val="both"/>
        <w:rPr>
          <w:rFonts w:ascii="Arial" w:hAnsi="Arial" w:cs="Arial"/>
          <w:color w:val="000000"/>
          <w:lang w:val="en-US"/>
        </w:rPr>
      </w:pPr>
      <w:r w:rsidRPr="00431F6F">
        <w:rPr>
          <w:rFonts w:ascii="Arial" w:hAnsi="Arial" w:cs="Arial"/>
          <w:color w:val="000000"/>
          <w:lang w:val="en-US"/>
        </w:rPr>
        <w:t xml:space="preserve">Resonance Supported Homes Fund was incorporated in July 2020 to house adults with learning disabilities, autism and mental health issues living in inappropriate housing such as long-term hospital inpatient facilities, or on long waiting lists awaiting the right housing for their needs. The Company registration number is LP021031. On the grounds of immateriality, it has been decided that </w:t>
      </w:r>
      <w:r w:rsidRPr="00431F6F">
        <w:rPr>
          <w:rFonts w:ascii="Arial" w:hAnsi="Arial" w:cs="Arial"/>
          <w:b/>
          <w:bCs/>
          <w:color w:val="000000"/>
          <w:lang w:val="en-US"/>
        </w:rPr>
        <w:t>Resonance Supported Homes Fund will not be included</w:t>
      </w:r>
      <w:r w:rsidRPr="00431F6F">
        <w:rPr>
          <w:rFonts w:ascii="Arial" w:hAnsi="Arial" w:cs="Arial"/>
          <w:color w:val="000000"/>
          <w:lang w:val="en-US"/>
        </w:rPr>
        <w:t xml:space="preserve"> in the group accounts.</w:t>
      </w:r>
    </w:p>
    <w:p w14:paraId="47F341DE" w14:textId="77777777" w:rsidR="00990F1E" w:rsidRPr="00431F6F" w:rsidRDefault="00990F1E" w:rsidP="00FE41DD">
      <w:pPr>
        <w:spacing w:after="120"/>
        <w:jc w:val="both"/>
        <w:rPr>
          <w:rFonts w:ascii="Arial" w:hAnsi="Arial" w:cs="Arial"/>
          <w:color w:val="000000"/>
          <w:lang w:val="en-US"/>
        </w:rPr>
      </w:pPr>
    </w:p>
    <w:p w14:paraId="05256622" w14:textId="4564B7B8" w:rsidR="00FE41DD" w:rsidRPr="008A465B" w:rsidRDefault="00FE41DD" w:rsidP="00FE41DD">
      <w:pPr>
        <w:pStyle w:val="Heading4bold"/>
      </w:pPr>
      <w:bookmarkStart w:id="87" w:name="_Toc92894874"/>
      <w:bookmarkStart w:id="88" w:name="_Toc92895178"/>
      <w:r w:rsidRPr="008A465B">
        <w:t>T</w:t>
      </w:r>
      <w:r>
        <w:t>he</w:t>
      </w:r>
      <w:r w:rsidRPr="008A465B">
        <w:t xml:space="preserve"> G</w:t>
      </w:r>
      <w:r>
        <w:t>M</w:t>
      </w:r>
      <w:r w:rsidRPr="008A465B">
        <w:t xml:space="preserve"> &amp; C</w:t>
      </w:r>
      <w:r>
        <w:t>heshire</w:t>
      </w:r>
      <w:r w:rsidRPr="008A465B">
        <w:t xml:space="preserve"> </w:t>
      </w:r>
      <w:r>
        <w:t>life Sciences Fund Limited Partnership</w:t>
      </w:r>
    </w:p>
    <w:p w14:paraId="06CBD257" w14:textId="29CF53D3" w:rsidR="00FE41DD" w:rsidRDefault="00FE41DD" w:rsidP="00FE41DD">
      <w:pPr>
        <w:rPr>
          <w:rFonts w:ascii="Arial" w:hAnsi="Arial" w:cs="Arial"/>
          <w:color w:val="000000"/>
          <w:lang w:val="en-US"/>
        </w:rPr>
      </w:pPr>
      <w:r w:rsidRPr="00431F6F">
        <w:rPr>
          <w:rFonts w:ascii="Arial" w:eastAsiaTheme="minorHAnsi" w:hAnsi="Arial" w:cs="Arial"/>
          <w:lang w:val="en-US"/>
        </w:rPr>
        <w:t>The GM &amp; Cheshire Life Sciences Fund was incorporated in September 2015 as a seed and early-stage venture capital</w:t>
      </w:r>
      <w:r w:rsidRPr="00431F6F">
        <w:rPr>
          <w:rFonts w:ascii="Arial" w:hAnsi="Arial" w:cs="Arial"/>
          <w:color w:val="000000"/>
          <w:lang w:val="en-US"/>
        </w:rPr>
        <w:t xml:space="preserve"> fund for life sciences businesses located in the Greater Manchester and Cheshire &amp; Warrington region. The Fund came to the end of its new investment period in mid-2021, by which time it had made a range of seed, early-</w:t>
      </w:r>
      <w:proofErr w:type="gramStart"/>
      <w:r w:rsidRPr="00431F6F">
        <w:rPr>
          <w:rFonts w:ascii="Arial" w:hAnsi="Arial" w:cs="Arial"/>
          <w:color w:val="000000"/>
          <w:lang w:val="en-US"/>
        </w:rPr>
        <w:t>stage</w:t>
      </w:r>
      <w:proofErr w:type="gramEnd"/>
      <w:r w:rsidRPr="00431F6F">
        <w:rPr>
          <w:rFonts w:ascii="Arial" w:hAnsi="Arial" w:cs="Arial"/>
          <w:color w:val="000000"/>
          <w:lang w:val="en-US"/>
        </w:rPr>
        <w:t xml:space="preserve"> and growth investments into 42 companies. The Fund will continue to support its portfolio and carry out follow-on funding until at least 2030. The Company registration number is LP016834. On the grounds of immateriality, it has been decided that </w:t>
      </w:r>
      <w:r w:rsidRPr="00431F6F">
        <w:rPr>
          <w:rFonts w:ascii="Arial" w:hAnsi="Arial" w:cs="Arial"/>
          <w:b/>
          <w:bCs/>
          <w:color w:val="000000"/>
          <w:lang w:val="en-US"/>
        </w:rPr>
        <w:t>The GM &amp; Cheshire Life Sciences Fund will not be included</w:t>
      </w:r>
      <w:r w:rsidRPr="00431F6F">
        <w:rPr>
          <w:rFonts w:ascii="Arial" w:hAnsi="Arial" w:cs="Arial"/>
          <w:color w:val="000000"/>
          <w:lang w:val="en-US"/>
        </w:rPr>
        <w:t xml:space="preserve"> in the group accounts</w:t>
      </w:r>
      <w:r w:rsidR="00CB4346">
        <w:rPr>
          <w:rFonts w:ascii="Arial" w:hAnsi="Arial" w:cs="Arial"/>
          <w:color w:val="000000"/>
          <w:lang w:val="en-US"/>
        </w:rPr>
        <w:t>.</w:t>
      </w:r>
    </w:p>
    <w:p w14:paraId="45801839" w14:textId="1AD89DB2" w:rsidR="00990F1E" w:rsidRDefault="00990F1E" w:rsidP="00FE41DD">
      <w:pPr>
        <w:rPr>
          <w:rFonts w:ascii="Arial" w:hAnsi="Arial" w:cs="Arial"/>
          <w:color w:val="000000"/>
          <w:lang w:val="en-US"/>
        </w:rPr>
      </w:pPr>
    </w:p>
    <w:p w14:paraId="03267FD9" w14:textId="63AB0A7E" w:rsidR="00990F1E" w:rsidRDefault="00990F1E" w:rsidP="00FE41DD">
      <w:pPr>
        <w:rPr>
          <w:rFonts w:ascii="Arial" w:hAnsi="Arial" w:cs="Arial"/>
          <w:color w:val="000000"/>
          <w:lang w:val="en-US"/>
        </w:rPr>
      </w:pPr>
    </w:p>
    <w:p w14:paraId="2857D413" w14:textId="77777777" w:rsidR="00990F1E" w:rsidRPr="00431F6F" w:rsidRDefault="00990F1E" w:rsidP="00431F6F">
      <w:pPr>
        <w:pStyle w:val="Heading4bold"/>
      </w:pPr>
      <w:r w:rsidRPr="00431F6F">
        <w:t>INTERCHANGE HOMES LLP</w:t>
      </w:r>
    </w:p>
    <w:p w14:paraId="4C6FA043" w14:textId="77777777" w:rsidR="00990F1E" w:rsidRPr="00431F6F" w:rsidRDefault="00990F1E" w:rsidP="00990F1E">
      <w:pPr>
        <w:rPr>
          <w:rFonts w:ascii="Arial" w:eastAsiaTheme="minorHAnsi" w:hAnsi="Arial" w:cs="Arial"/>
          <w:lang w:val="en-US"/>
        </w:rPr>
      </w:pPr>
      <w:r w:rsidRPr="00431F6F">
        <w:rPr>
          <w:rFonts w:ascii="Arial" w:eastAsiaTheme="minorHAnsi" w:hAnsi="Arial" w:cs="Arial"/>
          <w:lang w:val="en-US"/>
        </w:rPr>
        <w:t xml:space="preserve">Interchange Home LLP was incorporated in October 2021 as a special purpose </w:t>
      </w:r>
    </w:p>
    <w:p w14:paraId="71640F7E" w14:textId="77777777" w:rsidR="00990F1E" w:rsidRPr="00431F6F" w:rsidRDefault="00990F1E" w:rsidP="00990F1E">
      <w:pPr>
        <w:rPr>
          <w:rFonts w:ascii="Arial" w:eastAsiaTheme="minorHAnsi" w:hAnsi="Arial" w:cs="Arial"/>
          <w:lang w:val="en-US"/>
        </w:rPr>
      </w:pPr>
      <w:r w:rsidRPr="00431F6F">
        <w:rPr>
          <w:rFonts w:ascii="Arial" w:eastAsiaTheme="minorHAnsi" w:hAnsi="Arial" w:cs="Arial"/>
          <w:lang w:val="en-US"/>
        </w:rPr>
        <w:t xml:space="preserve">vehicle (SPV) for the town centre residential accommodation development at </w:t>
      </w:r>
    </w:p>
    <w:p w14:paraId="33BE72F8" w14:textId="26B336DB" w:rsidR="00990F1E" w:rsidRPr="00431F6F" w:rsidRDefault="00990F1E" w:rsidP="00990F1E">
      <w:pPr>
        <w:rPr>
          <w:rFonts w:ascii="Arial" w:eastAsiaTheme="minorHAnsi" w:hAnsi="Arial" w:cs="Arial"/>
          <w:lang w:val="en-US"/>
        </w:rPr>
      </w:pPr>
      <w:r w:rsidRPr="00431F6F">
        <w:rPr>
          <w:rFonts w:ascii="Arial" w:eastAsiaTheme="minorHAnsi" w:hAnsi="Arial" w:cs="Arial"/>
          <w:lang w:val="en-US"/>
        </w:rPr>
        <w:t xml:space="preserve">Stockport Interchange. The company registration number is OC439564. On the grounds of immateriality, it has been decided that </w:t>
      </w:r>
      <w:r w:rsidRPr="00431F6F">
        <w:rPr>
          <w:rFonts w:ascii="Arial" w:eastAsiaTheme="minorHAnsi" w:hAnsi="Arial" w:cs="Arial"/>
          <w:b/>
          <w:bCs/>
          <w:lang w:val="en-US"/>
        </w:rPr>
        <w:t>Interchanges Homes LLP will not be included</w:t>
      </w:r>
      <w:r w:rsidRPr="00431F6F">
        <w:rPr>
          <w:rFonts w:ascii="Arial" w:eastAsiaTheme="minorHAnsi" w:hAnsi="Arial" w:cs="Arial"/>
          <w:lang w:val="en-US"/>
        </w:rPr>
        <w:t xml:space="preserve"> in the group accounts.</w:t>
      </w:r>
    </w:p>
    <w:p w14:paraId="5C5DCFF7" w14:textId="77777777" w:rsidR="00AF0D29" w:rsidRDefault="00AF0D29">
      <w:pPr>
        <w:rPr>
          <w:rFonts w:ascii="Arial" w:eastAsia="Palatino Linotype" w:hAnsi="Arial" w:cs="Arial"/>
          <w:b/>
          <w:bCs/>
          <w:szCs w:val="28"/>
          <w:lang w:val="en-US"/>
        </w:rPr>
      </w:pPr>
      <w:r>
        <w:br w:type="page"/>
      </w:r>
    </w:p>
    <w:p w14:paraId="4EC3908C" w14:textId="0C3246B3" w:rsidR="00317E52" w:rsidRPr="000A0695" w:rsidRDefault="00317E52" w:rsidP="0038082E">
      <w:pPr>
        <w:pStyle w:val="Heading3greennumbered"/>
      </w:pPr>
      <w:bookmarkStart w:id="89" w:name="_Toc109922612"/>
      <w:r w:rsidRPr="000A0695">
        <w:lastRenderedPageBreak/>
        <w:t>3 Key Sources of Estimation and</w:t>
      </w:r>
      <w:r w:rsidRPr="000A0695">
        <w:rPr>
          <w:spacing w:val="-5"/>
        </w:rPr>
        <w:t xml:space="preserve"> </w:t>
      </w:r>
      <w:r w:rsidRPr="000A0695">
        <w:t>Uncertainty</w:t>
      </w:r>
      <w:bookmarkEnd w:id="87"/>
      <w:bookmarkEnd w:id="88"/>
      <w:bookmarkEnd w:id="89"/>
    </w:p>
    <w:p w14:paraId="3F8D1E2F" w14:textId="77777777" w:rsidR="00986BB0" w:rsidRPr="0007572B" w:rsidRDefault="00986BB0" w:rsidP="0038082E">
      <w:pPr>
        <w:autoSpaceDE w:val="0"/>
        <w:autoSpaceDN w:val="0"/>
        <w:adjustRightInd w:val="0"/>
        <w:jc w:val="both"/>
        <w:rPr>
          <w:rFonts w:ascii="Arial" w:hAnsi="Arial" w:cs="Arial"/>
          <w:color w:val="000000"/>
          <w:lang w:val="en-US"/>
        </w:rPr>
      </w:pPr>
    </w:p>
    <w:p w14:paraId="23CBBAF5" w14:textId="77777777" w:rsidR="009F03CF" w:rsidRPr="0007572B" w:rsidRDefault="002D2F17" w:rsidP="0038082E">
      <w:pPr>
        <w:pStyle w:val="Normal0"/>
        <w:spacing w:line="240" w:lineRule="auto"/>
        <w:rPr>
          <w:rFonts w:ascii="Arial" w:hAnsi="Arial" w:cs="Arial"/>
          <w:b/>
          <w:sz w:val="24"/>
          <w:szCs w:val="24"/>
        </w:rPr>
      </w:pPr>
      <w:r w:rsidRPr="0007572B">
        <w:rPr>
          <w:rFonts w:ascii="Arial" w:eastAsia="Arial" w:hAnsi="Arial" w:cs="Arial"/>
          <w:sz w:val="24"/>
          <w:szCs w:val="24"/>
          <w:lang w:val="en-GB" w:eastAsia="en-GB"/>
        </w:rPr>
        <w:t>In preparing the annual A</w:t>
      </w:r>
      <w:r w:rsidR="009F03CF" w:rsidRPr="0007572B">
        <w:rPr>
          <w:rFonts w:ascii="Arial" w:eastAsia="Arial" w:hAnsi="Arial" w:cs="Arial"/>
          <w:sz w:val="24"/>
          <w:szCs w:val="24"/>
          <w:lang w:val="en-GB" w:eastAsia="en-GB"/>
        </w:rPr>
        <w:t>ccounts there are areas where estimates are made. These include:</w:t>
      </w:r>
    </w:p>
    <w:p w14:paraId="59D0003A" w14:textId="77777777" w:rsidR="009F03CF" w:rsidRPr="0007572B" w:rsidRDefault="009F03CF" w:rsidP="0038082E">
      <w:pPr>
        <w:pStyle w:val="ListParagraph"/>
        <w:spacing w:line="240" w:lineRule="auto"/>
        <w:ind w:left="709"/>
        <w:rPr>
          <w:rFonts w:ascii="Arial" w:eastAsia="Arial" w:hAnsi="Arial" w:cs="Arial"/>
          <w:sz w:val="24"/>
          <w:szCs w:val="24"/>
        </w:rPr>
      </w:pPr>
    </w:p>
    <w:p w14:paraId="56F837FC" w14:textId="212431F7" w:rsidR="004D1A81" w:rsidRPr="004D1A81" w:rsidRDefault="004D1A81" w:rsidP="0038082E">
      <w:pPr>
        <w:pStyle w:val="Heading4bold"/>
        <w:rPr>
          <w:rFonts w:eastAsia="Arial"/>
        </w:rPr>
      </w:pPr>
      <w:r>
        <w:rPr>
          <w:rFonts w:eastAsia="Arial"/>
        </w:rPr>
        <w:t>3.1</w:t>
      </w:r>
      <w:r>
        <w:rPr>
          <w:rFonts w:eastAsia="Arial"/>
        </w:rPr>
        <w:tab/>
      </w:r>
      <w:bookmarkStart w:id="90" w:name="_Hlk109141531"/>
      <w:r>
        <w:rPr>
          <w:rFonts w:eastAsia="Arial"/>
        </w:rPr>
        <w:t>V</w:t>
      </w:r>
      <w:r w:rsidR="009F03CF" w:rsidRPr="004D1A81">
        <w:rPr>
          <w:rFonts w:eastAsia="Arial"/>
        </w:rPr>
        <w:t xml:space="preserve">aluation of </w:t>
      </w:r>
      <w:r w:rsidR="00FE3696">
        <w:rPr>
          <w:rFonts w:eastAsia="Arial"/>
        </w:rPr>
        <w:t>PPE</w:t>
      </w:r>
    </w:p>
    <w:p w14:paraId="2A6B60A1" w14:textId="4B0DE85C" w:rsidR="00FE3696" w:rsidRPr="00FE3696" w:rsidRDefault="00FE3696" w:rsidP="00431F6F">
      <w:pPr>
        <w:ind w:left="720"/>
        <w:rPr>
          <w:rFonts w:ascii="Arial" w:eastAsia="Arial" w:hAnsi="Arial" w:cs="Arial"/>
        </w:rPr>
      </w:pPr>
      <w:r w:rsidRPr="00431F6F">
        <w:rPr>
          <w:rFonts w:ascii="Arial" w:eastAsia="Arial" w:hAnsi="Arial" w:cs="Arial"/>
          <w:lang w:eastAsia="en-GB"/>
        </w:rPr>
        <w:t xml:space="preserve">The valuation of GMCA’s Property, Plant and Equipment (PPE) is a significant area of estimation uncertainty. There is a risk of material adjustment to the carrying value of PPE within the next financial year, if the actual values differ from the assumptions used to value PPE. A reduction in estimated valuation would result in a reduction to the Revaluation Reserve and/or a loss in the Comprehensive Income and Expenditure Statement. An increase in estimation valuation would result in an increase in the Revaluation Reserve and/or gain in the Comprehensive Income and Expenditure Statement. For instance, the impact of a 10% change in the valuation of GMCA’s operational land and buildings would be £51m. Note 20 to the accounts sets out the </w:t>
      </w:r>
      <w:r>
        <w:rPr>
          <w:rFonts w:ascii="Arial" w:eastAsia="Arial" w:hAnsi="Arial" w:cs="Arial"/>
          <w:lang w:eastAsia="en-GB"/>
        </w:rPr>
        <w:t>Authority’s</w:t>
      </w:r>
      <w:r w:rsidRPr="00431F6F">
        <w:rPr>
          <w:rFonts w:ascii="Arial" w:eastAsia="Arial" w:hAnsi="Arial" w:cs="Arial"/>
          <w:lang w:eastAsia="en-GB"/>
        </w:rPr>
        <w:t xml:space="preserve"> approach to the valuation of its PPE.</w:t>
      </w:r>
    </w:p>
    <w:bookmarkEnd w:id="90"/>
    <w:p w14:paraId="661790A9" w14:textId="00B62CFA" w:rsidR="004D1A81" w:rsidRPr="00FE3696" w:rsidRDefault="004D1A81" w:rsidP="00431F6F">
      <w:pPr>
        <w:ind w:left="720"/>
        <w:rPr>
          <w:rFonts w:ascii="Arial" w:eastAsia="Arial" w:hAnsi="Arial" w:cs="Arial"/>
        </w:rPr>
      </w:pPr>
    </w:p>
    <w:p w14:paraId="3AE61833" w14:textId="396E4B6B" w:rsidR="000767F9" w:rsidRPr="00093337" w:rsidRDefault="004D1A81" w:rsidP="0038082E">
      <w:pPr>
        <w:pStyle w:val="Heading4bold"/>
        <w:ind w:left="709" w:hanging="709"/>
        <w:rPr>
          <w:rFonts w:eastAsia="Arial"/>
        </w:rPr>
      </w:pPr>
      <w:r>
        <w:rPr>
          <w:rFonts w:eastAsia="Arial"/>
        </w:rPr>
        <w:t>3.2</w:t>
      </w:r>
      <w:bookmarkStart w:id="91" w:name="_Hlk109141825"/>
      <w:r>
        <w:rPr>
          <w:rFonts w:eastAsia="Arial"/>
        </w:rPr>
        <w:tab/>
      </w:r>
      <w:bookmarkEnd w:id="91"/>
      <w:r w:rsidR="00093337">
        <w:rPr>
          <w:rFonts w:eastAsia="Arial"/>
        </w:rPr>
        <w:t>T</w:t>
      </w:r>
      <w:r w:rsidR="009F03CF" w:rsidRPr="00093337">
        <w:rPr>
          <w:rFonts w:eastAsia="Arial"/>
        </w:rPr>
        <w:t>he liability for future pension payments which is estimated by qualified actuaries</w:t>
      </w:r>
    </w:p>
    <w:p w14:paraId="0D723558" w14:textId="37E9EE74" w:rsidR="006418CF" w:rsidRDefault="00555E68" w:rsidP="0038082E">
      <w:pPr>
        <w:pStyle w:val="ListParagraph"/>
        <w:autoSpaceDE w:val="0"/>
        <w:autoSpaceDN w:val="0"/>
        <w:adjustRightInd w:val="0"/>
        <w:spacing w:line="240" w:lineRule="auto"/>
        <w:rPr>
          <w:rFonts w:ascii="Arial" w:hAnsi="Arial" w:cs="Arial"/>
          <w:color w:val="000000"/>
          <w:sz w:val="24"/>
          <w:szCs w:val="24"/>
          <w:lang w:val="en-US"/>
        </w:rPr>
      </w:pPr>
      <w:r>
        <w:rPr>
          <w:rFonts w:ascii="Arial" w:hAnsi="Arial" w:cs="Arial"/>
          <w:color w:val="000000"/>
          <w:sz w:val="24"/>
          <w:szCs w:val="24"/>
          <w:lang w:val="en-US"/>
        </w:rPr>
        <w:t>This is estimated by the actuary and a sensitivity analysis undertaken by them for the firefighters</w:t>
      </w:r>
      <w:r w:rsidR="00FE3696">
        <w:rPr>
          <w:rFonts w:ascii="Arial" w:hAnsi="Arial" w:cs="Arial"/>
          <w:color w:val="000000"/>
          <w:sz w:val="24"/>
          <w:szCs w:val="24"/>
          <w:lang w:val="en-US"/>
        </w:rPr>
        <w:t>’</w:t>
      </w:r>
      <w:r>
        <w:rPr>
          <w:rFonts w:ascii="Arial" w:hAnsi="Arial" w:cs="Arial"/>
          <w:color w:val="000000"/>
          <w:sz w:val="24"/>
          <w:szCs w:val="24"/>
          <w:lang w:val="en-US"/>
        </w:rPr>
        <w:t xml:space="preserve"> pension scheme and local government pension scheme</w:t>
      </w:r>
      <w:r w:rsidR="00FE3696">
        <w:rPr>
          <w:rFonts w:ascii="Arial" w:hAnsi="Arial" w:cs="Arial"/>
          <w:color w:val="000000"/>
          <w:sz w:val="24"/>
          <w:szCs w:val="24"/>
          <w:lang w:val="en-US"/>
        </w:rPr>
        <w:t>. Details can be</w:t>
      </w:r>
      <w:r>
        <w:rPr>
          <w:rFonts w:ascii="Arial" w:hAnsi="Arial" w:cs="Arial"/>
          <w:color w:val="000000"/>
          <w:sz w:val="24"/>
          <w:szCs w:val="24"/>
          <w:lang w:val="en-US"/>
        </w:rPr>
        <w:t xml:space="preserve"> found in </w:t>
      </w:r>
      <w:r w:rsidR="00FE3696">
        <w:rPr>
          <w:rFonts w:ascii="Arial" w:hAnsi="Arial" w:cs="Arial"/>
          <w:color w:val="000000"/>
          <w:sz w:val="24"/>
          <w:szCs w:val="24"/>
          <w:lang w:val="en-US"/>
        </w:rPr>
        <w:t>N</w:t>
      </w:r>
      <w:r>
        <w:rPr>
          <w:rFonts w:ascii="Arial" w:hAnsi="Arial" w:cs="Arial"/>
          <w:color w:val="000000"/>
          <w:sz w:val="24"/>
          <w:szCs w:val="24"/>
          <w:lang w:val="en-US"/>
        </w:rPr>
        <w:t>ote 33.</w:t>
      </w:r>
    </w:p>
    <w:p w14:paraId="46F310AF" w14:textId="0D659B13" w:rsidR="00AF0D29" w:rsidRDefault="00AF0D29">
      <w:pPr>
        <w:rPr>
          <w:rFonts w:ascii="Arial" w:eastAsia="Palatino Linotype" w:hAnsi="Arial" w:cs="Arial"/>
          <w:b/>
          <w:bCs/>
          <w:szCs w:val="28"/>
          <w:lang w:val="en-US"/>
        </w:rPr>
      </w:pPr>
      <w:bookmarkStart w:id="92" w:name="_Toc92894875"/>
      <w:bookmarkStart w:id="93" w:name="_Toc92895179"/>
    </w:p>
    <w:p w14:paraId="00799EA8" w14:textId="642981D3" w:rsidR="00317E52" w:rsidRPr="0007572B" w:rsidRDefault="00317E52" w:rsidP="0038082E">
      <w:pPr>
        <w:pStyle w:val="Heading3greennumbered"/>
      </w:pPr>
      <w:bookmarkStart w:id="94" w:name="_Toc109922613"/>
      <w:r w:rsidRPr="0007572B">
        <w:t xml:space="preserve">4 Impact of Accounting Standards </w:t>
      </w:r>
      <w:r w:rsidR="00CB4346">
        <w:t>I</w:t>
      </w:r>
      <w:r w:rsidRPr="0007572B">
        <w:t>ssued b</w:t>
      </w:r>
      <w:r w:rsidRPr="0007572B">
        <w:rPr>
          <w:spacing w:val="-2"/>
        </w:rPr>
        <w:t>ut not y</w:t>
      </w:r>
      <w:r w:rsidRPr="0007572B">
        <w:t>et</w:t>
      </w:r>
      <w:r w:rsidRPr="0007572B">
        <w:rPr>
          <w:spacing w:val="5"/>
        </w:rPr>
        <w:t xml:space="preserve"> </w:t>
      </w:r>
      <w:r w:rsidRPr="0007572B">
        <w:t>Adopted</w:t>
      </w:r>
      <w:bookmarkEnd w:id="92"/>
      <w:bookmarkEnd w:id="93"/>
      <w:bookmarkEnd w:id="94"/>
    </w:p>
    <w:p w14:paraId="16CB025F" w14:textId="77777777" w:rsidR="005403AF" w:rsidRDefault="005403AF" w:rsidP="0038082E">
      <w:pPr>
        <w:autoSpaceDE w:val="0"/>
        <w:autoSpaceDN w:val="0"/>
        <w:adjustRightInd w:val="0"/>
        <w:rPr>
          <w:rFonts w:ascii="Arial" w:eastAsia="Arial" w:hAnsi="Arial" w:cs="Arial"/>
          <w:lang w:eastAsia="en-GB"/>
        </w:rPr>
      </w:pPr>
    </w:p>
    <w:p w14:paraId="1BF9C8E1" w14:textId="7FAB192A" w:rsidR="00CD248C" w:rsidRDefault="00CD248C" w:rsidP="00CD248C">
      <w:pPr>
        <w:autoSpaceDE w:val="0"/>
        <w:autoSpaceDN w:val="0"/>
        <w:adjustRightInd w:val="0"/>
        <w:rPr>
          <w:rFonts w:ascii="Arial" w:eastAsia="Arial" w:hAnsi="Arial" w:cs="Arial"/>
          <w:lang w:eastAsia="en-GB"/>
        </w:rPr>
      </w:pPr>
      <w:bookmarkStart w:id="95" w:name="_Hlk63924033"/>
      <w:r w:rsidRPr="0007572B">
        <w:rPr>
          <w:rFonts w:ascii="Arial" w:eastAsia="Arial" w:hAnsi="Arial" w:cs="Arial"/>
          <w:lang w:eastAsia="en-GB"/>
        </w:rPr>
        <w:t xml:space="preserve">The Code requires the disclosure of information relating to the expected impact of an accounting change that will be required by a new standard which has been issued but is yet to be adopted by the </w:t>
      </w:r>
      <w:r>
        <w:rPr>
          <w:rFonts w:ascii="Arial" w:eastAsia="Arial" w:hAnsi="Arial" w:cs="Arial"/>
          <w:lang w:eastAsia="en-GB"/>
        </w:rPr>
        <w:t>2021/22</w:t>
      </w:r>
      <w:r w:rsidRPr="0007572B">
        <w:rPr>
          <w:rFonts w:ascii="Arial" w:eastAsia="Arial" w:hAnsi="Arial" w:cs="Arial"/>
          <w:lang w:eastAsia="en-GB"/>
        </w:rPr>
        <w:t xml:space="preserve"> Code.</w:t>
      </w:r>
      <w:r w:rsidR="00924BEE">
        <w:rPr>
          <w:rFonts w:ascii="Arial" w:eastAsia="Arial" w:hAnsi="Arial" w:cs="Arial"/>
          <w:lang w:eastAsia="en-GB"/>
        </w:rPr>
        <w:t xml:space="preserve"> T</w:t>
      </w:r>
      <w:r w:rsidRPr="0007572B">
        <w:rPr>
          <w:rFonts w:ascii="Arial" w:eastAsia="Arial" w:hAnsi="Arial" w:cs="Arial"/>
          <w:lang w:eastAsia="en-GB"/>
        </w:rPr>
        <w:t>he Code also requires that changes in accounting policy are to be applied retrospectively</w:t>
      </w:r>
      <w:r>
        <w:rPr>
          <w:rFonts w:ascii="Arial" w:eastAsia="Arial" w:hAnsi="Arial" w:cs="Arial"/>
          <w:lang w:eastAsia="en-GB"/>
        </w:rPr>
        <w:t>,</w:t>
      </w:r>
      <w:r w:rsidRPr="0007572B">
        <w:rPr>
          <w:rFonts w:ascii="Arial" w:eastAsia="Arial" w:hAnsi="Arial" w:cs="Arial"/>
          <w:lang w:eastAsia="en-GB"/>
        </w:rPr>
        <w:t xml:space="preserve"> unless transitional arrangements are specified</w:t>
      </w:r>
      <w:r>
        <w:rPr>
          <w:rFonts w:ascii="Arial" w:eastAsia="Arial" w:hAnsi="Arial" w:cs="Arial"/>
          <w:lang w:eastAsia="en-GB"/>
        </w:rPr>
        <w:t>;</w:t>
      </w:r>
      <w:r w:rsidRPr="0007572B">
        <w:rPr>
          <w:rFonts w:ascii="Arial" w:eastAsia="Arial" w:hAnsi="Arial" w:cs="Arial"/>
          <w:lang w:eastAsia="en-GB"/>
        </w:rPr>
        <w:t xml:space="preserve"> this would result in an impact on disclosures spanning two financial years. </w:t>
      </w:r>
    </w:p>
    <w:p w14:paraId="6EB7E14A" w14:textId="77777777" w:rsidR="00A106AE" w:rsidRPr="00431F6F" w:rsidRDefault="00A106AE" w:rsidP="00A106AE">
      <w:pPr>
        <w:autoSpaceDE w:val="0"/>
        <w:autoSpaceDN w:val="0"/>
        <w:adjustRightInd w:val="0"/>
        <w:rPr>
          <w:rFonts w:ascii="Arial" w:eastAsia="Arial" w:hAnsi="Arial" w:cs="Arial"/>
          <w:lang w:eastAsia="en-GB"/>
        </w:rPr>
      </w:pPr>
    </w:p>
    <w:p w14:paraId="4FB13488" w14:textId="4D50A512" w:rsidR="00CD248C" w:rsidRDefault="00CD248C" w:rsidP="00A106AE">
      <w:pPr>
        <w:autoSpaceDE w:val="0"/>
        <w:autoSpaceDN w:val="0"/>
        <w:adjustRightInd w:val="0"/>
        <w:rPr>
          <w:rFonts w:ascii="Arial" w:eastAsia="Arial" w:hAnsi="Arial" w:cs="Arial"/>
          <w:lang w:eastAsia="en-GB"/>
        </w:rPr>
      </w:pPr>
      <w:r>
        <w:rPr>
          <w:rFonts w:ascii="Arial" w:eastAsia="Arial" w:hAnsi="Arial" w:cs="Arial"/>
          <w:lang w:eastAsia="en-GB"/>
        </w:rPr>
        <w:t>A</w:t>
      </w:r>
      <w:r w:rsidRPr="00CD248C">
        <w:rPr>
          <w:rFonts w:ascii="Arial" w:eastAsia="Arial" w:hAnsi="Arial" w:cs="Arial"/>
          <w:lang w:eastAsia="en-GB"/>
        </w:rPr>
        <w:t>ccounting changes that are introduced by the 2022/23 Code are:</w:t>
      </w:r>
    </w:p>
    <w:p w14:paraId="19D49E81" w14:textId="77777777" w:rsidR="00CD248C" w:rsidRDefault="00CD248C" w:rsidP="00A106AE">
      <w:pPr>
        <w:autoSpaceDE w:val="0"/>
        <w:autoSpaceDN w:val="0"/>
        <w:adjustRightInd w:val="0"/>
        <w:rPr>
          <w:rFonts w:ascii="Arial" w:eastAsia="Arial" w:hAnsi="Arial" w:cs="Arial"/>
          <w:lang w:eastAsia="en-GB"/>
        </w:rPr>
      </w:pPr>
    </w:p>
    <w:p w14:paraId="1F4AC95F" w14:textId="1817C2EC" w:rsidR="00A106AE" w:rsidRPr="00ED7DF7" w:rsidRDefault="00924BEE" w:rsidP="00A106AE">
      <w:pPr>
        <w:autoSpaceDE w:val="0"/>
        <w:autoSpaceDN w:val="0"/>
        <w:adjustRightInd w:val="0"/>
        <w:rPr>
          <w:rFonts w:ascii="Arial" w:eastAsia="Arial" w:hAnsi="Arial" w:cs="Arial"/>
          <w:lang w:eastAsia="en-GB"/>
        </w:rPr>
      </w:pPr>
      <w:r>
        <w:rPr>
          <w:rFonts w:ascii="Arial" w:eastAsia="Arial" w:hAnsi="Arial" w:cs="Arial"/>
          <w:lang w:eastAsia="en-GB"/>
        </w:rPr>
        <w:t>A</w:t>
      </w:r>
      <w:r w:rsidR="00A106AE" w:rsidRPr="00431F6F">
        <w:rPr>
          <w:rFonts w:ascii="Arial" w:eastAsia="Arial" w:hAnsi="Arial" w:cs="Arial"/>
          <w:lang w:eastAsia="en-GB"/>
        </w:rPr>
        <w:t xml:space="preserve">nnual improvements to IFRS Standards 2018-2020. The annual IFRS improvement programme notes three changed standards: </w:t>
      </w:r>
    </w:p>
    <w:p w14:paraId="131C1429" w14:textId="77777777" w:rsidR="00A106AE" w:rsidRPr="00431F6F" w:rsidRDefault="00A106AE" w:rsidP="00A106AE">
      <w:pPr>
        <w:autoSpaceDE w:val="0"/>
        <w:autoSpaceDN w:val="0"/>
        <w:adjustRightInd w:val="0"/>
        <w:rPr>
          <w:rFonts w:ascii="Arial" w:eastAsia="Arial" w:hAnsi="Arial" w:cs="Arial"/>
          <w:lang w:eastAsia="en-GB"/>
        </w:rPr>
      </w:pPr>
    </w:p>
    <w:p w14:paraId="373E29C9" w14:textId="77777777" w:rsidR="00A106AE" w:rsidRPr="00431F6F" w:rsidRDefault="00A106AE" w:rsidP="00A106AE">
      <w:pPr>
        <w:pStyle w:val="ListParagraph"/>
        <w:numPr>
          <w:ilvl w:val="0"/>
          <w:numId w:val="87"/>
        </w:numPr>
        <w:autoSpaceDE w:val="0"/>
        <w:autoSpaceDN w:val="0"/>
        <w:adjustRightInd w:val="0"/>
        <w:rPr>
          <w:rFonts w:ascii="Arial" w:eastAsia="Arial" w:hAnsi="Arial" w:cs="Arial"/>
        </w:rPr>
      </w:pPr>
      <w:r w:rsidRPr="00431F6F">
        <w:rPr>
          <w:rFonts w:ascii="Arial" w:eastAsia="Arial" w:hAnsi="Arial" w:cs="Arial"/>
          <w:sz w:val="24"/>
          <w:szCs w:val="24"/>
        </w:rPr>
        <w:t>IFRS1 (First-time adoption) - amendment relates to foreign operations of acquired subsidiaries transitioning to IFRS.</w:t>
      </w:r>
    </w:p>
    <w:p w14:paraId="66D5C308" w14:textId="77777777" w:rsidR="00A106AE" w:rsidRPr="00431F6F" w:rsidRDefault="00A106AE" w:rsidP="00A106AE">
      <w:pPr>
        <w:pStyle w:val="ListParagraph"/>
        <w:numPr>
          <w:ilvl w:val="0"/>
          <w:numId w:val="87"/>
        </w:numPr>
        <w:autoSpaceDE w:val="0"/>
        <w:autoSpaceDN w:val="0"/>
        <w:adjustRightInd w:val="0"/>
        <w:rPr>
          <w:rFonts w:ascii="Arial" w:eastAsia="Arial" w:hAnsi="Arial" w:cs="Arial"/>
          <w:sz w:val="24"/>
          <w:szCs w:val="24"/>
        </w:rPr>
      </w:pPr>
      <w:r w:rsidRPr="00431F6F">
        <w:rPr>
          <w:rFonts w:ascii="Arial" w:eastAsia="Arial" w:hAnsi="Arial" w:cs="Arial"/>
          <w:sz w:val="24"/>
          <w:szCs w:val="24"/>
        </w:rPr>
        <w:t>IAS 37 (Onerous contracts) - clarifies the intention of the standard.</w:t>
      </w:r>
    </w:p>
    <w:p w14:paraId="31A800E5" w14:textId="77777777" w:rsidR="00A106AE" w:rsidRDefault="00A106AE" w:rsidP="00A106AE">
      <w:pPr>
        <w:pStyle w:val="ListParagraph"/>
        <w:numPr>
          <w:ilvl w:val="0"/>
          <w:numId w:val="87"/>
        </w:numPr>
        <w:autoSpaceDE w:val="0"/>
        <w:autoSpaceDN w:val="0"/>
        <w:adjustRightInd w:val="0"/>
        <w:rPr>
          <w:rFonts w:ascii="Arial" w:eastAsia="Arial" w:hAnsi="Arial" w:cs="Arial"/>
          <w:sz w:val="24"/>
          <w:szCs w:val="24"/>
        </w:rPr>
      </w:pPr>
      <w:r w:rsidRPr="00431F6F">
        <w:rPr>
          <w:rFonts w:ascii="Arial" w:eastAsia="Arial" w:hAnsi="Arial" w:cs="Arial"/>
          <w:sz w:val="24"/>
          <w:szCs w:val="24"/>
        </w:rPr>
        <w:t>IAS 41 (Agriculture) - one of a small number of IFRSs that are only expected to apply to local authorities in limited circumstances.</w:t>
      </w:r>
    </w:p>
    <w:p w14:paraId="153715C1" w14:textId="77777777" w:rsidR="00A106AE" w:rsidRDefault="00A106AE" w:rsidP="00A106AE">
      <w:pPr>
        <w:pStyle w:val="ListParagraph"/>
        <w:autoSpaceDE w:val="0"/>
        <w:autoSpaceDN w:val="0"/>
        <w:adjustRightInd w:val="0"/>
        <w:spacing w:after="0" w:line="240" w:lineRule="auto"/>
        <w:ind w:left="709"/>
        <w:rPr>
          <w:rFonts w:ascii="Arial" w:hAnsi="Arial" w:cs="Arial"/>
          <w:sz w:val="24"/>
          <w:szCs w:val="24"/>
        </w:rPr>
      </w:pPr>
    </w:p>
    <w:p w14:paraId="7D4A484E" w14:textId="77777777" w:rsidR="00A106AE" w:rsidRPr="0007572B" w:rsidRDefault="00A106AE" w:rsidP="00A106AE">
      <w:pPr>
        <w:autoSpaceDE w:val="0"/>
        <w:autoSpaceDN w:val="0"/>
        <w:adjustRightInd w:val="0"/>
        <w:rPr>
          <w:rFonts w:ascii="Arial" w:hAnsi="Arial" w:cs="Arial"/>
          <w:color w:val="000000"/>
          <w:lang w:val="en-US"/>
        </w:rPr>
      </w:pPr>
      <w:r w:rsidRPr="0007572B">
        <w:rPr>
          <w:rFonts w:ascii="Arial" w:eastAsia="Arial" w:hAnsi="Arial" w:cs="Arial"/>
          <w:lang w:eastAsia="en-GB"/>
        </w:rPr>
        <w:t xml:space="preserve">These changes are not expected to have a material impact on the Authority’s single entity or group </w:t>
      </w:r>
      <w:r>
        <w:rPr>
          <w:rFonts w:ascii="Arial" w:eastAsia="Arial" w:hAnsi="Arial" w:cs="Arial"/>
          <w:lang w:eastAsia="en-GB"/>
        </w:rPr>
        <w:t>accounts</w:t>
      </w:r>
      <w:r w:rsidRPr="0007572B">
        <w:rPr>
          <w:rFonts w:ascii="Arial" w:eastAsia="Arial" w:hAnsi="Arial" w:cs="Arial"/>
          <w:lang w:eastAsia="en-GB"/>
        </w:rPr>
        <w:t>.</w:t>
      </w:r>
    </w:p>
    <w:p w14:paraId="3572A2CD" w14:textId="77777777" w:rsidR="00A106AE" w:rsidRPr="0007572B" w:rsidRDefault="00A106AE" w:rsidP="0038082E">
      <w:pPr>
        <w:autoSpaceDE w:val="0"/>
        <w:autoSpaceDN w:val="0"/>
        <w:adjustRightInd w:val="0"/>
        <w:jc w:val="both"/>
        <w:rPr>
          <w:rFonts w:ascii="Arial" w:hAnsi="Arial" w:cs="Arial"/>
          <w:color w:val="000000"/>
          <w:sz w:val="22"/>
          <w:szCs w:val="22"/>
          <w:lang w:val="en-US"/>
        </w:rPr>
      </w:pPr>
    </w:p>
    <w:p w14:paraId="4F099D0A" w14:textId="3F099721" w:rsidR="00317E52" w:rsidRPr="0007572B" w:rsidRDefault="00B51D3A" w:rsidP="0038082E">
      <w:pPr>
        <w:pStyle w:val="Heading3greennumbered"/>
      </w:pPr>
      <w:bookmarkStart w:id="96" w:name="_Toc92894876"/>
      <w:bookmarkStart w:id="97" w:name="_Toc92895180"/>
      <w:bookmarkStart w:id="98" w:name="_Toc109922614"/>
      <w:bookmarkStart w:id="99" w:name="_Hlk143520732"/>
      <w:r w:rsidRPr="0007572B">
        <w:lastRenderedPageBreak/>
        <w:t xml:space="preserve">5 Events After the </w:t>
      </w:r>
      <w:r w:rsidR="000008C1" w:rsidRPr="0007572B">
        <w:t>Reporting Period</w:t>
      </w:r>
      <w:bookmarkEnd w:id="96"/>
      <w:bookmarkEnd w:id="97"/>
      <w:bookmarkEnd w:id="98"/>
    </w:p>
    <w:bookmarkEnd w:id="99"/>
    <w:p w14:paraId="554C04F1" w14:textId="77777777" w:rsidR="005403AF" w:rsidRDefault="005403AF" w:rsidP="0038082E">
      <w:pPr>
        <w:autoSpaceDE w:val="0"/>
        <w:autoSpaceDN w:val="0"/>
        <w:adjustRightInd w:val="0"/>
        <w:rPr>
          <w:rFonts w:ascii="Arial" w:hAnsi="Arial" w:cs="Arial"/>
          <w:lang w:eastAsia="en-GB"/>
        </w:rPr>
      </w:pPr>
    </w:p>
    <w:p w14:paraId="2698D59F" w14:textId="53FABDB1" w:rsidR="00C75439" w:rsidRPr="0007572B" w:rsidRDefault="00C75439" w:rsidP="0038082E">
      <w:pPr>
        <w:autoSpaceDE w:val="0"/>
        <w:autoSpaceDN w:val="0"/>
        <w:adjustRightInd w:val="0"/>
        <w:rPr>
          <w:rFonts w:ascii="Arial" w:hAnsi="Arial" w:cs="Arial"/>
          <w:lang w:eastAsia="en-GB"/>
        </w:rPr>
      </w:pPr>
      <w:r w:rsidRPr="0007572B">
        <w:rPr>
          <w:rFonts w:ascii="Arial" w:hAnsi="Arial" w:cs="Arial"/>
          <w:lang w:eastAsia="en-GB"/>
        </w:rPr>
        <w:t>Events after the Balance Sheet date are those events, both favourable and unfavourable, that occur between the end of the reporting period and the date when the Statement of Accounts is authorised for issue. Two types of events can be identified:</w:t>
      </w:r>
    </w:p>
    <w:p w14:paraId="270658E3" w14:textId="77777777" w:rsidR="00C75439" w:rsidRPr="0007572B" w:rsidRDefault="00C75439" w:rsidP="0038082E">
      <w:pPr>
        <w:autoSpaceDE w:val="0"/>
        <w:autoSpaceDN w:val="0"/>
        <w:adjustRightInd w:val="0"/>
        <w:rPr>
          <w:rFonts w:ascii="Arial" w:hAnsi="Arial" w:cs="Arial"/>
          <w:lang w:eastAsia="en-GB"/>
        </w:rPr>
      </w:pPr>
    </w:p>
    <w:p w14:paraId="78CBD0FE" w14:textId="3A9D2BA2" w:rsidR="00C75439" w:rsidRPr="0007572B" w:rsidRDefault="00C75439" w:rsidP="00EB27EB">
      <w:pPr>
        <w:pStyle w:val="ListParagraph"/>
        <w:widowControl w:val="0"/>
        <w:numPr>
          <w:ilvl w:val="0"/>
          <w:numId w:val="42"/>
        </w:numPr>
        <w:tabs>
          <w:tab w:val="left" w:pos="8789"/>
        </w:tabs>
        <w:autoSpaceDE w:val="0"/>
        <w:autoSpaceDN w:val="0"/>
        <w:adjustRightInd w:val="0"/>
        <w:spacing w:before="72" w:line="240" w:lineRule="auto"/>
        <w:ind w:right="226"/>
        <w:rPr>
          <w:rFonts w:ascii="Arial" w:eastAsia="Verdana" w:hAnsi="Arial" w:cs="Arial"/>
          <w:sz w:val="24"/>
          <w:szCs w:val="24"/>
        </w:rPr>
      </w:pPr>
      <w:r w:rsidRPr="0007572B">
        <w:rPr>
          <w:rFonts w:ascii="Arial" w:hAnsi="Arial" w:cs="Arial"/>
          <w:sz w:val="24"/>
          <w:szCs w:val="24"/>
        </w:rPr>
        <w:t>those that provide evidence of conditions that existed at the end of the reporting period – the Statement of Accounts is adjusted to reflect such events</w:t>
      </w:r>
    </w:p>
    <w:p w14:paraId="5E09481F" w14:textId="5828F99F" w:rsidR="00C75439" w:rsidRPr="00D66E9C" w:rsidRDefault="00C75439" w:rsidP="00EB27EB">
      <w:pPr>
        <w:pStyle w:val="ListParagraph"/>
        <w:numPr>
          <w:ilvl w:val="0"/>
          <w:numId w:val="42"/>
        </w:numPr>
        <w:autoSpaceDE w:val="0"/>
        <w:autoSpaceDN w:val="0"/>
        <w:adjustRightInd w:val="0"/>
        <w:spacing w:line="240" w:lineRule="auto"/>
        <w:rPr>
          <w:rFonts w:ascii="Arial" w:hAnsi="Arial" w:cs="Arial"/>
          <w:i/>
          <w:iCs/>
          <w:sz w:val="24"/>
          <w:szCs w:val="24"/>
        </w:rPr>
      </w:pPr>
      <w:r w:rsidRPr="0007572B">
        <w:rPr>
          <w:rFonts w:ascii="Arial" w:hAnsi="Arial" w:cs="Arial"/>
          <w:sz w:val="24"/>
          <w:szCs w:val="24"/>
        </w:rPr>
        <w:t xml:space="preserve">those that are indicative of conditions that arose after the reporting period – the Statement of Accounts is not adjusted to reflect such events, but where a category of events would have a material effect, disclosure is made in the notes </w:t>
      </w:r>
      <w:r w:rsidRPr="00D66E9C">
        <w:rPr>
          <w:rFonts w:ascii="Arial" w:hAnsi="Arial" w:cs="Arial"/>
          <w:sz w:val="24"/>
          <w:szCs w:val="24"/>
        </w:rPr>
        <w:t>of the nature of the events and their estimated financial effect.</w:t>
      </w:r>
    </w:p>
    <w:p w14:paraId="1C1A2782" w14:textId="63F87737" w:rsidR="00D66E9C" w:rsidRPr="003A0B61" w:rsidRDefault="00D66E9C" w:rsidP="00D66E9C">
      <w:pPr>
        <w:rPr>
          <w:rFonts w:ascii="Arial" w:hAnsi="Arial" w:cs="Arial"/>
        </w:rPr>
      </w:pPr>
      <w:r w:rsidRPr="003A0B61">
        <w:rPr>
          <w:rFonts w:ascii="Arial" w:hAnsi="Arial" w:cs="Arial"/>
        </w:rPr>
        <w:t xml:space="preserve">The Statement of Accounts was authorised for issue by the </w:t>
      </w:r>
      <w:r>
        <w:rPr>
          <w:rFonts w:ascii="Arial" w:hAnsi="Arial" w:cs="Arial"/>
        </w:rPr>
        <w:t>Treasurer</w:t>
      </w:r>
      <w:r w:rsidRPr="003A0B61">
        <w:rPr>
          <w:rFonts w:ascii="Arial" w:hAnsi="Arial" w:cs="Arial"/>
        </w:rPr>
        <w:t xml:space="preserve"> </w:t>
      </w:r>
      <w:r>
        <w:rPr>
          <w:rFonts w:ascii="Arial" w:hAnsi="Arial" w:cs="Arial"/>
        </w:rPr>
        <w:t xml:space="preserve">on </w:t>
      </w:r>
      <w:r w:rsidR="00CB4346">
        <w:rPr>
          <w:rFonts w:ascii="Arial" w:hAnsi="Arial" w:cs="Arial"/>
        </w:rPr>
        <w:t>9 November</w:t>
      </w:r>
      <w:r w:rsidRPr="00D20EBF">
        <w:rPr>
          <w:rFonts w:ascii="Arial" w:eastAsia="Palatino Linotype" w:hAnsi="Arial" w:cs="Arial"/>
          <w:highlight w:val="yellow"/>
          <w:lang w:val="en-US"/>
        </w:rPr>
        <w:t xml:space="preserve"> </w:t>
      </w:r>
      <w:r w:rsidRPr="00CB4346">
        <w:rPr>
          <w:rFonts w:ascii="Arial" w:eastAsia="Palatino Linotype" w:hAnsi="Arial" w:cs="Arial"/>
          <w:lang w:val="en-US"/>
        </w:rPr>
        <w:t>2023</w:t>
      </w:r>
      <w:r w:rsidRPr="00CB4346">
        <w:rPr>
          <w:rFonts w:ascii="Arial" w:hAnsi="Arial" w:cs="Arial"/>
        </w:rPr>
        <w:t>.</w:t>
      </w:r>
      <w:r w:rsidRPr="003A0B61">
        <w:rPr>
          <w:rFonts w:ascii="Arial" w:hAnsi="Arial" w:cs="Arial"/>
        </w:rPr>
        <w:t xml:space="preserve"> Events taking place after this date are not reflected in the financial statement</w:t>
      </w:r>
      <w:r>
        <w:rPr>
          <w:rFonts w:ascii="Arial" w:hAnsi="Arial" w:cs="Arial"/>
        </w:rPr>
        <w:t>s</w:t>
      </w:r>
      <w:r w:rsidRPr="003A0B61">
        <w:rPr>
          <w:rFonts w:ascii="Arial" w:hAnsi="Arial" w:cs="Arial"/>
        </w:rPr>
        <w:t xml:space="preserve"> or notes.</w:t>
      </w:r>
    </w:p>
    <w:p w14:paraId="326A6817" w14:textId="77777777" w:rsidR="00D66E9C" w:rsidRPr="003A0B61" w:rsidRDefault="00D66E9C" w:rsidP="00D66E9C">
      <w:pPr>
        <w:rPr>
          <w:rFonts w:ascii="Arial" w:hAnsi="Arial" w:cs="Arial"/>
        </w:rPr>
      </w:pPr>
    </w:p>
    <w:p w14:paraId="3728073C" w14:textId="77777777" w:rsidR="00D66E9C" w:rsidRPr="003A0B61" w:rsidRDefault="00D66E9C" w:rsidP="00D66E9C">
      <w:pPr>
        <w:rPr>
          <w:rFonts w:ascii="Arial" w:hAnsi="Arial" w:cs="Arial"/>
        </w:rPr>
      </w:pPr>
      <w:r w:rsidRPr="003A0B61">
        <w:rPr>
          <w:rFonts w:ascii="Arial" w:hAnsi="Arial" w:cs="Arial"/>
        </w:rPr>
        <w:t>Where events taking place before this date provided information about conditions existing at 31 March 2022, the figures in the financial statements and notes have been adjusted in all material respects to reflect the impact of this informatio</w:t>
      </w:r>
      <w:r>
        <w:rPr>
          <w:rFonts w:ascii="Arial" w:hAnsi="Arial" w:cs="Arial"/>
        </w:rPr>
        <w:t>n as detailed below.</w:t>
      </w:r>
    </w:p>
    <w:p w14:paraId="15AA4A36" w14:textId="77777777" w:rsidR="00D66E9C" w:rsidRPr="003A0B61" w:rsidRDefault="00D66E9C" w:rsidP="00D66E9C">
      <w:pPr>
        <w:rPr>
          <w:rFonts w:ascii="Arial" w:hAnsi="Arial" w:cs="Arial"/>
        </w:rPr>
      </w:pPr>
    </w:p>
    <w:p w14:paraId="40EDC30C" w14:textId="77777777" w:rsidR="00D66E9C" w:rsidRDefault="00D66E9C" w:rsidP="00D66E9C">
      <w:pPr>
        <w:autoSpaceDE w:val="0"/>
        <w:autoSpaceDN w:val="0"/>
        <w:adjustRightInd w:val="0"/>
        <w:rPr>
          <w:rFonts w:ascii="Arial" w:hAnsi="Arial" w:cs="Arial"/>
        </w:rPr>
      </w:pPr>
      <w:r w:rsidRPr="00227CBF">
        <w:rPr>
          <w:rFonts w:ascii="Arial" w:hAnsi="Arial" w:cs="Arial"/>
        </w:rPr>
        <w:t>A full valuation of the Local Government Pension Scheme liabilities is carried out every three years. The latest full valuation of the scheme is at 31 March 2022, using membership data up to that date and was published in March 2023. Actuarial estimates have been revised based on the latest full valuation which has</w:t>
      </w:r>
      <w:r>
        <w:rPr>
          <w:rFonts w:ascii="Arial" w:hAnsi="Arial" w:cs="Arial"/>
        </w:rPr>
        <w:t>:</w:t>
      </w:r>
    </w:p>
    <w:p w14:paraId="7C607D7F" w14:textId="77777777" w:rsidR="00D66E9C" w:rsidRDefault="00D66E9C" w:rsidP="00D66E9C">
      <w:pPr>
        <w:autoSpaceDE w:val="0"/>
        <w:autoSpaceDN w:val="0"/>
        <w:adjustRightInd w:val="0"/>
        <w:rPr>
          <w:rFonts w:ascii="Arial" w:hAnsi="Arial" w:cs="Arial"/>
        </w:rPr>
      </w:pPr>
    </w:p>
    <w:p w14:paraId="7C6BCAAB" w14:textId="7C80BAB0" w:rsidR="00AC4453" w:rsidRPr="008630E4" w:rsidRDefault="00D66E9C" w:rsidP="0038082E">
      <w:pPr>
        <w:pStyle w:val="ListParagraph"/>
        <w:numPr>
          <w:ilvl w:val="0"/>
          <w:numId w:val="88"/>
        </w:numPr>
        <w:autoSpaceDE w:val="0"/>
        <w:autoSpaceDN w:val="0"/>
        <w:adjustRightInd w:val="0"/>
        <w:ind w:left="720"/>
        <w:rPr>
          <w:rFonts w:ascii="Arial" w:hAnsi="Arial" w:cs="Arial"/>
        </w:rPr>
      </w:pPr>
      <w:r w:rsidRPr="00227CBF">
        <w:rPr>
          <w:rFonts w:ascii="Arial" w:hAnsi="Arial" w:cs="Arial"/>
        </w:rPr>
        <w:t xml:space="preserve">reduced the 2021/22 </w:t>
      </w:r>
      <w:r>
        <w:rPr>
          <w:rFonts w:ascii="Arial" w:hAnsi="Arial" w:cs="Arial"/>
        </w:rPr>
        <w:t xml:space="preserve">Single Entity Accounts </w:t>
      </w:r>
      <w:r w:rsidRPr="00227CBF">
        <w:rPr>
          <w:rFonts w:ascii="Arial" w:hAnsi="Arial" w:cs="Arial"/>
        </w:rPr>
        <w:t xml:space="preserve">pension liability and pension reserve by £27.967m </w:t>
      </w:r>
      <w:bookmarkStart w:id="100" w:name="_Toc92894877"/>
      <w:bookmarkStart w:id="101" w:name="_Toc92895181"/>
      <w:bookmarkEnd w:id="95"/>
    </w:p>
    <w:p w14:paraId="3CE6880B" w14:textId="6C25D16A" w:rsidR="00B266FC" w:rsidRPr="0007572B" w:rsidRDefault="00B266FC" w:rsidP="0038082E">
      <w:pPr>
        <w:pStyle w:val="Heading3greennumbered"/>
      </w:pPr>
      <w:bookmarkStart w:id="102" w:name="_Toc109922615"/>
      <w:r w:rsidRPr="0007572B">
        <w:t xml:space="preserve">6 Authorisation for </w:t>
      </w:r>
      <w:r w:rsidR="00475816" w:rsidRPr="0007572B">
        <w:t xml:space="preserve">the </w:t>
      </w:r>
      <w:r w:rsidRPr="0007572B">
        <w:t>Issue of the Statement of</w:t>
      </w:r>
      <w:r w:rsidRPr="0007572B">
        <w:rPr>
          <w:spacing w:val="2"/>
        </w:rPr>
        <w:t xml:space="preserve"> </w:t>
      </w:r>
      <w:r w:rsidRPr="0007572B">
        <w:t>Accounts</w:t>
      </w:r>
      <w:bookmarkEnd w:id="100"/>
      <w:bookmarkEnd w:id="101"/>
      <w:bookmarkEnd w:id="102"/>
    </w:p>
    <w:p w14:paraId="5DF10D3A" w14:textId="77777777" w:rsidR="005403AF" w:rsidRDefault="005403AF" w:rsidP="0038082E">
      <w:pPr>
        <w:widowControl w:val="0"/>
        <w:spacing w:before="72"/>
        <w:ind w:right="220"/>
        <w:rPr>
          <w:rFonts w:ascii="Arial" w:eastAsia="Palatino Linotype" w:hAnsi="Arial" w:cs="Arial"/>
          <w:lang w:val="en-US"/>
        </w:rPr>
      </w:pPr>
    </w:p>
    <w:p w14:paraId="5CBE1319" w14:textId="00589230" w:rsidR="001B6D1C" w:rsidRDefault="00B266FC" w:rsidP="0038082E">
      <w:pPr>
        <w:widowControl w:val="0"/>
        <w:spacing w:before="72"/>
        <w:ind w:right="220"/>
        <w:rPr>
          <w:rFonts w:ascii="Arial" w:eastAsia="Palatino Linotype" w:hAnsi="Arial" w:cs="Arial"/>
          <w:lang w:val="en-US"/>
        </w:rPr>
      </w:pPr>
      <w:r w:rsidRPr="0007572B">
        <w:rPr>
          <w:rFonts w:ascii="Arial" w:eastAsia="Palatino Linotype" w:hAnsi="Arial" w:cs="Arial"/>
          <w:lang w:val="en-US"/>
        </w:rPr>
        <w:t>The</w:t>
      </w:r>
      <w:r w:rsidRPr="0007572B">
        <w:rPr>
          <w:rFonts w:ascii="Arial" w:eastAsia="Palatino Linotype" w:hAnsi="Arial" w:cs="Arial"/>
          <w:spacing w:val="16"/>
          <w:lang w:val="en-US"/>
        </w:rPr>
        <w:t xml:space="preserve"> </w:t>
      </w:r>
      <w:r w:rsidRPr="0007572B">
        <w:rPr>
          <w:rFonts w:ascii="Arial" w:eastAsia="Palatino Linotype" w:hAnsi="Arial" w:cs="Arial"/>
          <w:lang w:val="en-US"/>
        </w:rPr>
        <w:t>20</w:t>
      </w:r>
      <w:r w:rsidR="00FF2959" w:rsidRPr="0007572B">
        <w:rPr>
          <w:rFonts w:ascii="Arial" w:eastAsia="Palatino Linotype" w:hAnsi="Arial" w:cs="Arial"/>
          <w:lang w:val="en-US"/>
        </w:rPr>
        <w:t>2</w:t>
      </w:r>
      <w:r w:rsidR="007575E1">
        <w:rPr>
          <w:rFonts w:ascii="Arial" w:eastAsia="Palatino Linotype" w:hAnsi="Arial" w:cs="Arial"/>
          <w:lang w:val="en-US"/>
        </w:rPr>
        <w:t>1</w:t>
      </w:r>
      <w:r w:rsidR="00414538" w:rsidRPr="0007572B">
        <w:rPr>
          <w:rFonts w:ascii="Arial" w:eastAsia="Palatino Linotype" w:hAnsi="Arial" w:cs="Arial"/>
          <w:lang w:val="en-US"/>
        </w:rPr>
        <w:t>/</w:t>
      </w:r>
      <w:r w:rsidR="00F6328E" w:rsidRPr="0007572B">
        <w:rPr>
          <w:rFonts w:ascii="Arial" w:eastAsia="Palatino Linotype" w:hAnsi="Arial" w:cs="Arial"/>
          <w:lang w:val="en-US"/>
        </w:rPr>
        <w:t>2</w:t>
      </w:r>
      <w:r w:rsidR="007575E1">
        <w:rPr>
          <w:rFonts w:ascii="Arial" w:eastAsia="Palatino Linotype" w:hAnsi="Arial" w:cs="Arial"/>
          <w:lang w:val="en-US"/>
        </w:rPr>
        <w:t>2</w:t>
      </w:r>
      <w:r w:rsidRPr="0007572B">
        <w:rPr>
          <w:rFonts w:ascii="Arial" w:eastAsia="Palatino Linotype" w:hAnsi="Arial" w:cs="Arial"/>
          <w:spacing w:val="17"/>
          <w:lang w:val="en-US"/>
        </w:rPr>
        <w:t xml:space="preserve"> </w:t>
      </w:r>
      <w:r w:rsidRPr="0007572B">
        <w:rPr>
          <w:rFonts w:ascii="Arial" w:eastAsia="Palatino Linotype" w:hAnsi="Arial" w:cs="Arial"/>
          <w:lang w:val="en-US"/>
        </w:rPr>
        <w:t>Statement</w:t>
      </w:r>
      <w:r w:rsidRPr="0007572B">
        <w:rPr>
          <w:rFonts w:ascii="Arial" w:eastAsia="Palatino Linotype" w:hAnsi="Arial" w:cs="Arial"/>
          <w:spacing w:val="18"/>
          <w:lang w:val="en-US"/>
        </w:rPr>
        <w:t xml:space="preserve"> </w:t>
      </w:r>
      <w:r w:rsidRPr="0007572B">
        <w:rPr>
          <w:rFonts w:ascii="Arial" w:eastAsia="Palatino Linotype" w:hAnsi="Arial" w:cs="Arial"/>
          <w:lang w:val="en-US"/>
        </w:rPr>
        <w:t>of</w:t>
      </w:r>
      <w:r w:rsidRPr="0007572B">
        <w:rPr>
          <w:rFonts w:ascii="Arial" w:eastAsia="Palatino Linotype" w:hAnsi="Arial" w:cs="Arial"/>
          <w:spacing w:val="20"/>
          <w:lang w:val="en-US"/>
        </w:rPr>
        <w:t xml:space="preserve"> </w:t>
      </w:r>
      <w:r w:rsidRPr="0007572B">
        <w:rPr>
          <w:rFonts w:ascii="Arial" w:eastAsia="Palatino Linotype" w:hAnsi="Arial" w:cs="Arial"/>
          <w:lang w:val="en-US"/>
        </w:rPr>
        <w:t>Accounts</w:t>
      </w:r>
      <w:r w:rsidRPr="0007572B">
        <w:rPr>
          <w:rFonts w:ascii="Arial" w:eastAsia="Palatino Linotype" w:hAnsi="Arial" w:cs="Arial"/>
          <w:spacing w:val="17"/>
          <w:lang w:val="en-US"/>
        </w:rPr>
        <w:t xml:space="preserve"> </w:t>
      </w:r>
      <w:r w:rsidRPr="0007572B">
        <w:rPr>
          <w:rFonts w:ascii="Arial" w:eastAsia="Palatino Linotype" w:hAnsi="Arial" w:cs="Arial"/>
          <w:lang w:val="en-US"/>
        </w:rPr>
        <w:t>w</w:t>
      </w:r>
      <w:r w:rsidR="005D6366">
        <w:rPr>
          <w:rFonts w:ascii="Arial" w:eastAsia="Palatino Linotype" w:hAnsi="Arial" w:cs="Arial"/>
          <w:lang w:val="en-US"/>
        </w:rPr>
        <w:t>ere</w:t>
      </w:r>
      <w:r w:rsidRPr="0007572B">
        <w:rPr>
          <w:rFonts w:ascii="Arial" w:eastAsia="Palatino Linotype" w:hAnsi="Arial" w:cs="Arial"/>
          <w:spacing w:val="17"/>
          <w:lang w:val="en-US"/>
        </w:rPr>
        <w:t xml:space="preserve"> </w:t>
      </w:r>
      <w:r w:rsidRPr="0007572B">
        <w:rPr>
          <w:rFonts w:ascii="Arial" w:eastAsia="Palatino Linotype" w:hAnsi="Arial" w:cs="Arial"/>
          <w:lang w:val="en-US"/>
        </w:rPr>
        <w:t>authorised</w:t>
      </w:r>
      <w:r w:rsidRPr="0007572B">
        <w:rPr>
          <w:rFonts w:ascii="Arial" w:eastAsia="Palatino Linotype" w:hAnsi="Arial" w:cs="Arial"/>
          <w:spacing w:val="14"/>
          <w:lang w:val="en-US"/>
        </w:rPr>
        <w:t xml:space="preserve"> </w:t>
      </w:r>
      <w:r w:rsidRPr="0007572B">
        <w:rPr>
          <w:rFonts w:ascii="Arial" w:eastAsia="Palatino Linotype" w:hAnsi="Arial" w:cs="Arial"/>
          <w:lang w:val="en-US"/>
        </w:rPr>
        <w:t>for</w:t>
      </w:r>
      <w:r w:rsidRPr="0007572B">
        <w:rPr>
          <w:rFonts w:ascii="Arial" w:eastAsia="Palatino Linotype" w:hAnsi="Arial" w:cs="Arial"/>
          <w:spacing w:val="17"/>
          <w:lang w:val="en-US"/>
        </w:rPr>
        <w:t xml:space="preserve"> </w:t>
      </w:r>
      <w:r w:rsidRPr="0007572B">
        <w:rPr>
          <w:rFonts w:ascii="Arial" w:eastAsia="Palatino Linotype" w:hAnsi="Arial" w:cs="Arial"/>
          <w:lang w:val="en-US"/>
        </w:rPr>
        <w:t>issue</w:t>
      </w:r>
      <w:r w:rsidRPr="0007572B">
        <w:rPr>
          <w:rFonts w:ascii="Arial" w:eastAsia="Palatino Linotype" w:hAnsi="Arial" w:cs="Arial"/>
          <w:spacing w:val="16"/>
          <w:lang w:val="en-US"/>
        </w:rPr>
        <w:t xml:space="preserve"> </w:t>
      </w:r>
      <w:r w:rsidRPr="0007572B">
        <w:rPr>
          <w:rFonts w:ascii="Arial" w:eastAsia="Palatino Linotype" w:hAnsi="Arial" w:cs="Arial"/>
          <w:lang w:val="en-US"/>
        </w:rPr>
        <w:t>by</w:t>
      </w:r>
      <w:r w:rsidRPr="0007572B">
        <w:rPr>
          <w:rFonts w:ascii="Arial" w:eastAsia="Palatino Linotype" w:hAnsi="Arial" w:cs="Arial"/>
          <w:spacing w:val="14"/>
          <w:lang w:val="en-US"/>
        </w:rPr>
        <w:t xml:space="preserve"> </w:t>
      </w:r>
      <w:r w:rsidRPr="0007572B">
        <w:rPr>
          <w:rFonts w:ascii="Arial" w:eastAsia="Palatino Linotype" w:hAnsi="Arial" w:cs="Arial"/>
          <w:lang w:val="en-US"/>
        </w:rPr>
        <w:t>the</w:t>
      </w:r>
      <w:r w:rsidRPr="0007572B">
        <w:rPr>
          <w:rFonts w:ascii="Arial" w:eastAsia="Palatino Linotype" w:hAnsi="Arial" w:cs="Arial"/>
          <w:spacing w:val="16"/>
          <w:lang w:val="en-US"/>
        </w:rPr>
        <w:t xml:space="preserve"> </w:t>
      </w:r>
      <w:r w:rsidRPr="0007572B">
        <w:rPr>
          <w:rFonts w:ascii="Arial" w:eastAsia="Palatino Linotype" w:hAnsi="Arial" w:cs="Arial"/>
          <w:lang w:val="en-US"/>
        </w:rPr>
        <w:t>Treasurer on</w:t>
      </w:r>
      <w:r w:rsidR="00E672DC" w:rsidRPr="0007572B">
        <w:rPr>
          <w:rFonts w:ascii="Arial" w:eastAsia="Palatino Linotype" w:hAnsi="Arial" w:cs="Arial"/>
          <w:lang w:val="en-US"/>
        </w:rPr>
        <w:t xml:space="preserve"> the</w:t>
      </w:r>
      <w:r w:rsidR="00F4401C">
        <w:rPr>
          <w:rFonts w:ascii="Arial" w:eastAsia="Palatino Linotype" w:hAnsi="Arial" w:cs="Arial"/>
          <w:lang w:val="en-US"/>
        </w:rPr>
        <w:t xml:space="preserve"> </w:t>
      </w:r>
      <w:r w:rsidR="00CB4346" w:rsidRPr="00CB4346">
        <w:rPr>
          <w:rFonts w:ascii="Arial" w:eastAsia="Palatino Linotype" w:hAnsi="Arial" w:cs="Arial"/>
          <w:lang w:val="en-US"/>
        </w:rPr>
        <w:t>9 November</w:t>
      </w:r>
      <w:r w:rsidR="00D20EBF" w:rsidRPr="00CB4346">
        <w:rPr>
          <w:rFonts w:ascii="Arial" w:eastAsia="Palatino Linotype" w:hAnsi="Arial" w:cs="Arial"/>
          <w:lang w:val="en-US"/>
        </w:rPr>
        <w:t xml:space="preserve"> 2023</w:t>
      </w:r>
      <w:r w:rsidR="00CB4346">
        <w:rPr>
          <w:rFonts w:ascii="Arial" w:eastAsia="Palatino Linotype" w:hAnsi="Arial" w:cs="Arial"/>
          <w:lang w:val="en-US"/>
        </w:rPr>
        <w:t>.</w:t>
      </w:r>
      <w:r w:rsidR="00D2614D">
        <w:rPr>
          <w:rFonts w:ascii="Arial" w:eastAsia="Palatino Linotype" w:hAnsi="Arial" w:cs="Arial"/>
          <w:lang w:val="en-US"/>
        </w:rPr>
        <w:t xml:space="preserve"> </w:t>
      </w:r>
    </w:p>
    <w:p w14:paraId="1592228C" w14:textId="12D8FEF9" w:rsidR="00FD05A1" w:rsidRDefault="00FD05A1" w:rsidP="0038082E">
      <w:pPr>
        <w:widowControl w:val="0"/>
        <w:spacing w:before="72"/>
        <w:ind w:right="220"/>
        <w:rPr>
          <w:rFonts w:ascii="Arial" w:eastAsia="Palatino Linotype" w:hAnsi="Arial" w:cs="Arial"/>
          <w:lang w:val="en-US"/>
        </w:rPr>
      </w:pPr>
    </w:p>
    <w:p w14:paraId="29BA4A89" w14:textId="6EF2E6F6" w:rsidR="00A106AE" w:rsidRDefault="00A106AE" w:rsidP="0038082E">
      <w:pPr>
        <w:widowControl w:val="0"/>
        <w:spacing w:before="72"/>
        <w:ind w:right="220"/>
        <w:rPr>
          <w:rFonts w:ascii="Arial" w:eastAsia="Palatino Linotype" w:hAnsi="Arial" w:cs="Arial"/>
          <w:lang w:val="en-US"/>
        </w:rPr>
      </w:pPr>
    </w:p>
    <w:p w14:paraId="77936EA3" w14:textId="60AA1DB6" w:rsidR="00A106AE" w:rsidRDefault="00A106AE" w:rsidP="0038082E">
      <w:pPr>
        <w:widowControl w:val="0"/>
        <w:spacing w:before="72"/>
        <w:ind w:right="220"/>
        <w:rPr>
          <w:rFonts w:ascii="Arial" w:eastAsia="Palatino Linotype" w:hAnsi="Arial" w:cs="Arial"/>
          <w:lang w:val="en-US"/>
        </w:rPr>
      </w:pPr>
    </w:p>
    <w:p w14:paraId="7942A6C8" w14:textId="26C6BA61" w:rsidR="00A106AE" w:rsidRDefault="00A106AE" w:rsidP="0038082E">
      <w:pPr>
        <w:widowControl w:val="0"/>
        <w:spacing w:before="72"/>
        <w:ind w:right="220"/>
        <w:rPr>
          <w:rFonts w:ascii="Arial" w:eastAsia="Palatino Linotype" w:hAnsi="Arial" w:cs="Arial"/>
          <w:lang w:val="en-US"/>
        </w:rPr>
      </w:pPr>
    </w:p>
    <w:p w14:paraId="30E8D5E9" w14:textId="5DAB50B7" w:rsidR="00A106AE" w:rsidRDefault="00A106AE" w:rsidP="0038082E">
      <w:pPr>
        <w:widowControl w:val="0"/>
        <w:spacing w:before="72"/>
        <w:ind w:right="220"/>
        <w:rPr>
          <w:rFonts w:ascii="Arial" w:eastAsia="Palatino Linotype" w:hAnsi="Arial" w:cs="Arial"/>
          <w:lang w:val="en-US"/>
        </w:rPr>
      </w:pPr>
    </w:p>
    <w:p w14:paraId="10445666" w14:textId="0BD54B68" w:rsidR="00A106AE" w:rsidRDefault="00A106AE" w:rsidP="0038082E">
      <w:pPr>
        <w:widowControl w:val="0"/>
        <w:spacing w:before="72"/>
        <w:ind w:right="220"/>
        <w:rPr>
          <w:rFonts w:ascii="Arial" w:eastAsia="Palatino Linotype" w:hAnsi="Arial" w:cs="Arial"/>
          <w:lang w:val="en-US"/>
        </w:rPr>
      </w:pPr>
    </w:p>
    <w:p w14:paraId="10BA9D17" w14:textId="5F8A8D42" w:rsidR="00A106AE" w:rsidRDefault="00A106AE" w:rsidP="0038082E">
      <w:pPr>
        <w:widowControl w:val="0"/>
        <w:spacing w:before="72"/>
        <w:ind w:right="220"/>
        <w:rPr>
          <w:rFonts w:ascii="Arial" w:eastAsia="Palatino Linotype" w:hAnsi="Arial" w:cs="Arial"/>
          <w:lang w:val="en-US"/>
        </w:rPr>
      </w:pPr>
    </w:p>
    <w:p w14:paraId="6159FB29" w14:textId="7F4F8170" w:rsidR="00A106AE" w:rsidRDefault="00A106AE" w:rsidP="0038082E">
      <w:pPr>
        <w:widowControl w:val="0"/>
        <w:spacing w:before="72"/>
        <w:ind w:right="220"/>
        <w:rPr>
          <w:rFonts w:ascii="Arial" w:eastAsia="Palatino Linotype" w:hAnsi="Arial" w:cs="Arial"/>
          <w:lang w:val="en-US"/>
        </w:rPr>
      </w:pPr>
    </w:p>
    <w:p w14:paraId="1926B3EE" w14:textId="77777777" w:rsidR="00F7578E" w:rsidRDefault="00F7578E" w:rsidP="0038082E">
      <w:pPr>
        <w:widowControl w:val="0"/>
        <w:spacing w:before="72"/>
        <w:ind w:right="220"/>
        <w:rPr>
          <w:rFonts w:ascii="Arial" w:eastAsia="Palatino Linotype" w:hAnsi="Arial" w:cs="Arial"/>
          <w:lang w:val="en-US"/>
        </w:rPr>
      </w:pPr>
    </w:p>
    <w:p w14:paraId="0861F9A1" w14:textId="77777777" w:rsidR="00F7578E" w:rsidRDefault="00F7578E" w:rsidP="0038082E">
      <w:pPr>
        <w:widowControl w:val="0"/>
        <w:spacing w:before="72"/>
        <w:ind w:right="220"/>
        <w:rPr>
          <w:rFonts w:ascii="Arial" w:eastAsia="Palatino Linotype" w:hAnsi="Arial" w:cs="Arial"/>
          <w:lang w:val="en-US"/>
        </w:rPr>
      </w:pPr>
    </w:p>
    <w:p w14:paraId="2825B1BB" w14:textId="6ACF82FB" w:rsidR="00A106AE" w:rsidRDefault="00A106AE" w:rsidP="0038082E">
      <w:pPr>
        <w:widowControl w:val="0"/>
        <w:spacing w:before="72"/>
        <w:ind w:right="220"/>
        <w:rPr>
          <w:rFonts w:ascii="Arial" w:eastAsia="Palatino Linotype" w:hAnsi="Arial" w:cs="Arial"/>
          <w:lang w:val="en-US"/>
        </w:rPr>
      </w:pPr>
    </w:p>
    <w:p w14:paraId="35E0B66B" w14:textId="798C5934" w:rsidR="00A106AE" w:rsidRDefault="00A106AE" w:rsidP="0038082E">
      <w:pPr>
        <w:widowControl w:val="0"/>
        <w:spacing w:before="72"/>
        <w:ind w:right="220"/>
        <w:rPr>
          <w:rFonts w:ascii="Arial" w:eastAsia="Palatino Linotype" w:hAnsi="Arial" w:cs="Arial"/>
          <w:lang w:val="en-US"/>
        </w:rPr>
      </w:pPr>
    </w:p>
    <w:p w14:paraId="4B328ED5" w14:textId="20C9E131" w:rsidR="004C7E94" w:rsidRPr="0007572B" w:rsidRDefault="00FC62F7" w:rsidP="0038082E">
      <w:pPr>
        <w:pStyle w:val="Heading3greennumbered"/>
      </w:pPr>
      <w:bookmarkStart w:id="103" w:name="_Toc92894878"/>
      <w:bookmarkStart w:id="104" w:name="_Toc92895182"/>
      <w:bookmarkStart w:id="105" w:name="_Toc109922616"/>
      <w:r w:rsidRPr="0007572B">
        <w:lastRenderedPageBreak/>
        <w:t xml:space="preserve">7a </w:t>
      </w:r>
      <w:r w:rsidR="004E11FD" w:rsidRPr="0007572B">
        <w:t>Expenditure and Funding Analysis</w:t>
      </w:r>
      <w:bookmarkEnd w:id="103"/>
      <w:bookmarkEnd w:id="104"/>
      <w:bookmarkEnd w:id="105"/>
    </w:p>
    <w:p w14:paraId="2EE94785" w14:textId="77777777" w:rsidR="005403AF" w:rsidRDefault="005403AF" w:rsidP="0038082E">
      <w:pPr>
        <w:rPr>
          <w:rFonts w:ascii="Arial" w:hAnsi="Arial" w:cs="Arial"/>
        </w:rPr>
      </w:pPr>
    </w:p>
    <w:p w14:paraId="726B5EFE" w14:textId="5684145C" w:rsidR="00CB19DF" w:rsidRDefault="004E552A" w:rsidP="0038082E">
      <w:pPr>
        <w:rPr>
          <w:rFonts w:ascii="Arial" w:hAnsi="Arial" w:cs="Arial"/>
        </w:rPr>
      </w:pPr>
      <w:r w:rsidRPr="0007572B">
        <w:rPr>
          <w:rFonts w:ascii="Arial" w:hAnsi="Arial" w:cs="Arial"/>
        </w:rPr>
        <w:t xml:space="preserve">The Expenditure and Funding Analysis shows how annual expenditure is used and funded from resources by the Authority in comparison to those resources consumed or earned by the Authority in accordance with generally accepted accounting practices. It also shows how the expenditure is allocated between </w:t>
      </w:r>
      <w:r w:rsidR="00FB1945">
        <w:rPr>
          <w:rFonts w:ascii="Arial" w:hAnsi="Arial" w:cs="Arial"/>
        </w:rPr>
        <w:t>s</w:t>
      </w:r>
      <w:r w:rsidRPr="0007572B">
        <w:rPr>
          <w:rFonts w:ascii="Arial" w:hAnsi="Arial" w:cs="Arial"/>
        </w:rPr>
        <w:t>ervices. Income and expenditure accounted for under generally accepted accounting practice is presented more fully in the Comprehensive Income and Expenditure Statement.</w:t>
      </w:r>
    </w:p>
    <w:p w14:paraId="240DF174" w14:textId="4C919186" w:rsidR="002E56A4" w:rsidRDefault="002E56A4" w:rsidP="0038082E">
      <w:pPr>
        <w:rPr>
          <w:rFonts w:ascii="Arial" w:hAnsi="Arial" w:cs="Arial"/>
        </w:rPr>
      </w:pPr>
    </w:p>
    <w:p w14:paraId="03A1AF80" w14:textId="1D210D35" w:rsidR="00AC4453" w:rsidRDefault="000378D5" w:rsidP="00A106AE">
      <w:pPr>
        <w:rPr>
          <w:rFonts w:ascii="Arial" w:hAnsi="Arial" w:cs="Arial"/>
        </w:rPr>
      </w:pPr>
      <w:bookmarkStart w:id="106" w:name="_Toc92894879"/>
      <w:bookmarkStart w:id="107" w:name="_Toc92895183"/>
      <w:r w:rsidRPr="000378D5">
        <w:rPr>
          <w:noProof/>
        </w:rPr>
        <w:drawing>
          <wp:inline distT="0" distB="0" distL="0" distR="0" wp14:anchorId="0163E379" wp14:editId="22D1CE62">
            <wp:extent cx="5975350" cy="2735580"/>
            <wp:effectExtent l="0" t="0" r="635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350" cy="2735580"/>
                    </a:xfrm>
                    <a:prstGeom prst="rect">
                      <a:avLst/>
                    </a:prstGeom>
                    <a:noFill/>
                    <a:ln>
                      <a:noFill/>
                    </a:ln>
                  </pic:spPr>
                </pic:pic>
              </a:graphicData>
            </a:graphic>
          </wp:inline>
        </w:drawing>
      </w:r>
    </w:p>
    <w:p w14:paraId="611DC1A0" w14:textId="17199578" w:rsidR="00A106AE" w:rsidRPr="00A106AE" w:rsidRDefault="00A106AE" w:rsidP="00A106AE">
      <w:pPr>
        <w:rPr>
          <w:rFonts w:ascii="Arial" w:hAnsi="Arial" w:cs="Arial"/>
        </w:rPr>
      </w:pPr>
    </w:p>
    <w:p w14:paraId="6BA06E53" w14:textId="610047FB" w:rsidR="00F2757F" w:rsidRPr="0007572B" w:rsidRDefault="00FC62F7" w:rsidP="0038082E">
      <w:pPr>
        <w:pStyle w:val="Heading3greennumbered"/>
      </w:pPr>
      <w:bookmarkStart w:id="108" w:name="_Toc109922617"/>
      <w:r w:rsidRPr="0007572B">
        <w:t xml:space="preserve">7b </w:t>
      </w:r>
      <w:r w:rsidR="00F2757F" w:rsidRPr="0007572B">
        <w:t>Note to the Expenditure and Funding Analysi</w:t>
      </w:r>
      <w:bookmarkEnd w:id="106"/>
      <w:bookmarkEnd w:id="107"/>
      <w:bookmarkEnd w:id="108"/>
      <w:r w:rsidR="00724DE4">
        <w:t>s</w:t>
      </w:r>
    </w:p>
    <w:p w14:paraId="04B55FC4" w14:textId="77777777" w:rsidR="00AC5506" w:rsidRDefault="00AC5506" w:rsidP="0038082E">
      <w:pPr>
        <w:keepNext/>
        <w:rPr>
          <w:rFonts w:ascii="Arial" w:hAnsi="Arial" w:cs="Arial"/>
          <w:b/>
          <w:sz w:val="22"/>
          <w:szCs w:val="22"/>
        </w:rPr>
      </w:pPr>
    </w:p>
    <w:p w14:paraId="14C35EC9" w14:textId="41E9D9B3" w:rsidR="002E56A4" w:rsidRDefault="002E56A4" w:rsidP="0038082E">
      <w:pPr>
        <w:keepNext/>
        <w:rPr>
          <w:rFonts w:ascii="Arial" w:hAnsi="Arial" w:cs="Arial"/>
          <w:b/>
          <w:sz w:val="22"/>
          <w:szCs w:val="22"/>
        </w:rPr>
      </w:pPr>
    </w:p>
    <w:p w14:paraId="6F3BE45B" w14:textId="2D4C7296" w:rsidR="00AC38C5" w:rsidRDefault="000378D5" w:rsidP="0038082E">
      <w:pPr>
        <w:jc w:val="both"/>
        <w:rPr>
          <w:rFonts w:ascii="Arial" w:hAnsi="Arial" w:cs="Arial"/>
          <w:sz w:val="22"/>
          <w:szCs w:val="22"/>
        </w:rPr>
      </w:pPr>
      <w:r w:rsidRPr="000378D5">
        <w:rPr>
          <w:noProof/>
        </w:rPr>
        <w:drawing>
          <wp:inline distT="0" distB="0" distL="0" distR="0" wp14:anchorId="5AADE608" wp14:editId="5445491F">
            <wp:extent cx="5975350" cy="2238375"/>
            <wp:effectExtent l="0" t="0" r="635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5350" cy="2238375"/>
                    </a:xfrm>
                    <a:prstGeom prst="rect">
                      <a:avLst/>
                    </a:prstGeom>
                    <a:noFill/>
                    <a:ln>
                      <a:noFill/>
                    </a:ln>
                  </pic:spPr>
                </pic:pic>
              </a:graphicData>
            </a:graphic>
          </wp:inline>
        </w:drawing>
      </w:r>
    </w:p>
    <w:p w14:paraId="6403C857" w14:textId="77777777" w:rsidR="002E56A4" w:rsidRDefault="002E56A4" w:rsidP="0038082E">
      <w:pPr>
        <w:jc w:val="both"/>
        <w:rPr>
          <w:rFonts w:ascii="Arial" w:hAnsi="Arial" w:cs="Arial"/>
          <w:sz w:val="22"/>
          <w:szCs w:val="22"/>
        </w:rPr>
      </w:pPr>
    </w:p>
    <w:p w14:paraId="40CA62DA" w14:textId="37204113" w:rsidR="004E552A" w:rsidRPr="0007572B" w:rsidRDefault="00A334F6" w:rsidP="0038082E">
      <w:pPr>
        <w:pStyle w:val="Normal0"/>
        <w:spacing w:after="160" w:line="240" w:lineRule="auto"/>
        <w:ind w:left="720" w:hanging="720"/>
        <w:rPr>
          <w:rFonts w:ascii="Arial" w:hAnsi="Arial" w:cs="Arial"/>
          <w:sz w:val="24"/>
          <w:szCs w:val="24"/>
          <w:lang w:val="en-GB"/>
        </w:rPr>
      </w:pPr>
      <w:r w:rsidRPr="0007572B">
        <w:rPr>
          <w:rFonts w:ascii="Arial" w:hAnsi="Arial" w:cs="Arial"/>
          <w:sz w:val="24"/>
          <w:szCs w:val="24"/>
        </w:rPr>
        <w:t>a)</w:t>
      </w:r>
      <w:r w:rsidRPr="0007572B">
        <w:rPr>
          <w:rFonts w:ascii="Arial" w:hAnsi="Arial" w:cs="Arial"/>
          <w:sz w:val="24"/>
          <w:szCs w:val="24"/>
        </w:rPr>
        <w:tab/>
      </w:r>
      <w:r w:rsidR="004E552A" w:rsidRPr="0007572B">
        <w:rPr>
          <w:rFonts w:ascii="Arial" w:hAnsi="Arial" w:cs="Arial"/>
          <w:sz w:val="24"/>
          <w:szCs w:val="24"/>
          <w:lang w:val="en-GB"/>
        </w:rPr>
        <w:t>Adjustments for capital purposes – this column adds in depreciation and impairment and revaluation gains and losses in</w:t>
      </w:r>
      <w:r w:rsidR="000C2D30" w:rsidRPr="0007572B">
        <w:rPr>
          <w:rFonts w:ascii="Arial" w:hAnsi="Arial" w:cs="Arial"/>
          <w:sz w:val="24"/>
          <w:szCs w:val="24"/>
          <w:lang w:val="en-GB"/>
        </w:rPr>
        <w:t xml:space="preserve"> the services line, and for:</w:t>
      </w:r>
    </w:p>
    <w:p w14:paraId="2F3F2C73" w14:textId="77777777" w:rsidR="004E552A" w:rsidRPr="0007572B" w:rsidRDefault="004E552A" w:rsidP="0038082E">
      <w:pPr>
        <w:pStyle w:val="Normal0"/>
        <w:spacing w:after="160" w:line="240" w:lineRule="auto"/>
        <w:ind w:left="1440"/>
        <w:rPr>
          <w:rFonts w:ascii="Arial" w:hAnsi="Arial" w:cs="Arial"/>
          <w:sz w:val="24"/>
          <w:szCs w:val="24"/>
          <w:lang w:val="en-GB"/>
        </w:rPr>
      </w:pPr>
      <w:r w:rsidRPr="0007572B">
        <w:rPr>
          <w:rFonts w:ascii="Arial" w:hAnsi="Arial" w:cs="Arial"/>
          <w:sz w:val="24"/>
          <w:szCs w:val="24"/>
          <w:lang w:val="en-GB"/>
        </w:rPr>
        <w:t>- Other operating expenditure – adjusts for capital disposals with a transfer of income on disposal of assets and the amounts wr</w:t>
      </w:r>
      <w:r w:rsidR="000C2D30" w:rsidRPr="0007572B">
        <w:rPr>
          <w:rFonts w:ascii="Arial" w:hAnsi="Arial" w:cs="Arial"/>
          <w:sz w:val="24"/>
          <w:szCs w:val="24"/>
          <w:lang w:val="en-GB"/>
        </w:rPr>
        <w:t>itten off for those assets.</w:t>
      </w:r>
    </w:p>
    <w:p w14:paraId="2598F6CB" w14:textId="77777777" w:rsidR="004E552A" w:rsidRPr="0007572B" w:rsidRDefault="004E552A" w:rsidP="0038082E">
      <w:pPr>
        <w:pStyle w:val="Normal0"/>
        <w:spacing w:after="160" w:line="240" w:lineRule="auto"/>
        <w:ind w:left="1440"/>
        <w:rPr>
          <w:rFonts w:ascii="Arial" w:hAnsi="Arial" w:cs="Arial"/>
          <w:sz w:val="24"/>
          <w:szCs w:val="24"/>
          <w:lang w:val="en-GB"/>
        </w:rPr>
      </w:pPr>
      <w:r w:rsidRPr="0007572B">
        <w:rPr>
          <w:rFonts w:ascii="Arial" w:hAnsi="Arial" w:cs="Arial"/>
          <w:sz w:val="24"/>
          <w:szCs w:val="24"/>
          <w:lang w:val="en-GB"/>
        </w:rPr>
        <w:lastRenderedPageBreak/>
        <w:t>- Financing and investment income and expenditure – the statutory charges for capital financing i</w:t>
      </w:r>
      <w:r w:rsidR="000C2D30" w:rsidRPr="0007572B">
        <w:rPr>
          <w:rFonts w:ascii="Arial" w:hAnsi="Arial" w:cs="Arial"/>
          <w:sz w:val="24"/>
          <w:szCs w:val="24"/>
          <w:lang w:val="en-GB"/>
        </w:rPr>
        <w:t>.</w:t>
      </w:r>
      <w:r w:rsidRPr="0007572B">
        <w:rPr>
          <w:rFonts w:ascii="Arial" w:hAnsi="Arial" w:cs="Arial"/>
          <w:sz w:val="24"/>
          <w:szCs w:val="24"/>
          <w:lang w:val="en-GB"/>
        </w:rPr>
        <w:t>e</w:t>
      </w:r>
      <w:r w:rsidR="000C2D30" w:rsidRPr="0007572B">
        <w:rPr>
          <w:rFonts w:ascii="Arial" w:hAnsi="Arial" w:cs="Arial"/>
          <w:sz w:val="24"/>
          <w:szCs w:val="24"/>
          <w:lang w:val="en-GB"/>
        </w:rPr>
        <w:t>.</w:t>
      </w:r>
      <w:r w:rsidRPr="0007572B">
        <w:rPr>
          <w:rFonts w:ascii="Arial" w:hAnsi="Arial" w:cs="Arial"/>
          <w:sz w:val="24"/>
          <w:szCs w:val="24"/>
          <w:lang w:val="en-GB"/>
        </w:rPr>
        <w:t xml:space="preserve"> Minimum Revenue Provision and other revenue contributions are deducted from other income and expenditure as these are not chargeable under generally acc</w:t>
      </w:r>
      <w:r w:rsidR="000C2D30" w:rsidRPr="0007572B">
        <w:rPr>
          <w:rFonts w:ascii="Arial" w:hAnsi="Arial" w:cs="Arial"/>
          <w:sz w:val="24"/>
          <w:szCs w:val="24"/>
          <w:lang w:val="en-GB"/>
        </w:rPr>
        <w:t>epted accounting practices.</w:t>
      </w:r>
    </w:p>
    <w:p w14:paraId="78409A5E" w14:textId="39C59360" w:rsidR="00A334F6" w:rsidRPr="0007572B" w:rsidRDefault="004E552A" w:rsidP="0038082E">
      <w:pPr>
        <w:ind w:left="1440"/>
        <w:rPr>
          <w:rFonts w:ascii="Arial" w:hAnsi="Arial" w:cs="Arial"/>
        </w:rPr>
      </w:pPr>
      <w:r w:rsidRPr="0007572B">
        <w:rPr>
          <w:rFonts w:ascii="Arial" w:hAnsi="Arial" w:cs="Arial"/>
        </w:rPr>
        <w:t>- Taxation and non-specific grant income and expenditure –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w:t>
      </w:r>
      <w:r w:rsidR="000C364F" w:rsidRPr="0007572B">
        <w:rPr>
          <w:rFonts w:ascii="Arial" w:hAnsi="Arial" w:cs="Arial"/>
        </w:rPr>
        <w:t>-</w:t>
      </w:r>
      <w:r w:rsidRPr="0007572B">
        <w:rPr>
          <w:rFonts w:ascii="Arial" w:hAnsi="Arial" w:cs="Arial"/>
        </w:rPr>
        <w:t>Specific Grant Income and Expenditure line is credited with capital grants receivable in the year without conditions or for which conditions were satisfied in the year.</w:t>
      </w:r>
    </w:p>
    <w:p w14:paraId="616EF312" w14:textId="77777777" w:rsidR="00A334F6" w:rsidRPr="0007572B" w:rsidRDefault="00A334F6" w:rsidP="0038082E">
      <w:pPr>
        <w:ind w:left="720" w:hanging="720"/>
        <w:rPr>
          <w:rFonts w:ascii="Arial" w:hAnsi="Arial" w:cs="Arial"/>
        </w:rPr>
      </w:pPr>
    </w:p>
    <w:p w14:paraId="786FDB2B" w14:textId="77777777" w:rsidR="000C2D30" w:rsidRPr="0007572B" w:rsidRDefault="00A334F6" w:rsidP="0038082E">
      <w:pPr>
        <w:pStyle w:val="Normal0"/>
        <w:spacing w:after="160" w:line="240" w:lineRule="auto"/>
        <w:ind w:left="720" w:hanging="720"/>
        <w:rPr>
          <w:rFonts w:ascii="Arial" w:hAnsi="Arial" w:cs="Arial"/>
          <w:sz w:val="24"/>
          <w:szCs w:val="24"/>
          <w:lang w:val="en-GB"/>
        </w:rPr>
      </w:pPr>
      <w:r w:rsidRPr="0007572B">
        <w:rPr>
          <w:rFonts w:ascii="Arial" w:hAnsi="Arial" w:cs="Arial"/>
          <w:sz w:val="24"/>
          <w:szCs w:val="24"/>
        </w:rPr>
        <w:t>b)</w:t>
      </w:r>
      <w:r w:rsidRPr="0007572B">
        <w:rPr>
          <w:rFonts w:ascii="Arial" w:hAnsi="Arial" w:cs="Arial"/>
          <w:sz w:val="24"/>
          <w:szCs w:val="24"/>
        </w:rPr>
        <w:tab/>
      </w:r>
      <w:r w:rsidR="000C2D30" w:rsidRPr="0007572B">
        <w:rPr>
          <w:rFonts w:ascii="Arial" w:hAnsi="Arial" w:cs="Arial"/>
          <w:sz w:val="24"/>
          <w:szCs w:val="24"/>
          <w:lang w:val="en-GB"/>
        </w:rPr>
        <w:t xml:space="preserve">Net Change for the Pensions Adjustments - Net change for the removal of pension contributions and the addition of IAS 19 Employee Benefits pension related expenditure and income: </w:t>
      </w:r>
    </w:p>
    <w:p w14:paraId="7637F475" w14:textId="0C136A1B" w:rsidR="000C2D30" w:rsidRPr="0007572B" w:rsidRDefault="000C2D30" w:rsidP="0038082E">
      <w:pPr>
        <w:pStyle w:val="Normal0"/>
        <w:spacing w:after="160" w:line="240" w:lineRule="auto"/>
        <w:ind w:left="1440"/>
        <w:rPr>
          <w:rFonts w:ascii="Arial" w:hAnsi="Arial" w:cs="Arial"/>
          <w:sz w:val="24"/>
          <w:szCs w:val="24"/>
          <w:lang w:val="en-GB"/>
        </w:rPr>
      </w:pPr>
      <w:r w:rsidRPr="0007572B">
        <w:rPr>
          <w:rFonts w:ascii="Arial" w:hAnsi="Arial" w:cs="Arial"/>
          <w:sz w:val="24"/>
          <w:szCs w:val="24"/>
          <w:lang w:val="en-GB"/>
        </w:rPr>
        <w:t xml:space="preserve">- For services this represents the removal of the employer pension contributions made by the </w:t>
      </w:r>
      <w:r w:rsidR="000713CE" w:rsidRPr="0007572B">
        <w:rPr>
          <w:rFonts w:ascii="Arial" w:hAnsi="Arial" w:cs="Arial"/>
          <w:sz w:val="24"/>
          <w:szCs w:val="24"/>
          <w:lang w:val="en-GB"/>
        </w:rPr>
        <w:t>A</w:t>
      </w:r>
      <w:r w:rsidRPr="0007572B">
        <w:rPr>
          <w:rFonts w:ascii="Arial" w:hAnsi="Arial" w:cs="Arial"/>
          <w:sz w:val="24"/>
          <w:szCs w:val="24"/>
          <w:lang w:val="en-GB"/>
        </w:rPr>
        <w:t>uthority as allowed by statute and the replacement with current service costs and past service costs.</w:t>
      </w:r>
    </w:p>
    <w:p w14:paraId="5BAA25D0" w14:textId="0BCFA349" w:rsidR="00A334F6" w:rsidRPr="0007572B" w:rsidRDefault="000C2D30" w:rsidP="0038082E">
      <w:pPr>
        <w:ind w:left="1440"/>
        <w:rPr>
          <w:rFonts w:ascii="Arial" w:hAnsi="Arial" w:cs="Arial"/>
        </w:rPr>
      </w:pPr>
      <w:r w:rsidRPr="0007572B">
        <w:rPr>
          <w:rFonts w:ascii="Arial" w:hAnsi="Arial" w:cs="Arial"/>
        </w:rPr>
        <w:t>- For Financing and investment income and expenditure – the net interest on the defined benefit liability is charged to the CIES.</w:t>
      </w:r>
      <w:r w:rsidR="00A334F6" w:rsidRPr="0007572B">
        <w:rPr>
          <w:rFonts w:ascii="Arial" w:hAnsi="Arial" w:cs="Arial"/>
        </w:rPr>
        <w:t xml:space="preserve"> </w:t>
      </w:r>
    </w:p>
    <w:p w14:paraId="37B7D201" w14:textId="77777777" w:rsidR="00B4518D" w:rsidRPr="0007572B" w:rsidRDefault="00B4518D" w:rsidP="0038082E">
      <w:pPr>
        <w:ind w:left="1440"/>
        <w:rPr>
          <w:rFonts w:ascii="Arial" w:hAnsi="Arial" w:cs="Arial"/>
        </w:rPr>
      </w:pPr>
    </w:p>
    <w:p w14:paraId="343319EB" w14:textId="77777777" w:rsidR="000C2D30" w:rsidRPr="0007572B" w:rsidRDefault="00A334F6" w:rsidP="0038082E">
      <w:pPr>
        <w:pStyle w:val="Normal0"/>
        <w:spacing w:after="160" w:line="240" w:lineRule="auto"/>
        <w:ind w:left="720" w:hanging="720"/>
        <w:rPr>
          <w:rFonts w:ascii="Arial" w:hAnsi="Arial" w:cs="Arial"/>
          <w:sz w:val="24"/>
          <w:szCs w:val="24"/>
          <w:lang w:val="en-GB"/>
        </w:rPr>
      </w:pPr>
      <w:r w:rsidRPr="0007572B">
        <w:rPr>
          <w:rFonts w:ascii="Arial" w:hAnsi="Arial" w:cs="Arial"/>
          <w:sz w:val="24"/>
          <w:szCs w:val="24"/>
        </w:rPr>
        <w:t>c)</w:t>
      </w:r>
      <w:r w:rsidRPr="0007572B">
        <w:rPr>
          <w:rFonts w:ascii="Arial" w:hAnsi="Arial" w:cs="Arial"/>
          <w:sz w:val="24"/>
          <w:szCs w:val="24"/>
        </w:rPr>
        <w:tab/>
      </w:r>
      <w:r w:rsidR="000C2D30" w:rsidRPr="0007572B">
        <w:rPr>
          <w:rFonts w:ascii="Arial" w:hAnsi="Arial" w:cs="Arial"/>
          <w:sz w:val="24"/>
          <w:szCs w:val="24"/>
          <w:lang w:val="en-GB"/>
        </w:rPr>
        <w:t>Other Differences - Other differences between amounts debited/credited to the Comprehensive Income and Expenditure Statement and amounts payable/receivable to be recognised under statute:</w:t>
      </w:r>
    </w:p>
    <w:p w14:paraId="27761A60" w14:textId="77777777" w:rsidR="000C2D30" w:rsidRPr="0007572B" w:rsidRDefault="000C2D30" w:rsidP="0038082E">
      <w:pPr>
        <w:pStyle w:val="Normal0"/>
        <w:spacing w:after="160" w:line="240" w:lineRule="auto"/>
        <w:ind w:left="1440"/>
        <w:rPr>
          <w:rFonts w:ascii="Arial" w:hAnsi="Arial" w:cs="Arial"/>
          <w:sz w:val="24"/>
          <w:szCs w:val="24"/>
          <w:lang w:val="en-GB"/>
        </w:rPr>
      </w:pPr>
      <w:r w:rsidRPr="0007572B">
        <w:rPr>
          <w:rFonts w:ascii="Arial" w:hAnsi="Arial" w:cs="Arial"/>
          <w:sz w:val="24"/>
          <w:szCs w:val="24"/>
          <w:lang w:val="en-GB"/>
        </w:rPr>
        <w:t>- For Financing and investment income and expenditure the other differences column recognises adjustments to the General Fund for the timing differences for premiums and discounts.</w:t>
      </w:r>
    </w:p>
    <w:p w14:paraId="78DE8BB8" w14:textId="77777777" w:rsidR="00A334F6" w:rsidRPr="0007572B" w:rsidRDefault="000C2D30" w:rsidP="0038082E">
      <w:pPr>
        <w:ind w:left="1440"/>
        <w:rPr>
          <w:rFonts w:ascii="Arial" w:hAnsi="Arial" w:cs="Arial"/>
        </w:rPr>
      </w:pPr>
      <w:r w:rsidRPr="0007572B">
        <w:rPr>
          <w:rFonts w:ascii="Arial" w:hAnsi="Arial" w:cs="Arial"/>
        </w:rPr>
        <w:t>- The charge under Taxation and non-specific grant income and expenditure represents the difference between what is chargeable under statutory regulations for council tax and NDR that was projected to be received at the start of the year and the income recognised under generally accepted accounting practices in the Code. This is a timing difference as any difference will be brought forward in future Surpluses or Deficits on the Collection Fund.</w:t>
      </w:r>
    </w:p>
    <w:p w14:paraId="0CA3108D" w14:textId="77777777" w:rsidR="000C2D30" w:rsidRPr="0007572B" w:rsidRDefault="000C2D30" w:rsidP="0038082E">
      <w:pPr>
        <w:ind w:left="720" w:hanging="720"/>
        <w:jc w:val="both"/>
        <w:rPr>
          <w:rFonts w:ascii="Arial" w:hAnsi="Arial" w:cs="Arial"/>
        </w:rPr>
      </w:pPr>
    </w:p>
    <w:p w14:paraId="17AA1BAC" w14:textId="60108B2A" w:rsidR="00027BE1" w:rsidRPr="0007572B" w:rsidRDefault="00027BE1" w:rsidP="0038082E">
      <w:pPr>
        <w:pStyle w:val="Normal0"/>
        <w:spacing w:after="160" w:line="240" w:lineRule="auto"/>
        <w:ind w:left="720" w:hanging="720"/>
        <w:jc w:val="both"/>
        <w:rPr>
          <w:rFonts w:ascii="Arial" w:hAnsi="Arial" w:cs="Arial"/>
          <w:b/>
          <w:sz w:val="22"/>
          <w:szCs w:val="22"/>
        </w:rPr>
      </w:pPr>
    </w:p>
    <w:p w14:paraId="73F45B51" w14:textId="77777777" w:rsidR="00027BE1" w:rsidRPr="0007572B" w:rsidRDefault="00027BE1" w:rsidP="0038082E">
      <w:pPr>
        <w:rPr>
          <w:rFonts w:ascii="Arial" w:hAnsi="Arial" w:cs="Arial"/>
          <w:b/>
          <w:sz w:val="22"/>
          <w:szCs w:val="22"/>
        </w:rPr>
        <w:sectPr w:rsidR="00027BE1" w:rsidRPr="0007572B" w:rsidSect="00171330">
          <w:pgSz w:w="11906" w:h="16838"/>
          <w:pgMar w:top="1444" w:right="1416" w:bottom="1440" w:left="1080" w:header="568" w:footer="567" w:gutter="0"/>
          <w:cols w:space="708"/>
          <w:docGrid w:linePitch="360"/>
        </w:sectPr>
      </w:pPr>
    </w:p>
    <w:p w14:paraId="016CCB50" w14:textId="60048D73" w:rsidR="004E11FD" w:rsidRPr="0007572B" w:rsidRDefault="00FC62F7" w:rsidP="0038082E">
      <w:pPr>
        <w:pStyle w:val="Heading3greennumbered"/>
      </w:pPr>
      <w:bookmarkStart w:id="109" w:name="_Toc92894880"/>
      <w:bookmarkStart w:id="110" w:name="_Toc92895184"/>
      <w:bookmarkStart w:id="111" w:name="_Toc109922618"/>
      <w:r w:rsidRPr="0007572B">
        <w:lastRenderedPageBreak/>
        <w:t xml:space="preserve">8 </w:t>
      </w:r>
      <w:r w:rsidR="00F2757F" w:rsidRPr="0007572B">
        <w:t xml:space="preserve">Adjustments </w:t>
      </w:r>
      <w:r w:rsidR="00D35A13" w:rsidRPr="0007572B">
        <w:t>between</w:t>
      </w:r>
      <w:r w:rsidR="00F2757F" w:rsidRPr="0007572B">
        <w:t xml:space="preserve"> </w:t>
      </w:r>
      <w:r w:rsidR="0063513E" w:rsidRPr="0007572B">
        <w:t>A</w:t>
      </w:r>
      <w:r w:rsidR="00F2757F" w:rsidRPr="0007572B">
        <w:t xml:space="preserve">ccounting </w:t>
      </w:r>
      <w:r w:rsidR="0063513E" w:rsidRPr="0007572B">
        <w:t>B</w:t>
      </w:r>
      <w:r w:rsidR="00F2757F" w:rsidRPr="0007572B">
        <w:t xml:space="preserve">asis and </w:t>
      </w:r>
      <w:r w:rsidR="0063513E" w:rsidRPr="0007572B">
        <w:t>F</w:t>
      </w:r>
      <w:r w:rsidR="00F2757F" w:rsidRPr="0007572B">
        <w:t xml:space="preserve">unding </w:t>
      </w:r>
      <w:r w:rsidR="0063513E" w:rsidRPr="0007572B">
        <w:t>B</w:t>
      </w:r>
      <w:r w:rsidR="00F2757F" w:rsidRPr="0007572B">
        <w:t xml:space="preserve">asis under </w:t>
      </w:r>
      <w:r w:rsidR="0063513E" w:rsidRPr="0007572B">
        <w:t>R</w:t>
      </w:r>
      <w:r w:rsidR="00F2757F" w:rsidRPr="0007572B">
        <w:t>egulations</w:t>
      </w:r>
      <w:bookmarkEnd w:id="109"/>
      <w:bookmarkEnd w:id="110"/>
      <w:bookmarkEnd w:id="111"/>
    </w:p>
    <w:p w14:paraId="5BB23207" w14:textId="77777777" w:rsidR="005403AF" w:rsidRDefault="005403AF" w:rsidP="0038082E">
      <w:pPr>
        <w:pStyle w:val="Normal0"/>
        <w:spacing w:line="240" w:lineRule="auto"/>
        <w:rPr>
          <w:rFonts w:ascii="Arial" w:eastAsia="Verdana" w:hAnsi="Arial" w:cs="Arial"/>
          <w:sz w:val="24"/>
          <w:szCs w:val="24"/>
          <w:lang w:val="en-GB"/>
        </w:rPr>
      </w:pPr>
    </w:p>
    <w:p w14:paraId="04136F35" w14:textId="46699627" w:rsidR="000C2D30" w:rsidRPr="0007572B" w:rsidRDefault="000C2D30" w:rsidP="0038082E">
      <w:pPr>
        <w:pStyle w:val="Normal0"/>
        <w:spacing w:after="160" w:line="240" w:lineRule="auto"/>
        <w:rPr>
          <w:rFonts w:ascii="Arial" w:eastAsia="Verdana" w:hAnsi="Arial" w:cs="Arial"/>
          <w:sz w:val="24"/>
          <w:szCs w:val="24"/>
          <w:lang w:val="en-GB"/>
        </w:rPr>
      </w:pPr>
      <w:r w:rsidRPr="0007572B">
        <w:rPr>
          <w:rFonts w:ascii="Arial" w:eastAsia="Verdana" w:hAnsi="Arial" w:cs="Arial"/>
          <w:sz w:val="24"/>
          <w:szCs w:val="24"/>
          <w:lang w:val="en-GB"/>
        </w:rPr>
        <w:t xml:space="preserve">This note details the adjustments that are made to the total comprehensive income and expenditure recognised by the Authority in the year in accordance with proper accounting practice to arrive at the resources that are specified by statutory provisions as being available to the Authority to meet future capital and revenue expenditure. The following sets out a description of the reserves that the adjustments are made against. </w:t>
      </w:r>
    </w:p>
    <w:p w14:paraId="789DE9B7" w14:textId="77777777" w:rsidR="000C2D30" w:rsidRPr="0007572B" w:rsidRDefault="000C2D30" w:rsidP="0038082E">
      <w:pPr>
        <w:pStyle w:val="Heading4bold"/>
        <w:rPr>
          <w:rFonts w:eastAsia="Verdana"/>
        </w:rPr>
      </w:pPr>
      <w:r w:rsidRPr="0007572B">
        <w:rPr>
          <w:rFonts w:eastAsia="Verdana"/>
        </w:rPr>
        <w:t>General Fund Balance</w:t>
      </w:r>
    </w:p>
    <w:p w14:paraId="5D1C0ACA" w14:textId="431BE0F8" w:rsidR="000C2D30" w:rsidRPr="0007572B" w:rsidRDefault="000C2D30" w:rsidP="0038082E">
      <w:pPr>
        <w:pStyle w:val="Normal0"/>
        <w:spacing w:after="160" w:line="240" w:lineRule="auto"/>
        <w:rPr>
          <w:rFonts w:ascii="Arial" w:eastAsia="Verdana" w:hAnsi="Arial" w:cs="Arial"/>
          <w:sz w:val="24"/>
          <w:szCs w:val="24"/>
          <w:lang w:val="en-GB"/>
        </w:rPr>
      </w:pPr>
      <w:r w:rsidRPr="0007572B">
        <w:rPr>
          <w:rFonts w:ascii="Arial" w:eastAsia="Verdana" w:hAnsi="Arial" w:cs="Arial"/>
          <w:sz w:val="24"/>
          <w:szCs w:val="24"/>
          <w:lang w:val="en-GB"/>
        </w:rPr>
        <w:t xml:space="preserve">The General Fund is the statutory fund into which all the receipts of an Authority are required to </w:t>
      </w:r>
      <w:r w:rsidR="00FB1945">
        <w:rPr>
          <w:rFonts w:ascii="Arial" w:eastAsia="Verdana" w:hAnsi="Arial" w:cs="Arial"/>
          <w:sz w:val="24"/>
          <w:szCs w:val="24"/>
          <w:lang w:val="en-GB"/>
        </w:rPr>
        <w:t xml:space="preserve">be </w:t>
      </w:r>
      <w:r w:rsidRPr="0007572B">
        <w:rPr>
          <w:rFonts w:ascii="Arial" w:eastAsia="Verdana" w:hAnsi="Arial" w:cs="Arial"/>
          <w:sz w:val="24"/>
          <w:szCs w:val="24"/>
          <w:lang w:val="en-GB"/>
        </w:rPr>
        <w:t>paid and out of which all liabilities of the Authority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Authority is statutorily empowered to spend on its services or on capital investment (or the deficit of resources that the Authority is required to recover) at the end of the financial year.</w:t>
      </w:r>
    </w:p>
    <w:p w14:paraId="17D6C439" w14:textId="77777777" w:rsidR="000C2D30" w:rsidRPr="0007572B" w:rsidRDefault="000C2D30" w:rsidP="0038082E">
      <w:pPr>
        <w:pStyle w:val="Heading4bold"/>
        <w:rPr>
          <w:rFonts w:eastAsia="Verdana"/>
        </w:rPr>
      </w:pPr>
      <w:r w:rsidRPr="0007572B">
        <w:rPr>
          <w:rFonts w:eastAsia="Verdana"/>
        </w:rPr>
        <w:t>Capital Receipts Reserve</w:t>
      </w:r>
    </w:p>
    <w:p w14:paraId="25327435" w14:textId="77777777" w:rsidR="000C2D30" w:rsidRPr="0007572B" w:rsidRDefault="000C2D30" w:rsidP="0038082E">
      <w:pPr>
        <w:pStyle w:val="Normal0"/>
        <w:spacing w:after="160" w:line="240" w:lineRule="auto"/>
        <w:rPr>
          <w:rFonts w:ascii="Arial" w:eastAsia="Verdana" w:hAnsi="Arial" w:cs="Arial"/>
          <w:sz w:val="24"/>
          <w:szCs w:val="24"/>
          <w:lang w:val="en-GB"/>
        </w:rPr>
      </w:pPr>
      <w:r w:rsidRPr="0007572B">
        <w:rPr>
          <w:rFonts w:ascii="Arial" w:eastAsia="Verdana" w:hAnsi="Arial" w:cs="Arial"/>
          <w:sz w:val="24"/>
          <w:szCs w:val="24"/>
          <w:lang w:val="en-GB"/>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1BA0E342" w14:textId="77777777" w:rsidR="000C2D30" w:rsidRPr="0007572B" w:rsidRDefault="000C2D30" w:rsidP="0038082E">
      <w:pPr>
        <w:pStyle w:val="Heading4bold"/>
        <w:rPr>
          <w:rFonts w:eastAsia="Verdana"/>
        </w:rPr>
      </w:pPr>
      <w:r w:rsidRPr="0007572B">
        <w:rPr>
          <w:rFonts w:eastAsia="Verdana"/>
        </w:rPr>
        <w:t>Capital Grants Unapplied</w:t>
      </w:r>
    </w:p>
    <w:p w14:paraId="063B11D4" w14:textId="1233CE97" w:rsidR="004E11FD" w:rsidRDefault="000C2D30" w:rsidP="0038082E">
      <w:pPr>
        <w:rPr>
          <w:rFonts w:ascii="Arial" w:eastAsia="Verdana" w:hAnsi="Arial" w:cs="Arial"/>
        </w:rPr>
      </w:pPr>
      <w:r w:rsidRPr="0007572B">
        <w:rPr>
          <w:rFonts w:ascii="Arial" w:eastAsia="Verdana" w:hAnsi="Arial" w:cs="Arial"/>
        </w:rPr>
        <w:t xml:space="preserve">The Capital Grants Unapplied Account (Reserve) holds the grants and contributions received towards capital projects for which the Authority has met the conditions that would otherwise require repayment of the </w:t>
      </w:r>
      <w:r w:rsidR="00265D05" w:rsidRPr="0007572B">
        <w:rPr>
          <w:rFonts w:ascii="Arial" w:eastAsia="Verdana" w:hAnsi="Arial" w:cs="Arial"/>
        </w:rPr>
        <w:t>monies,</w:t>
      </w:r>
      <w:r w:rsidRPr="0007572B">
        <w:rPr>
          <w:rFonts w:ascii="Arial" w:eastAsia="Verdana" w:hAnsi="Arial" w:cs="Arial"/>
        </w:rPr>
        <w:t xml:space="preserve"> but which have yet to be applied to meet expenditure. The balance is restricted by grant terms as to the capital expenditure against which it can be applied and/or the financial year in which this can take place.</w:t>
      </w:r>
    </w:p>
    <w:p w14:paraId="6889278F" w14:textId="743E0C55" w:rsidR="006132E7" w:rsidRDefault="006132E7" w:rsidP="0038082E">
      <w:pPr>
        <w:rPr>
          <w:rFonts w:ascii="Arial" w:eastAsia="Verdana" w:hAnsi="Arial" w:cs="Arial"/>
        </w:rPr>
      </w:pPr>
    </w:p>
    <w:p w14:paraId="0B6C17A9" w14:textId="6C75A4BC" w:rsidR="006132E7" w:rsidRPr="0007572B" w:rsidRDefault="000378D5" w:rsidP="0038082E">
      <w:pPr>
        <w:rPr>
          <w:rFonts w:ascii="Arial" w:hAnsi="Arial" w:cs="Arial"/>
        </w:rPr>
      </w:pPr>
      <w:r w:rsidRPr="000378D5">
        <w:rPr>
          <w:noProof/>
        </w:rPr>
        <w:lastRenderedPageBreak/>
        <w:drawing>
          <wp:inline distT="0" distB="0" distL="0" distR="0" wp14:anchorId="10BCAB34" wp14:editId="0AB4C9E7">
            <wp:extent cx="8860790" cy="331660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0790" cy="3316605"/>
                    </a:xfrm>
                    <a:prstGeom prst="rect">
                      <a:avLst/>
                    </a:prstGeom>
                    <a:noFill/>
                    <a:ln>
                      <a:noFill/>
                    </a:ln>
                  </pic:spPr>
                </pic:pic>
              </a:graphicData>
            </a:graphic>
          </wp:inline>
        </w:drawing>
      </w:r>
    </w:p>
    <w:p w14:paraId="48981448" w14:textId="4BC7DCAD" w:rsidR="0010757F" w:rsidRPr="0007572B" w:rsidRDefault="0010757F" w:rsidP="0038082E">
      <w:pPr>
        <w:jc w:val="both"/>
        <w:rPr>
          <w:rFonts w:ascii="Arial" w:hAnsi="Arial" w:cs="Arial"/>
          <w:sz w:val="22"/>
          <w:szCs w:val="22"/>
        </w:rPr>
      </w:pPr>
    </w:p>
    <w:p w14:paraId="166CFE4E" w14:textId="634FCF6B" w:rsidR="00FF6768" w:rsidRDefault="00FF6768" w:rsidP="0038082E">
      <w:pPr>
        <w:jc w:val="both"/>
        <w:rPr>
          <w:noProof/>
        </w:rPr>
      </w:pPr>
    </w:p>
    <w:p w14:paraId="1923B5A9" w14:textId="77777777" w:rsidR="008F7B59" w:rsidRDefault="008F7B59" w:rsidP="0038082E">
      <w:pPr>
        <w:jc w:val="both"/>
        <w:rPr>
          <w:noProof/>
        </w:rPr>
      </w:pPr>
    </w:p>
    <w:p w14:paraId="41D18494" w14:textId="77777777" w:rsidR="008F7B59" w:rsidRDefault="008F7B59" w:rsidP="0038082E">
      <w:pPr>
        <w:jc w:val="both"/>
        <w:rPr>
          <w:noProof/>
        </w:rPr>
      </w:pPr>
    </w:p>
    <w:p w14:paraId="0437DFD3" w14:textId="77777777" w:rsidR="008F7B59" w:rsidRDefault="008F7B59" w:rsidP="0038082E">
      <w:pPr>
        <w:jc w:val="both"/>
        <w:rPr>
          <w:noProof/>
        </w:rPr>
      </w:pPr>
    </w:p>
    <w:p w14:paraId="01510836" w14:textId="77777777" w:rsidR="008F7B59" w:rsidRDefault="008F7B59" w:rsidP="0038082E">
      <w:pPr>
        <w:jc w:val="both"/>
        <w:rPr>
          <w:noProof/>
        </w:rPr>
      </w:pPr>
    </w:p>
    <w:p w14:paraId="5D585998" w14:textId="77777777" w:rsidR="008F7B59" w:rsidRDefault="008F7B59" w:rsidP="0038082E">
      <w:pPr>
        <w:jc w:val="both"/>
        <w:rPr>
          <w:noProof/>
        </w:rPr>
      </w:pPr>
    </w:p>
    <w:p w14:paraId="239DE86C" w14:textId="1CB4C0E2" w:rsidR="008F7B59" w:rsidRPr="0007572B" w:rsidRDefault="008F7B59" w:rsidP="0038082E">
      <w:pPr>
        <w:jc w:val="both"/>
        <w:rPr>
          <w:rFonts w:ascii="Arial" w:hAnsi="Arial" w:cs="Arial"/>
          <w:sz w:val="22"/>
          <w:szCs w:val="22"/>
        </w:rPr>
        <w:sectPr w:rsidR="008F7B59" w:rsidRPr="0007572B" w:rsidSect="00D37612">
          <w:pgSz w:w="16838" w:h="11906" w:orient="landscape"/>
          <w:pgMar w:top="1080" w:right="1444" w:bottom="1416" w:left="1440" w:header="568" w:footer="567" w:gutter="0"/>
          <w:cols w:space="708"/>
          <w:docGrid w:linePitch="360"/>
        </w:sectPr>
      </w:pPr>
    </w:p>
    <w:p w14:paraId="2F5115E0" w14:textId="519C9467" w:rsidR="00F2757F" w:rsidRPr="0007572B" w:rsidRDefault="00FC62F7" w:rsidP="0038082E">
      <w:pPr>
        <w:pStyle w:val="Heading3greennumbered"/>
      </w:pPr>
      <w:bookmarkStart w:id="112" w:name="_Toc92894881"/>
      <w:bookmarkStart w:id="113" w:name="_Toc92895185"/>
      <w:bookmarkStart w:id="114" w:name="_Toc109922619"/>
      <w:bookmarkStart w:id="115" w:name="_Hlk109206725"/>
      <w:r w:rsidRPr="0007572B">
        <w:lastRenderedPageBreak/>
        <w:t xml:space="preserve">9 </w:t>
      </w:r>
      <w:r w:rsidR="008A21C8" w:rsidRPr="0007572B">
        <w:t>Transfers to/from</w:t>
      </w:r>
      <w:r w:rsidR="00F2757F" w:rsidRPr="0007572B">
        <w:t xml:space="preserve"> Reserves</w:t>
      </w:r>
      <w:bookmarkEnd w:id="112"/>
      <w:bookmarkEnd w:id="113"/>
      <w:bookmarkEnd w:id="114"/>
    </w:p>
    <w:p w14:paraId="36284AD3" w14:textId="77777777" w:rsidR="005403AF" w:rsidRDefault="005403AF" w:rsidP="0038082E">
      <w:pPr>
        <w:rPr>
          <w:rFonts w:ascii="Arial" w:hAnsi="Arial" w:cs="Arial"/>
        </w:rPr>
      </w:pPr>
    </w:p>
    <w:p w14:paraId="37F28A32" w14:textId="1AA5D255" w:rsidR="00AC38C5" w:rsidRDefault="00AF1740" w:rsidP="0038082E">
      <w:pPr>
        <w:rPr>
          <w:rFonts w:ascii="Arial" w:hAnsi="Arial" w:cs="Arial"/>
        </w:rPr>
      </w:pPr>
      <w:r w:rsidRPr="0007572B">
        <w:rPr>
          <w:rFonts w:ascii="Arial" w:hAnsi="Arial" w:cs="Arial"/>
        </w:rPr>
        <w:t>T</w:t>
      </w:r>
      <w:r w:rsidR="0060751C" w:rsidRPr="0007572B">
        <w:rPr>
          <w:rFonts w:ascii="Arial" w:hAnsi="Arial" w:cs="Arial"/>
        </w:rPr>
        <w:t>his note sets out the amounts set aside from the General Fund in reserves to provide financing for future expenditure plans and the amounts posted back from earmarked reserves to meet General Fund expenditure.</w:t>
      </w:r>
    </w:p>
    <w:p w14:paraId="6682BF00" w14:textId="7864475F" w:rsidR="006132E7" w:rsidRDefault="006132E7" w:rsidP="0038082E">
      <w:pPr>
        <w:rPr>
          <w:rFonts w:ascii="Arial" w:hAnsi="Arial" w:cs="Arial"/>
        </w:rPr>
      </w:pPr>
    </w:p>
    <w:p w14:paraId="633FBF71" w14:textId="1917D029" w:rsidR="00EC1F39" w:rsidRPr="00EC1F39" w:rsidRDefault="00FF31A5" w:rsidP="0038082E">
      <w:pPr>
        <w:rPr>
          <w:rFonts w:ascii="Arial" w:hAnsi="Arial" w:cs="Arial"/>
          <w:sz w:val="20"/>
          <w:szCs w:val="20"/>
        </w:rPr>
      </w:pPr>
      <w:r w:rsidRPr="00FF31A5">
        <w:rPr>
          <w:noProof/>
        </w:rPr>
        <w:drawing>
          <wp:inline distT="0" distB="0" distL="0" distR="0" wp14:anchorId="49866CF7" wp14:editId="109540DA">
            <wp:extent cx="5648325" cy="5838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5838825"/>
                    </a:xfrm>
                    <a:prstGeom prst="rect">
                      <a:avLst/>
                    </a:prstGeom>
                    <a:noFill/>
                    <a:ln>
                      <a:noFill/>
                    </a:ln>
                  </pic:spPr>
                </pic:pic>
              </a:graphicData>
            </a:graphic>
          </wp:inline>
        </w:drawing>
      </w:r>
    </w:p>
    <w:p w14:paraId="2946210B" w14:textId="5AEA6DF0" w:rsidR="00EC1F39" w:rsidRDefault="00EC1F39" w:rsidP="0038082E">
      <w:pPr>
        <w:rPr>
          <w:rFonts w:ascii="Arial" w:hAnsi="Arial" w:cs="Arial"/>
          <w:sz w:val="20"/>
          <w:szCs w:val="20"/>
        </w:rPr>
      </w:pPr>
    </w:p>
    <w:p w14:paraId="6E8879AF" w14:textId="04B12531" w:rsidR="00EC1F39" w:rsidRDefault="00EC1F39" w:rsidP="0038082E">
      <w:pPr>
        <w:rPr>
          <w:rFonts w:ascii="Arial" w:hAnsi="Arial" w:cs="Arial"/>
          <w:sz w:val="20"/>
          <w:szCs w:val="20"/>
        </w:rPr>
      </w:pPr>
    </w:p>
    <w:p w14:paraId="1AEC6A99" w14:textId="7AC21FFC" w:rsidR="00EC1F39" w:rsidRDefault="00EC1F39" w:rsidP="0038082E">
      <w:pPr>
        <w:rPr>
          <w:rFonts w:ascii="Arial" w:hAnsi="Arial" w:cs="Arial"/>
          <w:sz w:val="20"/>
          <w:szCs w:val="20"/>
        </w:rPr>
      </w:pPr>
    </w:p>
    <w:p w14:paraId="0451ED6D" w14:textId="560E3135" w:rsidR="00EC1F39" w:rsidRDefault="00EC1F39" w:rsidP="0038082E">
      <w:pPr>
        <w:rPr>
          <w:rFonts w:ascii="Arial" w:hAnsi="Arial" w:cs="Arial"/>
          <w:sz w:val="20"/>
          <w:szCs w:val="20"/>
        </w:rPr>
      </w:pPr>
    </w:p>
    <w:p w14:paraId="7982AA72" w14:textId="24D1E2B5" w:rsidR="00EC1F39" w:rsidRDefault="00EC1F39" w:rsidP="0038082E">
      <w:pPr>
        <w:rPr>
          <w:rFonts w:ascii="Arial" w:hAnsi="Arial" w:cs="Arial"/>
          <w:sz w:val="20"/>
          <w:szCs w:val="20"/>
        </w:rPr>
      </w:pPr>
    </w:p>
    <w:p w14:paraId="22F30702" w14:textId="6060959E" w:rsidR="00EC1F39" w:rsidRDefault="00EC1F39" w:rsidP="0038082E">
      <w:pPr>
        <w:rPr>
          <w:rFonts w:ascii="Arial" w:hAnsi="Arial" w:cs="Arial"/>
          <w:sz w:val="20"/>
          <w:szCs w:val="20"/>
        </w:rPr>
      </w:pPr>
    </w:p>
    <w:p w14:paraId="7458A995" w14:textId="086EBB82" w:rsidR="00EC1F39" w:rsidRDefault="00EC1F39" w:rsidP="0038082E">
      <w:pPr>
        <w:rPr>
          <w:rFonts w:ascii="Arial" w:hAnsi="Arial" w:cs="Arial"/>
          <w:sz w:val="20"/>
          <w:szCs w:val="20"/>
        </w:rPr>
      </w:pPr>
    </w:p>
    <w:p w14:paraId="1B1C1FCE" w14:textId="77777777" w:rsidR="00EC1F39" w:rsidRPr="00EC1F39" w:rsidRDefault="00EC1F39" w:rsidP="0038082E">
      <w:pPr>
        <w:rPr>
          <w:rFonts w:ascii="Arial" w:hAnsi="Arial" w:cs="Arial"/>
          <w:sz w:val="20"/>
          <w:szCs w:val="20"/>
        </w:rPr>
      </w:pPr>
    </w:p>
    <w:p w14:paraId="60932AA0" w14:textId="77777777" w:rsidR="00EC1F39" w:rsidRPr="00EC1F39" w:rsidRDefault="00EC1F39" w:rsidP="0038082E">
      <w:pPr>
        <w:rPr>
          <w:rFonts w:ascii="Arial" w:hAnsi="Arial" w:cs="Arial"/>
          <w:sz w:val="20"/>
          <w:szCs w:val="20"/>
        </w:rPr>
      </w:pPr>
    </w:p>
    <w:p w14:paraId="47751C84" w14:textId="42D34C20" w:rsidR="006132E7" w:rsidRDefault="006132E7" w:rsidP="0038082E">
      <w:pPr>
        <w:rPr>
          <w:rFonts w:ascii="Arial" w:hAnsi="Arial" w:cs="Arial"/>
        </w:rPr>
      </w:pPr>
    </w:p>
    <w:p w14:paraId="74BB23ED" w14:textId="0A1E194C" w:rsidR="008F7B59" w:rsidRPr="0007572B" w:rsidRDefault="00FF31A5" w:rsidP="0038082E">
      <w:pPr>
        <w:rPr>
          <w:rFonts w:ascii="Arial" w:hAnsi="Arial" w:cs="Arial"/>
        </w:rPr>
      </w:pPr>
      <w:r w:rsidRPr="00FF31A5">
        <w:rPr>
          <w:noProof/>
        </w:rPr>
        <w:lastRenderedPageBreak/>
        <w:drawing>
          <wp:inline distT="0" distB="0" distL="0" distR="0" wp14:anchorId="067760EE" wp14:editId="51AD6E87">
            <wp:extent cx="5657850" cy="552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7850" cy="5524500"/>
                    </a:xfrm>
                    <a:prstGeom prst="rect">
                      <a:avLst/>
                    </a:prstGeom>
                    <a:noFill/>
                    <a:ln>
                      <a:noFill/>
                    </a:ln>
                  </pic:spPr>
                </pic:pic>
              </a:graphicData>
            </a:graphic>
          </wp:inline>
        </w:drawing>
      </w:r>
    </w:p>
    <w:p w14:paraId="0171B15C" w14:textId="77777777" w:rsidR="004F3512" w:rsidRDefault="004F3512">
      <w:pPr>
        <w:rPr>
          <w:rFonts w:ascii="Arial" w:hAnsi="Arial" w:cs="Arial"/>
          <w:sz w:val="22"/>
          <w:szCs w:val="22"/>
        </w:rPr>
      </w:pPr>
      <w:bookmarkStart w:id="116" w:name="_Toc92894882"/>
      <w:bookmarkStart w:id="117" w:name="_Toc92895186"/>
      <w:bookmarkStart w:id="118" w:name="_Toc109922620"/>
      <w:r>
        <w:rPr>
          <w:b/>
          <w:bCs/>
          <w:sz w:val="22"/>
          <w:szCs w:val="22"/>
        </w:rPr>
        <w:br w:type="page"/>
      </w:r>
    </w:p>
    <w:p w14:paraId="4C9387DA" w14:textId="6DB2DA68" w:rsidR="00F2757F" w:rsidRPr="0007572B" w:rsidRDefault="0003456C" w:rsidP="00C76D66">
      <w:pPr>
        <w:pStyle w:val="Heading3greennumbered"/>
      </w:pPr>
      <w:r w:rsidRPr="0007572B">
        <w:lastRenderedPageBreak/>
        <w:t>10</w:t>
      </w:r>
      <w:r w:rsidR="00FC62F7" w:rsidRPr="0007572B">
        <w:t xml:space="preserve"> </w:t>
      </w:r>
      <w:r w:rsidR="00F2757F" w:rsidRPr="0007572B">
        <w:t xml:space="preserve">Purpose of Earmarked </w:t>
      </w:r>
      <w:r w:rsidR="00F2757F" w:rsidRPr="00C76D66">
        <w:t>Reserves</w:t>
      </w:r>
      <w:bookmarkEnd w:id="116"/>
      <w:bookmarkEnd w:id="117"/>
      <w:bookmarkEnd w:id="118"/>
    </w:p>
    <w:p w14:paraId="0B396988" w14:textId="77777777" w:rsidR="005403AF" w:rsidRDefault="005403AF" w:rsidP="0038082E">
      <w:pPr>
        <w:rPr>
          <w:rFonts w:ascii="Arial" w:hAnsi="Arial" w:cs="Arial"/>
        </w:rPr>
      </w:pPr>
    </w:p>
    <w:p w14:paraId="018D4729" w14:textId="45D5CE35" w:rsidR="006C7BDA" w:rsidRDefault="006C7BDA" w:rsidP="0038082E">
      <w:pPr>
        <w:rPr>
          <w:rFonts w:ascii="Arial" w:hAnsi="Arial" w:cs="Arial"/>
        </w:rPr>
      </w:pPr>
      <w:r w:rsidRPr="0007572B">
        <w:rPr>
          <w:rFonts w:ascii="Arial" w:hAnsi="Arial" w:cs="Arial"/>
        </w:rPr>
        <w:t>The purpose and operation of the reserves are as follows</w:t>
      </w:r>
      <w:r w:rsidR="00160785">
        <w:rPr>
          <w:rFonts w:ascii="Arial" w:hAnsi="Arial" w:cs="Arial"/>
        </w:rPr>
        <w:t>:</w:t>
      </w:r>
    </w:p>
    <w:p w14:paraId="23A1D714" w14:textId="12C4D683" w:rsidR="00994C6B" w:rsidRDefault="00994C6B" w:rsidP="0038082E">
      <w:pPr>
        <w:rPr>
          <w:rFonts w:ascii="Arial" w:hAnsi="Arial" w:cs="Arial"/>
        </w:rPr>
      </w:pPr>
    </w:p>
    <w:tbl>
      <w:tblPr>
        <w:tblStyle w:val="TableGrid"/>
        <w:tblW w:w="9493" w:type="dxa"/>
        <w:tblLook w:val="04A0" w:firstRow="1" w:lastRow="0" w:firstColumn="1" w:lastColumn="0" w:noHBand="0" w:noVBand="1"/>
      </w:tblPr>
      <w:tblGrid>
        <w:gridCol w:w="2263"/>
        <w:gridCol w:w="7230"/>
      </w:tblGrid>
      <w:tr w:rsidR="00EF62A3" w:rsidRPr="00DA34B9" w14:paraId="11163043" w14:textId="77777777" w:rsidTr="00DA34B9">
        <w:trPr>
          <w:trHeight w:val="270"/>
        </w:trPr>
        <w:tc>
          <w:tcPr>
            <w:tcW w:w="9493" w:type="dxa"/>
            <w:gridSpan w:val="2"/>
            <w:hideMark/>
          </w:tcPr>
          <w:p w14:paraId="7CC0F223" w14:textId="77777777" w:rsidR="00EF62A3" w:rsidRPr="00DA34B9" w:rsidRDefault="00EF62A3" w:rsidP="008E385E">
            <w:pPr>
              <w:rPr>
                <w:rFonts w:ascii="Arial" w:hAnsi="Arial" w:cs="Arial"/>
                <w:b/>
                <w:bCs/>
                <w:sz w:val="22"/>
                <w:szCs w:val="22"/>
              </w:rPr>
            </w:pPr>
            <w:r w:rsidRPr="00DA34B9">
              <w:rPr>
                <w:rFonts w:ascii="Arial" w:hAnsi="Arial" w:cs="Arial"/>
                <w:b/>
                <w:bCs/>
                <w:sz w:val="22"/>
                <w:szCs w:val="22"/>
              </w:rPr>
              <w:t>Transport, Economic Development &amp; Regeneration</w:t>
            </w:r>
          </w:p>
        </w:tc>
      </w:tr>
      <w:tr w:rsidR="00EF62A3" w:rsidRPr="00DA34B9" w14:paraId="6AC1BDF3" w14:textId="77777777" w:rsidTr="00DA34B9">
        <w:trPr>
          <w:trHeight w:val="540"/>
        </w:trPr>
        <w:tc>
          <w:tcPr>
            <w:tcW w:w="2263" w:type="dxa"/>
            <w:hideMark/>
          </w:tcPr>
          <w:p w14:paraId="1B464472" w14:textId="77777777" w:rsidR="00EF62A3" w:rsidRPr="00DA34B9" w:rsidRDefault="00EF62A3" w:rsidP="008E385E">
            <w:pPr>
              <w:rPr>
                <w:rFonts w:ascii="Arial" w:hAnsi="Arial" w:cs="Arial"/>
                <w:sz w:val="22"/>
                <w:szCs w:val="22"/>
              </w:rPr>
            </w:pPr>
            <w:r w:rsidRPr="00DA34B9">
              <w:rPr>
                <w:rFonts w:ascii="Arial" w:hAnsi="Arial" w:cs="Arial"/>
                <w:sz w:val="22"/>
                <w:szCs w:val="22"/>
              </w:rPr>
              <w:t>Earnback Revenue Reserve</w:t>
            </w:r>
          </w:p>
        </w:tc>
        <w:tc>
          <w:tcPr>
            <w:tcW w:w="7230" w:type="dxa"/>
            <w:hideMark/>
          </w:tcPr>
          <w:p w14:paraId="71BC958A" w14:textId="53E9A88F" w:rsidR="00EF62A3" w:rsidRPr="00DA34B9" w:rsidRDefault="00EF62A3" w:rsidP="008E385E">
            <w:pPr>
              <w:rPr>
                <w:rFonts w:ascii="Arial" w:hAnsi="Arial" w:cs="Arial"/>
                <w:sz w:val="22"/>
                <w:szCs w:val="22"/>
              </w:rPr>
            </w:pPr>
            <w:r w:rsidRPr="00DA34B9">
              <w:rPr>
                <w:rFonts w:ascii="Arial" w:hAnsi="Arial" w:cs="Arial"/>
                <w:sz w:val="22"/>
                <w:szCs w:val="22"/>
              </w:rPr>
              <w:t>Funding from the devolution deal to be used for infrastructure investment.</w:t>
            </w:r>
          </w:p>
        </w:tc>
      </w:tr>
      <w:tr w:rsidR="00EF62A3" w:rsidRPr="00DA34B9" w14:paraId="0E7C46B8" w14:textId="77777777" w:rsidTr="00DA34B9">
        <w:trPr>
          <w:trHeight w:val="810"/>
        </w:trPr>
        <w:tc>
          <w:tcPr>
            <w:tcW w:w="2263" w:type="dxa"/>
            <w:hideMark/>
          </w:tcPr>
          <w:p w14:paraId="6A435081" w14:textId="77777777" w:rsidR="00EF62A3" w:rsidRPr="00DA34B9" w:rsidRDefault="00EF62A3" w:rsidP="008E385E">
            <w:pPr>
              <w:rPr>
                <w:rFonts w:ascii="Arial" w:hAnsi="Arial" w:cs="Arial"/>
                <w:sz w:val="22"/>
                <w:szCs w:val="22"/>
              </w:rPr>
            </w:pPr>
            <w:r w:rsidRPr="00DA34B9">
              <w:rPr>
                <w:rFonts w:ascii="Arial" w:hAnsi="Arial" w:cs="Arial"/>
                <w:sz w:val="22"/>
                <w:szCs w:val="22"/>
              </w:rPr>
              <w:t>GM Clean Air Plan Reserve</w:t>
            </w:r>
          </w:p>
        </w:tc>
        <w:tc>
          <w:tcPr>
            <w:tcW w:w="7230" w:type="dxa"/>
            <w:hideMark/>
          </w:tcPr>
          <w:p w14:paraId="337444B3" w14:textId="03B7F512" w:rsidR="00EF62A3" w:rsidRPr="00DA34B9" w:rsidRDefault="00EF62A3" w:rsidP="008E385E">
            <w:pPr>
              <w:rPr>
                <w:rFonts w:ascii="Arial" w:hAnsi="Arial" w:cs="Arial"/>
                <w:sz w:val="22"/>
                <w:szCs w:val="22"/>
              </w:rPr>
            </w:pPr>
            <w:r w:rsidRPr="00DA34B9">
              <w:rPr>
                <w:rFonts w:ascii="Arial" w:hAnsi="Arial" w:cs="Arial"/>
                <w:sz w:val="22"/>
                <w:szCs w:val="22"/>
              </w:rPr>
              <w:t xml:space="preserve">Funding to support the work to improve air quality across </w:t>
            </w:r>
            <w:r w:rsidR="00A4524D" w:rsidRPr="00DA34B9">
              <w:rPr>
                <w:rFonts w:ascii="Arial" w:hAnsi="Arial" w:cs="Arial"/>
                <w:sz w:val="22"/>
                <w:szCs w:val="22"/>
              </w:rPr>
              <w:t>G</w:t>
            </w:r>
            <w:r w:rsidRPr="00DA34B9">
              <w:rPr>
                <w:rFonts w:ascii="Arial" w:hAnsi="Arial" w:cs="Arial"/>
                <w:sz w:val="22"/>
                <w:szCs w:val="22"/>
              </w:rPr>
              <w:t>M and to develop a local plan to ensure the UK achieves compliance with legal limits for nitrogen dioxide in the shortest possible time.</w:t>
            </w:r>
          </w:p>
        </w:tc>
      </w:tr>
      <w:tr w:rsidR="00EF62A3" w:rsidRPr="00DA34B9" w14:paraId="121F834B" w14:textId="77777777" w:rsidTr="00DA34B9">
        <w:trPr>
          <w:trHeight w:val="540"/>
        </w:trPr>
        <w:tc>
          <w:tcPr>
            <w:tcW w:w="2263" w:type="dxa"/>
          </w:tcPr>
          <w:p w14:paraId="226968C0" w14:textId="77777777" w:rsidR="00EF62A3" w:rsidRPr="00DA34B9" w:rsidRDefault="00EF62A3" w:rsidP="008E385E">
            <w:pPr>
              <w:rPr>
                <w:rFonts w:ascii="Arial" w:hAnsi="Arial" w:cs="Arial"/>
                <w:sz w:val="22"/>
                <w:szCs w:val="22"/>
              </w:rPr>
            </w:pPr>
            <w:r w:rsidRPr="00DA34B9">
              <w:rPr>
                <w:rFonts w:ascii="Arial" w:hAnsi="Arial" w:cs="Arial"/>
                <w:sz w:val="22"/>
                <w:szCs w:val="22"/>
              </w:rPr>
              <w:t>Business Rates Top-Up Reserve</w:t>
            </w:r>
          </w:p>
        </w:tc>
        <w:tc>
          <w:tcPr>
            <w:tcW w:w="7230" w:type="dxa"/>
          </w:tcPr>
          <w:p w14:paraId="40E451B6" w14:textId="7CA74B6A" w:rsidR="00EF62A3" w:rsidRPr="00DA34B9" w:rsidRDefault="00EF62A3" w:rsidP="008E385E">
            <w:pPr>
              <w:rPr>
                <w:rFonts w:ascii="Arial" w:hAnsi="Arial" w:cs="Arial"/>
                <w:sz w:val="22"/>
                <w:szCs w:val="22"/>
              </w:rPr>
            </w:pPr>
            <w:r w:rsidRPr="00DA34B9">
              <w:rPr>
                <w:rFonts w:ascii="Arial" w:hAnsi="Arial" w:cs="Arial"/>
                <w:sz w:val="22"/>
                <w:szCs w:val="22"/>
              </w:rPr>
              <w:t xml:space="preserve">Funding </w:t>
            </w:r>
            <w:r w:rsidR="00892EDC" w:rsidRPr="00DA34B9">
              <w:rPr>
                <w:rFonts w:ascii="Arial" w:hAnsi="Arial" w:cs="Arial"/>
                <w:sz w:val="22"/>
                <w:szCs w:val="22"/>
              </w:rPr>
              <w:t>r</w:t>
            </w:r>
            <w:r w:rsidRPr="00DA34B9">
              <w:rPr>
                <w:rFonts w:ascii="Arial" w:hAnsi="Arial" w:cs="Arial"/>
                <w:sz w:val="22"/>
                <w:szCs w:val="22"/>
              </w:rPr>
              <w:t>eceived as part of the single pot allocations to support delivery.</w:t>
            </w:r>
          </w:p>
        </w:tc>
      </w:tr>
      <w:tr w:rsidR="00EF62A3" w:rsidRPr="00DA34B9" w14:paraId="5764FA3A" w14:textId="77777777" w:rsidTr="00DA34B9">
        <w:trPr>
          <w:trHeight w:val="540"/>
        </w:trPr>
        <w:tc>
          <w:tcPr>
            <w:tcW w:w="2263" w:type="dxa"/>
          </w:tcPr>
          <w:p w14:paraId="5DFC955B" w14:textId="77777777" w:rsidR="00EF62A3" w:rsidRPr="00DA34B9" w:rsidRDefault="00EF62A3" w:rsidP="008E385E">
            <w:pPr>
              <w:rPr>
                <w:rFonts w:ascii="Arial" w:hAnsi="Arial" w:cs="Arial"/>
                <w:sz w:val="22"/>
                <w:szCs w:val="22"/>
              </w:rPr>
            </w:pPr>
            <w:r w:rsidRPr="00DA34B9">
              <w:rPr>
                <w:rFonts w:ascii="Arial" w:hAnsi="Arial" w:cs="Arial"/>
                <w:sz w:val="22"/>
                <w:szCs w:val="22"/>
              </w:rPr>
              <w:t>GPF-RGF Interest and Arrangement Fees Reserve</w:t>
            </w:r>
          </w:p>
        </w:tc>
        <w:tc>
          <w:tcPr>
            <w:tcW w:w="7230" w:type="dxa"/>
          </w:tcPr>
          <w:p w14:paraId="3DFABE58" w14:textId="7A6D7642" w:rsidR="00EF62A3" w:rsidRPr="00DA34B9" w:rsidRDefault="00EF62A3" w:rsidP="008E385E">
            <w:pPr>
              <w:rPr>
                <w:rFonts w:ascii="Arial" w:hAnsi="Arial" w:cs="Arial"/>
                <w:sz w:val="22"/>
                <w:szCs w:val="22"/>
              </w:rPr>
            </w:pPr>
            <w:r w:rsidRPr="00DA34B9">
              <w:rPr>
                <w:rFonts w:ascii="Arial" w:hAnsi="Arial" w:cs="Arial"/>
                <w:sz w:val="22"/>
                <w:szCs w:val="22"/>
              </w:rPr>
              <w:t xml:space="preserve">Interest earned on income received in advance will be re-invested within the </w:t>
            </w:r>
            <w:r w:rsidR="00190FF1" w:rsidRPr="00DA34B9">
              <w:rPr>
                <w:rFonts w:ascii="Arial" w:hAnsi="Arial" w:cs="Arial"/>
                <w:sz w:val="22"/>
                <w:szCs w:val="22"/>
              </w:rPr>
              <w:t xml:space="preserve">loan </w:t>
            </w:r>
            <w:r w:rsidRPr="00DA34B9">
              <w:rPr>
                <w:rFonts w:ascii="Arial" w:hAnsi="Arial" w:cs="Arial"/>
                <w:sz w:val="22"/>
                <w:szCs w:val="22"/>
              </w:rPr>
              <w:t>fund as per grant conditions</w:t>
            </w:r>
            <w:r w:rsidR="00190FF1" w:rsidRPr="00DA34B9">
              <w:rPr>
                <w:rFonts w:ascii="Arial" w:hAnsi="Arial" w:cs="Arial"/>
                <w:sz w:val="22"/>
                <w:szCs w:val="22"/>
              </w:rPr>
              <w:t>. A</w:t>
            </w:r>
            <w:r w:rsidRPr="00DA34B9">
              <w:rPr>
                <w:rFonts w:ascii="Arial" w:hAnsi="Arial" w:cs="Arial"/>
                <w:sz w:val="22"/>
                <w:szCs w:val="22"/>
              </w:rPr>
              <w:t>rrangement fees may be off set against specific costs associated with the making of the loans.</w:t>
            </w:r>
          </w:p>
        </w:tc>
      </w:tr>
      <w:tr w:rsidR="00EF62A3" w:rsidRPr="00DA34B9" w14:paraId="04BC9721" w14:textId="77777777" w:rsidTr="00DA34B9">
        <w:trPr>
          <w:trHeight w:val="540"/>
        </w:trPr>
        <w:tc>
          <w:tcPr>
            <w:tcW w:w="2263" w:type="dxa"/>
          </w:tcPr>
          <w:p w14:paraId="77A0356C" w14:textId="77777777" w:rsidR="00EF62A3" w:rsidRPr="00DA34B9" w:rsidRDefault="00EF62A3" w:rsidP="008E385E">
            <w:pPr>
              <w:rPr>
                <w:rFonts w:ascii="Arial" w:hAnsi="Arial" w:cs="Arial"/>
                <w:sz w:val="22"/>
                <w:szCs w:val="22"/>
              </w:rPr>
            </w:pPr>
            <w:r w:rsidRPr="00DA34B9">
              <w:rPr>
                <w:rFonts w:ascii="Arial" w:hAnsi="Arial" w:cs="Arial"/>
                <w:sz w:val="22"/>
                <w:szCs w:val="22"/>
              </w:rPr>
              <w:t>Adult Education Budget Devolution</w:t>
            </w:r>
          </w:p>
        </w:tc>
        <w:tc>
          <w:tcPr>
            <w:tcW w:w="7230" w:type="dxa"/>
          </w:tcPr>
          <w:p w14:paraId="582E5696" w14:textId="43417208" w:rsidR="00EF62A3" w:rsidRPr="00DA34B9" w:rsidRDefault="00EF62A3" w:rsidP="008E385E">
            <w:pPr>
              <w:rPr>
                <w:rFonts w:ascii="Arial" w:hAnsi="Arial" w:cs="Arial"/>
                <w:sz w:val="22"/>
                <w:szCs w:val="22"/>
              </w:rPr>
            </w:pPr>
            <w:r w:rsidRPr="00DA34B9">
              <w:rPr>
                <w:rFonts w:ascii="Arial" w:hAnsi="Arial" w:cs="Arial"/>
                <w:sz w:val="22"/>
                <w:szCs w:val="22"/>
              </w:rPr>
              <w:t>Funds adult further education (all 19yrs+ provision with the exception of apprenticeships/traineeships), community learning and discretionary learner support. Supports the local labour market and economic development, in particular, it focuses on ensuring that adults have the core skills that they need for progression in learning and work, including guaranteeing a number of statutory entitlements relating to English, Maths and (from 2020/21 academic year onwards) digital skills, as well as first level 2 and 3 qualifications and English for Speakers of Other Languages (ESOL).</w:t>
            </w:r>
          </w:p>
        </w:tc>
      </w:tr>
      <w:tr w:rsidR="00EF62A3" w:rsidRPr="00DA34B9" w14:paraId="2B518C3D" w14:textId="77777777" w:rsidTr="00DA34B9">
        <w:trPr>
          <w:trHeight w:val="540"/>
        </w:trPr>
        <w:tc>
          <w:tcPr>
            <w:tcW w:w="2263" w:type="dxa"/>
          </w:tcPr>
          <w:p w14:paraId="51FE9046" w14:textId="77777777" w:rsidR="00EF62A3" w:rsidRPr="00DA34B9" w:rsidRDefault="00EF62A3" w:rsidP="008E385E">
            <w:pPr>
              <w:rPr>
                <w:rFonts w:ascii="Arial" w:hAnsi="Arial" w:cs="Arial"/>
                <w:sz w:val="22"/>
                <w:szCs w:val="22"/>
              </w:rPr>
            </w:pPr>
            <w:r w:rsidRPr="00DA34B9">
              <w:rPr>
                <w:rFonts w:ascii="Arial" w:hAnsi="Arial" w:cs="Arial"/>
                <w:sz w:val="22"/>
                <w:szCs w:val="22"/>
              </w:rPr>
              <w:t>Integrated Ticketing Reserve</w:t>
            </w:r>
          </w:p>
        </w:tc>
        <w:tc>
          <w:tcPr>
            <w:tcW w:w="7230" w:type="dxa"/>
          </w:tcPr>
          <w:p w14:paraId="2DF1AB9E" w14:textId="77777777" w:rsidR="00EF62A3" w:rsidRPr="00DA34B9" w:rsidRDefault="00EF62A3" w:rsidP="008E385E">
            <w:pPr>
              <w:rPr>
                <w:rFonts w:ascii="Arial" w:hAnsi="Arial" w:cs="Arial"/>
                <w:sz w:val="22"/>
                <w:szCs w:val="22"/>
              </w:rPr>
            </w:pPr>
            <w:r w:rsidRPr="00DA34B9">
              <w:rPr>
                <w:rFonts w:ascii="Arial" w:hAnsi="Arial" w:cs="Arial"/>
                <w:sz w:val="22"/>
                <w:szCs w:val="22"/>
              </w:rPr>
              <w:t>Funding to support the integrated ticketing scheme.</w:t>
            </w:r>
          </w:p>
        </w:tc>
      </w:tr>
      <w:tr w:rsidR="00EF62A3" w:rsidRPr="00DA34B9" w14:paraId="4AAE7612" w14:textId="77777777" w:rsidTr="00DA34B9">
        <w:trPr>
          <w:trHeight w:val="582"/>
        </w:trPr>
        <w:tc>
          <w:tcPr>
            <w:tcW w:w="2263" w:type="dxa"/>
          </w:tcPr>
          <w:p w14:paraId="26D3B9A2" w14:textId="2ED9E065" w:rsidR="00EF62A3" w:rsidRPr="00DA34B9" w:rsidRDefault="00EF62A3" w:rsidP="008E385E">
            <w:pPr>
              <w:rPr>
                <w:rFonts w:ascii="Arial" w:hAnsi="Arial" w:cs="Arial"/>
                <w:sz w:val="22"/>
                <w:szCs w:val="22"/>
              </w:rPr>
            </w:pPr>
            <w:r w:rsidRPr="00DA34B9">
              <w:rPr>
                <w:rFonts w:ascii="Arial" w:hAnsi="Arial" w:cs="Arial"/>
                <w:sz w:val="22"/>
                <w:szCs w:val="22"/>
              </w:rPr>
              <w:t>Capital Programme Reserve</w:t>
            </w:r>
          </w:p>
        </w:tc>
        <w:tc>
          <w:tcPr>
            <w:tcW w:w="7230" w:type="dxa"/>
          </w:tcPr>
          <w:p w14:paraId="238544D5" w14:textId="16EB8B09" w:rsidR="00EF62A3" w:rsidRPr="00DA34B9" w:rsidRDefault="00EF62A3" w:rsidP="008E385E">
            <w:pPr>
              <w:rPr>
                <w:rFonts w:ascii="Arial" w:hAnsi="Arial" w:cs="Arial"/>
                <w:sz w:val="22"/>
                <w:szCs w:val="22"/>
              </w:rPr>
            </w:pPr>
            <w:r w:rsidRPr="00DA34B9">
              <w:rPr>
                <w:rFonts w:ascii="Arial" w:hAnsi="Arial" w:cs="Arial"/>
                <w:sz w:val="22"/>
                <w:szCs w:val="22"/>
              </w:rPr>
              <w:t>Surpluses of capital financing costs which have been set aside to fund future capital programme related expenditure.</w:t>
            </w:r>
          </w:p>
        </w:tc>
      </w:tr>
      <w:tr w:rsidR="00EF62A3" w:rsidRPr="00DA34B9" w14:paraId="4B071199" w14:textId="77777777" w:rsidTr="00DA34B9">
        <w:trPr>
          <w:trHeight w:val="531"/>
        </w:trPr>
        <w:tc>
          <w:tcPr>
            <w:tcW w:w="2263" w:type="dxa"/>
            <w:hideMark/>
          </w:tcPr>
          <w:p w14:paraId="4793543A" w14:textId="77777777" w:rsidR="00EF62A3" w:rsidRPr="00DA34B9" w:rsidRDefault="00EF62A3" w:rsidP="008E385E">
            <w:pPr>
              <w:rPr>
                <w:rFonts w:ascii="Arial" w:hAnsi="Arial" w:cs="Arial"/>
                <w:sz w:val="22"/>
                <w:szCs w:val="22"/>
              </w:rPr>
            </w:pPr>
            <w:r w:rsidRPr="00DA34B9">
              <w:rPr>
                <w:rFonts w:ascii="Arial" w:hAnsi="Arial" w:cs="Arial"/>
                <w:sz w:val="22"/>
                <w:szCs w:val="22"/>
              </w:rPr>
              <w:t>Business rates Growth Pilot &amp; Levy</w:t>
            </w:r>
          </w:p>
        </w:tc>
        <w:tc>
          <w:tcPr>
            <w:tcW w:w="7230" w:type="dxa"/>
            <w:hideMark/>
          </w:tcPr>
          <w:p w14:paraId="7A1321DD" w14:textId="40C0631D" w:rsidR="00EF62A3" w:rsidRPr="00DA34B9" w:rsidRDefault="00EF62A3" w:rsidP="008E385E">
            <w:pPr>
              <w:rPr>
                <w:rFonts w:ascii="Arial" w:hAnsi="Arial" w:cs="Arial"/>
                <w:sz w:val="22"/>
                <w:szCs w:val="22"/>
              </w:rPr>
            </w:pPr>
            <w:r w:rsidRPr="00DA34B9">
              <w:rPr>
                <w:rFonts w:ascii="Arial" w:hAnsi="Arial" w:cs="Arial"/>
                <w:sz w:val="22"/>
                <w:szCs w:val="22"/>
              </w:rPr>
              <w:t xml:space="preserve">Funding to support </w:t>
            </w:r>
            <w:r w:rsidR="00336C9F" w:rsidRPr="00DA34B9">
              <w:rPr>
                <w:rFonts w:ascii="Arial" w:hAnsi="Arial" w:cs="Arial"/>
                <w:sz w:val="22"/>
                <w:szCs w:val="22"/>
              </w:rPr>
              <w:t>GM</w:t>
            </w:r>
            <w:r w:rsidRPr="00DA34B9">
              <w:rPr>
                <w:rFonts w:ascii="Arial" w:hAnsi="Arial" w:cs="Arial"/>
                <w:sz w:val="22"/>
                <w:szCs w:val="22"/>
              </w:rPr>
              <w:t xml:space="preserve"> Strategic Priorities.</w:t>
            </w:r>
          </w:p>
        </w:tc>
      </w:tr>
      <w:tr w:rsidR="00EF62A3" w:rsidRPr="00DA34B9" w14:paraId="19BE7C2B" w14:textId="77777777" w:rsidTr="00DA34B9">
        <w:trPr>
          <w:trHeight w:val="810"/>
        </w:trPr>
        <w:tc>
          <w:tcPr>
            <w:tcW w:w="2263" w:type="dxa"/>
            <w:hideMark/>
          </w:tcPr>
          <w:p w14:paraId="693AED3A" w14:textId="77777777" w:rsidR="00EF62A3" w:rsidRPr="00DA34B9" w:rsidRDefault="00EF62A3" w:rsidP="008E385E">
            <w:pPr>
              <w:rPr>
                <w:rFonts w:ascii="Arial" w:hAnsi="Arial" w:cs="Arial"/>
                <w:sz w:val="22"/>
                <w:szCs w:val="22"/>
              </w:rPr>
            </w:pPr>
            <w:r w:rsidRPr="00DA34B9">
              <w:rPr>
                <w:rFonts w:ascii="Arial" w:hAnsi="Arial" w:cs="Arial"/>
                <w:sz w:val="22"/>
                <w:szCs w:val="22"/>
              </w:rPr>
              <w:t>HIF Interest and Arrangement Fees</w:t>
            </w:r>
          </w:p>
        </w:tc>
        <w:tc>
          <w:tcPr>
            <w:tcW w:w="7230" w:type="dxa"/>
            <w:hideMark/>
          </w:tcPr>
          <w:p w14:paraId="14ABB153" w14:textId="3A2EAA94" w:rsidR="00EF62A3" w:rsidRPr="00DA34B9" w:rsidRDefault="00EF62A3" w:rsidP="008E385E">
            <w:pPr>
              <w:rPr>
                <w:rFonts w:ascii="Arial" w:hAnsi="Arial" w:cs="Arial"/>
                <w:sz w:val="22"/>
                <w:szCs w:val="22"/>
              </w:rPr>
            </w:pPr>
            <w:r w:rsidRPr="00DA34B9">
              <w:rPr>
                <w:rFonts w:ascii="Arial" w:hAnsi="Arial" w:cs="Arial"/>
                <w:sz w:val="22"/>
                <w:szCs w:val="22"/>
              </w:rPr>
              <w:t xml:space="preserve">Interest, arrangement fees and other income earned from loans </w:t>
            </w:r>
            <w:r w:rsidR="00892EDC" w:rsidRPr="00DA34B9">
              <w:rPr>
                <w:rFonts w:ascii="Arial" w:hAnsi="Arial" w:cs="Arial"/>
                <w:sz w:val="22"/>
                <w:szCs w:val="22"/>
              </w:rPr>
              <w:t xml:space="preserve">provided in accordance with a </w:t>
            </w:r>
            <w:r w:rsidRPr="00DA34B9">
              <w:rPr>
                <w:rFonts w:ascii="Arial" w:hAnsi="Arial" w:cs="Arial"/>
                <w:sz w:val="22"/>
                <w:szCs w:val="22"/>
              </w:rPr>
              <w:t xml:space="preserve">funding agreement with </w:t>
            </w:r>
            <w:r w:rsidR="007C7C98" w:rsidRPr="00DA34B9">
              <w:rPr>
                <w:rFonts w:ascii="Arial" w:hAnsi="Arial" w:cs="Arial"/>
                <w:sz w:val="22"/>
                <w:szCs w:val="22"/>
              </w:rPr>
              <w:t xml:space="preserve">the </w:t>
            </w:r>
            <w:r w:rsidRPr="00DA34B9">
              <w:rPr>
                <w:rFonts w:ascii="Arial" w:hAnsi="Arial" w:cs="Arial"/>
                <w:sz w:val="22"/>
                <w:szCs w:val="22"/>
              </w:rPr>
              <w:t>Ministry for Homes, Communities and Local Government</w:t>
            </w:r>
            <w:r w:rsidR="007C7C98" w:rsidRPr="00DA34B9">
              <w:rPr>
                <w:rFonts w:ascii="Arial" w:hAnsi="Arial" w:cs="Arial"/>
                <w:sz w:val="22"/>
                <w:szCs w:val="22"/>
              </w:rPr>
              <w:t xml:space="preserve">, where </w:t>
            </w:r>
            <w:r w:rsidRPr="00DA34B9">
              <w:rPr>
                <w:rFonts w:ascii="Arial" w:hAnsi="Arial" w:cs="Arial"/>
                <w:sz w:val="22"/>
                <w:szCs w:val="22"/>
              </w:rPr>
              <w:t xml:space="preserve">surplus </w:t>
            </w:r>
            <w:r w:rsidR="007C7C98" w:rsidRPr="00DA34B9">
              <w:rPr>
                <w:rFonts w:ascii="Arial" w:hAnsi="Arial" w:cs="Arial"/>
                <w:sz w:val="22"/>
                <w:szCs w:val="22"/>
              </w:rPr>
              <w:t xml:space="preserve">funds are </w:t>
            </w:r>
            <w:r w:rsidRPr="00DA34B9">
              <w:rPr>
                <w:rFonts w:ascii="Arial" w:hAnsi="Arial" w:cs="Arial"/>
                <w:sz w:val="22"/>
                <w:szCs w:val="22"/>
              </w:rPr>
              <w:t>used to support the GM housing strategy.</w:t>
            </w:r>
          </w:p>
        </w:tc>
      </w:tr>
      <w:tr w:rsidR="00EF62A3" w:rsidRPr="00DA34B9" w14:paraId="7B7E75F8" w14:textId="77777777" w:rsidTr="00DA34B9">
        <w:trPr>
          <w:trHeight w:val="250"/>
        </w:trPr>
        <w:tc>
          <w:tcPr>
            <w:tcW w:w="2263" w:type="dxa"/>
            <w:hideMark/>
          </w:tcPr>
          <w:p w14:paraId="3BAE4E3F" w14:textId="77777777" w:rsidR="00EF62A3" w:rsidRPr="00DA34B9" w:rsidRDefault="00EF62A3" w:rsidP="008E385E">
            <w:pPr>
              <w:rPr>
                <w:rFonts w:ascii="Arial" w:hAnsi="Arial" w:cs="Arial"/>
                <w:sz w:val="22"/>
                <w:szCs w:val="22"/>
              </w:rPr>
            </w:pPr>
            <w:r w:rsidRPr="00DA34B9">
              <w:rPr>
                <w:rFonts w:ascii="Arial" w:hAnsi="Arial" w:cs="Arial"/>
                <w:sz w:val="22"/>
                <w:szCs w:val="22"/>
              </w:rPr>
              <w:t>Our Pass Reserve</w:t>
            </w:r>
          </w:p>
        </w:tc>
        <w:tc>
          <w:tcPr>
            <w:tcW w:w="7230" w:type="dxa"/>
            <w:hideMark/>
          </w:tcPr>
          <w:p w14:paraId="28FC8B73" w14:textId="60964B19" w:rsidR="00EF62A3" w:rsidRPr="00DA34B9" w:rsidRDefault="00EF62A3" w:rsidP="008E385E">
            <w:pPr>
              <w:rPr>
                <w:rFonts w:ascii="Arial" w:hAnsi="Arial" w:cs="Arial"/>
                <w:sz w:val="22"/>
                <w:szCs w:val="22"/>
              </w:rPr>
            </w:pPr>
            <w:r w:rsidRPr="00DA34B9">
              <w:rPr>
                <w:rFonts w:ascii="Arial" w:hAnsi="Arial" w:cs="Arial"/>
                <w:sz w:val="22"/>
                <w:szCs w:val="22"/>
              </w:rPr>
              <w:t>Funding to support Our Pass</w:t>
            </w:r>
            <w:r w:rsidR="003741C8" w:rsidRPr="00DA34B9">
              <w:rPr>
                <w:rFonts w:ascii="Arial" w:hAnsi="Arial" w:cs="Arial"/>
                <w:sz w:val="22"/>
                <w:szCs w:val="22"/>
              </w:rPr>
              <w:t xml:space="preserve"> a m</w:t>
            </w:r>
            <w:r w:rsidRPr="00DA34B9">
              <w:rPr>
                <w:rFonts w:ascii="Arial" w:hAnsi="Arial" w:cs="Arial"/>
                <w:sz w:val="22"/>
                <w:szCs w:val="22"/>
              </w:rPr>
              <w:t xml:space="preserve">embership scheme for young people who live in </w:t>
            </w:r>
            <w:r w:rsidR="00336C9F" w:rsidRPr="00DA34B9">
              <w:rPr>
                <w:rFonts w:ascii="Arial" w:hAnsi="Arial" w:cs="Arial"/>
                <w:sz w:val="22"/>
                <w:szCs w:val="22"/>
              </w:rPr>
              <w:t>GM</w:t>
            </w:r>
            <w:r w:rsidRPr="00DA34B9">
              <w:rPr>
                <w:rFonts w:ascii="Arial" w:hAnsi="Arial" w:cs="Arial"/>
                <w:sz w:val="22"/>
                <w:szCs w:val="22"/>
              </w:rPr>
              <w:t xml:space="preserve"> and supports both school and care leavers. Allows young people access opportunities with free bus travel throughout</w:t>
            </w:r>
            <w:r w:rsidR="00DA34B9" w:rsidRPr="00DA34B9">
              <w:rPr>
                <w:rFonts w:ascii="Arial" w:hAnsi="Arial" w:cs="Arial"/>
                <w:sz w:val="22"/>
                <w:szCs w:val="22"/>
              </w:rPr>
              <w:t xml:space="preserve"> </w:t>
            </w:r>
            <w:r w:rsidR="00CA750E" w:rsidRPr="00DA34B9">
              <w:rPr>
                <w:rFonts w:ascii="Arial" w:hAnsi="Arial" w:cs="Arial"/>
                <w:sz w:val="22"/>
                <w:szCs w:val="22"/>
              </w:rPr>
              <w:t>GM</w:t>
            </w:r>
            <w:r w:rsidRPr="00DA34B9">
              <w:rPr>
                <w:rFonts w:ascii="Arial" w:hAnsi="Arial" w:cs="Arial"/>
                <w:sz w:val="22"/>
                <w:szCs w:val="22"/>
              </w:rPr>
              <w:t xml:space="preserve">. </w:t>
            </w:r>
          </w:p>
        </w:tc>
      </w:tr>
      <w:tr w:rsidR="00160785" w:rsidRPr="00DA34B9" w14:paraId="57D45E7C" w14:textId="77777777" w:rsidTr="00DA34B9">
        <w:trPr>
          <w:trHeight w:val="1890"/>
        </w:trPr>
        <w:tc>
          <w:tcPr>
            <w:tcW w:w="2263" w:type="dxa"/>
            <w:hideMark/>
          </w:tcPr>
          <w:p w14:paraId="51C3EBED" w14:textId="77777777" w:rsidR="00160785" w:rsidRPr="00DA34B9" w:rsidRDefault="00160785" w:rsidP="00160785">
            <w:pPr>
              <w:rPr>
                <w:rFonts w:ascii="Arial" w:hAnsi="Arial" w:cs="Arial"/>
                <w:sz w:val="22"/>
                <w:szCs w:val="22"/>
              </w:rPr>
            </w:pPr>
            <w:r w:rsidRPr="00DA34B9">
              <w:rPr>
                <w:rFonts w:ascii="Arial" w:hAnsi="Arial" w:cs="Arial"/>
                <w:sz w:val="22"/>
                <w:szCs w:val="22"/>
              </w:rPr>
              <w:t>Waste Disposal Insurance Reserve</w:t>
            </w:r>
          </w:p>
        </w:tc>
        <w:tc>
          <w:tcPr>
            <w:tcW w:w="7230" w:type="dxa"/>
            <w:hideMark/>
          </w:tcPr>
          <w:p w14:paraId="643EC9E6" w14:textId="43FFAEF4" w:rsidR="00160785" w:rsidRPr="00DA34B9" w:rsidRDefault="00160785" w:rsidP="00160785">
            <w:pPr>
              <w:rPr>
                <w:rFonts w:ascii="Arial" w:hAnsi="Arial" w:cs="Arial"/>
                <w:sz w:val="22"/>
                <w:szCs w:val="22"/>
              </w:rPr>
            </w:pPr>
            <w:r w:rsidRPr="00DA34B9">
              <w:rPr>
                <w:rFonts w:ascii="Arial" w:hAnsi="Arial" w:cs="Arial"/>
                <w:sz w:val="22"/>
                <w:szCs w:val="22"/>
              </w:rPr>
              <w:t>This reserve has been established as a result of reducing the insurance provision in compliance with IAS37. The reserve provides a prudent contingency against unforeseen future claims, including the MMI Scheme of Arrangement</w:t>
            </w:r>
            <w:r w:rsidR="00DD53B7" w:rsidRPr="00DA34B9">
              <w:rPr>
                <w:rFonts w:ascii="Arial" w:hAnsi="Arial" w:cs="Arial"/>
                <w:sz w:val="22"/>
                <w:szCs w:val="22"/>
              </w:rPr>
              <w:t xml:space="preserve"> </w:t>
            </w:r>
            <w:r w:rsidRPr="00DA34B9">
              <w:rPr>
                <w:rFonts w:ascii="Arial" w:hAnsi="Arial" w:cs="Arial"/>
                <w:sz w:val="22"/>
                <w:szCs w:val="22"/>
              </w:rPr>
              <w:t>a</w:t>
            </w:r>
            <w:r w:rsidR="00DD53B7" w:rsidRPr="00DA34B9">
              <w:rPr>
                <w:rFonts w:ascii="Arial" w:hAnsi="Arial" w:cs="Arial"/>
                <w:sz w:val="22"/>
                <w:szCs w:val="22"/>
              </w:rPr>
              <w:t>nd</w:t>
            </w:r>
            <w:r w:rsidRPr="00DA34B9">
              <w:rPr>
                <w:rFonts w:ascii="Arial" w:hAnsi="Arial" w:cs="Arial"/>
                <w:sz w:val="22"/>
                <w:szCs w:val="22"/>
              </w:rPr>
              <w:t xml:space="preserve"> provides a prudent hedge against changes in the insurance market which may require premium increases. The Reserve </w:t>
            </w:r>
            <w:r w:rsidR="00DD53B7" w:rsidRPr="00DA34B9">
              <w:rPr>
                <w:rFonts w:ascii="Arial" w:hAnsi="Arial" w:cs="Arial"/>
                <w:sz w:val="22"/>
                <w:szCs w:val="22"/>
              </w:rPr>
              <w:t>has also been</w:t>
            </w:r>
            <w:r w:rsidRPr="00DA34B9">
              <w:rPr>
                <w:rFonts w:ascii="Arial" w:hAnsi="Arial" w:cs="Arial"/>
                <w:sz w:val="22"/>
                <w:szCs w:val="22"/>
              </w:rPr>
              <w:t xml:space="preserve"> enhanced as a buffer to satisfy any future insurance claims that may arise from an unforeseen event due to failure to secure selected insurance from the market.</w:t>
            </w:r>
          </w:p>
        </w:tc>
      </w:tr>
      <w:tr w:rsidR="00160785" w:rsidRPr="00DA34B9" w14:paraId="43E9BF56" w14:textId="77777777" w:rsidTr="00DA34B9">
        <w:trPr>
          <w:trHeight w:val="753"/>
        </w:trPr>
        <w:tc>
          <w:tcPr>
            <w:tcW w:w="2263" w:type="dxa"/>
            <w:hideMark/>
          </w:tcPr>
          <w:p w14:paraId="1F216263" w14:textId="77777777" w:rsidR="00160785" w:rsidRPr="00DA34B9" w:rsidRDefault="00160785" w:rsidP="00160785">
            <w:pPr>
              <w:rPr>
                <w:rFonts w:ascii="Arial" w:hAnsi="Arial" w:cs="Arial"/>
                <w:sz w:val="22"/>
                <w:szCs w:val="22"/>
              </w:rPr>
            </w:pPr>
            <w:r w:rsidRPr="00DA34B9">
              <w:rPr>
                <w:rFonts w:ascii="Arial" w:hAnsi="Arial" w:cs="Arial"/>
                <w:sz w:val="22"/>
                <w:szCs w:val="22"/>
              </w:rPr>
              <w:t>Waste Medium Term Financial Plan Funding Reserve</w:t>
            </w:r>
          </w:p>
        </w:tc>
        <w:tc>
          <w:tcPr>
            <w:tcW w:w="7230" w:type="dxa"/>
            <w:hideMark/>
          </w:tcPr>
          <w:p w14:paraId="5EC8441C" w14:textId="77777777" w:rsidR="00160785" w:rsidRPr="00DA34B9" w:rsidRDefault="00160785" w:rsidP="00160785">
            <w:pPr>
              <w:rPr>
                <w:rFonts w:ascii="Arial" w:hAnsi="Arial" w:cs="Arial"/>
                <w:sz w:val="22"/>
                <w:szCs w:val="22"/>
              </w:rPr>
            </w:pPr>
            <w:r w:rsidRPr="00DA34B9">
              <w:rPr>
                <w:rFonts w:ascii="Arial" w:hAnsi="Arial" w:cs="Arial"/>
                <w:sz w:val="22"/>
                <w:szCs w:val="22"/>
              </w:rPr>
              <w:t>Reserve to support the delivery of objectives in the Waste &amp; Resources service Medium Term Financial Plan.</w:t>
            </w:r>
          </w:p>
        </w:tc>
      </w:tr>
      <w:tr w:rsidR="00160785" w:rsidRPr="00DA34B9" w14:paraId="108A81D6" w14:textId="77777777" w:rsidTr="00DA34B9">
        <w:trPr>
          <w:trHeight w:val="810"/>
        </w:trPr>
        <w:tc>
          <w:tcPr>
            <w:tcW w:w="2263" w:type="dxa"/>
            <w:hideMark/>
          </w:tcPr>
          <w:p w14:paraId="795E25EC" w14:textId="77777777" w:rsidR="00160785" w:rsidRPr="00DA34B9" w:rsidRDefault="00160785" w:rsidP="00160785">
            <w:pPr>
              <w:rPr>
                <w:rFonts w:ascii="Arial" w:hAnsi="Arial" w:cs="Arial"/>
                <w:sz w:val="22"/>
                <w:szCs w:val="22"/>
              </w:rPr>
            </w:pPr>
            <w:r w:rsidRPr="00DA34B9">
              <w:rPr>
                <w:rFonts w:ascii="Arial" w:hAnsi="Arial" w:cs="Arial"/>
                <w:sz w:val="22"/>
                <w:szCs w:val="22"/>
              </w:rPr>
              <w:t>Waste Optimisation Reserve</w:t>
            </w:r>
          </w:p>
        </w:tc>
        <w:tc>
          <w:tcPr>
            <w:tcW w:w="7230" w:type="dxa"/>
            <w:hideMark/>
          </w:tcPr>
          <w:p w14:paraId="2BE1CD37" w14:textId="77777777" w:rsidR="00160785" w:rsidRPr="00DA34B9" w:rsidRDefault="00160785" w:rsidP="00160785">
            <w:pPr>
              <w:rPr>
                <w:rFonts w:ascii="Arial" w:hAnsi="Arial" w:cs="Arial"/>
                <w:sz w:val="22"/>
                <w:szCs w:val="22"/>
              </w:rPr>
            </w:pPr>
            <w:r w:rsidRPr="00DA34B9">
              <w:rPr>
                <w:rFonts w:ascii="Arial" w:hAnsi="Arial" w:cs="Arial"/>
                <w:sz w:val="22"/>
                <w:szCs w:val="22"/>
              </w:rPr>
              <w:t>This reserve has been set up to allow a further capital contribution to be made (if required), so that the Authority can realise longer term financial and operational benefits from the approach to minimising the amount of waste sent to landfill.</w:t>
            </w:r>
          </w:p>
        </w:tc>
      </w:tr>
      <w:tr w:rsidR="00160785" w:rsidRPr="00DA34B9" w14:paraId="4BE9ADDD" w14:textId="77777777" w:rsidTr="00DA34B9">
        <w:trPr>
          <w:trHeight w:val="540"/>
        </w:trPr>
        <w:tc>
          <w:tcPr>
            <w:tcW w:w="2263" w:type="dxa"/>
            <w:hideMark/>
          </w:tcPr>
          <w:p w14:paraId="6750C658" w14:textId="77777777" w:rsidR="00160785" w:rsidRPr="00DA34B9" w:rsidRDefault="00160785" w:rsidP="00160785">
            <w:pPr>
              <w:rPr>
                <w:rFonts w:ascii="Arial" w:hAnsi="Arial" w:cs="Arial"/>
                <w:sz w:val="22"/>
                <w:szCs w:val="22"/>
              </w:rPr>
            </w:pPr>
            <w:r w:rsidRPr="00DA34B9">
              <w:rPr>
                <w:rFonts w:ascii="Arial" w:hAnsi="Arial" w:cs="Arial"/>
                <w:sz w:val="22"/>
                <w:szCs w:val="22"/>
              </w:rPr>
              <w:lastRenderedPageBreak/>
              <w:t>Waste Lifecycle Reserve</w:t>
            </w:r>
          </w:p>
        </w:tc>
        <w:tc>
          <w:tcPr>
            <w:tcW w:w="7230" w:type="dxa"/>
            <w:hideMark/>
          </w:tcPr>
          <w:p w14:paraId="20D5FA22" w14:textId="77777777" w:rsidR="00160785" w:rsidRPr="00DA34B9" w:rsidRDefault="00160785" w:rsidP="00160785">
            <w:pPr>
              <w:rPr>
                <w:rFonts w:ascii="Arial" w:hAnsi="Arial" w:cs="Arial"/>
                <w:sz w:val="22"/>
                <w:szCs w:val="22"/>
              </w:rPr>
            </w:pPr>
            <w:r w:rsidRPr="00DA34B9">
              <w:rPr>
                <w:rFonts w:ascii="Arial" w:hAnsi="Arial" w:cs="Arial"/>
                <w:sz w:val="22"/>
                <w:szCs w:val="22"/>
              </w:rPr>
              <w:t>Reserve created to allow funding of lifecycle / maintenance needs at the operational sites now under Authority control.</w:t>
            </w:r>
          </w:p>
        </w:tc>
      </w:tr>
      <w:tr w:rsidR="00160785" w:rsidRPr="00DA34B9" w14:paraId="1C91FC23" w14:textId="77777777" w:rsidTr="00DA34B9">
        <w:trPr>
          <w:trHeight w:val="540"/>
        </w:trPr>
        <w:tc>
          <w:tcPr>
            <w:tcW w:w="2263" w:type="dxa"/>
          </w:tcPr>
          <w:p w14:paraId="5EBFC403" w14:textId="77777777" w:rsidR="00160785" w:rsidRPr="00DA34B9" w:rsidRDefault="00160785" w:rsidP="00160785">
            <w:pPr>
              <w:rPr>
                <w:rFonts w:ascii="Arial" w:hAnsi="Arial" w:cs="Arial"/>
                <w:sz w:val="22"/>
                <w:szCs w:val="22"/>
              </w:rPr>
            </w:pPr>
            <w:r w:rsidRPr="00DA34B9">
              <w:rPr>
                <w:rFonts w:ascii="Arial" w:hAnsi="Arial" w:cs="Arial"/>
                <w:sz w:val="22"/>
                <w:szCs w:val="22"/>
              </w:rPr>
              <w:t xml:space="preserve">Transport and ED&amp;R General Fund Balances </w:t>
            </w:r>
          </w:p>
        </w:tc>
        <w:tc>
          <w:tcPr>
            <w:tcW w:w="7230" w:type="dxa"/>
          </w:tcPr>
          <w:p w14:paraId="7DCF80ED" w14:textId="38EE95B4" w:rsidR="00160785" w:rsidRPr="00DA34B9" w:rsidRDefault="00160785" w:rsidP="00160785">
            <w:pPr>
              <w:rPr>
                <w:rFonts w:ascii="Arial" w:hAnsi="Arial" w:cs="Arial"/>
                <w:sz w:val="22"/>
                <w:szCs w:val="22"/>
              </w:rPr>
            </w:pPr>
            <w:r w:rsidRPr="00DA34B9">
              <w:rPr>
                <w:rFonts w:ascii="Arial" w:hAnsi="Arial" w:cs="Arial"/>
                <w:sz w:val="22"/>
                <w:szCs w:val="22"/>
              </w:rPr>
              <w:t>Funding to be utilised for the basic activities or the services that are provided by the GMCA. Funding to support Transport and Economic Development and Regeneration activities.</w:t>
            </w:r>
          </w:p>
        </w:tc>
      </w:tr>
      <w:tr w:rsidR="00160785" w:rsidRPr="00DA34B9" w14:paraId="14E926C9" w14:textId="77777777" w:rsidTr="00DA34B9">
        <w:trPr>
          <w:trHeight w:val="540"/>
        </w:trPr>
        <w:tc>
          <w:tcPr>
            <w:tcW w:w="2263" w:type="dxa"/>
          </w:tcPr>
          <w:p w14:paraId="27827DE5" w14:textId="77777777" w:rsidR="00160785" w:rsidRPr="00DA34B9" w:rsidRDefault="00160785" w:rsidP="00160785">
            <w:pPr>
              <w:rPr>
                <w:rFonts w:ascii="Arial" w:hAnsi="Arial" w:cs="Arial"/>
                <w:sz w:val="22"/>
                <w:szCs w:val="22"/>
              </w:rPr>
            </w:pPr>
            <w:r w:rsidRPr="00DA34B9">
              <w:rPr>
                <w:rFonts w:ascii="Arial" w:hAnsi="Arial" w:cs="Arial"/>
                <w:sz w:val="22"/>
                <w:szCs w:val="22"/>
              </w:rPr>
              <w:t xml:space="preserve">Waste General Fund Balances </w:t>
            </w:r>
          </w:p>
        </w:tc>
        <w:tc>
          <w:tcPr>
            <w:tcW w:w="7230" w:type="dxa"/>
          </w:tcPr>
          <w:p w14:paraId="54246FFD" w14:textId="33F1F056" w:rsidR="00160785" w:rsidRPr="00DA34B9" w:rsidRDefault="00160785" w:rsidP="00160785">
            <w:pPr>
              <w:rPr>
                <w:rFonts w:ascii="Arial" w:hAnsi="Arial" w:cs="Arial"/>
                <w:sz w:val="22"/>
                <w:szCs w:val="22"/>
              </w:rPr>
            </w:pPr>
            <w:r w:rsidRPr="00DA34B9">
              <w:rPr>
                <w:rFonts w:ascii="Arial" w:hAnsi="Arial" w:cs="Arial"/>
                <w:sz w:val="22"/>
                <w:szCs w:val="22"/>
              </w:rPr>
              <w:t>Funding to be utilised for the basic activities or the services that are provided by the GMCA. Funding to support waste activities or services.</w:t>
            </w:r>
          </w:p>
        </w:tc>
      </w:tr>
      <w:tr w:rsidR="00160785" w:rsidRPr="00DA34B9" w14:paraId="5A8BB8BE" w14:textId="77777777" w:rsidTr="00DA34B9">
        <w:trPr>
          <w:trHeight w:val="540"/>
        </w:trPr>
        <w:tc>
          <w:tcPr>
            <w:tcW w:w="2263" w:type="dxa"/>
            <w:hideMark/>
          </w:tcPr>
          <w:p w14:paraId="4F81B9BF" w14:textId="77777777" w:rsidR="00160785" w:rsidRPr="00DA34B9" w:rsidRDefault="00160785" w:rsidP="00160785">
            <w:pPr>
              <w:rPr>
                <w:rFonts w:ascii="Arial" w:hAnsi="Arial" w:cs="Arial"/>
                <w:sz w:val="22"/>
                <w:szCs w:val="22"/>
              </w:rPr>
            </w:pPr>
            <w:r w:rsidRPr="00DA34B9">
              <w:rPr>
                <w:rFonts w:ascii="Arial" w:hAnsi="Arial" w:cs="Arial"/>
                <w:sz w:val="22"/>
                <w:szCs w:val="22"/>
              </w:rPr>
              <w:t xml:space="preserve">Usable Capital Receipts Reserve </w:t>
            </w:r>
          </w:p>
        </w:tc>
        <w:tc>
          <w:tcPr>
            <w:tcW w:w="7230" w:type="dxa"/>
            <w:hideMark/>
          </w:tcPr>
          <w:p w14:paraId="3EBFAE3A" w14:textId="4FB19148" w:rsidR="00160785" w:rsidRPr="00DA34B9" w:rsidRDefault="00160785" w:rsidP="00160785">
            <w:pPr>
              <w:rPr>
                <w:rFonts w:ascii="Arial" w:hAnsi="Arial" w:cs="Arial"/>
                <w:sz w:val="22"/>
                <w:szCs w:val="22"/>
              </w:rPr>
            </w:pPr>
            <w:r w:rsidRPr="00DA34B9">
              <w:rPr>
                <w:rFonts w:ascii="Arial" w:hAnsi="Arial" w:cs="Arial"/>
                <w:sz w:val="22"/>
                <w:szCs w:val="22"/>
              </w:rPr>
              <w:t>Includes the principal repayments of RGF/GPF</w:t>
            </w:r>
            <w:r w:rsidR="006D38BD" w:rsidRPr="00DA34B9">
              <w:rPr>
                <w:rFonts w:ascii="Arial" w:hAnsi="Arial" w:cs="Arial"/>
                <w:sz w:val="22"/>
                <w:szCs w:val="22"/>
              </w:rPr>
              <w:t xml:space="preserve"> and other </w:t>
            </w:r>
            <w:r w:rsidRPr="00DA34B9">
              <w:rPr>
                <w:rFonts w:ascii="Arial" w:hAnsi="Arial" w:cs="Arial"/>
                <w:sz w:val="22"/>
                <w:szCs w:val="22"/>
              </w:rPr>
              <w:t>loans.</w:t>
            </w:r>
          </w:p>
        </w:tc>
      </w:tr>
      <w:tr w:rsidR="00160785" w:rsidRPr="00DA34B9" w14:paraId="4E2AE20D" w14:textId="77777777" w:rsidTr="00DA34B9">
        <w:trPr>
          <w:trHeight w:val="540"/>
        </w:trPr>
        <w:tc>
          <w:tcPr>
            <w:tcW w:w="2263" w:type="dxa"/>
          </w:tcPr>
          <w:p w14:paraId="3D3B2A6A" w14:textId="77777777" w:rsidR="00160785" w:rsidRPr="00DA34B9" w:rsidRDefault="00160785" w:rsidP="00160785">
            <w:pPr>
              <w:rPr>
                <w:rFonts w:ascii="Arial" w:hAnsi="Arial" w:cs="Arial"/>
                <w:sz w:val="22"/>
                <w:szCs w:val="22"/>
              </w:rPr>
            </w:pPr>
            <w:r w:rsidRPr="00DA34B9">
              <w:rPr>
                <w:rFonts w:ascii="Arial" w:hAnsi="Arial" w:cs="Arial"/>
                <w:sz w:val="22"/>
                <w:szCs w:val="22"/>
              </w:rPr>
              <w:t xml:space="preserve">Capital Grants Unapplied Reserve </w:t>
            </w:r>
          </w:p>
        </w:tc>
        <w:tc>
          <w:tcPr>
            <w:tcW w:w="7230" w:type="dxa"/>
          </w:tcPr>
          <w:p w14:paraId="21D6F2BC" w14:textId="639DD3D4" w:rsidR="00160785" w:rsidRPr="00DA34B9" w:rsidRDefault="00160785" w:rsidP="00160785">
            <w:pPr>
              <w:rPr>
                <w:rFonts w:ascii="Arial" w:hAnsi="Arial" w:cs="Arial"/>
                <w:sz w:val="22"/>
                <w:szCs w:val="22"/>
              </w:rPr>
            </w:pPr>
            <w:r w:rsidRPr="00DA34B9">
              <w:rPr>
                <w:rFonts w:ascii="Arial" w:hAnsi="Arial" w:cs="Arial"/>
                <w:sz w:val="22"/>
                <w:szCs w:val="22"/>
              </w:rPr>
              <w:t>Fund to hold capital grants which have been received and credited to income but not yet spent on the acquisition of non – current assets.</w:t>
            </w:r>
          </w:p>
        </w:tc>
      </w:tr>
    </w:tbl>
    <w:tbl>
      <w:tblPr>
        <w:tblStyle w:val="TableGrid"/>
        <w:tblpPr w:leftFromText="180" w:rightFromText="180" w:vertAnchor="text" w:horzAnchor="margin" w:tblpY="166"/>
        <w:tblW w:w="9493" w:type="dxa"/>
        <w:tblLook w:val="04A0" w:firstRow="1" w:lastRow="0" w:firstColumn="1" w:lastColumn="0" w:noHBand="0" w:noVBand="1"/>
      </w:tblPr>
      <w:tblGrid>
        <w:gridCol w:w="2263"/>
        <w:gridCol w:w="7230"/>
      </w:tblGrid>
      <w:tr w:rsidR="00DA34B9" w:rsidRPr="00DA34B9" w14:paraId="4509EAB5" w14:textId="77777777" w:rsidTr="00DA34B9">
        <w:trPr>
          <w:trHeight w:val="270"/>
        </w:trPr>
        <w:tc>
          <w:tcPr>
            <w:tcW w:w="9493" w:type="dxa"/>
            <w:gridSpan w:val="2"/>
            <w:hideMark/>
          </w:tcPr>
          <w:p w14:paraId="31848C5F" w14:textId="77777777" w:rsidR="00DA34B9" w:rsidRPr="00DA34B9" w:rsidRDefault="00DA34B9" w:rsidP="00DA34B9">
            <w:pPr>
              <w:rPr>
                <w:rFonts w:ascii="Arial" w:hAnsi="Arial" w:cs="Arial"/>
                <w:b/>
                <w:bCs/>
                <w:sz w:val="22"/>
                <w:szCs w:val="22"/>
              </w:rPr>
            </w:pPr>
            <w:r w:rsidRPr="00DA34B9">
              <w:rPr>
                <w:rFonts w:ascii="Arial" w:hAnsi="Arial" w:cs="Arial"/>
                <w:b/>
                <w:bCs/>
                <w:sz w:val="22"/>
                <w:szCs w:val="22"/>
              </w:rPr>
              <w:t>Mayoral General Fund</w:t>
            </w:r>
          </w:p>
        </w:tc>
      </w:tr>
      <w:tr w:rsidR="00DA34B9" w:rsidRPr="00DA34B9" w14:paraId="1C7B52AE" w14:textId="77777777" w:rsidTr="00DA34B9">
        <w:trPr>
          <w:trHeight w:val="540"/>
        </w:trPr>
        <w:tc>
          <w:tcPr>
            <w:tcW w:w="2263" w:type="dxa"/>
            <w:hideMark/>
          </w:tcPr>
          <w:p w14:paraId="287E058F" w14:textId="77777777" w:rsidR="00DA34B9" w:rsidRPr="00DA34B9" w:rsidRDefault="00DA34B9" w:rsidP="00DA34B9">
            <w:pPr>
              <w:rPr>
                <w:rFonts w:ascii="Arial" w:hAnsi="Arial" w:cs="Arial"/>
                <w:sz w:val="22"/>
                <w:szCs w:val="22"/>
              </w:rPr>
            </w:pPr>
            <w:r w:rsidRPr="00DA34B9">
              <w:rPr>
                <w:rFonts w:ascii="Arial" w:hAnsi="Arial" w:cs="Arial"/>
                <w:sz w:val="22"/>
                <w:szCs w:val="22"/>
              </w:rPr>
              <w:t>Capital Reserve</w:t>
            </w:r>
          </w:p>
        </w:tc>
        <w:tc>
          <w:tcPr>
            <w:tcW w:w="7230" w:type="dxa"/>
            <w:hideMark/>
          </w:tcPr>
          <w:p w14:paraId="05A816B2" w14:textId="77777777" w:rsidR="00DA34B9" w:rsidRPr="00DA34B9" w:rsidRDefault="00DA34B9" w:rsidP="00DA34B9">
            <w:pPr>
              <w:rPr>
                <w:rFonts w:ascii="Arial" w:hAnsi="Arial" w:cs="Arial"/>
                <w:sz w:val="22"/>
                <w:szCs w:val="22"/>
              </w:rPr>
            </w:pPr>
            <w:r w:rsidRPr="00DA34B9">
              <w:rPr>
                <w:rFonts w:ascii="Arial" w:hAnsi="Arial" w:cs="Arial"/>
                <w:sz w:val="22"/>
                <w:szCs w:val="22"/>
              </w:rPr>
              <w:t>Surpluses of capital financing costs which have been set aside to fund future capital programme related expenditure.</w:t>
            </w:r>
          </w:p>
        </w:tc>
      </w:tr>
      <w:tr w:rsidR="00DA34B9" w:rsidRPr="00DA34B9" w14:paraId="15324348" w14:textId="77777777" w:rsidTr="00DA34B9">
        <w:trPr>
          <w:trHeight w:val="540"/>
        </w:trPr>
        <w:tc>
          <w:tcPr>
            <w:tcW w:w="2263" w:type="dxa"/>
            <w:hideMark/>
          </w:tcPr>
          <w:p w14:paraId="421F9089" w14:textId="77777777" w:rsidR="00DA34B9" w:rsidRPr="00DA34B9" w:rsidRDefault="00DA34B9" w:rsidP="00DA34B9">
            <w:pPr>
              <w:rPr>
                <w:rFonts w:ascii="Arial" w:hAnsi="Arial" w:cs="Arial"/>
                <w:sz w:val="22"/>
                <w:szCs w:val="22"/>
              </w:rPr>
            </w:pPr>
            <w:r w:rsidRPr="00DA34B9">
              <w:rPr>
                <w:rFonts w:ascii="Arial" w:hAnsi="Arial" w:cs="Arial"/>
                <w:sz w:val="22"/>
                <w:szCs w:val="22"/>
              </w:rPr>
              <w:t>Earmarked Budgets Reserve</w:t>
            </w:r>
          </w:p>
        </w:tc>
        <w:tc>
          <w:tcPr>
            <w:tcW w:w="7230" w:type="dxa"/>
            <w:hideMark/>
          </w:tcPr>
          <w:p w14:paraId="4FF8C1DE" w14:textId="77777777" w:rsidR="00DA34B9" w:rsidRPr="00DA34B9" w:rsidRDefault="00DA34B9" w:rsidP="00DA34B9">
            <w:pPr>
              <w:rPr>
                <w:rFonts w:ascii="Arial" w:hAnsi="Arial" w:cs="Arial"/>
                <w:sz w:val="22"/>
                <w:szCs w:val="22"/>
              </w:rPr>
            </w:pPr>
            <w:r w:rsidRPr="00DA34B9">
              <w:rPr>
                <w:rFonts w:ascii="Arial" w:hAnsi="Arial" w:cs="Arial"/>
                <w:sz w:val="22"/>
                <w:szCs w:val="22"/>
              </w:rPr>
              <w:t>Funding to be utilised to meet the costs of future projects as part of the budget strategy.</w:t>
            </w:r>
          </w:p>
        </w:tc>
      </w:tr>
      <w:tr w:rsidR="00DA34B9" w:rsidRPr="00DA34B9" w14:paraId="39A9A221" w14:textId="77777777" w:rsidTr="00DA34B9">
        <w:trPr>
          <w:trHeight w:val="810"/>
        </w:trPr>
        <w:tc>
          <w:tcPr>
            <w:tcW w:w="2263" w:type="dxa"/>
            <w:hideMark/>
          </w:tcPr>
          <w:p w14:paraId="444BEEA2" w14:textId="77777777" w:rsidR="00DA34B9" w:rsidRPr="00DA34B9" w:rsidRDefault="00DA34B9" w:rsidP="00DA34B9">
            <w:pPr>
              <w:rPr>
                <w:rFonts w:ascii="Arial" w:hAnsi="Arial" w:cs="Arial"/>
                <w:sz w:val="22"/>
                <w:szCs w:val="22"/>
              </w:rPr>
            </w:pPr>
            <w:r w:rsidRPr="00DA34B9">
              <w:rPr>
                <w:rFonts w:ascii="Arial" w:hAnsi="Arial" w:cs="Arial"/>
                <w:sz w:val="22"/>
                <w:szCs w:val="22"/>
              </w:rPr>
              <w:t>Revenue Grants Unapplied Reserves</w:t>
            </w:r>
          </w:p>
        </w:tc>
        <w:tc>
          <w:tcPr>
            <w:tcW w:w="7230" w:type="dxa"/>
            <w:hideMark/>
          </w:tcPr>
          <w:p w14:paraId="300E8FA6" w14:textId="77777777" w:rsidR="00DA34B9" w:rsidRPr="00DA34B9" w:rsidRDefault="00DA34B9" w:rsidP="00DA34B9">
            <w:pPr>
              <w:rPr>
                <w:rFonts w:ascii="Arial" w:hAnsi="Arial" w:cs="Arial"/>
                <w:sz w:val="22"/>
                <w:szCs w:val="22"/>
              </w:rPr>
            </w:pPr>
            <w:r w:rsidRPr="00DA34B9">
              <w:rPr>
                <w:rFonts w:ascii="Arial" w:hAnsi="Arial" w:cs="Arial"/>
                <w:sz w:val="22"/>
                <w:szCs w:val="22"/>
              </w:rPr>
              <w:t>Accumulated unspent grant funding which is required to meet costs in future years.</w:t>
            </w:r>
          </w:p>
        </w:tc>
      </w:tr>
      <w:tr w:rsidR="00DA34B9" w:rsidRPr="00DA34B9" w14:paraId="126F7785" w14:textId="77777777" w:rsidTr="00DA34B9">
        <w:trPr>
          <w:trHeight w:val="270"/>
        </w:trPr>
        <w:tc>
          <w:tcPr>
            <w:tcW w:w="2263" w:type="dxa"/>
            <w:hideMark/>
          </w:tcPr>
          <w:p w14:paraId="3BBDA920" w14:textId="77777777" w:rsidR="00DA34B9" w:rsidRPr="00DA34B9" w:rsidRDefault="00DA34B9" w:rsidP="00DA34B9">
            <w:pPr>
              <w:rPr>
                <w:rFonts w:ascii="Arial" w:hAnsi="Arial" w:cs="Arial"/>
                <w:sz w:val="22"/>
                <w:szCs w:val="22"/>
              </w:rPr>
            </w:pPr>
            <w:r w:rsidRPr="00DA34B9">
              <w:rPr>
                <w:rFonts w:ascii="Arial" w:hAnsi="Arial" w:cs="Arial"/>
                <w:sz w:val="22"/>
                <w:szCs w:val="22"/>
              </w:rPr>
              <w:t>Projects Reserve</w:t>
            </w:r>
          </w:p>
        </w:tc>
        <w:tc>
          <w:tcPr>
            <w:tcW w:w="7230" w:type="dxa"/>
            <w:hideMark/>
          </w:tcPr>
          <w:p w14:paraId="760E01FF" w14:textId="77777777" w:rsidR="00DA34B9" w:rsidRPr="00DA34B9" w:rsidRDefault="00DA34B9" w:rsidP="00DA34B9">
            <w:pPr>
              <w:rPr>
                <w:rFonts w:ascii="Arial" w:hAnsi="Arial" w:cs="Arial"/>
                <w:sz w:val="22"/>
                <w:szCs w:val="22"/>
              </w:rPr>
            </w:pPr>
            <w:r w:rsidRPr="00DA34B9">
              <w:rPr>
                <w:rFonts w:ascii="Arial" w:hAnsi="Arial" w:cs="Arial"/>
                <w:sz w:val="22"/>
                <w:szCs w:val="22"/>
              </w:rPr>
              <w:t>Funding to support project work within the Authority.</w:t>
            </w:r>
          </w:p>
        </w:tc>
      </w:tr>
      <w:tr w:rsidR="00DA34B9" w:rsidRPr="00DA34B9" w14:paraId="5BA8140B" w14:textId="77777777" w:rsidTr="00DA34B9">
        <w:trPr>
          <w:trHeight w:val="540"/>
        </w:trPr>
        <w:tc>
          <w:tcPr>
            <w:tcW w:w="2263" w:type="dxa"/>
          </w:tcPr>
          <w:p w14:paraId="5948E1BC" w14:textId="77777777" w:rsidR="00DA34B9" w:rsidRPr="00DA34B9" w:rsidRDefault="00DA34B9" w:rsidP="00DA34B9">
            <w:pPr>
              <w:rPr>
                <w:rFonts w:ascii="Arial" w:hAnsi="Arial" w:cs="Arial"/>
                <w:sz w:val="22"/>
                <w:szCs w:val="22"/>
              </w:rPr>
            </w:pPr>
            <w:r w:rsidRPr="00DA34B9">
              <w:rPr>
                <w:rFonts w:ascii="Arial" w:hAnsi="Arial" w:cs="Arial"/>
                <w:sz w:val="22"/>
                <w:szCs w:val="22"/>
              </w:rPr>
              <w:t xml:space="preserve">Mayoral General Fund Balances </w:t>
            </w:r>
          </w:p>
        </w:tc>
        <w:tc>
          <w:tcPr>
            <w:tcW w:w="7230" w:type="dxa"/>
          </w:tcPr>
          <w:p w14:paraId="5C08E0E2" w14:textId="77777777" w:rsidR="00DA34B9" w:rsidRPr="00DA34B9" w:rsidRDefault="00DA34B9" w:rsidP="00DA34B9">
            <w:pPr>
              <w:rPr>
                <w:rFonts w:ascii="Arial" w:hAnsi="Arial" w:cs="Arial"/>
                <w:sz w:val="22"/>
                <w:szCs w:val="22"/>
              </w:rPr>
            </w:pPr>
            <w:r w:rsidRPr="00DA34B9">
              <w:rPr>
                <w:rFonts w:ascii="Arial" w:hAnsi="Arial" w:cs="Arial"/>
                <w:sz w:val="22"/>
                <w:szCs w:val="22"/>
              </w:rPr>
              <w:t>Funding to be utilised for the basic activities or the services that are provided by the GMCA. Funding to support The Mayoral General fund</w:t>
            </w:r>
          </w:p>
        </w:tc>
      </w:tr>
      <w:tr w:rsidR="00DA34B9" w:rsidRPr="00DA34B9" w14:paraId="4F4CB0C3" w14:textId="77777777" w:rsidTr="00DA34B9">
        <w:trPr>
          <w:trHeight w:val="540"/>
        </w:trPr>
        <w:tc>
          <w:tcPr>
            <w:tcW w:w="2263" w:type="dxa"/>
          </w:tcPr>
          <w:p w14:paraId="5A15D0F2" w14:textId="77777777" w:rsidR="00DA34B9" w:rsidRPr="00DA34B9" w:rsidRDefault="00DA34B9" w:rsidP="00DA34B9">
            <w:pPr>
              <w:rPr>
                <w:rFonts w:ascii="Arial" w:hAnsi="Arial" w:cs="Arial"/>
                <w:sz w:val="22"/>
                <w:szCs w:val="22"/>
              </w:rPr>
            </w:pPr>
            <w:r w:rsidRPr="00DA34B9">
              <w:rPr>
                <w:rFonts w:ascii="Arial" w:hAnsi="Arial" w:cs="Arial"/>
                <w:sz w:val="22"/>
                <w:szCs w:val="22"/>
              </w:rPr>
              <w:t>Capital Grants Unapplied Reserve</w:t>
            </w:r>
          </w:p>
        </w:tc>
        <w:tc>
          <w:tcPr>
            <w:tcW w:w="7230" w:type="dxa"/>
          </w:tcPr>
          <w:p w14:paraId="11FDC3C9" w14:textId="77777777" w:rsidR="00DA34B9" w:rsidRPr="00DA34B9" w:rsidRDefault="00DA34B9" w:rsidP="00DA34B9">
            <w:pPr>
              <w:rPr>
                <w:rFonts w:ascii="Arial" w:hAnsi="Arial" w:cs="Arial"/>
                <w:sz w:val="22"/>
                <w:szCs w:val="22"/>
              </w:rPr>
            </w:pPr>
            <w:r w:rsidRPr="00DA34B9">
              <w:rPr>
                <w:rFonts w:ascii="Arial" w:hAnsi="Arial" w:cs="Arial"/>
                <w:sz w:val="22"/>
                <w:szCs w:val="22"/>
              </w:rPr>
              <w:t>Fund to hold capital grants which have been received and credited to income but not yet spent on the acquisition of non – current assets</w:t>
            </w:r>
          </w:p>
        </w:tc>
      </w:tr>
    </w:tbl>
    <w:p w14:paraId="1F21499C" w14:textId="77777777" w:rsidR="00DA34B9" w:rsidRPr="00DA34B9" w:rsidRDefault="00DA34B9" w:rsidP="0034379B">
      <w:pPr>
        <w:rPr>
          <w:rFonts w:ascii="Arial" w:hAnsi="Arial" w:cs="Arial"/>
          <w:b/>
          <w:bCs/>
          <w:sz w:val="22"/>
          <w:szCs w:val="22"/>
        </w:rPr>
      </w:pPr>
    </w:p>
    <w:tbl>
      <w:tblPr>
        <w:tblStyle w:val="TableGrid"/>
        <w:tblpPr w:leftFromText="180" w:rightFromText="180" w:vertAnchor="text" w:horzAnchor="margin" w:tblpY="35"/>
        <w:tblW w:w="9493" w:type="dxa"/>
        <w:tblLook w:val="04A0" w:firstRow="1" w:lastRow="0" w:firstColumn="1" w:lastColumn="0" w:noHBand="0" w:noVBand="1"/>
      </w:tblPr>
      <w:tblGrid>
        <w:gridCol w:w="2263"/>
        <w:gridCol w:w="7230"/>
      </w:tblGrid>
      <w:tr w:rsidR="00EF62A3" w:rsidRPr="00DA34B9" w14:paraId="4BFF64E7" w14:textId="77777777" w:rsidTr="00DA34B9">
        <w:trPr>
          <w:trHeight w:val="270"/>
        </w:trPr>
        <w:tc>
          <w:tcPr>
            <w:tcW w:w="9493" w:type="dxa"/>
            <w:gridSpan w:val="2"/>
            <w:hideMark/>
          </w:tcPr>
          <w:p w14:paraId="1EE4D656" w14:textId="77777777" w:rsidR="00EF62A3" w:rsidRPr="00DA34B9" w:rsidRDefault="00EF62A3" w:rsidP="008E385E">
            <w:pPr>
              <w:rPr>
                <w:rFonts w:ascii="Arial" w:hAnsi="Arial" w:cs="Arial"/>
                <w:b/>
                <w:bCs/>
                <w:sz w:val="22"/>
                <w:szCs w:val="22"/>
              </w:rPr>
            </w:pPr>
            <w:r w:rsidRPr="00DA34B9">
              <w:rPr>
                <w:rFonts w:ascii="Arial" w:hAnsi="Arial" w:cs="Arial"/>
                <w:b/>
                <w:bCs/>
                <w:sz w:val="22"/>
                <w:szCs w:val="22"/>
              </w:rPr>
              <w:t>Mayoral Police Fund</w:t>
            </w:r>
          </w:p>
        </w:tc>
      </w:tr>
      <w:tr w:rsidR="00EF62A3" w:rsidRPr="00DA34B9" w14:paraId="08654EFF" w14:textId="77777777" w:rsidTr="00DA34B9">
        <w:trPr>
          <w:trHeight w:val="810"/>
        </w:trPr>
        <w:tc>
          <w:tcPr>
            <w:tcW w:w="2263" w:type="dxa"/>
            <w:hideMark/>
          </w:tcPr>
          <w:p w14:paraId="1FCECC95" w14:textId="759D8EF8" w:rsidR="00EF62A3" w:rsidRPr="00DA34B9" w:rsidRDefault="00EF62A3" w:rsidP="008E385E">
            <w:pPr>
              <w:rPr>
                <w:rFonts w:ascii="Arial" w:hAnsi="Arial" w:cs="Arial"/>
                <w:sz w:val="22"/>
                <w:szCs w:val="22"/>
              </w:rPr>
            </w:pPr>
            <w:r w:rsidRPr="00DA34B9">
              <w:rPr>
                <w:rFonts w:ascii="Arial" w:hAnsi="Arial" w:cs="Arial"/>
                <w:sz w:val="22"/>
                <w:szCs w:val="22"/>
              </w:rPr>
              <w:t>Revenue Expenditure</w:t>
            </w:r>
            <w:r w:rsidR="00DA34B9" w:rsidRPr="00DA34B9">
              <w:rPr>
                <w:rFonts w:ascii="Arial" w:hAnsi="Arial" w:cs="Arial"/>
                <w:sz w:val="22"/>
                <w:szCs w:val="22"/>
              </w:rPr>
              <w:t xml:space="preserve"> </w:t>
            </w:r>
            <w:r w:rsidRPr="00DA34B9">
              <w:rPr>
                <w:rFonts w:ascii="Arial" w:hAnsi="Arial" w:cs="Arial"/>
                <w:sz w:val="22"/>
                <w:szCs w:val="22"/>
              </w:rPr>
              <w:t>Reserve</w:t>
            </w:r>
          </w:p>
        </w:tc>
        <w:tc>
          <w:tcPr>
            <w:tcW w:w="7230" w:type="dxa"/>
            <w:hideMark/>
          </w:tcPr>
          <w:p w14:paraId="5B8B41B9" w14:textId="220EA070" w:rsidR="00EF62A3" w:rsidRPr="00DA34B9" w:rsidRDefault="00EF62A3" w:rsidP="008E385E">
            <w:pPr>
              <w:rPr>
                <w:rFonts w:ascii="Arial" w:hAnsi="Arial" w:cs="Arial"/>
                <w:sz w:val="22"/>
                <w:szCs w:val="22"/>
              </w:rPr>
            </w:pPr>
            <w:r w:rsidRPr="00DA34B9">
              <w:rPr>
                <w:rFonts w:ascii="Arial" w:hAnsi="Arial" w:cs="Arial"/>
                <w:sz w:val="22"/>
                <w:szCs w:val="22"/>
              </w:rPr>
              <w:t>Funding to be utilised to meet costs of existing projects which span</w:t>
            </w:r>
            <w:r w:rsidR="00CB6604" w:rsidRPr="00DA34B9">
              <w:rPr>
                <w:rFonts w:ascii="Arial" w:hAnsi="Arial" w:cs="Arial"/>
                <w:sz w:val="22"/>
                <w:szCs w:val="22"/>
              </w:rPr>
              <w:t xml:space="preserve"> across future </w:t>
            </w:r>
            <w:r w:rsidRPr="00DA34B9">
              <w:rPr>
                <w:rFonts w:ascii="Arial" w:hAnsi="Arial" w:cs="Arial"/>
                <w:sz w:val="22"/>
                <w:szCs w:val="22"/>
              </w:rPr>
              <w:t>years.</w:t>
            </w:r>
          </w:p>
        </w:tc>
      </w:tr>
      <w:tr w:rsidR="00EF62A3" w:rsidRPr="00DA34B9" w14:paraId="09B1EF95" w14:textId="77777777" w:rsidTr="00DA34B9">
        <w:trPr>
          <w:trHeight w:val="1350"/>
        </w:trPr>
        <w:tc>
          <w:tcPr>
            <w:tcW w:w="2263" w:type="dxa"/>
            <w:hideMark/>
          </w:tcPr>
          <w:p w14:paraId="3194389F" w14:textId="77777777" w:rsidR="00EF62A3" w:rsidRPr="00DA34B9" w:rsidRDefault="00EF62A3" w:rsidP="008E385E">
            <w:pPr>
              <w:rPr>
                <w:rFonts w:ascii="Arial" w:hAnsi="Arial" w:cs="Arial"/>
                <w:sz w:val="22"/>
                <w:szCs w:val="22"/>
              </w:rPr>
            </w:pPr>
            <w:r w:rsidRPr="00DA34B9">
              <w:rPr>
                <w:rFonts w:ascii="Arial" w:hAnsi="Arial" w:cs="Arial"/>
                <w:sz w:val="22"/>
                <w:szCs w:val="22"/>
              </w:rPr>
              <w:t>Insurance Reserve</w:t>
            </w:r>
          </w:p>
        </w:tc>
        <w:tc>
          <w:tcPr>
            <w:tcW w:w="7230" w:type="dxa"/>
            <w:hideMark/>
          </w:tcPr>
          <w:p w14:paraId="1E4CF724" w14:textId="32D3E239" w:rsidR="00EF62A3" w:rsidRPr="00DA34B9" w:rsidRDefault="00EF62A3" w:rsidP="008E385E">
            <w:pPr>
              <w:rPr>
                <w:rFonts w:ascii="Arial" w:hAnsi="Arial" w:cs="Arial"/>
                <w:sz w:val="22"/>
                <w:szCs w:val="22"/>
              </w:rPr>
            </w:pPr>
            <w:r w:rsidRPr="00DA34B9">
              <w:rPr>
                <w:rFonts w:ascii="Arial" w:hAnsi="Arial" w:cs="Arial"/>
                <w:sz w:val="22"/>
                <w:szCs w:val="22"/>
              </w:rPr>
              <w:t>Insurance Reserve - this reserve has been established as a result of reducing the insurance provision in compliance with IAS37. The reserve provides a prudent contingency against unforeseen future claims, including the MMI Scheme of Arrangement. The reserve also provides a prudent hedge against changes in the insurance market which may require premium increases.</w:t>
            </w:r>
          </w:p>
        </w:tc>
      </w:tr>
      <w:tr w:rsidR="00EF62A3" w:rsidRPr="00DA34B9" w14:paraId="4B747935" w14:textId="77777777" w:rsidTr="00DA34B9">
        <w:trPr>
          <w:trHeight w:val="540"/>
        </w:trPr>
        <w:tc>
          <w:tcPr>
            <w:tcW w:w="2263" w:type="dxa"/>
            <w:hideMark/>
          </w:tcPr>
          <w:p w14:paraId="0A40CFE5" w14:textId="77777777" w:rsidR="00EF62A3" w:rsidRPr="00DA34B9" w:rsidRDefault="00EF62A3" w:rsidP="008E385E">
            <w:pPr>
              <w:rPr>
                <w:rFonts w:ascii="Arial" w:hAnsi="Arial" w:cs="Arial"/>
                <w:sz w:val="22"/>
                <w:szCs w:val="22"/>
              </w:rPr>
            </w:pPr>
            <w:r w:rsidRPr="00DA34B9">
              <w:rPr>
                <w:rFonts w:ascii="Arial" w:hAnsi="Arial" w:cs="Arial"/>
                <w:sz w:val="22"/>
                <w:szCs w:val="22"/>
              </w:rPr>
              <w:t>PCC Earmarked Reserves</w:t>
            </w:r>
          </w:p>
        </w:tc>
        <w:tc>
          <w:tcPr>
            <w:tcW w:w="7230" w:type="dxa"/>
            <w:hideMark/>
          </w:tcPr>
          <w:p w14:paraId="73743079" w14:textId="77777777" w:rsidR="00EF62A3" w:rsidRPr="00DA34B9" w:rsidRDefault="00EF62A3" w:rsidP="008E385E">
            <w:pPr>
              <w:rPr>
                <w:rFonts w:ascii="Arial" w:hAnsi="Arial" w:cs="Arial"/>
                <w:sz w:val="22"/>
                <w:szCs w:val="22"/>
              </w:rPr>
            </w:pPr>
            <w:r w:rsidRPr="00DA34B9">
              <w:rPr>
                <w:rFonts w:ascii="Arial" w:hAnsi="Arial" w:cs="Arial"/>
                <w:sz w:val="22"/>
                <w:szCs w:val="22"/>
              </w:rPr>
              <w:t>Funding to be utilised to meet costs of future projects which support the delivery of the Police and Crime Plan.</w:t>
            </w:r>
          </w:p>
        </w:tc>
      </w:tr>
      <w:tr w:rsidR="00EF62A3" w:rsidRPr="00DA34B9" w14:paraId="57B79EA9" w14:textId="77777777" w:rsidTr="00DA34B9">
        <w:trPr>
          <w:trHeight w:val="540"/>
        </w:trPr>
        <w:tc>
          <w:tcPr>
            <w:tcW w:w="2263" w:type="dxa"/>
            <w:hideMark/>
          </w:tcPr>
          <w:p w14:paraId="4E5ACBC8" w14:textId="77777777" w:rsidR="00EF62A3" w:rsidRPr="00DA34B9" w:rsidRDefault="00EF62A3" w:rsidP="008E385E">
            <w:pPr>
              <w:rPr>
                <w:rFonts w:ascii="Arial" w:hAnsi="Arial" w:cs="Arial"/>
                <w:sz w:val="22"/>
                <w:szCs w:val="22"/>
              </w:rPr>
            </w:pPr>
            <w:r w:rsidRPr="00DA34B9">
              <w:rPr>
                <w:rFonts w:ascii="Arial" w:hAnsi="Arial" w:cs="Arial"/>
                <w:sz w:val="22"/>
                <w:szCs w:val="22"/>
              </w:rPr>
              <w:t>PFI Reserve</w:t>
            </w:r>
          </w:p>
        </w:tc>
        <w:tc>
          <w:tcPr>
            <w:tcW w:w="7230" w:type="dxa"/>
            <w:hideMark/>
          </w:tcPr>
          <w:p w14:paraId="0C489638" w14:textId="059A6B85" w:rsidR="00EF62A3" w:rsidRPr="00DA34B9" w:rsidRDefault="00EF62A3" w:rsidP="008E385E">
            <w:pPr>
              <w:rPr>
                <w:rFonts w:ascii="Arial" w:hAnsi="Arial" w:cs="Arial"/>
                <w:sz w:val="22"/>
                <w:szCs w:val="22"/>
              </w:rPr>
            </w:pPr>
            <w:r w:rsidRPr="00DA34B9">
              <w:rPr>
                <w:rFonts w:ascii="Arial" w:hAnsi="Arial" w:cs="Arial"/>
                <w:sz w:val="22"/>
                <w:szCs w:val="22"/>
              </w:rPr>
              <w:t>This reserve holds that balance of the PFI grant paid by the Home Office. It is used to support the future costs arising from the PFI Scheme.</w:t>
            </w:r>
          </w:p>
        </w:tc>
      </w:tr>
      <w:tr w:rsidR="00EF62A3" w:rsidRPr="00DA34B9" w14:paraId="2CB2AFE9" w14:textId="77777777" w:rsidTr="00DA34B9">
        <w:trPr>
          <w:trHeight w:val="540"/>
        </w:trPr>
        <w:tc>
          <w:tcPr>
            <w:tcW w:w="2263" w:type="dxa"/>
          </w:tcPr>
          <w:p w14:paraId="7BE062D5" w14:textId="77777777" w:rsidR="00EF62A3" w:rsidRPr="00DA34B9" w:rsidRDefault="00EF62A3" w:rsidP="008E385E">
            <w:pPr>
              <w:rPr>
                <w:rFonts w:ascii="Arial" w:hAnsi="Arial" w:cs="Arial"/>
                <w:sz w:val="22"/>
                <w:szCs w:val="22"/>
              </w:rPr>
            </w:pPr>
            <w:r w:rsidRPr="00DA34B9">
              <w:rPr>
                <w:rFonts w:ascii="Arial" w:hAnsi="Arial" w:cs="Arial"/>
                <w:sz w:val="22"/>
                <w:szCs w:val="22"/>
              </w:rPr>
              <w:t>Mayoral Police Fund Balances</w:t>
            </w:r>
          </w:p>
        </w:tc>
        <w:tc>
          <w:tcPr>
            <w:tcW w:w="7230" w:type="dxa"/>
          </w:tcPr>
          <w:p w14:paraId="6A3C771E" w14:textId="2EB9E0BF" w:rsidR="00EF62A3" w:rsidRPr="00DA34B9" w:rsidRDefault="00EF62A3" w:rsidP="008E385E">
            <w:pPr>
              <w:rPr>
                <w:rFonts w:ascii="Arial" w:hAnsi="Arial" w:cs="Arial"/>
                <w:sz w:val="22"/>
                <w:szCs w:val="22"/>
              </w:rPr>
            </w:pPr>
            <w:r w:rsidRPr="00DA34B9">
              <w:rPr>
                <w:rFonts w:ascii="Arial" w:hAnsi="Arial" w:cs="Arial"/>
                <w:sz w:val="22"/>
                <w:szCs w:val="22"/>
              </w:rPr>
              <w:t xml:space="preserve">Funding to be utilised for the basic activities </w:t>
            </w:r>
            <w:r w:rsidR="00CB6604" w:rsidRPr="00DA34B9">
              <w:rPr>
                <w:rFonts w:ascii="Arial" w:hAnsi="Arial" w:cs="Arial"/>
                <w:sz w:val="22"/>
                <w:szCs w:val="22"/>
              </w:rPr>
              <w:t>and</w:t>
            </w:r>
            <w:r w:rsidRPr="00DA34B9">
              <w:rPr>
                <w:rFonts w:ascii="Arial" w:hAnsi="Arial" w:cs="Arial"/>
                <w:sz w:val="22"/>
                <w:szCs w:val="22"/>
              </w:rPr>
              <w:t xml:space="preserve"> services that are provided by the GMCA. </w:t>
            </w:r>
          </w:p>
        </w:tc>
      </w:tr>
      <w:bookmarkEnd w:id="115"/>
    </w:tbl>
    <w:p w14:paraId="2FC62C6E" w14:textId="58F597C5" w:rsidR="00DA34B9" w:rsidRDefault="00DA34B9" w:rsidP="0038082E">
      <w:pPr>
        <w:rPr>
          <w:rFonts w:ascii="Arial" w:hAnsi="Arial" w:cs="Arial"/>
          <w:b/>
          <w:sz w:val="22"/>
          <w:szCs w:val="22"/>
        </w:rPr>
      </w:pPr>
    </w:p>
    <w:p w14:paraId="60CC4664" w14:textId="675AC360" w:rsidR="00DA34B9" w:rsidRDefault="00DA34B9" w:rsidP="0038082E">
      <w:pPr>
        <w:rPr>
          <w:rFonts w:ascii="Arial" w:hAnsi="Arial" w:cs="Arial"/>
          <w:b/>
          <w:sz w:val="22"/>
          <w:szCs w:val="22"/>
        </w:rPr>
      </w:pPr>
    </w:p>
    <w:p w14:paraId="20062CE4" w14:textId="2C50026C" w:rsidR="00DA34B9" w:rsidRDefault="00DA34B9" w:rsidP="0038082E">
      <w:pPr>
        <w:rPr>
          <w:rFonts w:ascii="Arial" w:hAnsi="Arial" w:cs="Arial"/>
          <w:b/>
          <w:sz w:val="22"/>
          <w:szCs w:val="22"/>
        </w:rPr>
      </w:pPr>
    </w:p>
    <w:p w14:paraId="1479A57B" w14:textId="72DE22E0" w:rsidR="00A106AE" w:rsidRDefault="00A106AE" w:rsidP="0038082E">
      <w:pPr>
        <w:rPr>
          <w:rFonts w:ascii="Arial" w:hAnsi="Arial" w:cs="Arial"/>
          <w:b/>
          <w:sz w:val="22"/>
          <w:szCs w:val="22"/>
        </w:rPr>
      </w:pPr>
    </w:p>
    <w:p w14:paraId="4EECE775" w14:textId="77777777" w:rsidR="00A106AE" w:rsidRDefault="00A106AE" w:rsidP="0038082E">
      <w:pPr>
        <w:rPr>
          <w:rFonts w:ascii="Arial" w:hAnsi="Arial" w:cs="Arial"/>
          <w:b/>
          <w:sz w:val="22"/>
          <w:szCs w:val="22"/>
        </w:rPr>
      </w:pPr>
    </w:p>
    <w:p w14:paraId="4E1CA6F9" w14:textId="3C3E6BC9" w:rsidR="00153EF1" w:rsidRDefault="00153EF1" w:rsidP="0038082E">
      <w:pPr>
        <w:rPr>
          <w:rFonts w:ascii="Arial" w:hAnsi="Arial" w:cs="Arial"/>
          <w:b/>
          <w:sz w:val="22"/>
          <w:szCs w:val="22"/>
        </w:rPr>
      </w:pPr>
    </w:p>
    <w:p w14:paraId="41B9C2E1" w14:textId="0E7608CF" w:rsidR="00153EF1" w:rsidRDefault="00153EF1" w:rsidP="0038082E">
      <w:pPr>
        <w:rPr>
          <w:rFonts w:ascii="Arial" w:hAnsi="Arial" w:cs="Arial"/>
          <w:b/>
          <w:sz w:val="22"/>
          <w:szCs w:val="22"/>
        </w:rPr>
      </w:pPr>
    </w:p>
    <w:p w14:paraId="64B3B415" w14:textId="77777777" w:rsidR="00DA34B9" w:rsidRPr="0007572B" w:rsidRDefault="00DA34B9" w:rsidP="0038082E">
      <w:pPr>
        <w:rPr>
          <w:rFonts w:ascii="Arial" w:hAnsi="Arial" w:cs="Arial"/>
          <w:b/>
          <w:sz w:val="22"/>
          <w:szCs w:val="22"/>
        </w:rPr>
      </w:pPr>
    </w:p>
    <w:p w14:paraId="1CF16AAE" w14:textId="45F38EB0" w:rsidR="00F2757F" w:rsidRPr="0007572B" w:rsidRDefault="00FC62F7" w:rsidP="0038082E">
      <w:pPr>
        <w:pStyle w:val="Heading3greennumbered"/>
      </w:pPr>
      <w:bookmarkStart w:id="119" w:name="_Toc92894883"/>
      <w:bookmarkStart w:id="120" w:name="_Toc92895187"/>
      <w:bookmarkStart w:id="121" w:name="_Toc109922621"/>
      <w:r w:rsidRPr="0007572B">
        <w:lastRenderedPageBreak/>
        <w:t>1</w:t>
      </w:r>
      <w:r w:rsidR="0003456C" w:rsidRPr="0007572B">
        <w:t>1</w:t>
      </w:r>
      <w:r w:rsidRPr="0007572B">
        <w:t xml:space="preserve"> </w:t>
      </w:r>
      <w:r w:rsidR="00867D36" w:rsidRPr="0007572B">
        <w:t xml:space="preserve">Expenditure and Income Analysed by </w:t>
      </w:r>
      <w:r w:rsidR="00E913C8" w:rsidRPr="0007572B">
        <w:t>Nature</w:t>
      </w:r>
      <w:bookmarkEnd w:id="119"/>
      <w:bookmarkEnd w:id="120"/>
      <w:bookmarkEnd w:id="121"/>
    </w:p>
    <w:p w14:paraId="05B328C6" w14:textId="77777777" w:rsidR="005403AF" w:rsidRDefault="005403AF" w:rsidP="0038082E">
      <w:pPr>
        <w:rPr>
          <w:rFonts w:ascii="Arial" w:hAnsi="Arial" w:cs="Arial"/>
        </w:rPr>
      </w:pPr>
    </w:p>
    <w:p w14:paraId="4501F304" w14:textId="6E491B8F" w:rsidR="00F2757F" w:rsidRPr="0007572B" w:rsidRDefault="00DC5AAB" w:rsidP="0038082E">
      <w:pPr>
        <w:rPr>
          <w:rFonts w:ascii="Arial" w:hAnsi="Arial" w:cs="Arial"/>
        </w:rPr>
      </w:pPr>
      <w:r w:rsidRPr="0007572B">
        <w:rPr>
          <w:rFonts w:ascii="Arial" w:hAnsi="Arial" w:cs="Arial"/>
        </w:rPr>
        <w:t>This table shows the underlying nature of the income and expenditure of the Authority:</w:t>
      </w:r>
    </w:p>
    <w:p w14:paraId="76D4A78F" w14:textId="77777777" w:rsidR="002C3062" w:rsidRPr="0007572B" w:rsidRDefault="002C3062" w:rsidP="0038082E">
      <w:pPr>
        <w:rPr>
          <w:rFonts w:ascii="Arial" w:hAnsi="Arial" w:cs="Arial"/>
          <w:sz w:val="22"/>
          <w:szCs w:val="22"/>
        </w:rPr>
      </w:pPr>
    </w:p>
    <w:p w14:paraId="7A73B3D1" w14:textId="69B8878E" w:rsidR="00503BC1" w:rsidRPr="0007572B" w:rsidRDefault="00796965" w:rsidP="0038082E">
      <w:pPr>
        <w:jc w:val="both"/>
        <w:rPr>
          <w:rFonts w:ascii="Arial" w:hAnsi="Arial" w:cs="Arial"/>
          <w:sz w:val="22"/>
          <w:szCs w:val="22"/>
        </w:rPr>
      </w:pPr>
      <w:r w:rsidRPr="00796965">
        <w:rPr>
          <w:noProof/>
        </w:rPr>
        <w:drawing>
          <wp:inline distT="0" distB="0" distL="0" distR="0" wp14:anchorId="4BF15305" wp14:editId="5BC683BB">
            <wp:extent cx="5711825" cy="3408045"/>
            <wp:effectExtent l="0" t="0" r="3175" b="190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1825" cy="3408045"/>
                    </a:xfrm>
                    <a:prstGeom prst="rect">
                      <a:avLst/>
                    </a:prstGeom>
                    <a:noFill/>
                    <a:ln>
                      <a:noFill/>
                    </a:ln>
                  </pic:spPr>
                </pic:pic>
              </a:graphicData>
            </a:graphic>
          </wp:inline>
        </w:drawing>
      </w:r>
    </w:p>
    <w:p w14:paraId="0C862E05" w14:textId="190EB1A4" w:rsidR="00356A8F" w:rsidRDefault="00356A8F" w:rsidP="0038082E">
      <w:pPr>
        <w:jc w:val="both"/>
        <w:rPr>
          <w:rFonts w:ascii="Arial" w:hAnsi="Arial" w:cs="Arial"/>
          <w:bCs/>
        </w:rPr>
      </w:pPr>
    </w:p>
    <w:p w14:paraId="71ABC11D" w14:textId="7F1DA70F" w:rsidR="00E853C6" w:rsidRDefault="00E853C6">
      <w:pPr>
        <w:rPr>
          <w:rFonts w:ascii="Arial" w:eastAsia="Palatino Linotype" w:hAnsi="Arial" w:cs="Arial"/>
          <w:b/>
          <w:bCs/>
          <w:szCs w:val="28"/>
          <w:lang w:val="en-US"/>
        </w:rPr>
      </w:pPr>
      <w:bookmarkStart w:id="122" w:name="_Toc92894884"/>
      <w:bookmarkStart w:id="123" w:name="_Toc92895188"/>
    </w:p>
    <w:p w14:paraId="0F3DE993" w14:textId="6A17EC3A" w:rsidR="00FC62F7" w:rsidRPr="0007572B" w:rsidRDefault="00FC62F7" w:rsidP="0038082E">
      <w:pPr>
        <w:pStyle w:val="Heading3greennumbered"/>
      </w:pPr>
      <w:bookmarkStart w:id="124" w:name="_Toc109922622"/>
      <w:r w:rsidRPr="0007572B">
        <w:t>1</w:t>
      </w:r>
      <w:r w:rsidR="0003456C" w:rsidRPr="0007572B">
        <w:t>2</w:t>
      </w:r>
      <w:r w:rsidRPr="0007572B">
        <w:t xml:space="preserve"> Revenue Expenditure Funded from Capital under Statute</w:t>
      </w:r>
      <w:bookmarkEnd w:id="122"/>
      <w:bookmarkEnd w:id="123"/>
      <w:bookmarkEnd w:id="124"/>
    </w:p>
    <w:p w14:paraId="5C00B91B" w14:textId="77777777" w:rsidR="005403AF" w:rsidRDefault="005403AF" w:rsidP="0038082E">
      <w:pPr>
        <w:rPr>
          <w:rFonts w:ascii="Arial" w:hAnsi="Arial" w:cs="Arial"/>
        </w:rPr>
      </w:pPr>
    </w:p>
    <w:p w14:paraId="20AA5C31" w14:textId="452FF617" w:rsidR="00D35A13" w:rsidRPr="0007572B" w:rsidRDefault="00FC62F7" w:rsidP="0038082E">
      <w:pPr>
        <w:rPr>
          <w:rFonts w:ascii="Arial" w:hAnsi="Arial" w:cs="Arial"/>
        </w:rPr>
      </w:pPr>
      <w:r w:rsidRPr="0007572B">
        <w:rPr>
          <w:rFonts w:ascii="Arial" w:hAnsi="Arial" w:cs="Arial"/>
        </w:rPr>
        <w:t>Capital grants payable to TfGM/</w:t>
      </w:r>
      <w:r w:rsidR="002952F9" w:rsidRPr="0007572B">
        <w:rPr>
          <w:rFonts w:ascii="Arial" w:hAnsi="Arial" w:cs="Arial"/>
        </w:rPr>
        <w:t>GM Authorities</w:t>
      </w:r>
      <w:r w:rsidRPr="0007572B">
        <w:rPr>
          <w:rFonts w:ascii="Arial" w:hAnsi="Arial" w:cs="Arial"/>
        </w:rPr>
        <w:t xml:space="preserve"> and </w:t>
      </w:r>
      <w:r w:rsidR="0063513E" w:rsidRPr="0007572B">
        <w:rPr>
          <w:rFonts w:ascii="Arial" w:hAnsi="Arial" w:cs="Arial"/>
        </w:rPr>
        <w:t xml:space="preserve">other </w:t>
      </w:r>
      <w:r w:rsidRPr="0007572B">
        <w:rPr>
          <w:rFonts w:ascii="Arial" w:hAnsi="Arial" w:cs="Arial"/>
        </w:rPr>
        <w:t xml:space="preserve">bodies delivering economic development and regeneration projects are charged to the Comprehensive Income and Expenditure </w:t>
      </w:r>
      <w:r w:rsidR="00DC5AAB" w:rsidRPr="0007572B">
        <w:rPr>
          <w:rFonts w:ascii="Arial" w:hAnsi="Arial" w:cs="Arial"/>
        </w:rPr>
        <w:t>S</w:t>
      </w:r>
      <w:r w:rsidRPr="0007572B">
        <w:rPr>
          <w:rFonts w:ascii="Arial" w:hAnsi="Arial" w:cs="Arial"/>
        </w:rPr>
        <w:t xml:space="preserve">tatement as expenditure incurred and </w:t>
      </w:r>
      <w:r w:rsidR="00DC5AAB" w:rsidRPr="0007572B">
        <w:rPr>
          <w:rFonts w:ascii="Arial" w:hAnsi="Arial" w:cs="Arial"/>
        </w:rPr>
        <w:t>they are</w:t>
      </w:r>
      <w:r w:rsidRPr="0007572B">
        <w:rPr>
          <w:rFonts w:ascii="Arial" w:hAnsi="Arial" w:cs="Arial"/>
        </w:rPr>
        <w:t xml:space="preserve"> then r</w:t>
      </w:r>
      <w:r w:rsidR="0063513E" w:rsidRPr="0007572B">
        <w:rPr>
          <w:rFonts w:ascii="Arial" w:hAnsi="Arial" w:cs="Arial"/>
        </w:rPr>
        <w:t>eversed out in the Movement in R</w:t>
      </w:r>
      <w:r w:rsidRPr="0007572B">
        <w:rPr>
          <w:rFonts w:ascii="Arial" w:hAnsi="Arial" w:cs="Arial"/>
        </w:rPr>
        <w:t>eserves Statement.</w:t>
      </w:r>
    </w:p>
    <w:p w14:paraId="44EA8917" w14:textId="74AC95B8" w:rsidR="00740996" w:rsidRPr="0007572B" w:rsidRDefault="00740996" w:rsidP="0038082E">
      <w:pPr>
        <w:rPr>
          <w:rFonts w:ascii="Arial" w:hAnsi="Arial" w:cs="Arial"/>
          <w:b/>
          <w:sz w:val="22"/>
          <w:szCs w:val="22"/>
        </w:rPr>
      </w:pPr>
    </w:p>
    <w:p w14:paraId="32F4B51C" w14:textId="2E17A309" w:rsidR="00503BC1" w:rsidRPr="0007572B" w:rsidRDefault="002C772E" w:rsidP="0038082E">
      <w:pPr>
        <w:jc w:val="both"/>
        <w:rPr>
          <w:rFonts w:ascii="Arial" w:hAnsi="Arial" w:cs="Arial"/>
          <w:sz w:val="22"/>
          <w:szCs w:val="22"/>
        </w:rPr>
      </w:pPr>
      <w:r w:rsidRPr="002C772E">
        <w:rPr>
          <w:noProof/>
        </w:rPr>
        <w:drawing>
          <wp:inline distT="0" distB="0" distL="0" distR="0" wp14:anchorId="10954E93" wp14:editId="77A91F03">
            <wp:extent cx="5589270" cy="767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9270" cy="767715"/>
                    </a:xfrm>
                    <a:prstGeom prst="rect">
                      <a:avLst/>
                    </a:prstGeom>
                    <a:noFill/>
                    <a:ln>
                      <a:noFill/>
                    </a:ln>
                  </pic:spPr>
                </pic:pic>
              </a:graphicData>
            </a:graphic>
          </wp:inline>
        </w:drawing>
      </w:r>
    </w:p>
    <w:p w14:paraId="5F4B5D1F" w14:textId="77777777" w:rsidR="000E5378" w:rsidRPr="0007572B" w:rsidRDefault="000E5378" w:rsidP="001B1330">
      <w:pPr>
        <w:ind w:firstLine="720"/>
        <w:jc w:val="both"/>
        <w:rPr>
          <w:rFonts w:ascii="Arial" w:hAnsi="Arial" w:cs="Arial"/>
          <w:sz w:val="22"/>
          <w:szCs w:val="22"/>
        </w:rPr>
      </w:pPr>
    </w:p>
    <w:p w14:paraId="1BE2FB51" w14:textId="651C6939" w:rsidR="0007382A" w:rsidRPr="0007572B" w:rsidRDefault="0007382A" w:rsidP="0038082E">
      <w:pPr>
        <w:rPr>
          <w:rFonts w:ascii="Arial" w:hAnsi="Arial" w:cs="Arial"/>
          <w:b/>
          <w:sz w:val="22"/>
          <w:szCs w:val="22"/>
        </w:rPr>
      </w:pPr>
    </w:p>
    <w:p w14:paraId="7563600C" w14:textId="77777777" w:rsidR="00EB27EB" w:rsidRDefault="00EB27EB">
      <w:pPr>
        <w:rPr>
          <w:rFonts w:ascii="Arial" w:eastAsia="Palatino Linotype" w:hAnsi="Arial" w:cs="Arial"/>
          <w:b/>
          <w:bCs/>
          <w:szCs w:val="28"/>
          <w:lang w:val="en-US"/>
        </w:rPr>
      </w:pPr>
      <w:bookmarkStart w:id="125" w:name="_Toc92894885"/>
      <w:bookmarkStart w:id="126" w:name="_Toc92895189"/>
      <w:r>
        <w:br w:type="page"/>
      </w:r>
    </w:p>
    <w:p w14:paraId="414D5B15" w14:textId="0D438A35" w:rsidR="000B67F1" w:rsidRPr="0007572B" w:rsidRDefault="00BE7266" w:rsidP="0038082E">
      <w:pPr>
        <w:pStyle w:val="Heading3greennumbered"/>
      </w:pPr>
      <w:bookmarkStart w:id="127" w:name="_Toc109922623"/>
      <w:r w:rsidRPr="0007572B">
        <w:lastRenderedPageBreak/>
        <w:t>1</w:t>
      </w:r>
      <w:r w:rsidR="0003456C" w:rsidRPr="0007572B">
        <w:t>3</w:t>
      </w:r>
      <w:r w:rsidR="000B67F1" w:rsidRPr="0007572B">
        <w:t xml:space="preserve"> </w:t>
      </w:r>
      <w:r w:rsidR="00AE492B" w:rsidRPr="0007572B">
        <w:t>Grants and Contributions</w:t>
      </w:r>
      <w:r w:rsidR="00FB0A7D" w:rsidRPr="0007572B">
        <w:t xml:space="preserve"> Credited to Comprehensive Income</w:t>
      </w:r>
      <w:bookmarkEnd w:id="125"/>
      <w:bookmarkEnd w:id="126"/>
      <w:bookmarkEnd w:id="127"/>
    </w:p>
    <w:p w14:paraId="32C69713" w14:textId="77777777" w:rsidR="00943897" w:rsidRDefault="00943897" w:rsidP="0038082E">
      <w:pPr>
        <w:rPr>
          <w:rFonts w:ascii="Arial" w:hAnsi="Arial" w:cs="Arial"/>
        </w:rPr>
      </w:pPr>
    </w:p>
    <w:p w14:paraId="05BD6A05" w14:textId="3AE65E90" w:rsidR="00203F2A" w:rsidRDefault="00DC5AAB" w:rsidP="0038082E">
      <w:pPr>
        <w:rPr>
          <w:rFonts w:ascii="Arial" w:hAnsi="Arial" w:cs="Arial"/>
        </w:rPr>
      </w:pPr>
      <w:r w:rsidRPr="0007572B">
        <w:rPr>
          <w:rFonts w:ascii="Arial" w:hAnsi="Arial" w:cs="Arial"/>
        </w:rPr>
        <w:t>The Authority</w:t>
      </w:r>
      <w:r w:rsidR="000B67F1" w:rsidRPr="0007572B">
        <w:rPr>
          <w:rFonts w:ascii="Arial" w:hAnsi="Arial" w:cs="Arial"/>
        </w:rPr>
        <w:t xml:space="preserve"> credited the following grants and contributions to the Comprehensive Income and Expenditure Statement:</w:t>
      </w:r>
      <w:r w:rsidR="0081587D" w:rsidRPr="0081587D">
        <w:rPr>
          <w:rFonts w:ascii="Arial" w:hAnsi="Arial" w:cs="Arial"/>
        </w:rPr>
        <w:t xml:space="preserve"> </w:t>
      </w:r>
    </w:p>
    <w:p w14:paraId="5A804D04" w14:textId="77777777" w:rsidR="00203F2A" w:rsidRDefault="00203F2A" w:rsidP="0038082E">
      <w:pPr>
        <w:rPr>
          <w:rFonts w:ascii="Arial" w:hAnsi="Arial" w:cs="Arial"/>
        </w:rPr>
      </w:pPr>
    </w:p>
    <w:p w14:paraId="5ADAFCCB" w14:textId="069AF60A" w:rsidR="00203F2A" w:rsidRDefault="00203F2A" w:rsidP="0038082E">
      <w:pPr>
        <w:rPr>
          <w:rFonts w:ascii="Arial" w:hAnsi="Arial" w:cs="Arial"/>
        </w:rPr>
      </w:pPr>
      <w:r w:rsidRPr="00451128">
        <w:rPr>
          <w:noProof/>
        </w:rPr>
        <w:drawing>
          <wp:inline distT="0" distB="0" distL="0" distR="0" wp14:anchorId="277D9229" wp14:editId="711969F9">
            <wp:extent cx="5924550" cy="7447280"/>
            <wp:effectExtent l="0" t="0" r="0"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2502" cy="7469846"/>
                    </a:xfrm>
                    <a:prstGeom prst="rect">
                      <a:avLst/>
                    </a:prstGeom>
                    <a:noFill/>
                    <a:ln>
                      <a:noFill/>
                    </a:ln>
                  </pic:spPr>
                </pic:pic>
              </a:graphicData>
            </a:graphic>
          </wp:inline>
        </w:drawing>
      </w:r>
    </w:p>
    <w:p w14:paraId="6E9BFC10" w14:textId="7121EB0B" w:rsidR="00203F2A" w:rsidRDefault="00203F2A" w:rsidP="0038082E">
      <w:pPr>
        <w:rPr>
          <w:rFonts w:ascii="Arial" w:hAnsi="Arial" w:cs="Arial"/>
        </w:rPr>
      </w:pPr>
    </w:p>
    <w:p w14:paraId="640CA679" w14:textId="545B4CF1" w:rsidR="00203F2A" w:rsidRDefault="00203F2A" w:rsidP="0038082E">
      <w:pPr>
        <w:rPr>
          <w:rFonts w:ascii="Arial" w:hAnsi="Arial" w:cs="Arial"/>
        </w:rPr>
      </w:pPr>
    </w:p>
    <w:p w14:paraId="7B8BFA2F" w14:textId="5B87ECE6" w:rsidR="0081587D" w:rsidRDefault="0081587D" w:rsidP="0038082E">
      <w:pPr>
        <w:rPr>
          <w:rFonts w:ascii="Arial" w:hAnsi="Arial" w:cs="Arial"/>
        </w:rPr>
      </w:pPr>
      <w:r w:rsidRPr="0081587D">
        <w:rPr>
          <w:noProof/>
        </w:rPr>
        <w:lastRenderedPageBreak/>
        <w:drawing>
          <wp:inline distT="0" distB="0" distL="0" distR="0" wp14:anchorId="338BBAE9" wp14:editId="7CE2601C">
            <wp:extent cx="5867400" cy="181927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1819275"/>
                    </a:xfrm>
                    <a:prstGeom prst="rect">
                      <a:avLst/>
                    </a:prstGeom>
                    <a:noFill/>
                    <a:ln>
                      <a:noFill/>
                    </a:ln>
                  </pic:spPr>
                </pic:pic>
              </a:graphicData>
            </a:graphic>
          </wp:inline>
        </w:drawing>
      </w:r>
    </w:p>
    <w:p w14:paraId="020209BA" w14:textId="4754905D" w:rsidR="00826230" w:rsidRPr="0007572B" w:rsidRDefault="00C06A2E" w:rsidP="0038082E">
      <w:pPr>
        <w:rPr>
          <w:rFonts w:ascii="Arial" w:hAnsi="Arial" w:cs="Arial"/>
        </w:rPr>
      </w:pPr>
      <w:r w:rsidRPr="00C06A2E">
        <w:rPr>
          <w:rFonts w:ascii="Arial" w:hAnsi="Arial" w:cs="Arial"/>
        </w:rPr>
        <w:t xml:space="preserve"> </w:t>
      </w:r>
    </w:p>
    <w:p w14:paraId="2B533040" w14:textId="01748683" w:rsidR="0007382A" w:rsidRDefault="0007382A" w:rsidP="0038082E">
      <w:pPr>
        <w:rPr>
          <w:rFonts w:ascii="Arial" w:hAnsi="Arial" w:cs="Arial"/>
        </w:rPr>
      </w:pPr>
      <w:r w:rsidRPr="0007572B">
        <w:rPr>
          <w:rFonts w:ascii="Arial" w:hAnsi="Arial" w:cs="Arial"/>
        </w:rPr>
        <w:t>*The full benefit of the saving from a loan provided at below market rate interest is treated as a grant in the year the loan funds are received. In future years the benefit is reduced annually over the remaining years of the loan term using a fair value effective interest rate.</w:t>
      </w:r>
    </w:p>
    <w:p w14:paraId="2923C24B" w14:textId="0068A692" w:rsidR="00AC4453" w:rsidRDefault="00AC4453" w:rsidP="0038082E">
      <w:pPr>
        <w:rPr>
          <w:rFonts w:ascii="Arial" w:eastAsia="Palatino Linotype" w:hAnsi="Arial" w:cs="Arial"/>
          <w:b/>
          <w:bCs/>
          <w:szCs w:val="28"/>
          <w:lang w:val="en-US"/>
        </w:rPr>
      </w:pPr>
      <w:bookmarkStart w:id="128" w:name="_Toc92894886"/>
      <w:bookmarkStart w:id="129" w:name="_Toc92895190"/>
    </w:p>
    <w:p w14:paraId="08DC228F" w14:textId="77777777" w:rsidR="00EB27EB" w:rsidRDefault="00EB27EB">
      <w:pPr>
        <w:rPr>
          <w:rFonts w:ascii="Arial" w:eastAsia="Palatino Linotype" w:hAnsi="Arial" w:cs="Arial"/>
          <w:b/>
          <w:bCs/>
          <w:szCs w:val="28"/>
          <w:lang w:val="en-US"/>
        </w:rPr>
      </w:pPr>
      <w:r>
        <w:br w:type="page"/>
      </w:r>
    </w:p>
    <w:p w14:paraId="005777B9" w14:textId="331F4931" w:rsidR="000B67F1" w:rsidRPr="0007572B" w:rsidRDefault="00BE7266" w:rsidP="0038082E">
      <w:pPr>
        <w:pStyle w:val="Heading3greennumbered"/>
      </w:pPr>
      <w:bookmarkStart w:id="130" w:name="_Toc109922624"/>
      <w:r w:rsidRPr="0007572B">
        <w:lastRenderedPageBreak/>
        <w:t>1</w:t>
      </w:r>
      <w:r w:rsidR="0003456C" w:rsidRPr="0007572B">
        <w:t>4</w:t>
      </w:r>
      <w:r w:rsidR="000B67F1" w:rsidRPr="0007572B">
        <w:t xml:space="preserve"> Grants and Contributions </w:t>
      </w:r>
      <w:r w:rsidRPr="0007572B">
        <w:t>Received in Advance</w:t>
      </w:r>
      <w:bookmarkEnd w:id="128"/>
      <w:bookmarkEnd w:id="129"/>
      <w:bookmarkEnd w:id="130"/>
    </w:p>
    <w:p w14:paraId="37A0C9F3" w14:textId="77777777" w:rsidR="005403AF" w:rsidRDefault="005403AF" w:rsidP="0038082E">
      <w:pPr>
        <w:rPr>
          <w:rFonts w:ascii="Arial" w:hAnsi="Arial" w:cs="Arial"/>
        </w:rPr>
      </w:pPr>
    </w:p>
    <w:p w14:paraId="1654F98E" w14:textId="6AB8F61E" w:rsidR="000B67F1" w:rsidRDefault="00DC5AAB" w:rsidP="0038082E">
      <w:pPr>
        <w:rPr>
          <w:rFonts w:ascii="Arial" w:hAnsi="Arial" w:cs="Arial"/>
        </w:rPr>
      </w:pPr>
      <w:r w:rsidRPr="0007572B">
        <w:rPr>
          <w:rFonts w:ascii="Arial" w:hAnsi="Arial" w:cs="Arial"/>
        </w:rPr>
        <w:t>The Authority</w:t>
      </w:r>
      <w:r w:rsidR="000B67F1" w:rsidRPr="0007572B">
        <w:rPr>
          <w:rFonts w:ascii="Arial" w:hAnsi="Arial" w:cs="Arial"/>
        </w:rPr>
        <w:t xml:space="preserve"> received the following grants</w:t>
      </w:r>
      <w:r w:rsidR="00FD37D7" w:rsidRPr="0007572B">
        <w:rPr>
          <w:rFonts w:ascii="Arial" w:hAnsi="Arial" w:cs="Arial"/>
        </w:rPr>
        <w:t xml:space="preserve"> and contributions</w:t>
      </w:r>
      <w:r w:rsidR="000B67F1" w:rsidRPr="0007572B">
        <w:rPr>
          <w:rFonts w:ascii="Arial" w:hAnsi="Arial" w:cs="Arial"/>
        </w:rPr>
        <w:t xml:space="preserve"> in advance. These were not credited to the</w:t>
      </w:r>
      <w:r w:rsidR="000B67F1" w:rsidRPr="0007572B">
        <w:rPr>
          <w:rFonts w:ascii="Arial" w:hAnsi="Arial" w:cs="Arial"/>
          <w:b/>
        </w:rPr>
        <w:t xml:space="preserve"> </w:t>
      </w:r>
      <w:r w:rsidR="000B67F1" w:rsidRPr="0007572B">
        <w:rPr>
          <w:rFonts w:ascii="Arial" w:hAnsi="Arial" w:cs="Arial"/>
        </w:rPr>
        <w:t>Comprehensive Income and Expenditure Statement as they have conditions that have not yet been met.</w:t>
      </w:r>
    </w:p>
    <w:p w14:paraId="54C6D695" w14:textId="77777777" w:rsidR="00C06A2E" w:rsidRPr="0007572B" w:rsidRDefault="00C06A2E" w:rsidP="0038082E">
      <w:pPr>
        <w:rPr>
          <w:rFonts w:ascii="Arial" w:hAnsi="Arial" w:cs="Arial"/>
        </w:rPr>
      </w:pPr>
    </w:p>
    <w:tbl>
      <w:tblPr>
        <w:tblW w:w="8020" w:type="dxa"/>
        <w:tblLook w:val="04A0" w:firstRow="1" w:lastRow="0" w:firstColumn="1" w:lastColumn="0" w:noHBand="0" w:noVBand="1"/>
      </w:tblPr>
      <w:tblGrid>
        <w:gridCol w:w="1380"/>
        <w:gridCol w:w="5260"/>
        <w:gridCol w:w="1380"/>
      </w:tblGrid>
      <w:tr w:rsidR="009A1C9F" w14:paraId="5C5775D3" w14:textId="77777777" w:rsidTr="009A1C9F">
        <w:trPr>
          <w:trHeight w:val="400"/>
        </w:trPr>
        <w:tc>
          <w:tcPr>
            <w:tcW w:w="1380" w:type="dxa"/>
            <w:tcBorders>
              <w:top w:val="single" w:sz="4" w:space="0" w:color="auto"/>
              <w:left w:val="single" w:sz="4" w:space="0" w:color="auto"/>
              <w:bottom w:val="nil"/>
              <w:right w:val="single" w:sz="4" w:space="0" w:color="auto"/>
            </w:tcBorders>
            <w:shd w:val="clear" w:color="auto" w:fill="auto"/>
            <w:vAlign w:val="bottom"/>
            <w:hideMark/>
          </w:tcPr>
          <w:p w14:paraId="7929AD43" w14:textId="77777777" w:rsidR="009A1C9F" w:rsidRDefault="009A1C9F">
            <w:pPr>
              <w:jc w:val="center"/>
              <w:rPr>
                <w:rFonts w:ascii="Verdana" w:hAnsi="Verdana" w:cs="Arial"/>
                <w:b/>
                <w:bCs/>
                <w:sz w:val="16"/>
                <w:szCs w:val="16"/>
                <w:lang w:eastAsia="en-GB"/>
              </w:rPr>
            </w:pPr>
            <w:r>
              <w:rPr>
                <w:rFonts w:ascii="Verdana" w:hAnsi="Verdana" w:cs="Arial"/>
                <w:b/>
                <w:bCs/>
                <w:sz w:val="16"/>
                <w:szCs w:val="16"/>
              </w:rPr>
              <w:t>31 March</w:t>
            </w:r>
            <w:r>
              <w:rPr>
                <w:rFonts w:ascii="Verdana" w:hAnsi="Verdana" w:cs="Arial"/>
                <w:b/>
                <w:bCs/>
                <w:sz w:val="16"/>
                <w:szCs w:val="16"/>
              </w:rPr>
              <w:br/>
              <w:t>2021</w:t>
            </w:r>
          </w:p>
        </w:tc>
        <w:tc>
          <w:tcPr>
            <w:tcW w:w="5260" w:type="dxa"/>
            <w:tcBorders>
              <w:top w:val="single" w:sz="4" w:space="0" w:color="auto"/>
              <w:left w:val="nil"/>
              <w:bottom w:val="nil"/>
              <w:right w:val="nil"/>
            </w:tcBorders>
            <w:shd w:val="clear" w:color="auto" w:fill="auto"/>
            <w:noWrap/>
            <w:hideMark/>
          </w:tcPr>
          <w:p w14:paraId="4EE8CDBD" w14:textId="77777777" w:rsidR="009A1C9F" w:rsidRDefault="009A1C9F">
            <w:pPr>
              <w:rPr>
                <w:rFonts w:ascii="Verdana" w:hAnsi="Verdana" w:cs="Arial"/>
                <w:b/>
                <w:bCs/>
                <w:sz w:val="16"/>
                <w:szCs w:val="16"/>
              </w:rPr>
            </w:pPr>
            <w:r>
              <w:rPr>
                <w:rFonts w:ascii="Verdana" w:hAnsi="Verdana" w:cs="Arial"/>
                <w:b/>
                <w:bCs/>
                <w:sz w:val="16"/>
                <w:szCs w:val="16"/>
              </w:rPr>
              <w:t>Grants Received in Advance</w:t>
            </w:r>
          </w:p>
        </w:tc>
        <w:tc>
          <w:tcPr>
            <w:tcW w:w="1380" w:type="dxa"/>
            <w:tcBorders>
              <w:top w:val="single" w:sz="4" w:space="0" w:color="auto"/>
              <w:left w:val="single" w:sz="4" w:space="0" w:color="auto"/>
              <w:bottom w:val="nil"/>
              <w:right w:val="single" w:sz="4" w:space="0" w:color="auto"/>
            </w:tcBorders>
            <w:shd w:val="clear" w:color="auto" w:fill="auto"/>
            <w:vAlign w:val="bottom"/>
            <w:hideMark/>
          </w:tcPr>
          <w:p w14:paraId="5429A2CD" w14:textId="77777777" w:rsidR="009A1C9F" w:rsidRDefault="009A1C9F">
            <w:pPr>
              <w:jc w:val="center"/>
              <w:rPr>
                <w:rFonts w:ascii="Verdana" w:hAnsi="Verdana" w:cs="Arial"/>
                <w:b/>
                <w:bCs/>
                <w:sz w:val="16"/>
                <w:szCs w:val="16"/>
              </w:rPr>
            </w:pPr>
            <w:r>
              <w:rPr>
                <w:rFonts w:ascii="Verdana" w:hAnsi="Verdana" w:cs="Arial"/>
                <w:b/>
                <w:bCs/>
                <w:sz w:val="16"/>
                <w:szCs w:val="16"/>
              </w:rPr>
              <w:t>31 March</w:t>
            </w:r>
            <w:r>
              <w:rPr>
                <w:rFonts w:ascii="Verdana" w:hAnsi="Verdana" w:cs="Arial"/>
                <w:b/>
                <w:bCs/>
                <w:sz w:val="16"/>
                <w:szCs w:val="16"/>
              </w:rPr>
              <w:br/>
              <w:t>2022</w:t>
            </w:r>
          </w:p>
        </w:tc>
      </w:tr>
      <w:tr w:rsidR="009A1C9F" w14:paraId="2C12C3F3" w14:textId="77777777" w:rsidTr="009A1C9F">
        <w:trPr>
          <w:trHeight w:val="2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2501A50" w14:textId="77777777" w:rsidR="009A1C9F" w:rsidRDefault="009A1C9F">
            <w:pPr>
              <w:jc w:val="center"/>
              <w:rPr>
                <w:rFonts w:ascii="Verdana" w:hAnsi="Verdana" w:cs="Arial"/>
                <w:b/>
                <w:bCs/>
                <w:sz w:val="16"/>
                <w:szCs w:val="16"/>
              </w:rPr>
            </w:pPr>
            <w:r>
              <w:rPr>
                <w:rFonts w:ascii="Verdana" w:hAnsi="Verdana" w:cs="Arial"/>
                <w:b/>
                <w:bCs/>
                <w:sz w:val="16"/>
                <w:szCs w:val="16"/>
              </w:rPr>
              <w:t>£000s</w:t>
            </w:r>
          </w:p>
        </w:tc>
        <w:tc>
          <w:tcPr>
            <w:tcW w:w="5260" w:type="dxa"/>
            <w:tcBorders>
              <w:top w:val="nil"/>
              <w:left w:val="nil"/>
              <w:bottom w:val="single" w:sz="4" w:space="0" w:color="auto"/>
              <w:right w:val="nil"/>
            </w:tcBorders>
            <w:shd w:val="clear" w:color="auto" w:fill="auto"/>
            <w:noWrap/>
            <w:vAlign w:val="bottom"/>
            <w:hideMark/>
          </w:tcPr>
          <w:p w14:paraId="760E2FCC" w14:textId="77777777" w:rsidR="009A1C9F" w:rsidRDefault="009A1C9F">
            <w:pPr>
              <w:rPr>
                <w:rFonts w:ascii="Verdana" w:hAnsi="Verdana" w:cs="Arial"/>
                <w:b/>
                <w:bCs/>
                <w:sz w:val="16"/>
                <w:szCs w:val="16"/>
              </w:rPr>
            </w:pPr>
            <w:r>
              <w:rPr>
                <w:rFonts w:ascii="Verdana" w:hAnsi="Verdana" w:cs="Arial"/>
                <w:b/>
                <w:bCs/>
                <w:sz w:val="16"/>
                <w:szCs w:val="16"/>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94CA2EB" w14:textId="77777777" w:rsidR="009A1C9F" w:rsidRDefault="009A1C9F">
            <w:pPr>
              <w:jc w:val="center"/>
              <w:rPr>
                <w:rFonts w:ascii="Verdana" w:hAnsi="Verdana" w:cs="Arial"/>
                <w:b/>
                <w:bCs/>
                <w:sz w:val="16"/>
                <w:szCs w:val="16"/>
              </w:rPr>
            </w:pPr>
            <w:r>
              <w:rPr>
                <w:rFonts w:ascii="Verdana" w:hAnsi="Verdana" w:cs="Arial"/>
                <w:b/>
                <w:bCs/>
                <w:sz w:val="16"/>
                <w:szCs w:val="16"/>
              </w:rPr>
              <w:t>£000s</w:t>
            </w:r>
          </w:p>
        </w:tc>
      </w:tr>
      <w:tr w:rsidR="009A1C9F" w14:paraId="38F03A6E"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6F40C0E" w14:textId="77777777" w:rsidR="009A1C9F" w:rsidRDefault="009A1C9F">
            <w:pPr>
              <w:rPr>
                <w:rFonts w:ascii="Verdana" w:hAnsi="Verdana" w:cs="Arial"/>
                <w:sz w:val="16"/>
                <w:szCs w:val="16"/>
              </w:rPr>
            </w:pPr>
            <w:r>
              <w:rPr>
                <w:rFonts w:ascii="Verdana" w:hAnsi="Verdana" w:cs="Arial"/>
                <w:sz w:val="16"/>
                <w:szCs w:val="16"/>
              </w:rPr>
              <w:t> </w:t>
            </w:r>
          </w:p>
        </w:tc>
        <w:tc>
          <w:tcPr>
            <w:tcW w:w="5260" w:type="dxa"/>
            <w:tcBorders>
              <w:top w:val="nil"/>
              <w:left w:val="nil"/>
              <w:bottom w:val="nil"/>
              <w:right w:val="nil"/>
            </w:tcBorders>
            <w:shd w:val="clear" w:color="auto" w:fill="auto"/>
            <w:noWrap/>
            <w:vAlign w:val="bottom"/>
            <w:hideMark/>
          </w:tcPr>
          <w:p w14:paraId="3B7F5991" w14:textId="77777777" w:rsidR="009A1C9F" w:rsidRDefault="009A1C9F">
            <w:pPr>
              <w:rPr>
                <w:rFonts w:ascii="Verdana" w:hAnsi="Verdana" w:cs="Arial"/>
                <w:b/>
                <w:bCs/>
                <w:sz w:val="16"/>
                <w:szCs w:val="16"/>
              </w:rPr>
            </w:pPr>
            <w:r>
              <w:rPr>
                <w:rFonts w:ascii="Verdana" w:hAnsi="Verdana" w:cs="Arial"/>
                <w:b/>
                <w:bCs/>
                <w:sz w:val="16"/>
                <w:szCs w:val="16"/>
              </w:rPr>
              <w:t>Capital Grants Receipts in Advance</w:t>
            </w:r>
          </w:p>
        </w:tc>
        <w:tc>
          <w:tcPr>
            <w:tcW w:w="1380" w:type="dxa"/>
            <w:tcBorders>
              <w:top w:val="nil"/>
              <w:left w:val="single" w:sz="4" w:space="0" w:color="auto"/>
              <w:bottom w:val="nil"/>
              <w:right w:val="single" w:sz="4" w:space="0" w:color="auto"/>
            </w:tcBorders>
            <w:shd w:val="clear" w:color="auto" w:fill="auto"/>
            <w:noWrap/>
            <w:vAlign w:val="bottom"/>
            <w:hideMark/>
          </w:tcPr>
          <w:p w14:paraId="1F9BD968" w14:textId="77777777" w:rsidR="009A1C9F" w:rsidRDefault="009A1C9F">
            <w:pPr>
              <w:rPr>
                <w:rFonts w:ascii="Verdana" w:hAnsi="Verdana" w:cs="Arial"/>
                <w:sz w:val="16"/>
                <w:szCs w:val="16"/>
              </w:rPr>
            </w:pPr>
            <w:r>
              <w:rPr>
                <w:rFonts w:ascii="Verdana" w:hAnsi="Verdana" w:cs="Arial"/>
                <w:sz w:val="16"/>
                <w:szCs w:val="16"/>
              </w:rPr>
              <w:t> </w:t>
            </w:r>
          </w:p>
        </w:tc>
      </w:tr>
      <w:tr w:rsidR="009A1C9F" w14:paraId="0E08C332"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72FE6B05" w14:textId="77777777" w:rsidR="009A1C9F" w:rsidRDefault="009A1C9F">
            <w:pPr>
              <w:jc w:val="right"/>
              <w:rPr>
                <w:rFonts w:ascii="Verdana" w:hAnsi="Verdana" w:cs="Arial"/>
                <w:sz w:val="16"/>
                <w:szCs w:val="16"/>
              </w:rPr>
            </w:pPr>
            <w:r>
              <w:rPr>
                <w:rFonts w:ascii="Verdana" w:hAnsi="Verdana" w:cs="Arial"/>
                <w:sz w:val="16"/>
                <w:szCs w:val="16"/>
              </w:rPr>
              <w:t>(2,097)</w:t>
            </w:r>
          </w:p>
        </w:tc>
        <w:tc>
          <w:tcPr>
            <w:tcW w:w="5260" w:type="dxa"/>
            <w:tcBorders>
              <w:top w:val="nil"/>
              <w:left w:val="nil"/>
              <w:bottom w:val="nil"/>
              <w:right w:val="nil"/>
            </w:tcBorders>
            <w:shd w:val="clear" w:color="auto" w:fill="auto"/>
            <w:noWrap/>
            <w:vAlign w:val="bottom"/>
            <w:hideMark/>
          </w:tcPr>
          <w:p w14:paraId="255C8F96" w14:textId="77777777" w:rsidR="009A1C9F" w:rsidRDefault="009A1C9F">
            <w:pPr>
              <w:rPr>
                <w:rFonts w:ascii="Verdana" w:hAnsi="Verdana" w:cs="Arial"/>
                <w:sz w:val="16"/>
                <w:szCs w:val="16"/>
              </w:rPr>
            </w:pPr>
            <w:r>
              <w:rPr>
                <w:rFonts w:ascii="Verdana" w:hAnsi="Verdana" w:cs="Arial"/>
                <w:sz w:val="16"/>
                <w:szCs w:val="16"/>
              </w:rPr>
              <w:t>Clean Bus Technology Grant</w:t>
            </w:r>
          </w:p>
        </w:tc>
        <w:tc>
          <w:tcPr>
            <w:tcW w:w="1380" w:type="dxa"/>
            <w:tcBorders>
              <w:top w:val="nil"/>
              <w:left w:val="single" w:sz="4" w:space="0" w:color="auto"/>
              <w:bottom w:val="nil"/>
              <w:right w:val="single" w:sz="4" w:space="0" w:color="auto"/>
            </w:tcBorders>
            <w:shd w:val="clear" w:color="auto" w:fill="auto"/>
            <w:noWrap/>
            <w:vAlign w:val="bottom"/>
            <w:hideMark/>
          </w:tcPr>
          <w:p w14:paraId="6AFD2F34" w14:textId="77777777" w:rsidR="009A1C9F" w:rsidRDefault="009A1C9F">
            <w:pPr>
              <w:jc w:val="right"/>
              <w:rPr>
                <w:rFonts w:ascii="Verdana" w:hAnsi="Verdana" w:cs="Arial"/>
                <w:sz w:val="16"/>
                <w:szCs w:val="16"/>
              </w:rPr>
            </w:pPr>
            <w:r>
              <w:rPr>
                <w:rFonts w:ascii="Verdana" w:hAnsi="Verdana" w:cs="Arial"/>
                <w:sz w:val="16"/>
                <w:szCs w:val="16"/>
              </w:rPr>
              <w:t>(451)</w:t>
            </w:r>
          </w:p>
        </w:tc>
      </w:tr>
      <w:tr w:rsidR="009A1C9F" w14:paraId="6A5F4E6F"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01351ED3" w14:textId="77777777" w:rsidR="009A1C9F" w:rsidRDefault="009A1C9F">
            <w:pPr>
              <w:jc w:val="right"/>
              <w:rPr>
                <w:rFonts w:ascii="Verdana" w:hAnsi="Verdana" w:cs="Arial"/>
                <w:sz w:val="16"/>
                <w:szCs w:val="16"/>
              </w:rPr>
            </w:pPr>
            <w:r>
              <w:rPr>
                <w:rFonts w:ascii="Verdana" w:hAnsi="Verdana" w:cs="Arial"/>
                <w:sz w:val="16"/>
                <w:szCs w:val="16"/>
              </w:rPr>
              <w:t>(4,759)</w:t>
            </w:r>
          </w:p>
        </w:tc>
        <w:tc>
          <w:tcPr>
            <w:tcW w:w="5260" w:type="dxa"/>
            <w:tcBorders>
              <w:top w:val="nil"/>
              <w:left w:val="nil"/>
              <w:bottom w:val="nil"/>
              <w:right w:val="nil"/>
            </w:tcBorders>
            <w:shd w:val="clear" w:color="auto" w:fill="auto"/>
            <w:noWrap/>
            <w:vAlign w:val="bottom"/>
            <w:hideMark/>
          </w:tcPr>
          <w:p w14:paraId="6DEC26F8" w14:textId="77777777" w:rsidR="009A1C9F" w:rsidRDefault="009A1C9F">
            <w:pPr>
              <w:rPr>
                <w:rFonts w:ascii="Verdana" w:hAnsi="Verdana" w:cs="Arial"/>
                <w:sz w:val="16"/>
                <w:szCs w:val="16"/>
              </w:rPr>
            </w:pPr>
            <w:r>
              <w:rPr>
                <w:rFonts w:ascii="Verdana" w:hAnsi="Verdana" w:cs="Arial"/>
                <w:sz w:val="16"/>
                <w:szCs w:val="16"/>
              </w:rPr>
              <w:t>Cross City Bus Package</w:t>
            </w:r>
          </w:p>
        </w:tc>
        <w:tc>
          <w:tcPr>
            <w:tcW w:w="1380" w:type="dxa"/>
            <w:tcBorders>
              <w:top w:val="nil"/>
              <w:left w:val="single" w:sz="4" w:space="0" w:color="auto"/>
              <w:bottom w:val="nil"/>
              <w:right w:val="single" w:sz="4" w:space="0" w:color="auto"/>
            </w:tcBorders>
            <w:shd w:val="clear" w:color="auto" w:fill="auto"/>
            <w:noWrap/>
            <w:vAlign w:val="bottom"/>
            <w:hideMark/>
          </w:tcPr>
          <w:p w14:paraId="179FD948" w14:textId="77777777" w:rsidR="009A1C9F" w:rsidRDefault="009A1C9F">
            <w:pPr>
              <w:jc w:val="right"/>
              <w:rPr>
                <w:rFonts w:ascii="Verdana" w:hAnsi="Verdana" w:cs="Arial"/>
                <w:sz w:val="16"/>
                <w:szCs w:val="16"/>
              </w:rPr>
            </w:pPr>
            <w:r>
              <w:rPr>
                <w:rFonts w:ascii="Verdana" w:hAnsi="Verdana" w:cs="Arial"/>
                <w:sz w:val="16"/>
                <w:szCs w:val="16"/>
              </w:rPr>
              <w:t>(7,950)</w:t>
            </w:r>
          </w:p>
        </w:tc>
      </w:tr>
      <w:tr w:rsidR="009A1C9F" w14:paraId="3476D64B"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550E9C4" w14:textId="77777777" w:rsidR="009A1C9F" w:rsidRDefault="009A1C9F">
            <w:pPr>
              <w:jc w:val="right"/>
              <w:rPr>
                <w:rFonts w:ascii="Verdana" w:hAnsi="Verdana" w:cs="Arial"/>
                <w:sz w:val="16"/>
                <w:szCs w:val="16"/>
              </w:rPr>
            </w:pPr>
            <w:r>
              <w:rPr>
                <w:rFonts w:ascii="Verdana" w:hAnsi="Verdana" w:cs="Arial"/>
                <w:sz w:val="16"/>
                <w:szCs w:val="16"/>
              </w:rPr>
              <w:t>(1,785)</w:t>
            </w:r>
          </w:p>
        </w:tc>
        <w:tc>
          <w:tcPr>
            <w:tcW w:w="5260" w:type="dxa"/>
            <w:tcBorders>
              <w:top w:val="nil"/>
              <w:left w:val="nil"/>
              <w:bottom w:val="nil"/>
              <w:right w:val="nil"/>
            </w:tcBorders>
            <w:shd w:val="clear" w:color="auto" w:fill="auto"/>
            <w:noWrap/>
            <w:vAlign w:val="bottom"/>
            <w:hideMark/>
          </w:tcPr>
          <w:p w14:paraId="6C24DE31" w14:textId="77777777" w:rsidR="009A1C9F" w:rsidRDefault="009A1C9F">
            <w:pPr>
              <w:rPr>
                <w:rFonts w:ascii="Verdana" w:hAnsi="Verdana" w:cs="Arial"/>
                <w:sz w:val="16"/>
                <w:szCs w:val="16"/>
              </w:rPr>
            </w:pPr>
            <w:r>
              <w:rPr>
                <w:rFonts w:ascii="Verdana" w:hAnsi="Verdana" w:cs="Arial"/>
                <w:sz w:val="16"/>
                <w:szCs w:val="16"/>
              </w:rPr>
              <w:t>Cycle City Ambition Grant 2</w:t>
            </w:r>
          </w:p>
        </w:tc>
        <w:tc>
          <w:tcPr>
            <w:tcW w:w="1380" w:type="dxa"/>
            <w:tcBorders>
              <w:top w:val="nil"/>
              <w:left w:val="single" w:sz="4" w:space="0" w:color="auto"/>
              <w:bottom w:val="nil"/>
              <w:right w:val="single" w:sz="4" w:space="0" w:color="auto"/>
            </w:tcBorders>
            <w:shd w:val="clear" w:color="auto" w:fill="auto"/>
            <w:noWrap/>
            <w:vAlign w:val="bottom"/>
            <w:hideMark/>
          </w:tcPr>
          <w:p w14:paraId="5D6CDD68" w14:textId="77777777" w:rsidR="009A1C9F" w:rsidRDefault="009A1C9F">
            <w:pPr>
              <w:jc w:val="right"/>
              <w:rPr>
                <w:rFonts w:ascii="Verdana" w:hAnsi="Verdana" w:cs="Arial"/>
                <w:sz w:val="16"/>
                <w:szCs w:val="16"/>
              </w:rPr>
            </w:pPr>
            <w:r>
              <w:rPr>
                <w:rFonts w:ascii="Verdana" w:hAnsi="Verdana" w:cs="Arial"/>
                <w:sz w:val="16"/>
                <w:szCs w:val="16"/>
              </w:rPr>
              <w:t>(160)</w:t>
            </w:r>
          </w:p>
        </w:tc>
      </w:tr>
      <w:tr w:rsidR="009A1C9F" w14:paraId="45B627A1"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4E07CA38" w14:textId="77777777" w:rsidR="009A1C9F" w:rsidRDefault="009A1C9F">
            <w:pPr>
              <w:jc w:val="right"/>
              <w:rPr>
                <w:rFonts w:ascii="Verdana" w:hAnsi="Verdana" w:cs="Arial"/>
                <w:sz w:val="16"/>
                <w:szCs w:val="16"/>
              </w:rPr>
            </w:pPr>
            <w:r>
              <w:rPr>
                <w:rFonts w:ascii="Verdana" w:hAnsi="Verdana" w:cs="Arial"/>
                <w:sz w:val="16"/>
                <w:szCs w:val="16"/>
              </w:rPr>
              <w:t>(368)</w:t>
            </w:r>
          </w:p>
        </w:tc>
        <w:tc>
          <w:tcPr>
            <w:tcW w:w="5260" w:type="dxa"/>
            <w:tcBorders>
              <w:top w:val="nil"/>
              <w:left w:val="nil"/>
              <w:bottom w:val="nil"/>
              <w:right w:val="nil"/>
            </w:tcBorders>
            <w:shd w:val="clear" w:color="auto" w:fill="auto"/>
            <w:noWrap/>
            <w:vAlign w:val="bottom"/>
            <w:hideMark/>
          </w:tcPr>
          <w:p w14:paraId="1BE5B16B" w14:textId="77777777" w:rsidR="009A1C9F" w:rsidRDefault="009A1C9F">
            <w:pPr>
              <w:rPr>
                <w:rFonts w:ascii="Verdana" w:hAnsi="Verdana" w:cs="Arial"/>
                <w:sz w:val="16"/>
                <w:szCs w:val="16"/>
              </w:rPr>
            </w:pPr>
            <w:r>
              <w:rPr>
                <w:rFonts w:ascii="Verdana" w:hAnsi="Verdana" w:cs="Arial"/>
                <w:sz w:val="16"/>
                <w:szCs w:val="16"/>
              </w:rPr>
              <w:t>Stockport Town Centre Access</w:t>
            </w:r>
          </w:p>
        </w:tc>
        <w:tc>
          <w:tcPr>
            <w:tcW w:w="1380" w:type="dxa"/>
            <w:tcBorders>
              <w:top w:val="nil"/>
              <w:left w:val="single" w:sz="4" w:space="0" w:color="auto"/>
              <w:bottom w:val="nil"/>
              <w:right w:val="single" w:sz="4" w:space="0" w:color="auto"/>
            </w:tcBorders>
            <w:shd w:val="clear" w:color="auto" w:fill="auto"/>
            <w:noWrap/>
            <w:vAlign w:val="bottom"/>
            <w:hideMark/>
          </w:tcPr>
          <w:p w14:paraId="55D41F00" w14:textId="77777777" w:rsidR="009A1C9F" w:rsidRDefault="009A1C9F">
            <w:pPr>
              <w:jc w:val="right"/>
              <w:rPr>
                <w:rFonts w:ascii="Verdana" w:hAnsi="Verdana" w:cs="Arial"/>
                <w:sz w:val="16"/>
                <w:szCs w:val="16"/>
              </w:rPr>
            </w:pPr>
            <w:r>
              <w:rPr>
                <w:rFonts w:ascii="Verdana" w:hAnsi="Verdana" w:cs="Arial"/>
                <w:sz w:val="16"/>
                <w:szCs w:val="16"/>
              </w:rPr>
              <w:t>(368)</w:t>
            </w:r>
          </w:p>
        </w:tc>
      </w:tr>
      <w:tr w:rsidR="009A1C9F" w14:paraId="3878603B"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781B2327" w14:textId="77777777" w:rsidR="009A1C9F" w:rsidRDefault="009A1C9F">
            <w:pPr>
              <w:jc w:val="right"/>
              <w:rPr>
                <w:rFonts w:ascii="Verdana" w:hAnsi="Verdana" w:cs="Arial"/>
                <w:sz w:val="16"/>
                <w:szCs w:val="16"/>
              </w:rPr>
            </w:pPr>
            <w:r>
              <w:rPr>
                <w:rFonts w:ascii="Verdana" w:hAnsi="Verdana" w:cs="Arial"/>
                <w:sz w:val="16"/>
                <w:szCs w:val="16"/>
              </w:rPr>
              <w:t>(58)</w:t>
            </w:r>
          </w:p>
        </w:tc>
        <w:tc>
          <w:tcPr>
            <w:tcW w:w="5260" w:type="dxa"/>
            <w:tcBorders>
              <w:top w:val="nil"/>
              <w:left w:val="nil"/>
              <w:bottom w:val="nil"/>
              <w:right w:val="nil"/>
            </w:tcBorders>
            <w:shd w:val="clear" w:color="auto" w:fill="auto"/>
            <w:noWrap/>
            <w:vAlign w:val="bottom"/>
            <w:hideMark/>
          </w:tcPr>
          <w:p w14:paraId="44207CF0" w14:textId="77777777" w:rsidR="009A1C9F" w:rsidRDefault="009A1C9F">
            <w:pPr>
              <w:rPr>
                <w:rFonts w:ascii="Verdana" w:hAnsi="Verdana" w:cs="Arial"/>
                <w:sz w:val="16"/>
                <w:szCs w:val="16"/>
              </w:rPr>
            </w:pPr>
            <w:r>
              <w:rPr>
                <w:rFonts w:ascii="Verdana" w:hAnsi="Verdana" w:cs="Arial"/>
                <w:sz w:val="16"/>
                <w:szCs w:val="16"/>
              </w:rPr>
              <w:t>Local Sustainable Transport Fund</w:t>
            </w:r>
          </w:p>
        </w:tc>
        <w:tc>
          <w:tcPr>
            <w:tcW w:w="1380" w:type="dxa"/>
            <w:tcBorders>
              <w:top w:val="nil"/>
              <w:left w:val="single" w:sz="4" w:space="0" w:color="auto"/>
              <w:bottom w:val="nil"/>
              <w:right w:val="single" w:sz="4" w:space="0" w:color="auto"/>
            </w:tcBorders>
            <w:shd w:val="clear" w:color="auto" w:fill="auto"/>
            <w:noWrap/>
            <w:vAlign w:val="bottom"/>
            <w:hideMark/>
          </w:tcPr>
          <w:p w14:paraId="2D65E113" w14:textId="77777777" w:rsidR="009A1C9F" w:rsidRDefault="009A1C9F">
            <w:pPr>
              <w:jc w:val="right"/>
              <w:rPr>
                <w:rFonts w:ascii="Verdana" w:hAnsi="Verdana" w:cs="Arial"/>
                <w:sz w:val="16"/>
                <w:szCs w:val="16"/>
              </w:rPr>
            </w:pPr>
            <w:r>
              <w:rPr>
                <w:rFonts w:ascii="Verdana" w:hAnsi="Verdana" w:cs="Arial"/>
                <w:sz w:val="16"/>
                <w:szCs w:val="16"/>
              </w:rPr>
              <w:t>(55)</w:t>
            </w:r>
          </w:p>
        </w:tc>
      </w:tr>
      <w:tr w:rsidR="009A1C9F" w14:paraId="7A54952C"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7D109876" w14:textId="77777777" w:rsidR="009A1C9F" w:rsidRDefault="009A1C9F">
            <w:pPr>
              <w:jc w:val="right"/>
              <w:rPr>
                <w:rFonts w:ascii="Verdana" w:hAnsi="Verdana" w:cs="Arial"/>
                <w:sz w:val="16"/>
                <w:szCs w:val="16"/>
              </w:rPr>
            </w:pPr>
            <w:r>
              <w:rPr>
                <w:rFonts w:ascii="Verdana" w:hAnsi="Verdana" w:cs="Arial"/>
                <w:sz w:val="16"/>
                <w:szCs w:val="16"/>
              </w:rPr>
              <w:t>(1,024)</w:t>
            </w:r>
          </w:p>
        </w:tc>
        <w:tc>
          <w:tcPr>
            <w:tcW w:w="5260" w:type="dxa"/>
            <w:tcBorders>
              <w:top w:val="nil"/>
              <w:left w:val="nil"/>
              <w:bottom w:val="nil"/>
              <w:right w:val="nil"/>
            </w:tcBorders>
            <w:shd w:val="clear" w:color="auto" w:fill="auto"/>
            <w:noWrap/>
            <w:vAlign w:val="bottom"/>
            <w:hideMark/>
          </w:tcPr>
          <w:p w14:paraId="00B5EFB1" w14:textId="77777777" w:rsidR="009A1C9F" w:rsidRDefault="009A1C9F">
            <w:pPr>
              <w:rPr>
                <w:rFonts w:ascii="Verdana" w:hAnsi="Verdana" w:cs="Arial"/>
                <w:sz w:val="16"/>
                <w:szCs w:val="16"/>
              </w:rPr>
            </w:pPr>
            <w:r>
              <w:rPr>
                <w:rFonts w:ascii="Verdana" w:hAnsi="Verdana" w:cs="Arial"/>
                <w:sz w:val="16"/>
                <w:szCs w:val="16"/>
              </w:rPr>
              <w:t>Early Measure (GM Clean Air Plan)</w:t>
            </w:r>
          </w:p>
        </w:tc>
        <w:tc>
          <w:tcPr>
            <w:tcW w:w="1380" w:type="dxa"/>
            <w:tcBorders>
              <w:top w:val="nil"/>
              <w:left w:val="single" w:sz="4" w:space="0" w:color="auto"/>
              <w:bottom w:val="nil"/>
              <w:right w:val="single" w:sz="4" w:space="0" w:color="auto"/>
            </w:tcBorders>
            <w:shd w:val="clear" w:color="auto" w:fill="auto"/>
            <w:noWrap/>
            <w:vAlign w:val="bottom"/>
            <w:hideMark/>
          </w:tcPr>
          <w:p w14:paraId="5EB9007D" w14:textId="77777777" w:rsidR="009A1C9F" w:rsidRDefault="009A1C9F">
            <w:pPr>
              <w:jc w:val="right"/>
              <w:rPr>
                <w:rFonts w:ascii="Verdana" w:hAnsi="Verdana" w:cs="Arial"/>
                <w:sz w:val="16"/>
                <w:szCs w:val="16"/>
              </w:rPr>
            </w:pPr>
            <w:r>
              <w:rPr>
                <w:rFonts w:ascii="Verdana" w:hAnsi="Verdana" w:cs="Arial"/>
                <w:sz w:val="16"/>
                <w:szCs w:val="16"/>
              </w:rPr>
              <w:t>(692)</w:t>
            </w:r>
          </w:p>
        </w:tc>
      </w:tr>
      <w:tr w:rsidR="009A1C9F" w14:paraId="1DF6D363"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9EBB585" w14:textId="77777777" w:rsidR="009A1C9F" w:rsidRDefault="009A1C9F">
            <w:pPr>
              <w:jc w:val="right"/>
              <w:rPr>
                <w:rFonts w:ascii="Verdana" w:hAnsi="Verdana" w:cs="Arial"/>
                <w:sz w:val="16"/>
                <w:szCs w:val="16"/>
              </w:rPr>
            </w:pPr>
            <w:r>
              <w:rPr>
                <w:rFonts w:ascii="Verdana" w:hAnsi="Verdana" w:cs="Arial"/>
                <w:sz w:val="16"/>
                <w:szCs w:val="16"/>
              </w:rPr>
              <w:t>(1,542)</w:t>
            </w:r>
          </w:p>
        </w:tc>
        <w:tc>
          <w:tcPr>
            <w:tcW w:w="5260" w:type="dxa"/>
            <w:tcBorders>
              <w:top w:val="nil"/>
              <w:left w:val="nil"/>
              <w:bottom w:val="nil"/>
              <w:right w:val="nil"/>
            </w:tcBorders>
            <w:shd w:val="clear" w:color="auto" w:fill="auto"/>
            <w:noWrap/>
            <w:vAlign w:val="bottom"/>
            <w:hideMark/>
          </w:tcPr>
          <w:p w14:paraId="029F5E9A" w14:textId="77777777" w:rsidR="009A1C9F" w:rsidRDefault="009A1C9F">
            <w:pPr>
              <w:rPr>
                <w:rFonts w:ascii="Verdana" w:hAnsi="Verdana" w:cs="Arial"/>
                <w:sz w:val="16"/>
                <w:szCs w:val="16"/>
              </w:rPr>
            </w:pPr>
            <w:r>
              <w:rPr>
                <w:rFonts w:ascii="Verdana" w:hAnsi="Verdana" w:cs="Arial"/>
                <w:sz w:val="16"/>
                <w:szCs w:val="16"/>
              </w:rPr>
              <w:t>Cycle Safety Grant</w:t>
            </w:r>
          </w:p>
        </w:tc>
        <w:tc>
          <w:tcPr>
            <w:tcW w:w="1380" w:type="dxa"/>
            <w:tcBorders>
              <w:top w:val="nil"/>
              <w:left w:val="single" w:sz="4" w:space="0" w:color="auto"/>
              <w:bottom w:val="nil"/>
              <w:right w:val="single" w:sz="4" w:space="0" w:color="auto"/>
            </w:tcBorders>
            <w:shd w:val="clear" w:color="auto" w:fill="auto"/>
            <w:noWrap/>
            <w:vAlign w:val="bottom"/>
            <w:hideMark/>
          </w:tcPr>
          <w:p w14:paraId="36FCDEA9" w14:textId="77777777" w:rsidR="009A1C9F" w:rsidRDefault="009A1C9F">
            <w:pPr>
              <w:jc w:val="right"/>
              <w:rPr>
                <w:rFonts w:ascii="Verdana" w:hAnsi="Verdana" w:cs="Arial"/>
                <w:sz w:val="16"/>
                <w:szCs w:val="16"/>
              </w:rPr>
            </w:pPr>
            <w:r>
              <w:rPr>
                <w:rFonts w:ascii="Verdana" w:hAnsi="Verdana" w:cs="Arial"/>
                <w:sz w:val="16"/>
                <w:szCs w:val="16"/>
              </w:rPr>
              <w:t>(1,542)</w:t>
            </w:r>
          </w:p>
        </w:tc>
      </w:tr>
      <w:tr w:rsidR="009A1C9F" w14:paraId="0D19C3AC"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21184D37" w14:textId="77777777" w:rsidR="009A1C9F" w:rsidRDefault="009A1C9F">
            <w:pPr>
              <w:jc w:val="right"/>
              <w:rPr>
                <w:rFonts w:ascii="Verdana" w:hAnsi="Verdana" w:cs="Arial"/>
                <w:sz w:val="16"/>
                <w:szCs w:val="16"/>
              </w:rPr>
            </w:pPr>
            <w:r>
              <w:rPr>
                <w:rFonts w:ascii="Verdana" w:hAnsi="Verdana" w:cs="Arial"/>
                <w:sz w:val="16"/>
                <w:szCs w:val="16"/>
              </w:rPr>
              <w:t>(64,387)</w:t>
            </w:r>
          </w:p>
        </w:tc>
        <w:tc>
          <w:tcPr>
            <w:tcW w:w="5260" w:type="dxa"/>
            <w:tcBorders>
              <w:top w:val="nil"/>
              <w:left w:val="nil"/>
              <w:bottom w:val="nil"/>
              <w:right w:val="nil"/>
            </w:tcBorders>
            <w:shd w:val="clear" w:color="auto" w:fill="auto"/>
            <w:noWrap/>
            <w:vAlign w:val="bottom"/>
            <w:hideMark/>
          </w:tcPr>
          <w:p w14:paraId="3C56FF10" w14:textId="77777777" w:rsidR="009A1C9F" w:rsidRDefault="009A1C9F">
            <w:pPr>
              <w:rPr>
                <w:rFonts w:ascii="Verdana" w:hAnsi="Verdana" w:cs="Arial"/>
                <w:sz w:val="16"/>
                <w:szCs w:val="16"/>
              </w:rPr>
            </w:pPr>
            <w:r>
              <w:rPr>
                <w:rFonts w:ascii="Verdana" w:hAnsi="Verdana" w:cs="Arial"/>
                <w:sz w:val="16"/>
                <w:szCs w:val="16"/>
              </w:rPr>
              <w:t>Clean Air Charging Zone</w:t>
            </w:r>
          </w:p>
        </w:tc>
        <w:tc>
          <w:tcPr>
            <w:tcW w:w="1380" w:type="dxa"/>
            <w:tcBorders>
              <w:top w:val="nil"/>
              <w:left w:val="single" w:sz="4" w:space="0" w:color="auto"/>
              <w:bottom w:val="nil"/>
              <w:right w:val="single" w:sz="4" w:space="0" w:color="auto"/>
            </w:tcBorders>
            <w:shd w:val="clear" w:color="auto" w:fill="auto"/>
            <w:noWrap/>
            <w:vAlign w:val="bottom"/>
            <w:hideMark/>
          </w:tcPr>
          <w:p w14:paraId="7083D89C" w14:textId="77777777" w:rsidR="009A1C9F" w:rsidRDefault="009A1C9F">
            <w:pPr>
              <w:jc w:val="right"/>
              <w:rPr>
                <w:rFonts w:ascii="Verdana" w:hAnsi="Verdana" w:cs="Arial"/>
                <w:sz w:val="16"/>
                <w:szCs w:val="16"/>
              </w:rPr>
            </w:pPr>
            <w:r>
              <w:rPr>
                <w:rFonts w:ascii="Verdana" w:hAnsi="Verdana" w:cs="Arial"/>
                <w:sz w:val="16"/>
                <w:szCs w:val="16"/>
              </w:rPr>
              <w:t>(123,077)</w:t>
            </w:r>
          </w:p>
        </w:tc>
      </w:tr>
      <w:tr w:rsidR="009A1C9F" w14:paraId="70E26838"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0745FA6" w14:textId="77777777" w:rsidR="009A1C9F" w:rsidRDefault="009A1C9F">
            <w:pPr>
              <w:jc w:val="right"/>
              <w:rPr>
                <w:rFonts w:ascii="Verdana" w:hAnsi="Verdana" w:cs="Arial"/>
                <w:sz w:val="16"/>
                <w:szCs w:val="16"/>
              </w:rPr>
            </w:pPr>
            <w:r>
              <w:rPr>
                <w:rFonts w:ascii="Verdana" w:hAnsi="Verdana" w:cs="Arial"/>
                <w:sz w:val="16"/>
                <w:szCs w:val="16"/>
              </w:rPr>
              <w:t>(1,758)</w:t>
            </w:r>
          </w:p>
        </w:tc>
        <w:tc>
          <w:tcPr>
            <w:tcW w:w="5260" w:type="dxa"/>
            <w:tcBorders>
              <w:top w:val="nil"/>
              <w:left w:val="nil"/>
              <w:bottom w:val="nil"/>
              <w:right w:val="nil"/>
            </w:tcBorders>
            <w:shd w:val="clear" w:color="auto" w:fill="auto"/>
            <w:noWrap/>
            <w:vAlign w:val="bottom"/>
            <w:hideMark/>
          </w:tcPr>
          <w:p w14:paraId="7B8625B0" w14:textId="77777777" w:rsidR="009A1C9F" w:rsidRDefault="009A1C9F">
            <w:pPr>
              <w:rPr>
                <w:rFonts w:ascii="Verdana" w:hAnsi="Verdana" w:cs="Arial"/>
                <w:sz w:val="16"/>
                <w:szCs w:val="16"/>
              </w:rPr>
            </w:pPr>
            <w:r>
              <w:rPr>
                <w:rFonts w:ascii="Verdana" w:hAnsi="Verdana" w:cs="Arial"/>
                <w:sz w:val="16"/>
                <w:szCs w:val="16"/>
              </w:rPr>
              <w:t>OLEV ULEV Taxi Infrastructure</w:t>
            </w:r>
          </w:p>
        </w:tc>
        <w:tc>
          <w:tcPr>
            <w:tcW w:w="1380" w:type="dxa"/>
            <w:tcBorders>
              <w:top w:val="nil"/>
              <w:left w:val="single" w:sz="4" w:space="0" w:color="auto"/>
              <w:bottom w:val="nil"/>
              <w:right w:val="single" w:sz="4" w:space="0" w:color="auto"/>
            </w:tcBorders>
            <w:shd w:val="clear" w:color="auto" w:fill="auto"/>
            <w:noWrap/>
            <w:vAlign w:val="bottom"/>
            <w:hideMark/>
          </w:tcPr>
          <w:p w14:paraId="6460CE97" w14:textId="77777777" w:rsidR="009A1C9F" w:rsidRDefault="009A1C9F">
            <w:pPr>
              <w:jc w:val="right"/>
              <w:rPr>
                <w:rFonts w:ascii="Verdana" w:hAnsi="Verdana" w:cs="Arial"/>
                <w:sz w:val="16"/>
                <w:szCs w:val="16"/>
              </w:rPr>
            </w:pPr>
            <w:r>
              <w:rPr>
                <w:rFonts w:ascii="Verdana" w:hAnsi="Verdana" w:cs="Arial"/>
                <w:sz w:val="16"/>
                <w:szCs w:val="16"/>
              </w:rPr>
              <w:t xml:space="preserve">0 </w:t>
            </w:r>
          </w:p>
        </w:tc>
      </w:tr>
      <w:tr w:rsidR="009A1C9F" w14:paraId="1817F809"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8C525BA" w14:textId="77777777" w:rsidR="009A1C9F" w:rsidRDefault="009A1C9F">
            <w:pPr>
              <w:jc w:val="right"/>
              <w:rPr>
                <w:rFonts w:ascii="Verdana" w:hAnsi="Verdana" w:cs="Arial"/>
                <w:sz w:val="16"/>
                <w:szCs w:val="16"/>
              </w:rPr>
            </w:pPr>
            <w:r>
              <w:rPr>
                <w:rFonts w:ascii="Verdana" w:hAnsi="Verdana" w:cs="Arial"/>
                <w:sz w:val="16"/>
                <w:szCs w:val="16"/>
              </w:rPr>
              <w:t>(10,284)</w:t>
            </w:r>
          </w:p>
        </w:tc>
        <w:tc>
          <w:tcPr>
            <w:tcW w:w="5260" w:type="dxa"/>
            <w:tcBorders>
              <w:top w:val="nil"/>
              <w:left w:val="nil"/>
              <w:bottom w:val="nil"/>
              <w:right w:val="nil"/>
            </w:tcBorders>
            <w:shd w:val="clear" w:color="auto" w:fill="auto"/>
            <w:noWrap/>
            <w:vAlign w:val="bottom"/>
            <w:hideMark/>
          </w:tcPr>
          <w:p w14:paraId="7E45344C" w14:textId="77777777" w:rsidR="009A1C9F" w:rsidRDefault="009A1C9F">
            <w:pPr>
              <w:rPr>
                <w:rFonts w:ascii="Verdana" w:hAnsi="Verdana" w:cs="Arial"/>
                <w:sz w:val="16"/>
                <w:szCs w:val="16"/>
              </w:rPr>
            </w:pPr>
            <w:r>
              <w:rPr>
                <w:rFonts w:ascii="Verdana" w:hAnsi="Verdana" w:cs="Arial"/>
                <w:sz w:val="16"/>
                <w:szCs w:val="16"/>
              </w:rPr>
              <w:t>Green Homes Grant</w:t>
            </w:r>
          </w:p>
        </w:tc>
        <w:tc>
          <w:tcPr>
            <w:tcW w:w="1380" w:type="dxa"/>
            <w:tcBorders>
              <w:top w:val="nil"/>
              <w:left w:val="single" w:sz="4" w:space="0" w:color="auto"/>
              <w:bottom w:val="nil"/>
              <w:right w:val="single" w:sz="4" w:space="0" w:color="auto"/>
            </w:tcBorders>
            <w:shd w:val="clear" w:color="auto" w:fill="auto"/>
            <w:noWrap/>
            <w:vAlign w:val="bottom"/>
            <w:hideMark/>
          </w:tcPr>
          <w:p w14:paraId="3FF43EBF" w14:textId="77777777" w:rsidR="009A1C9F" w:rsidRDefault="009A1C9F">
            <w:pPr>
              <w:jc w:val="right"/>
              <w:rPr>
                <w:rFonts w:ascii="Verdana" w:hAnsi="Verdana" w:cs="Arial"/>
                <w:sz w:val="16"/>
                <w:szCs w:val="16"/>
              </w:rPr>
            </w:pPr>
            <w:r>
              <w:rPr>
                <w:rFonts w:ascii="Verdana" w:hAnsi="Verdana" w:cs="Arial"/>
                <w:sz w:val="16"/>
                <w:szCs w:val="16"/>
              </w:rPr>
              <w:t>(8,965)</w:t>
            </w:r>
          </w:p>
        </w:tc>
      </w:tr>
      <w:tr w:rsidR="009A1C9F" w14:paraId="6B8B3FA0"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A933228" w14:textId="77777777" w:rsidR="009A1C9F" w:rsidRDefault="009A1C9F">
            <w:pPr>
              <w:jc w:val="right"/>
              <w:rPr>
                <w:rFonts w:ascii="Verdana" w:hAnsi="Verdana" w:cs="Arial"/>
                <w:sz w:val="16"/>
                <w:szCs w:val="16"/>
              </w:rPr>
            </w:pPr>
            <w:r>
              <w:rPr>
                <w:rFonts w:ascii="Verdana" w:hAnsi="Verdana" w:cs="Arial"/>
                <w:sz w:val="16"/>
                <w:szCs w:val="16"/>
              </w:rPr>
              <w:t>(4,658)</w:t>
            </w:r>
          </w:p>
        </w:tc>
        <w:tc>
          <w:tcPr>
            <w:tcW w:w="5260" w:type="dxa"/>
            <w:tcBorders>
              <w:top w:val="nil"/>
              <w:left w:val="nil"/>
              <w:bottom w:val="nil"/>
              <w:right w:val="nil"/>
            </w:tcBorders>
            <w:shd w:val="clear" w:color="auto" w:fill="auto"/>
            <w:noWrap/>
            <w:vAlign w:val="bottom"/>
            <w:hideMark/>
          </w:tcPr>
          <w:p w14:paraId="2BF80DE9" w14:textId="77777777" w:rsidR="009A1C9F" w:rsidRDefault="009A1C9F">
            <w:pPr>
              <w:rPr>
                <w:rFonts w:ascii="Verdana" w:hAnsi="Verdana" w:cs="Arial"/>
                <w:sz w:val="16"/>
                <w:szCs w:val="16"/>
              </w:rPr>
            </w:pPr>
            <w:r>
              <w:rPr>
                <w:rFonts w:ascii="Verdana" w:hAnsi="Verdana" w:cs="Arial"/>
                <w:sz w:val="16"/>
                <w:szCs w:val="16"/>
              </w:rPr>
              <w:t>Pothole Action Fund</w:t>
            </w:r>
          </w:p>
        </w:tc>
        <w:tc>
          <w:tcPr>
            <w:tcW w:w="1380" w:type="dxa"/>
            <w:tcBorders>
              <w:top w:val="nil"/>
              <w:left w:val="single" w:sz="4" w:space="0" w:color="auto"/>
              <w:bottom w:val="nil"/>
              <w:right w:val="single" w:sz="4" w:space="0" w:color="auto"/>
            </w:tcBorders>
            <w:shd w:val="clear" w:color="auto" w:fill="auto"/>
            <w:noWrap/>
            <w:vAlign w:val="bottom"/>
            <w:hideMark/>
          </w:tcPr>
          <w:p w14:paraId="663A7444" w14:textId="77777777" w:rsidR="009A1C9F" w:rsidRDefault="009A1C9F">
            <w:pPr>
              <w:jc w:val="right"/>
              <w:rPr>
                <w:rFonts w:ascii="Verdana" w:hAnsi="Verdana" w:cs="Arial"/>
                <w:sz w:val="16"/>
                <w:szCs w:val="16"/>
              </w:rPr>
            </w:pPr>
            <w:r>
              <w:rPr>
                <w:rFonts w:ascii="Verdana" w:hAnsi="Verdana" w:cs="Arial"/>
                <w:sz w:val="16"/>
                <w:szCs w:val="16"/>
              </w:rPr>
              <w:t xml:space="preserve">0 </w:t>
            </w:r>
          </w:p>
        </w:tc>
      </w:tr>
      <w:tr w:rsidR="009A1C9F" w14:paraId="4F5BDF17"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5814BEAE" w14:textId="77777777" w:rsidR="009A1C9F" w:rsidRDefault="009A1C9F">
            <w:pPr>
              <w:jc w:val="right"/>
              <w:rPr>
                <w:rFonts w:ascii="Verdana" w:hAnsi="Verdana" w:cs="Arial"/>
                <w:sz w:val="16"/>
                <w:szCs w:val="16"/>
              </w:rPr>
            </w:pPr>
            <w:r>
              <w:rPr>
                <w:rFonts w:ascii="Verdana" w:hAnsi="Verdana" w:cs="Arial"/>
                <w:sz w:val="16"/>
                <w:szCs w:val="16"/>
              </w:rPr>
              <w:t>(78,237)</w:t>
            </w:r>
          </w:p>
        </w:tc>
        <w:tc>
          <w:tcPr>
            <w:tcW w:w="5260" w:type="dxa"/>
            <w:tcBorders>
              <w:top w:val="nil"/>
              <w:left w:val="nil"/>
              <w:bottom w:val="nil"/>
              <w:right w:val="nil"/>
            </w:tcBorders>
            <w:shd w:val="clear" w:color="auto" w:fill="auto"/>
            <w:noWrap/>
            <w:vAlign w:val="bottom"/>
            <w:hideMark/>
          </w:tcPr>
          <w:p w14:paraId="2EE4063C" w14:textId="77777777" w:rsidR="009A1C9F" w:rsidRDefault="009A1C9F">
            <w:pPr>
              <w:rPr>
                <w:rFonts w:ascii="Verdana" w:hAnsi="Verdana" w:cs="Arial"/>
                <w:sz w:val="16"/>
                <w:szCs w:val="16"/>
              </w:rPr>
            </w:pPr>
            <w:r>
              <w:rPr>
                <w:rFonts w:ascii="Verdana" w:hAnsi="Verdana" w:cs="Arial"/>
                <w:sz w:val="16"/>
                <w:szCs w:val="16"/>
              </w:rPr>
              <w:t>Public Sector Decarbonisation</w:t>
            </w:r>
          </w:p>
        </w:tc>
        <w:tc>
          <w:tcPr>
            <w:tcW w:w="1380" w:type="dxa"/>
            <w:tcBorders>
              <w:top w:val="nil"/>
              <w:left w:val="single" w:sz="4" w:space="0" w:color="auto"/>
              <w:bottom w:val="nil"/>
              <w:right w:val="single" w:sz="4" w:space="0" w:color="auto"/>
            </w:tcBorders>
            <w:shd w:val="clear" w:color="auto" w:fill="auto"/>
            <w:noWrap/>
            <w:vAlign w:val="bottom"/>
            <w:hideMark/>
          </w:tcPr>
          <w:p w14:paraId="7CCFEA49" w14:textId="77777777" w:rsidR="009A1C9F" w:rsidRDefault="009A1C9F">
            <w:pPr>
              <w:jc w:val="right"/>
              <w:rPr>
                <w:rFonts w:ascii="Verdana" w:hAnsi="Verdana" w:cs="Arial"/>
                <w:sz w:val="16"/>
                <w:szCs w:val="16"/>
              </w:rPr>
            </w:pPr>
            <w:r>
              <w:rPr>
                <w:rFonts w:ascii="Verdana" w:hAnsi="Verdana" w:cs="Arial"/>
                <w:sz w:val="16"/>
                <w:szCs w:val="16"/>
              </w:rPr>
              <w:t>(42,980)</w:t>
            </w:r>
          </w:p>
        </w:tc>
      </w:tr>
      <w:tr w:rsidR="009A1C9F" w14:paraId="2F5DCC43"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28A56D7" w14:textId="77777777" w:rsidR="009A1C9F" w:rsidRDefault="009A1C9F">
            <w:pPr>
              <w:jc w:val="right"/>
              <w:rPr>
                <w:rFonts w:ascii="Verdana" w:hAnsi="Verdana" w:cs="Arial"/>
                <w:sz w:val="16"/>
                <w:szCs w:val="16"/>
              </w:rPr>
            </w:pPr>
            <w:r>
              <w:rPr>
                <w:rFonts w:ascii="Verdana" w:hAnsi="Verdana" w:cs="Arial"/>
                <w:sz w:val="16"/>
                <w:szCs w:val="16"/>
              </w:rPr>
              <w:t>(1,335)</w:t>
            </w:r>
          </w:p>
        </w:tc>
        <w:tc>
          <w:tcPr>
            <w:tcW w:w="5260" w:type="dxa"/>
            <w:tcBorders>
              <w:top w:val="nil"/>
              <w:left w:val="nil"/>
              <w:bottom w:val="nil"/>
              <w:right w:val="nil"/>
            </w:tcBorders>
            <w:shd w:val="clear" w:color="auto" w:fill="auto"/>
            <w:noWrap/>
            <w:vAlign w:val="bottom"/>
            <w:hideMark/>
          </w:tcPr>
          <w:p w14:paraId="603235A5" w14:textId="0FBE8C6E" w:rsidR="009A1C9F" w:rsidRDefault="009A1C9F">
            <w:pPr>
              <w:rPr>
                <w:rFonts w:ascii="Verdana" w:hAnsi="Verdana" w:cs="Arial"/>
                <w:sz w:val="16"/>
                <w:szCs w:val="16"/>
              </w:rPr>
            </w:pPr>
            <w:r>
              <w:rPr>
                <w:rFonts w:ascii="Verdana" w:hAnsi="Verdana" w:cs="Arial"/>
                <w:sz w:val="16"/>
                <w:szCs w:val="16"/>
              </w:rPr>
              <w:t>Rough Sleeping Accommodation Programme (RSAP</w:t>
            </w:r>
          </w:p>
        </w:tc>
        <w:tc>
          <w:tcPr>
            <w:tcW w:w="1380" w:type="dxa"/>
            <w:tcBorders>
              <w:top w:val="nil"/>
              <w:left w:val="single" w:sz="4" w:space="0" w:color="auto"/>
              <w:bottom w:val="nil"/>
              <w:right w:val="single" w:sz="4" w:space="0" w:color="auto"/>
            </w:tcBorders>
            <w:shd w:val="clear" w:color="auto" w:fill="auto"/>
            <w:noWrap/>
            <w:vAlign w:val="bottom"/>
            <w:hideMark/>
          </w:tcPr>
          <w:p w14:paraId="0140D5FC" w14:textId="77777777" w:rsidR="009A1C9F" w:rsidRDefault="009A1C9F">
            <w:pPr>
              <w:jc w:val="right"/>
              <w:rPr>
                <w:rFonts w:ascii="Verdana" w:hAnsi="Verdana" w:cs="Arial"/>
                <w:sz w:val="16"/>
                <w:szCs w:val="16"/>
              </w:rPr>
            </w:pPr>
            <w:r>
              <w:rPr>
                <w:rFonts w:ascii="Verdana" w:hAnsi="Verdana" w:cs="Arial"/>
                <w:sz w:val="16"/>
                <w:szCs w:val="16"/>
              </w:rPr>
              <w:t>(2,796)</w:t>
            </w:r>
          </w:p>
        </w:tc>
      </w:tr>
      <w:tr w:rsidR="009A1C9F" w14:paraId="302F0F19"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C71E428" w14:textId="77777777" w:rsidR="009A1C9F" w:rsidRDefault="009A1C9F">
            <w:pPr>
              <w:jc w:val="right"/>
              <w:rPr>
                <w:rFonts w:ascii="Verdana" w:hAnsi="Verdana" w:cs="Arial"/>
                <w:sz w:val="16"/>
                <w:szCs w:val="16"/>
              </w:rPr>
            </w:pPr>
            <w:r>
              <w:rPr>
                <w:rFonts w:ascii="Verdana" w:hAnsi="Verdana" w:cs="Arial"/>
                <w:sz w:val="16"/>
                <w:szCs w:val="16"/>
              </w:rPr>
              <w:t>(53,515)</w:t>
            </w:r>
          </w:p>
        </w:tc>
        <w:tc>
          <w:tcPr>
            <w:tcW w:w="5260" w:type="dxa"/>
            <w:tcBorders>
              <w:top w:val="nil"/>
              <w:left w:val="nil"/>
              <w:bottom w:val="nil"/>
              <w:right w:val="nil"/>
            </w:tcBorders>
            <w:shd w:val="clear" w:color="auto" w:fill="auto"/>
            <w:noWrap/>
            <w:vAlign w:val="bottom"/>
            <w:hideMark/>
          </w:tcPr>
          <w:p w14:paraId="784AB240" w14:textId="77777777" w:rsidR="009A1C9F" w:rsidRDefault="009A1C9F">
            <w:pPr>
              <w:rPr>
                <w:rFonts w:ascii="Verdana" w:hAnsi="Verdana" w:cs="Arial"/>
                <w:sz w:val="16"/>
                <w:szCs w:val="16"/>
              </w:rPr>
            </w:pPr>
            <w:r>
              <w:rPr>
                <w:rFonts w:ascii="Verdana" w:hAnsi="Verdana" w:cs="Arial"/>
                <w:sz w:val="16"/>
                <w:szCs w:val="16"/>
              </w:rPr>
              <w:t>Transforming Cities - Metrolink</w:t>
            </w:r>
          </w:p>
        </w:tc>
        <w:tc>
          <w:tcPr>
            <w:tcW w:w="1380" w:type="dxa"/>
            <w:tcBorders>
              <w:top w:val="nil"/>
              <w:left w:val="single" w:sz="4" w:space="0" w:color="auto"/>
              <w:bottom w:val="nil"/>
              <w:right w:val="single" w:sz="4" w:space="0" w:color="auto"/>
            </w:tcBorders>
            <w:shd w:val="clear" w:color="auto" w:fill="auto"/>
            <w:noWrap/>
            <w:vAlign w:val="bottom"/>
            <w:hideMark/>
          </w:tcPr>
          <w:p w14:paraId="64A52FFE" w14:textId="77777777" w:rsidR="009A1C9F" w:rsidRDefault="009A1C9F">
            <w:pPr>
              <w:jc w:val="right"/>
              <w:rPr>
                <w:rFonts w:ascii="Verdana" w:hAnsi="Verdana" w:cs="Arial"/>
                <w:sz w:val="16"/>
                <w:szCs w:val="16"/>
              </w:rPr>
            </w:pPr>
            <w:r>
              <w:rPr>
                <w:rFonts w:ascii="Verdana" w:hAnsi="Verdana" w:cs="Arial"/>
                <w:sz w:val="16"/>
                <w:szCs w:val="16"/>
              </w:rPr>
              <w:t>(83,709)</w:t>
            </w:r>
          </w:p>
        </w:tc>
      </w:tr>
      <w:tr w:rsidR="009A1C9F" w14:paraId="7F7186EE"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862F42C" w14:textId="77777777" w:rsidR="009A1C9F" w:rsidRDefault="009A1C9F">
            <w:pPr>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273DF768" w14:textId="77777777" w:rsidR="009A1C9F" w:rsidRDefault="009A1C9F">
            <w:pPr>
              <w:rPr>
                <w:rFonts w:ascii="Verdana" w:hAnsi="Verdana" w:cs="Arial"/>
                <w:sz w:val="16"/>
                <w:szCs w:val="16"/>
              </w:rPr>
            </w:pPr>
            <w:r>
              <w:rPr>
                <w:rFonts w:ascii="Verdana" w:hAnsi="Verdana" w:cs="Arial"/>
                <w:sz w:val="16"/>
                <w:szCs w:val="16"/>
              </w:rPr>
              <w:t>Air Quality (Capital)</w:t>
            </w:r>
          </w:p>
        </w:tc>
        <w:tc>
          <w:tcPr>
            <w:tcW w:w="1380" w:type="dxa"/>
            <w:tcBorders>
              <w:top w:val="nil"/>
              <w:left w:val="single" w:sz="4" w:space="0" w:color="auto"/>
              <w:bottom w:val="nil"/>
              <w:right w:val="single" w:sz="4" w:space="0" w:color="auto"/>
            </w:tcBorders>
            <w:shd w:val="clear" w:color="auto" w:fill="auto"/>
            <w:noWrap/>
            <w:vAlign w:val="bottom"/>
            <w:hideMark/>
          </w:tcPr>
          <w:p w14:paraId="0F4905D5" w14:textId="77777777" w:rsidR="009A1C9F" w:rsidRDefault="009A1C9F">
            <w:pPr>
              <w:jc w:val="right"/>
              <w:rPr>
                <w:rFonts w:ascii="Verdana" w:hAnsi="Verdana" w:cs="Arial"/>
                <w:sz w:val="16"/>
                <w:szCs w:val="16"/>
              </w:rPr>
            </w:pPr>
            <w:r>
              <w:rPr>
                <w:rFonts w:ascii="Verdana" w:hAnsi="Verdana" w:cs="Arial"/>
                <w:sz w:val="16"/>
                <w:szCs w:val="16"/>
              </w:rPr>
              <w:t>(377)</w:t>
            </w:r>
          </w:p>
        </w:tc>
      </w:tr>
      <w:tr w:rsidR="009A1C9F" w14:paraId="16E1AEED"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41524E66" w14:textId="77777777" w:rsidR="009A1C9F" w:rsidRDefault="009A1C9F">
            <w:pPr>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0D96754D" w14:textId="77777777" w:rsidR="009A1C9F" w:rsidRDefault="009A1C9F">
            <w:pPr>
              <w:rPr>
                <w:rFonts w:ascii="Verdana" w:hAnsi="Verdana" w:cs="Arial"/>
                <w:sz w:val="16"/>
                <w:szCs w:val="16"/>
              </w:rPr>
            </w:pPr>
            <w:r>
              <w:rPr>
                <w:rFonts w:ascii="Verdana" w:hAnsi="Verdana" w:cs="Arial"/>
                <w:sz w:val="16"/>
                <w:szCs w:val="16"/>
              </w:rPr>
              <w:t>Brownfield Fund</w:t>
            </w:r>
          </w:p>
        </w:tc>
        <w:tc>
          <w:tcPr>
            <w:tcW w:w="1380" w:type="dxa"/>
            <w:tcBorders>
              <w:top w:val="nil"/>
              <w:left w:val="single" w:sz="4" w:space="0" w:color="auto"/>
              <w:bottom w:val="nil"/>
              <w:right w:val="single" w:sz="4" w:space="0" w:color="auto"/>
            </w:tcBorders>
            <w:shd w:val="clear" w:color="auto" w:fill="auto"/>
            <w:noWrap/>
            <w:vAlign w:val="bottom"/>
            <w:hideMark/>
          </w:tcPr>
          <w:p w14:paraId="601EC112" w14:textId="77777777" w:rsidR="009A1C9F" w:rsidRDefault="009A1C9F">
            <w:pPr>
              <w:jc w:val="right"/>
              <w:rPr>
                <w:rFonts w:ascii="Verdana" w:hAnsi="Verdana" w:cs="Arial"/>
                <w:sz w:val="16"/>
                <w:szCs w:val="16"/>
              </w:rPr>
            </w:pPr>
            <w:r>
              <w:rPr>
                <w:rFonts w:ascii="Verdana" w:hAnsi="Verdana" w:cs="Arial"/>
                <w:sz w:val="16"/>
                <w:szCs w:val="16"/>
              </w:rPr>
              <w:t>(8,577)</w:t>
            </w:r>
          </w:p>
        </w:tc>
      </w:tr>
      <w:tr w:rsidR="009A1C9F" w14:paraId="78D6BF10"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B007656" w14:textId="77777777" w:rsidR="009A1C9F" w:rsidRDefault="009A1C9F">
            <w:pPr>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0BC8C2F2" w14:textId="77777777" w:rsidR="009A1C9F" w:rsidRDefault="009A1C9F">
            <w:pPr>
              <w:rPr>
                <w:rFonts w:ascii="Verdana" w:hAnsi="Verdana" w:cs="Arial"/>
                <w:sz w:val="16"/>
                <w:szCs w:val="16"/>
              </w:rPr>
            </w:pPr>
            <w:r>
              <w:rPr>
                <w:rFonts w:ascii="Verdana" w:hAnsi="Verdana" w:cs="Arial"/>
                <w:sz w:val="16"/>
                <w:szCs w:val="16"/>
              </w:rPr>
              <w:t>Earnback Grant (Capital)</w:t>
            </w:r>
          </w:p>
        </w:tc>
        <w:tc>
          <w:tcPr>
            <w:tcW w:w="1380" w:type="dxa"/>
            <w:tcBorders>
              <w:top w:val="nil"/>
              <w:left w:val="single" w:sz="4" w:space="0" w:color="auto"/>
              <w:bottom w:val="nil"/>
              <w:right w:val="single" w:sz="4" w:space="0" w:color="auto"/>
            </w:tcBorders>
            <w:shd w:val="clear" w:color="auto" w:fill="auto"/>
            <w:noWrap/>
            <w:vAlign w:val="bottom"/>
            <w:hideMark/>
          </w:tcPr>
          <w:p w14:paraId="2FEB8193" w14:textId="77777777" w:rsidR="009A1C9F" w:rsidRDefault="009A1C9F">
            <w:pPr>
              <w:jc w:val="right"/>
              <w:rPr>
                <w:rFonts w:ascii="Verdana" w:hAnsi="Verdana" w:cs="Arial"/>
                <w:sz w:val="16"/>
                <w:szCs w:val="16"/>
              </w:rPr>
            </w:pPr>
            <w:r>
              <w:rPr>
                <w:rFonts w:ascii="Verdana" w:hAnsi="Verdana" w:cs="Arial"/>
                <w:sz w:val="16"/>
                <w:szCs w:val="16"/>
              </w:rPr>
              <w:t>(7,617)</w:t>
            </w:r>
          </w:p>
        </w:tc>
      </w:tr>
      <w:tr w:rsidR="009A1C9F" w14:paraId="1C203C44"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16CC0C5" w14:textId="77777777" w:rsidR="009A1C9F" w:rsidRDefault="009A1C9F">
            <w:pPr>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242C3E6E" w14:textId="77777777" w:rsidR="009A1C9F" w:rsidRDefault="009A1C9F">
            <w:pPr>
              <w:rPr>
                <w:rFonts w:ascii="Verdana" w:hAnsi="Verdana" w:cs="Arial"/>
                <w:sz w:val="16"/>
                <w:szCs w:val="16"/>
              </w:rPr>
            </w:pPr>
            <w:r>
              <w:rPr>
                <w:rFonts w:ascii="Verdana" w:hAnsi="Verdana" w:cs="Arial"/>
                <w:sz w:val="16"/>
                <w:szCs w:val="16"/>
              </w:rPr>
              <w:t>Social Housing Decarbonisation</w:t>
            </w:r>
          </w:p>
        </w:tc>
        <w:tc>
          <w:tcPr>
            <w:tcW w:w="1380" w:type="dxa"/>
            <w:tcBorders>
              <w:top w:val="nil"/>
              <w:left w:val="single" w:sz="4" w:space="0" w:color="auto"/>
              <w:bottom w:val="nil"/>
              <w:right w:val="single" w:sz="4" w:space="0" w:color="auto"/>
            </w:tcBorders>
            <w:shd w:val="clear" w:color="auto" w:fill="auto"/>
            <w:noWrap/>
            <w:vAlign w:val="bottom"/>
            <w:hideMark/>
          </w:tcPr>
          <w:p w14:paraId="5063B4E9" w14:textId="77777777" w:rsidR="009A1C9F" w:rsidRDefault="009A1C9F">
            <w:pPr>
              <w:jc w:val="right"/>
              <w:rPr>
                <w:rFonts w:ascii="Verdana" w:hAnsi="Verdana" w:cs="Arial"/>
                <w:sz w:val="16"/>
                <w:szCs w:val="16"/>
              </w:rPr>
            </w:pPr>
            <w:r>
              <w:rPr>
                <w:rFonts w:ascii="Verdana" w:hAnsi="Verdana" w:cs="Arial"/>
                <w:sz w:val="16"/>
                <w:szCs w:val="16"/>
              </w:rPr>
              <w:t>(10,473)</w:t>
            </w:r>
          </w:p>
        </w:tc>
      </w:tr>
      <w:tr w:rsidR="009A1C9F" w14:paraId="4A3D5959"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BB4CC94" w14:textId="77777777" w:rsidR="009A1C9F" w:rsidRDefault="009A1C9F">
            <w:pPr>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0219155F" w14:textId="77777777" w:rsidR="009A1C9F" w:rsidRDefault="009A1C9F">
            <w:pPr>
              <w:rPr>
                <w:rFonts w:ascii="Verdana" w:hAnsi="Verdana" w:cs="Arial"/>
                <w:sz w:val="16"/>
                <w:szCs w:val="16"/>
              </w:rPr>
            </w:pPr>
            <w:r>
              <w:rPr>
                <w:rFonts w:ascii="Verdana" w:hAnsi="Verdana" w:cs="Arial"/>
                <w:sz w:val="16"/>
                <w:szCs w:val="16"/>
              </w:rPr>
              <w:t>Transport City Deal</w:t>
            </w:r>
          </w:p>
        </w:tc>
        <w:tc>
          <w:tcPr>
            <w:tcW w:w="1380" w:type="dxa"/>
            <w:tcBorders>
              <w:top w:val="nil"/>
              <w:left w:val="single" w:sz="4" w:space="0" w:color="auto"/>
              <w:bottom w:val="nil"/>
              <w:right w:val="single" w:sz="4" w:space="0" w:color="auto"/>
            </w:tcBorders>
            <w:shd w:val="clear" w:color="auto" w:fill="auto"/>
            <w:noWrap/>
            <w:vAlign w:val="bottom"/>
            <w:hideMark/>
          </w:tcPr>
          <w:p w14:paraId="17559B8E" w14:textId="77777777" w:rsidR="009A1C9F" w:rsidRDefault="009A1C9F">
            <w:pPr>
              <w:jc w:val="right"/>
              <w:rPr>
                <w:rFonts w:ascii="Verdana" w:hAnsi="Verdana" w:cs="Arial"/>
                <w:sz w:val="16"/>
                <w:szCs w:val="16"/>
              </w:rPr>
            </w:pPr>
            <w:r>
              <w:rPr>
                <w:rFonts w:ascii="Verdana" w:hAnsi="Verdana" w:cs="Arial"/>
                <w:sz w:val="16"/>
                <w:szCs w:val="16"/>
              </w:rPr>
              <w:t>(22,300)</w:t>
            </w:r>
          </w:p>
        </w:tc>
      </w:tr>
      <w:tr w:rsidR="009A1C9F" w14:paraId="6BDA0348"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2E99961B" w14:textId="77777777" w:rsidR="009A1C9F" w:rsidRDefault="009A1C9F">
            <w:pPr>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55205D6D" w14:textId="77777777" w:rsidR="009A1C9F" w:rsidRDefault="009A1C9F">
            <w:pPr>
              <w:rPr>
                <w:rFonts w:ascii="Verdana" w:hAnsi="Verdana" w:cs="Arial"/>
                <w:sz w:val="16"/>
                <w:szCs w:val="16"/>
              </w:rPr>
            </w:pPr>
            <w:r>
              <w:rPr>
                <w:rFonts w:ascii="Verdana" w:hAnsi="Verdana" w:cs="Arial"/>
                <w:sz w:val="16"/>
                <w:szCs w:val="16"/>
              </w:rPr>
              <w:t>Zero Emissions Buses</w:t>
            </w:r>
          </w:p>
        </w:tc>
        <w:tc>
          <w:tcPr>
            <w:tcW w:w="1380" w:type="dxa"/>
            <w:tcBorders>
              <w:top w:val="nil"/>
              <w:left w:val="single" w:sz="4" w:space="0" w:color="auto"/>
              <w:bottom w:val="nil"/>
              <w:right w:val="single" w:sz="4" w:space="0" w:color="auto"/>
            </w:tcBorders>
            <w:shd w:val="clear" w:color="auto" w:fill="auto"/>
            <w:noWrap/>
            <w:vAlign w:val="bottom"/>
            <w:hideMark/>
          </w:tcPr>
          <w:p w14:paraId="55AD13B6" w14:textId="77777777" w:rsidR="009A1C9F" w:rsidRDefault="009A1C9F">
            <w:pPr>
              <w:jc w:val="right"/>
              <w:rPr>
                <w:rFonts w:ascii="Verdana" w:hAnsi="Verdana" w:cs="Arial"/>
                <w:sz w:val="16"/>
                <w:szCs w:val="16"/>
              </w:rPr>
            </w:pPr>
            <w:r>
              <w:rPr>
                <w:rFonts w:ascii="Verdana" w:hAnsi="Verdana" w:cs="Arial"/>
                <w:sz w:val="16"/>
                <w:szCs w:val="16"/>
              </w:rPr>
              <w:t>(35,730)</w:t>
            </w:r>
          </w:p>
        </w:tc>
      </w:tr>
      <w:tr w:rsidR="009A1C9F" w14:paraId="60BDC087" w14:textId="77777777" w:rsidTr="009A1C9F">
        <w:trPr>
          <w:trHeight w:val="2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5BCDD04" w14:textId="77777777" w:rsidR="009A1C9F" w:rsidRDefault="009A1C9F">
            <w:pPr>
              <w:jc w:val="right"/>
              <w:rPr>
                <w:rFonts w:ascii="Verdana" w:hAnsi="Verdana" w:cs="Arial"/>
                <w:sz w:val="16"/>
                <w:szCs w:val="16"/>
              </w:rPr>
            </w:pPr>
            <w:r>
              <w:rPr>
                <w:rFonts w:ascii="Verdana" w:hAnsi="Verdana" w:cs="Arial"/>
                <w:sz w:val="16"/>
                <w:szCs w:val="16"/>
              </w:rPr>
              <w:t>(119)</w:t>
            </w:r>
          </w:p>
        </w:tc>
        <w:tc>
          <w:tcPr>
            <w:tcW w:w="5260" w:type="dxa"/>
            <w:tcBorders>
              <w:top w:val="nil"/>
              <w:left w:val="nil"/>
              <w:bottom w:val="single" w:sz="4" w:space="0" w:color="auto"/>
              <w:right w:val="single" w:sz="4" w:space="0" w:color="auto"/>
            </w:tcBorders>
            <w:shd w:val="clear" w:color="auto" w:fill="auto"/>
            <w:noWrap/>
            <w:vAlign w:val="bottom"/>
            <w:hideMark/>
          </w:tcPr>
          <w:p w14:paraId="59779FAB" w14:textId="77777777" w:rsidR="009A1C9F" w:rsidRDefault="009A1C9F">
            <w:pPr>
              <w:rPr>
                <w:rFonts w:ascii="Verdana" w:hAnsi="Verdana" w:cs="Arial"/>
                <w:sz w:val="16"/>
                <w:szCs w:val="16"/>
              </w:rPr>
            </w:pPr>
            <w:r>
              <w:rPr>
                <w:rFonts w:ascii="Verdana" w:hAnsi="Verdana" w:cs="Arial"/>
                <w:sz w:val="16"/>
                <w:szCs w:val="16"/>
              </w:rPr>
              <w:t>Police Capital Grants</w:t>
            </w:r>
          </w:p>
        </w:tc>
        <w:tc>
          <w:tcPr>
            <w:tcW w:w="1380" w:type="dxa"/>
            <w:tcBorders>
              <w:top w:val="nil"/>
              <w:left w:val="nil"/>
              <w:bottom w:val="single" w:sz="4" w:space="0" w:color="auto"/>
              <w:right w:val="single" w:sz="4" w:space="0" w:color="auto"/>
            </w:tcBorders>
            <w:shd w:val="clear" w:color="auto" w:fill="auto"/>
            <w:noWrap/>
            <w:vAlign w:val="bottom"/>
            <w:hideMark/>
          </w:tcPr>
          <w:p w14:paraId="5D354C52" w14:textId="77777777" w:rsidR="009A1C9F" w:rsidRDefault="009A1C9F">
            <w:pPr>
              <w:jc w:val="right"/>
              <w:rPr>
                <w:rFonts w:ascii="Verdana" w:hAnsi="Verdana" w:cs="Arial"/>
                <w:sz w:val="16"/>
                <w:szCs w:val="16"/>
              </w:rPr>
            </w:pPr>
            <w:r>
              <w:rPr>
                <w:rFonts w:ascii="Verdana" w:hAnsi="Verdana" w:cs="Arial"/>
                <w:sz w:val="16"/>
                <w:szCs w:val="16"/>
              </w:rPr>
              <w:t>(23)</w:t>
            </w:r>
          </w:p>
        </w:tc>
      </w:tr>
      <w:tr w:rsidR="009A1C9F" w14:paraId="1F81A092"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A8FD39B" w14:textId="77777777" w:rsidR="009A1C9F" w:rsidRDefault="009A1C9F">
            <w:pPr>
              <w:jc w:val="right"/>
              <w:rPr>
                <w:rFonts w:ascii="Verdana" w:hAnsi="Verdana" w:cs="Arial"/>
                <w:b/>
                <w:bCs/>
                <w:sz w:val="16"/>
                <w:szCs w:val="16"/>
              </w:rPr>
            </w:pPr>
            <w:r>
              <w:rPr>
                <w:rFonts w:ascii="Verdana" w:hAnsi="Verdana" w:cs="Arial"/>
                <w:b/>
                <w:bCs/>
                <w:sz w:val="16"/>
                <w:szCs w:val="16"/>
              </w:rPr>
              <w:t>(225,926)</w:t>
            </w:r>
          </w:p>
        </w:tc>
        <w:tc>
          <w:tcPr>
            <w:tcW w:w="5260" w:type="dxa"/>
            <w:tcBorders>
              <w:top w:val="nil"/>
              <w:left w:val="nil"/>
              <w:bottom w:val="nil"/>
              <w:right w:val="nil"/>
            </w:tcBorders>
            <w:shd w:val="clear" w:color="auto" w:fill="auto"/>
            <w:noWrap/>
            <w:vAlign w:val="bottom"/>
            <w:hideMark/>
          </w:tcPr>
          <w:p w14:paraId="2AB5D5F9" w14:textId="77777777" w:rsidR="009A1C9F" w:rsidRDefault="009A1C9F">
            <w:pPr>
              <w:rPr>
                <w:rFonts w:ascii="Verdana" w:hAnsi="Verdana" w:cs="Arial"/>
                <w:b/>
                <w:bCs/>
                <w:sz w:val="16"/>
                <w:szCs w:val="16"/>
              </w:rPr>
            </w:pPr>
            <w:r>
              <w:rPr>
                <w:rFonts w:ascii="Verdana" w:hAnsi="Verdana" w:cs="Arial"/>
                <w:b/>
                <w:bCs/>
                <w:sz w:val="16"/>
                <w:szCs w:val="16"/>
              </w:rPr>
              <w:t>Total Capital Grants RIA</w:t>
            </w:r>
          </w:p>
        </w:tc>
        <w:tc>
          <w:tcPr>
            <w:tcW w:w="1380" w:type="dxa"/>
            <w:tcBorders>
              <w:top w:val="nil"/>
              <w:left w:val="single" w:sz="4" w:space="0" w:color="auto"/>
              <w:bottom w:val="nil"/>
              <w:right w:val="single" w:sz="4" w:space="0" w:color="auto"/>
            </w:tcBorders>
            <w:shd w:val="clear" w:color="auto" w:fill="auto"/>
            <w:noWrap/>
            <w:vAlign w:val="bottom"/>
            <w:hideMark/>
          </w:tcPr>
          <w:p w14:paraId="1CDE842E" w14:textId="77777777" w:rsidR="009A1C9F" w:rsidRDefault="009A1C9F">
            <w:pPr>
              <w:jc w:val="right"/>
              <w:rPr>
                <w:rFonts w:ascii="Verdana" w:hAnsi="Verdana" w:cs="Arial"/>
                <w:b/>
                <w:bCs/>
                <w:sz w:val="16"/>
                <w:szCs w:val="16"/>
              </w:rPr>
            </w:pPr>
            <w:r>
              <w:rPr>
                <w:rFonts w:ascii="Verdana" w:hAnsi="Verdana" w:cs="Arial"/>
                <w:b/>
                <w:bCs/>
                <w:sz w:val="16"/>
                <w:szCs w:val="16"/>
              </w:rPr>
              <w:t>(357,841)</w:t>
            </w:r>
          </w:p>
        </w:tc>
      </w:tr>
      <w:tr w:rsidR="009A1C9F" w14:paraId="2163E641" w14:textId="77777777" w:rsidTr="009A1C9F">
        <w:trPr>
          <w:trHeight w:val="110"/>
        </w:trPr>
        <w:tc>
          <w:tcPr>
            <w:tcW w:w="1380" w:type="dxa"/>
            <w:tcBorders>
              <w:top w:val="nil"/>
              <w:left w:val="single" w:sz="4" w:space="0" w:color="auto"/>
              <w:bottom w:val="nil"/>
              <w:right w:val="single" w:sz="4" w:space="0" w:color="auto"/>
            </w:tcBorders>
            <w:shd w:val="clear" w:color="auto" w:fill="auto"/>
            <w:noWrap/>
            <w:vAlign w:val="bottom"/>
            <w:hideMark/>
          </w:tcPr>
          <w:p w14:paraId="4AF9BBEF" w14:textId="77777777" w:rsidR="009A1C9F" w:rsidRDefault="009A1C9F">
            <w:pPr>
              <w:rPr>
                <w:rFonts w:ascii="Verdana" w:hAnsi="Verdana" w:cs="Arial"/>
                <w:sz w:val="16"/>
                <w:szCs w:val="16"/>
              </w:rPr>
            </w:pPr>
            <w:r>
              <w:rPr>
                <w:rFonts w:ascii="Verdana" w:hAnsi="Verdana" w:cs="Arial"/>
                <w:sz w:val="16"/>
                <w:szCs w:val="16"/>
              </w:rPr>
              <w:t> </w:t>
            </w:r>
          </w:p>
        </w:tc>
        <w:tc>
          <w:tcPr>
            <w:tcW w:w="5260" w:type="dxa"/>
            <w:tcBorders>
              <w:top w:val="nil"/>
              <w:left w:val="nil"/>
              <w:bottom w:val="nil"/>
              <w:right w:val="nil"/>
            </w:tcBorders>
            <w:shd w:val="clear" w:color="auto" w:fill="auto"/>
            <w:noWrap/>
            <w:vAlign w:val="bottom"/>
            <w:hideMark/>
          </w:tcPr>
          <w:p w14:paraId="69AB90D2" w14:textId="77777777" w:rsidR="009A1C9F" w:rsidRDefault="009A1C9F">
            <w:pPr>
              <w:rPr>
                <w:rFonts w:ascii="Verdana" w:hAnsi="Verdana" w:cs="Arial"/>
                <w:sz w:val="16"/>
                <w:szCs w:val="16"/>
              </w:rPr>
            </w:pPr>
          </w:p>
        </w:tc>
        <w:tc>
          <w:tcPr>
            <w:tcW w:w="1380" w:type="dxa"/>
            <w:tcBorders>
              <w:top w:val="nil"/>
              <w:left w:val="single" w:sz="4" w:space="0" w:color="auto"/>
              <w:bottom w:val="nil"/>
              <w:right w:val="single" w:sz="4" w:space="0" w:color="auto"/>
            </w:tcBorders>
            <w:shd w:val="clear" w:color="auto" w:fill="auto"/>
            <w:noWrap/>
            <w:vAlign w:val="bottom"/>
            <w:hideMark/>
          </w:tcPr>
          <w:p w14:paraId="75DFAFB0" w14:textId="77777777" w:rsidR="009A1C9F" w:rsidRDefault="009A1C9F">
            <w:pPr>
              <w:rPr>
                <w:rFonts w:ascii="Verdana" w:hAnsi="Verdana" w:cs="Arial"/>
                <w:sz w:val="16"/>
                <w:szCs w:val="16"/>
              </w:rPr>
            </w:pPr>
            <w:r>
              <w:rPr>
                <w:rFonts w:ascii="Verdana" w:hAnsi="Verdana" w:cs="Arial"/>
                <w:sz w:val="16"/>
                <w:szCs w:val="16"/>
              </w:rPr>
              <w:t> </w:t>
            </w:r>
          </w:p>
        </w:tc>
      </w:tr>
      <w:tr w:rsidR="009A1C9F" w14:paraId="7F7CE7D2"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0851412" w14:textId="77777777" w:rsidR="009A1C9F" w:rsidRDefault="009A1C9F">
            <w:pPr>
              <w:jc w:val="right"/>
              <w:rPr>
                <w:rFonts w:ascii="Verdana" w:hAnsi="Verdana" w:cs="Arial"/>
                <w:sz w:val="16"/>
                <w:szCs w:val="16"/>
              </w:rPr>
            </w:pPr>
            <w:r>
              <w:rPr>
                <w:rFonts w:ascii="Verdana" w:hAnsi="Verdana" w:cs="Arial"/>
                <w:sz w:val="16"/>
                <w:szCs w:val="16"/>
              </w:rPr>
              <w:t>(153,665)</w:t>
            </w:r>
          </w:p>
        </w:tc>
        <w:tc>
          <w:tcPr>
            <w:tcW w:w="5260" w:type="dxa"/>
            <w:tcBorders>
              <w:top w:val="nil"/>
              <w:left w:val="nil"/>
              <w:bottom w:val="nil"/>
              <w:right w:val="nil"/>
            </w:tcBorders>
            <w:shd w:val="clear" w:color="auto" w:fill="auto"/>
            <w:noWrap/>
            <w:vAlign w:val="bottom"/>
            <w:hideMark/>
          </w:tcPr>
          <w:p w14:paraId="5C5FC2D1" w14:textId="77777777" w:rsidR="009A1C9F" w:rsidRDefault="009A1C9F">
            <w:pPr>
              <w:rPr>
                <w:rFonts w:ascii="Verdana" w:hAnsi="Verdana" w:cs="Arial"/>
                <w:sz w:val="16"/>
                <w:szCs w:val="16"/>
              </w:rPr>
            </w:pPr>
            <w:r>
              <w:rPr>
                <w:rFonts w:ascii="Verdana" w:hAnsi="Verdana" w:cs="Arial"/>
                <w:sz w:val="16"/>
                <w:szCs w:val="16"/>
              </w:rPr>
              <w:t xml:space="preserve">Due to be recognised within 1 year </w:t>
            </w:r>
          </w:p>
        </w:tc>
        <w:tc>
          <w:tcPr>
            <w:tcW w:w="1380" w:type="dxa"/>
            <w:tcBorders>
              <w:top w:val="nil"/>
              <w:left w:val="single" w:sz="4" w:space="0" w:color="auto"/>
              <w:bottom w:val="nil"/>
              <w:right w:val="single" w:sz="4" w:space="0" w:color="auto"/>
            </w:tcBorders>
            <w:shd w:val="clear" w:color="auto" w:fill="auto"/>
            <w:noWrap/>
            <w:vAlign w:val="bottom"/>
            <w:hideMark/>
          </w:tcPr>
          <w:p w14:paraId="60C1A251" w14:textId="77777777" w:rsidR="009A1C9F" w:rsidRDefault="009A1C9F">
            <w:pPr>
              <w:jc w:val="right"/>
              <w:rPr>
                <w:rFonts w:ascii="Verdana" w:hAnsi="Verdana" w:cs="Arial"/>
                <w:sz w:val="16"/>
                <w:szCs w:val="16"/>
              </w:rPr>
            </w:pPr>
            <w:r>
              <w:rPr>
                <w:rFonts w:ascii="Verdana" w:hAnsi="Verdana" w:cs="Arial"/>
                <w:sz w:val="16"/>
                <w:szCs w:val="16"/>
              </w:rPr>
              <w:t>(198,507)</w:t>
            </w:r>
          </w:p>
        </w:tc>
      </w:tr>
      <w:tr w:rsidR="009A1C9F" w14:paraId="017F9F87"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75D660CA" w14:textId="77777777" w:rsidR="009A1C9F" w:rsidRDefault="009A1C9F">
            <w:pPr>
              <w:jc w:val="right"/>
              <w:rPr>
                <w:rFonts w:ascii="Verdana" w:hAnsi="Verdana" w:cs="Arial"/>
                <w:sz w:val="16"/>
                <w:szCs w:val="16"/>
              </w:rPr>
            </w:pPr>
            <w:r>
              <w:rPr>
                <w:rFonts w:ascii="Verdana" w:hAnsi="Verdana" w:cs="Arial"/>
                <w:sz w:val="16"/>
                <w:szCs w:val="16"/>
              </w:rPr>
              <w:t>(72,262)</w:t>
            </w:r>
          </w:p>
        </w:tc>
        <w:tc>
          <w:tcPr>
            <w:tcW w:w="5260" w:type="dxa"/>
            <w:tcBorders>
              <w:top w:val="nil"/>
              <w:left w:val="nil"/>
              <w:bottom w:val="nil"/>
              <w:right w:val="nil"/>
            </w:tcBorders>
            <w:shd w:val="clear" w:color="auto" w:fill="auto"/>
            <w:noWrap/>
            <w:vAlign w:val="bottom"/>
            <w:hideMark/>
          </w:tcPr>
          <w:p w14:paraId="3C4C2F2D" w14:textId="77777777" w:rsidR="009A1C9F" w:rsidRDefault="009A1C9F">
            <w:pPr>
              <w:rPr>
                <w:rFonts w:ascii="Verdana" w:hAnsi="Verdana" w:cs="Arial"/>
                <w:sz w:val="16"/>
                <w:szCs w:val="16"/>
              </w:rPr>
            </w:pPr>
            <w:r>
              <w:rPr>
                <w:rFonts w:ascii="Verdana" w:hAnsi="Verdana" w:cs="Arial"/>
                <w:sz w:val="16"/>
                <w:szCs w:val="16"/>
              </w:rPr>
              <w:t>Due to be recognised over 1 year</w:t>
            </w:r>
          </w:p>
        </w:tc>
        <w:tc>
          <w:tcPr>
            <w:tcW w:w="1380" w:type="dxa"/>
            <w:tcBorders>
              <w:top w:val="nil"/>
              <w:left w:val="single" w:sz="4" w:space="0" w:color="auto"/>
              <w:bottom w:val="nil"/>
              <w:right w:val="single" w:sz="4" w:space="0" w:color="auto"/>
            </w:tcBorders>
            <w:shd w:val="clear" w:color="auto" w:fill="auto"/>
            <w:noWrap/>
            <w:vAlign w:val="bottom"/>
            <w:hideMark/>
          </w:tcPr>
          <w:p w14:paraId="51BAACAF" w14:textId="77777777" w:rsidR="009A1C9F" w:rsidRDefault="009A1C9F">
            <w:pPr>
              <w:jc w:val="right"/>
              <w:rPr>
                <w:rFonts w:ascii="Verdana" w:hAnsi="Verdana" w:cs="Arial"/>
                <w:sz w:val="16"/>
                <w:szCs w:val="16"/>
              </w:rPr>
            </w:pPr>
            <w:r>
              <w:rPr>
                <w:rFonts w:ascii="Verdana" w:hAnsi="Verdana" w:cs="Arial"/>
                <w:sz w:val="16"/>
                <w:szCs w:val="16"/>
              </w:rPr>
              <w:t>(159,333)</w:t>
            </w:r>
          </w:p>
        </w:tc>
      </w:tr>
      <w:tr w:rsidR="009A1C9F" w14:paraId="513A26C2" w14:textId="77777777" w:rsidTr="009A1C9F">
        <w:trPr>
          <w:trHeight w:val="90"/>
        </w:trPr>
        <w:tc>
          <w:tcPr>
            <w:tcW w:w="1380" w:type="dxa"/>
            <w:tcBorders>
              <w:top w:val="nil"/>
              <w:left w:val="single" w:sz="4" w:space="0" w:color="auto"/>
              <w:bottom w:val="nil"/>
              <w:right w:val="single" w:sz="4" w:space="0" w:color="auto"/>
            </w:tcBorders>
            <w:shd w:val="clear" w:color="auto" w:fill="auto"/>
            <w:noWrap/>
            <w:vAlign w:val="bottom"/>
            <w:hideMark/>
          </w:tcPr>
          <w:p w14:paraId="1817AB61" w14:textId="77777777" w:rsidR="009A1C9F" w:rsidRDefault="009A1C9F">
            <w:pPr>
              <w:rPr>
                <w:rFonts w:ascii="Verdana" w:hAnsi="Verdana" w:cs="Arial"/>
                <w:sz w:val="16"/>
                <w:szCs w:val="16"/>
              </w:rPr>
            </w:pPr>
            <w:r>
              <w:rPr>
                <w:rFonts w:ascii="Verdana" w:hAnsi="Verdana" w:cs="Arial"/>
                <w:sz w:val="16"/>
                <w:szCs w:val="16"/>
              </w:rPr>
              <w:t> </w:t>
            </w:r>
          </w:p>
        </w:tc>
        <w:tc>
          <w:tcPr>
            <w:tcW w:w="5260" w:type="dxa"/>
            <w:tcBorders>
              <w:top w:val="nil"/>
              <w:left w:val="nil"/>
              <w:bottom w:val="nil"/>
              <w:right w:val="nil"/>
            </w:tcBorders>
            <w:shd w:val="clear" w:color="auto" w:fill="auto"/>
            <w:noWrap/>
            <w:vAlign w:val="bottom"/>
            <w:hideMark/>
          </w:tcPr>
          <w:p w14:paraId="5F165798" w14:textId="77777777" w:rsidR="009A1C9F" w:rsidRDefault="009A1C9F">
            <w:pPr>
              <w:rPr>
                <w:rFonts w:ascii="Verdana" w:hAnsi="Verdana" w:cs="Arial"/>
                <w:sz w:val="16"/>
                <w:szCs w:val="16"/>
              </w:rPr>
            </w:pPr>
          </w:p>
        </w:tc>
        <w:tc>
          <w:tcPr>
            <w:tcW w:w="1380" w:type="dxa"/>
            <w:tcBorders>
              <w:top w:val="nil"/>
              <w:left w:val="single" w:sz="4" w:space="0" w:color="auto"/>
              <w:bottom w:val="nil"/>
              <w:right w:val="single" w:sz="4" w:space="0" w:color="auto"/>
            </w:tcBorders>
            <w:shd w:val="clear" w:color="auto" w:fill="auto"/>
            <w:noWrap/>
            <w:vAlign w:val="bottom"/>
            <w:hideMark/>
          </w:tcPr>
          <w:p w14:paraId="772B3FC4" w14:textId="77777777" w:rsidR="009A1C9F" w:rsidRDefault="009A1C9F">
            <w:pPr>
              <w:rPr>
                <w:rFonts w:ascii="Verdana" w:hAnsi="Verdana" w:cs="Arial"/>
                <w:sz w:val="16"/>
                <w:szCs w:val="16"/>
              </w:rPr>
            </w:pPr>
            <w:r>
              <w:rPr>
                <w:rFonts w:ascii="Verdana" w:hAnsi="Verdana" w:cs="Arial"/>
                <w:sz w:val="16"/>
                <w:szCs w:val="16"/>
              </w:rPr>
              <w:t> </w:t>
            </w:r>
          </w:p>
        </w:tc>
      </w:tr>
      <w:tr w:rsidR="009A1C9F" w14:paraId="1B5E8EDA"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EEDB153" w14:textId="77777777" w:rsidR="009A1C9F" w:rsidRDefault="009A1C9F">
            <w:pPr>
              <w:rPr>
                <w:rFonts w:ascii="Verdana" w:hAnsi="Verdana" w:cs="Arial"/>
                <w:sz w:val="16"/>
                <w:szCs w:val="16"/>
              </w:rPr>
            </w:pPr>
            <w:r>
              <w:rPr>
                <w:rFonts w:ascii="Verdana" w:hAnsi="Verdana" w:cs="Arial"/>
                <w:sz w:val="16"/>
                <w:szCs w:val="16"/>
              </w:rPr>
              <w:t> </w:t>
            </w:r>
          </w:p>
        </w:tc>
        <w:tc>
          <w:tcPr>
            <w:tcW w:w="5260" w:type="dxa"/>
            <w:tcBorders>
              <w:top w:val="nil"/>
              <w:left w:val="nil"/>
              <w:bottom w:val="nil"/>
              <w:right w:val="nil"/>
            </w:tcBorders>
            <w:shd w:val="clear" w:color="auto" w:fill="auto"/>
            <w:noWrap/>
            <w:vAlign w:val="bottom"/>
            <w:hideMark/>
          </w:tcPr>
          <w:p w14:paraId="3FB8969E" w14:textId="77777777" w:rsidR="009A1C9F" w:rsidRDefault="009A1C9F">
            <w:pPr>
              <w:rPr>
                <w:rFonts w:ascii="Verdana" w:hAnsi="Verdana" w:cs="Arial"/>
                <w:b/>
                <w:bCs/>
                <w:sz w:val="16"/>
                <w:szCs w:val="16"/>
              </w:rPr>
            </w:pPr>
            <w:r>
              <w:rPr>
                <w:rFonts w:ascii="Verdana" w:hAnsi="Verdana" w:cs="Arial"/>
                <w:b/>
                <w:bCs/>
                <w:sz w:val="16"/>
                <w:szCs w:val="16"/>
              </w:rPr>
              <w:t>Revenue Grants Receipts in Advance</w:t>
            </w:r>
          </w:p>
        </w:tc>
        <w:tc>
          <w:tcPr>
            <w:tcW w:w="1380" w:type="dxa"/>
            <w:tcBorders>
              <w:top w:val="nil"/>
              <w:left w:val="single" w:sz="4" w:space="0" w:color="auto"/>
              <w:bottom w:val="nil"/>
              <w:right w:val="single" w:sz="4" w:space="0" w:color="auto"/>
            </w:tcBorders>
            <w:shd w:val="clear" w:color="auto" w:fill="auto"/>
            <w:noWrap/>
            <w:vAlign w:val="bottom"/>
            <w:hideMark/>
          </w:tcPr>
          <w:p w14:paraId="27770098" w14:textId="77777777" w:rsidR="009A1C9F" w:rsidRDefault="009A1C9F">
            <w:pPr>
              <w:rPr>
                <w:rFonts w:ascii="Verdana" w:hAnsi="Verdana" w:cs="Arial"/>
                <w:sz w:val="16"/>
                <w:szCs w:val="16"/>
              </w:rPr>
            </w:pPr>
            <w:r>
              <w:rPr>
                <w:rFonts w:ascii="Verdana" w:hAnsi="Verdana" w:cs="Arial"/>
                <w:sz w:val="16"/>
                <w:szCs w:val="16"/>
              </w:rPr>
              <w:t> </w:t>
            </w:r>
          </w:p>
        </w:tc>
      </w:tr>
      <w:tr w:rsidR="009A1C9F" w14:paraId="5216665A"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59B0D8D" w14:textId="77777777" w:rsidR="009A1C9F" w:rsidRDefault="009A1C9F">
            <w:pPr>
              <w:jc w:val="right"/>
              <w:rPr>
                <w:rFonts w:ascii="Verdana" w:hAnsi="Verdana" w:cs="Arial"/>
                <w:sz w:val="16"/>
                <w:szCs w:val="16"/>
              </w:rPr>
            </w:pPr>
            <w:r>
              <w:rPr>
                <w:rFonts w:ascii="Verdana" w:hAnsi="Verdana" w:cs="Arial"/>
                <w:sz w:val="16"/>
                <w:szCs w:val="16"/>
              </w:rPr>
              <w:t>(2,040)</w:t>
            </w:r>
          </w:p>
        </w:tc>
        <w:tc>
          <w:tcPr>
            <w:tcW w:w="5260" w:type="dxa"/>
            <w:tcBorders>
              <w:top w:val="nil"/>
              <w:left w:val="nil"/>
              <w:bottom w:val="nil"/>
              <w:right w:val="nil"/>
            </w:tcBorders>
            <w:shd w:val="clear" w:color="auto" w:fill="auto"/>
            <w:noWrap/>
            <w:vAlign w:val="bottom"/>
            <w:hideMark/>
          </w:tcPr>
          <w:p w14:paraId="78639138" w14:textId="77777777" w:rsidR="009A1C9F" w:rsidRDefault="009A1C9F">
            <w:pPr>
              <w:rPr>
                <w:rFonts w:ascii="Verdana" w:hAnsi="Verdana" w:cs="Arial"/>
                <w:sz w:val="16"/>
                <w:szCs w:val="16"/>
              </w:rPr>
            </w:pPr>
            <w:r>
              <w:rPr>
                <w:rFonts w:ascii="Verdana" w:hAnsi="Verdana" w:cs="Arial"/>
                <w:sz w:val="16"/>
                <w:szCs w:val="16"/>
              </w:rPr>
              <w:t>Made Smarter</w:t>
            </w:r>
          </w:p>
        </w:tc>
        <w:tc>
          <w:tcPr>
            <w:tcW w:w="1380" w:type="dxa"/>
            <w:tcBorders>
              <w:top w:val="nil"/>
              <w:left w:val="single" w:sz="4" w:space="0" w:color="auto"/>
              <w:bottom w:val="nil"/>
              <w:right w:val="single" w:sz="4" w:space="0" w:color="auto"/>
            </w:tcBorders>
            <w:shd w:val="clear" w:color="auto" w:fill="auto"/>
            <w:noWrap/>
            <w:vAlign w:val="bottom"/>
            <w:hideMark/>
          </w:tcPr>
          <w:p w14:paraId="1EC6F7A0" w14:textId="77777777" w:rsidR="009A1C9F" w:rsidRDefault="009A1C9F">
            <w:pPr>
              <w:jc w:val="right"/>
              <w:rPr>
                <w:rFonts w:ascii="Verdana" w:hAnsi="Verdana" w:cs="Arial"/>
                <w:sz w:val="16"/>
                <w:szCs w:val="16"/>
              </w:rPr>
            </w:pPr>
            <w:r>
              <w:rPr>
                <w:rFonts w:ascii="Verdana" w:hAnsi="Verdana" w:cs="Arial"/>
                <w:sz w:val="16"/>
                <w:szCs w:val="16"/>
              </w:rPr>
              <w:t>(171)</w:t>
            </w:r>
          </w:p>
        </w:tc>
      </w:tr>
      <w:tr w:rsidR="009A1C9F" w14:paraId="321C6D81" w14:textId="77777777" w:rsidTr="009A1C9F">
        <w:trPr>
          <w:trHeight w:val="200"/>
        </w:trPr>
        <w:tc>
          <w:tcPr>
            <w:tcW w:w="1380" w:type="dxa"/>
            <w:tcBorders>
              <w:top w:val="nil"/>
              <w:left w:val="single" w:sz="4" w:space="0" w:color="auto"/>
              <w:bottom w:val="nil"/>
              <w:right w:val="single" w:sz="4" w:space="0" w:color="auto"/>
            </w:tcBorders>
            <w:shd w:val="clear" w:color="000000" w:fill="FFFFFF"/>
            <w:noWrap/>
            <w:vAlign w:val="bottom"/>
            <w:hideMark/>
          </w:tcPr>
          <w:p w14:paraId="4061717F" w14:textId="77777777" w:rsidR="009A1C9F" w:rsidRDefault="009A1C9F">
            <w:pPr>
              <w:jc w:val="right"/>
              <w:rPr>
                <w:rFonts w:ascii="Verdana" w:hAnsi="Verdana" w:cs="Arial"/>
                <w:sz w:val="16"/>
                <w:szCs w:val="16"/>
              </w:rPr>
            </w:pPr>
            <w:r>
              <w:rPr>
                <w:rFonts w:ascii="Verdana" w:hAnsi="Verdana" w:cs="Arial"/>
                <w:sz w:val="16"/>
                <w:szCs w:val="16"/>
              </w:rPr>
              <w:t>(568)</w:t>
            </w:r>
          </w:p>
        </w:tc>
        <w:tc>
          <w:tcPr>
            <w:tcW w:w="5260" w:type="dxa"/>
            <w:tcBorders>
              <w:top w:val="nil"/>
              <w:left w:val="nil"/>
              <w:bottom w:val="nil"/>
              <w:right w:val="nil"/>
            </w:tcBorders>
            <w:shd w:val="clear" w:color="000000" w:fill="FFFFFF"/>
            <w:noWrap/>
            <w:vAlign w:val="bottom"/>
            <w:hideMark/>
          </w:tcPr>
          <w:p w14:paraId="754BF711" w14:textId="77777777" w:rsidR="009A1C9F" w:rsidRDefault="009A1C9F">
            <w:pPr>
              <w:rPr>
                <w:rFonts w:ascii="Verdana" w:hAnsi="Verdana" w:cs="Arial"/>
                <w:sz w:val="16"/>
                <w:szCs w:val="16"/>
              </w:rPr>
            </w:pPr>
            <w:r>
              <w:rPr>
                <w:rFonts w:ascii="Verdana" w:hAnsi="Verdana" w:cs="Arial"/>
                <w:sz w:val="16"/>
                <w:szCs w:val="16"/>
              </w:rPr>
              <w:t>Innovation &amp; Reform Funding</w:t>
            </w:r>
          </w:p>
        </w:tc>
        <w:tc>
          <w:tcPr>
            <w:tcW w:w="1380" w:type="dxa"/>
            <w:tcBorders>
              <w:top w:val="nil"/>
              <w:left w:val="single" w:sz="4" w:space="0" w:color="auto"/>
              <w:bottom w:val="nil"/>
              <w:right w:val="single" w:sz="4" w:space="0" w:color="auto"/>
            </w:tcBorders>
            <w:shd w:val="clear" w:color="auto" w:fill="auto"/>
            <w:noWrap/>
            <w:vAlign w:val="bottom"/>
            <w:hideMark/>
          </w:tcPr>
          <w:p w14:paraId="7E523086" w14:textId="77777777" w:rsidR="009A1C9F" w:rsidRDefault="009A1C9F">
            <w:pPr>
              <w:jc w:val="right"/>
              <w:rPr>
                <w:rFonts w:ascii="Verdana" w:hAnsi="Verdana" w:cs="Arial"/>
                <w:sz w:val="16"/>
                <w:szCs w:val="16"/>
              </w:rPr>
            </w:pPr>
            <w:r>
              <w:rPr>
                <w:rFonts w:ascii="Verdana" w:hAnsi="Verdana" w:cs="Arial"/>
                <w:sz w:val="16"/>
                <w:szCs w:val="16"/>
              </w:rPr>
              <w:t>(477)</w:t>
            </w:r>
          </w:p>
        </w:tc>
      </w:tr>
      <w:tr w:rsidR="009A1C9F" w14:paraId="2F998E48"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07A1CC34" w14:textId="77777777" w:rsidR="009A1C9F" w:rsidRDefault="009A1C9F">
            <w:pPr>
              <w:jc w:val="right"/>
              <w:rPr>
                <w:rFonts w:ascii="Verdana" w:hAnsi="Verdana" w:cs="Arial"/>
                <w:sz w:val="16"/>
                <w:szCs w:val="16"/>
              </w:rPr>
            </w:pPr>
            <w:r>
              <w:rPr>
                <w:rFonts w:ascii="Verdana" w:hAnsi="Verdana" w:cs="Arial"/>
                <w:sz w:val="16"/>
                <w:szCs w:val="16"/>
              </w:rPr>
              <w:t>(3,684)</w:t>
            </w:r>
          </w:p>
        </w:tc>
        <w:tc>
          <w:tcPr>
            <w:tcW w:w="5260" w:type="dxa"/>
            <w:tcBorders>
              <w:top w:val="nil"/>
              <w:left w:val="nil"/>
              <w:bottom w:val="nil"/>
              <w:right w:val="nil"/>
            </w:tcBorders>
            <w:shd w:val="clear" w:color="auto" w:fill="auto"/>
            <w:noWrap/>
            <w:vAlign w:val="bottom"/>
            <w:hideMark/>
          </w:tcPr>
          <w:p w14:paraId="65238E4D" w14:textId="77777777" w:rsidR="009A1C9F" w:rsidRDefault="009A1C9F">
            <w:pPr>
              <w:rPr>
                <w:rFonts w:ascii="Verdana" w:hAnsi="Verdana" w:cs="Arial"/>
                <w:sz w:val="16"/>
                <w:szCs w:val="16"/>
              </w:rPr>
            </w:pPr>
            <w:r>
              <w:rPr>
                <w:rFonts w:ascii="Verdana" w:hAnsi="Verdana" w:cs="Arial"/>
                <w:sz w:val="16"/>
                <w:szCs w:val="16"/>
              </w:rPr>
              <w:t>Work and Health Programme</w:t>
            </w:r>
          </w:p>
        </w:tc>
        <w:tc>
          <w:tcPr>
            <w:tcW w:w="1380" w:type="dxa"/>
            <w:tcBorders>
              <w:top w:val="nil"/>
              <w:left w:val="single" w:sz="4" w:space="0" w:color="auto"/>
              <w:bottom w:val="nil"/>
              <w:right w:val="single" w:sz="4" w:space="0" w:color="auto"/>
            </w:tcBorders>
            <w:shd w:val="clear" w:color="auto" w:fill="auto"/>
            <w:noWrap/>
            <w:vAlign w:val="bottom"/>
            <w:hideMark/>
          </w:tcPr>
          <w:p w14:paraId="20170EA5" w14:textId="77777777" w:rsidR="009A1C9F" w:rsidRDefault="009A1C9F">
            <w:pPr>
              <w:jc w:val="right"/>
              <w:rPr>
                <w:rFonts w:ascii="Verdana" w:hAnsi="Verdana" w:cs="Arial"/>
                <w:sz w:val="16"/>
                <w:szCs w:val="16"/>
              </w:rPr>
            </w:pPr>
            <w:r>
              <w:rPr>
                <w:rFonts w:ascii="Verdana" w:hAnsi="Verdana" w:cs="Arial"/>
                <w:sz w:val="16"/>
                <w:szCs w:val="16"/>
              </w:rPr>
              <w:t>(1,991)</w:t>
            </w:r>
          </w:p>
        </w:tc>
      </w:tr>
      <w:tr w:rsidR="009A1C9F" w14:paraId="2C82A28F"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0F43ECB" w14:textId="77777777" w:rsidR="009A1C9F" w:rsidRDefault="009A1C9F">
            <w:pPr>
              <w:jc w:val="right"/>
              <w:rPr>
                <w:rFonts w:ascii="Verdana" w:hAnsi="Verdana" w:cs="Arial"/>
                <w:sz w:val="16"/>
                <w:szCs w:val="16"/>
              </w:rPr>
            </w:pPr>
            <w:r>
              <w:rPr>
                <w:rFonts w:ascii="Verdana" w:hAnsi="Verdana" w:cs="Arial"/>
                <w:sz w:val="16"/>
                <w:szCs w:val="16"/>
              </w:rPr>
              <w:t>(191)</w:t>
            </w:r>
          </w:p>
        </w:tc>
        <w:tc>
          <w:tcPr>
            <w:tcW w:w="5260" w:type="dxa"/>
            <w:tcBorders>
              <w:top w:val="nil"/>
              <w:left w:val="nil"/>
              <w:bottom w:val="nil"/>
              <w:right w:val="nil"/>
            </w:tcBorders>
            <w:shd w:val="clear" w:color="auto" w:fill="auto"/>
            <w:noWrap/>
            <w:vAlign w:val="bottom"/>
            <w:hideMark/>
          </w:tcPr>
          <w:p w14:paraId="2519B509" w14:textId="77777777" w:rsidR="009A1C9F" w:rsidRDefault="009A1C9F">
            <w:pPr>
              <w:rPr>
                <w:rFonts w:ascii="Verdana" w:hAnsi="Verdana" w:cs="Arial"/>
                <w:sz w:val="16"/>
                <w:szCs w:val="16"/>
              </w:rPr>
            </w:pPr>
            <w:r>
              <w:rPr>
                <w:rFonts w:ascii="Verdana" w:hAnsi="Verdana" w:cs="Arial"/>
                <w:sz w:val="16"/>
                <w:szCs w:val="16"/>
              </w:rPr>
              <w:t xml:space="preserve">Digital Skills Academy Fund </w:t>
            </w:r>
          </w:p>
        </w:tc>
        <w:tc>
          <w:tcPr>
            <w:tcW w:w="1380" w:type="dxa"/>
            <w:tcBorders>
              <w:top w:val="nil"/>
              <w:left w:val="single" w:sz="4" w:space="0" w:color="auto"/>
              <w:bottom w:val="nil"/>
              <w:right w:val="single" w:sz="4" w:space="0" w:color="auto"/>
            </w:tcBorders>
            <w:shd w:val="clear" w:color="auto" w:fill="auto"/>
            <w:noWrap/>
            <w:vAlign w:val="bottom"/>
            <w:hideMark/>
          </w:tcPr>
          <w:p w14:paraId="6642D217" w14:textId="77777777" w:rsidR="009A1C9F" w:rsidRDefault="009A1C9F">
            <w:pPr>
              <w:jc w:val="right"/>
              <w:rPr>
                <w:rFonts w:ascii="Verdana" w:hAnsi="Verdana" w:cs="Arial"/>
                <w:sz w:val="16"/>
                <w:szCs w:val="16"/>
              </w:rPr>
            </w:pPr>
            <w:r>
              <w:rPr>
                <w:rFonts w:ascii="Verdana" w:hAnsi="Verdana" w:cs="Arial"/>
                <w:sz w:val="16"/>
                <w:szCs w:val="16"/>
              </w:rPr>
              <w:t xml:space="preserve">0 </w:t>
            </w:r>
          </w:p>
        </w:tc>
      </w:tr>
      <w:tr w:rsidR="009A1C9F" w14:paraId="5649DB67"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2AA31880" w14:textId="77777777" w:rsidR="009A1C9F" w:rsidRDefault="009A1C9F">
            <w:pPr>
              <w:jc w:val="right"/>
              <w:rPr>
                <w:rFonts w:ascii="Verdana" w:hAnsi="Verdana" w:cs="Arial"/>
                <w:sz w:val="16"/>
                <w:szCs w:val="16"/>
              </w:rPr>
            </w:pPr>
            <w:r>
              <w:rPr>
                <w:rFonts w:ascii="Verdana" w:hAnsi="Verdana" w:cs="Arial"/>
                <w:sz w:val="16"/>
                <w:szCs w:val="16"/>
              </w:rPr>
              <w:t>(1,941)</w:t>
            </w:r>
          </w:p>
        </w:tc>
        <w:tc>
          <w:tcPr>
            <w:tcW w:w="5260" w:type="dxa"/>
            <w:tcBorders>
              <w:top w:val="nil"/>
              <w:left w:val="nil"/>
              <w:bottom w:val="nil"/>
              <w:right w:val="nil"/>
            </w:tcBorders>
            <w:shd w:val="clear" w:color="auto" w:fill="auto"/>
            <w:noWrap/>
            <w:vAlign w:val="bottom"/>
            <w:hideMark/>
          </w:tcPr>
          <w:p w14:paraId="4DEFA417" w14:textId="77777777" w:rsidR="009A1C9F" w:rsidRDefault="009A1C9F">
            <w:pPr>
              <w:rPr>
                <w:rFonts w:ascii="Verdana" w:hAnsi="Verdana" w:cs="Arial"/>
                <w:sz w:val="16"/>
                <w:szCs w:val="16"/>
              </w:rPr>
            </w:pPr>
            <w:r>
              <w:rPr>
                <w:rFonts w:ascii="Verdana" w:hAnsi="Verdana" w:cs="Arial"/>
                <w:sz w:val="16"/>
                <w:szCs w:val="16"/>
              </w:rPr>
              <w:t>NHS Early Help Transformation Fund</w:t>
            </w:r>
          </w:p>
        </w:tc>
        <w:tc>
          <w:tcPr>
            <w:tcW w:w="1380" w:type="dxa"/>
            <w:tcBorders>
              <w:top w:val="nil"/>
              <w:left w:val="single" w:sz="4" w:space="0" w:color="auto"/>
              <w:bottom w:val="nil"/>
              <w:right w:val="single" w:sz="4" w:space="0" w:color="auto"/>
            </w:tcBorders>
            <w:shd w:val="clear" w:color="auto" w:fill="auto"/>
            <w:noWrap/>
            <w:vAlign w:val="bottom"/>
            <w:hideMark/>
          </w:tcPr>
          <w:p w14:paraId="7D76EC08" w14:textId="77777777" w:rsidR="009A1C9F" w:rsidRDefault="009A1C9F">
            <w:pPr>
              <w:jc w:val="right"/>
              <w:rPr>
                <w:rFonts w:ascii="Verdana" w:hAnsi="Verdana" w:cs="Arial"/>
                <w:sz w:val="16"/>
                <w:szCs w:val="16"/>
              </w:rPr>
            </w:pPr>
            <w:r>
              <w:rPr>
                <w:rFonts w:ascii="Verdana" w:hAnsi="Verdana" w:cs="Arial"/>
                <w:sz w:val="16"/>
                <w:szCs w:val="16"/>
              </w:rPr>
              <w:t>(156)</w:t>
            </w:r>
          </w:p>
        </w:tc>
      </w:tr>
      <w:tr w:rsidR="009A1C9F" w14:paraId="14278684"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A72D8DB" w14:textId="77777777" w:rsidR="009A1C9F" w:rsidRDefault="009A1C9F">
            <w:pPr>
              <w:jc w:val="right"/>
              <w:rPr>
                <w:rFonts w:ascii="Verdana" w:hAnsi="Verdana" w:cs="Arial"/>
                <w:sz w:val="16"/>
                <w:szCs w:val="16"/>
              </w:rPr>
            </w:pPr>
            <w:r>
              <w:rPr>
                <w:rFonts w:ascii="Verdana" w:hAnsi="Verdana" w:cs="Arial"/>
                <w:sz w:val="16"/>
                <w:szCs w:val="16"/>
              </w:rPr>
              <w:t>(3,034)</w:t>
            </w:r>
          </w:p>
        </w:tc>
        <w:tc>
          <w:tcPr>
            <w:tcW w:w="5260" w:type="dxa"/>
            <w:tcBorders>
              <w:top w:val="nil"/>
              <w:left w:val="nil"/>
              <w:bottom w:val="nil"/>
              <w:right w:val="nil"/>
            </w:tcBorders>
            <w:shd w:val="clear" w:color="auto" w:fill="auto"/>
            <w:noWrap/>
            <w:vAlign w:val="bottom"/>
            <w:hideMark/>
          </w:tcPr>
          <w:p w14:paraId="52F62C9D" w14:textId="77777777" w:rsidR="009A1C9F" w:rsidRDefault="009A1C9F">
            <w:pPr>
              <w:rPr>
                <w:rFonts w:ascii="Verdana" w:hAnsi="Verdana" w:cs="Arial"/>
                <w:sz w:val="16"/>
                <w:szCs w:val="16"/>
              </w:rPr>
            </w:pPr>
            <w:proofErr w:type="spellStart"/>
            <w:r>
              <w:rPr>
                <w:rFonts w:ascii="Verdana" w:hAnsi="Verdana" w:cs="Arial"/>
                <w:sz w:val="16"/>
                <w:szCs w:val="16"/>
              </w:rPr>
              <w:t>Self Employment</w:t>
            </w:r>
            <w:proofErr w:type="spellEnd"/>
            <w:r>
              <w:rPr>
                <w:rFonts w:ascii="Verdana" w:hAnsi="Verdana" w:cs="Arial"/>
                <w:sz w:val="16"/>
                <w:szCs w:val="16"/>
              </w:rPr>
              <w:t xml:space="preserve"> Pilot Programme</w:t>
            </w:r>
          </w:p>
        </w:tc>
        <w:tc>
          <w:tcPr>
            <w:tcW w:w="1380" w:type="dxa"/>
            <w:tcBorders>
              <w:top w:val="nil"/>
              <w:left w:val="single" w:sz="4" w:space="0" w:color="auto"/>
              <w:bottom w:val="nil"/>
              <w:right w:val="single" w:sz="4" w:space="0" w:color="auto"/>
            </w:tcBorders>
            <w:shd w:val="clear" w:color="auto" w:fill="auto"/>
            <w:noWrap/>
            <w:vAlign w:val="bottom"/>
            <w:hideMark/>
          </w:tcPr>
          <w:p w14:paraId="491A61D2" w14:textId="77777777" w:rsidR="009A1C9F" w:rsidRDefault="009A1C9F">
            <w:pPr>
              <w:jc w:val="right"/>
              <w:rPr>
                <w:rFonts w:ascii="Verdana" w:hAnsi="Verdana" w:cs="Arial"/>
                <w:sz w:val="16"/>
                <w:szCs w:val="16"/>
              </w:rPr>
            </w:pPr>
            <w:r>
              <w:rPr>
                <w:rFonts w:ascii="Verdana" w:hAnsi="Verdana" w:cs="Arial"/>
                <w:sz w:val="16"/>
                <w:szCs w:val="16"/>
              </w:rPr>
              <w:t>(1,424)</w:t>
            </w:r>
          </w:p>
        </w:tc>
      </w:tr>
      <w:tr w:rsidR="009A1C9F" w14:paraId="1195B035"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4B602588" w14:textId="77777777" w:rsidR="009A1C9F" w:rsidRDefault="009A1C9F">
            <w:pPr>
              <w:jc w:val="right"/>
              <w:rPr>
                <w:rFonts w:ascii="Verdana" w:hAnsi="Verdana" w:cs="Arial"/>
                <w:sz w:val="16"/>
                <w:szCs w:val="16"/>
              </w:rPr>
            </w:pPr>
            <w:r>
              <w:rPr>
                <w:rFonts w:ascii="Verdana" w:hAnsi="Verdana" w:cs="Arial"/>
                <w:sz w:val="16"/>
                <w:szCs w:val="16"/>
              </w:rPr>
              <w:t>(589)</w:t>
            </w:r>
          </w:p>
        </w:tc>
        <w:tc>
          <w:tcPr>
            <w:tcW w:w="5260" w:type="dxa"/>
            <w:tcBorders>
              <w:top w:val="nil"/>
              <w:left w:val="nil"/>
              <w:bottom w:val="nil"/>
              <w:right w:val="nil"/>
            </w:tcBorders>
            <w:shd w:val="clear" w:color="auto" w:fill="auto"/>
            <w:noWrap/>
            <w:vAlign w:val="bottom"/>
            <w:hideMark/>
          </w:tcPr>
          <w:p w14:paraId="428CB95C" w14:textId="77777777" w:rsidR="009A1C9F" w:rsidRDefault="009A1C9F">
            <w:pPr>
              <w:rPr>
                <w:rFonts w:ascii="Verdana" w:hAnsi="Verdana" w:cs="Arial"/>
                <w:sz w:val="16"/>
                <w:szCs w:val="16"/>
              </w:rPr>
            </w:pPr>
            <w:r>
              <w:rPr>
                <w:rFonts w:ascii="Verdana" w:hAnsi="Verdana" w:cs="Arial"/>
                <w:sz w:val="16"/>
                <w:szCs w:val="16"/>
              </w:rPr>
              <w:t>UIA Ignition Project</w:t>
            </w:r>
          </w:p>
        </w:tc>
        <w:tc>
          <w:tcPr>
            <w:tcW w:w="1380" w:type="dxa"/>
            <w:tcBorders>
              <w:top w:val="nil"/>
              <w:left w:val="single" w:sz="4" w:space="0" w:color="auto"/>
              <w:bottom w:val="nil"/>
              <w:right w:val="single" w:sz="4" w:space="0" w:color="auto"/>
            </w:tcBorders>
            <w:shd w:val="clear" w:color="auto" w:fill="auto"/>
            <w:noWrap/>
            <w:vAlign w:val="bottom"/>
            <w:hideMark/>
          </w:tcPr>
          <w:p w14:paraId="2BAFC7EE" w14:textId="77777777" w:rsidR="009A1C9F" w:rsidRDefault="009A1C9F">
            <w:pPr>
              <w:jc w:val="right"/>
              <w:rPr>
                <w:rFonts w:ascii="Verdana" w:hAnsi="Verdana" w:cs="Arial"/>
                <w:sz w:val="16"/>
                <w:szCs w:val="16"/>
              </w:rPr>
            </w:pPr>
            <w:r>
              <w:rPr>
                <w:rFonts w:ascii="Verdana" w:hAnsi="Verdana" w:cs="Arial"/>
                <w:sz w:val="16"/>
                <w:szCs w:val="16"/>
              </w:rPr>
              <w:t>(3)</w:t>
            </w:r>
          </w:p>
        </w:tc>
      </w:tr>
      <w:tr w:rsidR="009A1C9F" w14:paraId="4B6D656D"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695A451" w14:textId="77777777" w:rsidR="009A1C9F" w:rsidRDefault="009A1C9F">
            <w:pPr>
              <w:jc w:val="right"/>
              <w:rPr>
                <w:rFonts w:ascii="Verdana" w:hAnsi="Verdana" w:cs="Arial"/>
                <w:sz w:val="16"/>
                <w:szCs w:val="16"/>
              </w:rPr>
            </w:pPr>
            <w:r>
              <w:rPr>
                <w:rFonts w:ascii="Verdana" w:hAnsi="Verdana" w:cs="Arial"/>
                <w:sz w:val="16"/>
                <w:szCs w:val="16"/>
              </w:rPr>
              <w:t>(2,686)</w:t>
            </w:r>
          </w:p>
        </w:tc>
        <w:tc>
          <w:tcPr>
            <w:tcW w:w="5260" w:type="dxa"/>
            <w:tcBorders>
              <w:top w:val="nil"/>
              <w:left w:val="nil"/>
              <w:bottom w:val="nil"/>
              <w:right w:val="nil"/>
            </w:tcBorders>
            <w:shd w:val="clear" w:color="auto" w:fill="auto"/>
            <w:noWrap/>
            <w:vAlign w:val="bottom"/>
            <w:hideMark/>
          </w:tcPr>
          <w:p w14:paraId="25CD80B5" w14:textId="77777777" w:rsidR="009A1C9F" w:rsidRDefault="009A1C9F">
            <w:pPr>
              <w:rPr>
                <w:rFonts w:ascii="Verdana" w:hAnsi="Verdana" w:cs="Arial"/>
                <w:sz w:val="16"/>
                <w:szCs w:val="16"/>
              </w:rPr>
            </w:pPr>
            <w:r>
              <w:rPr>
                <w:rFonts w:ascii="Verdana" w:hAnsi="Verdana" w:cs="Arial"/>
                <w:sz w:val="16"/>
                <w:szCs w:val="16"/>
              </w:rPr>
              <w:t>Dedicated Home to School &amp; College Transport</w:t>
            </w:r>
          </w:p>
        </w:tc>
        <w:tc>
          <w:tcPr>
            <w:tcW w:w="1380" w:type="dxa"/>
            <w:tcBorders>
              <w:top w:val="nil"/>
              <w:left w:val="single" w:sz="4" w:space="0" w:color="auto"/>
              <w:bottom w:val="nil"/>
              <w:right w:val="single" w:sz="4" w:space="0" w:color="auto"/>
            </w:tcBorders>
            <w:shd w:val="clear" w:color="auto" w:fill="auto"/>
            <w:noWrap/>
            <w:vAlign w:val="bottom"/>
            <w:hideMark/>
          </w:tcPr>
          <w:p w14:paraId="57CF6BF4" w14:textId="77777777" w:rsidR="009A1C9F" w:rsidRDefault="009A1C9F">
            <w:pPr>
              <w:jc w:val="right"/>
              <w:rPr>
                <w:rFonts w:ascii="Verdana" w:hAnsi="Verdana" w:cs="Arial"/>
                <w:sz w:val="16"/>
                <w:szCs w:val="16"/>
              </w:rPr>
            </w:pPr>
            <w:r>
              <w:rPr>
                <w:rFonts w:ascii="Verdana" w:hAnsi="Verdana" w:cs="Arial"/>
                <w:sz w:val="16"/>
                <w:szCs w:val="16"/>
              </w:rPr>
              <w:t>(5)</w:t>
            </w:r>
          </w:p>
        </w:tc>
      </w:tr>
      <w:tr w:rsidR="009A1C9F" w14:paraId="4A5795C0"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ED8F51E" w14:textId="77777777" w:rsidR="009A1C9F" w:rsidRDefault="009A1C9F">
            <w:pPr>
              <w:jc w:val="right"/>
              <w:rPr>
                <w:rFonts w:ascii="Verdana" w:hAnsi="Verdana" w:cs="Arial"/>
                <w:sz w:val="16"/>
                <w:szCs w:val="16"/>
              </w:rPr>
            </w:pPr>
            <w:r>
              <w:rPr>
                <w:rFonts w:ascii="Verdana" w:hAnsi="Verdana" w:cs="Arial"/>
                <w:sz w:val="16"/>
                <w:szCs w:val="16"/>
              </w:rPr>
              <w:t>(1,577)</w:t>
            </w:r>
          </w:p>
        </w:tc>
        <w:tc>
          <w:tcPr>
            <w:tcW w:w="5260" w:type="dxa"/>
            <w:tcBorders>
              <w:top w:val="nil"/>
              <w:left w:val="nil"/>
              <w:bottom w:val="nil"/>
              <w:right w:val="nil"/>
            </w:tcBorders>
            <w:shd w:val="clear" w:color="auto" w:fill="auto"/>
            <w:noWrap/>
            <w:vAlign w:val="bottom"/>
            <w:hideMark/>
          </w:tcPr>
          <w:p w14:paraId="244056AB" w14:textId="77777777" w:rsidR="009A1C9F" w:rsidRDefault="009A1C9F">
            <w:pPr>
              <w:rPr>
                <w:rFonts w:ascii="Verdana" w:hAnsi="Verdana" w:cs="Arial"/>
                <w:sz w:val="16"/>
                <w:szCs w:val="16"/>
              </w:rPr>
            </w:pPr>
            <w:r>
              <w:rPr>
                <w:rFonts w:ascii="Verdana" w:hAnsi="Verdana" w:cs="Arial"/>
                <w:sz w:val="16"/>
                <w:szCs w:val="16"/>
              </w:rPr>
              <w:t xml:space="preserve">Early Years Transformation Fund </w:t>
            </w:r>
          </w:p>
        </w:tc>
        <w:tc>
          <w:tcPr>
            <w:tcW w:w="1380" w:type="dxa"/>
            <w:tcBorders>
              <w:top w:val="nil"/>
              <w:left w:val="single" w:sz="4" w:space="0" w:color="auto"/>
              <w:bottom w:val="nil"/>
              <w:right w:val="single" w:sz="4" w:space="0" w:color="auto"/>
            </w:tcBorders>
            <w:shd w:val="clear" w:color="auto" w:fill="auto"/>
            <w:noWrap/>
            <w:vAlign w:val="bottom"/>
            <w:hideMark/>
          </w:tcPr>
          <w:p w14:paraId="53499EA2" w14:textId="77777777" w:rsidR="009A1C9F" w:rsidRDefault="009A1C9F">
            <w:pPr>
              <w:jc w:val="right"/>
              <w:rPr>
                <w:rFonts w:ascii="Verdana" w:hAnsi="Verdana" w:cs="Arial"/>
                <w:sz w:val="16"/>
                <w:szCs w:val="16"/>
              </w:rPr>
            </w:pPr>
            <w:r>
              <w:rPr>
                <w:rFonts w:ascii="Verdana" w:hAnsi="Verdana" w:cs="Arial"/>
                <w:sz w:val="16"/>
                <w:szCs w:val="16"/>
              </w:rPr>
              <w:t xml:space="preserve">0 </w:t>
            </w:r>
          </w:p>
        </w:tc>
      </w:tr>
      <w:tr w:rsidR="009A1C9F" w14:paraId="03E39560"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D18CBFB" w14:textId="77777777" w:rsidR="009A1C9F" w:rsidRDefault="009A1C9F">
            <w:pPr>
              <w:jc w:val="right"/>
              <w:rPr>
                <w:rFonts w:ascii="Verdana" w:hAnsi="Verdana" w:cs="Arial"/>
                <w:sz w:val="16"/>
                <w:szCs w:val="16"/>
              </w:rPr>
            </w:pPr>
            <w:r>
              <w:rPr>
                <w:rFonts w:ascii="Verdana" w:hAnsi="Verdana" w:cs="Arial"/>
                <w:sz w:val="16"/>
                <w:szCs w:val="16"/>
              </w:rPr>
              <w:t>(1,449)</w:t>
            </w:r>
          </w:p>
        </w:tc>
        <w:tc>
          <w:tcPr>
            <w:tcW w:w="5260" w:type="dxa"/>
            <w:tcBorders>
              <w:top w:val="nil"/>
              <w:left w:val="nil"/>
              <w:bottom w:val="nil"/>
              <w:right w:val="nil"/>
            </w:tcBorders>
            <w:shd w:val="clear" w:color="auto" w:fill="auto"/>
            <w:noWrap/>
            <w:vAlign w:val="bottom"/>
            <w:hideMark/>
          </w:tcPr>
          <w:p w14:paraId="5B561EDE" w14:textId="77777777" w:rsidR="009A1C9F" w:rsidRDefault="009A1C9F">
            <w:pPr>
              <w:rPr>
                <w:rFonts w:ascii="Verdana" w:hAnsi="Verdana" w:cs="Arial"/>
                <w:sz w:val="16"/>
                <w:szCs w:val="16"/>
              </w:rPr>
            </w:pPr>
            <w:r>
              <w:rPr>
                <w:rFonts w:ascii="Verdana" w:hAnsi="Verdana" w:cs="Arial"/>
                <w:sz w:val="16"/>
                <w:szCs w:val="16"/>
              </w:rPr>
              <w:t>Working Well JETS</w:t>
            </w:r>
          </w:p>
        </w:tc>
        <w:tc>
          <w:tcPr>
            <w:tcW w:w="1380" w:type="dxa"/>
            <w:tcBorders>
              <w:top w:val="nil"/>
              <w:left w:val="single" w:sz="4" w:space="0" w:color="auto"/>
              <w:bottom w:val="nil"/>
              <w:right w:val="single" w:sz="4" w:space="0" w:color="auto"/>
            </w:tcBorders>
            <w:shd w:val="clear" w:color="auto" w:fill="auto"/>
            <w:noWrap/>
            <w:vAlign w:val="bottom"/>
            <w:hideMark/>
          </w:tcPr>
          <w:p w14:paraId="11EB1DD1" w14:textId="77777777" w:rsidR="009A1C9F" w:rsidRDefault="009A1C9F">
            <w:pPr>
              <w:jc w:val="right"/>
              <w:rPr>
                <w:rFonts w:ascii="Verdana" w:hAnsi="Verdana" w:cs="Arial"/>
                <w:sz w:val="16"/>
                <w:szCs w:val="16"/>
              </w:rPr>
            </w:pPr>
            <w:r>
              <w:rPr>
                <w:rFonts w:ascii="Verdana" w:hAnsi="Verdana" w:cs="Arial"/>
                <w:sz w:val="16"/>
                <w:szCs w:val="16"/>
              </w:rPr>
              <w:t>(3,122)</w:t>
            </w:r>
          </w:p>
        </w:tc>
      </w:tr>
      <w:tr w:rsidR="009A1C9F" w14:paraId="6C353F1A"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4CE62B10" w14:textId="77777777" w:rsidR="009A1C9F" w:rsidRDefault="009A1C9F">
            <w:pPr>
              <w:jc w:val="right"/>
              <w:rPr>
                <w:rFonts w:ascii="Verdana" w:hAnsi="Verdana" w:cs="Arial"/>
                <w:sz w:val="16"/>
                <w:szCs w:val="16"/>
              </w:rPr>
            </w:pPr>
            <w:r>
              <w:rPr>
                <w:rFonts w:ascii="Verdana" w:hAnsi="Verdana" w:cs="Arial"/>
                <w:sz w:val="16"/>
                <w:szCs w:val="16"/>
              </w:rPr>
              <w:t>(1,148)</w:t>
            </w:r>
          </w:p>
        </w:tc>
        <w:tc>
          <w:tcPr>
            <w:tcW w:w="5260" w:type="dxa"/>
            <w:tcBorders>
              <w:top w:val="nil"/>
              <w:left w:val="nil"/>
              <w:bottom w:val="nil"/>
              <w:right w:val="nil"/>
            </w:tcBorders>
            <w:shd w:val="clear" w:color="auto" w:fill="auto"/>
            <w:noWrap/>
            <w:vAlign w:val="bottom"/>
            <w:hideMark/>
          </w:tcPr>
          <w:p w14:paraId="350EDE94" w14:textId="77777777" w:rsidR="009A1C9F" w:rsidRDefault="009A1C9F">
            <w:pPr>
              <w:rPr>
                <w:rFonts w:ascii="Verdana" w:hAnsi="Verdana" w:cs="Arial"/>
                <w:sz w:val="16"/>
                <w:szCs w:val="16"/>
              </w:rPr>
            </w:pPr>
            <w:r>
              <w:rPr>
                <w:rFonts w:ascii="Verdana" w:hAnsi="Verdana" w:cs="Arial"/>
                <w:sz w:val="16"/>
                <w:szCs w:val="16"/>
              </w:rPr>
              <w:t>Future Workforce Fund</w:t>
            </w:r>
          </w:p>
        </w:tc>
        <w:tc>
          <w:tcPr>
            <w:tcW w:w="1380" w:type="dxa"/>
            <w:tcBorders>
              <w:top w:val="nil"/>
              <w:left w:val="single" w:sz="4" w:space="0" w:color="auto"/>
              <w:bottom w:val="nil"/>
              <w:right w:val="single" w:sz="4" w:space="0" w:color="auto"/>
            </w:tcBorders>
            <w:shd w:val="clear" w:color="auto" w:fill="auto"/>
            <w:noWrap/>
            <w:vAlign w:val="bottom"/>
            <w:hideMark/>
          </w:tcPr>
          <w:p w14:paraId="167D9E79" w14:textId="77777777" w:rsidR="009A1C9F" w:rsidRDefault="009A1C9F">
            <w:pPr>
              <w:jc w:val="right"/>
              <w:rPr>
                <w:rFonts w:ascii="Verdana" w:hAnsi="Verdana" w:cs="Arial"/>
                <w:sz w:val="16"/>
                <w:szCs w:val="16"/>
              </w:rPr>
            </w:pPr>
            <w:r>
              <w:rPr>
                <w:rFonts w:ascii="Verdana" w:hAnsi="Verdana" w:cs="Arial"/>
                <w:sz w:val="16"/>
                <w:szCs w:val="16"/>
              </w:rPr>
              <w:t>(1,451)</w:t>
            </w:r>
          </w:p>
        </w:tc>
      </w:tr>
      <w:tr w:rsidR="009A1C9F" w14:paraId="2323204B"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51C2BCA9" w14:textId="77777777" w:rsidR="009A1C9F" w:rsidRDefault="009A1C9F">
            <w:pPr>
              <w:jc w:val="right"/>
              <w:rPr>
                <w:rFonts w:ascii="Verdana" w:hAnsi="Verdana" w:cs="Arial"/>
                <w:sz w:val="16"/>
                <w:szCs w:val="16"/>
              </w:rPr>
            </w:pPr>
            <w:r>
              <w:rPr>
                <w:rFonts w:ascii="Verdana" w:hAnsi="Verdana" w:cs="Arial"/>
                <w:sz w:val="16"/>
                <w:szCs w:val="16"/>
              </w:rPr>
              <w:t>(1,000)</w:t>
            </w:r>
          </w:p>
        </w:tc>
        <w:tc>
          <w:tcPr>
            <w:tcW w:w="5260" w:type="dxa"/>
            <w:tcBorders>
              <w:top w:val="nil"/>
              <w:left w:val="nil"/>
              <w:bottom w:val="nil"/>
              <w:right w:val="nil"/>
            </w:tcBorders>
            <w:shd w:val="clear" w:color="auto" w:fill="auto"/>
            <w:noWrap/>
            <w:vAlign w:val="bottom"/>
            <w:hideMark/>
          </w:tcPr>
          <w:p w14:paraId="36CC6EBF" w14:textId="77777777" w:rsidR="009A1C9F" w:rsidRDefault="009A1C9F">
            <w:pPr>
              <w:rPr>
                <w:rFonts w:ascii="Verdana" w:hAnsi="Verdana" w:cs="Arial"/>
                <w:sz w:val="16"/>
                <w:szCs w:val="16"/>
              </w:rPr>
            </w:pPr>
            <w:r>
              <w:rPr>
                <w:rFonts w:ascii="Verdana" w:hAnsi="Verdana" w:cs="Arial"/>
                <w:sz w:val="16"/>
                <w:szCs w:val="16"/>
              </w:rPr>
              <w:t>Housing Deal Capacity Funding</w:t>
            </w:r>
          </w:p>
        </w:tc>
        <w:tc>
          <w:tcPr>
            <w:tcW w:w="1380" w:type="dxa"/>
            <w:tcBorders>
              <w:top w:val="nil"/>
              <w:left w:val="single" w:sz="4" w:space="0" w:color="auto"/>
              <w:bottom w:val="nil"/>
              <w:right w:val="single" w:sz="4" w:space="0" w:color="auto"/>
            </w:tcBorders>
            <w:shd w:val="clear" w:color="auto" w:fill="auto"/>
            <w:noWrap/>
            <w:vAlign w:val="bottom"/>
            <w:hideMark/>
          </w:tcPr>
          <w:p w14:paraId="5BC15693" w14:textId="77777777" w:rsidR="009A1C9F" w:rsidRDefault="009A1C9F">
            <w:pPr>
              <w:jc w:val="right"/>
              <w:rPr>
                <w:rFonts w:ascii="Verdana" w:hAnsi="Verdana" w:cs="Arial"/>
                <w:sz w:val="16"/>
                <w:szCs w:val="16"/>
              </w:rPr>
            </w:pPr>
            <w:r>
              <w:rPr>
                <w:rFonts w:ascii="Verdana" w:hAnsi="Verdana" w:cs="Arial"/>
                <w:sz w:val="16"/>
                <w:szCs w:val="16"/>
              </w:rPr>
              <w:t xml:space="preserve">0 </w:t>
            </w:r>
          </w:p>
        </w:tc>
      </w:tr>
      <w:tr w:rsidR="009A1C9F" w14:paraId="251E897C"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59A9D63" w14:textId="77777777" w:rsidR="009A1C9F" w:rsidRDefault="009A1C9F">
            <w:pPr>
              <w:jc w:val="right"/>
              <w:rPr>
                <w:rFonts w:ascii="Verdana" w:hAnsi="Verdana" w:cs="Arial"/>
                <w:sz w:val="16"/>
                <w:szCs w:val="16"/>
              </w:rPr>
            </w:pPr>
            <w:r>
              <w:rPr>
                <w:rFonts w:ascii="Verdana" w:hAnsi="Verdana" w:cs="Arial"/>
                <w:sz w:val="16"/>
                <w:szCs w:val="16"/>
              </w:rPr>
              <w:t>(1,532)</w:t>
            </w:r>
          </w:p>
        </w:tc>
        <w:tc>
          <w:tcPr>
            <w:tcW w:w="5260" w:type="dxa"/>
            <w:tcBorders>
              <w:top w:val="nil"/>
              <w:left w:val="nil"/>
              <w:bottom w:val="nil"/>
              <w:right w:val="nil"/>
            </w:tcBorders>
            <w:shd w:val="clear" w:color="auto" w:fill="auto"/>
            <w:noWrap/>
            <w:vAlign w:val="bottom"/>
            <w:hideMark/>
          </w:tcPr>
          <w:p w14:paraId="6794A505" w14:textId="77777777" w:rsidR="009A1C9F" w:rsidRDefault="009A1C9F">
            <w:pPr>
              <w:rPr>
                <w:rFonts w:ascii="Verdana" w:hAnsi="Verdana" w:cs="Arial"/>
                <w:sz w:val="16"/>
                <w:szCs w:val="16"/>
              </w:rPr>
            </w:pPr>
            <w:r>
              <w:rPr>
                <w:rFonts w:ascii="Verdana" w:hAnsi="Verdana" w:cs="Arial"/>
                <w:sz w:val="16"/>
                <w:szCs w:val="16"/>
              </w:rPr>
              <w:t>Better Deal for Bus Users</w:t>
            </w:r>
          </w:p>
        </w:tc>
        <w:tc>
          <w:tcPr>
            <w:tcW w:w="1380" w:type="dxa"/>
            <w:tcBorders>
              <w:top w:val="nil"/>
              <w:left w:val="single" w:sz="4" w:space="0" w:color="auto"/>
              <w:bottom w:val="nil"/>
              <w:right w:val="single" w:sz="4" w:space="0" w:color="auto"/>
            </w:tcBorders>
            <w:shd w:val="clear" w:color="auto" w:fill="auto"/>
            <w:noWrap/>
            <w:vAlign w:val="bottom"/>
            <w:hideMark/>
          </w:tcPr>
          <w:p w14:paraId="4C8BAAA6" w14:textId="77777777" w:rsidR="009A1C9F" w:rsidRDefault="009A1C9F">
            <w:pPr>
              <w:jc w:val="right"/>
              <w:rPr>
                <w:rFonts w:ascii="Verdana" w:hAnsi="Verdana" w:cs="Arial"/>
                <w:sz w:val="16"/>
                <w:szCs w:val="16"/>
              </w:rPr>
            </w:pPr>
            <w:r>
              <w:rPr>
                <w:rFonts w:ascii="Verdana" w:hAnsi="Verdana" w:cs="Arial"/>
                <w:sz w:val="16"/>
                <w:szCs w:val="16"/>
              </w:rPr>
              <w:t>(1,416)</w:t>
            </w:r>
          </w:p>
        </w:tc>
      </w:tr>
      <w:tr w:rsidR="009A1C9F" w14:paraId="5D204B96"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F8D1218" w14:textId="77777777" w:rsidR="009A1C9F" w:rsidRDefault="009A1C9F">
            <w:pPr>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01FBF777" w14:textId="77777777" w:rsidR="009A1C9F" w:rsidRDefault="009A1C9F">
            <w:pPr>
              <w:rPr>
                <w:rFonts w:ascii="Verdana" w:hAnsi="Verdana" w:cs="Arial"/>
                <w:sz w:val="16"/>
                <w:szCs w:val="16"/>
              </w:rPr>
            </w:pPr>
            <w:r>
              <w:rPr>
                <w:rFonts w:ascii="Verdana" w:hAnsi="Verdana" w:cs="Arial"/>
                <w:sz w:val="16"/>
                <w:szCs w:val="16"/>
              </w:rPr>
              <w:t>AEB -National Skills Fund Level 3 Adult Offer</w:t>
            </w:r>
          </w:p>
        </w:tc>
        <w:tc>
          <w:tcPr>
            <w:tcW w:w="1380" w:type="dxa"/>
            <w:tcBorders>
              <w:top w:val="nil"/>
              <w:left w:val="single" w:sz="4" w:space="0" w:color="auto"/>
              <w:bottom w:val="nil"/>
              <w:right w:val="single" w:sz="4" w:space="0" w:color="auto"/>
            </w:tcBorders>
            <w:shd w:val="clear" w:color="auto" w:fill="auto"/>
            <w:noWrap/>
            <w:vAlign w:val="bottom"/>
            <w:hideMark/>
          </w:tcPr>
          <w:p w14:paraId="3A51546A" w14:textId="77777777" w:rsidR="009A1C9F" w:rsidRDefault="009A1C9F">
            <w:pPr>
              <w:jc w:val="right"/>
              <w:rPr>
                <w:rFonts w:ascii="Verdana" w:hAnsi="Verdana" w:cs="Arial"/>
                <w:sz w:val="16"/>
                <w:szCs w:val="16"/>
              </w:rPr>
            </w:pPr>
            <w:r>
              <w:rPr>
                <w:rFonts w:ascii="Verdana" w:hAnsi="Verdana" w:cs="Arial"/>
                <w:sz w:val="16"/>
                <w:szCs w:val="16"/>
              </w:rPr>
              <w:t>(5,592)</w:t>
            </w:r>
          </w:p>
        </w:tc>
      </w:tr>
      <w:tr w:rsidR="009A1C9F" w14:paraId="07EF05F6"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B00AB9C" w14:textId="77777777" w:rsidR="009A1C9F" w:rsidRDefault="009A1C9F">
            <w:pPr>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23C44BA7" w14:textId="77777777" w:rsidR="009A1C9F" w:rsidRDefault="009A1C9F">
            <w:pPr>
              <w:rPr>
                <w:rFonts w:ascii="Verdana" w:hAnsi="Verdana" w:cs="Arial"/>
                <w:sz w:val="16"/>
                <w:szCs w:val="16"/>
              </w:rPr>
            </w:pPr>
            <w:r>
              <w:rPr>
                <w:rFonts w:ascii="Verdana" w:hAnsi="Verdana" w:cs="Arial"/>
                <w:sz w:val="16"/>
                <w:szCs w:val="16"/>
              </w:rPr>
              <w:t>Changing Futures Development Grant</w:t>
            </w:r>
          </w:p>
        </w:tc>
        <w:tc>
          <w:tcPr>
            <w:tcW w:w="1380" w:type="dxa"/>
            <w:tcBorders>
              <w:top w:val="nil"/>
              <w:left w:val="single" w:sz="4" w:space="0" w:color="auto"/>
              <w:bottom w:val="nil"/>
              <w:right w:val="single" w:sz="4" w:space="0" w:color="auto"/>
            </w:tcBorders>
            <w:shd w:val="clear" w:color="auto" w:fill="auto"/>
            <w:noWrap/>
            <w:vAlign w:val="bottom"/>
            <w:hideMark/>
          </w:tcPr>
          <w:p w14:paraId="3C970030" w14:textId="77777777" w:rsidR="009A1C9F" w:rsidRDefault="009A1C9F">
            <w:pPr>
              <w:jc w:val="right"/>
              <w:rPr>
                <w:rFonts w:ascii="Verdana" w:hAnsi="Verdana" w:cs="Arial"/>
                <w:sz w:val="16"/>
                <w:szCs w:val="16"/>
              </w:rPr>
            </w:pPr>
            <w:r>
              <w:rPr>
                <w:rFonts w:ascii="Verdana" w:hAnsi="Verdana" w:cs="Arial"/>
                <w:sz w:val="16"/>
                <w:szCs w:val="16"/>
              </w:rPr>
              <w:t>(1,526)</w:t>
            </w:r>
          </w:p>
        </w:tc>
      </w:tr>
      <w:tr w:rsidR="009A1C9F" w14:paraId="25D01935"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77C45DA5" w14:textId="77777777" w:rsidR="009A1C9F" w:rsidRDefault="009A1C9F">
            <w:pPr>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43497462" w14:textId="77777777" w:rsidR="009A1C9F" w:rsidRDefault="009A1C9F">
            <w:pPr>
              <w:rPr>
                <w:rFonts w:ascii="Verdana" w:hAnsi="Verdana" w:cs="Arial"/>
                <w:sz w:val="16"/>
                <w:szCs w:val="16"/>
              </w:rPr>
            </w:pPr>
            <w:r>
              <w:rPr>
                <w:rFonts w:ascii="Verdana" w:hAnsi="Verdana" w:cs="Arial"/>
                <w:sz w:val="16"/>
                <w:szCs w:val="16"/>
              </w:rPr>
              <w:t>FIM</w:t>
            </w:r>
          </w:p>
        </w:tc>
        <w:tc>
          <w:tcPr>
            <w:tcW w:w="1380" w:type="dxa"/>
            <w:tcBorders>
              <w:top w:val="nil"/>
              <w:left w:val="single" w:sz="4" w:space="0" w:color="auto"/>
              <w:bottom w:val="nil"/>
              <w:right w:val="single" w:sz="4" w:space="0" w:color="auto"/>
            </w:tcBorders>
            <w:shd w:val="clear" w:color="auto" w:fill="auto"/>
            <w:noWrap/>
            <w:vAlign w:val="bottom"/>
            <w:hideMark/>
          </w:tcPr>
          <w:p w14:paraId="7402ADBD" w14:textId="77777777" w:rsidR="009A1C9F" w:rsidRDefault="009A1C9F">
            <w:pPr>
              <w:jc w:val="right"/>
              <w:rPr>
                <w:rFonts w:ascii="Verdana" w:hAnsi="Verdana" w:cs="Arial"/>
                <w:sz w:val="16"/>
                <w:szCs w:val="16"/>
              </w:rPr>
            </w:pPr>
            <w:r>
              <w:rPr>
                <w:rFonts w:ascii="Verdana" w:hAnsi="Verdana" w:cs="Arial"/>
                <w:sz w:val="16"/>
                <w:szCs w:val="16"/>
              </w:rPr>
              <w:t>(800)</w:t>
            </w:r>
          </w:p>
        </w:tc>
      </w:tr>
      <w:tr w:rsidR="009A1C9F" w14:paraId="77352EB9"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B63CF4F" w14:textId="77777777" w:rsidR="009A1C9F" w:rsidRDefault="009A1C9F">
            <w:pPr>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7F14E75B" w14:textId="77777777" w:rsidR="009A1C9F" w:rsidRDefault="009A1C9F">
            <w:pPr>
              <w:rPr>
                <w:rFonts w:ascii="Verdana" w:hAnsi="Verdana" w:cs="Arial"/>
                <w:sz w:val="16"/>
                <w:szCs w:val="16"/>
              </w:rPr>
            </w:pPr>
            <w:r>
              <w:rPr>
                <w:rFonts w:ascii="Verdana" w:hAnsi="Verdana" w:cs="Arial"/>
                <w:sz w:val="16"/>
                <w:szCs w:val="16"/>
              </w:rPr>
              <w:t>GRIR Well Being</w:t>
            </w:r>
          </w:p>
        </w:tc>
        <w:tc>
          <w:tcPr>
            <w:tcW w:w="1380" w:type="dxa"/>
            <w:tcBorders>
              <w:top w:val="nil"/>
              <w:left w:val="single" w:sz="4" w:space="0" w:color="auto"/>
              <w:bottom w:val="nil"/>
              <w:right w:val="single" w:sz="4" w:space="0" w:color="auto"/>
            </w:tcBorders>
            <w:shd w:val="clear" w:color="auto" w:fill="auto"/>
            <w:noWrap/>
            <w:vAlign w:val="bottom"/>
            <w:hideMark/>
          </w:tcPr>
          <w:p w14:paraId="5FFC9035" w14:textId="77777777" w:rsidR="009A1C9F" w:rsidRDefault="009A1C9F">
            <w:pPr>
              <w:jc w:val="right"/>
              <w:rPr>
                <w:rFonts w:ascii="Verdana" w:hAnsi="Verdana" w:cs="Arial"/>
                <w:sz w:val="16"/>
                <w:szCs w:val="16"/>
              </w:rPr>
            </w:pPr>
            <w:r>
              <w:rPr>
                <w:rFonts w:ascii="Verdana" w:hAnsi="Verdana" w:cs="Arial"/>
                <w:sz w:val="16"/>
                <w:szCs w:val="16"/>
              </w:rPr>
              <w:t>(765)</w:t>
            </w:r>
          </w:p>
        </w:tc>
      </w:tr>
      <w:tr w:rsidR="009A1C9F" w14:paraId="48327FF8"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4E4E5782" w14:textId="77777777" w:rsidR="009A1C9F" w:rsidRDefault="009A1C9F">
            <w:pPr>
              <w:jc w:val="right"/>
              <w:rPr>
                <w:rFonts w:ascii="Verdana" w:hAnsi="Verdana" w:cs="Arial"/>
                <w:sz w:val="16"/>
                <w:szCs w:val="16"/>
              </w:rPr>
            </w:pPr>
            <w:r>
              <w:rPr>
                <w:rFonts w:ascii="Verdana" w:hAnsi="Verdana" w:cs="Arial"/>
                <w:sz w:val="16"/>
                <w:szCs w:val="16"/>
              </w:rPr>
              <w:t>(634)</w:t>
            </w:r>
          </w:p>
        </w:tc>
        <w:tc>
          <w:tcPr>
            <w:tcW w:w="5260" w:type="dxa"/>
            <w:tcBorders>
              <w:top w:val="nil"/>
              <w:left w:val="nil"/>
              <w:bottom w:val="nil"/>
              <w:right w:val="nil"/>
            </w:tcBorders>
            <w:shd w:val="clear" w:color="auto" w:fill="auto"/>
            <w:noWrap/>
            <w:vAlign w:val="bottom"/>
            <w:hideMark/>
          </w:tcPr>
          <w:p w14:paraId="2E7FEA13" w14:textId="77777777" w:rsidR="009A1C9F" w:rsidRDefault="009A1C9F">
            <w:pPr>
              <w:rPr>
                <w:rFonts w:ascii="Verdana" w:hAnsi="Verdana" w:cs="Arial"/>
                <w:sz w:val="16"/>
                <w:szCs w:val="16"/>
              </w:rPr>
            </w:pPr>
            <w:r>
              <w:rPr>
                <w:rFonts w:ascii="Verdana" w:hAnsi="Verdana" w:cs="Arial"/>
                <w:sz w:val="16"/>
                <w:szCs w:val="16"/>
              </w:rPr>
              <w:t>Other revenue grants receipts in advance</w:t>
            </w:r>
          </w:p>
        </w:tc>
        <w:tc>
          <w:tcPr>
            <w:tcW w:w="1380" w:type="dxa"/>
            <w:tcBorders>
              <w:top w:val="nil"/>
              <w:left w:val="single" w:sz="4" w:space="0" w:color="auto"/>
              <w:bottom w:val="nil"/>
              <w:right w:val="single" w:sz="4" w:space="0" w:color="auto"/>
            </w:tcBorders>
            <w:shd w:val="clear" w:color="auto" w:fill="auto"/>
            <w:noWrap/>
            <w:vAlign w:val="bottom"/>
            <w:hideMark/>
          </w:tcPr>
          <w:p w14:paraId="7C439831" w14:textId="77777777" w:rsidR="009A1C9F" w:rsidRDefault="009A1C9F">
            <w:pPr>
              <w:jc w:val="right"/>
              <w:rPr>
                <w:rFonts w:ascii="Verdana" w:hAnsi="Verdana" w:cs="Arial"/>
                <w:sz w:val="16"/>
                <w:szCs w:val="16"/>
              </w:rPr>
            </w:pPr>
            <w:r>
              <w:rPr>
                <w:rFonts w:ascii="Verdana" w:hAnsi="Verdana" w:cs="Arial"/>
                <w:sz w:val="16"/>
                <w:szCs w:val="16"/>
              </w:rPr>
              <w:t>(2,392)</w:t>
            </w:r>
          </w:p>
        </w:tc>
      </w:tr>
      <w:tr w:rsidR="009A1C9F" w14:paraId="7B048DC0"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546423C9" w14:textId="77777777" w:rsidR="009A1C9F" w:rsidRDefault="009A1C9F">
            <w:pPr>
              <w:jc w:val="right"/>
              <w:rPr>
                <w:rFonts w:ascii="Verdana" w:hAnsi="Verdana" w:cs="Arial"/>
                <w:sz w:val="16"/>
                <w:szCs w:val="16"/>
              </w:rPr>
            </w:pPr>
            <w:r>
              <w:rPr>
                <w:rFonts w:ascii="Verdana" w:hAnsi="Verdana" w:cs="Arial"/>
                <w:sz w:val="16"/>
                <w:szCs w:val="16"/>
              </w:rPr>
              <w:t>(745)</w:t>
            </w:r>
          </w:p>
        </w:tc>
        <w:tc>
          <w:tcPr>
            <w:tcW w:w="5260" w:type="dxa"/>
            <w:tcBorders>
              <w:top w:val="nil"/>
              <w:left w:val="nil"/>
              <w:bottom w:val="nil"/>
              <w:right w:val="nil"/>
            </w:tcBorders>
            <w:shd w:val="clear" w:color="auto" w:fill="auto"/>
            <w:noWrap/>
            <w:vAlign w:val="bottom"/>
            <w:hideMark/>
          </w:tcPr>
          <w:p w14:paraId="20BDB5EE" w14:textId="77777777" w:rsidR="009A1C9F" w:rsidRDefault="009A1C9F">
            <w:pPr>
              <w:rPr>
                <w:rFonts w:ascii="Verdana" w:hAnsi="Verdana" w:cs="Arial"/>
                <w:sz w:val="16"/>
                <w:szCs w:val="16"/>
              </w:rPr>
            </w:pPr>
            <w:r>
              <w:rPr>
                <w:rFonts w:ascii="Verdana" w:hAnsi="Verdana" w:cs="Arial"/>
                <w:sz w:val="16"/>
                <w:szCs w:val="16"/>
              </w:rPr>
              <w:t>Mayoral Police Fund Asset Incentivisation</w:t>
            </w:r>
          </w:p>
        </w:tc>
        <w:tc>
          <w:tcPr>
            <w:tcW w:w="1380" w:type="dxa"/>
            <w:tcBorders>
              <w:top w:val="nil"/>
              <w:left w:val="single" w:sz="4" w:space="0" w:color="auto"/>
              <w:bottom w:val="nil"/>
              <w:right w:val="single" w:sz="4" w:space="0" w:color="auto"/>
            </w:tcBorders>
            <w:shd w:val="clear" w:color="auto" w:fill="auto"/>
            <w:noWrap/>
            <w:vAlign w:val="bottom"/>
            <w:hideMark/>
          </w:tcPr>
          <w:p w14:paraId="28F9321F" w14:textId="77777777" w:rsidR="009A1C9F" w:rsidRDefault="009A1C9F">
            <w:pPr>
              <w:jc w:val="right"/>
              <w:rPr>
                <w:rFonts w:ascii="Verdana" w:hAnsi="Verdana" w:cs="Arial"/>
                <w:sz w:val="16"/>
                <w:szCs w:val="16"/>
              </w:rPr>
            </w:pPr>
            <w:r>
              <w:rPr>
                <w:rFonts w:ascii="Verdana" w:hAnsi="Verdana" w:cs="Arial"/>
                <w:sz w:val="16"/>
                <w:szCs w:val="16"/>
              </w:rPr>
              <w:t>(3,798)</w:t>
            </w:r>
          </w:p>
        </w:tc>
      </w:tr>
      <w:tr w:rsidR="009A1C9F" w14:paraId="0A620B02" w14:textId="77777777" w:rsidTr="009A1C9F">
        <w:trPr>
          <w:trHeight w:val="2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8BEEB51" w14:textId="77777777" w:rsidR="009A1C9F" w:rsidRDefault="009A1C9F">
            <w:pPr>
              <w:jc w:val="right"/>
              <w:rPr>
                <w:rFonts w:ascii="Verdana" w:hAnsi="Verdana" w:cs="Arial"/>
                <w:sz w:val="16"/>
                <w:szCs w:val="16"/>
              </w:rPr>
            </w:pPr>
            <w:r>
              <w:rPr>
                <w:rFonts w:ascii="Verdana" w:hAnsi="Verdana" w:cs="Arial"/>
                <w:sz w:val="16"/>
                <w:szCs w:val="16"/>
              </w:rPr>
              <w:t>(550)</w:t>
            </w:r>
          </w:p>
        </w:tc>
        <w:tc>
          <w:tcPr>
            <w:tcW w:w="5260" w:type="dxa"/>
            <w:tcBorders>
              <w:top w:val="nil"/>
              <w:left w:val="nil"/>
              <w:bottom w:val="single" w:sz="4" w:space="0" w:color="auto"/>
              <w:right w:val="single" w:sz="4" w:space="0" w:color="auto"/>
            </w:tcBorders>
            <w:shd w:val="clear" w:color="auto" w:fill="auto"/>
            <w:noWrap/>
            <w:vAlign w:val="bottom"/>
            <w:hideMark/>
          </w:tcPr>
          <w:p w14:paraId="4F568A45" w14:textId="77777777" w:rsidR="009A1C9F" w:rsidRDefault="009A1C9F">
            <w:pPr>
              <w:rPr>
                <w:rFonts w:ascii="Verdana" w:hAnsi="Verdana" w:cs="Arial"/>
                <w:sz w:val="16"/>
                <w:szCs w:val="16"/>
              </w:rPr>
            </w:pPr>
            <w:r>
              <w:rPr>
                <w:rFonts w:ascii="Verdana" w:hAnsi="Verdana" w:cs="Arial"/>
                <w:sz w:val="16"/>
                <w:szCs w:val="16"/>
              </w:rPr>
              <w:t>Mayoral Police Fund Other</w:t>
            </w:r>
          </w:p>
        </w:tc>
        <w:tc>
          <w:tcPr>
            <w:tcW w:w="1380" w:type="dxa"/>
            <w:tcBorders>
              <w:top w:val="nil"/>
              <w:left w:val="nil"/>
              <w:bottom w:val="single" w:sz="4" w:space="0" w:color="auto"/>
              <w:right w:val="single" w:sz="4" w:space="0" w:color="auto"/>
            </w:tcBorders>
            <w:shd w:val="clear" w:color="auto" w:fill="auto"/>
            <w:noWrap/>
            <w:vAlign w:val="bottom"/>
            <w:hideMark/>
          </w:tcPr>
          <w:p w14:paraId="46035F0B" w14:textId="77777777" w:rsidR="009A1C9F" w:rsidRDefault="009A1C9F">
            <w:pPr>
              <w:jc w:val="right"/>
              <w:rPr>
                <w:rFonts w:ascii="Verdana" w:hAnsi="Verdana" w:cs="Arial"/>
                <w:sz w:val="16"/>
                <w:szCs w:val="16"/>
              </w:rPr>
            </w:pPr>
            <w:r>
              <w:rPr>
                <w:rFonts w:ascii="Verdana" w:hAnsi="Verdana" w:cs="Arial"/>
                <w:sz w:val="16"/>
                <w:szCs w:val="16"/>
              </w:rPr>
              <w:t>(2,443)</w:t>
            </w:r>
          </w:p>
        </w:tc>
      </w:tr>
      <w:tr w:rsidR="009A1C9F" w14:paraId="31BE2C5F"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E4CEF51" w14:textId="77777777" w:rsidR="009A1C9F" w:rsidRDefault="009A1C9F">
            <w:pPr>
              <w:jc w:val="right"/>
              <w:rPr>
                <w:rFonts w:ascii="Verdana" w:hAnsi="Verdana" w:cs="Arial"/>
                <w:b/>
                <w:bCs/>
                <w:sz w:val="16"/>
                <w:szCs w:val="16"/>
              </w:rPr>
            </w:pPr>
            <w:r>
              <w:rPr>
                <w:rFonts w:ascii="Verdana" w:hAnsi="Verdana" w:cs="Arial"/>
                <w:b/>
                <w:bCs/>
                <w:sz w:val="16"/>
                <w:szCs w:val="16"/>
              </w:rPr>
              <w:t>(23,369)</w:t>
            </w:r>
          </w:p>
        </w:tc>
        <w:tc>
          <w:tcPr>
            <w:tcW w:w="5260" w:type="dxa"/>
            <w:tcBorders>
              <w:top w:val="nil"/>
              <w:left w:val="nil"/>
              <w:bottom w:val="nil"/>
              <w:right w:val="nil"/>
            </w:tcBorders>
            <w:shd w:val="clear" w:color="auto" w:fill="auto"/>
            <w:noWrap/>
            <w:vAlign w:val="bottom"/>
            <w:hideMark/>
          </w:tcPr>
          <w:p w14:paraId="1885DAFB" w14:textId="77777777" w:rsidR="009A1C9F" w:rsidRDefault="009A1C9F">
            <w:pPr>
              <w:rPr>
                <w:rFonts w:ascii="Verdana" w:hAnsi="Verdana" w:cs="Arial"/>
                <w:b/>
                <w:bCs/>
                <w:sz w:val="16"/>
                <w:szCs w:val="16"/>
              </w:rPr>
            </w:pPr>
            <w:r>
              <w:rPr>
                <w:rFonts w:ascii="Verdana" w:hAnsi="Verdana" w:cs="Arial"/>
                <w:b/>
                <w:bCs/>
                <w:sz w:val="16"/>
                <w:szCs w:val="16"/>
              </w:rPr>
              <w:t>Total Revenue Grants RIA</w:t>
            </w:r>
          </w:p>
        </w:tc>
        <w:tc>
          <w:tcPr>
            <w:tcW w:w="1380" w:type="dxa"/>
            <w:tcBorders>
              <w:top w:val="nil"/>
              <w:left w:val="single" w:sz="4" w:space="0" w:color="auto"/>
              <w:bottom w:val="nil"/>
              <w:right w:val="single" w:sz="4" w:space="0" w:color="auto"/>
            </w:tcBorders>
            <w:shd w:val="clear" w:color="auto" w:fill="auto"/>
            <w:noWrap/>
            <w:vAlign w:val="bottom"/>
            <w:hideMark/>
          </w:tcPr>
          <w:p w14:paraId="622EA008" w14:textId="77777777" w:rsidR="009A1C9F" w:rsidRDefault="009A1C9F">
            <w:pPr>
              <w:jc w:val="right"/>
              <w:rPr>
                <w:rFonts w:ascii="Verdana" w:hAnsi="Verdana" w:cs="Arial"/>
                <w:b/>
                <w:bCs/>
                <w:sz w:val="16"/>
                <w:szCs w:val="16"/>
              </w:rPr>
            </w:pPr>
            <w:r>
              <w:rPr>
                <w:rFonts w:ascii="Verdana" w:hAnsi="Verdana" w:cs="Arial"/>
                <w:b/>
                <w:bCs/>
                <w:sz w:val="16"/>
                <w:szCs w:val="16"/>
              </w:rPr>
              <w:t>(27,532)</w:t>
            </w:r>
          </w:p>
        </w:tc>
      </w:tr>
      <w:tr w:rsidR="009A1C9F" w14:paraId="7ED37AC8"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7B90DB4" w14:textId="77777777" w:rsidR="009A1C9F" w:rsidRDefault="009A1C9F">
            <w:pPr>
              <w:rPr>
                <w:rFonts w:ascii="Verdana" w:hAnsi="Verdana" w:cs="Arial"/>
                <w:sz w:val="16"/>
                <w:szCs w:val="16"/>
              </w:rPr>
            </w:pPr>
            <w:r>
              <w:rPr>
                <w:rFonts w:ascii="Verdana" w:hAnsi="Verdana" w:cs="Arial"/>
                <w:sz w:val="16"/>
                <w:szCs w:val="16"/>
              </w:rPr>
              <w:t> </w:t>
            </w:r>
          </w:p>
        </w:tc>
        <w:tc>
          <w:tcPr>
            <w:tcW w:w="5260" w:type="dxa"/>
            <w:tcBorders>
              <w:top w:val="nil"/>
              <w:left w:val="nil"/>
              <w:bottom w:val="nil"/>
              <w:right w:val="nil"/>
            </w:tcBorders>
            <w:shd w:val="clear" w:color="auto" w:fill="auto"/>
            <w:noWrap/>
            <w:vAlign w:val="bottom"/>
            <w:hideMark/>
          </w:tcPr>
          <w:p w14:paraId="414FA063" w14:textId="77777777" w:rsidR="009A1C9F" w:rsidRDefault="009A1C9F">
            <w:pPr>
              <w:rPr>
                <w:rFonts w:ascii="Verdana" w:hAnsi="Verdana" w:cs="Arial"/>
                <w:sz w:val="16"/>
                <w:szCs w:val="16"/>
              </w:rPr>
            </w:pPr>
          </w:p>
        </w:tc>
        <w:tc>
          <w:tcPr>
            <w:tcW w:w="1380" w:type="dxa"/>
            <w:tcBorders>
              <w:top w:val="nil"/>
              <w:left w:val="single" w:sz="4" w:space="0" w:color="auto"/>
              <w:bottom w:val="nil"/>
              <w:right w:val="single" w:sz="4" w:space="0" w:color="auto"/>
            </w:tcBorders>
            <w:shd w:val="clear" w:color="auto" w:fill="auto"/>
            <w:noWrap/>
            <w:vAlign w:val="bottom"/>
            <w:hideMark/>
          </w:tcPr>
          <w:p w14:paraId="26C8C252" w14:textId="77777777" w:rsidR="009A1C9F" w:rsidRDefault="009A1C9F">
            <w:pPr>
              <w:rPr>
                <w:rFonts w:ascii="Verdana" w:hAnsi="Verdana" w:cs="Arial"/>
                <w:sz w:val="16"/>
                <w:szCs w:val="16"/>
              </w:rPr>
            </w:pPr>
            <w:r>
              <w:rPr>
                <w:rFonts w:ascii="Verdana" w:hAnsi="Verdana" w:cs="Arial"/>
                <w:sz w:val="16"/>
                <w:szCs w:val="16"/>
              </w:rPr>
              <w:t> </w:t>
            </w:r>
          </w:p>
        </w:tc>
      </w:tr>
      <w:tr w:rsidR="009A1C9F" w14:paraId="5042FD72"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21A574D" w14:textId="77777777" w:rsidR="009A1C9F" w:rsidRDefault="009A1C9F">
            <w:pPr>
              <w:jc w:val="right"/>
              <w:rPr>
                <w:rFonts w:ascii="Verdana" w:hAnsi="Verdana" w:cs="Arial"/>
                <w:sz w:val="16"/>
                <w:szCs w:val="16"/>
              </w:rPr>
            </w:pPr>
            <w:r>
              <w:rPr>
                <w:rFonts w:ascii="Verdana" w:hAnsi="Verdana" w:cs="Arial"/>
                <w:sz w:val="16"/>
                <w:szCs w:val="16"/>
              </w:rPr>
              <w:t>(23,369)</w:t>
            </w:r>
          </w:p>
        </w:tc>
        <w:tc>
          <w:tcPr>
            <w:tcW w:w="5260" w:type="dxa"/>
            <w:tcBorders>
              <w:top w:val="nil"/>
              <w:left w:val="nil"/>
              <w:bottom w:val="nil"/>
              <w:right w:val="nil"/>
            </w:tcBorders>
            <w:shd w:val="clear" w:color="auto" w:fill="auto"/>
            <w:noWrap/>
            <w:vAlign w:val="bottom"/>
            <w:hideMark/>
          </w:tcPr>
          <w:p w14:paraId="1793D634" w14:textId="77777777" w:rsidR="009A1C9F" w:rsidRDefault="009A1C9F">
            <w:pPr>
              <w:rPr>
                <w:rFonts w:ascii="Verdana" w:hAnsi="Verdana" w:cs="Arial"/>
                <w:sz w:val="16"/>
                <w:szCs w:val="16"/>
              </w:rPr>
            </w:pPr>
            <w:r>
              <w:rPr>
                <w:rFonts w:ascii="Verdana" w:hAnsi="Verdana" w:cs="Arial"/>
                <w:sz w:val="16"/>
                <w:szCs w:val="16"/>
              </w:rPr>
              <w:t xml:space="preserve">Due to be recognised within 1 year </w:t>
            </w:r>
          </w:p>
        </w:tc>
        <w:tc>
          <w:tcPr>
            <w:tcW w:w="1380" w:type="dxa"/>
            <w:tcBorders>
              <w:top w:val="nil"/>
              <w:left w:val="single" w:sz="4" w:space="0" w:color="auto"/>
              <w:bottom w:val="nil"/>
              <w:right w:val="single" w:sz="4" w:space="0" w:color="auto"/>
            </w:tcBorders>
            <w:shd w:val="clear" w:color="auto" w:fill="auto"/>
            <w:noWrap/>
            <w:vAlign w:val="bottom"/>
            <w:hideMark/>
          </w:tcPr>
          <w:p w14:paraId="1D8D4955" w14:textId="77777777" w:rsidR="009A1C9F" w:rsidRDefault="009A1C9F">
            <w:pPr>
              <w:jc w:val="right"/>
              <w:rPr>
                <w:rFonts w:ascii="Verdana" w:hAnsi="Verdana" w:cs="Arial"/>
                <w:sz w:val="16"/>
                <w:szCs w:val="16"/>
              </w:rPr>
            </w:pPr>
            <w:r>
              <w:rPr>
                <w:rFonts w:ascii="Verdana" w:hAnsi="Verdana" w:cs="Arial"/>
                <w:sz w:val="16"/>
                <w:szCs w:val="16"/>
              </w:rPr>
              <w:t>(27,532)</w:t>
            </w:r>
          </w:p>
        </w:tc>
      </w:tr>
      <w:tr w:rsidR="009A1C9F" w14:paraId="447116D8" w14:textId="77777777" w:rsidTr="009A1C9F">
        <w:trPr>
          <w:trHeight w:val="2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501E7C4" w14:textId="77777777" w:rsidR="009A1C9F" w:rsidRDefault="009A1C9F">
            <w:pPr>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single" w:sz="4" w:space="0" w:color="auto"/>
              <w:right w:val="nil"/>
            </w:tcBorders>
            <w:shd w:val="clear" w:color="auto" w:fill="auto"/>
            <w:noWrap/>
            <w:vAlign w:val="bottom"/>
            <w:hideMark/>
          </w:tcPr>
          <w:p w14:paraId="25250C84" w14:textId="77777777" w:rsidR="009A1C9F" w:rsidRDefault="009A1C9F">
            <w:pPr>
              <w:rPr>
                <w:rFonts w:ascii="Verdana" w:hAnsi="Verdana" w:cs="Arial"/>
                <w:sz w:val="16"/>
                <w:szCs w:val="16"/>
              </w:rPr>
            </w:pPr>
            <w:r>
              <w:rPr>
                <w:rFonts w:ascii="Verdana" w:hAnsi="Verdana" w:cs="Arial"/>
                <w:sz w:val="16"/>
                <w:szCs w:val="16"/>
              </w:rPr>
              <w:t>Due to be recognised over 1 year</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95DF447" w14:textId="77777777" w:rsidR="009A1C9F" w:rsidRDefault="009A1C9F">
            <w:pPr>
              <w:jc w:val="right"/>
              <w:rPr>
                <w:rFonts w:ascii="Verdana" w:hAnsi="Verdana" w:cs="Arial"/>
                <w:sz w:val="16"/>
                <w:szCs w:val="16"/>
              </w:rPr>
            </w:pPr>
            <w:r>
              <w:rPr>
                <w:rFonts w:ascii="Verdana" w:hAnsi="Verdana" w:cs="Arial"/>
                <w:sz w:val="16"/>
                <w:szCs w:val="16"/>
              </w:rPr>
              <w:t xml:space="preserve">0 </w:t>
            </w:r>
          </w:p>
        </w:tc>
      </w:tr>
    </w:tbl>
    <w:p w14:paraId="6CEC12A9" w14:textId="3CA4A7BD" w:rsidR="00503BC1" w:rsidRPr="0007572B" w:rsidRDefault="00503BC1" w:rsidP="0038082E">
      <w:pPr>
        <w:jc w:val="both"/>
        <w:rPr>
          <w:rFonts w:ascii="Arial" w:hAnsi="Arial" w:cs="Arial"/>
          <w:sz w:val="22"/>
          <w:szCs w:val="22"/>
        </w:rPr>
      </w:pPr>
    </w:p>
    <w:p w14:paraId="49FC6304" w14:textId="545D0E97" w:rsidR="00AD5C22" w:rsidRPr="0007572B" w:rsidRDefault="00AD5C22" w:rsidP="0038082E">
      <w:pPr>
        <w:rPr>
          <w:rFonts w:ascii="Arial" w:hAnsi="Arial" w:cs="Arial"/>
          <w:b/>
          <w:sz w:val="22"/>
          <w:szCs w:val="22"/>
        </w:rPr>
      </w:pPr>
      <w:r w:rsidRPr="0007572B">
        <w:rPr>
          <w:rFonts w:ascii="Arial" w:hAnsi="Arial" w:cs="Arial"/>
          <w:b/>
          <w:sz w:val="22"/>
          <w:szCs w:val="22"/>
        </w:rPr>
        <w:br w:type="page"/>
      </w:r>
    </w:p>
    <w:p w14:paraId="2FF4837E" w14:textId="31D8798C" w:rsidR="00BF67F6" w:rsidRPr="0007572B" w:rsidRDefault="00BE7266" w:rsidP="0038082E">
      <w:pPr>
        <w:pStyle w:val="Heading3greennumbered"/>
      </w:pPr>
      <w:bookmarkStart w:id="131" w:name="_Toc92894887"/>
      <w:bookmarkStart w:id="132" w:name="_Toc92895191"/>
      <w:bookmarkStart w:id="133" w:name="_Toc109922625"/>
      <w:r w:rsidRPr="0007572B">
        <w:lastRenderedPageBreak/>
        <w:t>1</w:t>
      </w:r>
      <w:r w:rsidR="0003456C" w:rsidRPr="0007572B">
        <w:t>5</w:t>
      </w:r>
      <w:r w:rsidR="00FC62F7" w:rsidRPr="0007572B">
        <w:t xml:space="preserve"> </w:t>
      </w:r>
      <w:r w:rsidR="00F2757F" w:rsidRPr="0007572B">
        <w:t xml:space="preserve">Financing and Investment </w:t>
      </w:r>
      <w:r w:rsidRPr="0007572B">
        <w:t xml:space="preserve">Income </w:t>
      </w:r>
      <w:r w:rsidR="000E5378" w:rsidRPr="0007572B">
        <w:t>and Expenditure</w:t>
      </w:r>
      <w:bookmarkEnd w:id="131"/>
      <w:bookmarkEnd w:id="132"/>
      <w:bookmarkEnd w:id="133"/>
    </w:p>
    <w:p w14:paraId="3AFF52A2" w14:textId="77777777" w:rsidR="005403AF" w:rsidRDefault="005403AF" w:rsidP="0038082E">
      <w:pPr>
        <w:rPr>
          <w:rFonts w:ascii="Arial" w:hAnsi="Arial" w:cs="Arial"/>
          <w:b/>
          <w:sz w:val="22"/>
          <w:szCs w:val="22"/>
        </w:rPr>
      </w:pPr>
    </w:p>
    <w:p w14:paraId="79BCCA10" w14:textId="0DC4C775" w:rsidR="00CF0BB7" w:rsidRDefault="004D4FF0" w:rsidP="0038082E">
      <w:pPr>
        <w:rPr>
          <w:rFonts w:ascii="Arial" w:hAnsi="Arial" w:cs="Arial"/>
          <w:b/>
          <w:sz w:val="22"/>
          <w:szCs w:val="22"/>
        </w:rPr>
      </w:pPr>
      <w:r w:rsidRPr="004D4FF0">
        <w:rPr>
          <w:noProof/>
        </w:rPr>
        <w:drawing>
          <wp:inline distT="0" distB="0" distL="0" distR="0" wp14:anchorId="7F25E59E" wp14:editId="44C5EF0C">
            <wp:extent cx="5320030" cy="7677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0030" cy="767715"/>
                    </a:xfrm>
                    <a:prstGeom prst="rect">
                      <a:avLst/>
                    </a:prstGeom>
                    <a:noFill/>
                    <a:ln>
                      <a:noFill/>
                    </a:ln>
                  </pic:spPr>
                </pic:pic>
              </a:graphicData>
            </a:graphic>
          </wp:inline>
        </w:drawing>
      </w:r>
    </w:p>
    <w:p w14:paraId="7F10BF90" w14:textId="77777777" w:rsidR="005403AF" w:rsidRPr="0007572B" w:rsidRDefault="005403AF" w:rsidP="0038082E">
      <w:pPr>
        <w:rPr>
          <w:rFonts w:ascii="Arial" w:hAnsi="Arial" w:cs="Arial"/>
          <w:b/>
          <w:sz w:val="22"/>
          <w:szCs w:val="22"/>
        </w:rPr>
      </w:pPr>
    </w:p>
    <w:p w14:paraId="07EBD1BD" w14:textId="17A4B7F6" w:rsidR="00501D98" w:rsidRPr="0007572B" w:rsidRDefault="008A4032" w:rsidP="0038082E">
      <w:pPr>
        <w:rPr>
          <w:rFonts w:ascii="Arial" w:hAnsi="Arial" w:cs="Arial"/>
          <w:b/>
          <w:sz w:val="22"/>
          <w:szCs w:val="22"/>
        </w:rPr>
      </w:pPr>
      <w:r w:rsidRPr="008A4032">
        <w:rPr>
          <w:noProof/>
        </w:rPr>
        <w:drawing>
          <wp:inline distT="0" distB="0" distL="0" distR="0" wp14:anchorId="1DC50121" wp14:editId="6ECA9D85">
            <wp:extent cx="5320030" cy="11639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2183" cy="1164426"/>
                    </a:xfrm>
                    <a:prstGeom prst="rect">
                      <a:avLst/>
                    </a:prstGeom>
                    <a:noFill/>
                    <a:ln>
                      <a:noFill/>
                    </a:ln>
                  </pic:spPr>
                </pic:pic>
              </a:graphicData>
            </a:graphic>
          </wp:inline>
        </w:drawing>
      </w:r>
    </w:p>
    <w:p w14:paraId="0D398D4B" w14:textId="7F558CED" w:rsidR="00CF0BB7" w:rsidRPr="0007572B" w:rsidRDefault="00CF0BB7" w:rsidP="0038082E">
      <w:pPr>
        <w:rPr>
          <w:rFonts w:ascii="Arial" w:hAnsi="Arial" w:cs="Arial"/>
          <w:b/>
          <w:sz w:val="22"/>
          <w:szCs w:val="22"/>
        </w:rPr>
      </w:pPr>
    </w:p>
    <w:p w14:paraId="7F66F0ED" w14:textId="77777777" w:rsidR="000E5378" w:rsidRPr="0007572B" w:rsidRDefault="000E5378" w:rsidP="0038082E">
      <w:pPr>
        <w:rPr>
          <w:rFonts w:ascii="Arial" w:hAnsi="Arial" w:cs="Arial"/>
          <w:b/>
          <w:sz w:val="22"/>
          <w:szCs w:val="22"/>
        </w:rPr>
      </w:pPr>
    </w:p>
    <w:p w14:paraId="2427C34B" w14:textId="2CB1B9CA" w:rsidR="00FC62F7" w:rsidRPr="0007572B" w:rsidRDefault="00BF67F6" w:rsidP="0038082E">
      <w:pPr>
        <w:pStyle w:val="Heading3greennumbered"/>
      </w:pPr>
      <w:bookmarkStart w:id="134" w:name="_Toc92894888"/>
      <w:bookmarkStart w:id="135" w:name="_Toc92895192"/>
      <w:bookmarkStart w:id="136" w:name="_Toc109922626"/>
      <w:r w:rsidRPr="0007572B">
        <w:t>1</w:t>
      </w:r>
      <w:r w:rsidR="0003456C" w:rsidRPr="0007572B">
        <w:t>6</w:t>
      </w:r>
      <w:r w:rsidR="00FC62F7" w:rsidRPr="0007572B">
        <w:t xml:space="preserve"> Taxation and Non</w:t>
      </w:r>
      <w:r w:rsidR="000C364F" w:rsidRPr="0007572B">
        <w:t>-</w:t>
      </w:r>
      <w:r w:rsidR="00FC62F7" w:rsidRPr="0007572B">
        <w:t>Specific Grant Income</w:t>
      </w:r>
      <w:bookmarkEnd w:id="134"/>
      <w:bookmarkEnd w:id="135"/>
      <w:bookmarkEnd w:id="136"/>
    </w:p>
    <w:p w14:paraId="02889853" w14:textId="07C7B4F7" w:rsidR="00503BC1" w:rsidRDefault="00503BC1" w:rsidP="0038082E">
      <w:pPr>
        <w:jc w:val="both"/>
        <w:rPr>
          <w:rFonts w:ascii="Arial" w:hAnsi="Arial" w:cs="Arial"/>
          <w:sz w:val="22"/>
          <w:szCs w:val="22"/>
        </w:rPr>
      </w:pPr>
    </w:p>
    <w:p w14:paraId="00ED2D1C" w14:textId="4931BFBC" w:rsidR="00596963" w:rsidRPr="0007572B" w:rsidRDefault="00431F6F" w:rsidP="0038082E">
      <w:pPr>
        <w:rPr>
          <w:rFonts w:ascii="Arial" w:hAnsi="Arial" w:cs="Arial"/>
          <w:b/>
          <w:sz w:val="22"/>
          <w:szCs w:val="22"/>
        </w:rPr>
      </w:pPr>
      <w:r>
        <w:rPr>
          <w:rFonts w:ascii="Arial" w:hAnsi="Arial" w:cs="Arial"/>
          <w:b/>
          <w:noProof/>
          <w:sz w:val="22"/>
          <w:szCs w:val="22"/>
        </w:rPr>
        <w:drawing>
          <wp:inline distT="0" distB="0" distL="0" distR="0" wp14:anchorId="316D2EC4" wp14:editId="07A467E0">
            <wp:extent cx="5401310" cy="4755515"/>
            <wp:effectExtent l="0" t="0" r="889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4755515"/>
                    </a:xfrm>
                    <a:prstGeom prst="rect">
                      <a:avLst/>
                    </a:prstGeom>
                    <a:noFill/>
                  </pic:spPr>
                </pic:pic>
              </a:graphicData>
            </a:graphic>
          </wp:inline>
        </w:drawing>
      </w:r>
      <w:r w:rsidR="00596963" w:rsidRPr="0007572B">
        <w:rPr>
          <w:rFonts w:ascii="Arial" w:hAnsi="Arial" w:cs="Arial"/>
          <w:b/>
          <w:sz w:val="22"/>
          <w:szCs w:val="22"/>
        </w:rPr>
        <w:br w:type="page"/>
      </w:r>
    </w:p>
    <w:p w14:paraId="61BA394F" w14:textId="6C617CF4" w:rsidR="00115DCD" w:rsidRPr="0007572B" w:rsidRDefault="00E913C8" w:rsidP="0038082E">
      <w:pPr>
        <w:pStyle w:val="Heading3greennumbered"/>
      </w:pPr>
      <w:bookmarkStart w:id="137" w:name="_Toc92894889"/>
      <w:bookmarkStart w:id="138" w:name="_Toc92895193"/>
      <w:bookmarkStart w:id="139" w:name="_Toc109922627"/>
      <w:r w:rsidRPr="0007572B">
        <w:lastRenderedPageBreak/>
        <w:t>17</w:t>
      </w:r>
      <w:r w:rsidR="00FC62F7" w:rsidRPr="0007572B">
        <w:t xml:space="preserve"> External Audit Fees</w:t>
      </w:r>
      <w:bookmarkEnd w:id="137"/>
      <w:bookmarkEnd w:id="138"/>
      <w:bookmarkEnd w:id="139"/>
      <w:r w:rsidR="009C096E" w:rsidRPr="0007572B">
        <w:tab/>
      </w:r>
    </w:p>
    <w:p w14:paraId="773D9E4F" w14:textId="77777777" w:rsidR="005403AF" w:rsidRDefault="005403AF" w:rsidP="0038082E">
      <w:pPr>
        <w:rPr>
          <w:rFonts w:ascii="Arial" w:hAnsi="Arial" w:cs="Arial"/>
        </w:rPr>
      </w:pPr>
    </w:p>
    <w:p w14:paraId="5F060874" w14:textId="1125BDC1" w:rsidR="00FC62F7" w:rsidRDefault="00DC5AAB" w:rsidP="0038082E">
      <w:pPr>
        <w:rPr>
          <w:rFonts w:ascii="Arial" w:hAnsi="Arial" w:cs="Arial"/>
        </w:rPr>
      </w:pPr>
      <w:r w:rsidRPr="0007572B">
        <w:rPr>
          <w:rFonts w:ascii="Arial" w:hAnsi="Arial" w:cs="Arial"/>
        </w:rPr>
        <w:t>The Authority</w:t>
      </w:r>
      <w:r w:rsidR="00FC62F7" w:rsidRPr="0007572B">
        <w:rPr>
          <w:rFonts w:ascii="Arial" w:hAnsi="Arial" w:cs="Arial"/>
        </w:rPr>
        <w:t xml:space="preserve"> has incurred the following External Audit costs in relation to the audit of the Statement of Accounts and certification of grant claims.</w:t>
      </w:r>
    </w:p>
    <w:p w14:paraId="057F361E" w14:textId="77777777" w:rsidR="00D35A13" w:rsidRPr="0007572B" w:rsidRDefault="00D35A13" w:rsidP="0038082E">
      <w:pPr>
        <w:rPr>
          <w:rFonts w:ascii="Arial" w:hAnsi="Arial" w:cs="Arial"/>
          <w:b/>
          <w:sz w:val="22"/>
          <w:szCs w:val="22"/>
        </w:rPr>
      </w:pPr>
    </w:p>
    <w:p w14:paraId="7C4BC68E" w14:textId="21CB199E" w:rsidR="005F3210" w:rsidRPr="0007572B" w:rsidRDefault="005D4E9A" w:rsidP="0038082E">
      <w:pPr>
        <w:rPr>
          <w:rFonts w:ascii="Arial" w:hAnsi="Arial" w:cs="Arial"/>
          <w:b/>
          <w:sz w:val="22"/>
          <w:szCs w:val="22"/>
        </w:rPr>
      </w:pPr>
      <w:r w:rsidRPr="005D4E9A">
        <w:rPr>
          <w:noProof/>
        </w:rPr>
        <w:drawing>
          <wp:inline distT="0" distB="0" distL="0" distR="0" wp14:anchorId="335EC937" wp14:editId="782AF2AD">
            <wp:extent cx="5613400" cy="1276350"/>
            <wp:effectExtent l="0" t="0" r="635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1276350"/>
                    </a:xfrm>
                    <a:prstGeom prst="rect">
                      <a:avLst/>
                    </a:prstGeom>
                    <a:noFill/>
                    <a:ln>
                      <a:noFill/>
                    </a:ln>
                  </pic:spPr>
                </pic:pic>
              </a:graphicData>
            </a:graphic>
          </wp:inline>
        </w:drawing>
      </w:r>
    </w:p>
    <w:p w14:paraId="58401553" w14:textId="7178458C" w:rsidR="00EB27EB" w:rsidRDefault="00EB27EB">
      <w:pPr>
        <w:rPr>
          <w:rFonts w:ascii="Arial" w:hAnsi="Arial" w:cs="Arial"/>
          <w:b/>
          <w:sz w:val="22"/>
          <w:szCs w:val="22"/>
        </w:rPr>
      </w:pPr>
    </w:p>
    <w:p w14:paraId="5DAA969E" w14:textId="68594D5E" w:rsidR="00672FC1" w:rsidRPr="0007572B" w:rsidRDefault="00413C79" w:rsidP="0038082E">
      <w:pPr>
        <w:pStyle w:val="Heading3greennumbered"/>
      </w:pPr>
      <w:bookmarkStart w:id="140" w:name="_Toc92894890"/>
      <w:bookmarkStart w:id="141" w:name="_Toc92895194"/>
      <w:bookmarkStart w:id="142" w:name="_Toc109922628"/>
      <w:r w:rsidRPr="0007572B">
        <w:t>18</w:t>
      </w:r>
      <w:r w:rsidR="00672FC1" w:rsidRPr="0007572B">
        <w:t xml:space="preserve"> Officer Remuneration</w:t>
      </w:r>
      <w:bookmarkEnd w:id="140"/>
      <w:bookmarkEnd w:id="141"/>
      <w:bookmarkEnd w:id="142"/>
    </w:p>
    <w:p w14:paraId="74610E3A" w14:textId="77777777" w:rsidR="007C64B7" w:rsidRPr="0007572B" w:rsidRDefault="007C64B7" w:rsidP="0038082E">
      <w:pPr>
        <w:rPr>
          <w:rFonts w:ascii="Arial" w:hAnsi="Arial" w:cs="Arial"/>
          <w:b/>
          <w:sz w:val="22"/>
          <w:szCs w:val="22"/>
        </w:rPr>
      </w:pPr>
    </w:p>
    <w:p w14:paraId="4A6BB750" w14:textId="77777777" w:rsidR="00672FC1" w:rsidRPr="0007572B" w:rsidRDefault="00672FC1" w:rsidP="0038082E">
      <w:pPr>
        <w:pStyle w:val="Heading4bold"/>
      </w:pPr>
      <w:r w:rsidRPr="0007572B">
        <w:t>Officers with Remuneration above £50,000</w:t>
      </w:r>
    </w:p>
    <w:p w14:paraId="216455CD" w14:textId="51ACC9F4" w:rsidR="00672FC1" w:rsidRPr="0007572B" w:rsidRDefault="00216825" w:rsidP="0038082E">
      <w:pPr>
        <w:rPr>
          <w:rFonts w:ascii="Arial" w:hAnsi="Arial" w:cs="Arial"/>
          <w:b/>
        </w:rPr>
      </w:pPr>
      <w:r w:rsidRPr="0007572B">
        <w:rPr>
          <w:rFonts w:ascii="Arial" w:hAnsi="Arial" w:cs="Arial"/>
        </w:rPr>
        <w:t>The number of employees (</w:t>
      </w:r>
      <w:r w:rsidR="00740996" w:rsidRPr="0007572B">
        <w:rPr>
          <w:rFonts w:ascii="Arial" w:hAnsi="Arial" w:cs="Arial"/>
        </w:rPr>
        <w:t>in</w:t>
      </w:r>
      <w:r w:rsidR="00672FC1" w:rsidRPr="0007572B">
        <w:rPr>
          <w:rFonts w:ascii="Arial" w:hAnsi="Arial" w:cs="Arial"/>
        </w:rPr>
        <w:t>cluding senior employees) receiving more than £50,000 remuneration for the year (excluding employer's pension contributions) were as follows</w:t>
      </w:r>
      <w:r w:rsidR="00672FC1" w:rsidRPr="0007572B">
        <w:rPr>
          <w:rFonts w:ascii="Arial" w:hAnsi="Arial" w:cs="Arial"/>
          <w:b/>
        </w:rPr>
        <w:t>:</w:t>
      </w:r>
    </w:p>
    <w:p w14:paraId="6CCC7EB0" w14:textId="77777777" w:rsidR="00437C52" w:rsidRPr="0007572B" w:rsidRDefault="00437C52" w:rsidP="0038082E">
      <w:pPr>
        <w:jc w:val="both"/>
        <w:rPr>
          <w:rFonts w:ascii="Arial" w:hAnsi="Arial" w:cs="Arial"/>
          <w:b/>
          <w:sz w:val="22"/>
          <w:szCs w:val="22"/>
        </w:rPr>
      </w:pPr>
    </w:p>
    <w:p w14:paraId="688F3653" w14:textId="670F151A" w:rsidR="00884D7A" w:rsidRPr="0007572B" w:rsidRDefault="004D4FF0" w:rsidP="0038082E">
      <w:pPr>
        <w:rPr>
          <w:rFonts w:ascii="Arial" w:hAnsi="Arial" w:cs="Arial"/>
          <w:b/>
          <w:sz w:val="22"/>
          <w:szCs w:val="22"/>
        </w:rPr>
      </w:pPr>
      <w:r w:rsidRPr="004D4FF0">
        <w:rPr>
          <w:noProof/>
        </w:rPr>
        <w:drawing>
          <wp:inline distT="0" distB="0" distL="0" distR="0" wp14:anchorId="4A391384" wp14:editId="39BB613C">
            <wp:extent cx="5885180" cy="5005705"/>
            <wp:effectExtent l="0" t="0" r="127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5180" cy="5005705"/>
                    </a:xfrm>
                    <a:prstGeom prst="rect">
                      <a:avLst/>
                    </a:prstGeom>
                    <a:noFill/>
                    <a:ln>
                      <a:noFill/>
                    </a:ln>
                  </pic:spPr>
                </pic:pic>
              </a:graphicData>
            </a:graphic>
          </wp:inline>
        </w:drawing>
      </w:r>
    </w:p>
    <w:p w14:paraId="0BA79177" w14:textId="77777777" w:rsidR="00585B0A" w:rsidRDefault="00585B0A">
      <w:pPr>
        <w:rPr>
          <w:rFonts w:ascii="Arial" w:hAnsi="Arial" w:cs="Arial"/>
          <w:b/>
          <w:sz w:val="22"/>
          <w:szCs w:val="22"/>
        </w:rPr>
      </w:pPr>
    </w:p>
    <w:p w14:paraId="4C27DAF9" w14:textId="77777777" w:rsidR="00585B0A" w:rsidRDefault="00585B0A">
      <w:pPr>
        <w:rPr>
          <w:rFonts w:ascii="Arial" w:hAnsi="Arial" w:cs="Arial"/>
          <w:b/>
          <w:sz w:val="22"/>
          <w:szCs w:val="22"/>
        </w:rPr>
        <w:sectPr w:rsidR="00585B0A" w:rsidSect="00AA795F">
          <w:pgSz w:w="11906" w:h="16838"/>
          <w:pgMar w:top="1444" w:right="1276" w:bottom="1440" w:left="1080" w:header="568" w:footer="567" w:gutter="0"/>
          <w:cols w:space="708"/>
          <w:docGrid w:linePitch="360"/>
        </w:sectPr>
      </w:pPr>
    </w:p>
    <w:p w14:paraId="1264BFFD" w14:textId="30084F56" w:rsidR="00DC674E" w:rsidRDefault="00DC674E">
      <w:pPr>
        <w:rPr>
          <w:rFonts w:ascii="Arial" w:hAnsi="Arial" w:cs="Arial"/>
          <w:b/>
          <w:sz w:val="22"/>
          <w:szCs w:val="22"/>
        </w:rPr>
      </w:pPr>
    </w:p>
    <w:p w14:paraId="3E260E2C" w14:textId="77777777" w:rsidR="0014202A" w:rsidRPr="0007572B" w:rsidRDefault="0014202A" w:rsidP="0038082E">
      <w:pPr>
        <w:pStyle w:val="Heading4bold"/>
      </w:pPr>
      <w:r w:rsidRPr="0007572B">
        <w:t xml:space="preserve">Senior </w:t>
      </w:r>
      <w:r w:rsidR="001867BA" w:rsidRPr="0007572B">
        <w:t>Employees</w:t>
      </w:r>
      <w:r w:rsidRPr="0007572B">
        <w:t xml:space="preserve"> Remuneration</w:t>
      </w:r>
    </w:p>
    <w:p w14:paraId="54FA8FD7" w14:textId="5D4B0E5F" w:rsidR="00A47196" w:rsidRPr="0007572B" w:rsidRDefault="00D9207B" w:rsidP="0038082E">
      <w:pPr>
        <w:rPr>
          <w:rFonts w:ascii="Arial" w:hAnsi="Arial" w:cs="Arial"/>
        </w:rPr>
      </w:pPr>
      <w:r w:rsidRPr="0007572B">
        <w:rPr>
          <w:rFonts w:ascii="Arial" w:hAnsi="Arial" w:cs="Arial"/>
        </w:rPr>
        <w:t>E</w:t>
      </w:r>
      <w:r w:rsidR="0014202A" w:rsidRPr="0007572B">
        <w:rPr>
          <w:rFonts w:ascii="Arial" w:hAnsi="Arial" w:cs="Arial"/>
        </w:rPr>
        <w:t xml:space="preserve">mployees are classed as senior employees </w:t>
      </w:r>
      <w:r w:rsidRPr="0007572B">
        <w:rPr>
          <w:rFonts w:ascii="Arial" w:hAnsi="Arial" w:cs="Arial"/>
        </w:rPr>
        <w:t>when</w:t>
      </w:r>
      <w:r w:rsidR="0014202A" w:rsidRPr="0007572B">
        <w:rPr>
          <w:rFonts w:ascii="Arial" w:hAnsi="Arial" w:cs="Arial"/>
        </w:rPr>
        <w:t xml:space="preserve"> they receive</w:t>
      </w:r>
      <w:r w:rsidRPr="0007572B">
        <w:rPr>
          <w:rFonts w:ascii="Arial" w:hAnsi="Arial" w:cs="Arial"/>
        </w:rPr>
        <w:t>d</w:t>
      </w:r>
      <w:r w:rsidR="0014202A" w:rsidRPr="0007572B">
        <w:rPr>
          <w:rFonts w:ascii="Arial" w:hAnsi="Arial" w:cs="Arial"/>
        </w:rPr>
        <w:t xml:space="preserve"> a salary in excess of £150,000 (disclosed by name) or receive</w:t>
      </w:r>
      <w:r w:rsidRPr="0007572B">
        <w:rPr>
          <w:rFonts w:ascii="Arial" w:hAnsi="Arial" w:cs="Arial"/>
        </w:rPr>
        <w:t>d</w:t>
      </w:r>
      <w:r w:rsidR="0014202A" w:rsidRPr="0007572B">
        <w:rPr>
          <w:rFonts w:ascii="Arial" w:hAnsi="Arial" w:cs="Arial"/>
        </w:rPr>
        <w:t xml:space="preserve"> </w:t>
      </w:r>
      <w:r w:rsidR="00102E58" w:rsidRPr="0007572B">
        <w:rPr>
          <w:rFonts w:ascii="Arial" w:hAnsi="Arial" w:cs="Arial"/>
        </w:rPr>
        <w:t>a salary in excess of £50,000 and</w:t>
      </w:r>
      <w:r w:rsidR="0014202A" w:rsidRPr="0007572B">
        <w:rPr>
          <w:rFonts w:ascii="Arial" w:hAnsi="Arial" w:cs="Arial"/>
        </w:rPr>
        <w:t xml:space="preserve"> report</w:t>
      </w:r>
      <w:r w:rsidR="00CB67FA" w:rsidRPr="0007572B">
        <w:rPr>
          <w:rFonts w:ascii="Arial" w:hAnsi="Arial" w:cs="Arial"/>
        </w:rPr>
        <w:t>ed</w:t>
      </w:r>
      <w:r w:rsidR="0014202A" w:rsidRPr="0007572B">
        <w:rPr>
          <w:rFonts w:ascii="Arial" w:hAnsi="Arial" w:cs="Arial"/>
        </w:rPr>
        <w:t xml:space="preserve"> to the Head of Paid Service for the Authority</w:t>
      </w:r>
      <w:r w:rsidR="00EB1576" w:rsidRPr="0007572B">
        <w:rPr>
          <w:rFonts w:ascii="Arial" w:hAnsi="Arial" w:cs="Arial"/>
        </w:rPr>
        <w:t xml:space="preserve">. In </w:t>
      </w:r>
      <w:r w:rsidR="003543D4" w:rsidRPr="0007572B">
        <w:rPr>
          <w:rFonts w:ascii="Arial" w:hAnsi="Arial" w:cs="Arial"/>
        </w:rPr>
        <w:t>addition,</w:t>
      </w:r>
      <w:r w:rsidR="00EB1576" w:rsidRPr="0007572B">
        <w:rPr>
          <w:rFonts w:ascii="Arial" w:hAnsi="Arial" w:cs="Arial"/>
        </w:rPr>
        <w:t xml:space="preserve"> the salaries for the Mayor</w:t>
      </w:r>
      <w:r w:rsidR="00943F46">
        <w:rPr>
          <w:rFonts w:ascii="Arial" w:hAnsi="Arial" w:cs="Arial"/>
        </w:rPr>
        <w:t xml:space="preserve"> and the</w:t>
      </w:r>
      <w:r w:rsidR="00EB1576" w:rsidRPr="0007572B">
        <w:rPr>
          <w:rFonts w:ascii="Arial" w:hAnsi="Arial" w:cs="Arial"/>
        </w:rPr>
        <w:t xml:space="preserve"> Deputy Mayor for Police and Crime </w:t>
      </w:r>
      <w:r w:rsidR="00943F46">
        <w:rPr>
          <w:rFonts w:ascii="Arial" w:hAnsi="Arial" w:cs="Arial"/>
        </w:rPr>
        <w:t>a</w:t>
      </w:r>
      <w:r w:rsidR="00EB1576" w:rsidRPr="0007572B">
        <w:rPr>
          <w:rFonts w:ascii="Arial" w:hAnsi="Arial" w:cs="Arial"/>
        </w:rPr>
        <w:t>re disclosed.</w:t>
      </w:r>
    </w:p>
    <w:p w14:paraId="742D94ED" w14:textId="16AF7C41" w:rsidR="004F1EB1" w:rsidRPr="0007572B" w:rsidRDefault="004F1EB1" w:rsidP="0038082E">
      <w:pPr>
        <w:rPr>
          <w:rFonts w:ascii="Arial" w:hAnsi="Arial" w:cs="Arial"/>
          <w:b/>
          <w:sz w:val="22"/>
          <w:szCs w:val="22"/>
        </w:rPr>
      </w:pPr>
    </w:p>
    <w:p w14:paraId="7C251919" w14:textId="24B3705A" w:rsidR="00437C52" w:rsidRPr="0007572B" w:rsidRDefault="00437C52" w:rsidP="0038082E">
      <w:pPr>
        <w:jc w:val="both"/>
        <w:rPr>
          <w:rFonts w:ascii="Arial" w:hAnsi="Arial" w:cs="Arial"/>
          <w:sz w:val="22"/>
          <w:szCs w:val="22"/>
        </w:rPr>
      </w:pPr>
    </w:p>
    <w:p w14:paraId="2CE48ACF" w14:textId="787EBA80" w:rsidR="008D6F60" w:rsidRPr="0007572B" w:rsidRDefault="000E4A9D" w:rsidP="0038082E">
      <w:pPr>
        <w:rPr>
          <w:rFonts w:ascii="Arial" w:hAnsi="Arial" w:cs="Arial"/>
          <w:b/>
          <w:sz w:val="22"/>
          <w:szCs w:val="22"/>
        </w:rPr>
      </w:pPr>
      <w:r w:rsidRPr="000E4A9D">
        <w:rPr>
          <w:noProof/>
        </w:rPr>
        <w:drawing>
          <wp:inline distT="0" distB="0" distL="0" distR="0" wp14:anchorId="643EEA59" wp14:editId="0645FFD3">
            <wp:extent cx="8860790" cy="198818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0790" cy="1988185"/>
                    </a:xfrm>
                    <a:prstGeom prst="rect">
                      <a:avLst/>
                    </a:prstGeom>
                    <a:noFill/>
                    <a:ln>
                      <a:noFill/>
                    </a:ln>
                  </pic:spPr>
                </pic:pic>
              </a:graphicData>
            </a:graphic>
          </wp:inline>
        </w:drawing>
      </w:r>
    </w:p>
    <w:p w14:paraId="456E30FD" w14:textId="77777777" w:rsidR="008D6F60" w:rsidRDefault="008D6F60" w:rsidP="0038082E">
      <w:pPr>
        <w:rPr>
          <w:rFonts w:ascii="Arial" w:hAnsi="Arial" w:cs="Arial"/>
          <w:b/>
        </w:rPr>
      </w:pPr>
    </w:p>
    <w:p w14:paraId="1645DEF2" w14:textId="2DF5F218" w:rsidR="004D4FF0" w:rsidRPr="004D4FF0" w:rsidRDefault="004D4FF0" w:rsidP="00EB27EB">
      <w:pPr>
        <w:pStyle w:val="ListParagraph"/>
        <w:numPr>
          <w:ilvl w:val="0"/>
          <w:numId w:val="54"/>
        </w:numPr>
        <w:rPr>
          <w:rFonts w:ascii="Arial" w:hAnsi="Arial" w:cs="Arial"/>
          <w:bCs/>
        </w:rPr>
      </w:pPr>
      <w:r w:rsidRPr="004D4FF0">
        <w:rPr>
          <w:rFonts w:ascii="Arial" w:hAnsi="Arial" w:cs="Arial"/>
          <w:bCs/>
        </w:rPr>
        <w:t xml:space="preserve">The GMCA received a contribution of £114,720.42 (2020/21: £113,025) for the Chief Executive also performing the duties of Chief Executive at </w:t>
      </w:r>
      <w:r w:rsidR="00CA750E">
        <w:rPr>
          <w:rFonts w:ascii="Arial" w:hAnsi="Arial" w:cs="Arial"/>
          <w:bCs/>
        </w:rPr>
        <w:t>TfGM</w:t>
      </w:r>
      <w:r w:rsidRPr="004D4FF0">
        <w:rPr>
          <w:rFonts w:ascii="Arial" w:hAnsi="Arial" w:cs="Arial"/>
          <w:bCs/>
        </w:rPr>
        <w:t xml:space="preserve"> during 2021/22 (50% of Basic Pay and Employers NI)</w:t>
      </w:r>
    </w:p>
    <w:p w14:paraId="32461A57" w14:textId="4F555118" w:rsidR="004D4FF0" w:rsidRDefault="004D4FF0" w:rsidP="00EB27EB">
      <w:pPr>
        <w:pStyle w:val="ListParagraph"/>
        <w:numPr>
          <w:ilvl w:val="0"/>
          <w:numId w:val="54"/>
        </w:numPr>
        <w:rPr>
          <w:rFonts w:ascii="Arial" w:hAnsi="Arial" w:cs="Arial"/>
          <w:bCs/>
        </w:rPr>
      </w:pPr>
      <w:r w:rsidRPr="004D4FF0">
        <w:rPr>
          <w:rFonts w:ascii="Arial" w:hAnsi="Arial" w:cs="Arial"/>
          <w:bCs/>
        </w:rPr>
        <w:t>Post Holder left 31 August 2020 (2020/21: FTE salary £164,020.63)</w:t>
      </w:r>
    </w:p>
    <w:p w14:paraId="373EF10D" w14:textId="48C07282" w:rsidR="00C462BB" w:rsidRDefault="00C462BB" w:rsidP="00EB27EB">
      <w:pPr>
        <w:pStyle w:val="ListParagraph"/>
        <w:numPr>
          <w:ilvl w:val="0"/>
          <w:numId w:val="54"/>
        </w:numPr>
        <w:rPr>
          <w:rFonts w:ascii="Arial" w:hAnsi="Arial" w:cs="Arial"/>
          <w:bCs/>
        </w:rPr>
      </w:pPr>
      <w:r w:rsidRPr="00C462BB">
        <w:rPr>
          <w:rFonts w:ascii="Arial" w:hAnsi="Arial" w:cs="Arial"/>
          <w:bCs/>
        </w:rPr>
        <w:t>Post Holder commenced 7 September 2020. (2020/21: FTE salary £164,020.63)</w:t>
      </w:r>
    </w:p>
    <w:p w14:paraId="19F5CF2E" w14:textId="1714DF69" w:rsidR="00C462BB" w:rsidRDefault="00C462BB" w:rsidP="00EB27EB">
      <w:pPr>
        <w:pStyle w:val="ListParagraph"/>
        <w:numPr>
          <w:ilvl w:val="0"/>
          <w:numId w:val="54"/>
        </w:numPr>
        <w:rPr>
          <w:rFonts w:ascii="Arial" w:hAnsi="Arial" w:cs="Arial"/>
          <w:bCs/>
        </w:rPr>
      </w:pPr>
      <w:r w:rsidRPr="00C462BB">
        <w:rPr>
          <w:rFonts w:ascii="Arial" w:hAnsi="Arial" w:cs="Arial"/>
          <w:bCs/>
        </w:rPr>
        <w:t>The GMCA received a contribution of £60,000 for the Treasurer performing duties of Executive lead for finance and investment at Greater Manchester Health and Social Care Partnership during 2021/22 (2020/21: £60,000)</w:t>
      </w:r>
      <w:r w:rsidR="00002D6A">
        <w:rPr>
          <w:rFonts w:ascii="Arial" w:hAnsi="Arial" w:cs="Arial"/>
          <w:bCs/>
        </w:rPr>
        <w:t>. This contribution is included in the Treasurer</w:t>
      </w:r>
      <w:r w:rsidR="00943F46">
        <w:rPr>
          <w:rFonts w:ascii="Arial" w:hAnsi="Arial" w:cs="Arial"/>
          <w:bCs/>
        </w:rPr>
        <w:t>’</w:t>
      </w:r>
      <w:r w:rsidR="00002D6A">
        <w:rPr>
          <w:rFonts w:ascii="Arial" w:hAnsi="Arial" w:cs="Arial"/>
          <w:bCs/>
        </w:rPr>
        <w:t xml:space="preserve">s total remuneration figure. </w:t>
      </w:r>
    </w:p>
    <w:p w14:paraId="5A9E84A0" w14:textId="0D0F1B5E" w:rsidR="00C462BB" w:rsidRPr="004D4FF0" w:rsidRDefault="00C462BB" w:rsidP="00EB27EB">
      <w:pPr>
        <w:pStyle w:val="ListParagraph"/>
        <w:numPr>
          <w:ilvl w:val="0"/>
          <w:numId w:val="54"/>
        </w:numPr>
        <w:rPr>
          <w:rFonts w:ascii="Arial" w:hAnsi="Arial" w:cs="Arial"/>
          <w:bCs/>
        </w:rPr>
      </w:pPr>
      <w:r w:rsidRPr="00C462BB">
        <w:rPr>
          <w:rFonts w:ascii="Arial" w:hAnsi="Arial" w:cs="Arial"/>
          <w:bCs/>
        </w:rPr>
        <w:t>Post in 2020/21 is 0.41 FTE, Annual salary for 1.0 FTE would be £161,955.16. Post in 2021/22 is also 0.41 FTE, Annual Salary for 1.0 FTE would be £164,789.37</w:t>
      </w:r>
    </w:p>
    <w:p w14:paraId="36843602" w14:textId="77777777" w:rsidR="00585B0A" w:rsidRDefault="00585B0A" w:rsidP="0038082E">
      <w:pPr>
        <w:rPr>
          <w:rFonts w:ascii="Arial" w:hAnsi="Arial" w:cs="Arial"/>
          <w:bCs/>
        </w:rPr>
        <w:sectPr w:rsidR="00585B0A" w:rsidSect="00585B0A">
          <w:pgSz w:w="16838" w:h="11906" w:orient="landscape"/>
          <w:pgMar w:top="1080" w:right="1444" w:bottom="1276" w:left="1440" w:header="568" w:footer="567" w:gutter="0"/>
          <w:cols w:space="708"/>
          <w:docGrid w:linePitch="360"/>
        </w:sectPr>
      </w:pPr>
    </w:p>
    <w:p w14:paraId="775BD3F3" w14:textId="77777777" w:rsidR="004D4FF0" w:rsidRDefault="004D4FF0" w:rsidP="0038082E">
      <w:pPr>
        <w:rPr>
          <w:rFonts w:ascii="Arial" w:hAnsi="Arial" w:cs="Arial"/>
          <w:bCs/>
        </w:rPr>
      </w:pPr>
    </w:p>
    <w:p w14:paraId="22C55A9B" w14:textId="079E88CD" w:rsidR="00216825" w:rsidRPr="00943897" w:rsidRDefault="00672FC1" w:rsidP="00943897">
      <w:pPr>
        <w:pStyle w:val="Heading4bold"/>
      </w:pPr>
      <w:r w:rsidRPr="0007572B">
        <w:t>Exit Costs</w:t>
      </w:r>
    </w:p>
    <w:p w14:paraId="0831BC56" w14:textId="7514AA3F" w:rsidR="00672FC1" w:rsidRDefault="00672FC1" w:rsidP="0038082E">
      <w:pPr>
        <w:rPr>
          <w:rFonts w:ascii="Arial" w:hAnsi="Arial" w:cs="Arial"/>
        </w:rPr>
      </w:pPr>
      <w:r w:rsidRPr="0007572B">
        <w:rPr>
          <w:rFonts w:ascii="Arial" w:hAnsi="Arial" w:cs="Arial"/>
        </w:rPr>
        <w:t>Exit payments are made as a result of the departure of staff from the Authority. The total cost per band and the total cost of compulsory and other redundancies are set out in the table below</w:t>
      </w:r>
      <w:r w:rsidR="00A47196" w:rsidRPr="0007572B">
        <w:rPr>
          <w:rFonts w:ascii="Arial" w:hAnsi="Arial" w:cs="Arial"/>
        </w:rPr>
        <w:t>:</w:t>
      </w:r>
    </w:p>
    <w:p w14:paraId="34D423E1" w14:textId="2CE218B5" w:rsidR="0081587D" w:rsidRDefault="0081587D" w:rsidP="0038082E">
      <w:pPr>
        <w:rPr>
          <w:rFonts w:ascii="Arial" w:hAnsi="Arial" w:cs="Arial"/>
        </w:rPr>
      </w:pPr>
    </w:p>
    <w:p w14:paraId="78DAB1E4" w14:textId="1330F999" w:rsidR="0081587D" w:rsidRPr="0007572B" w:rsidRDefault="00FB5EDC" w:rsidP="0038082E">
      <w:pPr>
        <w:rPr>
          <w:rFonts w:ascii="Arial" w:hAnsi="Arial" w:cs="Arial"/>
        </w:rPr>
      </w:pPr>
      <w:r w:rsidRPr="00FB5EDC">
        <w:rPr>
          <w:noProof/>
        </w:rPr>
        <w:drawing>
          <wp:inline distT="0" distB="0" distL="0" distR="0" wp14:anchorId="4CC8D924" wp14:editId="158E8432">
            <wp:extent cx="6064250" cy="798830"/>
            <wp:effectExtent l="0" t="0" r="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4250" cy="798830"/>
                    </a:xfrm>
                    <a:prstGeom prst="rect">
                      <a:avLst/>
                    </a:prstGeom>
                    <a:noFill/>
                    <a:ln>
                      <a:noFill/>
                    </a:ln>
                  </pic:spPr>
                </pic:pic>
              </a:graphicData>
            </a:graphic>
          </wp:inline>
        </w:drawing>
      </w:r>
    </w:p>
    <w:p w14:paraId="7712E26A" w14:textId="77777777" w:rsidR="00A47196" w:rsidRPr="0007572B" w:rsidRDefault="00A47196" w:rsidP="0038082E">
      <w:pPr>
        <w:rPr>
          <w:rFonts w:ascii="Arial" w:hAnsi="Arial" w:cs="Arial"/>
          <w:b/>
          <w:sz w:val="22"/>
          <w:szCs w:val="22"/>
        </w:rPr>
      </w:pPr>
    </w:p>
    <w:p w14:paraId="2325E84E" w14:textId="77777777" w:rsidR="00FB5EDC" w:rsidRPr="0007572B" w:rsidRDefault="00FB5EDC" w:rsidP="0038082E">
      <w:pPr>
        <w:rPr>
          <w:rFonts w:ascii="Arial" w:hAnsi="Arial" w:cs="Arial"/>
          <w:b/>
          <w:sz w:val="22"/>
          <w:szCs w:val="22"/>
        </w:rPr>
      </w:pPr>
    </w:p>
    <w:p w14:paraId="0EA3E74C" w14:textId="72BE4C81" w:rsidR="007F381A" w:rsidRPr="0007572B" w:rsidRDefault="00413C79" w:rsidP="0038082E">
      <w:pPr>
        <w:pStyle w:val="Heading3greennumbered"/>
      </w:pPr>
      <w:bookmarkStart w:id="143" w:name="_Toc92894891"/>
      <w:bookmarkStart w:id="144" w:name="_Toc92895195"/>
      <w:bookmarkStart w:id="145" w:name="_Toc109922629"/>
      <w:r w:rsidRPr="0007572B">
        <w:t>19</w:t>
      </w:r>
      <w:r w:rsidR="007F381A" w:rsidRPr="0007572B">
        <w:t xml:space="preserve"> Capital Expenditure and Capital Financing</w:t>
      </w:r>
      <w:bookmarkEnd w:id="143"/>
      <w:bookmarkEnd w:id="144"/>
      <w:bookmarkEnd w:id="145"/>
    </w:p>
    <w:p w14:paraId="46AF3617" w14:textId="2F64940A" w:rsidR="0038082E" w:rsidRDefault="007F381A" w:rsidP="0038082E">
      <w:pPr>
        <w:rPr>
          <w:rFonts w:ascii="Arial" w:hAnsi="Arial" w:cs="Arial"/>
        </w:rPr>
      </w:pPr>
      <w:r w:rsidRPr="0007572B">
        <w:rPr>
          <w:rFonts w:ascii="Arial" w:hAnsi="Arial" w:cs="Arial"/>
        </w:rPr>
        <w:t>Where capital expenditure is to be financed in future years by charges to revenue as assets are used by the Authority, the expenditure results in an increase in the Capital Financing Requirement (CFR), a measure of the capital expenditure incurred historically by the Authority that has yet to be financed. The CFR is analysed below.</w:t>
      </w:r>
    </w:p>
    <w:p w14:paraId="40900F03" w14:textId="77777777" w:rsidR="00203F2A" w:rsidRDefault="00203F2A" w:rsidP="0038082E">
      <w:pPr>
        <w:rPr>
          <w:rFonts w:ascii="Arial" w:hAnsi="Arial" w:cs="Arial"/>
        </w:rPr>
      </w:pPr>
    </w:p>
    <w:p w14:paraId="261509B9" w14:textId="50BFDC12" w:rsidR="00CF2D3F" w:rsidRDefault="00006FCC" w:rsidP="0038082E">
      <w:pPr>
        <w:rPr>
          <w:rFonts w:ascii="Arial" w:hAnsi="Arial" w:cs="Arial"/>
        </w:rPr>
      </w:pPr>
      <w:r w:rsidRPr="00006FCC">
        <w:rPr>
          <w:noProof/>
        </w:rPr>
        <w:drawing>
          <wp:inline distT="0" distB="0" distL="0" distR="0" wp14:anchorId="1DCD4753" wp14:editId="6061CCCA">
            <wp:extent cx="4643093" cy="5231218"/>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5232" cy="5233628"/>
                    </a:xfrm>
                    <a:prstGeom prst="rect">
                      <a:avLst/>
                    </a:prstGeom>
                    <a:noFill/>
                    <a:ln>
                      <a:noFill/>
                    </a:ln>
                  </pic:spPr>
                </pic:pic>
              </a:graphicData>
            </a:graphic>
          </wp:inline>
        </w:drawing>
      </w:r>
    </w:p>
    <w:p w14:paraId="635B0861" w14:textId="77777777" w:rsidR="0025349D" w:rsidRDefault="0025349D" w:rsidP="0038082E">
      <w:pPr>
        <w:rPr>
          <w:rFonts w:ascii="Arial" w:hAnsi="Arial" w:cs="Arial"/>
        </w:rPr>
      </w:pPr>
    </w:p>
    <w:p w14:paraId="4D910AE8" w14:textId="2EB1501C" w:rsidR="007F381A" w:rsidRDefault="007F381A" w:rsidP="0038082E">
      <w:pPr>
        <w:rPr>
          <w:rFonts w:ascii="Arial" w:hAnsi="Arial" w:cs="Arial"/>
        </w:rPr>
      </w:pPr>
      <w:r w:rsidRPr="0007572B">
        <w:rPr>
          <w:rFonts w:ascii="Arial" w:hAnsi="Arial" w:cs="Arial"/>
        </w:rPr>
        <w:lastRenderedPageBreak/>
        <w:t>Many capital schemes take two or more years to complete. At the Balance Sheet date the main contractual commitments relating to ongoing schemes were as follows:</w:t>
      </w:r>
    </w:p>
    <w:p w14:paraId="5096C9E0" w14:textId="77777777" w:rsidR="0025349D" w:rsidRPr="0007572B" w:rsidRDefault="0025349D" w:rsidP="0038082E">
      <w:pPr>
        <w:rPr>
          <w:rFonts w:ascii="Arial" w:hAnsi="Arial" w:cs="Arial"/>
        </w:rPr>
      </w:pPr>
    </w:p>
    <w:p w14:paraId="505C3794" w14:textId="258A0E8C" w:rsidR="00215941" w:rsidRPr="0007572B" w:rsidRDefault="0025349D" w:rsidP="0038082E">
      <w:pPr>
        <w:rPr>
          <w:rFonts w:ascii="Arial" w:hAnsi="Arial" w:cs="Arial"/>
          <w:b/>
        </w:rPr>
      </w:pPr>
      <w:r w:rsidRPr="0025349D">
        <w:rPr>
          <w:noProof/>
        </w:rPr>
        <w:drawing>
          <wp:inline distT="0" distB="0" distL="0" distR="0" wp14:anchorId="4D60334C" wp14:editId="78606831">
            <wp:extent cx="4708525" cy="102997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8525" cy="1029970"/>
                    </a:xfrm>
                    <a:prstGeom prst="rect">
                      <a:avLst/>
                    </a:prstGeom>
                    <a:noFill/>
                    <a:ln>
                      <a:noFill/>
                    </a:ln>
                  </pic:spPr>
                </pic:pic>
              </a:graphicData>
            </a:graphic>
          </wp:inline>
        </w:drawing>
      </w:r>
    </w:p>
    <w:p w14:paraId="605FA0AD" w14:textId="28E65765" w:rsidR="0019189C" w:rsidRPr="0007572B" w:rsidRDefault="0019189C" w:rsidP="0038082E">
      <w:pPr>
        <w:rPr>
          <w:rFonts w:ascii="Arial" w:hAnsi="Arial" w:cs="Arial"/>
          <w:b/>
          <w:sz w:val="22"/>
          <w:szCs w:val="22"/>
        </w:rPr>
      </w:pPr>
    </w:p>
    <w:p w14:paraId="36DFCC23" w14:textId="77777777" w:rsidR="008C2C1B" w:rsidRDefault="008C2C1B" w:rsidP="0038082E">
      <w:pPr>
        <w:rPr>
          <w:rFonts w:ascii="Arial" w:hAnsi="Arial" w:cs="Arial"/>
          <w:b/>
          <w:sz w:val="22"/>
          <w:szCs w:val="22"/>
        </w:rPr>
      </w:pPr>
    </w:p>
    <w:p w14:paraId="6891D045" w14:textId="77777777" w:rsidR="00943897" w:rsidRPr="0007572B" w:rsidRDefault="00943897" w:rsidP="0038082E">
      <w:pPr>
        <w:rPr>
          <w:rFonts w:ascii="Arial" w:hAnsi="Arial" w:cs="Arial"/>
          <w:b/>
          <w:sz w:val="22"/>
          <w:szCs w:val="22"/>
        </w:rPr>
      </w:pPr>
    </w:p>
    <w:p w14:paraId="613418CF" w14:textId="5081CF32" w:rsidR="00115DCD" w:rsidRPr="0007572B" w:rsidRDefault="00413C79" w:rsidP="0038082E">
      <w:pPr>
        <w:pStyle w:val="Heading3greennumbered"/>
      </w:pPr>
      <w:bookmarkStart w:id="146" w:name="_Toc92894892"/>
      <w:bookmarkStart w:id="147" w:name="_Toc92895196"/>
      <w:bookmarkStart w:id="148" w:name="_Toc109922630"/>
      <w:r w:rsidRPr="0007572B">
        <w:t>20</w:t>
      </w:r>
      <w:r w:rsidR="0063513E" w:rsidRPr="0007572B">
        <w:t xml:space="preserve"> Property, Plant and Equipment Including Disposals</w:t>
      </w:r>
      <w:bookmarkEnd w:id="146"/>
      <w:bookmarkEnd w:id="147"/>
      <w:bookmarkEnd w:id="148"/>
    </w:p>
    <w:p w14:paraId="34ED8041" w14:textId="77777777" w:rsidR="005403AF" w:rsidRDefault="005403AF" w:rsidP="0038082E">
      <w:pPr>
        <w:rPr>
          <w:rFonts w:ascii="Arial" w:hAnsi="Arial" w:cs="Arial"/>
          <w:bCs/>
          <w:color w:val="000000"/>
          <w:lang w:val="en-US" w:eastAsia="en-GB"/>
        </w:rPr>
      </w:pPr>
    </w:p>
    <w:p w14:paraId="5EB94A61" w14:textId="77777777" w:rsidR="00556989" w:rsidRDefault="00387571" w:rsidP="00556989">
      <w:pPr>
        <w:rPr>
          <w:rFonts w:ascii="Arial" w:hAnsi="Arial" w:cs="Arial"/>
          <w:bCs/>
          <w:color w:val="000000"/>
          <w:lang w:val="en-US" w:eastAsia="en-GB"/>
        </w:rPr>
      </w:pPr>
      <w:r w:rsidRPr="0007572B">
        <w:rPr>
          <w:rFonts w:ascii="Arial" w:hAnsi="Arial" w:cs="Arial"/>
          <w:bCs/>
          <w:color w:val="000000"/>
          <w:lang w:val="en-US" w:eastAsia="en-GB"/>
        </w:rPr>
        <w:t>Full det</w:t>
      </w:r>
      <w:r w:rsidR="00314193" w:rsidRPr="0007572B">
        <w:rPr>
          <w:rFonts w:ascii="Arial" w:hAnsi="Arial" w:cs="Arial"/>
          <w:bCs/>
          <w:color w:val="000000"/>
          <w:lang w:val="en-US" w:eastAsia="en-GB"/>
        </w:rPr>
        <w:t>ails of how assets are capitalis</w:t>
      </w:r>
      <w:r w:rsidRPr="0007572B">
        <w:rPr>
          <w:rFonts w:ascii="Arial" w:hAnsi="Arial" w:cs="Arial"/>
          <w:bCs/>
          <w:color w:val="000000"/>
          <w:lang w:val="en-US" w:eastAsia="en-GB"/>
        </w:rPr>
        <w:t xml:space="preserve">ed, valued, depreciated, </w:t>
      </w:r>
      <w:r w:rsidR="00556989" w:rsidRPr="0007572B">
        <w:rPr>
          <w:rFonts w:ascii="Arial" w:hAnsi="Arial" w:cs="Arial"/>
          <w:bCs/>
          <w:color w:val="000000"/>
          <w:lang w:val="en-US" w:eastAsia="en-GB"/>
        </w:rPr>
        <w:t>impaired,</w:t>
      </w:r>
      <w:r w:rsidRPr="0007572B">
        <w:rPr>
          <w:rFonts w:ascii="Arial" w:hAnsi="Arial" w:cs="Arial"/>
          <w:bCs/>
          <w:color w:val="000000"/>
          <w:lang w:val="en-US" w:eastAsia="en-GB"/>
        </w:rPr>
        <w:t xml:space="preserve"> and disposed of are provided in the accounting policies </w:t>
      </w:r>
      <w:r w:rsidR="007E5937" w:rsidRPr="0007572B">
        <w:rPr>
          <w:rFonts w:ascii="Arial" w:hAnsi="Arial" w:cs="Arial"/>
          <w:bCs/>
          <w:color w:val="000000"/>
          <w:lang w:val="en-US" w:eastAsia="en-GB"/>
        </w:rPr>
        <w:t>note</w:t>
      </w:r>
      <w:r w:rsidRPr="0007572B">
        <w:rPr>
          <w:rFonts w:ascii="Arial" w:hAnsi="Arial" w:cs="Arial"/>
          <w:bCs/>
          <w:color w:val="000000"/>
          <w:lang w:val="en-US" w:eastAsia="en-GB"/>
        </w:rPr>
        <w:t>.</w:t>
      </w:r>
    </w:p>
    <w:p w14:paraId="6581658E" w14:textId="77777777" w:rsidR="00556989" w:rsidRDefault="00556989" w:rsidP="00556989">
      <w:pPr>
        <w:rPr>
          <w:rFonts w:ascii="Arial" w:hAnsi="Arial" w:cs="Arial"/>
          <w:bCs/>
          <w:color w:val="000000"/>
          <w:lang w:val="en-US" w:eastAsia="en-GB"/>
        </w:rPr>
      </w:pPr>
    </w:p>
    <w:p w14:paraId="2033C0AD" w14:textId="77777777" w:rsidR="00556989" w:rsidRDefault="00BF335D" w:rsidP="00556989">
      <w:pPr>
        <w:rPr>
          <w:rFonts w:ascii="Arial" w:hAnsi="Arial" w:cs="Arial"/>
          <w:bCs/>
          <w:color w:val="000000"/>
          <w:lang w:val="en-US" w:eastAsia="en-GB"/>
        </w:rPr>
      </w:pPr>
      <w:r w:rsidRPr="00BF335D">
        <w:rPr>
          <w:rFonts w:ascii="Arial" w:hAnsi="Arial" w:cs="Arial"/>
          <w:bCs/>
          <w:color w:val="000000"/>
          <w:lang w:val="en-US" w:eastAsia="en-GB"/>
        </w:rPr>
        <w:t>The Authority carries out a rolling programme to ensure that all property required to be measured at current value is revalued at least every 5 years. Valuations of land and buildings were carried out in accordance with the methodologies and bases for estimation set out in the professional standards of the Royal Institute of Chartered Surveyors. All valuations were carried out externally.</w:t>
      </w:r>
    </w:p>
    <w:p w14:paraId="74388FBE" w14:textId="77777777" w:rsidR="00556989" w:rsidRDefault="00556989" w:rsidP="00556989">
      <w:pPr>
        <w:rPr>
          <w:rFonts w:ascii="Arial" w:hAnsi="Arial" w:cs="Arial"/>
          <w:bCs/>
          <w:color w:val="000000"/>
          <w:lang w:val="en-US" w:eastAsia="en-GB"/>
        </w:rPr>
      </w:pPr>
    </w:p>
    <w:p w14:paraId="5A3F648F" w14:textId="7C737410" w:rsidR="00F6613F" w:rsidRPr="00556989" w:rsidRDefault="00F6613F" w:rsidP="00556989">
      <w:pPr>
        <w:rPr>
          <w:rFonts w:ascii="Arial" w:hAnsi="Arial" w:cs="Arial"/>
          <w:bCs/>
          <w:color w:val="000000"/>
          <w:lang w:val="en-US" w:eastAsia="en-GB"/>
        </w:rPr>
      </w:pPr>
      <w:r w:rsidRPr="0007572B">
        <w:rPr>
          <w:rFonts w:ascii="Arial" w:hAnsi="Arial" w:cs="Arial"/>
          <w:bCs/>
          <w:color w:val="000000"/>
          <w:u w:val="single"/>
          <w:lang w:val="en-US" w:eastAsia="en-GB"/>
        </w:rPr>
        <w:t>Waste Assets</w:t>
      </w:r>
    </w:p>
    <w:p w14:paraId="4D01AD2C" w14:textId="77777777" w:rsidR="0060522D" w:rsidRPr="0007572B" w:rsidRDefault="0060522D" w:rsidP="0038082E">
      <w:pPr>
        <w:rPr>
          <w:rFonts w:ascii="Arial" w:hAnsi="Arial" w:cs="Arial"/>
          <w:bCs/>
          <w:color w:val="000000"/>
          <w:lang w:val="en-US" w:eastAsia="en-GB"/>
        </w:rPr>
      </w:pPr>
    </w:p>
    <w:p w14:paraId="545D480D" w14:textId="77777777" w:rsidR="00F6613F" w:rsidRPr="0007572B" w:rsidRDefault="00F6613F" w:rsidP="00EB27EB">
      <w:pPr>
        <w:pStyle w:val="ListParagraph"/>
        <w:numPr>
          <w:ilvl w:val="0"/>
          <w:numId w:val="29"/>
        </w:numPr>
        <w:spacing w:line="240" w:lineRule="auto"/>
        <w:rPr>
          <w:rFonts w:ascii="Arial" w:hAnsi="Arial" w:cs="Arial"/>
          <w:bCs/>
          <w:color w:val="000000"/>
          <w:sz w:val="24"/>
          <w:szCs w:val="24"/>
          <w:lang w:val="en-US"/>
        </w:rPr>
      </w:pPr>
      <w:r w:rsidRPr="0007572B">
        <w:rPr>
          <w:rFonts w:ascii="Arial" w:hAnsi="Arial" w:cs="Arial"/>
          <w:bCs/>
          <w:color w:val="000000"/>
          <w:sz w:val="24"/>
          <w:szCs w:val="24"/>
          <w:lang w:val="en-US"/>
        </w:rPr>
        <w:t>Valuations were</w:t>
      </w:r>
      <w:r w:rsidR="00B329D0" w:rsidRPr="0007572B">
        <w:rPr>
          <w:rFonts w:ascii="Arial" w:hAnsi="Arial" w:cs="Arial"/>
          <w:bCs/>
          <w:color w:val="000000"/>
          <w:sz w:val="24"/>
          <w:szCs w:val="24"/>
          <w:lang w:val="en-US"/>
        </w:rPr>
        <w:t xml:space="preserve"> carried out by Avison Young, an independent valuer, for all land, </w:t>
      </w:r>
      <w:proofErr w:type="gramStart"/>
      <w:r w:rsidR="00B329D0" w:rsidRPr="0007572B">
        <w:rPr>
          <w:rFonts w:ascii="Arial" w:hAnsi="Arial" w:cs="Arial"/>
          <w:bCs/>
          <w:color w:val="000000"/>
          <w:sz w:val="24"/>
          <w:szCs w:val="24"/>
          <w:lang w:val="en-US"/>
        </w:rPr>
        <w:t>buildings</w:t>
      </w:r>
      <w:proofErr w:type="gramEnd"/>
      <w:r w:rsidR="00B329D0" w:rsidRPr="0007572B">
        <w:rPr>
          <w:rFonts w:ascii="Arial" w:hAnsi="Arial" w:cs="Arial"/>
          <w:bCs/>
          <w:color w:val="000000"/>
          <w:sz w:val="24"/>
          <w:szCs w:val="24"/>
          <w:lang w:val="en-US"/>
        </w:rPr>
        <w:t xml:space="preserve"> and infrastructure revaluations, in accordance with the provisions of the professional standards of the Royal Institute of Chartered Surveyors. </w:t>
      </w:r>
    </w:p>
    <w:p w14:paraId="69E846EB" w14:textId="77777777" w:rsidR="00556989" w:rsidRDefault="00F6613F" w:rsidP="00556989">
      <w:pPr>
        <w:pStyle w:val="ListParagraph"/>
        <w:numPr>
          <w:ilvl w:val="0"/>
          <w:numId w:val="29"/>
        </w:numPr>
        <w:spacing w:line="240" w:lineRule="auto"/>
        <w:rPr>
          <w:rFonts w:ascii="Arial" w:hAnsi="Arial" w:cs="Arial"/>
          <w:bCs/>
          <w:color w:val="000000"/>
          <w:sz w:val="24"/>
          <w:szCs w:val="24"/>
          <w:lang w:val="en-US"/>
        </w:rPr>
      </w:pPr>
      <w:r w:rsidRPr="0007572B">
        <w:rPr>
          <w:rFonts w:ascii="Arial" w:hAnsi="Arial" w:cs="Arial"/>
          <w:bCs/>
          <w:color w:val="000000"/>
          <w:sz w:val="24"/>
          <w:szCs w:val="24"/>
          <w:lang w:val="en-US"/>
        </w:rPr>
        <w:t xml:space="preserve">Hilco Appraisals Limited carried </w:t>
      </w:r>
      <w:r w:rsidR="00B329D0" w:rsidRPr="0007572B">
        <w:rPr>
          <w:rFonts w:ascii="Arial" w:hAnsi="Arial" w:cs="Arial"/>
          <w:bCs/>
          <w:color w:val="000000"/>
          <w:sz w:val="24"/>
          <w:szCs w:val="24"/>
          <w:lang w:val="en-US"/>
        </w:rPr>
        <w:t>out plant and machinery valuations</w:t>
      </w:r>
      <w:r w:rsidRPr="0007572B">
        <w:rPr>
          <w:rFonts w:ascii="Arial" w:hAnsi="Arial" w:cs="Arial"/>
          <w:bCs/>
          <w:color w:val="000000"/>
          <w:sz w:val="24"/>
          <w:szCs w:val="24"/>
          <w:lang w:val="en-US"/>
        </w:rPr>
        <w:t>.</w:t>
      </w:r>
    </w:p>
    <w:p w14:paraId="376D5BD1" w14:textId="77777777" w:rsidR="00556989" w:rsidRDefault="00556989" w:rsidP="00556989">
      <w:pPr>
        <w:pStyle w:val="ListParagraph"/>
        <w:spacing w:line="240" w:lineRule="auto"/>
        <w:ind w:left="360"/>
        <w:rPr>
          <w:rFonts w:ascii="Arial" w:hAnsi="Arial" w:cs="Arial"/>
          <w:bCs/>
          <w:color w:val="000000"/>
          <w:sz w:val="24"/>
          <w:szCs w:val="24"/>
          <w:lang w:val="en-US"/>
        </w:rPr>
      </w:pPr>
    </w:p>
    <w:p w14:paraId="7591C596" w14:textId="734BA106" w:rsidR="00F6613F" w:rsidRPr="00556989" w:rsidRDefault="00F6613F" w:rsidP="00556989">
      <w:pPr>
        <w:pStyle w:val="ListParagraph"/>
        <w:spacing w:line="240" w:lineRule="auto"/>
        <w:ind w:left="360"/>
        <w:rPr>
          <w:rFonts w:ascii="Arial" w:hAnsi="Arial" w:cs="Arial"/>
          <w:bCs/>
          <w:color w:val="000000"/>
          <w:sz w:val="24"/>
          <w:szCs w:val="24"/>
          <w:lang w:val="en-US"/>
        </w:rPr>
      </w:pPr>
      <w:r w:rsidRPr="00556989">
        <w:rPr>
          <w:rFonts w:ascii="Arial" w:hAnsi="Arial" w:cs="Arial"/>
          <w:bCs/>
          <w:color w:val="000000"/>
          <w:u w:val="single"/>
          <w:lang w:val="en-US"/>
        </w:rPr>
        <w:t>Other Assets</w:t>
      </w:r>
    </w:p>
    <w:p w14:paraId="7455F237" w14:textId="77777777" w:rsidR="00F6613F" w:rsidRPr="0007572B" w:rsidRDefault="00F6613F" w:rsidP="0038082E">
      <w:pPr>
        <w:pStyle w:val="ListParagraph"/>
        <w:spacing w:line="240" w:lineRule="auto"/>
        <w:rPr>
          <w:rFonts w:ascii="Arial" w:hAnsi="Arial" w:cs="Arial"/>
          <w:bCs/>
          <w:color w:val="000000"/>
          <w:sz w:val="24"/>
          <w:szCs w:val="24"/>
          <w:lang w:val="en-US"/>
        </w:rPr>
      </w:pPr>
    </w:p>
    <w:p w14:paraId="2F44A4C9" w14:textId="7DF8F399" w:rsidR="00556989" w:rsidRPr="00556989" w:rsidRDefault="001E470D" w:rsidP="00556989">
      <w:pPr>
        <w:pStyle w:val="ListParagraph"/>
        <w:numPr>
          <w:ilvl w:val="0"/>
          <w:numId w:val="29"/>
        </w:numPr>
        <w:autoSpaceDE w:val="0"/>
        <w:autoSpaceDN w:val="0"/>
        <w:adjustRightInd w:val="0"/>
        <w:spacing w:line="240" w:lineRule="auto"/>
        <w:ind w:left="357"/>
        <w:rPr>
          <w:rFonts w:ascii="Arial" w:hAnsi="Arial" w:cs="Arial"/>
          <w:b/>
          <w:sz w:val="24"/>
          <w:szCs w:val="24"/>
        </w:rPr>
      </w:pPr>
      <w:r w:rsidRPr="0007572B">
        <w:rPr>
          <w:rFonts w:ascii="Arial" w:hAnsi="Arial" w:cs="Arial"/>
          <w:bCs/>
          <w:color w:val="000000"/>
          <w:sz w:val="24"/>
          <w:szCs w:val="24"/>
          <w:lang w:val="en-US"/>
        </w:rPr>
        <w:t xml:space="preserve">Salford City Council Property Services </w:t>
      </w:r>
      <w:r w:rsidR="00F6613F" w:rsidRPr="0007572B">
        <w:rPr>
          <w:rFonts w:ascii="Arial" w:hAnsi="Arial" w:cs="Arial"/>
          <w:bCs/>
          <w:color w:val="000000"/>
          <w:sz w:val="24"/>
          <w:szCs w:val="24"/>
          <w:lang w:val="en-US"/>
        </w:rPr>
        <w:t>carried out valuations of the Authority’s remaining assets</w:t>
      </w:r>
      <w:r w:rsidR="0031699E" w:rsidRPr="0007572B">
        <w:rPr>
          <w:rFonts w:ascii="Arial" w:hAnsi="Arial" w:cs="Arial"/>
          <w:bCs/>
          <w:color w:val="000000"/>
          <w:sz w:val="24"/>
          <w:szCs w:val="24"/>
          <w:lang w:val="en-US"/>
        </w:rPr>
        <w:t>.</w:t>
      </w:r>
    </w:p>
    <w:p w14:paraId="52A62F17" w14:textId="77777777" w:rsidR="00556989" w:rsidRPr="00556989" w:rsidRDefault="00556989" w:rsidP="00556989">
      <w:pPr>
        <w:pStyle w:val="ListParagraph"/>
        <w:autoSpaceDE w:val="0"/>
        <w:autoSpaceDN w:val="0"/>
        <w:adjustRightInd w:val="0"/>
        <w:spacing w:line="240" w:lineRule="auto"/>
        <w:ind w:left="357"/>
        <w:rPr>
          <w:rFonts w:ascii="Arial" w:hAnsi="Arial" w:cs="Arial"/>
          <w:b/>
          <w:sz w:val="24"/>
          <w:szCs w:val="24"/>
        </w:rPr>
      </w:pPr>
    </w:p>
    <w:p w14:paraId="6E83D8D7" w14:textId="75E79E66" w:rsidR="00E558A4" w:rsidRPr="0007572B" w:rsidRDefault="0017725A" w:rsidP="00431F6F">
      <w:pPr>
        <w:rPr>
          <w:rFonts w:ascii="Arial" w:hAnsi="Arial" w:cs="Arial"/>
          <w:b/>
          <w:sz w:val="36"/>
          <w:szCs w:val="36"/>
        </w:rPr>
        <w:sectPr w:rsidR="00E558A4" w:rsidRPr="0007572B" w:rsidSect="00585B0A">
          <w:pgSz w:w="11906" w:h="16838"/>
          <w:pgMar w:top="1444" w:right="1276" w:bottom="1440" w:left="1080" w:header="568" w:footer="567" w:gutter="0"/>
          <w:cols w:space="708"/>
          <w:docGrid w:linePitch="360"/>
        </w:sectPr>
      </w:pPr>
      <w:r w:rsidRPr="0017725A">
        <w:rPr>
          <w:noProof/>
        </w:rPr>
        <w:drawing>
          <wp:inline distT="0" distB="0" distL="0" distR="0" wp14:anchorId="0E9AB726" wp14:editId="60938432">
            <wp:extent cx="6064250" cy="1905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4250" cy="1905000"/>
                    </a:xfrm>
                    <a:prstGeom prst="rect">
                      <a:avLst/>
                    </a:prstGeom>
                    <a:noFill/>
                    <a:ln>
                      <a:noFill/>
                    </a:ln>
                  </pic:spPr>
                </pic:pic>
              </a:graphicData>
            </a:graphic>
          </wp:inline>
        </w:drawing>
      </w:r>
    </w:p>
    <w:p w14:paraId="3408E279" w14:textId="5E9D1411" w:rsidR="00AD1DA0" w:rsidRPr="0007572B" w:rsidRDefault="00203F2A" w:rsidP="0038082E">
      <w:pPr>
        <w:rPr>
          <w:rFonts w:ascii="Arial" w:hAnsi="Arial" w:cs="Arial"/>
          <w:sz w:val="22"/>
          <w:szCs w:val="22"/>
        </w:rPr>
      </w:pPr>
      <w:r w:rsidRPr="00203F2A">
        <w:rPr>
          <w:noProof/>
        </w:rPr>
        <w:lastRenderedPageBreak/>
        <w:drawing>
          <wp:inline distT="0" distB="0" distL="0" distR="0" wp14:anchorId="742FEF09" wp14:editId="25234E50">
            <wp:extent cx="8964930" cy="430847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64930" cy="4308475"/>
                    </a:xfrm>
                    <a:prstGeom prst="rect">
                      <a:avLst/>
                    </a:prstGeom>
                    <a:noFill/>
                    <a:ln>
                      <a:noFill/>
                    </a:ln>
                  </pic:spPr>
                </pic:pic>
              </a:graphicData>
            </a:graphic>
          </wp:inline>
        </w:drawing>
      </w:r>
    </w:p>
    <w:p w14:paraId="7D62F22D" w14:textId="6C0E6999" w:rsidR="00B2139B" w:rsidRPr="0007572B" w:rsidRDefault="00B2139B" w:rsidP="0038082E">
      <w:pPr>
        <w:rPr>
          <w:rFonts w:ascii="Arial" w:hAnsi="Arial" w:cs="Arial"/>
          <w:sz w:val="22"/>
          <w:szCs w:val="22"/>
        </w:rPr>
      </w:pPr>
    </w:p>
    <w:p w14:paraId="7AA429A2" w14:textId="5E0749AD" w:rsidR="00B2139B" w:rsidRPr="0007572B" w:rsidRDefault="00B2139B" w:rsidP="0038082E">
      <w:pPr>
        <w:rPr>
          <w:rFonts w:ascii="Arial" w:hAnsi="Arial" w:cs="Arial"/>
          <w:b/>
          <w:sz w:val="22"/>
          <w:szCs w:val="22"/>
        </w:rPr>
      </w:pPr>
    </w:p>
    <w:p w14:paraId="7985EADB" w14:textId="132624AB" w:rsidR="001A7D30" w:rsidRPr="0007572B" w:rsidRDefault="001A7D30" w:rsidP="0038082E">
      <w:pPr>
        <w:rPr>
          <w:rFonts w:ascii="Arial" w:hAnsi="Arial" w:cs="Arial"/>
          <w:bCs/>
        </w:rPr>
      </w:pPr>
    </w:p>
    <w:p w14:paraId="46852A34" w14:textId="77777777" w:rsidR="000960E1" w:rsidRPr="0007572B" w:rsidRDefault="000960E1" w:rsidP="0038082E">
      <w:pPr>
        <w:rPr>
          <w:rFonts w:ascii="Arial" w:hAnsi="Arial" w:cs="Arial"/>
          <w:bCs/>
        </w:rPr>
      </w:pPr>
    </w:p>
    <w:p w14:paraId="20B0BEC3" w14:textId="2CEC6AB5" w:rsidR="000960E1" w:rsidRDefault="000960E1" w:rsidP="0038082E">
      <w:pPr>
        <w:rPr>
          <w:rFonts w:ascii="Arial" w:hAnsi="Arial" w:cs="Arial"/>
          <w:b/>
          <w:sz w:val="36"/>
          <w:szCs w:val="36"/>
        </w:rPr>
      </w:pPr>
    </w:p>
    <w:p w14:paraId="249510E9" w14:textId="5680196B" w:rsidR="003103DC" w:rsidRDefault="003103DC" w:rsidP="0038082E">
      <w:pPr>
        <w:rPr>
          <w:rFonts w:ascii="Arial" w:hAnsi="Arial" w:cs="Arial"/>
          <w:b/>
          <w:sz w:val="36"/>
          <w:szCs w:val="36"/>
        </w:rPr>
      </w:pPr>
    </w:p>
    <w:p w14:paraId="4D35FB75" w14:textId="62B2B2AD" w:rsidR="003103DC" w:rsidRDefault="00203F2A" w:rsidP="0038082E">
      <w:pPr>
        <w:rPr>
          <w:rFonts w:ascii="Arial" w:hAnsi="Arial" w:cs="Arial"/>
          <w:b/>
          <w:sz w:val="36"/>
          <w:szCs w:val="36"/>
        </w:rPr>
      </w:pPr>
      <w:r w:rsidRPr="00203F2A">
        <w:rPr>
          <w:noProof/>
        </w:rPr>
        <w:lastRenderedPageBreak/>
        <w:drawing>
          <wp:inline distT="0" distB="0" distL="0" distR="0" wp14:anchorId="244EBDDD" wp14:editId="29B5F149">
            <wp:extent cx="8964930" cy="356489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64930" cy="3564890"/>
                    </a:xfrm>
                    <a:prstGeom prst="rect">
                      <a:avLst/>
                    </a:prstGeom>
                    <a:noFill/>
                    <a:ln>
                      <a:noFill/>
                    </a:ln>
                  </pic:spPr>
                </pic:pic>
              </a:graphicData>
            </a:graphic>
          </wp:inline>
        </w:drawing>
      </w:r>
    </w:p>
    <w:p w14:paraId="39B3885C" w14:textId="77777777" w:rsidR="003103DC" w:rsidRDefault="003103DC" w:rsidP="0038082E">
      <w:pPr>
        <w:rPr>
          <w:rFonts w:ascii="Arial" w:hAnsi="Arial" w:cs="Arial"/>
          <w:b/>
          <w:sz w:val="36"/>
          <w:szCs w:val="36"/>
        </w:rPr>
      </w:pPr>
    </w:p>
    <w:p w14:paraId="3A6D8E57" w14:textId="43F63C62" w:rsidR="003103DC" w:rsidRDefault="003103DC" w:rsidP="0038082E">
      <w:pPr>
        <w:rPr>
          <w:rFonts w:ascii="Arial" w:hAnsi="Arial" w:cs="Arial"/>
          <w:b/>
          <w:sz w:val="36"/>
          <w:szCs w:val="36"/>
        </w:rPr>
      </w:pPr>
    </w:p>
    <w:p w14:paraId="587764A6" w14:textId="77777777" w:rsidR="00203F2A" w:rsidRDefault="00203F2A" w:rsidP="0038082E">
      <w:pPr>
        <w:rPr>
          <w:rFonts w:ascii="Arial" w:hAnsi="Arial" w:cs="Arial"/>
          <w:b/>
          <w:sz w:val="36"/>
          <w:szCs w:val="36"/>
        </w:rPr>
      </w:pPr>
    </w:p>
    <w:p w14:paraId="7BF87FC7" w14:textId="5D2B1B4C" w:rsidR="003103DC" w:rsidRDefault="003103DC" w:rsidP="0038082E">
      <w:pPr>
        <w:rPr>
          <w:rFonts w:ascii="Arial" w:hAnsi="Arial" w:cs="Arial"/>
          <w:b/>
          <w:sz w:val="36"/>
          <w:szCs w:val="36"/>
        </w:rPr>
      </w:pPr>
    </w:p>
    <w:p w14:paraId="59C32B64" w14:textId="77777777" w:rsidR="00203F2A" w:rsidRDefault="00203F2A" w:rsidP="0038082E">
      <w:pPr>
        <w:rPr>
          <w:rFonts w:ascii="Arial" w:hAnsi="Arial" w:cs="Arial"/>
          <w:b/>
          <w:sz w:val="36"/>
          <w:szCs w:val="36"/>
        </w:rPr>
      </w:pPr>
    </w:p>
    <w:p w14:paraId="5FA232F0" w14:textId="77777777" w:rsidR="003103DC" w:rsidRDefault="003103DC" w:rsidP="0038082E">
      <w:pPr>
        <w:rPr>
          <w:rFonts w:ascii="Arial" w:hAnsi="Arial" w:cs="Arial"/>
          <w:b/>
          <w:sz w:val="36"/>
          <w:szCs w:val="36"/>
        </w:rPr>
      </w:pPr>
    </w:p>
    <w:p w14:paraId="31B39A39" w14:textId="5E703A7D" w:rsidR="003103DC" w:rsidRDefault="003103DC" w:rsidP="0038082E">
      <w:pPr>
        <w:rPr>
          <w:rFonts w:ascii="Arial" w:hAnsi="Arial" w:cs="Arial"/>
          <w:b/>
          <w:sz w:val="36"/>
          <w:szCs w:val="36"/>
        </w:rPr>
      </w:pPr>
    </w:p>
    <w:p w14:paraId="1280A8FA" w14:textId="77777777" w:rsidR="00A106AE" w:rsidRDefault="00A106AE" w:rsidP="0038082E">
      <w:pPr>
        <w:rPr>
          <w:rFonts w:ascii="Arial" w:hAnsi="Arial" w:cs="Arial"/>
          <w:b/>
          <w:sz w:val="36"/>
          <w:szCs w:val="36"/>
        </w:rPr>
      </w:pPr>
    </w:p>
    <w:p w14:paraId="571090FA" w14:textId="020CFEDF" w:rsidR="003103DC" w:rsidRDefault="003103DC" w:rsidP="003103DC">
      <w:pPr>
        <w:rPr>
          <w:rFonts w:ascii="Arial" w:hAnsi="Arial" w:cs="Arial"/>
          <w:b/>
          <w:bCs/>
        </w:rPr>
      </w:pPr>
      <w:r w:rsidRPr="003103DC">
        <w:rPr>
          <w:rFonts w:ascii="Arial" w:hAnsi="Arial" w:cs="Arial"/>
          <w:b/>
          <w:bCs/>
        </w:rPr>
        <w:lastRenderedPageBreak/>
        <w:t>Movements on balances</w:t>
      </w:r>
    </w:p>
    <w:p w14:paraId="3196B245" w14:textId="77777777" w:rsidR="003103DC" w:rsidRPr="003103DC" w:rsidRDefault="003103DC" w:rsidP="003103DC">
      <w:pPr>
        <w:rPr>
          <w:rFonts w:ascii="Arial" w:hAnsi="Arial" w:cs="Arial"/>
        </w:rPr>
      </w:pPr>
      <w:r w:rsidRPr="003103DC">
        <w:rPr>
          <w:rFonts w:ascii="Arial" w:hAnsi="Arial" w:cs="Arial"/>
        </w:rPr>
        <w:t>In accordance with the temporary relief offered by the Update to the Code of Practice on infrastructure assets, this note does not include disclosure of gross cost and accumulated depreciation for infrastructure assets because historical reporting practices and resultant information deficits mean that this would not faithfully represent the asset position to the users of the financial statements.</w:t>
      </w:r>
    </w:p>
    <w:p w14:paraId="7D41C6AC" w14:textId="77777777" w:rsidR="003103DC" w:rsidRPr="003103DC" w:rsidRDefault="003103DC" w:rsidP="003103DC">
      <w:pPr>
        <w:rPr>
          <w:rFonts w:ascii="Arial" w:hAnsi="Arial" w:cs="Arial"/>
        </w:rPr>
      </w:pPr>
    </w:p>
    <w:p w14:paraId="5F6FAADF" w14:textId="59B65E6F" w:rsidR="003103DC" w:rsidRDefault="003103DC" w:rsidP="003103DC">
      <w:pPr>
        <w:rPr>
          <w:rFonts w:ascii="Arial" w:hAnsi="Arial" w:cs="Arial"/>
        </w:rPr>
      </w:pPr>
      <w:r w:rsidRPr="003103DC">
        <w:rPr>
          <w:rFonts w:ascii="Arial" w:hAnsi="Arial" w:cs="Arial"/>
        </w:rPr>
        <w:t xml:space="preserve">The authority has chosen not to disclose this information as the previously reported practices and resultant information deficits mean that gross cost and accumulated depreciation are not measured accurately and would not provide the basis for the users of the financial statements to take economic or other decisions relating to infrastructure assets. </w:t>
      </w:r>
    </w:p>
    <w:p w14:paraId="7CB95ECD" w14:textId="77777777" w:rsidR="00CB4346" w:rsidRDefault="00CB4346" w:rsidP="003103DC">
      <w:pPr>
        <w:rPr>
          <w:rFonts w:ascii="Arial" w:hAnsi="Arial" w:cs="Arial"/>
        </w:rPr>
      </w:pPr>
    </w:p>
    <w:p w14:paraId="191C6772" w14:textId="4193048C" w:rsidR="003103DC" w:rsidRDefault="00CB4346" w:rsidP="003103DC">
      <w:pPr>
        <w:rPr>
          <w:rFonts w:ascii="Arial" w:hAnsi="Arial" w:cs="Arial"/>
        </w:rPr>
      </w:pPr>
      <w:r w:rsidRPr="00CB4346">
        <w:rPr>
          <w:noProof/>
        </w:rPr>
        <w:drawing>
          <wp:inline distT="0" distB="0" distL="0" distR="0" wp14:anchorId="45327771" wp14:editId="2745F349">
            <wp:extent cx="5971540" cy="1375410"/>
            <wp:effectExtent l="0" t="0" r="0" b="0"/>
            <wp:docPr id="646860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1540" cy="1375410"/>
                    </a:xfrm>
                    <a:prstGeom prst="rect">
                      <a:avLst/>
                    </a:prstGeom>
                    <a:noFill/>
                    <a:ln>
                      <a:noFill/>
                    </a:ln>
                  </pic:spPr>
                </pic:pic>
              </a:graphicData>
            </a:graphic>
          </wp:inline>
        </w:drawing>
      </w:r>
    </w:p>
    <w:p w14:paraId="52AE9AED" w14:textId="68FA43BD" w:rsidR="000121F2" w:rsidRDefault="000121F2" w:rsidP="003103DC">
      <w:pPr>
        <w:rPr>
          <w:rFonts w:ascii="Arial" w:hAnsi="Arial" w:cs="Arial"/>
        </w:rPr>
      </w:pPr>
    </w:p>
    <w:p w14:paraId="39EFC6CA" w14:textId="6AEA23B5" w:rsidR="000121F2" w:rsidRDefault="000121F2" w:rsidP="003103DC">
      <w:pPr>
        <w:rPr>
          <w:rFonts w:ascii="Arial" w:hAnsi="Arial" w:cs="Arial"/>
        </w:rPr>
      </w:pPr>
      <w:r>
        <w:rPr>
          <w:rFonts w:ascii="Arial" w:hAnsi="Arial" w:cs="Arial"/>
        </w:rPr>
        <w:t>Balance Sheet reconciling note:</w:t>
      </w:r>
    </w:p>
    <w:p w14:paraId="724E5B60" w14:textId="77777777" w:rsidR="00CB4346" w:rsidRDefault="00CB4346" w:rsidP="003103DC">
      <w:pPr>
        <w:rPr>
          <w:rFonts w:ascii="Arial" w:hAnsi="Arial" w:cs="Arial"/>
        </w:rPr>
      </w:pPr>
    </w:p>
    <w:p w14:paraId="0C1EF19D" w14:textId="708BBC66" w:rsidR="000121F2" w:rsidRDefault="00CB4346" w:rsidP="003103DC">
      <w:pPr>
        <w:rPr>
          <w:rFonts w:ascii="Arial" w:hAnsi="Arial" w:cs="Arial"/>
        </w:rPr>
      </w:pPr>
      <w:r w:rsidRPr="00CB4346">
        <w:rPr>
          <w:noProof/>
        </w:rPr>
        <w:drawing>
          <wp:inline distT="0" distB="0" distL="0" distR="0" wp14:anchorId="213212E6" wp14:editId="6D36F617">
            <wp:extent cx="5971540" cy="803275"/>
            <wp:effectExtent l="0" t="0" r="0" b="0"/>
            <wp:docPr id="149131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1540" cy="803275"/>
                    </a:xfrm>
                    <a:prstGeom prst="rect">
                      <a:avLst/>
                    </a:prstGeom>
                    <a:noFill/>
                    <a:ln>
                      <a:noFill/>
                    </a:ln>
                  </pic:spPr>
                </pic:pic>
              </a:graphicData>
            </a:graphic>
          </wp:inline>
        </w:drawing>
      </w:r>
    </w:p>
    <w:p w14:paraId="4920777F" w14:textId="79813209" w:rsidR="003103DC" w:rsidRDefault="003103DC" w:rsidP="003103DC">
      <w:pPr>
        <w:rPr>
          <w:rFonts w:ascii="Arial" w:hAnsi="Arial" w:cs="Arial"/>
        </w:rPr>
      </w:pPr>
    </w:p>
    <w:p w14:paraId="368654FB" w14:textId="4984844E" w:rsidR="003103DC" w:rsidRDefault="003103DC" w:rsidP="003103DC">
      <w:pPr>
        <w:rPr>
          <w:rFonts w:ascii="Arial" w:hAnsi="Arial" w:cs="Arial"/>
        </w:rPr>
      </w:pPr>
    </w:p>
    <w:p w14:paraId="1FD72E98" w14:textId="77777777" w:rsidR="00D2560A" w:rsidRDefault="00D2560A" w:rsidP="00D2560A">
      <w:pPr>
        <w:rPr>
          <w:rFonts w:ascii="Arial" w:hAnsi="Arial" w:cs="Arial"/>
        </w:rPr>
      </w:pPr>
      <w:r w:rsidRPr="003103DC">
        <w:rPr>
          <w:rFonts w:ascii="Arial" w:hAnsi="Arial" w:cs="Arial"/>
        </w:rPr>
        <w:t xml:space="preserve">The authority has determined in accordance with </w:t>
      </w:r>
      <w:r>
        <w:rPr>
          <w:rFonts w:ascii="Arial" w:hAnsi="Arial" w:cs="Arial"/>
        </w:rPr>
        <w:t xml:space="preserve">the England amendment </w:t>
      </w:r>
      <w:r w:rsidRPr="003103DC">
        <w:rPr>
          <w:rFonts w:ascii="Arial" w:hAnsi="Arial" w:cs="Arial"/>
        </w:rPr>
        <w:t>of the Local Authorities Capital Finance and Accounting</w:t>
      </w:r>
      <w:r>
        <w:rPr>
          <w:rFonts w:ascii="Arial" w:hAnsi="Arial" w:cs="Arial"/>
        </w:rPr>
        <w:t xml:space="preserve"> </w:t>
      </w:r>
      <w:r w:rsidRPr="003103DC">
        <w:rPr>
          <w:rFonts w:ascii="Arial" w:hAnsi="Arial" w:cs="Arial"/>
        </w:rPr>
        <w:t>Regulations 2022 that the carrying amounts to be derecognised for infrastructure assets when there is replacement expenditure is nil.</w:t>
      </w:r>
    </w:p>
    <w:p w14:paraId="7BD46FEF" w14:textId="77777777" w:rsidR="00D2560A" w:rsidRPr="003103DC" w:rsidRDefault="00D2560A" w:rsidP="003103DC">
      <w:pPr>
        <w:rPr>
          <w:rFonts w:ascii="Arial" w:hAnsi="Arial" w:cs="Arial"/>
        </w:rPr>
      </w:pPr>
    </w:p>
    <w:p w14:paraId="6682A6D2" w14:textId="3D46A227" w:rsidR="003103DC" w:rsidRDefault="003103DC" w:rsidP="003103DC">
      <w:pPr>
        <w:rPr>
          <w:rFonts w:ascii="Arial" w:hAnsi="Arial" w:cs="Arial"/>
        </w:rPr>
      </w:pPr>
    </w:p>
    <w:p w14:paraId="4F87417C" w14:textId="305EAB70" w:rsidR="007F381A" w:rsidRPr="0007572B" w:rsidRDefault="00C01247" w:rsidP="0038082E">
      <w:pPr>
        <w:pStyle w:val="Heading3greennumbered"/>
      </w:pPr>
      <w:bookmarkStart w:id="149" w:name="_Toc92894893"/>
      <w:bookmarkStart w:id="150" w:name="_Toc92895197"/>
      <w:bookmarkStart w:id="151" w:name="_Toc109922631"/>
      <w:r w:rsidRPr="0007572B">
        <w:lastRenderedPageBreak/>
        <w:t>21</w:t>
      </w:r>
      <w:r w:rsidR="007F381A" w:rsidRPr="0007572B">
        <w:t xml:space="preserve"> </w:t>
      </w:r>
      <w:r w:rsidR="006301F8" w:rsidRPr="0007572B">
        <w:t>Intangible Assets</w:t>
      </w:r>
      <w:bookmarkEnd w:id="149"/>
      <w:bookmarkEnd w:id="150"/>
      <w:bookmarkEnd w:id="151"/>
    </w:p>
    <w:p w14:paraId="6171A2C8" w14:textId="77777777" w:rsidR="00CB4346" w:rsidRDefault="00CB4346" w:rsidP="0038082E">
      <w:pPr>
        <w:rPr>
          <w:rFonts w:ascii="Arial" w:hAnsi="Arial" w:cs="Arial"/>
        </w:rPr>
      </w:pPr>
    </w:p>
    <w:p w14:paraId="41FDE929" w14:textId="6E76DFB9" w:rsidR="006301F8" w:rsidRPr="0007572B" w:rsidRDefault="006301F8" w:rsidP="0038082E">
      <w:pPr>
        <w:rPr>
          <w:rFonts w:ascii="Arial" w:hAnsi="Arial" w:cs="Arial"/>
        </w:rPr>
      </w:pPr>
      <w:r w:rsidRPr="0007572B">
        <w:rPr>
          <w:rFonts w:ascii="Arial" w:hAnsi="Arial" w:cs="Arial"/>
        </w:rPr>
        <w:t xml:space="preserve">The Authority accounts for its software as intangible assets, to the extent that the software is not an integral part of a particular IT system and accounted for as part of the hardware item of property, plant and equipment. The intangible assets are purchased licenses. </w:t>
      </w:r>
    </w:p>
    <w:p w14:paraId="2858B524" w14:textId="33B48D8E" w:rsidR="006301F8" w:rsidRPr="0007572B" w:rsidRDefault="006301F8" w:rsidP="0038082E">
      <w:pPr>
        <w:rPr>
          <w:rFonts w:ascii="Arial" w:hAnsi="Arial" w:cs="Arial"/>
        </w:rPr>
      </w:pPr>
    </w:p>
    <w:p w14:paraId="30A74D77" w14:textId="6DC3AEB9" w:rsidR="006301F8" w:rsidRPr="0007572B" w:rsidRDefault="006301F8" w:rsidP="0038082E">
      <w:pPr>
        <w:rPr>
          <w:rFonts w:ascii="Arial" w:hAnsi="Arial" w:cs="Arial"/>
        </w:rPr>
      </w:pPr>
      <w:r w:rsidRPr="0007572B">
        <w:rPr>
          <w:rFonts w:ascii="Arial" w:hAnsi="Arial" w:cs="Arial"/>
        </w:rPr>
        <w:t>All software is given a finite useful life, based on assessments of the period that the software is expected to be used by the Authority. The useful lives assigned to the major software suites used by the Authority are:</w:t>
      </w:r>
    </w:p>
    <w:p w14:paraId="0712D08B" w14:textId="448EF4E8" w:rsidR="006301F8" w:rsidRPr="0007572B" w:rsidRDefault="006301F8" w:rsidP="0038082E">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317"/>
      </w:tblGrid>
      <w:tr w:rsidR="006301F8" w:rsidRPr="0007572B" w14:paraId="446AA16B" w14:textId="77777777" w:rsidTr="002E1BEE">
        <w:tc>
          <w:tcPr>
            <w:tcW w:w="7083" w:type="dxa"/>
          </w:tcPr>
          <w:p w14:paraId="68D2B622" w14:textId="16067371" w:rsidR="006301F8" w:rsidRPr="0007572B" w:rsidRDefault="006301F8" w:rsidP="0038082E">
            <w:pPr>
              <w:rPr>
                <w:rFonts w:ascii="Arial" w:hAnsi="Arial" w:cs="Arial"/>
              </w:rPr>
            </w:pPr>
            <w:r w:rsidRPr="0007572B">
              <w:rPr>
                <w:rFonts w:ascii="Arial" w:hAnsi="Arial" w:cs="Arial"/>
              </w:rPr>
              <w:t>Assets attributable to the Fire and Rescue Services</w:t>
            </w:r>
          </w:p>
        </w:tc>
        <w:tc>
          <w:tcPr>
            <w:tcW w:w="2317" w:type="dxa"/>
          </w:tcPr>
          <w:p w14:paraId="76A21E20" w14:textId="12CA62AD" w:rsidR="006301F8" w:rsidRPr="0007572B" w:rsidRDefault="002E1BEE" w:rsidP="0038082E">
            <w:pPr>
              <w:rPr>
                <w:rFonts w:ascii="Arial" w:hAnsi="Arial" w:cs="Arial"/>
              </w:rPr>
            </w:pPr>
            <w:r w:rsidRPr="0007572B">
              <w:rPr>
                <w:rFonts w:ascii="Arial" w:hAnsi="Arial" w:cs="Arial"/>
              </w:rPr>
              <w:t>3 to 10 years</w:t>
            </w:r>
          </w:p>
        </w:tc>
      </w:tr>
      <w:tr w:rsidR="006301F8" w:rsidRPr="0007572B" w14:paraId="36A3B856" w14:textId="77777777" w:rsidTr="002E1BEE">
        <w:tc>
          <w:tcPr>
            <w:tcW w:w="7083" w:type="dxa"/>
          </w:tcPr>
          <w:p w14:paraId="49BF6002" w14:textId="2A8F7DD4" w:rsidR="006301F8" w:rsidRPr="0007572B" w:rsidRDefault="002E1BEE" w:rsidP="0038082E">
            <w:pPr>
              <w:rPr>
                <w:rFonts w:ascii="Arial" w:hAnsi="Arial" w:cs="Arial"/>
              </w:rPr>
            </w:pPr>
            <w:r w:rsidRPr="0007572B">
              <w:rPr>
                <w:rFonts w:ascii="Arial" w:hAnsi="Arial" w:cs="Arial"/>
              </w:rPr>
              <w:t>Assets attributable to the Policing Service</w:t>
            </w:r>
          </w:p>
        </w:tc>
        <w:tc>
          <w:tcPr>
            <w:tcW w:w="2317" w:type="dxa"/>
          </w:tcPr>
          <w:p w14:paraId="4DD31A45" w14:textId="713BA48A" w:rsidR="006301F8" w:rsidRPr="0007572B" w:rsidRDefault="002E1BEE" w:rsidP="0038082E">
            <w:pPr>
              <w:rPr>
                <w:rFonts w:ascii="Arial" w:hAnsi="Arial" w:cs="Arial"/>
              </w:rPr>
            </w:pPr>
            <w:r w:rsidRPr="0007572B">
              <w:rPr>
                <w:rFonts w:ascii="Arial" w:hAnsi="Arial" w:cs="Arial"/>
              </w:rPr>
              <w:t>5 years</w:t>
            </w:r>
          </w:p>
        </w:tc>
      </w:tr>
      <w:tr w:rsidR="002E1BEE" w:rsidRPr="0007572B" w14:paraId="131E4420" w14:textId="77777777" w:rsidTr="002E1BEE">
        <w:tc>
          <w:tcPr>
            <w:tcW w:w="7083" w:type="dxa"/>
          </w:tcPr>
          <w:p w14:paraId="41E38AF7" w14:textId="3D02FE07" w:rsidR="002E1BEE" w:rsidRPr="0007572B" w:rsidRDefault="002E1BEE" w:rsidP="0038082E">
            <w:pPr>
              <w:rPr>
                <w:rFonts w:ascii="Arial" w:hAnsi="Arial" w:cs="Arial"/>
              </w:rPr>
            </w:pPr>
            <w:r w:rsidRPr="0007572B">
              <w:rPr>
                <w:rFonts w:ascii="Arial" w:hAnsi="Arial" w:cs="Arial"/>
              </w:rPr>
              <w:t>Assets attributable to the Waste Disposal Services</w:t>
            </w:r>
          </w:p>
        </w:tc>
        <w:tc>
          <w:tcPr>
            <w:tcW w:w="2317" w:type="dxa"/>
          </w:tcPr>
          <w:p w14:paraId="515709C2" w14:textId="30993463" w:rsidR="002E1BEE" w:rsidRPr="0007572B" w:rsidRDefault="002E1BEE" w:rsidP="0038082E">
            <w:pPr>
              <w:rPr>
                <w:rFonts w:ascii="Arial" w:hAnsi="Arial" w:cs="Arial"/>
              </w:rPr>
            </w:pPr>
            <w:r w:rsidRPr="0007572B">
              <w:rPr>
                <w:rFonts w:ascii="Arial" w:hAnsi="Arial" w:cs="Arial"/>
              </w:rPr>
              <w:t>5 years</w:t>
            </w:r>
          </w:p>
        </w:tc>
      </w:tr>
    </w:tbl>
    <w:p w14:paraId="3B563E13" w14:textId="6073A1C2" w:rsidR="006301F8" w:rsidRPr="0007572B" w:rsidRDefault="006301F8" w:rsidP="0038082E">
      <w:pPr>
        <w:rPr>
          <w:rFonts w:ascii="Arial" w:hAnsi="Arial" w:cs="Arial"/>
        </w:rPr>
      </w:pPr>
    </w:p>
    <w:p w14:paraId="4F1171A2" w14:textId="2EAB908F" w:rsidR="002E1BEE" w:rsidRPr="0007572B" w:rsidRDefault="002E1BEE" w:rsidP="0038082E">
      <w:pPr>
        <w:rPr>
          <w:rFonts w:ascii="Arial" w:hAnsi="Arial" w:cs="Arial"/>
        </w:rPr>
      </w:pPr>
      <w:r w:rsidRPr="0007572B">
        <w:rPr>
          <w:rFonts w:ascii="Arial" w:hAnsi="Arial" w:cs="Arial"/>
        </w:rPr>
        <w:t>The carrying amounts of intangible assets is amortised on a straight</w:t>
      </w:r>
      <w:r w:rsidR="00831A0A">
        <w:rPr>
          <w:rFonts w:ascii="Arial" w:hAnsi="Arial" w:cs="Arial"/>
        </w:rPr>
        <w:t>-</w:t>
      </w:r>
      <w:r w:rsidRPr="0007572B">
        <w:rPr>
          <w:rFonts w:ascii="Arial" w:hAnsi="Arial" w:cs="Arial"/>
        </w:rPr>
        <w:t>line basis. Amortisation has been charged to service headings in the cost of services as follows:</w:t>
      </w:r>
    </w:p>
    <w:p w14:paraId="4775CC5A" w14:textId="6B1FE40A" w:rsidR="002E1BEE" w:rsidRPr="0007572B" w:rsidRDefault="002E1BEE" w:rsidP="0038082E">
      <w:pPr>
        <w:rPr>
          <w:rFonts w:ascii="Arial" w:hAnsi="Arial" w:cs="Arial"/>
          <w:sz w:val="22"/>
          <w:szCs w:val="22"/>
        </w:rPr>
      </w:pPr>
    </w:p>
    <w:p w14:paraId="417C429A" w14:textId="39310036" w:rsidR="00CB302B" w:rsidRPr="0007572B" w:rsidRDefault="005D4E9A" w:rsidP="0038082E">
      <w:pPr>
        <w:rPr>
          <w:rFonts w:ascii="Arial" w:hAnsi="Arial" w:cs="Arial"/>
          <w:sz w:val="22"/>
          <w:szCs w:val="22"/>
        </w:rPr>
      </w:pPr>
      <w:r w:rsidRPr="005D4E9A">
        <w:rPr>
          <w:noProof/>
        </w:rPr>
        <w:drawing>
          <wp:inline distT="0" distB="0" distL="0" distR="0" wp14:anchorId="394B5364" wp14:editId="288A2B27">
            <wp:extent cx="2965450" cy="641350"/>
            <wp:effectExtent l="0" t="0" r="6350" b="635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5450" cy="641350"/>
                    </a:xfrm>
                    <a:prstGeom prst="rect">
                      <a:avLst/>
                    </a:prstGeom>
                    <a:noFill/>
                    <a:ln>
                      <a:noFill/>
                    </a:ln>
                  </pic:spPr>
                </pic:pic>
              </a:graphicData>
            </a:graphic>
          </wp:inline>
        </w:drawing>
      </w:r>
    </w:p>
    <w:p w14:paraId="6425E9F2" w14:textId="77777777" w:rsidR="00057EEC" w:rsidRPr="0007572B" w:rsidRDefault="00057EEC" w:rsidP="0038082E">
      <w:pPr>
        <w:rPr>
          <w:rFonts w:ascii="Arial" w:hAnsi="Arial" w:cs="Arial"/>
          <w:sz w:val="22"/>
          <w:szCs w:val="22"/>
        </w:rPr>
      </w:pPr>
    </w:p>
    <w:p w14:paraId="1D4C4EDC" w14:textId="77777777" w:rsidR="00203F2A" w:rsidRDefault="00203F2A" w:rsidP="0038082E">
      <w:pPr>
        <w:rPr>
          <w:rFonts w:ascii="Arial" w:hAnsi="Arial" w:cs="Arial"/>
        </w:rPr>
      </w:pPr>
    </w:p>
    <w:p w14:paraId="4E0F8FA3" w14:textId="77777777" w:rsidR="00203F2A" w:rsidRDefault="00203F2A" w:rsidP="0038082E">
      <w:pPr>
        <w:rPr>
          <w:rFonts w:ascii="Arial" w:hAnsi="Arial" w:cs="Arial"/>
        </w:rPr>
      </w:pPr>
    </w:p>
    <w:p w14:paraId="76221172" w14:textId="77777777" w:rsidR="00203F2A" w:rsidRDefault="00203F2A" w:rsidP="0038082E">
      <w:pPr>
        <w:rPr>
          <w:rFonts w:ascii="Arial" w:hAnsi="Arial" w:cs="Arial"/>
        </w:rPr>
      </w:pPr>
    </w:p>
    <w:p w14:paraId="037F2D83" w14:textId="77777777" w:rsidR="00203F2A" w:rsidRDefault="00203F2A" w:rsidP="0038082E">
      <w:pPr>
        <w:rPr>
          <w:rFonts w:ascii="Arial" w:hAnsi="Arial" w:cs="Arial"/>
        </w:rPr>
      </w:pPr>
    </w:p>
    <w:p w14:paraId="75A294D3" w14:textId="77777777" w:rsidR="00203F2A" w:rsidRDefault="00203F2A" w:rsidP="0038082E">
      <w:pPr>
        <w:rPr>
          <w:rFonts w:ascii="Arial" w:hAnsi="Arial" w:cs="Arial"/>
        </w:rPr>
      </w:pPr>
    </w:p>
    <w:p w14:paraId="66320660" w14:textId="77777777" w:rsidR="00203F2A" w:rsidRDefault="00203F2A" w:rsidP="0038082E">
      <w:pPr>
        <w:rPr>
          <w:rFonts w:ascii="Arial" w:hAnsi="Arial" w:cs="Arial"/>
        </w:rPr>
      </w:pPr>
    </w:p>
    <w:p w14:paraId="26FFA541" w14:textId="77777777" w:rsidR="00203F2A" w:rsidRDefault="00203F2A" w:rsidP="0038082E">
      <w:pPr>
        <w:rPr>
          <w:rFonts w:ascii="Arial" w:hAnsi="Arial" w:cs="Arial"/>
        </w:rPr>
      </w:pPr>
    </w:p>
    <w:p w14:paraId="413B735A" w14:textId="77777777" w:rsidR="00203F2A" w:rsidRDefault="00203F2A" w:rsidP="0038082E">
      <w:pPr>
        <w:rPr>
          <w:rFonts w:ascii="Arial" w:hAnsi="Arial" w:cs="Arial"/>
        </w:rPr>
      </w:pPr>
    </w:p>
    <w:p w14:paraId="426480F6" w14:textId="77777777" w:rsidR="00203F2A" w:rsidRDefault="00203F2A" w:rsidP="0038082E">
      <w:pPr>
        <w:rPr>
          <w:rFonts w:ascii="Arial" w:hAnsi="Arial" w:cs="Arial"/>
        </w:rPr>
      </w:pPr>
    </w:p>
    <w:p w14:paraId="32AAE76D" w14:textId="6CDF30F2" w:rsidR="00203F2A" w:rsidRDefault="00203F2A" w:rsidP="0038082E">
      <w:pPr>
        <w:rPr>
          <w:rFonts w:ascii="Arial" w:hAnsi="Arial" w:cs="Arial"/>
        </w:rPr>
      </w:pPr>
    </w:p>
    <w:p w14:paraId="4965A19C" w14:textId="77777777" w:rsidR="00A106AE" w:rsidRDefault="00A106AE" w:rsidP="0038082E">
      <w:pPr>
        <w:rPr>
          <w:rFonts w:ascii="Arial" w:hAnsi="Arial" w:cs="Arial"/>
        </w:rPr>
      </w:pPr>
    </w:p>
    <w:p w14:paraId="13613AEB" w14:textId="77777777" w:rsidR="00203F2A" w:rsidRDefault="00203F2A" w:rsidP="0038082E">
      <w:pPr>
        <w:rPr>
          <w:rFonts w:ascii="Arial" w:hAnsi="Arial" w:cs="Arial"/>
        </w:rPr>
      </w:pPr>
    </w:p>
    <w:p w14:paraId="04196B9B" w14:textId="617CFF76" w:rsidR="002E1BEE" w:rsidRDefault="002E1BEE" w:rsidP="0038082E">
      <w:pPr>
        <w:rPr>
          <w:rFonts w:ascii="Arial" w:hAnsi="Arial" w:cs="Arial"/>
        </w:rPr>
      </w:pPr>
      <w:r w:rsidRPr="0007572B">
        <w:rPr>
          <w:rFonts w:ascii="Arial" w:hAnsi="Arial" w:cs="Arial"/>
        </w:rPr>
        <w:t>The movement on intangible asset balances during the year is as follows:</w:t>
      </w:r>
    </w:p>
    <w:p w14:paraId="20858D32" w14:textId="77777777" w:rsidR="00F4439B" w:rsidRDefault="00F4439B" w:rsidP="0038082E">
      <w:pPr>
        <w:rPr>
          <w:rFonts w:ascii="Arial" w:hAnsi="Arial" w:cs="Arial"/>
        </w:rPr>
      </w:pPr>
    </w:p>
    <w:p w14:paraId="5C2D2670" w14:textId="1FF4E8DF" w:rsidR="00F95397" w:rsidRDefault="00F95397" w:rsidP="0038082E">
      <w:pPr>
        <w:rPr>
          <w:rFonts w:ascii="Arial" w:hAnsi="Arial" w:cs="Arial"/>
        </w:rPr>
      </w:pPr>
      <w:r w:rsidRPr="00F95397">
        <w:rPr>
          <w:noProof/>
        </w:rPr>
        <w:drawing>
          <wp:inline distT="0" distB="0" distL="0" distR="0" wp14:anchorId="668D7952" wp14:editId="4E39F18F">
            <wp:extent cx="7867650" cy="294322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67650" cy="2943225"/>
                    </a:xfrm>
                    <a:prstGeom prst="rect">
                      <a:avLst/>
                    </a:prstGeom>
                    <a:noFill/>
                    <a:ln>
                      <a:noFill/>
                    </a:ln>
                  </pic:spPr>
                </pic:pic>
              </a:graphicData>
            </a:graphic>
          </wp:inline>
        </w:drawing>
      </w:r>
    </w:p>
    <w:p w14:paraId="74352874" w14:textId="77777777" w:rsidR="00F95397" w:rsidRPr="0007572B" w:rsidRDefault="00F95397" w:rsidP="0038082E">
      <w:pPr>
        <w:rPr>
          <w:rFonts w:ascii="Arial" w:hAnsi="Arial" w:cs="Arial"/>
        </w:rPr>
      </w:pPr>
    </w:p>
    <w:p w14:paraId="446E5516" w14:textId="5B78A0E6" w:rsidR="002E1BEE" w:rsidRPr="0007572B" w:rsidRDefault="002E1BEE" w:rsidP="0038082E">
      <w:pPr>
        <w:rPr>
          <w:rFonts w:ascii="Arial" w:hAnsi="Arial" w:cs="Arial"/>
          <w:sz w:val="22"/>
          <w:szCs w:val="22"/>
        </w:rPr>
      </w:pPr>
    </w:p>
    <w:p w14:paraId="35BAD77C" w14:textId="50E85454" w:rsidR="00057EEC" w:rsidRPr="0007572B" w:rsidRDefault="002E1BEE" w:rsidP="0038082E">
      <w:pPr>
        <w:rPr>
          <w:rFonts w:ascii="Arial" w:hAnsi="Arial" w:cs="Arial"/>
        </w:rPr>
      </w:pPr>
      <w:r w:rsidRPr="0007572B">
        <w:rPr>
          <w:rFonts w:ascii="Arial" w:hAnsi="Arial" w:cs="Arial"/>
        </w:rPr>
        <w:t xml:space="preserve">There is one capitalised software suite that is individually material to the financial statements: The Information Services Transformation Programme had a </w:t>
      </w:r>
      <w:r w:rsidR="00951938">
        <w:rPr>
          <w:rFonts w:ascii="Arial" w:hAnsi="Arial" w:cs="Arial"/>
        </w:rPr>
        <w:t xml:space="preserve">gross </w:t>
      </w:r>
      <w:r w:rsidRPr="0007572B">
        <w:rPr>
          <w:rFonts w:ascii="Arial" w:hAnsi="Arial" w:cs="Arial"/>
        </w:rPr>
        <w:t>carrying amount of £</w:t>
      </w:r>
      <w:r w:rsidR="00B74D26" w:rsidRPr="0007572B">
        <w:rPr>
          <w:rFonts w:ascii="Arial" w:hAnsi="Arial" w:cs="Arial"/>
        </w:rPr>
        <w:t>2</w:t>
      </w:r>
      <w:r w:rsidR="002F037F">
        <w:rPr>
          <w:rFonts w:ascii="Arial" w:hAnsi="Arial" w:cs="Arial"/>
        </w:rPr>
        <w:t>5</w:t>
      </w:r>
      <w:r w:rsidRPr="0007572B">
        <w:rPr>
          <w:rFonts w:ascii="Arial" w:hAnsi="Arial" w:cs="Arial"/>
        </w:rPr>
        <w:t>.</w:t>
      </w:r>
      <w:r w:rsidR="002F037F">
        <w:rPr>
          <w:rFonts w:ascii="Arial" w:hAnsi="Arial" w:cs="Arial"/>
        </w:rPr>
        <w:t>306</w:t>
      </w:r>
      <w:r w:rsidRPr="0007572B">
        <w:rPr>
          <w:rFonts w:ascii="Arial" w:hAnsi="Arial" w:cs="Arial"/>
        </w:rPr>
        <w:t>m at 31 March 202</w:t>
      </w:r>
      <w:r w:rsidR="002F037F">
        <w:rPr>
          <w:rFonts w:ascii="Arial" w:hAnsi="Arial" w:cs="Arial"/>
        </w:rPr>
        <w:t>2</w:t>
      </w:r>
      <w:r w:rsidRPr="0007572B">
        <w:rPr>
          <w:rFonts w:ascii="Arial" w:hAnsi="Arial" w:cs="Arial"/>
        </w:rPr>
        <w:t xml:space="preserve"> and a remaining amortisation period of </w:t>
      </w:r>
      <w:r w:rsidR="002F037F">
        <w:rPr>
          <w:rFonts w:ascii="Arial" w:hAnsi="Arial" w:cs="Arial"/>
        </w:rPr>
        <w:t>2</w:t>
      </w:r>
      <w:r w:rsidRPr="0007572B">
        <w:rPr>
          <w:rFonts w:ascii="Arial" w:hAnsi="Arial" w:cs="Arial"/>
        </w:rPr>
        <w:t>.5 years.</w:t>
      </w:r>
    </w:p>
    <w:p w14:paraId="42D0C996" w14:textId="77777777" w:rsidR="00CB302B" w:rsidRPr="0007572B" w:rsidRDefault="00CB302B" w:rsidP="0038082E">
      <w:pPr>
        <w:jc w:val="both"/>
        <w:rPr>
          <w:rFonts w:ascii="Arial" w:hAnsi="Arial" w:cs="Arial"/>
          <w:sz w:val="22"/>
          <w:szCs w:val="22"/>
        </w:rPr>
        <w:sectPr w:rsidR="00CB302B" w:rsidRPr="0007572B" w:rsidSect="00057EEC">
          <w:pgSz w:w="16838" w:h="11906" w:orient="landscape"/>
          <w:pgMar w:top="1080" w:right="1444" w:bottom="1416" w:left="1276" w:header="568" w:footer="567" w:gutter="0"/>
          <w:cols w:space="708"/>
          <w:docGrid w:linePitch="360"/>
        </w:sectPr>
      </w:pPr>
    </w:p>
    <w:p w14:paraId="2ED83915" w14:textId="39EB1095" w:rsidR="006301F8" w:rsidRPr="0007572B" w:rsidRDefault="006301F8" w:rsidP="0038082E">
      <w:pPr>
        <w:pStyle w:val="Heading3greennumbered"/>
      </w:pPr>
      <w:bookmarkStart w:id="152" w:name="_Toc92894894"/>
      <w:bookmarkStart w:id="153" w:name="_Toc92895198"/>
      <w:bookmarkStart w:id="154" w:name="_Toc109922632"/>
      <w:r w:rsidRPr="0007572B">
        <w:lastRenderedPageBreak/>
        <w:t>22 Short and Long Term Debtors</w:t>
      </w:r>
      <w:bookmarkEnd w:id="152"/>
      <w:bookmarkEnd w:id="153"/>
      <w:bookmarkEnd w:id="154"/>
    </w:p>
    <w:p w14:paraId="77730096" w14:textId="77777777" w:rsidR="005403AF" w:rsidRPr="005403AF" w:rsidRDefault="005403AF" w:rsidP="0038082E"/>
    <w:p w14:paraId="6ABB1988" w14:textId="782A9B52" w:rsidR="007F381A" w:rsidRPr="0007572B" w:rsidRDefault="007F381A" w:rsidP="0038082E">
      <w:pPr>
        <w:pStyle w:val="Heading4bold"/>
      </w:pPr>
      <w:r w:rsidRPr="0007572B">
        <w:t>Short Term Debtors</w:t>
      </w:r>
    </w:p>
    <w:p w14:paraId="26CF68D3" w14:textId="77777777" w:rsidR="007F381A" w:rsidRPr="0007572B" w:rsidRDefault="007F381A" w:rsidP="0038082E">
      <w:pPr>
        <w:rPr>
          <w:rFonts w:ascii="Arial" w:hAnsi="Arial" w:cs="Arial"/>
          <w:highlight w:val="yellow"/>
        </w:rPr>
      </w:pPr>
      <w:r w:rsidRPr="0007572B">
        <w:rPr>
          <w:rFonts w:ascii="Arial" w:hAnsi="Arial" w:cs="Arial"/>
        </w:rPr>
        <w:t>These are amounts owed to the Authority</w:t>
      </w:r>
      <w:r w:rsidR="00A06FE6" w:rsidRPr="0007572B">
        <w:rPr>
          <w:rFonts w:ascii="Arial" w:hAnsi="Arial" w:cs="Arial"/>
        </w:rPr>
        <w:t>,</w:t>
      </w:r>
      <w:r w:rsidRPr="0007572B">
        <w:rPr>
          <w:rFonts w:ascii="Arial" w:hAnsi="Arial" w:cs="Arial"/>
        </w:rPr>
        <w:t xml:space="preserve"> which will be repaid within a year.</w:t>
      </w:r>
    </w:p>
    <w:p w14:paraId="7DF52823" w14:textId="77777777" w:rsidR="007F381A" w:rsidRPr="0007572B" w:rsidRDefault="007F381A" w:rsidP="0038082E">
      <w:pPr>
        <w:rPr>
          <w:rFonts w:ascii="Arial" w:hAnsi="Arial" w:cs="Arial"/>
          <w:b/>
          <w:sz w:val="22"/>
          <w:szCs w:val="22"/>
        </w:rPr>
      </w:pPr>
    </w:p>
    <w:p w14:paraId="20D7F519" w14:textId="3D1575E0" w:rsidR="000C5F4E" w:rsidRPr="0007572B" w:rsidRDefault="002F037F" w:rsidP="0038082E">
      <w:pPr>
        <w:rPr>
          <w:rFonts w:ascii="Arial" w:hAnsi="Arial" w:cs="Arial"/>
          <w:b/>
          <w:sz w:val="22"/>
          <w:szCs w:val="22"/>
        </w:rPr>
      </w:pPr>
      <w:r w:rsidRPr="002F037F">
        <w:rPr>
          <w:noProof/>
        </w:rPr>
        <w:drawing>
          <wp:inline distT="0" distB="0" distL="0" distR="0" wp14:anchorId="7EFA1705" wp14:editId="262D90B7">
            <wp:extent cx="5121910" cy="15049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1910" cy="1504950"/>
                    </a:xfrm>
                    <a:prstGeom prst="rect">
                      <a:avLst/>
                    </a:prstGeom>
                    <a:noFill/>
                    <a:ln>
                      <a:noFill/>
                    </a:ln>
                  </pic:spPr>
                </pic:pic>
              </a:graphicData>
            </a:graphic>
          </wp:inline>
        </w:drawing>
      </w:r>
    </w:p>
    <w:p w14:paraId="46911DF4" w14:textId="4B64B3ED" w:rsidR="00B2139B" w:rsidRDefault="00B2139B" w:rsidP="0038082E">
      <w:pPr>
        <w:rPr>
          <w:rFonts w:ascii="Arial" w:hAnsi="Arial" w:cs="Arial"/>
          <w:b/>
        </w:rPr>
      </w:pPr>
      <w:bookmarkStart w:id="155" w:name="_Hlk109151992"/>
    </w:p>
    <w:p w14:paraId="71575845" w14:textId="6B7E1B5B" w:rsidR="00B85FBC" w:rsidRDefault="00B85FBC" w:rsidP="0038082E">
      <w:pPr>
        <w:rPr>
          <w:rFonts w:ascii="Arial" w:hAnsi="Arial" w:cs="Arial"/>
          <w:bCs/>
        </w:rPr>
      </w:pPr>
      <w:r w:rsidRPr="00AF0D29">
        <w:rPr>
          <w:rFonts w:ascii="Arial" w:hAnsi="Arial" w:cs="Arial"/>
          <w:bCs/>
        </w:rPr>
        <w:t xml:space="preserve">Other entities and individuals includes the following </w:t>
      </w:r>
      <w:r w:rsidR="00860E50" w:rsidRPr="00AF0D29">
        <w:rPr>
          <w:rFonts w:ascii="Arial" w:hAnsi="Arial" w:cs="Arial"/>
          <w:bCs/>
        </w:rPr>
        <w:t>short</w:t>
      </w:r>
      <w:r w:rsidR="00860E50">
        <w:rPr>
          <w:rFonts w:ascii="Arial" w:hAnsi="Arial" w:cs="Arial"/>
          <w:bCs/>
        </w:rPr>
        <w:t xml:space="preserve"> </w:t>
      </w:r>
      <w:r w:rsidR="00860E50" w:rsidRPr="00AF0D29">
        <w:rPr>
          <w:rFonts w:ascii="Arial" w:hAnsi="Arial" w:cs="Arial"/>
          <w:bCs/>
        </w:rPr>
        <w:t>term</w:t>
      </w:r>
      <w:r w:rsidRPr="00AF0D29">
        <w:rPr>
          <w:rFonts w:ascii="Arial" w:hAnsi="Arial" w:cs="Arial"/>
          <w:bCs/>
        </w:rPr>
        <w:t xml:space="preserve"> debtors:</w:t>
      </w:r>
    </w:p>
    <w:p w14:paraId="089AE2F7" w14:textId="77777777" w:rsidR="00AF0D29" w:rsidRPr="00AF0D29" w:rsidRDefault="00AF0D29" w:rsidP="0038082E">
      <w:pPr>
        <w:rPr>
          <w:rFonts w:ascii="Arial" w:hAnsi="Arial" w:cs="Arial"/>
          <w:bCs/>
        </w:rPr>
      </w:pPr>
    </w:p>
    <w:p w14:paraId="195FFE32" w14:textId="6E0A2039" w:rsidR="00B85FBC" w:rsidRPr="00AF0D29" w:rsidRDefault="00AF0D29" w:rsidP="00AF0D29">
      <w:pPr>
        <w:pStyle w:val="ListParagraph"/>
        <w:numPr>
          <w:ilvl w:val="0"/>
          <w:numId w:val="29"/>
        </w:numPr>
        <w:ind w:left="709"/>
        <w:rPr>
          <w:rFonts w:ascii="Arial" w:hAnsi="Arial" w:cs="Arial"/>
          <w:bCs/>
          <w:sz w:val="24"/>
          <w:szCs w:val="24"/>
        </w:rPr>
      </w:pPr>
      <w:r w:rsidRPr="00AF0D29">
        <w:rPr>
          <w:rFonts w:ascii="Arial" w:hAnsi="Arial" w:cs="Arial"/>
          <w:bCs/>
          <w:sz w:val="24"/>
          <w:szCs w:val="24"/>
        </w:rPr>
        <w:t>£7</w:t>
      </w:r>
      <w:r w:rsidR="002D41AB">
        <w:rPr>
          <w:rFonts w:ascii="Arial" w:hAnsi="Arial" w:cs="Arial"/>
          <w:bCs/>
          <w:sz w:val="24"/>
          <w:szCs w:val="24"/>
        </w:rPr>
        <w:t>0</w:t>
      </w:r>
      <w:r w:rsidRPr="00AF0D29">
        <w:rPr>
          <w:rFonts w:ascii="Arial" w:hAnsi="Arial" w:cs="Arial"/>
          <w:bCs/>
          <w:sz w:val="24"/>
          <w:szCs w:val="24"/>
        </w:rPr>
        <w:t xml:space="preserve">m where Housing Investment Fund loans have been provided to support </w:t>
      </w:r>
      <w:r w:rsidR="00CA750E">
        <w:rPr>
          <w:rFonts w:ascii="Arial" w:hAnsi="Arial" w:cs="Arial"/>
          <w:bCs/>
          <w:sz w:val="24"/>
          <w:szCs w:val="24"/>
        </w:rPr>
        <w:t>GM</w:t>
      </w:r>
      <w:r w:rsidRPr="00AF0D29">
        <w:rPr>
          <w:rFonts w:ascii="Arial" w:hAnsi="Arial" w:cs="Arial"/>
          <w:bCs/>
          <w:sz w:val="24"/>
          <w:szCs w:val="24"/>
        </w:rPr>
        <w:t>’s economic growth by supporting the delivery of new homes</w:t>
      </w:r>
      <w:r w:rsidR="002D41AB">
        <w:rPr>
          <w:rFonts w:ascii="Arial" w:hAnsi="Arial" w:cs="Arial"/>
          <w:bCs/>
          <w:sz w:val="24"/>
          <w:szCs w:val="24"/>
        </w:rPr>
        <w:t xml:space="preserve"> (£145.3m in 20/21</w:t>
      </w:r>
      <w:r w:rsidR="00860E50">
        <w:rPr>
          <w:rFonts w:ascii="Arial" w:hAnsi="Arial" w:cs="Arial"/>
          <w:bCs/>
          <w:sz w:val="24"/>
          <w:szCs w:val="24"/>
        </w:rPr>
        <w:t>)</w:t>
      </w:r>
      <w:r w:rsidR="00860E50" w:rsidRPr="00AF0D29">
        <w:rPr>
          <w:rFonts w:ascii="Arial" w:hAnsi="Arial" w:cs="Arial"/>
          <w:bCs/>
          <w:sz w:val="24"/>
          <w:szCs w:val="24"/>
        </w:rPr>
        <w:t>.</w:t>
      </w:r>
    </w:p>
    <w:p w14:paraId="101CFA36" w14:textId="4B79E3F3" w:rsidR="00AF0D29" w:rsidRPr="00AF0D29" w:rsidRDefault="00AF0D29" w:rsidP="00AF0D29">
      <w:pPr>
        <w:pStyle w:val="ListParagraph"/>
        <w:numPr>
          <w:ilvl w:val="0"/>
          <w:numId w:val="29"/>
        </w:numPr>
        <w:ind w:left="709"/>
        <w:rPr>
          <w:rFonts w:ascii="Arial" w:hAnsi="Arial" w:cs="Arial"/>
          <w:bCs/>
          <w:sz w:val="24"/>
          <w:szCs w:val="24"/>
        </w:rPr>
      </w:pPr>
      <w:r w:rsidRPr="00AF0D29">
        <w:rPr>
          <w:rFonts w:ascii="Arial" w:hAnsi="Arial" w:cs="Arial"/>
          <w:bCs/>
          <w:sz w:val="24"/>
          <w:szCs w:val="24"/>
        </w:rPr>
        <w:t>£</w:t>
      </w:r>
      <w:r w:rsidR="002D41AB">
        <w:rPr>
          <w:rFonts w:ascii="Arial" w:hAnsi="Arial" w:cs="Arial"/>
          <w:bCs/>
          <w:sz w:val="24"/>
          <w:szCs w:val="24"/>
        </w:rPr>
        <w:t>5.3</w:t>
      </w:r>
      <w:r w:rsidRPr="00AF0D29">
        <w:rPr>
          <w:rFonts w:ascii="Arial" w:hAnsi="Arial" w:cs="Arial"/>
          <w:bCs/>
          <w:sz w:val="24"/>
          <w:szCs w:val="24"/>
        </w:rPr>
        <w:t>m where Local Growth Fund loans have been provided for projects that benefit the local area and economy</w:t>
      </w:r>
      <w:r w:rsidR="002D41AB">
        <w:rPr>
          <w:rFonts w:ascii="Arial" w:hAnsi="Arial" w:cs="Arial"/>
          <w:bCs/>
          <w:sz w:val="24"/>
          <w:szCs w:val="24"/>
        </w:rPr>
        <w:t xml:space="preserve"> (£15.1m in 20/21</w:t>
      </w:r>
      <w:r w:rsidR="00860E50">
        <w:rPr>
          <w:rFonts w:ascii="Arial" w:hAnsi="Arial" w:cs="Arial"/>
          <w:bCs/>
          <w:sz w:val="24"/>
          <w:szCs w:val="24"/>
        </w:rPr>
        <w:t>)</w:t>
      </w:r>
      <w:r w:rsidR="00860E50" w:rsidRPr="00AF0D29">
        <w:rPr>
          <w:rFonts w:ascii="Arial" w:hAnsi="Arial" w:cs="Arial"/>
          <w:bCs/>
          <w:sz w:val="24"/>
          <w:szCs w:val="24"/>
        </w:rPr>
        <w:t>.</w:t>
      </w:r>
    </w:p>
    <w:p w14:paraId="3785055C" w14:textId="1089F735" w:rsidR="00B85FBC" w:rsidRPr="0007572B" w:rsidRDefault="00AF0D29" w:rsidP="00F51726">
      <w:pPr>
        <w:pStyle w:val="ListParagraph"/>
        <w:rPr>
          <w:b/>
        </w:rPr>
      </w:pPr>
      <w:r w:rsidRPr="00AF0D29">
        <w:rPr>
          <w:rFonts w:ascii="Arial" w:hAnsi="Arial" w:cs="Arial"/>
          <w:bCs/>
          <w:sz w:val="24"/>
          <w:szCs w:val="24"/>
        </w:rPr>
        <w:t>£</w:t>
      </w:r>
      <w:r w:rsidR="002D41AB">
        <w:rPr>
          <w:rFonts w:ascii="Arial" w:hAnsi="Arial" w:cs="Arial"/>
          <w:bCs/>
          <w:sz w:val="24"/>
          <w:szCs w:val="24"/>
        </w:rPr>
        <w:t>6.8</w:t>
      </w:r>
      <w:r w:rsidRPr="00AF0D29">
        <w:rPr>
          <w:rFonts w:ascii="Arial" w:hAnsi="Arial" w:cs="Arial"/>
          <w:bCs/>
          <w:sz w:val="24"/>
          <w:szCs w:val="24"/>
        </w:rPr>
        <w:t>m where Regional Growth Fund and Growing Places Fund (GPF) monies have been recycled and loans provided for investment in businesses and commercial property projects</w:t>
      </w:r>
      <w:r w:rsidR="002D41AB">
        <w:rPr>
          <w:rFonts w:ascii="Arial" w:hAnsi="Arial" w:cs="Arial"/>
          <w:bCs/>
          <w:sz w:val="24"/>
          <w:szCs w:val="24"/>
        </w:rPr>
        <w:t xml:space="preserve"> (£8.4m in 20/21)</w:t>
      </w:r>
      <w:r w:rsidRPr="00AF0D29">
        <w:rPr>
          <w:rFonts w:ascii="Arial" w:hAnsi="Arial" w:cs="Arial"/>
          <w:bCs/>
          <w:sz w:val="24"/>
          <w:szCs w:val="24"/>
        </w:rPr>
        <w:t>.</w:t>
      </w:r>
    </w:p>
    <w:bookmarkEnd w:id="155"/>
    <w:p w14:paraId="1743E0F4" w14:textId="77777777" w:rsidR="007F381A" w:rsidRPr="0007572B" w:rsidRDefault="007F381A" w:rsidP="0038082E">
      <w:pPr>
        <w:pStyle w:val="Heading4bold"/>
      </w:pPr>
      <w:r w:rsidRPr="0007572B">
        <w:t>Long Term Debtors</w:t>
      </w:r>
    </w:p>
    <w:p w14:paraId="2219B49A" w14:textId="3442BEFB" w:rsidR="007F381A" w:rsidRDefault="007F381A" w:rsidP="0038082E">
      <w:pPr>
        <w:rPr>
          <w:rFonts w:ascii="Arial" w:hAnsi="Arial" w:cs="Arial"/>
        </w:rPr>
      </w:pPr>
      <w:r w:rsidRPr="0007572B">
        <w:rPr>
          <w:rFonts w:ascii="Arial" w:hAnsi="Arial" w:cs="Arial"/>
        </w:rPr>
        <w:t>These are amounts owed to the Authority</w:t>
      </w:r>
      <w:r w:rsidR="00A06FE6" w:rsidRPr="0007572B">
        <w:rPr>
          <w:rFonts w:ascii="Arial" w:hAnsi="Arial" w:cs="Arial"/>
        </w:rPr>
        <w:t>,</w:t>
      </w:r>
      <w:r w:rsidRPr="0007572B">
        <w:rPr>
          <w:rFonts w:ascii="Arial" w:hAnsi="Arial" w:cs="Arial"/>
        </w:rPr>
        <w:t xml:space="preserve"> which are being repaid over various periods longer than one year.</w:t>
      </w:r>
    </w:p>
    <w:p w14:paraId="7FA5706E" w14:textId="77777777" w:rsidR="00D871C0" w:rsidRPr="0007572B" w:rsidRDefault="00D871C0" w:rsidP="0038082E">
      <w:pPr>
        <w:rPr>
          <w:rFonts w:ascii="Arial" w:hAnsi="Arial" w:cs="Arial"/>
        </w:rPr>
      </w:pPr>
    </w:p>
    <w:p w14:paraId="29D5179E" w14:textId="6D78AFD8" w:rsidR="00F51726" w:rsidRDefault="00DE3E80" w:rsidP="0038082E">
      <w:pPr>
        <w:rPr>
          <w:rFonts w:ascii="Arial" w:hAnsi="Arial" w:cs="Arial"/>
          <w:b/>
        </w:rPr>
      </w:pPr>
      <w:r w:rsidRPr="00DE3E80">
        <w:rPr>
          <w:noProof/>
        </w:rPr>
        <w:drawing>
          <wp:inline distT="0" distB="0" distL="0" distR="0" wp14:anchorId="6CC5F423" wp14:editId="642149EC">
            <wp:extent cx="4584700" cy="946150"/>
            <wp:effectExtent l="0" t="0" r="635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946150"/>
                    </a:xfrm>
                    <a:prstGeom prst="rect">
                      <a:avLst/>
                    </a:prstGeom>
                    <a:noFill/>
                    <a:ln>
                      <a:noFill/>
                    </a:ln>
                  </pic:spPr>
                </pic:pic>
              </a:graphicData>
            </a:graphic>
          </wp:inline>
        </w:drawing>
      </w:r>
    </w:p>
    <w:p w14:paraId="5682AC3B" w14:textId="77777777" w:rsidR="00F51726" w:rsidRDefault="00F51726" w:rsidP="00F51726">
      <w:pPr>
        <w:rPr>
          <w:rFonts w:ascii="Arial" w:hAnsi="Arial" w:cs="Arial"/>
          <w:bCs/>
        </w:rPr>
      </w:pPr>
    </w:p>
    <w:p w14:paraId="61932390" w14:textId="3A833485" w:rsidR="00F51726" w:rsidRPr="00F51726" w:rsidRDefault="00F51726" w:rsidP="00431F6F">
      <w:pPr>
        <w:pStyle w:val="Heading4bold"/>
      </w:pPr>
      <w:r w:rsidRPr="00F51726">
        <w:t>Ageing Analysis of Trade Debtors</w:t>
      </w:r>
    </w:p>
    <w:p w14:paraId="64C83E1A" w14:textId="77777777" w:rsidR="00F51726" w:rsidRDefault="00F51726" w:rsidP="00F51726">
      <w:pPr>
        <w:rPr>
          <w:rFonts w:ascii="Arial" w:hAnsi="Arial" w:cs="Arial"/>
        </w:rPr>
      </w:pPr>
    </w:p>
    <w:p w14:paraId="71034FC6" w14:textId="77777777" w:rsidR="00F51726" w:rsidRPr="001F1CDD" w:rsidRDefault="00F51726" w:rsidP="00F51726">
      <w:pPr>
        <w:rPr>
          <w:rFonts w:ascii="Arial" w:hAnsi="Arial" w:cs="Arial"/>
        </w:rPr>
      </w:pPr>
      <w:r w:rsidRPr="005D470D">
        <w:rPr>
          <w:rFonts w:ascii="Arial" w:hAnsi="Arial" w:cs="Arial"/>
        </w:rPr>
        <w:t>At 31 March 2022, trade debtors at a nominal value of £666,000 (2021: £1,308,000) were impaired.</w:t>
      </w:r>
    </w:p>
    <w:p w14:paraId="27184116" w14:textId="77777777" w:rsidR="00F51726" w:rsidRPr="001F1CDD" w:rsidRDefault="00F51726" w:rsidP="00F51726">
      <w:pPr>
        <w:rPr>
          <w:rFonts w:ascii="Arial" w:hAnsi="Arial" w:cs="Arial"/>
        </w:rPr>
      </w:pPr>
    </w:p>
    <w:p w14:paraId="6885C108" w14:textId="77777777" w:rsidR="00F51726" w:rsidRDefault="00F51726" w:rsidP="00F51726">
      <w:pPr>
        <w:rPr>
          <w:rFonts w:ascii="Arial" w:hAnsi="Arial" w:cs="Arial"/>
        </w:rPr>
      </w:pPr>
      <w:r w:rsidRPr="005D470D">
        <w:rPr>
          <w:rFonts w:ascii="Arial" w:hAnsi="Arial" w:cs="Arial"/>
        </w:rPr>
        <w:t>As at 31 March 2022, the ageing analysis of trade debtors net of the provision</w:t>
      </w:r>
      <w:r>
        <w:rPr>
          <w:rFonts w:ascii="Arial" w:hAnsi="Arial" w:cs="Arial"/>
        </w:rPr>
        <w:t xml:space="preserve"> for impairment</w:t>
      </w:r>
      <w:r w:rsidRPr="005D470D">
        <w:rPr>
          <w:rFonts w:ascii="Arial" w:hAnsi="Arial" w:cs="Arial"/>
        </w:rPr>
        <w:t xml:space="preserve"> was as follows:</w:t>
      </w:r>
    </w:p>
    <w:p w14:paraId="6E4B3A27" w14:textId="77777777" w:rsidR="00F51726" w:rsidRDefault="00F51726" w:rsidP="00F51726">
      <w:pPr>
        <w:rPr>
          <w:rFonts w:ascii="Arial" w:hAnsi="Arial" w:cs="Arial"/>
        </w:rPr>
      </w:pPr>
    </w:p>
    <w:p w14:paraId="3F488D57" w14:textId="5FEC6ED0" w:rsidR="00884440" w:rsidRDefault="0095519B" w:rsidP="0038082E">
      <w:pPr>
        <w:rPr>
          <w:rFonts w:ascii="Arial" w:hAnsi="Arial" w:cs="Arial"/>
          <w:b/>
          <w:sz w:val="22"/>
          <w:szCs w:val="22"/>
        </w:rPr>
      </w:pPr>
      <w:r w:rsidRPr="0095519B">
        <w:rPr>
          <w:noProof/>
        </w:rPr>
        <w:drawing>
          <wp:inline distT="0" distB="0" distL="0" distR="0" wp14:anchorId="76409E3E" wp14:editId="3BE08482">
            <wp:extent cx="5591175" cy="6381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638175"/>
                    </a:xfrm>
                    <a:prstGeom prst="rect">
                      <a:avLst/>
                    </a:prstGeom>
                    <a:noFill/>
                    <a:ln>
                      <a:noFill/>
                    </a:ln>
                  </pic:spPr>
                </pic:pic>
              </a:graphicData>
            </a:graphic>
          </wp:inline>
        </w:drawing>
      </w:r>
    </w:p>
    <w:p w14:paraId="0C640C0A" w14:textId="77777777" w:rsidR="00860E50" w:rsidRPr="0007572B" w:rsidRDefault="00860E50" w:rsidP="0038082E">
      <w:pPr>
        <w:rPr>
          <w:rFonts w:ascii="Arial" w:hAnsi="Arial" w:cs="Arial"/>
          <w:b/>
          <w:sz w:val="22"/>
          <w:szCs w:val="22"/>
        </w:rPr>
      </w:pPr>
    </w:p>
    <w:p w14:paraId="4A60E112" w14:textId="433E9E48" w:rsidR="001B7888" w:rsidRPr="0007572B" w:rsidRDefault="0040301F" w:rsidP="0038082E">
      <w:pPr>
        <w:pStyle w:val="Heading3greennumbered"/>
      </w:pPr>
      <w:bookmarkStart w:id="156" w:name="_Toc92894895"/>
      <w:bookmarkStart w:id="157" w:name="_Toc92895199"/>
      <w:bookmarkStart w:id="158" w:name="_Toc109922633"/>
      <w:r w:rsidRPr="0007572B">
        <w:lastRenderedPageBreak/>
        <w:t>2</w:t>
      </w:r>
      <w:r w:rsidR="00357FDB" w:rsidRPr="0007572B">
        <w:t>3</w:t>
      </w:r>
      <w:r w:rsidR="001B7888" w:rsidRPr="0007572B">
        <w:t xml:space="preserve"> Cash and Cash Equivalents</w:t>
      </w:r>
      <w:bookmarkEnd w:id="156"/>
      <w:bookmarkEnd w:id="157"/>
      <w:bookmarkEnd w:id="158"/>
    </w:p>
    <w:p w14:paraId="5ECFC64A" w14:textId="77777777" w:rsidR="005403AF" w:rsidRDefault="005403AF" w:rsidP="0038082E">
      <w:pPr>
        <w:rPr>
          <w:rFonts w:ascii="Arial" w:hAnsi="Arial" w:cs="Arial"/>
        </w:rPr>
      </w:pPr>
    </w:p>
    <w:p w14:paraId="0A327A5A" w14:textId="17C0E9A3" w:rsidR="003F32BF" w:rsidRPr="0007572B" w:rsidRDefault="003F32BF" w:rsidP="0038082E">
      <w:pPr>
        <w:rPr>
          <w:rFonts w:ascii="Arial" w:hAnsi="Arial" w:cs="Arial"/>
        </w:rPr>
      </w:pPr>
      <w:r w:rsidRPr="0007572B">
        <w:rPr>
          <w:rFonts w:ascii="Arial" w:hAnsi="Arial" w:cs="Arial"/>
        </w:rPr>
        <w:t>The balance of cash and cash equivalents is made up of the following elements:</w:t>
      </w:r>
    </w:p>
    <w:p w14:paraId="71291CF8" w14:textId="77777777" w:rsidR="00B4518D" w:rsidRPr="0007572B" w:rsidRDefault="00B4518D" w:rsidP="0038082E">
      <w:pPr>
        <w:rPr>
          <w:rFonts w:ascii="Arial" w:hAnsi="Arial" w:cs="Arial"/>
        </w:rPr>
      </w:pPr>
    </w:p>
    <w:p w14:paraId="47D6B3CE" w14:textId="7AB5093B" w:rsidR="00275033" w:rsidRPr="0007572B" w:rsidRDefault="007A5365" w:rsidP="00FF31A5">
      <w:pPr>
        <w:pStyle w:val="ListParagraph"/>
        <w:numPr>
          <w:ilvl w:val="0"/>
          <w:numId w:val="38"/>
        </w:numPr>
        <w:spacing w:after="0" w:line="240" w:lineRule="auto"/>
        <w:ind w:left="360"/>
        <w:rPr>
          <w:rFonts w:ascii="Arial" w:hAnsi="Arial" w:cs="Arial"/>
          <w:sz w:val="24"/>
          <w:szCs w:val="24"/>
        </w:rPr>
      </w:pPr>
      <w:r w:rsidRPr="0007572B">
        <w:rPr>
          <w:rFonts w:ascii="Arial" w:hAnsi="Arial" w:cs="Arial"/>
          <w:sz w:val="24"/>
          <w:szCs w:val="24"/>
        </w:rPr>
        <w:t xml:space="preserve">Cash is represented by </w:t>
      </w:r>
      <w:r w:rsidR="00275033" w:rsidRPr="0007572B">
        <w:rPr>
          <w:rFonts w:ascii="Arial" w:hAnsi="Arial" w:cs="Arial"/>
          <w:sz w:val="24"/>
          <w:szCs w:val="24"/>
        </w:rPr>
        <w:t>operating bank accounts (shown net of bank overdrafts), deposits wit</w:t>
      </w:r>
      <w:r w:rsidR="002706DC" w:rsidRPr="0007572B">
        <w:rPr>
          <w:rFonts w:ascii="Arial" w:hAnsi="Arial" w:cs="Arial"/>
          <w:sz w:val="24"/>
          <w:szCs w:val="24"/>
        </w:rPr>
        <w:t>h financial institutions for less than three months,</w:t>
      </w:r>
      <w:r w:rsidR="00275033" w:rsidRPr="0007572B">
        <w:rPr>
          <w:rFonts w:ascii="Arial" w:hAnsi="Arial" w:cs="Arial"/>
          <w:sz w:val="24"/>
          <w:szCs w:val="24"/>
        </w:rPr>
        <w:t xml:space="preserve"> </w:t>
      </w:r>
      <w:r w:rsidRPr="0007572B">
        <w:rPr>
          <w:rFonts w:ascii="Arial" w:hAnsi="Arial" w:cs="Arial"/>
          <w:sz w:val="24"/>
          <w:szCs w:val="24"/>
        </w:rPr>
        <w:t>cash in hand</w:t>
      </w:r>
      <w:r w:rsidR="00275033" w:rsidRPr="0007572B">
        <w:rPr>
          <w:rFonts w:ascii="Arial" w:hAnsi="Arial" w:cs="Arial"/>
          <w:sz w:val="24"/>
          <w:szCs w:val="24"/>
        </w:rPr>
        <w:t xml:space="preserve"> and </w:t>
      </w:r>
      <w:r w:rsidRPr="0007572B">
        <w:rPr>
          <w:rFonts w:ascii="Arial" w:hAnsi="Arial" w:cs="Arial"/>
          <w:sz w:val="24"/>
          <w:szCs w:val="24"/>
        </w:rPr>
        <w:t>petty cash balances</w:t>
      </w:r>
      <w:r w:rsidR="00275033" w:rsidRPr="0007572B">
        <w:rPr>
          <w:rFonts w:ascii="Arial" w:hAnsi="Arial" w:cs="Arial"/>
          <w:sz w:val="24"/>
          <w:szCs w:val="24"/>
        </w:rPr>
        <w:t>.</w:t>
      </w:r>
    </w:p>
    <w:p w14:paraId="52C60AFF" w14:textId="0573B314" w:rsidR="007A5365" w:rsidRPr="0007572B" w:rsidRDefault="007A5365" w:rsidP="00FF31A5">
      <w:pPr>
        <w:pStyle w:val="ListParagraph"/>
        <w:spacing w:after="0" w:line="240" w:lineRule="auto"/>
        <w:ind w:left="360"/>
        <w:rPr>
          <w:rFonts w:ascii="Arial" w:hAnsi="Arial" w:cs="Arial"/>
          <w:sz w:val="24"/>
          <w:szCs w:val="24"/>
        </w:rPr>
      </w:pPr>
    </w:p>
    <w:p w14:paraId="72BC9254" w14:textId="02206AB9" w:rsidR="007A5365" w:rsidRDefault="007A5365" w:rsidP="00FF31A5">
      <w:pPr>
        <w:pStyle w:val="ListParagraph"/>
        <w:numPr>
          <w:ilvl w:val="0"/>
          <w:numId w:val="38"/>
        </w:numPr>
        <w:spacing w:after="0" w:line="240" w:lineRule="auto"/>
        <w:ind w:left="360"/>
        <w:rPr>
          <w:rFonts w:ascii="Arial" w:hAnsi="Arial" w:cs="Arial"/>
          <w:sz w:val="24"/>
          <w:szCs w:val="24"/>
        </w:rPr>
      </w:pPr>
      <w:r w:rsidRPr="0007572B">
        <w:rPr>
          <w:rFonts w:ascii="Arial" w:hAnsi="Arial" w:cs="Arial"/>
          <w:sz w:val="24"/>
          <w:szCs w:val="24"/>
        </w:rPr>
        <w:t xml:space="preserve">Cash equivalents </w:t>
      </w:r>
      <w:r w:rsidR="00275033" w:rsidRPr="0007572B">
        <w:rPr>
          <w:rFonts w:ascii="Arial" w:hAnsi="Arial" w:cs="Arial"/>
          <w:sz w:val="24"/>
          <w:szCs w:val="24"/>
        </w:rPr>
        <w:t>are highly liquid investments that mature in three months or less from the date of acquisition and that are readily convertible to known amounts of cash with an insignificant risk of change in value.</w:t>
      </w:r>
      <w:r w:rsidR="002706DC" w:rsidRPr="0007572B">
        <w:rPr>
          <w:rFonts w:ascii="Arial" w:hAnsi="Arial" w:cs="Arial"/>
          <w:sz w:val="24"/>
          <w:szCs w:val="24"/>
        </w:rPr>
        <w:t xml:space="preserve"> These include interest bearing call accounts and money market funds with institutions that meet our required credit ratings.</w:t>
      </w:r>
    </w:p>
    <w:p w14:paraId="58DE9C03" w14:textId="713ADD49" w:rsidR="00D871C0" w:rsidRDefault="00D871C0" w:rsidP="00FF31A5">
      <w:pPr>
        <w:rPr>
          <w:rFonts w:ascii="Arial" w:hAnsi="Arial" w:cs="Arial"/>
        </w:rPr>
      </w:pPr>
    </w:p>
    <w:p w14:paraId="7A4825DD" w14:textId="3CE1824D" w:rsidR="00FF31A5" w:rsidRPr="00D871C0" w:rsidRDefault="00FF31A5" w:rsidP="00FF31A5">
      <w:pPr>
        <w:rPr>
          <w:rFonts w:ascii="Arial" w:hAnsi="Arial" w:cs="Arial"/>
        </w:rPr>
      </w:pPr>
      <w:r w:rsidRPr="00DE3E80">
        <w:rPr>
          <w:noProof/>
        </w:rPr>
        <w:drawing>
          <wp:inline distT="0" distB="0" distL="0" distR="0" wp14:anchorId="325096EB" wp14:editId="6BB08B54">
            <wp:extent cx="5819775" cy="1022350"/>
            <wp:effectExtent l="0" t="0" r="9525"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9775" cy="1022350"/>
                    </a:xfrm>
                    <a:prstGeom prst="rect">
                      <a:avLst/>
                    </a:prstGeom>
                    <a:noFill/>
                    <a:ln>
                      <a:noFill/>
                    </a:ln>
                  </pic:spPr>
                </pic:pic>
              </a:graphicData>
            </a:graphic>
          </wp:inline>
        </w:drawing>
      </w:r>
    </w:p>
    <w:p w14:paraId="247813DD" w14:textId="0348D5BD" w:rsidR="00275033" w:rsidRDefault="00275033" w:rsidP="00D871C0">
      <w:pPr>
        <w:pStyle w:val="ListParagraph"/>
        <w:spacing w:after="0" w:line="240" w:lineRule="auto"/>
        <w:ind w:left="360"/>
        <w:jc w:val="both"/>
        <w:rPr>
          <w:rFonts w:ascii="Arial" w:hAnsi="Arial" w:cs="Arial"/>
        </w:rPr>
      </w:pPr>
    </w:p>
    <w:p w14:paraId="125F0F8D" w14:textId="77777777" w:rsidR="00D871C0" w:rsidRPr="0007572B" w:rsidRDefault="00D871C0" w:rsidP="0038082E">
      <w:pPr>
        <w:pStyle w:val="ListParagraph"/>
        <w:spacing w:after="0" w:line="240" w:lineRule="auto"/>
        <w:jc w:val="both"/>
        <w:rPr>
          <w:rFonts w:ascii="Arial" w:hAnsi="Arial" w:cs="Arial"/>
        </w:rPr>
      </w:pPr>
    </w:p>
    <w:p w14:paraId="105972A6" w14:textId="422DCC54" w:rsidR="00D35A13" w:rsidRPr="0007572B" w:rsidRDefault="00884440" w:rsidP="0038082E">
      <w:pPr>
        <w:pStyle w:val="Heading3greennumbered"/>
      </w:pPr>
      <w:bookmarkStart w:id="159" w:name="_Toc92894896"/>
      <w:bookmarkStart w:id="160" w:name="_Toc92895200"/>
      <w:bookmarkStart w:id="161" w:name="_Toc109922634"/>
      <w:r w:rsidRPr="0007572B">
        <w:t>2</w:t>
      </w:r>
      <w:r w:rsidR="00357FDB" w:rsidRPr="0007572B">
        <w:t>4</w:t>
      </w:r>
      <w:r w:rsidR="00081DA7" w:rsidRPr="0007572B">
        <w:t xml:space="preserve"> </w:t>
      </w:r>
      <w:r w:rsidR="00641574" w:rsidRPr="0007572B">
        <w:t>Short an</w:t>
      </w:r>
      <w:r w:rsidR="007F381A" w:rsidRPr="0007572B">
        <w:t>d Long Term Creditors</w:t>
      </w:r>
      <w:bookmarkEnd w:id="159"/>
      <w:bookmarkEnd w:id="160"/>
      <w:bookmarkEnd w:id="161"/>
    </w:p>
    <w:p w14:paraId="643ABEBA" w14:textId="77777777" w:rsidR="005403AF" w:rsidRPr="005403AF" w:rsidRDefault="005403AF" w:rsidP="0038082E"/>
    <w:p w14:paraId="78699A70" w14:textId="44113C15" w:rsidR="008D2C8E" w:rsidRPr="0007572B" w:rsidRDefault="008D2C8E" w:rsidP="0038082E">
      <w:pPr>
        <w:pStyle w:val="Heading4bold"/>
      </w:pPr>
      <w:r w:rsidRPr="0007572B">
        <w:t>Short Term Creditors</w:t>
      </w:r>
    </w:p>
    <w:p w14:paraId="0656B6EC" w14:textId="77777777" w:rsidR="00081DA7" w:rsidRPr="0007572B" w:rsidRDefault="0040301F" w:rsidP="0038082E">
      <w:pPr>
        <w:rPr>
          <w:rFonts w:ascii="Arial" w:hAnsi="Arial" w:cs="Arial"/>
        </w:rPr>
      </w:pPr>
      <w:r w:rsidRPr="0007572B">
        <w:rPr>
          <w:rFonts w:ascii="Arial" w:hAnsi="Arial" w:cs="Arial"/>
        </w:rPr>
        <w:t>The table below shows the amounts owed by the Authority but not yet paid:</w:t>
      </w:r>
    </w:p>
    <w:p w14:paraId="47B43581" w14:textId="77777777" w:rsidR="0040301F" w:rsidRPr="0007572B" w:rsidRDefault="0040301F" w:rsidP="0038082E">
      <w:pPr>
        <w:rPr>
          <w:rFonts w:ascii="Arial" w:hAnsi="Arial" w:cs="Arial"/>
          <w:b/>
        </w:rPr>
      </w:pPr>
    </w:p>
    <w:p w14:paraId="054043B8" w14:textId="1325DC26" w:rsidR="00046148" w:rsidRPr="0007572B" w:rsidRDefault="00D871C0" w:rsidP="0038082E">
      <w:pPr>
        <w:rPr>
          <w:rFonts w:ascii="Arial" w:hAnsi="Arial" w:cs="Arial"/>
          <w:b/>
          <w:sz w:val="22"/>
          <w:szCs w:val="22"/>
        </w:rPr>
        <w:sectPr w:rsidR="00046148" w:rsidRPr="0007572B" w:rsidSect="00CB302B">
          <w:pgSz w:w="11906" w:h="16838"/>
          <w:pgMar w:top="1444" w:right="1416" w:bottom="1276" w:left="1080" w:header="568" w:footer="567" w:gutter="0"/>
          <w:cols w:space="708"/>
          <w:docGrid w:linePitch="360"/>
        </w:sectPr>
      </w:pPr>
      <w:r w:rsidRPr="00D871C0">
        <w:rPr>
          <w:noProof/>
        </w:rPr>
        <w:drawing>
          <wp:inline distT="0" distB="0" distL="0" distR="0" wp14:anchorId="2CEBED79" wp14:editId="78120A74">
            <wp:extent cx="5266690" cy="14008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6690" cy="1400810"/>
                    </a:xfrm>
                    <a:prstGeom prst="rect">
                      <a:avLst/>
                    </a:prstGeom>
                    <a:noFill/>
                    <a:ln>
                      <a:noFill/>
                    </a:ln>
                  </pic:spPr>
                </pic:pic>
              </a:graphicData>
            </a:graphic>
          </wp:inline>
        </w:drawing>
      </w:r>
    </w:p>
    <w:p w14:paraId="116103EB" w14:textId="4C3A0FC8" w:rsidR="00081DA7" w:rsidRPr="0007572B" w:rsidRDefault="00884440" w:rsidP="0038082E">
      <w:pPr>
        <w:pStyle w:val="Heading3greennumbered"/>
      </w:pPr>
      <w:bookmarkStart w:id="162" w:name="_Toc92894897"/>
      <w:bookmarkStart w:id="163" w:name="_Toc92895201"/>
      <w:bookmarkStart w:id="164" w:name="_Toc109922635"/>
      <w:r w:rsidRPr="0007572B">
        <w:lastRenderedPageBreak/>
        <w:t>2</w:t>
      </w:r>
      <w:r w:rsidR="00357FDB" w:rsidRPr="0007572B">
        <w:t>5</w:t>
      </w:r>
      <w:r w:rsidR="00081DA7" w:rsidRPr="0007572B">
        <w:t xml:space="preserve"> </w:t>
      </w:r>
      <w:r w:rsidR="007F381A" w:rsidRPr="0007572B">
        <w:t xml:space="preserve">Short and Long Term </w:t>
      </w:r>
      <w:r w:rsidR="00CE6A00" w:rsidRPr="0007572B">
        <w:t>Provisions</w:t>
      </w:r>
      <w:bookmarkEnd w:id="162"/>
      <w:bookmarkEnd w:id="163"/>
      <w:bookmarkEnd w:id="164"/>
    </w:p>
    <w:p w14:paraId="7B0B57CE" w14:textId="77777777" w:rsidR="005403AF" w:rsidRDefault="005403AF" w:rsidP="0038082E">
      <w:pPr>
        <w:rPr>
          <w:rFonts w:ascii="Arial" w:hAnsi="Arial" w:cs="Arial"/>
        </w:rPr>
      </w:pPr>
    </w:p>
    <w:p w14:paraId="1C73F3D2" w14:textId="5F65EBBC" w:rsidR="00081DA7" w:rsidRDefault="00F01BC1" w:rsidP="0038082E">
      <w:pPr>
        <w:rPr>
          <w:rFonts w:ascii="Arial" w:hAnsi="Arial" w:cs="Arial"/>
        </w:rPr>
      </w:pPr>
      <w:r w:rsidRPr="0007572B">
        <w:rPr>
          <w:rFonts w:ascii="Arial" w:hAnsi="Arial" w:cs="Arial"/>
        </w:rPr>
        <w:t>Provisions are amounts set aside by the Authority to meet the cost of a future liability, for which</w:t>
      </w:r>
      <w:r w:rsidR="00073FBD" w:rsidRPr="0007572B">
        <w:rPr>
          <w:rFonts w:ascii="Arial" w:hAnsi="Arial" w:cs="Arial"/>
        </w:rPr>
        <w:t>,</w:t>
      </w:r>
      <w:r w:rsidRPr="0007572B">
        <w:rPr>
          <w:rFonts w:ascii="Arial" w:hAnsi="Arial" w:cs="Arial"/>
        </w:rPr>
        <w:t xml:space="preserve"> the timing of payment is uncertain. In line with the Code of Practice</w:t>
      </w:r>
      <w:r w:rsidR="00073FBD" w:rsidRPr="0007572B">
        <w:rPr>
          <w:rFonts w:ascii="Arial" w:hAnsi="Arial" w:cs="Arial"/>
        </w:rPr>
        <w:t>,</w:t>
      </w:r>
      <w:r w:rsidRPr="0007572B">
        <w:rPr>
          <w:rFonts w:ascii="Arial" w:hAnsi="Arial" w:cs="Arial"/>
        </w:rPr>
        <w:t xml:space="preserve"> the provision is charged to the service revenue account in the year it is </w:t>
      </w:r>
      <w:r w:rsidR="004F5004" w:rsidRPr="0007572B">
        <w:rPr>
          <w:rFonts w:ascii="Arial" w:hAnsi="Arial" w:cs="Arial"/>
        </w:rPr>
        <w:t>established;</w:t>
      </w:r>
      <w:r w:rsidRPr="0007572B">
        <w:rPr>
          <w:rFonts w:ascii="Arial" w:hAnsi="Arial" w:cs="Arial"/>
        </w:rPr>
        <w:t xml:space="preserve"> when liability falls due it is charged directly to the provision.</w:t>
      </w:r>
    </w:p>
    <w:p w14:paraId="641164E9" w14:textId="2CC34E28" w:rsidR="008C4064" w:rsidRDefault="008C4064" w:rsidP="0038082E">
      <w:pPr>
        <w:rPr>
          <w:rFonts w:ascii="Arial" w:hAnsi="Arial" w:cs="Arial"/>
        </w:rPr>
      </w:pPr>
    </w:p>
    <w:p w14:paraId="5B9A1425" w14:textId="525F4484" w:rsidR="008C4064" w:rsidRPr="0007572B" w:rsidRDefault="00EF090A" w:rsidP="0038082E">
      <w:pPr>
        <w:rPr>
          <w:rFonts w:ascii="Arial" w:hAnsi="Arial" w:cs="Arial"/>
        </w:rPr>
      </w:pPr>
      <w:r w:rsidRPr="00EF090A">
        <w:rPr>
          <w:noProof/>
        </w:rPr>
        <w:drawing>
          <wp:inline distT="0" distB="0" distL="0" distR="0" wp14:anchorId="3036763F" wp14:editId="38CAAD18">
            <wp:extent cx="8543925" cy="2295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43925" cy="2295525"/>
                    </a:xfrm>
                    <a:prstGeom prst="rect">
                      <a:avLst/>
                    </a:prstGeom>
                    <a:noFill/>
                    <a:ln>
                      <a:noFill/>
                    </a:ln>
                  </pic:spPr>
                </pic:pic>
              </a:graphicData>
            </a:graphic>
          </wp:inline>
        </w:drawing>
      </w:r>
    </w:p>
    <w:p w14:paraId="36FD1AD9" w14:textId="77777777" w:rsidR="000B247E" w:rsidRPr="0007572B" w:rsidRDefault="000B247E" w:rsidP="0038082E">
      <w:pPr>
        <w:jc w:val="both"/>
        <w:rPr>
          <w:rFonts w:ascii="Arial" w:hAnsi="Arial" w:cs="Arial"/>
          <w:lang w:eastAsia="en-GB"/>
        </w:rPr>
      </w:pPr>
    </w:p>
    <w:p w14:paraId="461D9EE0" w14:textId="7D346DD2" w:rsidR="00952201" w:rsidRDefault="00952201" w:rsidP="0038082E">
      <w:pPr>
        <w:jc w:val="both"/>
        <w:rPr>
          <w:rFonts w:ascii="Arial" w:hAnsi="Arial" w:cs="Arial"/>
          <w:lang w:eastAsia="en-GB"/>
        </w:rPr>
      </w:pPr>
      <w:r w:rsidRPr="0007572B">
        <w:rPr>
          <w:rFonts w:ascii="Arial" w:hAnsi="Arial" w:cs="Arial"/>
          <w:lang w:eastAsia="en-GB"/>
        </w:rPr>
        <w:t xml:space="preserve">The provisions held by the </w:t>
      </w:r>
      <w:r w:rsidR="00D952FE" w:rsidRPr="0007572B">
        <w:rPr>
          <w:rFonts w:ascii="Arial" w:hAnsi="Arial" w:cs="Arial"/>
          <w:lang w:eastAsia="en-GB"/>
        </w:rPr>
        <w:t>A</w:t>
      </w:r>
      <w:r w:rsidRPr="0007572B">
        <w:rPr>
          <w:rFonts w:ascii="Arial" w:hAnsi="Arial" w:cs="Arial"/>
          <w:lang w:eastAsia="en-GB"/>
        </w:rPr>
        <w:t>uthority are described below:</w:t>
      </w:r>
    </w:p>
    <w:p w14:paraId="5F661862" w14:textId="77777777" w:rsidR="005403AF" w:rsidRPr="0007572B" w:rsidRDefault="005403AF" w:rsidP="0038082E">
      <w:pPr>
        <w:jc w:val="both"/>
        <w:rPr>
          <w:rFonts w:ascii="Arial" w:hAnsi="Arial" w:cs="Arial"/>
          <w:lang w:eastAsia="en-GB"/>
        </w:rPr>
      </w:pPr>
    </w:p>
    <w:p w14:paraId="4DB33B60" w14:textId="2AA82F9E" w:rsidR="00952201" w:rsidRPr="0007572B" w:rsidRDefault="00952201" w:rsidP="0038082E">
      <w:pPr>
        <w:pStyle w:val="Heading4bold"/>
        <w:rPr>
          <w:lang w:eastAsia="en-GB"/>
        </w:rPr>
      </w:pPr>
      <w:r w:rsidRPr="0007572B">
        <w:rPr>
          <w:lang w:eastAsia="en-GB"/>
        </w:rPr>
        <w:t>GMCA</w:t>
      </w:r>
    </w:p>
    <w:p w14:paraId="2488E2A1" w14:textId="1D836995" w:rsidR="00952201" w:rsidRPr="005403AF" w:rsidRDefault="00952201" w:rsidP="00EB27EB">
      <w:pPr>
        <w:pStyle w:val="ListParagraph"/>
        <w:numPr>
          <w:ilvl w:val="0"/>
          <w:numId w:val="34"/>
        </w:numPr>
        <w:spacing w:after="0" w:line="240" w:lineRule="auto"/>
        <w:rPr>
          <w:rFonts w:ascii="Arial" w:hAnsi="Arial" w:cs="Arial"/>
          <w:sz w:val="24"/>
          <w:szCs w:val="24"/>
          <w:u w:val="single"/>
        </w:rPr>
      </w:pPr>
      <w:r w:rsidRPr="0007572B">
        <w:rPr>
          <w:rFonts w:ascii="Arial" w:hAnsi="Arial" w:cs="Arial"/>
          <w:sz w:val="24"/>
          <w:szCs w:val="24"/>
        </w:rPr>
        <w:t>Landcare Provision -</w:t>
      </w:r>
      <w:r w:rsidR="000B247E" w:rsidRPr="0007572B">
        <w:rPr>
          <w:rFonts w:ascii="Arial" w:hAnsi="Arial" w:cs="Arial"/>
          <w:sz w:val="24"/>
          <w:szCs w:val="24"/>
        </w:rPr>
        <w:t xml:space="preserve"> </w:t>
      </w:r>
      <w:r w:rsidRPr="0007572B">
        <w:rPr>
          <w:rFonts w:ascii="Arial" w:hAnsi="Arial" w:cs="Arial"/>
          <w:sz w:val="24"/>
          <w:szCs w:val="24"/>
        </w:rPr>
        <w:t>The GMWDA sold 18 sites to the private sector (Landcare (Manchester) Limited) in December 2012 in return for agreeing a fixed ten</w:t>
      </w:r>
      <w:r w:rsidR="00CB4346">
        <w:rPr>
          <w:rFonts w:ascii="Arial" w:hAnsi="Arial" w:cs="Arial"/>
          <w:sz w:val="24"/>
          <w:szCs w:val="24"/>
        </w:rPr>
        <w:t>-</w:t>
      </w:r>
      <w:r w:rsidRPr="0007572B">
        <w:rPr>
          <w:rFonts w:ascii="Arial" w:hAnsi="Arial" w:cs="Arial"/>
          <w:sz w:val="24"/>
          <w:szCs w:val="24"/>
        </w:rPr>
        <w:t>year contribution less potential income from part of any enhanced value (overage) from future development of the sites. The Landcare provision represents the maximum amounts that GMCA would have to pay each year, however as there is an overage clause if Landcare were to make money from one of the sites transferred to them, there is a mechanism to reduce the annual payment.</w:t>
      </w:r>
    </w:p>
    <w:p w14:paraId="3C353C9E" w14:textId="77777777" w:rsidR="005403AF" w:rsidRPr="0007572B" w:rsidRDefault="005403AF" w:rsidP="005B25F0">
      <w:pPr>
        <w:pStyle w:val="ListParagraph"/>
        <w:spacing w:after="0" w:line="240" w:lineRule="auto"/>
        <w:rPr>
          <w:rFonts w:ascii="Arial" w:hAnsi="Arial" w:cs="Arial"/>
          <w:sz w:val="24"/>
          <w:szCs w:val="24"/>
          <w:u w:val="single"/>
        </w:rPr>
      </w:pPr>
    </w:p>
    <w:p w14:paraId="50AD8B82" w14:textId="77777777" w:rsidR="00952201" w:rsidRPr="0007572B" w:rsidRDefault="00952201" w:rsidP="0038082E">
      <w:pPr>
        <w:pStyle w:val="Heading4bold"/>
        <w:rPr>
          <w:lang w:eastAsia="en-GB"/>
        </w:rPr>
      </w:pPr>
      <w:r w:rsidRPr="0007572B">
        <w:rPr>
          <w:lang w:eastAsia="en-GB"/>
        </w:rPr>
        <w:lastRenderedPageBreak/>
        <w:t>Mayoral General Fund</w:t>
      </w:r>
    </w:p>
    <w:p w14:paraId="728C1C78" w14:textId="71597B41" w:rsidR="00952201" w:rsidRPr="0007572B" w:rsidRDefault="00952201" w:rsidP="00EB27EB">
      <w:pPr>
        <w:pStyle w:val="ListParagraph"/>
        <w:numPr>
          <w:ilvl w:val="0"/>
          <w:numId w:val="34"/>
        </w:numPr>
        <w:tabs>
          <w:tab w:val="left" w:pos="945"/>
        </w:tabs>
        <w:spacing w:after="0" w:line="240" w:lineRule="auto"/>
        <w:rPr>
          <w:rFonts w:ascii="Arial" w:hAnsi="Arial" w:cs="Arial"/>
          <w:sz w:val="24"/>
          <w:szCs w:val="24"/>
        </w:rPr>
      </w:pPr>
      <w:r w:rsidRPr="0007572B">
        <w:rPr>
          <w:rFonts w:ascii="Arial" w:hAnsi="Arial" w:cs="Arial"/>
          <w:sz w:val="24"/>
          <w:szCs w:val="24"/>
        </w:rPr>
        <w:t>Insurance Provision - This provision represents the value of an actuarial assessment of the remaining liability for all self-insured claims occurring in 20</w:t>
      </w:r>
      <w:r w:rsidR="00451E80" w:rsidRPr="0007572B">
        <w:rPr>
          <w:rFonts w:ascii="Arial" w:hAnsi="Arial" w:cs="Arial"/>
          <w:sz w:val="24"/>
          <w:szCs w:val="24"/>
        </w:rPr>
        <w:t>2</w:t>
      </w:r>
      <w:r w:rsidR="005B25F0">
        <w:rPr>
          <w:rFonts w:ascii="Arial" w:hAnsi="Arial" w:cs="Arial"/>
          <w:sz w:val="24"/>
          <w:szCs w:val="24"/>
        </w:rPr>
        <w:t>1</w:t>
      </w:r>
      <w:r w:rsidRPr="0007572B">
        <w:rPr>
          <w:rFonts w:ascii="Arial" w:hAnsi="Arial" w:cs="Arial"/>
          <w:sz w:val="24"/>
          <w:szCs w:val="24"/>
        </w:rPr>
        <w:t>/</w:t>
      </w:r>
      <w:r w:rsidR="000C19CD" w:rsidRPr="0007572B">
        <w:rPr>
          <w:rFonts w:ascii="Arial" w:hAnsi="Arial" w:cs="Arial"/>
          <w:sz w:val="24"/>
          <w:szCs w:val="24"/>
        </w:rPr>
        <w:t>2</w:t>
      </w:r>
      <w:r w:rsidR="005B25F0">
        <w:rPr>
          <w:rFonts w:ascii="Arial" w:hAnsi="Arial" w:cs="Arial"/>
          <w:sz w:val="24"/>
          <w:szCs w:val="24"/>
        </w:rPr>
        <w:t>2</w:t>
      </w:r>
      <w:r w:rsidRPr="0007572B">
        <w:rPr>
          <w:rFonts w:ascii="Arial" w:hAnsi="Arial" w:cs="Arial"/>
          <w:sz w:val="24"/>
          <w:szCs w:val="24"/>
        </w:rPr>
        <w:t xml:space="preserve">, all prior policy years and a prudent margin added for emerging claim types. </w:t>
      </w:r>
    </w:p>
    <w:p w14:paraId="042D25A1" w14:textId="77777777" w:rsidR="00952201" w:rsidRPr="0007572B" w:rsidRDefault="00952201" w:rsidP="0038082E">
      <w:pPr>
        <w:tabs>
          <w:tab w:val="left" w:pos="945"/>
        </w:tabs>
        <w:ind w:left="720"/>
        <w:rPr>
          <w:rFonts w:ascii="Arial" w:hAnsi="Arial" w:cs="Arial"/>
          <w:lang w:eastAsia="en-GB"/>
        </w:rPr>
      </w:pPr>
    </w:p>
    <w:p w14:paraId="530932AE" w14:textId="381210AB" w:rsidR="00952201" w:rsidRPr="0007572B" w:rsidRDefault="002555A0" w:rsidP="00EB27EB">
      <w:pPr>
        <w:pStyle w:val="ListParagraph"/>
        <w:numPr>
          <w:ilvl w:val="0"/>
          <w:numId w:val="34"/>
        </w:numPr>
        <w:tabs>
          <w:tab w:val="left" w:pos="945"/>
        </w:tabs>
        <w:spacing w:after="0" w:line="240" w:lineRule="auto"/>
        <w:rPr>
          <w:rFonts w:ascii="Arial" w:hAnsi="Arial" w:cs="Arial"/>
          <w:sz w:val="24"/>
          <w:szCs w:val="24"/>
        </w:rPr>
      </w:pPr>
      <w:r>
        <w:rPr>
          <w:rFonts w:ascii="Arial" w:hAnsi="Arial" w:cs="Arial"/>
          <w:sz w:val="24"/>
          <w:szCs w:val="24"/>
        </w:rPr>
        <w:t>Business Rates</w:t>
      </w:r>
      <w:r w:rsidR="00952201" w:rsidRPr="0007572B">
        <w:rPr>
          <w:rFonts w:ascii="Arial" w:hAnsi="Arial" w:cs="Arial"/>
          <w:sz w:val="24"/>
          <w:szCs w:val="24"/>
        </w:rPr>
        <w:t xml:space="preserve"> Appeals Provision - This is the estimated amount required to cover the cost of successful appeals against local non-domestic rateable values, where the cost of these appeals is required to be met locally.</w:t>
      </w:r>
    </w:p>
    <w:p w14:paraId="22EA28F6" w14:textId="77777777" w:rsidR="00952201" w:rsidRPr="0007572B" w:rsidRDefault="00952201" w:rsidP="0038082E">
      <w:pPr>
        <w:rPr>
          <w:rFonts w:ascii="Arial" w:hAnsi="Arial" w:cs="Arial"/>
          <w:u w:val="single"/>
          <w:lang w:eastAsia="en-GB"/>
        </w:rPr>
      </w:pPr>
    </w:p>
    <w:p w14:paraId="7A151AF2" w14:textId="532E5EE0" w:rsidR="00952201" w:rsidRPr="0007572B" w:rsidRDefault="00952201" w:rsidP="00EB27EB">
      <w:pPr>
        <w:pStyle w:val="ListParagraph"/>
        <w:numPr>
          <w:ilvl w:val="0"/>
          <w:numId w:val="34"/>
        </w:numPr>
        <w:spacing w:after="0" w:line="240" w:lineRule="auto"/>
        <w:rPr>
          <w:rFonts w:ascii="Arial" w:hAnsi="Arial" w:cs="Arial"/>
          <w:sz w:val="24"/>
          <w:szCs w:val="24"/>
        </w:rPr>
      </w:pPr>
      <w:r w:rsidRPr="0007572B">
        <w:rPr>
          <w:rFonts w:ascii="Arial" w:hAnsi="Arial" w:cs="Arial"/>
          <w:sz w:val="24"/>
          <w:szCs w:val="24"/>
        </w:rPr>
        <w:t>Bear Scotland v Fulton - The Employment Appeals Tribunal has ruled in this case that non-contractual overtime needs to be included when calculating holiday pay paid to firefighter employees. This provision is the estimated amount required to pay backdated claims.</w:t>
      </w:r>
    </w:p>
    <w:p w14:paraId="16B7B751" w14:textId="77777777" w:rsidR="00952201" w:rsidRPr="0007572B" w:rsidRDefault="00952201" w:rsidP="0038082E">
      <w:pPr>
        <w:pStyle w:val="ListParagraph"/>
        <w:spacing w:after="0" w:line="240" w:lineRule="auto"/>
        <w:rPr>
          <w:rFonts w:ascii="Arial" w:hAnsi="Arial" w:cs="Arial"/>
          <w:sz w:val="24"/>
          <w:szCs w:val="24"/>
          <w:highlight w:val="yellow"/>
        </w:rPr>
      </w:pPr>
    </w:p>
    <w:p w14:paraId="73D0A751" w14:textId="77777777" w:rsidR="00952201" w:rsidRPr="0007572B" w:rsidRDefault="00952201" w:rsidP="0038082E">
      <w:pPr>
        <w:pStyle w:val="Heading4bold"/>
        <w:rPr>
          <w:lang w:eastAsia="en-GB"/>
        </w:rPr>
      </w:pPr>
      <w:r w:rsidRPr="0007572B">
        <w:rPr>
          <w:lang w:eastAsia="en-GB"/>
        </w:rPr>
        <w:t>Mayoral Police Fund</w:t>
      </w:r>
    </w:p>
    <w:p w14:paraId="42969CA6" w14:textId="506F9C5D" w:rsidR="00952201" w:rsidRPr="0007572B" w:rsidRDefault="00952201" w:rsidP="00EB27EB">
      <w:pPr>
        <w:pStyle w:val="ListParagraph"/>
        <w:numPr>
          <w:ilvl w:val="0"/>
          <w:numId w:val="34"/>
        </w:numPr>
        <w:tabs>
          <w:tab w:val="left" w:pos="945"/>
        </w:tabs>
        <w:spacing w:after="0" w:line="240" w:lineRule="auto"/>
        <w:rPr>
          <w:rFonts w:ascii="Arial" w:hAnsi="Arial" w:cs="Arial"/>
          <w:sz w:val="24"/>
          <w:szCs w:val="24"/>
        </w:rPr>
      </w:pPr>
      <w:r w:rsidRPr="0007572B">
        <w:rPr>
          <w:rFonts w:ascii="Arial" w:hAnsi="Arial" w:cs="Arial"/>
          <w:sz w:val="24"/>
          <w:szCs w:val="24"/>
        </w:rPr>
        <w:t>Insurance Provision - This provision represents the value of an actuarial assessment of the remaining liability for all self-insured claims occurring in 20</w:t>
      </w:r>
      <w:r w:rsidR="009C7061" w:rsidRPr="0007572B">
        <w:rPr>
          <w:rFonts w:ascii="Arial" w:hAnsi="Arial" w:cs="Arial"/>
          <w:sz w:val="24"/>
          <w:szCs w:val="24"/>
        </w:rPr>
        <w:t>2</w:t>
      </w:r>
      <w:r w:rsidR="005B25F0">
        <w:rPr>
          <w:rFonts w:ascii="Arial" w:hAnsi="Arial" w:cs="Arial"/>
          <w:sz w:val="24"/>
          <w:szCs w:val="24"/>
        </w:rPr>
        <w:t>1</w:t>
      </w:r>
      <w:r w:rsidRPr="0007572B">
        <w:rPr>
          <w:rFonts w:ascii="Arial" w:hAnsi="Arial" w:cs="Arial"/>
          <w:sz w:val="24"/>
          <w:szCs w:val="24"/>
        </w:rPr>
        <w:t>/</w:t>
      </w:r>
      <w:r w:rsidR="000C19CD" w:rsidRPr="0007572B">
        <w:rPr>
          <w:rFonts w:ascii="Arial" w:hAnsi="Arial" w:cs="Arial"/>
          <w:sz w:val="24"/>
          <w:szCs w:val="24"/>
        </w:rPr>
        <w:t>2</w:t>
      </w:r>
      <w:r w:rsidR="005B25F0">
        <w:rPr>
          <w:rFonts w:ascii="Arial" w:hAnsi="Arial" w:cs="Arial"/>
          <w:sz w:val="24"/>
          <w:szCs w:val="24"/>
        </w:rPr>
        <w:t>2</w:t>
      </w:r>
      <w:r w:rsidRPr="0007572B">
        <w:rPr>
          <w:rFonts w:ascii="Arial" w:hAnsi="Arial" w:cs="Arial"/>
          <w:sz w:val="24"/>
          <w:szCs w:val="24"/>
        </w:rPr>
        <w:t xml:space="preserve">, all prior policy years and a prudent margin added for emerging claim types. </w:t>
      </w:r>
    </w:p>
    <w:p w14:paraId="2704768E" w14:textId="77777777" w:rsidR="00952201" w:rsidRPr="0007572B" w:rsidRDefault="00952201" w:rsidP="0038082E">
      <w:pPr>
        <w:tabs>
          <w:tab w:val="left" w:pos="945"/>
        </w:tabs>
        <w:ind w:left="720"/>
        <w:rPr>
          <w:rFonts w:ascii="Arial" w:hAnsi="Arial" w:cs="Arial"/>
          <w:lang w:eastAsia="en-GB"/>
        </w:rPr>
      </w:pPr>
    </w:p>
    <w:p w14:paraId="7144EECA" w14:textId="4BF1C632" w:rsidR="00952201" w:rsidRPr="0007572B" w:rsidRDefault="00952201" w:rsidP="00EB27EB">
      <w:pPr>
        <w:pStyle w:val="ListParagraph"/>
        <w:numPr>
          <w:ilvl w:val="0"/>
          <w:numId w:val="34"/>
        </w:numPr>
        <w:tabs>
          <w:tab w:val="left" w:pos="945"/>
        </w:tabs>
        <w:spacing w:after="0" w:line="240" w:lineRule="auto"/>
        <w:rPr>
          <w:rFonts w:ascii="Arial" w:hAnsi="Arial" w:cs="Arial"/>
          <w:sz w:val="24"/>
          <w:szCs w:val="24"/>
        </w:rPr>
      </w:pPr>
      <w:r w:rsidRPr="0007572B">
        <w:rPr>
          <w:rFonts w:ascii="Arial" w:hAnsi="Arial" w:cs="Arial"/>
          <w:sz w:val="24"/>
          <w:szCs w:val="24"/>
        </w:rPr>
        <w:t>Police Pension Lump Sum Provision - The Pensions Ombudsman determined there was an underpayment of lump sums, to pension scheme members who retired between December 2001 and August 2006. The Ombudsman concluded that commutation formulas to convert annual pensions payments to lump sums should have been updated between 2001 and 2006 and as a result</w:t>
      </w:r>
      <w:r w:rsidR="00577AA5" w:rsidRPr="0007572B">
        <w:rPr>
          <w:rFonts w:ascii="Arial" w:hAnsi="Arial" w:cs="Arial"/>
          <w:sz w:val="24"/>
          <w:szCs w:val="24"/>
        </w:rPr>
        <w:t>,</w:t>
      </w:r>
      <w:r w:rsidRPr="0007572B">
        <w:rPr>
          <w:rFonts w:ascii="Arial" w:hAnsi="Arial" w:cs="Arial"/>
          <w:sz w:val="24"/>
          <w:szCs w:val="24"/>
        </w:rPr>
        <w:t xml:space="preserve"> additional payments are due to those members who chose to commute pension for lump sum at retirement during these years. </w:t>
      </w:r>
    </w:p>
    <w:p w14:paraId="7C89A6FA" w14:textId="4DBC9B96" w:rsidR="00952201" w:rsidRPr="0007572B" w:rsidRDefault="00952201" w:rsidP="0038082E">
      <w:pPr>
        <w:pStyle w:val="ListParagraph"/>
        <w:tabs>
          <w:tab w:val="left" w:pos="945"/>
        </w:tabs>
        <w:spacing w:after="0" w:line="240" w:lineRule="auto"/>
        <w:rPr>
          <w:rFonts w:ascii="Arial" w:hAnsi="Arial" w:cs="Arial"/>
          <w:sz w:val="24"/>
          <w:szCs w:val="24"/>
        </w:rPr>
      </w:pPr>
    </w:p>
    <w:p w14:paraId="57969E5D" w14:textId="4F0A3566" w:rsidR="000B247E" w:rsidRPr="00A106AE" w:rsidRDefault="004D15B7" w:rsidP="00A106AE">
      <w:pPr>
        <w:pStyle w:val="ListParagraph"/>
        <w:numPr>
          <w:ilvl w:val="0"/>
          <w:numId w:val="34"/>
        </w:numPr>
        <w:tabs>
          <w:tab w:val="left" w:pos="945"/>
        </w:tabs>
        <w:spacing w:after="0" w:line="240" w:lineRule="auto"/>
        <w:rPr>
          <w:rFonts w:ascii="Arial" w:hAnsi="Arial" w:cs="Arial"/>
        </w:rPr>
        <w:sectPr w:rsidR="000B247E" w:rsidRPr="00A106AE" w:rsidSect="000B247E">
          <w:pgSz w:w="16838" w:h="11906" w:orient="landscape"/>
          <w:pgMar w:top="1080" w:right="1444" w:bottom="1416" w:left="1276" w:header="568" w:footer="567" w:gutter="0"/>
          <w:cols w:space="708"/>
          <w:docGrid w:linePitch="360"/>
        </w:sectPr>
      </w:pPr>
      <w:r w:rsidRPr="0038082E">
        <w:rPr>
          <w:rFonts w:ascii="Arial" w:hAnsi="Arial" w:cs="Arial"/>
          <w:sz w:val="24"/>
          <w:szCs w:val="24"/>
        </w:rPr>
        <w:t>Capital Project Retentions Provision - This is a provision to hold a percentage of a projects total funding, which is retained during the contractual defects period.</w:t>
      </w:r>
    </w:p>
    <w:p w14:paraId="74DA2DE6" w14:textId="18037470" w:rsidR="000B247E" w:rsidRPr="00A106AE" w:rsidRDefault="000B247E" w:rsidP="00A106AE">
      <w:pPr>
        <w:tabs>
          <w:tab w:val="left" w:pos="945"/>
        </w:tabs>
        <w:jc w:val="both"/>
        <w:rPr>
          <w:rFonts w:ascii="Arial" w:hAnsi="Arial" w:cs="Arial"/>
        </w:rPr>
      </w:pPr>
    </w:p>
    <w:p w14:paraId="58CC6C5A" w14:textId="7413FCBC" w:rsidR="00081DA7" w:rsidRPr="0007572B" w:rsidRDefault="00884440" w:rsidP="0038082E">
      <w:pPr>
        <w:pStyle w:val="Heading3greennumbered"/>
      </w:pPr>
      <w:bookmarkStart w:id="165" w:name="_Toc92894898"/>
      <w:bookmarkStart w:id="166" w:name="_Toc92895202"/>
      <w:bookmarkStart w:id="167" w:name="_Toc109922636"/>
      <w:r w:rsidRPr="0007572B">
        <w:t>2</w:t>
      </w:r>
      <w:r w:rsidR="00A40C51" w:rsidRPr="0007572B">
        <w:t>6</w:t>
      </w:r>
      <w:r w:rsidR="00081DA7" w:rsidRPr="0007572B">
        <w:t xml:space="preserve"> </w:t>
      </w:r>
      <w:r w:rsidR="00CE6A00" w:rsidRPr="0007572B">
        <w:t>Short and Long Term Leases including PFI</w:t>
      </w:r>
      <w:bookmarkEnd w:id="165"/>
      <w:bookmarkEnd w:id="166"/>
      <w:bookmarkEnd w:id="167"/>
    </w:p>
    <w:p w14:paraId="024BDDF5" w14:textId="77777777" w:rsidR="005403AF" w:rsidRPr="005403AF" w:rsidRDefault="005403AF" w:rsidP="0038082E"/>
    <w:p w14:paraId="181A5C42" w14:textId="0C10F9CD" w:rsidR="00CE020E" w:rsidRPr="0007572B" w:rsidRDefault="00CE020E" w:rsidP="0038082E">
      <w:pPr>
        <w:pStyle w:val="Heading4bold"/>
      </w:pPr>
      <w:r w:rsidRPr="0007572B">
        <w:t xml:space="preserve">Fire Station </w:t>
      </w:r>
    </w:p>
    <w:p w14:paraId="51C60325" w14:textId="20FB31BF" w:rsidR="00C676C5" w:rsidRPr="0007572B" w:rsidRDefault="00C676C5" w:rsidP="0038082E">
      <w:pPr>
        <w:rPr>
          <w:rFonts w:ascii="Arial" w:hAnsi="Arial" w:cs="Arial"/>
        </w:rPr>
      </w:pPr>
      <w:r w:rsidRPr="0007572B">
        <w:rPr>
          <w:rFonts w:ascii="Arial" w:hAnsi="Arial" w:cs="Arial"/>
        </w:rPr>
        <w:t>20</w:t>
      </w:r>
      <w:r w:rsidR="00451E80" w:rsidRPr="0007572B">
        <w:rPr>
          <w:rFonts w:ascii="Arial" w:hAnsi="Arial" w:cs="Arial"/>
        </w:rPr>
        <w:t>2</w:t>
      </w:r>
      <w:r w:rsidR="00D871C0">
        <w:rPr>
          <w:rFonts w:ascii="Arial" w:hAnsi="Arial" w:cs="Arial"/>
        </w:rPr>
        <w:t>1</w:t>
      </w:r>
      <w:r w:rsidRPr="0007572B">
        <w:rPr>
          <w:rFonts w:ascii="Arial" w:hAnsi="Arial" w:cs="Arial"/>
        </w:rPr>
        <w:t>/2</w:t>
      </w:r>
      <w:r w:rsidR="00D871C0">
        <w:rPr>
          <w:rFonts w:ascii="Arial" w:hAnsi="Arial" w:cs="Arial"/>
        </w:rPr>
        <w:t>2</w:t>
      </w:r>
      <w:r w:rsidRPr="0007572B">
        <w:rPr>
          <w:rFonts w:ascii="Arial" w:hAnsi="Arial" w:cs="Arial"/>
        </w:rPr>
        <w:t xml:space="preserve"> was the twenty </w:t>
      </w:r>
      <w:r w:rsidR="00451E80" w:rsidRPr="0007572B">
        <w:rPr>
          <w:rFonts w:ascii="Arial" w:hAnsi="Arial" w:cs="Arial"/>
        </w:rPr>
        <w:t>second</w:t>
      </w:r>
      <w:r w:rsidRPr="0007572B">
        <w:rPr>
          <w:rFonts w:ascii="Arial" w:hAnsi="Arial" w:cs="Arial"/>
        </w:rPr>
        <w:t xml:space="preserve"> year of a 25 year PFI contract (ending October 2024) for the construction, maintenance and provision of a Fire Station at Stretford, along with associated equipment. </w:t>
      </w:r>
    </w:p>
    <w:p w14:paraId="209FE44F" w14:textId="77777777" w:rsidR="00C676C5" w:rsidRPr="0007572B" w:rsidRDefault="00C676C5" w:rsidP="0038082E">
      <w:pPr>
        <w:rPr>
          <w:rFonts w:ascii="Arial" w:hAnsi="Arial" w:cs="Arial"/>
        </w:rPr>
      </w:pPr>
    </w:p>
    <w:p w14:paraId="3473953C" w14:textId="72C1240D" w:rsidR="00C676C5" w:rsidRPr="0007572B" w:rsidRDefault="00C676C5" w:rsidP="0038082E">
      <w:pPr>
        <w:rPr>
          <w:rFonts w:ascii="Arial" w:hAnsi="Arial" w:cs="Arial"/>
        </w:rPr>
      </w:pPr>
      <w:r w:rsidRPr="0007572B">
        <w:rPr>
          <w:rFonts w:ascii="Arial" w:hAnsi="Arial" w:cs="Arial"/>
        </w:rPr>
        <w:t xml:space="preserve">The contract specifies minimum standards for the services to be provided by the contractor, with deductions from the fee payable being made if facilities are unavailable or performance is below the minimum standards. The building and equipment will be transferred to the Authority at the end of the 25 year contract at nil value. </w:t>
      </w:r>
    </w:p>
    <w:p w14:paraId="7690EAAD" w14:textId="77777777" w:rsidR="00C676C5" w:rsidRPr="0007572B" w:rsidRDefault="00C676C5" w:rsidP="0038082E">
      <w:pPr>
        <w:rPr>
          <w:rFonts w:ascii="Arial" w:hAnsi="Arial" w:cs="Arial"/>
        </w:rPr>
      </w:pPr>
    </w:p>
    <w:p w14:paraId="5130DCC3" w14:textId="335CCD75" w:rsidR="00C676C5" w:rsidRDefault="00C676C5" w:rsidP="0038082E">
      <w:pPr>
        <w:rPr>
          <w:rFonts w:ascii="Arial" w:hAnsi="Arial" w:cs="Arial"/>
        </w:rPr>
      </w:pPr>
      <w:r w:rsidRPr="0007572B">
        <w:rPr>
          <w:rFonts w:ascii="Arial" w:hAnsi="Arial" w:cs="Arial"/>
        </w:rPr>
        <w:t>Over the remaining term of the contract, the Authority is committed to making gross payments of £</w:t>
      </w:r>
      <w:r w:rsidR="00D871C0">
        <w:rPr>
          <w:rFonts w:ascii="Arial" w:hAnsi="Arial" w:cs="Arial"/>
        </w:rPr>
        <w:t>1</w:t>
      </w:r>
      <w:r w:rsidR="00AD41B8" w:rsidRPr="0007572B">
        <w:rPr>
          <w:rFonts w:ascii="Arial" w:hAnsi="Arial" w:cs="Arial"/>
        </w:rPr>
        <w:t>.8</w:t>
      </w:r>
      <w:r w:rsidR="00D871C0">
        <w:rPr>
          <w:rFonts w:ascii="Arial" w:hAnsi="Arial" w:cs="Arial"/>
        </w:rPr>
        <w:t>68</w:t>
      </w:r>
      <w:r w:rsidRPr="0007572B">
        <w:rPr>
          <w:rFonts w:ascii="Arial" w:hAnsi="Arial" w:cs="Arial"/>
        </w:rPr>
        <w:t>m (average payment per year is £0.72</w:t>
      </w:r>
      <w:r w:rsidR="00D871C0">
        <w:rPr>
          <w:rFonts w:ascii="Arial" w:hAnsi="Arial" w:cs="Arial"/>
        </w:rPr>
        <w:t>3</w:t>
      </w:r>
      <w:r w:rsidRPr="0007572B">
        <w:rPr>
          <w:rFonts w:ascii="Arial" w:hAnsi="Arial" w:cs="Arial"/>
        </w:rPr>
        <w:t>m). However, the net cost to the Authority after income from specific government grant is estimated at £</w:t>
      </w:r>
      <w:r w:rsidR="00AD41B8" w:rsidRPr="0007572B">
        <w:rPr>
          <w:rFonts w:ascii="Arial" w:hAnsi="Arial" w:cs="Arial"/>
        </w:rPr>
        <w:t>0.</w:t>
      </w:r>
      <w:r w:rsidR="00D871C0">
        <w:rPr>
          <w:rFonts w:ascii="Arial" w:hAnsi="Arial" w:cs="Arial"/>
        </w:rPr>
        <w:t>625</w:t>
      </w:r>
      <w:r w:rsidRPr="0007572B">
        <w:rPr>
          <w:rFonts w:ascii="Arial" w:hAnsi="Arial" w:cs="Arial"/>
        </w:rPr>
        <w:t>m (average payment per year is £0.2</w:t>
      </w:r>
      <w:r w:rsidR="00AD41B8" w:rsidRPr="0007572B">
        <w:rPr>
          <w:rFonts w:ascii="Arial" w:hAnsi="Arial" w:cs="Arial"/>
        </w:rPr>
        <w:t>4</w:t>
      </w:r>
      <w:r w:rsidR="00D871C0">
        <w:rPr>
          <w:rFonts w:ascii="Arial" w:hAnsi="Arial" w:cs="Arial"/>
        </w:rPr>
        <w:t>2</w:t>
      </w:r>
      <w:r w:rsidRPr="0007572B">
        <w:rPr>
          <w:rFonts w:ascii="Arial" w:hAnsi="Arial" w:cs="Arial"/>
        </w:rPr>
        <w:t xml:space="preserve">m). </w:t>
      </w:r>
    </w:p>
    <w:p w14:paraId="206CAFB7" w14:textId="77777777" w:rsidR="005403AF" w:rsidRPr="0007572B" w:rsidRDefault="005403AF" w:rsidP="0038082E">
      <w:pPr>
        <w:rPr>
          <w:rFonts w:ascii="Arial" w:hAnsi="Arial" w:cs="Arial"/>
        </w:rPr>
      </w:pPr>
    </w:p>
    <w:p w14:paraId="15248154" w14:textId="77777777" w:rsidR="00CE020E" w:rsidRPr="0007572B" w:rsidRDefault="00CE020E" w:rsidP="0038082E">
      <w:pPr>
        <w:pStyle w:val="Heading4bold"/>
      </w:pPr>
      <w:r w:rsidRPr="0007572B">
        <w:t xml:space="preserve">Police Stations </w:t>
      </w:r>
    </w:p>
    <w:p w14:paraId="442951FC" w14:textId="63C65DA5" w:rsidR="00C676C5" w:rsidRPr="0007572B" w:rsidRDefault="00C676C5" w:rsidP="0038082E">
      <w:pPr>
        <w:rPr>
          <w:rFonts w:ascii="Arial" w:hAnsi="Arial" w:cs="Arial"/>
        </w:rPr>
      </w:pPr>
      <w:r w:rsidRPr="0007572B">
        <w:rPr>
          <w:rFonts w:ascii="Arial" w:hAnsi="Arial" w:cs="Arial"/>
        </w:rPr>
        <w:t>20</w:t>
      </w:r>
      <w:r w:rsidR="00451E80" w:rsidRPr="0007572B">
        <w:rPr>
          <w:rFonts w:ascii="Arial" w:hAnsi="Arial" w:cs="Arial"/>
        </w:rPr>
        <w:t>2</w:t>
      </w:r>
      <w:r w:rsidR="00D871C0">
        <w:rPr>
          <w:rFonts w:ascii="Arial" w:hAnsi="Arial" w:cs="Arial"/>
        </w:rPr>
        <w:t>1</w:t>
      </w:r>
      <w:r w:rsidRPr="0007572B">
        <w:rPr>
          <w:rFonts w:ascii="Arial" w:hAnsi="Arial" w:cs="Arial"/>
        </w:rPr>
        <w:t>/2</w:t>
      </w:r>
      <w:r w:rsidR="00D871C0">
        <w:rPr>
          <w:rFonts w:ascii="Arial" w:hAnsi="Arial" w:cs="Arial"/>
        </w:rPr>
        <w:t>2</w:t>
      </w:r>
      <w:r w:rsidRPr="0007572B">
        <w:rPr>
          <w:rFonts w:ascii="Arial" w:hAnsi="Arial" w:cs="Arial"/>
        </w:rPr>
        <w:t xml:space="preserve"> was the </w:t>
      </w:r>
      <w:r w:rsidR="00D871C0">
        <w:rPr>
          <w:rFonts w:ascii="Arial" w:hAnsi="Arial" w:cs="Arial"/>
        </w:rPr>
        <w:t>nine</w:t>
      </w:r>
      <w:r w:rsidR="00451E80" w:rsidRPr="0007572B">
        <w:rPr>
          <w:rFonts w:ascii="Arial" w:hAnsi="Arial" w:cs="Arial"/>
        </w:rPr>
        <w:t>teenth</w:t>
      </w:r>
      <w:r w:rsidRPr="0007572B">
        <w:rPr>
          <w:rFonts w:ascii="Arial" w:hAnsi="Arial" w:cs="Arial"/>
        </w:rPr>
        <w:t xml:space="preserve"> year of a Private Finance Initiativ</w:t>
      </w:r>
      <w:r w:rsidR="00A6759A" w:rsidRPr="0007572B">
        <w:rPr>
          <w:rFonts w:ascii="Arial" w:hAnsi="Arial" w:cs="Arial"/>
        </w:rPr>
        <w:t>e (PFI) contract (ending in 2030</w:t>
      </w:r>
      <w:r w:rsidRPr="0007572B">
        <w:rPr>
          <w:rFonts w:ascii="Arial" w:hAnsi="Arial" w:cs="Arial"/>
        </w:rPr>
        <w:t xml:space="preserve">) for the construction and maintenance of seventeen Police stations across the </w:t>
      </w:r>
      <w:r w:rsidR="00CA750E">
        <w:rPr>
          <w:rFonts w:ascii="Arial" w:hAnsi="Arial" w:cs="Arial"/>
        </w:rPr>
        <w:t>GM</w:t>
      </w:r>
      <w:r w:rsidRPr="0007572B">
        <w:rPr>
          <w:rFonts w:ascii="Arial" w:hAnsi="Arial" w:cs="Arial"/>
        </w:rPr>
        <w:t xml:space="preserve"> area. The contractor will operate and service the stations for twenty-five years after which ownership will revert to the Authority, to be held on behalf of the Mayor, for nil consideration. </w:t>
      </w:r>
    </w:p>
    <w:p w14:paraId="0382C8E5" w14:textId="77777777" w:rsidR="00CE020E" w:rsidRPr="0007572B" w:rsidRDefault="00CE020E" w:rsidP="0038082E">
      <w:pPr>
        <w:rPr>
          <w:rFonts w:ascii="Arial" w:hAnsi="Arial" w:cs="Arial"/>
        </w:rPr>
      </w:pPr>
    </w:p>
    <w:p w14:paraId="2DA25620" w14:textId="30657C16" w:rsidR="00C676C5" w:rsidRDefault="00C676C5" w:rsidP="0038082E">
      <w:pPr>
        <w:rPr>
          <w:rFonts w:ascii="Arial" w:hAnsi="Arial" w:cs="Arial"/>
        </w:rPr>
      </w:pPr>
      <w:r w:rsidRPr="0007572B">
        <w:rPr>
          <w:rFonts w:ascii="Arial" w:hAnsi="Arial" w:cs="Arial"/>
        </w:rPr>
        <w:t>Over the remaining term of the contract, the Authority is committed to making gross payments of £</w:t>
      </w:r>
      <w:r w:rsidR="00AD41B8" w:rsidRPr="0007572B">
        <w:rPr>
          <w:rFonts w:ascii="Arial" w:hAnsi="Arial" w:cs="Arial"/>
        </w:rPr>
        <w:t>1</w:t>
      </w:r>
      <w:r w:rsidR="00285F28">
        <w:rPr>
          <w:rFonts w:ascii="Arial" w:hAnsi="Arial" w:cs="Arial"/>
        </w:rPr>
        <w:t>28</w:t>
      </w:r>
      <w:r w:rsidR="00AD41B8" w:rsidRPr="0007572B">
        <w:rPr>
          <w:rFonts w:ascii="Arial" w:hAnsi="Arial" w:cs="Arial"/>
        </w:rPr>
        <w:t>.</w:t>
      </w:r>
      <w:r w:rsidR="00285F28">
        <w:rPr>
          <w:rFonts w:ascii="Arial" w:hAnsi="Arial" w:cs="Arial"/>
        </w:rPr>
        <w:t>424</w:t>
      </w:r>
      <w:r w:rsidRPr="0007572B">
        <w:rPr>
          <w:rFonts w:ascii="Arial" w:hAnsi="Arial" w:cs="Arial"/>
        </w:rPr>
        <w:t>m (average payment per year is £1</w:t>
      </w:r>
      <w:r w:rsidR="00285F28">
        <w:rPr>
          <w:rFonts w:ascii="Arial" w:hAnsi="Arial" w:cs="Arial"/>
        </w:rPr>
        <w:t>6</w:t>
      </w:r>
      <w:r w:rsidRPr="0007572B">
        <w:rPr>
          <w:rFonts w:ascii="Arial" w:hAnsi="Arial" w:cs="Arial"/>
        </w:rPr>
        <w:t>.</w:t>
      </w:r>
      <w:r w:rsidR="00285F28">
        <w:rPr>
          <w:rFonts w:ascii="Arial" w:hAnsi="Arial" w:cs="Arial"/>
        </w:rPr>
        <w:t>053</w:t>
      </w:r>
      <w:r w:rsidRPr="0007572B">
        <w:rPr>
          <w:rFonts w:ascii="Arial" w:hAnsi="Arial" w:cs="Arial"/>
        </w:rPr>
        <w:t>m). However, the net cost to the Authority after income from specific government grant is estimated at £</w:t>
      </w:r>
      <w:r w:rsidR="00285F28">
        <w:rPr>
          <w:rFonts w:ascii="Arial" w:hAnsi="Arial" w:cs="Arial"/>
        </w:rPr>
        <w:t>8</w:t>
      </w:r>
      <w:r w:rsidR="00AD41B8" w:rsidRPr="0007572B">
        <w:rPr>
          <w:rFonts w:ascii="Arial" w:hAnsi="Arial" w:cs="Arial"/>
        </w:rPr>
        <w:t>5</w:t>
      </w:r>
      <w:r w:rsidRPr="0007572B">
        <w:rPr>
          <w:rFonts w:ascii="Arial" w:hAnsi="Arial" w:cs="Arial"/>
        </w:rPr>
        <w:t>.</w:t>
      </w:r>
      <w:r w:rsidR="00285F28">
        <w:rPr>
          <w:rFonts w:ascii="Arial" w:hAnsi="Arial" w:cs="Arial"/>
        </w:rPr>
        <w:t>905</w:t>
      </w:r>
      <w:r w:rsidRPr="0007572B">
        <w:rPr>
          <w:rFonts w:ascii="Arial" w:hAnsi="Arial" w:cs="Arial"/>
        </w:rPr>
        <w:t>m (average payment per year is £1</w:t>
      </w:r>
      <w:r w:rsidR="00285F28">
        <w:rPr>
          <w:rFonts w:ascii="Arial" w:hAnsi="Arial" w:cs="Arial"/>
        </w:rPr>
        <w:t>0</w:t>
      </w:r>
      <w:r w:rsidRPr="0007572B">
        <w:rPr>
          <w:rFonts w:ascii="Arial" w:hAnsi="Arial" w:cs="Arial"/>
        </w:rPr>
        <w:t>.</w:t>
      </w:r>
      <w:r w:rsidR="00285F28">
        <w:rPr>
          <w:rFonts w:ascii="Arial" w:hAnsi="Arial" w:cs="Arial"/>
        </w:rPr>
        <w:t>738</w:t>
      </w:r>
      <w:r w:rsidRPr="0007572B">
        <w:rPr>
          <w:rFonts w:ascii="Arial" w:hAnsi="Arial" w:cs="Arial"/>
        </w:rPr>
        <w:t xml:space="preserve">m). </w:t>
      </w:r>
    </w:p>
    <w:p w14:paraId="795F9CB8" w14:textId="77777777" w:rsidR="005403AF" w:rsidRPr="0007572B" w:rsidRDefault="005403AF" w:rsidP="0038082E">
      <w:pPr>
        <w:rPr>
          <w:rFonts w:ascii="Arial" w:hAnsi="Arial" w:cs="Arial"/>
        </w:rPr>
      </w:pPr>
    </w:p>
    <w:p w14:paraId="5CC46780" w14:textId="77777777" w:rsidR="00CE020E" w:rsidRPr="0007572B" w:rsidRDefault="00CE020E" w:rsidP="0038082E">
      <w:pPr>
        <w:pStyle w:val="Heading4bold"/>
      </w:pPr>
      <w:r w:rsidRPr="0007572B">
        <w:t>Property Plant and Equipment</w:t>
      </w:r>
    </w:p>
    <w:p w14:paraId="75C383F8" w14:textId="640C4138" w:rsidR="00CE020E" w:rsidRDefault="00CE020E" w:rsidP="0038082E">
      <w:pPr>
        <w:rPr>
          <w:rFonts w:ascii="Arial" w:hAnsi="Arial" w:cs="Arial"/>
        </w:rPr>
      </w:pPr>
      <w:r w:rsidRPr="0007572B">
        <w:rPr>
          <w:rFonts w:ascii="Arial" w:hAnsi="Arial" w:cs="Arial"/>
        </w:rPr>
        <w:t>The Stations and Equipment provided under the contracts are recognised on the Authority's Balance Sheet. Movements in their value over the year are detailed in the analysis of the movement on the Property Plant and Equipment balance in the notes to the Balance Sheet.</w:t>
      </w:r>
    </w:p>
    <w:p w14:paraId="452EDD48" w14:textId="77777777" w:rsidR="005403AF" w:rsidRPr="0007572B" w:rsidRDefault="005403AF" w:rsidP="0038082E">
      <w:pPr>
        <w:rPr>
          <w:rFonts w:ascii="Arial" w:hAnsi="Arial" w:cs="Arial"/>
        </w:rPr>
      </w:pPr>
    </w:p>
    <w:p w14:paraId="7A6A2AE8" w14:textId="77777777" w:rsidR="00CE020E" w:rsidRPr="0007572B" w:rsidRDefault="00CE020E" w:rsidP="0038082E">
      <w:pPr>
        <w:pStyle w:val="Heading4bold"/>
      </w:pPr>
      <w:r w:rsidRPr="0007572B">
        <w:t>Outstanding Liability</w:t>
      </w:r>
    </w:p>
    <w:p w14:paraId="19DE763E" w14:textId="55AF7919" w:rsidR="004F5004" w:rsidRPr="0007572B" w:rsidRDefault="00CE020E" w:rsidP="0038082E">
      <w:pPr>
        <w:rPr>
          <w:rFonts w:ascii="Arial" w:hAnsi="Arial" w:cs="Arial"/>
        </w:rPr>
      </w:pPr>
      <w:r w:rsidRPr="0007572B">
        <w:rPr>
          <w:rFonts w:ascii="Arial" w:hAnsi="Arial" w:cs="Arial"/>
        </w:rPr>
        <w:t xml:space="preserve">The PFI liability represents the </w:t>
      </w:r>
      <w:r w:rsidR="007512FA" w:rsidRPr="0007572B">
        <w:rPr>
          <w:rFonts w:ascii="Arial" w:hAnsi="Arial" w:cs="Arial"/>
        </w:rPr>
        <w:t xml:space="preserve">current </w:t>
      </w:r>
      <w:r w:rsidRPr="0007572B">
        <w:rPr>
          <w:rFonts w:ascii="Arial" w:hAnsi="Arial" w:cs="Arial"/>
        </w:rPr>
        <w:t>outstanding long term liability to the contr</w:t>
      </w:r>
      <w:r w:rsidR="00CE7425" w:rsidRPr="0007572B">
        <w:rPr>
          <w:rFonts w:ascii="Arial" w:hAnsi="Arial" w:cs="Arial"/>
        </w:rPr>
        <w:t xml:space="preserve">actor for capital expenditure. </w:t>
      </w:r>
      <w:r w:rsidR="00285F28">
        <w:rPr>
          <w:rFonts w:ascii="Arial" w:hAnsi="Arial" w:cs="Arial"/>
        </w:rPr>
        <w:t xml:space="preserve">A fair value disclosure has also been provided for the PFI liabilities in the Financial Instruments note. </w:t>
      </w:r>
      <w:r w:rsidRPr="0007572B">
        <w:rPr>
          <w:rFonts w:ascii="Arial" w:hAnsi="Arial" w:cs="Arial"/>
        </w:rPr>
        <w:t xml:space="preserve">The </w:t>
      </w:r>
      <w:r w:rsidR="007512FA" w:rsidRPr="0007572B">
        <w:rPr>
          <w:rFonts w:ascii="Arial" w:hAnsi="Arial" w:cs="Arial"/>
        </w:rPr>
        <w:t xml:space="preserve">current </w:t>
      </w:r>
      <w:r w:rsidRPr="0007572B">
        <w:rPr>
          <w:rFonts w:ascii="Arial" w:hAnsi="Arial" w:cs="Arial"/>
        </w:rPr>
        <w:t>value of the liability held under each PFI arrangement is as follows:</w:t>
      </w:r>
    </w:p>
    <w:p w14:paraId="0D4EAC59" w14:textId="7FEF4315" w:rsidR="00451E80" w:rsidRPr="0007572B" w:rsidRDefault="000C2400" w:rsidP="0038082E">
      <w:pPr>
        <w:rPr>
          <w:rFonts w:ascii="Arial" w:hAnsi="Arial" w:cs="Arial"/>
        </w:rPr>
      </w:pPr>
      <w:r w:rsidRPr="000C2400">
        <w:rPr>
          <w:noProof/>
        </w:rPr>
        <w:lastRenderedPageBreak/>
        <w:drawing>
          <wp:inline distT="0" distB="0" distL="0" distR="0" wp14:anchorId="160AE644" wp14:editId="3384925A">
            <wp:extent cx="5597525" cy="1908175"/>
            <wp:effectExtent l="0" t="0" r="3175" b="0"/>
            <wp:docPr id="1461574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7525" cy="1908175"/>
                    </a:xfrm>
                    <a:prstGeom prst="rect">
                      <a:avLst/>
                    </a:prstGeom>
                    <a:noFill/>
                    <a:ln>
                      <a:noFill/>
                    </a:ln>
                  </pic:spPr>
                </pic:pic>
              </a:graphicData>
            </a:graphic>
          </wp:inline>
        </w:drawing>
      </w:r>
    </w:p>
    <w:p w14:paraId="5358CC8F" w14:textId="46FAC03A" w:rsidR="003109CE" w:rsidRPr="0007572B" w:rsidRDefault="003109CE" w:rsidP="0038082E">
      <w:pPr>
        <w:rPr>
          <w:rFonts w:ascii="Arial" w:hAnsi="Arial" w:cs="Arial"/>
        </w:rPr>
      </w:pPr>
    </w:p>
    <w:p w14:paraId="0C4111E1" w14:textId="77777777" w:rsidR="00CE020E" w:rsidRPr="0007572B" w:rsidRDefault="00CE020E" w:rsidP="0038082E">
      <w:pPr>
        <w:pStyle w:val="Heading4bold"/>
      </w:pPr>
      <w:r w:rsidRPr="0007572B">
        <w:t>Central Government Grant Subsidy</w:t>
      </w:r>
    </w:p>
    <w:p w14:paraId="3757ABFF" w14:textId="535554A5" w:rsidR="00CE020E" w:rsidRDefault="00CE020E" w:rsidP="0038082E">
      <w:pPr>
        <w:rPr>
          <w:rFonts w:ascii="Arial" w:hAnsi="Arial" w:cs="Arial"/>
        </w:rPr>
      </w:pPr>
      <w:r w:rsidRPr="0007572B">
        <w:rPr>
          <w:rFonts w:ascii="Arial" w:hAnsi="Arial" w:cs="Arial"/>
        </w:rPr>
        <w:t>The grant received in the form of Central Government Subsidy to partly offset the cost of each PFI is credited to revenue accounts in the year of receipt.</w:t>
      </w:r>
    </w:p>
    <w:p w14:paraId="0B9D0F18" w14:textId="77777777" w:rsidR="00D4492C" w:rsidRPr="0007572B" w:rsidRDefault="00D4492C" w:rsidP="0038082E">
      <w:pPr>
        <w:rPr>
          <w:rFonts w:ascii="Arial" w:hAnsi="Arial" w:cs="Arial"/>
        </w:rPr>
      </w:pPr>
    </w:p>
    <w:p w14:paraId="49D5E234" w14:textId="210F4E78" w:rsidR="00CE020E" w:rsidRPr="0007572B" w:rsidRDefault="00CE020E" w:rsidP="0038082E">
      <w:pPr>
        <w:pStyle w:val="Heading4bold"/>
      </w:pPr>
      <w:r w:rsidRPr="0007572B">
        <w:t>Payments due under the PFI Contracts</w:t>
      </w:r>
    </w:p>
    <w:p w14:paraId="4C3B4DE3" w14:textId="77777777" w:rsidR="00285F28" w:rsidRPr="00285F28" w:rsidRDefault="00285F28" w:rsidP="00285F28">
      <w:pPr>
        <w:autoSpaceDE w:val="0"/>
        <w:autoSpaceDN w:val="0"/>
        <w:adjustRightInd w:val="0"/>
        <w:rPr>
          <w:rFonts w:ascii="Arial" w:hAnsi="Arial" w:cs="Arial"/>
        </w:rPr>
      </w:pPr>
      <w:r w:rsidRPr="00285F28">
        <w:rPr>
          <w:rFonts w:ascii="Arial" w:hAnsi="Arial" w:cs="Arial"/>
        </w:rPr>
        <w:t xml:space="preserve">The Authority makes monthly payments which comprise of a service charge, a repayment of liability and interest charge, a payment in respect of business rates and a payment to provide for lifecycle replacement costs (known as the 'Sinking Fund'). The payments into the sinking fund are treated initially as a prepayment by the Authority. The Service Provider throughout the contractual term will utilise the sinking fund for the repair and replacement of the premises, and fixture and fittings with the consent of the Authority. All payments made, other than the liability and interest charge, are subject to annual inflation increases and can be reduced if the contractor fails to meet availability and performance standards in any year. The Authority on behalf of the Mayor has the right to terminate the contact only if the contractor is compensated in full for costs incurred and lost future profits. </w:t>
      </w:r>
    </w:p>
    <w:p w14:paraId="0313433A" w14:textId="77777777" w:rsidR="00CE020E" w:rsidRPr="0007572B" w:rsidRDefault="00CE020E" w:rsidP="0038082E">
      <w:pPr>
        <w:rPr>
          <w:rFonts w:ascii="Arial" w:hAnsi="Arial" w:cs="Arial"/>
        </w:rPr>
      </w:pPr>
    </w:p>
    <w:p w14:paraId="1506BE65" w14:textId="49E2C5CA" w:rsidR="00CE020E" w:rsidRDefault="00CE020E" w:rsidP="0038082E">
      <w:pPr>
        <w:rPr>
          <w:rFonts w:ascii="Arial" w:hAnsi="Arial" w:cs="Arial"/>
        </w:rPr>
      </w:pPr>
      <w:r w:rsidRPr="0007572B">
        <w:rPr>
          <w:rFonts w:ascii="Arial" w:hAnsi="Arial" w:cs="Arial"/>
        </w:rPr>
        <w:t>Future payments remaining to be made under the contracts (including an estimate of future inflation) are as follows:</w:t>
      </w:r>
    </w:p>
    <w:p w14:paraId="1BCA9FE4" w14:textId="4764A892" w:rsidR="00B141F0" w:rsidRDefault="00B141F0" w:rsidP="0038082E">
      <w:pPr>
        <w:rPr>
          <w:rFonts w:ascii="Arial" w:hAnsi="Arial" w:cs="Arial"/>
        </w:rPr>
      </w:pPr>
    </w:p>
    <w:p w14:paraId="7BA3D276" w14:textId="6F22CB58" w:rsidR="00B141F0" w:rsidRPr="0007572B" w:rsidRDefault="00EB27EB" w:rsidP="0038082E">
      <w:pPr>
        <w:rPr>
          <w:rFonts w:ascii="Arial" w:hAnsi="Arial" w:cs="Arial"/>
        </w:rPr>
      </w:pPr>
      <w:r w:rsidRPr="00EB27EB">
        <w:rPr>
          <w:noProof/>
        </w:rPr>
        <w:drawing>
          <wp:inline distT="0" distB="0" distL="0" distR="0" wp14:anchorId="49F6826F" wp14:editId="18CF98BA">
            <wp:extent cx="5470525" cy="2289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0525" cy="2289810"/>
                    </a:xfrm>
                    <a:prstGeom prst="rect">
                      <a:avLst/>
                    </a:prstGeom>
                    <a:noFill/>
                    <a:ln>
                      <a:noFill/>
                    </a:ln>
                  </pic:spPr>
                </pic:pic>
              </a:graphicData>
            </a:graphic>
          </wp:inline>
        </w:drawing>
      </w:r>
    </w:p>
    <w:p w14:paraId="0FC59B83" w14:textId="24DFDC84" w:rsidR="00EB27EB" w:rsidRDefault="00EB27EB">
      <w:pPr>
        <w:rPr>
          <w:rFonts w:ascii="Arial" w:hAnsi="Arial" w:cs="Arial"/>
          <w:b/>
          <w:sz w:val="22"/>
          <w:szCs w:val="22"/>
        </w:rPr>
      </w:pPr>
      <w:r>
        <w:rPr>
          <w:rFonts w:ascii="Arial" w:hAnsi="Arial" w:cs="Arial"/>
          <w:b/>
          <w:sz w:val="22"/>
          <w:szCs w:val="22"/>
        </w:rPr>
        <w:br w:type="page"/>
      </w:r>
    </w:p>
    <w:p w14:paraId="3B1B7D02" w14:textId="2274B09C" w:rsidR="00457D76" w:rsidRDefault="00EB27EB" w:rsidP="0038082E">
      <w:pPr>
        <w:rPr>
          <w:rFonts w:ascii="Arial" w:hAnsi="Arial" w:cs="Arial"/>
          <w:b/>
          <w:sz w:val="22"/>
          <w:szCs w:val="22"/>
        </w:rPr>
      </w:pPr>
      <w:r w:rsidRPr="00EB27EB">
        <w:rPr>
          <w:noProof/>
        </w:rPr>
        <w:lastRenderedPageBreak/>
        <w:drawing>
          <wp:inline distT="0" distB="0" distL="0" distR="0" wp14:anchorId="02ACF584" wp14:editId="23F30B40">
            <wp:extent cx="5470525" cy="10255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0525" cy="1025525"/>
                    </a:xfrm>
                    <a:prstGeom prst="rect">
                      <a:avLst/>
                    </a:prstGeom>
                    <a:noFill/>
                    <a:ln>
                      <a:noFill/>
                    </a:ln>
                  </pic:spPr>
                </pic:pic>
              </a:graphicData>
            </a:graphic>
          </wp:inline>
        </w:drawing>
      </w:r>
    </w:p>
    <w:p w14:paraId="71A82018" w14:textId="5338BBD8" w:rsidR="00EB27EB" w:rsidRDefault="00EB27EB" w:rsidP="0038082E">
      <w:pPr>
        <w:rPr>
          <w:rFonts w:ascii="Arial" w:hAnsi="Arial" w:cs="Arial"/>
          <w:b/>
          <w:sz w:val="22"/>
          <w:szCs w:val="22"/>
        </w:rPr>
      </w:pPr>
    </w:p>
    <w:p w14:paraId="428B323F" w14:textId="77777777" w:rsidR="00EB27EB" w:rsidRPr="0007572B" w:rsidRDefault="00EB27EB" w:rsidP="0038082E">
      <w:pPr>
        <w:rPr>
          <w:rFonts w:ascii="Arial" w:hAnsi="Arial" w:cs="Arial"/>
          <w:b/>
          <w:sz w:val="22"/>
          <w:szCs w:val="22"/>
        </w:rPr>
      </w:pPr>
    </w:p>
    <w:p w14:paraId="230D87D2" w14:textId="490B9EFF" w:rsidR="00CE6A00" w:rsidRPr="0007572B" w:rsidRDefault="00884440" w:rsidP="0038082E">
      <w:pPr>
        <w:pStyle w:val="Heading3greennumbered"/>
      </w:pPr>
      <w:bookmarkStart w:id="168" w:name="_Toc92894899"/>
      <w:bookmarkStart w:id="169" w:name="_Toc92895203"/>
      <w:bookmarkStart w:id="170" w:name="_Toc109922637"/>
      <w:r w:rsidRPr="0007572B">
        <w:t>2</w:t>
      </w:r>
      <w:r w:rsidR="00D27132" w:rsidRPr="0007572B">
        <w:t>7</w:t>
      </w:r>
      <w:r w:rsidR="00CE6A00" w:rsidRPr="0007572B">
        <w:t xml:space="preserve"> Short and Long Term Deferred Liabilities</w:t>
      </w:r>
      <w:bookmarkEnd w:id="168"/>
      <w:bookmarkEnd w:id="169"/>
      <w:bookmarkEnd w:id="170"/>
    </w:p>
    <w:p w14:paraId="1D0AE597" w14:textId="77777777" w:rsidR="00D4492C" w:rsidRDefault="00D4492C" w:rsidP="0038082E">
      <w:pPr>
        <w:rPr>
          <w:rFonts w:ascii="Arial" w:hAnsi="Arial" w:cs="Arial"/>
        </w:rPr>
      </w:pPr>
    </w:p>
    <w:p w14:paraId="464EB2F1" w14:textId="6485AC5E" w:rsidR="002E22CF" w:rsidRPr="0007572B" w:rsidRDefault="00CE6A00" w:rsidP="0038082E">
      <w:pPr>
        <w:rPr>
          <w:rFonts w:ascii="Arial" w:hAnsi="Arial" w:cs="Arial"/>
        </w:rPr>
      </w:pPr>
      <w:r w:rsidRPr="0007572B">
        <w:rPr>
          <w:rFonts w:ascii="Arial" w:hAnsi="Arial" w:cs="Arial"/>
        </w:rPr>
        <w:t xml:space="preserve">This debt was created on 1 April 1986 </w:t>
      </w:r>
      <w:r w:rsidR="00E8112E" w:rsidRPr="0007572B">
        <w:rPr>
          <w:rFonts w:ascii="Arial" w:hAnsi="Arial" w:cs="Arial"/>
        </w:rPr>
        <w:t xml:space="preserve">when Greater Manchester Council was abolished and its debt was shared between </w:t>
      </w:r>
      <w:r w:rsidR="003B62A8" w:rsidRPr="0007572B">
        <w:rPr>
          <w:rFonts w:ascii="Arial" w:hAnsi="Arial" w:cs="Arial"/>
        </w:rPr>
        <w:t xml:space="preserve">the ten GM </w:t>
      </w:r>
      <w:r w:rsidR="002952F9" w:rsidRPr="0007572B">
        <w:rPr>
          <w:rFonts w:ascii="Arial" w:hAnsi="Arial" w:cs="Arial"/>
        </w:rPr>
        <w:t>Authorities</w:t>
      </w:r>
      <w:r w:rsidR="003B62A8" w:rsidRPr="0007572B">
        <w:rPr>
          <w:rFonts w:ascii="Arial" w:hAnsi="Arial" w:cs="Arial"/>
        </w:rPr>
        <w:t xml:space="preserve">, </w:t>
      </w:r>
      <w:r w:rsidR="002E22CF" w:rsidRPr="0007572B">
        <w:rPr>
          <w:rFonts w:ascii="Arial" w:hAnsi="Arial" w:cs="Arial"/>
        </w:rPr>
        <w:t xml:space="preserve">the </w:t>
      </w:r>
      <w:r w:rsidR="003B62A8" w:rsidRPr="0007572B">
        <w:rPr>
          <w:rFonts w:ascii="Arial" w:hAnsi="Arial" w:cs="Arial"/>
        </w:rPr>
        <w:t>Police</w:t>
      </w:r>
      <w:r w:rsidR="002E22CF" w:rsidRPr="0007572B">
        <w:rPr>
          <w:rFonts w:ascii="Arial" w:hAnsi="Arial" w:cs="Arial"/>
        </w:rPr>
        <w:t xml:space="preserve"> Authority</w:t>
      </w:r>
      <w:r w:rsidR="003B62A8" w:rsidRPr="0007572B">
        <w:rPr>
          <w:rFonts w:ascii="Arial" w:hAnsi="Arial" w:cs="Arial"/>
        </w:rPr>
        <w:t xml:space="preserve">, </w:t>
      </w:r>
      <w:r w:rsidR="002E22CF" w:rsidRPr="0007572B">
        <w:rPr>
          <w:rFonts w:ascii="Arial" w:hAnsi="Arial" w:cs="Arial"/>
        </w:rPr>
        <w:t xml:space="preserve">the </w:t>
      </w:r>
      <w:r w:rsidR="003B62A8" w:rsidRPr="0007572B">
        <w:rPr>
          <w:rFonts w:ascii="Arial" w:hAnsi="Arial" w:cs="Arial"/>
        </w:rPr>
        <w:t xml:space="preserve">Fire </w:t>
      </w:r>
      <w:r w:rsidR="002E22CF" w:rsidRPr="0007572B">
        <w:rPr>
          <w:rFonts w:ascii="Arial" w:hAnsi="Arial" w:cs="Arial"/>
        </w:rPr>
        <w:t>Authority</w:t>
      </w:r>
      <w:r w:rsidR="00261260" w:rsidRPr="0007572B">
        <w:rPr>
          <w:rFonts w:ascii="Arial" w:hAnsi="Arial" w:cs="Arial"/>
        </w:rPr>
        <w:t xml:space="preserve">, </w:t>
      </w:r>
      <w:r w:rsidR="000560AF" w:rsidRPr="0007572B">
        <w:rPr>
          <w:rFonts w:ascii="Arial" w:hAnsi="Arial" w:cs="Arial"/>
        </w:rPr>
        <w:t>GMWDA</w:t>
      </w:r>
      <w:r w:rsidR="002E22CF" w:rsidRPr="0007572B">
        <w:rPr>
          <w:rFonts w:ascii="Arial" w:hAnsi="Arial" w:cs="Arial"/>
        </w:rPr>
        <w:t xml:space="preserve"> </w:t>
      </w:r>
      <w:r w:rsidR="003B62A8" w:rsidRPr="0007572B">
        <w:rPr>
          <w:rFonts w:ascii="Arial" w:hAnsi="Arial" w:cs="Arial"/>
        </w:rPr>
        <w:t>and G</w:t>
      </w:r>
      <w:r w:rsidR="002E22CF" w:rsidRPr="0007572B">
        <w:rPr>
          <w:rFonts w:ascii="Arial" w:hAnsi="Arial" w:cs="Arial"/>
        </w:rPr>
        <w:t xml:space="preserve">reater </w:t>
      </w:r>
      <w:r w:rsidR="003B62A8" w:rsidRPr="0007572B">
        <w:rPr>
          <w:rFonts w:ascii="Arial" w:hAnsi="Arial" w:cs="Arial"/>
        </w:rPr>
        <w:t>M</w:t>
      </w:r>
      <w:r w:rsidR="002E22CF" w:rsidRPr="0007572B">
        <w:rPr>
          <w:rFonts w:ascii="Arial" w:hAnsi="Arial" w:cs="Arial"/>
        </w:rPr>
        <w:t>anchester</w:t>
      </w:r>
      <w:r w:rsidR="003B62A8" w:rsidRPr="0007572B">
        <w:rPr>
          <w:rFonts w:ascii="Arial" w:hAnsi="Arial" w:cs="Arial"/>
        </w:rPr>
        <w:t xml:space="preserve"> Transport.</w:t>
      </w:r>
    </w:p>
    <w:p w14:paraId="54339926" w14:textId="77777777" w:rsidR="002E22CF" w:rsidRPr="0007572B" w:rsidRDefault="002E22CF" w:rsidP="0038082E">
      <w:pPr>
        <w:rPr>
          <w:rFonts w:ascii="Arial" w:hAnsi="Arial" w:cs="Arial"/>
        </w:rPr>
      </w:pPr>
    </w:p>
    <w:p w14:paraId="0BDF986C" w14:textId="2F1FC68A" w:rsidR="00261260" w:rsidRDefault="002E22CF" w:rsidP="0038082E">
      <w:pPr>
        <w:rPr>
          <w:rFonts w:ascii="Arial" w:hAnsi="Arial" w:cs="Arial"/>
        </w:rPr>
      </w:pPr>
      <w:r w:rsidRPr="0007572B">
        <w:rPr>
          <w:rFonts w:ascii="Arial" w:hAnsi="Arial" w:cs="Arial"/>
        </w:rPr>
        <w:t>The debt is</w:t>
      </w:r>
      <w:r w:rsidR="00CE6A00" w:rsidRPr="0007572B">
        <w:rPr>
          <w:rFonts w:ascii="Arial" w:hAnsi="Arial" w:cs="Arial"/>
        </w:rPr>
        <w:t xml:space="preserve"> being repaid annually on an annuity basis over the 36 years to 31 March 2022.</w:t>
      </w:r>
    </w:p>
    <w:p w14:paraId="7110724C" w14:textId="1EFDC978" w:rsidR="007C0CAE" w:rsidRDefault="007C0CAE" w:rsidP="0038082E">
      <w:pPr>
        <w:rPr>
          <w:rFonts w:ascii="Arial" w:hAnsi="Arial" w:cs="Arial"/>
        </w:rPr>
      </w:pPr>
    </w:p>
    <w:p w14:paraId="0926BDD0" w14:textId="61087D88" w:rsidR="007C0CAE" w:rsidRPr="004A167F" w:rsidRDefault="00457D76" w:rsidP="0038082E">
      <w:pPr>
        <w:rPr>
          <w:rFonts w:ascii="Arial" w:hAnsi="Arial" w:cs="Arial"/>
        </w:rPr>
      </w:pPr>
      <w:r w:rsidRPr="00457D76">
        <w:rPr>
          <w:noProof/>
        </w:rPr>
        <w:drawing>
          <wp:inline distT="0" distB="0" distL="0" distR="0" wp14:anchorId="57B16A32" wp14:editId="2E0716F5">
            <wp:extent cx="5052060" cy="11633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52060" cy="1163320"/>
                    </a:xfrm>
                    <a:prstGeom prst="rect">
                      <a:avLst/>
                    </a:prstGeom>
                    <a:noFill/>
                    <a:ln>
                      <a:noFill/>
                    </a:ln>
                  </pic:spPr>
                </pic:pic>
              </a:graphicData>
            </a:graphic>
          </wp:inline>
        </w:drawing>
      </w:r>
    </w:p>
    <w:p w14:paraId="1BE70C40" w14:textId="1DC4C404" w:rsidR="00E76D50" w:rsidRPr="0007572B" w:rsidRDefault="00451E80" w:rsidP="0038082E">
      <w:pPr>
        <w:jc w:val="both"/>
        <w:rPr>
          <w:rFonts w:ascii="Arial" w:hAnsi="Arial" w:cs="Arial"/>
          <w:b/>
          <w:sz w:val="22"/>
          <w:szCs w:val="22"/>
        </w:rPr>
      </w:pPr>
      <w:r w:rsidRPr="0007572B">
        <w:rPr>
          <w:rFonts w:ascii="Arial" w:hAnsi="Arial" w:cs="Arial"/>
          <w:sz w:val="22"/>
          <w:szCs w:val="22"/>
        </w:rPr>
        <w:t xml:space="preserve"> </w:t>
      </w:r>
    </w:p>
    <w:p w14:paraId="35B50EE0" w14:textId="77777777" w:rsidR="00E76D50" w:rsidRPr="0007572B" w:rsidRDefault="00E76D50" w:rsidP="0038082E">
      <w:pPr>
        <w:jc w:val="both"/>
        <w:rPr>
          <w:rFonts w:ascii="Arial" w:hAnsi="Arial" w:cs="Arial"/>
          <w:b/>
          <w:sz w:val="22"/>
          <w:szCs w:val="22"/>
        </w:rPr>
      </w:pPr>
    </w:p>
    <w:p w14:paraId="689A22A1" w14:textId="1E3B1556" w:rsidR="007C0CAE" w:rsidRPr="0007572B" w:rsidRDefault="00884440" w:rsidP="0038082E">
      <w:pPr>
        <w:pStyle w:val="Heading3greennumbered"/>
      </w:pPr>
      <w:bookmarkStart w:id="171" w:name="_Toc92894900"/>
      <w:bookmarkStart w:id="172" w:name="_Toc92895204"/>
      <w:bookmarkStart w:id="173" w:name="_Toc109922638"/>
      <w:r w:rsidRPr="0007572B">
        <w:t>2</w:t>
      </w:r>
      <w:r w:rsidR="00D27132" w:rsidRPr="0007572B">
        <w:t>8</w:t>
      </w:r>
      <w:r w:rsidR="00CE6A00" w:rsidRPr="0007572B">
        <w:t xml:space="preserve"> Unusable Reserves</w:t>
      </w:r>
      <w:bookmarkEnd w:id="171"/>
      <w:bookmarkEnd w:id="172"/>
      <w:bookmarkEnd w:id="173"/>
    </w:p>
    <w:p w14:paraId="3288E6B4" w14:textId="15B88737" w:rsidR="00261260" w:rsidRDefault="00261260" w:rsidP="0038082E">
      <w:pPr>
        <w:jc w:val="both"/>
        <w:rPr>
          <w:rFonts w:ascii="Arial" w:hAnsi="Arial" w:cs="Arial"/>
          <w:b/>
          <w:sz w:val="22"/>
          <w:szCs w:val="22"/>
        </w:rPr>
      </w:pPr>
    </w:p>
    <w:p w14:paraId="63281063" w14:textId="407A5CB7" w:rsidR="007C0CAE" w:rsidRDefault="00931AF3" w:rsidP="0038082E">
      <w:pPr>
        <w:jc w:val="both"/>
        <w:rPr>
          <w:rFonts w:ascii="Arial" w:hAnsi="Arial" w:cs="Arial"/>
          <w:b/>
          <w:sz w:val="22"/>
          <w:szCs w:val="22"/>
        </w:rPr>
      </w:pPr>
      <w:r w:rsidRPr="00931AF3">
        <w:rPr>
          <w:noProof/>
        </w:rPr>
        <w:drawing>
          <wp:inline distT="0" distB="0" distL="0" distR="0" wp14:anchorId="0F4EE16B" wp14:editId="60C35400">
            <wp:extent cx="5391785" cy="1534795"/>
            <wp:effectExtent l="0" t="0" r="0" b="825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1785" cy="1534795"/>
                    </a:xfrm>
                    <a:prstGeom prst="rect">
                      <a:avLst/>
                    </a:prstGeom>
                    <a:noFill/>
                    <a:ln>
                      <a:noFill/>
                    </a:ln>
                  </pic:spPr>
                </pic:pic>
              </a:graphicData>
            </a:graphic>
          </wp:inline>
        </w:drawing>
      </w:r>
    </w:p>
    <w:p w14:paraId="48508093" w14:textId="3D41184F" w:rsidR="00C50B58" w:rsidRPr="0007572B" w:rsidRDefault="00C50B58" w:rsidP="0038082E">
      <w:pPr>
        <w:rPr>
          <w:rFonts w:ascii="Arial" w:hAnsi="Arial" w:cs="Arial"/>
          <w:b/>
        </w:rPr>
      </w:pPr>
    </w:p>
    <w:p w14:paraId="2431EBE6" w14:textId="1D77A6DE" w:rsidR="007C45E2" w:rsidRPr="0007572B" w:rsidRDefault="00CE6A00" w:rsidP="0038082E">
      <w:pPr>
        <w:rPr>
          <w:rFonts w:ascii="Arial" w:hAnsi="Arial" w:cs="Arial"/>
        </w:rPr>
      </w:pPr>
      <w:r w:rsidRPr="0007572B">
        <w:rPr>
          <w:rFonts w:ascii="Arial" w:hAnsi="Arial" w:cs="Arial"/>
          <w:b/>
        </w:rPr>
        <w:t xml:space="preserve">The Capital Adjustment Account </w:t>
      </w:r>
      <w:r w:rsidR="00923E34" w:rsidRPr="0007572B">
        <w:rPr>
          <w:rFonts w:ascii="Arial" w:hAnsi="Arial" w:cs="Arial"/>
          <w:b/>
        </w:rPr>
        <w:t>(CAA)</w:t>
      </w:r>
      <w:r w:rsidR="00923E34" w:rsidRPr="0007572B">
        <w:rPr>
          <w:rFonts w:ascii="Arial" w:hAnsi="Arial" w:cs="Arial"/>
        </w:rPr>
        <w:t xml:space="preserve"> </w:t>
      </w:r>
      <w:r w:rsidRPr="0007572B">
        <w:rPr>
          <w:rFonts w:ascii="Arial" w:hAnsi="Arial" w:cs="Arial"/>
        </w:rPr>
        <w:t xml:space="preserve">absorbs the timing differences arising from the different arrangements for accounting for the consumption of non-current assets and for financing the acquisition, construction or enhancement of those assets under statutory provisions. </w:t>
      </w:r>
    </w:p>
    <w:p w14:paraId="2A339559" w14:textId="77777777" w:rsidR="007C45E2" w:rsidRPr="0007572B" w:rsidRDefault="007C45E2" w:rsidP="0038082E">
      <w:pPr>
        <w:jc w:val="both"/>
        <w:rPr>
          <w:rFonts w:ascii="Arial" w:hAnsi="Arial" w:cs="Arial"/>
        </w:rPr>
      </w:pPr>
    </w:p>
    <w:p w14:paraId="17F5330D" w14:textId="73E09E3C" w:rsidR="00CE6A00" w:rsidRDefault="00CE6A00" w:rsidP="0038082E">
      <w:pPr>
        <w:rPr>
          <w:rFonts w:ascii="Arial" w:hAnsi="Arial" w:cs="Arial"/>
        </w:rPr>
      </w:pPr>
      <w:r w:rsidRPr="0007572B">
        <w:rPr>
          <w:rFonts w:ascii="Arial" w:hAnsi="Arial" w:cs="Arial"/>
        </w:rPr>
        <w:t xml:space="preserve">The </w:t>
      </w:r>
      <w:r w:rsidR="00923E34" w:rsidRPr="0007572B">
        <w:rPr>
          <w:rFonts w:ascii="Arial" w:hAnsi="Arial" w:cs="Arial"/>
        </w:rPr>
        <w:t>CAA</w:t>
      </w:r>
      <w:r w:rsidRPr="0007572B">
        <w:rPr>
          <w:rFonts w:ascii="Arial" w:hAnsi="Arial" w:cs="Arial"/>
        </w:rPr>
        <w:t xml:space="preserve"> is debited with the cost of the capital grants payable to TfGM</w:t>
      </w:r>
      <w:r w:rsidR="00923E34" w:rsidRPr="0007572B">
        <w:rPr>
          <w:rFonts w:ascii="Arial" w:hAnsi="Arial" w:cs="Arial"/>
        </w:rPr>
        <w:t>,</w:t>
      </w:r>
      <w:r w:rsidRPr="0007572B">
        <w:rPr>
          <w:rFonts w:ascii="Arial" w:hAnsi="Arial" w:cs="Arial"/>
        </w:rPr>
        <w:t xml:space="preserve"> </w:t>
      </w:r>
      <w:r w:rsidR="002952F9" w:rsidRPr="0007572B">
        <w:rPr>
          <w:rFonts w:ascii="Arial" w:hAnsi="Arial" w:cs="Arial"/>
        </w:rPr>
        <w:t>GM Authorities</w:t>
      </w:r>
      <w:r w:rsidR="007C45E2" w:rsidRPr="0007572B">
        <w:rPr>
          <w:rFonts w:ascii="Arial" w:hAnsi="Arial" w:cs="Arial"/>
        </w:rPr>
        <w:t xml:space="preserve"> and other external organisations</w:t>
      </w:r>
      <w:r w:rsidR="00923E34" w:rsidRPr="0007572B">
        <w:rPr>
          <w:rFonts w:ascii="Arial" w:hAnsi="Arial" w:cs="Arial"/>
        </w:rPr>
        <w:t>,</w:t>
      </w:r>
      <w:r w:rsidRPr="0007572B">
        <w:rPr>
          <w:rFonts w:ascii="Arial" w:hAnsi="Arial" w:cs="Arial"/>
        </w:rPr>
        <w:t xml:space="preserve"> </w:t>
      </w:r>
      <w:r w:rsidR="007C45E2" w:rsidRPr="0007572B">
        <w:rPr>
          <w:rFonts w:ascii="Arial" w:hAnsi="Arial" w:cs="Arial"/>
        </w:rPr>
        <w:t>t</w:t>
      </w:r>
      <w:r w:rsidRPr="0007572B">
        <w:rPr>
          <w:rFonts w:ascii="Arial" w:hAnsi="Arial" w:cs="Arial"/>
        </w:rPr>
        <w:t xml:space="preserve">he annual depreciation charge and </w:t>
      </w:r>
      <w:r w:rsidR="00923E34" w:rsidRPr="0007572B">
        <w:rPr>
          <w:rFonts w:ascii="Arial" w:hAnsi="Arial" w:cs="Arial"/>
        </w:rPr>
        <w:t xml:space="preserve">any </w:t>
      </w:r>
      <w:r w:rsidRPr="0007572B">
        <w:rPr>
          <w:rFonts w:ascii="Arial" w:hAnsi="Arial" w:cs="Arial"/>
        </w:rPr>
        <w:t>los</w:t>
      </w:r>
      <w:r w:rsidR="007C45E2" w:rsidRPr="0007572B">
        <w:rPr>
          <w:rFonts w:ascii="Arial" w:hAnsi="Arial" w:cs="Arial"/>
        </w:rPr>
        <w:t>s on disposal of assets</w:t>
      </w:r>
      <w:r w:rsidR="00923E34" w:rsidRPr="0007572B">
        <w:rPr>
          <w:rFonts w:ascii="Arial" w:hAnsi="Arial" w:cs="Arial"/>
        </w:rPr>
        <w:t>. The CAA is</w:t>
      </w:r>
      <w:r w:rsidRPr="0007572B">
        <w:rPr>
          <w:rFonts w:ascii="Arial" w:hAnsi="Arial" w:cs="Arial"/>
        </w:rPr>
        <w:t xml:space="preserve"> credited with both the capital grants and contributions receivable and the amounts set aside by the Authority </w:t>
      </w:r>
      <w:r w:rsidR="00923E34" w:rsidRPr="0007572B">
        <w:rPr>
          <w:rFonts w:ascii="Arial" w:hAnsi="Arial" w:cs="Arial"/>
        </w:rPr>
        <w:t xml:space="preserve">to </w:t>
      </w:r>
      <w:r w:rsidR="00DA086E" w:rsidRPr="0007572B">
        <w:rPr>
          <w:rFonts w:ascii="Arial" w:hAnsi="Arial" w:cs="Arial"/>
        </w:rPr>
        <w:t xml:space="preserve">directly </w:t>
      </w:r>
      <w:r w:rsidRPr="0007572B">
        <w:rPr>
          <w:rFonts w:ascii="Arial" w:hAnsi="Arial" w:cs="Arial"/>
        </w:rPr>
        <w:t xml:space="preserve">finance </w:t>
      </w:r>
      <w:r w:rsidR="00FF27DD" w:rsidRPr="0007572B">
        <w:rPr>
          <w:rFonts w:ascii="Arial" w:hAnsi="Arial" w:cs="Arial"/>
        </w:rPr>
        <w:t xml:space="preserve">the </w:t>
      </w:r>
      <w:r w:rsidR="00DA086E" w:rsidRPr="0007572B">
        <w:rPr>
          <w:rFonts w:ascii="Arial" w:hAnsi="Arial" w:cs="Arial"/>
        </w:rPr>
        <w:t>capital</w:t>
      </w:r>
      <w:r w:rsidRPr="0007572B">
        <w:rPr>
          <w:rFonts w:ascii="Arial" w:hAnsi="Arial" w:cs="Arial"/>
        </w:rPr>
        <w:t xml:space="preserve"> costs of acquisition, construction and enhancement</w:t>
      </w:r>
      <w:r w:rsidR="007C45E2" w:rsidRPr="0007572B">
        <w:rPr>
          <w:rFonts w:ascii="Arial" w:hAnsi="Arial" w:cs="Arial"/>
        </w:rPr>
        <w:t xml:space="preserve"> of assets</w:t>
      </w:r>
      <w:r w:rsidRPr="0007572B">
        <w:rPr>
          <w:rFonts w:ascii="Arial" w:hAnsi="Arial" w:cs="Arial"/>
        </w:rPr>
        <w:t>.</w:t>
      </w:r>
    </w:p>
    <w:p w14:paraId="0B235A56" w14:textId="70A82011" w:rsidR="008249C0" w:rsidRDefault="008249C0" w:rsidP="0038082E">
      <w:pPr>
        <w:rPr>
          <w:rFonts w:ascii="Arial" w:hAnsi="Arial" w:cs="Arial"/>
        </w:rPr>
      </w:pPr>
    </w:p>
    <w:p w14:paraId="7CE31EF6" w14:textId="277B3972" w:rsidR="008249C0" w:rsidRPr="0007572B" w:rsidRDefault="008249C0" w:rsidP="0038082E">
      <w:pPr>
        <w:rPr>
          <w:rFonts w:ascii="Arial" w:hAnsi="Arial" w:cs="Arial"/>
        </w:rPr>
      </w:pPr>
      <w:r w:rsidRPr="008249C0">
        <w:rPr>
          <w:noProof/>
        </w:rPr>
        <w:lastRenderedPageBreak/>
        <w:drawing>
          <wp:inline distT="0" distB="0" distL="0" distR="0" wp14:anchorId="4CBF7368" wp14:editId="3B2FD4C6">
            <wp:extent cx="5975350" cy="3607435"/>
            <wp:effectExtent l="0" t="0" r="635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5350" cy="3607435"/>
                    </a:xfrm>
                    <a:prstGeom prst="rect">
                      <a:avLst/>
                    </a:prstGeom>
                    <a:noFill/>
                    <a:ln>
                      <a:noFill/>
                    </a:ln>
                  </pic:spPr>
                </pic:pic>
              </a:graphicData>
            </a:graphic>
          </wp:inline>
        </w:drawing>
      </w:r>
    </w:p>
    <w:p w14:paraId="4531D042" w14:textId="00FA3CF4" w:rsidR="00451E80" w:rsidRPr="0007572B" w:rsidRDefault="00457D76" w:rsidP="0038082E">
      <w:pPr>
        <w:rPr>
          <w:rFonts w:ascii="Arial" w:hAnsi="Arial" w:cs="Arial"/>
          <w:sz w:val="22"/>
          <w:szCs w:val="22"/>
        </w:rPr>
      </w:pPr>
      <w:r w:rsidRPr="00457D76">
        <w:rPr>
          <w:rFonts w:ascii="Arial" w:hAnsi="Arial" w:cs="Arial"/>
          <w:sz w:val="22"/>
          <w:szCs w:val="22"/>
        </w:rPr>
        <w:t xml:space="preserve"> </w:t>
      </w:r>
    </w:p>
    <w:p w14:paraId="7B7BDA75" w14:textId="63BD21FE" w:rsidR="00596963" w:rsidRPr="0007572B" w:rsidRDefault="00596963" w:rsidP="0038082E">
      <w:pPr>
        <w:rPr>
          <w:rFonts w:ascii="Arial" w:hAnsi="Arial" w:cs="Arial"/>
          <w:b/>
        </w:rPr>
      </w:pPr>
    </w:p>
    <w:p w14:paraId="63D6000B" w14:textId="22E37794" w:rsidR="00CE6A00" w:rsidRDefault="00CE6A00" w:rsidP="0038082E">
      <w:pPr>
        <w:rPr>
          <w:rFonts w:ascii="Arial" w:hAnsi="Arial" w:cs="Arial"/>
        </w:rPr>
      </w:pPr>
      <w:r w:rsidRPr="0007572B">
        <w:rPr>
          <w:rFonts w:ascii="Arial" w:hAnsi="Arial" w:cs="Arial"/>
          <w:b/>
        </w:rPr>
        <w:t>The Financial Instruments Adjustment Account</w:t>
      </w:r>
      <w:r w:rsidRPr="0007572B">
        <w:rPr>
          <w:rFonts w:ascii="Arial" w:hAnsi="Arial" w:cs="Arial"/>
        </w:rPr>
        <w:t xml:space="preserve"> absorbs the timing differences arising from the different arrangements for accounting for income and expenses relating to certain financial instruments and for bearing losses or benefiting from g</w:t>
      </w:r>
      <w:r w:rsidR="00DA086E" w:rsidRPr="0007572B">
        <w:rPr>
          <w:rFonts w:ascii="Arial" w:hAnsi="Arial" w:cs="Arial"/>
        </w:rPr>
        <w:t xml:space="preserve">ains per statutory provisions. </w:t>
      </w:r>
    </w:p>
    <w:p w14:paraId="0B6F2F47" w14:textId="7CCAC7CF" w:rsidR="008249C0" w:rsidRDefault="008249C0" w:rsidP="0038082E">
      <w:pPr>
        <w:rPr>
          <w:rFonts w:ascii="Arial" w:hAnsi="Arial" w:cs="Arial"/>
        </w:rPr>
      </w:pPr>
    </w:p>
    <w:p w14:paraId="0A605666" w14:textId="28E136BB" w:rsidR="008249C0" w:rsidRPr="0007572B" w:rsidRDefault="008249C0" w:rsidP="0038082E">
      <w:pPr>
        <w:rPr>
          <w:rFonts w:ascii="Arial" w:hAnsi="Arial" w:cs="Arial"/>
        </w:rPr>
      </w:pPr>
      <w:r>
        <w:rPr>
          <w:rFonts w:ascii="Arial" w:hAnsi="Arial" w:cs="Arial"/>
          <w:noProof/>
        </w:rPr>
        <w:drawing>
          <wp:inline distT="0" distB="0" distL="0" distR="0" wp14:anchorId="78DD86FD" wp14:editId="456E05CC">
            <wp:extent cx="5974715" cy="1390015"/>
            <wp:effectExtent l="0" t="0" r="6985" b="63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4715" cy="1390015"/>
                    </a:xfrm>
                    <a:prstGeom prst="rect">
                      <a:avLst/>
                    </a:prstGeom>
                    <a:noFill/>
                  </pic:spPr>
                </pic:pic>
              </a:graphicData>
            </a:graphic>
          </wp:inline>
        </w:drawing>
      </w:r>
    </w:p>
    <w:p w14:paraId="23CC956B" w14:textId="77777777" w:rsidR="00261260" w:rsidRPr="0007572B" w:rsidRDefault="00261260" w:rsidP="0038082E">
      <w:pPr>
        <w:jc w:val="both"/>
        <w:rPr>
          <w:rFonts w:ascii="Arial" w:hAnsi="Arial" w:cs="Arial"/>
          <w:b/>
          <w:sz w:val="22"/>
          <w:szCs w:val="22"/>
        </w:rPr>
      </w:pPr>
    </w:p>
    <w:p w14:paraId="131CFF7E" w14:textId="477C307A" w:rsidR="008E2CB8" w:rsidRPr="0007572B" w:rsidRDefault="008E2CB8" w:rsidP="0038082E">
      <w:pPr>
        <w:rPr>
          <w:rFonts w:ascii="Arial" w:hAnsi="Arial" w:cs="Arial"/>
        </w:rPr>
      </w:pPr>
      <w:r w:rsidRPr="0007572B">
        <w:rPr>
          <w:rFonts w:ascii="Arial" w:hAnsi="Arial" w:cs="Arial"/>
        </w:rPr>
        <w:t xml:space="preserve">The movement in year is due to the Authority being in receipt of two loans from central government that are interest free for the purposes of </w:t>
      </w:r>
      <w:r w:rsidR="009D4BF0" w:rsidRPr="0007572B">
        <w:rPr>
          <w:rFonts w:ascii="Arial" w:hAnsi="Arial" w:cs="Arial"/>
        </w:rPr>
        <w:t>HIF and City Deal</w:t>
      </w:r>
      <w:r w:rsidRPr="0007572B">
        <w:rPr>
          <w:rFonts w:ascii="Arial" w:hAnsi="Arial" w:cs="Arial"/>
        </w:rPr>
        <w:t>. In accordance with statutory accounting requirements an effective interest rate has been calculated to enable the value of the financial assistance being provided to the GMCA on a net present value basis to be separated from the financing costs of the loan.</w:t>
      </w:r>
    </w:p>
    <w:p w14:paraId="5A824908" w14:textId="77777777" w:rsidR="008E2CB8" w:rsidRPr="0007572B" w:rsidRDefault="008E2CB8" w:rsidP="0038082E">
      <w:pPr>
        <w:rPr>
          <w:rFonts w:ascii="Arial" w:hAnsi="Arial" w:cs="Arial"/>
        </w:rPr>
      </w:pPr>
    </w:p>
    <w:p w14:paraId="729F8F38" w14:textId="149962AB" w:rsidR="0043331B" w:rsidRPr="0007572B" w:rsidRDefault="008E2CB8" w:rsidP="0038082E">
      <w:pPr>
        <w:rPr>
          <w:rFonts w:ascii="Arial" w:hAnsi="Arial" w:cs="Arial"/>
        </w:rPr>
      </w:pPr>
      <w:r w:rsidRPr="0007572B">
        <w:rPr>
          <w:rFonts w:ascii="Arial" w:hAnsi="Arial" w:cs="Arial"/>
        </w:rPr>
        <w:t>The effect of this in the accounts is to discount the value of the loans received using an interest rate at which the Authority could borrow from the Public Works Loan Board for a loan with similar terms. This will result in a lower figure for the fair value of the loan when it is initially recognised as received but each year an element of the full fair value discount will be written back. Thereby increasing the loan value on the balance sheet annually over the loan term. This will continue until the full loan value advanced is reflected in the balance sheet, which is the year repayment of the loan falls due.</w:t>
      </w:r>
    </w:p>
    <w:p w14:paraId="14C083A0" w14:textId="77777777" w:rsidR="008E2CB8" w:rsidRPr="0007572B" w:rsidRDefault="008E2CB8" w:rsidP="0038082E">
      <w:pPr>
        <w:rPr>
          <w:rFonts w:ascii="Arial" w:hAnsi="Arial" w:cs="Arial"/>
          <w:bCs/>
        </w:rPr>
      </w:pPr>
    </w:p>
    <w:p w14:paraId="0C6CF08E" w14:textId="1C212366" w:rsidR="007C45E2" w:rsidRDefault="00CE6A00" w:rsidP="0038082E">
      <w:pPr>
        <w:rPr>
          <w:rFonts w:ascii="Arial" w:hAnsi="Arial" w:cs="Arial"/>
        </w:rPr>
      </w:pPr>
      <w:r w:rsidRPr="0007572B">
        <w:rPr>
          <w:rFonts w:ascii="Arial" w:hAnsi="Arial" w:cs="Arial"/>
          <w:b/>
        </w:rPr>
        <w:lastRenderedPageBreak/>
        <w:t>The Pension Reserve</w:t>
      </w:r>
      <w:r w:rsidRPr="0007572B">
        <w:rPr>
          <w:rFonts w:ascii="Arial" w:hAnsi="Arial" w:cs="Arial"/>
        </w:rPr>
        <w:t xml:space="preserve"> relates to the net p</w:t>
      </w:r>
      <w:r w:rsidR="007C45E2" w:rsidRPr="0007572B">
        <w:rPr>
          <w:rFonts w:ascii="Arial" w:hAnsi="Arial" w:cs="Arial"/>
        </w:rPr>
        <w:t xml:space="preserve">ension asset as at 31 March </w:t>
      </w:r>
      <w:r w:rsidR="00502211">
        <w:rPr>
          <w:rFonts w:ascii="Arial" w:hAnsi="Arial" w:cs="Arial"/>
        </w:rPr>
        <w:t>2022</w:t>
      </w:r>
      <w:r w:rsidR="0043331B" w:rsidRPr="0007572B">
        <w:rPr>
          <w:rFonts w:ascii="Arial" w:hAnsi="Arial" w:cs="Arial"/>
        </w:rPr>
        <w:t xml:space="preserve"> </w:t>
      </w:r>
      <w:r w:rsidRPr="0007572B">
        <w:rPr>
          <w:rFonts w:ascii="Arial" w:hAnsi="Arial" w:cs="Arial"/>
        </w:rPr>
        <w:t>in accordance with the actuary's report.</w:t>
      </w:r>
    </w:p>
    <w:p w14:paraId="3E57B1F5" w14:textId="4552DCCB" w:rsidR="007C0CAE" w:rsidRDefault="007C0CAE" w:rsidP="0038082E">
      <w:pPr>
        <w:rPr>
          <w:rFonts w:ascii="Arial" w:hAnsi="Arial" w:cs="Arial"/>
        </w:rPr>
      </w:pPr>
    </w:p>
    <w:p w14:paraId="16ED3AF4" w14:textId="04693DC6" w:rsidR="007C0CAE" w:rsidRPr="0007572B" w:rsidRDefault="009C6AEE" w:rsidP="0038082E">
      <w:pPr>
        <w:rPr>
          <w:rFonts w:ascii="Arial" w:hAnsi="Arial" w:cs="Arial"/>
        </w:rPr>
      </w:pPr>
      <w:r w:rsidRPr="009C6AEE">
        <w:rPr>
          <w:noProof/>
        </w:rPr>
        <w:drawing>
          <wp:inline distT="0" distB="0" distL="0" distR="0" wp14:anchorId="04581265" wp14:editId="671E640C">
            <wp:extent cx="5975350" cy="1377950"/>
            <wp:effectExtent l="0" t="0" r="635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5350" cy="1377950"/>
                    </a:xfrm>
                    <a:prstGeom prst="rect">
                      <a:avLst/>
                    </a:prstGeom>
                    <a:noFill/>
                    <a:ln>
                      <a:noFill/>
                    </a:ln>
                  </pic:spPr>
                </pic:pic>
              </a:graphicData>
            </a:graphic>
          </wp:inline>
        </w:drawing>
      </w:r>
    </w:p>
    <w:p w14:paraId="5515F276" w14:textId="77777777" w:rsidR="00943897" w:rsidRDefault="00943897" w:rsidP="0038082E">
      <w:pPr>
        <w:rPr>
          <w:rFonts w:ascii="Arial" w:hAnsi="Arial" w:cs="Arial"/>
          <w:b/>
        </w:rPr>
      </w:pPr>
    </w:p>
    <w:p w14:paraId="2699A3A3" w14:textId="3CEFC2EE" w:rsidR="007A2501" w:rsidRPr="0007572B" w:rsidRDefault="00746C9C" w:rsidP="0038082E">
      <w:pPr>
        <w:rPr>
          <w:rFonts w:ascii="Arial" w:hAnsi="Arial" w:cs="Arial"/>
        </w:rPr>
      </w:pPr>
      <w:r w:rsidRPr="0007572B">
        <w:rPr>
          <w:rFonts w:ascii="Arial" w:hAnsi="Arial" w:cs="Arial"/>
          <w:b/>
        </w:rPr>
        <w:t>T</w:t>
      </w:r>
      <w:r w:rsidR="007A2501" w:rsidRPr="0007572B">
        <w:rPr>
          <w:rFonts w:ascii="Arial" w:hAnsi="Arial" w:cs="Arial"/>
          <w:b/>
        </w:rPr>
        <w:t>he Revaluation Reserve</w:t>
      </w:r>
      <w:r w:rsidR="007A2501" w:rsidRPr="0007572B">
        <w:rPr>
          <w:rFonts w:ascii="Arial" w:hAnsi="Arial" w:cs="Arial"/>
        </w:rPr>
        <w:t xml:space="preserve"> contains the gains made by the Authority arising from increases in the value of Property, Plant and Equipment. The balance reduces when assets with accumulated gains are reduced through revaluation, impairment and depreciation or are disposed of.</w:t>
      </w:r>
    </w:p>
    <w:p w14:paraId="6F275FDB" w14:textId="77777777" w:rsidR="007A2501" w:rsidRPr="0007572B" w:rsidRDefault="007A2501" w:rsidP="0038082E">
      <w:pPr>
        <w:jc w:val="both"/>
        <w:rPr>
          <w:rFonts w:ascii="Arial" w:hAnsi="Arial" w:cs="Arial"/>
          <w:b/>
          <w:sz w:val="22"/>
          <w:szCs w:val="22"/>
        </w:rPr>
      </w:pPr>
    </w:p>
    <w:p w14:paraId="12410828" w14:textId="2884ED9E" w:rsidR="00451E80" w:rsidRDefault="00457D76" w:rsidP="0038082E">
      <w:pPr>
        <w:jc w:val="both"/>
        <w:rPr>
          <w:rFonts w:ascii="Arial" w:hAnsi="Arial" w:cs="Arial"/>
          <w:sz w:val="22"/>
          <w:szCs w:val="22"/>
        </w:rPr>
      </w:pPr>
      <w:r w:rsidRPr="00457D76">
        <w:rPr>
          <w:rFonts w:ascii="Arial" w:hAnsi="Arial" w:cs="Arial"/>
          <w:sz w:val="22"/>
          <w:szCs w:val="22"/>
        </w:rPr>
        <w:t xml:space="preserve"> </w:t>
      </w:r>
      <w:r w:rsidR="00EF5A73" w:rsidRPr="00EF5A73">
        <w:rPr>
          <w:noProof/>
        </w:rPr>
        <w:drawing>
          <wp:inline distT="0" distB="0" distL="0" distR="0" wp14:anchorId="7B8917CB" wp14:editId="2818D065">
            <wp:extent cx="5876290" cy="1936750"/>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76290" cy="1936750"/>
                    </a:xfrm>
                    <a:prstGeom prst="rect">
                      <a:avLst/>
                    </a:prstGeom>
                    <a:noFill/>
                    <a:ln>
                      <a:noFill/>
                    </a:ln>
                  </pic:spPr>
                </pic:pic>
              </a:graphicData>
            </a:graphic>
          </wp:inline>
        </w:drawing>
      </w:r>
    </w:p>
    <w:p w14:paraId="314EE768" w14:textId="77777777" w:rsidR="009F299D" w:rsidRPr="0007572B" w:rsidRDefault="009F299D" w:rsidP="0038082E">
      <w:pPr>
        <w:jc w:val="both"/>
        <w:rPr>
          <w:rFonts w:ascii="Arial" w:hAnsi="Arial" w:cs="Arial"/>
          <w:sz w:val="22"/>
          <w:szCs w:val="22"/>
        </w:rPr>
      </w:pPr>
    </w:p>
    <w:p w14:paraId="63E2E484" w14:textId="71C738DD" w:rsidR="00084476" w:rsidRPr="0007572B" w:rsidRDefault="00084476" w:rsidP="0038082E">
      <w:pPr>
        <w:rPr>
          <w:rFonts w:ascii="Arial" w:hAnsi="Arial" w:cs="Arial"/>
        </w:rPr>
      </w:pPr>
      <w:r w:rsidRPr="0007572B">
        <w:rPr>
          <w:rFonts w:ascii="Arial" w:hAnsi="Arial" w:cs="Arial"/>
          <w:b/>
        </w:rPr>
        <w:t xml:space="preserve">The Financial Instruments Revaluation Reserve </w:t>
      </w:r>
      <w:r w:rsidRPr="0007572B">
        <w:rPr>
          <w:rFonts w:ascii="Arial" w:hAnsi="Arial" w:cs="Arial"/>
        </w:rPr>
        <w:t>contains the gains made by</w:t>
      </w:r>
      <w:r w:rsidRPr="0007572B">
        <w:rPr>
          <w:rFonts w:ascii="Arial" w:hAnsi="Arial" w:cs="Arial"/>
          <w:b/>
        </w:rPr>
        <w:t xml:space="preserve"> </w:t>
      </w:r>
      <w:r w:rsidRPr="0007572B">
        <w:rPr>
          <w:rFonts w:ascii="Arial" w:hAnsi="Arial" w:cs="Arial"/>
        </w:rPr>
        <w:t xml:space="preserve">the </w:t>
      </w:r>
      <w:r w:rsidR="00D952FE" w:rsidRPr="0007572B">
        <w:rPr>
          <w:rFonts w:ascii="Arial" w:hAnsi="Arial" w:cs="Arial"/>
        </w:rPr>
        <w:t>A</w:t>
      </w:r>
      <w:r w:rsidRPr="0007572B">
        <w:rPr>
          <w:rFonts w:ascii="Arial" w:hAnsi="Arial" w:cs="Arial"/>
        </w:rPr>
        <w:t xml:space="preserve">uthority arising from increases in the fair value of its investments that are measured at fair value through other comprehensive income. </w:t>
      </w:r>
    </w:p>
    <w:p w14:paraId="07CEE264" w14:textId="3DFDD30C" w:rsidR="004C6295" w:rsidRPr="0007572B" w:rsidRDefault="004C6295" w:rsidP="0038082E">
      <w:pPr>
        <w:rPr>
          <w:rFonts w:ascii="Arial" w:hAnsi="Arial" w:cs="Arial"/>
        </w:rPr>
      </w:pPr>
    </w:p>
    <w:p w14:paraId="5B338998" w14:textId="4E1E9F37" w:rsidR="00084476" w:rsidRPr="0007572B" w:rsidRDefault="00084476" w:rsidP="0038082E">
      <w:pPr>
        <w:rPr>
          <w:rFonts w:ascii="Arial" w:hAnsi="Arial" w:cs="Arial"/>
        </w:rPr>
      </w:pPr>
      <w:r w:rsidRPr="0007572B">
        <w:rPr>
          <w:rFonts w:ascii="Arial" w:hAnsi="Arial" w:cs="Arial"/>
        </w:rPr>
        <w:t>The balance is reduced when investments with accumulated gains are:</w:t>
      </w:r>
    </w:p>
    <w:p w14:paraId="633280A8" w14:textId="77777777" w:rsidR="00084476" w:rsidRPr="0007572B" w:rsidRDefault="00084476" w:rsidP="0038082E">
      <w:pPr>
        <w:rPr>
          <w:rFonts w:ascii="Arial" w:hAnsi="Arial" w:cs="Arial"/>
        </w:rPr>
      </w:pPr>
    </w:p>
    <w:p w14:paraId="237E9136" w14:textId="77777777" w:rsidR="00084476" w:rsidRPr="0007572B" w:rsidRDefault="00084476" w:rsidP="00EB27EB">
      <w:pPr>
        <w:pStyle w:val="ListParagraph"/>
        <w:numPr>
          <w:ilvl w:val="1"/>
          <w:numId w:val="55"/>
        </w:numPr>
        <w:spacing w:line="240" w:lineRule="auto"/>
        <w:rPr>
          <w:rFonts w:ascii="Arial" w:hAnsi="Arial" w:cs="Arial"/>
          <w:sz w:val="24"/>
          <w:szCs w:val="24"/>
        </w:rPr>
      </w:pPr>
      <w:r w:rsidRPr="0007572B">
        <w:rPr>
          <w:rFonts w:ascii="Arial" w:hAnsi="Arial" w:cs="Arial"/>
          <w:sz w:val="24"/>
          <w:szCs w:val="24"/>
        </w:rPr>
        <w:t>Revalued downwards, or impaired and gains are lost,</w:t>
      </w:r>
    </w:p>
    <w:p w14:paraId="499598D6" w14:textId="77777777" w:rsidR="00084476" w:rsidRPr="0007572B" w:rsidRDefault="00084476" w:rsidP="00EB27EB">
      <w:pPr>
        <w:pStyle w:val="ListParagraph"/>
        <w:numPr>
          <w:ilvl w:val="1"/>
          <w:numId w:val="55"/>
        </w:numPr>
        <w:spacing w:line="240" w:lineRule="auto"/>
        <w:rPr>
          <w:rFonts w:ascii="Arial" w:hAnsi="Arial" w:cs="Arial"/>
          <w:sz w:val="24"/>
          <w:szCs w:val="24"/>
        </w:rPr>
      </w:pPr>
      <w:r w:rsidRPr="0007572B">
        <w:rPr>
          <w:rFonts w:ascii="Arial" w:hAnsi="Arial" w:cs="Arial"/>
          <w:sz w:val="24"/>
          <w:szCs w:val="24"/>
        </w:rPr>
        <w:t>Disposed of and the gains are realised.</w:t>
      </w:r>
    </w:p>
    <w:p w14:paraId="39AE18A4" w14:textId="044D5C09" w:rsidR="006E6C8E" w:rsidRPr="0007572B" w:rsidRDefault="006E6C8E" w:rsidP="0038082E">
      <w:pPr>
        <w:jc w:val="both"/>
        <w:rPr>
          <w:rFonts w:ascii="Arial" w:hAnsi="Arial" w:cs="Arial"/>
          <w:b/>
          <w:sz w:val="22"/>
          <w:szCs w:val="22"/>
        </w:rPr>
      </w:pPr>
    </w:p>
    <w:p w14:paraId="3FAF67E5" w14:textId="3CFB9F16" w:rsidR="004254CB" w:rsidRPr="0007572B" w:rsidRDefault="00457D76" w:rsidP="0038082E">
      <w:pPr>
        <w:jc w:val="both"/>
        <w:rPr>
          <w:rFonts w:ascii="Arial" w:hAnsi="Arial" w:cs="Arial"/>
          <w:b/>
        </w:rPr>
      </w:pPr>
      <w:r w:rsidRPr="00457D76">
        <w:rPr>
          <w:noProof/>
        </w:rPr>
        <w:drawing>
          <wp:inline distT="0" distB="0" distL="0" distR="0" wp14:anchorId="508E87D0" wp14:editId="645571CD">
            <wp:extent cx="4925060" cy="92011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5060" cy="920115"/>
                    </a:xfrm>
                    <a:prstGeom prst="rect">
                      <a:avLst/>
                    </a:prstGeom>
                    <a:noFill/>
                    <a:ln>
                      <a:noFill/>
                    </a:ln>
                  </pic:spPr>
                </pic:pic>
              </a:graphicData>
            </a:graphic>
          </wp:inline>
        </w:drawing>
      </w:r>
    </w:p>
    <w:p w14:paraId="1B8F1B63" w14:textId="77777777" w:rsidR="0038082E" w:rsidRDefault="0038082E">
      <w:pPr>
        <w:rPr>
          <w:rFonts w:ascii="Arial" w:hAnsi="Arial" w:cs="Arial"/>
          <w:b/>
        </w:rPr>
      </w:pPr>
      <w:r>
        <w:rPr>
          <w:rFonts w:ascii="Arial" w:hAnsi="Arial" w:cs="Arial"/>
          <w:b/>
        </w:rPr>
        <w:br w:type="page"/>
      </w:r>
    </w:p>
    <w:p w14:paraId="29F36C29" w14:textId="23A211BC" w:rsidR="007A2501" w:rsidRPr="0007572B" w:rsidRDefault="007A2501" w:rsidP="0038082E">
      <w:pPr>
        <w:rPr>
          <w:rFonts w:ascii="Arial" w:hAnsi="Arial" w:cs="Arial"/>
        </w:rPr>
      </w:pPr>
      <w:r w:rsidRPr="0007572B">
        <w:rPr>
          <w:rFonts w:ascii="Arial" w:hAnsi="Arial" w:cs="Arial"/>
          <w:b/>
        </w:rPr>
        <w:lastRenderedPageBreak/>
        <w:t>The Collection Fund Adjustment Account</w:t>
      </w:r>
      <w:r w:rsidRPr="0007572B">
        <w:rPr>
          <w:rFonts w:ascii="Arial" w:hAnsi="Arial" w:cs="Arial"/>
        </w:rPr>
        <w:t xml:space="preserve"> manages the differences arising from the recognition of the Authority’s portion of council tax income and national non</w:t>
      </w:r>
      <w:r w:rsidR="000C364F" w:rsidRPr="0007572B">
        <w:rPr>
          <w:rFonts w:ascii="Arial" w:hAnsi="Arial" w:cs="Arial"/>
        </w:rPr>
        <w:t>-</w:t>
      </w:r>
      <w:r w:rsidRPr="0007572B">
        <w:rPr>
          <w:rFonts w:ascii="Arial" w:hAnsi="Arial" w:cs="Arial"/>
        </w:rPr>
        <w:t>domestic rates income in the CIES as it falls due from payers compared with statutory arrangements for paying across amounts due to the Authority from billing authorities.</w:t>
      </w:r>
    </w:p>
    <w:p w14:paraId="7A892DC5" w14:textId="77777777" w:rsidR="00261260" w:rsidRPr="0007572B" w:rsidRDefault="00261260" w:rsidP="0038082E">
      <w:pPr>
        <w:jc w:val="both"/>
        <w:rPr>
          <w:rFonts w:ascii="Arial" w:hAnsi="Arial" w:cs="Arial"/>
          <w:b/>
        </w:rPr>
      </w:pPr>
    </w:p>
    <w:p w14:paraId="7BADC657" w14:textId="519669C2" w:rsidR="00B61F27" w:rsidRPr="0007572B" w:rsidRDefault="00457D76" w:rsidP="0038082E">
      <w:pPr>
        <w:jc w:val="both"/>
        <w:rPr>
          <w:rFonts w:ascii="Arial" w:hAnsi="Arial" w:cs="Arial"/>
          <w:b/>
          <w:sz w:val="22"/>
          <w:szCs w:val="22"/>
        </w:rPr>
      </w:pPr>
      <w:r w:rsidRPr="00457D76">
        <w:rPr>
          <w:noProof/>
        </w:rPr>
        <w:drawing>
          <wp:inline distT="0" distB="0" distL="0" distR="0" wp14:anchorId="2E172AAD" wp14:editId="6A73F9A9">
            <wp:extent cx="5886450" cy="1038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6450" cy="1038225"/>
                    </a:xfrm>
                    <a:prstGeom prst="rect">
                      <a:avLst/>
                    </a:prstGeom>
                    <a:noFill/>
                    <a:ln>
                      <a:noFill/>
                    </a:ln>
                  </pic:spPr>
                </pic:pic>
              </a:graphicData>
            </a:graphic>
          </wp:inline>
        </w:drawing>
      </w:r>
    </w:p>
    <w:p w14:paraId="3AD80067" w14:textId="6F2C6166" w:rsidR="004254CB" w:rsidRPr="0007572B" w:rsidRDefault="004254CB" w:rsidP="0038082E">
      <w:pPr>
        <w:jc w:val="both"/>
        <w:rPr>
          <w:rFonts w:ascii="Arial" w:hAnsi="Arial" w:cs="Arial"/>
          <w:b/>
        </w:rPr>
      </w:pPr>
    </w:p>
    <w:p w14:paraId="48EAA31C" w14:textId="2F49DDA6" w:rsidR="007A2501" w:rsidRPr="0007572B" w:rsidRDefault="007A2501" w:rsidP="0038082E">
      <w:pPr>
        <w:rPr>
          <w:rFonts w:ascii="Arial" w:hAnsi="Arial" w:cs="Arial"/>
        </w:rPr>
      </w:pPr>
      <w:r w:rsidRPr="0007572B">
        <w:rPr>
          <w:rFonts w:ascii="Arial" w:hAnsi="Arial" w:cs="Arial"/>
          <w:b/>
        </w:rPr>
        <w:t>The Deferred Capital Receipts Reserve</w:t>
      </w:r>
      <w:r w:rsidR="00CB4C9A" w:rsidRPr="0007572B">
        <w:rPr>
          <w:rFonts w:ascii="Arial" w:hAnsi="Arial" w:cs="Arial"/>
        </w:rPr>
        <w:t xml:space="preserve"> holds the gains recognised on the disposal of non</w:t>
      </w:r>
      <w:r w:rsidR="00DD7CAF" w:rsidRPr="0007572B">
        <w:rPr>
          <w:rFonts w:ascii="Arial" w:hAnsi="Arial" w:cs="Arial"/>
        </w:rPr>
        <w:t>-</w:t>
      </w:r>
      <w:r w:rsidR="00CB4C9A" w:rsidRPr="0007572B">
        <w:rPr>
          <w:rFonts w:ascii="Arial" w:hAnsi="Arial" w:cs="Arial"/>
        </w:rPr>
        <w:t>current assets but for which the cash settlement has yet to take place.</w:t>
      </w:r>
    </w:p>
    <w:p w14:paraId="6C804807" w14:textId="77777777" w:rsidR="00261260" w:rsidRPr="0007572B" w:rsidRDefault="00261260" w:rsidP="0038082E">
      <w:pPr>
        <w:jc w:val="both"/>
        <w:rPr>
          <w:rFonts w:ascii="Arial" w:hAnsi="Arial" w:cs="Arial"/>
          <w:b/>
        </w:rPr>
      </w:pPr>
    </w:p>
    <w:p w14:paraId="67F7A60E" w14:textId="4CC344ED" w:rsidR="006E6C8E" w:rsidRPr="0007572B" w:rsidRDefault="00457D76" w:rsidP="0038082E">
      <w:pPr>
        <w:jc w:val="both"/>
        <w:rPr>
          <w:rFonts w:ascii="Arial" w:hAnsi="Arial" w:cs="Arial"/>
          <w:b/>
          <w:sz w:val="22"/>
          <w:szCs w:val="22"/>
        </w:rPr>
      </w:pPr>
      <w:r w:rsidRPr="00457D76">
        <w:rPr>
          <w:noProof/>
        </w:rPr>
        <w:drawing>
          <wp:inline distT="0" distB="0" distL="0" distR="0" wp14:anchorId="441F1BC7" wp14:editId="5E1FA127">
            <wp:extent cx="5903088" cy="810989"/>
            <wp:effectExtent l="0" t="0" r="254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6271" cy="825165"/>
                    </a:xfrm>
                    <a:prstGeom prst="rect">
                      <a:avLst/>
                    </a:prstGeom>
                    <a:noFill/>
                    <a:ln>
                      <a:noFill/>
                    </a:ln>
                  </pic:spPr>
                </pic:pic>
              </a:graphicData>
            </a:graphic>
          </wp:inline>
        </w:drawing>
      </w:r>
    </w:p>
    <w:p w14:paraId="6315467D" w14:textId="4BE0B26F" w:rsidR="00746C9C" w:rsidRPr="0007572B" w:rsidRDefault="00746C9C" w:rsidP="0038082E">
      <w:pPr>
        <w:rPr>
          <w:rFonts w:ascii="Arial" w:hAnsi="Arial" w:cs="Arial"/>
          <w:sz w:val="22"/>
          <w:szCs w:val="22"/>
        </w:rPr>
      </w:pPr>
    </w:p>
    <w:p w14:paraId="50D84206" w14:textId="5C1A6062" w:rsidR="00AC4453" w:rsidRDefault="00AC4453" w:rsidP="0038082E">
      <w:pPr>
        <w:rPr>
          <w:rFonts w:ascii="Arial" w:eastAsia="Palatino Linotype" w:hAnsi="Arial" w:cs="Arial"/>
          <w:b/>
          <w:bCs/>
          <w:szCs w:val="28"/>
          <w:lang w:val="en-US"/>
        </w:rPr>
      </w:pPr>
      <w:bookmarkStart w:id="174" w:name="_Toc92894901"/>
      <w:bookmarkStart w:id="175" w:name="_Toc92895205"/>
    </w:p>
    <w:p w14:paraId="14C60ACD" w14:textId="5594B082" w:rsidR="004047A3" w:rsidRPr="0007572B" w:rsidRDefault="00680267" w:rsidP="0038082E">
      <w:pPr>
        <w:pStyle w:val="Heading3greennumbered"/>
      </w:pPr>
      <w:bookmarkStart w:id="176" w:name="_Toc109922639"/>
      <w:r w:rsidRPr="0007572B">
        <w:t>2</w:t>
      </w:r>
      <w:r w:rsidR="00876B48" w:rsidRPr="0007572B">
        <w:t>9</w:t>
      </w:r>
      <w:r w:rsidR="004047A3" w:rsidRPr="0007572B">
        <w:t xml:space="preserve"> Financial Instruments</w:t>
      </w:r>
      <w:bookmarkEnd w:id="174"/>
      <w:bookmarkEnd w:id="175"/>
      <w:bookmarkEnd w:id="176"/>
    </w:p>
    <w:p w14:paraId="7E71DC98" w14:textId="77777777" w:rsidR="00D4492C" w:rsidRDefault="00D4492C" w:rsidP="0038082E">
      <w:pPr>
        <w:rPr>
          <w:rFonts w:ascii="Arial" w:hAnsi="Arial" w:cs="Arial"/>
        </w:rPr>
      </w:pPr>
    </w:p>
    <w:p w14:paraId="68F5CE19" w14:textId="7128AFE6" w:rsidR="00CB45BA" w:rsidRDefault="00CB45BA" w:rsidP="0038082E">
      <w:pPr>
        <w:rPr>
          <w:rFonts w:ascii="Arial" w:hAnsi="Arial" w:cs="Arial"/>
        </w:rPr>
      </w:pPr>
      <w:r w:rsidRPr="0007572B">
        <w:rPr>
          <w:rFonts w:ascii="Arial" w:hAnsi="Arial" w:cs="Arial"/>
        </w:rPr>
        <w:t>Financial Instruments include the financial assets and liabilities of the Authority. These appear in different sections of the Balance Sheet depending on their characteristics.</w:t>
      </w:r>
    </w:p>
    <w:p w14:paraId="40F0EDFC" w14:textId="77777777" w:rsidR="00D4492C" w:rsidRPr="0007572B" w:rsidRDefault="00D4492C" w:rsidP="0038082E">
      <w:pPr>
        <w:rPr>
          <w:rFonts w:ascii="Arial" w:hAnsi="Arial" w:cs="Arial"/>
        </w:rPr>
      </w:pPr>
    </w:p>
    <w:p w14:paraId="1D42A32A" w14:textId="5909EF96" w:rsidR="000E2349" w:rsidRPr="0007572B" w:rsidRDefault="000E2349" w:rsidP="0038082E">
      <w:pPr>
        <w:pStyle w:val="Heading4bold"/>
      </w:pPr>
      <w:r w:rsidRPr="0007572B">
        <w:t>Categories of Financial Instruments</w:t>
      </w:r>
    </w:p>
    <w:p w14:paraId="207A3330" w14:textId="77777777" w:rsidR="000E2349" w:rsidRPr="0007572B" w:rsidRDefault="000E2349" w:rsidP="0038082E">
      <w:pPr>
        <w:rPr>
          <w:rFonts w:ascii="Arial" w:hAnsi="Arial" w:cs="Arial"/>
        </w:rPr>
      </w:pPr>
    </w:p>
    <w:p w14:paraId="0B0A835F" w14:textId="5422BBF4" w:rsidR="000E2349" w:rsidRPr="0007572B" w:rsidRDefault="000E2349" w:rsidP="0038082E">
      <w:pPr>
        <w:rPr>
          <w:rFonts w:ascii="Arial" w:hAnsi="Arial" w:cs="Arial"/>
        </w:rPr>
      </w:pPr>
      <w:r w:rsidRPr="0007572B">
        <w:rPr>
          <w:rFonts w:ascii="Arial" w:hAnsi="Arial" w:cs="Arial"/>
        </w:rPr>
        <w:t xml:space="preserve">The Authority is required to classify its financial assets into one of three categories. </w:t>
      </w:r>
    </w:p>
    <w:p w14:paraId="2D5E7934" w14:textId="77777777" w:rsidR="000E2349" w:rsidRPr="0007572B" w:rsidRDefault="000E2349" w:rsidP="0038082E">
      <w:pPr>
        <w:jc w:val="both"/>
        <w:rPr>
          <w:rFonts w:ascii="Arial" w:hAnsi="Arial" w:cs="Arial"/>
        </w:rPr>
      </w:pPr>
    </w:p>
    <w:p w14:paraId="1C5C8161" w14:textId="77777777" w:rsidR="000E2349" w:rsidRPr="0007572B" w:rsidRDefault="000E2349" w:rsidP="00EB27EB">
      <w:pPr>
        <w:pStyle w:val="ListParagraph"/>
        <w:numPr>
          <w:ilvl w:val="0"/>
          <w:numId w:val="43"/>
        </w:numPr>
        <w:spacing w:line="240" w:lineRule="auto"/>
        <w:rPr>
          <w:rFonts w:ascii="Arial" w:hAnsi="Arial" w:cs="Arial"/>
          <w:sz w:val="24"/>
          <w:szCs w:val="24"/>
        </w:rPr>
      </w:pPr>
      <w:r w:rsidRPr="0007572B">
        <w:rPr>
          <w:rFonts w:ascii="Arial" w:hAnsi="Arial" w:cs="Arial"/>
          <w:sz w:val="24"/>
          <w:szCs w:val="24"/>
        </w:rPr>
        <w:t>Financial Assets held at amortised cost. These assets relate to instruments where the amount received relating to them are solely principal and interest and they are held to generate cashflows. The amount presented in the balance sheet represents the outstanding principal plus any accrued interest. Interest credited to CIES is the amount receivable as per the instrument’s agreement.</w:t>
      </w:r>
    </w:p>
    <w:p w14:paraId="23DC36A3" w14:textId="77777777" w:rsidR="000E2349" w:rsidRPr="0007572B" w:rsidRDefault="000E2349" w:rsidP="0038082E">
      <w:pPr>
        <w:pStyle w:val="ListParagraph"/>
        <w:spacing w:line="240" w:lineRule="auto"/>
        <w:ind w:left="360"/>
        <w:rPr>
          <w:rFonts w:ascii="Arial" w:hAnsi="Arial" w:cs="Arial"/>
          <w:sz w:val="24"/>
          <w:szCs w:val="24"/>
        </w:rPr>
      </w:pPr>
    </w:p>
    <w:p w14:paraId="5228E13B" w14:textId="77777777" w:rsidR="000E2349" w:rsidRPr="0007572B" w:rsidRDefault="000E2349" w:rsidP="00EB27EB">
      <w:pPr>
        <w:pStyle w:val="ListParagraph"/>
        <w:numPr>
          <w:ilvl w:val="0"/>
          <w:numId w:val="43"/>
        </w:numPr>
        <w:spacing w:line="240" w:lineRule="auto"/>
        <w:rPr>
          <w:rFonts w:ascii="Arial" w:hAnsi="Arial" w:cs="Arial"/>
          <w:sz w:val="24"/>
          <w:szCs w:val="24"/>
        </w:rPr>
      </w:pPr>
      <w:r w:rsidRPr="0007572B">
        <w:rPr>
          <w:rFonts w:ascii="Arial" w:hAnsi="Arial" w:cs="Arial"/>
          <w:sz w:val="24"/>
          <w:szCs w:val="24"/>
        </w:rPr>
        <w:t>Fair Value through Other Comprehensive Income (FVOCI). Amounts received relate to principal and interest but the business model for holding the asset includes the possibility of sale. These assets are measured and carried at fair value. All gains and losses due to changes in fair value are accounted for through a reserve account (the Financial Instruments Revaluation Reserve), with the balance debited or credited to CIES when the asset is disposed of.</w:t>
      </w:r>
    </w:p>
    <w:p w14:paraId="0555825B" w14:textId="77777777" w:rsidR="000E2349" w:rsidRPr="0007572B" w:rsidRDefault="000E2349" w:rsidP="0038082E">
      <w:pPr>
        <w:pStyle w:val="ListParagraph"/>
        <w:spacing w:line="240" w:lineRule="auto"/>
        <w:ind w:left="360"/>
        <w:rPr>
          <w:rFonts w:ascii="Arial" w:hAnsi="Arial" w:cs="Arial"/>
          <w:sz w:val="24"/>
          <w:szCs w:val="24"/>
        </w:rPr>
      </w:pPr>
    </w:p>
    <w:p w14:paraId="3C76A271" w14:textId="77777777" w:rsidR="000E2349" w:rsidRPr="0007572B" w:rsidRDefault="000E2349" w:rsidP="00EB27EB">
      <w:pPr>
        <w:pStyle w:val="ListParagraph"/>
        <w:numPr>
          <w:ilvl w:val="0"/>
          <w:numId w:val="43"/>
        </w:numPr>
        <w:spacing w:line="240" w:lineRule="auto"/>
        <w:rPr>
          <w:rFonts w:ascii="Arial" w:hAnsi="Arial" w:cs="Arial"/>
          <w:sz w:val="24"/>
          <w:szCs w:val="24"/>
        </w:rPr>
      </w:pPr>
      <w:r w:rsidRPr="0007572B">
        <w:rPr>
          <w:rFonts w:ascii="Arial" w:hAnsi="Arial" w:cs="Arial"/>
          <w:sz w:val="24"/>
          <w:szCs w:val="24"/>
        </w:rPr>
        <w:t>Fair Value Through Profit and Loss (FVPL) – all other instruments where the amounts received relating to them are not principal and interest, for example dividends as part of equity instruments. These assets are measured and carried at fair value. All gains and losses due to changes in fair value (both realised and unrealised) are recognised in the CIES as they occur.</w:t>
      </w:r>
    </w:p>
    <w:p w14:paraId="4E95094F" w14:textId="6F06F671" w:rsidR="000E2349" w:rsidRDefault="000E2349" w:rsidP="0038082E">
      <w:pPr>
        <w:rPr>
          <w:rFonts w:ascii="Arial" w:hAnsi="Arial" w:cs="Arial"/>
        </w:rPr>
      </w:pPr>
      <w:r w:rsidRPr="0007572B">
        <w:rPr>
          <w:rFonts w:ascii="Arial" w:hAnsi="Arial" w:cs="Arial"/>
        </w:rPr>
        <w:lastRenderedPageBreak/>
        <w:t>The following tables show the categories of financial instruments which are carried in the Balance Sheet:</w:t>
      </w:r>
    </w:p>
    <w:p w14:paraId="79294203" w14:textId="18BD4404" w:rsidR="00EC0C92" w:rsidRDefault="00EC0C92" w:rsidP="0038082E">
      <w:pPr>
        <w:rPr>
          <w:rFonts w:ascii="Arial" w:hAnsi="Arial" w:cs="Arial"/>
        </w:rPr>
      </w:pPr>
    </w:p>
    <w:p w14:paraId="2FE70C3F" w14:textId="229475F8" w:rsidR="00EC0C92" w:rsidRPr="0007572B" w:rsidRDefault="00EC0C92" w:rsidP="0038082E">
      <w:pPr>
        <w:rPr>
          <w:rFonts w:ascii="Arial" w:hAnsi="Arial" w:cs="Arial"/>
        </w:rPr>
      </w:pPr>
      <w:r w:rsidRPr="00EC0C92">
        <w:rPr>
          <w:noProof/>
        </w:rPr>
        <w:drawing>
          <wp:inline distT="0" distB="0" distL="0" distR="0" wp14:anchorId="5BA93861" wp14:editId="2D25EA26">
            <wp:extent cx="5629275" cy="170497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9275" cy="1704975"/>
                    </a:xfrm>
                    <a:prstGeom prst="rect">
                      <a:avLst/>
                    </a:prstGeom>
                    <a:noFill/>
                    <a:ln>
                      <a:noFill/>
                    </a:ln>
                  </pic:spPr>
                </pic:pic>
              </a:graphicData>
            </a:graphic>
          </wp:inline>
        </w:drawing>
      </w:r>
    </w:p>
    <w:p w14:paraId="0F900FA9" w14:textId="77777777" w:rsidR="000B1D0E" w:rsidRPr="0007572B" w:rsidRDefault="000B1D0E" w:rsidP="0038082E">
      <w:pPr>
        <w:jc w:val="both"/>
        <w:rPr>
          <w:rFonts w:ascii="Arial" w:hAnsi="Arial" w:cs="Arial"/>
        </w:rPr>
      </w:pPr>
    </w:p>
    <w:p w14:paraId="7290F92E" w14:textId="3092F798" w:rsidR="00EC0C92" w:rsidRDefault="00EC0C92" w:rsidP="0038082E">
      <w:pPr>
        <w:rPr>
          <w:rFonts w:ascii="Arial" w:hAnsi="Arial" w:cs="Arial"/>
          <w:sz w:val="22"/>
          <w:szCs w:val="22"/>
        </w:rPr>
      </w:pPr>
      <w:r w:rsidRPr="00EC0C92">
        <w:rPr>
          <w:noProof/>
        </w:rPr>
        <w:drawing>
          <wp:inline distT="0" distB="0" distL="0" distR="0" wp14:anchorId="6417AF29" wp14:editId="7DDDB55B">
            <wp:extent cx="5975350" cy="1209675"/>
            <wp:effectExtent l="0" t="0" r="635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5350" cy="1209675"/>
                    </a:xfrm>
                    <a:prstGeom prst="rect">
                      <a:avLst/>
                    </a:prstGeom>
                    <a:noFill/>
                    <a:ln>
                      <a:noFill/>
                    </a:ln>
                  </pic:spPr>
                </pic:pic>
              </a:graphicData>
            </a:graphic>
          </wp:inline>
        </w:drawing>
      </w:r>
    </w:p>
    <w:p w14:paraId="7511BF81" w14:textId="77777777" w:rsidR="00EC0C92" w:rsidRDefault="00EC0C92" w:rsidP="0038082E">
      <w:pPr>
        <w:rPr>
          <w:rFonts w:ascii="Arial" w:hAnsi="Arial" w:cs="Arial"/>
          <w:sz w:val="22"/>
          <w:szCs w:val="22"/>
        </w:rPr>
      </w:pPr>
    </w:p>
    <w:p w14:paraId="30784658" w14:textId="6AEC7CBF" w:rsidR="000B1D0E" w:rsidRDefault="00BB5199" w:rsidP="0038082E">
      <w:pPr>
        <w:jc w:val="both"/>
        <w:rPr>
          <w:rFonts w:ascii="Arial" w:hAnsi="Arial" w:cs="Arial"/>
          <w:sz w:val="22"/>
          <w:szCs w:val="22"/>
        </w:rPr>
      </w:pPr>
      <w:r w:rsidRPr="00BB5199">
        <w:rPr>
          <w:noProof/>
        </w:rPr>
        <w:drawing>
          <wp:inline distT="0" distB="0" distL="0" distR="0" wp14:anchorId="640844EA" wp14:editId="2C6D1372">
            <wp:extent cx="5975350" cy="117602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5350" cy="1176020"/>
                    </a:xfrm>
                    <a:prstGeom prst="rect">
                      <a:avLst/>
                    </a:prstGeom>
                    <a:noFill/>
                    <a:ln>
                      <a:noFill/>
                    </a:ln>
                  </pic:spPr>
                </pic:pic>
              </a:graphicData>
            </a:graphic>
          </wp:inline>
        </w:drawing>
      </w:r>
    </w:p>
    <w:p w14:paraId="112F6A2D" w14:textId="4C2E9099" w:rsidR="00BC6411" w:rsidRDefault="00BC6411" w:rsidP="0038082E">
      <w:pPr>
        <w:jc w:val="both"/>
        <w:rPr>
          <w:rFonts w:ascii="Arial" w:hAnsi="Arial" w:cs="Arial"/>
          <w:sz w:val="22"/>
          <w:szCs w:val="22"/>
        </w:rPr>
      </w:pPr>
    </w:p>
    <w:p w14:paraId="3C964428" w14:textId="0751382F" w:rsidR="00EC0C92" w:rsidRDefault="00EC0C92" w:rsidP="0038082E">
      <w:pPr>
        <w:jc w:val="both"/>
        <w:rPr>
          <w:rFonts w:ascii="Arial" w:hAnsi="Arial" w:cs="Arial"/>
          <w:b/>
          <w:sz w:val="22"/>
          <w:szCs w:val="22"/>
        </w:rPr>
      </w:pPr>
      <w:r>
        <w:rPr>
          <w:rFonts w:ascii="Arial" w:hAnsi="Arial" w:cs="Arial"/>
          <w:b/>
          <w:noProof/>
          <w:sz w:val="22"/>
          <w:szCs w:val="22"/>
        </w:rPr>
        <w:drawing>
          <wp:inline distT="0" distB="0" distL="0" distR="0" wp14:anchorId="666D79FE" wp14:editId="5E886E47">
            <wp:extent cx="5974715" cy="1176655"/>
            <wp:effectExtent l="0" t="0" r="6985" b="444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74715" cy="1176655"/>
                    </a:xfrm>
                    <a:prstGeom prst="rect">
                      <a:avLst/>
                    </a:prstGeom>
                    <a:noFill/>
                  </pic:spPr>
                </pic:pic>
              </a:graphicData>
            </a:graphic>
          </wp:inline>
        </w:drawing>
      </w:r>
    </w:p>
    <w:p w14:paraId="676B2CEE" w14:textId="6CDFF20D" w:rsidR="004047A3" w:rsidRPr="0007572B" w:rsidRDefault="004047A3" w:rsidP="0038082E">
      <w:pPr>
        <w:rPr>
          <w:rFonts w:ascii="Arial" w:hAnsi="Arial" w:cs="Arial"/>
          <w:sz w:val="22"/>
          <w:szCs w:val="22"/>
        </w:rPr>
      </w:pPr>
    </w:p>
    <w:p w14:paraId="3ACEAC80" w14:textId="5E4357CF" w:rsidR="002E7A9F" w:rsidRDefault="005F4456" w:rsidP="0038082E">
      <w:pPr>
        <w:rPr>
          <w:rFonts w:ascii="Arial" w:hAnsi="Arial" w:cs="Arial"/>
        </w:rPr>
      </w:pPr>
      <w:r w:rsidRPr="0007572B">
        <w:rPr>
          <w:rFonts w:ascii="Arial" w:hAnsi="Arial" w:cs="Arial"/>
        </w:rPr>
        <w:t xml:space="preserve">The Authority </w:t>
      </w:r>
      <w:r w:rsidR="00BE0E75">
        <w:rPr>
          <w:rFonts w:ascii="Arial" w:hAnsi="Arial" w:cs="Arial"/>
        </w:rPr>
        <w:t>p</w:t>
      </w:r>
      <w:r w:rsidRPr="0007572B">
        <w:rPr>
          <w:rFonts w:ascii="Arial" w:hAnsi="Arial" w:cs="Arial"/>
        </w:rPr>
        <w:t>rovided two loans to the Growth Company in 2020/21 at less than market rates of interest (these are known as soft loans)</w:t>
      </w:r>
      <w:r w:rsidR="000B5A53">
        <w:rPr>
          <w:rFonts w:ascii="Arial" w:hAnsi="Arial" w:cs="Arial"/>
        </w:rPr>
        <w:t>.  No further soft loans have been made in 2021/22</w:t>
      </w:r>
      <w:r w:rsidR="002E7A9F">
        <w:rPr>
          <w:rFonts w:ascii="Arial" w:hAnsi="Arial" w:cs="Arial"/>
        </w:rPr>
        <w:t>:</w:t>
      </w:r>
    </w:p>
    <w:p w14:paraId="737805C0" w14:textId="1668FFF4" w:rsidR="002E7A9F" w:rsidRPr="002E7A9F" w:rsidRDefault="002E7A9F" w:rsidP="00EB27EB">
      <w:pPr>
        <w:pStyle w:val="ListParagraph"/>
        <w:numPr>
          <w:ilvl w:val="0"/>
          <w:numId w:val="49"/>
        </w:numPr>
        <w:spacing w:line="240" w:lineRule="auto"/>
        <w:rPr>
          <w:rFonts w:ascii="Arial" w:hAnsi="Arial" w:cs="Arial"/>
          <w:sz w:val="24"/>
          <w:szCs w:val="24"/>
        </w:rPr>
      </w:pPr>
      <w:r w:rsidRPr="002E7A9F">
        <w:rPr>
          <w:rFonts w:ascii="Arial" w:hAnsi="Arial" w:cs="Arial"/>
          <w:sz w:val="24"/>
          <w:szCs w:val="24"/>
        </w:rPr>
        <w:t>a</w:t>
      </w:r>
      <w:r w:rsidR="005F4456" w:rsidRPr="002E7A9F">
        <w:rPr>
          <w:rFonts w:ascii="Arial" w:hAnsi="Arial" w:cs="Arial"/>
          <w:sz w:val="24"/>
          <w:szCs w:val="24"/>
        </w:rPr>
        <w:t xml:space="preserve"> £1.5m loan for the </w:t>
      </w:r>
      <w:r w:rsidR="005F4456" w:rsidRPr="002E7A9F">
        <w:rPr>
          <w:rFonts w:ascii="Arial" w:eastAsiaTheme="minorHAnsi" w:hAnsi="Arial" w:cs="Arial"/>
          <w:sz w:val="24"/>
          <w:szCs w:val="24"/>
        </w:rPr>
        <w:t>Coronavirus Business Interruption Scheme (CBILS)</w:t>
      </w:r>
      <w:r w:rsidRPr="002E7A9F">
        <w:rPr>
          <w:rFonts w:ascii="Arial" w:eastAsiaTheme="minorHAnsi" w:hAnsi="Arial" w:cs="Arial"/>
          <w:sz w:val="24"/>
          <w:szCs w:val="24"/>
        </w:rPr>
        <w:t>;</w:t>
      </w:r>
      <w:r w:rsidR="005F4456" w:rsidRPr="002E7A9F">
        <w:rPr>
          <w:rFonts w:ascii="Arial" w:eastAsiaTheme="minorHAnsi" w:hAnsi="Arial" w:cs="Arial"/>
          <w:sz w:val="24"/>
          <w:szCs w:val="24"/>
        </w:rPr>
        <w:t xml:space="preserve"> </w:t>
      </w:r>
      <w:r w:rsidR="005F4456" w:rsidRPr="002E7A9F">
        <w:rPr>
          <w:rFonts w:ascii="Arial" w:hAnsi="Arial" w:cs="Arial"/>
          <w:sz w:val="24"/>
          <w:szCs w:val="24"/>
        </w:rPr>
        <w:t>and</w:t>
      </w:r>
    </w:p>
    <w:p w14:paraId="6D5BDDEA" w14:textId="51550E62" w:rsidR="005F4456" w:rsidRDefault="005F4456" w:rsidP="00EB27EB">
      <w:pPr>
        <w:pStyle w:val="ListParagraph"/>
        <w:numPr>
          <w:ilvl w:val="0"/>
          <w:numId w:val="49"/>
        </w:numPr>
        <w:spacing w:line="240" w:lineRule="auto"/>
        <w:rPr>
          <w:rFonts w:ascii="Arial" w:hAnsi="Arial" w:cs="Arial"/>
          <w:sz w:val="24"/>
          <w:szCs w:val="24"/>
        </w:rPr>
      </w:pPr>
      <w:r w:rsidRPr="002E7A9F">
        <w:rPr>
          <w:rFonts w:ascii="Arial" w:hAnsi="Arial" w:cs="Arial"/>
          <w:sz w:val="24"/>
          <w:szCs w:val="24"/>
        </w:rPr>
        <w:t xml:space="preserve">a £6m loan for the Bounceback Loan Scheme, where the </w:t>
      </w:r>
      <w:r w:rsidRPr="002E7A9F">
        <w:rPr>
          <w:rFonts w:ascii="Arial" w:eastAsiaTheme="minorHAnsi" w:hAnsi="Arial" w:cs="Arial"/>
          <w:sz w:val="24"/>
          <w:szCs w:val="24"/>
        </w:rPr>
        <w:t xml:space="preserve">Growth Company Business Finance </w:t>
      </w:r>
      <w:r w:rsidRPr="002E7A9F">
        <w:rPr>
          <w:rFonts w:ascii="Arial" w:hAnsi="Arial" w:cs="Arial"/>
          <w:sz w:val="24"/>
          <w:szCs w:val="24"/>
        </w:rPr>
        <w:t xml:space="preserve">division </w:t>
      </w:r>
      <w:r w:rsidRPr="002E7A9F">
        <w:rPr>
          <w:rFonts w:ascii="Arial" w:eastAsiaTheme="minorHAnsi" w:hAnsi="Arial" w:cs="Arial"/>
          <w:sz w:val="24"/>
          <w:szCs w:val="24"/>
        </w:rPr>
        <w:t xml:space="preserve">are administering financial support to businesses as an accredited </w:t>
      </w:r>
      <w:r w:rsidRPr="002E7A9F">
        <w:rPr>
          <w:rFonts w:ascii="Arial" w:hAnsi="Arial" w:cs="Arial"/>
          <w:sz w:val="24"/>
          <w:szCs w:val="24"/>
        </w:rPr>
        <w:t xml:space="preserve">loan </w:t>
      </w:r>
      <w:r w:rsidRPr="002E7A9F">
        <w:rPr>
          <w:rFonts w:ascii="Arial" w:eastAsiaTheme="minorHAnsi" w:hAnsi="Arial" w:cs="Arial"/>
          <w:sz w:val="24"/>
          <w:szCs w:val="24"/>
        </w:rPr>
        <w:t>provider</w:t>
      </w:r>
      <w:r w:rsidRPr="002E7A9F">
        <w:rPr>
          <w:rFonts w:ascii="Arial" w:hAnsi="Arial" w:cs="Arial"/>
          <w:sz w:val="24"/>
          <w:szCs w:val="24"/>
        </w:rPr>
        <w:t>.</w:t>
      </w:r>
    </w:p>
    <w:p w14:paraId="4715B279" w14:textId="77777777" w:rsidR="00EC0C92" w:rsidRPr="002E7A9F" w:rsidRDefault="00EC0C92" w:rsidP="00EC0C92">
      <w:pPr>
        <w:pStyle w:val="ListParagraph"/>
        <w:spacing w:line="240" w:lineRule="auto"/>
        <w:rPr>
          <w:rFonts w:ascii="Arial" w:hAnsi="Arial" w:cs="Arial"/>
          <w:sz w:val="24"/>
          <w:szCs w:val="24"/>
        </w:rPr>
      </w:pPr>
    </w:p>
    <w:p w14:paraId="785D3AE3" w14:textId="6850A1F1" w:rsidR="005F4456" w:rsidRDefault="00EC0C92" w:rsidP="0038082E">
      <w:pPr>
        <w:rPr>
          <w:rFonts w:ascii="Arial" w:hAnsi="Arial" w:cs="Arial"/>
        </w:rPr>
      </w:pPr>
      <w:r>
        <w:rPr>
          <w:rFonts w:ascii="Arial" w:hAnsi="Arial" w:cs="Arial"/>
          <w:noProof/>
        </w:rPr>
        <w:lastRenderedPageBreak/>
        <w:drawing>
          <wp:inline distT="0" distB="0" distL="0" distR="0" wp14:anchorId="20378318" wp14:editId="1ED0A001">
            <wp:extent cx="4846955" cy="1249680"/>
            <wp:effectExtent l="0" t="0" r="0" b="762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6955" cy="1249680"/>
                    </a:xfrm>
                    <a:prstGeom prst="rect">
                      <a:avLst/>
                    </a:prstGeom>
                    <a:noFill/>
                  </pic:spPr>
                </pic:pic>
              </a:graphicData>
            </a:graphic>
          </wp:inline>
        </w:drawing>
      </w:r>
    </w:p>
    <w:p w14:paraId="7861992D" w14:textId="77777777" w:rsidR="00EC0C92" w:rsidRPr="0007572B" w:rsidRDefault="00EC0C92" w:rsidP="0038082E">
      <w:pPr>
        <w:rPr>
          <w:rFonts w:ascii="Arial" w:hAnsi="Arial" w:cs="Arial"/>
        </w:rPr>
      </w:pPr>
    </w:p>
    <w:p w14:paraId="0489C0A4" w14:textId="55310441" w:rsidR="005F4456" w:rsidRPr="0007572B" w:rsidRDefault="000E5109" w:rsidP="0038082E">
      <w:pPr>
        <w:rPr>
          <w:rFonts w:ascii="Arial" w:hAnsi="Arial" w:cs="Arial"/>
        </w:rPr>
      </w:pPr>
      <w:r w:rsidRPr="000E5109">
        <w:rPr>
          <w:rFonts w:ascii="Arial" w:hAnsi="Arial" w:cs="Arial"/>
        </w:rPr>
        <w:t xml:space="preserve"> </w:t>
      </w:r>
      <w:r w:rsidR="005F4456" w:rsidRPr="0007572B">
        <w:rPr>
          <w:rFonts w:ascii="Arial" w:hAnsi="Arial" w:cs="Arial"/>
        </w:rPr>
        <w:t xml:space="preserve">When the loans are made the amount of interest forgone over the life of the loan is charged to the </w:t>
      </w:r>
      <w:r w:rsidR="00577AA5" w:rsidRPr="0007572B">
        <w:rPr>
          <w:rFonts w:ascii="Arial" w:hAnsi="Arial" w:cs="Arial"/>
        </w:rPr>
        <w:t>CIES</w:t>
      </w:r>
      <w:r w:rsidR="005F4456" w:rsidRPr="0007572B">
        <w:rPr>
          <w:rFonts w:ascii="Arial" w:hAnsi="Arial" w:cs="Arial"/>
        </w:rPr>
        <w:t xml:space="preserve"> (debited to the appropriate service line) and the outstanding principal is reduced on the Balance Sheet. This represents the present value of the interest that will be forgone over the life of the loan agreement. Statutory provisions require that the impact of soft loans on the General Fund balance is the interest receivable in the year, so the amount of foregone interest is managed by a transfer from the Financial Instruments Adjustment Account to the Movement in Reserves Statement. </w:t>
      </w:r>
    </w:p>
    <w:p w14:paraId="6F7F7AEE" w14:textId="33BE62B3" w:rsidR="00B55523" w:rsidRDefault="00B55523" w:rsidP="0038082E">
      <w:pPr>
        <w:rPr>
          <w:rFonts w:ascii="Arial" w:hAnsi="Arial" w:cs="Arial"/>
        </w:rPr>
      </w:pPr>
    </w:p>
    <w:p w14:paraId="621DC996" w14:textId="2D90FAFC" w:rsidR="000E2349" w:rsidRPr="0007572B" w:rsidRDefault="000E2349" w:rsidP="0038082E">
      <w:pPr>
        <w:pStyle w:val="Heading4bold"/>
      </w:pPr>
      <w:r w:rsidRPr="0007572B">
        <w:t xml:space="preserve">Income, Expenses, </w:t>
      </w:r>
      <w:r w:rsidR="00F400A1" w:rsidRPr="0007572B">
        <w:t>G</w:t>
      </w:r>
      <w:r w:rsidRPr="0007572B">
        <w:t>ains and Losses</w:t>
      </w:r>
    </w:p>
    <w:p w14:paraId="40EA398F" w14:textId="43EC9CAA" w:rsidR="00261260" w:rsidRPr="0007572B" w:rsidRDefault="000E2349" w:rsidP="0038082E">
      <w:pPr>
        <w:rPr>
          <w:rFonts w:ascii="Arial" w:hAnsi="Arial" w:cs="Arial"/>
        </w:rPr>
      </w:pPr>
      <w:r w:rsidRPr="0007572B">
        <w:rPr>
          <w:rFonts w:ascii="Arial" w:hAnsi="Arial" w:cs="Arial"/>
        </w:rPr>
        <w:t>The gains and losses recognised in the Comprehensive Income and Expenditure Statement in relation to financial instruments are summarised in the table below:</w:t>
      </w:r>
    </w:p>
    <w:p w14:paraId="6742FA46" w14:textId="72222DA2" w:rsidR="000E2349" w:rsidRDefault="000E2349" w:rsidP="0038082E">
      <w:pPr>
        <w:jc w:val="both"/>
        <w:rPr>
          <w:rFonts w:ascii="Arial" w:hAnsi="Arial" w:cs="Arial"/>
          <w:b/>
        </w:rPr>
      </w:pPr>
    </w:p>
    <w:p w14:paraId="243D9AA9" w14:textId="73825231" w:rsidR="00EC0C92" w:rsidRPr="0007572B" w:rsidRDefault="00EC0C92" w:rsidP="0038082E">
      <w:pPr>
        <w:jc w:val="both"/>
        <w:rPr>
          <w:rFonts w:ascii="Arial" w:hAnsi="Arial" w:cs="Arial"/>
          <w:b/>
        </w:rPr>
      </w:pPr>
      <w:r>
        <w:rPr>
          <w:rFonts w:ascii="Arial" w:hAnsi="Arial" w:cs="Arial"/>
          <w:b/>
          <w:noProof/>
        </w:rPr>
        <w:drawing>
          <wp:inline distT="0" distB="0" distL="0" distR="0" wp14:anchorId="4CC20AB0" wp14:editId="739D458E">
            <wp:extent cx="5974715" cy="2383790"/>
            <wp:effectExtent l="0" t="0" r="698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4715" cy="2383790"/>
                    </a:xfrm>
                    <a:prstGeom prst="rect">
                      <a:avLst/>
                    </a:prstGeom>
                    <a:noFill/>
                  </pic:spPr>
                </pic:pic>
              </a:graphicData>
            </a:graphic>
          </wp:inline>
        </w:drawing>
      </w:r>
    </w:p>
    <w:p w14:paraId="0D8DA5FF" w14:textId="20F80D29" w:rsidR="006E6C8E" w:rsidRPr="0007572B" w:rsidRDefault="006E6C8E" w:rsidP="0038082E">
      <w:pPr>
        <w:jc w:val="both"/>
        <w:rPr>
          <w:rFonts w:ascii="Arial" w:hAnsi="Arial" w:cs="Arial"/>
          <w:b/>
          <w:sz w:val="22"/>
          <w:szCs w:val="22"/>
        </w:rPr>
      </w:pPr>
    </w:p>
    <w:p w14:paraId="27B5ACAF" w14:textId="105AA2EA" w:rsidR="006E6C8E" w:rsidRPr="0007572B" w:rsidRDefault="006E6C8E" w:rsidP="0038082E">
      <w:pPr>
        <w:jc w:val="both"/>
        <w:rPr>
          <w:rFonts w:ascii="Arial" w:hAnsi="Arial" w:cs="Arial"/>
          <w:b/>
        </w:rPr>
      </w:pPr>
    </w:p>
    <w:p w14:paraId="46C780EE" w14:textId="42E415B0" w:rsidR="000E2349" w:rsidRPr="0007572B" w:rsidRDefault="000E2349" w:rsidP="0038082E">
      <w:pPr>
        <w:pStyle w:val="Heading4bold"/>
      </w:pPr>
      <w:r w:rsidRPr="0007572B">
        <w:t>Fair Value of Assets &amp; Liabilities</w:t>
      </w:r>
    </w:p>
    <w:p w14:paraId="0BCCEBA4" w14:textId="77777777" w:rsidR="000E2349" w:rsidRPr="0007572B" w:rsidRDefault="000E2349" w:rsidP="0038082E">
      <w:pPr>
        <w:rPr>
          <w:rFonts w:ascii="Arial" w:hAnsi="Arial" w:cs="Arial"/>
        </w:rPr>
      </w:pPr>
      <w:r w:rsidRPr="0007572B">
        <w:rPr>
          <w:rFonts w:ascii="Arial" w:hAnsi="Arial" w:cs="Arial"/>
        </w:rPr>
        <w:t>Fair Value is the price that would be received to sell an asset or paid to transfer a liability in an orderly transaction between market participants at the measurement date.</w:t>
      </w:r>
    </w:p>
    <w:p w14:paraId="4F789904" w14:textId="77777777" w:rsidR="000E2349" w:rsidRPr="0007572B" w:rsidRDefault="000E2349" w:rsidP="0038082E">
      <w:pPr>
        <w:rPr>
          <w:rFonts w:ascii="Arial" w:hAnsi="Arial" w:cs="Arial"/>
          <w:highlight w:val="cyan"/>
        </w:rPr>
      </w:pPr>
    </w:p>
    <w:p w14:paraId="60930F42" w14:textId="3A567411" w:rsidR="000E2349" w:rsidRPr="0007572B" w:rsidRDefault="000E2349" w:rsidP="0038082E">
      <w:pPr>
        <w:rPr>
          <w:rFonts w:ascii="Arial" w:hAnsi="Arial" w:cs="Arial"/>
        </w:rPr>
      </w:pPr>
      <w:r w:rsidRPr="0007572B">
        <w:rPr>
          <w:rFonts w:ascii="Arial" w:hAnsi="Arial" w:cs="Arial"/>
        </w:rPr>
        <w:t>Assets and liabilities are carried at amortised cost where part of their carrying amount (as per the balance sheet) will either be written down or written up via the Comprehensive Income and Expenditure Statement over the term of the financial instrument.</w:t>
      </w:r>
    </w:p>
    <w:p w14:paraId="21AF910F" w14:textId="77777777" w:rsidR="00F201F3" w:rsidRPr="0007572B" w:rsidRDefault="00F201F3" w:rsidP="0038082E">
      <w:pPr>
        <w:rPr>
          <w:rFonts w:ascii="Arial" w:hAnsi="Arial" w:cs="Arial"/>
        </w:rPr>
      </w:pPr>
    </w:p>
    <w:p w14:paraId="04BD4AE5" w14:textId="75E6B7E2" w:rsidR="000E2349" w:rsidRDefault="000E2349" w:rsidP="0038082E">
      <w:pPr>
        <w:rPr>
          <w:rFonts w:ascii="Arial" w:hAnsi="Arial" w:cs="Arial"/>
        </w:rPr>
      </w:pPr>
      <w:r w:rsidRPr="0007572B">
        <w:rPr>
          <w:rFonts w:ascii="Arial" w:hAnsi="Arial" w:cs="Arial"/>
        </w:rPr>
        <w:t>For the purposes of the notes to the accounts, all assets and liabilities are given a fair value, although this is only shown in the balance sheet for available for sale assets. For many financial instruments the fair value will be the same as the outstanding principal amount, but for others there could be a significant difference.</w:t>
      </w:r>
    </w:p>
    <w:p w14:paraId="2F29430D" w14:textId="77777777" w:rsidR="00D4492C" w:rsidRPr="0007572B" w:rsidRDefault="00D4492C" w:rsidP="0038082E">
      <w:pPr>
        <w:rPr>
          <w:rFonts w:ascii="Arial" w:hAnsi="Arial" w:cs="Arial"/>
        </w:rPr>
      </w:pPr>
    </w:p>
    <w:p w14:paraId="24111FED" w14:textId="77777777" w:rsidR="000E2349" w:rsidRPr="0007572B" w:rsidRDefault="000E2349" w:rsidP="0038082E">
      <w:pPr>
        <w:pStyle w:val="Heading4bold"/>
      </w:pPr>
      <w:r w:rsidRPr="0007572B">
        <w:lastRenderedPageBreak/>
        <w:t>Fair Value Hierarchy</w:t>
      </w:r>
    </w:p>
    <w:p w14:paraId="3AB4E49C" w14:textId="77777777" w:rsidR="000E2349" w:rsidRPr="0007572B" w:rsidRDefault="000E2349" w:rsidP="0038082E">
      <w:pPr>
        <w:rPr>
          <w:rFonts w:ascii="Arial" w:hAnsi="Arial" w:cs="Arial"/>
          <w:lang w:val="en-US"/>
        </w:rPr>
      </w:pPr>
      <w:r w:rsidRPr="0007572B">
        <w:rPr>
          <w:rFonts w:ascii="Arial" w:hAnsi="Arial" w:cs="Arial"/>
          <w:lang w:val="en-US"/>
        </w:rPr>
        <w:t>Inputs to the valuation techniques in respect of the Authority’s fair value measurement of its assets and liabilities are categorised within the fair value hierarchy as follows:</w:t>
      </w:r>
    </w:p>
    <w:p w14:paraId="48B2FFD3" w14:textId="77777777" w:rsidR="000E2349" w:rsidRPr="0007572B" w:rsidRDefault="000E2349" w:rsidP="0038082E">
      <w:pPr>
        <w:rPr>
          <w:rFonts w:ascii="Arial" w:hAnsi="Arial" w:cs="Arial"/>
          <w:lang w:val="en-US"/>
        </w:rPr>
      </w:pPr>
    </w:p>
    <w:p w14:paraId="160D229D" w14:textId="1BF7F3D5" w:rsidR="000E2349" w:rsidRPr="0007572B" w:rsidRDefault="000E2349" w:rsidP="00EB27EB">
      <w:pPr>
        <w:pStyle w:val="ListParagraph"/>
        <w:numPr>
          <w:ilvl w:val="0"/>
          <w:numId w:val="30"/>
        </w:numPr>
        <w:spacing w:line="240" w:lineRule="auto"/>
        <w:rPr>
          <w:rFonts w:ascii="Arial" w:hAnsi="Arial" w:cs="Arial"/>
          <w:sz w:val="24"/>
          <w:szCs w:val="24"/>
          <w:lang w:val="en-US"/>
        </w:rPr>
      </w:pPr>
      <w:r w:rsidRPr="0007572B">
        <w:rPr>
          <w:rFonts w:ascii="Arial" w:hAnsi="Arial" w:cs="Arial"/>
          <w:sz w:val="24"/>
          <w:szCs w:val="24"/>
          <w:lang w:val="en-US"/>
        </w:rPr>
        <w:t xml:space="preserve">Level 1 – quoted prices (unadjusted) in active markets for identical assets or liabilities that the </w:t>
      </w:r>
      <w:r w:rsidR="00D952FE" w:rsidRPr="0007572B">
        <w:rPr>
          <w:rFonts w:ascii="Arial" w:hAnsi="Arial" w:cs="Arial"/>
          <w:sz w:val="24"/>
          <w:szCs w:val="24"/>
          <w:lang w:val="en-US"/>
        </w:rPr>
        <w:t>A</w:t>
      </w:r>
      <w:r w:rsidRPr="0007572B">
        <w:rPr>
          <w:rFonts w:ascii="Arial" w:hAnsi="Arial" w:cs="Arial"/>
          <w:sz w:val="24"/>
          <w:szCs w:val="24"/>
          <w:lang w:val="en-US"/>
        </w:rPr>
        <w:t>uthority can access at the measurement date.</w:t>
      </w:r>
    </w:p>
    <w:p w14:paraId="10F5962A" w14:textId="77777777" w:rsidR="000E2349" w:rsidRPr="0007572B" w:rsidRDefault="000E2349" w:rsidP="00EB27EB">
      <w:pPr>
        <w:pStyle w:val="ListParagraph"/>
        <w:numPr>
          <w:ilvl w:val="0"/>
          <w:numId w:val="30"/>
        </w:numPr>
        <w:spacing w:line="240" w:lineRule="auto"/>
        <w:rPr>
          <w:rFonts w:ascii="Arial" w:hAnsi="Arial" w:cs="Arial"/>
          <w:sz w:val="24"/>
          <w:szCs w:val="24"/>
          <w:lang w:val="en-US"/>
        </w:rPr>
      </w:pPr>
      <w:r w:rsidRPr="0007572B">
        <w:rPr>
          <w:rFonts w:ascii="Arial" w:hAnsi="Arial" w:cs="Arial"/>
          <w:sz w:val="24"/>
          <w:szCs w:val="24"/>
          <w:lang w:val="en-US"/>
        </w:rPr>
        <w:t>Level 2 – inputs other than quoted prices included within Level 1 that are observable for the asset or liability, either directly or indirectly.</w:t>
      </w:r>
    </w:p>
    <w:p w14:paraId="388E746B" w14:textId="77777777" w:rsidR="000E2349" w:rsidRPr="0007572B" w:rsidRDefault="000E2349" w:rsidP="00EB27EB">
      <w:pPr>
        <w:pStyle w:val="ListParagraph"/>
        <w:numPr>
          <w:ilvl w:val="0"/>
          <w:numId w:val="30"/>
        </w:numPr>
        <w:spacing w:line="240" w:lineRule="auto"/>
        <w:rPr>
          <w:rFonts w:ascii="Arial" w:hAnsi="Arial" w:cs="Arial"/>
          <w:sz w:val="24"/>
          <w:szCs w:val="24"/>
          <w:lang w:val="en-US"/>
        </w:rPr>
      </w:pPr>
      <w:r w:rsidRPr="0007572B">
        <w:rPr>
          <w:rFonts w:ascii="Arial" w:hAnsi="Arial" w:cs="Arial"/>
          <w:sz w:val="24"/>
          <w:szCs w:val="24"/>
          <w:lang w:val="en-US"/>
        </w:rPr>
        <w:t>Level 3 – unobservable inputs for the asset or liability.</w:t>
      </w:r>
    </w:p>
    <w:p w14:paraId="4C14F853" w14:textId="77777777" w:rsidR="000E2349" w:rsidRPr="0007572B" w:rsidRDefault="000E2349" w:rsidP="0038082E">
      <w:pPr>
        <w:rPr>
          <w:rFonts w:ascii="Arial" w:hAnsi="Arial" w:cs="Arial"/>
        </w:rPr>
      </w:pPr>
    </w:p>
    <w:p w14:paraId="510562D2" w14:textId="539A5EE4" w:rsidR="00C42CA7" w:rsidRPr="0007572B" w:rsidRDefault="000E2349" w:rsidP="0038082E">
      <w:pPr>
        <w:rPr>
          <w:rFonts w:ascii="Arial" w:hAnsi="Arial" w:cs="Arial"/>
        </w:rPr>
      </w:pPr>
      <w:r w:rsidRPr="0007572B">
        <w:rPr>
          <w:rFonts w:ascii="Arial" w:hAnsi="Arial" w:cs="Arial"/>
        </w:rPr>
        <w:t>Set out below is a comparison by class of the carrying amounts and fair value of the Authority's financial assets and financial liabilities:</w:t>
      </w:r>
    </w:p>
    <w:p w14:paraId="6E0A4284" w14:textId="77777777" w:rsidR="00746C9C" w:rsidRPr="0007572B" w:rsidRDefault="00746C9C" w:rsidP="0038082E">
      <w:pPr>
        <w:rPr>
          <w:rFonts w:ascii="Arial" w:hAnsi="Arial" w:cs="Arial"/>
        </w:rPr>
      </w:pPr>
    </w:p>
    <w:p w14:paraId="6998D316" w14:textId="2737A34E" w:rsidR="00EC0C92" w:rsidRDefault="001A44E2" w:rsidP="0038082E">
      <w:pPr>
        <w:rPr>
          <w:rFonts w:ascii="Arial" w:hAnsi="Arial" w:cs="Arial"/>
          <w:b/>
          <w:sz w:val="22"/>
          <w:szCs w:val="22"/>
        </w:rPr>
      </w:pPr>
      <w:r w:rsidRPr="001A44E2">
        <w:rPr>
          <w:noProof/>
        </w:rPr>
        <w:drawing>
          <wp:inline distT="0" distB="0" distL="0" distR="0" wp14:anchorId="46147E30" wp14:editId="2A19A0D2">
            <wp:extent cx="5975350" cy="2163445"/>
            <wp:effectExtent l="0" t="0" r="6350" b="825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5350" cy="2163445"/>
                    </a:xfrm>
                    <a:prstGeom prst="rect">
                      <a:avLst/>
                    </a:prstGeom>
                    <a:noFill/>
                    <a:ln>
                      <a:noFill/>
                    </a:ln>
                  </pic:spPr>
                </pic:pic>
              </a:graphicData>
            </a:graphic>
          </wp:inline>
        </w:drawing>
      </w:r>
    </w:p>
    <w:p w14:paraId="6571A699" w14:textId="77777777" w:rsidR="00EC0C92" w:rsidRDefault="00EC0C92" w:rsidP="0038082E">
      <w:pPr>
        <w:rPr>
          <w:rFonts w:ascii="Arial" w:hAnsi="Arial" w:cs="Arial"/>
          <w:b/>
          <w:sz w:val="22"/>
          <w:szCs w:val="22"/>
        </w:rPr>
      </w:pPr>
    </w:p>
    <w:p w14:paraId="76BC23B1" w14:textId="77777777" w:rsidR="000E2349" w:rsidRPr="0007572B" w:rsidRDefault="000E2349" w:rsidP="0038082E">
      <w:pPr>
        <w:rPr>
          <w:rFonts w:ascii="Arial" w:hAnsi="Arial" w:cs="Arial"/>
        </w:rPr>
      </w:pPr>
      <w:r w:rsidRPr="0007572B">
        <w:rPr>
          <w:rFonts w:ascii="Arial" w:hAnsi="Arial" w:cs="Arial"/>
        </w:rPr>
        <w:t xml:space="preserve">The fair values disclosed in the table above have been assessed using the following assumptions: </w:t>
      </w:r>
    </w:p>
    <w:p w14:paraId="2AB22DFF" w14:textId="77777777" w:rsidR="000E2349" w:rsidRPr="0007572B" w:rsidRDefault="000E2349" w:rsidP="0038082E">
      <w:pPr>
        <w:rPr>
          <w:rFonts w:ascii="Arial" w:hAnsi="Arial" w:cs="Arial"/>
        </w:rPr>
      </w:pPr>
    </w:p>
    <w:p w14:paraId="109B4A4F" w14:textId="2E2D647C" w:rsidR="000E2349" w:rsidRDefault="000E2349" w:rsidP="00EB27EB">
      <w:pPr>
        <w:pStyle w:val="Normal0"/>
        <w:numPr>
          <w:ilvl w:val="0"/>
          <w:numId w:val="37"/>
        </w:numPr>
        <w:spacing w:after="120" w:line="240" w:lineRule="auto"/>
        <w:ind w:left="714" w:hanging="357"/>
        <w:rPr>
          <w:rFonts w:ascii="Arial" w:eastAsia="Verdana" w:hAnsi="Arial" w:cs="Arial"/>
          <w:sz w:val="24"/>
          <w:szCs w:val="24"/>
          <w:lang w:val="en-GB"/>
        </w:rPr>
      </w:pPr>
      <w:r w:rsidRPr="00CA26F7">
        <w:rPr>
          <w:rFonts w:ascii="Arial" w:eastAsia="Verdana" w:hAnsi="Arial" w:cs="Arial"/>
          <w:sz w:val="24"/>
          <w:szCs w:val="24"/>
          <w:lang w:val="en-GB"/>
        </w:rPr>
        <w:t>The Authority holds £</w:t>
      </w:r>
      <w:r w:rsidR="00350F78" w:rsidRPr="00CA26F7">
        <w:rPr>
          <w:rFonts w:ascii="Arial" w:eastAsia="Verdana" w:hAnsi="Arial" w:cs="Arial"/>
          <w:sz w:val="24"/>
          <w:szCs w:val="24"/>
          <w:lang w:val="en-GB"/>
        </w:rPr>
        <w:t>40</w:t>
      </w:r>
      <w:r w:rsidR="00951938">
        <w:rPr>
          <w:rFonts w:ascii="Arial" w:eastAsia="Verdana" w:hAnsi="Arial" w:cs="Arial"/>
          <w:sz w:val="24"/>
          <w:szCs w:val="24"/>
          <w:lang w:val="en-GB"/>
        </w:rPr>
        <w:t>.</w:t>
      </w:r>
      <w:r w:rsidR="00350F78" w:rsidRPr="00CA26F7">
        <w:rPr>
          <w:rFonts w:ascii="Arial" w:eastAsia="Verdana" w:hAnsi="Arial" w:cs="Arial"/>
          <w:sz w:val="24"/>
          <w:szCs w:val="24"/>
          <w:lang w:val="en-GB"/>
        </w:rPr>
        <w:t>766m</w:t>
      </w:r>
      <w:r w:rsidRPr="00CA26F7">
        <w:rPr>
          <w:rFonts w:ascii="Arial" w:eastAsia="Verdana" w:hAnsi="Arial" w:cs="Arial"/>
          <w:sz w:val="24"/>
          <w:szCs w:val="24"/>
          <w:lang w:val="en-GB"/>
        </w:rPr>
        <w:t xml:space="preserve"> in equity investments for a number of businesses that previously held loans plus other direct investments in </w:t>
      </w:r>
      <w:r w:rsidR="00126BFE" w:rsidRPr="00CA26F7">
        <w:rPr>
          <w:rFonts w:ascii="Arial" w:eastAsia="Verdana" w:hAnsi="Arial" w:cs="Arial"/>
          <w:sz w:val="24"/>
          <w:szCs w:val="24"/>
          <w:lang w:val="en-GB"/>
        </w:rPr>
        <w:t>2021/22</w:t>
      </w:r>
      <w:r w:rsidRPr="00CA26F7">
        <w:rPr>
          <w:rFonts w:ascii="Arial" w:eastAsia="Verdana" w:hAnsi="Arial" w:cs="Arial"/>
          <w:sz w:val="24"/>
          <w:szCs w:val="24"/>
          <w:lang w:val="en-GB"/>
        </w:rPr>
        <w:t xml:space="preserve">. These shares are not traded in active markets. The shares are valued based on level 2 - observable input data from the companies, such as latest filed accounts and management accounting reports. </w:t>
      </w:r>
    </w:p>
    <w:p w14:paraId="4C983EB7" w14:textId="4830968F" w:rsidR="003D2CD5" w:rsidRPr="00CA26F7" w:rsidRDefault="003D2CD5" w:rsidP="00EB27EB">
      <w:pPr>
        <w:pStyle w:val="Normal0"/>
        <w:numPr>
          <w:ilvl w:val="0"/>
          <w:numId w:val="37"/>
        </w:numPr>
        <w:spacing w:after="120" w:line="240" w:lineRule="auto"/>
        <w:ind w:left="714" w:hanging="357"/>
        <w:rPr>
          <w:rFonts w:ascii="Arial" w:eastAsia="Verdana" w:hAnsi="Arial" w:cs="Arial"/>
          <w:sz w:val="24"/>
          <w:szCs w:val="24"/>
          <w:lang w:val="en-GB"/>
        </w:rPr>
      </w:pPr>
      <w:r w:rsidRPr="003D2CD5">
        <w:rPr>
          <w:rFonts w:ascii="Arial" w:eastAsia="Verdana" w:hAnsi="Arial" w:cs="Arial"/>
          <w:sz w:val="24"/>
          <w:szCs w:val="24"/>
          <w:lang w:val="en-GB"/>
        </w:rPr>
        <w:t>Equity investments are held at Fair Value through Other Comprehensive Income; they meet the requirements of the CIPFA code to be designated this way as they are strategic investments and not held for trading purposes</w:t>
      </w:r>
      <w:r>
        <w:rPr>
          <w:rFonts w:ascii="Arial" w:eastAsia="Verdana" w:hAnsi="Arial" w:cs="Arial"/>
          <w:sz w:val="24"/>
          <w:szCs w:val="24"/>
          <w:lang w:val="en-GB"/>
        </w:rPr>
        <w:t>.</w:t>
      </w:r>
    </w:p>
    <w:p w14:paraId="7E535D25" w14:textId="09F28219" w:rsidR="000E2349" w:rsidRPr="00CA26F7" w:rsidRDefault="000E2349" w:rsidP="00EB27EB">
      <w:pPr>
        <w:pStyle w:val="Normal0"/>
        <w:numPr>
          <w:ilvl w:val="0"/>
          <w:numId w:val="37"/>
        </w:numPr>
        <w:spacing w:after="120" w:line="240" w:lineRule="auto"/>
        <w:ind w:left="714" w:hanging="357"/>
        <w:rPr>
          <w:rFonts w:ascii="Arial" w:hAnsi="Arial" w:cs="Arial"/>
          <w:sz w:val="24"/>
          <w:szCs w:val="24"/>
        </w:rPr>
      </w:pPr>
      <w:r w:rsidRPr="00CA26F7">
        <w:rPr>
          <w:rFonts w:ascii="Arial" w:eastAsia="Verdana" w:hAnsi="Arial" w:cs="Arial"/>
          <w:sz w:val="24"/>
          <w:szCs w:val="24"/>
          <w:lang w:val="en-GB"/>
        </w:rPr>
        <w:t>There have been no transfers between input levels or changes in valuation techniques during</w:t>
      </w:r>
      <w:r w:rsidRPr="00CA26F7">
        <w:rPr>
          <w:rFonts w:ascii="Arial" w:hAnsi="Arial" w:cs="Arial"/>
          <w:sz w:val="24"/>
          <w:szCs w:val="24"/>
        </w:rPr>
        <w:t xml:space="preserve"> </w:t>
      </w:r>
      <w:r w:rsidR="00126BFE" w:rsidRPr="00CA26F7">
        <w:rPr>
          <w:rFonts w:ascii="Arial" w:hAnsi="Arial" w:cs="Arial"/>
          <w:sz w:val="24"/>
          <w:szCs w:val="24"/>
        </w:rPr>
        <w:t>2021/22</w:t>
      </w:r>
      <w:r w:rsidRPr="00CA26F7">
        <w:rPr>
          <w:rFonts w:ascii="Arial" w:hAnsi="Arial" w:cs="Arial"/>
          <w:sz w:val="24"/>
          <w:szCs w:val="24"/>
        </w:rPr>
        <w:t xml:space="preserve"> for this class of asset.</w:t>
      </w:r>
    </w:p>
    <w:p w14:paraId="4D8787CC" w14:textId="1D8E3293" w:rsidR="000E2349" w:rsidRPr="00CA26F7" w:rsidRDefault="000E2349" w:rsidP="00EB27EB">
      <w:pPr>
        <w:pStyle w:val="Normal0"/>
        <w:numPr>
          <w:ilvl w:val="0"/>
          <w:numId w:val="37"/>
        </w:numPr>
        <w:spacing w:after="120" w:line="240" w:lineRule="auto"/>
        <w:ind w:left="714" w:hanging="357"/>
        <w:rPr>
          <w:rFonts w:ascii="Arial" w:eastAsia="Verdana" w:hAnsi="Arial" w:cs="Arial"/>
          <w:sz w:val="24"/>
          <w:szCs w:val="24"/>
          <w:lang w:val="en-GB"/>
        </w:rPr>
      </w:pPr>
      <w:r w:rsidRPr="00CA26F7">
        <w:rPr>
          <w:rFonts w:ascii="Arial" w:eastAsia="Verdana" w:hAnsi="Arial" w:cs="Arial"/>
          <w:sz w:val="24"/>
          <w:szCs w:val="24"/>
          <w:lang w:val="en-GB"/>
        </w:rPr>
        <w:t xml:space="preserve">The fair value of cash and cash equivalents, short-term debtors and short-term creditors is taken to be their carrying amount as this is deemed to provide a reasonable approximation in accordance with the </w:t>
      </w:r>
      <w:r w:rsidR="00F802A8" w:rsidRPr="00CA26F7">
        <w:rPr>
          <w:rFonts w:ascii="Arial" w:eastAsia="Verdana" w:hAnsi="Arial" w:cs="Arial"/>
          <w:sz w:val="24"/>
          <w:szCs w:val="24"/>
          <w:lang w:val="en-GB"/>
        </w:rPr>
        <w:t>CIPFA</w:t>
      </w:r>
      <w:r w:rsidRPr="00CA26F7">
        <w:rPr>
          <w:rFonts w:ascii="Arial" w:eastAsia="Verdana" w:hAnsi="Arial" w:cs="Arial"/>
          <w:sz w:val="24"/>
          <w:szCs w:val="24"/>
          <w:lang w:val="en-GB"/>
        </w:rPr>
        <w:t xml:space="preserve"> Code of Practice.</w:t>
      </w:r>
    </w:p>
    <w:p w14:paraId="79C37A66" w14:textId="6BFA0812" w:rsidR="000E2349" w:rsidRPr="00CA26F7" w:rsidRDefault="00B55523" w:rsidP="00EB27EB">
      <w:pPr>
        <w:pStyle w:val="Normal0"/>
        <w:numPr>
          <w:ilvl w:val="0"/>
          <w:numId w:val="37"/>
        </w:numPr>
        <w:spacing w:after="120" w:line="240" w:lineRule="auto"/>
        <w:ind w:left="714" w:hanging="357"/>
        <w:rPr>
          <w:rFonts w:ascii="Arial" w:eastAsia="Verdana" w:hAnsi="Arial" w:cs="Arial"/>
          <w:sz w:val="24"/>
          <w:szCs w:val="24"/>
          <w:lang w:val="en-GB"/>
        </w:rPr>
      </w:pPr>
      <w:r w:rsidRPr="00CA26F7">
        <w:rPr>
          <w:rFonts w:ascii="Arial" w:eastAsia="Verdana" w:hAnsi="Arial" w:cs="Arial"/>
          <w:sz w:val="24"/>
          <w:szCs w:val="24"/>
          <w:lang w:val="en-GB"/>
        </w:rPr>
        <w:t xml:space="preserve">The fair value of soft loan short-term and long-term debtors has been calculated using an interest rate arrived at by taking the </w:t>
      </w:r>
      <w:r w:rsidR="00D952FE" w:rsidRPr="00CA26F7">
        <w:rPr>
          <w:rFonts w:ascii="Arial" w:eastAsia="Verdana" w:hAnsi="Arial" w:cs="Arial"/>
          <w:sz w:val="24"/>
          <w:szCs w:val="24"/>
          <w:lang w:val="en-GB"/>
        </w:rPr>
        <w:t>A</w:t>
      </w:r>
      <w:r w:rsidRPr="00CA26F7">
        <w:rPr>
          <w:rFonts w:ascii="Arial" w:eastAsia="Verdana" w:hAnsi="Arial" w:cs="Arial"/>
          <w:sz w:val="24"/>
          <w:szCs w:val="24"/>
          <w:lang w:val="en-GB"/>
        </w:rPr>
        <w:t>uthority’s prevailing cost of borrowing and adding an allowance for the risk that the loans might not be repaid.</w:t>
      </w:r>
    </w:p>
    <w:p w14:paraId="696882C3" w14:textId="416942AF" w:rsidR="00B55523" w:rsidRPr="00CA26F7" w:rsidRDefault="00B55523" w:rsidP="00EB27EB">
      <w:pPr>
        <w:pStyle w:val="Normal0"/>
        <w:numPr>
          <w:ilvl w:val="0"/>
          <w:numId w:val="37"/>
        </w:numPr>
        <w:spacing w:after="120" w:line="240" w:lineRule="auto"/>
        <w:ind w:left="714" w:hanging="357"/>
        <w:rPr>
          <w:rFonts w:ascii="Arial" w:eastAsia="Verdana" w:hAnsi="Arial" w:cs="Arial"/>
          <w:sz w:val="24"/>
          <w:szCs w:val="24"/>
          <w:lang w:val="en-GB"/>
        </w:rPr>
      </w:pPr>
      <w:r w:rsidRPr="00CA26F7">
        <w:rPr>
          <w:rFonts w:ascii="Arial" w:eastAsia="Verdana" w:hAnsi="Arial" w:cs="Arial"/>
          <w:sz w:val="24"/>
          <w:szCs w:val="24"/>
          <w:lang w:val="en-GB"/>
        </w:rPr>
        <w:lastRenderedPageBreak/>
        <w:t>The fair value of other long-term debtors has been evaluated and where these relate to loan advances greater than £3m, prevailing benchmark market rates have been applied to provide the fair value. All other long-term debtors are included at their carrying value</w:t>
      </w:r>
      <w:r w:rsidR="00D024DF" w:rsidRPr="00CA26F7">
        <w:rPr>
          <w:rFonts w:ascii="Arial" w:eastAsia="Verdana" w:hAnsi="Arial" w:cs="Arial"/>
          <w:sz w:val="24"/>
          <w:szCs w:val="24"/>
          <w:lang w:val="en-GB"/>
        </w:rPr>
        <w:t>.</w:t>
      </w:r>
    </w:p>
    <w:p w14:paraId="54829931" w14:textId="33824919" w:rsidR="000E2349" w:rsidRPr="0007572B" w:rsidRDefault="000E2349" w:rsidP="00EB27EB">
      <w:pPr>
        <w:pStyle w:val="Normal0"/>
        <w:numPr>
          <w:ilvl w:val="0"/>
          <w:numId w:val="37"/>
        </w:numPr>
        <w:spacing w:after="120" w:line="240" w:lineRule="auto"/>
        <w:ind w:left="714" w:hanging="357"/>
        <w:rPr>
          <w:rFonts w:ascii="Arial" w:eastAsia="Verdana" w:hAnsi="Arial" w:cs="Arial"/>
          <w:sz w:val="24"/>
          <w:szCs w:val="24"/>
          <w:lang w:val="en-GB"/>
        </w:rPr>
      </w:pPr>
      <w:r w:rsidRPr="0007572B">
        <w:rPr>
          <w:rFonts w:ascii="Arial" w:eastAsia="Verdana" w:hAnsi="Arial" w:cs="Arial"/>
          <w:sz w:val="24"/>
          <w:szCs w:val="24"/>
          <w:lang w:val="en-GB"/>
        </w:rPr>
        <w:t xml:space="preserve">Fair value for PFI schemes cannot be obtained as there is no comparable information </w:t>
      </w:r>
      <w:r w:rsidR="0022418C" w:rsidRPr="0007572B">
        <w:rPr>
          <w:rFonts w:ascii="Arial" w:eastAsia="Verdana" w:hAnsi="Arial" w:cs="Arial"/>
          <w:sz w:val="24"/>
          <w:szCs w:val="24"/>
          <w:lang w:val="en-GB"/>
        </w:rPr>
        <w:t>available,</w:t>
      </w:r>
      <w:r w:rsidRPr="0007572B">
        <w:rPr>
          <w:rFonts w:ascii="Arial" w:eastAsia="Verdana" w:hAnsi="Arial" w:cs="Arial"/>
          <w:sz w:val="24"/>
          <w:szCs w:val="24"/>
          <w:lang w:val="en-GB"/>
        </w:rPr>
        <w:t xml:space="preserve"> and these have therefore been shown at cost.</w:t>
      </w:r>
    </w:p>
    <w:p w14:paraId="5D23948B" w14:textId="3C724BBE" w:rsidR="000E2349" w:rsidRPr="0007572B" w:rsidRDefault="000E2349" w:rsidP="00EB27EB">
      <w:pPr>
        <w:pStyle w:val="Normal0"/>
        <w:numPr>
          <w:ilvl w:val="0"/>
          <w:numId w:val="37"/>
        </w:numPr>
        <w:spacing w:after="120" w:line="240" w:lineRule="auto"/>
        <w:ind w:left="714" w:hanging="357"/>
        <w:rPr>
          <w:rFonts w:ascii="Arial" w:eastAsia="Verdana" w:hAnsi="Arial" w:cs="Arial"/>
          <w:sz w:val="24"/>
          <w:szCs w:val="24"/>
          <w:lang w:val="en-GB"/>
        </w:rPr>
      </w:pPr>
      <w:r w:rsidRPr="0007572B">
        <w:rPr>
          <w:rFonts w:ascii="Arial" w:eastAsia="Verdana" w:hAnsi="Arial" w:cs="Arial"/>
          <w:sz w:val="24"/>
          <w:szCs w:val="24"/>
          <w:lang w:val="en-GB"/>
        </w:rPr>
        <w:t xml:space="preserve">PWLB loans – premature repayment loan rates from the PWLB have been applied to provide the fair value. In comparison, by applying PWLB new loan rates their fair value would be </w:t>
      </w:r>
      <w:r w:rsidRPr="00A2072D">
        <w:rPr>
          <w:rFonts w:ascii="Arial" w:eastAsia="Verdana" w:hAnsi="Arial" w:cs="Arial"/>
          <w:sz w:val="24"/>
          <w:szCs w:val="24"/>
          <w:lang w:val="en-GB"/>
        </w:rPr>
        <w:t>£</w:t>
      </w:r>
      <w:r w:rsidR="00114D57" w:rsidRPr="00A2072D">
        <w:rPr>
          <w:rFonts w:ascii="Arial" w:eastAsia="Verdana" w:hAnsi="Arial" w:cs="Arial"/>
          <w:sz w:val="24"/>
          <w:szCs w:val="24"/>
          <w:lang w:val="en-GB"/>
        </w:rPr>
        <w:t>682</w:t>
      </w:r>
      <w:r w:rsidR="003F1F09" w:rsidRPr="00A2072D">
        <w:rPr>
          <w:rFonts w:ascii="Arial" w:eastAsia="Verdana" w:hAnsi="Arial" w:cs="Arial"/>
          <w:sz w:val="24"/>
          <w:szCs w:val="24"/>
          <w:lang w:val="en-GB"/>
        </w:rPr>
        <w:t>.</w:t>
      </w:r>
      <w:r w:rsidR="00114D57" w:rsidRPr="00A2072D">
        <w:rPr>
          <w:rFonts w:ascii="Arial" w:eastAsia="Verdana" w:hAnsi="Arial" w:cs="Arial"/>
          <w:sz w:val="24"/>
          <w:szCs w:val="24"/>
          <w:lang w:val="en-GB"/>
        </w:rPr>
        <w:t>266</w:t>
      </w:r>
      <w:r w:rsidR="003F1F09" w:rsidRPr="00A2072D">
        <w:rPr>
          <w:rFonts w:ascii="Arial" w:eastAsia="Verdana" w:hAnsi="Arial" w:cs="Arial"/>
          <w:sz w:val="24"/>
          <w:szCs w:val="24"/>
          <w:lang w:val="en-GB"/>
        </w:rPr>
        <w:t>m</w:t>
      </w:r>
      <w:r w:rsidRPr="00A2072D">
        <w:rPr>
          <w:rFonts w:ascii="Arial" w:eastAsia="Verdana" w:hAnsi="Arial" w:cs="Arial"/>
          <w:sz w:val="24"/>
          <w:szCs w:val="24"/>
          <w:lang w:val="en-GB"/>
        </w:rPr>
        <w:t>.</w:t>
      </w:r>
    </w:p>
    <w:p w14:paraId="47B91AC7" w14:textId="678B5657" w:rsidR="000E2349" w:rsidRDefault="000E2349" w:rsidP="00EB27EB">
      <w:pPr>
        <w:pStyle w:val="Normal0"/>
        <w:numPr>
          <w:ilvl w:val="0"/>
          <w:numId w:val="37"/>
        </w:numPr>
        <w:spacing w:line="240" w:lineRule="auto"/>
        <w:rPr>
          <w:rFonts w:ascii="Arial" w:eastAsia="Verdana" w:hAnsi="Arial" w:cs="Arial"/>
          <w:sz w:val="24"/>
          <w:szCs w:val="24"/>
          <w:lang w:val="en-GB"/>
        </w:rPr>
      </w:pPr>
      <w:r w:rsidRPr="0007572B">
        <w:rPr>
          <w:rFonts w:ascii="Arial" w:eastAsia="Verdana" w:hAnsi="Arial" w:cs="Arial"/>
          <w:sz w:val="24"/>
          <w:szCs w:val="24"/>
          <w:lang w:val="en-GB"/>
        </w:rPr>
        <w:t xml:space="preserve">Non-PWLB loans – premature repayment loan rates from the PWLB have been applied to provide the fair value. In comparison, by applying PWLB new loan rates their fair value would be </w:t>
      </w:r>
      <w:r w:rsidRPr="00A2072D">
        <w:rPr>
          <w:rFonts w:ascii="Arial" w:eastAsia="Verdana" w:hAnsi="Arial" w:cs="Arial"/>
          <w:sz w:val="24"/>
          <w:szCs w:val="24"/>
          <w:lang w:val="en-GB"/>
        </w:rPr>
        <w:t>£</w:t>
      </w:r>
      <w:r w:rsidR="003F1F09" w:rsidRPr="00A2072D">
        <w:rPr>
          <w:rFonts w:ascii="Arial" w:eastAsia="Verdana" w:hAnsi="Arial" w:cs="Arial"/>
          <w:sz w:val="24"/>
          <w:szCs w:val="24"/>
          <w:lang w:val="en-GB"/>
        </w:rPr>
        <w:t>1,</w:t>
      </w:r>
      <w:r w:rsidR="00114D57" w:rsidRPr="00A2072D">
        <w:rPr>
          <w:rFonts w:ascii="Arial" w:eastAsia="Verdana" w:hAnsi="Arial" w:cs="Arial"/>
          <w:sz w:val="24"/>
          <w:szCs w:val="24"/>
          <w:lang w:val="en-GB"/>
        </w:rPr>
        <w:t>003</w:t>
      </w:r>
      <w:r w:rsidR="003F1F09" w:rsidRPr="00A2072D">
        <w:rPr>
          <w:rFonts w:ascii="Arial" w:eastAsia="Verdana" w:hAnsi="Arial" w:cs="Arial"/>
          <w:sz w:val="24"/>
          <w:szCs w:val="24"/>
          <w:lang w:val="en-GB"/>
        </w:rPr>
        <w:t>.</w:t>
      </w:r>
      <w:r w:rsidR="00114D57" w:rsidRPr="00A2072D">
        <w:rPr>
          <w:rFonts w:ascii="Arial" w:eastAsia="Verdana" w:hAnsi="Arial" w:cs="Arial"/>
          <w:sz w:val="24"/>
          <w:szCs w:val="24"/>
          <w:lang w:val="en-GB"/>
        </w:rPr>
        <w:t>138</w:t>
      </w:r>
      <w:r w:rsidR="003F1F09" w:rsidRPr="00A2072D">
        <w:rPr>
          <w:rFonts w:ascii="Arial" w:eastAsia="Verdana" w:hAnsi="Arial" w:cs="Arial"/>
          <w:sz w:val="24"/>
          <w:szCs w:val="24"/>
          <w:lang w:val="en-GB"/>
        </w:rPr>
        <w:t>m</w:t>
      </w:r>
      <w:r w:rsidRPr="00A2072D">
        <w:rPr>
          <w:rFonts w:ascii="Arial" w:eastAsia="Verdana" w:hAnsi="Arial" w:cs="Arial"/>
          <w:sz w:val="24"/>
          <w:szCs w:val="24"/>
          <w:lang w:val="en-GB"/>
        </w:rPr>
        <w:t>.</w:t>
      </w:r>
    </w:p>
    <w:p w14:paraId="30445641" w14:textId="77777777" w:rsidR="00CF101C" w:rsidRPr="0007572B" w:rsidRDefault="00CF101C" w:rsidP="006219CE">
      <w:pPr>
        <w:pStyle w:val="Normal0"/>
        <w:spacing w:line="240" w:lineRule="auto"/>
        <w:ind w:left="720"/>
        <w:rPr>
          <w:rFonts w:ascii="Arial" w:eastAsia="Verdana" w:hAnsi="Arial" w:cs="Arial"/>
          <w:sz w:val="24"/>
          <w:szCs w:val="24"/>
          <w:lang w:val="en-GB"/>
        </w:rPr>
      </w:pPr>
    </w:p>
    <w:p w14:paraId="2B0CADC5" w14:textId="77777777" w:rsidR="000E2349" w:rsidRPr="0007572B" w:rsidRDefault="000E2349" w:rsidP="00EB27EB">
      <w:pPr>
        <w:pStyle w:val="Normal0"/>
        <w:numPr>
          <w:ilvl w:val="0"/>
          <w:numId w:val="37"/>
        </w:numPr>
        <w:spacing w:line="240" w:lineRule="auto"/>
        <w:rPr>
          <w:rFonts w:ascii="Arial" w:eastAsia="Verdana" w:hAnsi="Arial" w:cs="Arial"/>
          <w:sz w:val="24"/>
          <w:szCs w:val="24"/>
          <w:lang w:val="en-GB"/>
        </w:rPr>
      </w:pPr>
      <w:r w:rsidRPr="0007572B">
        <w:rPr>
          <w:rFonts w:ascii="Arial" w:eastAsia="Verdana" w:hAnsi="Arial" w:cs="Arial"/>
          <w:sz w:val="24"/>
          <w:szCs w:val="24"/>
          <w:lang w:val="en-GB"/>
        </w:rPr>
        <w:t>The valuation techniques used for PWLB and non-PWLB debt are level 2 –observable inputs. There have been no changes in valuation technique during the financial year.</w:t>
      </w:r>
    </w:p>
    <w:p w14:paraId="7D8753A0" w14:textId="77777777" w:rsidR="000E2349" w:rsidRPr="0007572B" w:rsidRDefault="000E2349" w:rsidP="0038082E">
      <w:pPr>
        <w:pStyle w:val="Normal0"/>
        <w:spacing w:line="240" w:lineRule="auto"/>
        <w:ind w:left="720" w:hanging="720"/>
        <w:rPr>
          <w:rFonts w:ascii="Arial" w:eastAsia="Verdana" w:hAnsi="Arial" w:cs="Arial"/>
          <w:sz w:val="24"/>
          <w:szCs w:val="24"/>
          <w:lang w:val="en-GB"/>
        </w:rPr>
      </w:pPr>
    </w:p>
    <w:p w14:paraId="4BA01796" w14:textId="4EF68536" w:rsidR="000E2349" w:rsidRPr="0007572B" w:rsidRDefault="000E2349" w:rsidP="0038082E">
      <w:pPr>
        <w:pStyle w:val="Normal0"/>
        <w:spacing w:line="240" w:lineRule="auto"/>
        <w:rPr>
          <w:rFonts w:ascii="Arial" w:eastAsia="Verdana" w:hAnsi="Arial" w:cs="Arial"/>
          <w:sz w:val="24"/>
          <w:szCs w:val="24"/>
          <w:lang w:val="en-GB"/>
        </w:rPr>
      </w:pPr>
      <w:r w:rsidRPr="0007572B">
        <w:rPr>
          <w:rFonts w:ascii="Arial" w:eastAsia="Verdana" w:hAnsi="Arial" w:cs="Arial"/>
          <w:sz w:val="24"/>
          <w:szCs w:val="24"/>
          <w:lang w:val="en-GB"/>
        </w:rPr>
        <w:t>The purpose of the fair value disclosure is primarily to provide a comparison with the carrying value, which includes accrued interest as at the balance sheet date. The Authority has therefore included accrued interest in the fair value calculation.</w:t>
      </w:r>
    </w:p>
    <w:p w14:paraId="57B5B613" w14:textId="77777777" w:rsidR="000E2349" w:rsidRPr="0007572B" w:rsidRDefault="000E2349" w:rsidP="0038082E">
      <w:pPr>
        <w:pStyle w:val="Normal0"/>
        <w:spacing w:line="240" w:lineRule="auto"/>
        <w:ind w:left="720" w:hanging="720"/>
        <w:rPr>
          <w:rFonts w:ascii="Arial" w:eastAsia="Verdana" w:hAnsi="Arial" w:cs="Arial"/>
          <w:sz w:val="24"/>
          <w:szCs w:val="24"/>
          <w:lang w:val="en-GB"/>
        </w:rPr>
      </w:pPr>
      <w:r w:rsidRPr="0007572B">
        <w:rPr>
          <w:rFonts w:ascii="Arial" w:eastAsia="Verdana" w:hAnsi="Arial" w:cs="Arial"/>
          <w:sz w:val="24"/>
          <w:szCs w:val="24"/>
          <w:lang w:val="en-GB"/>
        </w:rPr>
        <w:tab/>
      </w:r>
    </w:p>
    <w:p w14:paraId="7116D5E9" w14:textId="5DCA699D" w:rsidR="000E2349" w:rsidRPr="0007572B" w:rsidRDefault="000E2349" w:rsidP="0038082E">
      <w:pPr>
        <w:pStyle w:val="Normal0"/>
        <w:spacing w:line="240" w:lineRule="auto"/>
        <w:rPr>
          <w:rFonts w:ascii="Arial" w:eastAsia="Verdana" w:hAnsi="Arial" w:cs="Arial"/>
          <w:sz w:val="24"/>
          <w:szCs w:val="24"/>
          <w:lang w:val="en-GB"/>
        </w:rPr>
      </w:pPr>
      <w:r w:rsidRPr="0007572B">
        <w:rPr>
          <w:rFonts w:ascii="Arial" w:eastAsia="Verdana" w:hAnsi="Arial" w:cs="Arial"/>
          <w:sz w:val="24"/>
          <w:szCs w:val="24"/>
          <w:lang w:val="en-GB"/>
        </w:rPr>
        <w:t>The discount rates used for the evaluation were obtained by the Authority from Link Asset Services. The Link Asset Group is a leading and independent provider of capital financing, treasury advisory and strategic advisory consulting services to the public sector.</w:t>
      </w:r>
    </w:p>
    <w:p w14:paraId="141931C6" w14:textId="77777777" w:rsidR="000E2349" w:rsidRPr="0007572B" w:rsidRDefault="000E2349" w:rsidP="0038082E">
      <w:pPr>
        <w:pStyle w:val="Normal0"/>
        <w:spacing w:line="240" w:lineRule="auto"/>
        <w:rPr>
          <w:rFonts w:ascii="Arial" w:eastAsia="Verdana" w:hAnsi="Arial" w:cs="Arial"/>
          <w:sz w:val="24"/>
          <w:szCs w:val="24"/>
          <w:lang w:val="en-GB"/>
        </w:rPr>
      </w:pPr>
    </w:p>
    <w:p w14:paraId="31DDE2F0" w14:textId="47C59544" w:rsidR="00EB27EB" w:rsidRDefault="000E2349">
      <w:pPr>
        <w:rPr>
          <w:rFonts w:ascii="Arial" w:hAnsi="Arial" w:cs="Arial"/>
        </w:rPr>
      </w:pPr>
      <w:r w:rsidRPr="0007572B">
        <w:rPr>
          <w:rFonts w:ascii="Arial" w:eastAsia="Verdana" w:hAnsi="Arial" w:cs="Arial"/>
        </w:rPr>
        <w:t>Assumptions used, which do not have a material effect on the fair value evaluation are: interest is calculated using a 365 day basis; interest is paid on the maturity date; no adjustment is made to the interest value and date where a relevant date occurs on a non-working day.</w:t>
      </w:r>
      <w:r w:rsidR="00EB27EB">
        <w:rPr>
          <w:rFonts w:ascii="Arial" w:hAnsi="Arial" w:cs="Arial"/>
        </w:rPr>
        <w:br w:type="page"/>
      </w:r>
    </w:p>
    <w:p w14:paraId="6B9EA7C6" w14:textId="553D75D2" w:rsidR="002B3C1D" w:rsidRDefault="000E2349" w:rsidP="0038082E">
      <w:pPr>
        <w:rPr>
          <w:rFonts w:ascii="Arial" w:hAnsi="Arial" w:cs="Arial"/>
        </w:rPr>
      </w:pPr>
      <w:r w:rsidRPr="0007572B">
        <w:rPr>
          <w:rFonts w:ascii="Arial" w:hAnsi="Arial" w:cs="Arial"/>
        </w:rPr>
        <w:lastRenderedPageBreak/>
        <w:t>Loans and Borrowings are set out by type of loan and by maturity in the table below:</w:t>
      </w:r>
    </w:p>
    <w:p w14:paraId="77677A2E" w14:textId="33216540" w:rsidR="00D4492C" w:rsidRDefault="00D4492C" w:rsidP="0038082E">
      <w:pPr>
        <w:rPr>
          <w:rFonts w:ascii="Arial" w:hAnsi="Arial" w:cs="Arial"/>
        </w:rPr>
      </w:pPr>
    </w:p>
    <w:p w14:paraId="233617C0" w14:textId="7A9FFC3F" w:rsidR="000E5109" w:rsidRPr="0007572B" w:rsidRDefault="000E5109" w:rsidP="0038082E">
      <w:pPr>
        <w:rPr>
          <w:rFonts w:ascii="Arial" w:hAnsi="Arial" w:cs="Arial"/>
        </w:rPr>
      </w:pPr>
      <w:r w:rsidRPr="000E5109">
        <w:rPr>
          <w:noProof/>
        </w:rPr>
        <w:drawing>
          <wp:inline distT="0" distB="0" distL="0" distR="0" wp14:anchorId="7F97EF50" wp14:editId="6B78D1F7">
            <wp:extent cx="5975350" cy="4333875"/>
            <wp:effectExtent l="0" t="0" r="635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5350" cy="4333875"/>
                    </a:xfrm>
                    <a:prstGeom prst="rect">
                      <a:avLst/>
                    </a:prstGeom>
                    <a:noFill/>
                    <a:ln>
                      <a:noFill/>
                    </a:ln>
                  </pic:spPr>
                </pic:pic>
              </a:graphicData>
            </a:graphic>
          </wp:inline>
        </w:drawing>
      </w:r>
    </w:p>
    <w:p w14:paraId="5BB90A61" w14:textId="46037614" w:rsidR="00C70967" w:rsidRDefault="00C70967" w:rsidP="0038082E">
      <w:pPr>
        <w:jc w:val="both"/>
        <w:rPr>
          <w:rFonts w:ascii="Arial" w:hAnsi="Arial" w:cs="Arial"/>
          <w:b/>
          <w:sz w:val="22"/>
          <w:szCs w:val="22"/>
        </w:rPr>
      </w:pPr>
    </w:p>
    <w:p w14:paraId="0DD5B59C" w14:textId="77777777" w:rsidR="00943897" w:rsidRPr="0007572B" w:rsidRDefault="00943897" w:rsidP="0038082E">
      <w:pPr>
        <w:jc w:val="both"/>
        <w:rPr>
          <w:rFonts w:ascii="Arial" w:hAnsi="Arial" w:cs="Arial"/>
          <w:b/>
          <w:sz w:val="22"/>
          <w:szCs w:val="22"/>
        </w:rPr>
      </w:pPr>
    </w:p>
    <w:p w14:paraId="7C5216BC" w14:textId="242D02B8" w:rsidR="007C64B7" w:rsidRPr="0007572B" w:rsidRDefault="00876B48" w:rsidP="0038082E">
      <w:pPr>
        <w:pStyle w:val="Heading3greennumbered"/>
      </w:pPr>
      <w:bookmarkStart w:id="177" w:name="_Toc92894902"/>
      <w:bookmarkStart w:id="178" w:name="_Toc92895206"/>
      <w:bookmarkStart w:id="179" w:name="_Toc109922640"/>
      <w:r w:rsidRPr="0007572B">
        <w:t>30</w:t>
      </w:r>
      <w:r w:rsidR="004047A3" w:rsidRPr="0007572B">
        <w:t xml:space="preserve"> Nature and Extent of Risks Arising from Financial Instruments</w:t>
      </w:r>
      <w:bookmarkEnd w:id="177"/>
      <w:bookmarkEnd w:id="178"/>
      <w:bookmarkEnd w:id="179"/>
    </w:p>
    <w:p w14:paraId="6261EE7D" w14:textId="77777777" w:rsidR="00D4492C" w:rsidRDefault="00D4492C" w:rsidP="0038082E">
      <w:pPr>
        <w:rPr>
          <w:rFonts w:ascii="Arial" w:eastAsiaTheme="minorHAnsi" w:hAnsi="Arial" w:cs="Arial"/>
        </w:rPr>
      </w:pPr>
    </w:p>
    <w:p w14:paraId="2214F5D2" w14:textId="171A2DF6" w:rsidR="00C802FD" w:rsidRPr="0007572B" w:rsidRDefault="00D4492C" w:rsidP="0038082E">
      <w:pPr>
        <w:spacing w:after="160"/>
        <w:rPr>
          <w:rFonts w:ascii="Arial" w:eastAsiaTheme="minorHAnsi" w:hAnsi="Arial" w:cs="Arial"/>
        </w:rPr>
      </w:pPr>
      <w:r>
        <w:rPr>
          <w:rFonts w:ascii="Arial" w:eastAsiaTheme="minorHAnsi" w:hAnsi="Arial" w:cs="Arial"/>
        </w:rPr>
        <w:t>T</w:t>
      </w:r>
      <w:r w:rsidR="00C802FD" w:rsidRPr="0007572B">
        <w:rPr>
          <w:rFonts w:ascii="Arial" w:eastAsiaTheme="minorHAnsi" w:hAnsi="Arial" w:cs="Arial"/>
        </w:rPr>
        <w:t>he Authority’s activities expose it to a variety of financial risks, the key risks are:</w:t>
      </w:r>
      <w:r w:rsidR="00C802FD" w:rsidRPr="0007572B">
        <w:rPr>
          <w:rFonts w:ascii="Arial" w:eastAsiaTheme="minorHAnsi" w:hAnsi="Arial" w:cs="Arial"/>
        </w:rPr>
        <w:tab/>
      </w:r>
    </w:p>
    <w:p w14:paraId="192736A8" w14:textId="77777777" w:rsidR="00C802FD" w:rsidRPr="0007572B" w:rsidRDefault="00C802FD" w:rsidP="00EB27EB">
      <w:pPr>
        <w:numPr>
          <w:ilvl w:val="0"/>
          <w:numId w:val="7"/>
        </w:numPr>
        <w:spacing w:after="160"/>
        <w:contextualSpacing/>
        <w:rPr>
          <w:rFonts w:ascii="Arial" w:eastAsiaTheme="minorHAnsi" w:hAnsi="Arial" w:cs="Arial"/>
          <w:lang w:eastAsia="en-GB"/>
        </w:rPr>
      </w:pPr>
      <w:r w:rsidRPr="0007572B">
        <w:rPr>
          <w:rFonts w:ascii="Arial" w:eastAsiaTheme="minorHAnsi" w:hAnsi="Arial" w:cs="Arial"/>
          <w:lang w:eastAsia="en-GB"/>
        </w:rPr>
        <w:t>Credit Risk – the possibility that other parties might fail to pay amounts due to the Authority;</w:t>
      </w:r>
    </w:p>
    <w:p w14:paraId="10689BCF" w14:textId="77777777" w:rsidR="00C802FD" w:rsidRPr="0007572B" w:rsidRDefault="00C802FD" w:rsidP="00EB27EB">
      <w:pPr>
        <w:numPr>
          <w:ilvl w:val="0"/>
          <w:numId w:val="7"/>
        </w:numPr>
        <w:spacing w:after="160"/>
        <w:contextualSpacing/>
        <w:rPr>
          <w:rFonts w:ascii="Arial" w:eastAsiaTheme="minorHAnsi" w:hAnsi="Arial" w:cs="Arial"/>
          <w:lang w:eastAsia="en-GB"/>
        </w:rPr>
      </w:pPr>
      <w:r w:rsidRPr="0007572B">
        <w:rPr>
          <w:rFonts w:ascii="Arial" w:eastAsiaTheme="minorHAnsi" w:hAnsi="Arial" w:cs="Arial"/>
          <w:lang w:eastAsia="en-GB"/>
        </w:rPr>
        <w:t>Liquidity Risk – the possibility that the Authority might not have funds available to meet its commitments to make payments;</w:t>
      </w:r>
    </w:p>
    <w:p w14:paraId="182E0056" w14:textId="77777777" w:rsidR="00C802FD" w:rsidRPr="0007572B" w:rsidRDefault="00C802FD" w:rsidP="00EB27EB">
      <w:pPr>
        <w:numPr>
          <w:ilvl w:val="0"/>
          <w:numId w:val="7"/>
        </w:numPr>
        <w:spacing w:after="160"/>
        <w:contextualSpacing/>
        <w:rPr>
          <w:rFonts w:ascii="Arial" w:eastAsiaTheme="minorHAnsi" w:hAnsi="Arial" w:cs="Arial"/>
          <w:lang w:eastAsia="en-GB"/>
        </w:rPr>
      </w:pPr>
      <w:r w:rsidRPr="0007572B">
        <w:rPr>
          <w:rFonts w:ascii="Arial" w:eastAsiaTheme="minorHAnsi" w:hAnsi="Arial" w:cs="Arial"/>
          <w:lang w:eastAsia="en-GB"/>
        </w:rPr>
        <w:t>Re-financing risk – the possibility that the Authority might be requiring to renew a financial instrument on maturity at disadvantageous interest rates or terms;</w:t>
      </w:r>
    </w:p>
    <w:p w14:paraId="37CF9632" w14:textId="25C7372F" w:rsidR="00C802FD" w:rsidRDefault="00C802FD" w:rsidP="00EB27EB">
      <w:pPr>
        <w:numPr>
          <w:ilvl w:val="0"/>
          <w:numId w:val="7"/>
        </w:numPr>
        <w:spacing w:after="160"/>
        <w:contextualSpacing/>
        <w:rPr>
          <w:rFonts w:ascii="Arial" w:eastAsiaTheme="minorHAnsi" w:hAnsi="Arial" w:cs="Arial"/>
          <w:lang w:eastAsia="en-GB"/>
        </w:rPr>
      </w:pPr>
      <w:r w:rsidRPr="0007572B">
        <w:rPr>
          <w:rFonts w:ascii="Arial" w:eastAsiaTheme="minorHAnsi" w:hAnsi="Arial" w:cs="Arial"/>
          <w:lang w:eastAsia="en-GB"/>
        </w:rPr>
        <w:t>Market Risk – the possibility that financial loss might arise for the Authority as a result of changes in such measures as interest rates or stock market movements.</w:t>
      </w:r>
    </w:p>
    <w:p w14:paraId="31C1C36C" w14:textId="77777777" w:rsidR="00C802FD" w:rsidRPr="0007572B" w:rsidRDefault="00C802FD" w:rsidP="0038082E">
      <w:pPr>
        <w:spacing w:after="160"/>
        <w:ind w:left="720"/>
        <w:contextualSpacing/>
        <w:rPr>
          <w:rFonts w:ascii="Arial" w:eastAsiaTheme="minorHAnsi" w:hAnsi="Arial" w:cs="Arial"/>
          <w:lang w:eastAsia="en-GB"/>
        </w:rPr>
      </w:pPr>
    </w:p>
    <w:p w14:paraId="7172D61B" w14:textId="77777777" w:rsidR="00C802FD" w:rsidRPr="0007572B" w:rsidRDefault="00C802FD" w:rsidP="0038082E">
      <w:pPr>
        <w:spacing w:after="160"/>
        <w:rPr>
          <w:rFonts w:ascii="Arial" w:eastAsiaTheme="minorHAnsi" w:hAnsi="Arial" w:cs="Arial"/>
          <w:sz w:val="28"/>
          <w:szCs w:val="28"/>
        </w:rPr>
      </w:pPr>
      <w:r w:rsidRPr="0007572B">
        <w:rPr>
          <w:rFonts w:ascii="Arial" w:eastAsiaTheme="minorHAnsi" w:hAnsi="Arial" w:cs="Arial"/>
        </w:rPr>
        <w:t>The Authority’s overall risk management programme focuses on the unpredictability of financial markets and seeks to minimise potential adverse effects on the resources available to fund services.</w:t>
      </w:r>
    </w:p>
    <w:p w14:paraId="5D8CBBC6" w14:textId="77777777" w:rsidR="00C802FD" w:rsidRPr="0007572B" w:rsidRDefault="00C802FD" w:rsidP="0038082E">
      <w:pPr>
        <w:spacing w:after="160"/>
        <w:rPr>
          <w:rFonts w:ascii="Arial" w:eastAsiaTheme="minorHAnsi" w:hAnsi="Arial" w:cs="Arial"/>
        </w:rPr>
      </w:pPr>
      <w:r w:rsidRPr="0007572B">
        <w:rPr>
          <w:rFonts w:ascii="Arial" w:eastAsiaTheme="minorHAnsi" w:hAnsi="Arial" w:cs="Arial"/>
        </w:rPr>
        <w:t>The procedures for risk management are set out through a legal framework, based on the Local Government Act 2003 and associated regulations. These require the Authority to comply with the CIPFA Prudential Code, the CIPFA Code of Practice on Treasury Management in the Public Services and investment guidance issued through the Act. Overall these procedures require the Authority to manage risk in the following ways:</w:t>
      </w:r>
    </w:p>
    <w:p w14:paraId="7B0C7F68" w14:textId="77777777" w:rsidR="00C802FD" w:rsidRPr="0007572B" w:rsidRDefault="00C802FD" w:rsidP="00EB27EB">
      <w:pPr>
        <w:pStyle w:val="FIBody"/>
        <w:numPr>
          <w:ilvl w:val="0"/>
          <w:numId w:val="48"/>
        </w:numPr>
        <w:spacing w:line="240" w:lineRule="auto"/>
        <w:jc w:val="left"/>
        <w:rPr>
          <w:rFonts w:ascii="Arial" w:hAnsi="Arial"/>
          <w:color w:val="auto"/>
          <w:sz w:val="24"/>
          <w:szCs w:val="24"/>
          <w:lang w:eastAsia="en-GB"/>
        </w:rPr>
      </w:pPr>
      <w:r w:rsidRPr="0007572B">
        <w:rPr>
          <w:rFonts w:ascii="Arial" w:hAnsi="Arial"/>
          <w:color w:val="auto"/>
          <w:sz w:val="24"/>
          <w:szCs w:val="24"/>
          <w:lang w:eastAsia="en-GB"/>
        </w:rPr>
        <w:lastRenderedPageBreak/>
        <w:t>by formally adopting the requirements of the</w:t>
      </w:r>
      <w:r w:rsidRPr="0007572B">
        <w:rPr>
          <w:rFonts w:ascii="Arial" w:hAnsi="Arial"/>
          <w:sz w:val="24"/>
          <w:szCs w:val="24"/>
          <w:lang w:eastAsia="en-GB"/>
        </w:rPr>
        <w:t xml:space="preserve"> </w:t>
      </w:r>
      <w:r w:rsidRPr="0007572B">
        <w:rPr>
          <w:rFonts w:ascii="Arial" w:hAnsi="Arial"/>
          <w:color w:val="auto"/>
          <w:sz w:val="24"/>
          <w:szCs w:val="24"/>
          <w:lang w:eastAsia="en-GB"/>
        </w:rPr>
        <w:t>CIPFA Treasury Management</w:t>
      </w:r>
      <w:r w:rsidRPr="0007572B">
        <w:rPr>
          <w:rFonts w:ascii="Arial" w:hAnsi="Arial"/>
          <w:i/>
          <w:color w:val="auto"/>
          <w:sz w:val="24"/>
          <w:szCs w:val="24"/>
        </w:rPr>
        <w:t xml:space="preserve"> </w:t>
      </w:r>
      <w:r w:rsidRPr="0007572B">
        <w:rPr>
          <w:rFonts w:ascii="Arial" w:hAnsi="Arial"/>
          <w:color w:val="auto"/>
          <w:sz w:val="24"/>
          <w:szCs w:val="24"/>
          <w:lang w:eastAsia="en-GB"/>
        </w:rPr>
        <w:t>Code of Practice;</w:t>
      </w:r>
    </w:p>
    <w:p w14:paraId="2980A8E0" w14:textId="77777777" w:rsidR="00C802FD" w:rsidRPr="0007572B" w:rsidRDefault="00C802FD" w:rsidP="00EB27EB">
      <w:pPr>
        <w:pStyle w:val="FIBody"/>
        <w:numPr>
          <w:ilvl w:val="0"/>
          <w:numId w:val="48"/>
        </w:numPr>
        <w:spacing w:line="240" w:lineRule="auto"/>
        <w:jc w:val="left"/>
        <w:rPr>
          <w:rFonts w:ascii="Arial" w:hAnsi="Arial"/>
          <w:color w:val="auto"/>
          <w:sz w:val="24"/>
          <w:szCs w:val="24"/>
          <w:lang w:eastAsia="en-GB"/>
        </w:rPr>
      </w:pPr>
      <w:r w:rsidRPr="0007572B">
        <w:rPr>
          <w:rFonts w:ascii="Arial" w:hAnsi="Arial"/>
          <w:color w:val="auto"/>
          <w:sz w:val="24"/>
          <w:szCs w:val="24"/>
          <w:lang w:eastAsia="en-GB"/>
        </w:rPr>
        <w:t>by the adoption of a Treasury Policy Statement and treasury management clauses within its financial regulations/standing orders/constitution;</w:t>
      </w:r>
    </w:p>
    <w:p w14:paraId="47DB6906" w14:textId="77777777" w:rsidR="00C802FD" w:rsidRPr="0007572B" w:rsidRDefault="00C802FD" w:rsidP="00EB27EB">
      <w:pPr>
        <w:numPr>
          <w:ilvl w:val="0"/>
          <w:numId w:val="48"/>
        </w:numPr>
        <w:spacing w:after="160"/>
        <w:contextualSpacing/>
        <w:rPr>
          <w:rFonts w:ascii="Arial" w:eastAsiaTheme="minorHAnsi" w:hAnsi="Arial" w:cs="Arial"/>
          <w:lang w:eastAsia="en-GB"/>
        </w:rPr>
      </w:pPr>
      <w:r w:rsidRPr="0007572B">
        <w:rPr>
          <w:rFonts w:ascii="Arial" w:eastAsiaTheme="minorHAnsi" w:hAnsi="Arial" w:cs="Arial"/>
          <w:lang w:eastAsia="en-GB"/>
        </w:rPr>
        <w:t>by approving annually in advance prudential indicators for the following three years limiting:</w:t>
      </w:r>
    </w:p>
    <w:p w14:paraId="4758E83E" w14:textId="77777777" w:rsidR="00C802FD" w:rsidRPr="0007572B" w:rsidRDefault="00C802FD" w:rsidP="00EB27EB">
      <w:pPr>
        <w:pStyle w:val="ListParagraph"/>
        <w:numPr>
          <w:ilvl w:val="0"/>
          <w:numId w:val="44"/>
        </w:numPr>
        <w:spacing w:after="160" w:line="240" w:lineRule="auto"/>
        <w:rPr>
          <w:rFonts w:ascii="Arial" w:eastAsiaTheme="minorHAnsi" w:hAnsi="Arial" w:cs="Arial"/>
          <w:sz w:val="24"/>
          <w:szCs w:val="24"/>
        </w:rPr>
      </w:pPr>
      <w:r w:rsidRPr="0007572B">
        <w:rPr>
          <w:rFonts w:ascii="Arial" w:eastAsiaTheme="minorHAnsi" w:hAnsi="Arial" w:cs="Arial"/>
          <w:sz w:val="24"/>
          <w:szCs w:val="24"/>
        </w:rPr>
        <w:t>The Authority’s overall borrowing;</w:t>
      </w:r>
    </w:p>
    <w:p w14:paraId="38D25CEE" w14:textId="77777777" w:rsidR="00C802FD" w:rsidRPr="0007572B" w:rsidRDefault="00C802FD" w:rsidP="00EB27EB">
      <w:pPr>
        <w:pStyle w:val="ListParagraph"/>
        <w:numPr>
          <w:ilvl w:val="0"/>
          <w:numId w:val="44"/>
        </w:numPr>
        <w:spacing w:after="160" w:line="240" w:lineRule="auto"/>
        <w:rPr>
          <w:rFonts w:ascii="Arial" w:eastAsiaTheme="minorHAnsi" w:hAnsi="Arial" w:cs="Arial"/>
          <w:sz w:val="24"/>
          <w:szCs w:val="24"/>
        </w:rPr>
      </w:pPr>
      <w:r w:rsidRPr="0007572B">
        <w:rPr>
          <w:rFonts w:ascii="Arial" w:eastAsiaTheme="minorHAnsi" w:hAnsi="Arial" w:cs="Arial"/>
          <w:sz w:val="24"/>
          <w:szCs w:val="24"/>
        </w:rPr>
        <w:t>Its maximum and minimum exposures in the maturity structure of its debt;</w:t>
      </w:r>
    </w:p>
    <w:p w14:paraId="7943D818" w14:textId="77777777" w:rsidR="00C802FD" w:rsidRPr="0007572B" w:rsidRDefault="00C802FD" w:rsidP="00EB27EB">
      <w:pPr>
        <w:pStyle w:val="ListParagraph"/>
        <w:numPr>
          <w:ilvl w:val="0"/>
          <w:numId w:val="44"/>
        </w:numPr>
        <w:spacing w:after="160" w:line="240" w:lineRule="auto"/>
        <w:rPr>
          <w:rFonts w:ascii="Arial" w:eastAsiaTheme="minorHAnsi" w:hAnsi="Arial" w:cs="Arial"/>
          <w:sz w:val="24"/>
          <w:szCs w:val="24"/>
        </w:rPr>
      </w:pPr>
      <w:r w:rsidRPr="0007572B">
        <w:rPr>
          <w:rFonts w:ascii="Arial" w:eastAsiaTheme="minorHAnsi" w:hAnsi="Arial" w:cs="Arial"/>
          <w:sz w:val="24"/>
          <w:szCs w:val="24"/>
        </w:rPr>
        <w:t>Its management of interest rate exposure:</w:t>
      </w:r>
    </w:p>
    <w:p w14:paraId="3AC6156B" w14:textId="77777777" w:rsidR="00C802FD" w:rsidRPr="0007572B" w:rsidRDefault="00C802FD" w:rsidP="00EB27EB">
      <w:pPr>
        <w:pStyle w:val="ListParagraph"/>
        <w:numPr>
          <w:ilvl w:val="0"/>
          <w:numId w:val="44"/>
        </w:numPr>
        <w:spacing w:after="160" w:line="240" w:lineRule="auto"/>
        <w:rPr>
          <w:rFonts w:ascii="Arial" w:eastAsiaTheme="minorHAnsi" w:hAnsi="Arial" w:cs="Arial"/>
          <w:sz w:val="24"/>
          <w:szCs w:val="24"/>
        </w:rPr>
      </w:pPr>
      <w:r w:rsidRPr="0007572B">
        <w:rPr>
          <w:rFonts w:ascii="Arial" w:eastAsiaTheme="minorHAnsi" w:hAnsi="Arial" w:cs="Arial"/>
          <w:sz w:val="24"/>
          <w:szCs w:val="24"/>
        </w:rPr>
        <w:t>Its maximum and minimum exposures to investments maturing beyond a year.</w:t>
      </w:r>
    </w:p>
    <w:p w14:paraId="5C3077B8" w14:textId="77777777" w:rsidR="00C802FD" w:rsidRPr="0007572B" w:rsidRDefault="00C802FD" w:rsidP="00EB27EB">
      <w:pPr>
        <w:numPr>
          <w:ilvl w:val="0"/>
          <w:numId w:val="8"/>
        </w:numPr>
        <w:spacing w:after="160"/>
        <w:ind w:left="850" w:hanging="425"/>
        <w:contextualSpacing/>
        <w:rPr>
          <w:rFonts w:ascii="Arial" w:eastAsiaTheme="minorHAnsi" w:hAnsi="Arial" w:cs="Arial"/>
          <w:lang w:eastAsia="en-GB"/>
        </w:rPr>
      </w:pPr>
      <w:r w:rsidRPr="0007572B">
        <w:rPr>
          <w:rFonts w:ascii="Arial" w:eastAsiaTheme="minorHAnsi" w:hAnsi="Arial" w:cs="Arial"/>
          <w:lang w:eastAsia="en-GB"/>
        </w:rPr>
        <w:t>by approving an investment strategy for the forthcoming year, setting out its criteria for both investing and selecting Investment counter parties in compliance with the Government Guidance.</w:t>
      </w:r>
    </w:p>
    <w:p w14:paraId="6FF12643" w14:textId="2AF48FC3" w:rsidR="00C802FD" w:rsidRPr="0007572B" w:rsidRDefault="00C802FD" w:rsidP="0038082E">
      <w:pPr>
        <w:pStyle w:val="FIBody"/>
        <w:spacing w:line="240" w:lineRule="auto"/>
        <w:ind w:left="0"/>
        <w:jc w:val="left"/>
        <w:rPr>
          <w:rFonts w:ascii="Arial" w:hAnsi="Arial"/>
          <w:color w:val="auto"/>
          <w:sz w:val="24"/>
          <w:szCs w:val="24"/>
          <w:lang w:eastAsia="en-GB"/>
        </w:rPr>
      </w:pPr>
      <w:r w:rsidRPr="0007572B">
        <w:rPr>
          <w:rFonts w:ascii="Arial" w:hAnsi="Arial"/>
          <w:color w:val="auto"/>
          <w:sz w:val="24"/>
          <w:szCs w:val="24"/>
          <w:lang w:eastAsia="en-GB"/>
        </w:rPr>
        <w:t>These are required to be reported and approved at or before the Authority’s annual setting of the budget or before the start of the year to which they relate. These items are reported with the annual treasury management strategy which outlines the detailed approach to managing risk in relation to the Council’s financial instrument exposure. Actual performance is also reported after each year, as is a mid-year update.</w:t>
      </w:r>
    </w:p>
    <w:p w14:paraId="1155DDB7" w14:textId="77777777" w:rsidR="00C802FD" w:rsidRPr="0007572B" w:rsidRDefault="00C802FD" w:rsidP="0038082E">
      <w:pPr>
        <w:pStyle w:val="FIBody"/>
        <w:spacing w:line="240" w:lineRule="auto"/>
        <w:ind w:left="0"/>
        <w:jc w:val="left"/>
        <w:rPr>
          <w:rFonts w:ascii="Arial" w:hAnsi="Arial"/>
          <w:color w:val="auto"/>
          <w:sz w:val="24"/>
          <w:szCs w:val="24"/>
          <w:lang w:eastAsia="en-GB"/>
        </w:rPr>
      </w:pPr>
    </w:p>
    <w:p w14:paraId="2627753F" w14:textId="30903770" w:rsidR="00C802FD" w:rsidRPr="0007572B" w:rsidRDefault="00C802FD" w:rsidP="0038082E">
      <w:pPr>
        <w:pStyle w:val="FIBody"/>
        <w:spacing w:line="240" w:lineRule="auto"/>
        <w:ind w:left="0"/>
        <w:jc w:val="left"/>
        <w:rPr>
          <w:rFonts w:ascii="Arial" w:hAnsi="Arial"/>
          <w:color w:val="auto"/>
          <w:sz w:val="24"/>
          <w:szCs w:val="24"/>
          <w:lang w:eastAsia="en-GB"/>
        </w:rPr>
      </w:pPr>
      <w:r w:rsidRPr="009D2D1A">
        <w:rPr>
          <w:rFonts w:ascii="Arial" w:hAnsi="Arial"/>
          <w:color w:val="auto"/>
          <w:sz w:val="24"/>
          <w:szCs w:val="24"/>
          <w:lang w:eastAsia="en-GB"/>
        </w:rPr>
        <w:t xml:space="preserve">The annual treasury management strategy which incorporates the prudential indicators was approved by the Combined Authority on </w:t>
      </w:r>
      <w:r w:rsidR="009D2D1A" w:rsidRPr="009D2D1A">
        <w:rPr>
          <w:rFonts w:ascii="Arial" w:hAnsi="Arial"/>
          <w:color w:val="auto"/>
          <w:sz w:val="24"/>
          <w:szCs w:val="24"/>
          <w:lang w:eastAsia="en-GB"/>
        </w:rPr>
        <w:t>12</w:t>
      </w:r>
      <w:r w:rsidRPr="009D2D1A">
        <w:rPr>
          <w:rFonts w:ascii="Arial" w:hAnsi="Arial"/>
          <w:color w:val="auto"/>
          <w:sz w:val="24"/>
          <w:szCs w:val="24"/>
          <w:lang w:eastAsia="en-GB"/>
        </w:rPr>
        <w:t>/0</w:t>
      </w:r>
      <w:r w:rsidR="009D2D1A" w:rsidRPr="009D2D1A">
        <w:rPr>
          <w:rFonts w:ascii="Arial" w:hAnsi="Arial"/>
          <w:color w:val="auto"/>
          <w:sz w:val="24"/>
          <w:szCs w:val="24"/>
          <w:lang w:eastAsia="en-GB"/>
        </w:rPr>
        <w:t>2</w:t>
      </w:r>
      <w:r w:rsidRPr="009D2D1A">
        <w:rPr>
          <w:rFonts w:ascii="Arial" w:hAnsi="Arial"/>
          <w:color w:val="auto"/>
          <w:sz w:val="24"/>
          <w:szCs w:val="24"/>
          <w:lang w:eastAsia="en-GB"/>
        </w:rPr>
        <w:t>/202</w:t>
      </w:r>
      <w:r w:rsidR="009D2D1A" w:rsidRPr="009D2D1A">
        <w:rPr>
          <w:rFonts w:ascii="Arial" w:hAnsi="Arial"/>
          <w:color w:val="auto"/>
          <w:sz w:val="24"/>
          <w:szCs w:val="24"/>
          <w:lang w:eastAsia="en-GB"/>
        </w:rPr>
        <w:t>1</w:t>
      </w:r>
      <w:r w:rsidRPr="0007572B">
        <w:rPr>
          <w:rFonts w:ascii="Arial" w:hAnsi="Arial"/>
          <w:color w:val="auto"/>
          <w:sz w:val="24"/>
          <w:szCs w:val="24"/>
          <w:lang w:eastAsia="en-GB"/>
        </w:rPr>
        <w:t xml:space="preserve"> and is available on the </w:t>
      </w:r>
      <w:r w:rsidR="00CA750E">
        <w:rPr>
          <w:rFonts w:ascii="Arial" w:hAnsi="Arial"/>
          <w:color w:val="auto"/>
          <w:sz w:val="24"/>
          <w:szCs w:val="24"/>
          <w:lang w:eastAsia="en-GB"/>
        </w:rPr>
        <w:t>GMCA</w:t>
      </w:r>
      <w:r w:rsidRPr="0007572B">
        <w:rPr>
          <w:rFonts w:ascii="Arial" w:hAnsi="Arial"/>
          <w:color w:val="auto"/>
          <w:sz w:val="24"/>
          <w:szCs w:val="24"/>
          <w:lang w:eastAsia="en-GB"/>
        </w:rPr>
        <w:t xml:space="preserve"> website. </w:t>
      </w:r>
    </w:p>
    <w:p w14:paraId="52C9BB77" w14:textId="77777777" w:rsidR="00C802FD" w:rsidRPr="0007572B" w:rsidRDefault="00C802FD" w:rsidP="0038082E">
      <w:pPr>
        <w:rPr>
          <w:rFonts w:ascii="Arial" w:eastAsiaTheme="minorHAnsi" w:hAnsi="Arial" w:cs="Arial"/>
        </w:rPr>
      </w:pPr>
    </w:p>
    <w:p w14:paraId="2029AC4F" w14:textId="2B50462D" w:rsidR="00C802FD" w:rsidRDefault="00C802FD" w:rsidP="0038082E">
      <w:pPr>
        <w:rPr>
          <w:rFonts w:ascii="Arial" w:eastAsiaTheme="minorHAnsi" w:hAnsi="Arial" w:cs="Arial"/>
        </w:rPr>
      </w:pPr>
      <w:r w:rsidRPr="0007572B">
        <w:rPr>
          <w:rFonts w:ascii="Arial" w:eastAsiaTheme="minorHAnsi" w:hAnsi="Arial" w:cs="Arial"/>
        </w:rPr>
        <w:t>Risk management is carried out by a central treasury team, under policies approved by the Authority in the annual treasury management strategy.</w:t>
      </w:r>
      <w:r w:rsidRPr="0007572B">
        <w:rPr>
          <w:rFonts w:ascii="Arial" w:hAnsi="Arial" w:cs="Arial"/>
          <w:sz w:val="28"/>
          <w:szCs w:val="28"/>
        </w:rPr>
        <w:t xml:space="preserve"> </w:t>
      </w:r>
      <w:r w:rsidRPr="0007572B">
        <w:rPr>
          <w:rFonts w:ascii="Arial" w:eastAsiaTheme="minorHAnsi" w:hAnsi="Arial" w:cs="Arial"/>
        </w:rPr>
        <w:t>The Authority maintains written principles for overall risk management, as well as written policies covering specific areas, such as interest rate risk, credit risk, and the investment of surplus cash through Treasury Management Practices (TMPs). These TMPs are a requirement of the Code of Practice and are reviewed periodically.</w:t>
      </w:r>
    </w:p>
    <w:p w14:paraId="41A0E7EA" w14:textId="77777777" w:rsidR="00D4492C" w:rsidRPr="0007572B" w:rsidRDefault="00D4492C" w:rsidP="0038082E">
      <w:pPr>
        <w:rPr>
          <w:rFonts w:ascii="Arial" w:eastAsiaTheme="minorHAnsi" w:hAnsi="Arial" w:cs="Arial"/>
        </w:rPr>
      </w:pPr>
    </w:p>
    <w:p w14:paraId="71E58A3B" w14:textId="77777777" w:rsidR="00C802FD" w:rsidRPr="0007572B" w:rsidRDefault="00C802FD" w:rsidP="0038082E">
      <w:pPr>
        <w:pStyle w:val="Heading4bold"/>
        <w:rPr>
          <w:rFonts w:eastAsiaTheme="minorHAnsi"/>
        </w:rPr>
      </w:pPr>
      <w:r w:rsidRPr="0007572B">
        <w:rPr>
          <w:rFonts w:eastAsiaTheme="minorHAnsi"/>
        </w:rPr>
        <w:t>Specified Investments</w:t>
      </w:r>
    </w:p>
    <w:p w14:paraId="0DF4E88E" w14:textId="77777777" w:rsidR="00C802FD" w:rsidRPr="0007572B" w:rsidRDefault="00C802FD" w:rsidP="0038082E">
      <w:pPr>
        <w:rPr>
          <w:rFonts w:ascii="Arial" w:eastAsiaTheme="minorHAnsi" w:hAnsi="Arial" w:cs="Arial"/>
        </w:rPr>
      </w:pPr>
    </w:p>
    <w:p w14:paraId="078A5174" w14:textId="27AB81CF" w:rsidR="00C802FD" w:rsidRPr="0007572B" w:rsidRDefault="00C802FD" w:rsidP="0038082E">
      <w:pPr>
        <w:spacing w:after="160"/>
        <w:rPr>
          <w:rFonts w:ascii="Arial" w:eastAsiaTheme="minorHAnsi" w:hAnsi="Arial" w:cs="Arial"/>
        </w:rPr>
      </w:pPr>
      <w:r w:rsidRPr="0007572B">
        <w:rPr>
          <w:rFonts w:ascii="Arial" w:eastAsiaTheme="minorHAnsi" w:hAnsi="Arial" w:cs="Arial"/>
        </w:rPr>
        <w:t>Specified Investments are investments in sterling denomination, with maturities up to a maximum of 1 year. All specified investments meet the minimum ‘high’ ratings criteria where applicable.</w:t>
      </w:r>
    </w:p>
    <w:p w14:paraId="606375A7" w14:textId="77777777" w:rsidR="00C802FD" w:rsidRPr="0007572B" w:rsidRDefault="00C802FD" w:rsidP="00EB27EB">
      <w:pPr>
        <w:numPr>
          <w:ilvl w:val="1"/>
          <w:numId w:val="9"/>
        </w:numPr>
        <w:spacing w:after="160"/>
        <w:ind w:left="709" w:hanging="425"/>
        <w:contextualSpacing/>
        <w:rPr>
          <w:rFonts w:ascii="Arial" w:eastAsiaTheme="minorHAnsi" w:hAnsi="Arial" w:cs="Arial"/>
          <w:lang w:eastAsia="en-GB"/>
        </w:rPr>
      </w:pPr>
      <w:r w:rsidRPr="0007572B">
        <w:rPr>
          <w:rFonts w:ascii="Arial" w:eastAsiaTheme="minorHAnsi" w:hAnsi="Arial" w:cs="Arial"/>
          <w:lang w:eastAsia="en-GB"/>
        </w:rPr>
        <w:t>Term deposits – Other local authorities: Credit Criteria high security;</w:t>
      </w:r>
    </w:p>
    <w:p w14:paraId="62A56F71" w14:textId="77777777" w:rsidR="00C802FD" w:rsidRPr="0007572B" w:rsidRDefault="00C802FD" w:rsidP="00EB27EB">
      <w:pPr>
        <w:numPr>
          <w:ilvl w:val="1"/>
          <w:numId w:val="9"/>
        </w:numPr>
        <w:spacing w:after="160"/>
        <w:ind w:left="709" w:hanging="425"/>
        <w:contextualSpacing/>
        <w:rPr>
          <w:rFonts w:ascii="Arial" w:eastAsiaTheme="minorHAnsi" w:hAnsi="Arial" w:cs="Arial"/>
          <w:lang w:eastAsia="en-GB"/>
        </w:rPr>
      </w:pPr>
      <w:r w:rsidRPr="0007572B">
        <w:rPr>
          <w:rFonts w:ascii="Arial" w:eastAsiaTheme="minorHAnsi" w:hAnsi="Arial" w:cs="Arial"/>
          <w:lang w:eastAsia="en-GB"/>
        </w:rPr>
        <w:t>Term deposits – Banks and building societies; Credit Criteria Varied;</w:t>
      </w:r>
    </w:p>
    <w:p w14:paraId="7FB131D7" w14:textId="77777777" w:rsidR="00C802FD" w:rsidRPr="0007572B" w:rsidRDefault="00C802FD" w:rsidP="00EB27EB">
      <w:pPr>
        <w:numPr>
          <w:ilvl w:val="1"/>
          <w:numId w:val="9"/>
        </w:numPr>
        <w:spacing w:after="160"/>
        <w:ind w:left="709" w:hanging="425"/>
        <w:contextualSpacing/>
        <w:rPr>
          <w:rFonts w:ascii="Arial" w:eastAsiaTheme="minorHAnsi" w:hAnsi="Arial" w:cs="Arial"/>
          <w:lang w:eastAsia="en-GB"/>
        </w:rPr>
      </w:pPr>
      <w:r w:rsidRPr="0007572B">
        <w:rPr>
          <w:rFonts w:ascii="Arial" w:eastAsiaTheme="minorHAnsi" w:hAnsi="Arial" w:cs="Arial"/>
          <w:lang w:eastAsia="en-GB"/>
        </w:rPr>
        <w:t>Debt Management Agency Deposit Facility &amp; UK Nationalised Banks – UK Government Backed;</w:t>
      </w:r>
    </w:p>
    <w:p w14:paraId="4BD2059B" w14:textId="77777777" w:rsidR="00C802FD" w:rsidRPr="0007572B" w:rsidRDefault="00C802FD" w:rsidP="00EB27EB">
      <w:pPr>
        <w:numPr>
          <w:ilvl w:val="1"/>
          <w:numId w:val="9"/>
        </w:numPr>
        <w:spacing w:after="160"/>
        <w:ind w:left="709" w:hanging="425"/>
        <w:contextualSpacing/>
        <w:rPr>
          <w:rFonts w:ascii="Arial" w:eastAsiaTheme="minorHAnsi" w:hAnsi="Arial" w:cs="Arial"/>
          <w:lang w:eastAsia="en-GB"/>
        </w:rPr>
      </w:pPr>
      <w:r w:rsidRPr="0007572B">
        <w:rPr>
          <w:rFonts w:ascii="Arial" w:eastAsiaTheme="minorHAnsi" w:hAnsi="Arial" w:cs="Arial"/>
          <w:lang w:eastAsia="en-GB"/>
        </w:rPr>
        <w:tab/>
        <w:t>Certificates of deposits issued by banks and building societies covered by UK Government guarantees – UK Government explicit guarantee;</w:t>
      </w:r>
    </w:p>
    <w:p w14:paraId="532DF8EE" w14:textId="77777777" w:rsidR="00C802FD" w:rsidRPr="0007572B" w:rsidRDefault="00C802FD" w:rsidP="00EB27EB">
      <w:pPr>
        <w:numPr>
          <w:ilvl w:val="1"/>
          <w:numId w:val="9"/>
        </w:numPr>
        <w:spacing w:after="160"/>
        <w:ind w:left="709" w:hanging="425"/>
        <w:contextualSpacing/>
        <w:rPr>
          <w:rFonts w:ascii="Arial" w:eastAsiaTheme="minorHAnsi" w:hAnsi="Arial" w:cs="Arial"/>
          <w:lang w:eastAsia="en-GB"/>
        </w:rPr>
      </w:pPr>
      <w:r w:rsidRPr="0007572B">
        <w:rPr>
          <w:rFonts w:ascii="Arial" w:eastAsiaTheme="minorHAnsi" w:hAnsi="Arial" w:cs="Arial"/>
          <w:lang w:eastAsia="en-GB"/>
        </w:rPr>
        <w:tab/>
        <w:t>Money Market Funds, credit criteria AAA;</w:t>
      </w:r>
    </w:p>
    <w:p w14:paraId="25B39256" w14:textId="77777777" w:rsidR="00C802FD" w:rsidRPr="0007572B" w:rsidRDefault="00C802FD" w:rsidP="00EB27EB">
      <w:pPr>
        <w:numPr>
          <w:ilvl w:val="1"/>
          <w:numId w:val="9"/>
        </w:numPr>
        <w:spacing w:after="160"/>
        <w:ind w:left="709" w:hanging="425"/>
        <w:contextualSpacing/>
        <w:rPr>
          <w:rFonts w:ascii="Arial" w:eastAsiaTheme="minorHAnsi" w:hAnsi="Arial" w:cs="Arial"/>
          <w:lang w:eastAsia="en-GB"/>
        </w:rPr>
      </w:pPr>
      <w:r w:rsidRPr="0007572B">
        <w:rPr>
          <w:rFonts w:ascii="Arial" w:eastAsiaTheme="minorHAnsi" w:hAnsi="Arial" w:cs="Arial"/>
          <w:lang w:eastAsia="en-GB"/>
        </w:rPr>
        <w:tab/>
        <w:t>Non-UK Banks / Building Societies – Domiciled in a country which has a minimum sovereign Long Term rating of AAA;</w:t>
      </w:r>
    </w:p>
    <w:p w14:paraId="7501B8D8" w14:textId="77777777" w:rsidR="00C802FD" w:rsidRPr="0007572B" w:rsidRDefault="00C802FD" w:rsidP="00EB27EB">
      <w:pPr>
        <w:numPr>
          <w:ilvl w:val="1"/>
          <w:numId w:val="9"/>
        </w:numPr>
        <w:spacing w:after="160"/>
        <w:ind w:left="709" w:hanging="425"/>
        <w:contextualSpacing/>
        <w:rPr>
          <w:rFonts w:ascii="Arial" w:eastAsiaTheme="minorHAnsi" w:hAnsi="Arial" w:cs="Arial"/>
          <w:lang w:eastAsia="en-GB"/>
        </w:rPr>
      </w:pPr>
      <w:r w:rsidRPr="0007572B">
        <w:rPr>
          <w:rFonts w:ascii="Arial" w:eastAsiaTheme="minorHAnsi" w:hAnsi="Arial" w:cs="Arial"/>
          <w:lang w:eastAsia="en-GB"/>
        </w:rPr>
        <w:tab/>
        <w:t>Treasury Bills – UK Government backed;</w:t>
      </w:r>
    </w:p>
    <w:p w14:paraId="5E1D1ADF" w14:textId="77777777" w:rsidR="00C802FD" w:rsidRPr="0007572B" w:rsidRDefault="00C802FD" w:rsidP="00EB27EB">
      <w:pPr>
        <w:numPr>
          <w:ilvl w:val="1"/>
          <w:numId w:val="9"/>
        </w:numPr>
        <w:spacing w:after="160"/>
        <w:ind w:left="709" w:hanging="425"/>
        <w:contextualSpacing/>
        <w:rPr>
          <w:rFonts w:ascii="Arial" w:eastAsiaTheme="minorHAnsi" w:hAnsi="Arial" w:cs="Arial"/>
          <w:lang w:eastAsia="en-GB"/>
        </w:rPr>
      </w:pPr>
      <w:r w:rsidRPr="0007572B">
        <w:rPr>
          <w:rFonts w:ascii="Arial" w:eastAsiaTheme="minorHAnsi" w:hAnsi="Arial" w:cs="Arial"/>
          <w:lang w:eastAsia="en-GB"/>
        </w:rPr>
        <w:t>Covered Bonds – Credit Criteria AAA.</w:t>
      </w:r>
    </w:p>
    <w:p w14:paraId="226A007D" w14:textId="77777777" w:rsidR="00C802FD" w:rsidRPr="0007572B" w:rsidRDefault="00C802FD" w:rsidP="0038082E">
      <w:pPr>
        <w:pStyle w:val="Heading4bold"/>
        <w:rPr>
          <w:rFonts w:eastAsiaTheme="minorHAnsi"/>
        </w:rPr>
      </w:pPr>
      <w:r w:rsidRPr="0007572B">
        <w:rPr>
          <w:rFonts w:eastAsiaTheme="minorHAnsi"/>
        </w:rPr>
        <w:lastRenderedPageBreak/>
        <w:t>Non-Specified Investments</w:t>
      </w:r>
    </w:p>
    <w:p w14:paraId="57A171BB" w14:textId="77777777" w:rsidR="00C802FD" w:rsidRPr="0007572B" w:rsidRDefault="00C802FD" w:rsidP="0038082E">
      <w:pPr>
        <w:spacing w:after="160"/>
        <w:rPr>
          <w:rFonts w:ascii="Arial" w:eastAsiaTheme="minorHAnsi" w:hAnsi="Arial" w:cs="Arial"/>
        </w:rPr>
      </w:pPr>
      <w:r w:rsidRPr="0007572B">
        <w:rPr>
          <w:rFonts w:ascii="Arial" w:eastAsiaTheme="minorHAnsi" w:hAnsi="Arial" w:cs="Arial"/>
        </w:rPr>
        <w:t>Non-specified investments are any other type of investment not defined as specified above. Any proposals to use any non-specified investments will be reported to members for approval.</w:t>
      </w:r>
    </w:p>
    <w:p w14:paraId="67950738" w14:textId="77777777" w:rsidR="00C802FD" w:rsidRPr="0007572B" w:rsidRDefault="00C802FD" w:rsidP="0038082E">
      <w:pPr>
        <w:pStyle w:val="Heading4bold"/>
        <w:rPr>
          <w:rFonts w:eastAsiaTheme="minorHAnsi"/>
        </w:rPr>
      </w:pPr>
      <w:r w:rsidRPr="0007572B">
        <w:rPr>
          <w:rFonts w:eastAsiaTheme="minorHAnsi"/>
        </w:rPr>
        <w:t>Investment Limits</w:t>
      </w:r>
    </w:p>
    <w:p w14:paraId="5B42EBF3" w14:textId="77777777" w:rsidR="00C802FD" w:rsidRPr="0007572B" w:rsidRDefault="00C802FD" w:rsidP="0038082E">
      <w:pPr>
        <w:spacing w:after="160"/>
        <w:jc w:val="both"/>
        <w:rPr>
          <w:rFonts w:ascii="Arial" w:eastAsiaTheme="minorHAnsi" w:hAnsi="Arial" w:cs="Arial"/>
        </w:rPr>
      </w:pPr>
      <w:r w:rsidRPr="0007572B">
        <w:rPr>
          <w:rFonts w:ascii="Arial" w:eastAsiaTheme="minorHAnsi" w:hAnsi="Arial" w:cs="Arial"/>
        </w:rPr>
        <w:t>The financial investment limits of banks and building societies are linked to their Fitch long-term ratings (or equivalent), as follows:</w:t>
      </w:r>
    </w:p>
    <w:p w14:paraId="3162A5BD" w14:textId="77777777" w:rsidR="00C802FD" w:rsidRPr="0007572B" w:rsidRDefault="00C802FD" w:rsidP="00EB27EB">
      <w:pPr>
        <w:pStyle w:val="ListParagraph"/>
        <w:numPr>
          <w:ilvl w:val="0"/>
          <w:numId w:val="32"/>
        </w:numPr>
        <w:spacing w:line="240" w:lineRule="auto"/>
        <w:jc w:val="both"/>
        <w:rPr>
          <w:rFonts w:ascii="Arial" w:eastAsiaTheme="minorHAnsi" w:hAnsi="Arial" w:cs="Arial"/>
          <w:sz w:val="24"/>
          <w:szCs w:val="24"/>
        </w:rPr>
      </w:pPr>
      <w:r w:rsidRPr="0007572B">
        <w:rPr>
          <w:rFonts w:ascii="Arial" w:eastAsiaTheme="minorHAnsi" w:hAnsi="Arial" w:cs="Arial"/>
          <w:sz w:val="24"/>
          <w:szCs w:val="24"/>
        </w:rPr>
        <w:t>Banks and Building Societies</w:t>
      </w:r>
    </w:p>
    <w:p w14:paraId="307D230C" w14:textId="38D30D24" w:rsidR="00C802FD" w:rsidRPr="0007572B" w:rsidRDefault="00C802FD" w:rsidP="00EB27EB">
      <w:pPr>
        <w:pStyle w:val="ListParagraph"/>
        <w:numPr>
          <w:ilvl w:val="0"/>
          <w:numId w:val="33"/>
        </w:numPr>
        <w:spacing w:line="240" w:lineRule="auto"/>
        <w:jc w:val="both"/>
        <w:rPr>
          <w:rFonts w:ascii="Arial" w:eastAsiaTheme="minorHAnsi" w:hAnsi="Arial" w:cs="Arial"/>
          <w:sz w:val="24"/>
          <w:szCs w:val="24"/>
        </w:rPr>
      </w:pPr>
      <w:r w:rsidRPr="0007572B">
        <w:rPr>
          <w:rFonts w:ascii="Arial" w:eastAsiaTheme="minorHAnsi" w:hAnsi="Arial" w:cs="Arial"/>
          <w:sz w:val="24"/>
          <w:szCs w:val="24"/>
        </w:rPr>
        <w:t>Fitch AA+ and above AAAM</w:t>
      </w:r>
      <w:r w:rsidRPr="0007572B">
        <w:rPr>
          <w:rFonts w:ascii="Arial" w:eastAsiaTheme="minorHAnsi" w:hAnsi="Arial" w:cs="Arial"/>
          <w:sz w:val="24"/>
          <w:szCs w:val="24"/>
        </w:rPr>
        <w:tab/>
      </w:r>
      <w:r w:rsidR="006219CE">
        <w:rPr>
          <w:rFonts w:ascii="Arial" w:eastAsiaTheme="minorHAnsi" w:hAnsi="Arial" w:cs="Arial"/>
          <w:sz w:val="24"/>
          <w:szCs w:val="24"/>
        </w:rPr>
        <w:tab/>
      </w:r>
      <w:r w:rsidRPr="0007572B">
        <w:rPr>
          <w:rFonts w:ascii="Arial" w:eastAsiaTheme="minorHAnsi" w:hAnsi="Arial" w:cs="Arial"/>
          <w:sz w:val="24"/>
          <w:szCs w:val="24"/>
        </w:rPr>
        <w:t>£25m</w:t>
      </w:r>
    </w:p>
    <w:p w14:paraId="4BB63F9A" w14:textId="77777777" w:rsidR="00C802FD" w:rsidRPr="0007572B" w:rsidRDefault="00C802FD" w:rsidP="00EB27EB">
      <w:pPr>
        <w:pStyle w:val="ListParagraph"/>
        <w:numPr>
          <w:ilvl w:val="0"/>
          <w:numId w:val="33"/>
        </w:numPr>
        <w:spacing w:line="240" w:lineRule="auto"/>
        <w:jc w:val="both"/>
        <w:rPr>
          <w:rFonts w:ascii="Arial" w:eastAsiaTheme="minorHAnsi" w:hAnsi="Arial" w:cs="Arial"/>
          <w:sz w:val="24"/>
          <w:szCs w:val="24"/>
        </w:rPr>
      </w:pPr>
      <w:r w:rsidRPr="0007572B">
        <w:rPr>
          <w:rFonts w:ascii="Arial" w:eastAsiaTheme="minorHAnsi" w:hAnsi="Arial" w:cs="Arial"/>
          <w:sz w:val="24"/>
          <w:szCs w:val="24"/>
        </w:rPr>
        <w:t>Fitch AA+/AA-</w:t>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t>£15m</w:t>
      </w:r>
    </w:p>
    <w:p w14:paraId="29B2D249" w14:textId="77777777" w:rsidR="00C802FD" w:rsidRPr="0007572B" w:rsidRDefault="00C802FD" w:rsidP="00EB27EB">
      <w:pPr>
        <w:pStyle w:val="ListParagraph"/>
        <w:numPr>
          <w:ilvl w:val="0"/>
          <w:numId w:val="33"/>
        </w:numPr>
        <w:spacing w:line="240" w:lineRule="auto"/>
        <w:jc w:val="both"/>
        <w:rPr>
          <w:rFonts w:ascii="Arial" w:eastAsiaTheme="minorHAnsi" w:hAnsi="Arial" w:cs="Arial"/>
          <w:sz w:val="24"/>
          <w:szCs w:val="24"/>
        </w:rPr>
      </w:pPr>
      <w:r w:rsidRPr="0007572B">
        <w:rPr>
          <w:rFonts w:ascii="Arial" w:eastAsiaTheme="minorHAnsi" w:hAnsi="Arial" w:cs="Arial"/>
          <w:sz w:val="24"/>
          <w:szCs w:val="24"/>
        </w:rPr>
        <w:t>Fitch A+/A</w:t>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t>£15m</w:t>
      </w:r>
    </w:p>
    <w:p w14:paraId="4C39FE1B" w14:textId="77777777" w:rsidR="00C802FD" w:rsidRPr="0007572B" w:rsidRDefault="00C802FD" w:rsidP="00EB27EB">
      <w:pPr>
        <w:pStyle w:val="ListParagraph"/>
        <w:numPr>
          <w:ilvl w:val="0"/>
          <w:numId w:val="33"/>
        </w:numPr>
        <w:spacing w:line="240" w:lineRule="auto"/>
        <w:jc w:val="both"/>
        <w:rPr>
          <w:rFonts w:ascii="Arial" w:eastAsiaTheme="minorHAnsi" w:hAnsi="Arial" w:cs="Arial"/>
          <w:sz w:val="24"/>
          <w:szCs w:val="24"/>
        </w:rPr>
      </w:pPr>
      <w:r w:rsidRPr="0007572B">
        <w:rPr>
          <w:rFonts w:ascii="Arial" w:eastAsiaTheme="minorHAnsi" w:hAnsi="Arial" w:cs="Arial"/>
          <w:sz w:val="24"/>
          <w:szCs w:val="24"/>
        </w:rPr>
        <w:t>Fitch A-</w:t>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t>£10m</w:t>
      </w:r>
    </w:p>
    <w:p w14:paraId="67D62580" w14:textId="57D675F8" w:rsidR="00C802FD" w:rsidRPr="0007572B" w:rsidRDefault="00C802FD" w:rsidP="00EB27EB">
      <w:pPr>
        <w:pStyle w:val="ListParagraph"/>
        <w:numPr>
          <w:ilvl w:val="0"/>
          <w:numId w:val="33"/>
        </w:numPr>
        <w:spacing w:line="240" w:lineRule="auto"/>
        <w:jc w:val="both"/>
        <w:rPr>
          <w:rFonts w:ascii="Arial" w:eastAsiaTheme="minorHAnsi" w:hAnsi="Arial" w:cs="Arial"/>
          <w:sz w:val="24"/>
          <w:szCs w:val="24"/>
        </w:rPr>
      </w:pPr>
      <w:r w:rsidRPr="0007572B">
        <w:rPr>
          <w:rFonts w:ascii="Arial" w:eastAsiaTheme="minorHAnsi" w:hAnsi="Arial" w:cs="Arial"/>
          <w:sz w:val="24"/>
          <w:szCs w:val="24"/>
        </w:rPr>
        <w:t>Fitch BBB+</w:t>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r>
      <w:r w:rsidR="00A041A7" w:rsidRPr="0007572B">
        <w:rPr>
          <w:rFonts w:ascii="Arial" w:eastAsiaTheme="minorHAnsi" w:hAnsi="Arial" w:cs="Arial"/>
          <w:sz w:val="24"/>
          <w:szCs w:val="24"/>
        </w:rPr>
        <w:tab/>
      </w:r>
      <w:r w:rsidRPr="0007572B">
        <w:rPr>
          <w:rFonts w:ascii="Arial" w:eastAsiaTheme="minorHAnsi" w:hAnsi="Arial" w:cs="Arial"/>
          <w:sz w:val="24"/>
          <w:szCs w:val="24"/>
        </w:rPr>
        <w:t>£10m</w:t>
      </w:r>
    </w:p>
    <w:p w14:paraId="1D699B95" w14:textId="77777777" w:rsidR="00C802FD" w:rsidRPr="0007572B" w:rsidRDefault="00C802FD" w:rsidP="0038082E">
      <w:pPr>
        <w:pStyle w:val="ListParagraph"/>
        <w:spacing w:line="240" w:lineRule="auto"/>
        <w:ind w:left="1080"/>
        <w:jc w:val="both"/>
        <w:rPr>
          <w:rFonts w:ascii="Arial" w:eastAsiaTheme="minorHAnsi" w:hAnsi="Arial" w:cs="Arial"/>
          <w:sz w:val="24"/>
          <w:szCs w:val="24"/>
          <w:highlight w:val="yellow"/>
        </w:rPr>
      </w:pPr>
    </w:p>
    <w:p w14:paraId="7782752C" w14:textId="77777777" w:rsidR="00C802FD" w:rsidRPr="0007572B" w:rsidRDefault="00C802FD" w:rsidP="0038082E">
      <w:pPr>
        <w:spacing w:after="160"/>
        <w:jc w:val="both"/>
        <w:rPr>
          <w:rFonts w:ascii="Arial" w:eastAsiaTheme="minorHAnsi" w:hAnsi="Arial" w:cs="Arial"/>
        </w:rPr>
      </w:pPr>
      <w:r w:rsidRPr="0007572B">
        <w:rPr>
          <w:rFonts w:ascii="Arial" w:eastAsiaTheme="minorHAnsi" w:hAnsi="Arial" w:cs="Arial"/>
        </w:rPr>
        <w:t>The GMCA will only utilise institutions that have a short term rating of F2 or higher (Fitch or equivalent).</w:t>
      </w:r>
    </w:p>
    <w:p w14:paraId="62D61537" w14:textId="77777777" w:rsidR="00C802FD" w:rsidRPr="0007572B" w:rsidRDefault="00C802FD" w:rsidP="00EB27EB">
      <w:pPr>
        <w:pStyle w:val="ListParagraph"/>
        <w:numPr>
          <w:ilvl w:val="0"/>
          <w:numId w:val="31"/>
        </w:numPr>
        <w:spacing w:line="240" w:lineRule="auto"/>
        <w:jc w:val="both"/>
        <w:rPr>
          <w:rFonts w:ascii="Arial" w:eastAsiaTheme="minorHAnsi" w:hAnsi="Arial" w:cs="Arial"/>
          <w:sz w:val="24"/>
          <w:szCs w:val="24"/>
        </w:rPr>
      </w:pPr>
      <w:r w:rsidRPr="0007572B">
        <w:rPr>
          <w:rFonts w:ascii="Arial" w:eastAsiaTheme="minorHAnsi" w:hAnsi="Arial" w:cs="Arial"/>
          <w:sz w:val="24"/>
          <w:szCs w:val="24"/>
        </w:rPr>
        <w:t>Debt Management Office</w:t>
      </w:r>
      <w:r w:rsidRPr="0007572B">
        <w:rPr>
          <w:rFonts w:ascii="Arial" w:eastAsiaTheme="minorHAnsi" w:hAnsi="Arial" w:cs="Arial"/>
          <w:sz w:val="24"/>
          <w:szCs w:val="24"/>
        </w:rPr>
        <w:tab/>
      </w:r>
      <w:r w:rsidRPr="0007572B">
        <w:rPr>
          <w:rFonts w:ascii="Arial" w:eastAsiaTheme="minorHAnsi" w:hAnsi="Arial" w:cs="Arial"/>
          <w:sz w:val="24"/>
          <w:szCs w:val="24"/>
        </w:rPr>
        <w:tab/>
        <w:t>£200m</w:t>
      </w:r>
    </w:p>
    <w:p w14:paraId="49F8BF1D" w14:textId="43713223" w:rsidR="00C802FD" w:rsidRPr="0007572B" w:rsidRDefault="00C802FD" w:rsidP="00EB27EB">
      <w:pPr>
        <w:pStyle w:val="ListParagraph"/>
        <w:numPr>
          <w:ilvl w:val="0"/>
          <w:numId w:val="31"/>
        </w:numPr>
        <w:spacing w:line="240" w:lineRule="auto"/>
        <w:jc w:val="both"/>
        <w:rPr>
          <w:rFonts w:ascii="Arial" w:eastAsiaTheme="minorHAnsi" w:hAnsi="Arial" w:cs="Arial"/>
          <w:sz w:val="24"/>
          <w:szCs w:val="24"/>
        </w:rPr>
      </w:pPr>
      <w:r w:rsidRPr="0007572B">
        <w:rPr>
          <w:rFonts w:ascii="Arial" w:eastAsiaTheme="minorHAnsi" w:hAnsi="Arial" w:cs="Arial"/>
          <w:sz w:val="24"/>
          <w:szCs w:val="24"/>
        </w:rPr>
        <w:t>Manchester City Council</w:t>
      </w:r>
      <w:r w:rsidRPr="0007572B">
        <w:rPr>
          <w:rFonts w:ascii="Arial" w:eastAsiaTheme="minorHAnsi" w:hAnsi="Arial" w:cs="Arial"/>
          <w:sz w:val="24"/>
          <w:szCs w:val="24"/>
        </w:rPr>
        <w:tab/>
      </w:r>
      <w:r w:rsidRPr="0007572B">
        <w:rPr>
          <w:rFonts w:ascii="Arial" w:eastAsiaTheme="minorHAnsi" w:hAnsi="Arial" w:cs="Arial"/>
          <w:sz w:val="24"/>
          <w:szCs w:val="24"/>
        </w:rPr>
        <w:tab/>
        <w:t>£50m</w:t>
      </w:r>
    </w:p>
    <w:p w14:paraId="66C89718" w14:textId="799F9C91" w:rsidR="00C802FD" w:rsidRPr="0007572B" w:rsidRDefault="00C802FD" w:rsidP="00EB27EB">
      <w:pPr>
        <w:pStyle w:val="ListParagraph"/>
        <w:numPr>
          <w:ilvl w:val="0"/>
          <w:numId w:val="31"/>
        </w:numPr>
        <w:spacing w:after="160" w:line="240" w:lineRule="auto"/>
        <w:jc w:val="both"/>
        <w:rPr>
          <w:rFonts w:ascii="Arial" w:eastAsiaTheme="minorHAnsi" w:hAnsi="Arial" w:cs="Arial"/>
          <w:sz w:val="24"/>
          <w:szCs w:val="24"/>
        </w:rPr>
      </w:pPr>
      <w:r w:rsidRPr="0007572B">
        <w:rPr>
          <w:rFonts w:ascii="Arial" w:eastAsiaTheme="minorHAnsi" w:hAnsi="Arial" w:cs="Arial"/>
          <w:sz w:val="24"/>
          <w:szCs w:val="24"/>
        </w:rPr>
        <w:t>Other local authorities</w:t>
      </w:r>
      <w:r w:rsidRPr="0007572B">
        <w:rPr>
          <w:rFonts w:ascii="Arial" w:eastAsiaTheme="minorHAnsi" w:hAnsi="Arial" w:cs="Arial"/>
          <w:sz w:val="24"/>
          <w:szCs w:val="24"/>
        </w:rPr>
        <w:tab/>
      </w:r>
      <w:r w:rsidRPr="0007572B">
        <w:rPr>
          <w:rFonts w:ascii="Arial" w:eastAsiaTheme="minorHAnsi" w:hAnsi="Arial" w:cs="Arial"/>
          <w:sz w:val="24"/>
          <w:szCs w:val="24"/>
        </w:rPr>
        <w:tab/>
        <w:t>£20m</w:t>
      </w:r>
    </w:p>
    <w:p w14:paraId="5A8D38BC" w14:textId="77777777" w:rsidR="00C802FD" w:rsidRPr="0007572B" w:rsidRDefault="00C802FD" w:rsidP="0038082E">
      <w:pPr>
        <w:pStyle w:val="Heading4bold"/>
        <w:rPr>
          <w:rFonts w:eastAsiaTheme="minorHAnsi"/>
        </w:rPr>
      </w:pPr>
      <w:r w:rsidRPr="0007572B">
        <w:rPr>
          <w:rFonts w:eastAsiaTheme="minorHAnsi"/>
        </w:rPr>
        <w:t>Credit Risk</w:t>
      </w:r>
    </w:p>
    <w:p w14:paraId="32A33B90" w14:textId="77777777" w:rsidR="00C802FD" w:rsidRPr="0007572B" w:rsidRDefault="00C802FD" w:rsidP="0038082E">
      <w:pPr>
        <w:rPr>
          <w:rFonts w:ascii="Arial" w:eastAsiaTheme="minorHAnsi" w:hAnsi="Arial" w:cs="Arial"/>
        </w:rPr>
      </w:pPr>
      <w:r w:rsidRPr="0007572B">
        <w:rPr>
          <w:rFonts w:ascii="Arial" w:eastAsiaTheme="minorHAnsi" w:hAnsi="Arial" w:cs="Arial"/>
        </w:rPr>
        <w:t>Credit risk arises from deposits with banks and financial institutions, as well as credit exposures to the Authority’s debtors and creditors.</w:t>
      </w:r>
    </w:p>
    <w:p w14:paraId="3B30C1E1" w14:textId="77777777" w:rsidR="00C802FD" w:rsidRPr="0007572B" w:rsidRDefault="00C802FD" w:rsidP="0038082E">
      <w:pPr>
        <w:rPr>
          <w:rFonts w:ascii="Arial" w:eastAsiaTheme="minorHAnsi" w:hAnsi="Arial" w:cs="Arial"/>
        </w:rPr>
      </w:pPr>
    </w:p>
    <w:p w14:paraId="588AA1EA" w14:textId="3BB48E51" w:rsidR="00C802FD" w:rsidRPr="0007572B" w:rsidRDefault="00C802FD" w:rsidP="0038082E">
      <w:pPr>
        <w:rPr>
          <w:rFonts w:ascii="Arial" w:eastAsiaTheme="minorHAnsi" w:hAnsi="Arial" w:cs="Arial"/>
        </w:rPr>
      </w:pPr>
      <w:r w:rsidRPr="0007572B">
        <w:rPr>
          <w:rFonts w:ascii="Arial" w:eastAsiaTheme="minorHAnsi" w:hAnsi="Arial" w:cs="Arial"/>
        </w:rPr>
        <w:t>This risk is minimised through the Annual Investment Strategy, which requires that deposits are not made with financial institutions unless they meet identified minimum credit criteria, in accordance with the Fitch and Moody’s Ratings Services. The Annual Investment Strategy also imposes a maximum sum to be invested with a financial institution located within each category. Deposits are not made with banks and financial institutions unless they meet the minimum requirements of the investment criteria outlined above. All investments held as at 31 March 202</w:t>
      </w:r>
      <w:r w:rsidR="00502211">
        <w:rPr>
          <w:rFonts w:ascii="Arial" w:eastAsiaTheme="minorHAnsi" w:hAnsi="Arial" w:cs="Arial"/>
        </w:rPr>
        <w:t>2</w:t>
      </w:r>
      <w:r w:rsidRPr="0007572B">
        <w:rPr>
          <w:rFonts w:ascii="Arial" w:eastAsiaTheme="minorHAnsi" w:hAnsi="Arial" w:cs="Arial"/>
        </w:rPr>
        <w:t xml:space="preserve"> were with the HM Treasury Debt Management Office, other local authorities or UK banks and building societies.</w:t>
      </w:r>
    </w:p>
    <w:p w14:paraId="59726B4B" w14:textId="77777777" w:rsidR="00C802FD" w:rsidRPr="0007572B" w:rsidRDefault="00C802FD" w:rsidP="0038082E">
      <w:pPr>
        <w:rPr>
          <w:rFonts w:ascii="Arial" w:eastAsiaTheme="minorHAnsi" w:hAnsi="Arial" w:cs="Arial"/>
        </w:rPr>
      </w:pPr>
    </w:p>
    <w:p w14:paraId="521C342A" w14:textId="77777777" w:rsidR="00C802FD" w:rsidRPr="0007572B" w:rsidRDefault="00C802FD" w:rsidP="0038082E">
      <w:pPr>
        <w:rPr>
          <w:rFonts w:ascii="Arial" w:eastAsiaTheme="minorHAnsi" w:hAnsi="Arial" w:cs="Arial"/>
          <w:color w:val="000000" w:themeColor="text1"/>
        </w:rPr>
      </w:pPr>
      <w:r w:rsidRPr="0007572B">
        <w:rPr>
          <w:rFonts w:ascii="Arial" w:eastAsiaTheme="minorHAnsi" w:hAnsi="Arial" w:cs="Arial"/>
        </w:rPr>
        <w:t xml:space="preserve">The Authority has not used any non-credit rated institutions (for instance smaller building societies or bank subsidiaries where the parent has a satisfactory rating). In these circumstances, these investments would have been classified as other </w:t>
      </w:r>
      <w:r w:rsidRPr="0007572B">
        <w:rPr>
          <w:rFonts w:ascii="Arial" w:eastAsiaTheme="minorHAnsi" w:hAnsi="Arial" w:cs="Arial"/>
          <w:color w:val="000000" w:themeColor="text1"/>
        </w:rPr>
        <w:t>counterparties.</w:t>
      </w:r>
    </w:p>
    <w:p w14:paraId="1F0A18D6" w14:textId="77777777" w:rsidR="00C802FD" w:rsidRPr="0007572B" w:rsidRDefault="00C802FD" w:rsidP="0038082E">
      <w:pPr>
        <w:rPr>
          <w:rFonts w:ascii="Arial" w:eastAsiaTheme="minorHAnsi" w:hAnsi="Arial" w:cs="Arial"/>
          <w:color w:val="000000" w:themeColor="text1"/>
        </w:rPr>
      </w:pPr>
    </w:p>
    <w:p w14:paraId="61677A98" w14:textId="77777777" w:rsidR="00C802FD" w:rsidRPr="0007572B" w:rsidRDefault="00C802FD" w:rsidP="0038082E">
      <w:pPr>
        <w:rPr>
          <w:rFonts w:ascii="Arial" w:eastAsiaTheme="minorHAnsi" w:hAnsi="Arial" w:cs="Arial"/>
        </w:rPr>
      </w:pPr>
      <w:r w:rsidRPr="0007572B">
        <w:rPr>
          <w:rFonts w:ascii="Arial" w:eastAsiaTheme="minorHAnsi" w:hAnsi="Arial" w:cs="Arial"/>
        </w:rPr>
        <w:t>The following significant inputs, assumptions and estimation techniques have been used in calculating impairment loss allowances:</w:t>
      </w:r>
    </w:p>
    <w:p w14:paraId="59D7038A" w14:textId="77777777" w:rsidR="00C802FD" w:rsidRPr="0007572B" w:rsidRDefault="00C802FD" w:rsidP="0038082E">
      <w:pPr>
        <w:jc w:val="both"/>
        <w:rPr>
          <w:rFonts w:ascii="Arial" w:eastAsiaTheme="minorHAnsi" w:hAnsi="Arial" w:cs="Arial"/>
        </w:rPr>
      </w:pPr>
    </w:p>
    <w:p w14:paraId="28AFBBAC" w14:textId="77777777" w:rsidR="00C802FD" w:rsidRPr="0007572B" w:rsidRDefault="00C802FD" w:rsidP="00EB27EB">
      <w:pPr>
        <w:pStyle w:val="ListParagraph"/>
        <w:numPr>
          <w:ilvl w:val="0"/>
          <w:numId w:val="36"/>
        </w:numPr>
        <w:spacing w:line="240" w:lineRule="auto"/>
        <w:rPr>
          <w:rFonts w:ascii="Arial" w:hAnsi="Arial" w:cs="Arial"/>
          <w:sz w:val="24"/>
          <w:szCs w:val="24"/>
        </w:rPr>
      </w:pPr>
      <w:r w:rsidRPr="0007572B">
        <w:rPr>
          <w:rFonts w:ascii="Arial" w:hAnsi="Arial" w:cs="Arial"/>
          <w:sz w:val="24"/>
          <w:szCs w:val="24"/>
        </w:rPr>
        <w:t>The Authority assesses each loan it provides individually in terms of likelihood and quantum of recovery, taking a forward-looking approach to the assessment from two different aspects:</w:t>
      </w:r>
    </w:p>
    <w:p w14:paraId="78BF7698" w14:textId="77777777" w:rsidR="00C802FD" w:rsidRPr="0007572B" w:rsidRDefault="00C802FD" w:rsidP="0038082E">
      <w:pPr>
        <w:pStyle w:val="ListParagraph"/>
        <w:spacing w:line="240" w:lineRule="auto"/>
        <w:rPr>
          <w:rFonts w:ascii="Arial" w:hAnsi="Arial" w:cs="Arial"/>
          <w:sz w:val="24"/>
          <w:szCs w:val="24"/>
        </w:rPr>
      </w:pPr>
    </w:p>
    <w:p w14:paraId="64359F80" w14:textId="77777777" w:rsidR="00C802FD" w:rsidRPr="0007572B" w:rsidRDefault="00C802FD" w:rsidP="00EB27EB">
      <w:pPr>
        <w:pStyle w:val="ListParagraph"/>
        <w:numPr>
          <w:ilvl w:val="0"/>
          <w:numId w:val="39"/>
        </w:numPr>
        <w:spacing w:line="240" w:lineRule="auto"/>
        <w:rPr>
          <w:rFonts w:ascii="Arial" w:hAnsi="Arial" w:cs="Arial"/>
          <w:sz w:val="24"/>
          <w:szCs w:val="24"/>
        </w:rPr>
      </w:pPr>
      <w:r w:rsidRPr="0007572B">
        <w:rPr>
          <w:rFonts w:ascii="Arial" w:hAnsi="Arial" w:cs="Arial"/>
          <w:sz w:val="24"/>
          <w:szCs w:val="24"/>
        </w:rPr>
        <w:t>Performance - reviewing portfolio and management information to assess business risk from a performance perspective.</w:t>
      </w:r>
    </w:p>
    <w:p w14:paraId="1EED7D50" w14:textId="15B6B36E" w:rsidR="00C802FD" w:rsidRDefault="00C802FD" w:rsidP="00EB27EB">
      <w:pPr>
        <w:pStyle w:val="ListParagraph"/>
        <w:numPr>
          <w:ilvl w:val="0"/>
          <w:numId w:val="39"/>
        </w:numPr>
        <w:spacing w:line="240" w:lineRule="auto"/>
        <w:rPr>
          <w:rFonts w:ascii="Arial" w:hAnsi="Arial" w:cs="Arial"/>
          <w:sz w:val="24"/>
          <w:szCs w:val="24"/>
        </w:rPr>
      </w:pPr>
      <w:r w:rsidRPr="0007572B">
        <w:rPr>
          <w:rFonts w:ascii="Arial" w:hAnsi="Arial" w:cs="Arial"/>
          <w:sz w:val="24"/>
          <w:szCs w:val="24"/>
        </w:rPr>
        <w:lastRenderedPageBreak/>
        <w:t>Security</w:t>
      </w:r>
      <w:r w:rsidR="00A041A7" w:rsidRPr="0007572B">
        <w:rPr>
          <w:rFonts w:ascii="Arial" w:hAnsi="Arial" w:cs="Arial"/>
          <w:sz w:val="24"/>
          <w:szCs w:val="24"/>
        </w:rPr>
        <w:t xml:space="preserve"> </w:t>
      </w:r>
      <w:r w:rsidRPr="0007572B">
        <w:rPr>
          <w:rFonts w:ascii="Arial" w:hAnsi="Arial" w:cs="Arial"/>
          <w:sz w:val="24"/>
          <w:szCs w:val="24"/>
        </w:rPr>
        <w:t xml:space="preserve">- reviewing the strength of the Authority’s security in a loan recovery situation to allow this to be factored into the loss allowance assessment. </w:t>
      </w:r>
    </w:p>
    <w:p w14:paraId="1D0E329E" w14:textId="77777777" w:rsidR="00DE43CF" w:rsidRPr="00DE43CF" w:rsidRDefault="00DE43CF" w:rsidP="00DE43CF">
      <w:pPr>
        <w:rPr>
          <w:rFonts w:ascii="Arial" w:hAnsi="Arial" w:cs="Arial"/>
        </w:rPr>
      </w:pPr>
    </w:p>
    <w:p w14:paraId="63DD6035" w14:textId="77777777" w:rsidR="00EC0C92" w:rsidRDefault="0055161B" w:rsidP="003941CA">
      <w:pPr>
        <w:pStyle w:val="ListParagraph"/>
        <w:rPr>
          <w:rFonts w:ascii="Arial" w:hAnsi="Arial" w:cs="Arial"/>
          <w:sz w:val="24"/>
          <w:szCs w:val="24"/>
        </w:rPr>
      </w:pPr>
      <w:r w:rsidRPr="0055161B">
        <w:rPr>
          <w:noProof/>
        </w:rPr>
        <w:drawing>
          <wp:inline distT="0" distB="0" distL="0" distR="0" wp14:anchorId="6BE56EBB" wp14:editId="3D4073B6">
            <wp:extent cx="5975350" cy="1600200"/>
            <wp:effectExtent l="0" t="0" r="635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5350" cy="1600200"/>
                    </a:xfrm>
                    <a:prstGeom prst="rect">
                      <a:avLst/>
                    </a:prstGeom>
                    <a:noFill/>
                    <a:ln>
                      <a:noFill/>
                    </a:ln>
                  </pic:spPr>
                </pic:pic>
              </a:graphicData>
            </a:graphic>
          </wp:inline>
        </w:drawing>
      </w:r>
    </w:p>
    <w:p w14:paraId="4A82A6E1" w14:textId="20E9434B" w:rsidR="003941CA" w:rsidRPr="00A106AE" w:rsidRDefault="003941CA" w:rsidP="00A106AE">
      <w:pPr>
        <w:rPr>
          <w:rFonts w:ascii="Arial" w:hAnsi="Arial" w:cs="Arial"/>
        </w:rPr>
      </w:pPr>
    </w:p>
    <w:p w14:paraId="7D921975" w14:textId="25EC7520" w:rsidR="00C802FD" w:rsidRPr="00176124" w:rsidRDefault="00C802FD" w:rsidP="00EB27EB">
      <w:pPr>
        <w:pStyle w:val="ListParagraph"/>
        <w:numPr>
          <w:ilvl w:val="0"/>
          <w:numId w:val="36"/>
        </w:numPr>
        <w:spacing w:line="240" w:lineRule="auto"/>
        <w:rPr>
          <w:rFonts w:ascii="Arial" w:eastAsiaTheme="minorHAnsi" w:hAnsi="Arial" w:cs="Arial"/>
          <w:sz w:val="24"/>
          <w:szCs w:val="24"/>
        </w:rPr>
      </w:pPr>
      <w:bookmarkStart w:id="180" w:name="_Hlk109071599"/>
      <w:r w:rsidRPr="00176124">
        <w:rPr>
          <w:rFonts w:ascii="Arial" w:eastAsiaTheme="minorHAnsi" w:hAnsi="Arial" w:cs="Arial"/>
          <w:sz w:val="24"/>
          <w:szCs w:val="24"/>
        </w:rPr>
        <w:t xml:space="preserve">The Authority’s debtors relate primarily to claims on </w:t>
      </w:r>
      <w:r w:rsidR="000713CE" w:rsidRPr="00176124">
        <w:rPr>
          <w:rFonts w:ascii="Arial" w:eastAsiaTheme="minorHAnsi" w:hAnsi="Arial" w:cs="Arial"/>
          <w:sz w:val="24"/>
          <w:szCs w:val="24"/>
        </w:rPr>
        <w:t>c</w:t>
      </w:r>
      <w:r w:rsidRPr="00176124">
        <w:rPr>
          <w:rFonts w:ascii="Arial" w:eastAsiaTheme="minorHAnsi" w:hAnsi="Arial" w:cs="Arial"/>
          <w:sz w:val="24"/>
          <w:szCs w:val="24"/>
        </w:rPr>
        <w:t xml:space="preserve">entral and </w:t>
      </w:r>
      <w:r w:rsidR="000713CE" w:rsidRPr="00176124">
        <w:rPr>
          <w:rFonts w:ascii="Arial" w:eastAsiaTheme="minorHAnsi" w:hAnsi="Arial" w:cs="Arial"/>
          <w:sz w:val="24"/>
          <w:szCs w:val="24"/>
        </w:rPr>
        <w:t>l</w:t>
      </w:r>
      <w:r w:rsidRPr="00176124">
        <w:rPr>
          <w:rFonts w:ascii="Arial" w:eastAsiaTheme="minorHAnsi" w:hAnsi="Arial" w:cs="Arial"/>
          <w:sz w:val="24"/>
          <w:szCs w:val="24"/>
        </w:rPr>
        <w:t xml:space="preserve">ocal </w:t>
      </w:r>
      <w:r w:rsidR="000713CE" w:rsidRPr="00176124">
        <w:rPr>
          <w:rFonts w:ascii="Arial" w:eastAsiaTheme="minorHAnsi" w:hAnsi="Arial" w:cs="Arial"/>
          <w:sz w:val="24"/>
          <w:szCs w:val="24"/>
        </w:rPr>
        <w:t>g</w:t>
      </w:r>
      <w:r w:rsidRPr="00176124">
        <w:rPr>
          <w:rFonts w:ascii="Arial" w:eastAsiaTheme="minorHAnsi" w:hAnsi="Arial" w:cs="Arial"/>
          <w:sz w:val="24"/>
          <w:szCs w:val="24"/>
        </w:rPr>
        <w:t xml:space="preserve">overnment departments. Other non-trade debtors include HMRC and RGF/GPF, HIF, City Deal and Growth Deal loans. </w:t>
      </w:r>
    </w:p>
    <w:bookmarkEnd w:id="180"/>
    <w:p w14:paraId="68E79829" w14:textId="77777777" w:rsidR="00C802FD" w:rsidRPr="0007572B" w:rsidRDefault="00C802FD" w:rsidP="0038082E">
      <w:pPr>
        <w:pStyle w:val="ListParagraph"/>
        <w:spacing w:line="240" w:lineRule="auto"/>
        <w:rPr>
          <w:rFonts w:ascii="Arial" w:eastAsiaTheme="minorHAnsi" w:hAnsi="Arial" w:cs="Arial"/>
          <w:sz w:val="24"/>
          <w:szCs w:val="24"/>
          <w:highlight w:val="yellow"/>
        </w:rPr>
      </w:pPr>
    </w:p>
    <w:p w14:paraId="17C54413" w14:textId="31DD83C6" w:rsidR="00C802FD" w:rsidRPr="0007572B" w:rsidRDefault="00C802FD" w:rsidP="0038082E">
      <w:pPr>
        <w:pStyle w:val="ListParagraph"/>
        <w:spacing w:line="240" w:lineRule="auto"/>
        <w:rPr>
          <w:rFonts w:ascii="Arial" w:eastAsiaTheme="minorHAnsi" w:hAnsi="Arial" w:cs="Arial"/>
          <w:sz w:val="24"/>
          <w:szCs w:val="24"/>
        </w:rPr>
      </w:pPr>
      <w:r w:rsidRPr="0007572B">
        <w:rPr>
          <w:rFonts w:ascii="Arial" w:eastAsiaTheme="minorHAnsi" w:hAnsi="Arial" w:cs="Arial"/>
          <w:sz w:val="24"/>
          <w:szCs w:val="24"/>
        </w:rPr>
        <w:t xml:space="preserve">The RGF/GPF, HIF, City Deal, Growth Deal and other stand-alone loans have had individual risk profiles assessed, resulting in a ‘lifetime expected loss </w:t>
      </w:r>
      <w:r w:rsidRPr="009D2D1A">
        <w:rPr>
          <w:rFonts w:ascii="Arial" w:eastAsiaTheme="minorHAnsi" w:hAnsi="Arial" w:cs="Arial"/>
          <w:sz w:val="24"/>
          <w:szCs w:val="24"/>
        </w:rPr>
        <w:t>allowance’ of £</w:t>
      </w:r>
      <w:r w:rsidR="009D2D1A" w:rsidRPr="009D2D1A">
        <w:rPr>
          <w:rFonts w:ascii="Arial" w:eastAsiaTheme="minorHAnsi" w:hAnsi="Arial" w:cs="Arial"/>
          <w:sz w:val="24"/>
          <w:szCs w:val="24"/>
        </w:rPr>
        <w:t>8</w:t>
      </w:r>
      <w:r w:rsidR="00046148" w:rsidRPr="009D2D1A">
        <w:rPr>
          <w:rFonts w:ascii="Arial" w:eastAsiaTheme="minorHAnsi" w:hAnsi="Arial" w:cs="Arial"/>
          <w:sz w:val="24"/>
          <w:szCs w:val="24"/>
        </w:rPr>
        <w:t>.</w:t>
      </w:r>
      <w:r w:rsidRPr="009D2D1A">
        <w:rPr>
          <w:rFonts w:ascii="Arial" w:eastAsiaTheme="minorHAnsi" w:hAnsi="Arial" w:cs="Arial"/>
          <w:sz w:val="24"/>
          <w:szCs w:val="24"/>
        </w:rPr>
        <w:t>5</w:t>
      </w:r>
      <w:r w:rsidR="009D2D1A" w:rsidRPr="009D2D1A">
        <w:rPr>
          <w:rFonts w:ascii="Arial" w:eastAsiaTheme="minorHAnsi" w:hAnsi="Arial" w:cs="Arial"/>
          <w:sz w:val="24"/>
          <w:szCs w:val="24"/>
        </w:rPr>
        <w:t>90</w:t>
      </w:r>
      <w:r w:rsidRPr="009D2D1A">
        <w:rPr>
          <w:rFonts w:ascii="Arial" w:eastAsiaTheme="minorHAnsi" w:hAnsi="Arial" w:cs="Arial"/>
          <w:sz w:val="24"/>
          <w:szCs w:val="24"/>
        </w:rPr>
        <w:t>m being included within the accounts, as per the table above.</w:t>
      </w:r>
    </w:p>
    <w:p w14:paraId="05D144F4" w14:textId="77777777" w:rsidR="00C802FD" w:rsidRPr="0007572B" w:rsidRDefault="00C802FD" w:rsidP="0038082E">
      <w:pPr>
        <w:pStyle w:val="ListParagraph"/>
        <w:spacing w:line="240" w:lineRule="auto"/>
        <w:rPr>
          <w:rFonts w:ascii="Arial" w:eastAsiaTheme="minorHAnsi" w:hAnsi="Arial" w:cs="Arial"/>
          <w:sz w:val="24"/>
          <w:szCs w:val="24"/>
          <w:highlight w:val="yellow"/>
        </w:rPr>
      </w:pPr>
    </w:p>
    <w:p w14:paraId="484EF305" w14:textId="445B6FE8" w:rsidR="00C802FD" w:rsidRPr="0007572B" w:rsidRDefault="00C802FD" w:rsidP="0038082E">
      <w:pPr>
        <w:pStyle w:val="ListParagraph"/>
        <w:spacing w:line="240" w:lineRule="auto"/>
        <w:rPr>
          <w:rFonts w:ascii="Arial" w:eastAsiaTheme="minorHAnsi" w:hAnsi="Arial" w:cs="Arial"/>
          <w:sz w:val="24"/>
          <w:szCs w:val="24"/>
        </w:rPr>
      </w:pPr>
      <w:bookmarkStart w:id="181" w:name="_Hlk109071201"/>
      <w:r w:rsidRPr="0007572B">
        <w:rPr>
          <w:rFonts w:ascii="Arial" w:eastAsiaTheme="minorHAnsi" w:hAnsi="Arial" w:cs="Arial"/>
          <w:sz w:val="24"/>
          <w:szCs w:val="24"/>
        </w:rPr>
        <w:t>Of the total debtors past their due date for payme</w:t>
      </w:r>
      <w:r w:rsidRPr="002B5482">
        <w:rPr>
          <w:rFonts w:ascii="Arial" w:eastAsiaTheme="minorHAnsi" w:hAnsi="Arial" w:cs="Arial"/>
          <w:sz w:val="24"/>
          <w:szCs w:val="24"/>
        </w:rPr>
        <w:t>nt, the estimated exposure to default for trade debtors is £0.</w:t>
      </w:r>
      <w:r w:rsidR="0094056D">
        <w:rPr>
          <w:rFonts w:ascii="Arial" w:eastAsiaTheme="minorHAnsi" w:hAnsi="Arial" w:cs="Arial"/>
          <w:sz w:val="24"/>
          <w:szCs w:val="24"/>
        </w:rPr>
        <w:t>1</w:t>
      </w:r>
      <w:r w:rsidRPr="002B5482">
        <w:rPr>
          <w:rFonts w:ascii="Arial" w:eastAsiaTheme="minorHAnsi" w:hAnsi="Arial" w:cs="Arial"/>
          <w:sz w:val="24"/>
          <w:szCs w:val="24"/>
        </w:rPr>
        <w:t>m.</w:t>
      </w:r>
    </w:p>
    <w:bookmarkEnd w:id="181"/>
    <w:p w14:paraId="17CDF15E" w14:textId="77777777" w:rsidR="00C802FD" w:rsidRPr="0007572B" w:rsidRDefault="00C802FD" w:rsidP="0038082E">
      <w:pPr>
        <w:pStyle w:val="ListParagraph"/>
        <w:spacing w:line="240" w:lineRule="auto"/>
        <w:rPr>
          <w:rFonts w:ascii="Arial" w:eastAsiaTheme="minorHAnsi" w:hAnsi="Arial" w:cs="Arial"/>
          <w:sz w:val="24"/>
          <w:szCs w:val="24"/>
          <w:highlight w:val="yellow"/>
        </w:rPr>
      </w:pPr>
    </w:p>
    <w:p w14:paraId="7D3D5269" w14:textId="3CBF6E34" w:rsidR="00133E33" w:rsidRPr="00176124" w:rsidRDefault="00C802FD" w:rsidP="00EB27EB">
      <w:pPr>
        <w:pStyle w:val="ListParagraph"/>
        <w:numPr>
          <w:ilvl w:val="0"/>
          <w:numId w:val="35"/>
        </w:numPr>
        <w:spacing w:after="240" w:line="240" w:lineRule="auto"/>
        <w:rPr>
          <w:rFonts w:ascii="Arial" w:eastAsiaTheme="minorHAnsi" w:hAnsi="Arial" w:cs="Arial"/>
          <w:b/>
          <w:sz w:val="24"/>
          <w:szCs w:val="24"/>
        </w:rPr>
      </w:pPr>
      <w:bookmarkStart w:id="182" w:name="_Hlk109071608"/>
      <w:r w:rsidRPr="00176124">
        <w:rPr>
          <w:rFonts w:ascii="Arial" w:eastAsiaTheme="minorHAnsi" w:hAnsi="Arial" w:cs="Arial"/>
          <w:sz w:val="24"/>
          <w:szCs w:val="24"/>
        </w:rPr>
        <w:t xml:space="preserve">The Authority’s trade creditors relate primarily to </w:t>
      </w:r>
      <w:r w:rsidR="00133E33" w:rsidRPr="00176124">
        <w:rPr>
          <w:rFonts w:ascii="Arial" w:eastAsiaTheme="minorHAnsi" w:hAnsi="Arial" w:cs="Arial"/>
          <w:sz w:val="24"/>
          <w:szCs w:val="24"/>
        </w:rPr>
        <w:t>capital and revenue amounts</w:t>
      </w:r>
      <w:r w:rsidRPr="00176124">
        <w:rPr>
          <w:rFonts w:ascii="Arial" w:eastAsiaTheme="minorHAnsi" w:hAnsi="Arial" w:cs="Arial"/>
          <w:sz w:val="24"/>
          <w:szCs w:val="24"/>
        </w:rPr>
        <w:t xml:space="preserve"> payable </w:t>
      </w:r>
      <w:r w:rsidR="00133E33" w:rsidRPr="00176124">
        <w:rPr>
          <w:rFonts w:ascii="Arial" w:eastAsiaTheme="minorHAnsi" w:hAnsi="Arial" w:cs="Arial"/>
          <w:sz w:val="24"/>
          <w:szCs w:val="24"/>
        </w:rPr>
        <w:t xml:space="preserve">in relation </w:t>
      </w:r>
      <w:r w:rsidRPr="00176124">
        <w:rPr>
          <w:rFonts w:ascii="Arial" w:eastAsiaTheme="minorHAnsi" w:hAnsi="Arial" w:cs="Arial"/>
          <w:sz w:val="24"/>
          <w:szCs w:val="24"/>
        </w:rPr>
        <w:t xml:space="preserve">to </w:t>
      </w:r>
      <w:r w:rsidR="00133E33" w:rsidRPr="00176124">
        <w:rPr>
          <w:rFonts w:ascii="Arial" w:eastAsiaTheme="minorHAnsi" w:hAnsi="Arial" w:cs="Arial"/>
          <w:sz w:val="24"/>
          <w:szCs w:val="24"/>
        </w:rPr>
        <w:t xml:space="preserve">Waste Disposal and Police Fund. </w:t>
      </w:r>
    </w:p>
    <w:bookmarkEnd w:id="182"/>
    <w:p w14:paraId="028925D8" w14:textId="77777777" w:rsidR="00133E33" w:rsidRPr="0007572B" w:rsidRDefault="00133E33" w:rsidP="0038082E">
      <w:pPr>
        <w:pStyle w:val="ListParagraph"/>
        <w:spacing w:after="240" w:line="240" w:lineRule="auto"/>
        <w:rPr>
          <w:rFonts w:ascii="Arial" w:eastAsiaTheme="minorHAnsi" w:hAnsi="Arial" w:cs="Arial"/>
          <w:b/>
          <w:sz w:val="24"/>
          <w:szCs w:val="24"/>
        </w:rPr>
      </w:pPr>
    </w:p>
    <w:p w14:paraId="7A043665" w14:textId="54EDE55B" w:rsidR="00C802FD" w:rsidRDefault="00C802FD" w:rsidP="0038082E">
      <w:pPr>
        <w:pStyle w:val="Heading5"/>
        <w:rPr>
          <w:rFonts w:eastAsiaTheme="minorHAnsi"/>
        </w:rPr>
      </w:pPr>
      <w:r w:rsidRPr="0007572B">
        <w:rPr>
          <w:rFonts w:eastAsiaTheme="minorHAnsi"/>
        </w:rPr>
        <w:t>Credit Ratings Used:</w:t>
      </w:r>
    </w:p>
    <w:p w14:paraId="4584BCBC" w14:textId="77777777" w:rsidR="00D4492C" w:rsidRPr="00D4492C" w:rsidRDefault="00D4492C" w:rsidP="0038082E">
      <w:pPr>
        <w:rPr>
          <w:rFonts w:eastAsiaTheme="minorHAnsi"/>
        </w:rPr>
      </w:pPr>
    </w:p>
    <w:p w14:paraId="0EA7BC1A" w14:textId="77777777" w:rsidR="00C802FD" w:rsidRPr="0007572B" w:rsidRDefault="00C802FD" w:rsidP="0038082E">
      <w:pPr>
        <w:spacing w:after="160"/>
        <w:rPr>
          <w:rFonts w:ascii="Arial" w:eastAsiaTheme="minorHAnsi" w:hAnsi="Arial" w:cs="Arial"/>
        </w:rPr>
      </w:pPr>
      <w:r w:rsidRPr="0007572B">
        <w:rPr>
          <w:rFonts w:ascii="Arial" w:eastAsiaTheme="minorHAnsi" w:hAnsi="Arial" w:cs="Arial"/>
        </w:rPr>
        <w:t>Banks and Building Societies - as a minimum, institutions must have the following Fitch (or equivalent) credit ratings (where rated):</w:t>
      </w:r>
    </w:p>
    <w:p w14:paraId="53E7EB37" w14:textId="77777777" w:rsidR="00C802FD" w:rsidRPr="0007572B" w:rsidRDefault="00C802FD" w:rsidP="00EB27EB">
      <w:pPr>
        <w:numPr>
          <w:ilvl w:val="0"/>
          <w:numId w:val="15"/>
        </w:numPr>
        <w:spacing w:after="160"/>
        <w:contextualSpacing/>
        <w:jc w:val="both"/>
        <w:rPr>
          <w:rFonts w:ascii="Arial" w:eastAsiaTheme="minorHAnsi" w:hAnsi="Arial" w:cs="Arial"/>
          <w:lang w:eastAsia="en-GB"/>
        </w:rPr>
      </w:pPr>
      <w:r w:rsidRPr="0007572B">
        <w:rPr>
          <w:rFonts w:ascii="Arial" w:eastAsiaTheme="minorHAnsi" w:hAnsi="Arial" w:cs="Arial"/>
          <w:lang w:eastAsia="en-GB"/>
        </w:rPr>
        <w:t xml:space="preserve">Long Term </w:t>
      </w:r>
      <w:r w:rsidRPr="0007572B">
        <w:rPr>
          <w:rFonts w:ascii="Arial" w:eastAsiaTheme="minorHAnsi" w:hAnsi="Arial" w:cs="Arial"/>
          <w:lang w:eastAsia="en-GB"/>
        </w:rPr>
        <w:tab/>
        <w:t>- Fitch BBB+</w:t>
      </w:r>
    </w:p>
    <w:p w14:paraId="0337788C" w14:textId="77777777" w:rsidR="00C802FD" w:rsidRPr="0007572B" w:rsidRDefault="00C802FD" w:rsidP="00EB27EB">
      <w:pPr>
        <w:numPr>
          <w:ilvl w:val="0"/>
          <w:numId w:val="15"/>
        </w:numPr>
        <w:spacing w:after="160"/>
        <w:contextualSpacing/>
        <w:jc w:val="both"/>
        <w:rPr>
          <w:rFonts w:ascii="Arial" w:eastAsiaTheme="minorHAnsi" w:hAnsi="Arial" w:cs="Arial"/>
          <w:lang w:eastAsia="en-GB"/>
        </w:rPr>
      </w:pPr>
      <w:r w:rsidRPr="0007572B">
        <w:rPr>
          <w:rFonts w:ascii="Arial" w:eastAsiaTheme="minorHAnsi" w:hAnsi="Arial" w:cs="Arial"/>
          <w:lang w:eastAsia="en-GB"/>
        </w:rPr>
        <w:t>Short Term</w:t>
      </w:r>
      <w:r w:rsidRPr="0007572B">
        <w:rPr>
          <w:rFonts w:ascii="Arial" w:eastAsiaTheme="minorHAnsi" w:hAnsi="Arial" w:cs="Arial"/>
          <w:lang w:eastAsia="en-GB"/>
        </w:rPr>
        <w:tab/>
        <w:t>- Fitch F2 or higher</w:t>
      </w:r>
    </w:p>
    <w:p w14:paraId="781B653E" w14:textId="104948A0" w:rsidR="00C802FD" w:rsidRDefault="00C802FD" w:rsidP="0038082E">
      <w:pPr>
        <w:pStyle w:val="Heading5"/>
        <w:rPr>
          <w:rFonts w:eastAsiaTheme="minorHAnsi"/>
        </w:rPr>
      </w:pPr>
      <w:r w:rsidRPr="0007572B">
        <w:rPr>
          <w:rFonts w:eastAsiaTheme="minorHAnsi"/>
        </w:rPr>
        <w:t>Monitoring of credit ratings:</w:t>
      </w:r>
    </w:p>
    <w:p w14:paraId="6673CACF" w14:textId="77777777" w:rsidR="00D4492C" w:rsidRPr="00D4492C" w:rsidRDefault="00D4492C" w:rsidP="0038082E">
      <w:pPr>
        <w:rPr>
          <w:rFonts w:eastAsiaTheme="minorHAnsi"/>
        </w:rPr>
      </w:pPr>
    </w:p>
    <w:p w14:paraId="4E07E95D" w14:textId="77777777" w:rsidR="00C802FD" w:rsidRPr="0007572B" w:rsidRDefault="00C802FD" w:rsidP="0038082E">
      <w:pPr>
        <w:spacing w:after="160"/>
        <w:rPr>
          <w:rFonts w:ascii="Arial" w:eastAsiaTheme="minorHAnsi" w:hAnsi="Arial" w:cs="Arial"/>
        </w:rPr>
      </w:pPr>
      <w:r w:rsidRPr="0007572B">
        <w:rPr>
          <w:rFonts w:ascii="Arial" w:eastAsiaTheme="minorHAnsi" w:hAnsi="Arial" w:cs="Arial"/>
        </w:rPr>
        <w:t>This Authority will not use the approach of using the lowest rating from all three rating agencies to determine creditworthy counterparties. The Link Asset Services creditworthiness service uses a wider array of information than just primary ratings and by using a risk weighted scoring system does not give undue preponderance to just one agency’s ratings.</w:t>
      </w:r>
    </w:p>
    <w:p w14:paraId="20907213" w14:textId="77777777" w:rsidR="00C802FD" w:rsidRPr="0007572B" w:rsidRDefault="00C802FD" w:rsidP="0038082E">
      <w:pPr>
        <w:spacing w:after="160"/>
        <w:rPr>
          <w:rFonts w:ascii="Arial" w:eastAsiaTheme="minorHAnsi" w:hAnsi="Arial" w:cs="Arial"/>
        </w:rPr>
      </w:pPr>
      <w:r w:rsidRPr="0007572B">
        <w:rPr>
          <w:rFonts w:ascii="Arial" w:eastAsiaTheme="minorHAnsi" w:hAnsi="Arial" w:cs="Arial"/>
        </w:rPr>
        <w:t>All credit ratings will be monitored daily and re-assessed weekly. The Authority is alerted to changes to ratings of all three agencies through its use of the Link Asset Services creditworthiness service.</w:t>
      </w:r>
    </w:p>
    <w:p w14:paraId="6074FBD9" w14:textId="77777777" w:rsidR="00C802FD" w:rsidRPr="0007572B" w:rsidRDefault="00C802FD" w:rsidP="00EB27EB">
      <w:pPr>
        <w:numPr>
          <w:ilvl w:val="0"/>
          <w:numId w:val="10"/>
        </w:numPr>
        <w:spacing w:after="160"/>
        <w:contextualSpacing/>
        <w:rPr>
          <w:rFonts w:ascii="Arial" w:eastAsiaTheme="minorHAnsi" w:hAnsi="Arial" w:cs="Arial"/>
          <w:lang w:eastAsia="en-GB"/>
        </w:rPr>
      </w:pPr>
      <w:r w:rsidRPr="0007572B">
        <w:rPr>
          <w:rFonts w:ascii="Arial" w:eastAsiaTheme="minorHAnsi" w:hAnsi="Arial" w:cs="Arial"/>
          <w:lang w:eastAsia="en-GB"/>
        </w:rPr>
        <w:lastRenderedPageBreak/>
        <w:t>If a downgrade results in the counterparty/investment scheme no longer meeting the Authority’s minimum criteria, its further use as a new investment will be withdrawn immediately;</w:t>
      </w:r>
    </w:p>
    <w:p w14:paraId="02EE8F79" w14:textId="77777777" w:rsidR="00C802FD" w:rsidRPr="0007572B" w:rsidRDefault="00C802FD" w:rsidP="00EB27EB">
      <w:pPr>
        <w:numPr>
          <w:ilvl w:val="0"/>
          <w:numId w:val="10"/>
        </w:numPr>
        <w:spacing w:after="160"/>
        <w:contextualSpacing/>
        <w:rPr>
          <w:rFonts w:ascii="Arial" w:eastAsiaTheme="minorHAnsi" w:hAnsi="Arial" w:cs="Arial"/>
          <w:lang w:eastAsia="en-GB"/>
        </w:rPr>
      </w:pPr>
      <w:r w:rsidRPr="0007572B">
        <w:rPr>
          <w:rFonts w:ascii="Arial" w:eastAsiaTheme="minorHAnsi" w:hAnsi="Arial" w:cs="Arial"/>
          <w:lang w:eastAsia="en-GB"/>
        </w:rPr>
        <w:t>In addition to the use of Credit Ratings, the Authority will be advised of information in Credit Default Swap against the iTraxx benchmark and other market data on a weekly basis. Extreme market movements may result in the downgrade of an institution or removal from the Authority’s lending list;</w:t>
      </w:r>
    </w:p>
    <w:p w14:paraId="1502CE0E" w14:textId="77777777" w:rsidR="00C802FD" w:rsidRPr="0007572B" w:rsidRDefault="00C802FD" w:rsidP="00EB27EB">
      <w:pPr>
        <w:numPr>
          <w:ilvl w:val="0"/>
          <w:numId w:val="10"/>
        </w:numPr>
        <w:spacing w:after="160"/>
        <w:contextualSpacing/>
        <w:rPr>
          <w:rFonts w:ascii="Arial" w:eastAsiaTheme="minorHAnsi" w:hAnsi="Arial" w:cs="Arial"/>
          <w:lang w:eastAsia="en-GB"/>
        </w:rPr>
      </w:pPr>
      <w:r w:rsidRPr="0007572B">
        <w:rPr>
          <w:rFonts w:ascii="Arial" w:eastAsiaTheme="minorHAnsi" w:hAnsi="Arial" w:cs="Arial"/>
          <w:lang w:eastAsia="en-GB"/>
        </w:rPr>
        <w:t>Sole reliance will not be placed on the use of this external service. In addition this Authority will also use market data and market information, information on government support for banks and the credit ratings of that government support.</w:t>
      </w:r>
    </w:p>
    <w:p w14:paraId="432EAF6D" w14:textId="77777777" w:rsidR="00C802FD" w:rsidRPr="0007572B" w:rsidRDefault="00C802FD" w:rsidP="0038082E">
      <w:pPr>
        <w:pStyle w:val="Heading4bold"/>
        <w:rPr>
          <w:rFonts w:eastAsiaTheme="minorHAnsi"/>
        </w:rPr>
      </w:pPr>
      <w:r w:rsidRPr="0007572B">
        <w:rPr>
          <w:rFonts w:eastAsiaTheme="minorHAnsi"/>
        </w:rPr>
        <w:t>Liquidity Risk</w:t>
      </w:r>
    </w:p>
    <w:p w14:paraId="13945CF4" w14:textId="77777777" w:rsidR="00C802FD" w:rsidRPr="0007572B" w:rsidRDefault="00C802FD" w:rsidP="0038082E">
      <w:pPr>
        <w:rPr>
          <w:rFonts w:ascii="Arial" w:eastAsiaTheme="minorHAnsi" w:hAnsi="Arial" w:cs="Arial"/>
        </w:rPr>
      </w:pPr>
      <w:r w:rsidRPr="0007572B">
        <w:rPr>
          <w:rFonts w:ascii="Arial" w:eastAsiaTheme="minorHAnsi" w:hAnsi="Arial" w:cs="Arial"/>
        </w:rPr>
        <w:t>The Authority manages its liquidity position through the risk management procedures above (the setting and approval of prudential indicators and the approval of the treasury and investment strategy reports), as well as through a comprehensive cash flow management system, as required by the Code of Practice. This seeks to ensure that cash is available as needed.</w:t>
      </w:r>
    </w:p>
    <w:p w14:paraId="3DBEC519" w14:textId="77777777" w:rsidR="00C802FD" w:rsidRPr="0007572B" w:rsidRDefault="00C802FD" w:rsidP="0038082E">
      <w:pPr>
        <w:rPr>
          <w:rFonts w:ascii="Arial" w:eastAsiaTheme="minorHAnsi" w:hAnsi="Arial" w:cs="Arial"/>
        </w:rPr>
      </w:pPr>
    </w:p>
    <w:p w14:paraId="5A9C1C5C" w14:textId="77777777" w:rsidR="00C802FD" w:rsidRPr="0007572B" w:rsidRDefault="00C802FD" w:rsidP="0038082E">
      <w:pPr>
        <w:rPr>
          <w:rFonts w:ascii="Arial" w:eastAsiaTheme="minorHAnsi" w:hAnsi="Arial" w:cs="Arial"/>
        </w:rPr>
      </w:pPr>
      <w:r w:rsidRPr="0007572B">
        <w:rPr>
          <w:rFonts w:ascii="Arial" w:eastAsiaTheme="minorHAnsi" w:hAnsi="Arial" w:cs="Arial"/>
        </w:rPr>
        <w:t>If unexpected movements happen, the Authority has ready access to borrowings from the money market and the Public Works Loans Board. The Authority is also required to provide a balanced budget through the Local Government Finance Act 1992, which ensures sufficient monies are raised to cover annual expenditure. There is no significant risk that it will be unable to raise finance to meet its commitments under financial instruments.</w:t>
      </w:r>
    </w:p>
    <w:p w14:paraId="31F8CBD1" w14:textId="77777777" w:rsidR="00C802FD" w:rsidRPr="0007572B" w:rsidRDefault="00C802FD" w:rsidP="0038082E">
      <w:pPr>
        <w:rPr>
          <w:rFonts w:ascii="Arial" w:eastAsiaTheme="minorHAnsi" w:hAnsi="Arial" w:cs="Arial"/>
        </w:rPr>
      </w:pPr>
    </w:p>
    <w:p w14:paraId="30AFD4F6" w14:textId="77777777" w:rsidR="00C802FD" w:rsidRPr="0007572B" w:rsidRDefault="00C802FD" w:rsidP="0038082E">
      <w:pPr>
        <w:rPr>
          <w:rFonts w:ascii="Arial" w:eastAsiaTheme="minorHAnsi" w:hAnsi="Arial" w:cs="Arial"/>
        </w:rPr>
      </w:pPr>
      <w:r w:rsidRPr="0007572B">
        <w:rPr>
          <w:rFonts w:ascii="Arial" w:eastAsiaTheme="minorHAnsi" w:hAnsi="Arial" w:cs="Arial"/>
        </w:rPr>
        <w:t>The Authority maintains a significant debt and investment portfolio. Whilst the cash flow procedures listed above are considered against the refinancing risk procedures, longer term risk to the Authority relates to managing the exposure to replacing financial instruments as they mature. This risk relates to both the maturing of longer term financial liabilities and longer term financial assets.</w:t>
      </w:r>
    </w:p>
    <w:p w14:paraId="6489B882" w14:textId="77777777" w:rsidR="00C802FD" w:rsidRPr="0007572B" w:rsidRDefault="00C802FD" w:rsidP="0038082E">
      <w:pPr>
        <w:rPr>
          <w:rFonts w:ascii="Arial" w:eastAsiaTheme="minorHAnsi" w:hAnsi="Arial" w:cs="Arial"/>
        </w:rPr>
      </w:pPr>
    </w:p>
    <w:p w14:paraId="12783696" w14:textId="77777777" w:rsidR="00C802FD" w:rsidRPr="0007572B" w:rsidRDefault="00C802FD" w:rsidP="0038082E">
      <w:pPr>
        <w:rPr>
          <w:rFonts w:ascii="Arial" w:eastAsiaTheme="minorHAnsi" w:hAnsi="Arial" w:cs="Arial"/>
        </w:rPr>
      </w:pPr>
      <w:r w:rsidRPr="0007572B">
        <w:rPr>
          <w:rFonts w:ascii="Arial" w:eastAsiaTheme="minorHAnsi" w:hAnsi="Arial" w:cs="Arial"/>
        </w:rPr>
        <w:t>The approved prudential indicator limits for the maturity structure of debt and the limits placed on investments placed for greater than one year in duration are the key parameters used to address this risk. The Authority approved treasury and investment strategies address the main risks and the central treasury team address the operational risks within the approved parameters. This includes:</w:t>
      </w:r>
    </w:p>
    <w:p w14:paraId="28D2C66D" w14:textId="77777777" w:rsidR="00C802FD" w:rsidRPr="0007572B" w:rsidRDefault="00C802FD" w:rsidP="0038082E">
      <w:pPr>
        <w:rPr>
          <w:rFonts w:ascii="Arial" w:eastAsiaTheme="minorHAnsi" w:hAnsi="Arial" w:cs="Arial"/>
        </w:rPr>
      </w:pPr>
    </w:p>
    <w:p w14:paraId="39130456" w14:textId="77777777" w:rsidR="00C802FD" w:rsidRPr="0007572B" w:rsidRDefault="00C802FD" w:rsidP="00EB27EB">
      <w:pPr>
        <w:numPr>
          <w:ilvl w:val="0"/>
          <w:numId w:val="11"/>
        </w:numPr>
        <w:spacing w:after="160"/>
        <w:contextualSpacing/>
        <w:rPr>
          <w:rFonts w:ascii="Arial" w:eastAsiaTheme="minorHAnsi" w:hAnsi="Arial" w:cs="Arial"/>
          <w:lang w:eastAsia="en-GB"/>
        </w:rPr>
      </w:pPr>
      <w:r w:rsidRPr="0007572B">
        <w:rPr>
          <w:rFonts w:ascii="Arial" w:eastAsiaTheme="minorHAnsi" w:hAnsi="Arial" w:cs="Arial"/>
          <w:lang w:eastAsia="en-GB"/>
        </w:rPr>
        <w:t>monitoring the maturity profile of financial liabilities and amending the profile through either new borrowing or the rescheduling of the existing debt; and</w:t>
      </w:r>
    </w:p>
    <w:p w14:paraId="299A2EAF" w14:textId="77777777" w:rsidR="00C802FD" w:rsidRPr="0007572B" w:rsidRDefault="00C802FD" w:rsidP="00EB27EB">
      <w:pPr>
        <w:numPr>
          <w:ilvl w:val="0"/>
          <w:numId w:val="11"/>
        </w:numPr>
        <w:contextualSpacing/>
        <w:rPr>
          <w:rFonts w:ascii="Arial" w:eastAsiaTheme="minorHAnsi" w:hAnsi="Arial" w:cs="Arial"/>
          <w:lang w:eastAsia="en-GB"/>
        </w:rPr>
      </w:pPr>
      <w:r w:rsidRPr="0007572B">
        <w:rPr>
          <w:rFonts w:ascii="Arial" w:eastAsiaTheme="minorHAnsi" w:hAnsi="Arial" w:cs="Arial"/>
          <w:lang w:eastAsia="en-GB"/>
        </w:rPr>
        <w:t>monitoring the maturity profile of investments to ensure sufficient liquidity is available for the Authority’s day to day cash flow needs, and the spread of longer term investments provide stability of maturities and returns in relation to the longer term cash flow needs.</w:t>
      </w:r>
    </w:p>
    <w:p w14:paraId="1AFDC871" w14:textId="77777777" w:rsidR="00C802FD" w:rsidRPr="0007572B" w:rsidRDefault="00C802FD" w:rsidP="0038082E">
      <w:pPr>
        <w:rPr>
          <w:rFonts w:ascii="Arial" w:eastAsiaTheme="minorHAnsi" w:hAnsi="Arial" w:cs="Arial"/>
        </w:rPr>
      </w:pPr>
    </w:p>
    <w:p w14:paraId="14FF5ADD" w14:textId="1D196786" w:rsidR="00C802FD" w:rsidRDefault="00C802FD" w:rsidP="0038082E">
      <w:pPr>
        <w:spacing w:after="160"/>
        <w:rPr>
          <w:rFonts w:ascii="Arial" w:eastAsiaTheme="minorHAnsi" w:hAnsi="Arial" w:cs="Arial"/>
        </w:rPr>
      </w:pPr>
      <w:r w:rsidRPr="0007572B">
        <w:rPr>
          <w:rFonts w:ascii="Arial" w:eastAsiaTheme="minorHAnsi" w:hAnsi="Arial" w:cs="Arial"/>
        </w:rPr>
        <w:t>The Authority has £50m lender option borrower option (LOBO) loans. These have fixed rates of interest but the lender may seek to increase interest rates at which point the Authority has the option to repay the loan. As there is no certainty as to whether these loans will be repaid early, the Authority has treated them as fixed loans which will run to maturity. In forming this judgement the Authority has taken account of its ability to refinance through PWLB.</w:t>
      </w:r>
    </w:p>
    <w:p w14:paraId="72A545CF" w14:textId="086D002A" w:rsidR="00343260" w:rsidRPr="0007572B" w:rsidRDefault="00343260" w:rsidP="0038082E">
      <w:pPr>
        <w:spacing w:after="160"/>
        <w:rPr>
          <w:rFonts w:ascii="Arial" w:eastAsiaTheme="minorHAnsi" w:hAnsi="Arial" w:cs="Arial"/>
        </w:rPr>
      </w:pPr>
      <w:r>
        <w:rPr>
          <w:rFonts w:ascii="Arial" w:eastAsiaTheme="minorHAnsi" w:hAnsi="Arial" w:cs="Arial"/>
        </w:rPr>
        <w:lastRenderedPageBreak/>
        <w:t>The table below shows the liquidity risk to the Authority based on maturity analy</w:t>
      </w:r>
      <w:r w:rsidR="009D664A">
        <w:rPr>
          <w:rFonts w:ascii="Arial" w:eastAsiaTheme="minorHAnsi" w:hAnsi="Arial" w:cs="Arial"/>
        </w:rPr>
        <w:t>sis:</w:t>
      </w:r>
    </w:p>
    <w:p w14:paraId="71FAE808" w14:textId="39DE142E" w:rsidR="00C802FD" w:rsidRDefault="00EC0C92" w:rsidP="00EC0C92">
      <w:pPr>
        <w:jc w:val="both"/>
        <w:rPr>
          <w:rFonts w:ascii="Arial" w:eastAsiaTheme="minorHAnsi" w:hAnsi="Arial" w:cs="Arial"/>
          <w:b/>
        </w:rPr>
      </w:pPr>
      <w:r w:rsidRPr="00EC0C92">
        <w:rPr>
          <w:rFonts w:eastAsiaTheme="minorHAnsi"/>
          <w:noProof/>
        </w:rPr>
        <w:drawing>
          <wp:inline distT="0" distB="0" distL="0" distR="0" wp14:anchorId="5B44A479" wp14:editId="6EC29514">
            <wp:extent cx="5572125" cy="101917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2125" cy="1019175"/>
                    </a:xfrm>
                    <a:prstGeom prst="rect">
                      <a:avLst/>
                    </a:prstGeom>
                    <a:noFill/>
                    <a:ln>
                      <a:noFill/>
                    </a:ln>
                  </pic:spPr>
                </pic:pic>
              </a:graphicData>
            </a:graphic>
          </wp:inline>
        </w:drawing>
      </w:r>
      <w:r w:rsidR="005838F8" w:rsidRPr="005838F8">
        <w:rPr>
          <w:rFonts w:ascii="Arial" w:eastAsiaTheme="minorHAnsi" w:hAnsi="Arial" w:cs="Arial"/>
          <w:b/>
        </w:rPr>
        <w:t xml:space="preserve"> </w:t>
      </w:r>
    </w:p>
    <w:p w14:paraId="7A675FEF" w14:textId="77777777" w:rsidR="005838F8" w:rsidRPr="0007572B" w:rsidRDefault="005838F8" w:rsidP="00BB7299">
      <w:pPr>
        <w:ind w:firstLine="720"/>
        <w:jc w:val="both"/>
        <w:rPr>
          <w:rFonts w:ascii="Arial" w:eastAsiaTheme="minorHAnsi" w:hAnsi="Arial" w:cs="Arial"/>
          <w:b/>
        </w:rPr>
      </w:pPr>
    </w:p>
    <w:p w14:paraId="5D13DE81" w14:textId="77777777" w:rsidR="00C802FD" w:rsidRPr="0007572B" w:rsidRDefault="00C802FD" w:rsidP="0038082E">
      <w:pPr>
        <w:pStyle w:val="Heading4bold"/>
        <w:rPr>
          <w:rFonts w:eastAsiaTheme="minorHAnsi"/>
        </w:rPr>
      </w:pPr>
      <w:r w:rsidRPr="0007572B">
        <w:rPr>
          <w:rFonts w:eastAsiaTheme="minorHAnsi"/>
        </w:rPr>
        <w:t>Refinancing and maturity risk</w:t>
      </w:r>
    </w:p>
    <w:p w14:paraId="1DAA74E2" w14:textId="77777777" w:rsidR="00C802FD" w:rsidRPr="0007572B" w:rsidRDefault="00C802FD" w:rsidP="0038082E">
      <w:pPr>
        <w:rPr>
          <w:rFonts w:ascii="Arial" w:eastAsiaTheme="minorHAnsi" w:hAnsi="Arial" w:cs="Arial"/>
        </w:rPr>
      </w:pPr>
      <w:r w:rsidRPr="0007572B">
        <w:rPr>
          <w:rFonts w:ascii="Arial" w:eastAsiaTheme="minorHAnsi" w:hAnsi="Arial" w:cs="Arial"/>
        </w:rPr>
        <w:t>The Authority maintained a significant debt and investment portfolio. Whilst the cash flow procedures were considered against the refinancing risk procedures, longer term risk to the Authority related to managing the exposure to replacing financial instruments as they mature.</w:t>
      </w:r>
    </w:p>
    <w:p w14:paraId="2F52D520" w14:textId="77777777" w:rsidR="00C802FD" w:rsidRPr="0007572B" w:rsidRDefault="00C802FD" w:rsidP="0038082E">
      <w:pPr>
        <w:rPr>
          <w:rFonts w:ascii="Arial" w:eastAsiaTheme="minorHAnsi" w:hAnsi="Arial" w:cs="Arial"/>
        </w:rPr>
      </w:pPr>
    </w:p>
    <w:p w14:paraId="17C6E9FE" w14:textId="77777777" w:rsidR="00C802FD" w:rsidRPr="0007572B" w:rsidRDefault="00C802FD" w:rsidP="0038082E">
      <w:pPr>
        <w:spacing w:after="160"/>
        <w:contextualSpacing/>
        <w:rPr>
          <w:rFonts w:ascii="Arial" w:eastAsiaTheme="minorHAnsi" w:hAnsi="Arial" w:cs="Arial"/>
          <w:lang w:eastAsia="en-GB"/>
        </w:rPr>
      </w:pPr>
      <w:r w:rsidRPr="0007572B">
        <w:rPr>
          <w:rFonts w:ascii="Arial" w:eastAsiaTheme="minorHAnsi" w:hAnsi="Arial" w:cs="Arial"/>
          <w:lang w:eastAsia="en-GB"/>
        </w:rPr>
        <w:t>The approved treasury indicator limits for the maturity structure of debt and the limits placed on investments placed for greater than one year in duration are the key parameters used to address this risk. The Authority approved treasury and investment strategies address the main risks, these include:</w:t>
      </w:r>
    </w:p>
    <w:p w14:paraId="450B860C" w14:textId="77777777" w:rsidR="00C802FD" w:rsidRPr="0007572B" w:rsidRDefault="00C802FD" w:rsidP="0038082E">
      <w:pPr>
        <w:spacing w:after="160"/>
        <w:contextualSpacing/>
        <w:rPr>
          <w:rFonts w:ascii="Arial" w:eastAsiaTheme="minorHAnsi" w:hAnsi="Arial" w:cs="Arial"/>
          <w:lang w:eastAsia="en-GB"/>
        </w:rPr>
      </w:pPr>
    </w:p>
    <w:p w14:paraId="66224CDA" w14:textId="77777777" w:rsidR="00C802FD" w:rsidRPr="0007572B" w:rsidRDefault="00C802FD" w:rsidP="00EB27EB">
      <w:pPr>
        <w:numPr>
          <w:ilvl w:val="0"/>
          <w:numId w:val="12"/>
        </w:numPr>
        <w:spacing w:after="160"/>
        <w:contextualSpacing/>
        <w:rPr>
          <w:rFonts w:ascii="Arial" w:eastAsiaTheme="minorHAnsi" w:hAnsi="Arial" w:cs="Arial"/>
          <w:lang w:eastAsia="en-GB"/>
        </w:rPr>
      </w:pPr>
      <w:r w:rsidRPr="0007572B">
        <w:rPr>
          <w:rFonts w:ascii="Arial" w:eastAsiaTheme="minorHAnsi" w:hAnsi="Arial" w:cs="Arial"/>
          <w:lang w:eastAsia="en-GB"/>
        </w:rPr>
        <w:t>Monitoring the maturity profile of financial liabilities and amending the profile through either new borrowing or the rescheduling of existing debt;</w:t>
      </w:r>
    </w:p>
    <w:p w14:paraId="4CEB46DF" w14:textId="77777777" w:rsidR="00C802FD" w:rsidRPr="0007572B" w:rsidRDefault="00C802FD" w:rsidP="00EB27EB">
      <w:pPr>
        <w:numPr>
          <w:ilvl w:val="0"/>
          <w:numId w:val="12"/>
        </w:numPr>
        <w:contextualSpacing/>
        <w:rPr>
          <w:rFonts w:ascii="Arial" w:eastAsiaTheme="minorHAnsi" w:hAnsi="Arial" w:cs="Arial"/>
          <w:lang w:eastAsia="en-GB"/>
        </w:rPr>
      </w:pPr>
      <w:r w:rsidRPr="0007572B">
        <w:rPr>
          <w:rFonts w:ascii="Arial" w:eastAsiaTheme="minorHAnsi" w:hAnsi="Arial" w:cs="Arial"/>
          <w:lang w:eastAsia="en-GB"/>
        </w:rPr>
        <w:t>Monitoring the maturity profile of investments to ensure sufficient liquidity is available for the Authority’s day to day cash flow needs;</w:t>
      </w:r>
    </w:p>
    <w:p w14:paraId="790AC6A1" w14:textId="77777777" w:rsidR="00C802FD" w:rsidRPr="0007572B" w:rsidRDefault="00C802FD" w:rsidP="00EB27EB">
      <w:pPr>
        <w:pStyle w:val="ListParagraph"/>
        <w:numPr>
          <w:ilvl w:val="0"/>
          <w:numId w:val="12"/>
        </w:numPr>
        <w:spacing w:line="240" w:lineRule="auto"/>
        <w:rPr>
          <w:rFonts w:ascii="Arial" w:eastAsiaTheme="minorHAnsi" w:hAnsi="Arial" w:cs="Arial"/>
          <w:sz w:val="24"/>
          <w:szCs w:val="24"/>
        </w:rPr>
      </w:pPr>
      <w:r w:rsidRPr="0007572B">
        <w:rPr>
          <w:rFonts w:ascii="Arial" w:eastAsiaTheme="minorHAnsi" w:hAnsi="Arial" w:cs="Arial"/>
          <w:sz w:val="24"/>
          <w:szCs w:val="24"/>
        </w:rPr>
        <w:t>All trade creditors are due to be paid in less than one year.</w:t>
      </w:r>
    </w:p>
    <w:p w14:paraId="30891F53" w14:textId="77777777" w:rsidR="00C802FD" w:rsidRPr="0007572B" w:rsidRDefault="00C802FD" w:rsidP="0038082E">
      <w:pPr>
        <w:pStyle w:val="Heading4bold"/>
        <w:rPr>
          <w:rFonts w:eastAsiaTheme="minorHAnsi"/>
        </w:rPr>
      </w:pPr>
      <w:r w:rsidRPr="0007572B">
        <w:rPr>
          <w:rFonts w:eastAsiaTheme="minorHAnsi"/>
        </w:rPr>
        <w:t>Market Risk</w:t>
      </w:r>
    </w:p>
    <w:p w14:paraId="2AB0F5DF" w14:textId="77777777" w:rsidR="00C802FD" w:rsidRPr="0007572B" w:rsidRDefault="00C802FD" w:rsidP="0038082E">
      <w:pPr>
        <w:spacing w:after="160"/>
        <w:rPr>
          <w:rFonts w:ascii="Arial" w:eastAsiaTheme="minorHAnsi" w:hAnsi="Arial" w:cs="Arial"/>
        </w:rPr>
      </w:pPr>
      <w:r w:rsidRPr="0007572B">
        <w:rPr>
          <w:rFonts w:ascii="Arial" w:eastAsiaTheme="minorHAnsi" w:hAnsi="Arial" w:cs="Arial"/>
        </w:rPr>
        <w:t>The Authority is exposed to interest rate movements on its borrowings and investments. Movements in interest rates have a complex impact on the Authority, depending on how variable and fixed interest rates move across differing financial instrument periods. For instance, a rise in variable and fixed interest rates would have the following effects:</w:t>
      </w:r>
    </w:p>
    <w:p w14:paraId="61D54087" w14:textId="77777777" w:rsidR="00C802FD" w:rsidRPr="0007572B" w:rsidRDefault="00C802FD" w:rsidP="00EB27EB">
      <w:pPr>
        <w:numPr>
          <w:ilvl w:val="0"/>
          <w:numId w:val="16"/>
        </w:numPr>
        <w:spacing w:after="160"/>
        <w:contextualSpacing/>
        <w:rPr>
          <w:rFonts w:ascii="Arial" w:eastAsiaTheme="minorHAnsi" w:hAnsi="Arial" w:cs="Arial"/>
          <w:lang w:eastAsia="en-GB"/>
        </w:rPr>
      </w:pPr>
      <w:r w:rsidRPr="0007572B">
        <w:rPr>
          <w:rFonts w:ascii="Arial" w:eastAsiaTheme="minorHAnsi" w:hAnsi="Arial" w:cs="Arial"/>
          <w:lang w:eastAsia="en-GB"/>
        </w:rPr>
        <w:t>Borrowings at variable rates – The interest expense charged to the Deficit / (Surplus) on the Provision of Services will rise;</w:t>
      </w:r>
    </w:p>
    <w:p w14:paraId="4D19770C" w14:textId="77777777" w:rsidR="00C802FD" w:rsidRPr="0007572B" w:rsidRDefault="00C802FD" w:rsidP="00EB27EB">
      <w:pPr>
        <w:numPr>
          <w:ilvl w:val="0"/>
          <w:numId w:val="16"/>
        </w:numPr>
        <w:spacing w:after="160"/>
        <w:contextualSpacing/>
        <w:rPr>
          <w:rFonts w:ascii="Arial" w:eastAsiaTheme="minorHAnsi" w:hAnsi="Arial" w:cs="Arial"/>
          <w:lang w:eastAsia="en-GB"/>
        </w:rPr>
      </w:pPr>
      <w:r w:rsidRPr="0007572B">
        <w:rPr>
          <w:rFonts w:ascii="Arial" w:eastAsiaTheme="minorHAnsi" w:hAnsi="Arial" w:cs="Arial"/>
          <w:lang w:eastAsia="en-GB"/>
        </w:rPr>
        <w:t>Borrowings at fixed rates - The fair value of the borrowing liability will fall;</w:t>
      </w:r>
    </w:p>
    <w:p w14:paraId="64F8F8CD" w14:textId="77777777" w:rsidR="00C802FD" w:rsidRPr="0007572B" w:rsidRDefault="00C802FD" w:rsidP="00EB27EB">
      <w:pPr>
        <w:numPr>
          <w:ilvl w:val="0"/>
          <w:numId w:val="16"/>
        </w:numPr>
        <w:spacing w:after="160"/>
        <w:contextualSpacing/>
        <w:rPr>
          <w:rFonts w:ascii="Arial" w:eastAsiaTheme="minorHAnsi" w:hAnsi="Arial" w:cs="Arial"/>
          <w:lang w:eastAsia="en-GB"/>
        </w:rPr>
      </w:pPr>
      <w:r w:rsidRPr="0007572B">
        <w:rPr>
          <w:rFonts w:ascii="Arial" w:eastAsiaTheme="minorHAnsi" w:hAnsi="Arial" w:cs="Arial"/>
          <w:lang w:eastAsia="en-GB"/>
        </w:rPr>
        <w:t>Investments at variable rates - The interest income credited to the Deficit / (Surplus) on the Provision of Services will rise; and</w:t>
      </w:r>
    </w:p>
    <w:p w14:paraId="3E6DAA76" w14:textId="77777777" w:rsidR="00C802FD" w:rsidRPr="0007572B" w:rsidRDefault="00C802FD" w:rsidP="00EB27EB">
      <w:pPr>
        <w:numPr>
          <w:ilvl w:val="0"/>
          <w:numId w:val="16"/>
        </w:numPr>
        <w:spacing w:after="160"/>
        <w:contextualSpacing/>
        <w:rPr>
          <w:rFonts w:ascii="Arial" w:eastAsiaTheme="minorHAnsi" w:hAnsi="Arial" w:cs="Arial"/>
          <w:lang w:eastAsia="en-GB"/>
        </w:rPr>
      </w:pPr>
      <w:r w:rsidRPr="0007572B">
        <w:rPr>
          <w:rFonts w:ascii="Arial" w:eastAsiaTheme="minorHAnsi" w:hAnsi="Arial" w:cs="Arial"/>
          <w:lang w:eastAsia="en-GB"/>
        </w:rPr>
        <w:t>Investments at fixed rates - The fair value of the assets will fall.</w:t>
      </w:r>
    </w:p>
    <w:p w14:paraId="4EE92978" w14:textId="77777777" w:rsidR="00C802FD" w:rsidRPr="0007572B" w:rsidRDefault="00C802FD" w:rsidP="0038082E">
      <w:pPr>
        <w:spacing w:after="160"/>
        <w:rPr>
          <w:rFonts w:ascii="Arial" w:eastAsiaTheme="minorHAnsi" w:hAnsi="Arial" w:cs="Arial"/>
        </w:rPr>
      </w:pPr>
      <w:r w:rsidRPr="0007572B">
        <w:rPr>
          <w:rFonts w:ascii="Arial" w:eastAsiaTheme="minorHAnsi" w:hAnsi="Arial" w:cs="Arial"/>
        </w:rPr>
        <w:t xml:space="preserve">Borrowings are not carried at fair value on the balance sheet, so nominal gains and losses on fixed rate borrowings would not impact on the Deficit / (Surplus) on the Provision of Services or Other Comprehensive Income and Expenditure. However, changes in interest payable and receivable on variable rate borrowings and investments will be posted to the Deficit on the Provision of Services and effect the General Fund Reserve. </w:t>
      </w:r>
    </w:p>
    <w:p w14:paraId="61E8AF91" w14:textId="77777777" w:rsidR="00C802FD" w:rsidRPr="0007572B" w:rsidRDefault="00C802FD" w:rsidP="0038082E">
      <w:pPr>
        <w:spacing w:after="160"/>
        <w:rPr>
          <w:rFonts w:ascii="Arial" w:eastAsiaTheme="minorHAnsi" w:hAnsi="Arial" w:cs="Arial"/>
        </w:rPr>
      </w:pPr>
      <w:r w:rsidRPr="0007572B">
        <w:rPr>
          <w:rFonts w:ascii="Arial" w:eastAsiaTheme="minorHAnsi" w:hAnsi="Arial" w:cs="Arial"/>
        </w:rPr>
        <w:t xml:space="preserve">The Authority has a number of strategies for managing interest rate risk. The Annual Treasury Management Strategy draws together Authority’s prudential indicators and its expected treasury operations, including an expectation of interest rate movements. From this Strategy, a prudential indicator is set which provides maximum limits for fixed and variable interest rate exposure. The central treasury team will monitor market interest </w:t>
      </w:r>
      <w:r w:rsidRPr="0007572B">
        <w:rPr>
          <w:rFonts w:ascii="Arial" w:eastAsiaTheme="minorHAnsi" w:hAnsi="Arial" w:cs="Arial"/>
        </w:rPr>
        <w:lastRenderedPageBreak/>
        <w:t>rates and forecast interest rates within the year to adjust exposures appropriately. For instance, during periods of falling interest rates, and where economic circumstances make it favourable, fixed rate investments may be taken for longer periods to secure better long term returns.</w:t>
      </w:r>
    </w:p>
    <w:p w14:paraId="36A438C0" w14:textId="77777777" w:rsidR="00C802FD" w:rsidRPr="0007572B" w:rsidRDefault="00C802FD" w:rsidP="0038082E">
      <w:pPr>
        <w:spacing w:after="160"/>
        <w:rPr>
          <w:rFonts w:ascii="Arial" w:eastAsiaTheme="minorHAnsi" w:hAnsi="Arial" w:cs="Arial"/>
        </w:rPr>
      </w:pPr>
      <w:r w:rsidRPr="0007572B">
        <w:rPr>
          <w:rFonts w:ascii="Arial" w:eastAsiaTheme="minorHAnsi" w:hAnsi="Arial" w:cs="Arial"/>
        </w:rPr>
        <w:t>The Authority tries to maximise its income on temporary investment and minimise its interest costs on temporary and long-term borrowing.</w:t>
      </w:r>
    </w:p>
    <w:p w14:paraId="5521E6E1" w14:textId="5CF74DEB" w:rsidR="00C802FD" w:rsidRDefault="00C802FD" w:rsidP="0038082E">
      <w:pPr>
        <w:rPr>
          <w:rFonts w:ascii="Arial" w:eastAsiaTheme="minorHAnsi" w:hAnsi="Arial" w:cs="Arial"/>
        </w:rPr>
      </w:pPr>
      <w:r w:rsidRPr="0007572B">
        <w:rPr>
          <w:rFonts w:ascii="Arial" w:eastAsiaTheme="minorHAnsi" w:hAnsi="Arial" w:cs="Arial"/>
        </w:rPr>
        <w:t xml:space="preserve">The maximum interest rate increase that could be expected in the current climate is assessed at </w:t>
      </w:r>
      <w:r w:rsidR="00FF0805">
        <w:rPr>
          <w:rFonts w:ascii="Arial" w:eastAsiaTheme="minorHAnsi" w:hAnsi="Arial" w:cs="Arial"/>
        </w:rPr>
        <w:t>2</w:t>
      </w:r>
      <w:r w:rsidRPr="0007572B">
        <w:rPr>
          <w:rFonts w:ascii="Arial" w:eastAsiaTheme="minorHAnsi" w:hAnsi="Arial" w:cs="Arial"/>
        </w:rPr>
        <w:t>%. This would only apply to our net short term investments. The Authority also has a number of LOBO loans that can be called at periods. There is the risk that these may have to be refinanced at a higher rate. The financial effect of these variable rate changes would be:</w:t>
      </w:r>
    </w:p>
    <w:p w14:paraId="167508F0" w14:textId="77777777" w:rsidR="00EC0C92" w:rsidRPr="0007572B" w:rsidRDefault="00EC0C92" w:rsidP="0038082E">
      <w:pPr>
        <w:rPr>
          <w:rFonts w:ascii="Arial" w:eastAsiaTheme="minorHAnsi" w:hAnsi="Arial" w:cs="Arial"/>
        </w:rPr>
      </w:pPr>
    </w:p>
    <w:p w14:paraId="57D798C6" w14:textId="77777777" w:rsidR="008E4075" w:rsidRDefault="00EC0C92" w:rsidP="0038082E">
      <w:pPr>
        <w:rPr>
          <w:rFonts w:ascii="Arial" w:hAnsi="Arial" w:cs="Arial"/>
          <w:b/>
          <w:sz w:val="22"/>
          <w:szCs w:val="22"/>
        </w:rPr>
      </w:pPr>
      <w:r w:rsidRPr="00EC0C92">
        <w:rPr>
          <w:noProof/>
        </w:rPr>
        <w:drawing>
          <wp:inline distT="0" distB="0" distL="0" distR="0" wp14:anchorId="1B9BD41B" wp14:editId="23E19AAC">
            <wp:extent cx="5572125" cy="10191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72125" cy="1019175"/>
                    </a:xfrm>
                    <a:prstGeom prst="rect">
                      <a:avLst/>
                    </a:prstGeom>
                    <a:noFill/>
                    <a:ln>
                      <a:noFill/>
                    </a:ln>
                  </pic:spPr>
                </pic:pic>
              </a:graphicData>
            </a:graphic>
          </wp:inline>
        </w:drawing>
      </w:r>
    </w:p>
    <w:p w14:paraId="11FE78D6" w14:textId="55C55DEA" w:rsidR="00E96C7E" w:rsidRDefault="00E96C7E">
      <w:pPr>
        <w:rPr>
          <w:rFonts w:ascii="Arial" w:hAnsi="Arial" w:cs="Arial"/>
          <w:b/>
          <w:sz w:val="22"/>
          <w:szCs w:val="22"/>
        </w:rPr>
      </w:pPr>
    </w:p>
    <w:p w14:paraId="2FE8CCA8" w14:textId="77777777" w:rsidR="00E96C7E" w:rsidRPr="0007572B" w:rsidRDefault="00E96C7E" w:rsidP="0038082E">
      <w:pPr>
        <w:rPr>
          <w:rFonts w:ascii="Arial" w:hAnsi="Arial" w:cs="Arial"/>
          <w:b/>
          <w:sz w:val="22"/>
          <w:szCs w:val="22"/>
        </w:rPr>
        <w:sectPr w:rsidR="00E96C7E" w:rsidRPr="0007572B" w:rsidSect="000B247E">
          <w:pgSz w:w="11906" w:h="16838"/>
          <w:pgMar w:top="1444" w:right="1416" w:bottom="1276" w:left="1080" w:header="568" w:footer="567" w:gutter="0"/>
          <w:cols w:space="708"/>
          <w:docGrid w:linePitch="360"/>
        </w:sectPr>
      </w:pPr>
    </w:p>
    <w:p w14:paraId="29AA2A61" w14:textId="120A975B" w:rsidR="004047A3" w:rsidRPr="0007572B" w:rsidRDefault="00680267" w:rsidP="0038082E">
      <w:pPr>
        <w:pStyle w:val="Heading3greennumbered"/>
      </w:pPr>
      <w:bookmarkStart w:id="183" w:name="_Toc92894903"/>
      <w:bookmarkStart w:id="184" w:name="_Toc92895207"/>
      <w:bookmarkStart w:id="185" w:name="_Toc109922641"/>
      <w:r w:rsidRPr="0007572B">
        <w:lastRenderedPageBreak/>
        <w:t>3</w:t>
      </w:r>
      <w:r w:rsidR="00876B48" w:rsidRPr="0007572B">
        <w:t>1</w:t>
      </w:r>
      <w:r w:rsidR="004047A3" w:rsidRPr="0007572B">
        <w:t xml:space="preserve"> </w:t>
      </w:r>
      <w:r w:rsidR="00010401">
        <w:t>Related</w:t>
      </w:r>
      <w:r w:rsidR="004047A3" w:rsidRPr="0007572B">
        <w:t xml:space="preserve"> Party Transactions</w:t>
      </w:r>
      <w:bookmarkEnd w:id="183"/>
      <w:bookmarkEnd w:id="184"/>
      <w:bookmarkEnd w:id="185"/>
    </w:p>
    <w:p w14:paraId="23C46489" w14:textId="77777777" w:rsidR="00D4492C" w:rsidRDefault="00D4492C" w:rsidP="0038082E">
      <w:pPr>
        <w:rPr>
          <w:rFonts w:ascii="Arial" w:hAnsi="Arial" w:cs="Arial"/>
        </w:rPr>
      </w:pPr>
    </w:p>
    <w:p w14:paraId="4242A0BF" w14:textId="324B344B" w:rsidR="00F13495" w:rsidRPr="0007572B" w:rsidRDefault="00FC4B04" w:rsidP="0038082E">
      <w:pPr>
        <w:rPr>
          <w:rFonts w:ascii="Arial" w:hAnsi="Arial" w:cs="Arial"/>
        </w:rPr>
      </w:pPr>
      <w:r w:rsidRPr="0007572B">
        <w:rPr>
          <w:rFonts w:ascii="Arial" w:hAnsi="Arial" w:cs="Arial"/>
        </w:rPr>
        <w:t>The Authority is required to disclose material transactions with related parties</w:t>
      </w:r>
      <w:r w:rsidR="00296E9D" w:rsidRPr="0007572B">
        <w:rPr>
          <w:rFonts w:ascii="Arial" w:hAnsi="Arial" w:cs="Arial"/>
        </w:rPr>
        <w:t>. These are</w:t>
      </w:r>
      <w:r w:rsidRPr="0007572B">
        <w:rPr>
          <w:rFonts w:ascii="Arial" w:hAnsi="Arial" w:cs="Arial"/>
        </w:rPr>
        <w:t xml:space="preserve"> bodies or individuals that have the potential to control or influence the Authority or to be controlled or influenced by the Authority. Disclosure of these transactions allows readers to assess the extent to which the Authority might have been constrained in its ability to operate independently or might have secured the ability to limit another party's ability to bargain freely with the Authority. </w:t>
      </w:r>
      <w:r w:rsidR="00471CCA" w:rsidRPr="0007572B">
        <w:rPr>
          <w:rFonts w:ascii="Arial" w:hAnsi="Arial" w:cs="Arial"/>
        </w:rPr>
        <w:t xml:space="preserve">In this context the organisations in which members (The Mayor and leaders of the GM </w:t>
      </w:r>
      <w:r w:rsidR="002952F9" w:rsidRPr="0007572B">
        <w:rPr>
          <w:rFonts w:ascii="Arial" w:hAnsi="Arial" w:cs="Arial"/>
        </w:rPr>
        <w:t>Authorities</w:t>
      </w:r>
      <w:r w:rsidR="00471CCA" w:rsidRPr="0007572B">
        <w:rPr>
          <w:rFonts w:ascii="Arial" w:hAnsi="Arial" w:cs="Arial"/>
        </w:rPr>
        <w:t>) and chief officers of the Authority have an influence or interest include;</w:t>
      </w:r>
    </w:p>
    <w:p w14:paraId="1CEF8CA2" w14:textId="77777777" w:rsidR="00900C7C" w:rsidRPr="0007572B" w:rsidRDefault="00900C7C" w:rsidP="00EB27EB">
      <w:pPr>
        <w:pStyle w:val="ListParagraph"/>
        <w:numPr>
          <w:ilvl w:val="0"/>
          <w:numId w:val="17"/>
        </w:numPr>
        <w:spacing w:line="240" w:lineRule="auto"/>
        <w:rPr>
          <w:rFonts w:ascii="Arial" w:hAnsi="Arial" w:cs="Arial"/>
          <w:sz w:val="24"/>
          <w:szCs w:val="24"/>
        </w:rPr>
      </w:pPr>
      <w:r w:rsidRPr="0007572B">
        <w:rPr>
          <w:rFonts w:ascii="Arial" w:hAnsi="Arial" w:cs="Arial"/>
          <w:sz w:val="24"/>
          <w:szCs w:val="24"/>
        </w:rPr>
        <w:t>Central Government</w:t>
      </w:r>
    </w:p>
    <w:p w14:paraId="2CF2E191" w14:textId="0A21F0D3" w:rsidR="00900C7C" w:rsidRPr="0007572B" w:rsidRDefault="00CA750E" w:rsidP="00EB27EB">
      <w:pPr>
        <w:pStyle w:val="ListParagraph"/>
        <w:numPr>
          <w:ilvl w:val="0"/>
          <w:numId w:val="17"/>
        </w:numPr>
        <w:spacing w:line="240" w:lineRule="auto"/>
        <w:rPr>
          <w:rFonts w:ascii="Arial" w:hAnsi="Arial" w:cs="Arial"/>
          <w:sz w:val="24"/>
          <w:szCs w:val="24"/>
        </w:rPr>
      </w:pPr>
      <w:r>
        <w:rPr>
          <w:rFonts w:ascii="Arial" w:hAnsi="Arial" w:cs="Arial"/>
          <w:sz w:val="24"/>
          <w:szCs w:val="24"/>
        </w:rPr>
        <w:t>GM</w:t>
      </w:r>
      <w:r w:rsidR="00900C7C" w:rsidRPr="0007572B">
        <w:rPr>
          <w:rFonts w:ascii="Arial" w:hAnsi="Arial" w:cs="Arial"/>
          <w:sz w:val="24"/>
          <w:szCs w:val="24"/>
        </w:rPr>
        <w:t xml:space="preserve"> Authorities</w:t>
      </w:r>
    </w:p>
    <w:p w14:paraId="7CC452C9" w14:textId="44F84EA4" w:rsidR="00A842BB" w:rsidRDefault="00A842BB" w:rsidP="00EB27EB">
      <w:pPr>
        <w:pStyle w:val="ListParagraph"/>
        <w:numPr>
          <w:ilvl w:val="0"/>
          <w:numId w:val="17"/>
        </w:numPr>
        <w:spacing w:line="240" w:lineRule="auto"/>
        <w:rPr>
          <w:rFonts w:ascii="Arial" w:hAnsi="Arial" w:cs="Arial"/>
          <w:sz w:val="24"/>
          <w:szCs w:val="24"/>
        </w:rPr>
      </w:pPr>
      <w:r w:rsidRPr="0007572B">
        <w:rPr>
          <w:rFonts w:ascii="Arial" w:hAnsi="Arial" w:cs="Arial"/>
          <w:sz w:val="24"/>
          <w:szCs w:val="24"/>
        </w:rPr>
        <w:t>Transport for Greater Manchester</w:t>
      </w:r>
    </w:p>
    <w:p w14:paraId="04EDCD03" w14:textId="5990169D" w:rsidR="00186C02" w:rsidRDefault="00186C02" w:rsidP="00EB27EB">
      <w:pPr>
        <w:pStyle w:val="ListParagraph"/>
        <w:numPr>
          <w:ilvl w:val="0"/>
          <w:numId w:val="17"/>
        </w:numPr>
        <w:spacing w:line="240" w:lineRule="auto"/>
        <w:rPr>
          <w:rFonts w:ascii="Arial" w:hAnsi="Arial" w:cs="Arial"/>
          <w:sz w:val="24"/>
          <w:szCs w:val="24"/>
        </w:rPr>
      </w:pPr>
      <w:r>
        <w:rPr>
          <w:rFonts w:ascii="Arial" w:hAnsi="Arial" w:cs="Arial"/>
          <w:sz w:val="24"/>
          <w:szCs w:val="24"/>
        </w:rPr>
        <w:t>Greater Manchester Police</w:t>
      </w:r>
    </w:p>
    <w:p w14:paraId="07C072BC" w14:textId="6136CD73" w:rsidR="00152326" w:rsidRDefault="00152326" w:rsidP="00EB27EB">
      <w:pPr>
        <w:pStyle w:val="ListParagraph"/>
        <w:numPr>
          <w:ilvl w:val="0"/>
          <w:numId w:val="17"/>
        </w:numPr>
        <w:spacing w:line="240" w:lineRule="auto"/>
        <w:rPr>
          <w:rFonts w:ascii="Arial" w:hAnsi="Arial" w:cs="Arial"/>
          <w:sz w:val="24"/>
          <w:szCs w:val="24"/>
        </w:rPr>
      </w:pPr>
      <w:r>
        <w:rPr>
          <w:rFonts w:ascii="Arial" w:hAnsi="Arial" w:cs="Arial"/>
          <w:sz w:val="24"/>
          <w:szCs w:val="24"/>
        </w:rPr>
        <w:t xml:space="preserve">North West Fire Control </w:t>
      </w:r>
    </w:p>
    <w:p w14:paraId="0E74A21A" w14:textId="65484C78" w:rsidR="00152326" w:rsidRDefault="00152326" w:rsidP="00EB27EB">
      <w:pPr>
        <w:pStyle w:val="ListParagraph"/>
        <w:numPr>
          <w:ilvl w:val="0"/>
          <w:numId w:val="17"/>
        </w:numPr>
        <w:spacing w:line="240" w:lineRule="auto"/>
        <w:rPr>
          <w:rFonts w:ascii="Arial" w:hAnsi="Arial" w:cs="Arial"/>
          <w:sz w:val="24"/>
          <w:szCs w:val="24"/>
        </w:rPr>
      </w:pPr>
      <w:r>
        <w:rPr>
          <w:rFonts w:ascii="Arial" w:hAnsi="Arial" w:cs="Arial"/>
          <w:sz w:val="24"/>
          <w:szCs w:val="24"/>
        </w:rPr>
        <w:t>Manchester Investment and Development Agency Service Limited</w:t>
      </w:r>
    </w:p>
    <w:p w14:paraId="21AA970D" w14:textId="3F3AD12B" w:rsidR="000E5AD6" w:rsidRPr="00431F6F" w:rsidRDefault="000E5AD6" w:rsidP="00EB27EB">
      <w:pPr>
        <w:pStyle w:val="ListParagraph"/>
        <w:numPr>
          <w:ilvl w:val="0"/>
          <w:numId w:val="17"/>
        </w:numPr>
        <w:spacing w:line="240" w:lineRule="auto"/>
        <w:rPr>
          <w:rFonts w:ascii="Arial" w:hAnsi="Arial" w:cs="Arial"/>
          <w:color w:val="000000" w:themeColor="text1"/>
          <w:sz w:val="24"/>
          <w:szCs w:val="24"/>
        </w:rPr>
      </w:pPr>
      <w:r w:rsidRPr="00431F6F">
        <w:rPr>
          <w:rFonts w:ascii="Arial" w:hAnsi="Arial" w:cs="Arial"/>
          <w:color w:val="000000" w:themeColor="text1"/>
          <w:sz w:val="24"/>
          <w:szCs w:val="24"/>
        </w:rPr>
        <w:t xml:space="preserve">Halle Concert Society </w:t>
      </w:r>
    </w:p>
    <w:p w14:paraId="67F0C32E" w14:textId="356B87E6" w:rsidR="00EA737A" w:rsidRPr="00431F6F" w:rsidRDefault="00EA737A" w:rsidP="00EB27EB">
      <w:pPr>
        <w:pStyle w:val="ListParagraph"/>
        <w:numPr>
          <w:ilvl w:val="0"/>
          <w:numId w:val="17"/>
        </w:numPr>
        <w:spacing w:line="240" w:lineRule="auto"/>
        <w:rPr>
          <w:rFonts w:ascii="Arial" w:hAnsi="Arial" w:cs="Arial"/>
          <w:color w:val="000000" w:themeColor="text1"/>
          <w:sz w:val="24"/>
          <w:szCs w:val="24"/>
        </w:rPr>
      </w:pPr>
      <w:r w:rsidRPr="00431F6F">
        <w:rPr>
          <w:rFonts w:ascii="Arial" w:hAnsi="Arial" w:cs="Arial"/>
          <w:color w:val="000000" w:themeColor="text1"/>
          <w:sz w:val="24"/>
          <w:szCs w:val="24"/>
        </w:rPr>
        <w:t>Greater Manchester Fund of Funds Limited Partnership</w:t>
      </w:r>
    </w:p>
    <w:p w14:paraId="12FC3BEF" w14:textId="41BC5998" w:rsidR="00EA737A" w:rsidRDefault="00EA737A" w:rsidP="00EB27EB">
      <w:pPr>
        <w:pStyle w:val="ListParagraph"/>
        <w:numPr>
          <w:ilvl w:val="0"/>
          <w:numId w:val="17"/>
        </w:numPr>
        <w:spacing w:line="240" w:lineRule="auto"/>
        <w:rPr>
          <w:rFonts w:ascii="Arial" w:hAnsi="Arial" w:cs="Arial"/>
          <w:color w:val="000000" w:themeColor="text1"/>
          <w:sz w:val="24"/>
          <w:szCs w:val="24"/>
        </w:rPr>
      </w:pPr>
      <w:r w:rsidRPr="00431F6F">
        <w:rPr>
          <w:rFonts w:ascii="Arial" w:hAnsi="Arial" w:cs="Arial"/>
          <w:color w:val="000000" w:themeColor="text1"/>
          <w:sz w:val="24"/>
          <w:szCs w:val="24"/>
        </w:rPr>
        <w:t>NW Evergreen Holdings Limited Partnership</w:t>
      </w:r>
    </w:p>
    <w:p w14:paraId="46F4A145" w14:textId="4636472A" w:rsidR="00E96C7E" w:rsidRPr="006533F8" w:rsidRDefault="0035629E" w:rsidP="00E96C7E">
      <w:pPr>
        <w:pStyle w:val="ListParagraph"/>
        <w:numPr>
          <w:ilvl w:val="0"/>
          <w:numId w:val="17"/>
        </w:numPr>
        <w:spacing w:line="240" w:lineRule="auto"/>
        <w:rPr>
          <w:rFonts w:ascii="Arial" w:hAnsi="Arial" w:cs="Arial"/>
          <w:color w:val="000000" w:themeColor="text1"/>
          <w:sz w:val="24"/>
          <w:szCs w:val="24"/>
        </w:rPr>
      </w:pPr>
      <w:r>
        <w:rPr>
          <w:rFonts w:ascii="Arial" w:hAnsi="Arial" w:cs="Arial"/>
          <w:color w:val="000000" w:themeColor="text1"/>
          <w:sz w:val="24"/>
          <w:szCs w:val="24"/>
        </w:rPr>
        <w:t>Greater Manchester Evergreen 2 Limited Partnership</w:t>
      </w:r>
    </w:p>
    <w:p w14:paraId="3D92267F" w14:textId="3F83B46E" w:rsidR="00D5311B" w:rsidRPr="00431F6F" w:rsidRDefault="00900C7C" w:rsidP="000E5AD6">
      <w:pPr>
        <w:pStyle w:val="Heading4bold"/>
        <w:rPr>
          <w:color w:val="000000" w:themeColor="text1"/>
        </w:rPr>
      </w:pPr>
      <w:r w:rsidRPr="00431F6F">
        <w:rPr>
          <w:color w:val="000000" w:themeColor="text1"/>
        </w:rPr>
        <w:t>Central Government</w:t>
      </w:r>
    </w:p>
    <w:p w14:paraId="3B3BDD71" w14:textId="2BCE9705" w:rsidR="00F13495" w:rsidRPr="00431F6F" w:rsidRDefault="00F13495" w:rsidP="0038082E">
      <w:pPr>
        <w:rPr>
          <w:rFonts w:ascii="Arial" w:eastAsia="Calibri" w:hAnsi="Arial" w:cs="Arial"/>
          <w:color w:val="000000" w:themeColor="text1"/>
          <w:lang w:val="en-US"/>
        </w:rPr>
      </w:pPr>
      <w:r w:rsidRPr="00431F6F">
        <w:rPr>
          <w:rFonts w:ascii="Arial" w:eastAsia="Calibri" w:hAnsi="Arial" w:cs="Arial"/>
          <w:color w:val="000000" w:themeColor="text1"/>
          <w:lang w:val="en-US"/>
        </w:rPr>
        <w:t xml:space="preserve">Central Government has effective control over the general operations of the Authority. It is responsible for providing the framework within which the Authority operates and provides </w:t>
      </w:r>
      <w:proofErr w:type="gramStart"/>
      <w:r w:rsidRPr="00431F6F">
        <w:rPr>
          <w:rFonts w:ascii="Arial" w:eastAsia="Calibri" w:hAnsi="Arial" w:cs="Arial"/>
          <w:color w:val="000000" w:themeColor="text1"/>
          <w:lang w:val="en-US"/>
        </w:rPr>
        <w:t>the majority of</w:t>
      </w:r>
      <w:proofErr w:type="gramEnd"/>
      <w:r w:rsidRPr="00431F6F">
        <w:rPr>
          <w:rFonts w:ascii="Arial" w:eastAsia="Calibri" w:hAnsi="Arial" w:cs="Arial"/>
          <w:color w:val="000000" w:themeColor="text1"/>
          <w:lang w:val="en-US"/>
        </w:rPr>
        <w:t xml:space="preserve"> its funding in the form of grants and prescribes the terms of many of the transactions that the Authority has with other parties.</w:t>
      </w:r>
    </w:p>
    <w:p w14:paraId="634BE752" w14:textId="77777777" w:rsidR="00F13495" w:rsidRDefault="00F13495" w:rsidP="0038082E">
      <w:pPr>
        <w:rPr>
          <w:rFonts w:ascii="Arial" w:hAnsi="Arial" w:cs="Arial"/>
          <w:sz w:val="22"/>
          <w:szCs w:val="22"/>
        </w:rPr>
      </w:pPr>
    </w:p>
    <w:p w14:paraId="5EAAF160" w14:textId="3D9FEC5F" w:rsidR="00043063" w:rsidRPr="0007572B" w:rsidRDefault="005838F8" w:rsidP="0038082E">
      <w:pPr>
        <w:rPr>
          <w:rFonts w:ascii="Arial" w:hAnsi="Arial" w:cs="Arial"/>
          <w:sz w:val="22"/>
          <w:szCs w:val="22"/>
        </w:rPr>
      </w:pPr>
      <w:r w:rsidRPr="005838F8">
        <w:rPr>
          <w:noProof/>
        </w:rPr>
        <w:drawing>
          <wp:inline distT="0" distB="0" distL="0" distR="0" wp14:anchorId="79250DF3" wp14:editId="1447A469">
            <wp:extent cx="3860165" cy="1122680"/>
            <wp:effectExtent l="0" t="0" r="698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60165" cy="1122680"/>
                    </a:xfrm>
                    <a:prstGeom prst="rect">
                      <a:avLst/>
                    </a:prstGeom>
                    <a:noFill/>
                    <a:ln>
                      <a:noFill/>
                    </a:ln>
                  </pic:spPr>
                </pic:pic>
              </a:graphicData>
            </a:graphic>
          </wp:inline>
        </w:drawing>
      </w:r>
    </w:p>
    <w:p w14:paraId="5DFEBD81" w14:textId="2B54F14C" w:rsidR="00E96C7E" w:rsidRPr="0007572B" w:rsidRDefault="00F608FE" w:rsidP="0038082E">
      <w:pPr>
        <w:rPr>
          <w:rFonts w:ascii="Arial" w:hAnsi="Arial" w:cs="Arial"/>
          <w:b/>
          <w:sz w:val="22"/>
          <w:szCs w:val="22"/>
        </w:rPr>
      </w:pPr>
      <w:bookmarkStart w:id="186" w:name="_Hlk75361221"/>
      <w:r w:rsidRPr="0007572B">
        <w:rPr>
          <w:rFonts w:ascii="Arial" w:hAnsi="Arial" w:cs="Arial"/>
        </w:rPr>
        <w:t xml:space="preserve">Borrowings </w:t>
      </w:r>
      <w:r w:rsidR="009A2DEA" w:rsidRPr="0007572B">
        <w:rPr>
          <w:rFonts w:ascii="Arial" w:hAnsi="Arial" w:cs="Arial"/>
        </w:rPr>
        <w:t xml:space="preserve">in </w:t>
      </w:r>
      <w:r w:rsidR="00D85E1C" w:rsidRPr="0007572B">
        <w:rPr>
          <w:rFonts w:ascii="Arial" w:hAnsi="Arial" w:cs="Arial"/>
        </w:rPr>
        <w:t>2</w:t>
      </w:r>
      <w:r w:rsidR="005838F8">
        <w:rPr>
          <w:rFonts w:ascii="Arial" w:hAnsi="Arial" w:cs="Arial"/>
        </w:rPr>
        <w:t>1</w:t>
      </w:r>
      <w:r w:rsidR="009A2DEA" w:rsidRPr="0007572B">
        <w:rPr>
          <w:rFonts w:ascii="Arial" w:hAnsi="Arial" w:cs="Arial"/>
        </w:rPr>
        <w:t>/2</w:t>
      </w:r>
      <w:r w:rsidR="005838F8">
        <w:rPr>
          <w:rFonts w:ascii="Arial" w:hAnsi="Arial" w:cs="Arial"/>
        </w:rPr>
        <w:t>2</w:t>
      </w:r>
      <w:r w:rsidR="009A2DEA" w:rsidRPr="0007572B">
        <w:rPr>
          <w:rFonts w:ascii="Arial" w:hAnsi="Arial" w:cs="Arial"/>
        </w:rPr>
        <w:t xml:space="preserve"> </w:t>
      </w:r>
      <w:r w:rsidR="00D644F6">
        <w:rPr>
          <w:rFonts w:ascii="Arial" w:hAnsi="Arial" w:cs="Arial"/>
        </w:rPr>
        <w:t>are entirely attributable to</w:t>
      </w:r>
      <w:r w:rsidRPr="0007572B">
        <w:rPr>
          <w:rFonts w:ascii="Arial" w:hAnsi="Arial" w:cs="Arial"/>
        </w:rPr>
        <w:t xml:space="preserve"> </w:t>
      </w:r>
      <w:r w:rsidRPr="00D644F6">
        <w:rPr>
          <w:rFonts w:ascii="Arial" w:hAnsi="Arial" w:cs="Arial"/>
        </w:rPr>
        <w:t xml:space="preserve">Homes </w:t>
      </w:r>
      <w:r w:rsidR="00D644F6">
        <w:rPr>
          <w:rFonts w:ascii="Arial" w:hAnsi="Arial" w:cs="Arial"/>
        </w:rPr>
        <w:t>England relating to City Deal</w:t>
      </w:r>
      <w:r w:rsidRPr="00D644F6">
        <w:rPr>
          <w:rFonts w:ascii="Arial" w:hAnsi="Arial" w:cs="Arial"/>
        </w:rPr>
        <w:t>.</w:t>
      </w:r>
      <w:bookmarkEnd w:id="186"/>
    </w:p>
    <w:p w14:paraId="72BFDC5B" w14:textId="6179983B" w:rsidR="00B07629" w:rsidRPr="00010401" w:rsidRDefault="00CA750E" w:rsidP="0035629E">
      <w:pPr>
        <w:pStyle w:val="Heading4bold"/>
      </w:pPr>
      <w:r>
        <w:lastRenderedPageBreak/>
        <w:t>GM</w:t>
      </w:r>
      <w:r w:rsidR="00D5311B" w:rsidRPr="0007572B">
        <w:t xml:space="preserve"> </w:t>
      </w:r>
      <w:r w:rsidR="00D5311B" w:rsidRPr="0085625D">
        <w:t>Authorities</w:t>
      </w:r>
    </w:p>
    <w:p w14:paraId="0ACEC35C" w14:textId="74AD49B7" w:rsidR="008752E8" w:rsidRDefault="00952982" w:rsidP="0038082E">
      <w:pPr>
        <w:rPr>
          <w:rFonts w:ascii="Arial" w:hAnsi="Arial" w:cs="Arial"/>
          <w:sz w:val="22"/>
          <w:szCs w:val="22"/>
        </w:rPr>
      </w:pPr>
      <w:r w:rsidRPr="00952982">
        <w:rPr>
          <w:noProof/>
        </w:rPr>
        <w:drawing>
          <wp:inline distT="0" distB="0" distL="0" distR="0" wp14:anchorId="3392CD6E" wp14:editId="09CBD48B">
            <wp:extent cx="8860790" cy="87820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60790" cy="878205"/>
                    </a:xfrm>
                    <a:prstGeom prst="rect">
                      <a:avLst/>
                    </a:prstGeom>
                    <a:noFill/>
                    <a:ln>
                      <a:noFill/>
                    </a:ln>
                  </pic:spPr>
                </pic:pic>
              </a:graphicData>
            </a:graphic>
          </wp:inline>
        </w:drawing>
      </w:r>
    </w:p>
    <w:p w14:paraId="6FE3272B" w14:textId="77777777" w:rsidR="00E96C7E" w:rsidRPr="0007572B" w:rsidRDefault="00E96C7E" w:rsidP="0038082E">
      <w:pPr>
        <w:rPr>
          <w:rFonts w:ascii="Arial" w:hAnsi="Arial" w:cs="Arial"/>
          <w:sz w:val="22"/>
          <w:szCs w:val="22"/>
        </w:rPr>
      </w:pPr>
    </w:p>
    <w:p w14:paraId="7BA800AC" w14:textId="0F2FFBF8" w:rsidR="00043063" w:rsidRPr="0007572B" w:rsidRDefault="00A842BB" w:rsidP="0038082E">
      <w:pPr>
        <w:pStyle w:val="Heading4bold"/>
      </w:pPr>
      <w:r w:rsidRPr="0007572B">
        <w:t>Transport for Greater Manchester</w:t>
      </w:r>
    </w:p>
    <w:p w14:paraId="5A7D492E" w14:textId="77777777" w:rsidR="00A842BB" w:rsidRPr="0007572B" w:rsidRDefault="00A842BB" w:rsidP="0038082E">
      <w:pPr>
        <w:rPr>
          <w:rFonts w:ascii="Arial" w:hAnsi="Arial" w:cs="Arial"/>
        </w:rPr>
      </w:pPr>
      <w:r w:rsidRPr="0007572B">
        <w:rPr>
          <w:rFonts w:ascii="Arial" w:hAnsi="Arial" w:cs="Arial"/>
        </w:rPr>
        <w:t xml:space="preserve">The decisions of the Authority are implemented by TfGM. The net expenditure of TfGM after </w:t>
      </w:r>
      <w:proofErr w:type="gramStart"/>
      <w:r w:rsidRPr="0007572B">
        <w:rPr>
          <w:rFonts w:ascii="Arial" w:hAnsi="Arial" w:cs="Arial"/>
        </w:rPr>
        <w:t>taking into account</w:t>
      </w:r>
      <w:proofErr w:type="gramEnd"/>
      <w:r w:rsidRPr="0007572B">
        <w:rPr>
          <w:rFonts w:ascii="Arial" w:hAnsi="Arial" w:cs="Arial"/>
        </w:rPr>
        <w:t xml:space="preserve"> all sources of income and expenditure is financed by way of a revenue grant from the Authority. The corporate objectives of TfGM are derived from the Authority's policy priorities, stakeholder consultation and its principal statutory obligations.</w:t>
      </w:r>
    </w:p>
    <w:p w14:paraId="136D55FC" w14:textId="77777777" w:rsidR="00A842BB" w:rsidRPr="0007572B" w:rsidRDefault="00A842BB" w:rsidP="0038082E">
      <w:pPr>
        <w:rPr>
          <w:rFonts w:ascii="Arial" w:hAnsi="Arial" w:cs="Arial"/>
        </w:rPr>
      </w:pPr>
    </w:p>
    <w:p w14:paraId="64886A14" w14:textId="77777777" w:rsidR="00A842BB" w:rsidRPr="0007572B" w:rsidRDefault="00A842BB" w:rsidP="0038082E">
      <w:pPr>
        <w:rPr>
          <w:rFonts w:ascii="Arial" w:hAnsi="Arial" w:cs="Arial"/>
        </w:rPr>
      </w:pPr>
      <w:r w:rsidRPr="0007572B">
        <w:rPr>
          <w:rFonts w:ascii="Arial" w:hAnsi="Arial" w:cs="Arial"/>
        </w:rPr>
        <w:t xml:space="preserve">TfGM also manage the maintenance, repair and schemes of the Authority traffic signals asset base on behalf of the Authority. These transactions appear as related party expenditure and income, along with the end of year </w:t>
      </w:r>
      <w:r w:rsidR="005914B2" w:rsidRPr="0007572B">
        <w:rPr>
          <w:rFonts w:ascii="Arial" w:hAnsi="Arial" w:cs="Arial"/>
        </w:rPr>
        <w:t>balances, which</w:t>
      </w:r>
      <w:r w:rsidRPr="0007572B">
        <w:rPr>
          <w:rFonts w:ascii="Arial" w:hAnsi="Arial" w:cs="Arial"/>
        </w:rPr>
        <w:t xml:space="preserve"> are reported as follows:</w:t>
      </w:r>
    </w:p>
    <w:p w14:paraId="41652496" w14:textId="77777777" w:rsidR="00135610" w:rsidRPr="0007572B" w:rsidRDefault="00135610" w:rsidP="0038082E">
      <w:pPr>
        <w:rPr>
          <w:rFonts w:ascii="Arial" w:hAnsi="Arial" w:cs="Arial"/>
        </w:rPr>
      </w:pPr>
    </w:p>
    <w:p w14:paraId="4F6231C7" w14:textId="625FA341" w:rsidR="00B07629" w:rsidRDefault="0055161B" w:rsidP="00952982">
      <w:pPr>
        <w:rPr>
          <w:rFonts w:ascii="Arial" w:hAnsi="Arial" w:cs="Arial"/>
          <w:sz w:val="22"/>
          <w:szCs w:val="22"/>
        </w:rPr>
      </w:pPr>
      <w:r w:rsidRPr="0055161B">
        <w:rPr>
          <w:noProof/>
        </w:rPr>
        <w:drawing>
          <wp:inline distT="0" distB="0" distL="0" distR="0" wp14:anchorId="3D10E9D1" wp14:editId="1821F3F5">
            <wp:extent cx="3860800" cy="984250"/>
            <wp:effectExtent l="0" t="0" r="635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60800" cy="984250"/>
                    </a:xfrm>
                    <a:prstGeom prst="rect">
                      <a:avLst/>
                    </a:prstGeom>
                    <a:noFill/>
                    <a:ln>
                      <a:noFill/>
                    </a:ln>
                  </pic:spPr>
                </pic:pic>
              </a:graphicData>
            </a:graphic>
          </wp:inline>
        </w:drawing>
      </w:r>
    </w:p>
    <w:p w14:paraId="7E76EA79" w14:textId="77777777" w:rsidR="00D4492C" w:rsidRPr="0007572B" w:rsidRDefault="00D4492C" w:rsidP="0038082E">
      <w:pPr>
        <w:rPr>
          <w:rFonts w:ascii="Arial" w:hAnsi="Arial" w:cs="Arial"/>
          <w:sz w:val="22"/>
          <w:szCs w:val="22"/>
        </w:rPr>
      </w:pPr>
    </w:p>
    <w:p w14:paraId="051C874C" w14:textId="4F26CE2B" w:rsidR="00FC4B04" w:rsidRPr="0007572B" w:rsidRDefault="00FC4B04" w:rsidP="0038082E">
      <w:pPr>
        <w:pStyle w:val="Heading4bold"/>
      </w:pPr>
      <w:r w:rsidRPr="0007572B">
        <w:t>Members and Chief Officers</w:t>
      </w:r>
    </w:p>
    <w:p w14:paraId="52F7EFE7" w14:textId="56FEC50D" w:rsidR="00FC4B04" w:rsidRPr="0007572B" w:rsidRDefault="00FC4B04" w:rsidP="0038082E">
      <w:pPr>
        <w:rPr>
          <w:rFonts w:ascii="Arial" w:hAnsi="Arial" w:cs="Arial"/>
        </w:rPr>
      </w:pPr>
      <w:r w:rsidRPr="0007572B">
        <w:rPr>
          <w:rFonts w:ascii="Arial" w:hAnsi="Arial" w:cs="Arial"/>
        </w:rPr>
        <w:t>Members of the Authority</w:t>
      </w:r>
      <w:r w:rsidR="00471CCA" w:rsidRPr="0007572B">
        <w:rPr>
          <w:rFonts w:ascii="Arial" w:hAnsi="Arial" w:cs="Arial"/>
        </w:rPr>
        <w:t xml:space="preserve"> (the Mayor and leaders of the GM </w:t>
      </w:r>
      <w:r w:rsidR="002952F9" w:rsidRPr="0007572B">
        <w:rPr>
          <w:rFonts w:ascii="Arial" w:hAnsi="Arial" w:cs="Arial"/>
        </w:rPr>
        <w:t>Authorities</w:t>
      </w:r>
      <w:r w:rsidR="00471CCA" w:rsidRPr="0007572B">
        <w:rPr>
          <w:rFonts w:ascii="Arial" w:hAnsi="Arial" w:cs="Arial"/>
        </w:rPr>
        <w:t xml:space="preserve">) </w:t>
      </w:r>
      <w:r w:rsidRPr="0007572B">
        <w:rPr>
          <w:rFonts w:ascii="Arial" w:hAnsi="Arial" w:cs="Arial"/>
        </w:rPr>
        <w:t xml:space="preserve">have direct control over the Authority's financial and operating policies. </w:t>
      </w:r>
    </w:p>
    <w:p w14:paraId="0CBB5F97" w14:textId="2DDF9B73" w:rsidR="00FC4B04" w:rsidRPr="0007572B" w:rsidRDefault="00FC4B04" w:rsidP="0038082E">
      <w:pPr>
        <w:rPr>
          <w:rFonts w:ascii="Arial" w:hAnsi="Arial" w:cs="Arial"/>
        </w:rPr>
      </w:pPr>
      <w:r w:rsidRPr="0007572B">
        <w:rPr>
          <w:rFonts w:ascii="Arial" w:hAnsi="Arial" w:cs="Arial"/>
        </w:rPr>
        <w:t>No</w:t>
      </w:r>
      <w:r w:rsidR="002C641A" w:rsidRPr="0007572B">
        <w:rPr>
          <w:rFonts w:ascii="Arial" w:hAnsi="Arial" w:cs="Arial"/>
        </w:rPr>
        <w:t xml:space="preserve"> members allowances are payable</w:t>
      </w:r>
      <w:r w:rsidR="008D7ACA" w:rsidRPr="0007572B">
        <w:rPr>
          <w:rFonts w:ascii="Arial" w:hAnsi="Arial" w:cs="Arial"/>
        </w:rPr>
        <w:t>;</w:t>
      </w:r>
      <w:r w:rsidR="002C641A" w:rsidRPr="0007572B">
        <w:rPr>
          <w:rFonts w:ascii="Arial" w:hAnsi="Arial" w:cs="Arial"/>
        </w:rPr>
        <w:t xml:space="preserve"> the remuneration of the Mayor and Deputy Mayor for Police and Crime are disclosed in </w:t>
      </w:r>
      <w:r w:rsidR="00323BE3" w:rsidRPr="0007572B">
        <w:rPr>
          <w:rFonts w:ascii="Arial" w:hAnsi="Arial" w:cs="Arial"/>
        </w:rPr>
        <w:t xml:space="preserve">Senior Employees Remuneration </w:t>
      </w:r>
      <w:r w:rsidR="002C641A" w:rsidRPr="0007572B">
        <w:rPr>
          <w:rFonts w:ascii="Arial" w:hAnsi="Arial" w:cs="Arial"/>
        </w:rPr>
        <w:t>note.</w:t>
      </w:r>
    </w:p>
    <w:p w14:paraId="2AB5880F" w14:textId="77777777" w:rsidR="0085625D" w:rsidRDefault="00FC4B04" w:rsidP="0038082E">
      <w:pPr>
        <w:rPr>
          <w:rFonts w:ascii="Arial" w:hAnsi="Arial" w:cs="Arial"/>
        </w:rPr>
      </w:pPr>
      <w:r w:rsidRPr="0007572B">
        <w:rPr>
          <w:rFonts w:ascii="Arial" w:hAnsi="Arial" w:cs="Arial"/>
        </w:rPr>
        <w:t>Details of member's interest, both pecuniary and non-financial are recorded in the register of member’s interest (available for public inspection).</w:t>
      </w:r>
    </w:p>
    <w:p w14:paraId="6C4876CC" w14:textId="51F862D4" w:rsidR="00FC4B04" w:rsidRPr="00431F6F" w:rsidRDefault="00FC4B04" w:rsidP="0038082E">
      <w:pPr>
        <w:rPr>
          <w:rFonts w:ascii="Arial" w:hAnsi="Arial" w:cs="Arial"/>
          <w:bCs/>
        </w:rPr>
      </w:pPr>
      <w:r w:rsidRPr="0007572B">
        <w:rPr>
          <w:rFonts w:ascii="Arial" w:hAnsi="Arial" w:cs="Arial"/>
        </w:rPr>
        <w:lastRenderedPageBreak/>
        <w:t xml:space="preserve">During </w:t>
      </w:r>
      <w:r w:rsidR="00974AF2" w:rsidRPr="0007572B">
        <w:rPr>
          <w:rFonts w:ascii="Arial" w:hAnsi="Arial" w:cs="Arial"/>
        </w:rPr>
        <w:t>the year</w:t>
      </w:r>
      <w:r w:rsidRPr="0007572B">
        <w:rPr>
          <w:rFonts w:ascii="Arial" w:hAnsi="Arial" w:cs="Arial"/>
        </w:rPr>
        <w:t xml:space="preserve"> </w:t>
      </w:r>
      <w:r w:rsidR="00953288">
        <w:rPr>
          <w:rFonts w:ascii="Arial" w:hAnsi="Arial" w:cs="Arial"/>
        </w:rPr>
        <w:t xml:space="preserve">the Authority </w:t>
      </w:r>
      <w:r w:rsidRPr="0007572B">
        <w:rPr>
          <w:rFonts w:ascii="Arial" w:hAnsi="Arial" w:cs="Arial"/>
        </w:rPr>
        <w:t xml:space="preserve">reported material transactions with </w:t>
      </w:r>
      <w:r w:rsidR="00953288">
        <w:rPr>
          <w:rFonts w:ascii="Arial" w:hAnsi="Arial" w:cs="Arial"/>
        </w:rPr>
        <w:t xml:space="preserve">Halle Concerts Society, a </w:t>
      </w:r>
      <w:r w:rsidRPr="0007572B">
        <w:rPr>
          <w:rFonts w:ascii="Arial" w:hAnsi="Arial" w:cs="Arial"/>
        </w:rPr>
        <w:t>related part</w:t>
      </w:r>
      <w:r w:rsidR="00953288">
        <w:rPr>
          <w:rFonts w:ascii="Arial" w:hAnsi="Arial" w:cs="Arial"/>
        </w:rPr>
        <w:t>y</w:t>
      </w:r>
      <w:r w:rsidRPr="0007572B">
        <w:rPr>
          <w:rFonts w:ascii="Arial" w:hAnsi="Arial" w:cs="Arial"/>
        </w:rPr>
        <w:t xml:space="preserve"> advised by</w:t>
      </w:r>
      <w:r w:rsidR="00953288">
        <w:rPr>
          <w:rFonts w:ascii="Arial" w:hAnsi="Arial" w:cs="Arial"/>
        </w:rPr>
        <w:t xml:space="preserve"> an authority </w:t>
      </w:r>
      <w:r w:rsidRPr="0007572B">
        <w:rPr>
          <w:rFonts w:ascii="Arial" w:hAnsi="Arial" w:cs="Arial"/>
        </w:rPr>
        <w:t>officer</w:t>
      </w:r>
      <w:r w:rsidRPr="0007572B">
        <w:rPr>
          <w:rFonts w:ascii="Arial" w:hAnsi="Arial" w:cs="Arial"/>
          <w:b/>
        </w:rPr>
        <w:t>.</w:t>
      </w:r>
      <w:r w:rsidR="00953288">
        <w:rPr>
          <w:rFonts w:ascii="Arial" w:hAnsi="Arial" w:cs="Arial"/>
          <w:b/>
        </w:rPr>
        <w:t xml:space="preserve"> </w:t>
      </w:r>
      <w:r w:rsidR="00953288" w:rsidRPr="00431F6F">
        <w:rPr>
          <w:rFonts w:ascii="Arial" w:hAnsi="Arial" w:cs="Arial"/>
          <w:bCs/>
        </w:rPr>
        <w:t xml:space="preserve">See below related </w:t>
      </w:r>
      <w:r w:rsidR="00953288" w:rsidRPr="00953288">
        <w:rPr>
          <w:rFonts w:ascii="Arial" w:hAnsi="Arial" w:cs="Arial"/>
          <w:bCs/>
        </w:rPr>
        <w:t>parties’</w:t>
      </w:r>
      <w:r w:rsidR="00953288" w:rsidRPr="00431F6F">
        <w:rPr>
          <w:rFonts w:ascii="Arial" w:hAnsi="Arial" w:cs="Arial"/>
          <w:bCs/>
        </w:rPr>
        <w:t xml:space="preserve"> disclosure for </w:t>
      </w:r>
      <w:r w:rsidR="00953288">
        <w:rPr>
          <w:rFonts w:ascii="Arial" w:hAnsi="Arial" w:cs="Arial"/>
          <w:bCs/>
        </w:rPr>
        <w:t xml:space="preserve">more detail. </w:t>
      </w:r>
    </w:p>
    <w:p w14:paraId="78411743" w14:textId="77777777" w:rsidR="00E96C7E" w:rsidRPr="0085625D" w:rsidRDefault="00E96C7E" w:rsidP="0038082E">
      <w:pPr>
        <w:rPr>
          <w:rFonts w:ascii="Arial" w:hAnsi="Arial" w:cs="Arial"/>
        </w:rPr>
      </w:pPr>
    </w:p>
    <w:p w14:paraId="7C3A45CF" w14:textId="40F43795" w:rsidR="00A842BB" w:rsidRPr="0007572B" w:rsidRDefault="00A842BB" w:rsidP="0038082E">
      <w:pPr>
        <w:pStyle w:val="Heading4bold"/>
      </w:pPr>
      <w:r w:rsidRPr="0007572B">
        <w:t>Greater Manchester</w:t>
      </w:r>
      <w:r w:rsidR="00186C02">
        <w:t xml:space="preserve"> Police</w:t>
      </w:r>
    </w:p>
    <w:p w14:paraId="2E035617" w14:textId="22A2CE09" w:rsidR="00974AF2" w:rsidRDefault="004103E9" w:rsidP="0038082E">
      <w:pPr>
        <w:rPr>
          <w:rFonts w:ascii="Arial" w:eastAsia="Calibri" w:hAnsi="Arial" w:cs="Arial"/>
          <w:color w:val="000000"/>
          <w:lang w:val="en-US"/>
        </w:rPr>
      </w:pPr>
      <w:r w:rsidRPr="0007572B">
        <w:rPr>
          <w:rFonts w:ascii="Arial" w:hAnsi="Arial" w:cs="Arial"/>
          <w:color w:val="000000"/>
          <w:lang w:val="en-US"/>
        </w:rPr>
        <w:t xml:space="preserve">Under the legislative framework and local arrangements, the Authority under sole instruction from the Mayor, is responsible for the finances of the Mayoral Police Fund including assets, </w:t>
      </w:r>
      <w:proofErr w:type="gramStart"/>
      <w:r w:rsidRPr="0007572B">
        <w:rPr>
          <w:rFonts w:ascii="Arial" w:hAnsi="Arial" w:cs="Arial"/>
          <w:color w:val="000000"/>
          <w:lang w:val="en-US"/>
        </w:rPr>
        <w:t>liabilities</w:t>
      </w:r>
      <w:proofErr w:type="gramEnd"/>
      <w:r w:rsidRPr="0007572B">
        <w:rPr>
          <w:rFonts w:ascii="Arial" w:hAnsi="Arial" w:cs="Arial"/>
          <w:color w:val="000000"/>
          <w:lang w:val="en-US"/>
        </w:rPr>
        <w:t xml:space="preserve"> and reserves. The Authority has responsibility for </w:t>
      </w:r>
      <w:proofErr w:type="gramStart"/>
      <w:r w:rsidRPr="0007572B">
        <w:rPr>
          <w:rFonts w:ascii="Arial" w:hAnsi="Arial" w:cs="Arial"/>
          <w:color w:val="000000"/>
          <w:lang w:val="en-US"/>
        </w:rPr>
        <w:t>entering into</w:t>
      </w:r>
      <w:proofErr w:type="gramEnd"/>
      <w:r w:rsidRPr="0007572B">
        <w:rPr>
          <w:rFonts w:ascii="Arial" w:hAnsi="Arial" w:cs="Arial"/>
          <w:color w:val="000000"/>
          <w:lang w:val="en-US"/>
        </w:rPr>
        <w:t xml:space="preserve"> contracts and establishing the contractual framework under which the Chief Constable</w:t>
      </w:r>
      <w:r w:rsidR="00BD2F32" w:rsidRPr="0007572B">
        <w:rPr>
          <w:rFonts w:ascii="Arial" w:hAnsi="Arial" w:cs="Arial"/>
          <w:color w:val="000000"/>
          <w:lang w:val="en-US"/>
        </w:rPr>
        <w:t>’</w:t>
      </w:r>
      <w:r w:rsidRPr="0007572B">
        <w:rPr>
          <w:rFonts w:ascii="Arial" w:hAnsi="Arial" w:cs="Arial"/>
          <w:color w:val="000000"/>
          <w:lang w:val="en-US"/>
        </w:rPr>
        <w:t>s officers and staff operate.</w:t>
      </w:r>
      <w:r w:rsidRPr="0007572B">
        <w:rPr>
          <w:rFonts w:ascii="Arial" w:eastAsia="Calibri" w:hAnsi="Arial" w:cs="Arial"/>
          <w:color w:val="000000"/>
          <w:lang w:val="en-US"/>
        </w:rPr>
        <w:t xml:space="preserve"> The Authority receives all income and funding and makes all the payments for the policing activity from the Mayoral Police Fund.</w:t>
      </w:r>
    </w:p>
    <w:p w14:paraId="5AC6E30B" w14:textId="1B010A8B" w:rsidR="00152326" w:rsidRDefault="00152326" w:rsidP="0038082E">
      <w:pPr>
        <w:rPr>
          <w:rFonts w:ascii="Arial" w:eastAsia="Calibri" w:hAnsi="Arial" w:cs="Arial"/>
          <w:color w:val="000000"/>
          <w:lang w:val="en-US"/>
        </w:rPr>
      </w:pPr>
    </w:p>
    <w:p w14:paraId="5585E127" w14:textId="187C6D22" w:rsidR="00695D41" w:rsidRPr="00431F6F" w:rsidRDefault="00152326" w:rsidP="0085625D">
      <w:pPr>
        <w:pStyle w:val="Heading4bold"/>
        <w:rPr>
          <w:rFonts w:eastAsia="Calibri"/>
          <w:color w:val="000000" w:themeColor="text1"/>
          <w:lang w:val="en-US"/>
        </w:rPr>
      </w:pPr>
      <w:r w:rsidRPr="00431F6F">
        <w:rPr>
          <w:rFonts w:eastAsia="Calibri"/>
          <w:color w:val="000000" w:themeColor="text1"/>
          <w:lang w:val="en-US"/>
        </w:rPr>
        <w:t>North West Fire Control</w:t>
      </w:r>
      <w:r w:rsidR="00695D41" w:rsidRPr="00431F6F">
        <w:rPr>
          <w:rFonts w:eastAsia="Calibri"/>
          <w:color w:val="000000" w:themeColor="text1"/>
          <w:lang w:val="en-US"/>
        </w:rPr>
        <w:t xml:space="preserve"> Limited</w:t>
      </w:r>
    </w:p>
    <w:p w14:paraId="169AAD94" w14:textId="4D387FF6" w:rsidR="00695D41" w:rsidRPr="00431F6F" w:rsidRDefault="009578EC" w:rsidP="0038082E">
      <w:pPr>
        <w:rPr>
          <w:rFonts w:ascii="Arial" w:eastAsia="Calibri" w:hAnsi="Arial" w:cs="Arial"/>
          <w:color w:val="000000" w:themeColor="text1"/>
          <w:lang w:val="en-US"/>
        </w:rPr>
      </w:pPr>
      <w:bookmarkStart w:id="187" w:name="_Hlk121404892"/>
      <w:r w:rsidRPr="00431F6F">
        <w:rPr>
          <w:rFonts w:ascii="Arial" w:eastAsia="Calibri" w:hAnsi="Arial" w:cs="Arial"/>
          <w:color w:val="000000" w:themeColor="text1"/>
          <w:lang w:val="en-US"/>
        </w:rPr>
        <w:t>The Authority has the right to appoint two directors, who are councilors appointed to their respective FRAs. It has been determined that the company is governed by joint control as each authority has equal voting rights and</w:t>
      </w:r>
      <w:r w:rsidR="00695D41" w:rsidRPr="00431F6F">
        <w:rPr>
          <w:rFonts w:ascii="Arial" w:eastAsia="Calibri" w:hAnsi="Arial" w:cs="Arial"/>
          <w:color w:val="000000" w:themeColor="text1"/>
          <w:lang w:val="en-US"/>
        </w:rPr>
        <w:t xml:space="preserve"> unanimous consent exists for key decisions</w:t>
      </w:r>
      <w:r w:rsidRPr="00431F6F">
        <w:rPr>
          <w:rFonts w:ascii="Arial" w:eastAsia="Calibri" w:hAnsi="Arial" w:cs="Arial"/>
          <w:color w:val="000000" w:themeColor="text1"/>
          <w:lang w:val="en-US"/>
        </w:rPr>
        <w:t>.</w:t>
      </w:r>
    </w:p>
    <w:p w14:paraId="0B91D32B" w14:textId="745EC114" w:rsidR="004A4FE2" w:rsidRPr="00431F6F" w:rsidRDefault="004A4FE2" w:rsidP="0038082E">
      <w:pPr>
        <w:rPr>
          <w:rFonts w:ascii="Arial" w:eastAsia="Calibri" w:hAnsi="Arial" w:cs="Arial"/>
          <w:color w:val="000000" w:themeColor="text1"/>
          <w:lang w:val="en-US"/>
        </w:rPr>
      </w:pPr>
    </w:p>
    <w:p w14:paraId="114655CD" w14:textId="57C792C8" w:rsidR="004A4FE2" w:rsidRDefault="004A4FE2" w:rsidP="004A4FE2">
      <w:pPr>
        <w:rPr>
          <w:rFonts w:ascii="Arial" w:eastAsia="Calibri" w:hAnsi="Arial" w:cs="Arial"/>
          <w:color w:val="000000" w:themeColor="text1"/>
          <w:lang w:val="en-US"/>
        </w:rPr>
      </w:pPr>
      <w:r w:rsidRPr="00431F6F">
        <w:rPr>
          <w:rFonts w:ascii="Arial" w:eastAsia="Calibri" w:hAnsi="Arial" w:cs="Arial"/>
          <w:color w:val="000000" w:themeColor="text1"/>
          <w:lang w:val="en-US"/>
        </w:rPr>
        <w:t xml:space="preserve">In 2014 The Greater Manchester Combined Authority, Cheshire Fire Authority, Cumbria County Council and Lancashire Combined Fire Authority transferred their Control Room functions into the regionalised service provided by NW </w:t>
      </w:r>
      <w:r w:rsidR="0085625D" w:rsidRPr="00431F6F">
        <w:rPr>
          <w:rFonts w:ascii="Arial" w:eastAsia="Calibri" w:hAnsi="Arial" w:cs="Arial"/>
          <w:color w:val="000000" w:themeColor="text1"/>
          <w:lang w:val="en-US"/>
        </w:rPr>
        <w:t>Fire control</w:t>
      </w:r>
      <w:r w:rsidRPr="00431F6F">
        <w:rPr>
          <w:rFonts w:ascii="Arial" w:eastAsia="Calibri" w:hAnsi="Arial" w:cs="Arial"/>
          <w:color w:val="000000" w:themeColor="text1"/>
          <w:lang w:val="en-US"/>
        </w:rPr>
        <w:t xml:space="preserve"> Limited. The cost of the service is charged out to the four FRAs on an agreed pro rata basis. </w:t>
      </w:r>
      <w:r w:rsidR="00A86C68" w:rsidRPr="00431F6F">
        <w:rPr>
          <w:rFonts w:ascii="Arial" w:eastAsia="Calibri" w:hAnsi="Arial" w:cs="Arial"/>
          <w:color w:val="000000" w:themeColor="text1"/>
          <w:lang w:val="en-US"/>
        </w:rPr>
        <w:t>R</w:t>
      </w:r>
      <w:r w:rsidRPr="00431F6F">
        <w:rPr>
          <w:rFonts w:ascii="Arial" w:eastAsia="Calibri" w:hAnsi="Arial" w:cs="Arial"/>
          <w:color w:val="000000" w:themeColor="text1"/>
          <w:lang w:val="en-US"/>
        </w:rPr>
        <w:t>elated party expenditure</w:t>
      </w:r>
      <w:r w:rsidR="00E968E1" w:rsidRPr="00431F6F">
        <w:rPr>
          <w:rFonts w:ascii="Arial" w:eastAsia="Calibri" w:hAnsi="Arial" w:cs="Arial"/>
          <w:color w:val="000000" w:themeColor="text1"/>
          <w:lang w:val="en-US"/>
        </w:rPr>
        <w:t>, income</w:t>
      </w:r>
      <w:r w:rsidRPr="00431F6F">
        <w:rPr>
          <w:rFonts w:ascii="Arial" w:eastAsia="Calibri" w:hAnsi="Arial" w:cs="Arial"/>
          <w:color w:val="000000" w:themeColor="text1"/>
          <w:lang w:val="en-US"/>
        </w:rPr>
        <w:t xml:space="preserve"> </w:t>
      </w:r>
      <w:r w:rsidR="00E968E1" w:rsidRPr="00431F6F">
        <w:rPr>
          <w:rFonts w:ascii="Arial" w:eastAsia="Calibri" w:hAnsi="Arial" w:cs="Arial"/>
          <w:color w:val="000000" w:themeColor="text1"/>
          <w:lang w:val="en-US"/>
        </w:rPr>
        <w:t xml:space="preserve">and </w:t>
      </w:r>
      <w:r w:rsidRPr="00431F6F">
        <w:rPr>
          <w:rFonts w:ascii="Arial" w:eastAsia="Calibri" w:hAnsi="Arial" w:cs="Arial"/>
          <w:color w:val="000000" w:themeColor="text1"/>
          <w:lang w:val="en-US"/>
        </w:rPr>
        <w:t>end of year balances</w:t>
      </w:r>
      <w:r w:rsidR="00A86C68" w:rsidRPr="00431F6F">
        <w:rPr>
          <w:rFonts w:ascii="Arial" w:eastAsia="Calibri" w:hAnsi="Arial" w:cs="Arial"/>
          <w:color w:val="000000" w:themeColor="text1"/>
          <w:lang w:val="en-US"/>
        </w:rPr>
        <w:t xml:space="preserve"> </w:t>
      </w:r>
      <w:r w:rsidRPr="00431F6F">
        <w:rPr>
          <w:rFonts w:ascii="Arial" w:eastAsia="Calibri" w:hAnsi="Arial" w:cs="Arial"/>
          <w:color w:val="000000" w:themeColor="text1"/>
          <w:lang w:val="en-US"/>
        </w:rPr>
        <w:t>are reported as follows:</w:t>
      </w:r>
    </w:p>
    <w:p w14:paraId="1E56D78D" w14:textId="77777777" w:rsidR="00E96C7E" w:rsidRPr="00431F6F" w:rsidRDefault="00E96C7E" w:rsidP="004A4FE2">
      <w:pPr>
        <w:rPr>
          <w:rFonts w:ascii="Arial" w:eastAsia="Calibri" w:hAnsi="Arial" w:cs="Arial"/>
          <w:color w:val="000000" w:themeColor="text1"/>
          <w:lang w:val="en-US"/>
        </w:rPr>
      </w:pPr>
    </w:p>
    <w:p w14:paraId="2B406C84" w14:textId="7623E6CD" w:rsidR="009578EC" w:rsidRPr="00943897" w:rsidRDefault="00860E50" w:rsidP="0038082E">
      <w:pPr>
        <w:rPr>
          <w:rFonts w:ascii="Arial" w:eastAsia="Calibri" w:hAnsi="Arial" w:cs="Arial"/>
          <w:b/>
          <w:bCs/>
          <w:u w:val="single"/>
          <w:lang w:val="en-US"/>
        </w:rPr>
      </w:pPr>
      <w:r w:rsidRPr="00860E50">
        <w:rPr>
          <w:rFonts w:eastAsia="Calibri"/>
          <w:noProof/>
        </w:rPr>
        <w:drawing>
          <wp:inline distT="0" distB="0" distL="0" distR="0" wp14:anchorId="1C7B2CBE" wp14:editId="459166DC">
            <wp:extent cx="3857625" cy="8953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57625" cy="895350"/>
                    </a:xfrm>
                    <a:prstGeom prst="rect">
                      <a:avLst/>
                    </a:prstGeom>
                    <a:noFill/>
                    <a:ln>
                      <a:noFill/>
                    </a:ln>
                  </pic:spPr>
                </pic:pic>
              </a:graphicData>
            </a:graphic>
          </wp:inline>
        </w:drawing>
      </w:r>
    </w:p>
    <w:p w14:paraId="14D523C2" w14:textId="4FC97768" w:rsidR="006533F8" w:rsidRPr="00943897" w:rsidRDefault="006533F8" w:rsidP="0038082E">
      <w:pPr>
        <w:rPr>
          <w:rFonts w:ascii="Arial" w:eastAsia="Calibri" w:hAnsi="Arial" w:cs="Arial"/>
          <w:b/>
          <w:bCs/>
          <w:u w:val="single"/>
          <w:lang w:val="en-US"/>
        </w:rPr>
      </w:pPr>
    </w:p>
    <w:p w14:paraId="1536E5B6" w14:textId="761740D8" w:rsidR="006533F8" w:rsidRPr="00943897" w:rsidRDefault="006533F8" w:rsidP="0038082E">
      <w:pPr>
        <w:rPr>
          <w:rFonts w:ascii="Arial" w:eastAsia="Calibri" w:hAnsi="Arial" w:cs="Arial"/>
          <w:b/>
          <w:bCs/>
          <w:u w:val="single"/>
          <w:lang w:val="en-US"/>
        </w:rPr>
      </w:pPr>
    </w:p>
    <w:p w14:paraId="751F947A" w14:textId="77777777" w:rsidR="006533F8" w:rsidRPr="00943897" w:rsidRDefault="006533F8" w:rsidP="0038082E">
      <w:pPr>
        <w:rPr>
          <w:rFonts w:ascii="Arial" w:eastAsia="Calibri" w:hAnsi="Arial" w:cs="Arial"/>
          <w:b/>
          <w:bCs/>
          <w:u w:val="single"/>
          <w:lang w:val="en-US"/>
        </w:rPr>
      </w:pPr>
    </w:p>
    <w:p w14:paraId="0BB4E22C" w14:textId="77777777" w:rsidR="00E96C7E" w:rsidRPr="00943897" w:rsidRDefault="00E96C7E" w:rsidP="0038082E">
      <w:pPr>
        <w:rPr>
          <w:rFonts w:ascii="Arial" w:eastAsia="Calibri" w:hAnsi="Arial" w:cs="Arial"/>
          <w:b/>
          <w:bCs/>
          <w:u w:val="single"/>
          <w:lang w:val="en-US"/>
        </w:rPr>
      </w:pPr>
    </w:p>
    <w:bookmarkEnd w:id="187"/>
    <w:p w14:paraId="5F436A2E" w14:textId="74379E71" w:rsidR="004A4FE2" w:rsidRPr="00431F6F" w:rsidRDefault="00144400" w:rsidP="0085625D">
      <w:pPr>
        <w:pStyle w:val="Heading4bold"/>
        <w:rPr>
          <w:color w:val="000000" w:themeColor="text1"/>
        </w:rPr>
      </w:pPr>
      <w:r w:rsidRPr="00431F6F">
        <w:rPr>
          <w:color w:val="000000" w:themeColor="text1"/>
        </w:rPr>
        <w:lastRenderedPageBreak/>
        <w:t>Manchester Investment and Development Agency Service Limited</w:t>
      </w:r>
    </w:p>
    <w:p w14:paraId="1C70A764" w14:textId="08345CA5" w:rsidR="0055161B" w:rsidRDefault="00A86C68" w:rsidP="0038082E">
      <w:pPr>
        <w:rPr>
          <w:rFonts w:ascii="Arial" w:eastAsia="Calibri" w:hAnsi="Arial" w:cs="Arial"/>
          <w:color w:val="000000" w:themeColor="text1"/>
          <w:lang w:val="en-US"/>
        </w:rPr>
      </w:pPr>
      <w:r w:rsidRPr="00431F6F">
        <w:rPr>
          <w:rFonts w:ascii="Arial" w:hAnsi="Arial" w:cs="Arial"/>
          <w:color w:val="000000" w:themeColor="text1"/>
        </w:rPr>
        <w:t>The Authority has direct control over the company’s financial and operating policies. The company is a related party by virtue of common directors.</w:t>
      </w:r>
      <w:r w:rsidR="0085625D" w:rsidRPr="00431F6F">
        <w:rPr>
          <w:rFonts w:ascii="Arial" w:hAnsi="Arial" w:cs="Arial"/>
          <w:color w:val="000000" w:themeColor="text1"/>
        </w:rPr>
        <w:t xml:space="preserve"> </w:t>
      </w:r>
      <w:r w:rsidRPr="00431F6F">
        <w:rPr>
          <w:rFonts w:ascii="Arial" w:eastAsia="Calibri" w:hAnsi="Arial" w:cs="Arial"/>
          <w:color w:val="000000" w:themeColor="text1"/>
          <w:lang w:val="en-US"/>
        </w:rPr>
        <w:t>Related party expenditure</w:t>
      </w:r>
      <w:r w:rsidR="00E968E1" w:rsidRPr="00431F6F">
        <w:rPr>
          <w:rFonts w:ascii="Arial" w:eastAsia="Calibri" w:hAnsi="Arial" w:cs="Arial"/>
          <w:color w:val="000000" w:themeColor="text1"/>
          <w:lang w:val="en-US"/>
        </w:rPr>
        <w:t xml:space="preserve">, income and </w:t>
      </w:r>
      <w:r w:rsidRPr="00431F6F">
        <w:rPr>
          <w:rFonts w:ascii="Arial" w:eastAsia="Calibri" w:hAnsi="Arial" w:cs="Arial"/>
          <w:color w:val="000000" w:themeColor="text1"/>
          <w:lang w:val="en-US"/>
        </w:rPr>
        <w:t>end of year balances are reported as follows:</w:t>
      </w:r>
    </w:p>
    <w:p w14:paraId="52BB5609" w14:textId="77E07141" w:rsidR="006539C3" w:rsidRDefault="006539C3" w:rsidP="0038082E">
      <w:pPr>
        <w:rPr>
          <w:rFonts w:ascii="Arial" w:hAnsi="Arial" w:cs="Arial"/>
          <w:b/>
          <w:bCs/>
          <w:u w:val="single"/>
        </w:rPr>
      </w:pPr>
    </w:p>
    <w:tbl>
      <w:tblPr>
        <w:tblW w:w="6516" w:type="dxa"/>
        <w:tblLook w:val="04A0" w:firstRow="1" w:lastRow="0" w:firstColumn="1" w:lastColumn="0" w:noHBand="0" w:noVBand="1"/>
      </w:tblPr>
      <w:tblGrid>
        <w:gridCol w:w="1555"/>
        <w:gridCol w:w="3402"/>
        <w:gridCol w:w="1559"/>
      </w:tblGrid>
      <w:tr w:rsidR="006539C3" w14:paraId="024AEA22" w14:textId="77777777" w:rsidTr="006539C3">
        <w:trPr>
          <w:trHeight w:val="53"/>
        </w:trPr>
        <w:tc>
          <w:tcPr>
            <w:tcW w:w="1555" w:type="dxa"/>
            <w:tcBorders>
              <w:top w:val="single" w:sz="4" w:space="0" w:color="auto"/>
              <w:left w:val="single" w:sz="4" w:space="0" w:color="auto"/>
              <w:bottom w:val="nil"/>
              <w:right w:val="single" w:sz="4" w:space="0" w:color="auto"/>
            </w:tcBorders>
            <w:shd w:val="clear" w:color="auto" w:fill="auto"/>
            <w:noWrap/>
            <w:vAlign w:val="bottom"/>
            <w:hideMark/>
          </w:tcPr>
          <w:p w14:paraId="109E176E" w14:textId="77777777" w:rsidR="006539C3" w:rsidRPr="006539C3" w:rsidRDefault="006539C3" w:rsidP="006539C3">
            <w:pPr>
              <w:jc w:val="center"/>
              <w:rPr>
                <w:rFonts w:ascii="Arial" w:hAnsi="Arial" w:cs="Arial"/>
                <w:b/>
                <w:bCs/>
                <w:color w:val="000000"/>
                <w:sz w:val="16"/>
                <w:szCs w:val="16"/>
                <w:lang w:eastAsia="en-GB"/>
              </w:rPr>
            </w:pPr>
            <w:r w:rsidRPr="006539C3">
              <w:rPr>
                <w:rFonts w:ascii="Arial" w:hAnsi="Arial" w:cs="Arial"/>
                <w:b/>
                <w:bCs/>
                <w:color w:val="000000"/>
                <w:sz w:val="16"/>
                <w:szCs w:val="16"/>
              </w:rPr>
              <w:t>2020/21</w:t>
            </w:r>
          </w:p>
        </w:tc>
        <w:tc>
          <w:tcPr>
            <w:tcW w:w="3402" w:type="dxa"/>
            <w:tcBorders>
              <w:top w:val="single" w:sz="4" w:space="0" w:color="auto"/>
              <w:left w:val="nil"/>
              <w:bottom w:val="nil"/>
              <w:right w:val="nil"/>
            </w:tcBorders>
            <w:shd w:val="clear" w:color="auto" w:fill="auto"/>
            <w:noWrap/>
            <w:vAlign w:val="bottom"/>
            <w:hideMark/>
          </w:tcPr>
          <w:p w14:paraId="1BF59322" w14:textId="77777777" w:rsidR="006539C3" w:rsidRPr="006539C3" w:rsidRDefault="006539C3">
            <w:pPr>
              <w:rPr>
                <w:rFonts w:ascii="Arial" w:hAnsi="Arial" w:cs="Arial"/>
                <w:b/>
                <w:bCs/>
                <w:color w:val="000000"/>
                <w:sz w:val="16"/>
                <w:szCs w:val="16"/>
              </w:rPr>
            </w:pPr>
            <w:r w:rsidRPr="006539C3">
              <w:rPr>
                <w:rFonts w:ascii="Arial" w:eastAsia="Calibri" w:hAnsi="Arial" w:cs="Arial"/>
                <w:b/>
                <w:bCs/>
                <w:color w:val="000000"/>
                <w:sz w:val="16"/>
                <w:szCs w:val="16"/>
                <w:lang w:val="en-US"/>
              </w:rPr>
              <w:t>MIDAS</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14:paraId="371A2D5C" w14:textId="77777777" w:rsidR="006539C3" w:rsidRPr="006539C3" w:rsidRDefault="006539C3">
            <w:pPr>
              <w:jc w:val="center"/>
              <w:rPr>
                <w:rFonts w:ascii="Arial" w:hAnsi="Arial" w:cs="Arial"/>
                <w:b/>
                <w:bCs/>
                <w:color w:val="000000"/>
                <w:sz w:val="16"/>
                <w:szCs w:val="16"/>
              </w:rPr>
            </w:pPr>
            <w:r w:rsidRPr="006539C3">
              <w:rPr>
                <w:rFonts w:ascii="Arial" w:hAnsi="Arial" w:cs="Arial"/>
                <w:b/>
                <w:bCs/>
                <w:color w:val="000000"/>
                <w:sz w:val="16"/>
                <w:szCs w:val="16"/>
              </w:rPr>
              <w:t>2021/22</w:t>
            </w:r>
          </w:p>
        </w:tc>
      </w:tr>
      <w:tr w:rsidR="006539C3" w14:paraId="5C521765" w14:textId="77777777" w:rsidTr="006539C3">
        <w:trPr>
          <w:trHeight w:val="63"/>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F04C750" w14:textId="77777777" w:rsidR="006539C3" w:rsidRPr="006539C3" w:rsidRDefault="006539C3" w:rsidP="006539C3">
            <w:pPr>
              <w:jc w:val="center"/>
              <w:rPr>
                <w:rFonts w:ascii="Arial" w:hAnsi="Arial" w:cs="Arial"/>
                <w:b/>
                <w:bCs/>
                <w:color w:val="000000"/>
                <w:sz w:val="16"/>
                <w:szCs w:val="16"/>
              </w:rPr>
            </w:pPr>
            <w:r w:rsidRPr="006539C3">
              <w:rPr>
                <w:rFonts w:ascii="Arial" w:hAnsi="Arial" w:cs="Arial"/>
                <w:b/>
                <w:bCs/>
                <w:color w:val="000000"/>
                <w:sz w:val="16"/>
                <w:szCs w:val="16"/>
              </w:rPr>
              <w:t>£000s</w:t>
            </w:r>
          </w:p>
        </w:tc>
        <w:tc>
          <w:tcPr>
            <w:tcW w:w="3402" w:type="dxa"/>
            <w:tcBorders>
              <w:top w:val="nil"/>
              <w:left w:val="nil"/>
              <w:bottom w:val="single" w:sz="4" w:space="0" w:color="auto"/>
              <w:right w:val="nil"/>
            </w:tcBorders>
            <w:shd w:val="clear" w:color="auto" w:fill="auto"/>
            <w:noWrap/>
            <w:vAlign w:val="bottom"/>
            <w:hideMark/>
          </w:tcPr>
          <w:p w14:paraId="455EFAF1"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7CDC6D7" w14:textId="77777777" w:rsidR="006539C3" w:rsidRPr="006539C3" w:rsidRDefault="006539C3">
            <w:pPr>
              <w:jc w:val="center"/>
              <w:rPr>
                <w:rFonts w:ascii="Arial" w:hAnsi="Arial" w:cs="Arial"/>
                <w:b/>
                <w:bCs/>
                <w:color w:val="000000"/>
                <w:sz w:val="16"/>
                <w:szCs w:val="16"/>
              </w:rPr>
            </w:pPr>
            <w:r w:rsidRPr="006539C3">
              <w:rPr>
                <w:rFonts w:ascii="Arial" w:hAnsi="Arial" w:cs="Arial"/>
                <w:b/>
                <w:bCs/>
                <w:color w:val="000000"/>
                <w:sz w:val="16"/>
                <w:szCs w:val="16"/>
              </w:rPr>
              <w:t>£000s</w:t>
            </w:r>
          </w:p>
        </w:tc>
      </w:tr>
      <w:tr w:rsidR="006539C3" w14:paraId="3F27F3C4" w14:textId="77777777" w:rsidTr="006539C3">
        <w:trPr>
          <w:trHeight w:val="114"/>
        </w:trPr>
        <w:tc>
          <w:tcPr>
            <w:tcW w:w="1555" w:type="dxa"/>
            <w:tcBorders>
              <w:top w:val="nil"/>
              <w:left w:val="single" w:sz="4" w:space="0" w:color="auto"/>
              <w:bottom w:val="nil"/>
              <w:right w:val="single" w:sz="4" w:space="0" w:color="auto"/>
            </w:tcBorders>
            <w:shd w:val="clear" w:color="auto" w:fill="auto"/>
            <w:noWrap/>
            <w:vAlign w:val="bottom"/>
            <w:hideMark/>
          </w:tcPr>
          <w:p w14:paraId="5458701B"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1,262 </w:t>
            </w:r>
          </w:p>
        </w:tc>
        <w:tc>
          <w:tcPr>
            <w:tcW w:w="3402" w:type="dxa"/>
            <w:tcBorders>
              <w:top w:val="nil"/>
              <w:left w:val="nil"/>
              <w:bottom w:val="nil"/>
              <w:right w:val="nil"/>
            </w:tcBorders>
            <w:shd w:val="clear" w:color="auto" w:fill="auto"/>
            <w:noWrap/>
            <w:vAlign w:val="bottom"/>
            <w:hideMark/>
          </w:tcPr>
          <w:p w14:paraId="5FD1A3A8"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Expenditure</w:t>
            </w:r>
          </w:p>
        </w:tc>
        <w:tc>
          <w:tcPr>
            <w:tcW w:w="1559" w:type="dxa"/>
            <w:tcBorders>
              <w:top w:val="nil"/>
              <w:left w:val="single" w:sz="4" w:space="0" w:color="auto"/>
              <w:bottom w:val="nil"/>
              <w:right w:val="single" w:sz="4" w:space="0" w:color="auto"/>
            </w:tcBorders>
            <w:shd w:val="clear" w:color="auto" w:fill="auto"/>
            <w:noWrap/>
            <w:vAlign w:val="bottom"/>
            <w:hideMark/>
          </w:tcPr>
          <w:p w14:paraId="08805ACC"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1,277 </w:t>
            </w:r>
          </w:p>
        </w:tc>
      </w:tr>
      <w:tr w:rsidR="006539C3" w14:paraId="404DA215" w14:textId="77777777" w:rsidTr="006539C3">
        <w:trPr>
          <w:trHeight w:val="63"/>
        </w:trPr>
        <w:tc>
          <w:tcPr>
            <w:tcW w:w="1555" w:type="dxa"/>
            <w:tcBorders>
              <w:top w:val="nil"/>
              <w:left w:val="single" w:sz="4" w:space="0" w:color="auto"/>
              <w:bottom w:val="nil"/>
              <w:right w:val="single" w:sz="4" w:space="0" w:color="auto"/>
            </w:tcBorders>
            <w:shd w:val="clear" w:color="auto" w:fill="auto"/>
            <w:noWrap/>
            <w:vAlign w:val="bottom"/>
            <w:hideMark/>
          </w:tcPr>
          <w:p w14:paraId="7ABF6DC2"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1CE2973A"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Income</w:t>
            </w:r>
          </w:p>
        </w:tc>
        <w:tc>
          <w:tcPr>
            <w:tcW w:w="1559" w:type="dxa"/>
            <w:tcBorders>
              <w:top w:val="nil"/>
              <w:left w:val="single" w:sz="4" w:space="0" w:color="auto"/>
              <w:bottom w:val="nil"/>
              <w:right w:val="single" w:sz="4" w:space="0" w:color="auto"/>
            </w:tcBorders>
            <w:shd w:val="clear" w:color="auto" w:fill="auto"/>
            <w:noWrap/>
            <w:vAlign w:val="bottom"/>
            <w:hideMark/>
          </w:tcPr>
          <w:p w14:paraId="3BD04757"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r>
      <w:tr w:rsidR="006539C3" w14:paraId="5284C7F5" w14:textId="77777777" w:rsidTr="006539C3">
        <w:trPr>
          <w:trHeight w:val="90"/>
        </w:trPr>
        <w:tc>
          <w:tcPr>
            <w:tcW w:w="1555" w:type="dxa"/>
            <w:tcBorders>
              <w:top w:val="nil"/>
              <w:left w:val="single" w:sz="4" w:space="0" w:color="auto"/>
              <w:bottom w:val="nil"/>
              <w:right w:val="single" w:sz="4" w:space="0" w:color="auto"/>
            </w:tcBorders>
            <w:shd w:val="clear" w:color="auto" w:fill="auto"/>
            <w:noWrap/>
            <w:vAlign w:val="bottom"/>
            <w:hideMark/>
          </w:tcPr>
          <w:p w14:paraId="7D4FD26C"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7A486E6B"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Debtors</w:t>
            </w:r>
          </w:p>
        </w:tc>
        <w:tc>
          <w:tcPr>
            <w:tcW w:w="1559" w:type="dxa"/>
            <w:tcBorders>
              <w:top w:val="nil"/>
              <w:left w:val="single" w:sz="4" w:space="0" w:color="auto"/>
              <w:bottom w:val="nil"/>
              <w:right w:val="single" w:sz="4" w:space="0" w:color="auto"/>
            </w:tcBorders>
            <w:shd w:val="clear" w:color="auto" w:fill="auto"/>
            <w:noWrap/>
            <w:vAlign w:val="bottom"/>
            <w:hideMark/>
          </w:tcPr>
          <w:p w14:paraId="47C1025F"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r>
      <w:tr w:rsidR="006539C3" w14:paraId="307864D9" w14:textId="77777777" w:rsidTr="006539C3">
        <w:trPr>
          <w:trHeight w:val="63"/>
        </w:trPr>
        <w:tc>
          <w:tcPr>
            <w:tcW w:w="1555" w:type="dxa"/>
            <w:tcBorders>
              <w:top w:val="nil"/>
              <w:left w:val="single" w:sz="4" w:space="0" w:color="auto"/>
              <w:bottom w:val="nil"/>
              <w:right w:val="single" w:sz="4" w:space="0" w:color="auto"/>
            </w:tcBorders>
            <w:shd w:val="clear" w:color="auto" w:fill="auto"/>
            <w:noWrap/>
            <w:vAlign w:val="bottom"/>
            <w:hideMark/>
          </w:tcPr>
          <w:p w14:paraId="4AF7ECDA"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244641C9"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Creditors</w:t>
            </w:r>
          </w:p>
        </w:tc>
        <w:tc>
          <w:tcPr>
            <w:tcW w:w="1559" w:type="dxa"/>
            <w:tcBorders>
              <w:top w:val="nil"/>
              <w:left w:val="single" w:sz="4" w:space="0" w:color="auto"/>
              <w:bottom w:val="nil"/>
              <w:right w:val="single" w:sz="4" w:space="0" w:color="auto"/>
            </w:tcBorders>
            <w:shd w:val="clear" w:color="auto" w:fill="auto"/>
            <w:noWrap/>
            <w:vAlign w:val="bottom"/>
            <w:hideMark/>
          </w:tcPr>
          <w:p w14:paraId="365686A6"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(4)</w:t>
            </w:r>
          </w:p>
        </w:tc>
      </w:tr>
      <w:tr w:rsidR="006539C3" w14:paraId="100333AC" w14:textId="77777777" w:rsidTr="006539C3">
        <w:trPr>
          <w:trHeight w:val="63"/>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5C1AACE"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single" w:sz="4" w:space="0" w:color="auto"/>
              <w:right w:val="nil"/>
            </w:tcBorders>
            <w:shd w:val="clear" w:color="auto" w:fill="auto"/>
            <w:noWrap/>
            <w:vAlign w:val="bottom"/>
            <w:hideMark/>
          </w:tcPr>
          <w:p w14:paraId="41C26FBC"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Borrowings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B456366"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r>
    </w:tbl>
    <w:p w14:paraId="7340867A" w14:textId="1149361D" w:rsidR="000E5AD6" w:rsidRDefault="000E5AD6" w:rsidP="00E968E1">
      <w:pPr>
        <w:tabs>
          <w:tab w:val="left" w:pos="5051"/>
        </w:tabs>
        <w:rPr>
          <w:rFonts w:ascii="Arial" w:hAnsi="Arial" w:cs="Arial"/>
          <w:b/>
          <w:bCs/>
        </w:rPr>
      </w:pPr>
    </w:p>
    <w:p w14:paraId="3391B231" w14:textId="6A24502A" w:rsidR="000E5AD6" w:rsidRPr="00431F6F" w:rsidRDefault="000E5AD6" w:rsidP="000E5AD6">
      <w:pPr>
        <w:pStyle w:val="Heading4bold"/>
        <w:rPr>
          <w:color w:val="000000" w:themeColor="text1"/>
        </w:rPr>
      </w:pPr>
      <w:r w:rsidRPr="00431F6F">
        <w:rPr>
          <w:color w:val="000000" w:themeColor="text1"/>
        </w:rPr>
        <w:t>Halle Concerts Society</w:t>
      </w:r>
    </w:p>
    <w:p w14:paraId="35736227" w14:textId="7FFF7ED5" w:rsidR="000E5AD6" w:rsidRPr="00431F6F" w:rsidRDefault="000E5AD6" w:rsidP="000E5AD6">
      <w:pPr>
        <w:rPr>
          <w:rFonts w:ascii="Arial" w:eastAsia="Calibri" w:hAnsi="Arial" w:cs="Arial"/>
          <w:color w:val="000000" w:themeColor="text1"/>
          <w:lang w:val="en-US"/>
        </w:rPr>
      </w:pPr>
      <w:r w:rsidRPr="00431F6F">
        <w:rPr>
          <w:rFonts w:ascii="Arial" w:hAnsi="Arial" w:cs="Arial"/>
          <w:color w:val="000000" w:themeColor="text1"/>
        </w:rPr>
        <w:t>The company is a related party by virtue of common directors</w:t>
      </w:r>
      <w:r w:rsidR="00833679">
        <w:rPr>
          <w:rFonts w:ascii="Arial" w:hAnsi="Arial" w:cs="Arial"/>
          <w:color w:val="000000" w:themeColor="text1"/>
        </w:rPr>
        <w:t xml:space="preserve"> (Nominated by the GMCA)</w:t>
      </w:r>
      <w:r w:rsidRPr="00431F6F">
        <w:rPr>
          <w:rFonts w:ascii="Arial" w:hAnsi="Arial" w:cs="Arial"/>
          <w:color w:val="000000" w:themeColor="text1"/>
        </w:rPr>
        <w:t xml:space="preserve">. </w:t>
      </w:r>
      <w:r w:rsidRPr="00431F6F">
        <w:rPr>
          <w:rFonts w:ascii="Arial" w:eastAsia="Calibri" w:hAnsi="Arial" w:cs="Arial"/>
          <w:color w:val="000000" w:themeColor="text1"/>
          <w:lang w:val="en-US"/>
        </w:rPr>
        <w:t>Related party expenditure, income and end of year balances are reported as follows:</w:t>
      </w:r>
    </w:p>
    <w:p w14:paraId="5CF417F4" w14:textId="1B47C94E" w:rsidR="006D7982" w:rsidRPr="00943897" w:rsidRDefault="006D7982" w:rsidP="006533F8">
      <w:pPr>
        <w:rPr>
          <w:rFonts w:ascii="Arial" w:hAnsi="Arial" w:cs="Arial"/>
          <w:u w:val="single"/>
        </w:rPr>
      </w:pPr>
    </w:p>
    <w:tbl>
      <w:tblPr>
        <w:tblW w:w="6516" w:type="dxa"/>
        <w:tblLook w:val="04A0" w:firstRow="1" w:lastRow="0" w:firstColumn="1" w:lastColumn="0" w:noHBand="0" w:noVBand="1"/>
      </w:tblPr>
      <w:tblGrid>
        <w:gridCol w:w="1555"/>
        <w:gridCol w:w="3402"/>
        <w:gridCol w:w="1559"/>
      </w:tblGrid>
      <w:tr w:rsidR="00206F03" w14:paraId="5A17BE16" w14:textId="77777777" w:rsidTr="00206F03">
        <w:trPr>
          <w:trHeight w:val="290"/>
        </w:trPr>
        <w:tc>
          <w:tcPr>
            <w:tcW w:w="1555" w:type="dxa"/>
            <w:tcBorders>
              <w:top w:val="single" w:sz="4" w:space="0" w:color="auto"/>
              <w:left w:val="single" w:sz="4" w:space="0" w:color="auto"/>
              <w:bottom w:val="nil"/>
              <w:right w:val="single" w:sz="4" w:space="0" w:color="auto"/>
            </w:tcBorders>
            <w:shd w:val="clear" w:color="auto" w:fill="auto"/>
            <w:noWrap/>
            <w:vAlign w:val="bottom"/>
            <w:hideMark/>
          </w:tcPr>
          <w:p w14:paraId="7E0EC385" w14:textId="77777777" w:rsidR="00206F03" w:rsidRPr="00206F03" w:rsidRDefault="00206F03" w:rsidP="00206F03">
            <w:pPr>
              <w:jc w:val="center"/>
              <w:rPr>
                <w:rFonts w:ascii="Arial" w:hAnsi="Arial" w:cs="Arial"/>
                <w:b/>
                <w:bCs/>
                <w:color w:val="000000"/>
                <w:sz w:val="16"/>
                <w:szCs w:val="16"/>
                <w:lang w:eastAsia="en-GB"/>
              </w:rPr>
            </w:pPr>
            <w:r w:rsidRPr="00206F03">
              <w:rPr>
                <w:rFonts w:ascii="Arial" w:hAnsi="Arial" w:cs="Arial"/>
                <w:b/>
                <w:bCs/>
                <w:color w:val="000000"/>
                <w:sz w:val="16"/>
                <w:szCs w:val="16"/>
              </w:rPr>
              <w:t>2020/21</w:t>
            </w:r>
          </w:p>
        </w:tc>
        <w:tc>
          <w:tcPr>
            <w:tcW w:w="3402" w:type="dxa"/>
            <w:tcBorders>
              <w:top w:val="single" w:sz="4" w:space="0" w:color="auto"/>
              <w:left w:val="nil"/>
              <w:bottom w:val="nil"/>
              <w:right w:val="nil"/>
            </w:tcBorders>
            <w:shd w:val="clear" w:color="auto" w:fill="auto"/>
            <w:noWrap/>
            <w:vAlign w:val="bottom"/>
            <w:hideMark/>
          </w:tcPr>
          <w:p w14:paraId="176FC78B" w14:textId="77777777" w:rsidR="00206F03" w:rsidRPr="00206F03" w:rsidRDefault="00206F03">
            <w:pPr>
              <w:rPr>
                <w:rFonts w:ascii="Arial" w:hAnsi="Arial" w:cs="Arial"/>
                <w:b/>
                <w:bCs/>
                <w:color w:val="000000"/>
                <w:sz w:val="16"/>
                <w:szCs w:val="16"/>
              </w:rPr>
            </w:pPr>
            <w:r w:rsidRPr="00206F03">
              <w:rPr>
                <w:rFonts w:ascii="Arial" w:hAnsi="Arial" w:cs="Arial"/>
                <w:b/>
                <w:bCs/>
                <w:color w:val="000000"/>
                <w:sz w:val="16"/>
                <w:szCs w:val="16"/>
              </w:rPr>
              <w:t xml:space="preserve">Halle Concerts Society </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14:paraId="3646EDA6" w14:textId="77777777" w:rsidR="00206F03" w:rsidRPr="00206F03" w:rsidRDefault="00206F03">
            <w:pPr>
              <w:jc w:val="center"/>
              <w:rPr>
                <w:rFonts w:ascii="Arial" w:hAnsi="Arial" w:cs="Arial"/>
                <w:b/>
                <w:bCs/>
                <w:color w:val="000000"/>
                <w:sz w:val="16"/>
                <w:szCs w:val="16"/>
              </w:rPr>
            </w:pPr>
            <w:r w:rsidRPr="00206F03">
              <w:rPr>
                <w:rFonts w:ascii="Arial" w:hAnsi="Arial" w:cs="Arial"/>
                <w:b/>
                <w:bCs/>
                <w:color w:val="000000"/>
                <w:sz w:val="16"/>
                <w:szCs w:val="16"/>
              </w:rPr>
              <w:t>2021/22</w:t>
            </w:r>
          </w:p>
        </w:tc>
      </w:tr>
      <w:tr w:rsidR="00206F03" w14:paraId="6C4F2C37" w14:textId="77777777" w:rsidTr="00206F03">
        <w:trPr>
          <w:trHeight w:val="63"/>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BE44874" w14:textId="77777777" w:rsidR="00206F03" w:rsidRPr="00206F03" w:rsidRDefault="00206F03" w:rsidP="00206F03">
            <w:pPr>
              <w:jc w:val="center"/>
              <w:rPr>
                <w:rFonts w:ascii="Arial" w:hAnsi="Arial" w:cs="Arial"/>
                <w:b/>
                <w:bCs/>
                <w:color w:val="000000"/>
                <w:sz w:val="16"/>
                <w:szCs w:val="16"/>
              </w:rPr>
            </w:pPr>
            <w:r w:rsidRPr="00206F03">
              <w:rPr>
                <w:rFonts w:ascii="Arial" w:hAnsi="Arial" w:cs="Arial"/>
                <w:b/>
                <w:bCs/>
                <w:color w:val="000000"/>
                <w:sz w:val="16"/>
                <w:szCs w:val="16"/>
              </w:rPr>
              <w:t>£000s</w:t>
            </w:r>
          </w:p>
        </w:tc>
        <w:tc>
          <w:tcPr>
            <w:tcW w:w="3402" w:type="dxa"/>
            <w:tcBorders>
              <w:top w:val="nil"/>
              <w:left w:val="nil"/>
              <w:bottom w:val="single" w:sz="4" w:space="0" w:color="auto"/>
              <w:right w:val="nil"/>
            </w:tcBorders>
            <w:shd w:val="clear" w:color="auto" w:fill="auto"/>
            <w:noWrap/>
            <w:vAlign w:val="bottom"/>
            <w:hideMark/>
          </w:tcPr>
          <w:p w14:paraId="5FBC6AA6" w14:textId="77777777" w:rsidR="00206F03" w:rsidRPr="00206F03" w:rsidRDefault="00206F03">
            <w:pPr>
              <w:rPr>
                <w:rFonts w:ascii="Arial" w:hAnsi="Arial" w:cs="Arial"/>
                <w:color w:val="000000"/>
                <w:sz w:val="16"/>
                <w:szCs w:val="16"/>
              </w:rPr>
            </w:pPr>
            <w:r w:rsidRPr="00206F03">
              <w:rPr>
                <w:rFonts w:ascii="Arial" w:hAnsi="Arial" w:cs="Arial"/>
                <w:color w:val="000000"/>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A543A58" w14:textId="77777777" w:rsidR="00206F03" w:rsidRPr="00206F03" w:rsidRDefault="00206F03">
            <w:pPr>
              <w:jc w:val="center"/>
              <w:rPr>
                <w:rFonts w:ascii="Arial" w:hAnsi="Arial" w:cs="Arial"/>
                <w:b/>
                <w:bCs/>
                <w:color w:val="000000"/>
                <w:sz w:val="16"/>
                <w:szCs w:val="16"/>
              </w:rPr>
            </w:pPr>
            <w:r w:rsidRPr="00206F03">
              <w:rPr>
                <w:rFonts w:ascii="Arial" w:hAnsi="Arial" w:cs="Arial"/>
                <w:b/>
                <w:bCs/>
                <w:color w:val="000000"/>
                <w:sz w:val="16"/>
                <w:szCs w:val="16"/>
              </w:rPr>
              <w:t>£000s</w:t>
            </w:r>
          </w:p>
        </w:tc>
      </w:tr>
      <w:tr w:rsidR="00206F03" w14:paraId="4458F365" w14:textId="77777777" w:rsidTr="00206F03">
        <w:trPr>
          <w:trHeight w:val="164"/>
        </w:trPr>
        <w:tc>
          <w:tcPr>
            <w:tcW w:w="1555" w:type="dxa"/>
            <w:tcBorders>
              <w:top w:val="nil"/>
              <w:left w:val="single" w:sz="4" w:space="0" w:color="auto"/>
              <w:bottom w:val="nil"/>
              <w:right w:val="single" w:sz="4" w:space="0" w:color="auto"/>
            </w:tcBorders>
            <w:shd w:val="clear" w:color="auto" w:fill="auto"/>
            <w:noWrap/>
            <w:vAlign w:val="bottom"/>
            <w:hideMark/>
          </w:tcPr>
          <w:p w14:paraId="3460298D" w14:textId="047E79B6" w:rsidR="00206F03" w:rsidRPr="00206F03" w:rsidRDefault="006539C3" w:rsidP="00206F03">
            <w:pPr>
              <w:jc w:val="right"/>
              <w:rPr>
                <w:rFonts w:ascii="Arial" w:hAnsi="Arial" w:cs="Arial"/>
                <w:color w:val="000000"/>
                <w:sz w:val="16"/>
                <w:szCs w:val="16"/>
              </w:rPr>
            </w:pPr>
            <w:r>
              <w:rPr>
                <w:rFonts w:ascii="Arial" w:hAnsi="Arial" w:cs="Arial"/>
                <w:color w:val="000000"/>
                <w:sz w:val="16"/>
                <w:szCs w:val="16"/>
              </w:rPr>
              <w:t>749</w:t>
            </w:r>
            <w:r w:rsidR="00206F03" w:rsidRPr="00206F03">
              <w:rPr>
                <w:rFonts w:ascii="Arial" w:hAnsi="Arial" w:cs="Arial"/>
                <w:color w:val="000000"/>
                <w:sz w:val="16"/>
                <w:szCs w:val="16"/>
              </w:rPr>
              <w:t xml:space="preserve"> </w:t>
            </w:r>
          </w:p>
        </w:tc>
        <w:tc>
          <w:tcPr>
            <w:tcW w:w="3402" w:type="dxa"/>
            <w:tcBorders>
              <w:top w:val="nil"/>
              <w:left w:val="nil"/>
              <w:bottom w:val="nil"/>
              <w:right w:val="nil"/>
            </w:tcBorders>
            <w:shd w:val="clear" w:color="auto" w:fill="auto"/>
            <w:noWrap/>
            <w:vAlign w:val="bottom"/>
            <w:hideMark/>
          </w:tcPr>
          <w:p w14:paraId="6826CB87" w14:textId="6EDA12BC" w:rsidR="00206F03" w:rsidRPr="00206F03" w:rsidRDefault="00206F03" w:rsidP="00206F03">
            <w:pPr>
              <w:rPr>
                <w:rFonts w:ascii="Arial" w:hAnsi="Arial" w:cs="Arial"/>
                <w:color w:val="000000"/>
                <w:sz w:val="16"/>
                <w:szCs w:val="16"/>
              </w:rPr>
            </w:pPr>
            <w:r w:rsidRPr="00206F03">
              <w:rPr>
                <w:rFonts w:ascii="Arial" w:hAnsi="Arial" w:cs="Arial"/>
                <w:color w:val="000000"/>
                <w:sz w:val="16"/>
                <w:szCs w:val="16"/>
              </w:rPr>
              <w:t>Expenditure</w:t>
            </w:r>
          </w:p>
        </w:tc>
        <w:tc>
          <w:tcPr>
            <w:tcW w:w="1559" w:type="dxa"/>
            <w:tcBorders>
              <w:top w:val="nil"/>
              <w:left w:val="single" w:sz="4" w:space="0" w:color="auto"/>
              <w:bottom w:val="nil"/>
              <w:right w:val="single" w:sz="4" w:space="0" w:color="auto"/>
            </w:tcBorders>
            <w:shd w:val="clear" w:color="auto" w:fill="auto"/>
            <w:noWrap/>
            <w:vAlign w:val="bottom"/>
            <w:hideMark/>
          </w:tcPr>
          <w:p w14:paraId="335AFAEC" w14:textId="1ECDB6ED" w:rsidR="00206F03" w:rsidRPr="00206F03" w:rsidRDefault="006539C3" w:rsidP="00206F03">
            <w:pPr>
              <w:jc w:val="right"/>
              <w:rPr>
                <w:rFonts w:ascii="Arial" w:hAnsi="Arial" w:cs="Arial"/>
                <w:color w:val="000000"/>
                <w:sz w:val="16"/>
                <w:szCs w:val="16"/>
              </w:rPr>
            </w:pPr>
            <w:r>
              <w:rPr>
                <w:rFonts w:ascii="Arial" w:hAnsi="Arial" w:cs="Arial"/>
                <w:color w:val="000000"/>
                <w:sz w:val="16"/>
                <w:szCs w:val="16"/>
              </w:rPr>
              <w:t>749</w:t>
            </w:r>
            <w:r w:rsidR="00206F03" w:rsidRPr="00206F03">
              <w:rPr>
                <w:rFonts w:ascii="Arial" w:hAnsi="Arial" w:cs="Arial"/>
                <w:color w:val="000000"/>
                <w:sz w:val="16"/>
                <w:szCs w:val="16"/>
              </w:rPr>
              <w:t xml:space="preserve"> </w:t>
            </w:r>
          </w:p>
        </w:tc>
      </w:tr>
      <w:tr w:rsidR="00206F03" w14:paraId="59C63F7C" w14:textId="77777777" w:rsidTr="00206F03">
        <w:trPr>
          <w:trHeight w:val="163"/>
        </w:trPr>
        <w:tc>
          <w:tcPr>
            <w:tcW w:w="1555" w:type="dxa"/>
            <w:tcBorders>
              <w:top w:val="nil"/>
              <w:left w:val="single" w:sz="4" w:space="0" w:color="auto"/>
              <w:bottom w:val="nil"/>
              <w:right w:val="single" w:sz="4" w:space="0" w:color="auto"/>
            </w:tcBorders>
            <w:shd w:val="clear" w:color="auto" w:fill="auto"/>
            <w:noWrap/>
            <w:vAlign w:val="bottom"/>
            <w:hideMark/>
          </w:tcPr>
          <w:p w14:paraId="237E445B" w14:textId="18B2B5F5" w:rsidR="00206F03" w:rsidRPr="00206F03" w:rsidRDefault="00206F03" w:rsidP="00206F03">
            <w:pPr>
              <w:jc w:val="right"/>
              <w:rPr>
                <w:rFonts w:ascii="Arial" w:hAnsi="Arial" w:cs="Arial"/>
                <w:color w:val="000000"/>
                <w:sz w:val="16"/>
                <w:szCs w:val="16"/>
              </w:rPr>
            </w:pPr>
            <w:r w:rsidRPr="00206F0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3E1128A8" w14:textId="319775A8" w:rsidR="00206F03" w:rsidRPr="00206F03" w:rsidRDefault="00206F03" w:rsidP="00206F03">
            <w:pPr>
              <w:rPr>
                <w:rFonts w:ascii="Arial" w:hAnsi="Arial" w:cs="Arial"/>
                <w:color w:val="000000"/>
                <w:sz w:val="16"/>
                <w:szCs w:val="16"/>
              </w:rPr>
            </w:pPr>
            <w:r w:rsidRPr="00206F03">
              <w:rPr>
                <w:rFonts w:ascii="Arial" w:hAnsi="Arial" w:cs="Arial"/>
                <w:color w:val="000000"/>
                <w:sz w:val="16"/>
                <w:szCs w:val="16"/>
              </w:rPr>
              <w:t>Income</w:t>
            </w:r>
          </w:p>
        </w:tc>
        <w:tc>
          <w:tcPr>
            <w:tcW w:w="1559" w:type="dxa"/>
            <w:tcBorders>
              <w:top w:val="nil"/>
              <w:left w:val="single" w:sz="4" w:space="0" w:color="auto"/>
              <w:bottom w:val="nil"/>
              <w:right w:val="single" w:sz="4" w:space="0" w:color="auto"/>
            </w:tcBorders>
            <w:shd w:val="clear" w:color="auto" w:fill="auto"/>
            <w:noWrap/>
            <w:vAlign w:val="bottom"/>
            <w:hideMark/>
          </w:tcPr>
          <w:p w14:paraId="33518774" w14:textId="28C9AC36" w:rsidR="00206F03" w:rsidRPr="00206F03" w:rsidRDefault="00206F03" w:rsidP="00206F03">
            <w:pPr>
              <w:jc w:val="right"/>
              <w:rPr>
                <w:rFonts w:ascii="Arial" w:hAnsi="Arial" w:cs="Arial"/>
                <w:color w:val="000000"/>
                <w:sz w:val="16"/>
                <w:szCs w:val="16"/>
              </w:rPr>
            </w:pPr>
            <w:r w:rsidRPr="00206F03">
              <w:rPr>
                <w:rFonts w:ascii="Arial" w:hAnsi="Arial" w:cs="Arial"/>
                <w:color w:val="000000"/>
                <w:sz w:val="16"/>
                <w:szCs w:val="16"/>
              </w:rPr>
              <w:t xml:space="preserve">0 </w:t>
            </w:r>
          </w:p>
        </w:tc>
      </w:tr>
      <w:tr w:rsidR="00206F03" w14:paraId="7FCF1DB6" w14:textId="77777777" w:rsidTr="00206F03">
        <w:trPr>
          <w:trHeight w:val="124"/>
        </w:trPr>
        <w:tc>
          <w:tcPr>
            <w:tcW w:w="1555" w:type="dxa"/>
            <w:tcBorders>
              <w:top w:val="nil"/>
              <w:left w:val="single" w:sz="4" w:space="0" w:color="auto"/>
              <w:bottom w:val="nil"/>
              <w:right w:val="single" w:sz="4" w:space="0" w:color="auto"/>
            </w:tcBorders>
            <w:shd w:val="clear" w:color="auto" w:fill="auto"/>
            <w:noWrap/>
            <w:vAlign w:val="bottom"/>
            <w:hideMark/>
          </w:tcPr>
          <w:p w14:paraId="257E69CA" w14:textId="4A6123DC" w:rsidR="00206F03" w:rsidRPr="00206F03" w:rsidRDefault="00206F03" w:rsidP="00206F03">
            <w:pPr>
              <w:jc w:val="right"/>
              <w:rPr>
                <w:rFonts w:ascii="Arial" w:hAnsi="Arial" w:cs="Arial"/>
                <w:color w:val="000000"/>
                <w:sz w:val="16"/>
                <w:szCs w:val="16"/>
              </w:rPr>
            </w:pPr>
            <w:r w:rsidRPr="00206F0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7DAD39E1" w14:textId="010D5CBC" w:rsidR="00206F03" w:rsidRPr="00206F03" w:rsidRDefault="00206F03" w:rsidP="00206F03">
            <w:pPr>
              <w:rPr>
                <w:rFonts w:ascii="Arial" w:hAnsi="Arial" w:cs="Arial"/>
                <w:color w:val="000000"/>
                <w:sz w:val="16"/>
                <w:szCs w:val="16"/>
              </w:rPr>
            </w:pPr>
            <w:r w:rsidRPr="00206F03">
              <w:rPr>
                <w:rFonts w:ascii="Arial" w:hAnsi="Arial" w:cs="Arial"/>
                <w:color w:val="000000"/>
                <w:sz w:val="16"/>
                <w:szCs w:val="16"/>
              </w:rPr>
              <w:t>Debtors</w:t>
            </w:r>
          </w:p>
        </w:tc>
        <w:tc>
          <w:tcPr>
            <w:tcW w:w="1559" w:type="dxa"/>
            <w:tcBorders>
              <w:top w:val="nil"/>
              <w:left w:val="single" w:sz="4" w:space="0" w:color="auto"/>
              <w:bottom w:val="nil"/>
              <w:right w:val="single" w:sz="4" w:space="0" w:color="auto"/>
            </w:tcBorders>
            <w:shd w:val="clear" w:color="auto" w:fill="auto"/>
            <w:noWrap/>
            <w:vAlign w:val="bottom"/>
            <w:hideMark/>
          </w:tcPr>
          <w:p w14:paraId="79926239" w14:textId="5B817F64" w:rsidR="00206F03" w:rsidRPr="00206F03" w:rsidRDefault="00206F03" w:rsidP="00206F03">
            <w:pPr>
              <w:jc w:val="right"/>
              <w:rPr>
                <w:rFonts w:ascii="Arial" w:hAnsi="Arial" w:cs="Arial"/>
                <w:color w:val="000000"/>
                <w:sz w:val="16"/>
                <w:szCs w:val="16"/>
              </w:rPr>
            </w:pPr>
            <w:r w:rsidRPr="00206F03">
              <w:rPr>
                <w:rFonts w:ascii="Arial" w:hAnsi="Arial" w:cs="Arial"/>
                <w:color w:val="000000"/>
                <w:sz w:val="16"/>
                <w:szCs w:val="16"/>
              </w:rPr>
              <w:t xml:space="preserve">0 </w:t>
            </w:r>
          </w:p>
        </w:tc>
      </w:tr>
      <w:tr w:rsidR="00206F03" w14:paraId="2F2D2697" w14:textId="77777777" w:rsidTr="00206F03">
        <w:trPr>
          <w:trHeight w:val="63"/>
        </w:trPr>
        <w:tc>
          <w:tcPr>
            <w:tcW w:w="1555" w:type="dxa"/>
            <w:tcBorders>
              <w:top w:val="nil"/>
              <w:left w:val="single" w:sz="4" w:space="0" w:color="auto"/>
              <w:bottom w:val="nil"/>
              <w:right w:val="single" w:sz="4" w:space="0" w:color="auto"/>
            </w:tcBorders>
            <w:shd w:val="clear" w:color="auto" w:fill="auto"/>
            <w:noWrap/>
            <w:vAlign w:val="bottom"/>
            <w:hideMark/>
          </w:tcPr>
          <w:p w14:paraId="47B3DCCE" w14:textId="4B77ABE1" w:rsidR="00206F03" w:rsidRPr="00206F03" w:rsidRDefault="00206F03" w:rsidP="00206F03">
            <w:pPr>
              <w:jc w:val="right"/>
              <w:rPr>
                <w:rFonts w:ascii="Arial" w:hAnsi="Arial" w:cs="Arial"/>
                <w:color w:val="000000"/>
                <w:sz w:val="16"/>
                <w:szCs w:val="16"/>
              </w:rPr>
            </w:pPr>
            <w:r w:rsidRPr="00206F0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5A2AB742" w14:textId="11EAC4E9" w:rsidR="00206F03" w:rsidRPr="00206F03" w:rsidRDefault="00206F03" w:rsidP="00206F03">
            <w:pPr>
              <w:rPr>
                <w:rFonts w:ascii="Arial" w:hAnsi="Arial" w:cs="Arial"/>
                <w:color w:val="000000"/>
                <w:sz w:val="16"/>
                <w:szCs w:val="16"/>
              </w:rPr>
            </w:pPr>
            <w:r w:rsidRPr="00206F03">
              <w:rPr>
                <w:rFonts w:ascii="Arial" w:hAnsi="Arial" w:cs="Arial"/>
                <w:color w:val="000000"/>
                <w:sz w:val="16"/>
                <w:szCs w:val="16"/>
              </w:rPr>
              <w:t>Creditors</w:t>
            </w:r>
          </w:p>
        </w:tc>
        <w:tc>
          <w:tcPr>
            <w:tcW w:w="1559" w:type="dxa"/>
            <w:tcBorders>
              <w:top w:val="nil"/>
              <w:left w:val="single" w:sz="4" w:space="0" w:color="auto"/>
              <w:bottom w:val="nil"/>
              <w:right w:val="single" w:sz="4" w:space="0" w:color="auto"/>
            </w:tcBorders>
            <w:shd w:val="clear" w:color="auto" w:fill="auto"/>
            <w:noWrap/>
            <w:vAlign w:val="bottom"/>
            <w:hideMark/>
          </w:tcPr>
          <w:p w14:paraId="33C53273" w14:textId="59BDEEA6" w:rsidR="00206F03" w:rsidRPr="00206F03" w:rsidRDefault="006539C3" w:rsidP="00206F03">
            <w:pPr>
              <w:jc w:val="right"/>
              <w:rPr>
                <w:rFonts w:ascii="Arial" w:hAnsi="Arial" w:cs="Arial"/>
                <w:color w:val="000000"/>
                <w:sz w:val="16"/>
                <w:szCs w:val="16"/>
              </w:rPr>
            </w:pPr>
            <w:r>
              <w:rPr>
                <w:rFonts w:ascii="Arial" w:hAnsi="Arial" w:cs="Arial"/>
                <w:color w:val="000000"/>
                <w:sz w:val="16"/>
                <w:szCs w:val="16"/>
              </w:rPr>
              <w:t>0</w:t>
            </w:r>
          </w:p>
        </w:tc>
      </w:tr>
      <w:tr w:rsidR="00206F03" w14:paraId="45C7B364" w14:textId="77777777" w:rsidTr="00206F03">
        <w:trPr>
          <w:trHeight w:val="63"/>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2E4D43" w14:textId="3F4F7B4B" w:rsidR="00206F03" w:rsidRPr="00206F03" w:rsidRDefault="00206F03" w:rsidP="00206F03">
            <w:pPr>
              <w:jc w:val="right"/>
              <w:rPr>
                <w:rFonts w:ascii="Arial" w:hAnsi="Arial" w:cs="Arial"/>
                <w:color w:val="000000"/>
                <w:sz w:val="16"/>
                <w:szCs w:val="16"/>
              </w:rPr>
            </w:pPr>
            <w:r w:rsidRPr="00206F03">
              <w:rPr>
                <w:rFonts w:ascii="Arial" w:hAnsi="Arial" w:cs="Arial"/>
                <w:color w:val="000000"/>
                <w:sz w:val="16"/>
                <w:szCs w:val="16"/>
              </w:rPr>
              <w:t xml:space="preserve">0 </w:t>
            </w:r>
          </w:p>
        </w:tc>
        <w:tc>
          <w:tcPr>
            <w:tcW w:w="3402" w:type="dxa"/>
            <w:tcBorders>
              <w:top w:val="nil"/>
              <w:left w:val="nil"/>
              <w:bottom w:val="single" w:sz="4" w:space="0" w:color="auto"/>
              <w:right w:val="nil"/>
            </w:tcBorders>
            <w:shd w:val="clear" w:color="auto" w:fill="auto"/>
            <w:noWrap/>
            <w:vAlign w:val="bottom"/>
            <w:hideMark/>
          </w:tcPr>
          <w:p w14:paraId="7556FE72" w14:textId="2DA7D4B8" w:rsidR="00206F03" w:rsidRPr="00206F03" w:rsidRDefault="00206F03" w:rsidP="00206F03">
            <w:pPr>
              <w:rPr>
                <w:rFonts w:ascii="Arial" w:hAnsi="Arial" w:cs="Arial"/>
                <w:color w:val="000000"/>
                <w:sz w:val="16"/>
                <w:szCs w:val="16"/>
              </w:rPr>
            </w:pPr>
            <w:r w:rsidRPr="00206F03">
              <w:rPr>
                <w:rFonts w:ascii="Arial" w:hAnsi="Arial" w:cs="Arial"/>
                <w:color w:val="000000"/>
                <w:sz w:val="16"/>
                <w:szCs w:val="16"/>
              </w:rPr>
              <w:t>Borrowings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56C460A" w14:textId="62535BD6" w:rsidR="00206F03" w:rsidRPr="00206F03" w:rsidRDefault="00206F03" w:rsidP="00206F03">
            <w:pPr>
              <w:jc w:val="right"/>
              <w:rPr>
                <w:rFonts w:ascii="Arial" w:hAnsi="Arial" w:cs="Arial"/>
                <w:color w:val="000000"/>
                <w:sz w:val="16"/>
                <w:szCs w:val="16"/>
              </w:rPr>
            </w:pPr>
            <w:r w:rsidRPr="00206F03">
              <w:rPr>
                <w:rFonts w:ascii="Arial" w:hAnsi="Arial" w:cs="Arial"/>
                <w:color w:val="000000"/>
                <w:sz w:val="16"/>
                <w:szCs w:val="16"/>
              </w:rPr>
              <w:t xml:space="preserve">0 </w:t>
            </w:r>
          </w:p>
        </w:tc>
      </w:tr>
    </w:tbl>
    <w:p w14:paraId="6BABB9C5" w14:textId="77777777" w:rsidR="00206F03" w:rsidRPr="00943897" w:rsidRDefault="00206F03" w:rsidP="00E968E1">
      <w:pPr>
        <w:tabs>
          <w:tab w:val="left" w:pos="5051"/>
        </w:tabs>
        <w:rPr>
          <w:rFonts w:ascii="Arial" w:hAnsi="Arial" w:cs="Arial"/>
          <w:b/>
          <w:bCs/>
        </w:rPr>
      </w:pPr>
    </w:p>
    <w:p w14:paraId="0338688E" w14:textId="3AA1695E" w:rsidR="006533F8" w:rsidRPr="00EA737A" w:rsidRDefault="00EA737A" w:rsidP="0085625D">
      <w:pPr>
        <w:pStyle w:val="Heading4bold"/>
        <w:rPr>
          <w:rFonts w:eastAsia="Calibri"/>
          <w:lang w:val="en-US"/>
        </w:rPr>
      </w:pPr>
      <w:r w:rsidRPr="00EA737A">
        <w:rPr>
          <w:rFonts w:eastAsia="Calibri"/>
          <w:lang w:val="en-US"/>
        </w:rPr>
        <w:t xml:space="preserve">Greater Manchester Fund of Funds Limited Partnership </w:t>
      </w:r>
      <w:r w:rsidR="006533F8">
        <w:rPr>
          <w:rFonts w:eastAsia="Calibri"/>
          <w:lang w:val="en-US"/>
        </w:rPr>
        <w:t xml:space="preserve"> </w:t>
      </w:r>
    </w:p>
    <w:p w14:paraId="7C8B0D07" w14:textId="18ED8C45" w:rsidR="006533F8" w:rsidRDefault="006533F8" w:rsidP="0038082E">
      <w:pPr>
        <w:rPr>
          <w:rFonts w:ascii="Arial" w:hAnsi="Arial" w:cs="Arial"/>
        </w:rPr>
      </w:pPr>
      <w:r w:rsidRPr="006533F8">
        <w:rPr>
          <w:rFonts w:ascii="Arial" w:hAnsi="Arial" w:cs="Arial"/>
        </w:rPr>
        <w:t xml:space="preserve">The Authority </w:t>
      </w:r>
      <w:r w:rsidR="006D7982">
        <w:rPr>
          <w:rFonts w:ascii="Arial" w:hAnsi="Arial" w:cs="Arial"/>
        </w:rPr>
        <w:t>granted Greater Manchester Fund of Funds LP</w:t>
      </w:r>
      <w:r w:rsidRPr="006533F8">
        <w:rPr>
          <w:rFonts w:ascii="Arial" w:hAnsi="Arial" w:cs="Arial"/>
        </w:rPr>
        <w:t xml:space="preserve"> £100</w:t>
      </w:r>
      <w:r w:rsidR="006D7982">
        <w:rPr>
          <w:rFonts w:ascii="Arial" w:hAnsi="Arial" w:cs="Arial"/>
        </w:rPr>
        <w:t>k in 2021/22 (£164k in 2020/21)</w:t>
      </w:r>
      <w:r w:rsidR="000C2400">
        <w:rPr>
          <w:rFonts w:ascii="Arial" w:hAnsi="Arial" w:cs="Arial"/>
        </w:rPr>
        <w:t>.</w:t>
      </w:r>
      <w:r w:rsidR="006D7982">
        <w:rPr>
          <w:rFonts w:ascii="Arial" w:hAnsi="Arial" w:cs="Arial"/>
        </w:rPr>
        <w:t xml:space="preserve"> </w:t>
      </w:r>
    </w:p>
    <w:p w14:paraId="022E1731" w14:textId="3D3C5259" w:rsidR="006539C3" w:rsidRDefault="006539C3" w:rsidP="0038082E">
      <w:pPr>
        <w:rPr>
          <w:rFonts w:ascii="Arial" w:eastAsia="Calibri" w:hAnsi="Arial" w:cs="Arial"/>
          <w:color w:val="000000"/>
          <w:lang w:val="en-US"/>
        </w:rPr>
      </w:pPr>
    </w:p>
    <w:tbl>
      <w:tblPr>
        <w:tblW w:w="6516" w:type="dxa"/>
        <w:tblLook w:val="04A0" w:firstRow="1" w:lastRow="0" w:firstColumn="1" w:lastColumn="0" w:noHBand="0" w:noVBand="1"/>
      </w:tblPr>
      <w:tblGrid>
        <w:gridCol w:w="1555"/>
        <w:gridCol w:w="3402"/>
        <w:gridCol w:w="1559"/>
      </w:tblGrid>
      <w:tr w:rsidR="006539C3" w14:paraId="5C068A05" w14:textId="77777777" w:rsidTr="006539C3">
        <w:trPr>
          <w:trHeight w:val="290"/>
        </w:trPr>
        <w:tc>
          <w:tcPr>
            <w:tcW w:w="1555" w:type="dxa"/>
            <w:tcBorders>
              <w:top w:val="single" w:sz="4" w:space="0" w:color="auto"/>
              <w:left w:val="single" w:sz="4" w:space="0" w:color="auto"/>
              <w:bottom w:val="nil"/>
              <w:right w:val="single" w:sz="4" w:space="0" w:color="auto"/>
            </w:tcBorders>
            <w:shd w:val="clear" w:color="auto" w:fill="auto"/>
            <w:noWrap/>
            <w:vAlign w:val="bottom"/>
            <w:hideMark/>
          </w:tcPr>
          <w:p w14:paraId="4407EBBD" w14:textId="77777777" w:rsidR="006539C3" w:rsidRPr="006539C3" w:rsidRDefault="006539C3" w:rsidP="006539C3">
            <w:pPr>
              <w:jc w:val="center"/>
              <w:rPr>
                <w:rFonts w:ascii="Arial" w:hAnsi="Arial" w:cs="Arial"/>
                <w:b/>
                <w:bCs/>
                <w:color w:val="000000"/>
                <w:sz w:val="16"/>
                <w:szCs w:val="16"/>
                <w:lang w:eastAsia="en-GB"/>
              </w:rPr>
            </w:pPr>
            <w:r w:rsidRPr="006539C3">
              <w:rPr>
                <w:rFonts w:ascii="Arial" w:hAnsi="Arial" w:cs="Arial"/>
                <w:b/>
                <w:bCs/>
                <w:color w:val="000000"/>
                <w:sz w:val="16"/>
                <w:szCs w:val="16"/>
              </w:rPr>
              <w:t>2020/21</w:t>
            </w:r>
          </w:p>
        </w:tc>
        <w:tc>
          <w:tcPr>
            <w:tcW w:w="3402" w:type="dxa"/>
            <w:tcBorders>
              <w:top w:val="single" w:sz="4" w:space="0" w:color="auto"/>
              <w:left w:val="nil"/>
              <w:bottom w:val="nil"/>
              <w:right w:val="nil"/>
            </w:tcBorders>
            <w:shd w:val="clear" w:color="auto" w:fill="auto"/>
            <w:noWrap/>
            <w:vAlign w:val="bottom"/>
            <w:hideMark/>
          </w:tcPr>
          <w:p w14:paraId="7EEB7E15" w14:textId="77777777" w:rsidR="006539C3" w:rsidRPr="006539C3" w:rsidRDefault="006539C3" w:rsidP="006539C3">
            <w:pPr>
              <w:jc w:val="both"/>
              <w:rPr>
                <w:rFonts w:ascii="Arial" w:hAnsi="Arial" w:cs="Arial"/>
                <w:b/>
                <w:bCs/>
                <w:color w:val="000000"/>
                <w:sz w:val="16"/>
                <w:szCs w:val="16"/>
              </w:rPr>
            </w:pPr>
            <w:r w:rsidRPr="006539C3">
              <w:rPr>
                <w:rFonts w:ascii="Arial" w:eastAsia="Calibri" w:hAnsi="Arial" w:cs="Arial"/>
                <w:b/>
                <w:bCs/>
                <w:color w:val="000000"/>
                <w:sz w:val="16"/>
                <w:szCs w:val="16"/>
                <w:lang w:val="en-US"/>
              </w:rPr>
              <w:t>Greater Manchester Fund of Funds</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14:paraId="2B50F653" w14:textId="77777777" w:rsidR="006539C3" w:rsidRPr="006539C3" w:rsidRDefault="006539C3">
            <w:pPr>
              <w:jc w:val="center"/>
              <w:rPr>
                <w:rFonts w:ascii="Arial" w:hAnsi="Arial" w:cs="Arial"/>
                <w:b/>
                <w:bCs/>
                <w:color w:val="000000"/>
                <w:sz w:val="16"/>
                <w:szCs w:val="16"/>
              </w:rPr>
            </w:pPr>
            <w:r w:rsidRPr="006539C3">
              <w:rPr>
                <w:rFonts w:ascii="Arial" w:hAnsi="Arial" w:cs="Arial"/>
                <w:b/>
                <w:bCs/>
                <w:color w:val="000000"/>
                <w:sz w:val="16"/>
                <w:szCs w:val="16"/>
              </w:rPr>
              <w:t>2021/22</w:t>
            </w:r>
          </w:p>
        </w:tc>
      </w:tr>
      <w:tr w:rsidR="006539C3" w14:paraId="62CA3A8B" w14:textId="77777777" w:rsidTr="006539C3">
        <w:trPr>
          <w:trHeight w:val="63"/>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1E9C0AE" w14:textId="77777777" w:rsidR="006539C3" w:rsidRPr="006539C3" w:rsidRDefault="006539C3" w:rsidP="006539C3">
            <w:pPr>
              <w:jc w:val="center"/>
              <w:rPr>
                <w:rFonts w:ascii="Arial" w:hAnsi="Arial" w:cs="Arial"/>
                <w:b/>
                <w:bCs/>
                <w:color w:val="000000"/>
                <w:sz w:val="16"/>
                <w:szCs w:val="16"/>
              </w:rPr>
            </w:pPr>
            <w:r w:rsidRPr="006539C3">
              <w:rPr>
                <w:rFonts w:ascii="Arial" w:hAnsi="Arial" w:cs="Arial"/>
                <w:b/>
                <w:bCs/>
                <w:color w:val="000000"/>
                <w:sz w:val="16"/>
                <w:szCs w:val="16"/>
              </w:rPr>
              <w:t>£000s</w:t>
            </w:r>
          </w:p>
        </w:tc>
        <w:tc>
          <w:tcPr>
            <w:tcW w:w="3402" w:type="dxa"/>
            <w:tcBorders>
              <w:top w:val="nil"/>
              <w:left w:val="nil"/>
              <w:bottom w:val="single" w:sz="4" w:space="0" w:color="auto"/>
              <w:right w:val="nil"/>
            </w:tcBorders>
            <w:shd w:val="clear" w:color="auto" w:fill="auto"/>
            <w:noWrap/>
            <w:vAlign w:val="bottom"/>
            <w:hideMark/>
          </w:tcPr>
          <w:p w14:paraId="7F918509"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CA9A276" w14:textId="77777777" w:rsidR="006539C3" w:rsidRPr="006539C3" w:rsidRDefault="006539C3">
            <w:pPr>
              <w:jc w:val="center"/>
              <w:rPr>
                <w:rFonts w:ascii="Arial" w:hAnsi="Arial" w:cs="Arial"/>
                <w:b/>
                <w:bCs/>
                <w:color w:val="000000"/>
                <w:sz w:val="16"/>
                <w:szCs w:val="16"/>
              </w:rPr>
            </w:pPr>
            <w:r w:rsidRPr="006539C3">
              <w:rPr>
                <w:rFonts w:ascii="Arial" w:hAnsi="Arial" w:cs="Arial"/>
                <w:b/>
                <w:bCs/>
                <w:color w:val="000000"/>
                <w:sz w:val="16"/>
                <w:szCs w:val="16"/>
              </w:rPr>
              <w:t>£000s</w:t>
            </w:r>
          </w:p>
        </w:tc>
      </w:tr>
      <w:tr w:rsidR="006539C3" w14:paraId="7DA2E0AF" w14:textId="77777777" w:rsidTr="006539C3">
        <w:trPr>
          <w:trHeight w:val="152"/>
        </w:trPr>
        <w:tc>
          <w:tcPr>
            <w:tcW w:w="1555" w:type="dxa"/>
            <w:tcBorders>
              <w:top w:val="nil"/>
              <w:left w:val="single" w:sz="4" w:space="0" w:color="auto"/>
              <w:bottom w:val="nil"/>
              <w:right w:val="single" w:sz="4" w:space="0" w:color="auto"/>
            </w:tcBorders>
            <w:shd w:val="clear" w:color="auto" w:fill="auto"/>
            <w:noWrap/>
            <w:vAlign w:val="bottom"/>
            <w:hideMark/>
          </w:tcPr>
          <w:p w14:paraId="0334D0C0"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164 </w:t>
            </w:r>
          </w:p>
        </w:tc>
        <w:tc>
          <w:tcPr>
            <w:tcW w:w="3402" w:type="dxa"/>
            <w:tcBorders>
              <w:top w:val="nil"/>
              <w:left w:val="nil"/>
              <w:bottom w:val="nil"/>
              <w:right w:val="nil"/>
            </w:tcBorders>
            <w:shd w:val="clear" w:color="auto" w:fill="auto"/>
            <w:noWrap/>
            <w:vAlign w:val="bottom"/>
            <w:hideMark/>
          </w:tcPr>
          <w:p w14:paraId="1C38F898"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Expenditure</w:t>
            </w:r>
          </w:p>
        </w:tc>
        <w:tc>
          <w:tcPr>
            <w:tcW w:w="1559" w:type="dxa"/>
            <w:tcBorders>
              <w:top w:val="nil"/>
              <w:left w:val="single" w:sz="4" w:space="0" w:color="auto"/>
              <w:bottom w:val="nil"/>
              <w:right w:val="single" w:sz="4" w:space="0" w:color="auto"/>
            </w:tcBorders>
            <w:shd w:val="clear" w:color="auto" w:fill="auto"/>
            <w:noWrap/>
            <w:vAlign w:val="bottom"/>
            <w:hideMark/>
          </w:tcPr>
          <w:p w14:paraId="50A5A474"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100 </w:t>
            </w:r>
          </w:p>
        </w:tc>
      </w:tr>
      <w:tr w:rsidR="006539C3" w14:paraId="6D32FCA9" w14:textId="77777777" w:rsidTr="006539C3">
        <w:trPr>
          <w:trHeight w:val="152"/>
        </w:trPr>
        <w:tc>
          <w:tcPr>
            <w:tcW w:w="1555" w:type="dxa"/>
            <w:tcBorders>
              <w:top w:val="nil"/>
              <w:left w:val="single" w:sz="4" w:space="0" w:color="auto"/>
              <w:bottom w:val="nil"/>
              <w:right w:val="single" w:sz="4" w:space="0" w:color="auto"/>
            </w:tcBorders>
            <w:shd w:val="clear" w:color="auto" w:fill="auto"/>
            <w:noWrap/>
            <w:vAlign w:val="bottom"/>
            <w:hideMark/>
          </w:tcPr>
          <w:p w14:paraId="6C92A503"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50D165A4"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Income</w:t>
            </w:r>
          </w:p>
        </w:tc>
        <w:tc>
          <w:tcPr>
            <w:tcW w:w="1559" w:type="dxa"/>
            <w:tcBorders>
              <w:top w:val="nil"/>
              <w:left w:val="single" w:sz="4" w:space="0" w:color="auto"/>
              <w:bottom w:val="nil"/>
              <w:right w:val="single" w:sz="4" w:space="0" w:color="auto"/>
            </w:tcBorders>
            <w:shd w:val="clear" w:color="auto" w:fill="auto"/>
            <w:noWrap/>
            <w:vAlign w:val="bottom"/>
            <w:hideMark/>
          </w:tcPr>
          <w:p w14:paraId="0C3520AB"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r>
      <w:tr w:rsidR="006539C3" w14:paraId="6EDBF325" w14:textId="77777777" w:rsidTr="006539C3">
        <w:trPr>
          <w:trHeight w:val="63"/>
        </w:trPr>
        <w:tc>
          <w:tcPr>
            <w:tcW w:w="1555" w:type="dxa"/>
            <w:tcBorders>
              <w:top w:val="nil"/>
              <w:left w:val="single" w:sz="4" w:space="0" w:color="auto"/>
              <w:bottom w:val="nil"/>
              <w:right w:val="single" w:sz="4" w:space="0" w:color="auto"/>
            </w:tcBorders>
            <w:shd w:val="clear" w:color="auto" w:fill="auto"/>
            <w:noWrap/>
            <w:vAlign w:val="bottom"/>
            <w:hideMark/>
          </w:tcPr>
          <w:p w14:paraId="5813D69B"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0C1CD1DA"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Debtors</w:t>
            </w:r>
          </w:p>
        </w:tc>
        <w:tc>
          <w:tcPr>
            <w:tcW w:w="1559" w:type="dxa"/>
            <w:tcBorders>
              <w:top w:val="nil"/>
              <w:left w:val="single" w:sz="4" w:space="0" w:color="auto"/>
              <w:bottom w:val="nil"/>
              <w:right w:val="single" w:sz="4" w:space="0" w:color="auto"/>
            </w:tcBorders>
            <w:shd w:val="clear" w:color="auto" w:fill="auto"/>
            <w:noWrap/>
            <w:vAlign w:val="bottom"/>
            <w:hideMark/>
          </w:tcPr>
          <w:p w14:paraId="48AB4DFE"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r>
      <w:tr w:rsidR="006539C3" w14:paraId="4ECD6D57" w14:textId="77777777" w:rsidTr="006539C3">
        <w:trPr>
          <w:trHeight w:val="132"/>
        </w:trPr>
        <w:tc>
          <w:tcPr>
            <w:tcW w:w="1555" w:type="dxa"/>
            <w:tcBorders>
              <w:top w:val="nil"/>
              <w:left w:val="single" w:sz="4" w:space="0" w:color="auto"/>
              <w:bottom w:val="nil"/>
              <w:right w:val="single" w:sz="4" w:space="0" w:color="auto"/>
            </w:tcBorders>
            <w:shd w:val="clear" w:color="auto" w:fill="auto"/>
            <w:noWrap/>
            <w:vAlign w:val="bottom"/>
            <w:hideMark/>
          </w:tcPr>
          <w:p w14:paraId="070BC589"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69A5CC3E"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Creditors</w:t>
            </w:r>
          </w:p>
        </w:tc>
        <w:tc>
          <w:tcPr>
            <w:tcW w:w="1559" w:type="dxa"/>
            <w:tcBorders>
              <w:top w:val="nil"/>
              <w:left w:val="single" w:sz="4" w:space="0" w:color="auto"/>
              <w:bottom w:val="nil"/>
              <w:right w:val="single" w:sz="4" w:space="0" w:color="auto"/>
            </w:tcBorders>
            <w:shd w:val="clear" w:color="auto" w:fill="auto"/>
            <w:noWrap/>
            <w:vAlign w:val="bottom"/>
            <w:hideMark/>
          </w:tcPr>
          <w:p w14:paraId="18995E90"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r>
      <w:tr w:rsidR="006539C3" w14:paraId="03B22A67" w14:textId="77777777" w:rsidTr="006539C3">
        <w:trPr>
          <w:trHeight w:val="136"/>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9E870D5"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single" w:sz="4" w:space="0" w:color="auto"/>
              <w:right w:val="nil"/>
            </w:tcBorders>
            <w:shd w:val="clear" w:color="auto" w:fill="auto"/>
            <w:noWrap/>
            <w:vAlign w:val="bottom"/>
            <w:hideMark/>
          </w:tcPr>
          <w:p w14:paraId="253D6722" w14:textId="77777777" w:rsidR="006539C3" w:rsidRPr="006539C3" w:rsidRDefault="006539C3">
            <w:pPr>
              <w:rPr>
                <w:rFonts w:ascii="Arial" w:hAnsi="Arial" w:cs="Arial"/>
                <w:color w:val="000000"/>
                <w:sz w:val="16"/>
                <w:szCs w:val="16"/>
              </w:rPr>
            </w:pPr>
            <w:r w:rsidRPr="006539C3">
              <w:rPr>
                <w:rFonts w:ascii="Arial" w:hAnsi="Arial" w:cs="Arial"/>
                <w:color w:val="000000"/>
                <w:sz w:val="16"/>
                <w:szCs w:val="16"/>
              </w:rPr>
              <w:t>Borrowings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FAA4F54" w14:textId="77777777" w:rsidR="006539C3" w:rsidRPr="006539C3" w:rsidRDefault="006539C3">
            <w:pPr>
              <w:jc w:val="right"/>
              <w:rPr>
                <w:rFonts w:ascii="Arial" w:hAnsi="Arial" w:cs="Arial"/>
                <w:color w:val="000000"/>
                <w:sz w:val="16"/>
                <w:szCs w:val="16"/>
              </w:rPr>
            </w:pPr>
            <w:r w:rsidRPr="006539C3">
              <w:rPr>
                <w:rFonts w:ascii="Arial" w:hAnsi="Arial" w:cs="Arial"/>
                <w:color w:val="000000"/>
                <w:sz w:val="16"/>
                <w:szCs w:val="16"/>
              </w:rPr>
              <w:t xml:space="preserve">0 </w:t>
            </w:r>
          </w:p>
        </w:tc>
      </w:tr>
    </w:tbl>
    <w:p w14:paraId="4E2FE5DE" w14:textId="77777777" w:rsidR="006539C3" w:rsidRDefault="006539C3" w:rsidP="0038082E">
      <w:pPr>
        <w:rPr>
          <w:rFonts w:ascii="Arial" w:eastAsia="Calibri" w:hAnsi="Arial" w:cs="Arial"/>
          <w:color w:val="000000"/>
          <w:lang w:val="en-US"/>
        </w:rPr>
      </w:pPr>
    </w:p>
    <w:p w14:paraId="08015159" w14:textId="77777777" w:rsidR="006D7982" w:rsidRDefault="006D7982" w:rsidP="0038082E">
      <w:pPr>
        <w:rPr>
          <w:rFonts w:ascii="Arial" w:eastAsia="Calibri" w:hAnsi="Arial" w:cs="Arial"/>
          <w:color w:val="000000"/>
          <w:lang w:val="en-US"/>
        </w:rPr>
      </w:pPr>
    </w:p>
    <w:p w14:paraId="05F3970B" w14:textId="176F0403" w:rsidR="00EA737A" w:rsidRPr="00EA737A" w:rsidRDefault="00EA737A" w:rsidP="0085625D">
      <w:pPr>
        <w:pStyle w:val="Heading4bold"/>
        <w:rPr>
          <w:rFonts w:eastAsia="Calibri"/>
          <w:lang w:val="en-US"/>
        </w:rPr>
      </w:pPr>
      <w:r w:rsidRPr="00EA737A">
        <w:rPr>
          <w:rFonts w:eastAsia="Calibri"/>
          <w:lang w:val="en-US"/>
        </w:rPr>
        <w:lastRenderedPageBreak/>
        <w:t>NW Evergreen Holdings Limited Partnership</w:t>
      </w:r>
    </w:p>
    <w:p w14:paraId="18F9A163" w14:textId="34380B2A" w:rsidR="00EA737A" w:rsidRDefault="00EA737A" w:rsidP="0038082E">
      <w:pPr>
        <w:rPr>
          <w:rFonts w:ascii="Arial" w:eastAsia="Calibri" w:hAnsi="Arial" w:cs="Arial"/>
          <w:color w:val="000000"/>
          <w:lang w:val="en-US"/>
        </w:rPr>
      </w:pPr>
      <w:r>
        <w:rPr>
          <w:rFonts w:ascii="Arial" w:eastAsia="Calibri" w:hAnsi="Arial" w:cs="Arial"/>
          <w:color w:val="000000"/>
          <w:lang w:val="en-US"/>
        </w:rPr>
        <w:t>There were no transactions between the Authority and NW Evergreen Holdings Limited Partnership during the 21/22 financial year.</w:t>
      </w:r>
    </w:p>
    <w:p w14:paraId="6511199B" w14:textId="62B74A6B" w:rsidR="0035629E" w:rsidRDefault="0035629E" w:rsidP="0038082E">
      <w:pPr>
        <w:rPr>
          <w:rFonts w:ascii="Arial" w:eastAsia="Calibri" w:hAnsi="Arial" w:cs="Arial"/>
          <w:color w:val="000000"/>
          <w:lang w:val="en-US"/>
        </w:rPr>
      </w:pPr>
    </w:p>
    <w:p w14:paraId="2CAEE8AD" w14:textId="6D3826A9" w:rsidR="0035629E" w:rsidRDefault="0035629E" w:rsidP="0035629E">
      <w:pPr>
        <w:pStyle w:val="Heading4bold"/>
        <w:rPr>
          <w:rFonts w:eastAsia="Calibri"/>
          <w:lang w:val="en-US"/>
        </w:rPr>
      </w:pPr>
      <w:r w:rsidRPr="00431F6F">
        <w:rPr>
          <w:rFonts w:eastAsia="Calibri"/>
          <w:lang w:val="en-US"/>
        </w:rPr>
        <w:t>Greater Manchester Evergreen 2 Limited Partnership</w:t>
      </w:r>
    </w:p>
    <w:p w14:paraId="1E3017B5" w14:textId="4AEB45C6" w:rsidR="0035629E" w:rsidRPr="0035629E" w:rsidRDefault="0035629E" w:rsidP="0035629E">
      <w:pPr>
        <w:rPr>
          <w:rFonts w:ascii="Arial" w:eastAsia="Calibri" w:hAnsi="Arial" w:cs="Arial"/>
          <w:color w:val="000000"/>
          <w:lang w:val="en-US"/>
        </w:rPr>
      </w:pPr>
      <w:r w:rsidRPr="0035629E">
        <w:rPr>
          <w:rFonts w:ascii="Arial" w:eastAsia="Calibri" w:hAnsi="Arial" w:cs="Arial"/>
          <w:color w:val="000000"/>
          <w:lang w:val="en-US"/>
        </w:rPr>
        <w:t xml:space="preserve">There were no transactions between the Authority and </w:t>
      </w:r>
      <w:r w:rsidRPr="00431F6F">
        <w:rPr>
          <w:rFonts w:ascii="Arial" w:eastAsia="Calibri" w:hAnsi="Arial" w:cs="Arial"/>
          <w:color w:val="000000"/>
          <w:lang w:val="en-US"/>
        </w:rPr>
        <w:t xml:space="preserve">Greater Manchester Evergreen 2 </w:t>
      </w:r>
      <w:r w:rsidRPr="0035629E">
        <w:rPr>
          <w:rFonts w:ascii="Arial" w:eastAsia="Calibri" w:hAnsi="Arial" w:cs="Arial"/>
          <w:color w:val="000000"/>
          <w:lang w:val="en-US"/>
        </w:rPr>
        <w:t>Limited Partnership during the 21/22 financial year</w:t>
      </w:r>
      <w:r w:rsidRPr="00431F6F">
        <w:rPr>
          <w:rFonts w:ascii="Arial" w:eastAsia="Calibri" w:hAnsi="Arial" w:cs="Arial"/>
          <w:color w:val="000000"/>
          <w:lang w:val="en-US"/>
        </w:rPr>
        <w:t>.</w:t>
      </w:r>
    </w:p>
    <w:p w14:paraId="1BE037CA" w14:textId="77777777" w:rsidR="00F106F2" w:rsidRPr="00431F6F" w:rsidRDefault="00F106F2" w:rsidP="0038082E">
      <w:pPr>
        <w:rPr>
          <w:rFonts w:ascii="Arial" w:eastAsia="Calibri" w:hAnsi="Arial" w:cs="Arial"/>
          <w:color w:val="000000"/>
          <w:lang w:val="en-US"/>
        </w:rPr>
        <w:sectPr w:rsidR="00F106F2" w:rsidRPr="00431F6F" w:rsidSect="00F106F2">
          <w:pgSz w:w="16838" w:h="11906" w:orient="landscape"/>
          <w:pgMar w:top="1080" w:right="1444" w:bottom="1416" w:left="1440" w:header="568" w:footer="567" w:gutter="0"/>
          <w:cols w:space="708"/>
          <w:docGrid w:linePitch="360"/>
        </w:sectPr>
      </w:pPr>
    </w:p>
    <w:p w14:paraId="4ED89540" w14:textId="20FE6649" w:rsidR="004047A3" w:rsidRPr="0007572B" w:rsidRDefault="00680267" w:rsidP="0038082E">
      <w:pPr>
        <w:pStyle w:val="Heading3greennumbered"/>
      </w:pPr>
      <w:bookmarkStart w:id="188" w:name="_Toc92894904"/>
      <w:bookmarkStart w:id="189" w:name="_Toc92895208"/>
      <w:bookmarkStart w:id="190" w:name="_Toc109922642"/>
      <w:bookmarkStart w:id="191" w:name="_Hlk142991762"/>
      <w:r w:rsidRPr="0007572B">
        <w:lastRenderedPageBreak/>
        <w:t>3</w:t>
      </w:r>
      <w:r w:rsidR="00876B48" w:rsidRPr="0007572B">
        <w:t>2</w:t>
      </w:r>
      <w:r w:rsidR="004047A3" w:rsidRPr="0007572B">
        <w:t>a Cash Flow Statement - Adjustments to Net Cash Flows from Operating Activities</w:t>
      </w:r>
      <w:bookmarkEnd w:id="188"/>
      <w:bookmarkEnd w:id="189"/>
      <w:bookmarkEnd w:id="190"/>
    </w:p>
    <w:p w14:paraId="59571F73" w14:textId="24A372A1" w:rsidR="00D4492C" w:rsidRDefault="00D4492C" w:rsidP="0038082E">
      <w:pPr>
        <w:rPr>
          <w:rFonts w:ascii="Arial" w:hAnsi="Arial" w:cs="Arial"/>
          <w:sz w:val="22"/>
          <w:szCs w:val="22"/>
        </w:rPr>
      </w:pPr>
    </w:p>
    <w:p w14:paraId="2D7149A7" w14:textId="0ACFE8A3" w:rsidR="00B211C1" w:rsidRDefault="00B211C1" w:rsidP="0038082E">
      <w:pPr>
        <w:rPr>
          <w:rFonts w:ascii="Arial" w:hAnsi="Arial" w:cs="Arial"/>
          <w:sz w:val="22"/>
          <w:szCs w:val="22"/>
        </w:rPr>
      </w:pPr>
      <w:r w:rsidRPr="00B211C1">
        <w:rPr>
          <w:noProof/>
        </w:rPr>
        <w:drawing>
          <wp:inline distT="0" distB="0" distL="0" distR="0" wp14:anchorId="23A8D953" wp14:editId="15CD94BE">
            <wp:extent cx="5114925" cy="31718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14925" cy="3171825"/>
                    </a:xfrm>
                    <a:prstGeom prst="rect">
                      <a:avLst/>
                    </a:prstGeom>
                    <a:noFill/>
                    <a:ln>
                      <a:noFill/>
                    </a:ln>
                  </pic:spPr>
                </pic:pic>
              </a:graphicData>
            </a:graphic>
          </wp:inline>
        </w:drawing>
      </w:r>
    </w:p>
    <w:p w14:paraId="25AD2D52" w14:textId="651C5DC0" w:rsidR="005F02C0" w:rsidRDefault="005F02C0" w:rsidP="0038082E">
      <w:pPr>
        <w:rPr>
          <w:rFonts w:ascii="Arial" w:hAnsi="Arial" w:cs="Arial"/>
          <w:sz w:val="22"/>
          <w:szCs w:val="22"/>
        </w:rPr>
      </w:pPr>
    </w:p>
    <w:p w14:paraId="0C4572DC" w14:textId="5EC87AFA" w:rsidR="00B211C1" w:rsidRDefault="00B211C1" w:rsidP="0038082E">
      <w:pPr>
        <w:rPr>
          <w:rFonts w:ascii="Arial" w:hAnsi="Arial" w:cs="Arial"/>
          <w:sz w:val="22"/>
          <w:szCs w:val="22"/>
        </w:rPr>
      </w:pPr>
      <w:r w:rsidRPr="00B211C1">
        <w:rPr>
          <w:rFonts w:ascii="Arial" w:hAnsi="Arial" w:cs="Arial"/>
          <w:sz w:val="22"/>
          <w:szCs w:val="22"/>
        </w:rPr>
        <w:t>The cash flows for operating activities include the following items:</w:t>
      </w:r>
    </w:p>
    <w:p w14:paraId="4C22C427" w14:textId="6CCBE541" w:rsidR="00B211C1" w:rsidRDefault="00B211C1" w:rsidP="0038082E">
      <w:pPr>
        <w:rPr>
          <w:rFonts w:ascii="Arial" w:hAnsi="Arial" w:cs="Arial"/>
          <w:sz w:val="22"/>
          <w:szCs w:val="22"/>
        </w:rPr>
      </w:pPr>
    </w:p>
    <w:p w14:paraId="6526EDB1" w14:textId="251DF7CB" w:rsidR="00B211C1" w:rsidRDefault="00B211C1" w:rsidP="0038082E">
      <w:pPr>
        <w:rPr>
          <w:rFonts w:ascii="Arial" w:hAnsi="Arial" w:cs="Arial"/>
          <w:sz w:val="22"/>
          <w:szCs w:val="22"/>
        </w:rPr>
      </w:pPr>
      <w:r w:rsidRPr="00B211C1">
        <w:rPr>
          <w:noProof/>
        </w:rPr>
        <w:drawing>
          <wp:inline distT="0" distB="0" distL="0" distR="0" wp14:anchorId="7EC70D98" wp14:editId="21AFB7BE">
            <wp:extent cx="5114925" cy="666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14925" cy="666750"/>
                    </a:xfrm>
                    <a:prstGeom prst="rect">
                      <a:avLst/>
                    </a:prstGeom>
                    <a:noFill/>
                    <a:ln>
                      <a:noFill/>
                    </a:ln>
                  </pic:spPr>
                </pic:pic>
              </a:graphicData>
            </a:graphic>
          </wp:inline>
        </w:drawing>
      </w:r>
    </w:p>
    <w:p w14:paraId="01BEF060" w14:textId="77777777" w:rsidR="003B248D" w:rsidRPr="0007572B" w:rsidRDefault="003B248D" w:rsidP="0038082E">
      <w:pPr>
        <w:rPr>
          <w:rFonts w:ascii="Arial" w:hAnsi="Arial" w:cs="Arial"/>
          <w:sz w:val="22"/>
          <w:szCs w:val="22"/>
        </w:rPr>
      </w:pPr>
    </w:p>
    <w:p w14:paraId="5EA1DF0B" w14:textId="4949E062" w:rsidR="004047A3" w:rsidRPr="0007572B" w:rsidRDefault="00680267" w:rsidP="0038082E">
      <w:pPr>
        <w:pStyle w:val="Heading3greennumbered"/>
      </w:pPr>
      <w:bookmarkStart w:id="192" w:name="_Toc92894905"/>
      <w:bookmarkStart w:id="193" w:name="_Toc92895209"/>
      <w:bookmarkStart w:id="194" w:name="_Toc109922643"/>
      <w:r w:rsidRPr="0007572B">
        <w:t>3</w:t>
      </w:r>
      <w:r w:rsidR="00876B48" w:rsidRPr="0007572B">
        <w:t>2</w:t>
      </w:r>
      <w:r w:rsidR="004047A3" w:rsidRPr="0007572B">
        <w:t>b Cash Flow Statement - Investing Activities</w:t>
      </w:r>
      <w:bookmarkEnd w:id="192"/>
      <w:bookmarkEnd w:id="193"/>
      <w:bookmarkEnd w:id="194"/>
    </w:p>
    <w:p w14:paraId="2CA1F6C9" w14:textId="7AED0654" w:rsidR="006F40D6" w:rsidRDefault="006F40D6" w:rsidP="0038082E">
      <w:pPr>
        <w:jc w:val="both"/>
        <w:rPr>
          <w:rFonts w:ascii="Arial" w:hAnsi="Arial" w:cs="Arial"/>
          <w:b/>
          <w:sz w:val="22"/>
          <w:szCs w:val="22"/>
        </w:rPr>
      </w:pPr>
    </w:p>
    <w:p w14:paraId="792FE6AE" w14:textId="755C960E" w:rsidR="00AF17A2" w:rsidRDefault="00B211C1" w:rsidP="0038082E">
      <w:pPr>
        <w:jc w:val="both"/>
        <w:rPr>
          <w:rFonts w:ascii="Arial" w:hAnsi="Arial" w:cs="Arial"/>
          <w:b/>
          <w:sz w:val="22"/>
          <w:szCs w:val="22"/>
        </w:rPr>
      </w:pPr>
      <w:r w:rsidRPr="00B211C1">
        <w:rPr>
          <w:noProof/>
        </w:rPr>
        <w:drawing>
          <wp:inline distT="0" distB="0" distL="0" distR="0" wp14:anchorId="6CF96E90" wp14:editId="17B51F03">
            <wp:extent cx="5114925" cy="12763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4925" cy="1276350"/>
                    </a:xfrm>
                    <a:prstGeom prst="rect">
                      <a:avLst/>
                    </a:prstGeom>
                    <a:noFill/>
                    <a:ln>
                      <a:noFill/>
                    </a:ln>
                  </pic:spPr>
                </pic:pic>
              </a:graphicData>
            </a:graphic>
          </wp:inline>
        </w:drawing>
      </w:r>
    </w:p>
    <w:p w14:paraId="7BF59663" w14:textId="77777777" w:rsidR="00B211C1" w:rsidRPr="0007572B" w:rsidRDefault="00B211C1" w:rsidP="0038082E">
      <w:pPr>
        <w:jc w:val="both"/>
        <w:rPr>
          <w:rFonts w:ascii="Arial" w:hAnsi="Arial" w:cs="Arial"/>
          <w:b/>
          <w:sz w:val="22"/>
          <w:szCs w:val="22"/>
        </w:rPr>
      </w:pPr>
    </w:p>
    <w:p w14:paraId="2F01D7C6" w14:textId="67C71DE1" w:rsidR="00C75BFA" w:rsidRPr="0007572B" w:rsidRDefault="00680267" w:rsidP="0038082E">
      <w:pPr>
        <w:pStyle w:val="Heading3greennumbered"/>
      </w:pPr>
      <w:bookmarkStart w:id="195" w:name="_Toc92894906"/>
      <w:bookmarkStart w:id="196" w:name="_Toc92895210"/>
      <w:bookmarkStart w:id="197" w:name="_Toc109922644"/>
      <w:r w:rsidRPr="0007572B">
        <w:t>3</w:t>
      </w:r>
      <w:r w:rsidR="00876B48" w:rsidRPr="0007572B">
        <w:t>2</w:t>
      </w:r>
      <w:r w:rsidR="00A0024E" w:rsidRPr="0007572B">
        <w:t>c</w:t>
      </w:r>
      <w:r w:rsidR="004047A3" w:rsidRPr="0007572B">
        <w:t xml:space="preserve"> Cash Flow Statement - Financing Activities</w:t>
      </w:r>
      <w:bookmarkEnd w:id="195"/>
      <w:bookmarkEnd w:id="196"/>
      <w:bookmarkEnd w:id="197"/>
    </w:p>
    <w:p w14:paraId="008A1E44" w14:textId="693C3266" w:rsidR="00D4492C" w:rsidRDefault="00D4492C" w:rsidP="0038082E">
      <w:pPr>
        <w:jc w:val="both"/>
        <w:rPr>
          <w:rFonts w:ascii="Arial" w:hAnsi="Arial" w:cs="Arial"/>
          <w:b/>
          <w:sz w:val="22"/>
          <w:szCs w:val="22"/>
        </w:rPr>
      </w:pPr>
    </w:p>
    <w:p w14:paraId="45664FE4" w14:textId="16C7F756" w:rsidR="00B211C1" w:rsidRDefault="00B211C1" w:rsidP="0038082E">
      <w:pPr>
        <w:jc w:val="both"/>
        <w:rPr>
          <w:rFonts w:ascii="Arial" w:hAnsi="Arial" w:cs="Arial"/>
          <w:b/>
          <w:sz w:val="22"/>
          <w:szCs w:val="22"/>
        </w:rPr>
      </w:pPr>
      <w:r w:rsidRPr="00B211C1">
        <w:rPr>
          <w:noProof/>
        </w:rPr>
        <w:drawing>
          <wp:inline distT="0" distB="0" distL="0" distR="0" wp14:anchorId="5DC89790" wp14:editId="3F2665A6">
            <wp:extent cx="5114925" cy="10953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14925" cy="1095375"/>
                    </a:xfrm>
                    <a:prstGeom prst="rect">
                      <a:avLst/>
                    </a:prstGeom>
                    <a:noFill/>
                    <a:ln>
                      <a:noFill/>
                    </a:ln>
                  </pic:spPr>
                </pic:pic>
              </a:graphicData>
            </a:graphic>
          </wp:inline>
        </w:drawing>
      </w:r>
    </w:p>
    <w:p w14:paraId="020AEAF5" w14:textId="77777777" w:rsidR="00B211C1" w:rsidRDefault="00B211C1" w:rsidP="0038082E">
      <w:pPr>
        <w:jc w:val="both"/>
        <w:rPr>
          <w:rFonts w:ascii="Arial" w:hAnsi="Arial" w:cs="Arial"/>
          <w:b/>
          <w:sz w:val="22"/>
          <w:szCs w:val="22"/>
        </w:rPr>
      </w:pPr>
    </w:p>
    <w:p w14:paraId="742709DB" w14:textId="64F17296" w:rsidR="00294E50" w:rsidRPr="0007572B" w:rsidRDefault="00294E50" w:rsidP="0038082E">
      <w:pPr>
        <w:pStyle w:val="Heading3greennumbered"/>
      </w:pPr>
      <w:bookmarkStart w:id="198" w:name="_Toc92894907"/>
      <w:bookmarkStart w:id="199" w:name="_Toc92895211"/>
      <w:bookmarkStart w:id="200" w:name="_Toc109922645"/>
      <w:r w:rsidRPr="00D4492C">
        <w:lastRenderedPageBreak/>
        <w:t>3</w:t>
      </w:r>
      <w:r w:rsidR="00876B48" w:rsidRPr="00D4492C">
        <w:t>2</w:t>
      </w:r>
      <w:r w:rsidRPr="00D4492C">
        <w:t>d Cash Flow Statement – Reconciliation of Liabilities Arising from Financing</w:t>
      </w:r>
      <w:r w:rsidRPr="0007572B">
        <w:t xml:space="preserve"> Activities</w:t>
      </w:r>
      <w:bookmarkEnd w:id="198"/>
      <w:bookmarkEnd w:id="199"/>
      <w:bookmarkEnd w:id="200"/>
    </w:p>
    <w:p w14:paraId="6B15FCFB" w14:textId="77777777" w:rsidR="00D4492C" w:rsidRDefault="00D4492C" w:rsidP="0038082E">
      <w:pPr>
        <w:rPr>
          <w:rFonts w:ascii="Arial" w:hAnsi="Arial" w:cs="Arial"/>
          <w:b/>
          <w:sz w:val="22"/>
          <w:szCs w:val="22"/>
        </w:rPr>
      </w:pPr>
    </w:p>
    <w:p w14:paraId="640CC2BC" w14:textId="20B0344E" w:rsidR="00C56469" w:rsidRDefault="00AF17A2" w:rsidP="0038082E">
      <w:pPr>
        <w:rPr>
          <w:rFonts w:ascii="Arial" w:hAnsi="Arial" w:cs="Arial"/>
          <w:b/>
          <w:sz w:val="22"/>
          <w:szCs w:val="22"/>
        </w:rPr>
      </w:pPr>
      <w:r w:rsidRPr="00AF17A2">
        <w:rPr>
          <w:noProof/>
        </w:rPr>
        <w:drawing>
          <wp:inline distT="0" distB="0" distL="0" distR="0" wp14:anchorId="475113CC" wp14:editId="7C995073">
            <wp:extent cx="5975350" cy="1064260"/>
            <wp:effectExtent l="0" t="0" r="635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5350" cy="1064260"/>
                    </a:xfrm>
                    <a:prstGeom prst="rect">
                      <a:avLst/>
                    </a:prstGeom>
                    <a:noFill/>
                    <a:ln>
                      <a:noFill/>
                    </a:ln>
                  </pic:spPr>
                </pic:pic>
              </a:graphicData>
            </a:graphic>
          </wp:inline>
        </w:drawing>
      </w:r>
    </w:p>
    <w:p w14:paraId="22D356CD" w14:textId="77777777" w:rsidR="00AF17A2" w:rsidRDefault="00AF17A2" w:rsidP="0038082E">
      <w:pPr>
        <w:rPr>
          <w:rFonts w:ascii="Arial" w:hAnsi="Arial" w:cs="Arial"/>
          <w:b/>
          <w:sz w:val="22"/>
          <w:szCs w:val="22"/>
        </w:rPr>
      </w:pPr>
    </w:p>
    <w:p w14:paraId="00EBB311" w14:textId="510C0B5E" w:rsidR="00952982" w:rsidRDefault="00AF17A2" w:rsidP="0038082E">
      <w:pPr>
        <w:rPr>
          <w:rFonts w:ascii="Arial" w:hAnsi="Arial" w:cs="Arial"/>
          <w:sz w:val="22"/>
          <w:szCs w:val="22"/>
        </w:rPr>
      </w:pPr>
      <w:r w:rsidRPr="00AF17A2">
        <w:rPr>
          <w:noProof/>
        </w:rPr>
        <w:drawing>
          <wp:inline distT="0" distB="0" distL="0" distR="0" wp14:anchorId="0DC7D478" wp14:editId="51F7A7EF">
            <wp:extent cx="5975350" cy="1008380"/>
            <wp:effectExtent l="0" t="0" r="635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75350" cy="1008380"/>
                    </a:xfrm>
                    <a:prstGeom prst="rect">
                      <a:avLst/>
                    </a:prstGeom>
                    <a:noFill/>
                    <a:ln>
                      <a:noFill/>
                    </a:ln>
                  </pic:spPr>
                </pic:pic>
              </a:graphicData>
            </a:graphic>
          </wp:inline>
        </w:drawing>
      </w:r>
    </w:p>
    <w:p w14:paraId="56C0A1BE" w14:textId="434F3484" w:rsidR="00943897" w:rsidRDefault="00943897" w:rsidP="0038082E">
      <w:pPr>
        <w:rPr>
          <w:rFonts w:ascii="Arial" w:hAnsi="Arial" w:cs="Arial"/>
          <w:sz w:val="22"/>
          <w:szCs w:val="22"/>
        </w:rPr>
      </w:pPr>
    </w:p>
    <w:bookmarkEnd w:id="191"/>
    <w:p w14:paraId="509E93F4" w14:textId="77777777" w:rsidR="008B356D" w:rsidRPr="0007572B" w:rsidRDefault="008B356D" w:rsidP="0038082E">
      <w:pPr>
        <w:rPr>
          <w:rFonts w:ascii="Arial" w:hAnsi="Arial" w:cs="Arial"/>
          <w:sz w:val="22"/>
          <w:szCs w:val="22"/>
        </w:rPr>
      </w:pPr>
    </w:p>
    <w:p w14:paraId="211131F4" w14:textId="3567B1FA" w:rsidR="004047A3" w:rsidRPr="0007572B" w:rsidRDefault="00680267" w:rsidP="0038082E">
      <w:pPr>
        <w:pStyle w:val="Heading3greennumbered"/>
      </w:pPr>
      <w:bookmarkStart w:id="201" w:name="_Toc92894908"/>
      <w:bookmarkStart w:id="202" w:name="_Toc92895212"/>
      <w:bookmarkStart w:id="203" w:name="_Toc109922646"/>
      <w:r w:rsidRPr="0007572B">
        <w:t>3</w:t>
      </w:r>
      <w:r w:rsidR="00876B48" w:rsidRPr="0007572B">
        <w:t>3</w:t>
      </w:r>
      <w:r w:rsidR="004047A3" w:rsidRPr="0007572B">
        <w:t xml:space="preserve"> Defined Benefit Pension Schemes</w:t>
      </w:r>
      <w:bookmarkEnd w:id="201"/>
      <w:bookmarkEnd w:id="202"/>
      <w:bookmarkEnd w:id="203"/>
    </w:p>
    <w:p w14:paraId="4F7276DF" w14:textId="77777777" w:rsidR="00D4492C" w:rsidRDefault="00D4492C" w:rsidP="0038082E">
      <w:pPr>
        <w:rPr>
          <w:rFonts w:ascii="Arial" w:hAnsi="Arial" w:cs="Arial"/>
        </w:rPr>
      </w:pPr>
    </w:p>
    <w:p w14:paraId="0781269C" w14:textId="459710F6" w:rsidR="00B04A22" w:rsidRPr="0007572B" w:rsidRDefault="00B04A22" w:rsidP="0038082E">
      <w:pPr>
        <w:rPr>
          <w:rFonts w:ascii="Arial" w:hAnsi="Arial" w:cs="Arial"/>
        </w:rPr>
      </w:pPr>
      <w:r w:rsidRPr="0007572B">
        <w:rPr>
          <w:rFonts w:ascii="Arial" w:hAnsi="Arial" w:cs="Arial"/>
        </w:rPr>
        <w:t>As part of the terms and conditions of employment of its officers and other employees, the Authority makes contributions towards the cost of post-employment benefits. Although these benefits will not actually be payable until employees retire, the Authority has a commitment to make the payments that need to be disclosed at the time that employees earn their future entitlement.</w:t>
      </w:r>
    </w:p>
    <w:p w14:paraId="00B2EEF7" w14:textId="77777777" w:rsidR="00B04A22" w:rsidRPr="0007572B" w:rsidRDefault="00B04A22" w:rsidP="0038082E">
      <w:pPr>
        <w:rPr>
          <w:rFonts w:ascii="Arial" w:hAnsi="Arial" w:cs="Arial"/>
        </w:rPr>
      </w:pPr>
    </w:p>
    <w:p w14:paraId="6B86275C" w14:textId="77777777" w:rsidR="00B04A22" w:rsidRPr="0007572B" w:rsidRDefault="00B04A22" w:rsidP="0038082E">
      <w:pPr>
        <w:rPr>
          <w:rFonts w:ascii="Arial" w:hAnsi="Arial" w:cs="Arial"/>
        </w:rPr>
      </w:pPr>
      <w:r w:rsidRPr="0007572B">
        <w:rPr>
          <w:rFonts w:ascii="Arial" w:hAnsi="Arial" w:cs="Arial"/>
        </w:rPr>
        <w:t xml:space="preserve">Employees of the Authority are divided </w:t>
      </w:r>
      <w:r w:rsidR="000F48B9" w:rsidRPr="0007572B">
        <w:rPr>
          <w:rFonts w:ascii="Arial" w:hAnsi="Arial" w:cs="Arial"/>
        </w:rPr>
        <w:t>betwee</w:t>
      </w:r>
      <w:r w:rsidR="00E46631" w:rsidRPr="0007572B">
        <w:rPr>
          <w:rFonts w:ascii="Arial" w:hAnsi="Arial" w:cs="Arial"/>
        </w:rPr>
        <w:t xml:space="preserve">n two separate </w:t>
      </w:r>
      <w:r w:rsidR="00EF6096" w:rsidRPr="0007572B">
        <w:rPr>
          <w:rFonts w:ascii="Arial" w:hAnsi="Arial" w:cs="Arial"/>
        </w:rPr>
        <w:t xml:space="preserve">defined benefit </w:t>
      </w:r>
      <w:r w:rsidR="00E46631" w:rsidRPr="0007572B">
        <w:rPr>
          <w:rFonts w:ascii="Arial" w:hAnsi="Arial" w:cs="Arial"/>
        </w:rPr>
        <w:t>pension schemes:</w:t>
      </w:r>
    </w:p>
    <w:p w14:paraId="14A0E604" w14:textId="77777777" w:rsidR="00E46631" w:rsidRPr="0007572B" w:rsidRDefault="00E46631" w:rsidP="0038082E">
      <w:pPr>
        <w:rPr>
          <w:rFonts w:ascii="Arial" w:hAnsi="Arial" w:cs="Arial"/>
        </w:rPr>
      </w:pPr>
    </w:p>
    <w:p w14:paraId="7BA4F48D" w14:textId="1153E466" w:rsidR="00E46631" w:rsidRPr="0007572B" w:rsidRDefault="00E46631" w:rsidP="0038082E">
      <w:pPr>
        <w:rPr>
          <w:rFonts w:ascii="Arial" w:hAnsi="Arial" w:cs="Arial"/>
        </w:rPr>
      </w:pPr>
      <w:r w:rsidRPr="0007572B">
        <w:rPr>
          <w:rFonts w:ascii="Arial" w:hAnsi="Arial" w:cs="Arial"/>
          <w:b/>
        </w:rPr>
        <w:t>The Fire</w:t>
      </w:r>
      <w:r w:rsidR="001838A2" w:rsidRPr="0007572B">
        <w:rPr>
          <w:rFonts w:ascii="Arial" w:hAnsi="Arial" w:cs="Arial"/>
          <w:b/>
        </w:rPr>
        <w:t>fighters’</w:t>
      </w:r>
      <w:r w:rsidRPr="0007572B">
        <w:rPr>
          <w:rFonts w:ascii="Arial" w:hAnsi="Arial" w:cs="Arial"/>
          <w:b/>
        </w:rPr>
        <w:t xml:space="preserve"> Pension Scheme</w:t>
      </w:r>
      <w:r w:rsidRPr="0007572B">
        <w:rPr>
          <w:rFonts w:ascii="Arial" w:hAnsi="Arial" w:cs="Arial"/>
        </w:rPr>
        <w:t xml:space="preserve"> for its uniformed firefighters - this is an unfunded scheme, meaning that there are no investment assets built up to meet the pensions liabilities, and cash has to be generated to meet actual pensions payments as they eventually fall due.</w:t>
      </w:r>
    </w:p>
    <w:p w14:paraId="0246C1E8" w14:textId="77777777" w:rsidR="006E2332" w:rsidRPr="0007572B" w:rsidRDefault="006E2332" w:rsidP="0038082E">
      <w:pPr>
        <w:rPr>
          <w:rFonts w:ascii="Arial" w:hAnsi="Arial" w:cs="Arial"/>
        </w:rPr>
      </w:pPr>
    </w:p>
    <w:p w14:paraId="6F899E58" w14:textId="62604D1A" w:rsidR="00E46631" w:rsidRPr="0007572B" w:rsidRDefault="00E46631" w:rsidP="0038082E">
      <w:pPr>
        <w:rPr>
          <w:rFonts w:ascii="Arial" w:hAnsi="Arial" w:cs="Arial"/>
        </w:rPr>
      </w:pPr>
      <w:r w:rsidRPr="0007572B">
        <w:rPr>
          <w:rFonts w:ascii="Arial" w:hAnsi="Arial" w:cs="Arial"/>
          <w:b/>
        </w:rPr>
        <w:t>The Local Government Pension Scheme</w:t>
      </w:r>
      <w:r w:rsidRPr="0007572B">
        <w:rPr>
          <w:rFonts w:ascii="Arial" w:hAnsi="Arial" w:cs="Arial"/>
        </w:rPr>
        <w:t xml:space="preserve"> for its other employees - this is a funded scheme, meaning that the Authority and employees pay its contributions into a fund, calculated at a level intended to balance the pensions liabilities with investment assets. The cost of retirement benefits is recognised in the Net Cost of Services when they are earned by employees, rather than when the benefits are eventually paid as pensions. However, the charge we are required to make against </w:t>
      </w:r>
      <w:r w:rsidR="00685F1C" w:rsidRPr="0007572B">
        <w:rPr>
          <w:rFonts w:ascii="Arial" w:hAnsi="Arial" w:cs="Arial"/>
        </w:rPr>
        <w:t xml:space="preserve">grant and </w:t>
      </w:r>
      <w:r w:rsidRPr="0007572B">
        <w:rPr>
          <w:rFonts w:ascii="Arial" w:hAnsi="Arial" w:cs="Arial"/>
        </w:rPr>
        <w:t xml:space="preserve">precept income is based on the cash payable in the year, so the real cost of retirement benefits is reversed out of the </w:t>
      </w:r>
      <w:r w:rsidR="006366E3" w:rsidRPr="0007572B">
        <w:rPr>
          <w:rFonts w:ascii="Arial" w:hAnsi="Arial" w:cs="Arial"/>
        </w:rPr>
        <w:t xml:space="preserve">Comprehensive </w:t>
      </w:r>
      <w:r w:rsidRPr="0007572B">
        <w:rPr>
          <w:rFonts w:ascii="Arial" w:hAnsi="Arial" w:cs="Arial"/>
        </w:rPr>
        <w:t xml:space="preserve">Income and Expenditure Account in the </w:t>
      </w:r>
      <w:r w:rsidR="006366E3" w:rsidRPr="0007572B">
        <w:rPr>
          <w:rFonts w:ascii="Arial" w:hAnsi="Arial" w:cs="Arial"/>
        </w:rPr>
        <w:t>Movement in Reserves Statement</w:t>
      </w:r>
      <w:r w:rsidRPr="0007572B">
        <w:rPr>
          <w:rFonts w:ascii="Arial" w:hAnsi="Arial" w:cs="Arial"/>
        </w:rPr>
        <w:t>.</w:t>
      </w:r>
    </w:p>
    <w:p w14:paraId="0D8C979A" w14:textId="77777777" w:rsidR="00E46631" w:rsidRPr="0007572B" w:rsidRDefault="00E46631" w:rsidP="0038082E">
      <w:pPr>
        <w:rPr>
          <w:rFonts w:ascii="Arial" w:hAnsi="Arial" w:cs="Arial"/>
        </w:rPr>
      </w:pPr>
    </w:p>
    <w:p w14:paraId="5939EB0B" w14:textId="36DB05FC" w:rsidR="001F2C3F" w:rsidRPr="0007572B" w:rsidRDefault="006E2332" w:rsidP="0038082E">
      <w:pPr>
        <w:rPr>
          <w:rFonts w:ascii="Arial" w:hAnsi="Arial" w:cs="Arial"/>
        </w:rPr>
      </w:pPr>
      <w:r w:rsidRPr="0007572B">
        <w:rPr>
          <w:rFonts w:ascii="Arial" w:hAnsi="Arial" w:cs="Arial"/>
        </w:rPr>
        <w:t>The Authority also has responsibility for the Police Pension Scheme for police officers although this scheme is administered by the Chief Constable (Greater Manchester Pol</w:t>
      </w:r>
      <w:r w:rsidR="009771BC" w:rsidRPr="0007572B">
        <w:rPr>
          <w:rFonts w:ascii="Arial" w:hAnsi="Arial" w:cs="Arial"/>
        </w:rPr>
        <w:t>ice) on behalf of the Authority</w:t>
      </w:r>
      <w:r w:rsidR="001F2C3F" w:rsidRPr="0007572B">
        <w:rPr>
          <w:rFonts w:ascii="Arial" w:hAnsi="Arial" w:cs="Arial"/>
        </w:rPr>
        <w:t xml:space="preserve">. </w:t>
      </w:r>
      <w:r w:rsidR="006A27AB" w:rsidRPr="0007572B">
        <w:rPr>
          <w:rFonts w:ascii="Arial" w:hAnsi="Arial" w:cs="Arial"/>
        </w:rPr>
        <w:t>The entries related to this scheme are disclosed in the group accounts.</w:t>
      </w:r>
      <w:r w:rsidR="001F2C3F" w:rsidRPr="0007572B">
        <w:rPr>
          <w:rFonts w:ascii="Arial" w:hAnsi="Arial" w:cs="Arial"/>
        </w:rPr>
        <w:t xml:space="preserve"> </w:t>
      </w:r>
    </w:p>
    <w:p w14:paraId="20BAF1D5" w14:textId="77777777" w:rsidR="001F2C3F" w:rsidRPr="0007572B" w:rsidRDefault="001F2C3F" w:rsidP="0038082E">
      <w:pPr>
        <w:rPr>
          <w:rFonts w:ascii="Arial" w:hAnsi="Arial" w:cs="Arial"/>
        </w:rPr>
      </w:pPr>
    </w:p>
    <w:p w14:paraId="30E3E4A3" w14:textId="4682BDFB" w:rsidR="00994706" w:rsidRPr="0007572B" w:rsidRDefault="00994706" w:rsidP="0038082E">
      <w:pPr>
        <w:rPr>
          <w:rFonts w:ascii="Arial" w:hAnsi="Arial" w:cs="Arial"/>
        </w:rPr>
      </w:pPr>
      <w:r w:rsidRPr="0007572B">
        <w:rPr>
          <w:rFonts w:ascii="Arial" w:hAnsi="Arial" w:cs="Arial"/>
        </w:rPr>
        <w:lastRenderedPageBreak/>
        <w:t xml:space="preserve">In accordance with proper </w:t>
      </w:r>
      <w:r w:rsidR="009771BC" w:rsidRPr="0007572B">
        <w:rPr>
          <w:rFonts w:ascii="Arial" w:hAnsi="Arial" w:cs="Arial"/>
        </w:rPr>
        <w:t>practices,</w:t>
      </w:r>
      <w:r w:rsidRPr="0007572B">
        <w:rPr>
          <w:rFonts w:ascii="Arial" w:hAnsi="Arial" w:cs="Arial"/>
        </w:rPr>
        <w:t xml:space="preserve"> the Authority has fully complied with the International Financial Reporting Standard IAS19 (Employee Benefits). Both Pension schemes are classified as ‘defined benefit’ schemes</w:t>
      </w:r>
      <w:r w:rsidR="00160771" w:rsidRPr="0007572B">
        <w:rPr>
          <w:rFonts w:ascii="Arial" w:hAnsi="Arial" w:cs="Arial"/>
        </w:rPr>
        <w:t xml:space="preserve"> under IAS19 and the accounting principles and their effect on the Financial Statements are explained below.</w:t>
      </w:r>
    </w:p>
    <w:p w14:paraId="3DCD609D" w14:textId="77777777" w:rsidR="00171DAF" w:rsidRPr="0007572B" w:rsidRDefault="00171DAF" w:rsidP="0038082E">
      <w:pPr>
        <w:rPr>
          <w:rFonts w:ascii="Arial" w:hAnsi="Arial" w:cs="Arial"/>
        </w:rPr>
      </w:pPr>
      <w:r w:rsidRPr="0007572B">
        <w:rPr>
          <w:rFonts w:ascii="Arial" w:hAnsi="Arial" w:cs="Arial"/>
        </w:rPr>
        <w:t>Employer contribution rates for the current and next year for both schemes are provided below:</w:t>
      </w:r>
    </w:p>
    <w:p w14:paraId="6AE9AB38" w14:textId="77777777" w:rsidR="00D01B03" w:rsidRDefault="00D01B03" w:rsidP="0038082E">
      <w:pPr>
        <w:rPr>
          <w:rFonts w:ascii="Arial" w:hAnsi="Arial" w:cs="Arial"/>
        </w:rPr>
      </w:pPr>
    </w:p>
    <w:p w14:paraId="0B0034AA" w14:textId="2C66481F" w:rsidR="00160771" w:rsidRPr="0007572B" w:rsidRDefault="00D01B03" w:rsidP="0038082E">
      <w:pPr>
        <w:rPr>
          <w:rFonts w:ascii="Arial" w:hAnsi="Arial" w:cs="Arial"/>
        </w:rPr>
      </w:pPr>
      <w:r w:rsidRPr="00D01B03">
        <w:rPr>
          <w:noProof/>
        </w:rPr>
        <w:drawing>
          <wp:inline distT="0" distB="0" distL="0" distR="0" wp14:anchorId="4DD09BEF" wp14:editId="63182DC3">
            <wp:extent cx="4890135" cy="1123950"/>
            <wp:effectExtent l="0" t="0" r="571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90135" cy="1123950"/>
                    </a:xfrm>
                    <a:prstGeom prst="rect">
                      <a:avLst/>
                    </a:prstGeom>
                    <a:noFill/>
                    <a:ln>
                      <a:noFill/>
                    </a:ln>
                  </pic:spPr>
                </pic:pic>
              </a:graphicData>
            </a:graphic>
          </wp:inline>
        </w:drawing>
      </w:r>
    </w:p>
    <w:p w14:paraId="207D6B5A" w14:textId="7CDB768F" w:rsidR="00B070AC" w:rsidRPr="0007572B" w:rsidRDefault="00B070AC" w:rsidP="0038082E">
      <w:pPr>
        <w:rPr>
          <w:rFonts w:ascii="Arial" w:hAnsi="Arial" w:cs="Arial"/>
        </w:rPr>
      </w:pPr>
    </w:p>
    <w:p w14:paraId="7FEDDBC2" w14:textId="77777777" w:rsidR="004047A3" w:rsidRPr="0007572B" w:rsidRDefault="00D00AF4" w:rsidP="0038082E">
      <w:pPr>
        <w:pStyle w:val="Heading4bold"/>
      </w:pPr>
      <w:r w:rsidRPr="0007572B">
        <w:t>The Local Government Pension Scheme</w:t>
      </w:r>
    </w:p>
    <w:p w14:paraId="63148E1F" w14:textId="5E52234D" w:rsidR="00864F2C" w:rsidRPr="0007572B" w:rsidRDefault="00864F2C" w:rsidP="0038082E">
      <w:pPr>
        <w:rPr>
          <w:rFonts w:ascii="Arial" w:hAnsi="Arial" w:cs="Arial"/>
        </w:rPr>
      </w:pPr>
      <w:r w:rsidRPr="0007572B">
        <w:rPr>
          <w:rFonts w:ascii="Arial" w:hAnsi="Arial" w:cs="Arial"/>
        </w:rPr>
        <w:t>The Authority pays an employer's contribution into the G</w:t>
      </w:r>
      <w:r w:rsidR="00CA750E">
        <w:rPr>
          <w:rFonts w:ascii="Arial" w:hAnsi="Arial" w:cs="Arial"/>
        </w:rPr>
        <w:t>MPF</w:t>
      </w:r>
      <w:r w:rsidRPr="0007572B">
        <w:rPr>
          <w:rFonts w:ascii="Arial" w:hAnsi="Arial" w:cs="Arial"/>
        </w:rPr>
        <w:t>, which is a fully funded defined benefits scheme administered by Tameside Metropolitan Borough Council from whom an Annual Report is available.</w:t>
      </w:r>
    </w:p>
    <w:p w14:paraId="269D23CA" w14:textId="77777777" w:rsidR="00864F2C" w:rsidRPr="0007572B" w:rsidRDefault="00864F2C" w:rsidP="0038082E">
      <w:pPr>
        <w:rPr>
          <w:rFonts w:ascii="Arial" w:hAnsi="Arial" w:cs="Arial"/>
        </w:rPr>
      </w:pPr>
    </w:p>
    <w:p w14:paraId="7572BEC4" w14:textId="10211C77" w:rsidR="00864F2C" w:rsidRPr="0007572B" w:rsidRDefault="00864F2C" w:rsidP="0038082E">
      <w:pPr>
        <w:rPr>
          <w:rFonts w:ascii="Arial" w:hAnsi="Arial" w:cs="Arial"/>
        </w:rPr>
      </w:pPr>
      <w:r w:rsidRPr="0007572B">
        <w:rPr>
          <w:rFonts w:ascii="Arial" w:hAnsi="Arial" w:cs="Arial"/>
        </w:rPr>
        <w:t xml:space="preserve">The liabilities of the </w:t>
      </w:r>
      <w:r w:rsidR="00CA750E">
        <w:rPr>
          <w:rFonts w:ascii="Arial" w:hAnsi="Arial" w:cs="Arial"/>
        </w:rPr>
        <w:t>GMPF</w:t>
      </w:r>
      <w:r w:rsidRPr="0007572B">
        <w:rPr>
          <w:rFonts w:ascii="Arial" w:hAnsi="Arial" w:cs="Arial"/>
        </w:rPr>
        <w:t xml:space="preserve"> attributable to the Authority are included in the Balance Sheet on an actuarial basis using the projected unit </w:t>
      </w:r>
      <w:r w:rsidR="006A27AB" w:rsidRPr="0007572B">
        <w:rPr>
          <w:rFonts w:ascii="Arial" w:hAnsi="Arial" w:cs="Arial"/>
        </w:rPr>
        <w:t xml:space="preserve">credit </w:t>
      </w:r>
      <w:r w:rsidRPr="0007572B">
        <w:rPr>
          <w:rFonts w:ascii="Arial" w:hAnsi="Arial" w:cs="Arial"/>
        </w:rPr>
        <w:t>method, i.e. an assessment of the future payments that will be made in relation to retirement benefits earned to date by employees, based on assumptions about mortality rates, employee turnover rates and projections of projected earnings for current employees.</w:t>
      </w:r>
    </w:p>
    <w:p w14:paraId="4E0D62DB" w14:textId="77777777" w:rsidR="00864F2C" w:rsidRPr="0007572B" w:rsidRDefault="00864F2C" w:rsidP="0038082E">
      <w:pPr>
        <w:rPr>
          <w:rFonts w:ascii="Arial" w:hAnsi="Arial" w:cs="Arial"/>
        </w:rPr>
      </w:pPr>
    </w:p>
    <w:p w14:paraId="72965CEC" w14:textId="77777777" w:rsidR="00864F2C" w:rsidRPr="0007572B" w:rsidRDefault="00864F2C" w:rsidP="0038082E">
      <w:pPr>
        <w:rPr>
          <w:rFonts w:ascii="Arial" w:hAnsi="Arial" w:cs="Arial"/>
        </w:rPr>
      </w:pPr>
      <w:r w:rsidRPr="0007572B">
        <w:rPr>
          <w:rFonts w:ascii="Arial" w:hAnsi="Arial" w:cs="Arial"/>
        </w:rPr>
        <w:t>Liabilities are discounted to their value at current prices, (based on the indicative rate of return on high quality corporate bonds).</w:t>
      </w:r>
    </w:p>
    <w:p w14:paraId="0D77C31F" w14:textId="77777777" w:rsidR="00864F2C" w:rsidRPr="0007572B" w:rsidRDefault="00864F2C" w:rsidP="0038082E">
      <w:pPr>
        <w:rPr>
          <w:rFonts w:ascii="Arial" w:hAnsi="Arial" w:cs="Arial"/>
        </w:rPr>
      </w:pPr>
    </w:p>
    <w:p w14:paraId="468539A1" w14:textId="614DC364" w:rsidR="00864F2C" w:rsidRPr="0007572B" w:rsidRDefault="00864F2C" w:rsidP="0038082E">
      <w:pPr>
        <w:rPr>
          <w:rFonts w:ascii="Arial" w:hAnsi="Arial" w:cs="Arial"/>
        </w:rPr>
      </w:pPr>
      <w:r w:rsidRPr="0007572B">
        <w:rPr>
          <w:rFonts w:ascii="Arial" w:hAnsi="Arial" w:cs="Arial"/>
        </w:rPr>
        <w:t xml:space="preserve">The assets of the </w:t>
      </w:r>
      <w:r w:rsidR="00CA750E">
        <w:rPr>
          <w:rFonts w:ascii="Arial" w:hAnsi="Arial" w:cs="Arial"/>
        </w:rPr>
        <w:t>GMPF</w:t>
      </w:r>
      <w:r w:rsidRPr="0007572B">
        <w:rPr>
          <w:rFonts w:ascii="Arial" w:hAnsi="Arial" w:cs="Arial"/>
        </w:rPr>
        <w:t xml:space="preserve"> attributable to the Authority are included in the Balance Sheet at their fair value, as follows:</w:t>
      </w:r>
    </w:p>
    <w:p w14:paraId="0000A644" w14:textId="77777777" w:rsidR="00D5311B" w:rsidRPr="0007572B" w:rsidRDefault="00D5311B" w:rsidP="0038082E">
      <w:pPr>
        <w:rPr>
          <w:rFonts w:ascii="Arial" w:hAnsi="Arial" w:cs="Arial"/>
        </w:rPr>
      </w:pPr>
    </w:p>
    <w:p w14:paraId="33F72AD6" w14:textId="77777777" w:rsidR="00864F2C" w:rsidRPr="0007572B" w:rsidRDefault="00864F2C" w:rsidP="00EB27EB">
      <w:pPr>
        <w:pStyle w:val="ListParagraph"/>
        <w:numPr>
          <w:ilvl w:val="1"/>
          <w:numId w:val="14"/>
        </w:numPr>
        <w:spacing w:line="240" w:lineRule="auto"/>
        <w:rPr>
          <w:rFonts w:ascii="Arial" w:hAnsi="Arial" w:cs="Arial"/>
          <w:sz w:val="24"/>
          <w:szCs w:val="24"/>
        </w:rPr>
      </w:pPr>
      <w:r w:rsidRPr="0007572B">
        <w:rPr>
          <w:rFonts w:ascii="Arial" w:hAnsi="Arial" w:cs="Arial"/>
          <w:sz w:val="24"/>
          <w:szCs w:val="24"/>
        </w:rPr>
        <w:t>Quoted securities – current bid price</w:t>
      </w:r>
    </w:p>
    <w:p w14:paraId="2C332D0F" w14:textId="77777777" w:rsidR="00864F2C" w:rsidRPr="0007572B" w:rsidRDefault="00864F2C" w:rsidP="00EB27EB">
      <w:pPr>
        <w:pStyle w:val="ListParagraph"/>
        <w:numPr>
          <w:ilvl w:val="1"/>
          <w:numId w:val="14"/>
        </w:numPr>
        <w:spacing w:line="240" w:lineRule="auto"/>
        <w:rPr>
          <w:rFonts w:ascii="Arial" w:hAnsi="Arial" w:cs="Arial"/>
          <w:sz w:val="24"/>
          <w:szCs w:val="24"/>
        </w:rPr>
      </w:pPr>
      <w:r w:rsidRPr="0007572B">
        <w:rPr>
          <w:rFonts w:ascii="Arial" w:hAnsi="Arial" w:cs="Arial"/>
          <w:sz w:val="24"/>
          <w:szCs w:val="24"/>
        </w:rPr>
        <w:t>Unquoted securities – professional estimate</w:t>
      </w:r>
    </w:p>
    <w:p w14:paraId="42546D7E" w14:textId="77777777" w:rsidR="00864F2C" w:rsidRPr="0007572B" w:rsidRDefault="00864F2C" w:rsidP="00EB27EB">
      <w:pPr>
        <w:pStyle w:val="ListParagraph"/>
        <w:numPr>
          <w:ilvl w:val="1"/>
          <w:numId w:val="14"/>
        </w:numPr>
        <w:spacing w:line="240" w:lineRule="auto"/>
        <w:rPr>
          <w:rFonts w:ascii="Arial" w:hAnsi="Arial" w:cs="Arial"/>
          <w:sz w:val="24"/>
          <w:szCs w:val="24"/>
        </w:rPr>
      </w:pPr>
      <w:r w:rsidRPr="0007572B">
        <w:rPr>
          <w:rFonts w:ascii="Arial" w:hAnsi="Arial" w:cs="Arial"/>
          <w:sz w:val="24"/>
          <w:szCs w:val="24"/>
        </w:rPr>
        <w:t>Unitised securities – current bid price</w:t>
      </w:r>
    </w:p>
    <w:p w14:paraId="3BF95AD5" w14:textId="77777777" w:rsidR="00864F2C" w:rsidRPr="0007572B" w:rsidRDefault="00864F2C" w:rsidP="00EB27EB">
      <w:pPr>
        <w:pStyle w:val="ListParagraph"/>
        <w:numPr>
          <w:ilvl w:val="1"/>
          <w:numId w:val="14"/>
        </w:numPr>
        <w:spacing w:line="240" w:lineRule="auto"/>
        <w:rPr>
          <w:rFonts w:ascii="Arial" w:hAnsi="Arial" w:cs="Arial"/>
          <w:sz w:val="24"/>
          <w:szCs w:val="24"/>
        </w:rPr>
      </w:pPr>
      <w:r w:rsidRPr="0007572B">
        <w:rPr>
          <w:rFonts w:ascii="Arial" w:hAnsi="Arial" w:cs="Arial"/>
          <w:sz w:val="24"/>
          <w:szCs w:val="24"/>
        </w:rPr>
        <w:t>Property – market value.</w:t>
      </w:r>
    </w:p>
    <w:p w14:paraId="681E71F9" w14:textId="77777777" w:rsidR="00864F2C" w:rsidRPr="0007572B" w:rsidRDefault="00864F2C" w:rsidP="0038082E">
      <w:pPr>
        <w:rPr>
          <w:rFonts w:ascii="Arial" w:hAnsi="Arial" w:cs="Arial"/>
        </w:rPr>
      </w:pPr>
      <w:r w:rsidRPr="0007572B">
        <w:rPr>
          <w:rFonts w:ascii="Arial" w:hAnsi="Arial" w:cs="Arial"/>
        </w:rPr>
        <w:t>The change in the net pension’s liability is analysed into seven components:</w:t>
      </w:r>
    </w:p>
    <w:p w14:paraId="73073A11" w14:textId="77777777" w:rsidR="006E2332" w:rsidRPr="0007572B" w:rsidRDefault="006E2332" w:rsidP="0038082E">
      <w:pPr>
        <w:rPr>
          <w:rFonts w:ascii="Arial" w:hAnsi="Arial" w:cs="Arial"/>
        </w:rPr>
      </w:pPr>
    </w:p>
    <w:p w14:paraId="774B8B7E" w14:textId="77777777" w:rsidR="00864F2C" w:rsidRPr="0007572B" w:rsidRDefault="00864F2C" w:rsidP="00EB27EB">
      <w:pPr>
        <w:pStyle w:val="ListParagraph"/>
        <w:numPr>
          <w:ilvl w:val="0"/>
          <w:numId w:val="13"/>
        </w:numPr>
        <w:spacing w:line="240" w:lineRule="auto"/>
        <w:rPr>
          <w:rFonts w:ascii="Arial" w:hAnsi="Arial" w:cs="Arial"/>
          <w:sz w:val="24"/>
          <w:szCs w:val="24"/>
        </w:rPr>
      </w:pPr>
      <w:r w:rsidRPr="0007572B">
        <w:rPr>
          <w:rFonts w:ascii="Arial" w:hAnsi="Arial" w:cs="Arial"/>
          <w:b/>
          <w:sz w:val="24"/>
          <w:szCs w:val="24"/>
        </w:rPr>
        <w:t>Current service cost</w:t>
      </w:r>
      <w:r w:rsidRPr="0007572B">
        <w:rPr>
          <w:rFonts w:ascii="Arial" w:hAnsi="Arial" w:cs="Arial"/>
          <w:sz w:val="24"/>
          <w:szCs w:val="24"/>
        </w:rPr>
        <w:t xml:space="preserve"> – the increase in liabilities as a result of years of service earned this year. This is allocated in the Comprehensive Income and Expenditure Statement to the revenue accounts of services for which the employees worked.</w:t>
      </w:r>
    </w:p>
    <w:p w14:paraId="28336194" w14:textId="4A04E708" w:rsidR="00864F2C" w:rsidRPr="0007572B" w:rsidRDefault="00864F2C" w:rsidP="00EB27EB">
      <w:pPr>
        <w:pStyle w:val="ListParagraph"/>
        <w:numPr>
          <w:ilvl w:val="0"/>
          <w:numId w:val="13"/>
        </w:numPr>
        <w:spacing w:line="240" w:lineRule="auto"/>
        <w:rPr>
          <w:rFonts w:ascii="Arial" w:hAnsi="Arial" w:cs="Arial"/>
          <w:sz w:val="24"/>
          <w:szCs w:val="24"/>
        </w:rPr>
      </w:pPr>
      <w:r w:rsidRPr="0007572B">
        <w:rPr>
          <w:rFonts w:ascii="Arial" w:hAnsi="Arial" w:cs="Arial"/>
          <w:b/>
          <w:sz w:val="24"/>
          <w:szCs w:val="24"/>
        </w:rPr>
        <w:t>Past service cost</w:t>
      </w:r>
      <w:r w:rsidRPr="0007572B">
        <w:rPr>
          <w:rFonts w:ascii="Arial" w:hAnsi="Arial" w:cs="Arial"/>
          <w:sz w:val="24"/>
          <w:szCs w:val="24"/>
        </w:rPr>
        <w:t xml:space="preserve"> – the increase in liabilities arising from current year decisions whose effect relates to years of service earned in earlier years. This is debited to the surplus or deficit on the provision of services in the Comprehensive I</w:t>
      </w:r>
      <w:r w:rsidR="00744363" w:rsidRPr="0007572B">
        <w:rPr>
          <w:rFonts w:ascii="Arial" w:hAnsi="Arial" w:cs="Arial"/>
          <w:sz w:val="24"/>
          <w:szCs w:val="24"/>
        </w:rPr>
        <w:t>ncome and Expenditure Statement</w:t>
      </w:r>
      <w:r w:rsidRPr="0007572B">
        <w:rPr>
          <w:rFonts w:ascii="Arial" w:hAnsi="Arial" w:cs="Arial"/>
          <w:sz w:val="24"/>
          <w:szCs w:val="24"/>
        </w:rPr>
        <w:t>.</w:t>
      </w:r>
    </w:p>
    <w:p w14:paraId="56332788" w14:textId="77777777" w:rsidR="00864F2C" w:rsidRPr="0007572B" w:rsidRDefault="00864F2C" w:rsidP="00EB27EB">
      <w:pPr>
        <w:pStyle w:val="ListParagraph"/>
        <w:numPr>
          <w:ilvl w:val="0"/>
          <w:numId w:val="13"/>
        </w:numPr>
        <w:spacing w:line="240" w:lineRule="auto"/>
        <w:rPr>
          <w:rFonts w:ascii="Arial" w:hAnsi="Arial" w:cs="Arial"/>
          <w:sz w:val="24"/>
          <w:szCs w:val="24"/>
        </w:rPr>
      </w:pPr>
      <w:r w:rsidRPr="0007572B">
        <w:rPr>
          <w:rFonts w:ascii="Arial" w:hAnsi="Arial" w:cs="Arial"/>
          <w:b/>
          <w:sz w:val="24"/>
          <w:szCs w:val="24"/>
        </w:rPr>
        <w:t>Interest cost</w:t>
      </w:r>
      <w:r w:rsidRPr="0007572B">
        <w:rPr>
          <w:rFonts w:ascii="Arial" w:hAnsi="Arial" w:cs="Arial"/>
          <w:sz w:val="24"/>
          <w:szCs w:val="24"/>
        </w:rPr>
        <w:t xml:space="preserve"> – the expected increase in the present value of liabilities during the year as they move one year closer to being paid. This is debited to Financing and Investment Income and Expenditure Line in the Comprehensive Income and Expenditure Statement.</w:t>
      </w:r>
    </w:p>
    <w:p w14:paraId="0380722A" w14:textId="77777777" w:rsidR="00864F2C" w:rsidRPr="0007572B" w:rsidRDefault="0065752F" w:rsidP="00EB27EB">
      <w:pPr>
        <w:pStyle w:val="ListParagraph"/>
        <w:numPr>
          <w:ilvl w:val="0"/>
          <w:numId w:val="13"/>
        </w:numPr>
        <w:spacing w:line="240" w:lineRule="auto"/>
        <w:rPr>
          <w:rFonts w:ascii="Arial" w:hAnsi="Arial" w:cs="Arial"/>
          <w:sz w:val="24"/>
          <w:szCs w:val="24"/>
        </w:rPr>
      </w:pPr>
      <w:r w:rsidRPr="0007572B">
        <w:rPr>
          <w:rFonts w:ascii="Arial" w:hAnsi="Arial" w:cs="Arial"/>
          <w:b/>
          <w:sz w:val="24"/>
          <w:szCs w:val="24"/>
        </w:rPr>
        <w:lastRenderedPageBreak/>
        <w:t>G</w:t>
      </w:r>
      <w:r w:rsidR="00864F2C" w:rsidRPr="0007572B">
        <w:rPr>
          <w:rFonts w:ascii="Arial" w:hAnsi="Arial" w:cs="Arial"/>
          <w:b/>
          <w:sz w:val="24"/>
          <w:szCs w:val="24"/>
        </w:rPr>
        <w:t>ains/losses on settlements and curtailments</w:t>
      </w:r>
      <w:r w:rsidR="00864F2C" w:rsidRPr="0007572B">
        <w:rPr>
          <w:rFonts w:ascii="Arial" w:hAnsi="Arial" w:cs="Arial"/>
          <w:sz w:val="24"/>
          <w:szCs w:val="24"/>
        </w:rPr>
        <w:t xml:space="preserve"> – the result of actions to relieve the Authority of liabilities or events that reduce the expected future service or accrual of benefits of employees. This is debited or credited to the surplus or deficit on the provision of services in the Comprehensive Income and Expenditure Statement.</w:t>
      </w:r>
    </w:p>
    <w:p w14:paraId="71A85BFE" w14:textId="1448C190" w:rsidR="00864F2C" w:rsidRPr="0007572B" w:rsidRDefault="00B33006" w:rsidP="00EB27EB">
      <w:pPr>
        <w:pStyle w:val="ListParagraph"/>
        <w:numPr>
          <w:ilvl w:val="0"/>
          <w:numId w:val="13"/>
        </w:numPr>
        <w:spacing w:line="240" w:lineRule="auto"/>
        <w:rPr>
          <w:rFonts w:ascii="Arial" w:hAnsi="Arial" w:cs="Arial"/>
          <w:sz w:val="24"/>
          <w:szCs w:val="24"/>
        </w:rPr>
      </w:pPr>
      <w:r w:rsidRPr="0007572B">
        <w:rPr>
          <w:rFonts w:ascii="Arial" w:hAnsi="Arial" w:cs="Arial"/>
          <w:b/>
          <w:sz w:val="24"/>
          <w:szCs w:val="24"/>
        </w:rPr>
        <w:t>Interest on scheme assets</w:t>
      </w:r>
      <w:r w:rsidR="00864F2C" w:rsidRPr="0007572B">
        <w:rPr>
          <w:rFonts w:ascii="Arial" w:hAnsi="Arial" w:cs="Arial"/>
          <w:sz w:val="24"/>
          <w:szCs w:val="24"/>
        </w:rPr>
        <w:t xml:space="preserve"> – the annual investment return on the fund assets attributable to the Authority, based on an average of the expected long-term return. This is credited to Financing and Investment Line in the Comprehensive Income and Expenditure Statement.</w:t>
      </w:r>
    </w:p>
    <w:p w14:paraId="62DE1BF4" w14:textId="4153074F" w:rsidR="0065752F" w:rsidRPr="0007572B" w:rsidRDefault="0065752F" w:rsidP="00EB27EB">
      <w:pPr>
        <w:pStyle w:val="ListParagraph"/>
        <w:numPr>
          <w:ilvl w:val="0"/>
          <w:numId w:val="13"/>
        </w:numPr>
        <w:spacing w:line="240" w:lineRule="auto"/>
        <w:rPr>
          <w:rFonts w:ascii="Arial" w:hAnsi="Arial" w:cs="Arial"/>
          <w:sz w:val="24"/>
          <w:szCs w:val="24"/>
        </w:rPr>
      </w:pPr>
      <w:r w:rsidRPr="0007572B">
        <w:rPr>
          <w:rFonts w:ascii="Arial" w:hAnsi="Arial" w:cs="Arial"/>
          <w:b/>
          <w:sz w:val="24"/>
          <w:szCs w:val="24"/>
        </w:rPr>
        <w:t>A</w:t>
      </w:r>
      <w:r w:rsidR="00864F2C" w:rsidRPr="0007572B">
        <w:rPr>
          <w:rFonts w:ascii="Arial" w:hAnsi="Arial" w:cs="Arial"/>
          <w:b/>
          <w:sz w:val="24"/>
          <w:szCs w:val="24"/>
        </w:rPr>
        <w:t>ctuarial gains and losses</w:t>
      </w:r>
      <w:r w:rsidR="00864F2C" w:rsidRPr="0007572B">
        <w:rPr>
          <w:rFonts w:ascii="Arial" w:hAnsi="Arial" w:cs="Arial"/>
          <w:sz w:val="24"/>
          <w:szCs w:val="24"/>
        </w:rPr>
        <w:t xml:space="preserve"> – changes in the net pensions liability that arise because events have not coincided with assumptions made at the last actuarial valuation or because the actuaries have updated their assumptions – debited to the Pensions Reserve. </w:t>
      </w:r>
    </w:p>
    <w:p w14:paraId="7DE34311" w14:textId="77777777" w:rsidR="00864F2C" w:rsidRPr="0007572B" w:rsidRDefault="0065752F" w:rsidP="00EB27EB">
      <w:pPr>
        <w:pStyle w:val="ListParagraph"/>
        <w:numPr>
          <w:ilvl w:val="0"/>
          <w:numId w:val="13"/>
        </w:numPr>
        <w:spacing w:line="240" w:lineRule="auto"/>
        <w:rPr>
          <w:rFonts w:ascii="Arial" w:hAnsi="Arial" w:cs="Arial"/>
          <w:sz w:val="24"/>
          <w:szCs w:val="24"/>
        </w:rPr>
      </w:pPr>
      <w:r w:rsidRPr="0007572B">
        <w:rPr>
          <w:rFonts w:ascii="Arial" w:hAnsi="Arial" w:cs="Arial"/>
          <w:b/>
          <w:sz w:val="24"/>
          <w:szCs w:val="24"/>
        </w:rPr>
        <w:t>C</w:t>
      </w:r>
      <w:r w:rsidR="00864F2C" w:rsidRPr="0007572B">
        <w:rPr>
          <w:rFonts w:ascii="Arial" w:hAnsi="Arial" w:cs="Arial"/>
          <w:b/>
          <w:sz w:val="24"/>
          <w:szCs w:val="24"/>
        </w:rPr>
        <w:t>ontributions paid to the pension fund</w:t>
      </w:r>
      <w:r w:rsidR="00864F2C" w:rsidRPr="0007572B">
        <w:rPr>
          <w:rFonts w:ascii="Arial" w:hAnsi="Arial" w:cs="Arial"/>
          <w:sz w:val="24"/>
          <w:szCs w:val="24"/>
        </w:rPr>
        <w:t xml:space="preserve"> – cash paid as employer’s contributions to the fund.</w:t>
      </w:r>
    </w:p>
    <w:p w14:paraId="1290E4CE" w14:textId="069FE293" w:rsidR="00864F2C" w:rsidRPr="0007572B" w:rsidRDefault="00864F2C" w:rsidP="0038082E">
      <w:pPr>
        <w:rPr>
          <w:rFonts w:ascii="Arial" w:hAnsi="Arial" w:cs="Arial"/>
        </w:rPr>
      </w:pPr>
      <w:r w:rsidRPr="0007572B">
        <w:rPr>
          <w:rFonts w:ascii="Arial" w:hAnsi="Arial" w:cs="Arial"/>
        </w:rPr>
        <w:t xml:space="preserve">In relation to retirement benefits, statutory provisions require the General Fund Balance to be charged with the amount payable by the </w:t>
      </w:r>
      <w:r w:rsidR="00C64AE4" w:rsidRPr="0007572B">
        <w:rPr>
          <w:rFonts w:ascii="Arial" w:hAnsi="Arial" w:cs="Arial"/>
        </w:rPr>
        <w:t>Authority</w:t>
      </w:r>
      <w:r w:rsidRPr="0007572B">
        <w:rPr>
          <w:rFonts w:ascii="Arial" w:hAnsi="Arial" w:cs="Arial"/>
        </w:rPr>
        <w:t xml:space="preserve">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the cash paid to the pension fund and pensioners and any such amounts payable but unpaid at the year-end.</w:t>
      </w:r>
      <w:r w:rsidR="00C64AE4" w:rsidRPr="0007572B">
        <w:rPr>
          <w:rFonts w:ascii="Arial" w:hAnsi="Arial" w:cs="Arial"/>
        </w:rPr>
        <w:t xml:space="preserve"> </w:t>
      </w:r>
      <w:r w:rsidRPr="0007572B">
        <w:rPr>
          <w:rFonts w:ascii="Arial" w:hAnsi="Arial" w:cs="Arial"/>
        </w:rPr>
        <w:t>The negative balance that arises on the Pensions Reserve thereby measures the beneficial impact to the General Fund of being required to account for retirement benefits on the basis of cash flows rather than as benefits are earned by employees.</w:t>
      </w:r>
    </w:p>
    <w:p w14:paraId="5BA66F9A" w14:textId="77777777" w:rsidR="0065752F" w:rsidRPr="0007572B" w:rsidRDefault="0065752F" w:rsidP="0038082E">
      <w:pPr>
        <w:rPr>
          <w:rFonts w:ascii="Arial" w:hAnsi="Arial" w:cs="Arial"/>
        </w:rPr>
      </w:pPr>
    </w:p>
    <w:p w14:paraId="07DF951B" w14:textId="657F1E46" w:rsidR="00B91632" w:rsidRPr="0007572B" w:rsidRDefault="00864F2C" w:rsidP="0038082E">
      <w:pPr>
        <w:rPr>
          <w:rFonts w:ascii="Arial" w:hAnsi="Arial" w:cs="Arial"/>
        </w:rPr>
      </w:pPr>
      <w:r w:rsidRPr="0007572B">
        <w:rPr>
          <w:rFonts w:ascii="Arial" w:hAnsi="Arial" w:cs="Arial"/>
        </w:rPr>
        <w:t>Under IAS19 any obligation arising from other long-term employee benefits that depend on length of service need to be recognised when service is rendered, which for the Authority now includes Injury Awards.</w:t>
      </w:r>
    </w:p>
    <w:p w14:paraId="01E5900E" w14:textId="74464301" w:rsidR="00130F88" w:rsidRPr="0007572B" w:rsidRDefault="00130F88" w:rsidP="0038082E">
      <w:pPr>
        <w:rPr>
          <w:rFonts w:ascii="Arial" w:hAnsi="Arial" w:cs="Arial"/>
          <w:b/>
        </w:rPr>
      </w:pPr>
    </w:p>
    <w:p w14:paraId="2F17170C" w14:textId="4B9A84CD" w:rsidR="009771BC" w:rsidRPr="0007572B" w:rsidRDefault="009771BC" w:rsidP="0038082E">
      <w:pPr>
        <w:pStyle w:val="Heading4bold"/>
      </w:pPr>
      <w:r w:rsidRPr="0007572B">
        <w:t>The McCloud / Sarge</w:t>
      </w:r>
      <w:r w:rsidR="001F2C3F" w:rsidRPr="0007572B">
        <w:t>a</w:t>
      </w:r>
      <w:r w:rsidRPr="0007572B">
        <w:t>nt Judgement</w:t>
      </w:r>
    </w:p>
    <w:p w14:paraId="08B6F819" w14:textId="30FCDFD4" w:rsidR="009332EA" w:rsidRPr="0007572B" w:rsidRDefault="009332EA" w:rsidP="0038082E">
      <w:pPr>
        <w:pStyle w:val="Heading5"/>
        <w:rPr>
          <w:lang w:eastAsia="en-GB"/>
        </w:rPr>
      </w:pPr>
      <w:r w:rsidRPr="0007572B">
        <w:rPr>
          <w:lang w:eastAsia="en-GB"/>
        </w:rPr>
        <w:t>Firefighters scheme</w:t>
      </w:r>
    </w:p>
    <w:p w14:paraId="4BD3E0C1" w14:textId="1A814EC1" w:rsidR="009332EA" w:rsidRPr="0007572B" w:rsidRDefault="006A27AB" w:rsidP="008F392D">
      <w:pPr>
        <w:rPr>
          <w:rFonts w:ascii="Arial" w:hAnsi="Arial" w:cs="Arial"/>
          <w:color w:val="000000"/>
          <w:szCs w:val="18"/>
          <w:lang w:eastAsia="en-GB"/>
        </w:rPr>
      </w:pPr>
      <w:r w:rsidRPr="0007572B">
        <w:rPr>
          <w:rFonts w:ascii="Arial" w:hAnsi="Arial" w:cs="Arial"/>
          <w:color w:val="000000"/>
          <w:szCs w:val="18"/>
          <w:lang w:eastAsia="en-GB"/>
        </w:rPr>
        <w:t xml:space="preserve">Claims of age discrimination were brought in relation to the terms of transitional protection by groups of firefighters and members of the Judiciary in the McCloud / Sargeant </w:t>
      </w:r>
      <w:r w:rsidR="00BC3701" w:rsidRPr="0007572B">
        <w:rPr>
          <w:rFonts w:ascii="Arial" w:hAnsi="Arial" w:cs="Arial"/>
          <w:color w:val="000000"/>
          <w:szCs w:val="18"/>
          <w:lang w:eastAsia="en-GB"/>
        </w:rPr>
        <w:t>legal case (referred to as “McCloud”) and the Court of Appeal handed down its judgement of this claim on 20 December 2018, ruling that the transitional protection arrangements were discriminatory on the basis of age. As a result, the cost control element of the 2016 valuation was paused whilst the Government addressed the need to remedy this discrimination across all public service pension schemes.</w:t>
      </w:r>
      <w:r w:rsidR="008F392D">
        <w:rPr>
          <w:rFonts w:ascii="Arial" w:hAnsi="Arial" w:cs="Arial"/>
          <w:color w:val="000000"/>
          <w:szCs w:val="18"/>
          <w:lang w:eastAsia="en-GB"/>
        </w:rPr>
        <w:t xml:space="preserve"> </w:t>
      </w:r>
      <w:r w:rsidR="008F392D" w:rsidRPr="008F392D">
        <w:rPr>
          <w:rFonts w:ascii="Arial" w:hAnsi="Arial" w:cs="Arial"/>
          <w:color w:val="000000"/>
          <w:szCs w:val="18"/>
          <w:lang w:eastAsia="en-GB"/>
        </w:rPr>
        <w:t>The cost cap mechanism for the 2016 valuation has since been un-paused and the calculations complete, with the outcome being no changes to benefits or contributions.</w:t>
      </w:r>
    </w:p>
    <w:p w14:paraId="2752D278" w14:textId="2F610D4D" w:rsidR="00BC3701" w:rsidRPr="0007572B" w:rsidRDefault="00BC3701" w:rsidP="0038082E">
      <w:pPr>
        <w:rPr>
          <w:rFonts w:ascii="Arial" w:hAnsi="Arial" w:cs="Arial"/>
          <w:color w:val="000000"/>
          <w:szCs w:val="18"/>
          <w:lang w:eastAsia="en-GB"/>
        </w:rPr>
      </w:pPr>
    </w:p>
    <w:p w14:paraId="3948164B" w14:textId="22F4E59E" w:rsidR="00BC3701" w:rsidRPr="0007572B" w:rsidRDefault="00BC3701" w:rsidP="0038082E">
      <w:pPr>
        <w:rPr>
          <w:rFonts w:ascii="Arial" w:hAnsi="Arial" w:cs="Arial"/>
          <w:color w:val="000000"/>
          <w:szCs w:val="18"/>
          <w:lang w:eastAsia="en-GB"/>
        </w:rPr>
      </w:pPr>
      <w:r w:rsidRPr="0007572B">
        <w:rPr>
          <w:rFonts w:ascii="Arial" w:hAnsi="Arial" w:cs="Arial"/>
          <w:color w:val="000000"/>
          <w:szCs w:val="18"/>
          <w:lang w:eastAsia="en-GB"/>
        </w:rPr>
        <w:t>Past service costs were included in the 2018/19</w:t>
      </w:r>
      <w:r w:rsidR="00D01B03">
        <w:rPr>
          <w:rFonts w:ascii="Arial" w:hAnsi="Arial" w:cs="Arial"/>
          <w:color w:val="000000"/>
          <w:szCs w:val="18"/>
          <w:lang w:eastAsia="en-GB"/>
        </w:rPr>
        <w:t>,</w:t>
      </w:r>
      <w:r w:rsidRPr="0007572B">
        <w:rPr>
          <w:rFonts w:ascii="Arial" w:hAnsi="Arial" w:cs="Arial"/>
          <w:color w:val="000000"/>
          <w:szCs w:val="18"/>
          <w:lang w:eastAsia="en-GB"/>
        </w:rPr>
        <w:t xml:space="preserve"> 2019/20</w:t>
      </w:r>
      <w:r w:rsidR="00D01B03">
        <w:rPr>
          <w:rFonts w:ascii="Arial" w:hAnsi="Arial" w:cs="Arial"/>
          <w:color w:val="000000"/>
          <w:szCs w:val="18"/>
          <w:lang w:eastAsia="en-GB"/>
        </w:rPr>
        <w:t xml:space="preserve"> and 2020/21</w:t>
      </w:r>
      <w:r w:rsidRPr="0007572B">
        <w:rPr>
          <w:rFonts w:ascii="Arial" w:hAnsi="Arial" w:cs="Arial"/>
          <w:color w:val="000000"/>
          <w:szCs w:val="18"/>
          <w:lang w:eastAsia="en-GB"/>
        </w:rPr>
        <w:t xml:space="preserve"> accounts and the 202</w:t>
      </w:r>
      <w:r w:rsidR="00D01B03">
        <w:rPr>
          <w:rFonts w:ascii="Arial" w:hAnsi="Arial" w:cs="Arial"/>
          <w:color w:val="000000"/>
          <w:szCs w:val="18"/>
          <w:lang w:eastAsia="en-GB"/>
        </w:rPr>
        <w:t>1</w:t>
      </w:r>
      <w:r w:rsidRPr="0007572B">
        <w:rPr>
          <w:rFonts w:ascii="Arial" w:hAnsi="Arial" w:cs="Arial"/>
          <w:color w:val="000000"/>
          <w:szCs w:val="18"/>
          <w:lang w:eastAsia="en-GB"/>
        </w:rPr>
        <w:t>/2</w:t>
      </w:r>
      <w:r w:rsidR="00D01B03">
        <w:rPr>
          <w:rFonts w:ascii="Arial" w:hAnsi="Arial" w:cs="Arial"/>
          <w:color w:val="000000"/>
          <w:szCs w:val="18"/>
          <w:lang w:eastAsia="en-GB"/>
        </w:rPr>
        <w:t>2</w:t>
      </w:r>
      <w:r w:rsidRPr="0007572B">
        <w:rPr>
          <w:rFonts w:ascii="Arial" w:hAnsi="Arial" w:cs="Arial"/>
          <w:color w:val="000000"/>
          <w:szCs w:val="18"/>
          <w:lang w:eastAsia="en-GB"/>
        </w:rPr>
        <w:t xml:space="preserve"> service cost allow</w:t>
      </w:r>
      <w:r w:rsidR="008F392D">
        <w:rPr>
          <w:rFonts w:ascii="Arial" w:hAnsi="Arial" w:cs="Arial"/>
          <w:color w:val="000000"/>
          <w:szCs w:val="18"/>
          <w:lang w:eastAsia="en-GB"/>
        </w:rPr>
        <w:t>s</w:t>
      </w:r>
      <w:r w:rsidRPr="0007572B">
        <w:rPr>
          <w:rFonts w:ascii="Arial" w:hAnsi="Arial" w:cs="Arial"/>
          <w:color w:val="000000"/>
          <w:szCs w:val="18"/>
          <w:lang w:eastAsia="en-GB"/>
        </w:rPr>
        <w:t xml:space="preserve"> for the higher expected cost of accrual under McCloud.</w:t>
      </w:r>
    </w:p>
    <w:p w14:paraId="41FE1B53" w14:textId="4C6B0D9A" w:rsidR="00BC3701" w:rsidRDefault="00BC3701" w:rsidP="0038082E">
      <w:pPr>
        <w:rPr>
          <w:rFonts w:ascii="Arial" w:hAnsi="Arial" w:cs="Arial"/>
          <w:color w:val="000000"/>
          <w:szCs w:val="18"/>
          <w:lang w:eastAsia="en-GB"/>
        </w:rPr>
      </w:pPr>
    </w:p>
    <w:p w14:paraId="740BE255" w14:textId="77777777" w:rsidR="00272B08" w:rsidRPr="0007572B" w:rsidRDefault="00272B08" w:rsidP="0038082E">
      <w:pPr>
        <w:rPr>
          <w:rFonts w:ascii="Arial" w:hAnsi="Arial" w:cs="Arial"/>
          <w:color w:val="000000"/>
          <w:szCs w:val="18"/>
          <w:lang w:eastAsia="en-GB"/>
        </w:rPr>
      </w:pPr>
    </w:p>
    <w:p w14:paraId="70647E35" w14:textId="1E80B731" w:rsidR="005A4DB9" w:rsidRPr="0007572B" w:rsidRDefault="005A4DB9" w:rsidP="0038082E">
      <w:pPr>
        <w:pStyle w:val="Heading5"/>
        <w:rPr>
          <w:lang w:eastAsia="en-GB"/>
        </w:rPr>
      </w:pPr>
      <w:r w:rsidRPr="0007572B">
        <w:rPr>
          <w:lang w:eastAsia="en-GB"/>
        </w:rPr>
        <w:lastRenderedPageBreak/>
        <w:t>Local Government Schemes</w:t>
      </w:r>
    </w:p>
    <w:p w14:paraId="0438A45C" w14:textId="687C87F3" w:rsidR="005A4DB9" w:rsidRDefault="005A4DB9" w:rsidP="0038082E">
      <w:pPr>
        <w:rPr>
          <w:rFonts w:ascii="Arial" w:hAnsi="Arial" w:cs="Arial"/>
          <w:color w:val="000000"/>
          <w:szCs w:val="18"/>
          <w:lang w:eastAsia="en-GB"/>
        </w:rPr>
      </w:pPr>
      <w:r w:rsidRPr="0007572B">
        <w:rPr>
          <w:rFonts w:ascii="Arial" w:hAnsi="Arial" w:cs="Arial"/>
          <w:color w:val="000000"/>
          <w:szCs w:val="18"/>
          <w:lang w:eastAsia="en-GB"/>
        </w:rPr>
        <w:t>The previous allowance within the balance sheet has been rolled forward and included in the balance sheet.</w:t>
      </w:r>
    </w:p>
    <w:p w14:paraId="42E2870E" w14:textId="0B682595" w:rsidR="009C7061" w:rsidRPr="0007572B" w:rsidRDefault="005A4DB9" w:rsidP="0038082E">
      <w:pPr>
        <w:rPr>
          <w:rFonts w:ascii="Arial" w:hAnsi="Arial" w:cs="Arial"/>
          <w:color w:val="000000"/>
          <w:sz w:val="22"/>
          <w:szCs w:val="16"/>
          <w:highlight w:val="cyan"/>
          <w:lang w:eastAsia="en-GB"/>
        </w:rPr>
        <w:sectPr w:rsidR="009C7061" w:rsidRPr="0007572B" w:rsidSect="00BF559C">
          <w:pgSz w:w="11906" w:h="16838"/>
          <w:pgMar w:top="1444" w:right="1416" w:bottom="1440" w:left="1080" w:header="568" w:footer="567" w:gutter="0"/>
          <w:cols w:space="708"/>
          <w:docGrid w:linePitch="360"/>
        </w:sectPr>
      </w:pPr>
      <w:r w:rsidRPr="0007572B">
        <w:rPr>
          <w:rFonts w:ascii="Arial" w:hAnsi="Arial" w:cs="Arial"/>
          <w:color w:val="000000"/>
          <w:szCs w:val="18"/>
          <w:lang w:eastAsia="en-GB"/>
        </w:rPr>
        <w:t>No additional adjustment for McCloud has been added to the current service cost for 202</w:t>
      </w:r>
      <w:r w:rsidR="00D01B03">
        <w:rPr>
          <w:rFonts w:ascii="Arial" w:hAnsi="Arial" w:cs="Arial"/>
          <w:color w:val="000000"/>
          <w:szCs w:val="18"/>
          <w:lang w:eastAsia="en-GB"/>
        </w:rPr>
        <w:t>1</w:t>
      </w:r>
      <w:r w:rsidRPr="0007572B">
        <w:rPr>
          <w:rFonts w:ascii="Arial" w:hAnsi="Arial" w:cs="Arial"/>
          <w:color w:val="000000"/>
          <w:szCs w:val="18"/>
          <w:lang w:eastAsia="en-GB"/>
        </w:rPr>
        <w:t>/2</w:t>
      </w:r>
      <w:r w:rsidR="00D01B03">
        <w:rPr>
          <w:rFonts w:ascii="Arial" w:hAnsi="Arial" w:cs="Arial"/>
          <w:color w:val="000000"/>
          <w:szCs w:val="18"/>
          <w:lang w:eastAsia="en-GB"/>
        </w:rPr>
        <w:t>2</w:t>
      </w:r>
      <w:r w:rsidR="00AC4453">
        <w:rPr>
          <w:rFonts w:ascii="Arial" w:hAnsi="Arial" w:cs="Arial"/>
          <w:color w:val="000000"/>
          <w:szCs w:val="18"/>
          <w:lang w:eastAsia="en-GB"/>
        </w:rPr>
        <w:t>.</w:t>
      </w:r>
      <w:r w:rsidR="009C7061" w:rsidRPr="0007572B">
        <w:rPr>
          <w:rFonts w:ascii="Arial" w:hAnsi="Arial" w:cs="Arial"/>
          <w:color w:val="000000"/>
          <w:sz w:val="22"/>
          <w:szCs w:val="16"/>
          <w:highlight w:val="cyan"/>
          <w:lang w:eastAsia="en-GB"/>
        </w:rPr>
        <w:t xml:space="preserve"> </w:t>
      </w:r>
    </w:p>
    <w:p w14:paraId="701B9126" w14:textId="4D5314C3" w:rsidR="00623ED3" w:rsidRDefault="00FA2195" w:rsidP="0038082E">
      <w:pPr>
        <w:pStyle w:val="Heading4bold"/>
      </w:pPr>
      <w:r w:rsidRPr="0007572B">
        <w:lastRenderedPageBreak/>
        <w:t>Comprehensive Income and Expenditure Statement</w:t>
      </w:r>
    </w:p>
    <w:p w14:paraId="03320F67" w14:textId="1A75EAB7" w:rsidR="00623ED3" w:rsidRDefault="00272B08" w:rsidP="0038082E">
      <w:pPr>
        <w:pStyle w:val="Heading4bold"/>
      </w:pPr>
      <w:r w:rsidRPr="00272B08">
        <w:rPr>
          <w:noProof/>
        </w:rPr>
        <w:drawing>
          <wp:inline distT="0" distB="0" distL="0" distR="0" wp14:anchorId="570A85A3" wp14:editId="4F3B42F5">
            <wp:extent cx="9177020" cy="2827655"/>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77020" cy="2827655"/>
                    </a:xfrm>
                    <a:prstGeom prst="rect">
                      <a:avLst/>
                    </a:prstGeom>
                    <a:noFill/>
                    <a:ln>
                      <a:noFill/>
                    </a:ln>
                  </pic:spPr>
                </pic:pic>
              </a:graphicData>
            </a:graphic>
          </wp:inline>
        </w:drawing>
      </w:r>
    </w:p>
    <w:p w14:paraId="65667D65" w14:textId="77777777" w:rsidR="00D4492C" w:rsidRPr="0007572B" w:rsidRDefault="00D4492C" w:rsidP="0038082E">
      <w:pPr>
        <w:rPr>
          <w:rFonts w:ascii="Arial" w:hAnsi="Arial" w:cs="Arial"/>
          <w:sz w:val="22"/>
          <w:szCs w:val="22"/>
        </w:rPr>
      </w:pPr>
    </w:p>
    <w:p w14:paraId="2569FC45" w14:textId="77777777" w:rsidR="00FA2195" w:rsidRPr="0007572B" w:rsidRDefault="00FA2195" w:rsidP="0038082E">
      <w:pPr>
        <w:pStyle w:val="Heading4bold"/>
      </w:pPr>
      <w:r w:rsidRPr="0007572B">
        <w:t>Movement in Reserves Statement</w:t>
      </w:r>
    </w:p>
    <w:p w14:paraId="71571E58" w14:textId="78A9F025" w:rsidR="006A27AB" w:rsidRPr="0007572B" w:rsidRDefault="00272B08" w:rsidP="0038082E">
      <w:pPr>
        <w:jc w:val="both"/>
        <w:rPr>
          <w:rFonts w:ascii="Arial" w:hAnsi="Arial" w:cs="Arial"/>
          <w:b/>
          <w:sz w:val="22"/>
          <w:szCs w:val="22"/>
        </w:rPr>
      </w:pPr>
      <w:r w:rsidRPr="00272B08">
        <w:rPr>
          <w:noProof/>
        </w:rPr>
        <w:drawing>
          <wp:inline distT="0" distB="0" distL="0" distR="0" wp14:anchorId="2E41A35A" wp14:editId="5A02AE49">
            <wp:extent cx="9177020" cy="981710"/>
            <wp:effectExtent l="0" t="0" r="5080" b="889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77020" cy="981710"/>
                    </a:xfrm>
                    <a:prstGeom prst="rect">
                      <a:avLst/>
                    </a:prstGeom>
                    <a:noFill/>
                    <a:ln>
                      <a:noFill/>
                    </a:ln>
                  </pic:spPr>
                </pic:pic>
              </a:graphicData>
            </a:graphic>
          </wp:inline>
        </w:drawing>
      </w:r>
    </w:p>
    <w:p w14:paraId="162857E7" w14:textId="77777777" w:rsidR="008D7ACA" w:rsidRPr="0007572B" w:rsidRDefault="008D7ACA" w:rsidP="0038082E">
      <w:pPr>
        <w:rPr>
          <w:rFonts w:ascii="Arial" w:hAnsi="Arial" w:cs="Arial"/>
          <w:b/>
          <w:sz w:val="22"/>
          <w:szCs w:val="22"/>
        </w:rPr>
      </w:pPr>
      <w:r w:rsidRPr="0007572B">
        <w:rPr>
          <w:rFonts w:ascii="Arial" w:hAnsi="Arial" w:cs="Arial"/>
          <w:b/>
          <w:sz w:val="22"/>
          <w:szCs w:val="22"/>
        </w:rPr>
        <w:br w:type="page"/>
      </w:r>
    </w:p>
    <w:p w14:paraId="16D0FEE0" w14:textId="1E71FDF5" w:rsidR="00FA2195" w:rsidRPr="0007572B" w:rsidRDefault="00FA2195" w:rsidP="0038082E">
      <w:pPr>
        <w:pStyle w:val="Heading4bold"/>
      </w:pPr>
      <w:r w:rsidRPr="0007572B">
        <w:lastRenderedPageBreak/>
        <w:t>Pensions Assets and Liabilities Recognised in the Balance Sheet</w:t>
      </w:r>
    </w:p>
    <w:p w14:paraId="6ACE8827" w14:textId="77777777" w:rsidR="00FA2195" w:rsidRPr="0007572B" w:rsidRDefault="00FA2195" w:rsidP="0038082E">
      <w:pPr>
        <w:rPr>
          <w:rFonts w:ascii="Arial" w:hAnsi="Arial" w:cs="Arial"/>
        </w:rPr>
      </w:pPr>
      <w:r w:rsidRPr="0007572B">
        <w:rPr>
          <w:rFonts w:ascii="Arial" w:hAnsi="Arial" w:cs="Arial"/>
        </w:rPr>
        <w:t>The amount included in the Balance Sheet arising from the Authority’s obligation in respect of its defined benefit plans is as follows:</w:t>
      </w:r>
    </w:p>
    <w:p w14:paraId="104A2387" w14:textId="77777777" w:rsidR="00FA2195" w:rsidRPr="0007572B" w:rsidRDefault="00FA2195" w:rsidP="0038082E">
      <w:pPr>
        <w:jc w:val="both"/>
        <w:rPr>
          <w:rFonts w:ascii="Arial" w:hAnsi="Arial" w:cs="Arial"/>
        </w:rPr>
      </w:pPr>
    </w:p>
    <w:p w14:paraId="0925D52E" w14:textId="5DD05C6C" w:rsidR="000B3072" w:rsidRDefault="00272B08" w:rsidP="0038082E">
      <w:pPr>
        <w:jc w:val="both"/>
        <w:rPr>
          <w:rFonts w:ascii="Arial" w:hAnsi="Arial" w:cs="Arial"/>
          <w:sz w:val="22"/>
          <w:szCs w:val="22"/>
        </w:rPr>
      </w:pPr>
      <w:r w:rsidRPr="00272B08">
        <w:rPr>
          <w:noProof/>
        </w:rPr>
        <w:drawing>
          <wp:inline distT="0" distB="0" distL="0" distR="0" wp14:anchorId="76653892" wp14:editId="5ACB778A">
            <wp:extent cx="9177020" cy="774065"/>
            <wp:effectExtent l="0" t="0" r="5080"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77020" cy="774065"/>
                    </a:xfrm>
                    <a:prstGeom prst="rect">
                      <a:avLst/>
                    </a:prstGeom>
                    <a:noFill/>
                    <a:ln>
                      <a:noFill/>
                    </a:ln>
                  </pic:spPr>
                </pic:pic>
              </a:graphicData>
            </a:graphic>
          </wp:inline>
        </w:drawing>
      </w:r>
    </w:p>
    <w:p w14:paraId="179DB73D" w14:textId="77777777" w:rsidR="000B3072" w:rsidRDefault="000B3072" w:rsidP="0038082E">
      <w:pPr>
        <w:jc w:val="both"/>
        <w:rPr>
          <w:rFonts w:ascii="Arial" w:hAnsi="Arial" w:cs="Arial"/>
          <w:sz w:val="22"/>
          <w:szCs w:val="22"/>
        </w:rPr>
      </w:pPr>
    </w:p>
    <w:p w14:paraId="29F2643B" w14:textId="5163025A" w:rsidR="00F20CA5" w:rsidRPr="0007572B" w:rsidRDefault="00B91632" w:rsidP="0038082E">
      <w:pPr>
        <w:pStyle w:val="Heading4bold"/>
      </w:pPr>
      <w:r w:rsidRPr="0007572B">
        <w:t>R</w:t>
      </w:r>
      <w:r w:rsidR="00F20CA5" w:rsidRPr="0007572B">
        <w:t>econciliation of the present value of the scheme liabilities (Defined Benefit Obligations)</w:t>
      </w:r>
    </w:p>
    <w:p w14:paraId="52FC0592" w14:textId="6E1263DB" w:rsidR="00FA2195" w:rsidRPr="0007572B" w:rsidRDefault="00272B08" w:rsidP="0038082E">
      <w:pPr>
        <w:jc w:val="both"/>
        <w:rPr>
          <w:rFonts w:ascii="Arial" w:hAnsi="Arial" w:cs="Arial"/>
          <w:sz w:val="22"/>
          <w:szCs w:val="22"/>
        </w:rPr>
      </w:pPr>
      <w:r w:rsidRPr="00272B08">
        <w:rPr>
          <w:noProof/>
        </w:rPr>
        <w:drawing>
          <wp:inline distT="0" distB="0" distL="0" distR="0" wp14:anchorId="0BB8AA3E" wp14:editId="753543BE">
            <wp:extent cx="9177020" cy="1891030"/>
            <wp:effectExtent l="0" t="0" r="508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77020" cy="1891030"/>
                    </a:xfrm>
                    <a:prstGeom prst="rect">
                      <a:avLst/>
                    </a:prstGeom>
                    <a:noFill/>
                    <a:ln>
                      <a:noFill/>
                    </a:ln>
                  </pic:spPr>
                </pic:pic>
              </a:graphicData>
            </a:graphic>
          </wp:inline>
        </w:drawing>
      </w:r>
    </w:p>
    <w:p w14:paraId="5A016A29" w14:textId="48BCACD9" w:rsidR="00B070AC" w:rsidRPr="0007572B" w:rsidRDefault="00B070AC" w:rsidP="0038082E">
      <w:pPr>
        <w:jc w:val="both"/>
        <w:rPr>
          <w:rFonts w:ascii="Arial" w:hAnsi="Arial" w:cs="Arial"/>
          <w:b/>
          <w:sz w:val="22"/>
          <w:szCs w:val="22"/>
        </w:rPr>
      </w:pPr>
    </w:p>
    <w:p w14:paraId="23ED6194" w14:textId="7DC559C3" w:rsidR="00F20CA5" w:rsidRPr="0007572B" w:rsidRDefault="00F20CA5" w:rsidP="0038082E">
      <w:pPr>
        <w:pStyle w:val="Heading4bold"/>
      </w:pPr>
      <w:r w:rsidRPr="0007572B">
        <w:t>Reconciliation of movements in the fair value of the scheme assets</w:t>
      </w:r>
    </w:p>
    <w:p w14:paraId="74BECF23" w14:textId="6DD635C2" w:rsidR="00B070AC" w:rsidRPr="0007572B" w:rsidRDefault="00272B08" w:rsidP="0038082E">
      <w:pPr>
        <w:jc w:val="both"/>
        <w:rPr>
          <w:rFonts w:ascii="Arial" w:hAnsi="Arial" w:cs="Arial"/>
          <w:sz w:val="22"/>
          <w:szCs w:val="22"/>
        </w:rPr>
      </w:pPr>
      <w:r w:rsidRPr="00272B08">
        <w:rPr>
          <w:noProof/>
        </w:rPr>
        <w:drawing>
          <wp:inline distT="0" distB="0" distL="0" distR="0" wp14:anchorId="06BB84BF" wp14:editId="53B8A672">
            <wp:extent cx="5963285" cy="1731645"/>
            <wp:effectExtent l="0" t="0" r="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63285" cy="1731645"/>
                    </a:xfrm>
                    <a:prstGeom prst="rect">
                      <a:avLst/>
                    </a:prstGeom>
                    <a:noFill/>
                    <a:ln>
                      <a:noFill/>
                    </a:ln>
                  </pic:spPr>
                </pic:pic>
              </a:graphicData>
            </a:graphic>
          </wp:inline>
        </w:drawing>
      </w:r>
    </w:p>
    <w:p w14:paraId="46BBDE96" w14:textId="77777777" w:rsidR="006A27AB" w:rsidRPr="0007572B" w:rsidRDefault="006A27AB" w:rsidP="0038082E">
      <w:pPr>
        <w:jc w:val="both"/>
        <w:rPr>
          <w:rFonts w:ascii="Arial" w:hAnsi="Arial" w:cs="Arial"/>
          <w:sz w:val="22"/>
          <w:szCs w:val="22"/>
        </w:rPr>
      </w:pPr>
    </w:p>
    <w:p w14:paraId="03B8ACD5" w14:textId="17C5E8B2" w:rsidR="00F97A29" w:rsidRPr="0007572B" w:rsidRDefault="00F97A29" w:rsidP="0038082E">
      <w:pPr>
        <w:pStyle w:val="Heading4bold"/>
      </w:pPr>
      <w:r w:rsidRPr="0007572B">
        <w:t>Local Government Pension Scheme assets comprised:</w:t>
      </w:r>
    </w:p>
    <w:p w14:paraId="2EDB46EB" w14:textId="77777777" w:rsidR="00B070AC" w:rsidRDefault="00B070AC" w:rsidP="0038082E">
      <w:pPr>
        <w:jc w:val="both"/>
        <w:rPr>
          <w:rFonts w:ascii="Arial" w:hAnsi="Arial" w:cs="Arial"/>
          <w:sz w:val="22"/>
          <w:szCs w:val="22"/>
        </w:rPr>
      </w:pPr>
    </w:p>
    <w:p w14:paraId="396F5AA4" w14:textId="3BCB08F6" w:rsidR="00935680" w:rsidRPr="0007572B" w:rsidRDefault="00272B08" w:rsidP="0038082E">
      <w:pPr>
        <w:jc w:val="both"/>
        <w:rPr>
          <w:rFonts w:ascii="Arial" w:hAnsi="Arial" w:cs="Arial"/>
          <w:sz w:val="22"/>
          <w:szCs w:val="22"/>
        </w:rPr>
        <w:sectPr w:rsidR="00935680" w:rsidRPr="0007572B" w:rsidSect="008D7ACA">
          <w:pgSz w:w="16838" w:h="11906" w:orient="landscape"/>
          <w:pgMar w:top="1080" w:right="946" w:bottom="1276" w:left="1440" w:header="283" w:footer="567" w:gutter="0"/>
          <w:cols w:space="708"/>
          <w:docGrid w:linePitch="360"/>
        </w:sectPr>
      </w:pPr>
      <w:r w:rsidRPr="00272B08">
        <w:rPr>
          <w:noProof/>
        </w:rPr>
        <w:drawing>
          <wp:inline distT="0" distB="0" distL="0" distR="0" wp14:anchorId="7BEA247A" wp14:editId="56172D79">
            <wp:extent cx="9177020" cy="3071495"/>
            <wp:effectExtent l="0" t="0" r="508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77020" cy="3071495"/>
                    </a:xfrm>
                    <a:prstGeom prst="rect">
                      <a:avLst/>
                    </a:prstGeom>
                    <a:noFill/>
                    <a:ln>
                      <a:noFill/>
                    </a:ln>
                  </pic:spPr>
                </pic:pic>
              </a:graphicData>
            </a:graphic>
          </wp:inline>
        </w:drawing>
      </w:r>
    </w:p>
    <w:p w14:paraId="3FEFD8CF" w14:textId="77777777" w:rsidR="00E27F3B" w:rsidRPr="0007572B" w:rsidRDefault="00727FB0" w:rsidP="0038082E">
      <w:pPr>
        <w:pStyle w:val="Heading4bold"/>
      </w:pPr>
      <w:r w:rsidRPr="0007572B">
        <w:lastRenderedPageBreak/>
        <w:t>Bas</w:t>
      </w:r>
      <w:r w:rsidR="00E27F3B" w:rsidRPr="0007572B">
        <w:t>is for Estimating Assets and Liabilities</w:t>
      </w:r>
    </w:p>
    <w:p w14:paraId="6F5D4893" w14:textId="4E6A941A" w:rsidR="00E27F3B" w:rsidRPr="0007572B" w:rsidRDefault="00E27F3B" w:rsidP="0038082E">
      <w:pPr>
        <w:rPr>
          <w:rFonts w:ascii="Arial" w:hAnsi="Arial" w:cs="Arial"/>
        </w:rPr>
      </w:pPr>
      <w:r w:rsidRPr="0007572B">
        <w:rPr>
          <w:rFonts w:ascii="Arial" w:hAnsi="Arial" w:cs="Arial"/>
        </w:rPr>
        <w:t xml:space="preserve">Liabilities have been assessed on an actuarial basis using the projected unit </w:t>
      </w:r>
      <w:r w:rsidR="005A4DB9" w:rsidRPr="0007572B">
        <w:rPr>
          <w:rFonts w:ascii="Arial" w:hAnsi="Arial" w:cs="Arial"/>
        </w:rPr>
        <w:t xml:space="preserve">credit </w:t>
      </w:r>
      <w:r w:rsidRPr="0007572B">
        <w:rPr>
          <w:rFonts w:ascii="Arial" w:hAnsi="Arial" w:cs="Arial"/>
        </w:rPr>
        <w:t>method, an estimate of the pensions that will be payable in future years dependent on assumptions about mortality rates, salary levels etc.</w:t>
      </w:r>
    </w:p>
    <w:p w14:paraId="68B62543" w14:textId="77777777" w:rsidR="00E27F3B" w:rsidRPr="0007572B" w:rsidRDefault="00E27F3B" w:rsidP="0038082E">
      <w:pPr>
        <w:rPr>
          <w:rFonts w:ascii="Arial" w:hAnsi="Arial" w:cs="Arial"/>
        </w:rPr>
      </w:pPr>
    </w:p>
    <w:p w14:paraId="6CC39DA5" w14:textId="27389297" w:rsidR="002E7A9F" w:rsidRDefault="002E7A9F" w:rsidP="0038082E">
      <w:pPr>
        <w:rPr>
          <w:rFonts w:ascii="Arial" w:hAnsi="Arial" w:cs="Arial"/>
        </w:rPr>
      </w:pPr>
      <w:bookmarkStart w:id="204" w:name="_Hlk109202978"/>
      <w:r>
        <w:rPr>
          <w:rFonts w:ascii="Arial" w:hAnsi="Arial" w:cs="Arial"/>
        </w:rPr>
        <w:t>The Local Government Pension Scheme liabilities have been estimated by Hymans Robertson LLP, an independent firm of actuaries, estimates being based on the latest full valuation of the scheme as at 31 March 20</w:t>
      </w:r>
      <w:r w:rsidR="00B91126">
        <w:rPr>
          <w:rFonts w:ascii="Arial" w:hAnsi="Arial" w:cs="Arial"/>
        </w:rPr>
        <w:t>22</w:t>
      </w:r>
      <w:r>
        <w:rPr>
          <w:rFonts w:ascii="Arial" w:hAnsi="Arial" w:cs="Arial"/>
        </w:rPr>
        <w:t>. The Firefighters’ Pension Scheme liabilities have been assessed by the Government Actuary’s Department (GAD) based on data supplied for the 202</w:t>
      </w:r>
      <w:r w:rsidR="00B91126">
        <w:rPr>
          <w:rFonts w:ascii="Arial" w:hAnsi="Arial" w:cs="Arial"/>
        </w:rPr>
        <w:t>2</w:t>
      </w:r>
      <w:r>
        <w:rPr>
          <w:rFonts w:ascii="Arial" w:hAnsi="Arial" w:cs="Arial"/>
        </w:rPr>
        <w:t xml:space="preserve"> valuation.</w:t>
      </w:r>
    </w:p>
    <w:bookmarkEnd w:id="204"/>
    <w:p w14:paraId="27B82789" w14:textId="77777777" w:rsidR="00E27F3B" w:rsidRPr="0007572B" w:rsidRDefault="00E27F3B" w:rsidP="0038082E">
      <w:pPr>
        <w:rPr>
          <w:rFonts w:ascii="Arial" w:hAnsi="Arial" w:cs="Arial"/>
        </w:rPr>
      </w:pPr>
    </w:p>
    <w:p w14:paraId="5ED16F89" w14:textId="46088DD0" w:rsidR="00E27F3B" w:rsidRDefault="00E27F3B" w:rsidP="0038082E">
      <w:pPr>
        <w:rPr>
          <w:rFonts w:ascii="Arial" w:hAnsi="Arial" w:cs="Arial"/>
        </w:rPr>
      </w:pPr>
      <w:r w:rsidRPr="0007572B">
        <w:rPr>
          <w:rFonts w:ascii="Arial" w:hAnsi="Arial" w:cs="Arial"/>
        </w:rPr>
        <w:t>The significant assumptions used by the actuary have been:</w:t>
      </w:r>
    </w:p>
    <w:p w14:paraId="51354B83" w14:textId="049ED076" w:rsidR="002558A0" w:rsidRDefault="002558A0" w:rsidP="0038082E">
      <w:pPr>
        <w:rPr>
          <w:rFonts w:ascii="Arial" w:hAnsi="Arial" w:cs="Arial"/>
        </w:rPr>
      </w:pPr>
    </w:p>
    <w:p w14:paraId="5BAFF99C" w14:textId="1798A2CD" w:rsidR="002558A0" w:rsidRPr="0007572B" w:rsidRDefault="00272B08" w:rsidP="0038082E">
      <w:pPr>
        <w:rPr>
          <w:rFonts w:ascii="Arial" w:hAnsi="Arial" w:cs="Arial"/>
        </w:rPr>
      </w:pPr>
      <w:r w:rsidRPr="00272B08">
        <w:rPr>
          <w:noProof/>
        </w:rPr>
        <w:drawing>
          <wp:inline distT="0" distB="0" distL="0" distR="0" wp14:anchorId="10BB08A6" wp14:editId="25AB460C">
            <wp:extent cx="5975350" cy="1281430"/>
            <wp:effectExtent l="0" t="0" r="635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75350" cy="1281430"/>
                    </a:xfrm>
                    <a:prstGeom prst="rect">
                      <a:avLst/>
                    </a:prstGeom>
                    <a:noFill/>
                    <a:ln>
                      <a:noFill/>
                    </a:ln>
                  </pic:spPr>
                </pic:pic>
              </a:graphicData>
            </a:graphic>
          </wp:inline>
        </w:drawing>
      </w:r>
    </w:p>
    <w:p w14:paraId="594C5F25" w14:textId="0C742C24" w:rsidR="008D077F" w:rsidRPr="0007572B" w:rsidRDefault="008D077F" w:rsidP="0038082E">
      <w:pPr>
        <w:rPr>
          <w:rFonts w:ascii="Arial" w:hAnsi="Arial" w:cs="Arial"/>
          <w:b/>
          <w:sz w:val="22"/>
          <w:szCs w:val="22"/>
        </w:rPr>
      </w:pPr>
    </w:p>
    <w:p w14:paraId="679B0A39" w14:textId="77777777" w:rsidR="00E27F3B" w:rsidRPr="0007572B" w:rsidRDefault="00E27F3B" w:rsidP="0038082E">
      <w:pPr>
        <w:rPr>
          <w:rFonts w:ascii="Arial" w:hAnsi="Arial" w:cs="Arial"/>
        </w:rPr>
      </w:pPr>
      <w:r w:rsidRPr="0007572B">
        <w:rPr>
          <w:rFonts w:ascii="Arial" w:hAnsi="Arial" w:cs="Arial"/>
        </w:rPr>
        <w:t>*Life Expectancy is based on the Fund’s VitaCurves.</w:t>
      </w:r>
    </w:p>
    <w:p w14:paraId="41E42C16" w14:textId="77777777" w:rsidR="00E27F3B" w:rsidRPr="0007572B" w:rsidRDefault="00E27F3B" w:rsidP="0038082E">
      <w:pPr>
        <w:rPr>
          <w:rFonts w:ascii="Arial" w:hAnsi="Arial" w:cs="Arial"/>
        </w:rPr>
      </w:pPr>
    </w:p>
    <w:p w14:paraId="697C19BD" w14:textId="62123068" w:rsidR="00E27F3B" w:rsidRPr="0007572B" w:rsidRDefault="00E27F3B" w:rsidP="0038082E">
      <w:pPr>
        <w:rPr>
          <w:rFonts w:ascii="Arial" w:hAnsi="Arial" w:cs="Arial"/>
        </w:rPr>
      </w:pPr>
      <w:r w:rsidRPr="0007572B">
        <w:rPr>
          <w:rFonts w:ascii="Arial" w:hAnsi="Arial" w:cs="Arial"/>
        </w:rPr>
        <w:t>An allowance is included for future retirements to elect to take 55% of the maximum additional tax</w:t>
      </w:r>
      <w:r w:rsidR="002B7650">
        <w:rPr>
          <w:rFonts w:ascii="Arial" w:hAnsi="Arial" w:cs="Arial"/>
        </w:rPr>
        <w:t>-</w:t>
      </w:r>
      <w:r w:rsidRPr="0007572B">
        <w:rPr>
          <w:rFonts w:ascii="Arial" w:hAnsi="Arial" w:cs="Arial"/>
        </w:rPr>
        <w:t>free cash up to the HM</w:t>
      </w:r>
      <w:r w:rsidR="00584860" w:rsidRPr="0007572B">
        <w:rPr>
          <w:rFonts w:ascii="Arial" w:hAnsi="Arial" w:cs="Arial"/>
        </w:rPr>
        <w:t>R</w:t>
      </w:r>
      <w:r w:rsidRPr="0007572B">
        <w:rPr>
          <w:rFonts w:ascii="Arial" w:hAnsi="Arial" w:cs="Arial"/>
        </w:rPr>
        <w:t xml:space="preserve">C limits for pre-April 2008 service and </w:t>
      </w:r>
      <w:r w:rsidR="00B91126">
        <w:rPr>
          <w:rFonts w:ascii="Arial" w:hAnsi="Arial" w:cs="Arial"/>
        </w:rPr>
        <w:t>6</w:t>
      </w:r>
      <w:r w:rsidRPr="0007572B">
        <w:rPr>
          <w:rFonts w:ascii="Arial" w:hAnsi="Arial" w:cs="Arial"/>
        </w:rPr>
        <w:t>0% of the maximum tax-free cash for post-April 2008 service.</w:t>
      </w:r>
    </w:p>
    <w:p w14:paraId="58F44804" w14:textId="77777777" w:rsidR="00E27F3B" w:rsidRPr="0007572B" w:rsidRDefault="00E27F3B" w:rsidP="0038082E">
      <w:pPr>
        <w:rPr>
          <w:rFonts w:ascii="Arial" w:hAnsi="Arial" w:cs="Arial"/>
        </w:rPr>
      </w:pPr>
    </w:p>
    <w:p w14:paraId="2E7BB1EC" w14:textId="52E085BE" w:rsidR="00E27F3B" w:rsidRDefault="00E27F3B" w:rsidP="0038082E">
      <w:pPr>
        <w:rPr>
          <w:rFonts w:ascii="Arial" w:hAnsi="Arial" w:cs="Arial"/>
        </w:rPr>
      </w:pPr>
      <w:r w:rsidRPr="0007572B">
        <w:rPr>
          <w:rFonts w:ascii="Arial" w:hAnsi="Arial" w:cs="Arial"/>
        </w:rPr>
        <w:t>The estimation of the defined benefit obligations is sensitive to the actuarial assumptions set out in the table above. The sensitivity analyses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assumptions may be 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the previous period.</w:t>
      </w:r>
    </w:p>
    <w:p w14:paraId="0A779C4C" w14:textId="77777777" w:rsidR="005F371A" w:rsidRPr="0007572B" w:rsidRDefault="005F371A" w:rsidP="0038082E">
      <w:pPr>
        <w:rPr>
          <w:rFonts w:ascii="Arial" w:hAnsi="Arial" w:cs="Arial"/>
        </w:rPr>
      </w:pPr>
    </w:p>
    <w:p w14:paraId="16FCE9E2" w14:textId="77777777" w:rsidR="00E27F3B" w:rsidRPr="0007572B" w:rsidRDefault="00E27F3B" w:rsidP="0038082E">
      <w:pPr>
        <w:pStyle w:val="Heading4bold"/>
      </w:pPr>
      <w:r w:rsidRPr="0007572B">
        <w:t>Sensitivity Analysis</w:t>
      </w:r>
    </w:p>
    <w:p w14:paraId="0FE5D567" w14:textId="099CB552" w:rsidR="008D077F" w:rsidRPr="0007572B" w:rsidRDefault="008D077F" w:rsidP="0038082E">
      <w:pPr>
        <w:rPr>
          <w:rFonts w:ascii="Arial" w:hAnsi="Arial" w:cs="Arial"/>
          <w:b/>
          <w:sz w:val="22"/>
          <w:szCs w:val="22"/>
        </w:rPr>
      </w:pPr>
    </w:p>
    <w:p w14:paraId="38987DCD" w14:textId="4603F325" w:rsidR="008D077F" w:rsidRDefault="00272B08" w:rsidP="0038082E">
      <w:pPr>
        <w:rPr>
          <w:rFonts w:ascii="Arial" w:hAnsi="Arial" w:cs="Arial"/>
          <w:b/>
          <w:sz w:val="22"/>
          <w:szCs w:val="22"/>
        </w:rPr>
      </w:pPr>
      <w:r w:rsidRPr="00272B08">
        <w:rPr>
          <w:noProof/>
        </w:rPr>
        <w:drawing>
          <wp:inline distT="0" distB="0" distL="0" distR="0" wp14:anchorId="086EA9F6" wp14:editId="6B70A7F0">
            <wp:extent cx="5975350" cy="1141095"/>
            <wp:effectExtent l="0" t="0" r="6350" b="190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75350" cy="1141095"/>
                    </a:xfrm>
                    <a:prstGeom prst="rect">
                      <a:avLst/>
                    </a:prstGeom>
                    <a:noFill/>
                    <a:ln>
                      <a:noFill/>
                    </a:ln>
                  </pic:spPr>
                </pic:pic>
              </a:graphicData>
            </a:graphic>
          </wp:inline>
        </w:drawing>
      </w:r>
    </w:p>
    <w:p w14:paraId="4BE6CAE7" w14:textId="77777777" w:rsidR="00B91126" w:rsidRPr="0007572B" w:rsidRDefault="00B91126" w:rsidP="0038082E">
      <w:pPr>
        <w:rPr>
          <w:rFonts w:ascii="Arial" w:hAnsi="Arial" w:cs="Arial"/>
          <w:b/>
          <w:sz w:val="22"/>
          <w:szCs w:val="22"/>
        </w:rPr>
      </w:pPr>
    </w:p>
    <w:p w14:paraId="015FB93A" w14:textId="73E7ABB7" w:rsidR="006A27AB" w:rsidRPr="0007572B" w:rsidRDefault="00272B08" w:rsidP="0038082E">
      <w:pPr>
        <w:rPr>
          <w:rFonts w:ascii="Arial" w:hAnsi="Arial" w:cs="Arial"/>
        </w:rPr>
      </w:pPr>
      <w:r w:rsidRPr="00272B08">
        <w:rPr>
          <w:noProof/>
        </w:rPr>
        <w:lastRenderedPageBreak/>
        <w:drawing>
          <wp:inline distT="0" distB="0" distL="0" distR="0" wp14:anchorId="1E4E65A7" wp14:editId="72072D3D">
            <wp:extent cx="5975350" cy="1141095"/>
            <wp:effectExtent l="0" t="0" r="635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5350" cy="1141095"/>
                    </a:xfrm>
                    <a:prstGeom prst="rect">
                      <a:avLst/>
                    </a:prstGeom>
                    <a:noFill/>
                    <a:ln>
                      <a:noFill/>
                    </a:ln>
                  </pic:spPr>
                </pic:pic>
              </a:graphicData>
            </a:graphic>
          </wp:inline>
        </w:drawing>
      </w:r>
    </w:p>
    <w:p w14:paraId="5C98D24E" w14:textId="77777777" w:rsidR="00B91126" w:rsidRDefault="00B91126" w:rsidP="0038082E">
      <w:pPr>
        <w:rPr>
          <w:rFonts w:ascii="Arial" w:hAnsi="Arial" w:cs="Arial"/>
        </w:rPr>
      </w:pPr>
    </w:p>
    <w:p w14:paraId="26A77000" w14:textId="467FE969" w:rsidR="00E27F3B" w:rsidRPr="0007572B" w:rsidRDefault="00CE7425" w:rsidP="0038082E">
      <w:pPr>
        <w:rPr>
          <w:rFonts w:ascii="Arial" w:hAnsi="Arial" w:cs="Arial"/>
        </w:rPr>
      </w:pPr>
      <w:r w:rsidRPr="0007572B">
        <w:rPr>
          <w:rFonts w:ascii="Arial" w:hAnsi="Arial" w:cs="Arial"/>
        </w:rPr>
        <w:t xml:space="preserve">As at the date of the most recent valuation, the duration of the Employer’s funded liabilities is </w:t>
      </w:r>
      <w:r w:rsidR="009C7D9F">
        <w:rPr>
          <w:rFonts w:ascii="Arial" w:hAnsi="Arial" w:cs="Arial"/>
        </w:rPr>
        <w:t>2</w:t>
      </w:r>
      <w:r w:rsidR="00B51388">
        <w:rPr>
          <w:rFonts w:ascii="Arial" w:hAnsi="Arial" w:cs="Arial"/>
        </w:rPr>
        <w:t>2</w:t>
      </w:r>
      <w:r w:rsidRPr="0007572B">
        <w:rPr>
          <w:rFonts w:ascii="Arial" w:hAnsi="Arial" w:cs="Arial"/>
        </w:rPr>
        <w:t xml:space="preserve"> years</w:t>
      </w:r>
      <w:r w:rsidR="00E27F3B" w:rsidRPr="0007572B">
        <w:rPr>
          <w:rFonts w:ascii="Arial" w:hAnsi="Arial" w:cs="Arial"/>
        </w:rPr>
        <w:t>.</w:t>
      </w:r>
    </w:p>
    <w:p w14:paraId="008081FA" w14:textId="77777777" w:rsidR="008F12E4" w:rsidRPr="0007572B" w:rsidRDefault="008F12E4" w:rsidP="0038082E">
      <w:pPr>
        <w:rPr>
          <w:rFonts w:ascii="Arial" w:hAnsi="Arial" w:cs="Arial"/>
          <w:b/>
        </w:rPr>
      </w:pPr>
    </w:p>
    <w:p w14:paraId="5D06FC5B" w14:textId="3E3AE114" w:rsidR="00E27F3B" w:rsidRDefault="00E27F3B" w:rsidP="0038082E">
      <w:pPr>
        <w:rPr>
          <w:rFonts w:ascii="Arial" w:hAnsi="Arial" w:cs="Arial"/>
        </w:rPr>
      </w:pPr>
      <w:r w:rsidRPr="0007572B">
        <w:rPr>
          <w:rFonts w:ascii="Arial" w:hAnsi="Arial" w:cs="Arial"/>
        </w:rPr>
        <w:t xml:space="preserve">The weighted average duration of the defined benefit obligation for the </w:t>
      </w:r>
      <w:r w:rsidR="001838A2" w:rsidRPr="0007572B">
        <w:rPr>
          <w:rFonts w:ascii="Arial" w:hAnsi="Arial" w:cs="Arial"/>
        </w:rPr>
        <w:t>f</w:t>
      </w:r>
      <w:r w:rsidRPr="0007572B">
        <w:rPr>
          <w:rFonts w:ascii="Arial" w:hAnsi="Arial" w:cs="Arial"/>
        </w:rPr>
        <w:t>irefighter</w:t>
      </w:r>
      <w:r w:rsidR="001838A2" w:rsidRPr="0007572B">
        <w:rPr>
          <w:rFonts w:ascii="Arial" w:hAnsi="Arial" w:cs="Arial"/>
        </w:rPr>
        <w:t>s’</w:t>
      </w:r>
      <w:r w:rsidRPr="0007572B">
        <w:rPr>
          <w:rFonts w:ascii="Arial" w:hAnsi="Arial" w:cs="Arial"/>
        </w:rPr>
        <w:t xml:space="preserve"> sc</w:t>
      </w:r>
      <w:r w:rsidR="00CE7425" w:rsidRPr="0007572B">
        <w:rPr>
          <w:rFonts w:ascii="Arial" w:hAnsi="Arial" w:cs="Arial"/>
        </w:rPr>
        <w:t xml:space="preserve">heme members is approximately </w:t>
      </w:r>
      <w:r w:rsidR="009C7D9F">
        <w:rPr>
          <w:rFonts w:ascii="Arial" w:hAnsi="Arial" w:cs="Arial"/>
        </w:rPr>
        <w:t>19</w:t>
      </w:r>
      <w:r w:rsidRPr="0007572B">
        <w:rPr>
          <w:rFonts w:ascii="Arial" w:hAnsi="Arial" w:cs="Arial"/>
        </w:rPr>
        <w:t xml:space="preserve"> years.</w:t>
      </w:r>
    </w:p>
    <w:p w14:paraId="73D99D5F" w14:textId="77777777" w:rsidR="005F371A" w:rsidRPr="0007572B" w:rsidRDefault="005F371A" w:rsidP="0038082E">
      <w:pPr>
        <w:rPr>
          <w:rFonts w:ascii="Arial" w:hAnsi="Arial" w:cs="Arial"/>
        </w:rPr>
      </w:pPr>
    </w:p>
    <w:p w14:paraId="1A480AFA" w14:textId="0B08469E" w:rsidR="00E27F3B" w:rsidRPr="00FD6425" w:rsidRDefault="00E27F3B" w:rsidP="0038082E">
      <w:pPr>
        <w:pStyle w:val="Heading4bold"/>
      </w:pPr>
      <w:bookmarkStart w:id="205" w:name="_Hlk109158448"/>
      <w:r w:rsidRPr="00FD6425">
        <w:t>Impact on Authority’s cash flow – Local Government Pension Scheme</w:t>
      </w:r>
    </w:p>
    <w:p w14:paraId="36DB4D25" w14:textId="7AFB32A2" w:rsidR="00E27F3B" w:rsidRPr="00FD6425" w:rsidRDefault="00E27F3B" w:rsidP="0038082E">
      <w:pPr>
        <w:rPr>
          <w:rFonts w:ascii="Arial" w:hAnsi="Arial" w:cs="Arial"/>
        </w:rPr>
      </w:pPr>
      <w:r w:rsidRPr="00FD6425">
        <w:rPr>
          <w:rFonts w:ascii="Arial" w:hAnsi="Arial" w:cs="Arial"/>
        </w:rPr>
        <w:t>The objectives of the scheme are to keep employer</w:t>
      </w:r>
      <w:r w:rsidR="00D1577F" w:rsidRPr="00FD6425">
        <w:rPr>
          <w:rFonts w:ascii="Arial" w:hAnsi="Arial" w:cs="Arial"/>
        </w:rPr>
        <w:t>’</w:t>
      </w:r>
      <w:r w:rsidRPr="00FD6425">
        <w:rPr>
          <w:rFonts w:ascii="Arial" w:hAnsi="Arial" w:cs="Arial"/>
        </w:rPr>
        <w:t xml:space="preserve">s contributions at as constant a rate as possible and agree a funding strategy to ensure future employers contributions meet the Administering Authority’s funding objectives. Following the latest triennial valuation </w:t>
      </w:r>
      <w:r w:rsidR="00D279AB" w:rsidRPr="00FD6425">
        <w:rPr>
          <w:rFonts w:ascii="Arial" w:hAnsi="Arial" w:cs="Arial"/>
        </w:rPr>
        <w:t xml:space="preserve">completed on 31 March 2019, </w:t>
      </w:r>
      <w:r w:rsidRPr="00FD6425">
        <w:rPr>
          <w:rFonts w:ascii="Arial" w:hAnsi="Arial" w:cs="Arial"/>
        </w:rPr>
        <w:t xml:space="preserve">the LGPS </w:t>
      </w:r>
      <w:r w:rsidR="00D279AB" w:rsidRPr="00FD6425">
        <w:rPr>
          <w:rFonts w:ascii="Arial" w:hAnsi="Arial" w:cs="Arial"/>
        </w:rPr>
        <w:t>w</w:t>
      </w:r>
      <w:r w:rsidRPr="00FD6425">
        <w:rPr>
          <w:rFonts w:ascii="Arial" w:hAnsi="Arial" w:cs="Arial"/>
        </w:rPr>
        <w:t xml:space="preserve">as assessed as being </w:t>
      </w:r>
      <w:r w:rsidR="00D279AB" w:rsidRPr="00FD6425">
        <w:rPr>
          <w:rFonts w:ascii="Arial" w:hAnsi="Arial" w:cs="Arial"/>
        </w:rPr>
        <w:t>102</w:t>
      </w:r>
      <w:r w:rsidRPr="00FD6425">
        <w:rPr>
          <w:rFonts w:ascii="Arial" w:hAnsi="Arial" w:cs="Arial"/>
        </w:rPr>
        <w:t>% funded. Funding levels are monitored on an annual basis</w:t>
      </w:r>
      <w:r w:rsidR="00D279AB" w:rsidRPr="00FD6425">
        <w:rPr>
          <w:rFonts w:ascii="Arial" w:hAnsi="Arial" w:cs="Arial"/>
        </w:rPr>
        <w:t xml:space="preserve">. </w:t>
      </w:r>
    </w:p>
    <w:p w14:paraId="162B4D0D" w14:textId="77777777" w:rsidR="00E27F3B" w:rsidRPr="00944D15" w:rsidRDefault="00E27F3B" w:rsidP="0038082E">
      <w:pPr>
        <w:rPr>
          <w:rFonts w:ascii="Arial" w:hAnsi="Arial" w:cs="Arial"/>
          <w:highlight w:val="yellow"/>
        </w:rPr>
      </w:pPr>
    </w:p>
    <w:p w14:paraId="16379F93" w14:textId="7E772EEF" w:rsidR="00E27F3B" w:rsidRPr="002B7650" w:rsidRDefault="00E27F3B" w:rsidP="0038082E">
      <w:pPr>
        <w:rPr>
          <w:rFonts w:ascii="Arial" w:hAnsi="Arial" w:cs="Arial"/>
        </w:rPr>
      </w:pPr>
      <w:r w:rsidRPr="002B7650">
        <w:rPr>
          <w:rFonts w:ascii="Arial" w:hAnsi="Arial" w:cs="Arial"/>
        </w:rPr>
        <w:t>The scheme will need to take account of the national changes to the scheme under the Public Pensions Services Act 2013. Under the Act, the Local Government Pension Scheme in England and Wales and other main existing public service schemes may not provide benefits in relation to service after 31 March 2014 (or service after 31 March 2015 for other main existing public service pension schemes in England and Wales). The Act provides for scheme regulations to be made within a common framework. A new career average revalued earnings schemes to pay pensions and other benefits has been established.</w:t>
      </w:r>
    </w:p>
    <w:p w14:paraId="3D50768B" w14:textId="77777777" w:rsidR="005F371A" w:rsidRPr="00944D15" w:rsidRDefault="005F371A" w:rsidP="0038082E">
      <w:pPr>
        <w:rPr>
          <w:rFonts w:ascii="Arial" w:hAnsi="Arial" w:cs="Arial"/>
          <w:highlight w:val="yellow"/>
        </w:rPr>
      </w:pPr>
    </w:p>
    <w:p w14:paraId="079E80B1" w14:textId="16757399" w:rsidR="00A4227C" w:rsidRPr="002B7650" w:rsidRDefault="00A4227C" w:rsidP="0038082E">
      <w:pPr>
        <w:pStyle w:val="Heading4bold"/>
      </w:pPr>
      <w:r w:rsidRPr="002B7650">
        <w:t>Authority contribution to pension schemes</w:t>
      </w:r>
    </w:p>
    <w:p w14:paraId="7A77EC93" w14:textId="3719559E" w:rsidR="00615DE1" w:rsidRDefault="00A4227C" w:rsidP="0038082E">
      <w:pPr>
        <w:rPr>
          <w:rFonts w:ascii="Arial" w:hAnsi="Arial" w:cs="Arial"/>
        </w:rPr>
      </w:pPr>
      <w:r w:rsidRPr="002B7650">
        <w:rPr>
          <w:rFonts w:ascii="Arial" w:hAnsi="Arial" w:cs="Arial"/>
        </w:rPr>
        <w:t>The Authority expects to pay £</w:t>
      </w:r>
      <w:r w:rsidR="00340252" w:rsidRPr="002B7650">
        <w:rPr>
          <w:rFonts w:ascii="Arial" w:hAnsi="Arial" w:cs="Arial"/>
        </w:rPr>
        <w:t>1</w:t>
      </w:r>
      <w:r w:rsidR="002B7650" w:rsidRPr="002B7650">
        <w:rPr>
          <w:rFonts w:ascii="Arial" w:hAnsi="Arial" w:cs="Arial"/>
        </w:rPr>
        <w:t>3</w:t>
      </w:r>
      <w:r w:rsidR="00340252" w:rsidRPr="002B7650">
        <w:rPr>
          <w:rFonts w:ascii="Arial" w:hAnsi="Arial" w:cs="Arial"/>
        </w:rPr>
        <w:t>.</w:t>
      </w:r>
      <w:r w:rsidR="002B7650" w:rsidRPr="002B7650">
        <w:rPr>
          <w:rFonts w:ascii="Arial" w:hAnsi="Arial" w:cs="Arial"/>
        </w:rPr>
        <w:t>3</w:t>
      </w:r>
      <w:r w:rsidR="00340252" w:rsidRPr="002B7650">
        <w:rPr>
          <w:rFonts w:ascii="Arial" w:hAnsi="Arial" w:cs="Arial"/>
        </w:rPr>
        <w:t>6</w:t>
      </w:r>
      <w:r w:rsidR="002B7650" w:rsidRPr="002B7650">
        <w:rPr>
          <w:rFonts w:ascii="Arial" w:hAnsi="Arial" w:cs="Arial"/>
        </w:rPr>
        <w:t>1</w:t>
      </w:r>
      <w:r w:rsidR="00340252" w:rsidRPr="002B7650">
        <w:rPr>
          <w:rFonts w:ascii="Arial" w:hAnsi="Arial" w:cs="Arial"/>
        </w:rPr>
        <w:t>m</w:t>
      </w:r>
      <w:r w:rsidRPr="002B7650">
        <w:rPr>
          <w:rFonts w:ascii="Arial" w:hAnsi="Arial" w:cs="Arial"/>
        </w:rPr>
        <w:t xml:space="preserve"> to the Firefighters</w:t>
      </w:r>
      <w:r w:rsidR="001838A2" w:rsidRPr="002B7650">
        <w:rPr>
          <w:rFonts w:ascii="Arial" w:hAnsi="Arial" w:cs="Arial"/>
        </w:rPr>
        <w:t>’</w:t>
      </w:r>
      <w:r w:rsidRPr="002B7650">
        <w:rPr>
          <w:rFonts w:ascii="Arial" w:hAnsi="Arial" w:cs="Arial"/>
        </w:rPr>
        <w:t xml:space="preserve"> Pension Scheme and £</w:t>
      </w:r>
      <w:r w:rsidR="008A40F2" w:rsidRPr="002B7650">
        <w:rPr>
          <w:rFonts w:ascii="Arial" w:hAnsi="Arial" w:cs="Arial"/>
        </w:rPr>
        <w:t>5.</w:t>
      </w:r>
      <w:r w:rsidR="002B7650" w:rsidRPr="002B7650">
        <w:rPr>
          <w:rFonts w:ascii="Arial" w:hAnsi="Arial" w:cs="Arial"/>
        </w:rPr>
        <w:t>8</w:t>
      </w:r>
      <w:r w:rsidR="008A40F2" w:rsidRPr="002B7650">
        <w:rPr>
          <w:rFonts w:ascii="Arial" w:hAnsi="Arial" w:cs="Arial"/>
        </w:rPr>
        <w:t>2</w:t>
      </w:r>
      <w:r w:rsidR="002B7650" w:rsidRPr="002B7650">
        <w:rPr>
          <w:rFonts w:ascii="Arial" w:hAnsi="Arial" w:cs="Arial"/>
        </w:rPr>
        <w:t>4</w:t>
      </w:r>
      <w:r w:rsidRPr="002B7650">
        <w:rPr>
          <w:rFonts w:ascii="Arial" w:hAnsi="Arial" w:cs="Arial"/>
        </w:rPr>
        <w:t>m to the Local Government Pension Scheme in 202</w:t>
      </w:r>
      <w:r w:rsidR="002B7650" w:rsidRPr="002B7650">
        <w:rPr>
          <w:rFonts w:ascii="Arial" w:hAnsi="Arial" w:cs="Arial"/>
        </w:rPr>
        <w:t>1</w:t>
      </w:r>
      <w:r w:rsidRPr="002B7650">
        <w:rPr>
          <w:rFonts w:ascii="Arial" w:hAnsi="Arial" w:cs="Arial"/>
        </w:rPr>
        <w:t>/2</w:t>
      </w:r>
      <w:r w:rsidR="002B7650" w:rsidRPr="002B7650">
        <w:rPr>
          <w:rFonts w:ascii="Arial" w:hAnsi="Arial" w:cs="Arial"/>
        </w:rPr>
        <w:t>2</w:t>
      </w:r>
      <w:r w:rsidRPr="002B7650">
        <w:rPr>
          <w:rFonts w:ascii="Arial" w:hAnsi="Arial" w:cs="Arial"/>
        </w:rPr>
        <w:t>.</w:t>
      </w:r>
      <w:bookmarkEnd w:id="205"/>
    </w:p>
    <w:p w14:paraId="11A2BE7E" w14:textId="77777777" w:rsidR="00943897" w:rsidRPr="0007572B" w:rsidRDefault="00943897" w:rsidP="0038082E">
      <w:pPr>
        <w:rPr>
          <w:rFonts w:ascii="Arial" w:hAnsi="Arial" w:cs="Arial"/>
        </w:rPr>
      </w:pPr>
    </w:p>
    <w:p w14:paraId="04F7C91E" w14:textId="0D6DFB89" w:rsidR="00322755" w:rsidRPr="0007572B" w:rsidRDefault="003C3CE4" w:rsidP="0038082E">
      <w:pPr>
        <w:pStyle w:val="Heading3greennumbered"/>
      </w:pPr>
      <w:bookmarkStart w:id="206" w:name="_Toc92894909"/>
      <w:bookmarkStart w:id="207" w:name="_Toc92895213"/>
      <w:bookmarkStart w:id="208" w:name="_Toc109922647"/>
      <w:r w:rsidRPr="0007572B">
        <w:t xml:space="preserve">34 </w:t>
      </w:r>
      <w:r w:rsidR="00322755" w:rsidRPr="0007572B">
        <w:t>Mayoral General Fund</w:t>
      </w:r>
      <w:bookmarkEnd w:id="206"/>
      <w:bookmarkEnd w:id="207"/>
      <w:bookmarkEnd w:id="208"/>
    </w:p>
    <w:p w14:paraId="72D9976F" w14:textId="77777777" w:rsidR="005F371A" w:rsidRDefault="005F371A" w:rsidP="0038082E">
      <w:pPr>
        <w:autoSpaceDE w:val="0"/>
        <w:autoSpaceDN w:val="0"/>
        <w:rPr>
          <w:rFonts w:ascii="Arial" w:hAnsi="Arial" w:cs="Arial"/>
          <w:color w:val="000000"/>
          <w:lang w:val="en-US"/>
        </w:rPr>
      </w:pPr>
    </w:p>
    <w:p w14:paraId="4B228AC3" w14:textId="7B248D78" w:rsidR="00322755" w:rsidRPr="0007572B" w:rsidRDefault="00322755" w:rsidP="0038082E">
      <w:pPr>
        <w:autoSpaceDE w:val="0"/>
        <w:autoSpaceDN w:val="0"/>
        <w:rPr>
          <w:rFonts w:ascii="Arial" w:hAnsi="Arial" w:cs="Arial"/>
          <w:color w:val="000000"/>
          <w:lang w:val="en-US"/>
        </w:rPr>
      </w:pPr>
      <w:r w:rsidRPr="0007572B">
        <w:rPr>
          <w:rFonts w:ascii="Arial" w:hAnsi="Arial" w:cs="Arial"/>
          <w:color w:val="000000"/>
          <w:lang w:val="en-US"/>
        </w:rPr>
        <w:t xml:space="preserve">The functions of the </w:t>
      </w:r>
      <w:r w:rsidR="00150CDE" w:rsidRPr="0007572B">
        <w:rPr>
          <w:rFonts w:ascii="Arial" w:hAnsi="Arial" w:cs="Arial"/>
          <w:color w:val="000000"/>
          <w:lang w:val="en-US"/>
        </w:rPr>
        <w:t>Greater Manchester Fire and Rescue Authority (</w:t>
      </w:r>
      <w:r w:rsidRPr="0007572B">
        <w:rPr>
          <w:rFonts w:ascii="Arial" w:hAnsi="Arial" w:cs="Arial"/>
          <w:color w:val="000000"/>
          <w:lang w:val="en-US"/>
        </w:rPr>
        <w:t>GMFRA</w:t>
      </w:r>
      <w:r w:rsidR="00150CDE" w:rsidRPr="0007572B">
        <w:rPr>
          <w:rFonts w:ascii="Arial" w:hAnsi="Arial" w:cs="Arial"/>
          <w:color w:val="000000"/>
          <w:lang w:val="en-US"/>
        </w:rPr>
        <w:t>)</w:t>
      </w:r>
      <w:r w:rsidRPr="0007572B">
        <w:rPr>
          <w:rFonts w:ascii="Arial" w:hAnsi="Arial" w:cs="Arial"/>
          <w:color w:val="000000"/>
          <w:lang w:val="en-US"/>
        </w:rPr>
        <w:t xml:space="preserve"> that are exercisable in relation to the area of the Authority were transferred by Parliamentary Order to the GMCA with effect from 8 May 2017. The GMCA is the Fire and Rescue Authority for the area and the Fire and Rescue functions of the GMCA are exercisable by the elected Mayor with all staff, properties, </w:t>
      </w:r>
      <w:proofErr w:type="gramStart"/>
      <w:r w:rsidRPr="0007572B">
        <w:rPr>
          <w:rFonts w:ascii="Arial" w:hAnsi="Arial" w:cs="Arial"/>
          <w:color w:val="000000"/>
          <w:lang w:val="en-US"/>
        </w:rPr>
        <w:t>rights</w:t>
      </w:r>
      <w:proofErr w:type="gramEnd"/>
      <w:r w:rsidRPr="0007572B">
        <w:rPr>
          <w:rFonts w:ascii="Arial" w:hAnsi="Arial" w:cs="Arial"/>
          <w:color w:val="000000"/>
          <w:lang w:val="en-US"/>
        </w:rPr>
        <w:t xml:space="preserve"> and liabilities transferring to the Authority.</w:t>
      </w:r>
    </w:p>
    <w:p w14:paraId="07323535" w14:textId="77777777" w:rsidR="00322755" w:rsidRPr="0007572B" w:rsidRDefault="00322755" w:rsidP="0038082E">
      <w:pPr>
        <w:autoSpaceDE w:val="0"/>
        <w:autoSpaceDN w:val="0"/>
        <w:rPr>
          <w:rFonts w:ascii="Arial" w:hAnsi="Arial" w:cs="Arial"/>
          <w:color w:val="000000"/>
          <w:lang w:val="en-US"/>
        </w:rPr>
      </w:pPr>
    </w:p>
    <w:p w14:paraId="2C2FE7FB" w14:textId="77777777" w:rsidR="00322755" w:rsidRPr="0007572B" w:rsidRDefault="00322755" w:rsidP="0038082E">
      <w:pPr>
        <w:autoSpaceDE w:val="0"/>
        <w:autoSpaceDN w:val="0"/>
        <w:rPr>
          <w:rFonts w:ascii="Arial" w:eastAsia="Calibri" w:hAnsi="Arial" w:cs="Arial"/>
          <w:color w:val="000000"/>
          <w:lang w:val="en-US"/>
        </w:rPr>
      </w:pPr>
      <w:r w:rsidRPr="0007572B">
        <w:rPr>
          <w:rFonts w:ascii="Arial" w:eastAsia="Calibri" w:hAnsi="Arial" w:cs="Arial"/>
          <w:color w:val="000000"/>
          <w:lang w:val="en-US"/>
        </w:rPr>
        <w:t>Under the Order, all functions and decisions relating to such properties, rights and liabilities are to be exercised and made by the Mayor. Any payments and receipts arising from such properties, rights and liabilities are to be paid from and into the Mayoral General Fund.</w:t>
      </w:r>
    </w:p>
    <w:p w14:paraId="44E344BA" w14:textId="77777777" w:rsidR="00322755" w:rsidRPr="0007572B" w:rsidRDefault="00322755" w:rsidP="0038082E">
      <w:pPr>
        <w:autoSpaceDE w:val="0"/>
        <w:autoSpaceDN w:val="0"/>
        <w:rPr>
          <w:rFonts w:ascii="Arial" w:eastAsia="Calibri" w:hAnsi="Arial" w:cs="Arial"/>
          <w:color w:val="000000"/>
          <w:lang w:val="en-US"/>
        </w:rPr>
      </w:pPr>
    </w:p>
    <w:p w14:paraId="0D493389" w14:textId="61F6585A" w:rsidR="00AC4453" w:rsidRPr="00615DE1" w:rsidRDefault="00322755" w:rsidP="0038082E">
      <w:pPr>
        <w:rPr>
          <w:rFonts w:ascii="Arial" w:hAnsi="Arial" w:cs="Arial"/>
        </w:rPr>
      </w:pPr>
      <w:r w:rsidRPr="0007572B">
        <w:rPr>
          <w:rFonts w:ascii="Arial" w:hAnsi="Arial" w:cs="Arial"/>
        </w:rPr>
        <w:t>The statements below set out the movements in the Mayoral General Fund and assets deployed for fire</w:t>
      </w:r>
      <w:r w:rsidR="00215A6A" w:rsidRPr="0007572B">
        <w:rPr>
          <w:rFonts w:ascii="Arial" w:hAnsi="Arial" w:cs="Arial"/>
        </w:rPr>
        <w:t xml:space="preserve"> and rescue services for </w:t>
      </w:r>
      <w:r w:rsidR="00336734" w:rsidRPr="0007572B">
        <w:rPr>
          <w:rFonts w:ascii="Arial" w:hAnsi="Arial" w:cs="Arial"/>
        </w:rPr>
        <w:t>20</w:t>
      </w:r>
      <w:r w:rsidR="00F02D7B" w:rsidRPr="0007572B">
        <w:rPr>
          <w:rFonts w:ascii="Arial" w:hAnsi="Arial" w:cs="Arial"/>
        </w:rPr>
        <w:t>2</w:t>
      </w:r>
      <w:r w:rsidR="00944D15">
        <w:rPr>
          <w:rFonts w:ascii="Arial" w:hAnsi="Arial" w:cs="Arial"/>
        </w:rPr>
        <w:t>1</w:t>
      </w:r>
      <w:r w:rsidR="00215A6A" w:rsidRPr="0007572B">
        <w:rPr>
          <w:rFonts w:ascii="Arial" w:hAnsi="Arial" w:cs="Arial"/>
        </w:rPr>
        <w:t>/</w:t>
      </w:r>
      <w:r w:rsidR="00336734" w:rsidRPr="0007572B">
        <w:rPr>
          <w:rFonts w:ascii="Arial" w:hAnsi="Arial" w:cs="Arial"/>
        </w:rPr>
        <w:t>2</w:t>
      </w:r>
      <w:r w:rsidR="00944D15">
        <w:rPr>
          <w:rFonts w:ascii="Arial" w:hAnsi="Arial" w:cs="Arial"/>
        </w:rPr>
        <w:t>2</w:t>
      </w:r>
      <w:r w:rsidR="00215A6A" w:rsidRPr="0007572B">
        <w:rPr>
          <w:rFonts w:ascii="Arial" w:hAnsi="Arial" w:cs="Arial"/>
        </w:rPr>
        <w:t>:</w:t>
      </w:r>
    </w:p>
    <w:p w14:paraId="7B5DA9A0" w14:textId="475C50B9" w:rsidR="00771E5E" w:rsidRPr="0007572B" w:rsidRDefault="00322755" w:rsidP="0038082E">
      <w:pPr>
        <w:pStyle w:val="Heading4bold"/>
      </w:pPr>
      <w:r w:rsidRPr="0007572B">
        <w:lastRenderedPageBreak/>
        <w:t>Mayoral General Fund Income and Expenditure:</w:t>
      </w:r>
    </w:p>
    <w:p w14:paraId="7D82A113" w14:textId="131465EF" w:rsidR="00615DE1" w:rsidRDefault="008F7D12" w:rsidP="00615DE1">
      <w:pPr>
        <w:rPr>
          <w:rFonts w:ascii="Arial" w:hAnsi="Arial" w:cs="Arial"/>
          <w:b/>
          <w:sz w:val="22"/>
          <w:szCs w:val="22"/>
        </w:rPr>
      </w:pPr>
      <w:r w:rsidRPr="008F7D12">
        <w:rPr>
          <w:noProof/>
        </w:rPr>
        <w:drawing>
          <wp:inline distT="0" distB="0" distL="0" distR="0" wp14:anchorId="76A53725" wp14:editId="2A4A6A54">
            <wp:extent cx="5975350" cy="38671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75350" cy="3867150"/>
                    </a:xfrm>
                    <a:prstGeom prst="rect">
                      <a:avLst/>
                    </a:prstGeom>
                    <a:noFill/>
                    <a:ln>
                      <a:noFill/>
                    </a:ln>
                  </pic:spPr>
                </pic:pic>
              </a:graphicData>
            </a:graphic>
          </wp:inline>
        </w:drawing>
      </w:r>
    </w:p>
    <w:p w14:paraId="55C7E14C" w14:textId="701AFD98" w:rsidR="00615DE1" w:rsidRDefault="00615DE1" w:rsidP="00615DE1">
      <w:pPr>
        <w:rPr>
          <w:rFonts w:ascii="Arial" w:hAnsi="Arial" w:cs="Arial"/>
          <w:b/>
          <w:sz w:val="22"/>
          <w:szCs w:val="22"/>
        </w:rPr>
      </w:pPr>
    </w:p>
    <w:p w14:paraId="47D4504C" w14:textId="77777777" w:rsidR="00615DE1" w:rsidRPr="00615DE1" w:rsidRDefault="00615DE1" w:rsidP="00615DE1">
      <w:pPr>
        <w:rPr>
          <w:rFonts w:ascii="Arial" w:hAnsi="Arial" w:cs="Arial"/>
          <w:b/>
          <w:sz w:val="22"/>
          <w:szCs w:val="22"/>
        </w:rPr>
      </w:pPr>
    </w:p>
    <w:p w14:paraId="5429126B" w14:textId="227855DC" w:rsidR="00322755" w:rsidRPr="0007572B" w:rsidRDefault="00322755" w:rsidP="0038082E">
      <w:pPr>
        <w:pStyle w:val="Heading4bold"/>
      </w:pPr>
      <w:r w:rsidRPr="0007572B">
        <w:t>Movement in Mayoral General Fund Reserves:</w:t>
      </w:r>
    </w:p>
    <w:p w14:paraId="13D7E6FD" w14:textId="550E235F" w:rsidR="00322755" w:rsidRDefault="00322755" w:rsidP="0038082E">
      <w:pPr>
        <w:rPr>
          <w:rFonts w:ascii="Arial" w:hAnsi="Arial" w:cs="Arial"/>
        </w:rPr>
      </w:pPr>
      <w:r w:rsidRPr="0007572B">
        <w:rPr>
          <w:rFonts w:ascii="Arial" w:hAnsi="Arial" w:cs="Arial"/>
        </w:rPr>
        <w:t>This note sets out the amounts set aside from the General Fund in reserves to provide financing for future expenditure plans and the amounts posted back from earmarked reserves to meet General Fund expenditure.</w:t>
      </w:r>
    </w:p>
    <w:p w14:paraId="1A6FD4D9" w14:textId="75C7E2A2" w:rsidR="00771E5E" w:rsidRDefault="00771E5E" w:rsidP="0038082E">
      <w:pPr>
        <w:rPr>
          <w:rFonts w:ascii="Arial" w:hAnsi="Arial" w:cs="Arial"/>
        </w:rPr>
      </w:pPr>
    </w:p>
    <w:p w14:paraId="3A3E5E6F" w14:textId="27BF5B2E" w:rsidR="00247E04" w:rsidRPr="00615DE1" w:rsidRDefault="00E85DA8" w:rsidP="00615DE1">
      <w:pPr>
        <w:rPr>
          <w:rFonts w:ascii="Arial" w:hAnsi="Arial" w:cs="Arial"/>
        </w:rPr>
        <w:sectPr w:rsidR="00247E04" w:rsidRPr="00615DE1" w:rsidSect="00322755">
          <w:pgSz w:w="11906" w:h="16838"/>
          <w:pgMar w:top="946" w:right="1416" w:bottom="1440" w:left="1080" w:header="283" w:footer="567" w:gutter="0"/>
          <w:cols w:space="708"/>
          <w:docGrid w:linePitch="360"/>
        </w:sectPr>
      </w:pPr>
      <w:r w:rsidRPr="00E85DA8">
        <w:rPr>
          <w:noProof/>
        </w:rPr>
        <w:drawing>
          <wp:inline distT="0" distB="0" distL="0" distR="0" wp14:anchorId="6352A194" wp14:editId="467C4066">
            <wp:extent cx="5058410" cy="2081530"/>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58410" cy="2081530"/>
                    </a:xfrm>
                    <a:prstGeom prst="rect">
                      <a:avLst/>
                    </a:prstGeom>
                    <a:noFill/>
                    <a:ln>
                      <a:noFill/>
                    </a:ln>
                  </pic:spPr>
                </pic:pic>
              </a:graphicData>
            </a:graphic>
          </wp:inline>
        </w:drawing>
      </w:r>
    </w:p>
    <w:p w14:paraId="1FEF668B" w14:textId="77777777" w:rsidR="00322755" w:rsidRPr="0007572B" w:rsidRDefault="00322755" w:rsidP="0038082E">
      <w:pPr>
        <w:pStyle w:val="Heading4bold"/>
      </w:pPr>
      <w:r w:rsidRPr="0007572B">
        <w:lastRenderedPageBreak/>
        <w:t>Assets deployed in provision of Mayoral Fire and Rescue Services:</w:t>
      </w:r>
    </w:p>
    <w:p w14:paraId="79DF5430" w14:textId="77777777" w:rsidR="00577AA5" w:rsidRPr="0007572B" w:rsidRDefault="00577AA5" w:rsidP="0038082E">
      <w:pPr>
        <w:rPr>
          <w:rFonts w:ascii="Arial" w:hAnsi="Arial" w:cs="Arial"/>
        </w:rPr>
      </w:pPr>
    </w:p>
    <w:p w14:paraId="531A52BE" w14:textId="6A935860" w:rsidR="0056706E" w:rsidRPr="0007572B" w:rsidRDefault="00972EC1" w:rsidP="0038082E">
      <w:pPr>
        <w:rPr>
          <w:rFonts w:ascii="Arial" w:hAnsi="Arial" w:cs="Arial"/>
        </w:rPr>
      </w:pPr>
      <w:r w:rsidRPr="00972EC1">
        <w:rPr>
          <w:noProof/>
        </w:rPr>
        <w:drawing>
          <wp:inline distT="0" distB="0" distL="0" distR="0" wp14:anchorId="0FA956D2" wp14:editId="32D3F8D4">
            <wp:extent cx="9177020" cy="3214370"/>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77020" cy="3214370"/>
                    </a:xfrm>
                    <a:prstGeom prst="rect">
                      <a:avLst/>
                    </a:prstGeom>
                    <a:noFill/>
                    <a:ln>
                      <a:noFill/>
                    </a:ln>
                  </pic:spPr>
                </pic:pic>
              </a:graphicData>
            </a:graphic>
          </wp:inline>
        </w:drawing>
      </w:r>
    </w:p>
    <w:p w14:paraId="328584DB" w14:textId="43979819" w:rsidR="005A4EFC" w:rsidRPr="0007572B" w:rsidRDefault="005A4EFC" w:rsidP="0038082E">
      <w:pPr>
        <w:rPr>
          <w:rFonts w:ascii="Arial" w:hAnsi="Arial" w:cs="Arial"/>
        </w:rPr>
      </w:pPr>
    </w:p>
    <w:p w14:paraId="3FF08564" w14:textId="77777777" w:rsidR="00E15B96" w:rsidRPr="0007572B" w:rsidRDefault="00E15B96" w:rsidP="0038082E">
      <w:pPr>
        <w:rPr>
          <w:rFonts w:ascii="Arial" w:hAnsi="Arial" w:cs="Arial"/>
        </w:rPr>
        <w:sectPr w:rsidR="00E15B96" w:rsidRPr="0007572B" w:rsidSect="00322755">
          <w:pgSz w:w="16838" w:h="11906" w:orient="landscape"/>
          <w:pgMar w:top="1080" w:right="946" w:bottom="1416" w:left="1440" w:header="283" w:footer="567" w:gutter="0"/>
          <w:cols w:space="708"/>
          <w:docGrid w:linePitch="360"/>
        </w:sectPr>
      </w:pPr>
    </w:p>
    <w:p w14:paraId="30E13344" w14:textId="5B5762A7" w:rsidR="00D1577F" w:rsidRPr="0007572B" w:rsidRDefault="003C3CE4" w:rsidP="0038082E">
      <w:pPr>
        <w:pStyle w:val="Heading3greennumbered"/>
      </w:pPr>
      <w:bookmarkStart w:id="209" w:name="_Toc92894910"/>
      <w:bookmarkStart w:id="210" w:name="_Toc92895214"/>
      <w:bookmarkStart w:id="211" w:name="_Toc109922648"/>
      <w:r w:rsidRPr="0007572B">
        <w:lastRenderedPageBreak/>
        <w:t xml:space="preserve">35 </w:t>
      </w:r>
      <w:r w:rsidR="00D1577F" w:rsidRPr="0007572B">
        <w:t>Mayoral Police Fund</w:t>
      </w:r>
      <w:bookmarkEnd w:id="209"/>
      <w:bookmarkEnd w:id="210"/>
      <w:bookmarkEnd w:id="211"/>
    </w:p>
    <w:p w14:paraId="038D331F" w14:textId="77777777" w:rsidR="005F371A" w:rsidRDefault="005F371A" w:rsidP="0038082E">
      <w:pPr>
        <w:autoSpaceDE w:val="0"/>
        <w:autoSpaceDN w:val="0"/>
        <w:adjustRightInd w:val="0"/>
        <w:rPr>
          <w:rFonts w:ascii="Arial" w:hAnsi="Arial" w:cs="Arial"/>
        </w:rPr>
      </w:pPr>
    </w:p>
    <w:p w14:paraId="0BD0D190" w14:textId="5086F5B7" w:rsidR="00D1577F" w:rsidRPr="0007572B" w:rsidRDefault="00D1577F" w:rsidP="0038082E">
      <w:pPr>
        <w:autoSpaceDE w:val="0"/>
        <w:autoSpaceDN w:val="0"/>
        <w:adjustRightInd w:val="0"/>
        <w:rPr>
          <w:rFonts w:ascii="Arial" w:hAnsi="Arial" w:cs="Arial"/>
        </w:rPr>
      </w:pPr>
      <w:r w:rsidRPr="0007572B">
        <w:rPr>
          <w:rFonts w:ascii="Arial" w:hAnsi="Arial" w:cs="Arial"/>
        </w:rPr>
        <w:t xml:space="preserve">The functions of the Greater Manchester Police and Crime Commissioner (PCC) were transferred by Parliamentary Order to the elected Mayor of Greater Manchester with effect from 8 May 2017. </w:t>
      </w:r>
    </w:p>
    <w:p w14:paraId="65043DB4" w14:textId="77777777" w:rsidR="00D1577F" w:rsidRPr="0007572B" w:rsidRDefault="00D1577F" w:rsidP="0038082E">
      <w:pPr>
        <w:autoSpaceDE w:val="0"/>
        <w:autoSpaceDN w:val="0"/>
        <w:adjustRightInd w:val="0"/>
        <w:rPr>
          <w:rFonts w:ascii="Arial" w:hAnsi="Arial" w:cs="Arial"/>
        </w:rPr>
      </w:pPr>
    </w:p>
    <w:p w14:paraId="6EC00BAA" w14:textId="77777777" w:rsidR="00D1577F" w:rsidRPr="0007572B" w:rsidRDefault="00D1577F" w:rsidP="0038082E">
      <w:pPr>
        <w:autoSpaceDE w:val="0"/>
        <w:autoSpaceDN w:val="0"/>
        <w:adjustRightInd w:val="0"/>
        <w:rPr>
          <w:rFonts w:ascii="Arial" w:hAnsi="Arial" w:cs="Arial"/>
        </w:rPr>
      </w:pPr>
      <w:r w:rsidRPr="0007572B">
        <w:rPr>
          <w:rFonts w:ascii="Arial" w:hAnsi="Arial" w:cs="Arial"/>
        </w:rPr>
        <w:t>Under Section 3 of the Order “the Mayor is to be treated, in relation to the Mayor’s PCC functions, as a Police and Crime Commissioner for the purposes of all Police and Crime Commissioner enactments, wherever passed or made, subject to schedule 1 of the Order”.</w:t>
      </w:r>
    </w:p>
    <w:p w14:paraId="588C5A77" w14:textId="77777777" w:rsidR="00D1577F" w:rsidRPr="0007572B" w:rsidRDefault="00D1577F" w:rsidP="0038082E">
      <w:pPr>
        <w:autoSpaceDE w:val="0"/>
        <w:autoSpaceDN w:val="0"/>
        <w:adjustRightInd w:val="0"/>
        <w:rPr>
          <w:rFonts w:ascii="Arial" w:hAnsi="Arial" w:cs="Arial"/>
        </w:rPr>
      </w:pPr>
    </w:p>
    <w:p w14:paraId="1B775BAD" w14:textId="3116445E" w:rsidR="00D1577F" w:rsidRPr="0007572B" w:rsidRDefault="00D1577F" w:rsidP="0038082E">
      <w:pPr>
        <w:autoSpaceDE w:val="0"/>
        <w:autoSpaceDN w:val="0"/>
        <w:adjustRightInd w:val="0"/>
        <w:rPr>
          <w:rFonts w:ascii="Arial" w:hAnsi="Arial" w:cs="Arial"/>
        </w:rPr>
      </w:pPr>
      <w:r w:rsidRPr="0007572B">
        <w:rPr>
          <w:rFonts w:ascii="Arial" w:hAnsi="Arial" w:cs="Arial"/>
        </w:rPr>
        <w:t xml:space="preserve">The transfer of the PCC functions to the Elected Mayor means that the legal entity known as the Greater Manchester Police and Crime Commissioner ceased to exist as of 8 May 2017. All properties, rights and liabilities (including contracts of employment) transferred to the GMCA on 8 May 2017. </w:t>
      </w:r>
    </w:p>
    <w:p w14:paraId="4D04CA86" w14:textId="77777777" w:rsidR="00D1577F" w:rsidRPr="0007572B" w:rsidRDefault="00D1577F" w:rsidP="0038082E">
      <w:pPr>
        <w:autoSpaceDE w:val="0"/>
        <w:autoSpaceDN w:val="0"/>
        <w:adjustRightInd w:val="0"/>
        <w:rPr>
          <w:rFonts w:ascii="Arial" w:hAnsi="Arial" w:cs="Arial"/>
        </w:rPr>
      </w:pPr>
    </w:p>
    <w:p w14:paraId="4BDA45E1" w14:textId="77777777" w:rsidR="00D1577F" w:rsidRPr="0007572B" w:rsidRDefault="00D1577F" w:rsidP="0038082E">
      <w:pPr>
        <w:autoSpaceDE w:val="0"/>
        <w:autoSpaceDN w:val="0"/>
        <w:adjustRightInd w:val="0"/>
        <w:rPr>
          <w:rFonts w:ascii="Arial" w:hAnsi="Arial" w:cs="Arial"/>
        </w:rPr>
      </w:pPr>
      <w:r w:rsidRPr="0007572B">
        <w:rPr>
          <w:rFonts w:ascii="Arial" w:hAnsi="Arial" w:cs="Arial"/>
        </w:rPr>
        <w:t>Under the Order, all functions and decisions relating to such properties, rights and liabilities are to be exercised and made by the Mayor. Any receipts arising from such properties, rights and liabilities are to be paid into the Police Fund kept by the mayor by virtue of section 21 of the Police Reform and Social Responsibility Act 2011.</w:t>
      </w:r>
    </w:p>
    <w:p w14:paraId="0FB7A25B" w14:textId="77777777" w:rsidR="00D1577F" w:rsidRPr="0007572B" w:rsidRDefault="00D1577F" w:rsidP="0038082E">
      <w:pPr>
        <w:autoSpaceDE w:val="0"/>
        <w:autoSpaceDN w:val="0"/>
        <w:adjustRightInd w:val="0"/>
        <w:rPr>
          <w:rFonts w:ascii="Arial" w:hAnsi="Arial" w:cs="Arial"/>
          <w:color w:val="000000"/>
          <w:lang w:val="en-US"/>
        </w:rPr>
      </w:pPr>
    </w:p>
    <w:p w14:paraId="12DC39D4" w14:textId="77777777" w:rsidR="00D1577F" w:rsidRPr="0007572B" w:rsidRDefault="00D1577F" w:rsidP="0038082E">
      <w:pPr>
        <w:autoSpaceDE w:val="0"/>
        <w:autoSpaceDN w:val="0"/>
        <w:adjustRightInd w:val="0"/>
        <w:rPr>
          <w:rFonts w:ascii="Arial" w:hAnsi="Arial" w:cs="Arial"/>
          <w:color w:val="000000"/>
          <w:lang w:val="en-US"/>
        </w:rPr>
      </w:pPr>
      <w:r w:rsidRPr="0007572B">
        <w:rPr>
          <w:rFonts w:ascii="Arial" w:hAnsi="Arial" w:cs="Arial"/>
          <w:color w:val="000000"/>
          <w:lang w:val="en-US"/>
        </w:rPr>
        <w:t>The Chief Constable of Greater Manchester Police (GMP) Statement of Accounts has been consolidated into GMCA’s group accounts since 8 May 2017. The Mayor is responsible for the formal oversight of GMP, including provision of all funding, budget setting, performance scrutiny and strategic policy development, and for ensuring GMP is run efficiently and effectively. Operational decision-making on day-to-day policing including the employment of police staff remains the responsibility of the Chief Constable.</w:t>
      </w:r>
    </w:p>
    <w:p w14:paraId="25A33968" w14:textId="77777777" w:rsidR="00D1577F" w:rsidRPr="0007572B" w:rsidRDefault="00D1577F" w:rsidP="0038082E">
      <w:pPr>
        <w:autoSpaceDE w:val="0"/>
        <w:autoSpaceDN w:val="0"/>
        <w:adjustRightInd w:val="0"/>
        <w:rPr>
          <w:rFonts w:ascii="Arial" w:hAnsi="Arial" w:cs="Arial"/>
          <w:color w:val="000000"/>
          <w:lang w:val="en-US"/>
        </w:rPr>
      </w:pPr>
    </w:p>
    <w:p w14:paraId="01DE17E3" w14:textId="7A24EE5B" w:rsidR="00D1577F" w:rsidRPr="0007572B" w:rsidRDefault="00D1577F" w:rsidP="0038082E">
      <w:pPr>
        <w:autoSpaceDE w:val="0"/>
        <w:autoSpaceDN w:val="0"/>
        <w:adjustRightInd w:val="0"/>
        <w:rPr>
          <w:rFonts w:ascii="Arial" w:eastAsia="Calibri" w:hAnsi="Arial" w:cs="Arial"/>
          <w:color w:val="000000"/>
          <w:lang w:val="en-US"/>
        </w:rPr>
      </w:pPr>
      <w:r w:rsidRPr="0007572B">
        <w:rPr>
          <w:rFonts w:ascii="Arial" w:hAnsi="Arial" w:cs="Arial"/>
          <w:color w:val="000000"/>
          <w:lang w:val="en-US"/>
        </w:rPr>
        <w:t xml:space="preserve">Under the legislative framework and local arrangements, GMCA, under sole instruction from the Mayor, is responsible for the finances of the Mayoral Police Fund including assets, </w:t>
      </w:r>
      <w:proofErr w:type="gramStart"/>
      <w:r w:rsidRPr="0007572B">
        <w:rPr>
          <w:rFonts w:ascii="Arial" w:hAnsi="Arial" w:cs="Arial"/>
          <w:color w:val="000000"/>
          <w:lang w:val="en-US"/>
        </w:rPr>
        <w:t>liabilities</w:t>
      </w:r>
      <w:proofErr w:type="gramEnd"/>
      <w:r w:rsidRPr="0007572B">
        <w:rPr>
          <w:rFonts w:ascii="Arial" w:hAnsi="Arial" w:cs="Arial"/>
          <w:color w:val="000000"/>
          <w:lang w:val="en-US"/>
        </w:rPr>
        <w:t xml:space="preserve"> and reserves. The GMCA has responsibility for </w:t>
      </w:r>
      <w:proofErr w:type="gramStart"/>
      <w:r w:rsidRPr="0007572B">
        <w:rPr>
          <w:rFonts w:ascii="Arial" w:hAnsi="Arial" w:cs="Arial"/>
          <w:color w:val="000000"/>
          <w:lang w:val="en-US"/>
        </w:rPr>
        <w:t>entering into</w:t>
      </w:r>
      <w:proofErr w:type="gramEnd"/>
      <w:r w:rsidRPr="0007572B">
        <w:rPr>
          <w:rFonts w:ascii="Arial" w:hAnsi="Arial" w:cs="Arial"/>
          <w:color w:val="000000"/>
          <w:lang w:val="en-US"/>
        </w:rPr>
        <w:t xml:space="preserve"> contracts and establishing the contractual framework under which the Chief Constable’s officers and staff operate.</w:t>
      </w:r>
      <w:r w:rsidRPr="0007572B">
        <w:rPr>
          <w:rFonts w:ascii="Arial" w:eastAsia="Calibri" w:hAnsi="Arial" w:cs="Arial"/>
          <w:color w:val="000000"/>
          <w:lang w:val="en-US"/>
        </w:rPr>
        <w:t xml:space="preserve"> The GMCA receives all income and funding and makes all the payments for the policing activity from the Mayoral Police Fund. The movement on the Police Fund is disclosed in </w:t>
      </w:r>
      <w:r w:rsidR="00B075B2" w:rsidRPr="0007572B">
        <w:rPr>
          <w:rFonts w:ascii="Arial" w:eastAsia="Calibri" w:hAnsi="Arial" w:cs="Arial"/>
          <w:color w:val="000000"/>
          <w:lang w:val="en-US"/>
        </w:rPr>
        <w:t>note 35</w:t>
      </w:r>
      <w:r w:rsidRPr="0007572B">
        <w:rPr>
          <w:rFonts w:ascii="Arial" w:eastAsia="Calibri" w:hAnsi="Arial" w:cs="Arial"/>
          <w:color w:val="000000"/>
          <w:lang w:val="en-US"/>
        </w:rPr>
        <w:t>.</w:t>
      </w:r>
    </w:p>
    <w:p w14:paraId="40470F6B" w14:textId="77777777" w:rsidR="00D1577F" w:rsidRPr="0007572B" w:rsidRDefault="00D1577F" w:rsidP="0038082E">
      <w:pPr>
        <w:autoSpaceDE w:val="0"/>
        <w:autoSpaceDN w:val="0"/>
        <w:rPr>
          <w:rFonts w:ascii="Arial" w:hAnsi="Arial" w:cs="Arial"/>
          <w:color w:val="000000"/>
          <w:lang w:val="en-US"/>
        </w:rPr>
      </w:pPr>
    </w:p>
    <w:p w14:paraId="01275F4F" w14:textId="6B09D68C" w:rsidR="00D1577F" w:rsidRPr="0007572B" w:rsidRDefault="00D1577F" w:rsidP="0038082E">
      <w:pPr>
        <w:autoSpaceDE w:val="0"/>
        <w:autoSpaceDN w:val="0"/>
        <w:rPr>
          <w:rFonts w:ascii="Arial" w:hAnsi="Arial" w:cs="Arial"/>
        </w:rPr>
      </w:pPr>
      <w:r w:rsidRPr="0007572B">
        <w:rPr>
          <w:rFonts w:ascii="Arial" w:hAnsi="Arial" w:cs="Arial"/>
          <w:color w:val="000000"/>
          <w:lang w:val="en-US"/>
        </w:rPr>
        <w:t xml:space="preserve">In compliance with legislation, the Police Fund is accounted for in the group accounts of the GMCA. In the interests of </w:t>
      </w:r>
      <w:r w:rsidR="00F02D7B" w:rsidRPr="0007572B">
        <w:rPr>
          <w:rFonts w:ascii="Arial" w:hAnsi="Arial" w:cs="Arial"/>
          <w:color w:val="000000"/>
          <w:lang w:val="en-US"/>
        </w:rPr>
        <w:t>transparency,</w:t>
      </w:r>
      <w:r w:rsidRPr="0007572B">
        <w:rPr>
          <w:rFonts w:ascii="Arial" w:hAnsi="Arial" w:cs="Arial"/>
          <w:color w:val="000000"/>
          <w:lang w:val="en-US"/>
        </w:rPr>
        <w:t xml:space="preserve"> t</w:t>
      </w:r>
      <w:r w:rsidRPr="0007572B">
        <w:rPr>
          <w:rFonts w:ascii="Arial" w:hAnsi="Arial" w:cs="Arial"/>
        </w:rPr>
        <w:t>he statements below set out how the Police Fund was spent and funded, movements in the Mayoral Police Fund reserves and assets deployed for policing in 20</w:t>
      </w:r>
      <w:r w:rsidR="00F02D7B" w:rsidRPr="0007572B">
        <w:rPr>
          <w:rFonts w:ascii="Arial" w:hAnsi="Arial" w:cs="Arial"/>
        </w:rPr>
        <w:t>2</w:t>
      </w:r>
      <w:r w:rsidR="00225F11">
        <w:rPr>
          <w:rFonts w:ascii="Arial" w:hAnsi="Arial" w:cs="Arial"/>
        </w:rPr>
        <w:t>1</w:t>
      </w:r>
      <w:r w:rsidRPr="0007572B">
        <w:rPr>
          <w:rFonts w:ascii="Arial" w:hAnsi="Arial" w:cs="Arial"/>
        </w:rPr>
        <w:t>/2</w:t>
      </w:r>
      <w:r w:rsidR="00225F11">
        <w:rPr>
          <w:rFonts w:ascii="Arial" w:hAnsi="Arial" w:cs="Arial"/>
        </w:rPr>
        <w:t>2</w:t>
      </w:r>
      <w:r w:rsidRPr="0007572B">
        <w:rPr>
          <w:rFonts w:ascii="Arial" w:hAnsi="Arial" w:cs="Arial"/>
        </w:rPr>
        <w:t>.</w:t>
      </w:r>
    </w:p>
    <w:p w14:paraId="263CB859" w14:textId="6CDF52FA" w:rsidR="00D1577F" w:rsidRDefault="00D1577F" w:rsidP="0038082E">
      <w:pPr>
        <w:rPr>
          <w:rFonts w:ascii="Arial" w:hAnsi="Arial" w:cs="Arial"/>
          <w:b/>
          <w:sz w:val="22"/>
          <w:szCs w:val="22"/>
        </w:rPr>
      </w:pPr>
    </w:p>
    <w:p w14:paraId="259B10DA" w14:textId="77777777" w:rsidR="003730CC" w:rsidRPr="0007572B" w:rsidRDefault="003730CC" w:rsidP="0038082E">
      <w:pPr>
        <w:rPr>
          <w:rFonts w:ascii="Arial" w:hAnsi="Arial" w:cs="Arial"/>
          <w:b/>
          <w:sz w:val="22"/>
          <w:szCs w:val="22"/>
        </w:rPr>
      </w:pPr>
    </w:p>
    <w:p w14:paraId="7DD5DE68" w14:textId="77777777" w:rsidR="00520F77" w:rsidRDefault="00D1577F" w:rsidP="00520F77">
      <w:pPr>
        <w:pStyle w:val="Heading4bold"/>
        <w:rPr>
          <w:b w:val="0"/>
          <w:bCs w:val="0"/>
        </w:rPr>
      </w:pPr>
      <w:r w:rsidRPr="0007572B">
        <w:lastRenderedPageBreak/>
        <w:t>Police Fund Income and Expenditur</w:t>
      </w:r>
      <w:r w:rsidR="001B1DE6" w:rsidRPr="0007572B">
        <w:t>e</w:t>
      </w:r>
      <w:r w:rsidRPr="0007572B">
        <w:t>:</w:t>
      </w:r>
      <w:r w:rsidR="00520F77" w:rsidRPr="00520F77">
        <w:rPr>
          <w:b w:val="0"/>
          <w:bCs w:val="0"/>
        </w:rPr>
        <w:t xml:space="preserve"> </w:t>
      </w:r>
    </w:p>
    <w:p w14:paraId="165BB9AF" w14:textId="4411C74E" w:rsidR="00520F77" w:rsidRDefault="00FD3BC6" w:rsidP="00520F77">
      <w:pPr>
        <w:pStyle w:val="Heading4bold"/>
      </w:pPr>
      <w:r w:rsidRPr="00FD3BC6">
        <w:rPr>
          <w:noProof/>
        </w:rPr>
        <w:drawing>
          <wp:inline distT="0" distB="0" distL="0" distR="0" wp14:anchorId="269E5CEA" wp14:editId="638A19EF">
            <wp:extent cx="6416675" cy="524764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16675" cy="5247640"/>
                    </a:xfrm>
                    <a:prstGeom prst="rect">
                      <a:avLst/>
                    </a:prstGeom>
                    <a:noFill/>
                    <a:ln>
                      <a:noFill/>
                    </a:ln>
                  </pic:spPr>
                </pic:pic>
              </a:graphicData>
            </a:graphic>
          </wp:inline>
        </w:drawing>
      </w:r>
    </w:p>
    <w:p w14:paraId="02223E0A" w14:textId="2AF83A83" w:rsidR="00AC4453" w:rsidRDefault="00AC4453" w:rsidP="0038082E">
      <w:pPr>
        <w:rPr>
          <w:rFonts w:ascii="Arial" w:hAnsi="Arial" w:cs="Arial"/>
          <w:b/>
          <w:bCs/>
        </w:rPr>
      </w:pPr>
    </w:p>
    <w:p w14:paraId="4B3DE6F6" w14:textId="4E7F3BB4" w:rsidR="00D1577F" w:rsidRPr="0007572B" w:rsidRDefault="00D1577F" w:rsidP="0038082E">
      <w:pPr>
        <w:pStyle w:val="Heading4bold"/>
      </w:pPr>
      <w:r w:rsidRPr="0007572B">
        <w:t>Movement in Mayoral Police Fund Reserves:</w:t>
      </w:r>
    </w:p>
    <w:p w14:paraId="3D991538" w14:textId="77777777" w:rsidR="00D1577F" w:rsidRPr="0007572B" w:rsidRDefault="00D1577F" w:rsidP="0038082E">
      <w:pPr>
        <w:rPr>
          <w:rFonts w:ascii="Arial" w:hAnsi="Arial" w:cs="Arial"/>
        </w:rPr>
      </w:pPr>
      <w:r w:rsidRPr="0007572B">
        <w:rPr>
          <w:rFonts w:ascii="Arial" w:hAnsi="Arial" w:cs="Arial"/>
        </w:rPr>
        <w:t>This note sets out the amounts set aside from the General Fund in reserves to provide financing for future expenditure plans and the amounts posted back from earmarked reserves to meet General Fund expenditure.</w:t>
      </w:r>
    </w:p>
    <w:p w14:paraId="7CAEB846" w14:textId="7A182972" w:rsidR="00D1577F" w:rsidRPr="0007572B" w:rsidRDefault="00D1577F" w:rsidP="0038082E">
      <w:pPr>
        <w:rPr>
          <w:rFonts w:ascii="Arial" w:hAnsi="Arial" w:cs="Arial"/>
          <w:b/>
        </w:rPr>
      </w:pPr>
    </w:p>
    <w:p w14:paraId="3F231BB6" w14:textId="77777777" w:rsidR="00520F77" w:rsidRDefault="00623550" w:rsidP="0038082E">
      <w:pPr>
        <w:rPr>
          <w:rFonts w:ascii="Arial" w:hAnsi="Arial" w:cs="Arial"/>
          <w:b/>
          <w:sz w:val="22"/>
          <w:szCs w:val="22"/>
        </w:rPr>
      </w:pPr>
      <w:r w:rsidRPr="00623550">
        <w:rPr>
          <w:noProof/>
        </w:rPr>
        <w:drawing>
          <wp:inline distT="0" distB="0" distL="0" distR="0" wp14:anchorId="4F3789E3" wp14:editId="117A1317">
            <wp:extent cx="5638800" cy="1327150"/>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38800" cy="1327150"/>
                    </a:xfrm>
                    <a:prstGeom prst="rect">
                      <a:avLst/>
                    </a:prstGeom>
                    <a:noFill/>
                    <a:ln>
                      <a:noFill/>
                    </a:ln>
                  </pic:spPr>
                </pic:pic>
              </a:graphicData>
            </a:graphic>
          </wp:inline>
        </w:drawing>
      </w:r>
    </w:p>
    <w:p w14:paraId="15886EC6" w14:textId="77777777" w:rsidR="00520F77" w:rsidRDefault="00520F77" w:rsidP="0038082E">
      <w:pPr>
        <w:rPr>
          <w:rFonts w:ascii="Arial" w:hAnsi="Arial" w:cs="Arial"/>
          <w:b/>
          <w:sz w:val="22"/>
          <w:szCs w:val="22"/>
        </w:rPr>
      </w:pPr>
    </w:p>
    <w:p w14:paraId="0BFAF8D2" w14:textId="4C451E23" w:rsidR="0056706E" w:rsidRPr="0007572B" w:rsidRDefault="0056706E" w:rsidP="0038082E">
      <w:pPr>
        <w:rPr>
          <w:rFonts w:ascii="Arial" w:hAnsi="Arial" w:cs="Arial"/>
          <w:b/>
          <w:sz w:val="22"/>
          <w:szCs w:val="22"/>
        </w:rPr>
      </w:pPr>
    </w:p>
    <w:p w14:paraId="55E05601" w14:textId="77777777" w:rsidR="00D1577F" w:rsidRPr="0007572B" w:rsidRDefault="00D1577F" w:rsidP="0038082E">
      <w:pPr>
        <w:rPr>
          <w:rFonts w:ascii="Arial" w:hAnsi="Arial" w:cs="Arial"/>
          <w:b/>
          <w:sz w:val="22"/>
          <w:szCs w:val="22"/>
        </w:rPr>
      </w:pPr>
    </w:p>
    <w:p w14:paraId="1A5058E1" w14:textId="77777777" w:rsidR="00D1577F" w:rsidRPr="0007572B" w:rsidRDefault="00D1577F" w:rsidP="0038082E">
      <w:pPr>
        <w:spacing w:after="160"/>
        <w:rPr>
          <w:rFonts w:ascii="Arial" w:hAnsi="Arial" w:cs="Arial"/>
          <w:b/>
          <w:color w:val="000000"/>
          <w:sz w:val="22"/>
          <w:szCs w:val="22"/>
          <w:lang w:val="en-US"/>
        </w:rPr>
        <w:sectPr w:rsidR="00D1577F" w:rsidRPr="0007572B" w:rsidSect="0086765F">
          <w:pgSz w:w="11906" w:h="16838"/>
          <w:pgMar w:top="947" w:right="851" w:bottom="1440" w:left="851" w:header="284" w:footer="567" w:gutter="0"/>
          <w:cols w:space="708"/>
          <w:docGrid w:linePitch="360"/>
        </w:sectPr>
      </w:pPr>
    </w:p>
    <w:p w14:paraId="176E7486" w14:textId="77777777" w:rsidR="00D1577F" w:rsidRPr="0007572B" w:rsidRDefault="00D1577F" w:rsidP="0038082E">
      <w:pPr>
        <w:pStyle w:val="Heading4bold"/>
        <w:rPr>
          <w:lang w:val="en-US"/>
        </w:rPr>
      </w:pPr>
      <w:r w:rsidRPr="0007572B">
        <w:rPr>
          <w:lang w:val="en-US"/>
        </w:rPr>
        <w:lastRenderedPageBreak/>
        <w:t>Assets deployed in the provision of Policing Services:</w:t>
      </w:r>
    </w:p>
    <w:p w14:paraId="037908C8" w14:textId="6F277592" w:rsidR="00D1577F" w:rsidRPr="0007572B" w:rsidRDefault="00D1577F" w:rsidP="0038082E">
      <w:pPr>
        <w:rPr>
          <w:rFonts w:ascii="Arial" w:hAnsi="Arial" w:cs="Arial"/>
          <w:b/>
          <w:sz w:val="22"/>
          <w:szCs w:val="22"/>
        </w:rPr>
      </w:pPr>
    </w:p>
    <w:p w14:paraId="06327A87" w14:textId="5ADED806" w:rsidR="00CD68B8" w:rsidRDefault="00F10E47" w:rsidP="0038082E">
      <w:pPr>
        <w:rPr>
          <w:noProof/>
        </w:rPr>
      </w:pPr>
      <w:r w:rsidRPr="00F10E47">
        <w:rPr>
          <w:noProof/>
        </w:rPr>
        <w:drawing>
          <wp:inline distT="0" distB="0" distL="0" distR="0" wp14:anchorId="7DE32000" wp14:editId="56D92858">
            <wp:extent cx="9177020" cy="3559175"/>
            <wp:effectExtent l="0" t="0" r="508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77020" cy="3559175"/>
                    </a:xfrm>
                    <a:prstGeom prst="rect">
                      <a:avLst/>
                    </a:prstGeom>
                    <a:noFill/>
                    <a:ln>
                      <a:noFill/>
                    </a:ln>
                  </pic:spPr>
                </pic:pic>
              </a:graphicData>
            </a:graphic>
          </wp:inline>
        </w:drawing>
      </w:r>
    </w:p>
    <w:p w14:paraId="03C2819A" w14:textId="77777777" w:rsidR="00CD68B8" w:rsidRDefault="00CD68B8" w:rsidP="0038082E">
      <w:pPr>
        <w:rPr>
          <w:noProof/>
        </w:rPr>
      </w:pPr>
    </w:p>
    <w:p w14:paraId="57D64219" w14:textId="1E32E1CF" w:rsidR="0056706E" w:rsidRPr="0007572B" w:rsidRDefault="0056706E" w:rsidP="0038082E">
      <w:pPr>
        <w:rPr>
          <w:rFonts w:ascii="Arial" w:hAnsi="Arial" w:cs="Arial"/>
          <w:b/>
          <w:sz w:val="22"/>
          <w:szCs w:val="22"/>
        </w:rPr>
      </w:pPr>
    </w:p>
    <w:p w14:paraId="5E0EF686" w14:textId="4F6ACCEB" w:rsidR="00C01234" w:rsidRPr="0007572B" w:rsidRDefault="00C01234" w:rsidP="0038082E">
      <w:pPr>
        <w:rPr>
          <w:rFonts w:ascii="Arial" w:hAnsi="Arial" w:cs="Arial"/>
          <w:b/>
        </w:rPr>
      </w:pPr>
    </w:p>
    <w:p w14:paraId="470A9825" w14:textId="396475FB" w:rsidR="00C01234" w:rsidRPr="0007572B" w:rsidRDefault="00C01234" w:rsidP="0038082E">
      <w:pPr>
        <w:rPr>
          <w:rFonts w:ascii="Arial" w:hAnsi="Arial" w:cs="Arial"/>
          <w:b/>
          <w:sz w:val="40"/>
          <w:szCs w:val="40"/>
        </w:rPr>
        <w:sectPr w:rsidR="00C01234" w:rsidRPr="0007572B" w:rsidSect="00D1577F">
          <w:headerReference w:type="default" r:id="rId103"/>
          <w:pgSz w:w="16838" w:h="11906" w:orient="landscape"/>
          <w:pgMar w:top="1080" w:right="946" w:bottom="1416" w:left="1440" w:header="283" w:footer="567" w:gutter="0"/>
          <w:cols w:space="708"/>
          <w:docGrid w:linePitch="360"/>
        </w:sectPr>
      </w:pPr>
    </w:p>
    <w:p w14:paraId="637E0CFC" w14:textId="77777777" w:rsidR="00C01234" w:rsidRPr="0007572B" w:rsidRDefault="00C01234" w:rsidP="0038082E">
      <w:pPr>
        <w:pStyle w:val="Heading4bold"/>
      </w:pPr>
      <w:r w:rsidRPr="0007572B">
        <w:lastRenderedPageBreak/>
        <w:t>Police Fund Intangible Assets:</w:t>
      </w:r>
    </w:p>
    <w:p w14:paraId="75C51721" w14:textId="210D8676" w:rsidR="00C01234" w:rsidRDefault="00C01234" w:rsidP="003808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Arial" w:hAnsi="Arial" w:cs="Arial"/>
          <w:b/>
          <w:color w:val="000000"/>
          <w:sz w:val="22"/>
          <w:szCs w:val="22"/>
        </w:rPr>
      </w:pPr>
    </w:p>
    <w:p w14:paraId="1EEC228E" w14:textId="28E6C890" w:rsidR="00990A8F" w:rsidRDefault="00972EC1" w:rsidP="003808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Arial" w:hAnsi="Arial" w:cs="Arial"/>
          <w:b/>
          <w:color w:val="000000"/>
          <w:sz w:val="22"/>
          <w:szCs w:val="22"/>
        </w:rPr>
      </w:pPr>
      <w:r w:rsidRPr="00972EC1">
        <w:rPr>
          <w:noProof/>
        </w:rPr>
        <w:drawing>
          <wp:inline distT="0" distB="0" distL="0" distR="0" wp14:anchorId="3625A813" wp14:editId="0440C709">
            <wp:extent cx="5975350" cy="255397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75350" cy="2553970"/>
                    </a:xfrm>
                    <a:prstGeom prst="rect">
                      <a:avLst/>
                    </a:prstGeom>
                    <a:noFill/>
                    <a:ln>
                      <a:noFill/>
                    </a:ln>
                  </pic:spPr>
                </pic:pic>
              </a:graphicData>
            </a:graphic>
          </wp:inline>
        </w:drawing>
      </w:r>
    </w:p>
    <w:p w14:paraId="1B4D7D49" w14:textId="77777777" w:rsidR="00990A8F" w:rsidRPr="0007572B" w:rsidRDefault="00990A8F" w:rsidP="003808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Arial" w:hAnsi="Arial" w:cs="Arial"/>
          <w:b/>
          <w:color w:val="000000"/>
          <w:sz w:val="22"/>
          <w:szCs w:val="22"/>
        </w:rPr>
      </w:pPr>
    </w:p>
    <w:p w14:paraId="04CDE850" w14:textId="10B46318" w:rsidR="0056706E" w:rsidRPr="0007572B" w:rsidRDefault="0056706E" w:rsidP="003808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Arial" w:hAnsi="Arial" w:cs="Arial"/>
          <w:b/>
          <w:color w:val="000000"/>
          <w:sz w:val="22"/>
          <w:szCs w:val="22"/>
        </w:rPr>
      </w:pPr>
    </w:p>
    <w:p w14:paraId="25067906" w14:textId="097B6655" w:rsidR="003730CC" w:rsidRPr="0007572B" w:rsidRDefault="003730CC" w:rsidP="003730CC">
      <w:pPr>
        <w:pStyle w:val="Heading3greennumbered"/>
      </w:pPr>
      <w:r w:rsidRPr="0007572B">
        <w:t>3</w:t>
      </w:r>
      <w:r>
        <w:t>6</w:t>
      </w:r>
      <w:r w:rsidRPr="0007572B">
        <w:t xml:space="preserve"> </w:t>
      </w:r>
      <w:r>
        <w:t xml:space="preserve">Prior Period </w:t>
      </w:r>
      <w:r w:rsidR="00B951EC">
        <w:t>Restatements</w:t>
      </w:r>
    </w:p>
    <w:p w14:paraId="251554C3" w14:textId="3EB23A0A" w:rsidR="00C01234" w:rsidRPr="0007572B" w:rsidRDefault="00C01234" w:rsidP="003808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Arial" w:hAnsi="Arial" w:cs="Arial"/>
          <w:b/>
          <w:color w:val="000000"/>
          <w:sz w:val="22"/>
          <w:szCs w:val="22"/>
        </w:rPr>
      </w:pPr>
    </w:p>
    <w:p w14:paraId="6DA37276" w14:textId="4DB82CC9" w:rsidR="008648BE" w:rsidRPr="008648BE" w:rsidRDefault="00502431" w:rsidP="008648BE">
      <w:pPr>
        <w:rPr>
          <w:rFonts w:ascii="Arial" w:hAnsi="Arial" w:cs="Arial"/>
        </w:rPr>
      </w:pPr>
      <w:r w:rsidRPr="00502431">
        <w:rPr>
          <w:rFonts w:ascii="Arial" w:hAnsi="Arial" w:cs="Arial"/>
        </w:rPr>
        <w:t>Prior</w:t>
      </w:r>
      <w:r w:rsidR="008648BE" w:rsidRPr="00502431">
        <w:rPr>
          <w:rFonts w:ascii="Arial" w:hAnsi="Arial" w:cs="Arial"/>
        </w:rPr>
        <w:t xml:space="preserve"> period </w:t>
      </w:r>
      <w:r w:rsidR="008648BE" w:rsidRPr="008648BE">
        <w:rPr>
          <w:rFonts w:ascii="Arial" w:hAnsi="Arial" w:cs="Arial"/>
        </w:rPr>
        <w:t xml:space="preserve">values have been restated in the main statements and notes to the accounts so that 2020/21 is presented in a comparable way to 2021/22.  The narrative and tables below explain the changes that have been made. </w:t>
      </w:r>
    </w:p>
    <w:p w14:paraId="0745F60C" w14:textId="77777777" w:rsidR="008648BE" w:rsidRPr="008648BE" w:rsidRDefault="008648BE" w:rsidP="0038082E">
      <w:pPr>
        <w:rPr>
          <w:rFonts w:ascii="Arial" w:hAnsi="Arial" w:cs="Arial"/>
          <w:b/>
          <w:sz w:val="22"/>
          <w:szCs w:val="22"/>
        </w:rPr>
      </w:pPr>
    </w:p>
    <w:p w14:paraId="21FCE315" w14:textId="61E095C0" w:rsidR="008648BE" w:rsidRPr="008648BE" w:rsidRDefault="008648BE" w:rsidP="008648BE">
      <w:pPr>
        <w:rPr>
          <w:rFonts w:ascii="Arial" w:hAnsi="Arial" w:cs="Arial"/>
          <w:b/>
          <w:bCs/>
        </w:rPr>
      </w:pPr>
      <w:r w:rsidRPr="00502431">
        <w:rPr>
          <w:rFonts w:ascii="Arial" w:hAnsi="Arial" w:cs="Arial"/>
          <w:b/>
          <w:bCs/>
        </w:rPr>
        <w:t xml:space="preserve">Government Grants  </w:t>
      </w:r>
    </w:p>
    <w:p w14:paraId="7DA0635C" w14:textId="77777777" w:rsidR="008648BE" w:rsidRDefault="008648BE" w:rsidP="008648BE">
      <w:pPr>
        <w:rPr>
          <w:rFonts w:ascii="Arial" w:hAnsi="Arial" w:cs="Arial"/>
        </w:rPr>
      </w:pPr>
      <w:r w:rsidRPr="008648BE">
        <w:rPr>
          <w:rFonts w:ascii="Arial" w:hAnsi="Arial" w:cs="Arial"/>
        </w:rPr>
        <w:t>£63.378m Light Rail Support grant and £66.486m Covid-19 Bus Services Support grant as both income and expenditure based on further assessment of the grant award guidance. The revised treatment recognises that the GMCA is acting on its own behalf as ‘Principal’ in the receipt and onward award of the grants. Previously the GMCA had been deemed to be acting as an intermediary ‘Agent’ and therefore the transactions were excluded from the accounts.</w:t>
      </w:r>
    </w:p>
    <w:p w14:paraId="4DBF8A77" w14:textId="77777777" w:rsidR="008648BE" w:rsidRPr="008648BE" w:rsidRDefault="008648BE" w:rsidP="008648BE">
      <w:pPr>
        <w:rPr>
          <w:rFonts w:ascii="Arial" w:hAnsi="Arial" w:cs="Arial"/>
        </w:rPr>
      </w:pPr>
    </w:p>
    <w:p w14:paraId="0D10AC3F" w14:textId="77777777" w:rsidR="008648BE" w:rsidRPr="008648BE" w:rsidRDefault="008648BE" w:rsidP="008648BE">
      <w:pPr>
        <w:rPr>
          <w:rFonts w:ascii="Arial" w:hAnsi="Arial" w:cs="Arial"/>
        </w:rPr>
      </w:pPr>
      <w:r w:rsidRPr="008648BE">
        <w:rPr>
          <w:rFonts w:ascii="Arial" w:hAnsi="Arial" w:cs="Arial"/>
        </w:rPr>
        <w:t>The amendments in the table below have also been reflected in the Group Accounts.</w:t>
      </w:r>
    </w:p>
    <w:p w14:paraId="3AE954EF" w14:textId="2C80EF9F" w:rsidR="008648BE" w:rsidRDefault="008648BE" w:rsidP="0038082E">
      <w:pPr>
        <w:rPr>
          <w:rFonts w:ascii="Arial" w:hAnsi="Arial" w:cs="Arial"/>
          <w:b/>
          <w:sz w:val="22"/>
          <w:szCs w:val="22"/>
        </w:rPr>
      </w:pPr>
    </w:p>
    <w:p w14:paraId="78E03CB3" w14:textId="623DC681" w:rsidR="008648BE" w:rsidRDefault="009C0484" w:rsidP="0038082E">
      <w:pPr>
        <w:rPr>
          <w:rFonts w:ascii="Arial" w:hAnsi="Arial" w:cs="Arial"/>
          <w:b/>
          <w:sz w:val="22"/>
          <w:szCs w:val="22"/>
        </w:rPr>
      </w:pPr>
      <w:r w:rsidRPr="009C0484">
        <w:rPr>
          <w:noProof/>
        </w:rPr>
        <w:drawing>
          <wp:inline distT="0" distB="0" distL="0" distR="0" wp14:anchorId="2B6966D5" wp14:editId="22104CCF">
            <wp:extent cx="5975350" cy="11341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75350" cy="1134110"/>
                    </a:xfrm>
                    <a:prstGeom prst="rect">
                      <a:avLst/>
                    </a:prstGeom>
                    <a:noFill/>
                    <a:ln>
                      <a:noFill/>
                    </a:ln>
                  </pic:spPr>
                </pic:pic>
              </a:graphicData>
            </a:graphic>
          </wp:inline>
        </w:drawing>
      </w:r>
    </w:p>
    <w:p w14:paraId="199F332B" w14:textId="77777777" w:rsidR="008648BE" w:rsidRDefault="008648BE" w:rsidP="0038082E">
      <w:pPr>
        <w:rPr>
          <w:rFonts w:ascii="Arial" w:hAnsi="Arial" w:cs="Arial"/>
          <w:b/>
          <w:sz w:val="22"/>
          <w:szCs w:val="22"/>
        </w:rPr>
      </w:pPr>
    </w:p>
    <w:p w14:paraId="0B7AAAFA" w14:textId="1A7377A2" w:rsidR="008648BE" w:rsidRPr="000C63F7" w:rsidRDefault="008648BE" w:rsidP="008648BE">
      <w:pPr>
        <w:rPr>
          <w:rFonts w:ascii="Arial" w:hAnsi="Arial" w:cs="Arial"/>
          <w:b/>
          <w:bCs/>
        </w:rPr>
      </w:pPr>
      <w:r w:rsidRPr="00502431">
        <w:rPr>
          <w:rFonts w:ascii="Arial" w:hAnsi="Arial" w:cs="Arial"/>
          <w:b/>
          <w:bCs/>
        </w:rPr>
        <w:t>Cashflow</w:t>
      </w:r>
    </w:p>
    <w:p w14:paraId="7BFDEEB1" w14:textId="202022AC" w:rsidR="008648BE" w:rsidRPr="000C63F7" w:rsidRDefault="008648BE" w:rsidP="008648BE">
      <w:pPr>
        <w:rPr>
          <w:rFonts w:ascii="Arial" w:hAnsi="Arial" w:cs="Arial"/>
        </w:rPr>
      </w:pPr>
      <w:r w:rsidRPr="000C63F7">
        <w:rPr>
          <w:rFonts w:ascii="Arial" w:hAnsi="Arial" w:cs="Arial"/>
        </w:rPr>
        <w:t>The Cashflow Statement and supporting Notes have been restated following a revised analysis approach adopted in 2021</w:t>
      </w:r>
      <w:r w:rsidR="00502431">
        <w:rPr>
          <w:rFonts w:ascii="Arial" w:hAnsi="Arial" w:cs="Arial"/>
        </w:rPr>
        <w:t>/</w:t>
      </w:r>
      <w:r w:rsidRPr="000C63F7">
        <w:rPr>
          <w:rFonts w:ascii="Arial" w:hAnsi="Arial" w:cs="Arial"/>
        </w:rPr>
        <w:t xml:space="preserve">22.  </w:t>
      </w:r>
    </w:p>
    <w:p w14:paraId="078C6B01" w14:textId="77777777" w:rsidR="008648BE" w:rsidRDefault="008648BE" w:rsidP="008648BE">
      <w:pPr>
        <w:rPr>
          <w:rFonts w:ascii="Arial" w:hAnsi="Arial" w:cs="Arial"/>
        </w:rPr>
      </w:pPr>
    </w:p>
    <w:p w14:paraId="57BAED24" w14:textId="51DB977C" w:rsidR="008648BE" w:rsidRDefault="008648BE" w:rsidP="008648BE">
      <w:pPr>
        <w:rPr>
          <w:rFonts w:ascii="Arial" w:hAnsi="Arial" w:cs="Arial"/>
        </w:rPr>
      </w:pPr>
      <w:r w:rsidRPr="000C63F7">
        <w:rPr>
          <w:rFonts w:ascii="Arial" w:hAnsi="Arial" w:cs="Arial"/>
        </w:rPr>
        <w:t xml:space="preserve">This has eliminated the £1.010m previously disclosed </w:t>
      </w:r>
      <w:r w:rsidR="006E53BD" w:rsidRPr="006E53BD">
        <w:rPr>
          <w:rFonts w:ascii="Arial" w:hAnsi="Arial" w:cs="Arial"/>
        </w:rPr>
        <w:t>in Note 32a</w:t>
      </w:r>
      <w:r w:rsidR="006E53BD">
        <w:rPr>
          <w:rFonts w:ascii="Arial" w:hAnsi="Arial" w:cs="Arial"/>
        </w:rPr>
        <w:t xml:space="preserve"> Cash Flow Statement - Adjustments to Net Cash Flows from Operating Activities </w:t>
      </w:r>
      <w:r w:rsidRPr="000C63F7">
        <w:rPr>
          <w:rFonts w:ascii="Arial" w:hAnsi="Arial" w:cs="Arial"/>
        </w:rPr>
        <w:t>and th</w:t>
      </w:r>
      <w:r w:rsidR="007E467D">
        <w:rPr>
          <w:rFonts w:ascii="Arial" w:hAnsi="Arial" w:cs="Arial"/>
        </w:rPr>
        <w:t>e movement</w:t>
      </w:r>
      <w:r w:rsidRPr="000C63F7">
        <w:rPr>
          <w:rFonts w:ascii="Arial" w:hAnsi="Arial" w:cs="Arial"/>
        </w:rPr>
        <w:t xml:space="preserve"> allocated to other operating cashflow activity lines</w:t>
      </w:r>
      <w:r w:rsidR="006E53BD">
        <w:rPr>
          <w:rFonts w:ascii="Arial" w:hAnsi="Arial" w:cs="Arial"/>
        </w:rPr>
        <w:t>.</w:t>
      </w:r>
    </w:p>
    <w:p w14:paraId="388A59E8" w14:textId="77777777" w:rsidR="006E53BD" w:rsidRDefault="006E53BD" w:rsidP="008648BE">
      <w:pPr>
        <w:rPr>
          <w:rFonts w:ascii="Arial" w:hAnsi="Arial" w:cs="Arial"/>
        </w:rPr>
      </w:pPr>
    </w:p>
    <w:p w14:paraId="7BBF4296" w14:textId="02DD2359" w:rsidR="006E53BD" w:rsidRDefault="006E53BD" w:rsidP="008648BE">
      <w:pPr>
        <w:rPr>
          <w:rFonts w:ascii="Arial" w:hAnsi="Arial" w:cs="Arial"/>
        </w:rPr>
      </w:pPr>
      <w:r>
        <w:rPr>
          <w:rFonts w:ascii="Arial" w:hAnsi="Arial" w:cs="Arial"/>
        </w:rPr>
        <w:lastRenderedPageBreak/>
        <w:t>An additional disclosure has been added in 2021</w:t>
      </w:r>
      <w:r w:rsidR="00502431">
        <w:rPr>
          <w:rFonts w:ascii="Arial" w:hAnsi="Arial" w:cs="Arial"/>
        </w:rPr>
        <w:t>/</w:t>
      </w:r>
      <w:r>
        <w:rPr>
          <w:rFonts w:ascii="Arial" w:hAnsi="Arial" w:cs="Arial"/>
        </w:rPr>
        <w:t xml:space="preserve">22 to </w:t>
      </w:r>
      <w:r w:rsidR="008C1DA1">
        <w:rPr>
          <w:rFonts w:ascii="Arial" w:hAnsi="Arial" w:cs="Arial"/>
        </w:rPr>
        <w:t xml:space="preserve">separately </w:t>
      </w:r>
      <w:r>
        <w:rPr>
          <w:rFonts w:ascii="Arial" w:hAnsi="Arial" w:cs="Arial"/>
        </w:rPr>
        <w:t xml:space="preserve">disclose </w:t>
      </w:r>
      <w:r w:rsidR="008C1DA1">
        <w:rPr>
          <w:rFonts w:ascii="Arial" w:hAnsi="Arial" w:cs="Arial"/>
        </w:rPr>
        <w:t xml:space="preserve">the values for Interest Received and Interest Paid, which are included within </w:t>
      </w:r>
      <w:r w:rsidR="008C1DA1" w:rsidRPr="000C63F7">
        <w:rPr>
          <w:rFonts w:ascii="Arial" w:hAnsi="Arial" w:cs="Arial"/>
        </w:rPr>
        <w:t>other operating cashflow activity lines</w:t>
      </w:r>
      <w:r w:rsidR="008C1DA1">
        <w:rPr>
          <w:rFonts w:ascii="Arial" w:hAnsi="Arial" w:cs="Arial"/>
        </w:rPr>
        <w:t>.</w:t>
      </w:r>
    </w:p>
    <w:p w14:paraId="394E6146" w14:textId="77777777" w:rsidR="006E53BD" w:rsidRDefault="006E53BD" w:rsidP="008648BE">
      <w:pPr>
        <w:rPr>
          <w:rFonts w:ascii="Arial" w:hAnsi="Arial" w:cs="Arial"/>
        </w:rPr>
      </w:pPr>
    </w:p>
    <w:p w14:paraId="39286D33" w14:textId="365DE875" w:rsidR="008648BE" w:rsidRDefault="008648BE" w:rsidP="008648BE">
      <w:pPr>
        <w:rPr>
          <w:rFonts w:ascii="Arial" w:hAnsi="Arial" w:cs="Arial"/>
        </w:rPr>
      </w:pPr>
      <w:r w:rsidRPr="000C63F7">
        <w:rPr>
          <w:rFonts w:ascii="Arial" w:hAnsi="Arial" w:cs="Arial"/>
        </w:rPr>
        <w:t xml:space="preserve">Other movements are due to restatements </w:t>
      </w:r>
      <w:r w:rsidR="008C1DA1">
        <w:rPr>
          <w:rFonts w:ascii="Arial" w:hAnsi="Arial" w:cs="Arial"/>
        </w:rPr>
        <w:t>to correct</w:t>
      </w:r>
      <w:r w:rsidRPr="000C63F7">
        <w:rPr>
          <w:rFonts w:ascii="Arial" w:hAnsi="Arial" w:cs="Arial"/>
        </w:rPr>
        <w:t xml:space="preserve"> </w:t>
      </w:r>
      <w:r w:rsidR="008C1DA1">
        <w:rPr>
          <w:rFonts w:ascii="Arial" w:hAnsi="Arial" w:cs="Arial"/>
        </w:rPr>
        <w:t>the mis</w:t>
      </w:r>
      <w:r w:rsidRPr="000C63F7">
        <w:rPr>
          <w:rFonts w:ascii="Arial" w:hAnsi="Arial" w:cs="Arial"/>
        </w:rPr>
        <w:t xml:space="preserve">classification </w:t>
      </w:r>
      <w:r w:rsidR="008C1DA1">
        <w:rPr>
          <w:rFonts w:ascii="Arial" w:hAnsi="Arial" w:cs="Arial"/>
        </w:rPr>
        <w:t xml:space="preserve">of movements </w:t>
      </w:r>
      <w:r w:rsidRPr="000C63F7">
        <w:rPr>
          <w:rFonts w:ascii="Arial" w:hAnsi="Arial" w:cs="Arial"/>
        </w:rPr>
        <w:t xml:space="preserve">between operating and investing activities and </w:t>
      </w:r>
      <w:r w:rsidR="002E3C35">
        <w:rPr>
          <w:rFonts w:ascii="Arial" w:hAnsi="Arial" w:cs="Arial"/>
        </w:rPr>
        <w:t>the</w:t>
      </w:r>
      <w:r w:rsidR="008C1DA1">
        <w:rPr>
          <w:rFonts w:ascii="Arial" w:hAnsi="Arial" w:cs="Arial"/>
        </w:rPr>
        <w:t xml:space="preserve"> result of </w:t>
      </w:r>
      <w:r w:rsidRPr="000C63F7">
        <w:rPr>
          <w:rFonts w:ascii="Arial" w:hAnsi="Arial" w:cs="Arial"/>
        </w:rPr>
        <w:t xml:space="preserve">further </w:t>
      </w:r>
      <w:r w:rsidR="002E3C35">
        <w:rPr>
          <w:rFonts w:ascii="Arial" w:hAnsi="Arial" w:cs="Arial"/>
        </w:rPr>
        <w:t xml:space="preserve">analytical review </w:t>
      </w:r>
      <w:r w:rsidRPr="000C63F7">
        <w:rPr>
          <w:rFonts w:ascii="Arial" w:hAnsi="Arial" w:cs="Arial"/>
        </w:rPr>
        <w:t xml:space="preserve">of all cashflow driven activities and transactions. </w:t>
      </w:r>
    </w:p>
    <w:p w14:paraId="4888B4DF" w14:textId="77777777" w:rsidR="008648BE" w:rsidRPr="000C63F7" w:rsidRDefault="008648BE" w:rsidP="008648BE">
      <w:pPr>
        <w:rPr>
          <w:rFonts w:ascii="Arial" w:hAnsi="Arial" w:cs="Arial"/>
        </w:rPr>
      </w:pPr>
    </w:p>
    <w:p w14:paraId="5EF1FF50" w14:textId="77777777" w:rsidR="008648BE" w:rsidRDefault="008648BE" w:rsidP="008648BE">
      <w:pPr>
        <w:rPr>
          <w:rFonts w:ascii="Arial" w:hAnsi="Arial" w:cs="Arial"/>
        </w:rPr>
      </w:pPr>
      <w:r w:rsidRPr="000C63F7">
        <w:rPr>
          <w:rFonts w:ascii="Arial" w:hAnsi="Arial" w:cs="Arial"/>
        </w:rPr>
        <w:t>The amendments in the tables below have also been reflected in the Group Accounts.</w:t>
      </w:r>
    </w:p>
    <w:p w14:paraId="31A490AD" w14:textId="77777777" w:rsidR="00641792" w:rsidRPr="000C63F7" w:rsidRDefault="00641792" w:rsidP="008648BE">
      <w:pPr>
        <w:rPr>
          <w:rFonts w:ascii="Arial" w:hAnsi="Arial" w:cs="Arial"/>
        </w:rPr>
      </w:pPr>
    </w:p>
    <w:p w14:paraId="63E0BE3A" w14:textId="31757D45" w:rsidR="0026268F" w:rsidRDefault="003943A4" w:rsidP="0038082E">
      <w:pPr>
        <w:rPr>
          <w:rFonts w:ascii="Arial" w:hAnsi="Arial" w:cs="Arial"/>
          <w:b/>
          <w:sz w:val="22"/>
          <w:szCs w:val="22"/>
        </w:rPr>
      </w:pPr>
      <w:r w:rsidRPr="003943A4">
        <w:rPr>
          <w:noProof/>
        </w:rPr>
        <w:drawing>
          <wp:inline distT="0" distB="0" distL="0" distR="0" wp14:anchorId="39852FE7" wp14:editId="71E78802">
            <wp:extent cx="5975350" cy="2506980"/>
            <wp:effectExtent l="0" t="0" r="635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75350" cy="2506980"/>
                    </a:xfrm>
                    <a:prstGeom prst="rect">
                      <a:avLst/>
                    </a:prstGeom>
                    <a:noFill/>
                    <a:ln>
                      <a:noFill/>
                    </a:ln>
                  </pic:spPr>
                </pic:pic>
              </a:graphicData>
            </a:graphic>
          </wp:inline>
        </w:drawing>
      </w:r>
    </w:p>
    <w:p w14:paraId="0ABFD1BF" w14:textId="77777777" w:rsidR="006E53BD" w:rsidRDefault="006E53BD" w:rsidP="0038082E">
      <w:pPr>
        <w:rPr>
          <w:rFonts w:ascii="Arial" w:hAnsi="Arial" w:cs="Arial"/>
          <w:b/>
          <w:sz w:val="22"/>
          <w:szCs w:val="22"/>
        </w:rPr>
      </w:pPr>
    </w:p>
    <w:p w14:paraId="41CBE35D" w14:textId="77777777" w:rsidR="006E53BD" w:rsidRDefault="006E53BD" w:rsidP="0038082E">
      <w:pPr>
        <w:rPr>
          <w:rFonts w:ascii="Arial" w:hAnsi="Arial" w:cs="Arial"/>
          <w:b/>
          <w:sz w:val="22"/>
          <w:szCs w:val="22"/>
        </w:rPr>
      </w:pPr>
    </w:p>
    <w:p w14:paraId="6ABAFCAE" w14:textId="47ED8EB8" w:rsidR="006E53BD" w:rsidRDefault="006E53BD" w:rsidP="0038082E">
      <w:pPr>
        <w:rPr>
          <w:rFonts w:ascii="Arial" w:hAnsi="Arial" w:cs="Arial"/>
          <w:b/>
          <w:sz w:val="22"/>
          <w:szCs w:val="22"/>
        </w:rPr>
      </w:pPr>
      <w:r w:rsidRPr="006E53BD">
        <w:rPr>
          <w:noProof/>
        </w:rPr>
        <w:drawing>
          <wp:inline distT="0" distB="0" distL="0" distR="0" wp14:anchorId="2B225FEE" wp14:editId="14573291">
            <wp:extent cx="5975350" cy="3516630"/>
            <wp:effectExtent l="0" t="0" r="635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75350" cy="3516630"/>
                    </a:xfrm>
                    <a:prstGeom prst="rect">
                      <a:avLst/>
                    </a:prstGeom>
                    <a:noFill/>
                    <a:ln>
                      <a:noFill/>
                    </a:ln>
                  </pic:spPr>
                </pic:pic>
              </a:graphicData>
            </a:graphic>
          </wp:inline>
        </w:drawing>
      </w:r>
    </w:p>
    <w:p w14:paraId="03720617" w14:textId="77777777" w:rsidR="007E467D" w:rsidRDefault="007E467D" w:rsidP="006E53BD">
      <w:pPr>
        <w:rPr>
          <w:rFonts w:ascii="Arial" w:hAnsi="Arial" w:cs="Arial"/>
          <w:sz w:val="22"/>
          <w:szCs w:val="22"/>
        </w:rPr>
      </w:pPr>
    </w:p>
    <w:p w14:paraId="34998BC1" w14:textId="38E34F9D" w:rsidR="006E53BD" w:rsidRDefault="006E53BD" w:rsidP="006E53BD">
      <w:pPr>
        <w:rPr>
          <w:rFonts w:ascii="Arial" w:hAnsi="Arial" w:cs="Arial"/>
          <w:sz w:val="22"/>
          <w:szCs w:val="22"/>
        </w:rPr>
      </w:pPr>
      <w:r w:rsidRPr="00B211C1">
        <w:rPr>
          <w:rFonts w:ascii="Arial" w:hAnsi="Arial" w:cs="Arial"/>
          <w:sz w:val="22"/>
          <w:szCs w:val="22"/>
        </w:rPr>
        <w:t>The cash flows for operating activities include the following items:</w:t>
      </w:r>
    </w:p>
    <w:p w14:paraId="58AD1B03" w14:textId="77777777" w:rsidR="006E53BD" w:rsidRDefault="006E53BD" w:rsidP="0038082E">
      <w:pPr>
        <w:rPr>
          <w:rFonts w:ascii="Arial" w:hAnsi="Arial" w:cs="Arial"/>
          <w:b/>
          <w:sz w:val="22"/>
          <w:szCs w:val="22"/>
        </w:rPr>
      </w:pPr>
      <w:r w:rsidRPr="006E53BD">
        <w:rPr>
          <w:noProof/>
        </w:rPr>
        <w:drawing>
          <wp:inline distT="0" distB="0" distL="0" distR="0" wp14:anchorId="046C1FBD" wp14:editId="52E2688E">
            <wp:extent cx="5975350" cy="680720"/>
            <wp:effectExtent l="0" t="0" r="6350" b="508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75350" cy="680720"/>
                    </a:xfrm>
                    <a:prstGeom prst="rect">
                      <a:avLst/>
                    </a:prstGeom>
                    <a:noFill/>
                    <a:ln>
                      <a:noFill/>
                    </a:ln>
                  </pic:spPr>
                </pic:pic>
              </a:graphicData>
            </a:graphic>
          </wp:inline>
        </w:drawing>
      </w:r>
    </w:p>
    <w:p w14:paraId="7B7F3B9C" w14:textId="77777777" w:rsidR="006E53BD" w:rsidRDefault="006E53BD" w:rsidP="0038082E">
      <w:pPr>
        <w:rPr>
          <w:rFonts w:ascii="Arial" w:hAnsi="Arial" w:cs="Arial"/>
          <w:b/>
          <w:sz w:val="22"/>
          <w:szCs w:val="22"/>
        </w:rPr>
      </w:pPr>
    </w:p>
    <w:p w14:paraId="48A94FA8" w14:textId="77777777" w:rsidR="006E53BD" w:rsidRDefault="006E53BD" w:rsidP="0038082E">
      <w:pPr>
        <w:rPr>
          <w:rFonts w:ascii="Arial" w:hAnsi="Arial" w:cs="Arial"/>
          <w:b/>
          <w:sz w:val="22"/>
          <w:szCs w:val="22"/>
        </w:rPr>
      </w:pPr>
    </w:p>
    <w:p w14:paraId="18FC5F02" w14:textId="27ACE86D" w:rsidR="006E53BD" w:rsidRDefault="007C001F" w:rsidP="0038082E">
      <w:pPr>
        <w:rPr>
          <w:rFonts w:ascii="Arial" w:hAnsi="Arial" w:cs="Arial"/>
          <w:b/>
          <w:sz w:val="22"/>
          <w:szCs w:val="22"/>
        </w:rPr>
      </w:pPr>
      <w:r w:rsidRPr="007C001F">
        <w:rPr>
          <w:noProof/>
        </w:rPr>
        <w:drawing>
          <wp:inline distT="0" distB="0" distL="0" distR="0" wp14:anchorId="38EBA52F" wp14:editId="385BA210">
            <wp:extent cx="5975350" cy="1767840"/>
            <wp:effectExtent l="0" t="0" r="635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75350" cy="1767840"/>
                    </a:xfrm>
                    <a:prstGeom prst="rect">
                      <a:avLst/>
                    </a:prstGeom>
                    <a:noFill/>
                    <a:ln>
                      <a:noFill/>
                    </a:ln>
                  </pic:spPr>
                </pic:pic>
              </a:graphicData>
            </a:graphic>
          </wp:inline>
        </w:drawing>
      </w:r>
    </w:p>
    <w:p w14:paraId="32F65A3A" w14:textId="72D1B401" w:rsidR="00C01234" w:rsidRDefault="00C01234" w:rsidP="0038082E">
      <w:pPr>
        <w:rPr>
          <w:rFonts w:ascii="Arial" w:hAnsi="Arial" w:cs="Arial"/>
          <w:b/>
          <w:sz w:val="22"/>
          <w:szCs w:val="22"/>
        </w:rPr>
      </w:pPr>
      <w:r w:rsidRPr="008648BE">
        <w:rPr>
          <w:rFonts w:ascii="Arial" w:hAnsi="Arial" w:cs="Arial"/>
          <w:b/>
          <w:sz w:val="22"/>
          <w:szCs w:val="22"/>
        </w:rPr>
        <w:br w:type="page"/>
      </w:r>
    </w:p>
    <w:p w14:paraId="7C09EF50" w14:textId="39613FE4" w:rsidR="00293CC5" w:rsidRPr="0007572B" w:rsidRDefault="00293CC5" w:rsidP="0038082E">
      <w:pPr>
        <w:pStyle w:val="Heaading2green"/>
      </w:pPr>
      <w:bookmarkStart w:id="212" w:name="_Toc109922649"/>
      <w:r w:rsidRPr="0007572B">
        <w:lastRenderedPageBreak/>
        <w:t>Firefighters’ Pension Fund</w:t>
      </w:r>
      <w:bookmarkEnd w:id="212"/>
    </w:p>
    <w:p w14:paraId="6079CDA8" w14:textId="77777777" w:rsidR="005F371A" w:rsidRPr="005F371A" w:rsidRDefault="005F371A" w:rsidP="0038082E">
      <w:pPr>
        <w:rPr>
          <w:rFonts w:ascii="Arial" w:hAnsi="Arial" w:cs="Arial"/>
        </w:rPr>
      </w:pPr>
    </w:p>
    <w:p w14:paraId="323DBAEF" w14:textId="5E9DA2C2" w:rsidR="00293CC5" w:rsidRPr="005F371A" w:rsidRDefault="00293CC5" w:rsidP="0038082E">
      <w:pPr>
        <w:rPr>
          <w:rFonts w:ascii="Arial" w:hAnsi="Arial" w:cs="Arial"/>
        </w:rPr>
      </w:pPr>
      <w:r w:rsidRPr="005F371A">
        <w:rPr>
          <w:rFonts w:ascii="Arial" w:hAnsi="Arial" w:cs="Arial"/>
        </w:rPr>
        <w:t>There is a requirement in the Code of Practice to produce a Pension Fund Account and Net Assets Statement in respect of the Firefighter’s Pension Scheme. The purpose of the Funds is to provide a basis for demonstrating the balance of cash based transactions taking place over the year and for identifying the arrangements needed to close the balance for the year. The primary objective is to separate the cost of providing pensions from the cost of running services.</w:t>
      </w:r>
    </w:p>
    <w:p w14:paraId="0539231E" w14:textId="77777777" w:rsidR="00293CC5" w:rsidRPr="0007572B" w:rsidRDefault="00293CC5" w:rsidP="0038082E">
      <w:pPr>
        <w:rPr>
          <w:rFonts w:ascii="Arial" w:hAnsi="Arial" w:cs="Arial"/>
          <w:sz w:val="28"/>
          <w:szCs w:val="28"/>
        </w:rPr>
      </w:pPr>
    </w:p>
    <w:p w14:paraId="7C04E387" w14:textId="242C3BAC" w:rsidR="00293CC5" w:rsidRDefault="00293CC5" w:rsidP="0038082E">
      <w:pPr>
        <w:rPr>
          <w:rFonts w:ascii="Arial" w:hAnsi="Arial" w:cs="Arial"/>
        </w:rPr>
      </w:pPr>
      <w:r w:rsidRPr="0007572B">
        <w:rPr>
          <w:rFonts w:ascii="Arial" w:hAnsi="Arial" w:cs="Arial"/>
        </w:rPr>
        <w:t>This is an unfunded scheme, which is administered in accordance with Home Office regulations. For such schemes as there are no investment assets, IAS19 requires recognition of the liability and pension reserve in the Balance Sheet and transactions in the Income and Expenditure Account for movements in the liability and reserve.</w:t>
      </w:r>
    </w:p>
    <w:p w14:paraId="28BAD9A7" w14:textId="42979F07" w:rsidR="00823103" w:rsidRPr="0007572B" w:rsidRDefault="00823103" w:rsidP="0038082E">
      <w:pPr>
        <w:pStyle w:val="Heading3"/>
      </w:pPr>
      <w:bookmarkStart w:id="213" w:name="_Toc92894912"/>
      <w:bookmarkStart w:id="214" w:name="_Toc92895216"/>
      <w:bookmarkStart w:id="215" w:name="_Toc109922650"/>
      <w:r>
        <w:t>Firefighters’ Pension Fund Account</w:t>
      </w:r>
      <w:bookmarkEnd w:id="213"/>
      <w:bookmarkEnd w:id="214"/>
      <w:bookmarkEnd w:id="215"/>
    </w:p>
    <w:p w14:paraId="6299A3A2" w14:textId="734A51F4" w:rsidR="00293CC5" w:rsidRDefault="00293CC5" w:rsidP="0038082E">
      <w:pPr>
        <w:rPr>
          <w:rFonts w:ascii="Arial" w:hAnsi="Arial" w:cs="Arial"/>
        </w:rPr>
      </w:pPr>
    </w:p>
    <w:p w14:paraId="0536ED5D" w14:textId="18C7F47D" w:rsidR="00990A8F" w:rsidRDefault="00410CDF" w:rsidP="0038082E">
      <w:pPr>
        <w:rPr>
          <w:rFonts w:ascii="Arial" w:hAnsi="Arial" w:cs="Arial"/>
        </w:rPr>
      </w:pPr>
      <w:r w:rsidRPr="00410CDF">
        <w:rPr>
          <w:rFonts w:ascii="Arial" w:hAnsi="Arial" w:cs="Arial"/>
        </w:rPr>
        <w:t xml:space="preserve"> </w:t>
      </w:r>
      <w:r w:rsidRPr="00410CDF">
        <w:rPr>
          <w:noProof/>
        </w:rPr>
        <w:drawing>
          <wp:inline distT="0" distB="0" distL="0" distR="0" wp14:anchorId="1D7687C1" wp14:editId="062A1DDA">
            <wp:extent cx="5538470" cy="2876550"/>
            <wp:effectExtent l="0" t="0" r="508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38470" cy="2876550"/>
                    </a:xfrm>
                    <a:prstGeom prst="rect">
                      <a:avLst/>
                    </a:prstGeom>
                    <a:noFill/>
                    <a:ln>
                      <a:noFill/>
                    </a:ln>
                  </pic:spPr>
                </pic:pic>
              </a:graphicData>
            </a:graphic>
          </wp:inline>
        </w:drawing>
      </w:r>
    </w:p>
    <w:p w14:paraId="3A6EAF11" w14:textId="77777777" w:rsidR="00990A8F" w:rsidRPr="0007572B" w:rsidRDefault="00990A8F" w:rsidP="0038082E">
      <w:pPr>
        <w:rPr>
          <w:rFonts w:ascii="Arial" w:hAnsi="Arial" w:cs="Arial"/>
        </w:rPr>
      </w:pPr>
    </w:p>
    <w:p w14:paraId="313AD74B" w14:textId="77777777" w:rsidR="00293CC5" w:rsidRPr="0007572B" w:rsidRDefault="00293CC5" w:rsidP="0038082E">
      <w:pPr>
        <w:pStyle w:val="Heading3"/>
      </w:pPr>
      <w:bookmarkStart w:id="216" w:name="_Toc92894913"/>
      <w:bookmarkStart w:id="217" w:name="_Toc92895217"/>
      <w:bookmarkStart w:id="218" w:name="_Toc109922651"/>
      <w:r w:rsidRPr="0007572B">
        <w:t>Net asset statement</w:t>
      </w:r>
      <w:bookmarkEnd w:id="216"/>
      <w:bookmarkEnd w:id="217"/>
      <w:bookmarkEnd w:id="218"/>
    </w:p>
    <w:p w14:paraId="39622041" w14:textId="13544FDB" w:rsidR="00293CC5" w:rsidRDefault="00293CC5" w:rsidP="0038082E">
      <w:pPr>
        <w:rPr>
          <w:rFonts w:ascii="Arial" w:hAnsi="Arial" w:cs="Arial"/>
        </w:rPr>
      </w:pPr>
    </w:p>
    <w:p w14:paraId="248852DC" w14:textId="6210A8AA" w:rsidR="00600DE2" w:rsidRDefault="00410CDF" w:rsidP="0038082E">
      <w:pPr>
        <w:rPr>
          <w:rFonts w:ascii="Arial" w:hAnsi="Arial" w:cs="Arial"/>
        </w:rPr>
      </w:pPr>
      <w:r w:rsidRPr="00410CDF">
        <w:rPr>
          <w:noProof/>
        </w:rPr>
        <w:drawing>
          <wp:inline distT="0" distB="0" distL="0" distR="0" wp14:anchorId="6E7E28F4" wp14:editId="6EEBAB1F">
            <wp:extent cx="5538470" cy="1024255"/>
            <wp:effectExtent l="0" t="0" r="508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38470" cy="1024255"/>
                    </a:xfrm>
                    <a:prstGeom prst="rect">
                      <a:avLst/>
                    </a:prstGeom>
                    <a:noFill/>
                    <a:ln>
                      <a:noFill/>
                    </a:ln>
                  </pic:spPr>
                </pic:pic>
              </a:graphicData>
            </a:graphic>
          </wp:inline>
        </w:drawing>
      </w:r>
    </w:p>
    <w:p w14:paraId="29DBAC2C" w14:textId="6E4E97F1" w:rsidR="00293CC5" w:rsidRPr="0007572B" w:rsidRDefault="00293CC5" w:rsidP="0038082E">
      <w:pPr>
        <w:rPr>
          <w:rFonts w:ascii="Arial" w:hAnsi="Arial" w:cs="Arial"/>
        </w:rPr>
      </w:pPr>
    </w:p>
    <w:p w14:paraId="2FDDD2D7" w14:textId="12EF340E" w:rsidR="00293CC5" w:rsidRPr="0007572B" w:rsidRDefault="00293CC5" w:rsidP="0038082E">
      <w:pPr>
        <w:rPr>
          <w:rFonts w:ascii="Arial" w:hAnsi="Arial" w:cs="Arial"/>
        </w:rPr>
      </w:pPr>
      <w:r w:rsidRPr="0007572B">
        <w:rPr>
          <w:rFonts w:ascii="Arial" w:hAnsi="Arial" w:cs="Arial"/>
        </w:rPr>
        <w:t xml:space="preserve">The funding arrangements for the Firefighters’ Pension Scheme in England changed on 1 April 2006. Before 1 April 2006 these schemes did not have a percentage of pensionable pay type of employer’s contribution - rather each </w:t>
      </w:r>
      <w:r w:rsidR="00D952FE" w:rsidRPr="0007572B">
        <w:rPr>
          <w:rFonts w:ascii="Arial" w:hAnsi="Arial" w:cs="Arial"/>
        </w:rPr>
        <w:t>a</w:t>
      </w:r>
      <w:r w:rsidRPr="0007572B">
        <w:rPr>
          <w:rFonts w:ascii="Arial" w:hAnsi="Arial" w:cs="Arial"/>
        </w:rPr>
        <w:t xml:space="preserve">uthority was responsible for paying the pensions of its own former employees on a pay as you go basis. Under the new arrangements the schemes remain unfunded but Authorities will pay an employer’s pension contribution based on a percentage of pay into the Pension Fund. Each </w:t>
      </w:r>
      <w:r w:rsidR="00D952FE" w:rsidRPr="0007572B">
        <w:rPr>
          <w:rFonts w:ascii="Arial" w:hAnsi="Arial" w:cs="Arial"/>
        </w:rPr>
        <w:t>a</w:t>
      </w:r>
      <w:r w:rsidRPr="0007572B">
        <w:rPr>
          <w:rFonts w:ascii="Arial" w:hAnsi="Arial" w:cs="Arial"/>
        </w:rPr>
        <w:t xml:space="preserve">uthority in England is required by legislation to operate a Pension Fund and the </w:t>
      </w:r>
      <w:r w:rsidRPr="0007572B">
        <w:rPr>
          <w:rFonts w:ascii="Arial" w:hAnsi="Arial" w:cs="Arial"/>
        </w:rPr>
        <w:lastRenderedPageBreak/>
        <w:t>amounts that must be paid into and out of the Fund are specified by regulation under the Firefighters’ Pension Scheme (Amendment) (England) Order 2006.</w:t>
      </w:r>
    </w:p>
    <w:p w14:paraId="6BEE47B6" w14:textId="77777777" w:rsidR="00293CC5" w:rsidRPr="0007572B" w:rsidRDefault="00293CC5" w:rsidP="0038082E">
      <w:pPr>
        <w:rPr>
          <w:rFonts w:ascii="Arial" w:hAnsi="Arial" w:cs="Arial"/>
        </w:rPr>
      </w:pPr>
    </w:p>
    <w:p w14:paraId="2F420781" w14:textId="77777777" w:rsidR="00293CC5" w:rsidRPr="0007572B" w:rsidRDefault="00293CC5" w:rsidP="0038082E">
      <w:pPr>
        <w:rPr>
          <w:rFonts w:ascii="Arial" w:hAnsi="Arial" w:cs="Arial"/>
        </w:rPr>
      </w:pPr>
      <w:r w:rsidRPr="0007572B">
        <w:rPr>
          <w:rFonts w:ascii="Arial" w:hAnsi="Arial" w:cs="Arial"/>
        </w:rPr>
        <w:t>Employees’ and employers’ contribution levels are based on percentages of pensionable pay set nationally by the Government Actuary Department (GAD) and are subject to triennial revaluation.</w:t>
      </w:r>
    </w:p>
    <w:p w14:paraId="1326B968" w14:textId="77777777" w:rsidR="00293CC5" w:rsidRPr="0007572B" w:rsidRDefault="00293CC5" w:rsidP="0038082E">
      <w:pPr>
        <w:rPr>
          <w:rFonts w:ascii="Arial" w:hAnsi="Arial" w:cs="Arial"/>
        </w:rPr>
      </w:pPr>
    </w:p>
    <w:p w14:paraId="4FA38094" w14:textId="77777777" w:rsidR="00293CC5" w:rsidRPr="0007572B" w:rsidRDefault="00293CC5" w:rsidP="0038082E">
      <w:pPr>
        <w:rPr>
          <w:rFonts w:ascii="Arial" w:hAnsi="Arial" w:cs="Arial"/>
        </w:rPr>
      </w:pPr>
      <w:r w:rsidRPr="0007572B">
        <w:rPr>
          <w:rFonts w:ascii="Arial" w:hAnsi="Arial" w:cs="Arial"/>
        </w:rPr>
        <w:t xml:space="preserve">There are no investment assets and the fund is balanced to nil each year by receipt of pension top-up grant from the Home Office or by paying over any surplus to the Home Office. The fund’s financial statements do not </w:t>
      </w:r>
      <w:proofErr w:type="gramStart"/>
      <w:r w:rsidRPr="0007572B">
        <w:rPr>
          <w:rFonts w:ascii="Arial" w:hAnsi="Arial" w:cs="Arial"/>
        </w:rPr>
        <w:t>take into account</w:t>
      </w:r>
      <w:proofErr w:type="gramEnd"/>
      <w:r w:rsidRPr="0007572B">
        <w:rPr>
          <w:rFonts w:ascii="Arial" w:hAnsi="Arial" w:cs="Arial"/>
        </w:rPr>
        <w:t xml:space="preserve"> liabilities to pay pensions and other benefits after the period end.</w:t>
      </w:r>
    </w:p>
    <w:p w14:paraId="4E8897A4" w14:textId="77777777" w:rsidR="00293CC5" w:rsidRPr="0007572B" w:rsidRDefault="00293CC5" w:rsidP="0038082E">
      <w:pPr>
        <w:rPr>
          <w:rFonts w:ascii="Arial" w:hAnsi="Arial" w:cs="Arial"/>
        </w:rPr>
      </w:pPr>
    </w:p>
    <w:p w14:paraId="692E3B4D" w14:textId="77777777" w:rsidR="00293CC5" w:rsidRPr="0007572B" w:rsidRDefault="00293CC5" w:rsidP="0038082E">
      <w:pPr>
        <w:rPr>
          <w:rFonts w:ascii="Arial" w:hAnsi="Arial" w:cs="Arial"/>
        </w:rPr>
      </w:pPr>
      <w:r w:rsidRPr="0007572B">
        <w:rPr>
          <w:rFonts w:ascii="Arial" w:hAnsi="Arial" w:cs="Arial"/>
        </w:rPr>
        <w:t>The accounting policies adopted for the production of the pension fund account are in line with recommended practice and follow those that apply to the Authority’s primary statements.</w:t>
      </w:r>
    </w:p>
    <w:p w14:paraId="2DA5F92D" w14:textId="77777777" w:rsidR="00293CC5" w:rsidRPr="0007572B" w:rsidRDefault="00293CC5" w:rsidP="0038082E">
      <w:pPr>
        <w:pStyle w:val="AGS-Bullets"/>
        <w:numPr>
          <w:ilvl w:val="0"/>
          <w:numId w:val="0"/>
        </w:numPr>
        <w:rPr>
          <w:sz w:val="24"/>
          <w:szCs w:val="24"/>
        </w:rPr>
      </w:pPr>
    </w:p>
    <w:p w14:paraId="53550505" w14:textId="38498658" w:rsidR="00293CC5" w:rsidRDefault="00293CC5" w:rsidP="0038082E">
      <w:pPr>
        <w:pStyle w:val="AGS-Bullets"/>
        <w:numPr>
          <w:ilvl w:val="0"/>
          <w:numId w:val="0"/>
        </w:numPr>
        <w:rPr>
          <w:sz w:val="24"/>
          <w:szCs w:val="24"/>
        </w:rPr>
      </w:pPr>
      <w:r w:rsidRPr="0007572B">
        <w:rPr>
          <w:sz w:val="24"/>
          <w:szCs w:val="24"/>
        </w:rPr>
        <w:t xml:space="preserve">The Fund’s financial statements do not </w:t>
      </w:r>
      <w:proofErr w:type="gramStart"/>
      <w:r w:rsidRPr="0007572B">
        <w:rPr>
          <w:sz w:val="24"/>
          <w:szCs w:val="24"/>
        </w:rPr>
        <w:t>take into account</w:t>
      </w:r>
      <w:proofErr w:type="gramEnd"/>
      <w:r w:rsidRPr="0007572B">
        <w:rPr>
          <w:sz w:val="24"/>
          <w:szCs w:val="24"/>
        </w:rPr>
        <w:t xml:space="preserve"> liabilities to pay pensions after 31 March </w:t>
      </w:r>
      <w:r w:rsidR="00502211">
        <w:rPr>
          <w:sz w:val="24"/>
          <w:szCs w:val="24"/>
        </w:rPr>
        <w:t>2022</w:t>
      </w:r>
      <w:r w:rsidRPr="0007572B">
        <w:rPr>
          <w:sz w:val="24"/>
          <w:szCs w:val="24"/>
        </w:rPr>
        <w:t>. Liabilities to pay future payments are included in the IAS19 charges and notes to the Financial Statements.</w:t>
      </w:r>
    </w:p>
    <w:p w14:paraId="77B3B6E8" w14:textId="447CD36C" w:rsidR="002A74DB" w:rsidRDefault="002A74DB" w:rsidP="0038082E">
      <w:pPr>
        <w:pStyle w:val="AGS-Bullets"/>
        <w:numPr>
          <w:ilvl w:val="0"/>
          <w:numId w:val="0"/>
        </w:numPr>
        <w:rPr>
          <w:sz w:val="24"/>
          <w:szCs w:val="24"/>
        </w:rPr>
      </w:pPr>
    </w:p>
    <w:p w14:paraId="03C7BADE" w14:textId="77777777" w:rsidR="002A74DB" w:rsidRPr="0007572B" w:rsidRDefault="002A74DB" w:rsidP="0038082E">
      <w:pPr>
        <w:pStyle w:val="AGS-Bullets"/>
        <w:numPr>
          <w:ilvl w:val="0"/>
          <w:numId w:val="0"/>
        </w:numPr>
        <w:rPr>
          <w:sz w:val="24"/>
          <w:szCs w:val="24"/>
        </w:rPr>
      </w:pPr>
    </w:p>
    <w:p w14:paraId="775803CB" w14:textId="77777777" w:rsidR="00795BE0" w:rsidRPr="0007572B" w:rsidRDefault="00293CC5" w:rsidP="00795BE0">
      <w:pPr>
        <w:pStyle w:val="BodyText"/>
        <w:rPr>
          <w:b/>
          <w:sz w:val="40"/>
          <w:szCs w:val="40"/>
        </w:rPr>
      </w:pPr>
      <w:r w:rsidRPr="0007572B">
        <w:rPr>
          <w:b/>
          <w:sz w:val="40"/>
          <w:szCs w:val="40"/>
        </w:rPr>
        <w:br w:type="page"/>
      </w:r>
    </w:p>
    <w:p w14:paraId="069676F7" w14:textId="77777777" w:rsidR="00795BE0" w:rsidRDefault="00795BE0" w:rsidP="00795BE0">
      <w:pPr>
        <w:rPr>
          <w:rFonts w:ascii="Arial" w:hAnsi="Arial" w:cs="Arial"/>
          <w:b/>
          <w:sz w:val="40"/>
          <w:szCs w:val="40"/>
        </w:rPr>
      </w:pPr>
    </w:p>
    <w:p w14:paraId="555E8AB7" w14:textId="77777777" w:rsidR="00795BE0" w:rsidRDefault="00795BE0" w:rsidP="00795BE0">
      <w:pPr>
        <w:rPr>
          <w:rFonts w:ascii="Arial" w:hAnsi="Arial" w:cs="Arial"/>
          <w:b/>
          <w:sz w:val="40"/>
          <w:szCs w:val="40"/>
        </w:rPr>
      </w:pPr>
    </w:p>
    <w:p w14:paraId="26FC7609" w14:textId="77777777" w:rsidR="00795BE0" w:rsidRDefault="00795BE0" w:rsidP="00795BE0">
      <w:pPr>
        <w:rPr>
          <w:rFonts w:ascii="Arial" w:hAnsi="Arial" w:cs="Arial"/>
          <w:b/>
          <w:sz w:val="40"/>
          <w:szCs w:val="40"/>
        </w:rPr>
      </w:pPr>
    </w:p>
    <w:p w14:paraId="3E48EBCB" w14:textId="77777777" w:rsidR="00795BE0" w:rsidRDefault="00795BE0" w:rsidP="00795BE0">
      <w:pPr>
        <w:rPr>
          <w:rFonts w:ascii="Arial" w:hAnsi="Arial" w:cs="Arial"/>
          <w:b/>
          <w:sz w:val="40"/>
          <w:szCs w:val="40"/>
        </w:rPr>
      </w:pPr>
    </w:p>
    <w:p w14:paraId="0E8AB140" w14:textId="77777777" w:rsidR="00795BE0" w:rsidRDefault="00795BE0" w:rsidP="00795BE0">
      <w:pPr>
        <w:rPr>
          <w:rFonts w:ascii="Arial" w:hAnsi="Arial" w:cs="Arial"/>
          <w:b/>
          <w:sz w:val="40"/>
          <w:szCs w:val="40"/>
        </w:rPr>
      </w:pPr>
    </w:p>
    <w:p w14:paraId="79BEAA4E" w14:textId="77777777" w:rsidR="00795BE0" w:rsidRDefault="00795BE0" w:rsidP="00795BE0">
      <w:pPr>
        <w:rPr>
          <w:rFonts w:ascii="Arial" w:hAnsi="Arial" w:cs="Arial"/>
          <w:b/>
          <w:sz w:val="40"/>
          <w:szCs w:val="40"/>
        </w:rPr>
      </w:pPr>
    </w:p>
    <w:p w14:paraId="22986C2C" w14:textId="77777777" w:rsidR="00795BE0" w:rsidRPr="0007572B" w:rsidRDefault="00795BE0" w:rsidP="00795BE0">
      <w:pPr>
        <w:rPr>
          <w:rFonts w:ascii="Arial" w:hAnsi="Arial" w:cs="Arial"/>
          <w:b/>
          <w:sz w:val="40"/>
          <w:szCs w:val="40"/>
        </w:rPr>
      </w:pPr>
    </w:p>
    <w:p w14:paraId="4C7A94F2" w14:textId="77777777" w:rsidR="00795BE0" w:rsidRPr="005F371A" w:rsidRDefault="00795BE0" w:rsidP="00795BE0">
      <w:pPr>
        <w:pStyle w:val="Heading1"/>
        <w:jc w:val="center"/>
      </w:pPr>
      <w:bookmarkStart w:id="219" w:name="_Toc92895218"/>
      <w:bookmarkStart w:id="220" w:name="_Toc109922652"/>
      <w:r w:rsidRPr="005F371A">
        <w:t>Greater Manchester Combined Authority</w:t>
      </w:r>
      <w:r>
        <w:t xml:space="preserve"> - Group Accounts</w:t>
      </w:r>
      <w:bookmarkEnd w:id="219"/>
      <w:bookmarkEnd w:id="220"/>
    </w:p>
    <w:p w14:paraId="15B0F443" w14:textId="77777777" w:rsidR="00795BE0" w:rsidRPr="0007572B" w:rsidRDefault="00795BE0" w:rsidP="00795BE0">
      <w:pPr>
        <w:rPr>
          <w:rFonts w:ascii="Arial" w:hAnsi="Arial" w:cs="Arial"/>
          <w:b/>
          <w:sz w:val="22"/>
          <w:szCs w:val="22"/>
        </w:rPr>
      </w:pPr>
    </w:p>
    <w:p w14:paraId="40977AD8" w14:textId="77777777" w:rsidR="00795BE0" w:rsidRPr="0007572B" w:rsidRDefault="00795BE0" w:rsidP="00795BE0">
      <w:pPr>
        <w:rPr>
          <w:rFonts w:ascii="Arial" w:hAnsi="Arial" w:cs="Arial"/>
          <w:b/>
          <w:sz w:val="22"/>
          <w:szCs w:val="22"/>
        </w:rPr>
      </w:pPr>
      <w:r w:rsidRPr="0007572B">
        <w:rPr>
          <w:rFonts w:ascii="Arial" w:hAnsi="Arial" w:cs="Arial"/>
          <w:b/>
          <w:sz w:val="22"/>
          <w:szCs w:val="22"/>
        </w:rPr>
        <w:br w:type="page"/>
      </w:r>
    </w:p>
    <w:p w14:paraId="0E507568" w14:textId="77777777" w:rsidR="00795BE0" w:rsidRPr="0007572B" w:rsidRDefault="00795BE0" w:rsidP="00502431">
      <w:pPr>
        <w:pStyle w:val="Heading3green"/>
      </w:pPr>
      <w:bookmarkStart w:id="221" w:name="_Toc92895219"/>
      <w:bookmarkStart w:id="222" w:name="_Toc109922653"/>
      <w:r w:rsidRPr="0007572B">
        <w:lastRenderedPageBreak/>
        <w:t>Introduction</w:t>
      </w:r>
      <w:bookmarkEnd w:id="221"/>
      <w:bookmarkEnd w:id="222"/>
    </w:p>
    <w:p w14:paraId="3FB4CE74" w14:textId="77777777" w:rsidR="00795BE0" w:rsidRPr="0007572B" w:rsidRDefault="00795BE0" w:rsidP="00795BE0">
      <w:pPr>
        <w:pStyle w:val="Heading3"/>
        <w:rPr>
          <w:lang w:val="en-US"/>
        </w:rPr>
      </w:pPr>
      <w:bookmarkStart w:id="223" w:name="_Toc92894916"/>
      <w:bookmarkStart w:id="224" w:name="_Toc92895220"/>
      <w:bookmarkStart w:id="225" w:name="_Toc109922654"/>
      <w:r w:rsidRPr="0007572B">
        <w:rPr>
          <w:lang w:val="en-US"/>
        </w:rPr>
        <w:t>Background</w:t>
      </w:r>
      <w:bookmarkEnd w:id="223"/>
      <w:bookmarkEnd w:id="224"/>
      <w:bookmarkEnd w:id="225"/>
    </w:p>
    <w:p w14:paraId="16611069" w14:textId="77777777" w:rsidR="00795BE0" w:rsidRPr="0007572B" w:rsidRDefault="00795BE0" w:rsidP="00795BE0">
      <w:pPr>
        <w:rPr>
          <w:rFonts w:ascii="Arial" w:hAnsi="Arial" w:cs="Arial"/>
          <w:color w:val="000000"/>
          <w:lang w:val="en-US"/>
        </w:rPr>
      </w:pPr>
      <w:r w:rsidRPr="0007572B">
        <w:rPr>
          <w:rFonts w:ascii="Arial" w:hAnsi="Arial" w:cs="Arial"/>
          <w:color w:val="000000"/>
          <w:lang w:val="en-US"/>
        </w:rPr>
        <w:t>The Accounting Code of Practice requires that where an authority has material financial interests and a significant level of control over one or more entities, it should prepare Group Accounts. The aim of these statements is to give an overall picture of the Authority’s financial activities and the resources employed in carrying out those activities.</w:t>
      </w:r>
    </w:p>
    <w:p w14:paraId="24BF3E93" w14:textId="77777777" w:rsidR="00795BE0" w:rsidRPr="0007572B" w:rsidRDefault="00795BE0" w:rsidP="00795BE0">
      <w:pPr>
        <w:rPr>
          <w:rFonts w:ascii="Arial" w:hAnsi="Arial" w:cs="Arial"/>
          <w:color w:val="000000"/>
          <w:lang w:val="en-US"/>
        </w:rPr>
      </w:pPr>
    </w:p>
    <w:p w14:paraId="57D04A3E" w14:textId="77777777" w:rsidR="00795BE0" w:rsidRPr="0007572B" w:rsidRDefault="00795BE0" w:rsidP="00795BE0">
      <w:pPr>
        <w:rPr>
          <w:rFonts w:ascii="Arial" w:hAnsi="Arial" w:cs="Arial"/>
          <w:color w:val="000000"/>
          <w:lang w:val="en-US"/>
        </w:rPr>
      </w:pPr>
      <w:r w:rsidRPr="0007572B">
        <w:rPr>
          <w:rFonts w:ascii="Arial" w:hAnsi="Arial" w:cs="Arial"/>
          <w:color w:val="000000"/>
          <w:lang w:val="en-US"/>
        </w:rPr>
        <w:t xml:space="preserve">The Group Accounts comprise the following key financial statements (with appropriate disclosures): </w:t>
      </w:r>
    </w:p>
    <w:p w14:paraId="6CBD193E" w14:textId="77777777" w:rsidR="00795BE0" w:rsidRPr="0007572B" w:rsidRDefault="00795BE0" w:rsidP="00795BE0">
      <w:pPr>
        <w:rPr>
          <w:rFonts w:ascii="Arial" w:hAnsi="Arial" w:cs="Arial"/>
          <w:color w:val="000000"/>
          <w:lang w:val="en-US"/>
        </w:rPr>
      </w:pPr>
    </w:p>
    <w:p w14:paraId="2D7E4EDE" w14:textId="77777777" w:rsidR="00795BE0" w:rsidRPr="0007572B" w:rsidRDefault="00795BE0" w:rsidP="00DF4603">
      <w:pPr>
        <w:numPr>
          <w:ilvl w:val="0"/>
          <w:numId w:val="78"/>
        </w:numPr>
        <w:rPr>
          <w:rFonts w:ascii="Arial" w:hAnsi="Arial" w:cs="Arial"/>
          <w:color w:val="000000"/>
          <w:lang w:val="en-US"/>
        </w:rPr>
      </w:pPr>
      <w:r w:rsidRPr="0007572B">
        <w:rPr>
          <w:rFonts w:ascii="Arial" w:hAnsi="Arial" w:cs="Arial"/>
          <w:color w:val="000000"/>
          <w:lang w:val="en-US"/>
        </w:rPr>
        <w:t xml:space="preserve">Group Comprehensive Income and Expenditure </w:t>
      </w:r>
      <w:proofErr w:type="gramStart"/>
      <w:r w:rsidRPr="0007572B">
        <w:rPr>
          <w:rFonts w:ascii="Arial" w:hAnsi="Arial" w:cs="Arial"/>
          <w:color w:val="000000"/>
          <w:lang w:val="en-US"/>
        </w:rPr>
        <w:t>Statement;</w:t>
      </w:r>
      <w:proofErr w:type="gramEnd"/>
    </w:p>
    <w:p w14:paraId="61A4717D" w14:textId="77777777" w:rsidR="00795BE0" w:rsidRPr="0007572B" w:rsidRDefault="00795BE0" w:rsidP="00DF4603">
      <w:pPr>
        <w:numPr>
          <w:ilvl w:val="0"/>
          <w:numId w:val="78"/>
        </w:numPr>
        <w:rPr>
          <w:rFonts w:ascii="Arial" w:hAnsi="Arial" w:cs="Arial"/>
          <w:color w:val="000000"/>
          <w:lang w:val="en-US"/>
        </w:rPr>
      </w:pPr>
      <w:r w:rsidRPr="0007572B">
        <w:rPr>
          <w:rFonts w:ascii="Arial" w:hAnsi="Arial" w:cs="Arial"/>
          <w:color w:val="000000"/>
          <w:lang w:val="en-US"/>
        </w:rPr>
        <w:t xml:space="preserve">Group Movement in Reserves </w:t>
      </w:r>
      <w:proofErr w:type="gramStart"/>
      <w:r w:rsidRPr="0007572B">
        <w:rPr>
          <w:rFonts w:ascii="Arial" w:hAnsi="Arial" w:cs="Arial"/>
          <w:color w:val="000000"/>
          <w:lang w:val="en-US"/>
        </w:rPr>
        <w:t>Statement;</w:t>
      </w:r>
      <w:proofErr w:type="gramEnd"/>
    </w:p>
    <w:p w14:paraId="7CA2B640" w14:textId="77777777" w:rsidR="00795BE0" w:rsidRPr="0007572B" w:rsidRDefault="00795BE0" w:rsidP="00DF4603">
      <w:pPr>
        <w:numPr>
          <w:ilvl w:val="0"/>
          <w:numId w:val="78"/>
        </w:numPr>
        <w:rPr>
          <w:rFonts w:ascii="Arial" w:hAnsi="Arial" w:cs="Arial"/>
          <w:color w:val="000000"/>
          <w:lang w:val="en-US"/>
        </w:rPr>
      </w:pPr>
      <w:r w:rsidRPr="0007572B">
        <w:rPr>
          <w:rFonts w:ascii="Arial" w:hAnsi="Arial" w:cs="Arial"/>
          <w:color w:val="000000"/>
          <w:lang w:val="en-US"/>
        </w:rPr>
        <w:t xml:space="preserve">Group Balance </w:t>
      </w:r>
      <w:proofErr w:type="gramStart"/>
      <w:r w:rsidRPr="0007572B">
        <w:rPr>
          <w:rFonts w:ascii="Arial" w:hAnsi="Arial" w:cs="Arial"/>
          <w:color w:val="000000"/>
          <w:lang w:val="en-US"/>
        </w:rPr>
        <w:t>Sheet;</w:t>
      </w:r>
      <w:proofErr w:type="gramEnd"/>
    </w:p>
    <w:p w14:paraId="0936C065" w14:textId="77777777" w:rsidR="00795BE0" w:rsidRPr="0007572B" w:rsidRDefault="00795BE0" w:rsidP="00DF4603">
      <w:pPr>
        <w:numPr>
          <w:ilvl w:val="0"/>
          <w:numId w:val="78"/>
        </w:numPr>
        <w:rPr>
          <w:rFonts w:ascii="Arial" w:hAnsi="Arial" w:cs="Arial"/>
          <w:color w:val="000000"/>
          <w:lang w:val="en-US"/>
        </w:rPr>
      </w:pPr>
      <w:r w:rsidRPr="0007572B">
        <w:rPr>
          <w:rFonts w:ascii="Arial" w:hAnsi="Arial" w:cs="Arial"/>
          <w:color w:val="000000"/>
          <w:lang w:val="en-US"/>
        </w:rPr>
        <w:t>Group Cash Flow Statement.</w:t>
      </w:r>
    </w:p>
    <w:p w14:paraId="147FA202" w14:textId="77777777" w:rsidR="00795BE0" w:rsidRPr="005F371A" w:rsidRDefault="00795BE0" w:rsidP="00795BE0">
      <w:pPr>
        <w:pStyle w:val="Heading3"/>
      </w:pPr>
      <w:bookmarkStart w:id="226" w:name="_Toc92894917"/>
      <w:bookmarkStart w:id="227" w:name="_Toc92895221"/>
      <w:bookmarkStart w:id="228" w:name="_Toc109922655"/>
      <w:r w:rsidRPr="005F371A">
        <w:t>The Greater Manchester Combined Authority Group:</w:t>
      </w:r>
      <w:bookmarkEnd w:id="226"/>
      <w:bookmarkEnd w:id="227"/>
      <w:bookmarkEnd w:id="228"/>
    </w:p>
    <w:p w14:paraId="7F76ECDB" w14:textId="77777777" w:rsidR="00795BE0" w:rsidRPr="0007572B" w:rsidRDefault="00795BE0" w:rsidP="00795BE0">
      <w:pPr>
        <w:rPr>
          <w:rFonts w:ascii="Arial" w:hAnsi="Arial" w:cs="Arial"/>
          <w:color w:val="000000"/>
          <w:lang w:val="en-US"/>
        </w:rPr>
      </w:pPr>
      <w:r w:rsidRPr="0007572B">
        <w:rPr>
          <w:rFonts w:ascii="Arial" w:hAnsi="Arial" w:cs="Arial"/>
          <w:color w:val="000000"/>
          <w:lang w:val="en-US"/>
        </w:rPr>
        <w:t>A review of the entities related to the Authority has taken place and the conclusions are provided below:</w:t>
      </w:r>
    </w:p>
    <w:p w14:paraId="10698E5D" w14:textId="77777777" w:rsidR="00795BE0" w:rsidRDefault="00795BE0" w:rsidP="00795BE0">
      <w:pPr>
        <w:pStyle w:val="Heading3"/>
      </w:pPr>
      <w:bookmarkStart w:id="229" w:name="_Toc92894918"/>
      <w:bookmarkStart w:id="230" w:name="_Toc92895222"/>
      <w:bookmarkStart w:id="231" w:name="_Toc109922656"/>
      <w:r w:rsidRPr="005F371A">
        <w:t>Bodies Consolidated:</w:t>
      </w:r>
      <w:bookmarkEnd w:id="229"/>
      <w:bookmarkEnd w:id="230"/>
      <w:bookmarkEnd w:id="231"/>
    </w:p>
    <w:p w14:paraId="3C87428D" w14:textId="77777777" w:rsidR="00795BE0" w:rsidRPr="005F371A" w:rsidRDefault="00795BE0" w:rsidP="00795BE0"/>
    <w:p w14:paraId="2C1100FA" w14:textId="77777777" w:rsidR="00795BE0" w:rsidRPr="0007572B" w:rsidRDefault="00795BE0" w:rsidP="00795BE0">
      <w:pPr>
        <w:pStyle w:val="Heading4bold"/>
        <w:rPr>
          <w:lang w:val="en-US"/>
        </w:rPr>
      </w:pPr>
      <w:r w:rsidRPr="0007572B">
        <w:rPr>
          <w:lang w:val="en-US"/>
        </w:rPr>
        <w:t>Chief Constable of Greater Manchester Police (GMP)</w:t>
      </w:r>
    </w:p>
    <w:p w14:paraId="235F43EC" w14:textId="77777777" w:rsidR="00795BE0" w:rsidRPr="0007572B" w:rsidRDefault="00795BE0" w:rsidP="00795BE0">
      <w:pPr>
        <w:rPr>
          <w:rFonts w:ascii="Arial" w:hAnsi="Arial" w:cs="Arial"/>
          <w:color w:val="000000"/>
          <w:lang w:val="en-US"/>
        </w:rPr>
      </w:pPr>
      <w:r w:rsidRPr="0007572B">
        <w:rPr>
          <w:rFonts w:ascii="Arial" w:hAnsi="Arial" w:cs="Arial"/>
          <w:color w:val="000000"/>
          <w:lang w:val="en-US"/>
        </w:rPr>
        <w:t>GMP is to continue to be included in the Authority’s group accounts. The Mayor is responsible for the formal oversight of GMP, including provision of all funding, budget setting, performance scrutiny and strategic policy development, and for ensuring GMP is run efficiently and effectively. Operational decision-making on day-to-day policing including the employment of police staff remains the responsibility of the Chief Constable.</w:t>
      </w:r>
    </w:p>
    <w:p w14:paraId="18BD8B0E" w14:textId="77777777" w:rsidR="00795BE0" w:rsidRPr="0007572B" w:rsidRDefault="00795BE0" w:rsidP="00795BE0">
      <w:pPr>
        <w:rPr>
          <w:rFonts w:ascii="Arial" w:hAnsi="Arial" w:cs="Arial"/>
          <w:color w:val="000000"/>
          <w:lang w:val="en-US"/>
        </w:rPr>
      </w:pPr>
    </w:p>
    <w:p w14:paraId="3A8C5527" w14:textId="77777777" w:rsidR="00795BE0" w:rsidRDefault="00795BE0" w:rsidP="00795BE0">
      <w:pPr>
        <w:rPr>
          <w:rFonts w:ascii="Arial" w:eastAsia="Calibri" w:hAnsi="Arial" w:cs="Arial"/>
          <w:color w:val="000000"/>
          <w:lang w:val="en-US"/>
        </w:rPr>
      </w:pPr>
      <w:r w:rsidRPr="0007572B">
        <w:rPr>
          <w:rFonts w:ascii="Arial" w:hAnsi="Arial" w:cs="Arial"/>
          <w:color w:val="000000"/>
          <w:lang w:val="en-US"/>
        </w:rPr>
        <w:t xml:space="preserve">Under the legislative framework and local arrangements, the Authority under sole instruction from the Mayor, is responsible for the finances of the Mayoral Police Fund including assets, </w:t>
      </w:r>
      <w:proofErr w:type="gramStart"/>
      <w:r w:rsidRPr="0007572B">
        <w:rPr>
          <w:rFonts w:ascii="Arial" w:hAnsi="Arial" w:cs="Arial"/>
          <w:color w:val="000000"/>
          <w:lang w:val="en-US"/>
        </w:rPr>
        <w:t>liabilities</w:t>
      </w:r>
      <w:proofErr w:type="gramEnd"/>
      <w:r w:rsidRPr="0007572B">
        <w:rPr>
          <w:rFonts w:ascii="Arial" w:hAnsi="Arial" w:cs="Arial"/>
          <w:color w:val="000000"/>
          <w:lang w:val="en-US"/>
        </w:rPr>
        <w:t xml:space="preserve"> and reserves. The Authority has responsibility for </w:t>
      </w:r>
      <w:proofErr w:type="gramStart"/>
      <w:r w:rsidRPr="0007572B">
        <w:rPr>
          <w:rFonts w:ascii="Arial" w:hAnsi="Arial" w:cs="Arial"/>
          <w:color w:val="000000"/>
          <w:lang w:val="en-US"/>
        </w:rPr>
        <w:t>entering into</w:t>
      </w:r>
      <w:proofErr w:type="gramEnd"/>
      <w:r w:rsidRPr="0007572B">
        <w:rPr>
          <w:rFonts w:ascii="Arial" w:hAnsi="Arial" w:cs="Arial"/>
          <w:color w:val="000000"/>
          <w:lang w:val="en-US"/>
        </w:rPr>
        <w:t xml:space="preserve"> contracts and establishing the contractual framework under which the Chief Constable’s officers and staff operate.</w:t>
      </w:r>
      <w:r w:rsidRPr="0007572B">
        <w:rPr>
          <w:rFonts w:ascii="Arial" w:eastAsia="Calibri" w:hAnsi="Arial" w:cs="Arial"/>
          <w:color w:val="000000"/>
          <w:lang w:val="en-US"/>
        </w:rPr>
        <w:t xml:space="preserve"> The Authority receives all income and funding and makes all the payments for the policing activity from the Mayoral Police Fund. Details of the Mayoral Police Fund are disclosed in </w:t>
      </w:r>
      <w:r>
        <w:rPr>
          <w:rFonts w:ascii="Arial" w:eastAsia="Calibri" w:hAnsi="Arial" w:cs="Arial"/>
          <w:color w:val="000000"/>
          <w:lang w:val="en-US"/>
        </w:rPr>
        <w:t xml:space="preserve">the </w:t>
      </w:r>
      <w:r w:rsidRPr="0007572B">
        <w:rPr>
          <w:rFonts w:ascii="Arial" w:eastAsia="Calibri" w:hAnsi="Arial" w:cs="Arial"/>
          <w:color w:val="000000"/>
          <w:lang w:val="en-US"/>
        </w:rPr>
        <w:t>note</w:t>
      </w:r>
      <w:r>
        <w:rPr>
          <w:rFonts w:ascii="Arial" w:eastAsia="Calibri" w:hAnsi="Arial" w:cs="Arial"/>
          <w:color w:val="000000"/>
          <w:lang w:val="en-US"/>
        </w:rPr>
        <w:t>s to the single entity statements</w:t>
      </w:r>
      <w:r w:rsidRPr="0007572B">
        <w:rPr>
          <w:rFonts w:ascii="Arial" w:eastAsia="Calibri" w:hAnsi="Arial" w:cs="Arial"/>
          <w:color w:val="000000"/>
          <w:lang w:val="en-US"/>
        </w:rPr>
        <w:t>.</w:t>
      </w:r>
    </w:p>
    <w:p w14:paraId="34AB946F" w14:textId="77777777" w:rsidR="00795BE0" w:rsidRDefault="00795BE0" w:rsidP="00795BE0">
      <w:pPr>
        <w:rPr>
          <w:rFonts w:ascii="Arial" w:eastAsia="Calibri" w:hAnsi="Arial" w:cs="Arial"/>
          <w:color w:val="000000"/>
          <w:lang w:val="en-US"/>
        </w:rPr>
      </w:pPr>
    </w:p>
    <w:p w14:paraId="356A22F1" w14:textId="77777777" w:rsidR="00795BE0" w:rsidRPr="0007572B" w:rsidRDefault="00795BE0" w:rsidP="00795BE0">
      <w:pPr>
        <w:pStyle w:val="Heading4bold"/>
        <w:rPr>
          <w:lang w:val="en-US"/>
        </w:rPr>
      </w:pPr>
      <w:r w:rsidRPr="0007572B">
        <w:rPr>
          <w:lang w:val="en-US"/>
        </w:rPr>
        <w:t>Transport for Greater Manchester (TfGM)</w:t>
      </w:r>
    </w:p>
    <w:p w14:paraId="43CB4F5E" w14:textId="77777777" w:rsidR="00795BE0" w:rsidRDefault="00795BE0" w:rsidP="00795BE0">
      <w:pPr>
        <w:rPr>
          <w:rFonts w:ascii="Arial" w:hAnsi="Arial" w:cs="Arial"/>
          <w:color w:val="000000"/>
          <w:lang w:val="en-US"/>
        </w:rPr>
      </w:pPr>
      <w:r w:rsidRPr="0007572B">
        <w:rPr>
          <w:rFonts w:ascii="Arial" w:hAnsi="Arial" w:cs="Arial"/>
          <w:color w:val="000000"/>
          <w:lang w:val="en-US"/>
        </w:rPr>
        <w:t xml:space="preserve">TfGM is to continue to be included in the Authority’s group accounts. The Authority and/or the Mayor sets local public transport policy and is responsible for deciding how funds are spent on supporting and improving Greater Manchester’s public transport network. The decisions of the Authority and/or the Mayor are implemented by TfGM and TfGM is responsible for implementing the policies of the Authority. </w:t>
      </w:r>
    </w:p>
    <w:p w14:paraId="69B09E7D" w14:textId="77777777" w:rsidR="00795BE0" w:rsidRDefault="00795BE0" w:rsidP="00795BE0">
      <w:pPr>
        <w:rPr>
          <w:rFonts w:ascii="Arial" w:hAnsi="Arial" w:cs="Arial"/>
          <w:color w:val="000000"/>
          <w:lang w:val="en-US"/>
        </w:rPr>
      </w:pPr>
    </w:p>
    <w:p w14:paraId="37BD1D58" w14:textId="77777777" w:rsidR="00795BE0" w:rsidRPr="0007572B" w:rsidRDefault="00795BE0" w:rsidP="00795BE0">
      <w:pPr>
        <w:rPr>
          <w:rFonts w:ascii="Arial" w:hAnsi="Arial" w:cs="Arial"/>
          <w:color w:val="000000"/>
          <w:lang w:val="en-US"/>
        </w:rPr>
      </w:pPr>
      <w:r w:rsidRPr="0007572B">
        <w:rPr>
          <w:rFonts w:ascii="Arial" w:hAnsi="Arial" w:cs="Arial"/>
          <w:color w:val="000000"/>
          <w:lang w:val="en-US"/>
        </w:rPr>
        <w:t xml:space="preserve">TfGM’s net expenditure after </w:t>
      </w:r>
      <w:proofErr w:type="gramStart"/>
      <w:r w:rsidRPr="0007572B">
        <w:rPr>
          <w:rFonts w:ascii="Arial" w:hAnsi="Arial" w:cs="Arial"/>
          <w:color w:val="000000"/>
          <w:lang w:val="en-US"/>
        </w:rPr>
        <w:t>taking into account</w:t>
      </w:r>
      <w:proofErr w:type="gramEnd"/>
      <w:r w:rsidRPr="0007572B">
        <w:rPr>
          <w:rFonts w:ascii="Arial" w:hAnsi="Arial" w:cs="Arial"/>
          <w:color w:val="000000"/>
          <w:lang w:val="en-US"/>
        </w:rPr>
        <w:t xml:space="preserve"> all sources of income and expenditure is financed by way of a Revenue Grant from the Authority. TfGM’s corporate objectives are derived from the Authority’s policy priorities, stakeholder consultation and its </w:t>
      </w:r>
      <w:r w:rsidRPr="0007572B">
        <w:rPr>
          <w:rFonts w:ascii="Arial" w:hAnsi="Arial" w:cs="Arial"/>
          <w:color w:val="000000"/>
          <w:lang w:val="en-US"/>
        </w:rPr>
        <w:lastRenderedPageBreak/>
        <w:t>principal statutory obligations. Strategic objectives and targets are set out in the Authority/TfGM Business and Performance Plan.</w:t>
      </w:r>
      <w:r>
        <w:rPr>
          <w:rFonts w:ascii="Arial" w:hAnsi="Arial" w:cs="Arial"/>
          <w:color w:val="000000"/>
          <w:lang w:val="en-US"/>
        </w:rPr>
        <w:t xml:space="preserve"> </w:t>
      </w:r>
    </w:p>
    <w:p w14:paraId="6D1B7D13" w14:textId="77777777" w:rsidR="00795BE0" w:rsidRDefault="00795BE0" w:rsidP="00795BE0">
      <w:pPr>
        <w:rPr>
          <w:rFonts w:ascii="Arial" w:hAnsi="Arial" w:cs="Arial"/>
          <w:color w:val="000000"/>
          <w:lang w:val="en-US"/>
        </w:rPr>
      </w:pPr>
    </w:p>
    <w:p w14:paraId="529A4660" w14:textId="77777777" w:rsidR="00795BE0" w:rsidRPr="0007572B" w:rsidRDefault="00795BE0" w:rsidP="00795BE0">
      <w:pPr>
        <w:rPr>
          <w:rFonts w:ascii="Arial" w:hAnsi="Arial" w:cs="Arial"/>
          <w:color w:val="000000"/>
          <w:lang w:val="en-US"/>
        </w:rPr>
      </w:pPr>
      <w:r>
        <w:rPr>
          <w:rFonts w:ascii="Arial" w:hAnsi="Arial" w:cs="Arial"/>
        </w:rPr>
        <w:t>A</w:t>
      </w:r>
      <w:r w:rsidRPr="0007572B">
        <w:rPr>
          <w:rFonts w:ascii="Arial" w:hAnsi="Arial" w:cs="Arial"/>
          <w:bCs/>
          <w:lang w:eastAsia="en-GB"/>
        </w:rPr>
        <w:t>lthough transport related borrowing sits on the GMCA balance sheet, all the transport assets sit on TFGM's balance sheet. GMCA carries sufficient reserves in respect of each of its functions to provide resilience in the event of volatility in its various funding sources</w:t>
      </w:r>
      <w:r>
        <w:rPr>
          <w:rFonts w:ascii="Arial" w:hAnsi="Arial" w:cs="Arial"/>
          <w:bCs/>
          <w:lang w:eastAsia="en-GB"/>
        </w:rPr>
        <w:t>. D</w:t>
      </w:r>
      <w:proofErr w:type="spellStart"/>
      <w:r w:rsidRPr="0007572B">
        <w:rPr>
          <w:rFonts w:ascii="Arial" w:hAnsi="Arial" w:cs="Arial"/>
          <w:color w:val="000000"/>
          <w:lang w:val="en-US"/>
        </w:rPr>
        <w:t>etails</w:t>
      </w:r>
      <w:proofErr w:type="spellEnd"/>
      <w:r w:rsidRPr="0007572B">
        <w:rPr>
          <w:rFonts w:ascii="Arial" w:hAnsi="Arial" w:cs="Arial"/>
          <w:color w:val="000000"/>
          <w:lang w:val="en-US"/>
        </w:rPr>
        <w:t xml:space="preserve"> of transactions with TfGM are included in the related parties note.</w:t>
      </w:r>
    </w:p>
    <w:p w14:paraId="038AB01D" w14:textId="77777777" w:rsidR="00795BE0" w:rsidRPr="0007572B" w:rsidRDefault="00795BE0" w:rsidP="00795BE0">
      <w:pPr>
        <w:rPr>
          <w:rFonts w:ascii="Arial" w:hAnsi="Arial" w:cs="Arial"/>
          <w:color w:val="000000"/>
          <w:lang w:val="en-US"/>
        </w:rPr>
      </w:pPr>
    </w:p>
    <w:p w14:paraId="7A92F6D6" w14:textId="4FBFBC16" w:rsidR="00795BE0" w:rsidRDefault="00795BE0" w:rsidP="00795BE0">
      <w:pPr>
        <w:rPr>
          <w:rFonts w:ascii="Arial" w:hAnsi="Arial" w:cs="Arial"/>
        </w:rPr>
      </w:pPr>
      <w:r w:rsidRPr="0007572B">
        <w:rPr>
          <w:rFonts w:ascii="Arial" w:hAnsi="Arial" w:cs="Arial"/>
        </w:rPr>
        <w:t>The Accounts of TfGM are prepared in accordance with the Accounts and Audit (England) Regulations 2015. These require the Accounts to be prepared in accordance with the Code of Practice on Local Authority Accounting in the United Kingdom (The Code).</w:t>
      </w:r>
      <w:r>
        <w:rPr>
          <w:rFonts w:ascii="Arial" w:hAnsi="Arial" w:cs="Arial"/>
        </w:rPr>
        <w:t xml:space="preserve"> </w:t>
      </w:r>
    </w:p>
    <w:p w14:paraId="099F6E03" w14:textId="444C30A5" w:rsidR="005B26A1" w:rsidRDefault="005B26A1" w:rsidP="00795BE0">
      <w:pPr>
        <w:rPr>
          <w:rFonts w:ascii="Arial" w:hAnsi="Arial" w:cs="Arial"/>
        </w:rPr>
      </w:pPr>
    </w:p>
    <w:p w14:paraId="0368EE3F" w14:textId="2E0C314F" w:rsidR="005B26A1" w:rsidRPr="005B26A1" w:rsidRDefault="005B26A1" w:rsidP="005B26A1">
      <w:pPr>
        <w:pStyle w:val="Heading4bold"/>
        <w:rPr>
          <w:lang w:val="en-US"/>
        </w:rPr>
      </w:pPr>
      <w:r w:rsidRPr="005B26A1">
        <w:rPr>
          <w:lang w:val="en-US"/>
        </w:rPr>
        <w:t>Greater Manchester Evergreen 2 Limited Partnership (GME2LP)</w:t>
      </w:r>
    </w:p>
    <w:p w14:paraId="731479AF" w14:textId="4D5EE1C6" w:rsidR="00795BE0" w:rsidRDefault="005B26A1" w:rsidP="00795BE0">
      <w:pPr>
        <w:rPr>
          <w:rFonts w:ascii="Arial" w:hAnsi="Arial" w:cs="Arial"/>
          <w:bCs/>
          <w:lang w:eastAsia="en-GB"/>
        </w:rPr>
      </w:pPr>
      <w:r w:rsidRPr="00FE41DD">
        <w:rPr>
          <w:rFonts w:ascii="Arial" w:hAnsi="Arial" w:cs="Arial"/>
        </w:rPr>
        <w:t>Evergreen 2</w:t>
      </w:r>
      <w:r>
        <w:rPr>
          <w:rFonts w:ascii="Arial" w:hAnsi="Arial" w:cs="Arial"/>
        </w:rPr>
        <w:t xml:space="preserve"> </w:t>
      </w:r>
      <w:r w:rsidRPr="00FE41DD">
        <w:rPr>
          <w:rFonts w:ascii="Arial" w:hAnsi="Arial" w:cs="Arial"/>
        </w:rPr>
        <w:t xml:space="preserve">was incorporated on 20 February 2017 under England's 2014-20 </w:t>
      </w:r>
      <w:r>
        <w:rPr>
          <w:rFonts w:ascii="Arial" w:hAnsi="Arial" w:cs="Arial"/>
        </w:rPr>
        <w:t xml:space="preserve">ERDF </w:t>
      </w:r>
      <w:r w:rsidRPr="00FE41DD">
        <w:rPr>
          <w:rFonts w:ascii="Arial" w:hAnsi="Arial" w:cs="Arial"/>
        </w:rPr>
        <w:t>Operational Programme and is solely a Greater Manchester fund.</w:t>
      </w:r>
      <w:r>
        <w:rPr>
          <w:rFonts w:ascii="Arial" w:hAnsi="Arial" w:cs="Arial"/>
        </w:rPr>
        <w:t xml:space="preserve"> </w:t>
      </w:r>
      <w:r w:rsidRPr="0007572B">
        <w:rPr>
          <w:rFonts w:ascii="Arial" w:hAnsi="Arial" w:cs="Arial"/>
          <w:bCs/>
          <w:lang w:eastAsia="en-GB"/>
        </w:rPr>
        <w:t>The accounts included in the 2</w:t>
      </w:r>
      <w:r>
        <w:rPr>
          <w:rFonts w:ascii="Arial" w:hAnsi="Arial" w:cs="Arial"/>
          <w:bCs/>
          <w:lang w:eastAsia="en-GB"/>
        </w:rPr>
        <w:t>1</w:t>
      </w:r>
      <w:r w:rsidRPr="0007572B">
        <w:rPr>
          <w:rFonts w:ascii="Arial" w:hAnsi="Arial" w:cs="Arial"/>
          <w:bCs/>
          <w:lang w:eastAsia="en-GB"/>
        </w:rPr>
        <w:t>/2</w:t>
      </w:r>
      <w:r>
        <w:rPr>
          <w:rFonts w:ascii="Arial" w:hAnsi="Arial" w:cs="Arial"/>
          <w:bCs/>
          <w:lang w:eastAsia="en-GB"/>
        </w:rPr>
        <w:t>2</w:t>
      </w:r>
      <w:r w:rsidRPr="0007572B">
        <w:rPr>
          <w:rFonts w:ascii="Arial" w:hAnsi="Arial" w:cs="Arial"/>
          <w:bCs/>
          <w:lang w:eastAsia="en-GB"/>
        </w:rPr>
        <w:t xml:space="preserve"> group accounts are for the </w:t>
      </w:r>
      <w:r>
        <w:rPr>
          <w:rFonts w:ascii="Arial" w:hAnsi="Arial" w:cs="Arial"/>
          <w:bCs/>
          <w:lang w:eastAsia="en-GB"/>
        </w:rPr>
        <w:t xml:space="preserve">period ending </w:t>
      </w:r>
      <w:r w:rsidRPr="0007572B">
        <w:rPr>
          <w:rFonts w:ascii="Arial" w:hAnsi="Arial" w:cs="Arial"/>
          <w:bCs/>
          <w:lang w:eastAsia="en-GB"/>
        </w:rPr>
        <w:t xml:space="preserve">31 </w:t>
      </w:r>
      <w:r>
        <w:rPr>
          <w:rFonts w:ascii="Arial" w:hAnsi="Arial" w:cs="Arial"/>
          <w:bCs/>
          <w:lang w:eastAsia="en-GB"/>
        </w:rPr>
        <w:t>March</w:t>
      </w:r>
      <w:r w:rsidRPr="0007572B">
        <w:rPr>
          <w:rFonts w:ascii="Arial" w:hAnsi="Arial" w:cs="Arial"/>
          <w:bCs/>
          <w:lang w:eastAsia="en-GB"/>
        </w:rPr>
        <w:t xml:space="preserve"> </w:t>
      </w:r>
      <w:r>
        <w:rPr>
          <w:rFonts w:ascii="Arial" w:hAnsi="Arial" w:cs="Arial"/>
          <w:bCs/>
          <w:lang w:eastAsia="en-GB"/>
        </w:rPr>
        <w:t>2022</w:t>
      </w:r>
      <w:r w:rsidRPr="0007572B">
        <w:rPr>
          <w:rFonts w:ascii="Arial" w:hAnsi="Arial" w:cs="Arial"/>
          <w:bCs/>
          <w:lang w:eastAsia="en-GB"/>
        </w:rPr>
        <w:t>.</w:t>
      </w:r>
    </w:p>
    <w:p w14:paraId="4C084E28" w14:textId="75AB3D94" w:rsidR="005B26A1" w:rsidRDefault="005B26A1" w:rsidP="00795BE0">
      <w:pPr>
        <w:rPr>
          <w:rFonts w:ascii="Arial" w:hAnsi="Arial" w:cs="Arial"/>
          <w:bCs/>
          <w:lang w:eastAsia="en-GB"/>
        </w:rPr>
      </w:pPr>
    </w:p>
    <w:p w14:paraId="002F1059" w14:textId="77777777" w:rsidR="005B26A1" w:rsidRDefault="005B26A1" w:rsidP="005B26A1">
      <w:pPr>
        <w:rPr>
          <w:rFonts w:ascii="Arial" w:hAnsi="Arial" w:cs="Arial"/>
        </w:rPr>
      </w:pPr>
      <w:r w:rsidRPr="00230784">
        <w:rPr>
          <w:rFonts w:ascii="Arial" w:hAnsi="Arial" w:cs="Arial"/>
        </w:rPr>
        <w:t xml:space="preserve">All intra-group trading, balances and unrealised gains and losses as at the end of the period are eliminated in full. </w:t>
      </w:r>
    </w:p>
    <w:p w14:paraId="389432DE" w14:textId="77777777" w:rsidR="005B26A1" w:rsidRPr="0007572B" w:rsidRDefault="005B26A1" w:rsidP="00795BE0">
      <w:pPr>
        <w:rPr>
          <w:rFonts w:ascii="Arial" w:hAnsi="Arial" w:cs="Arial"/>
        </w:rPr>
      </w:pPr>
    </w:p>
    <w:p w14:paraId="738D17D8" w14:textId="77777777" w:rsidR="00795BE0" w:rsidRPr="0007572B" w:rsidRDefault="00795BE0" w:rsidP="00795BE0">
      <w:pPr>
        <w:pStyle w:val="Heading4bold"/>
        <w:rPr>
          <w:lang w:val="en-US"/>
        </w:rPr>
      </w:pPr>
      <w:r w:rsidRPr="0007572B">
        <w:rPr>
          <w:lang w:val="en-US"/>
        </w:rPr>
        <w:t>NW Evergreen Holdings Limited Partnership (NWEH)</w:t>
      </w:r>
    </w:p>
    <w:p w14:paraId="06D8C19E" w14:textId="20749B60" w:rsidR="00795BE0" w:rsidRDefault="00795BE0" w:rsidP="00795BE0">
      <w:pPr>
        <w:rPr>
          <w:rFonts w:ascii="Arial" w:hAnsi="Arial" w:cs="Arial"/>
          <w:bCs/>
          <w:lang w:eastAsia="en-GB"/>
        </w:rPr>
      </w:pPr>
      <w:r w:rsidRPr="0007572B">
        <w:rPr>
          <w:rFonts w:ascii="Arial" w:hAnsi="Arial" w:cs="Arial"/>
          <w:color w:val="000000"/>
          <w:lang w:val="en-US"/>
        </w:rPr>
        <w:t>NWEH is to continue to be included in the Authority’s group accounts. In September 2016 the Authority established NWEH to act as a holding fund for earlier tranches of ERDF funding</w:t>
      </w:r>
      <w:r>
        <w:rPr>
          <w:rFonts w:ascii="Arial" w:hAnsi="Arial" w:cs="Arial"/>
          <w:color w:val="000000"/>
          <w:lang w:val="en-US"/>
        </w:rPr>
        <w:t xml:space="preserve"> </w:t>
      </w:r>
      <w:r w:rsidRPr="0007572B">
        <w:rPr>
          <w:rFonts w:ascii="Arial" w:hAnsi="Arial" w:cs="Arial"/>
          <w:bCs/>
          <w:lang w:eastAsia="en-GB"/>
        </w:rPr>
        <w:t>to support investment opportunities in properties in the North West</w:t>
      </w:r>
      <w:r w:rsidRPr="0007572B">
        <w:rPr>
          <w:rFonts w:ascii="Arial" w:hAnsi="Arial" w:cs="Arial"/>
          <w:color w:val="000000"/>
          <w:lang w:val="en-US"/>
        </w:rPr>
        <w:t xml:space="preserve">. The Fund has received significant funding from ERDF and will invest in sub funds that provide opportunities to identify, research and negotiate investment opportunities in properties in the North West of England. </w:t>
      </w:r>
      <w:r w:rsidRPr="0007572B">
        <w:rPr>
          <w:rFonts w:ascii="Arial" w:hAnsi="Arial" w:cs="Arial"/>
          <w:bCs/>
          <w:lang w:eastAsia="en-GB"/>
        </w:rPr>
        <w:t>The accounts included in the 2</w:t>
      </w:r>
      <w:r w:rsidR="001E1A08">
        <w:rPr>
          <w:rFonts w:ascii="Arial" w:hAnsi="Arial" w:cs="Arial"/>
          <w:bCs/>
          <w:lang w:eastAsia="en-GB"/>
        </w:rPr>
        <w:t>1</w:t>
      </w:r>
      <w:r w:rsidRPr="0007572B">
        <w:rPr>
          <w:rFonts w:ascii="Arial" w:hAnsi="Arial" w:cs="Arial"/>
          <w:bCs/>
          <w:lang w:eastAsia="en-GB"/>
        </w:rPr>
        <w:t>/2</w:t>
      </w:r>
      <w:r w:rsidR="001E1A08">
        <w:rPr>
          <w:rFonts w:ascii="Arial" w:hAnsi="Arial" w:cs="Arial"/>
          <w:bCs/>
          <w:lang w:eastAsia="en-GB"/>
        </w:rPr>
        <w:t>2</w:t>
      </w:r>
      <w:r w:rsidRPr="0007572B">
        <w:rPr>
          <w:rFonts w:ascii="Arial" w:hAnsi="Arial" w:cs="Arial"/>
          <w:bCs/>
          <w:lang w:eastAsia="en-GB"/>
        </w:rPr>
        <w:t xml:space="preserve"> group accounts are for the </w:t>
      </w:r>
      <w:r>
        <w:rPr>
          <w:rFonts w:ascii="Arial" w:hAnsi="Arial" w:cs="Arial"/>
          <w:bCs/>
          <w:lang w:eastAsia="en-GB"/>
        </w:rPr>
        <w:t>period ending</w:t>
      </w:r>
      <w:r w:rsidRPr="0007572B">
        <w:rPr>
          <w:rFonts w:ascii="Arial" w:hAnsi="Arial" w:cs="Arial"/>
          <w:bCs/>
          <w:lang w:eastAsia="en-GB"/>
        </w:rPr>
        <w:t xml:space="preserve"> 31 </w:t>
      </w:r>
      <w:r>
        <w:rPr>
          <w:rFonts w:ascii="Arial" w:hAnsi="Arial" w:cs="Arial"/>
          <w:bCs/>
          <w:lang w:eastAsia="en-GB"/>
        </w:rPr>
        <w:t>March 2022</w:t>
      </w:r>
      <w:r w:rsidRPr="0007572B">
        <w:rPr>
          <w:rFonts w:ascii="Arial" w:hAnsi="Arial" w:cs="Arial"/>
          <w:bCs/>
          <w:lang w:eastAsia="en-GB"/>
        </w:rPr>
        <w:t>.</w:t>
      </w:r>
    </w:p>
    <w:p w14:paraId="44887F86" w14:textId="77777777" w:rsidR="00795BE0" w:rsidRPr="0071193A" w:rsidRDefault="00795BE0" w:rsidP="00795BE0">
      <w:pPr>
        <w:rPr>
          <w:rFonts w:ascii="Arial" w:hAnsi="Arial" w:cs="Arial"/>
          <w:color w:val="000000"/>
          <w:lang w:val="en-US"/>
        </w:rPr>
      </w:pPr>
    </w:p>
    <w:p w14:paraId="43910934" w14:textId="77777777" w:rsidR="00795BE0" w:rsidRPr="0007572B" w:rsidRDefault="00795BE0" w:rsidP="00795BE0">
      <w:pPr>
        <w:pStyle w:val="Heading4bold"/>
        <w:rPr>
          <w:lang w:val="en-US"/>
        </w:rPr>
      </w:pPr>
      <w:r w:rsidRPr="0007572B">
        <w:rPr>
          <w:lang w:val="en-US"/>
        </w:rPr>
        <w:t>Greater Manchester Fund of Funds Limited Partnership (FoFLP)</w:t>
      </w:r>
    </w:p>
    <w:p w14:paraId="2E1ADB58" w14:textId="347983FF" w:rsidR="00795BE0" w:rsidRPr="0007572B" w:rsidRDefault="00795BE0" w:rsidP="00795BE0">
      <w:pPr>
        <w:rPr>
          <w:rFonts w:ascii="Arial" w:hAnsi="Arial" w:cs="Arial"/>
          <w:color w:val="000000"/>
          <w:lang w:val="en-US"/>
        </w:rPr>
      </w:pPr>
      <w:r w:rsidRPr="0007572B">
        <w:rPr>
          <w:rFonts w:ascii="Arial" w:hAnsi="Arial" w:cs="Arial"/>
          <w:color w:val="000000"/>
          <w:lang w:val="en-US"/>
        </w:rPr>
        <w:t>In November 2016 the Authority established FoFLP to act as a holding fund for ERDF funding</w:t>
      </w:r>
      <w:r w:rsidRPr="0007572B">
        <w:rPr>
          <w:rFonts w:ascii="Arial" w:hAnsi="Arial" w:cs="Arial"/>
          <w:bCs/>
          <w:lang w:eastAsia="en-GB"/>
        </w:rPr>
        <w:t>.</w:t>
      </w:r>
      <w:r w:rsidRPr="0007572B">
        <w:rPr>
          <w:rFonts w:ascii="Arial" w:hAnsi="Arial" w:cs="Arial"/>
          <w:color w:val="000000"/>
          <w:lang w:val="en-US"/>
        </w:rPr>
        <w:t xml:space="preserve"> FoFLP will invest in sub funds that seek to support the shift towards a low carbon economy and for research and innovation.</w:t>
      </w:r>
      <w:r>
        <w:rPr>
          <w:rFonts w:ascii="Arial" w:hAnsi="Arial" w:cs="Arial"/>
          <w:color w:val="000000"/>
          <w:lang w:val="en-US"/>
        </w:rPr>
        <w:t xml:space="preserve"> </w:t>
      </w:r>
      <w:r w:rsidRPr="0007572B">
        <w:rPr>
          <w:rFonts w:ascii="Arial" w:hAnsi="Arial" w:cs="Arial"/>
          <w:bCs/>
          <w:lang w:eastAsia="en-GB"/>
        </w:rPr>
        <w:t>The accounts included in the 2</w:t>
      </w:r>
      <w:r w:rsidR="001E1A08">
        <w:rPr>
          <w:rFonts w:ascii="Arial" w:hAnsi="Arial" w:cs="Arial"/>
          <w:bCs/>
          <w:lang w:eastAsia="en-GB"/>
        </w:rPr>
        <w:t>1</w:t>
      </w:r>
      <w:r w:rsidRPr="0007572B">
        <w:rPr>
          <w:rFonts w:ascii="Arial" w:hAnsi="Arial" w:cs="Arial"/>
          <w:bCs/>
          <w:lang w:eastAsia="en-GB"/>
        </w:rPr>
        <w:t>/2</w:t>
      </w:r>
      <w:r w:rsidR="001E1A08">
        <w:rPr>
          <w:rFonts w:ascii="Arial" w:hAnsi="Arial" w:cs="Arial"/>
          <w:bCs/>
          <w:lang w:eastAsia="en-GB"/>
        </w:rPr>
        <w:t>2</w:t>
      </w:r>
      <w:r w:rsidRPr="0007572B">
        <w:rPr>
          <w:rFonts w:ascii="Arial" w:hAnsi="Arial" w:cs="Arial"/>
          <w:bCs/>
          <w:lang w:eastAsia="en-GB"/>
        </w:rPr>
        <w:t xml:space="preserve"> group accounts are for the </w:t>
      </w:r>
      <w:r>
        <w:rPr>
          <w:rFonts w:ascii="Arial" w:hAnsi="Arial" w:cs="Arial"/>
          <w:bCs/>
          <w:lang w:eastAsia="en-GB"/>
        </w:rPr>
        <w:t xml:space="preserve">period ending </w:t>
      </w:r>
      <w:r w:rsidRPr="0007572B">
        <w:rPr>
          <w:rFonts w:ascii="Arial" w:hAnsi="Arial" w:cs="Arial"/>
          <w:bCs/>
          <w:lang w:eastAsia="en-GB"/>
        </w:rPr>
        <w:t xml:space="preserve">31 </w:t>
      </w:r>
      <w:r>
        <w:rPr>
          <w:rFonts w:ascii="Arial" w:hAnsi="Arial" w:cs="Arial"/>
          <w:bCs/>
          <w:lang w:eastAsia="en-GB"/>
        </w:rPr>
        <w:t>March</w:t>
      </w:r>
      <w:r w:rsidRPr="0007572B">
        <w:rPr>
          <w:rFonts w:ascii="Arial" w:hAnsi="Arial" w:cs="Arial"/>
          <w:bCs/>
          <w:lang w:eastAsia="en-GB"/>
        </w:rPr>
        <w:t xml:space="preserve"> </w:t>
      </w:r>
      <w:r>
        <w:rPr>
          <w:rFonts w:ascii="Arial" w:hAnsi="Arial" w:cs="Arial"/>
          <w:bCs/>
          <w:lang w:eastAsia="en-GB"/>
        </w:rPr>
        <w:t>2022</w:t>
      </w:r>
      <w:r w:rsidRPr="0007572B">
        <w:rPr>
          <w:rFonts w:ascii="Arial" w:hAnsi="Arial" w:cs="Arial"/>
          <w:bCs/>
          <w:lang w:eastAsia="en-GB"/>
        </w:rPr>
        <w:t>.</w:t>
      </w:r>
    </w:p>
    <w:p w14:paraId="575D956F" w14:textId="77777777" w:rsidR="00795BE0" w:rsidRPr="00230784" w:rsidRDefault="00795BE0" w:rsidP="00795BE0">
      <w:pPr>
        <w:rPr>
          <w:rFonts w:ascii="Arial" w:hAnsi="Arial" w:cs="Arial"/>
          <w:color w:val="000000"/>
          <w:lang w:val="en-US"/>
        </w:rPr>
      </w:pPr>
    </w:p>
    <w:p w14:paraId="3C3AB4B1" w14:textId="77777777" w:rsidR="00795BE0" w:rsidRDefault="00795BE0" w:rsidP="00795BE0">
      <w:pPr>
        <w:rPr>
          <w:rFonts w:ascii="Arial" w:hAnsi="Arial" w:cs="Arial"/>
        </w:rPr>
      </w:pPr>
      <w:r w:rsidRPr="00230784">
        <w:rPr>
          <w:rFonts w:ascii="Arial" w:hAnsi="Arial" w:cs="Arial"/>
        </w:rPr>
        <w:t xml:space="preserve">All intra-group trading, balances and unrealised gains and losses as at the end of the period are eliminated in full. </w:t>
      </w:r>
    </w:p>
    <w:p w14:paraId="3332BD53" w14:textId="77777777" w:rsidR="00795BE0" w:rsidRPr="0007572B" w:rsidRDefault="00795BE0" w:rsidP="00795BE0">
      <w:pPr>
        <w:pStyle w:val="Heading3"/>
      </w:pPr>
      <w:bookmarkStart w:id="232" w:name="_Toc92894919"/>
      <w:bookmarkStart w:id="233" w:name="_Toc92895223"/>
      <w:bookmarkStart w:id="234" w:name="_Toc109922657"/>
      <w:r w:rsidRPr="0007572B">
        <w:t>Basis of Preparation of the Group Accounts</w:t>
      </w:r>
      <w:bookmarkEnd w:id="232"/>
      <w:bookmarkEnd w:id="233"/>
      <w:bookmarkEnd w:id="234"/>
    </w:p>
    <w:p w14:paraId="3C95D685" w14:textId="34C9AA79" w:rsidR="00795BE0" w:rsidRPr="0007572B" w:rsidRDefault="00795BE0" w:rsidP="00795BE0">
      <w:pPr>
        <w:rPr>
          <w:rFonts w:ascii="Arial" w:hAnsi="Arial" w:cs="Arial"/>
        </w:rPr>
      </w:pPr>
      <w:r w:rsidRPr="0007572B">
        <w:rPr>
          <w:rFonts w:ascii="Arial" w:hAnsi="Arial" w:cs="Arial"/>
        </w:rPr>
        <w:t xml:space="preserve">The group accounts have been prepared on a historical cost basis, except for certain property assets that are measured at </w:t>
      </w:r>
      <w:r w:rsidR="001E1A08">
        <w:rPr>
          <w:rFonts w:ascii="Arial" w:hAnsi="Arial" w:cs="Arial"/>
        </w:rPr>
        <w:t>current</w:t>
      </w:r>
      <w:r w:rsidRPr="0007572B">
        <w:rPr>
          <w:rFonts w:ascii="Arial" w:hAnsi="Arial" w:cs="Arial"/>
        </w:rPr>
        <w:t xml:space="preserve"> value, in accordance with the Code. The group accounts have been prepared on a going concern basis.</w:t>
      </w:r>
    </w:p>
    <w:p w14:paraId="5B537D16" w14:textId="77777777" w:rsidR="00795BE0" w:rsidRPr="00950EAF" w:rsidRDefault="00795BE0" w:rsidP="00795BE0">
      <w:pPr>
        <w:pStyle w:val="Heading3"/>
      </w:pPr>
      <w:bookmarkStart w:id="235" w:name="_Toc92894920"/>
      <w:bookmarkStart w:id="236" w:name="_Toc92895224"/>
      <w:bookmarkStart w:id="237" w:name="_Toc109922658"/>
      <w:r w:rsidRPr="00950EAF">
        <w:t>Statement of Compliance with IFRS</w:t>
      </w:r>
      <w:bookmarkEnd w:id="235"/>
      <w:bookmarkEnd w:id="236"/>
      <w:bookmarkEnd w:id="237"/>
    </w:p>
    <w:p w14:paraId="2CF2ADDA" w14:textId="77777777" w:rsidR="00795BE0" w:rsidRPr="0007572B" w:rsidRDefault="00795BE0" w:rsidP="00795BE0">
      <w:pPr>
        <w:rPr>
          <w:rFonts w:ascii="Arial" w:hAnsi="Arial" w:cs="Arial"/>
        </w:rPr>
      </w:pPr>
      <w:r w:rsidRPr="0007572B">
        <w:rPr>
          <w:rFonts w:ascii="Arial" w:hAnsi="Arial" w:cs="Arial"/>
        </w:rPr>
        <w:t>In accordance with the CIPFA Code of Practice on Local Authority Accounting in the United Kingdom, TfGM has adopted all aspects of the Code other than as follows:</w:t>
      </w:r>
    </w:p>
    <w:p w14:paraId="75045D82" w14:textId="470E1BF5" w:rsidR="00795BE0" w:rsidRDefault="00795BE0" w:rsidP="00795BE0">
      <w:pPr>
        <w:rPr>
          <w:rFonts w:ascii="Arial" w:hAnsi="Arial" w:cs="Arial"/>
        </w:rPr>
      </w:pPr>
    </w:p>
    <w:p w14:paraId="03535E93" w14:textId="77777777" w:rsidR="00FD2C8C" w:rsidRPr="0007572B" w:rsidRDefault="00FD2C8C" w:rsidP="00795BE0">
      <w:pPr>
        <w:rPr>
          <w:rFonts w:ascii="Arial" w:hAnsi="Arial" w:cs="Arial"/>
        </w:rPr>
      </w:pPr>
    </w:p>
    <w:p w14:paraId="438431D9" w14:textId="77777777" w:rsidR="00795BE0" w:rsidRPr="0007572B" w:rsidRDefault="00795BE0" w:rsidP="00DF4603">
      <w:pPr>
        <w:numPr>
          <w:ilvl w:val="0"/>
          <w:numId w:val="79"/>
        </w:numPr>
        <w:rPr>
          <w:rFonts w:ascii="Arial" w:hAnsi="Arial" w:cs="Arial"/>
        </w:rPr>
      </w:pPr>
      <w:r w:rsidRPr="0007572B">
        <w:rPr>
          <w:rFonts w:ascii="Arial" w:hAnsi="Arial" w:cs="Arial"/>
        </w:rPr>
        <w:lastRenderedPageBreak/>
        <w:t>Deregulation Reserve. IFRS 5 would treat the deregulation of bus services in 1986 as a discontinued operation, leading to the write off of any costs connected with deregulation. However, the Transport Act of 1985 allowed any costs incurred on deregulation to be transferred to a specific reserve, called the ‘Deregulation Reserve’. TfGM has adopted a policy of amortising the Deregulation Reserve over 30 years.</w:t>
      </w:r>
    </w:p>
    <w:p w14:paraId="417921C8" w14:textId="77777777" w:rsidR="00795BE0" w:rsidRPr="0007572B" w:rsidRDefault="00795BE0" w:rsidP="00795BE0">
      <w:pPr>
        <w:jc w:val="both"/>
        <w:rPr>
          <w:rFonts w:ascii="Arial" w:hAnsi="Arial" w:cs="Arial"/>
          <w:sz w:val="22"/>
          <w:szCs w:val="22"/>
        </w:rPr>
      </w:pPr>
    </w:p>
    <w:p w14:paraId="5F11C83A" w14:textId="77777777" w:rsidR="00795BE0" w:rsidRPr="0007572B" w:rsidRDefault="00795BE0" w:rsidP="00795BE0">
      <w:pPr>
        <w:spacing w:after="120"/>
        <w:jc w:val="both"/>
        <w:rPr>
          <w:rFonts w:ascii="Arial" w:hAnsi="Arial" w:cs="Arial"/>
          <w:sz w:val="22"/>
        </w:rPr>
      </w:pPr>
    </w:p>
    <w:p w14:paraId="483B395A" w14:textId="77777777" w:rsidR="00795BE0" w:rsidRPr="0007572B" w:rsidRDefault="00795BE0" w:rsidP="00795BE0">
      <w:pPr>
        <w:rPr>
          <w:rFonts w:ascii="Arial" w:hAnsi="Arial" w:cs="Arial"/>
          <w:sz w:val="22"/>
        </w:rPr>
        <w:sectPr w:rsidR="00795BE0" w:rsidRPr="0007572B" w:rsidSect="003A31EF">
          <w:headerReference w:type="default" r:id="rId112"/>
          <w:pgSz w:w="11906" w:h="16838"/>
          <w:pgMar w:top="946" w:right="1416" w:bottom="1440" w:left="1080" w:header="283" w:footer="567" w:gutter="0"/>
          <w:cols w:space="708"/>
          <w:docGrid w:linePitch="360"/>
        </w:sectPr>
      </w:pPr>
    </w:p>
    <w:p w14:paraId="23141B32" w14:textId="77777777" w:rsidR="00795BE0" w:rsidRPr="0007572B" w:rsidRDefault="00795BE0" w:rsidP="00795BE0">
      <w:pPr>
        <w:jc w:val="center"/>
        <w:rPr>
          <w:rFonts w:ascii="Arial" w:hAnsi="Arial" w:cs="Arial"/>
          <w:b/>
          <w:sz w:val="40"/>
          <w:szCs w:val="40"/>
        </w:rPr>
      </w:pPr>
    </w:p>
    <w:p w14:paraId="55641D69" w14:textId="77777777" w:rsidR="00795BE0" w:rsidRPr="0007572B" w:rsidRDefault="00795BE0" w:rsidP="00795BE0">
      <w:pPr>
        <w:jc w:val="center"/>
        <w:rPr>
          <w:rFonts w:ascii="Arial" w:hAnsi="Arial" w:cs="Arial"/>
          <w:b/>
          <w:sz w:val="40"/>
          <w:szCs w:val="40"/>
        </w:rPr>
      </w:pPr>
    </w:p>
    <w:p w14:paraId="7CC93396" w14:textId="77777777" w:rsidR="00795BE0" w:rsidRPr="0007572B" w:rsidRDefault="00795BE0" w:rsidP="00795BE0">
      <w:pPr>
        <w:jc w:val="center"/>
        <w:rPr>
          <w:rFonts w:ascii="Arial" w:hAnsi="Arial" w:cs="Arial"/>
          <w:b/>
          <w:sz w:val="40"/>
          <w:szCs w:val="40"/>
        </w:rPr>
      </w:pPr>
    </w:p>
    <w:p w14:paraId="4DCCF7A7" w14:textId="77777777" w:rsidR="00795BE0" w:rsidRPr="0007572B" w:rsidRDefault="00795BE0" w:rsidP="00795BE0">
      <w:pPr>
        <w:jc w:val="center"/>
        <w:rPr>
          <w:rFonts w:ascii="Arial" w:hAnsi="Arial" w:cs="Arial"/>
          <w:b/>
          <w:sz w:val="40"/>
          <w:szCs w:val="40"/>
        </w:rPr>
      </w:pPr>
    </w:p>
    <w:p w14:paraId="4B45ACBD" w14:textId="77777777" w:rsidR="00795BE0" w:rsidRPr="0007572B" w:rsidRDefault="00795BE0" w:rsidP="00795BE0">
      <w:pPr>
        <w:pStyle w:val="Heading1"/>
        <w:jc w:val="center"/>
      </w:pPr>
      <w:bookmarkStart w:id="238" w:name="_Toc92895225"/>
      <w:bookmarkStart w:id="239" w:name="_Toc109922659"/>
      <w:r w:rsidRPr="0007572B">
        <w:t>Greater Manchester Combined Authority</w:t>
      </w:r>
      <w:r>
        <w:t xml:space="preserve"> – Group Financial Statements</w:t>
      </w:r>
      <w:bookmarkEnd w:id="238"/>
      <w:bookmarkEnd w:id="239"/>
    </w:p>
    <w:p w14:paraId="4B00BE27" w14:textId="77777777" w:rsidR="00795BE0" w:rsidRPr="0007572B" w:rsidRDefault="00795BE0" w:rsidP="00795BE0">
      <w:pPr>
        <w:jc w:val="center"/>
        <w:rPr>
          <w:rFonts w:ascii="Arial" w:hAnsi="Arial" w:cs="Arial"/>
          <w:b/>
          <w:sz w:val="40"/>
          <w:szCs w:val="40"/>
        </w:rPr>
      </w:pPr>
    </w:p>
    <w:p w14:paraId="768BC2CB" w14:textId="77777777" w:rsidR="00795BE0" w:rsidRPr="0007572B" w:rsidRDefault="00795BE0" w:rsidP="00795BE0">
      <w:pPr>
        <w:jc w:val="center"/>
        <w:rPr>
          <w:rFonts w:ascii="Arial" w:hAnsi="Arial" w:cs="Arial"/>
          <w:b/>
          <w:sz w:val="40"/>
          <w:szCs w:val="40"/>
        </w:rPr>
      </w:pPr>
    </w:p>
    <w:p w14:paraId="6ABCE3C6" w14:textId="77777777" w:rsidR="00795BE0" w:rsidRPr="0007572B" w:rsidRDefault="00795BE0" w:rsidP="00795BE0">
      <w:pPr>
        <w:jc w:val="center"/>
        <w:rPr>
          <w:rFonts w:ascii="Arial" w:hAnsi="Arial" w:cs="Arial"/>
          <w:b/>
          <w:sz w:val="40"/>
          <w:szCs w:val="40"/>
        </w:rPr>
      </w:pPr>
    </w:p>
    <w:p w14:paraId="6B7B10D9" w14:textId="77777777" w:rsidR="00795BE0" w:rsidRPr="0007572B" w:rsidRDefault="00795BE0" w:rsidP="00795BE0">
      <w:pPr>
        <w:jc w:val="center"/>
        <w:rPr>
          <w:rFonts w:ascii="Arial" w:hAnsi="Arial" w:cs="Arial"/>
          <w:b/>
          <w:sz w:val="40"/>
          <w:szCs w:val="40"/>
        </w:rPr>
      </w:pPr>
    </w:p>
    <w:p w14:paraId="6B424094" w14:textId="77777777" w:rsidR="00795BE0" w:rsidRPr="0007572B" w:rsidRDefault="00795BE0" w:rsidP="00795BE0">
      <w:pPr>
        <w:jc w:val="center"/>
        <w:rPr>
          <w:rFonts w:ascii="Arial" w:hAnsi="Arial" w:cs="Arial"/>
          <w:b/>
          <w:sz w:val="40"/>
          <w:szCs w:val="40"/>
        </w:rPr>
      </w:pPr>
    </w:p>
    <w:p w14:paraId="67B44F65" w14:textId="77777777" w:rsidR="00795BE0" w:rsidRPr="0007572B" w:rsidRDefault="00795BE0" w:rsidP="00795BE0">
      <w:pPr>
        <w:rPr>
          <w:rFonts w:ascii="Arial" w:hAnsi="Arial" w:cs="Arial"/>
          <w:sz w:val="22"/>
        </w:rPr>
      </w:pPr>
      <w:r w:rsidRPr="0007572B">
        <w:rPr>
          <w:rFonts w:ascii="Arial" w:hAnsi="Arial" w:cs="Arial"/>
          <w:sz w:val="22"/>
        </w:rPr>
        <w:br w:type="page"/>
      </w:r>
    </w:p>
    <w:p w14:paraId="0B56C99C" w14:textId="77777777" w:rsidR="00795BE0" w:rsidRPr="0007572B" w:rsidRDefault="00795BE0" w:rsidP="00795BE0">
      <w:pPr>
        <w:pStyle w:val="Heading3green"/>
      </w:pPr>
      <w:bookmarkStart w:id="240" w:name="_Toc92895226"/>
      <w:bookmarkStart w:id="241" w:name="_Toc109922660"/>
      <w:r w:rsidRPr="0007572B">
        <w:lastRenderedPageBreak/>
        <w:t>Group Comprehensive Income and Expenditure Statement</w:t>
      </w:r>
      <w:bookmarkEnd w:id="240"/>
      <w:bookmarkEnd w:id="241"/>
    </w:p>
    <w:p w14:paraId="1B811913" w14:textId="77777777" w:rsidR="00795BE0" w:rsidRPr="0007572B" w:rsidRDefault="00795BE0" w:rsidP="00795BE0">
      <w:pPr>
        <w:jc w:val="both"/>
        <w:rPr>
          <w:rFonts w:ascii="Arial" w:hAnsi="Arial" w:cs="Arial"/>
        </w:rPr>
      </w:pPr>
    </w:p>
    <w:p w14:paraId="42ABB89B" w14:textId="77777777" w:rsidR="00795BE0" w:rsidRPr="0007572B" w:rsidRDefault="00795BE0" w:rsidP="00795BE0">
      <w:pPr>
        <w:rPr>
          <w:rFonts w:ascii="Arial" w:hAnsi="Arial" w:cs="Arial"/>
        </w:rPr>
      </w:pPr>
      <w:r w:rsidRPr="0007572B">
        <w:rPr>
          <w:rFonts w:ascii="Arial" w:hAnsi="Arial" w:cs="Arial"/>
        </w:rPr>
        <w:t>This statement shows the Group accounting cost of providing services, rather than the amount set out in legislation that is chargeable to precepts, levies, taxation and grant income. The taxation position is shown in the Movement in Reserves Statement and the Expenditure and Funding Analysis.</w:t>
      </w:r>
    </w:p>
    <w:p w14:paraId="50D5EFD2" w14:textId="77777777" w:rsidR="00795BE0" w:rsidRPr="0007572B" w:rsidRDefault="00795BE0" w:rsidP="00795BE0">
      <w:pPr>
        <w:jc w:val="both"/>
        <w:rPr>
          <w:rFonts w:ascii="Arial" w:hAnsi="Arial" w:cs="Arial"/>
          <w:b/>
          <w:highlight w:val="yellow"/>
        </w:rPr>
      </w:pPr>
    </w:p>
    <w:p w14:paraId="3A5E1924" w14:textId="09652621" w:rsidR="00795BE0" w:rsidRDefault="00212954" w:rsidP="00795BE0">
      <w:pPr>
        <w:jc w:val="both"/>
        <w:rPr>
          <w:rFonts w:ascii="Arial" w:hAnsi="Arial" w:cs="Arial"/>
        </w:rPr>
      </w:pPr>
      <w:r w:rsidRPr="00212954">
        <w:rPr>
          <w:noProof/>
        </w:rPr>
        <w:drawing>
          <wp:inline distT="0" distB="0" distL="0" distR="0" wp14:anchorId="7CC647FA" wp14:editId="51B7AFBA">
            <wp:extent cx="5975350" cy="3343910"/>
            <wp:effectExtent l="0" t="0" r="6350" b="8890"/>
            <wp:docPr id="1411032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75350" cy="3343910"/>
                    </a:xfrm>
                    <a:prstGeom prst="rect">
                      <a:avLst/>
                    </a:prstGeom>
                    <a:noFill/>
                    <a:ln>
                      <a:noFill/>
                    </a:ln>
                  </pic:spPr>
                </pic:pic>
              </a:graphicData>
            </a:graphic>
          </wp:inline>
        </w:drawing>
      </w:r>
    </w:p>
    <w:p w14:paraId="46F7495A" w14:textId="75EAF17B" w:rsidR="00795BE0" w:rsidRDefault="00212954" w:rsidP="00795BE0">
      <w:pPr>
        <w:jc w:val="both"/>
        <w:rPr>
          <w:rFonts w:ascii="Arial" w:hAnsi="Arial" w:cs="Arial"/>
        </w:rPr>
      </w:pPr>
      <w:r>
        <w:rPr>
          <w:rFonts w:ascii="Arial" w:hAnsi="Arial" w:cs="Arial"/>
          <w:bCs/>
          <w:sz w:val="16"/>
          <w:szCs w:val="16"/>
        </w:rPr>
        <w:t>*</w:t>
      </w:r>
      <w:r w:rsidRPr="00212954">
        <w:rPr>
          <w:rFonts w:ascii="Arial" w:hAnsi="Arial" w:cs="Arial"/>
          <w:bCs/>
          <w:sz w:val="16"/>
          <w:szCs w:val="16"/>
        </w:rPr>
        <w:t>20/21 restated figures are explained in note 6</w:t>
      </w:r>
      <w:r w:rsidR="00764244">
        <w:rPr>
          <w:rFonts w:ascii="Arial" w:hAnsi="Arial" w:cs="Arial"/>
          <w:bCs/>
          <w:sz w:val="16"/>
          <w:szCs w:val="16"/>
        </w:rPr>
        <w:t>1</w:t>
      </w:r>
      <w:r>
        <w:rPr>
          <w:rFonts w:ascii="Arial" w:hAnsi="Arial" w:cs="Arial"/>
          <w:bCs/>
          <w:sz w:val="16"/>
          <w:szCs w:val="16"/>
        </w:rPr>
        <w:t>.</w:t>
      </w:r>
    </w:p>
    <w:p w14:paraId="17C5E248" w14:textId="77777777" w:rsidR="00795BE0" w:rsidRPr="0007572B" w:rsidRDefault="00795BE0" w:rsidP="00795BE0">
      <w:pPr>
        <w:jc w:val="both"/>
        <w:rPr>
          <w:rFonts w:ascii="Arial" w:hAnsi="Arial" w:cs="Arial"/>
          <w:b/>
        </w:rPr>
      </w:pPr>
      <w:r w:rsidRPr="0007572B">
        <w:rPr>
          <w:rFonts w:ascii="Arial" w:hAnsi="Arial" w:cs="Arial"/>
          <w:noProof/>
          <w:sz w:val="28"/>
          <w:szCs w:val="28"/>
          <w:lang w:eastAsia="en-GB"/>
        </w:rPr>
        <w:drawing>
          <wp:inline distT="0" distB="0" distL="0" distR="0" wp14:anchorId="24E705D5" wp14:editId="4DD78DD3">
            <wp:extent cx="1117600" cy="614680"/>
            <wp:effectExtent l="0" t="0" r="6350" b="0"/>
            <wp:docPr id="59" name="Picture 59" descr="Signature of Steve Wilson, Greater Manchester Combined Authority Treas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ignature of Steve Wilson, Greater Manchester Combined Authority Treasure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614680"/>
                    </a:xfrm>
                    <a:prstGeom prst="rect">
                      <a:avLst/>
                    </a:prstGeom>
                    <a:noFill/>
                    <a:ln>
                      <a:noFill/>
                    </a:ln>
                  </pic:spPr>
                </pic:pic>
              </a:graphicData>
            </a:graphic>
          </wp:inline>
        </w:drawing>
      </w:r>
    </w:p>
    <w:p w14:paraId="1D869CCE" w14:textId="77777777" w:rsidR="00795BE0" w:rsidRPr="0007572B" w:rsidRDefault="00795BE0" w:rsidP="00795BE0">
      <w:pPr>
        <w:jc w:val="both"/>
        <w:rPr>
          <w:rFonts w:ascii="Arial" w:hAnsi="Arial" w:cs="Arial"/>
          <w:b/>
        </w:rPr>
      </w:pPr>
      <w:r w:rsidRPr="0007572B">
        <w:rPr>
          <w:rFonts w:ascii="Arial" w:hAnsi="Arial" w:cs="Arial"/>
          <w:b/>
        </w:rPr>
        <w:t>Steve Wilson</w:t>
      </w:r>
    </w:p>
    <w:p w14:paraId="503A4A99" w14:textId="77777777" w:rsidR="00795BE0" w:rsidRPr="0007572B" w:rsidRDefault="00795BE0" w:rsidP="00795BE0">
      <w:pPr>
        <w:jc w:val="both"/>
        <w:rPr>
          <w:rFonts w:ascii="Arial" w:hAnsi="Arial" w:cs="Arial"/>
          <w:b/>
        </w:rPr>
      </w:pPr>
      <w:r w:rsidRPr="0007572B">
        <w:rPr>
          <w:rFonts w:ascii="Arial" w:hAnsi="Arial" w:cs="Arial"/>
          <w:b/>
        </w:rPr>
        <w:t>Greater Manchester Combined Authority Treasurer</w:t>
      </w:r>
    </w:p>
    <w:p w14:paraId="674CBF86" w14:textId="605F0088" w:rsidR="00795BE0" w:rsidRPr="0007572B" w:rsidRDefault="00795BE0" w:rsidP="00795BE0">
      <w:pPr>
        <w:jc w:val="both"/>
        <w:rPr>
          <w:rFonts w:ascii="Arial" w:hAnsi="Arial" w:cs="Arial"/>
        </w:rPr>
      </w:pPr>
      <w:r w:rsidRPr="0007572B">
        <w:rPr>
          <w:rFonts w:ascii="Arial" w:hAnsi="Arial" w:cs="Arial"/>
          <w:b/>
        </w:rPr>
        <w:t>Date</w:t>
      </w:r>
      <w:r w:rsidRPr="000C2400">
        <w:rPr>
          <w:rFonts w:ascii="Arial" w:hAnsi="Arial" w:cs="Arial"/>
          <w:b/>
        </w:rPr>
        <w:t xml:space="preserve">: </w:t>
      </w:r>
      <w:r w:rsidR="000C2400" w:rsidRPr="000C2400">
        <w:rPr>
          <w:rFonts w:ascii="Arial" w:hAnsi="Arial" w:cs="Arial"/>
          <w:b/>
        </w:rPr>
        <w:t>9 November</w:t>
      </w:r>
      <w:r w:rsidR="00A66F7E" w:rsidRPr="000C2400">
        <w:rPr>
          <w:rFonts w:ascii="Arial" w:hAnsi="Arial" w:cs="Arial"/>
          <w:b/>
        </w:rPr>
        <w:t xml:space="preserve"> </w:t>
      </w:r>
      <w:r w:rsidRPr="000C2400">
        <w:rPr>
          <w:rFonts w:ascii="Arial" w:hAnsi="Arial" w:cs="Arial"/>
          <w:b/>
        </w:rPr>
        <w:t>202</w:t>
      </w:r>
      <w:r w:rsidR="00A66F7E" w:rsidRPr="000C2400">
        <w:rPr>
          <w:rFonts w:ascii="Arial" w:hAnsi="Arial" w:cs="Arial"/>
          <w:b/>
        </w:rPr>
        <w:t>3</w:t>
      </w:r>
    </w:p>
    <w:p w14:paraId="065C5FC2" w14:textId="77777777" w:rsidR="00795BE0" w:rsidRPr="0007572B" w:rsidRDefault="00795BE0" w:rsidP="00795BE0">
      <w:pPr>
        <w:jc w:val="both"/>
        <w:rPr>
          <w:rFonts w:ascii="Arial" w:hAnsi="Arial" w:cs="Arial"/>
          <w:b/>
          <w:sz w:val="22"/>
          <w:szCs w:val="22"/>
        </w:rPr>
      </w:pPr>
    </w:p>
    <w:p w14:paraId="20D2546B" w14:textId="77777777" w:rsidR="00795BE0" w:rsidRPr="0007572B" w:rsidRDefault="00795BE0" w:rsidP="00795BE0">
      <w:pPr>
        <w:jc w:val="both"/>
        <w:rPr>
          <w:rFonts w:ascii="Arial" w:hAnsi="Arial" w:cs="Arial"/>
          <w:b/>
          <w:sz w:val="22"/>
          <w:szCs w:val="22"/>
        </w:rPr>
      </w:pPr>
    </w:p>
    <w:p w14:paraId="3FFD5687" w14:textId="77777777" w:rsidR="00795BE0" w:rsidRPr="0007572B" w:rsidRDefault="00795BE0" w:rsidP="00795BE0">
      <w:pPr>
        <w:rPr>
          <w:rFonts w:ascii="Arial" w:hAnsi="Arial" w:cs="Arial"/>
          <w:sz w:val="22"/>
        </w:rPr>
      </w:pPr>
    </w:p>
    <w:p w14:paraId="74ED41B8" w14:textId="77777777" w:rsidR="00795BE0" w:rsidRPr="0007572B" w:rsidRDefault="00795BE0" w:rsidP="00795BE0">
      <w:pPr>
        <w:rPr>
          <w:rFonts w:ascii="Arial" w:hAnsi="Arial" w:cs="Arial"/>
          <w:sz w:val="22"/>
        </w:rPr>
      </w:pPr>
    </w:p>
    <w:p w14:paraId="4CFF3763" w14:textId="77777777" w:rsidR="00795BE0" w:rsidRPr="0007572B" w:rsidRDefault="00795BE0" w:rsidP="00795BE0">
      <w:pPr>
        <w:rPr>
          <w:rFonts w:ascii="Arial" w:hAnsi="Arial" w:cs="Arial"/>
          <w:sz w:val="22"/>
        </w:rPr>
        <w:sectPr w:rsidR="00795BE0" w:rsidRPr="0007572B" w:rsidSect="006962C5">
          <w:pgSz w:w="11906" w:h="16838"/>
          <w:pgMar w:top="946" w:right="1416" w:bottom="1440" w:left="1080" w:header="283" w:footer="567" w:gutter="0"/>
          <w:cols w:space="708"/>
          <w:docGrid w:linePitch="360"/>
        </w:sectPr>
      </w:pPr>
    </w:p>
    <w:p w14:paraId="75FCC16E" w14:textId="77777777" w:rsidR="00795BE0" w:rsidRPr="0007572B" w:rsidRDefault="00795BE0" w:rsidP="00795BE0">
      <w:pPr>
        <w:pStyle w:val="Heading3green"/>
      </w:pPr>
      <w:bookmarkStart w:id="242" w:name="_Toc92895227"/>
      <w:bookmarkStart w:id="243" w:name="_Toc109922661"/>
      <w:r w:rsidRPr="0007572B">
        <w:lastRenderedPageBreak/>
        <w:t>Group Movement in Reserves Statement</w:t>
      </w:r>
      <w:bookmarkEnd w:id="242"/>
      <w:bookmarkEnd w:id="243"/>
    </w:p>
    <w:p w14:paraId="7C958B73" w14:textId="77777777" w:rsidR="00795BE0" w:rsidRPr="0007572B" w:rsidRDefault="00795BE0" w:rsidP="00795BE0">
      <w:pPr>
        <w:jc w:val="both"/>
        <w:rPr>
          <w:rFonts w:ascii="Arial" w:hAnsi="Arial" w:cs="Arial"/>
        </w:rPr>
      </w:pPr>
    </w:p>
    <w:p w14:paraId="1013A999" w14:textId="77777777" w:rsidR="00795BE0" w:rsidRPr="0007572B" w:rsidRDefault="00795BE0" w:rsidP="00795BE0">
      <w:pPr>
        <w:rPr>
          <w:rFonts w:ascii="Arial" w:hAnsi="Arial" w:cs="Arial"/>
          <w:b/>
        </w:rPr>
      </w:pPr>
      <w:r w:rsidRPr="0007572B">
        <w:rPr>
          <w:rFonts w:ascii="Arial" w:hAnsi="Arial" w:cs="Arial"/>
        </w:rPr>
        <w:t>This statement shows the movement in year on the different reserves held by the Authority Group. This is analysed into usable and unusable reserves. Usable reserves can be utilised to fund services whereas unusable reserves are accounting reserves held to reconcile the position between the accounting cost of services and the cost set out in legislation that is chargeable to precepts and taxation</w:t>
      </w:r>
      <w:r w:rsidRPr="0007572B">
        <w:rPr>
          <w:rFonts w:ascii="Arial" w:hAnsi="Arial" w:cs="Arial"/>
          <w:b/>
        </w:rPr>
        <w:t>.</w:t>
      </w:r>
    </w:p>
    <w:p w14:paraId="5D5E1EEF" w14:textId="77777777" w:rsidR="00795BE0" w:rsidRPr="0007572B" w:rsidRDefault="00795BE0" w:rsidP="00795BE0">
      <w:pPr>
        <w:jc w:val="both"/>
        <w:rPr>
          <w:rFonts w:ascii="Arial" w:hAnsi="Arial" w:cs="Arial"/>
        </w:rPr>
      </w:pPr>
      <w:r w:rsidRPr="0007572B">
        <w:rPr>
          <w:rFonts w:ascii="Arial" w:hAnsi="Arial" w:cs="Arial"/>
        </w:rPr>
        <w:t>Further details of usable reserves can be found in the relevant associated notes.</w:t>
      </w:r>
    </w:p>
    <w:p w14:paraId="7ED5942E" w14:textId="0D0E0465" w:rsidR="00795BE0" w:rsidRDefault="00795BE0" w:rsidP="00795BE0">
      <w:pPr>
        <w:jc w:val="both"/>
        <w:rPr>
          <w:rFonts w:ascii="Arial" w:hAnsi="Arial" w:cs="Arial"/>
          <w:b/>
          <w:highlight w:val="yellow"/>
        </w:rPr>
      </w:pPr>
    </w:p>
    <w:p w14:paraId="62A2B559" w14:textId="1D0DF02B" w:rsidR="00795BE0" w:rsidRPr="0007572B" w:rsidRDefault="00874D32" w:rsidP="00795BE0">
      <w:pPr>
        <w:jc w:val="both"/>
        <w:rPr>
          <w:rFonts w:ascii="Arial" w:hAnsi="Arial" w:cs="Arial"/>
          <w:b/>
        </w:rPr>
      </w:pPr>
      <w:r w:rsidRPr="00874D32">
        <w:rPr>
          <w:noProof/>
        </w:rPr>
        <w:drawing>
          <wp:inline distT="0" distB="0" distL="0" distR="0" wp14:anchorId="0CB868C4" wp14:editId="723BD4CA">
            <wp:extent cx="9177020" cy="2931160"/>
            <wp:effectExtent l="0" t="0" r="508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177020" cy="2931160"/>
                    </a:xfrm>
                    <a:prstGeom prst="rect">
                      <a:avLst/>
                    </a:prstGeom>
                    <a:noFill/>
                    <a:ln>
                      <a:noFill/>
                    </a:ln>
                  </pic:spPr>
                </pic:pic>
              </a:graphicData>
            </a:graphic>
          </wp:inline>
        </w:drawing>
      </w:r>
    </w:p>
    <w:p w14:paraId="1714154A" w14:textId="77777777" w:rsidR="00795BE0" w:rsidRPr="0007572B" w:rsidRDefault="00795BE0" w:rsidP="00795BE0">
      <w:pPr>
        <w:jc w:val="both"/>
        <w:rPr>
          <w:rFonts w:ascii="Arial" w:hAnsi="Arial" w:cs="Arial"/>
          <w:b/>
        </w:rPr>
      </w:pPr>
    </w:p>
    <w:p w14:paraId="78817851" w14:textId="77777777" w:rsidR="00795BE0" w:rsidRPr="0007572B" w:rsidRDefault="00795BE0" w:rsidP="00795BE0">
      <w:pPr>
        <w:jc w:val="both"/>
        <w:rPr>
          <w:rFonts w:ascii="Arial" w:hAnsi="Arial" w:cs="Arial"/>
          <w:b/>
          <w:sz w:val="22"/>
          <w:szCs w:val="22"/>
        </w:rPr>
      </w:pPr>
    </w:p>
    <w:p w14:paraId="19F1C3B9" w14:textId="77777777" w:rsidR="00795BE0" w:rsidRPr="0007572B" w:rsidRDefault="00795BE0" w:rsidP="00795BE0">
      <w:pPr>
        <w:rPr>
          <w:rFonts w:ascii="Arial" w:hAnsi="Arial" w:cs="Arial"/>
          <w:sz w:val="22"/>
        </w:rPr>
        <w:sectPr w:rsidR="00795BE0" w:rsidRPr="0007572B" w:rsidSect="00300D64">
          <w:pgSz w:w="16838" w:h="11906" w:orient="landscape"/>
          <w:pgMar w:top="1080" w:right="946" w:bottom="1416" w:left="1440" w:header="283" w:footer="567" w:gutter="0"/>
          <w:cols w:space="708"/>
          <w:docGrid w:linePitch="360"/>
        </w:sectPr>
      </w:pPr>
    </w:p>
    <w:p w14:paraId="6AEE5344" w14:textId="77777777" w:rsidR="00795BE0" w:rsidRPr="0007572B" w:rsidRDefault="00795BE0" w:rsidP="00795BE0">
      <w:pPr>
        <w:pStyle w:val="Heading3green"/>
      </w:pPr>
      <w:bookmarkStart w:id="244" w:name="_Toc92895228"/>
      <w:bookmarkStart w:id="245" w:name="_Toc109922662"/>
      <w:r w:rsidRPr="0007572B">
        <w:lastRenderedPageBreak/>
        <w:t>Group Balance Sheet</w:t>
      </w:r>
      <w:bookmarkEnd w:id="244"/>
      <w:bookmarkEnd w:id="245"/>
    </w:p>
    <w:p w14:paraId="53FD4758" w14:textId="77777777" w:rsidR="00795BE0" w:rsidRPr="0007572B" w:rsidRDefault="00795BE0" w:rsidP="00795BE0">
      <w:pPr>
        <w:jc w:val="both"/>
        <w:rPr>
          <w:rFonts w:ascii="Arial" w:hAnsi="Arial" w:cs="Arial"/>
        </w:rPr>
      </w:pPr>
    </w:p>
    <w:p w14:paraId="36A6EDAF" w14:textId="77777777" w:rsidR="00795BE0" w:rsidRPr="0007572B" w:rsidRDefault="00795BE0" w:rsidP="00795BE0">
      <w:pPr>
        <w:rPr>
          <w:rFonts w:ascii="Arial" w:hAnsi="Arial" w:cs="Arial"/>
          <w:b/>
        </w:rPr>
      </w:pPr>
      <w:r w:rsidRPr="0007572B">
        <w:rPr>
          <w:rFonts w:ascii="Arial" w:hAnsi="Arial" w:cs="Arial"/>
        </w:rPr>
        <w:t>The Balance Sheet shows the value of assets and liabilities recognised by the Authority Group. The net assets/liabilities are matched by the usable and unusable reserves held. Usable reserves can be utilised to fund services whereas unusable reserves are accounting reserves held to reconcile the position between the accounting cost of services and the cost set out in legislation that is chargeable to precepts and taxation</w:t>
      </w:r>
      <w:r w:rsidRPr="0007572B">
        <w:rPr>
          <w:rFonts w:ascii="Arial" w:hAnsi="Arial" w:cs="Arial"/>
          <w:b/>
        </w:rPr>
        <w:t>.</w:t>
      </w:r>
    </w:p>
    <w:p w14:paraId="3CF92FEF" w14:textId="4051EC5B" w:rsidR="00795BE0" w:rsidRDefault="00795BE0" w:rsidP="00795BE0">
      <w:pPr>
        <w:jc w:val="both"/>
        <w:rPr>
          <w:rFonts w:ascii="Arial" w:hAnsi="Arial" w:cs="Arial"/>
        </w:rPr>
      </w:pPr>
      <w:r w:rsidRPr="0007572B">
        <w:rPr>
          <w:rFonts w:ascii="Arial" w:hAnsi="Arial" w:cs="Arial"/>
        </w:rPr>
        <w:t>Further details of balance sheet items can be found in the relevant associated notes.</w:t>
      </w:r>
    </w:p>
    <w:p w14:paraId="21E52EA2" w14:textId="77777777" w:rsidR="00911920" w:rsidRPr="0007572B" w:rsidRDefault="00911920" w:rsidP="00795BE0">
      <w:pPr>
        <w:jc w:val="both"/>
        <w:rPr>
          <w:rFonts w:ascii="Arial" w:hAnsi="Arial" w:cs="Arial"/>
        </w:rPr>
      </w:pPr>
    </w:p>
    <w:p w14:paraId="1F461EF7" w14:textId="4A8DA55A" w:rsidR="00795BE0" w:rsidRPr="0007572B" w:rsidRDefault="00212954" w:rsidP="00795BE0">
      <w:pPr>
        <w:jc w:val="both"/>
        <w:rPr>
          <w:rFonts w:ascii="Arial" w:hAnsi="Arial" w:cs="Arial"/>
        </w:rPr>
      </w:pPr>
      <w:r w:rsidRPr="00212954">
        <w:rPr>
          <w:noProof/>
        </w:rPr>
        <w:drawing>
          <wp:inline distT="0" distB="0" distL="0" distR="0" wp14:anchorId="3B1BD72C" wp14:editId="1AA517C5">
            <wp:extent cx="5168265" cy="5605780"/>
            <wp:effectExtent l="0" t="0" r="0" b="0"/>
            <wp:docPr id="1133357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68265" cy="5605780"/>
                    </a:xfrm>
                    <a:prstGeom prst="rect">
                      <a:avLst/>
                    </a:prstGeom>
                    <a:noFill/>
                    <a:ln>
                      <a:noFill/>
                    </a:ln>
                  </pic:spPr>
                </pic:pic>
              </a:graphicData>
            </a:graphic>
          </wp:inline>
        </w:drawing>
      </w:r>
    </w:p>
    <w:p w14:paraId="157AED8E" w14:textId="793DBA9B" w:rsidR="00212954" w:rsidRDefault="00212954" w:rsidP="00212954">
      <w:pPr>
        <w:jc w:val="both"/>
        <w:rPr>
          <w:rFonts w:ascii="Arial" w:hAnsi="Arial" w:cs="Arial"/>
        </w:rPr>
      </w:pPr>
      <w:r>
        <w:rPr>
          <w:rFonts w:ascii="Arial" w:hAnsi="Arial" w:cs="Arial"/>
          <w:bCs/>
          <w:sz w:val="16"/>
          <w:szCs w:val="16"/>
        </w:rPr>
        <w:t>*</w:t>
      </w:r>
      <w:r w:rsidRPr="00212954">
        <w:rPr>
          <w:rFonts w:ascii="Arial" w:hAnsi="Arial" w:cs="Arial"/>
          <w:bCs/>
          <w:sz w:val="16"/>
          <w:szCs w:val="16"/>
        </w:rPr>
        <w:t>20/21 restated figures are explained in note 6</w:t>
      </w:r>
      <w:r w:rsidR="00764244">
        <w:rPr>
          <w:rFonts w:ascii="Arial" w:hAnsi="Arial" w:cs="Arial"/>
          <w:bCs/>
          <w:sz w:val="16"/>
          <w:szCs w:val="16"/>
        </w:rPr>
        <w:t>1</w:t>
      </w:r>
      <w:r>
        <w:rPr>
          <w:rFonts w:ascii="Arial" w:hAnsi="Arial" w:cs="Arial"/>
          <w:bCs/>
          <w:sz w:val="16"/>
          <w:szCs w:val="16"/>
        </w:rPr>
        <w:t>.</w:t>
      </w:r>
    </w:p>
    <w:p w14:paraId="601EA333" w14:textId="77777777" w:rsidR="00795BE0" w:rsidRPr="0007572B" w:rsidRDefault="00795BE0" w:rsidP="00795BE0">
      <w:pPr>
        <w:jc w:val="both"/>
        <w:rPr>
          <w:rFonts w:ascii="Arial" w:hAnsi="Arial" w:cs="Arial"/>
          <w:b/>
        </w:rPr>
      </w:pPr>
    </w:p>
    <w:p w14:paraId="1267C195" w14:textId="77777777" w:rsidR="00795BE0" w:rsidRPr="0007572B" w:rsidRDefault="00795BE0" w:rsidP="00795BE0">
      <w:pPr>
        <w:jc w:val="both"/>
        <w:rPr>
          <w:rFonts w:ascii="Arial" w:hAnsi="Arial" w:cs="Arial"/>
          <w:b/>
        </w:rPr>
      </w:pPr>
      <w:r w:rsidRPr="0007572B">
        <w:rPr>
          <w:rFonts w:ascii="Arial" w:hAnsi="Arial" w:cs="Arial"/>
          <w:noProof/>
          <w:sz w:val="28"/>
          <w:szCs w:val="28"/>
          <w:lang w:eastAsia="en-GB"/>
        </w:rPr>
        <w:drawing>
          <wp:inline distT="0" distB="0" distL="0" distR="0" wp14:anchorId="6168C280" wp14:editId="0AFA8318">
            <wp:extent cx="1117600" cy="614680"/>
            <wp:effectExtent l="0" t="0" r="6350" b="0"/>
            <wp:docPr id="15" name="Picture 15" descr="Signature of Steve Wilson, Greater Manchester Combined Authority Treas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ignature of Steve Wilson, Greater Manchester Combined Authority Treasure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614680"/>
                    </a:xfrm>
                    <a:prstGeom prst="rect">
                      <a:avLst/>
                    </a:prstGeom>
                    <a:noFill/>
                    <a:ln>
                      <a:noFill/>
                    </a:ln>
                  </pic:spPr>
                </pic:pic>
              </a:graphicData>
            </a:graphic>
          </wp:inline>
        </w:drawing>
      </w:r>
    </w:p>
    <w:p w14:paraId="317A33BE" w14:textId="77777777" w:rsidR="00795BE0" w:rsidRPr="0007572B" w:rsidRDefault="00795BE0" w:rsidP="00795BE0">
      <w:pPr>
        <w:jc w:val="both"/>
        <w:rPr>
          <w:rFonts w:ascii="Arial" w:hAnsi="Arial" w:cs="Arial"/>
          <w:b/>
        </w:rPr>
      </w:pPr>
      <w:r w:rsidRPr="0007572B">
        <w:rPr>
          <w:rFonts w:ascii="Arial" w:hAnsi="Arial" w:cs="Arial"/>
          <w:b/>
        </w:rPr>
        <w:t>Steve Wilson</w:t>
      </w:r>
    </w:p>
    <w:p w14:paraId="381FC5DB" w14:textId="77777777" w:rsidR="00795BE0" w:rsidRPr="0007572B" w:rsidRDefault="00795BE0" w:rsidP="00795BE0">
      <w:pPr>
        <w:jc w:val="both"/>
        <w:rPr>
          <w:rFonts w:ascii="Arial" w:hAnsi="Arial" w:cs="Arial"/>
          <w:b/>
        </w:rPr>
      </w:pPr>
      <w:r w:rsidRPr="0007572B">
        <w:rPr>
          <w:rFonts w:ascii="Arial" w:hAnsi="Arial" w:cs="Arial"/>
          <w:b/>
        </w:rPr>
        <w:t>Greater Manchester Combined Authority Treasurer</w:t>
      </w:r>
    </w:p>
    <w:p w14:paraId="35F6477D" w14:textId="73E2B967" w:rsidR="00795BE0" w:rsidRPr="0007572B" w:rsidRDefault="00795BE0" w:rsidP="00795BE0">
      <w:pPr>
        <w:rPr>
          <w:rFonts w:ascii="Arial" w:hAnsi="Arial" w:cs="Arial"/>
          <w:b/>
          <w:sz w:val="28"/>
          <w:szCs w:val="28"/>
        </w:rPr>
      </w:pPr>
      <w:r w:rsidRPr="0007572B">
        <w:rPr>
          <w:rFonts w:ascii="Arial" w:hAnsi="Arial" w:cs="Arial"/>
          <w:b/>
        </w:rPr>
        <w:t>Date:</w:t>
      </w:r>
      <w:r>
        <w:rPr>
          <w:rFonts w:ascii="Arial" w:hAnsi="Arial" w:cs="Arial"/>
          <w:b/>
        </w:rPr>
        <w:t xml:space="preserve"> </w:t>
      </w:r>
      <w:r w:rsidRPr="0007572B">
        <w:rPr>
          <w:rFonts w:ascii="Arial" w:hAnsi="Arial" w:cs="Arial"/>
          <w:b/>
        </w:rPr>
        <w:t xml:space="preserve"> </w:t>
      </w:r>
      <w:r w:rsidR="000C2400" w:rsidRPr="000C2400">
        <w:rPr>
          <w:rFonts w:ascii="Arial" w:hAnsi="Arial" w:cs="Arial"/>
          <w:b/>
        </w:rPr>
        <w:t>9 November</w:t>
      </w:r>
      <w:r w:rsidRPr="000C2400">
        <w:rPr>
          <w:rFonts w:ascii="Arial" w:hAnsi="Arial" w:cs="Arial"/>
          <w:b/>
        </w:rPr>
        <w:t xml:space="preserve"> 202</w:t>
      </w:r>
      <w:r w:rsidR="00A66F7E" w:rsidRPr="000C2400">
        <w:rPr>
          <w:rFonts w:ascii="Arial" w:hAnsi="Arial" w:cs="Arial"/>
          <w:b/>
        </w:rPr>
        <w:t>3</w:t>
      </w:r>
      <w:r w:rsidRPr="0007572B">
        <w:rPr>
          <w:rFonts w:ascii="Arial" w:hAnsi="Arial" w:cs="Arial"/>
          <w:b/>
          <w:sz w:val="28"/>
          <w:szCs w:val="28"/>
        </w:rPr>
        <w:br w:type="page"/>
      </w:r>
    </w:p>
    <w:p w14:paraId="44215396" w14:textId="77777777" w:rsidR="00795BE0" w:rsidRPr="0007572B" w:rsidRDefault="00795BE0" w:rsidP="00795BE0">
      <w:pPr>
        <w:pStyle w:val="Heading3green"/>
      </w:pPr>
      <w:bookmarkStart w:id="246" w:name="_Toc92895229"/>
      <w:bookmarkStart w:id="247" w:name="_Toc109922663"/>
      <w:r w:rsidRPr="0007572B">
        <w:lastRenderedPageBreak/>
        <w:t>Group Cash Flow Statement</w:t>
      </w:r>
      <w:bookmarkEnd w:id="246"/>
      <w:bookmarkEnd w:id="247"/>
    </w:p>
    <w:p w14:paraId="4D907EC7" w14:textId="77777777" w:rsidR="00795BE0" w:rsidRPr="0007572B" w:rsidRDefault="00795BE0" w:rsidP="00795BE0">
      <w:pPr>
        <w:jc w:val="both"/>
        <w:rPr>
          <w:rFonts w:ascii="Arial" w:hAnsi="Arial" w:cs="Arial"/>
        </w:rPr>
      </w:pPr>
    </w:p>
    <w:p w14:paraId="3B5C779A" w14:textId="77777777" w:rsidR="00795BE0" w:rsidRPr="0007572B" w:rsidRDefault="00795BE0" w:rsidP="00795BE0">
      <w:pPr>
        <w:rPr>
          <w:rFonts w:ascii="Arial" w:hAnsi="Arial" w:cs="Arial"/>
        </w:rPr>
      </w:pPr>
      <w:r w:rsidRPr="0007572B">
        <w:rPr>
          <w:rFonts w:ascii="Arial" w:hAnsi="Arial" w:cs="Arial"/>
        </w:rPr>
        <w:t>The cash flow statement shows the changes in cash and cash equivalents of the Authority Group during the reporting period. The statement shows how the Group generates and uses cash equivalents by classifying cash flows as operating, investing and financing activities. The amount of net cash flows arising from the operating activities is a key indicator of the extent to which the operations of the Group are funded by way of precepts, levies, contributions and grant income. Investing activities represent the extent to which cash outflows have been made for resources which are intended to contribute to future service delivery. Cash flows arising from financing activities are useful in predicting claims on future cash flows by providers of capital (i.e. borrowing) to the Group.</w:t>
      </w:r>
    </w:p>
    <w:p w14:paraId="65652A95" w14:textId="77777777" w:rsidR="00795BE0" w:rsidRPr="0007572B" w:rsidRDefault="00795BE0" w:rsidP="00795BE0">
      <w:pPr>
        <w:jc w:val="both"/>
        <w:rPr>
          <w:rFonts w:ascii="Arial" w:hAnsi="Arial" w:cs="Arial"/>
        </w:rPr>
      </w:pPr>
    </w:p>
    <w:p w14:paraId="751F7596" w14:textId="245A88C0" w:rsidR="00795BE0" w:rsidRPr="0007572B" w:rsidRDefault="00212954" w:rsidP="00795BE0">
      <w:pPr>
        <w:jc w:val="both"/>
        <w:rPr>
          <w:rFonts w:ascii="Arial" w:hAnsi="Arial" w:cs="Arial"/>
        </w:rPr>
      </w:pPr>
      <w:r w:rsidRPr="00212954">
        <w:rPr>
          <w:noProof/>
        </w:rPr>
        <w:drawing>
          <wp:inline distT="0" distB="0" distL="0" distR="0" wp14:anchorId="1858F010" wp14:editId="1EB34C9D">
            <wp:extent cx="5975350" cy="2383790"/>
            <wp:effectExtent l="0" t="0" r="6350" b="0"/>
            <wp:docPr id="1705828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75350" cy="2383790"/>
                    </a:xfrm>
                    <a:prstGeom prst="rect">
                      <a:avLst/>
                    </a:prstGeom>
                    <a:noFill/>
                    <a:ln>
                      <a:noFill/>
                    </a:ln>
                  </pic:spPr>
                </pic:pic>
              </a:graphicData>
            </a:graphic>
          </wp:inline>
        </w:drawing>
      </w:r>
    </w:p>
    <w:p w14:paraId="27F81317" w14:textId="5E02998D" w:rsidR="00212954" w:rsidRDefault="00212954" w:rsidP="00212954">
      <w:pPr>
        <w:jc w:val="both"/>
        <w:rPr>
          <w:rFonts w:ascii="Arial" w:hAnsi="Arial" w:cs="Arial"/>
        </w:rPr>
      </w:pPr>
      <w:r>
        <w:rPr>
          <w:rFonts w:ascii="Arial" w:hAnsi="Arial" w:cs="Arial"/>
          <w:bCs/>
          <w:sz w:val="16"/>
          <w:szCs w:val="16"/>
        </w:rPr>
        <w:t>*</w:t>
      </w:r>
      <w:r w:rsidRPr="00212954">
        <w:rPr>
          <w:rFonts w:ascii="Arial" w:hAnsi="Arial" w:cs="Arial"/>
          <w:bCs/>
          <w:sz w:val="16"/>
          <w:szCs w:val="16"/>
        </w:rPr>
        <w:t>20/21 restated figures are explained in note 6</w:t>
      </w:r>
      <w:r w:rsidR="00764244">
        <w:rPr>
          <w:rFonts w:ascii="Arial" w:hAnsi="Arial" w:cs="Arial"/>
          <w:bCs/>
          <w:sz w:val="16"/>
          <w:szCs w:val="16"/>
        </w:rPr>
        <w:t>1</w:t>
      </w:r>
      <w:r>
        <w:rPr>
          <w:rFonts w:ascii="Arial" w:hAnsi="Arial" w:cs="Arial"/>
          <w:bCs/>
          <w:sz w:val="16"/>
          <w:szCs w:val="16"/>
        </w:rPr>
        <w:t>.</w:t>
      </w:r>
    </w:p>
    <w:p w14:paraId="52EEE511" w14:textId="77777777" w:rsidR="00795BE0" w:rsidRPr="0007572B" w:rsidRDefault="00795BE0" w:rsidP="00795BE0">
      <w:pPr>
        <w:jc w:val="both"/>
        <w:rPr>
          <w:rFonts w:ascii="Arial" w:hAnsi="Arial" w:cs="Arial"/>
        </w:rPr>
      </w:pPr>
    </w:p>
    <w:p w14:paraId="31D69478" w14:textId="77777777" w:rsidR="00795BE0" w:rsidRPr="0007572B" w:rsidRDefault="00795BE0" w:rsidP="00795BE0">
      <w:pPr>
        <w:jc w:val="both"/>
        <w:rPr>
          <w:rFonts w:ascii="Arial" w:hAnsi="Arial" w:cs="Arial"/>
          <w:b/>
          <w:sz w:val="22"/>
          <w:szCs w:val="22"/>
          <w:highlight w:val="yellow"/>
        </w:rPr>
      </w:pPr>
    </w:p>
    <w:p w14:paraId="100A8A86" w14:textId="77777777" w:rsidR="00795BE0" w:rsidRPr="0007572B" w:rsidRDefault="00795BE0" w:rsidP="00795BE0">
      <w:pPr>
        <w:rPr>
          <w:rFonts w:ascii="Arial" w:hAnsi="Arial" w:cs="Arial"/>
          <w:sz w:val="22"/>
        </w:rPr>
      </w:pPr>
      <w:r w:rsidRPr="0007572B">
        <w:rPr>
          <w:rFonts w:ascii="Arial" w:hAnsi="Arial" w:cs="Arial"/>
          <w:sz w:val="22"/>
        </w:rPr>
        <w:br w:type="page"/>
      </w:r>
    </w:p>
    <w:p w14:paraId="7F7102BA" w14:textId="77777777" w:rsidR="00795BE0" w:rsidRPr="0007572B" w:rsidRDefault="00795BE0" w:rsidP="00795BE0">
      <w:pPr>
        <w:rPr>
          <w:rFonts w:ascii="Arial" w:hAnsi="Arial" w:cs="Arial"/>
          <w:sz w:val="22"/>
        </w:rPr>
      </w:pPr>
    </w:p>
    <w:p w14:paraId="2D82A7C9" w14:textId="77777777" w:rsidR="00795BE0" w:rsidRDefault="00795BE0" w:rsidP="00795BE0">
      <w:pPr>
        <w:jc w:val="center"/>
        <w:rPr>
          <w:rFonts w:ascii="Arial" w:hAnsi="Arial" w:cs="Arial"/>
          <w:b/>
          <w:sz w:val="40"/>
          <w:szCs w:val="40"/>
        </w:rPr>
      </w:pPr>
    </w:p>
    <w:p w14:paraId="086B9A92" w14:textId="77777777" w:rsidR="00795BE0" w:rsidRDefault="00795BE0" w:rsidP="00795BE0">
      <w:pPr>
        <w:jc w:val="center"/>
        <w:rPr>
          <w:rFonts w:ascii="Arial" w:hAnsi="Arial" w:cs="Arial"/>
          <w:b/>
          <w:sz w:val="40"/>
          <w:szCs w:val="40"/>
        </w:rPr>
      </w:pPr>
    </w:p>
    <w:p w14:paraId="231590A2" w14:textId="77777777" w:rsidR="00795BE0" w:rsidRDefault="00795BE0" w:rsidP="00795BE0">
      <w:pPr>
        <w:jc w:val="center"/>
        <w:rPr>
          <w:rFonts w:ascii="Arial" w:hAnsi="Arial" w:cs="Arial"/>
          <w:b/>
          <w:sz w:val="40"/>
          <w:szCs w:val="40"/>
        </w:rPr>
      </w:pPr>
    </w:p>
    <w:p w14:paraId="0D5A562B" w14:textId="77777777" w:rsidR="00795BE0" w:rsidRDefault="00795BE0" w:rsidP="00795BE0">
      <w:pPr>
        <w:jc w:val="center"/>
        <w:rPr>
          <w:rFonts w:ascii="Arial" w:hAnsi="Arial" w:cs="Arial"/>
          <w:b/>
          <w:sz w:val="40"/>
          <w:szCs w:val="40"/>
        </w:rPr>
      </w:pPr>
    </w:p>
    <w:p w14:paraId="5DA875C1" w14:textId="77777777" w:rsidR="00795BE0" w:rsidRPr="0007572B" w:rsidRDefault="00795BE0" w:rsidP="00795BE0">
      <w:pPr>
        <w:jc w:val="center"/>
        <w:rPr>
          <w:rFonts w:ascii="Arial" w:hAnsi="Arial" w:cs="Arial"/>
          <w:b/>
          <w:sz w:val="40"/>
          <w:szCs w:val="40"/>
        </w:rPr>
      </w:pPr>
    </w:p>
    <w:p w14:paraId="22BA478E" w14:textId="77777777" w:rsidR="00795BE0" w:rsidRPr="0007572B" w:rsidRDefault="00795BE0" w:rsidP="00795BE0">
      <w:pPr>
        <w:jc w:val="center"/>
        <w:rPr>
          <w:rFonts w:ascii="Arial" w:hAnsi="Arial" w:cs="Arial"/>
          <w:b/>
          <w:sz w:val="40"/>
          <w:szCs w:val="40"/>
        </w:rPr>
      </w:pPr>
    </w:p>
    <w:p w14:paraId="5F57CF47" w14:textId="77777777" w:rsidR="00795BE0" w:rsidRPr="0007572B" w:rsidRDefault="00795BE0" w:rsidP="00795BE0">
      <w:pPr>
        <w:pStyle w:val="Heading1"/>
        <w:jc w:val="center"/>
      </w:pPr>
      <w:bookmarkStart w:id="248" w:name="_Toc92895230"/>
      <w:bookmarkStart w:id="249" w:name="_Toc109922664"/>
      <w:r>
        <w:t>Notes to the Group Financial Statements</w:t>
      </w:r>
      <w:bookmarkEnd w:id="248"/>
      <w:bookmarkEnd w:id="249"/>
    </w:p>
    <w:p w14:paraId="46B7B594" w14:textId="77777777" w:rsidR="00795BE0" w:rsidRDefault="00795BE0" w:rsidP="00795BE0">
      <w:pPr>
        <w:jc w:val="center"/>
        <w:rPr>
          <w:rFonts w:ascii="Arial" w:hAnsi="Arial" w:cs="Arial"/>
          <w:b/>
          <w:sz w:val="40"/>
          <w:szCs w:val="40"/>
        </w:rPr>
      </w:pPr>
    </w:p>
    <w:p w14:paraId="10BDBFFE" w14:textId="77777777" w:rsidR="00795BE0" w:rsidRPr="0007572B" w:rsidRDefault="00795BE0" w:rsidP="00795BE0">
      <w:pPr>
        <w:jc w:val="center"/>
        <w:rPr>
          <w:rFonts w:ascii="Arial" w:hAnsi="Arial" w:cs="Arial"/>
          <w:b/>
          <w:sz w:val="40"/>
          <w:szCs w:val="40"/>
        </w:rPr>
      </w:pPr>
    </w:p>
    <w:p w14:paraId="5A7B22DA" w14:textId="77777777" w:rsidR="00795BE0" w:rsidRPr="0007572B" w:rsidRDefault="00795BE0" w:rsidP="00795BE0">
      <w:pPr>
        <w:rPr>
          <w:rFonts w:ascii="Arial" w:hAnsi="Arial" w:cs="Arial"/>
          <w:sz w:val="22"/>
        </w:rPr>
      </w:pPr>
    </w:p>
    <w:p w14:paraId="40F4EC26" w14:textId="77777777" w:rsidR="00795BE0" w:rsidRPr="0007572B" w:rsidRDefault="00795BE0" w:rsidP="00795BE0">
      <w:pPr>
        <w:rPr>
          <w:rFonts w:ascii="Arial" w:hAnsi="Arial" w:cs="Arial"/>
          <w:sz w:val="22"/>
        </w:rPr>
        <w:sectPr w:rsidR="00795BE0" w:rsidRPr="0007572B" w:rsidSect="006962C5">
          <w:pgSz w:w="11906" w:h="16838"/>
          <w:pgMar w:top="946" w:right="1416" w:bottom="1440" w:left="1080" w:header="283" w:footer="567" w:gutter="0"/>
          <w:cols w:space="708"/>
          <w:docGrid w:linePitch="360"/>
        </w:sectPr>
      </w:pPr>
    </w:p>
    <w:p w14:paraId="0F143750" w14:textId="71ED8B93" w:rsidR="00795BE0" w:rsidRPr="0007572B" w:rsidRDefault="00795BE0" w:rsidP="00795BE0">
      <w:pPr>
        <w:pStyle w:val="Heading3greennumbered"/>
      </w:pPr>
      <w:bookmarkStart w:id="250" w:name="_Toc92894927"/>
      <w:bookmarkStart w:id="251" w:name="_Toc92895231"/>
      <w:bookmarkStart w:id="252" w:name="_Toc109922665"/>
      <w:r w:rsidRPr="0007572B">
        <w:lastRenderedPageBreak/>
        <w:t>3</w:t>
      </w:r>
      <w:r w:rsidR="008633CA">
        <w:t>7</w:t>
      </w:r>
      <w:r w:rsidRPr="0007572B">
        <w:t xml:space="preserve"> Group Accounting Policies</w:t>
      </w:r>
      <w:bookmarkEnd w:id="250"/>
      <w:bookmarkEnd w:id="251"/>
      <w:bookmarkEnd w:id="252"/>
      <w:r w:rsidRPr="0007572B">
        <w:t xml:space="preserve"> </w:t>
      </w:r>
    </w:p>
    <w:p w14:paraId="159AB2CF" w14:textId="77777777" w:rsidR="00795BE0" w:rsidRDefault="00795BE0" w:rsidP="00795BE0">
      <w:pPr>
        <w:pStyle w:val="Heading4bold"/>
      </w:pPr>
    </w:p>
    <w:p w14:paraId="6ACA7242" w14:textId="526BBD14" w:rsidR="00795BE0" w:rsidRPr="0007572B" w:rsidRDefault="00795BE0" w:rsidP="00795BE0">
      <w:pPr>
        <w:pStyle w:val="Heading4bold"/>
      </w:pPr>
      <w:r w:rsidRPr="0007572B">
        <w:t>3</w:t>
      </w:r>
      <w:r w:rsidR="00AD1CF0">
        <w:t>7</w:t>
      </w:r>
      <w:r w:rsidRPr="0007572B">
        <w:t>.1 Consolidation Method</w:t>
      </w:r>
    </w:p>
    <w:p w14:paraId="738E3D9E" w14:textId="77777777" w:rsidR="00795BE0" w:rsidRDefault="00795BE0" w:rsidP="00795BE0">
      <w:pPr>
        <w:rPr>
          <w:rFonts w:ascii="Arial" w:hAnsi="Arial" w:cs="Arial"/>
        </w:rPr>
      </w:pPr>
      <w:r w:rsidRPr="0007572B">
        <w:rPr>
          <w:rFonts w:ascii="Arial" w:hAnsi="Arial" w:cs="Arial"/>
        </w:rPr>
        <w:t xml:space="preserve">The Accounts of all subsidiary group entities are consolidated on a line by line basis with corresponding consolidation adjustments to remove inter group transactions and balances. </w:t>
      </w:r>
    </w:p>
    <w:p w14:paraId="32DEC91D" w14:textId="77777777" w:rsidR="00795BE0" w:rsidRPr="0007572B" w:rsidRDefault="00795BE0" w:rsidP="00795BE0">
      <w:pPr>
        <w:rPr>
          <w:rFonts w:ascii="Arial" w:hAnsi="Arial" w:cs="Arial"/>
        </w:rPr>
      </w:pPr>
    </w:p>
    <w:p w14:paraId="27D63AF9" w14:textId="77777777" w:rsidR="00795BE0" w:rsidRPr="00CB14E2" w:rsidRDefault="00795BE0" w:rsidP="00795BE0">
      <w:pPr>
        <w:pStyle w:val="8TfGMStandardDocumentText"/>
        <w:jc w:val="left"/>
        <w:rPr>
          <w:rFonts w:ascii="Arial" w:eastAsia="Times New Roman" w:hAnsi="Arial"/>
          <w:sz w:val="24"/>
          <w:lang w:eastAsia="en-US"/>
        </w:rPr>
      </w:pPr>
      <w:r w:rsidRPr="0007572B">
        <w:rPr>
          <w:rFonts w:ascii="Arial" w:hAnsi="Arial"/>
        </w:rPr>
        <w:t xml:space="preserve">The </w:t>
      </w:r>
      <w:r w:rsidRPr="00950EAF">
        <w:rPr>
          <w:rFonts w:ascii="Arial" w:eastAsiaTheme="minorHAnsi" w:hAnsi="Arial"/>
        </w:rPr>
        <w:t xml:space="preserve">accounting policies of the group entities are consistent with the Authority. The following accounting policies are in addition to the single entity policies detailed in </w:t>
      </w:r>
      <w:r w:rsidRPr="00CB14E2">
        <w:rPr>
          <w:rFonts w:ascii="Arial" w:eastAsia="Times New Roman" w:hAnsi="Arial"/>
          <w:sz w:val="24"/>
          <w:lang w:eastAsia="en-US"/>
        </w:rPr>
        <w:t>note 1 of these statements.</w:t>
      </w:r>
    </w:p>
    <w:p w14:paraId="60A12956" w14:textId="0D3D6217" w:rsidR="00795BE0" w:rsidRPr="00CB14E2" w:rsidRDefault="00795BE0" w:rsidP="00795BE0">
      <w:pPr>
        <w:pStyle w:val="Heading4bold"/>
        <w:rPr>
          <w:rFonts w:eastAsiaTheme="minorHAnsi"/>
        </w:rPr>
      </w:pPr>
      <w:r w:rsidRPr="00CB14E2">
        <w:rPr>
          <w:rFonts w:eastAsiaTheme="minorHAnsi"/>
        </w:rPr>
        <w:t>3</w:t>
      </w:r>
      <w:r w:rsidR="00AD1CF0">
        <w:rPr>
          <w:rFonts w:eastAsiaTheme="minorHAnsi"/>
        </w:rPr>
        <w:t>7</w:t>
      </w:r>
      <w:r w:rsidRPr="00CB14E2">
        <w:rPr>
          <w:rFonts w:eastAsiaTheme="minorHAnsi"/>
        </w:rPr>
        <w:t>.2 Investment properties</w:t>
      </w:r>
    </w:p>
    <w:p w14:paraId="21BBC201" w14:textId="379DBFD2" w:rsidR="00795BE0" w:rsidRPr="00CB14E2" w:rsidRDefault="00795BE0" w:rsidP="00795BE0">
      <w:pPr>
        <w:pStyle w:val="8TfGMStandardDocumentText"/>
        <w:jc w:val="left"/>
        <w:rPr>
          <w:rFonts w:ascii="Arial" w:eastAsia="Times New Roman" w:hAnsi="Arial"/>
          <w:sz w:val="24"/>
          <w:lang w:eastAsia="en-US"/>
        </w:rPr>
      </w:pPr>
      <w:r w:rsidRPr="00CB14E2">
        <w:rPr>
          <w:rFonts w:ascii="Arial" w:eastAsia="Times New Roman" w:hAnsi="Arial"/>
          <w:sz w:val="24"/>
          <w:lang w:eastAsia="en-US"/>
        </w:rPr>
        <w:t>Investment properties are initially recognised at cost, including direct transaction costs. They are subsequently revalued annually in accordance with the fair value model, reflecting market conditions at the balance sheet date. Where a fair value cannot be obtained the cost model will be used in IAS 16. Any surplus or deficit arising from any change in fair value is recognised in the Comprehensive Income and Expenditure Statement in the period in which it arises.</w:t>
      </w:r>
    </w:p>
    <w:p w14:paraId="3B0E5A35" w14:textId="0DD140F7" w:rsidR="00795BE0" w:rsidRDefault="00795BE0" w:rsidP="00795BE0">
      <w:pPr>
        <w:pStyle w:val="8TfGMStandardDocumentText"/>
        <w:jc w:val="left"/>
        <w:rPr>
          <w:rFonts w:ascii="Arial" w:eastAsia="Times New Roman" w:hAnsi="Arial"/>
          <w:sz w:val="24"/>
          <w:lang w:eastAsia="en-US"/>
        </w:rPr>
      </w:pPr>
      <w:r w:rsidRPr="00CB14E2">
        <w:rPr>
          <w:rFonts w:ascii="Arial" w:eastAsia="Times New Roman" w:hAnsi="Arial"/>
          <w:sz w:val="24"/>
          <w:lang w:eastAsia="en-US"/>
        </w:rPr>
        <w:t>Investment properties are not depreciated. They are de-recognised when disposed of, or when no future economic use is expected. The difference between net proceeds and carrying value is recognised in the Comprehensive Income and Expenditure Statement in the period of de-recognition.</w:t>
      </w:r>
    </w:p>
    <w:p w14:paraId="6854B50E" w14:textId="28E92D81" w:rsidR="00595F05" w:rsidRPr="00CB14E2" w:rsidRDefault="00595F05" w:rsidP="00595F05">
      <w:pPr>
        <w:pStyle w:val="Heading4bold"/>
        <w:rPr>
          <w:rFonts w:eastAsiaTheme="minorHAnsi"/>
        </w:rPr>
      </w:pPr>
      <w:r w:rsidRPr="00CB14E2">
        <w:rPr>
          <w:rFonts w:eastAsiaTheme="minorHAnsi"/>
        </w:rPr>
        <w:t>3</w:t>
      </w:r>
      <w:r w:rsidR="00AD1CF0">
        <w:rPr>
          <w:rFonts w:eastAsiaTheme="minorHAnsi"/>
        </w:rPr>
        <w:t>7</w:t>
      </w:r>
      <w:r w:rsidRPr="00CB14E2">
        <w:rPr>
          <w:rFonts w:eastAsiaTheme="minorHAnsi"/>
        </w:rPr>
        <w:t>.</w:t>
      </w:r>
      <w:r>
        <w:rPr>
          <w:rFonts w:eastAsiaTheme="minorHAnsi"/>
        </w:rPr>
        <w:t>3</w:t>
      </w:r>
      <w:r w:rsidRPr="00CB14E2">
        <w:rPr>
          <w:rFonts w:eastAsiaTheme="minorHAnsi"/>
        </w:rPr>
        <w:t xml:space="preserve"> </w:t>
      </w:r>
      <w:r>
        <w:rPr>
          <w:rFonts w:eastAsiaTheme="minorHAnsi"/>
        </w:rPr>
        <w:t>Infrastructure Assets</w:t>
      </w:r>
    </w:p>
    <w:p w14:paraId="63261153" w14:textId="77777777" w:rsidR="00595F05" w:rsidRPr="00431F6F" w:rsidRDefault="00595F05" w:rsidP="00595F05">
      <w:pPr>
        <w:rPr>
          <w:rFonts w:ascii="Arial" w:hAnsi="Arial" w:cs="Arial"/>
        </w:rPr>
      </w:pPr>
      <w:r w:rsidRPr="00431F6F">
        <w:rPr>
          <w:rFonts w:ascii="Arial" w:eastAsiaTheme="minorHAnsi" w:hAnsi="Arial" w:cs="Arial"/>
        </w:rPr>
        <w:t>TfGM’s infrastructure assets are stated at cost less accumulated depreciation. TfGM’s policy is to write off the carrying value of all assets, other than freehold land, on a straight-line basis over their estimated remaining useful lives.</w:t>
      </w:r>
    </w:p>
    <w:p w14:paraId="46738334" w14:textId="77777777" w:rsidR="00595F05" w:rsidRPr="00431F6F" w:rsidRDefault="00595F05" w:rsidP="00595F05">
      <w:pPr>
        <w:pStyle w:val="8TfGMStandardDocumentText"/>
        <w:rPr>
          <w:rFonts w:ascii="Arial" w:eastAsiaTheme="minorHAnsi" w:hAnsi="Arial"/>
          <w:sz w:val="24"/>
          <w:lang w:eastAsia="en-US"/>
        </w:rPr>
      </w:pPr>
      <w:r w:rsidRPr="00431F6F">
        <w:rPr>
          <w:rFonts w:ascii="Arial" w:eastAsiaTheme="minorHAnsi" w:hAnsi="Arial"/>
          <w:sz w:val="24"/>
          <w:lang w:eastAsia="en-US"/>
        </w:rPr>
        <w:t>The range of estimated useful lives for infrastructure assets is 3 to 50 years and includes a number of categories of assets relating to the Metrolink network, Interchanges and Bus Stations, the Leigh to Ellenbrook Guided busway and cycle hubs.</w:t>
      </w:r>
    </w:p>
    <w:p w14:paraId="587D4ADD" w14:textId="77777777" w:rsidR="00595F05" w:rsidRPr="00431F6F" w:rsidRDefault="00595F05" w:rsidP="00595F05">
      <w:pPr>
        <w:pStyle w:val="8TfGMStandardDocumentText"/>
        <w:rPr>
          <w:rFonts w:ascii="Arial" w:eastAsiaTheme="minorHAnsi" w:hAnsi="Arial"/>
          <w:sz w:val="24"/>
          <w:lang w:eastAsia="en-US"/>
        </w:rPr>
      </w:pPr>
      <w:r w:rsidRPr="00431F6F">
        <w:rPr>
          <w:rFonts w:ascii="Arial" w:eastAsiaTheme="minorHAnsi" w:hAnsi="Arial"/>
          <w:sz w:val="24"/>
          <w:lang w:eastAsia="en-US"/>
        </w:rPr>
        <w:t>Further details of the asset lives within this category are:</w:t>
      </w:r>
    </w:p>
    <w:p w14:paraId="59ADEC7B" w14:textId="74690852" w:rsidR="00595F05" w:rsidRPr="00431F6F" w:rsidRDefault="00595F05" w:rsidP="00595F05">
      <w:pPr>
        <w:pStyle w:val="BodyText"/>
        <w:tabs>
          <w:tab w:val="left" w:pos="851"/>
          <w:tab w:val="left" w:pos="4680"/>
        </w:tabs>
        <w:ind w:left="4678" w:hanging="4678"/>
        <w:jc w:val="both"/>
        <w:rPr>
          <w:rFonts w:eastAsiaTheme="minorHAnsi"/>
          <w:sz w:val="24"/>
        </w:rPr>
      </w:pPr>
      <w:r w:rsidRPr="00431F6F">
        <w:rPr>
          <w:rFonts w:eastAsiaTheme="minorHAnsi"/>
          <w:sz w:val="24"/>
        </w:rPr>
        <w:t>Civil structures</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25 to 50 years</w:t>
      </w:r>
    </w:p>
    <w:p w14:paraId="00560F9E" w14:textId="4997F524" w:rsidR="00595F05" w:rsidRPr="00431F6F" w:rsidRDefault="00595F05" w:rsidP="00595F05">
      <w:pPr>
        <w:pStyle w:val="BodyText"/>
        <w:tabs>
          <w:tab w:val="left" w:pos="851"/>
          <w:tab w:val="left" w:pos="4680"/>
        </w:tabs>
        <w:ind w:left="4678" w:hanging="4678"/>
        <w:jc w:val="both"/>
        <w:rPr>
          <w:rFonts w:eastAsiaTheme="minorHAnsi"/>
          <w:sz w:val="24"/>
        </w:rPr>
      </w:pPr>
      <w:r w:rsidRPr="00431F6F">
        <w:rPr>
          <w:rFonts w:eastAsiaTheme="minorHAnsi"/>
          <w:sz w:val="24"/>
        </w:rPr>
        <w:t xml:space="preserve">Stations and stop infrastructure </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10 to 50 years</w:t>
      </w:r>
    </w:p>
    <w:p w14:paraId="00A1C737" w14:textId="1A718700" w:rsidR="00595F05" w:rsidRPr="00431F6F" w:rsidRDefault="00595F05" w:rsidP="00595F05">
      <w:pPr>
        <w:pStyle w:val="BodyText"/>
        <w:tabs>
          <w:tab w:val="left" w:pos="851"/>
          <w:tab w:val="left" w:pos="4680"/>
        </w:tabs>
        <w:ind w:left="4678" w:hanging="4678"/>
        <w:jc w:val="both"/>
        <w:rPr>
          <w:rFonts w:eastAsiaTheme="minorHAnsi"/>
          <w:sz w:val="24"/>
        </w:rPr>
      </w:pPr>
      <w:r w:rsidRPr="00431F6F">
        <w:rPr>
          <w:rFonts w:eastAsiaTheme="minorHAnsi"/>
          <w:sz w:val="24"/>
        </w:rPr>
        <w:t>Track and track bed</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20 to 30 years</w:t>
      </w:r>
    </w:p>
    <w:p w14:paraId="59643FE7" w14:textId="77777777" w:rsidR="00595F05" w:rsidRPr="00431F6F" w:rsidRDefault="00595F05" w:rsidP="00595F05">
      <w:pPr>
        <w:pStyle w:val="BodyText"/>
        <w:tabs>
          <w:tab w:val="left" w:pos="851"/>
          <w:tab w:val="left" w:pos="4678"/>
        </w:tabs>
        <w:ind w:left="4678" w:hanging="4678"/>
        <w:jc w:val="both"/>
        <w:rPr>
          <w:rFonts w:eastAsiaTheme="minorHAnsi"/>
          <w:sz w:val="24"/>
        </w:rPr>
      </w:pPr>
      <w:r w:rsidRPr="00431F6F">
        <w:rPr>
          <w:rFonts w:eastAsiaTheme="minorHAnsi"/>
          <w:sz w:val="24"/>
        </w:rPr>
        <w:t>Ticket machines, information points and validators</w:t>
      </w:r>
      <w:r w:rsidRPr="00431F6F">
        <w:rPr>
          <w:rFonts w:eastAsiaTheme="minorHAnsi"/>
          <w:sz w:val="24"/>
        </w:rPr>
        <w:tab/>
        <w:t>5 to 20 years</w:t>
      </w:r>
    </w:p>
    <w:p w14:paraId="75F46E99" w14:textId="329684DF" w:rsidR="00595F05" w:rsidRPr="00431F6F" w:rsidRDefault="00595F05" w:rsidP="00595F05">
      <w:pPr>
        <w:pStyle w:val="BodyText"/>
        <w:tabs>
          <w:tab w:val="left" w:pos="851"/>
          <w:tab w:val="left" w:pos="4678"/>
        </w:tabs>
        <w:ind w:left="4678" w:hanging="4678"/>
        <w:jc w:val="both"/>
        <w:rPr>
          <w:rFonts w:eastAsiaTheme="minorHAnsi"/>
          <w:sz w:val="24"/>
        </w:rPr>
      </w:pPr>
      <w:r w:rsidRPr="00431F6F">
        <w:rPr>
          <w:rFonts w:eastAsiaTheme="minorHAnsi"/>
          <w:sz w:val="24"/>
        </w:rPr>
        <w:t>Overhead power lines</w:t>
      </w:r>
      <w:r w:rsidRPr="00431F6F">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20 to 30 years</w:t>
      </w:r>
    </w:p>
    <w:p w14:paraId="3D43D566" w14:textId="28718603" w:rsidR="00595F05" w:rsidRPr="00431F6F" w:rsidRDefault="00595F05" w:rsidP="00595F05">
      <w:pPr>
        <w:pStyle w:val="BodyText"/>
        <w:tabs>
          <w:tab w:val="left" w:pos="851"/>
          <w:tab w:val="left" w:pos="4678"/>
        </w:tabs>
        <w:ind w:left="4678" w:hanging="4678"/>
        <w:jc w:val="both"/>
        <w:rPr>
          <w:rFonts w:eastAsiaTheme="minorHAnsi"/>
          <w:sz w:val="24"/>
        </w:rPr>
      </w:pPr>
      <w:r w:rsidRPr="00431F6F">
        <w:rPr>
          <w:rFonts w:eastAsiaTheme="minorHAnsi"/>
          <w:sz w:val="24"/>
        </w:rPr>
        <w:t>Signalling/telecoms</w:t>
      </w:r>
      <w:r w:rsidRPr="00431F6F">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15 to 20 years</w:t>
      </w:r>
    </w:p>
    <w:p w14:paraId="6E5E8098" w14:textId="2696BE75" w:rsidR="00595F05" w:rsidRPr="00431F6F" w:rsidRDefault="00595F05" w:rsidP="00595F05">
      <w:pPr>
        <w:pStyle w:val="BodyText"/>
        <w:tabs>
          <w:tab w:val="left" w:pos="851"/>
          <w:tab w:val="left" w:pos="4680"/>
        </w:tabs>
        <w:ind w:left="4678" w:hanging="4678"/>
        <w:jc w:val="both"/>
        <w:rPr>
          <w:rFonts w:eastAsiaTheme="minorHAnsi"/>
          <w:sz w:val="24"/>
        </w:rPr>
      </w:pPr>
      <w:r w:rsidRPr="00431F6F">
        <w:rPr>
          <w:rFonts w:eastAsiaTheme="minorHAnsi"/>
          <w:sz w:val="24"/>
        </w:rPr>
        <w:t>Metrolink trams</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30 years</w:t>
      </w:r>
    </w:p>
    <w:p w14:paraId="3A783F8E" w14:textId="6A05D866" w:rsidR="00595F05" w:rsidRPr="00431F6F" w:rsidRDefault="00595F05" w:rsidP="00595F05">
      <w:pPr>
        <w:pStyle w:val="BodyText"/>
        <w:tabs>
          <w:tab w:val="left" w:pos="851"/>
          <w:tab w:val="left" w:pos="4680"/>
        </w:tabs>
        <w:ind w:left="4678" w:hanging="4678"/>
        <w:jc w:val="both"/>
        <w:rPr>
          <w:rFonts w:eastAsiaTheme="minorHAnsi"/>
          <w:sz w:val="24"/>
        </w:rPr>
      </w:pPr>
      <w:r w:rsidRPr="00431F6F">
        <w:rPr>
          <w:rFonts w:eastAsiaTheme="minorHAnsi"/>
          <w:sz w:val="24"/>
        </w:rPr>
        <w:t>Metrolink Plant and Equipment</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3 to 35 years</w:t>
      </w:r>
    </w:p>
    <w:p w14:paraId="322AF9A3" w14:textId="7EF2F6FF" w:rsidR="00595F05" w:rsidRPr="00431F6F" w:rsidRDefault="00595F05" w:rsidP="00595F05">
      <w:pPr>
        <w:pStyle w:val="BodyText"/>
        <w:tabs>
          <w:tab w:val="left" w:pos="851"/>
          <w:tab w:val="left" w:pos="4680"/>
        </w:tabs>
        <w:ind w:left="4678" w:hanging="4678"/>
        <w:jc w:val="both"/>
        <w:rPr>
          <w:rFonts w:eastAsiaTheme="minorHAnsi"/>
          <w:sz w:val="24"/>
        </w:rPr>
      </w:pPr>
      <w:r w:rsidRPr="00431F6F">
        <w:rPr>
          <w:rFonts w:eastAsiaTheme="minorHAnsi"/>
          <w:sz w:val="24"/>
        </w:rPr>
        <w:t>Guided Busway and infrastructure</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5 to 50 years</w:t>
      </w:r>
    </w:p>
    <w:p w14:paraId="35B7ADE5" w14:textId="663D07A1" w:rsidR="00595F05" w:rsidRPr="00431F6F" w:rsidRDefault="00595F05" w:rsidP="00595F05">
      <w:pPr>
        <w:pStyle w:val="BodyText"/>
        <w:tabs>
          <w:tab w:val="left" w:pos="851"/>
          <w:tab w:val="left" w:pos="4680"/>
        </w:tabs>
        <w:ind w:left="4678" w:hanging="4678"/>
        <w:jc w:val="both"/>
        <w:rPr>
          <w:rFonts w:eastAsiaTheme="minorHAnsi"/>
          <w:sz w:val="24"/>
        </w:rPr>
      </w:pPr>
      <w:r w:rsidRPr="00431F6F">
        <w:rPr>
          <w:rFonts w:eastAsiaTheme="minorHAnsi"/>
          <w:sz w:val="24"/>
        </w:rPr>
        <w:t>Park and Ride and infrastructure</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5 to 40 years</w:t>
      </w:r>
    </w:p>
    <w:p w14:paraId="6296EF33" w14:textId="4ADD218D" w:rsidR="00595F05" w:rsidRPr="00431F6F" w:rsidRDefault="00595F05" w:rsidP="00595F05">
      <w:pPr>
        <w:pStyle w:val="BodyText"/>
        <w:tabs>
          <w:tab w:val="left" w:pos="851"/>
          <w:tab w:val="left" w:pos="4680"/>
        </w:tabs>
        <w:ind w:left="4678" w:hanging="4678"/>
        <w:jc w:val="both"/>
        <w:rPr>
          <w:rFonts w:eastAsiaTheme="minorHAnsi"/>
          <w:sz w:val="24"/>
        </w:rPr>
      </w:pPr>
      <w:r w:rsidRPr="00431F6F">
        <w:rPr>
          <w:rFonts w:eastAsiaTheme="minorHAnsi"/>
          <w:sz w:val="24"/>
        </w:rPr>
        <w:t>Bus Station and internal fittings</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5 to 40 years</w:t>
      </w:r>
    </w:p>
    <w:p w14:paraId="53635C88" w14:textId="6D2A1D45" w:rsidR="00595F05" w:rsidRPr="00431F6F" w:rsidRDefault="00595F05" w:rsidP="00595F05">
      <w:pPr>
        <w:pStyle w:val="BodyText"/>
        <w:tabs>
          <w:tab w:val="left" w:pos="851"/>
          <w:tab w:val="left" w:pos="4680"/>
        </w:tabs>
        <w:ind w:left="4678" w:hanging="4678"/>
        <w:jc w:val="both"/>
        <w:rPr>
          <w:rFonts w:eastAsiaTheme="minorHAnsi"/>
          <w:sz w:val="24"/>
        </w:rPr>
      </w:pPr>
      <w:r w:rsidRPr="00431F6F">
        <w:rPr>
          <w:rFonts w:eastAsiaTheme="minorHAnsi"/>
          <w:sz w:val="24"/>
        </w:rPr>
        <w:t>Electric vehicle charging points</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10 years</w:t>
      </w:r>
    </w:p>
    <w:p w14:paraId="25E1A18D" w14:textId="00AFE547" w:rsidR="00595F05" w:rsidRPr="00431F6F" w:rsidRDefault="00595F05" w:rsidP="00595F05">
      <w:pPr>
        <w:pStyle w:val="BodyText"/>
        <w:tabs>
          <w:tab w:val="left" w:pos="851"/>
          <w:tab w:val="left" w:pos="4680"/>
        </w:tabs>
        <w:ind w:left="4678" w:hanging="4678"/>
        <w:jc w:val="both"/>
        <w:rPr>
          <w:rFonts w:eastAsiaTheme="minorHAnsi"/>
          <w:sz w:val="24"/>
        </w:rPr>
      </w:pPr>
      <w:r w:rsidRPr="00431F6F">
        <w:rPr>
          <w:rFonts w:eastAsiaTheme="minorHAnsi"/>
          <w:sz w:val="24"/>
        </w:rPr>
        <w:t>Bike hire assets and cycle hubs</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10 years</w:t>
      </w:r>
    </w:p>
    <w:p w14:paraId="30A785C9" w14:textId="1025CDAD" w:rsidR="00795BE0" w:rsidRPr="0007572B" w:rsidRDefault="00795BE0" w:rsidP="00795BE0">
      <w:pPr>
        <w:pStyle w:val="Heading4bold"/>
        <w:rPr>
          <w:rFonts w:eastAsiaTheme="minorHAnsi"/>
        </w:rPr>
      </w:pPr>
      <w:r w:rsidRPr="0007572B">
        <w:rPr>
          <w:rFonts w:eastAsiaTheme="minorHAnsi"/>
        </w:rPr>
        <w:lastRenderedPageBreak/>
        <w:t>3</w:t>
      </w:r>
      <w:r w:rsidR="00AD1CF0">
        <w:rPr>
          <w:rFonts w:eastAsiaTheme="minorHAnsi"/>
        </w:rPr>
        <w:t>7</w:t>
      </w:r>
      <w:r w:rsidRPr="0007572B">
        <w:rPr>
          <w:rFonts w:eastAsiaTheme="minorHAnsi"/>
        </w:rPr>
        <w:t>.</w:t>
      </w:r>
      <w:r w:rsidR="00595F05">
        <w:rPr>
          <w:rFonts w:eastAsiaTheme="minorHAnsi"/>
        </w:rPr>
        <w:t>4</w:t>
      </w:r>
      <w:r w:rsidRPr="0007572B">
        <w:rPr>
          <w:rFonts w:eastAsiaTheme="minorHAnsi"/>
        </w:rPr>
        <w:t xml:space="preserve"> Inventories</w:t>
      </w:r>
    </w:p>
    <w:p w14:paraId="25C44464" w14:textId="77777777" w:rsidR="00795BE0" w:rsidRDefault="00795BE0" w:rsidP="00795BE0">
      <w:pPr>
        <w:spacing w:after="160"/>
        <w:rPr>
          <w:rFonts w:ascii="Arial" w:eastAsiaTheme="minorHAnsi" w:hAnsi="Arial" w:cs="Arial"/>
        </w:rPr>
      </w:pPr>
      <w:r w:rsidRPr="0007572B">
        <w:rPr>
          <w:rFonts w:ascii="Arial" w:eastAsiaTheme="minorHAnsi" w:hAnsi="Arial" w:cs="Arial"/>
        </w:rPr>
        <w:t>Inventories are carried at the lower of cost (including costs incurred in bringing the inventory to its present location, such as freight) and net realisable value, determined on a first in first out basis.</w:t>
      </w:r>
    </w:p>
    <w:p w14:paraId="75807808" w14:textId="3DF0CAED" w:rsidR="00795BE0" w:rsidRPr="0007572B" w:rsidRDefault="00795BE0" w:rsidP="00795BE0">
      <w:pPr>
        <w:pStyle w:val="Heading4bold"/>
        <w:rPr>
          <w:rFonts w:eastAsiaTheme="minorHAnsi"/>
        </w:rPr>
      </w:pPr>
      <w:r w:rsidRPr="0007572B">
        <w:rPr>
          <w:rFonts w:eastAsiaTheme="minorHAnsi"/>
        </w:rPr>
        <w:t>3</w:t>
      </w:r>
      <w:r w:rsidR="00AD1CF0">
        <w:rPr>
          <w:rFonts w:eastAsiaTheme="minorHAnsi"/>
        </w:rPr>
        <w:t>7</w:t>
      </w:r>
      <w:r w:rsidRPr="0007572B">
        <w:rPr>
          <w:rFonts w:eastAsiaTheme="minorHAnsi"/>
        </w:rPr>
        <w:t>.</w:t>
      </w:r>
      <w:r w:rsidR="00595F05">
        <w:rPr>
          <w:rFonts w:eastAsiaTheme="minorHAnsi"/>
        </w:rPr>
        <w:t>5</w:t>
      </w:r>
      <w:r w:rsidRPr="0007572B">
        <w:rPr>
          <w:rFonts w:eastAsiaTheme="minorHAnsi"/>
        </w:rPr>
        <w:t xml:space="preserve"> Passenger Transport Facilities</w:t>
      </w:r>
    </w:p>
    <w:p w14:paraId="5C89C497" w14:textId="77777777" w:rsidR="00795BE0" w:rsidRPr="0007572B" w:rsidRDefault="00795BE0" w:rsidP="00795BE0">
      <w:pPr>
        <w:spacing w:after="160"/>
        <w:rPr>
          <w:rFonts w:ascii="Arial" w:eastAsiaTheme="minorHAnsi" w:hAnsi="Arial" w:cs="Arial"/>
        </w:rPr>
      </w:pPr>
      <w:r w:rsidRPr="0007572B">
        <w:rPr>
          <w:rFonts w:ascii="Arial" w:eastAsiaTheme="minorHAnsi" w:hAnsi="Arial" w:cs="Arial"/>
        </w:rPr>
        <w:t>As part of its statutory duties, the Group is responsible for meeting the costs of upgrading public passenger transport facilities in the Greater Manchester area, including railway and highways infrastructure. The expenditure incurred is offset by equivalent grants received from the Authority and other parties, which for the year ended 31 March 202</w:t>
      </w:r>
      <w:r>
        <w:rPr>
          <w:rFonts w:ascii="Arial" w:eastAsiaTheme="minorHAnsi" w:hAnsi="Arial" w:cs="Arial"/>
        </w:rPr>
        <w:t xml:space="preserve">2 </w:t>
      </w:r>
      <w:r w:rsidRPr="00B93355">
        <w:rPr>
          <w:rFonts w:ascii="Arial" w:eastAsiaTheme="minorHAnsi" w:hAnsi="Arial" w:cs="Arial"/>
        </w:rPr>
        <w:t>amounted to £</w:t>
      </w:r>
      <w:r>
        <w:rPr>
          <w:rFonts w:ascii="Arial" w:eastAsiaTheme="minorHAnsi" w:hAnsi="Arial" w:cs="Arial"/>
        </w:rPr>
        <w:t>5.1</w:t>
      </w:r>
      <w:r w:rsidRPr="00B93355">
        <w:rPr>
          <w:rFonts w:ascii="Arial" w:eastAsiaTheme="minorHAnsi" w:hAnsi="Arial" w:cs="Arial"/>
        </w:rPr>
        <w:t>m (</w:t>
      </w:r>
      <w:r>
        <w:rPr>
          <w:rFonts w:ascii="Arial" w:eastAsiaTheme="minorHAnsi" w:hAnsi="Arial" w:cs="Arial"/>
        </w:rPr>
        <w:t>2020/21</w:t>
      </w:r>
      <w:r w:rsidRPr="00B93355">
        <w:rPr>
          <w:rFonts w:ascii="Arial" w:eastAsiaTheme="minorHAnsi" w:hAnsi="Arial" w:cs="Arial"/>
        </w:rPr>
        <w:t>: £</w:t>
      </w:r>
      <w:r>
        <w:rPr>
          <w:rFonts w:ascii="Arial" w:eastAsiaTheme="minorHAnsi" w:hAnsi="Arial" w:cs="Arial"/>
        </w:rPr>
        <w:t>12.2</w:t>
      </w:r>
      <w:r w:rsidRPr="00B93355">
        <w:rPr>
          <w:rFonts w:ascii="Arial" w:eastAsiaTheme="minorHAnsi" w:hAnsi="Arial" w:cs="Arial"/>
        </w:rPr>
        <w:t>m).</w:t>
      </w:r>
    </w:p>
    <w:p w14:paraId="2C47AE19" w14:textId="77777777" w:rsidR="00795BE0" w:rsidRPr="0007572B" w:rsidRDefault="00795BE0" w:rsidP="00795BE0">
      <w:pPr>
        <w:spacing w:after="160"/>
        <w:rPr>
          <w:rFonts w:ascii="Arial" w:eastAsiaTheme="minorHAnsi" w:hAnsi="Arial" w:cs="Arial"/>
        </w:rPr>
      </w:pPr>
      <w:r w:rsidRPr="0007572B">
        <w:rPr>
          <w:rFonts w:ascii="Arial" w:eastAsiaTheme="minorHAnsi" w:hAnsi="Arial" w:cs="Arial"/>
        </w:rPr>
        <w:t>Once completed, ownership of these assets vests in Network Rail, rail operating companies, Highways England, the Authority or the local authority as appropriate.</w:t>
      </w:r>
    </w:p>
    <w:p w14:paraId="54EEB55F" w14:textId="77777777" w:rsidR="00795BE0" w:rsidRPr="0007572B" w:rsidRDefault="00795BE0" w:rsidP="00795BE0">
      <w:pPr>
        <w:spacing w:after="160"/>
        <w:rPr>
          <w:rFonts w:ascii="Arial" w:eastAsiaTheme="minorHAnsi" w:hAnsi="Arial" w:cs="Arial"/>
          <w:highlight w:val="yellow"/>
        </w:rPr>
      </w:pPr>
      <w:r w:rsidRPr="0007572B">
        <w:rPr>
          <w:rFonts w:ascii="Arial" w:eastAsiaTheme="minorHAnsi" w:hAnsi="Arial" w:cs="Arial"/>
        </w:rPr>
        <w:t>Both the costs and the grant income are recognised within the Comprehensive Income and Expenditure Statement.</w:t>
      </w:r>
    </w:p>
    <w:p w14:paraId="64B0D181" w14:textId="475C64E0" w:rsidR="00795BE0" w:rsidRPr="0007572B" w:rsidRDefault="00795BE0" w:rsidP="00795BE0">
      <w:pPr>
        <w:pStyle w:val="Heading4bold"/>
        <w:rPr>
          <w:rFonts w:eastAsiaTheme="minorHAnsi"/>
        </w:rPr>
      </w:pPr>
      <w:r w:rsidRPr="0007572B">
        <w:rPr>
          <w:rFonts w:eastAsiaTheme="minorHAnsi"/>
        </w:rPr>
        <w:t>3</w:t>
      </w:r>
      <w:r w:rsidR="00AD1CF0">
        <w:rPr>
          <w:rFonts w:eastAsiaTheme="minorHAnsi"/>
        </w:rPr>
        <w:t>7</w:t>
      </w:r>
      <w:r w:rsidRPr="0007572B">
        <w:rPr>
          <w:rFonts w:eastAsiaTheme="minorHAnsi"/>
        </w:rPr>
        <w:t>.</w:t>
      </w:r>
      <w:r w:rsidR="00595F05">
        <w:rPr>
          <w:rFonts w:eastAsiaTheme="minorHAnsi"/>
        </w:rPr>
        <w:t>6</w:t>
      </w:r>
      <w:r w:rsidRPr="0007572B">
        <w:rPr>
          <w:rFonts w:eastAsiaTheme="minorHAnsi"/>
        </w:rPr>
        <w:t xml:space="preserve"> Lease Income</w:t>
      </w:r>
    </w:p>
    <w:p w14:paraId="6E623374" w14:textId="77777777" w:rsidR="00795BE0" w:rsidRPr="0007572B" w:rsidRDefault="00795BE0" w:rsidP="00795BE0">
      <w:pPr>
        <w:spacing w:after="160"/>
        <w:rPr>
          <w:rFonts w:ascii="Arial" w:eastAsiaTheme="minorHAnsi" w:hAnsi="Arial" w:cs="Arial"/>
        </w:rPr>
      </w:pPr>
      <w:r w:rsidRPr="0007572B">
        <w:rPr>
          <w:rFonts w:ascii="Arial" w:eastAsiaTheme="minorHAnsi" w:hAnsi="Arial" w:cs="Arial"/>
        </w:rPr>
        <w:t>Amounts receivable under finance leases are stated net of interest allocated to future periods. Interest is allocated to accounting periods to produce a constant periodic rate of return on the remaining net investment.</w:t>
      </w:r>
    </w:p>
    <w:p w14:paraId="485CD111" w14:textId="5BEF9110" w:rsidR="00795BE0" w:rsidRPr="0007572B" w:rsidRDefault="00795BE0" w:rsidP="00795BE0">
      <w:pPr>
        <w:spacing w:after="160"/>
        <w:rPr>
          <w:rFonts w:ascii="Arial" w:eastAsiaTheme="minorHAnsi" w:hAnsi="Arial" w:cs="Arial"/>
          <w:highlight w:val="yellow"/>
        </w:rPr>
      </w:pPr>
      <w:r w:rsidRPr="0007572B">
        <w:rPr>
          <w:rFonts w:ascii="Arial" w:eastAsiaTheme="minorHAnsi" w:hAnsi="Arial" w:cs="Arial"/>
        </w:rPr>
        <w:t>Rentals receivable under operating leases, and secondary rentals received and retained by the Group under finance leases, are credited to income as they arise. Any premia or incentives within the lease are recognised as income on an equal b</w:t>
      </w:r>
      <w:r w:rsidR="000C2400">
        <w:rPr>
          <w:rFonts w:ascii="Arial" w:eastAsiaTheme="minorHAnsi" w:hAnsi="Arial" w:cs="Arial"/>
        </w:rPr>
        <w:t>a</w:t>
      </w:r>
      <w:r w:rsidRPr="0007572B">
        <w:rPr>
          <w:rFonts w:ascii="Arial" w:eastAsiaTheme="minorHAnsi" w:hAnsi="Arial" w:cs="Arial"/>
        </w:rPr>
        <w:t>sis over the term of the lease.</w:t>
      </w:r>
    </w:p>
    <w:p w14:paraId="2BCD509E" w14:textId="17437373" w:rsidR="00795BE0" w:rsidRPr="0007572B" w:rsidRDefault="00795BE0" w:rsidP="00795BE0">
      <w:pPr>
        <w:pStyle w:val="Heading4bold"/>
        <w:rPr>
          <w:rFonts w:eastAsiaTheme="minorHAnsi"/>
        </w:rPr>
      </w:pPr>
      <w:r w:rsidRPr="0007572B">
        <w:rPr>
          <w:rFonts w:eastAsiaTheme="minorHAnsi"/>
        </w:rPr>
        <w:t>3</w:t>
      </w:r>
      <w:r w:rsidR="00AD1CF0">
        <w:rPr>
          <w:rFonts w:eastAsiaTheme="minorHAnsi"/>
        </w:rPr>
        <w:t>7</w:t>
      </w:r>
      <w:r w:rsidRPr="0007572B">
        <w:rPr>
          <w:rFonts w:eastAsiaTheme="minorHAnsi"/>
        </w:rPr>
        <w:t>.</w:t>
      </w:r>
      <w:r w:rsidR="00595F05">
        <w:rPr>
          <w:rFonts w:eastAsiaTheme="minorHAnsi"/>
        </w:rPr>
        <w:t>7</w:t>
      </w:r>
      <w:r w:rsidRPr="0007572B">
        <w:rPr>
          <w:rFonts w:eastAsiaTheme="minorHAnsi"/>
        </w:rPr>
        <w:t xml:space="preserve"> Lease Expenditure</w:t>
      </w:r>
    </w:p>
    <w:p w14:paraId="7E9A9643" w14:textId="77777777" w:rsidR="00795BE0" w:rsidRPr="0007572B" w:rsidRDefault="00795BE0" w:rsidP="00795BE0">
      <w:pPr>
        <w:spacing w:after="160"/>
        <w:rPr>
          <w:rFonts w:ascii="Arial" w:eastAsiaTheme="minorHAnsi" w:hAnsi="Arial" w:cs="Arial"/>
        </w:rPr>
      </w:pPr>
      <w:r w:rsidRPr="0007572B">
        <w:rPr>
          <w:rFonts w:ascii="Arial" w:eastAsiaTheme="minorHAnsi" w:hAnsi="Arial" w:cs="Arial"/>
        </w:rPr>
        <w:t>Assets held under finance leases where the Group retains substantially all the risks and benefits of ownership are capitalised in the balance sheet at the lower of the fair value of the asset and the net present value of the minimum lease payments; the assets are then depreciated over their useful economic lives.</w:t>
      </w:r>
    </w:p>
    <w:p w14:paraId="0B837284" w14:textId="77777777" w:rsidR="00795BE0" w:rsidRPr="00FB1945" w:rsidRDefault="00795BE0" w:rsidP="00795BE0">
      <w:pPr>
        <w:spacing w:after="160"/>
        <w:rPr>
          <w:rFonts w:ascii="Arial" w:eastAsiaTheme="minorHAnsi" w:hAnsi="Arial" w:cs="Arial"/>
        </w:rPr>
      </w:pPr>
      <w:r w:rsidRPr="0007572B">
        <w:rPr>
          <w:rFonts w:ascii="Arial" w:eastAsiaTheme="minorHAnsi" w:hAnsi="Arial" w:cs="Arial"/>
          <w:sz w:val="22"/>
          <w:szCs w:val="22"/>
        </w:rPr>
        <w:t xml:space="preserve">The lease obligations are recognised as a financial liability. The interest element of the rental obligations is charged to the Comprehensive Income and Expenditure Statement over the </w:t>
      </w:r>
      <w:r w:rsidRPr="00FB1945">
        <w:rPr>
          <w:rFonts w:ascii="Arial" w:eastAsiaTheme="minorHAnsi" w:hAnsi="Arial" w:cs="Arial"/>
        </w:rPr>
        <w:t>period of the lease and represents a constant proportion of the balance of capital repayments outstanding.</w:t>
      </w:r>
    </w:p>
    <w:p w14:paraId="4CCCF444" w14:textId="21378957" w:rsidR="00795BE0" w:rsidRPr="0007572B" w:rsidRDefault="00795BE0" w:rsidP="00795BE0">
      <w:pPr>
        <w:spacing w:after="160"/>
        <w:rPr>
          <w:rFonts w:ascii="Arial" w:eastAsiaTheme="minorHAnsi" w:hAnsi="Arial" w:cs="Arial"/>
        </w:rPr>
      </w:pPr>
      <w:r w:rsidRPr="0007572B">
        <w:rPr>
          <w:rFonts w:ascii="Arial" w:eastAsiaTheme="minorHAnsi" w:hAnsi="Arial" w:cs="Arial"/>
        </w:rPr>
        <w:t>Rentals paid under operating leases are charged to expenditure on a straight</w:t>
      </w:r>
      <w:r w:rsidR="00831A0A">
        <w:rPr>
          <w:rFonts w:ascii="Arial" w:eastAsiaTheme="minorHAnsi" w:hAnsi="Arial" w:cs="Arial"/>
        </w:rPr>
        <w:t>-</w:t>
      </w:r>
      <w:r w:rsidRPr="0007572B">
        <w:rPr>
          <w:rFonts w:ascii="Arial" w:eastAsiaTheme="minorHAnsi" w:hAnsi="Arial" w:cs="Arial"/>
        </w:rPr>
        <w:t>line basis over the term of the lease, recognising on an equal basis the impact of any premia or incentives.</w:t>
      </w:r>
    </w:p>
    <w:p w14:paraId="6DC3A506" w14:textId="42249A9B" w:rsidR="00795BE0" w:rsidRPr="0007572B" w:rsidRDefault="00795BE0" w:rsidP="00795BE0">
      <w:pPr>
        <w:pStyle w:val="Heading4bold"/>
        <w:rPr>
          <w:rFonts w:eastAsiaTheme="minorHAnsi"/>
        </w:rPr>
      </w:pPr>
      <w:r w:rsidRPr="0007572B">
        <w:rPr>
          <w:rFonts w:eastAsiaTheme="minorHAnsi"/>
        </w:rPr>
        <w:t>3</w:t>
      </w:r>
      <w:r w:rsidR="00AD1CF0">
        <w:rPr>
          <w:rFonts w:eastAsiaTheme="minorHAnsi"/>
        </w:rPr>
        <w:t>7</w:t>
      </w:r>
      <w:r w:rsidRPr="0007572B">
        <w:rPr>
          <w:rFonts w:eastAsiaTheme="minorHAnsi"/>
        </w:rPr>
        <w:t>.</w:t>
      </w:r>
      <w:r w:rsidR="00595F05">
        <w:rPr>
          <w:rFonts w:eastAsiaTheme="minorHAnsi"/>
        </w:rPr>
        <w:t>8</w:t>
      </w:r>
      <w:r w:rsidRPr="0007572B">
        <w:rPr>
          <w:rFonts w:eastAsiaTheme="minorHAnsi"/>
        </w:rPr>
        <w:t xml:space="preserve"> Agency Services</w:t>
      </w:r>
    </w:p>
    <w:p w14:paraId="059ECC99" w14:textId="77777777" w:rsidR="00795BE0" w:rsidRPr="0007572B" w:rsidRDefault="00795BE0" w:rsidP="00795BE0">
      <w:pPr>
        <w:spacing w:after="160"/>
        <w:rPr>
          <w:rFonts w:ascii="Arial" w:eastAsiaTheme="minorHAnsi" w:hAnsi="Arial" w:cs="Arial"/>
        </w:rPr>
      </w:pPr>
      <w:r w:rsidRPr="0007572B">
        <w:rPr>
          <w:rFonts w:ascii="Arial" w:eastAsiaTheme="minorHAnsi" w:hAnsi="Arial" w:cs="Arial"/>
        </w:rPr>
        <w:t xml:space="preserve">Transactions are excluded from the Group’s financial statements for all agency relationships. As stipulated by the Code, the Group is acting as an agent in situations when the Group does not control the specified goods or services being provided by another party, before they are transferred to the customer. </w:t>
      </w:r>
    </w:p>
    <w:p w14:paraId="381BAEF9" w14:textId="77777777" w:rsidR="00795BE0" w:rsidRPr="0007572B" w:rsidRDefault="00795BE0" w:rsidP="00795BE0">
      <w:pPr>
        <w:spacing w:after="160"/>
        <w:rPr>
          <w:rFonts w:ascii="Arial" w:eastAsiaTheme="minorHAnsi" w:hAnsi="Arial" w:cs="Arial"/>
        </w:rPr>
      </w:pPr>
      <w:r w:rsidRPr="0007572B">
        <w:rPr>
          <w:rFonts w:ascii="Arial" w:eastAsiaTheme="minorHAnsi" w:hAnsi="Arial" w:cs="Arial"/>
        </w:rPr>
        <w:t>All services are reviewed to determine who controls the right to the underlying goods or services and when this is not deemed to be the Group, the transactions have been excluded from the financial statements.</w:t>
      </w:r>
    </w:p>
    <w:p w14:paraId="19145270" w14:textId="2CE24DFC" w:rsidR="00795BE0" w:rsidRPr="0007572B" w:rsidRDefault="00795BE0" w:rsidP="00795BE0">
      <w:pPr>
        <w:pStyle w:val="Heading4bold"/>
      </w:pPr>
      <w:r w:rsidRPr="0007572B">
        <w:lastRenderedPageBreak/>
        <w:t>3</w:t>
      </w:r>
      <w:r w:rsidR="00AD1CF0">
        <w:t>7</w:t>
      </w:r>
      <w:r w:rsidRPr="0007572B">
        <w:t>.</w:t>
      </w:r>
      <w:r w:rsidR="00595F05">
        <w:t>9</w:t>
      </w:r>
      <w:r w:rsidRPr="0007572B">
        <w:t xml:space="preserve"> Benefits Payable during Employment </w:t>
      </w:r>
    </w:p>
    <w:p w14:paraId="3BAB4D35" w14:textId="06BD9B52" w:rsidR="00795BE0" w:rsidRPr="0007572B" w:rsidRDefault="00795BE0" w:rsidP="00795BE0">
      <w:pPr>
        <w:spacing w:after="160"/>
        <w:rPr>
          <w:rFonts w:ascii="Arial" w:hAnsi="Arial" w:cs="Arial"/>
        </w:rPr>
      </w:pPr>
      <w:r w:rsidRPr="0007572B">
        <w:rPr>
          <w:rFonts w:ascii="Arial" w:hAnsi="Arial" w:cs="Arial"/>
        </w:rPr>
        <w:t xml:space="preserve">Short-term employee benefits are those due to be settled wholly within 12 months of the year-end. They include such benefits as wages and salaries, paid annual leave and paid sick leave, bonuses and non-monetary benefits (e.g. cars) for current employees and are recognised as an expense for services in the year in which employees render service to the Group. </w:t>
      </w:r>
      <w:r w:rsidR="00A47E39">
        <w:rPr>
          <w:rFonts w:ascii="Arial" w:hAnsi="Arial" w:cs="Arial"/>
        </w:rPr>
        <w:t>Where material, a</w:t>
      </w:r>
      <w:r w:rsidRPr="0007572B">
        <w:rPr>
          <w:rFonts w:ascii="Arial" w:hAnsi="Arial" w:cs="Arial"/>
        </w:rPr>
        <w:t>n accrual is made for the cost of holiday entitlements (or any form of leave, e.g. time off in lieu) earned by employees but not taken before the year-end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entitlements are charged to revenue in the financial year in which the holiday absence occurs.</w:t>
      </w:r>
    </w:p>
    <w:p w14:paraId="35BDBEC6" w14:textId="77777777" w:rsidR="00795BE0" w:rsidRPr="0007572B" w:rsidRDefault="00795BE0" w:rsidP="00795BE0">
      <w:pPr>
        <w:spacing w:after="160"/>
        <w:rPr>
          <w:rFonts w:ascii="Arial" w:eastAsiaTheme="minorHAnsi" w:hAnsi="Arial" w:cs="Arial"/>
        </w:rPr>
      </w:pPr>
      <w:r w:rsidRPr="0007572B">
        <w:rPr>
          <w:rFonts w:ascii="Arial" w:hAnsi="Arial" w:cs="Arial"/>
        </w:rPr>
        <w:t>The group accumulated absences are entirely attributable to Greater Manchester Police. The single entity accounts do not include an adjustment for employee benefits for reasons of materiality. The Greater Manchester Police accrual was material to their accounts and has therefore been included in the group figures.</w:t>
      </w:r>
    </w:p>
    <w:p w14:paraId="4B4C8793" w14:textId="43D57FD1" w:rsidR="00795BE0" w:rsidRPr="0007572B" w:rsidRDefault="00795BE0" w:rsidP="00795BE0">
      <w:pPr>
        <w:pStyle w:val="Heading4bold"/>
      </w:pPr>
      <w:r w:rsidRPr="0007572B">
        <w:t>3</w:t>
      </w:r>
      <w:r w:rsidR="00AD1CF0">
        <w:t>7</w:t>
      </w:r>
      <w:r w:rsidRPr="0007572B">
        <w:t>.</w:t>
      </w:r>
      <w:r w:rsidR="00595F05">
        <w:t>10</w:t>
      </w:r>
      <w:r w:rsidRPr="0007572B">
        <w:t xml:space="preserve"> Post-Employment Benefits – Pensions</w:t>
      </w:r>
    </w:p>
    <w:p w14:paraId="51F9DD7B" w14:textId="1D2A953A" w:rsidR="00795BE0" w:rsidRDefault="00795BE0" w:rsidP="00795BE0">
      <w:pPr>
        <w:rPr>
          <w:rFonts w:ascii="Arial" w:hAnsi="Arial" w:cs="Arial"/>
        </w:rPr>
      </w:pPr>
      <w:r w:rsidRPr="0007572B">
        <w:rPr>
          <w:rFonts w:ascii="Arial" w:hAnsi="Arial" w:cs="Arial"/>
        </w:rPr>
        <w:t>Employees of the Group are members of three separate pension schemes</w:t>
      </w:r>
      <w:r>
        <w:rPr>
          <w:rFonts w:ascii="Arial" w:hAnsi="Arial" w:cs="Arial"/>
        </w:rPr>
        <w:t xml:space="preserve">. These are explained in more detail in the single entity accounts. Police Officers are covered by the </w:t>
      </w:r>
      <w:r w:rsidRPr="006B1E72">
        <w:rPr>
          <w:rFonts w:ascii="Arial" w:hAnsi="Arial" w:cs="Arial"/>
        </w:rPr>
        <w:t>Police Pension Scheme administered by XPS Administration on behalf of the Chief Constable</w:t>
      </w:r>
      <w:r>
        <w:rPr>
          <w:rFonts w:ascii="Arial" w:hAnsi="Arial" w:cs="Arial"/>
        </w:rPr>
        <w:t>. This</w:t>
      </w:r>
      <w:r w:rsidRPr="0007572B">
        <w:rPr>
          <w:rFonts w:ascii="Arial" w:hAnsi="Arial" w:cs="Arial"/>
        </w:rPr>
        <w:t xml:space="preserve"> scheme provide</w:t>
      </w:r>
      <w:r>
        <w:rPr>
          <w:rFonts w:ascii="Arial" w:hAnsi="Arial" w:cs="Arial"/>
        </w:rPr>
        <w:t>s</w:t>
      </w:r>
      <w:r w:rsidRPr="0007572B">
        <w:rPr>
          <w:rFonts w:ascii="Arial" w:hAnsi="Arial" w:cs="Arial"/>
        </w:rPr>
        <w:t xml:space="preserve"> defined benefits to members (retirement lump sums and pensions) earned as a police officer.</w:t>
      </w:r>
    </w:p>
    <w:p w14:paraId="05AB81CE" w14:textId="77777777" w:rsidR="00795BE0" w:rsidRPr="0007572B" w:rsidRDefault="00795BE0" w:rsidP="00795BE0">
      <w:pPr>
        <w:rPr>
          <w:rFonts w:ascii="Arial" w:hAnsi="Arial" w:cs="Arial"/>
        </w:rPr>
      </w:pPr>
    </w:p>
    <w:p w14:paraId="79B291AB" w14:textId="2BDEA820" w:rsidR="00795BE0" w:rsidRPr="0007572B" w:rsidRDefault="00795BE0" w:rsidP="00795BE0">
      <w:pPr>
        <w:pStyle w:val="Heading4bold"/>
      </w:pPr>
      <w:r w:rsidRPr="0007572B">
        <w:t>3</w:t>
      </w:r>
      <w:r w:rsidR="00AD1CF0">
        <w:t>7</w:t>
      </w:r>
      <w:r w:rsidRPr="0007572B">
        <w:t>.1</w:t>
      </w:r>
      <w:r w:rsidR="00595F05">
        <w:t>1</w:t>
      </w:r>
      <w:r w:rsidRPr="0007572B">
        <w:t xml:space="preserve"> </w:t>
      </w:r>
      <w:r>
        <w:t>T</w:t>
      </w:r>
      <w:r w:rsidRPr="0007572B">
        <w:t>he Police Pension Scheme</w:t>
      </w:r>
    </w:p>
    <w:p w14:paraId="45FF90DE" w14:textId="77777777" w:rsidR="00795BE0" w:rsidRPr="0007572B" w:rsidRDefault="00795BE0" w:rsidP="00795BE0">
      <w:pPr>
        <w:spacing w:after="120"/>
        <w:rPr>
          <w:rFonts w:ascii="Arial" w:hAnsi="Arial" w:cs="Arial"/>
        </w:rPr>
      </w:pPr>
      <w:r>
        <w:rPr>
          <w:rFonts w:ascii="Arial" w:hAnsi="Arial" w:cs="Arial"/>
        </w:rPr>
        <w:t>This scheme is a</w:t>
      </w:r>
      <w:r w:rsidRPr="0007572B">
        <w:rPr>
          <w:rFonts w:ascii="Arial" w:hAnsi="Arial" w:cs="Arial"/>
        </w:rPr>
        <w:t xml:space="preserve"> defined benefit scheme, the rules of which are set out in Police Pension Regulations. The scheme </w:t>
      </w:r>
      <w:r>
        <w:rPr>
          <w:rFonts w:ascii="Arial" w:hAnsi="Arial" w:cs="Arial"/>
        </w:rPr>
        <w:t>is</w:t>
      </w:r>
      <w:r w:rsidRPr="0007572B">
        <w:rPr>
          <w:rFonts w:ascii="Arial" w:hAnsi="Arial" w:cs="Arial"/>
        </w:rPr>
        <w:t xml:space="preserve"> wholly unfunded. No investment assets have been built up to meet liabilities and cash ha</w:t>
      </w:r>
      <w:r>
        <w:rPr>
          <w:rFonts w:ascii="Arial" w:hAnsi="Arial" w:cs="Arial"/>
        </w:rPr>
        <w:t>s</w:t>
      </w:r>
      <w:r w:rsidRPr="0007572B">
        <w:rPr>
          <w:rFonts w:ascii="Arial" w:hAnsi="Arial" w:cs="Arial"/>
        </w:rPr>
        <w:t xml:space="preserve"> to be generated from employee and employer contributions to meet actual pension payments as they fall due.</w:t>
      </w:r>
    </w:p>
    <w:p w14:paraId="7865639F" w14:textId="77777777" w:rsidR="00795BE0" w:rsidRPr="0007572B" w:rsidRDefault="00795BE0" w:rsidP="00795BE0">
      <w:pPr>
        <w:spacing w:after="120"/>
        <w:rPr>
          <w:rFonts w:ascii="Arial" w:hAnsi="Arial" w:cs="Arial"/>
        </w:rPr>
      </w:pPr>
      <w:r w:rsidRPr="0007572B">
        <w:rPr>
          <w:rFonts w:ascii="Arial" w:hAnsi="Arial" w:cs="Arial"/>
        </w:rPr>
        <w:t>The Chief Constable as employer, and police officers as members, pay pension contribution</w:t>
      </w:r>
      <w:r>
        <w:rPr>
          <w:rFonts w:ascii="Arial" w:hAnsi="Arial" w:cs="Arial"/>
        </w:rPr>
        <w:t>s</w:t>
      </w:r>
      <w:r w:rsidRPr="0007572B">
        <w:rPr>
          <w:rFonts w:ascii="Arial" w:hAnsi="Arial" w:cs="Arial"/>
        </w:rPr>
        <w:t xml:space="preserve"> based on a percentage of pensionable pay into the Police Pension Fund Account. Pension benefits are paid out of the Pension Fund Accounts.</w:t>
      </w:r>
    </w:p>
    <w:p w14:paraId="64ABB5D5" w14:textId="77777777" w:rsidR="00795BE0" w:rsidRPr="0007572B" w:rsidRDefault="00795BE0" w:rsidP="00795BE0">
      <w:pPr>
        <w:spacing w:after="120"/>
        <w:rPr>
          <w:rFonts w:ascii="Arial" w:hAnsi="Arial" w:cs="Arial"/>
        </w:rPr>
      </w:pPr>
      <w:r w:rsidRPr="0007572B">
        <w:rPr>
          <w:rFonts w:ascii="Arial" w:hAnsi="Arial" w:cs="Arial"/>
        </w:rPr>
        <w:t>The amounts payable into and out of the Pension Fund Account are specified by regulations. Any surplus or deficit on the Pension Fund Accounts must be transferred to or from the Combined Authority and ultimately repaid to or received from the Home Office.</w:t>
      </w:r>
    </w:p>
    <w:p w14:paraId="2A6B9BF3" w14:textId="77777777" w:rsidR="00795BE0" w:rsidRPr="0007572B" w:rsidRDefault="00795BE0" w:rsidP="00795BE0">
      <w:pPr>
        <w:spacing w:after="120"/>
        <w:jc w:val="both"/>
        <w:rPr>
          <w:rFonts w:ascii="Arial" w:hAnsi="Arial" w:cs="Arial"/>
        </w:rPr>
      </w:pPr>
      <w:r w:rsidRPr="0007572B">
        <w:rPr>
          <w:rFonts w:ascii="Arial" w:hAnsi="Arial" w:cs="Arial"/>
        </w:rPr>
        <w:t xml:space="preserve">Injury awards are not part of </w:t>
      </w:r>
      <w:r>
        <w:rPr>
          <w:rFonts w:ascii="Arial" w:hAnsi="Arial" w:cs="Arial"/>
        </w:rPr>
        <w:t xml:space="preserve">the </w:t>
      </w:r>
      <w:r w:rsidRPr="0007572B">
        <w:rPr>
          <w:rFonts w:ascii="Arial" w:hAnsi="Arial" w:cs="Arial"/>
        </w:rPr>
        <w:t>pension scheme and are charged directly to the Comprehensive Income and Expenditure Statement. However, liabilities in respect of injury awards are disclosed as part of the overall pension liability.</w:t>
      </w:r>
    </w:p>
    <w:p w14:paraId="2DE43B23" w14:textId="0A193479" w:rsidR="00795BE0" w:rsidRPr="00C10207" w:rsidRDefault="00795BE0" w:rsidP="00795BE0">
      <w:pPr>
        <w:jc w:val="both"/>
        <w:rPr>
          <w:rFonts w:ascii="Arial" w:hAnsi="Arial" w:cs="Arial"/>
        </w:rPr>
        <w:sectPr w:rsidR="00795BE0" w:rsidRPr="00C10207" w:rsidSect="0086765F">
          <w:pgSz w:w="11906" w:h="16838"/>
          <w:pgMar w:top="946" w:right="1416" w:bottom="1440" w:left="1418" w:header="283" w:footer="567" w:gutter="0"/>
          <w:cols w:space="708"/>
          <w:docGrid w:linePitch="360"/>
        </w:sectPr>
      </w:pPr>
      <w:r w:rsidRPr="0007572B">
        <w:rPr>
          <w:rFonts w:ascii="Arial" w:hAnsi="Arial" w:cs="Arial"/>
        </w:rPr>
        <w:t>Other than references to assets, th</w:t>
      </w:r>
      <w:r>
        <w:rPr>
          <w:rFonts w:ascii="Arial" w:hAnsi="Arial" w:cs="Arial"/>
        </w:rPr>
        <w:t>is</w:t>
      </w:r>
      <w:r w:rsidRPr="0007572B">
        <w:rPr>
          <w:rFonts w:ascii="Arial" w:hAnsi="Arial" w:cs="Arial"/>
        </w:rPr>
        <w:t xml:space="preserve"> scheme </w:t>
      </w:r>
      <w:r>
        <w:rPr>
          <w:rFonts w:ascii="Arial" w:hAnsi="Arial" w:cs="Arial"/>
        </w:rPr>
        <w:t>is</w:t>
      </w:r>
      <w:r w:rsidRPr="0007572B">
        <w:rPr>
          <w:rFonts w:ascii="Arial" w:hAnsi="Arial" w:cs="Arial"/>
        </w:rPr>
        <w:t xml:space="preserve"> accounted for in the same way as the Local Government Pension Scheme.</w:t>
      </w:r>
      <w:bookmarkStart w:id="253" w:name="_Hlk61858772"/>
    </w:p>
    <w:p w14:paraId="27BD7593" w14:textId="77777777" w:rsidR="00795BE0" w:rsidRPr="0007572B" w:rsidRDefault="00795BE0" w:rsidP="00795BE0">
      <w:pPr>
        <w:jc w:val="both"/>
        <w:rPr>
          <w:rFonts w:ascii="Arial" w:hAnsi="Arial" w:cs="Arial"/>
          <w:b/>
          <w:sz w:val="22"/>
          <w:szCs w:val="22"/>
        </w:rPr>
      </w:pPr>
    </w:p>
    <w:p w14:paraId="2A54434C" w14:textId="40BD392C" w:rsidR="00795BE0" w:rsidRPr="0007572B" w:rsidRDefault="00795BE0" w:rsidP="00795BE0">
      <w:pPr>
        <w:pStyle w:val="Heading3greennumbered"/>
      </w:pPr>
      <w:bookmarkStart w:id="254" w:name="_Toc92894928"/>
      <w:bookmarkStart w:id="255" w:name="_Toc92895232"/>
      <w:bookmarkStart w:id="256" w:name="_Toc109922666"/>
      <w:bookmarkEnd w:id="253"/>
      <w:r w:rsidRPr="0007572B">
        <w:t>3</w:t>
      </w:r>
      <w:r w:rsidR="008633CA">
        <w:t>8</w:t>
      </w:r>
      <w:r w:rsidRPr="0007572B">
        <w:t>a Group Expenditure and Funding Analysis</w:t>
      </w:r>
      <w:bookmarkEnd w:id="254"/>
      <w:bookmarkEnd w:id="255"/>
      <w:bookmarkEnd w:id="256"/>
    </w:p>
    <w:p w14:paraId="7DA68B9A" w14:textId="77777777" w:rsidR="00795BE0" w:rsidRPr="0007572B" w:rsidRDefault="00795BE0" w:rsidP="00795BE0">
      <w:pPr>
        <w:rPr>
          <w:rFonts w:ascii="Arial" w:hAnsi="Arial" w:cs="Arial"/>
        </w:rPr>
      </w:pPr>
    </w:p>
    <w:p w14:paraId="7946A0B5" w14:textId="2A5E6EA2" w:rsidR="00795BE0" w:rsidRDefault="00795BE0" w:rsidP="00795BE0">
      <w:pPr>
        <w:rPr>
          <w:rFonts w:ascii="Arial" w:hAnsi="Arial" w:cs="Arial"/>
        </w:rPr>
      </w:pPr>
      <w:r w:rsidRPr="0007572B">
        <w:rPr>
          <w:rFonts w:ascii="Arial" w:hAnsi="Arial" w:cs="Arial"/>
        </w:rPr>
        <w:t xml:space="preserve">The Expenditure and Funding Analysis shows how annual expenditure is used and funded from resources by local authorities in comparison to those resources consumed or earned by local authorities in accordance with generally accepted accounting practices. It also shows how the expenditure is allocated between Directorates. Income and expenditure accounted for under generally accepted accounting practice is presented more fully in the Comprehensive Income and Expenditure Statement. </w:t>
      </w:r>
    </w:p>
    <w:p w14:paraId="280401FF" w14:textId="40B0E97A" w:rsidR="00795BE0" w:rsidRDefault="00795BE0" w:rsidP="00795BE0">
      <w:pPr>
        <w:rPr>
          <w:rFonts w:ascii="Arial" w:hAnsi="Arial" w:cs="Arial"/>
          <w:b/>
          <w:bCs/>
          <w:color w:val="000000" w:themeColor="text1"/>
          <w:sz w:val="26"/>
          <w:szCs w:val="26"/>
        </w:rPr>
      </w:pPr>
    </w:p>
    <w:p w14:paraId="2AFD9188" w14:textId="3B1334FD" w:rsidR="00C10207" w:rsidRDefault="008810B9" w:rsidP="00795BE0">
      <w:pPr>
        <w:rPr>
          <w:rFonts w:ascii="Arial" w:hAnsi="Arial" w:cs="Arial"/>
          <w:b/>
          <w:bCs/>
          <w:color w:val="000000" w:themeColor="text1"/>
          <w:sz w:val="26"/>
          <w:szCs w:val="26"/>
        </w:rPr>
      </w:pPr>
      <w:r w:rsidRPr="008810B9">
        <w:rPr>
          <w:noProof/>
        </w:rPr>
        <w:drawing>
          <wp:inline distT="0" distB="0" distL="0" distR="0" wp14:anchorId="18B7416A" wp14:editId="3A0709E4">
            <wp:extent cx="8975725" cy="339471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975725" cy="3394710"/>
                    </a:xfrm>
                    <a:prstGeom prst="rect">
                      <a:avLst/>
                    </a:prstGeom>
                    <a:noFill/>
                    <a:ln>
                      <a:noFill/>
                    </a:ln>
                  </pic:spPr>
                </pic:pic>
              </a:graphicData>
            </a:graphic>
          </wp:inline>
        </w:drawing>
      </w:r>
    </w:p>
    <w:p w14:paraId="06A1A67F" w14:textId="0E318B6F" w:rsidR="00C10207" w:rsidRDefault="00C10207" w:rsidP="00795BE0">
      <w:pPr>
        <w:rPr>
          <w:rFonts w:ascii="Arial" w:hAnsi="Arial" w:cs="Arial"/>
          <w:b/>
          <w:bCs/>
          <w:color w:val="000000" w:themeColor="text1"/>
          <w:sz w:val="26"/>
          <w:szCs w:val="26"/>
        </w:rPr>
      </w:pPr>
    </w:p>
    <w:p w14:paraId="1DBEDE8B" w14:textId="5DF9C3A3" w:rsidR="00C10207" w:rsidRDefault="00C10207" w:rsidP="00795BE0">
      <w:pPr>
        <w:rPr>
          <w:rFonts w:ascii="Arial" w:hAnsi="Arial" w:cs="Arial"/>
          <w:b/>
          <w:bCs/>
          <w:color w:val="000000" w:themeColor="text1"/>
          <w:sz w:val="26"/>
          <w:szCs w:val="26"/>
        </w:rPr>
      </w:pPr>
    </w:p>
    <w:p w14:paraId="51D327A5" w14:textId="77777777" w:rsidR="00911920" w:rsidRDefault="00911920" w:rsidP="00795BE0">
      <w:pPr>
        <w:rPr>
          <w:rFonts w:ascii="Arial" w:hAnsi="Arial" w:cs="Arial"/>
          <w:b/>
          <w:bCs/>
          <w:color w:val="000000" w:themeColor="text1"/>
          <w:sz w:val="26"/>
          <w:szCs w:val="26"/>
        </w:rPr>
      </w:pPr>
    </w:p>
    <w:p w14:paraId="468BE308" w14:textId="77777777" w:rsidR="00C10207" w:rsidRDefault="00C10207" w:rsidP="00795BE0">
      <w:pPr>
        <w:rPr>
          <w:rFonts w:ascii="Arial" w:hAnsi="Arial" w:cs="Arial"/>
          <w:b/>
          <w:bCs/>
          <w:color w:val="000000" w:themeColor="text1"/>
          <w:sz w:val="26"/>
          <w:szCs w:val="26"/>
        </w:rPr>
      </w:pPr>
    </w:p>
    <w:p w14:paraId="3CCD5FEA" w14:textId="2E31A649" w:rsidR="00795BE0" w:rsidRPr="0007572B" w:rsidRDefault="00795BE0" w:rsidP="00795BE0">
      <w:pPr>
        <w:pStyle w:val="Heading3greennumbered"/>
      </w:pPr>
      <w:bookmarkStart w:id="257" w:name="_Toc92894929"/>
      <w:bookmarkStart w:id="258" w:name="_Toc92895233"/>
      <w:bookmarkStart w:id="259" w:name="_Toc109922667"/>
      <w:r w:rsidRPr="0007572B">
        <w:lastRenderedPageBreak/>
        <w:t>3</w:t>
      </w:r>
      <w:r w:rsidR="008633CA">
        <w:t>8</w:t>
      </w:r>
      <w:r w:rsidRPr="0007572B">
        <w:t>b Note to the Group Expenditure and Funding Analysis</w:t>
      </w:r>
      <w:bookmarkEnd w:id="257"/>
      <w:bookmarkEnd w:id="258"/>
      <w:bookmarkEnd w:id="259"/>
    </w:p>
    <w:p w14:paraId="2DE56A67" w14:textId="77777777" w:rsidR="00795BE0" w:rsidRPr="0007572B" w:rsidRDefault="00795BE0" w:rsidP="00795BE0">
      <w:pPr>
        <w:jc w:val="both"/>
        <w:rPr>
          <w:rFonts w:ascii="Arial" w:hAnsi="Arial" w:cs="Arial"/>
          <w:b/>
          <w:highlight w:val="yellow"/>
        </w:rPr>
      </w:pPr>
    </w:p>
    <w:p w14:paraId="552FB574" w14:textId="478E8BDD" w:rsidR="00795BE0" w:rsidRPr="0007572B" w:rsidRDefault="008810B9" w:rsidP="00795BE0">
      <w:pPr>
        <w:jc w:val="both"/>
        <w:rPr>
          <w:rFonts w:ascii="Arial" w:hAnsi="Arial" w:cs="Arial"/>
        </w:rPr>
      </w:pPr>
      <w:r w:rsidRPr="008810B9">
        <w:rPr>
          <w:noProof/>
        </w:rPr>
        <w:drawing>
          <wp:inline distT="0" distB="0" distL="0" distR="0" wp14:anchorId="56FED3F6" wp14:editId="7C5442AB">
            <wp:extent cx="8114030" cy="2606675"/>
            <wp:effectExtent l="0" t="0" r="1270" b="31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114030" cy="2606675"/>
                    </a:xfrm>
                    <a:prstGeom prst="rect">
                      <a:avLst/>
                    </a:prstGeom>
                    <a:noFill/>
                    <a:ln>
                      <a:noFill/>
                    </a:ln>
                  </pic:spPr>
                </pic:pic>
              </a:graphicData>
            </a:graphic>
          </wp:inline>
        </w:drawing>
      </w:r>
    </w:p>
    <w:p w14:paraId="2250FA49" w14:textId="77777777" w:rsidR="00795BE0" w:rsidRPr="0007572B" w:rsidRDefault="00795BE0" w:rsidP="00795BE0">
      <w:pPr>
        <w:jc w:val="both"/>
        <w:rPr>
          <w:rFonts w:ascii="Arial" w:hAnsi="Arial" w:cs="Arial"/>
          <w:b/>
        </w:rPr>
      </w:pPr>
    </w:p>
    <w:p w14:paraId="179E7F84" w14:textId="77777777" w:rsidR="00795BE0" w:rsidRPr="0007572B" w:rsidRDefault="00795BE0" w:rsidP="00DF4603">
      <w:pPr>
        <w:pStyle w:val="ListParagraph"/>
        <w:numPr>
          <w:ilvl w:val="0"/>
          <w:numId w:val="76"/>
        </w:numPr>
        <w:spacing w:before="120" w:after="0" w:line="240" w:lineRule="auto"/>
        <w:ind w:left="284" w:hanging="284"/>
        <w:rPr>
          <w:rFonts w:ascii="Arial" w:hAnsi="Arial" w:cs="Arial"/>
          <w:sz w:val="24"/>
          <w:szCs w:val="24"/>
        </w:rPr>
      </w:pPr>
      <w:r w:rsidRPr="0007572B">
        <w:rPr>
          <w:rFonts w:ascii="Arial" w:hAnsi="Arial" w:cs="Arial"/>
          <w:sz w:val="24"/>
          <w:szCs w:val="24"/>
        </w:rPr>
        <w:t>Adjustments for capital purposes include revenue expenditure funded from capital under statute, depreciation and impairment, gain/loss on disposal of non-current assets, capital grants and contributions, minimum revenue provision and revenue contribution to capital outlay.</w:t>
      </w:r>
    </w:p>
    <w:p w14:paraId="368E98E3" w14:textId="77777777" w:rsidR="00795BE0" w:rsidRPr="0007572B" w:rsidRDefault="00795BE0" w:rsidP="00DF4603">
      <w:pPr>
        <w:pStyle w:val="ListParagraph"/>
        <w:numPr>
          <w:ilvl w:val="0"/>
          <w:numId w:val="76"/>
        </w:numPr>
        <w:spacing w:line="240" w:lineRule="auto"/>
        <w:ind w:left="284" w:hanging="284"/>
        <w:rPr>
          <w:rFonts w:ascii="Arial" w:hAnsi="Arial" w:cs="Arial"/>
          <w:sz w:val="24"/>
          <w:szCs w:val="24"/>
        </w:rPr>
      </w:pPr>
      <w:r w:rsidRPr="0007572B">
        <w:rPr>
          <w:rFonts w:ascii="Arial" w:hAnsi="Arial" w:cs="Arial"/>
          <w:sz w:val="24"/>
          <w:szCs w:val="24"/>
        </w:rPr>
        <w:t>Pension adjustments include employer's contribution to the pension scheme and retirement benefits per IAS 19.</w:t>
      </w:r>
    </w:p>
    <w:p w14:paraId="178BFD35" w14:textId="77777777" w:rsidR="00795BE0" w:rsidRPr="0007572B" w:rsidRDefault="00795BE0" w:rsidP="00DF4603">
      <w:pPr>
        <w:pStyle w:val="ListParagraph"/>
        <w:numPr>
          <w:ilvl w:val="0"/>
          <w:numId w:val="76"/>
        </w:numPr>
        <w:spacing w:line="240" w:lineRule="auto"/>
        <w:ind w:left="284" w:hanging="284"/>
        <w:rPr>
          <w:rFonts w:ascii="Arial" w:hAnsi="Arial" w:cs="Arial"/>
          <w:sz w:val="24"/>
          <w:szCs w:val="24"/>
        </w:rPr>
      </w:pPr>
      <w:r w:rsidRPr="0007572B">
        <w:rPr>
          <w:rFonts w:ascii="Arial" w:hAnsi="Arial" w:cs="Arial"/>
          <w:sz w:val="24"/>
          <w:szCs w:val="24"/>
        </w:rPr>
        <w:t xml:space="preserve">Other adjustments include </w:t>
      </w:r>
      <w:r w:rsidRPr="00795BE0">
        <w:rPr>
          <w:rFonts w:ascii="Arial" w:hAnsi="Arial" w:cs="Arial"/>
          <w:sz w:val="24"/>
          <w:szCs w:val="24"/>
        </w:rPr>
        <w:t>contributions to capital bad debt provision and</w:t>
      </w:r>
      <w:r w:rsidRPr="0007572B">
        <w:rPr>
          <w:rFonts w:ascii="Arial" w:hAnsi="Arial" w:cs="Arial"/>
          <w:sz w:val="24"/>
          <w:szCs w:val="24"/>
        </w:rPr>
        <w:t xml:space="preserve"> available for sale financial instruments.</w:t>
      </w:r>
    </w:p>
    <w:p w14:paraId="707D8B54" w14:textId="77777777" w:rsidR="00795BE0" w:rsidRPr="0007572B" w:rsidRDefault="00795BE0" w:rsidP="00795BE0">
      <w:pPr>
        <w:rPr>
          <w:rFonts w:ascii="Arial" w:hAnsi="Arial" w:cs="Arial"/>
          <w:b/>
          <w:sz w:val="22"/>
          <w:szCs w:val="22"/>
        </w:rPr>
        <w:sectPr w:rsidR="00795BE0" w:rsidRPr="0007572B" w:rsidSect="00994EAE">
          <w:pgSz w:w="16838" w:h="11906" w:orient="landscape"/>
          <w:pgMar w:top="1418" w:right="946" w:bottom="1416" w:left="1440" w:header="283" w:footer="567" w:gutter="0"/>
          <w:cols w:space="708"/>
          <w:docGrid w:linePitch="360"/>
        </w:sectPr>
      </w:pPr>
    </w:p>
    <w:p w14:paraId="1B5714BF" w14:textId="62DFDBDD" w:rsidR="00795BE0" w:rsidRPr="0007572B" w:rsidRDefault="00795BE0" w:rsidP="00795BE0">
      <w:pPr>
        <w:pStyle w:val="Heading3greennumbered"/>
      </w:pPr>
      <w:bookmarkStart w:id="260" w:name="_Toc92894930"/>
      <w:bookmarkStart w:id="261" w:name="_Toc92895234"/>
      <w:bookmarkStart w:id="262" w:name="_Toc109922668"/>
      <w:r w:rsidRPr="0007572B">
        <w:lastRenderedPageBreak/>
        <w:t>3</w:t>
      </w:r>
      <w:r w:rsidR="008633CA">
        <w:t>9</w:t>
      </w:r>
      <w:r w:rsidRPr="0007572B">
        <w:t xml:space="preserve"> Group Adjustments between Accounting Basis and Funding Basis under Regulations</w:t>
      </w:r>
      <w:bookmarkEnd w:id="260"/>
      <w:bookmarkEnd w:id="261"/>
      <w:bookmarkEnd w:id="262"/>
    </w:p>
    <w:p w14:paraId="76C3A758" w14:textId="77777777" w:rsidR="00795BE0" w:rsidRDefault="00795BE0" w:rsidP="00795BE0">
      <w:pPr>
        <w:rPr>
          <w:rFonts w:ascii="Arial" w:hAnsi="Arial" w:cs="Arial"/>
        </w:rPr>
      </w:pPr>
    </w:p>
    <w:p w14:paraId="4AF7D181" w14:textId="77777777" w:rsidR="00795BE0" w:rsidRPr="0007572B" w:rsidRDefault="00795BE0" w:rsidP="00795BE0">
      <w:pPr>
        <w:rPr>
          <w:rFonts w:ascii="Arial" w:hAnsi="Arial" w:cs="Arial"/>
        </w:rPr>
      </w:pPr>
      <w:r w:rsidRPr="0007572B">
        <w:rPr>
          <w:rFonts w:ascii="Arial" w:hAnsi="Arial" w:cs="Arial"/>
        </w:rPr>
        <w:t>This note details the adjustments that are made to the total comprehensive income and expenditure recognised by the Group in the year in accordance with proper accounting practice to the resources that are specified by statutory provisions as being available to meet future capital and revenue expenditure.</w:t>
      </w:r>
    </w:p>
    <w:p w14:paraId="202D297E" w14:textId="77777777" w:rsidR="00795BE0" w:rsidRPr="0007572B" w:rsidRDefault="00795BE0" w:rsidP="00795BE0">
      <w:pPr>
        <w:rPr>
          <w:rFonts w:ascii="Arial" w:hAnsi="Arial" w:cs="Arial"/>
          <w:b/>
          <w:highlight w:val="yellow"/>
        </w:rPr>
      </w:pPr>
    </w:p>
    <w:p w14:paraId="7F9D8243" w14:textId="4F0FA4D4" w:rsidR="00795BE0" w:rsidRPr="0007572B" w:rsidRDefault="008810B9" w:rsidP="00795BE0">
      <w:pPr>
        <w:rPr>
          <w:rFonts w:ascii="Arial" w:hAnsi="Arial" w:cs="Arial"/>
          <w:b/>
        </w:rPr>
      </w:pPr>
      <w:r w:rsidRPr="008810B9">
        <w:rPr>
          <w:noProof/>
        </w:rPr>
        <w:drawing>
          <wp:inline distT="0" distB="0" distL="0" distR="0" wp14:anchorId="3DFB9ECD" wp14:editId="6C3B4CAC">
            <wp:extent cx="9177020" cy="3190875"/>
            <wp:effectExtent l="0" t="0" r="508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77020" cy="3190875"/>
                    </a:xfrm>
                    <a:prstGeom prst="rect">
                      <a:avLst/>
                    </a:prstGeom>
                    <a:noFill/>
                    <a:ln>
                      <a:noFill/>
                    </a:ln>
                  </pic:spPr>
                </pic:pic>
              </a:graphicData>
            </a:graphic>
          </wp:inline>
        </w:drawing>
      </w:r>
    </w:p>
    <w:p w14:paraId="589B4D15" w14:textId="77777777" w:rsidR="00795BE0" w:rsidRPr="0007572B" w:rsidRDefault="00795BE0" w:rsidP="00795BE0">
      <w:pPr>
        <w:rPr>
          <w:rFonts w:ascii="Arial" w:hAnsi="Arial" w:cs="Arial"/>
          <w:b/>
        </w:rPr>
      </w:pPr>
    </w:p>
    <w:p w14:paraId="58E90B80" w14:textId="77777777" w:rsidR="00795BE0" w:rsidRPr="0007572B" w:rsidRDefault="00795BE0" w:rsidP="00795BE0">
      <w:pPr>
        <w:jc w:val="both"/>
        <w:rPr>
          <w:rFonts w:ascii="Arial" w:hAnsi="Arial" w:cs="Arial"/>
          <w:b/>
          <w:sz w:val="22"/>
          <w:szCs w:val="22"/>
        </w:rPr>
      </w:pPr>
    </w:p>
    <w:p w14:paraId="7F6B046A" w14:textId="77777777" w:rsidR="00795BE0" w:rsidRPr="0007572B" w:rsidRDefault="00795BE0" w:rsidP="00795BE0">
      <w:pPr>
        <w:rPr>
          <w:rFonts w:ascii="Arial" w:hAnsi="Arial" w:cs="Arial"/>
          <w:b/>
          <w:sz w:val="22"/>
          <w:szCs w:val="22"/>
        </w:rPr>
      </w:pPr>
    </w:p>
    <w:p w14:paraId="47954B52" w14:textId="77777777" w:rsidR="00795BE0" w:rsidRPr="0007572B" w:rsidRDefault="00795BE0" w:rsidP="00795BE0">
      <w:pPr>
        <w:rPr>
          <w:rFonts w:ascii="Arial" w:hAnsi="Arial" w:cs="Arial"/>
          <w:b/>
          <w:sz w:val="22"/>
          <w:szCs w:val="22"/>
        </w:rPr>
        <w:sectPr w:rsidR="00795BE0" w:rsidRPr="0007572B" w:rsidSect="00171330">
          <w:pgSz w:w="16838" w:h="11906" w:orient="landscape"/>
          <w:pgMar w:top="1080" w:right="946" w:bottom="1416" w:left="1440" w:header="283" w:footer="567" w:gutter="0"/>
          <w:cols w:space="708"/>
          <w:docGrid w:linePitch="360"/>
        </w:sectPr>
      </w:pPr>
    </w:p>
    <w:p w14:paraId="45776985" w14:textId="33BED191" w:rsidR="00795BE0" w:rsidRPr="0007572B" w:rsidRDefault="008633CA" w:rsidP="00795BE0">
      <w:pPr>
        <w:pStyle w:val="Heading3greennumbered"/>
      </w:pPr>
      <w:bookmarkStart w:id="263" w:name="_Toc92894931"/>
      <w:bookmarkStart w:id="264" w:name="_Toc92895235"/>
      <w:bookmarkStart w:id="265" w:name="_Toc109922669"/>
      <w:r>
        <w:lastRenderedPageBreak/>
        <w:t xml:space="preserve">40 </w:t>
      </w:r>
      <w:r w:rsidR="00795BE0" w:rsidRPr="0007572B">
        <w:t>Transfers (to)/from Group Earmarked Reserves</w:t>
      </w:r>
      <w:bookmarkEnd w:id="263"/>
      <w:bookmarkEnd w:id="264"/>
      <w:bookmarkEnd w:id="265"/>
    </w:p>
    <w:p w14:paraId="11180044" w14:textId="77777777" w:rsidR="00795BE0" w:rsidRDefault="00795BE0" w:rsidP="00795BE0">
      <w:pPr>
        <w:rPr>
          <w:rFonts w:ascii="Arial" w:hAnsi="Arial" w:cs="Arial"/>
        </w:rPr>
      </w:pPr>
    </w:p>
    <w:p w14:paraId="60CEE839" w14:textId="77777777" w:rsidR="00795BE0" w:rsidRDefault="00795BE0" w:rsidP="00795BE0">
      <w:pPr>
        <w:rPr>
          <w:rFonts w:ascii="Arial" w:hAnsi="Arial" w:cs="Arial"/>
        </w:rPr>
      </w:pPr>
      <w:r w:rsidRPr="0007572B">
        <w:rPr>
          <w:rFonts w:ascii="Arial" w:hAnsi="Arial" w:cs="Arial"/>
        </w:rPr>
        <w:t>This note sets out the amounts set aside from the General Fund in reserves to provide financing for future expenditure plans and the amounts posted back from reserves to meet General Fund expenditure.</w:t>
      </w:r>
    </w:p>
    <w:p w14:paraId="7DE80115" w14:textId="3A8FE0A4" w:rsidR="00795BE0" w:rsidRPr="0007572B" w:rsidRDefault="00795BE0" w:rsidP="00795BE0">
      <w:pPr>
        <w:rPr>
          <w:rFonts w:ascii="Arial" w:hAnsi="Arial" w:cs="Arial"/>
          <w:b/>
          <w:highlight w:val="yellow"/>
        </w:rPr>
      </w:pPr>
    </w:p>
    <w:tbl>
      <w:tblPr>
        <w:tblW w:w="9719" w:type="dxa"/>
        <w:tblLook w:val="04A0" w:firstRow="1" w:lastRow="0" w:firstColumn="1" w:lastColumn="0" w:noHBand="0" w:noVBand="1"/>
      </w:tblPr>
      <w:tblGrid>
        <w:gridCol w:w="3749"/>
        <w:gridCol w:w="1194"/>
        <w:gridCol w:w="1194"/>
        <w:gridCol w:w="1194"/>
        <w:gridCol w:w="1194"/>
        <w:gridCol w:w="1194"/>
      </w:tblGrid>
      <w:tr w:rsidR="00DA611C" w14:paraId="6B2C8FD2" w14:textId="77777777" w:rsidTr="00DA611C">
        <w:trPr>
          <w:trHeight w:val="476"/>
        </w:trPr>
        <w:tc>
          <w:tcPr>
            <w:tcW w:w="3749" w:type="dxa"/>
            <w:tcBorders>
              <w:top w:val="single" w:sz="4" w:space="0" w:color="auto"/>
              <w:left w:val="single" w:sz="4" w:space="0" w:color="auto"/>
              <w:bottom w:val="nil"/>
              <w:right w:val="single" w:sz="4" w:space="0" w:color="auto"/>
            </w:tcBorders>
            <w:shd w:val="clear" w:color="auto" w:fill="auto"/>
            <w:noWrap/>
            <w:hideMark/>
          </w:tcPr>
          <w:p w14:paraId="0A68CC30" w14:textId="77777777" w:rsidR="00DA611C" w:rsidRDefault="00DA611C">
            <w:pPr>
              <w:rPr>
                <w:rFonts w:ascii="Verdana" w:hAnsi="Verdana" w:cs="Arial"/>
                <w:b/>
                <w:bCs/>
                <w:sz w:val="16"/>
                <w:szCs w:val="16"/>
                <w:lang w:eastAsia="en-GB"/>
              </w:rPr>
            </w:pPr>
            <w:r>
              <w:rPr>
                <w:rFonts w:ascii="Verdana" w:hAnsi="Verdana" w:cs="Arial"/>
                <w:b/>
                <w:bCs/>
                <w:sz w:val="16"/>
                <w:szCs w:val="16"/>
              </w:rPr>
              <w:t>Earmarked Reserves and Balances</w:t>
            </w:r>
          </w:p>
        </w:tc>
        <w:tc>
          <w:tcPr>
            <w:tcW w:w="1194" w:type="dxa"/>
            <w:tcBorders>
              <w:top w:val="single" w:sz="4" w:space="0" w:color="auto"/>
              <w:left w:val="nil"/>
              <w:bottom w:val="nil"/>
              <w:right w:val="single" w:sz="4" w:space="0" w:color="auto"/>
            </w:tcBorders>
            <w:shd w:val="clear" w:color="auto" w:fill="auto"/>
            <w:hideMark/>
          </w:tcPr>
          <w:p w14:paraId="716E0688" w14:textId="77777777" w:rsidR="00DA611C" w:rsidRDefault="00DA611C">
            <w:pPr>
              <w:jc w:val="center"/>
              <w:rPr>
                <w:rFonts w:ascii="Verdana" w:hAnsi="Verdana" w:cs="Arial"/>
                <w:b/>
                <w:bCs/>
                <w:sz w:val="16"/>
                <w:szCs w:val="16"/>
              </w:rPr>
            </w:pPr>
            <w:r>
              <w:rPr>
                <w:rFonts w:ascii="Verdana" w:hAnsi="Verdana" w:cs="Arial"/>
                <w:b/>
                <w:bCs/>
                <w:sz w:val="16"/>
                <w:szCs w:val="16"/>
              </w:rPr>
              <w:t>31 March 2020</w:t>
            </w:r>
          </w:p>
        </w:tc>
        <w:tc>
          <w:tcPr>
            <w:tcW w:w="1194" w:type="dxa"/>
            <w:tcBorders>
              <w:top w:val="single" w:sz="4" w:space="0" w:color="auto"/>
              <w:left w:val="nil"/>
              <w:bottom w:val="nil"/>
              <w:right w:val="single" w:sz="4" w:space="0" w:color="auto"/>
            </w:tcBorders>
            <w:shd w:val="clear" w:color="auto" w:fill="auto"/>
            <w:hideMark/>
          </w:tcPr>
          <w:p w14:paraId="24FD78FB" w14:textId="77777777" w:rsidR="00DA611C" w:rsidRDefault="00DA611C">
            <w:pPr>
              <w:jc w:val="center"/>
              <w:rPr>
                <w:rFonts w:ascii="Verdana" w:hAnsi="Verdana" w:cs="Arial"/>
                <w:b/>
                <w:bCs/>
                <w:sz w:val="16"/>
                <w:szCs w:val="16"/>
              </w:rPr>
            </w:pPr>
            <w:r>
              <w:rPr>
                <w:rFonts w:ascii="Verdana" w:hAnsi="Verdana" w:cs="Arial"/>
                <w:b/>
                <w:bCs/>
                <w:sz w:val="16"/>
                <w:szCs w:val="16"/>
              </w:rPr>
              <w:t>Transfers (in)/out</w:t>
            </w:r>
          </w:p>
        </w:tc>
        <w:tc>
          <w:tcPr>
            <w:tcW w:w="1194" w:type="dxa"/>
            <w:tcBorders>
              <w:top w:val="single" w:sz="4" w:space="0" w:color="auto"/>
              <w:left w:val="nil"/>
              <w:bottom w:val="nil"/>
              <w:right w:val="single" w:sz="4" w:space="0" w:color="auto"/>
            </w:tcBorders>
            <w:shd w:val="clear" w:color="auto" w:fill="auto"/>
            <w:hideMark/>
          </w:tcPr>
          <w:p w14:paraId="2B170C7A" w14:textId="77777777" w:rsidR="00DA611C" w:rsidRDefault="00DA611C">
            <w:pPr>
              <w:jc w:val="center"/>
              <w:rPr>
                <w:rFonts w:ascii="Verdana" w:hAnsi="Verdana" w:cs="Arial"/>
                <w:b/>
                <w:bCs/>
                <w:sz w:val="16"/>
                <w:szCs w:val="16"/>
              </w:rPr>
            </w:pPr>
            <w:r>
              <w:rPr>
                <w:rFonts w:ascii="Verdana" w:hAnsi="Verdana" w:cs="Arial"/>
                <w:b/>
                <w:bCs/>
                <w:sz w:val="16"/>
                <w:szCs w:val="16"/>
              </w:rPr>
              <w:t>31 March 2021</w:t>
            </w:r>
          </w:p>
        </w:tc>
        <w:tc>
          <w:tcPr>
            <w:tcW w:w="1194" w:type="dxa"/>
            <w:tcBorders>
              <w:top w:val="single" w:sz="4" w:space="0" w:color="auto"/>
              <w:left w:val="nil"/>
              <w:bottom w:val="nil"/>
              <w:right w:val="single" w:sz="4" w:space="0" w:color="auto"/>
            </w:tcBorders>
            <w:shd w:val="clear" w:color="auto" w:fill="auto"/>
            <w:hideMark/>
          </w:tcPr>
          <w:p w14:paraId="2E466F40" w14:textId="77777777" w:rsidR="00DA611C" w:rsidRDefault="00DA611C">
            <w:pPr>
              <w:jc w:val="center"/>
              <w:rPr>
                <w:rFonts w:ascii="Verdana" w:hAnsi="Verdana" w:cs="Arial"/>
                <w:b/>
                <w:bCs/>
                <w:sz w:val="16"/>
                <w:szCs w:val="16"/>
              </w:rPr>
            </w:pPr>
            <w:r>
              <w:rPr>
                <w:rFonts w:ascii="Verdana" w:hAnsi="Verdana" w:cs="Arial"/>
                <w:b/>
                <w:bCs/>
                <w:sz w:val="16"/>
                <w:szCs w:val="16"/>
              </w:rPr>
              <w:t>Transfers (in)/out</w:t>
            </w:r>
          </w:p>
        </w:tc>
        <w:tc>
          <w:tcPr>
            <w:tcW w:w="1194" w:type="dxa"/>
            <w:tcBorders>
              <w:top w:val="single" w:sz="4" w:space="0" w:color="auto"/>
              <w:left w:val="nil"/>
              <w:bottom w:val="nil"/>
              <w:right w:val="single" w:sz="4" w:space="0" w:color="auto"/>
            </w:tcBorders>
            <w:shd w:val="clear" w:color="auto" w:fill="auto"/>
            <w:hideMark/>
          </w:tcPr>
          <w:p w14:paraId="5F26B64D" w14:textId="77777777" w:rsidR="00DA611C" w:rsidRDefault="00DA611C">
            <w:pPr>
              <w:jc w:val="center"/>
              <w:rPr>
                <w:rFonts w:ascii="Verdana" w:hAnsi="Verdana" w:cs="Arial"/>
                <w:b/>
                <w:bCs/>
                <w:sz w:val="16"/>
                <w:szCs w:val="16"/>
              </w:rPr>
            </w:pPr>
            <w:r>
              <w:rPr>
                <w:rFonts w:ascii="Verdana" w:hAnsi="Verdana" w:cs="Arial"/>
                <w:b/>
                <w:bCs/>
                <w:sz w:val="16"/>
                <w:szCs w:val="16"/>
              </w:rPr>
              <w:t>31 March 2022</w:t>
            </w:r>
          </w:p>
        </w:tc>
      </w:tr>
      <w:tr w:rsidR="00DA611C" w14:paraId="358556BD" w14:textId="77777777" w:rsidTr="00DA611C">
        <w:trPr>
          <w:trHeight w:val="219"/>
        </w:trPr>
        <w:tc>
          <w:tcPr>
            <w:tcW w:w="3749" w:type="dxa"/>
            <w:tcBorders>
              <w:top w:val="nil"/>
              <w:left w:val="single" w:sz="4" w:space="0" w:color="auto"/>
              <w:bottom w:val="single" w:sz="4" w:space="0" w:color="auto"/>
              <w:right w:val="single" w:sz="4" w:space="0" w:color="auto"/>
            </w:tcBorders>
            <w:shd w:val="clear" w:color="auto" w:fill="auto"/>
            <w:noWrap/>
            <w:hideMark/>
          </w:tcPr>
          <w:p w14:paraId="2796620D" w14:textId="77777777" w:rsidR="00DA611C" w:rsidRDefault="00DA611C">
            <w:pPr>
              <w:rPr>
                <w:rFonts w:ascii="Verdana" w:hAnsi="Verdana" w:cs="Arial"/>
                <w:sz w:val="16"/>
                <w:szCs w:val="16"/>
              </w:rPr>
            </w:pPr>
            <w:r>
              <w:rPr>
                <w:rFonts w:ascii="Verdana" w:hAnsi="Verdana" w:cs="Arial"/>
                <w:sz w:val="16"/>
                <w:szCs w:val="16"/>
              </w:rPr>
              <w:t> </w:t>
            </w:r>
          </w:p>
        </w:tc>
        <w:tc>
          <w:tcPr>
            <w:tcW w:w="1194" w:type="dxa"/>
            <w:tcBorders>
              <w:top w:val="nil"/>
              <w:left w:val="nil"/>
              <w:bottom w:val="single" w:sz="4" w:space="0" w:color="auto"/>
              <w:right w:val="single" w:sz="4" w:space="0" w:color="auto"/>
            </w:tcBorders>
            <w:shd w:val="clear" w:color="auto" w:fill="auto"/>
            <w:noWrap/>
            <w:hideMark/>
          </w:tcPr>
          <w:p w14:paraId="4F3C62D1"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94" w:type="dxa"/>
            <w:tcBorders>
              <w:top w:val="nil"/>
              <w:left w:val="nil"/>
              <w:bottom w:val="single" w:sz="4" w:space="0" w:color="auto"/>
              <w:right w:val="single" w:sz="4" w:space="0" w:color="auto"/>
            </w:tcBorders>
            <w:shd w:val="clear" w:color="auto" w:fill="auto"/>
            <w:noWrap/>
            <w:hideMark/>
          </w:tcPr>
          <w:p w14:paraId="5AA7BA73"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94" w:type="dxa"/>
            <w:tcBorders>
              <w:top w:val="nil"/>
              <w:left w:val="nil"/>
              <w:bottom w:val="single" w:sz="4" w:space="0" w:color="auto"/>
              <w:right w:val="single" w:sz="4" w:space="0" w:color="auto"/>
            </w:tcBorders>
            <w:shd w:val="clear" w:color="auto" w:fill="auto"/>
            <w:noWrap/>
            <w:hideMark/>
          </w:tcPr>
          <w:p w14:paraId="6FA8B567"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94" w:type="dxa"/>
            <w:tcBorders>
              <w:top w:val="nil"/>
              <w:left w:val="nil"/>
              <w:bottom w:val="single" w:sz="4" w:space="0" w:color="auto"/>
              <w:right w:val="single" w:sz="4" w:space="0" w:color="auto"/>
            </w:tcBorders>
            <w:shd w:val="clear" w:color="auto" w:fill="auto"/>
            <w:noWrap/>
            <w:hideMark/>
          </w:tcPr>
          <w:p w14:paraId="36441246"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94" w:type="dxa"/>
            <w:tcBorders>
              <w:top w:val="nil"/>
              <w:left w:val="nil"/>
              <w:bottom w:val="single" w:sz="4" w:space="0" w:color="auto"/>
              <w:right w:val="single" w:sz="4" w:space="0" w:color="auto"/>
            </w:tcBorders>
            <w:shd w:val="clear" w:color="auto" w:fill="auto"/>
            <w:noWrap/>
            <w:hideMark/>
          </w:tcPr>
          <w:p w14:paraId="6C7DE9F5" w14:textId="77777777" w:rsidR="00DA611C" w:rsidRDefault="00DA611C">
            <w:pPr>
              <w:jc w:val="center"/>
              <w:rPr>
                <w:rFonts w:ascii="Verdana" w:hAnsi="Verdana" w:cs="Arial"/>
                <w:b/>
                <w:bCs/>
                <w:sz w:val="16"/>
                <w:szCs w:val="16"/>
              </w:rPr>
            </w:pPr>
            <w:r>
              <w:rPr>
                <w:rFonts w:ascii="Verdana" w:hAnsi="Verdana" w:cs="Arial"/>
                <w:b/>
                <w:bCs/>
                <w:sz w:val="16"/>
                <w:szCs w:val="16"/>
              </w:rPr>
              <w:t>£000s</w:t>
            </w:r>
          </w:p>
        </w:tc>
      </w:tr>
      <w:tr w:rsidR="00DA611C" w14:paraId="0B8649AE" w14:textId="77777777" w:rsidTr="00DA611C">
        <w:trPr>
          <w:trHeight w:val="439"/>
        </w:trPr>
        <w:tc>
          <w:tcPr>
            <w:tcW w:w="3749" w:type="dxa"/>
            <w:tcBorders>
              <w:top w:val="nil"/>
              <w:left w:val="single" w:sz="4" w:space="0" w:color="auto"/>
              <w:bottom w:val="nil"/>
              <w:right w:val="single" w:sz="4" w:space="0" w:color="auto"/>
            </w:tcBorders>
            <w:shd w:val="clear" w:color="auto" w:fill="auto"/>
            <w:hideMark/>
          </w:tcPr>
          <w:p w14:paraId="575D5884" w14:textId="77777777" w:rsidR="00DA611C" w:rsidRDefault="00DA611C">
            <w:pPr>
              <w:rPr>
                <w:rFonts w:ascii="Verdana" w:hAnsi="Verdana" w:cs="Arial"/>
                <w:b/>
                <w:bCs/>
                <w:sz w:val="16"/>
                <w:szCs w:val="16"/>
              </w:rPr>
            </w:pPr>
            <w:r>
              <w:rPr>
                <w:rFonts w:ascii="Verdana" w:hAnsi="Verdana" w:cs="Arial"/>
                <w:b/>
                <w:bCs/>
                <w:sz w:val="16"/>
                <w:szCs w:val="16"/>
              </w:rPr>
              <w:t>Transport, Economic Development and Regeneration &amp; Waste</w:t>
            </w:r>
          </w:p>
        </w:tc>
        <w:tc>
          <w:tcPr>
            <w:tcW w:w="1194" w:type="dxa"/>
            <w:tcBorders>
              <w:top w:val="nil"/>
              <w:left w:val="nil"/>
              <w:bottom w:val="nil"/>
              <w:right w:val="single" w:sz="4" w:space="0" w:color="auto"/>
            </w:tcBorders>
            <w:shd w:val="clear" w:color="auto" w:fill="auto"/>
            <w:noWrap/>
            <w:hideMark/>
          </w:tcPr>
          <w:p w14:paraId="3319A136" w14:textId="77777777" w:rsidR="00DA611C" w:rsidRDefault="00DA611C">
            <w:pPr>
              <w:rPr>
                <w:rFonts w:ascii="Verdana" w:hAnsi="Verdana" w:cs="Arial"/>
                <w:sz w:val="16"/>
                <w:szCs w:val="16"/>
              </w:rPr>
            </w:pPr>
            <w:r>
              <w:rPr>
                <w:rFonts w:ascii="Verdana" w:hAnsi="Verdana" w:cs="Arial"/>
                <w:sz w:val="16"/>
                <w:szCs w:val="16"/>
              </w:rPr>
              <w:t> </w:t>
            </w:r>
          </w:p>
        </w:tc>
        <w:tc>
          <w:tcPr>
            <w:tcW w:w="1194" w:type="dxa"/>
            <w:tcBorders>
              <w:top w:val="nil"/>
              <w:left w:val="nil"/>
              <w:bottom w:val="nil"/>
              <w:right w:val="single" w:sz="4" w:space="0" w:color="auto"/>
            </w:tcBorders>
            <w:shd w:val="clear" w:color="auto" w:fill="auto"/>
            <w:noWrap/>
            <w:hideMark/>
          </w:tcPr>
          <w:p w14:paraId="794A659D" w14:textId="77777777" w:rsidR="00DA611C" w:rsidRDefault="00DA611C">
            <w:pPr>
              <w:rPr>
                <w:rFonts w:ascii="Verdana" w:hAnsi="Verdana" w:cs="Arial"/>
                <w:sz w:val="16"/>
                <w:szCs w:val="16"/>
              </w:rPr>
            </w:pPr>
            <w:r>
              <w:rPr>
                <w:rFonts w:ascii="Verdana" w:hAnsi="Verdana" w:cs="Arial"/>
                <w:sz w:val="16"/>
                <w:szCs w:val="16"/>
              </w:rPr>
              <w:t> </w:t>
            </w:r>
          </w:p>
        </w:tc>
        <w:tc>
          <w:tcPr>
            <w:tcW w:w="1194" w:type="dxa"/>
            <w:tcBorders>
              <w:top w:val="nil"/>
              <w:left w:val="nil"/>
              <w:bottom w:val="nil"/>
              <w:right w:val="single" w:sz="4" w:space="0" w:color="auto"/>
            </w:tcBorders>
            <w:shd w:val="clear" w:color="auto" w:fill="auto"/>
            <w:noWrap/>
            <w:hideMark/>
          </w:tcPr>
          <w:p w14:paraId="36291F70" w14:textId="77777777" w:rsidR="00DA611C" w:rsidRDefault="00DA611C">
            <w:pPr>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62A7D8A3" w14:textId="77777777" w:rsidR="00DA611C" w:rsidRDefault="00DA611C">
            <w:pPr>
              <w:rPr>
                <w:rFonts w:ascii="Verdana" w:hAnsi="Verdana" w:cs="Arial"/>
                <w:sz w:val="16"/>
                <w:szCs w:val="16"/>
              </w:rPr>
            </w:pPr>
            <w:r>
              <w:rPr>
                <w:rFonts w:ascii="Verdana" w:hAnsi="Verdana" w:cs="Arial"/>
                <w:sz w:val="16"/>
                <w:szCs w:val="16"/>
              </w:rPr>
              <w:t> </w:t>
            </w:r>
          </w:p>
        </w:tc>
        <w:tc>
          <w:tcPr>
            <w:tcW w:w="1194" w:type="dxa"/>
            <w:tcBorders>
              <w:top w:val="nil"/>
              <w:left w:val="nil"/>
              <w:bottom w:val="nil"/>
              <w:right w:val="single" w:sz="4" w:space="0" w:color="auto"/>
            </w:tcBorders>
            <w:shd w:val="clear" w:color="auto" w:fill="auto"/>
            <w:noWrap/>
            <w:hideMark/>
          </w:tcPr>
          <w:p w14:paraId="5C2ED3F5" w14:textId="77777777" w:rsidR="00DA611C" w:rsidRDefault="00DA611C">
            <w:pPr>
              <w:rPr>
                <w:rFonts w:ascii="Verdana" w:hAnsi="Verdana" w:cs="Arial"/>
                <w:b/>
                <w:bCs/>
                <w:sz w:val="16"/>
                <w:szCs w:val="16"/>
              </w:rPr>
            </w:pPr>
            <w:r>
              <w:rPr>
                <w:rFonts w:ascii="Verdana" w:hAnsi="Verdana" w:cs="Arial"/>
                <w:b/>
                <w:bCs/>
                <w:sz w:val="16"/>
                <w:szCs w:val="16"/>
              </w:rPr>
              <w:t> </w:t>
            </w:r>
          </w:p>
        </w:tc>
      </w:tr>
      <w:tr w:rsidR="00DA611C" w14:paraId="03C12DD4"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9C54C5D" w14:textId="77777777" w:rsidR="00DA611C" w:rsidRDefault="00DA611C">
            <w:pPr>
              <w:rPr>
                <w:rFonts w:ascii="Verdana" w:hAnsi="Verdana" w:cs="Arial"/>
                <w:sz w:val="16"/>
                <w:szCs w:val="16"/>
              </w:rPr>
            </w:pPr>
            <w:r>
              <w:rPr>
                <w:rFonts w:ascii="Verdana" w:hAnsi="Verdana" w:cs="Arial"/>
                <w:sz w:val="16"/>
                <w:szCs w:val="16"/>
              </w:rPr>
              <w:t>Earnback Revenue</w:t>
            </w:r>
          </w:p>
        </w:tc>
        <w:tc>
          <w:tcPr>
            <w:tcW w:w="1194" w:type="dxa"/>
            <w:tcBorders>
              <w:top w:val="nil"/>
              <w:left w:val="nil"/>
              <w:bottom w:val="nil"/>
              <w:right w:val="single" w:sz="4" w:space="0" w:color="auto"/>
            </w:tcBorders>
            <w:shd w:val="clear" w:color="auto" w:fill="auto"/>
            <w:noWrap/>
            <w:vAlign w:val="center"/>
            <w:hideMark/>
          </w:tcPr>
          <w:p w14:paraId="610F4F72" w14:textId="77777777" w:rsidR="00DA611C" w:rsidRDefault="00DA611C">
            <w:pPr>
              <w:jc w:val="right"/>
              <w:rPr>
                <w:rFonts w:ascii="Verdana" w:hAnsi="Verdana" w:cs="Arial"/>
                <w:b/>
                <w:bCs/>
                <w:sz w:val="16"/>
                <w:szCs w:val="16"/>
              </w:rPr>
            </w:pPr>
            <w:r>
              <w:rPr>
                <w:rFonts w:ascii="Verdana" w:hAnsi="Verdana" w:cs="Arial"/>
                <w:b/>
                <w:bCs/>
                <w:sz w:val="16"/>
                <w:szCs w:val="16"/>
              </w:rPr>
              <w:t>(10,040)</w:t>
            </w:r>
          </w:p>
        </w:tc>
        <w:tc>
          <w:tcPr>
            <w:tcW w:w="1194" w:type="dxa"/>
            <w:tcBorders>
              <w:top w:val="nil"/>
              <w:left w:val="nil"/>
              <w:bottom w:val="nil"/>
              <w:right w:val="single" w:sz="4" w:space="0" w:color="auto"/>
            </w:tcBorders>
            <w:shd w:val="clear" w:color="auto" w:fill="auto"/>
            <w:noWrap/>
            <w:vAlign w:val="center"/>
            <w:hideMark/>
          </w:tcPr>
          <w:p w14:paraId="2367A314" w14:textId="77777777" w:rsidR="00DA611C" w:rsidRDefault="00DA611C">
            <w:pPr>
              <w:jc w:val="right"/>
              <w:rPr>
                <w:rFonts w:ascii="Verdana" w:hAnsi="Verdana" w:cs="Arial"/>
                <w:sz w:val="16"/>
                <w:szCs w:val="16"/>
              </w:rPr>
            </w:pPr>
            <w:r>
              <w:rPr>
                <w:rFonts w:ascii="Verdana" w:hAnsi="Verdana" w:cs="Arial"/>
                <w:sz w:val="16"/>
                <w:szCs w:val="16"/>
              </w:rPr>
              <w:t>(12,320)</w:t>
            </w:r>
          </w:p>
        </w:tc>
        <w:tc>
          <w:tcPr>
            <w:tcW w:w="1194" w:type="dxa"/>
            <w:tcBorders>
              <w:top w:val="nil"/>
              <w:left w:val="nil"/>
              <w:bottom w:val="nil"/>
              <w:right w:val="single" w:sz="4" w:space="0" w:color="auto"/>
            </w:tcBorders>
            <w:shd w:val="clear" w:color="auto" w:fill="auto"/>
            <w:noWrap/>
            <w:vAlign w:val="center"/>
            <w:hideMark/>
          </w:tcPr>
          <w:p w14:paraId="59E807DC"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(22,359)</w:t>
            </w:r>
          </w:p>
        </w:tc>
        <w:tc>
          <w:tcPr>
            <w:tcW w:w="1194" w:type="dxa"/>
            <w:tcBorders>
              <w:top w:val="nil"/>
              <w:left w:val="nil"/>
              <w:bottom w:val="nil"/>
              <w:right w:val="single" w:sz="4" w:space="0" w:color="auto"/>
            </w:tcBorders>
            <w:shd w:val="clear" w:color="auto" w:fill="auto"/>
            <w:noWrap/>
            <w:vAlign w:val="center"/>
            <w:hideMark/>
          </w:tcPr>
          <w:p w14:paraId="35827BB5" w14:textId="77777777" w:rsidR="00DA611C" w:rsidRDefault="00DA611C">
            <w:pPr>
              <w:jc w:val="right"/>
              <w:rPr>
                <w:rFonts w:ascii="Verdana" w:hAnsi="Verdana" w:cs="Arial"/>
                <w:color w:val="000000"/>
                <w:sz w:val="16"/>
                <w:szCs w:val="16"/>
              </w:rPr>
            </w:pPr>
            <w:r>
              <w:rPr>
                <w:rFonts w:ascii="Verdana" w:hAnsi="Verdana" w:cs="Arial"/>
                <w:color w:val="000000"/>
                <w:sz w:val="16"/>
                <w:szCs w:val="16"/>
              </w:rPr>
              <w:t>(7,070)</w:t>
            </w:r>
          </w:p>
        </w:tc>
        <w:tc>
          <w:tcPr>
            <w:tcW w:w="1194" w:type="dxa"/>
            <w:tcBorders>
              <w:top w:val="nil"/>
              <w:left w:val="nil"/>
              <w:bottom w:val="nil"/>
              <w:right w:val="single" w:sz="4" w:space="0" w:color="auto"/>
            </w:tcBorders>
            <w:shd w:val="clear" w:color="auto" w:fill="auto"/>
            <w:noWrap/>
            <w:vAlign w:val="center"/>
            <w:hideMark/>
          </w:tcPr>
          <w:p w14:paraId="69D0A119" w14:textId="77777777" w:rsidR="00DA611C" w:rsidRDefault="00DA611C">
            <w:pPr>
              <w:jc w:val="right"/>
              <w:rPr>
                <w:rFonts w:ascii="Verdana" w:hAnsi="Verdana" w:cs="Arial"/>
                <w:b/>
                <w:bCs/>
                <w:sz w:val="16"/>
                <w:szCs w:val="16"/>
              </w:rPr>
            </w:pPr>
            <w:r>
              <w:rPr>
                <w:rFonts w:ascii="Verdana" w:hAnsi="Verdana" w:cs="Arial"/>
                <w:b/>
                <w:bCs/>
                <w:sz w:val="16"/>
                <w:szCs w:val="16"/>
              </w:rPr>
              <w:t>(29,429)</w:t>
            </w:r>
          </w:p>
        </w:tc>
      </w:tr>
      <w:tr w:rsidR="00DA611C" w14:paraId="65A2FBE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2507C727" w14:textId="77777777" w:rsidR="00DA611C" w:rsidRDefault="00DA611C">
            <w:pPr>
              <w:rPr>
                <w:rFonts w:ascii="Verdana" w:hAnsi="Verdana" w:cs="Arial"/>
                <w:sz w:val="16"/>
                <w:szCs w:val="16"/>
              </w:rPr>
            </w:pPr>
            <w:r>
              <w:rPr>
                <w:rFonts w:ascii="Verdana" w:hAnsi="Verdana" w:cs="Arial"/>
                <w:sz w:val="16"/>
                <w:szCs w:val="16"/>
              </w:rPr>
              <w:t>Life Chances</w:t>
            </w:r>
          </w:p>
        </w:tc>
        <w:tc>
          <w:tcPr>
            <w:tcW w:w="1194" w:type="dxa"/>
            <w:tcBorders>
              <w:top w:val="nil"/>
              <w:left w:val="nil"/>
              <w:bottom w:val="nil"/>
              <w:right w:val="single" w:sz="4" w:space="0" w:color="auto"/>
            </w:tcBorders>
            <w:shd w:val="clear" w:color="auto" w:fill="auto"/>
            <w:noWrap/>
            <w:vAlign w:val="center"/>
            <w:hideMark/>
          </w:tcPr>
          <w:p w14:paraId="366FF24B" w14:textId="77777777" w:rsidR="00DA611C" w:rsidRDefault="00DA611C">
            <w:pPr>
              <w:jc w:val="right"/>
              <w:rPr>
                <w:rFonts w:ascii="Verdana" w:hAnsi="Verdana" w:cs="Arial"/>
                <w:b/>
                <w:bCs/>
                <w:sz w:val="16"/>
                <w:szCs w:val="16"/>
              </w:rPr>
            </w:pPr>
            <w:r>
              <w:rPr>
                <w:rFonts w:ascii="Verdana" w:hAnsi="Verdana" w:cs="Arial"/>
                <w:b/>
                <w:bCs/>
                <w:sz w:val="16"/>
                <w:szCs w:val="16"/>
              </w:rPr>
              <w:t>(4,715)</w:t>
            </w:r>
          </w:p>
        </w:tc>
        <w:tc>
          <w:tcPr>
            <w:tcW w:w="1194" w:type="dxa"/>
            <w:tcBorders>
              <w:top w:val="nil"/>
              <w:left w:val="nil"/>
              <w:bottom w:val="nil"/>
              <w:right w:val="single" w:sz="4" w:space="0" w:color="auto"/>
            </w:tcBorders>
            <w:shd w:val="clear" w:color="auto" w:fill="auto"/>
            <w:noWrap/>
            <w:vAlign w:val="center"/>
            <w:hideMark/>
          </w:tcPr>
          <w:p w14:paraId="7FAEF9E3" w14:textId="77777777" w:rsidR="00DA611C" w:rsidRDefault="00DA611C">
            <w:pPr>
              <w:jc w:val="right"/>
              <w:rPr>
                <w:rFonts w:ascii="Verdana" w:hAnsi="Verdana" w:cs="Arial"/>
                <w:sz w:val="16"/>
                <w:szCs w:val="16"/>
              </w:rPr>
            </w:pPr>
            <w:r>
              <w:rPr>
                <w:rFonts w:ascii="Verdana" w:hAnsi="Verdana" w:cs="Arial"/>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76B58714"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(4,715)</w:t>
            </w:r>
          </w:p>
        </w:tc>
        <w:tc>
          <w:tcPr>
            <w:tcW w:w="1194" w:type="dxa"/>
            <w:tcBorders>
              <w:top w:val="nil"/>
              <w:left w:val="nil"/>
              <w:bottom w:val="nil"/>
              <w:right w:val="single" w:sz="4" w:space="0" w:color="auto"/>
            </w:tcBorders>
            <w:shd w:val="clear" w:color="auto" w:fill="auto"/>
            <w:noWrap/>
            <w:vAlign w:val="center"/>
            <w:hideMark/>
          </w:tcPr>
          <w:p w14:paraId="2D0BEFCC" w14:textId="77777777" w:rsidR="00DA611C" w:rsidRDefault="00DA611C">
            <w:pPr>
              <w:jc w:val="right"/>
              <w:rPr>
                <w:rFonts w:ascii="Verdana" w:hAnsi="Verdana" w:cs="Arial"/>
                <w:color w:val="000000"/>
                <w:sz w:val="16"/>
                <w:szCs w:val="16"/>
              </w:rPr>
            </w:pPr>
            <w:r>
              <w:rPr>
                <w:rFonts w:ascii="Verdana" w:hAnsi="Verdana" w:cs="Arial"/>
                <w:color w:val="000000"/>
                <w:sz w:val="16"/>
                <w:szCs w:val="16"/>
              </w:rPr>
              <w:t>915</w:t>
            </w:r>
          </w:p>
        </w:tc>
        <w:tc>
          <w:tcPr>
            <w:tcW w:w="1194" w:type="dxa"/>
            <w:tcBorders>
              <w:top w:val="nil"/>
              <w:left w:val="nil"/>
              <w:bottom w:val="nil"/>
              <w:right w:val="single" w:sz="4" w:space="0" w:color="auto"/>
            </w:tcBorders>
            <w:shd w:val="clear" w:color="auto" w:fill="auto"/>
            <w:noWrap/>
            <w:vAlign w:val="center"/>
            <w:hideMark/>
          </w:tcPr>
          <w:p w14:paraId="3DFB1D62" w14:textId="77777777" w:rsidR="00DA611C" w:rsidRDefault="00DA611C">
            <w:pPr>
              <w:jc w:val="right"/>
              <w:rPr>
                <w:rFonts w:ascii="Verdana" w:hAnsi="Verdana" w:cs="Arial"/>
                <w:b/>
                <w:bCs/>
                <w:sz w:val="16"/>
                <w:szCs w:val="16"/>
              </w:rPr>
            </w:pPr>
            <w:r>
              <w:rPr>
                <w:rFonts w:ascii="Verdana" w:hAnsi="Verdana" w:cs="Arial"/>
                <w:b/>
                <w:bCs/>
                <w:sz w:val="16"/>
                <w:szCs w:val="16"/>
              </w:rPr>
              <w:t>(3,800)</w:t>
            </w:r>
          </w:p>
        </w:tc>
      </w:tr>
      <w:tr w:rsidR="00DA611C" w14:paraId="13133DD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8A611A7" w14:textId="77777777" w:rsidR="00DA611C" w:rsidRDefault="00DA611C">
            <w:pPr>
              <w:rPr>
                <w:rFonts w:ascii="Verdana" w:hAnsi="Verdana" w:cs="Arial"/>
                <w:sz w:val="16"/>
                <w:szCs w:val="16"/>
              </w:rPr>
            </w:pPr>
            <w:r>
              <w:rPr>
                <w:rFonts w:ascii="Verdana" w:hAnsi="Verdana" w:cs="Arial"/>
                <w:sz w:val="16"/>
                <w:szCs w:val="16"/>
              </w:rPr>
              <w:t>Clean Air Plan</w:t>
            </w:r>
          </w:p>
        </w:tc>
        <w:tc>
          <w:tcPr>
            <w:tcW w:w="1194" w:type="dxa"/>
            <w:tcBorders>
              <w:top w:val="nil"/>
              <w:left w:val="nil"/>
              <w:bottom w:val="nil"/>
              <w:right w:val="single" w:sz="4" w:space="0" w:color="auto"/>
            </w:tcBorders>
            <w:shd w:val="clear" w:color="auto" w:fill="auto"/>
            <w:noWrap/>
            <w:vAlign w:val="center"/>
            <w:hideMark/>
          </w:tcPr>
          <w:p w14:paraId="55FFF382" w14:textId="77777777" w:rsidR="00DA611C" w:rsidRDefault="00DA611C">
            <w:pPr>
              <w:jc w:val="right"/>
              <w:rPr>
                <w:rFonts w:ascii="Verdana" w:hAnsi="Verdana" w:cs="Arial"/>
                <w:b/>
                <w:bCs/>
                <w:sz w:val="16"/>
                <w:szCs w:val="16"/>
              </w:rPr>
            </w:pPr>
            <w:r>
              <w:rPr>
                <w:rFonts w:ascii="Verdana" w:hAnsi="Verdana" w:cs="Arial"/>
                <w:b/>
                <w:bCs/>
                <w:sz w:val="16"/>
                <w:szCs w:val="16"/>
              </w:rPr>
              <w:t>(14,261)</w:t>
            </w:r>
          </w:p>
        </w:tc>
        <w:tc>
          <w:tcPr>
            <w:tcW w:w="1194" w:type="dxa"/>
            <w:tcBorders>
              <w:top w:val="nil"/>
              <w:left w:val="nil"/>
              <w:bottom w:val="nil"/>
              <w:right w:val="single" w:sz="4" w:space="0" w:color="auto"/>
            </w:tcBorders>
            <w:shd w:val="clear" w:color="auto" w:fill="auto"/>
            <w:noWrap/>
            <w:vAlign w:val="center"/>
            <w:hideMark/>
          </w:tcPr>
          <w:p w14:paraId="572D92C6" w14:textId="77777777" w:rsidR="00DA611C" w:rsidRDefault="00DA611C">
            <w:pPr>
              <w:jc w:val="right"/>
              <w:rPr>
                <w:rFonts w:ascii="Verdana" w:hAnsi="Verdana" w:cs="Arial"/>
                <w:sz w:val="16"/>
                <w:szCs w:val="16"/>
              </w:rPr>
            </w:pPr>
            <w:r>
              <w:rPr>
                <w:rFonts w:ascii="Verdana" w:hAnsi="Verdana" w:cs="Arial"/>
                <w:sz w:val="16"/>
                <w:szCs w:val="16"/>
              </w:rPr>
              <w:t xml:space="preserve">11,341 </w:t>
            </w:r>
          </w:p>
        </w:tc>
        <w:tc>
          <w:tcPr>
            <w:tcW w:w="1194" w:type="dxa"/>
            <w:tcBorders>
              <w:top w:val="nil"/>
              <w:left w:val="nil"/>
              <w:bottom w:val="nil"/>
              <w:right w:val="single" w:sz="4" w:space="0" w:color="auto"/>
            </w:tcBorders>
            <w:shd w:val="clear" w:color="auto" w:fill="auto"/>
            <w:noWrap/>
            <w:vAlign w:val="center"/>
            <w:hideMark/>
          </w:tcPr>
          <w:p w14:paraId="0A6499E3"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(2,920)</w:t>
            </w:r>
          </w:p>
        </w:tc>
        <w:tc>
          <w:tcPr>
            <w:tcW w:w="1194" w:type="dxa"/>
            <w:tcBorders>
              <w:top w:val="nil"/>
              <w:left w:val="nil"/>
              <w:bottom w:val="nil"/>
              <w:right w:val="single" w:sz="4" w:space="0" w:color="auto"/>
            </w:tcBorders>
            <w:shd w:val="clear" w:color="auto" w:fill="auto"/>
            <w:noWrap/>
            <w:vAlign w:val="center"/>
            <w:hideMark/>
          </w:tcPr>
          <w:p w14:paraId="507058C7" w14:textId="77777777" w:rsidR="00DA611C" w:rsidRDefault="00DA611C">
            <w:pPr>
              <w:jc w:val="right"/>
              <w:rPr>
                <w:rFonts w:ascii="Verdana" w:hAnsi="Verdana" w:cs="Arial"/>
                <w:color w:val="000000"/>
                <w:sz w:val="16"/>
                <w:szCs w:val="16"/>
              </w:rPr>
            </w:pPr>
            <w:r>
              <w:rPr>
                <w:rFonts w:ascii="Verdana" w:hAnsi="Verdana" w:cs="Arial"/>
                <w:color w:val="000000"/>
                <w:sz w:val="16"/>
                <w:szCs w:val="16"/>
              </w:rPr>
              <w:t>(9,716)</w:t>
            </w:r>
          </w:p>
        </w:tc>
        <w:tc>
          <w:tcPr>
            <w:tcW w:w="1194" w:type="dxa"/>
            <w:tcBorders>
              <w:top w:val="nil"/>
              <w:left w:val="nil"/>
              <w:bottom w:val="nil"/>
              <w:right w:val="single" w:sz="4" w:space="0" w:color="auto"/>
            </w:tcBorders>
            <w:shd w:val="clear" w:color="auto" w:fill="auto"/>
            <w:noWrap/>
            <w:vAlign w:val="center"/>
            <w:hideMark/>
          </w:tcPr>
          <w:p w14:paraId="010AB6CB" w14:textId="77777777" w:rsidR="00DA611C" w:rsidRDefault="00DA611C">
            <w:pPr>
              <w:jc w:val="right"/>
              <w:rPr>
                <w:rFonts w:ascii="Verdana" w:hAnsi="Verdana" w:cs="Arial"/>
                <w:b/>
                <w:bCs/>
                <w:sz w:val="16"/>
                <w:szCs w:val="16"/>
              </w:rPr>
            </w:pPr>
            <w:r>
              <w:rPr>
                <w:rFonts w:ascii="Verdana" w:hAnsi="Verdana" w:cs="Arial"/>
                <w:b/>
                <w:bCs/>
                <w:sz w:val="16"/>
                <w:szCs w:val="16"/>
              </w:rPr>
              <w:t>(12,637)</w:t>
            </w:r>
          </w:p>
        </w:tc>
      </w:tr>
      <w:tr w:rsidR="00DA611C" w14:paraId="4B4E2554"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64378458" w14:textId="77777777" w:rsidR="00DA611C" w:rsidRDefault="00DA611C">
            <w:pPr>
              <w:rPr>
                <w:rFonts w:ascii="Verdana" w:hAnsi="Verdana" w:cs="Arial"/>
                <w:sz w:val="16"/>
                <w:szCs w:val="16"/>
              </w:rPr>
            </w:pPr>
            <w:r>
              <w:rPr>
                <w:rFonts w:ascii="Verdana" w:hAnsi="Verdana" w:cs="Arial"/>
                <w:sz w:val="16"/>
                <w:szCs w:val="16"/>
              </w:rPr>
              <w:t>Capability Fund</w:t>
            </w:r>
          </w:p>
        </w:tc>
        <w:tc>
          <w:tcPr>
            <w:tcW w:w="1194" w:type="dxa"/>
            <w:tcBorders>
              <w:top w:val="nil"/>
              <w:left w:val="nil"/>
              <w:bottom w:val="nil"/>
              <w:right w:val="single" w:sz="4" w:space="0" w:color="auto"/>
            </w:tcBorders>
            <w:shd w:val="clear" w:color="auto" w:fill="auto"/>
            <w:noWrap/>
            <w:vAlign w:val="center"/>
            <w:hideMark/>
          </w:tcPr>
          <w:p w14:paraId="40DD0E41" w14:textId="77777777" w:rsidR="00DA611C" w:rsidRDefault="00DA611C">
            <w:pPr>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7B78B385" w14:textId="77777777" w:rsidR="00DA611C" w:rsidRDefault="00DA611C">
            <w:pPr>
              <w:jc w:val="right"/>
              <w:rPr>
                <w:rFonts w:ascii="Verdana" w:hAnsi="Verdana" w:cs="Arial"/>
                <w:sz w:val="16"/>
                <w:szCs w:val="16"/>
              </w:rPr>
            </w:pPr>
            <w:r>
              <w:rPr>
                <w:rFonts w:ascii="Verdana" w:hAnsi="Verdana" w:cs="Arial"/>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608BE256"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7176E22B"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(2,610)</w:t>
            </w:r>
          </w:p>
        </w:tc>
        <w:tc>
          <w:tcPr>
            <w:tcW w:w="1194" w:type="dxa"/>
            <w:tcBorders>
              <w:top w:val="nil"/>
              <w:left w:val="nil"/>
              <w:bottom w:val="nil"/>
              <w:right w:val="single" w:sz="4" w:space="0" w:color="auto"/>
            </w:tcBorders>
            <w:shd w:val="clear" w:color="auto" w:fill="auto"/>
            <w:noWrap/>
            <w:vAlign w:val="center"/>
            <w:hideMark/>
          </w:tcPr>
          <w:p w14:paraId="78CF7F28" w14:textId="77777777" w:rsidR="00DA611C" w:rsidRDefault="00DA611C">
            <w:pPr>
              <w:jc w:val="right"/>
              <w:rPr>
                <w:rFonts w:ascii="Verdana" w:hAnsi="Verdana" w:cs="Arial"/>
                <w:b/>
                <w:bCs/>
                <w:sz w:val="16"/>
                <w:szCs w:val="16"/>
              </w:rPr>
            </w:pPr>
            <w:r>
              <w:rPr>
                <w:rFonts w:ascii="Verdana" w:hAnsi="Verdana" w:cs="Arial"/>
                <w:b/>
                <w:bCs/>
                <w:sz w:val="16"/>
                <w:szCs w:val="16"/>
              </w:rPr>
              <w:t>(2,610)</w:t>
            </w:r>
          </w:p>
        </w:tc>
      </w:tr>
      <w:tr w:rsidR="00DA611C" w14:paraId="2BC72DC2"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0FFAF4D7" w14:textId="77777777" w:rsidR="00DA611C" w:rsidRDefault="00DA611C">
            <w:pPr>
              <w:rPr>
                <w:rFonts w:ascii="Verdana" w:hAnsi="Verdana" w:cs="Arial"/>
                <w:sz w:val="16"/>
                <w:szCs w:val="16"/>
              </w:rPr>
            </w:pPr>
            <w:r>
              <w:rPr>
                <w:rFonts w:ascii="Verdana" w:hAnsi="Verdana" w:cs="Arial"/>
                <w:sz w:val="16"/>
                <w:szCs w:val="16"/>
              </w:rPr>
              <w:t>Youth Contract</w:t>
            </w:r>
          </w:p>
        </w:tc>
        <w:tc>
          <w:tcPr>
            <w:tcW w:w="1194" w:type="dxa"/>
            <w:tcBorders>
              <w:top w:val="nil"/>
              <w:left w:val="nil"/>
              <w:bottom w:val="nil"/>
              <w:right w:val="single" w:sz="4" w:space="0" w:color="auto"/>
            </w:tcBorders>
            <w:shd w:val="clear" w:color="auto" w:fill="auto"/>
            <w:noWrap/>
            <w:vAlign w:val="center"/>
            <w:hideMark/>
          </w:tcPr>
          <w:p w14:paraId="298F901B" w14:textId="77777777" w:rsidR="00DA611C" w:rsidRDefault="00DA611C">
            <w:pPr>
              <w:jc w:val="right"/>
              <w:rPr>
                <w:rFonts w:ascii="Verdana" w:hAnsi="Verdana" w:cs="Arial"/>
                <w:b/>
                <w:bCs/>
                <w:sz w:val="16"/>
                <w:szCs w:val="16"/>
              </w:rPr>
            </w:pPr>
            <w:r>
              <w:rPr>
                <w:rFonts w:ascii="Verdana" w:hAnsi="Verdana" w:cs="Arial"/>
                <w:b/>
                <w:bCs/>
                <w:sz w:val="16"/>
                <w:szCs w:val="16"/>
              </w:rPr>
              <w:t>(2,245)</w:t>
            </w:r>
          </w:p>
        </w:tc>
        <w:tc>
          <w:tcPr>
            <w:tcW w:w="1194" w:type="dxa"/>
            <w:tcBorders>
              <w:top w:val="nil"/>
              <w:left w:val="nil"/>
              <w:bottom w:val="nil"/>
              <w:right w:val="single" w:sz="4" w:space="0" w:color="auto"/>
            </w:tcBorders>
            <w:shd w:val="clear" w:color="auto" w:fill="auto"/>
            <w:noWrap/>
            <w:vAlign w:val="center"/>
            <w:hideMark/>
          </w:tcPr>
          <w:p w14:paraId="039837E6" w14:textId="77777777" w:rsidR="00DA611C" w:rsidRDefault="00DA611C">
            <w:pPr>
              <w:jc w:val="right"/>
              <w:rPr>
                <w:rFonts w:ascii="Verdana" w:hAnsi="Verdana" w:cs="Arial"/>
                <w:sz w:val="16"/>
                <w:szCs w:val="16"/>
              </w:rPr>
            </w:pPr>
            <w:r>
              <w:rPr>
                <w:rFonts w:ascii="Verdana" w:hAnsi="Verdana" w:cs="Arial"/>
                <w:sz w:val="16"/>
                <w:szCs w:val="16"/>
              </w:rPr>
              <w:t xml:space="preserve">377 </w:t>
            </w:r>
          </w:p>
        </w:tc>
        <w:tc>
          <w:tcPr>
            <w:tcW w:w="1194" w:type="dxa"/>
            <w:tcBorders>
              <w:top w:val="nil"/>
              <w:left w:val="nil"/>
              <w:bottom w:val="nil"/>
              <w:right w:val="single" w:sz="4" w:space="0" w:color="auto"/>
            </w:tcBorders>
            <w:shd w:val="clear" w:color="auto" w:fill="auto"/>
            <w:noWrap/>
            <w:vAlign w:val="center"/>
            <w:hideMark/>
          </w:tcPr>
          <w:p w14:paraId="01A52F1A"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(1,868)</w:t>
            </w:r>
          </w:p>
        </w:tc>
        <w:tc>
          <w:tcPr>
            <w:tcW w:w="1194" w:type="dxa"/>
            <w:tcBorders>
              <w:top w:val="nil"/>
              <w:left w:val="nil"/>
              <w:bottom w:val="nil"/>
              <w:right w:val="single" w:sz="4" w:space="0" w:color="auto"/>
            </w:tcBorders>
            <w:shd w:val="clear" w:color="auto" w:fill="auto"/>
            <w:noWrap/>
            <w:vAlign w:val="center"/>
            <w:hideMark/>
          </w:tcPr>
          <w:p w14:paraId="390CA2EE" w14:textId="77777777" w:rsidR="00DA611C" w:rsidRDefault="00DA611C">
            <w:pPr>
              <w:jc w:val="right"/>
              <w:rPr>
                <w:rFonts w:ascii="Verdana" w:hAnsi="Verdana" w:cs="Arial"/>
                <w:color w:val="000000"/>
                <w:sz w:val="16"/>
                <w:szCs w:val="16"/>
              </w:rPr>
            </w:pPr>
            <w:r>
              <w:rPr>
                <w:rFonts w:ascii="Verdana" w:hAnsi="Verdana" w:cs="Arial"/>
                <w:color w:val="000000"/>
                <w:sz w:val="16"/>
                <w:szCs w:val="16"/>
              </w:rPr>
              <w:t>88</w:t>
            </w:r>
          </w:p>
        </w:tc>
        <w:tc>
          <w:tcPr>
            <w:tcW w:w="1194" w:type="dxa"/>
            <w:tcBorders>
              <w:top w:val="nil"/>
              <w:left w:val="nil"/>
              <w:bottom w:val="nil"/>
              <w:right w:val="single" w:sz="4" w:space="0" w:color="auto"/>
            </w:tcBorders>
            <w:shd w:val="clear" w:color="auto" w:fill="auto"/>
            <w:noWrap/>
            <w:vAlign w:val="center"/>
            <w:hideMark/>
          </w:tcPr>
          <w:p w14:paraId="34D35DED" w14:textId="77777777" w:rsidR="00DA611C" w:rsidRDefault="00DA611C">
            <w:pPr>
              <w:jc w:val="right"/>
              <w:rPr>
                <w:rFonts w:ascii="Verdana" w:hAnsi="Verdana" w:cs="Arial"/>
                <w:b/>
                <w:bCs/>
                <w:sz w:val="16"/>
                <w:szCs w:val="16"/>
              </w:rPr>
            </w:pPr>
            <w:r>
              <w:rPr>
                <w:rFonts w:ascii="Verdana" w:hAnsi="Verdana" w:cs="Arial"/>
                <w:b/>
                <w:bCs/>
                <w:sz w:val="16"/>
                <w:szCs w:val="16"/>
              </w:rPr>
              <w:t>(1,781)</w:t>
            </w:r>
          </w:p>
        </w:tc>
      </w:tr>
      <w:tr w:rsidR="00DA611C" w14:paraId="7CDCE718"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13332B18" w14:textId="77777777" w:rsidR="00DA611C" w:rsidRDefault="00DA611C">
            <w:pPr>
              <w:rPr>
                <w:rFonts w:ascii="Verdana" w:hAnsi="Verdana" w:cs="Arial"/>
                <w:sz w:val="16"/>
                <w:szCs w:val="16"/>
              </w:rPr>
            </w:pPr>
            <w:r>
              <w:rPr>
                <w:rFonts w:ascii="Verdana" w:hAnsi="Verdana" w:cs="Arial"/>
                <w:sz w:val="16"/>
                <w:szCs w:val="16"/>
              </w:rPr>
              <w:t>Growing Places Fund</w:t>
            </w:r>
          </w:p>
        </w:tc>
        <w:tc>
          <w:tcPr>
            <w:tcW w:w="1194" w:type="dxa"/>
            <w:tcBorders>
              <w:top w:val="nil"/>
              <w:left w:val="nil"/>
              <w:bottom w:val="nil"/>
              <w:right w:val="single" w:sz="4" w:space="0" w:color="auto"/>
            </w:tcBorders>
            <w:shd w:val="clear" w:color="auto" w:fill="auto"/>
            <w:noWrap/>
            <w:vAlign w:val="center"/>
            <w:hideMark/>
          </w:tcPr>
          <w:p w14:paraId="2D08F35D" w14:textId="77777777" w:rsidR="00DA611C" w:rsidRDefault="00DA611C">
            <w:pPr>
              <w:jc w:val="right"/>
              <w:rPr>
                <w:rFonts w:ascii="Verdana" w:hAnsi="Verdana" w:cs="Arial"/>
                <w:b/>
                <w:bCs/>
                <w:sz w:val="16"/>
                <w:szCs w:val="16"/>
              </w:rPr>
            </w:pPr>
            <w:r>
              <w:rPr>
                <w:rFonts w:ascii="Verdana" w:hAnsi="Verdana" w:cs="Arial"/>
                <w:b/>
                <w:bCs/>
                <w:sz w:val="16"/>
                <w:szCs w:val="16"/>
              </w:rPr>
              <w:t>(1,554)</w:t>
            </w:r>
          </w:p>
        </w:tc>
        <w:tc>
          <w:tcPr>
            <w:tcW w:w="1194" w:type="dxa"/>
            <w:tcBorders>
              <w:top w:val="nil"/>
              <w:left w:val="nil"/>
              <w:bottom w:val="nil"/>
              <w:right w:val="single" w:sz="4" w:space="0" w:color="auto"/>
            </w:tcBorders>
            <w:shd w:val="clear" w:color="auto" w:fill="auto"/>
            <w:noWrap/>
            <w:vAlign w:val="center"/>
            <w:hideMark/>
          </w:tcPr>
          <w:p w14:paraId="4B6D00BD" w14:textId="77777777" w:rsidR="00DA611C" w:rsidRDefault="00DA611C">
            <w:pPr>
              <w:jc w:val="right"/>
              <w:rPr>
                <w:rFonts w:ascii="Verdana" w:hAnsi="Verdana" w:cs="Arial"/>
                <w:sz w:val="16"/>
                <w:szCs w:val="16"/>
              </w:rPr>
            </w:pPr>
            <w:r>
              <w:rPr>
                <w:rFonts w:ascii="Verdana" w:hAnsi="Verdana" w:cs="Arial"/>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2FC23737"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(1,554)</w:t>
            </w:r>
          </w:p>
        </w:tc>
        <w:tc>
          <w:tcPr>
            <w:tcW w:w="1194" w:type="dxa"/>
            <w:tcBorders>
              <w:top w:val="nil"/>
              <w:left w:val="nil"/>
              <w:bottom w:val="nil"/>
              <w:right w:val="single" w:sz="4" w:space="0" w:color="auto"/>
            </w:tcBorders>
            <w:shd w:val="clear" w:color="auto" w:fill="auto"/>
            <w:noWrap/>
            <w:vAlign w:val="center"/>
            <w:hideMark/>
          </w:tcPr>
          <w:p w14:paraId="48CD09AE"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7CF923BC" w14:textId="77777777" w:rsidR="00DA611C" w:rsidRDefault="00DA611C">
            <w:pPr>
              <w:jc w:val="right"/>
              <w:rPr>
                <w:rFonts w:ascii="Verdana" w:hAnsi="Verdana" w:cs="Arial"/>
                <w:b/>
                <w:bCs/>
                <w:sz w:val="16"/>
                <w:szCs w:val="16"/>
              </w:rPr>
            </w:pPr>
            <w:r>
              <w:rPr>
                <w:rFonts w:ascii="Verdana" w:hAnsi="Verdana" w:cs="Arial"/>
                <w:b/>
                <w:bCs/>
                <w:sz w:val="16"/>
                <w:szCs w:val="16"/>
              </w:rPr>
              <w:t>(1,554)</w:t>
            </w:r>
          </w:p>
        </w:tc>
      </w:tr>
      <w:tr w:rsidR="00DA611C" w14:paraId="58AEC659"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19A710A" w14:textId="77777777" w:rsidR="00DA611C" w:rsidRDefault="00DA611C">
            <w:pPr>
              <w:rPr>
                <w:rFonts w:ascii="Verdana" w:hAnsi="Verdana" w:cs="Arial"/>
                <w:sz w:val="16"/>
                <w:szCs w:val="16"/>
              </w:rPr>
            </w:pPr>
            <w:r>
              <w:rPr>
                <w:rFonts w:ascii="Verdana" w:hAnsi="Verdana" w:cs="Arial"/>
                <w:sz w:val="16"/>
                <w:szCs w:val="16"/>
              </w:rPr>
              <w:t>National Waste Strategy</w:t>
            </w:r>
          </w:p>
        </w:tc>
        <w:tc>
          <w:tcPr>
            <w:tcW w:w="1194" w:type="dxa"/>
            <w:tcBorders>
              <w:top w:val="nil"/>
              <w:left w:val="nil"/>
              <w:bottom w:val="nil"/>
              <w:right w:val="single" w:sz="4" w:space="0" w:color="auto"/>
            </w:tcBorders>
            <w:shd w:val="clear" w:color="auto" w:fill="auto"/>
            <w:noWrap/>
            <w:vAlign w:val="center"/>
            <w:hideMark/>
          </w:tcPr>
          <w:p w14:paraId="5CEF6712" w14:textId="77777777" w:rsidR="00DA611C" w:rsidRDefault="00DA611C">
            <w:pPr>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67520098" w14:textId="77777777" w:rsidR="00DA611C" w:rsidRDefault="00DA611C">
            <w:pPr>
              <w:jc w:val="right"/>
              <w:rPr>
                <w:rFonts w:ascii="Verdana" w:hAnsi="Verdana" w:cs="Arial"/>
                <w:sz w:val="16"/>
                <w:szCs w:val="16"/>
              </w:rPr>
            </w:pPr>
            <w:r>
              <w:rPr>
                <w:rFonts w:ascii="Verdana" w:hAnsi="Verdana" w:cs="Arial"/>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4FEDA601"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6B064595"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(2,500)</w:t>
            </w:r>
          </w:p>
        </w:tc>
        <w:tc>
          <w:tcPr>
            <w:tcW w:w="1194" w:type="dxa"/>
            <w:tcBorders>
              <w:top w:val="nil"/>
              <w:left w:val="nil"/>
              <w:bottom w:val="nil"/>
              <w:right w:val="single" w:sz="4" w:space="0" w:color="auto"/>
            </w:tcBorders>
            <w:shd w:val="clear" w:color="auto" w:fill="auto"/>
            <w:noWrap/>
            <w:vAlign w:val="center"/>
            <w:hideMark/>
          </w:tcPr>
          <w:p w14:paraId="6AA8616F" w14:textId="77777777" w:rsidR="00DA611C" w:rsidRDefault="00DA611C">
            <w:pPr>
              <w:jc w:val="right"/>
              <w:rPr>
                <w:rFonts w:ascii="Verdana" w:hAnsi="Verdana" w:cs="Arial"/>
                <w:b/>
                <w:bCs/>
                <w:sz w:val="16"/>
                <w:szCs w:val="16"/>
              </w:rPr>
            </w:pPr>
            <w:r>
              <w:rPr>
                <w:rFonts w:ascii="Verdana" w:hAnsi="Verdana" w:cs="Arial"/>
                <w:b/>
                <w:bCs/>
                <w:sz w:val="16"/>
                <w:szCs w:val="16"/>
              </w:rPr>
              <w:t>(2,500)</w:t>
            </w:r>
          </w:p>
        </w:tc>
      </w:tr>
      <w:tr w:rsidR="00DA611C" w14:paraId="6376A035"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3FC3B2B" w14:textId="77777777" w:rsidR="00DA611C" w:rsidRDefault="00DA611C">
            <w:pPr>
              <w:rPr>
                <w:rFonts w:ascii="Verdana" w:hAnsi="Verdana" w:cs="Arial"/>
                <w:sz w:val="16"/>
                <w:szCs w:val="16"/>
              </w:rPr>
            </w:pPr>
            <w:r>
              <w:rPr>
                <w:rFonts w:ascii="Verdana" w:hAnsi="Verdana" w:cs="Arial"/>
                <w:sz w:val="16"/>
                <w:szCs w:val="16"/>
              </w:rPr>
              <w:t>Business Rates Top Up</w:t>
            </w:r>
          </w:p>
        </w:tc>
        <w:tc>
          <w:tcPr>
            <w:tcW w:w="1194" w:type="dxa"/>
            <w:tcBorders>
              <w:top w:val="nil"/>
              <w:left w:val="nil"/>
              <w:bottom w:val="nil"/>
              <w:right w:val="single" w:sz="4" w:space="0" w:color="auto"/>
            </w:tcBorders>
            <w:shd w:val="clear" w:color="auto" w:fill="auto"/>
            <w:noWrap/>
            <w:vAlign w:val="center"/>
            <w:hideMark/>
          </w:tcPr>
          <w:p w14:paraId="3E76BD9C" w14:textId="77777777" w:rsidR="00DA611C" w:rsidRDefault="00DA611C">
            <w:pPr>
              <w:jc w:val="right"/>
              <w:rPr>
                <w:rFonts w:ascii="Verdana" w:hAnsi="Verdana" w:cs="Arial"/>
                <w:b/>
                <w:bCs/>
                <w:sz w:val="16"/>
                <w:szCs w:val="16"/>
              </w:rPr>
            </w:pPr>
            <w:r>
              <w:rPr>
                <w:rFonts w:ascii="Verdana" w:hAnsi="Verdana" w:cs="Arial"/>
                <w:b/>
                <w:bCs/>
                <w:sz w:val="16"/>
                <w:szCs w:val="16"/>
              </w:rPr>
              <w:t>(37,129)</w:t>
            </w:r>
          </w:p>
        </w:tc>
        <w:tc>
          <w:tcPr>
            <w:tcW w:w="1194" w:type="dxa"/>
            <w:tcBorders>
              <w:top w:val="nil"/>
              <w:left w:val="nil"/>
              <w:bottom w:val="nil"/>
              <w:right w:val="single" w:sz="4" w:space="0" w:color="auto"/>
            </w:tcBorders>
            <w:shd w:val="clear" w:color="auto" w:fill="auto"/>
            <w:noWrap/>
            <w:vAlign w:val="center"/>
            <w:hideMark/>
          </w:tcPr>
          <w:p w14:paraId="6C54CD1B" w14:textId="77777777" w:rsidR="00DA611C" w:rsidRDefault="00DA611C">
            <w:pPr>
              <w:jc w:val="right"/>
              <w:rPr>
                <w:rFonts w:ascii="Verdana" w:hAnsi="Verdana" w:cs="Arial"/>
                <w:sz w:val="16"/>
                <w:szCs w:val="16"/>
              </w:rPr>
            </w:pPr>
            <w:r>
              <w:rPr>
                <w:rFonts w:ascii="Verdana" w:hAnsi="Verdana" w:cs="Arial"/>
                <w:sz w:val="16"/>
                <w:szCs w:val="16"/>
              </w:rPr>
              <w:t xml:space="preserve">1,646 </w:t>
            </w:r>
          </w:p>
        </w:tc>
        <w:tc>
          <w:tcPr>
            <w:tcW w:w="1194" w:type="dxa"/>
            <w:tcBorders>
              <w:top w:val="nil"/>
              <w:left w:val="nil"/>
              <w:bottom w:val="nil"/>
              <w:right w:val="single" w:sz="4" w:space="0" w:color="auto"/>
            </w:tcBorders>
            <w:shd w:val="clear" w:color="auto" w:fill="auto"/>
            <w:noWrap/>
            <w:vAlign w:val="center"/>
            <w:hideMark/>
          </w:tcPr>
          <w:p w14:paraId="0C4D70EF"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(35,483)</w:t>
            </w:r>
          </w:p>
        </w:tc>
        <w:tc>
          <w:tcPr>
            <w:tcW w:w="1194" w:type="dxa"/>
            <w:tcBorders>
              <w:top w:val="nil"/>
              <w:left w:val="nil"/>
              <w:bottom w:val="nil"/>
              <w:right w:val="single" w:sz="4" w:space="0" w:color="auto"/>
            </w:tcBorders>
            <w:shd w:val="clear" w:color="auto" w:fill="auto"/>
            <w:noWrap/>
            <w:vAlign w:val="center"/>
            <w:hideMark/>
          </w:tcPr>
          <w:p w14:paraId="11F23880" w14:textId="77777777" w:rsidR="00DA611C" w:rsidRDefault="00DA611C">
            <w:pPr>
              <w:jc w:val="right"/>
              <w:rPr>
                <w:rFonts w:ascii="Verdana" w:hAnsi="Verdana" w:cs="Arial"/>
                <w:color w:val="000000"/>
                <w:sz w:val="16"/>
                <w:szCs w:val="16"/>
              </w:rPr>
            </w:pPr>
            <w:r>
              <w:rPr>
                <w:rFonts w:ascii="Verdana" w:hAnsi="Verdana" w:cs="Arial"/>
                <w:color w:val="000000"/>
                <w:sz w:val="16"/>
                <w:szCs w:val="16"/>
              </w:rPr>
              <w:t>4,223</w:t>
            </w:r>
          </w:p>
        </w:tc>
        <w:tc>
          <w:tcPr>
            <w:tcW w:w="1194" w:type="dxa"/>
            <w:tcBorders>
              <w:top w:val="nil"/>
              <w:left w:val="nil"/>
              <w:bottom w:val="nil"/>
              <w:right w:val="single" w:sz="4" w:space="0" w:color="auto"/>
            </w:tcBorders>
            <w:shd w:val="clear" w:color="auto" w:fill="auto"/>
            <w:noWrap/>
            <w:vAlign w:val="center"/>
            <w:hideMark/>
          </w:tcPr>
          <w:p w14:paraId="146E3868" w14:textId="77777777" w:rsidR="00DA611C" w:rsidRDefault="00DA611C">
            <w:pPr>
              <w:jc w:val="right"/>
              <w:rPr>
                <w:rFonts w:ascii="Verdana" w:hAnsi="Verdana" w:cs="Arial"/>
                <w:b/>
                <w:bCs/>
                <w:sz w:val="16"/>
                <w:szCs w:val="16"/>
              </w:rPr>
            </w:pPr>
            <w:r>
              <w:rPr>
                <w:rFonts w:ascii="Verdana" w:hAnsi="Verdana" w:cs="Arial"/>
                <w:b/>
                <w:bCs/>
                <w:sz w:val="16"/>
                <w:szCs w:val="16"/>
              </w:rPr>
              <w:t>(31,260)</w:t>
            </w:r>
          </w:p>
        </w:tc>
      </w:tr>
      <w:tr w:rsidR="00DA611C" w14:paraId="369350F9"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58ECF475" w14:textId="77777777" w:rsidR="00DA611C" w:rsidRDefault="00DA611C">
            <w:pPr>
              <w:rPr>
                <w:rFonts w:ascii="Verdana" w:hAnsi="Verdana" w:cs="Arial"/>
                <w:sz w:val="16"/>
                <w:szCs w:val="16"/>
              </w:rPr>
            </w:pPr>
            <w:r>
              <w:rPr>
                <w:rFonts w:ascii="Verdana" w:hAnsi="Verdana" w:cs="Arial"/>
                <w:sz w:val="16"/>
                <w:szCs w:val="16"/>
              </w:rPr>
              <w:t>RGF/GPF Interest and Arrangement Fees</w:t>
            </w:r>
          </w:p>
        </w:tc>
        <w:tc>
          <w:tcPr>
            <w:tcW w:w="1194" w:type="dxa"/>
            <w:tcBorders>
              <w:top w:val="nil"/>
              <w:left w:val="nil"/>
              <w:bottom w:val="nil"/>
              <w:right w:val="single" w:sz="4" w:space="0" w:color="auto"/>
            </w:tcBorders>
            <w:shd w:val="clear" w:color="auto" w:fill="auto"/>
            <w:noWrap/>
            <w:vAlign w:val="center"/>
            <w:hideMark/>
          </w:tcPr>
          <w:p w14:paraId="156B193A" w14:textId="77777777" w:rsidR="00DA611C" w:rsidRDefault="00DA611C">
            <w:pPr>
              <w:jc w:val="right"/>
              <w:rPr>
                <w:rFonts w:ascii="Verdana" w:hAnsi="Verdana" w:cs="Arial"/>
                <w:b/>
                <w:bCs/>
                <w:sz w:val="16"/>
                <w:szCs w:val="16"/>
              </w:rPr>
            </w:pPr>
            <w:r>
              <w:rPr>
                <w:rFonts w:ascii="Verdana" w:hAnsi="Verdana" w:cs="Arial"/>
                <w:b/>
                <w:bCs/>
                <w:sz w:val="16"/>
                <w:szCs w:val="16"/>
              </w:rPr>
              <w:t>(10,121)</w:t>
            </w:r>
          </w:p>
        </w:tc>
        <w:tc>
          <w:tcPr>
            <w:tcW w:w="1194" w:type="dxa"/>
            <w:tcBorders>
              <w:top w:val="nil"/>
              <w:left w:val="nil"/>
              <w:bottom w:val="nil"/>
              <w:right w:val="single" w:sz="4" w:space="0" w:color="auto"/>
            </w:tcBorders>
            <w:shd w:val="clear" w:color="auto" w:fill="auto"/>
            <w:noWrap/>
            <w:vAlign w:val="center"/>
            <w:hideMark/>
          </w:tcPr>
          <w:p w14:paraId="48B38F0D" w14:textId="77777777" w:rsidR="00DA611C" w:rsidRDefault="00DA611C">
            <w:pPr>
              <w:jc w:val="right"/>
              <w:rPr>
                <w:rFonts w:ascii="Verdana" w:hAnsi="Verdana" w:cs="Arial"/>
                <w:sz w:val="16"/>
                <w:szCs w:val="16"/>
              </w:rPr>
            </w:pPr>
            <w:r>
              <w:rPr>
                <w:rFonts w:ascii="Verdana" w:hAnsi="Verdana" w:cs="Arial"/>
                <w:sz w:val="16"/>
                <w:szCs w:val="16"/>
              </w:rPr>
              <w:t xml:space="preserve">1,229 </w:t>
            </w:r>
          </w:p>
        </w:tc>
        <w:tc>
          <w:tcPr>
            <w:tcW w:w="1194" w:type="dxa"/>
            <w:tcBorders>
              <w:top w:val="nil"/>
              <w:left w:val="nil"/>
              <w:bottom w:val="nil"/>
              <w:right w:val="single" w:sz="4" w:space="0" w:color="auto"/>
            </w:tcBorders>
            <w:shd w:val="clear" w:color="auto" w:fill="auto"/>
            <w:noWrap/>
            <w:vAlign w:val="center"/>
            <w:hideMark/>
          </w:tcPr>
          <w:p w14:paraId="2B83BC6B"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(8,892)</w:t>
            </w:r>
          </w:p>
        </w:tc>
        <w:tc>
          <w:tcPr>
            <w:tcW w:w="1194" w:type="dxa"/>
            <w:tcBorders>
              <w:top w:val="nil"/>
              <w:left w:val="nil"/>
              <w:bottom w:val="nil"/>
              <w:right w:val="single" w:sz="4" w:space="0" w:color="auto"/>
            </w:tcBorders>
            <w:shd w:val="clear" w:color="auto" w:fill="auto"/>
            <w:noWrap/>
            <w:vAlign w:val="center"/>
            <w:hideMark/>
          </w:tcPr>
          <w:p w14:paraId="77E00E6A" w14:textId="77777777" w:rsidR="00DA611C" w:rsidRDefault="00DA611C">
            <w:pPr>
              <w:jc w:val="right"/>
              <w:rPr>
                <w:rFonts w:ascii="Verdana" w:hAnsi="Verdana" w:cs="Arial"/>
                <w:color w:val="000000"/>
                <w:sz w:val="16"/>
                <w:szCs w:val="16"/>
              </w:rPr>
            </w:pPr>
            <w:r>
              <w:rPr>
                <w:rFonts w:ascii="Verdana" w:hAnsi="Verdana" w:cs="Arial"/>
                <w:color w:val="000000"/>
                <w:sz w:val="16"/>
                <w:szCs w:val="16"/>
              </w:rPr>
              <w:t>(598)</w:t>
            </w:r>
          </w:p>
        </w:tc>
        <w:tc>
          <w:tcPr>
            <w:tcW w:w="1194" w:type="dxa"/>
            <w:tcBorders>
              <w:top w:val="nil"/>
              <w:left w:val="nil"/>
              <w:bottom w:val="nil"/>
              <w:right w:val="single" w:sz="4" w:space="0" w:color="auto"/>
            </w:tcBorders>
            <w:shd w:val="clear" w:color="auto" w:fill="auto"/>
            <w:noWrap/>
            <w:vAlign w:val="center"/>
            <w:hideMark/>
          </w:tcPr>
          <w:p w14:paraId="6995E587" w14:textId="77777777" w:rsidR="00DA611C" w:rsidRDefault="00DA611C">
            <w:pPr>
              <w:jc w:val="right"/>
              <w:rPr>
                <w:rFonts w:ascii="Verdana" w:hAnsi="Verdana" w:cs="Arial"/>
                <w:b/>
                <w:bCs/>
                <w:sz w:val="16"/>
                <w:szCs w:val="16"/>
              </w:rPr>
            </w:pPr>
            <w:r>
              <w:rPr>
                <w:rFonts w:ascii="Verdana" w:hAnsi="Verdana" w:cs="Arial"/>
                <w:b/>
                <w:bCs/>
                <w:sz w:val="16"/>
                <w:szCs w:val="16"/>
              </w:rPr>
              <w:t>(9,490)</w:t>
            </w:r>
          </w:p>
        </w:tc>
      </w:tr>
      <w:tr w:rsidR="00DA611C" w14:paraId="4EA59F90"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C962DA2" w14:textId="77777777" w:rsidR="00DA611C" w:rsidRDefault="00DA611C">
            <w:pPr>
              <w:rPr>
                <w:rFonts w:ascii="Verdana" w:hAnsi="Verdana" w:cs="Arial"/>
                <w:sz w:val="16"/>
                <w:szCs w:val="16"/>
              </w:rPr>
            </w:pPr>
            <w:r>
              <w:rPr>
                <w:rFonts w:ascii="Verdana" w:hAnsi="Verdana" w:cs="Arial"/>
                <w:sz w:val="16"/>
                <w:szCs w:val="16"/>
              </w:rPr>
              <w:t>Churchgate House Accommodation</w:t>
            </w:r>
          </w:p>
        </w:tc>
        <w:tc>
          <w:tcPr>
            <w:tcW w:w="1194" w:type="dxa"/>
            <w:tcBorders>
              <w:top w:val="nil"/>
              <w:left w:val="nil"/>
              <w:bottom w:val="nil"/>
              <w:right w:val="single" w:sz="4" w:space="0" w:color="auto"/>
            </w:tcBorders>
            <w:shd w:val="clear" w:color="auto" w:fill="auto"/>
            <w:noWrap/>
            <w:vAlign w:val="center"/>
            <w:hideMark/>
          </w:tcPr>
          <w:p w14:paraId="38617D23" w14:textId="77777777" w:rsidR="00DA611C" w:rsidRDefault="00DA611C">
            <w:pPr>
              <w:jc w:val="right"/>
              <w:rPr>
                <w:rFonts w:ascii="Verdana" w:hAnsi="Verdana" w:cs="Arial"/>
                <w:b/>
                <w:bCs/>
                <w:sz w:val="16"/>
                <w:szCs w:val="16"/>
              </w:rPr>
            </w:pPr>
            <w:r>
              <w:rPr>
                <w:rFonts w:ascii="Verdana" w:hAnsi="Verdana" w:cs="Arial"/>
                <w:b/>
                <w:bCs/>
                <w:sz w:val="16"/>
                <w:szCs w:val="16"/>
              </w:rPr>
              <w:t>(700)</w:t>
            </w:r>
          </w:p>
        </w:tc>
        <w:tc>
          <w:tcPr>
            <w:tcW w:w="1194" w:type="dxa"/>
            <w:tcBorders>
              <w:top w:val="nil"/>
              <w:left w:val="nil"/>
              <w:bottom w:val="nil"/>
              <w:right w:val="single" w:sz="4" w:space="0" w:color="auto"/>
            </w:tcBorders>
            <w:shd w:val="clear" w:color="auto" w:fill="auto"/>
            <w:noWrap/>
            <w:vAlign w:val="center"/>
            <w:hideMark/>
          </w:tcPr>
          <w:p w14:paraId="0F0A8707" w14:textId="77777777" w:rsidR="00DA611C" w:rsidRDefault="00DA611C">
            <w:pPr>
              <w:jc w:val="right"/>
              <w:rPr>
                <w:rFonts w:ascii="Verdana" w:hAnsi="Verdana" w:cs="Arial"/>
                <w:sz w:val="16"/>
                <w:szCs w:val="16"/>
              </w:rPr>
            </w:pPr>
            <w:r>
              <w:rPr>
                <w:rFonts w:ascii="Verdana" w:hAnsi="Verdana" w:cs="Arial"/>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21EACCD2"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(700)</w:t>
            </w:r>
          </w:p>
        </w:tc>
        <w:tc>
          <w:tcPr>
            <w:tcW w:w="1194" w:type="dxa"/>
            <w:tcBorders>
              <w:top w:val="nil"/>
              <w:left w:val="nil"/>
              <w:bottom w:val="nil"/>
              <w:right w:val="single" w:sz="4" w:space="0" w:color="auto"/>
            </w:tcBorders>
            <w:shd w:val="clear" w:color="auto" w:fill="auto"/>
            <w:noWrap/>
            <w:vAlign w:val="center"/>
            <w:hideMark/>
          </w:tcPr>
          <w:p w14:paraId="47C04D62"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(2,067)</w:t>
            </w:r>
          </w:p>
        </w:tc>
        <w:tc>
          <w:tcPr>
            <w:tcW w:w="1194" w:type="dxa"/>
            <w:tcBorders>
              <w:top w:val="nil"/>
              <w:left w:val="nil"/>
              <w:bottom w:val="nil"/>
              <w:right w:val="single" w:sz="4" w:space="0" w:color="auto"/>
            </w:tcBorders>
            <w:shd w:val="clear" w:color="auto" w:fill="auto"/>
            <w:noWrap/>
            <w:vAlign w:val="center"/>
            <w:hideMark/>
          </w:tcPr>
          <w:p w14:paraId="3765922D" w14:textId="77777777" w:rsidR="00DA611C" w:rsidRDefault="00DA611C">
            <w:pPr>
              <w:jc w:val="right"/>
              <w:rPr>
                <w:rFonts w:ascii="Verdana" w:hAnsi="Verdana" w:cs="Arial"/>
                <w:b/>
                <w:bCs/>
                <w:sz w:val="16"/>
                <w:szCs w:val="16"/>
              </w:rPr>
            </w:pPr>
            <w:r>
              <w:rPr>
                <w:rFonts w:ascii="Verdana" w:hAnsi="Verdana" w:cs="Arial"/>
                <w:b/>
                <w:bCs/>
                <w:sz w:val="16"/>
                <w:szCs w:val="16"/>
              </w:rPr>
              <w:t>(2,767)</w:t>
            </w:r>
          </w:p>
        </w:tc>
      </w:tr>
      <w:tr w:rsidR="00DA611C" w14:paraId="6F7186E7"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2E741A3" w14:textId="77777777" w:rsidR="00DA611C" w:rsidRDefault="00DA611C">
            <w:pPr>
              <w:rPr>
                <w:rFonts w:ascii="Verdana" w:hAnsi="Verdana" w:cs="Arial"/>
                <w:sz w:val="16"/>
                <w:szCs w:val="16"/>
              </w:rPr>
            </w:pPr>
            <w:r>
              <w:rPr>
                <w:rFonts w:ascii="Verdana" w:hAnsi="Verdana" w:cs="Arial"/>
                <w:sz w:val="16"/>
                <w:szCs w:val="16"/>
              </w:rPr>
              <w:t>Adult Education Budget Devolution</w:t>
            </w:r>
          </w:p>
        </w:tc>
        <w:tc>
          <w:tcPr>
            <w:tcW w:w="1194" w:type="dxa"/>
            <w:tcBorders>
              <w:top w:val="nil"/>
              <w:left w:val="nil"/>
              <w:bottom w:val="nil"/>
              <w:right w:val="single" w:sz="4" w:space="0" w:color="auto"/>
            </w:tcBorders>
            <w:shd w:val="clear" w:color="auto" w:fill="auto"/>
            <w:noWrap/>
            <w:vAlign w:val="center"/>
            <w:hideMark/>
          </w:tcPr>
          <w:p w14:paraId="3CCDDA63" w14:textId="77777777" w:rsidR="00DA611C" w:rsidRDefault="00DA611C">
            <w:pPr>
              <w:jc w:val="right"/>
              <w:rPr>
                <w:rFonts w:ascii="Verdana" w:hAnsi="Verdana" w:cs="Arial"/>
                <w:b/>
                <w:bCs/>
                <w:sz w:val="16"/>
                <w:szCs w:val="16"/>
              </w:rPr>
            </w:pPr>
            <w:r>
              <w:rPr>
                <w:rFonts w:ascii="Verdana" w:hAnsi="Verdana" w:cs="Arial"/>
                <w:b/>
                <w:bCs/>
                <w:sz w:val="16"/>
                <w:szCs w:val="16"/>
              </w:rPr>
              <w:t>(3,024)</w:t>
            </w:r>
          </w:p>
        </w:tc>
        <w:tc>
          <w:tcPr>
            <w:tcW w:w="1194" w:type="dxa"/>
            <w:tcBorders>
              <w:top w:val="nil"/>
              <w:left w:val="nil"/>
              <w:bottom w:val="nil"/>
              <w:right w:val="single" w:sz="4" w:space="0" w:color="auto"/>
            </w:tcBorders>
            <w:shd w:val="clear" w:color="auto" w:fill="auto"/>
            <w:noWrap/>
            <w:vAlign w:val="center"/>
            <w:hideMark/>
          </w:tcPr>
          <w:p w14:paraId="403FEF71" w14:textId="77777777" w:rsidR="00DA611C" w:rsidRDefault="00DA611C">
            <w:pPr>
              <w:jc w:val="right"/>
              <w:rPr>
                <w:rFonts w:ascii="Verdana" w:hAnsi="Verdana" w:cs="Arial"/>
                <w:sz w:val="16"/>
                <w:szCs w:val="16"/>
              </w:rPr>
            </w:pPr>
            <w:r>
              <w:rPr>
                <w:rFonts w:ascii="Verdana" w:hAnsi="Verdana" w:cs="Arial"/>
                <w:sz w:val="16"/>
                <w:szCs w:val="16"/>
              </w:rPr>
              <w:t>(1,421)</w:t>
            </w:r>
          </w:p>
        </w:tc>
        <w:tc>
          <w:tcPr>
            <w:tcW w:w="1194" w:type="dxa"/>
            <w:tcBorders>
              <w:top w:val="nil"/>
              <w:left w:val="nil"/>
              <w:bottom w:val="nil"/>
              <w:right w:val="single" w:sz="4" w:space="0" w:color="auto"/>
            </w:tcBorders>
            <w:shd w:val="clear" w:color="auto" w:fill="auto"/>
            <w:noWrap/>
            <w:vAlign w:val="center"/>
            <w:hideMark/>
          </w:tcPr>
          <w:p w14:paraId="6FD195F8"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(4,445)</w:t>
            </w:r>
          </w:p>
        </w:tc>
        <w:tc>
          <w:tcPr>
            <w:tcW w:w="1194" w:type="dxa"/>
            <w:tcBorders>
              <w:top w:val="nil"/>
              <w:left w:val="nil"/>
              <w:bottom w:val="nil"/>
              <w:right w:val="single" w:sz="4" w:space="0" w:color="auto"/>
            </w:tcBorders>
            <w:shd w:val="clear" w:color="auto" w:fill="auto"/>
            <w:noWrap/>
            <w:vAlign w:val="center"/>
            <w:hideMark/>
          </w:tcPr>
          <w:p w14:paraId="567335B7"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(10,162)</w:t>
            </w:r>
          </w:p>
        </w:tc>
        <w:tc>
          <w:tcPr>
            <w:tcW w:w="1194" w:type="dxa"/>
            <w:tcBorders>
              <w:top w:val="nil"/>
              <w:left w:val="nil"/>
              <w:bottom w:val="nil"/>
              <w:right w:val="single" w:sz="4" w:space="0" w:color="auto"/>
            </w:tcBorders>
            <w:shd w:val="clear" w:color="auto" w:fill="auto"/>
            <w:noWrap/>
            <w:vAlign w:val="center"/>
            <w:hideMark/>
          </w:tcPr>
          <w:p w14:paraId="1CE0999B" w14:textId="77777777" w:rsidR="00DA611C" w:rsidRDefault="00DA611C">
            <w:pPr>
              <w:jc w:val="right"/>
              <w:rPr>
                <w:rFonts w:ascii="Verdana" w:hAnsi="Verdana" w:cs="Arial"/>
                <w:b/>
                <w:bCs/>
                <w:sz w:val="16"/>
                <w:szCs w:val="16"/>
              </w:rPr>
            </w:pPr>
            <w:r>
              <w:rPr>
                <w:rFonts w:ascii="Verdana" w:hAnsi="Verdana" w:cs="Arial"/>
                <w:b/>
                <w:bCs/>
                <w:sz w:val="16"/>
                <w:szCs w:val="16"/>
              </w:rPr>
              <w:t>(14,607)</w:t>
            </w:r>
          </w:p>
        </w:tc>
      </w:tr>
      <w:tr w:rsidR="00DA611C" w14:paraId="0A812FF2"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71514393" w14:textId="77777777" w:rsidR="00DA611C" w:rsidRDefault="00DA611C">
            <w:pPr>
              <w:rPr>
                <w:rFonts w:ascii="Verdana" w:hAnsi="Verdana" w:cs="Arial"/>
                <w:sz w:val="16"/>
                <w:szCs w:val="16"/>
              </w:rPr>
            </w:pPr>
            <w:r>
              <w:rPr>
                <w:rFonts w:ascii="Verdana" w:hAnsi="Verdana" w:cs="Arial"/>
                <w:sz w:val="16"/>
                <w:szCs w:val="16"/>
              </w:rPr>
              <w:t>Integrated Ticketing Reserve</w:t>
            </w:r>
          </w:p>
        </w:tc>
        <w:tc>
          <w:tcPr>
            <w:tcW w:w="1194" w:type="dxa"/>
            <w:tcBorders>
              <w:top w:val="nil"/>
              <w:left w:val="nil"/>
              <w:bottom w:val="nil"/>
              <w:right w:val="single" w:sz="4" w:space="0" w:color="auto"/>
            </w:tcBorders>
            <w:shd w:val="clear" w:color="auto" w:fill="auto"/>
            <w:noWrap/>
            <w:vAlign w:val="center"/>
            <w:hideMark/>
          </w:tcPr>
          <w:p w14:paraId="559A61C0" w14:textId="77777777" w:rsidR="00DA611C" w:rsidRDefault="00DA611C">
            <w:pPr>
              <w:jc w:val="right"/>
              <w:rPr>
                <w:rFonts w:ascii="Verdana" w:hAnsi="Verdana" w:cs="Arial"/>
                <w:b/>
                <w:bCs/>
                <w:sz w:val="16"/>
                <w:szCs w:val="16"/>
              </w:rPr>
            </w:pPr>
            <w:r>
              <w:rPr>
                <w:rFonts w:ascii="Verdana" w:hAnsi="Verdana" w:cs="Arial"/>
                <w:b/>
                <w:bCs/>
                <w:sz w:val="16"/>
                <w:szCs w:val="16"/>
              </w:rPr>
              <w:t>(12,500)</w:t>
            </w:r>
          </w:p>
        </w:tc>
        <w:tc>
          <w:tcPr>
            <w:tcW w:w="1194" w:type="dxa"/>
            <w:tcBorders>
              <w:top w:val="nil"/>
              <w:left w:val="nil"/>
              <w:bottom w:val="nil"/>
              <w:right w:val="single" w:sz="4" w:space="0" w:color="auto"/>
            </w:tcBorders>
            <w:shd w:val="clear" w:color="auto" w:fill="auto"/>
            <w:noWrap/>
            <w:vAlign w:val="center"/>
            <w:hideMark/>
          </w:tcPr>
          <w:p w14:paraId="1EA4ECA0" w14:textId="77777777" w:rsidR="00DA611C" w:rsidRDefault="00DA611C">
            <w:pPr>
              <w:jc w:val="right"/>
              <w:rPr>
                <w:rFonts w:ascii="Verdana" w:hAnsi="Verdana" w:cs="Arial"/>
                <w:sz w:val="16"/>
                <w:szCs w:val="16"/>
              </w:rPr>
            </w:pPr>
            <w:r>
              <w:rPr>
                <w:rFonts w:ascii="Verdana" w:hAnsi="Verdana" w:cs="Arial"/>
                <w:sz w:val="16"/>
                <w:szCs w:val="16"/>
              </w:rPr>
              <w:t xml:space="preserve">797 </w:t>
            </w:r>
          </w:p>
        </w:tc>
        <w:tc>
          <w:tcPr>
            <w:tcW w:w="1194" w:type="dxa"/>
            <w:tcBorders>
              <w:top w:val="nil"/>
              <w:left w:val="nil"/>
              <w:bottom w:val="nil"/>
              <w:right w:val="single" w:sz="4" w:space="0" w:color="auto"/>
            </w:tcBorders>
            <w:shd w:val="clear" w:color="auto" w:fill="auto"/>
            <w:noWrap/>
            <w:vAlign w:val="center"/>
            <w:hideMark/>
          </w:tcPr>
          <w:p w14:paraId="381682DA"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(11,703)</w:t>
            </w:r>
          </w:p>
        </w:tc>
        <w:tc>
          <w:tcPr>
            <w:tcW w:w="1194" w:type="dxa"/>
            <w:tcBorders>
              <w:top w:val="nil"/>
              <w:left w:val="nil"/>
              <w:bottom w:val="nil"/>
              <w:right w:val="single" w:sz="4" w:space="0" w:color="auto"/>
            </w:tcBorders>
            <w:shd w:val="clear" w:color="auto" w:fill="auto"/>
            <w:noWrap/>
            <w:vAlign w:val="center"/>
            <w:hideMark/>
          </w:tcPr>
          <w:p w14:paraId="52A6BF09"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1,074</w:t>
            </w:r>
          </w:p>
        </w:tc>
        <w:tc>
          <w:tcPr>
            <w:tcW w:w="1194" w:type="dxa"/>
            <w:tcBorders>
              <w:top w:val="nil"/>
              <w:left w:val="nil"/>
              <w:bottom w:val="nil"/>
              <w:right w:val="single" w:sz="4" w:space="0" w:color="auto"/>
            </w:tcBorders>
            <w:shd w:val="clear" w:color="auto" w:fill="auto"/>
            <w:noWrap/>
            <w:vAlign w:val="center"/>
            <w:hideMark/>
          </w:tcPr>
          <w:p w14:paraId="61FB8DF1" w14:textId="77777777" w:rsidR="00DA611C" w:rsidRDefault="00DA611C">
            <w:pPr>
              <w:jc w:val="right"/>
              <w:rPr>
                <w:rFonts w:ascii="Verdana" w:hAnsi="Verdana" w:cs="Arial"/>
                <w:b/>
                <w:bCs/>
                <w:sz w:val="16"/>
                <w:szCs w:val="16"/>
              </w:rPr>
            </w:pPr>
            <w:r>
              <w:rPr>
                <w:rFonts w:ascii="Verdana" w:hAnsi="Verdana" w:cs="Arial"/>
                <w:b/>
                <w:bCs/>
                <w:sz w:val="16"/>
                <w:szCs w:val="16"/>
              </w:rPr>
              <w:t>(10,629)</w:t>
            </w:r>
          </w:p>
        </w:tc>
      </w:tr>
      <w:tr w:rsidR="00DA611C" w14:paraId="7CF8FE5D"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1918FEC7" w14:textId="77777777" w:rsidR="00DA611C" w:rsidRDefault="00DA611C">
            <w:pPr>
              <w:rPr>
                <w:rFonts w:ascii="Verdana" w:hAnsi="Verdana" w:cs="Arial"/>
                <w:sz w:val="16"/>
                <w:szCs w:val="16"/>
              </w:rPr>
            </w:pPr>
            <w:r>
              <w:rPr>
                <w:rFonts w:ascii="Verdana" w:hAnsi="Verdana" w:cs="Arial"/>
                <w:sz w:val="16"/>
                <w:szCs w:val="16"/>
              </w:rPr>
              <w:t>Capital Programme Reserve</w:t>
            </w:r>
          </w:p>
        </w:tc>
        <w:tc>
          <w:tcPr>
            <w:tcW w:w="1194" w:type="dxa"/>
            <w:tcBorders>
              <w:top w:val="nil"/>
              <w:left w:val="nil"/>
              <w:bottom w:val="nil"/>
              <w:right w:val="single" w:sz="4" w:space="0" w:color="auto"/>
            </w:tcBorders>
            <w:shd w:val="clear" w:color="auto" w:fill="auto"/>
            <w:noWrap/>
            <w:vAlign w:val="center"/>
            <w:hideMark/>
          </w:tcPr>
          <w:p w14:paraId="6EF2E40B" w14:textId="77777777" w:rsidR="00DA611C" w:rsidRDefault="00DA611C">
            <w:pPr>
              <w:jc w:val="right"/>
              <w:rPr>
                <w:rFonts w:ascii="Verdana" w:hAnsi="Verdana" w:cs="Arial"/>
                <w:b/>
                <w:bCs/>
                <w:sz w:val="16"/>
                <w:szCs w:val="16"/>
              </w:rPr>
            </w:pPr>
            <w:r>
              <w:rPr>
                <w:rFonts w:ascii="Verdana" w:hAnsi="Verdana" w:cs="Arial"/>
                <w:b/>
                <w:bCs/>
                <w:sz w:val="16"/>
                <w:szCs w:val="16"/>
              </w:rPr>
              <w:t>(91,744)</w:t>
            </w:r>
          </w:p>
        </w:tc>
        <w:tc>
          <w:tcPr>
            <w:tcW w:w="1194" w:type="dxa"/>
            <w:tcBorders>
              <w:top w:val="nil"/>
              <w:left w:val="nil"/>
              <w:bottom w:val="nil"/>
              <w:right w:val="single" w:sz="4" w:space="0" w:color="auto"/>
            </w:tcBorders>
            <w:shd w:val="clear" w:color="auto" w:fill="auto"/>
            <w:noWrap/>
            <w:vAlign w:val="center"/>
            <w:hideMark/>
          </w:tcPr>
          <w:p w14:paraId="77236C55" w14:textId="77777777" w:rsidR="00DA611C" w:rsidRDefault="00DA611C">
            <w:pPr>
              <w:jc w:val="right"/>
              <w:rPr>
                <w:rFonts w:ascii="Verdana" w:hAnsi="Verdana" w:cs="Arial"/>
                <w:sz w:val="16"/>
                <w:szCs w:val="16"/>
              </w:rPr>
            </w:pPr>
            <w:r>
              <w:rPr>
                <w:rFonts w:ascii="Verdana" w:hAnsi="Verdana" w:cs="Arial"/>
                <w:sz w:val="16"/>
                <w:szCs w:val="16"/>
              </w:rPr>
              <w:t xml:space="preserve">2,853 </w:t>
            </w:r>
          </w:p>
        </w:tc>
        <w:tc>
          <w:tcPr>
            <w:tcW w:w="1194" w:type="dxa"/>
            <w:tcBorders>
              <w:top w:val="nil"/>
              <w:left w:val="nil"/>
              <w:bottom w:val="nil"/>
              <w:right w:val="single" w:sz="4" w:space="0" w:color="auto"/>
            </w:tcBorders>
            <w:shd w:val="clear" w:color="auto" w:fill="auto"/>
            <w:noWrap/>
            <w:vAlign w:val="center"/>
            <w:hideMark/>
          </w:tcPr>
          <w:p w14:paraId="25000047"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(88,891)</w:t>
            </w:r>
          </w:p>
        </w:tc>
        <w:tc>
          <w:tcPr>
            <w:tcW w:w="1194" w:type="dxa"/>
            <w:tcBorders>
              <w:top w:val="nil"/>
              <w:left w:val="nil"/>
              <w:bottom w:val="nil"/>
              <w:right w:val="single" w:sz="4" w:space="0" w:color="auto"/>
            </w:tcBorders>
            <w:shd w:val="clear" w:color="auto" w:fill="auto"/>
            <w:noWrap/>
            <w:vAlign w:val="center"/>
            <w:hideMark/>
          </w:tcPr>
          <w:p w14:paraId="0C175FF7"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(11,707)</w:t>
            </w:r>
          </w:p>
        </w:tc>
        <w:tc>
          <w:tcPr>
            <w:tcW w:w="1194" w:type="dxa"/>
            <w:tcBorders>
              <w:top w:val="nil"/>
              <w:left w:val="nil"/>
              <w:bottom w:val="nil"/>
              <w:right w:val="single" w:sz="4" w:space="0" w:color="auto"/>
            </w:tcBorders>
            <w:shd w:val="clear" w:color="auto" w:fill="auto"/>
            <w:noWrap/>
            <w:vAlign w:val="center"/>
            <w:hideMark/>
          </w:tcPr>
          <w:p w14:paraId="77C934BC" w14:textId="77777777" w:rsidR="00DA611C" w:rsidRDefault="00DA611C">
            <w:pPr>
              <w:jc w:val="right"/>
              <w:rPr>
                <w:rFonts w:ascii="Verdana" w:hAnsi="Verdana" w:cs="Arial"/>
                <w:b/>
                <w:bCs/>
                <w:sz w:val="16"/>
                <w:szCs w:val="16"/>
              </w:rPr>
            </w:pPr>
            <w:r>
              <w:rPr>
                <w:rFonts w:ascii="Verdana" w:hAnsi="Verdana" w:cs="Arial"/>
                <w:b/>
                <w:bCs/>
                <w:sz w:val="16"/>
                <w:szCs w:val="16"/>
              </w:rPr>
              <w:t>(100,598)</w:t>
            </w:r>
          </w:p>
        </w:tc>
      </w:tr>
      <w:tr w:rsidR="00DA611C" w14:paraId="0BC06AF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77432F8A" w14:textId="77777777" w:rsidR="00DA611C" w:rsidRDefault="00DA611C">
            <w:pPr>
              <w:rPr>
                <w:rFonts w:ascii="Verdana" w:hAnsi="Verdana" w:cs="Arial"/>
                <w:sz w:val="16"/>
                <w:szCs w:val="16"/>
              </w:rPr>
            </w:pPr>
            <w:r>
              <w:rPr>
                <w:rFonts w:ascii="Verdana" w:hAnsi="Verdana" w:cs="Arial"/>
                <w:sz w:val="16"/>
                <w:szCs w:val="16"/>
              </w:rPr>
              <w:t>Business Rates Growth Pilot &amp; Levy</w:t>
            </w:r>
          </w:p>
        </w:tc>
        <w:tc>
          <w:tcPr>
            <w:tcW w:w="1194" w:type="dxa"/>
            <w:tcBorders>
              <w:top w:val="nil"/>
              <w:left w:val="nil"/>
              <w:bottom w:val="nil"/>
              <w:right w:val="single" w:sz="4" w:space="0" w:color="auto"/>
            </w:tcBorders>
            <w:shd w:val="clear" w:color="auto" w:fill="auto"/>
            <w:noWrap/>
            <w:vAlign w:val="center"/>
            <w:hideMark/>
          </w:tcPr>
          <w:p w14:paraId="6783C7C7" w14:textId="77777777" w:rsidR="00DA611C" w:rsidRDefault="00DA611C">
            <w:pPr>
              <w:jc w:val="right"/>
              <w:rPr>
                <w:rFonts w:ascii="Verdana" w:hAnsi="Verdana" w:cs="Arial"/>
                <w:b/>
                <w:bCs/>
                <w:sz w:val="16"/>
                <w:szCs w:val="16"/>
              </w:rPr>
            </w:pPr>
            <w:r>
              <w:rPr>
                <w:rFonts w:ascii="Verdana" w:hAnsi="Verdana" w:cs="Arial"/>
                <w:b/>
                <w:bCs/>
                <w:sz w:val="16"/>
                <w:szCs w:val="16"/>
              </w:rPr>
              <w:t>(87,978)</w:t>
            </w:r>
          </w:p>
        </w:tc>
        <w:tc>
          <w:tcPr>
            <w:tcW w:w="1194" w:type="dxa"/>
            <w:tcBorders>
              <w:top w:val="nil"/>
              <w:left w:val="nil"/>
              <w:bottom w:val="nil"/>
              <w:right w:val="single" w:sz="4" w:space="0" w:color="auto"/>
            </w:tcBorders>
            <w:shd w:val="clear" w:color="auto" w:fill="auto"/>
            <w:noWrap/>
            <w:vAlign w:val="center"/>
            <w:hideMark/>
          </w:tcPr>
          <w:p w14:paraId="459406DE" w14:textId="77777777" w:rsidR="00DA611C" w:rsidRDefault="00DA611C">
            <w:pPr>
              <w:jc w:val="right"/>
              <w:rPr>
                <w:rFonts w:ascii="Verdana" w:hAnsi="Verdana" w:cs="Arial"/>
                <w:sz w:val="16"/>
                <w:szCs w:val="16"/>
              </w:rPr>
            </w:pPr>
            <w:r>
              <w:rPr>
                <w:rFonts w:ascii="Verdana" w:hAnsi="Verdana" w:cs="Arial"/>
                <w:sz w:val="16"/>
                <w:szCs w:val="16"/>
              </w:rPr>
              <w:t xml:space="preserve">54,786 </w:t>
            </w:r>
          </w:p>
        </w:tc>
        <w:tc>
          <w:tcPr>
            <w:tcW w:w="1194" w:type="dxa"/>
            <w:tcBorders>
              <w:top w:val="nil"/>
              <w:left w:val="nil"/>
              <w:bottom w:val="nil"/>
              <w:right w:val="single" w:sz="4" w:space="0" w:color="auto"/>
            </w:tcBorders>
            <w:shd w:val="clear" w:color="auto" w:fill="auto"/>
            <w:noWrap/>
            <w:vAlign w:val="center"/>
            <w:hideMark/>
          </w:tcPr>
          <w:p w14:paraId="5AD849DD"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(33,192)</w:t>
            </w:r>
          </w:p>
        </w:tc>
        <w:tc>
          <w:tcPr>
            <w:tcW w:w="1194" w:type="dxa"/>
            <w:tcBorders>
              <w:top w:val="nil"/>
              <w:left w:val="nil"/>
              <w:bottom w:val="nil"/>
              <w:right w:val="single" w:sz="4" w:space="0" w:color="auto"/>
            </w:tcBorders>
            <w:shd w:val="clear" w:color="auto" w:fill="auto"/>
            <w:noWrap/>
            <w:vAlign w:val="center"/>
            <w:hideMark/>
          </w:tcPr>
          <w:p w14:paraId="36968D9C" w14:textId="77777777" w:rsidR="00DA611C" w:rsidRDefault="00DA611C">
            <w:pPr>
              <w:jc w:val="right"/>
              <w:rPr>
                <w:rFonts w:ascii="Verdana" w:hAnsi="Verdana" w:cs="Arial"/>
                <w:color w:val="000000"/>
                <w:sz w:val="16"/>
                <w:szCs w:val="16"/>
              </w:rPr>
            </w:pPr>
            <w:r>
              <w:rPr>
                <w:rFonts w:ascii="Verdana" w:hAnsi="Verdana" w:cs="Arial"/>
                <w:color w:val="000000"/>
                <w:sz w:val="16"/>
                <w:szCs w:val="16"/>
              </w:rPr>
              <w:t>(4,449)</w:t>
            </w:r>
          </w:p>
        </w:tc>
        <w:tc>
          <w:tcPr>
            <w:tcW w:w="1194" w:type="dxa"/>
            <w:tcBorders>
              <w:top w:val="nil"/>
              <w:left w:val="nil"/>
              <w:bottom w:val="nil"/>
              <w:right w:val="single" w:sz="4" w:space="0" w:color="auto"/>
            </w:tcBorders>
            <w:shd w:val="clear" w:color="auto" w:fill="auto"/>
            <w:noWrap/>
            <w:vAlign w:val="center"/>
            <w:hideMark/>
          </w:tcPr>
          <w:p w14:paraId="48C369D8" w14:textId="77777777" w:rsidR="00DA611C" w:rsidRDefault="00DA611C">
            <w:pPr>
              <w:jc w:val="right"/>
              <w:rPr>
                <w:rFonts w:ascii="Verdana" w:hAnsi="Verdana" w:cs="Arial"/>
                <w:b/>
                <w:bCs/>
                <w:sz w:val="16"/>
                <w:szCs w:val="16"/>
              </w:rPr>
            </w:pPr>
            <w:r>
              <w:rPr>
                <w:rFonts w:ascii="Verdana" w:hAnsi="Verdana" w:cs="Arial"/>
                <w:b/>
                <w:bCs/>
                <w:sz w:val="16"/>
                <w:szCs w:val="16"/>
              </w:rPr>
              <w:t>(37,641)</w:t>
            </w:r>
          </w:p>
        </w:tc>
      </w:tr>
      <w:tr w:rsidR="00DA611C" w14:paraId="5FC8FD42"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6FD399D5" w14:textId="77777777" w:rsidR="00DA611C" w:rsidRDefault="00DA611C">
            <w:pPr>
              <w:rPr>
                <w:rFonts w:ascii="Verdana" w:hAnsi="Verdana" w:cs="Arial"/>
                <w:sz w:val="16"/>
                <w:szCs w:val="16"/>
              </w:rPr>
            </w:pPr>
            <w:r>
              <w:rPr>
                <w:rFonts w:ascii="Verdana" w:hAnsi="Verdana" w:cs="Arial"/>
                <w:sz w:val="16"/>
                <w:szCs w:val="16"/>
              </w:rPr>
              <w:t>HIF Interest and Arrangement Fees</w:t>
            </w:r>
          </w:p>
        </w:tc>
        <w:tc>
          <w:tcPr>
            <w:tcW w:w="1194" w:type="dxa"/>
            <w:tcBorders>
              <w:top w:val="nil"/>
              <w:left w:val="nil"/>
              <w:bottom w:val="nil"/>
              <w:right w:val="single" w:sz="4" w:space="0" w:color="auto"/>
            </w:tcBorders>
            <w:shd w:val="clear" w:color="auto" w:fill="auto"/>
            <w:noWrap/>
            <w:vAlign w:val="center"/>
            <w:hideMark/>
          </w:tcPr>
          <w:p w14:paraId="23C16B01" w14:textId="77777777" w:rsidR="00DA611C" w:rsidRDefault="00DA611C">
            <w:pPr>
              <w:jc w:val="right"/>
              <w:rPr>
                <w:rFonts w:ascii="Verdana" w:hAnsi="Verdana" w:cs="Arial"/>
                <w:b/>
                <w:bCs/>
                <w:sz w:val="16"/>
                <w:szCs w:val="16"/>
              </w:rPr>
            </w:pPr>
            <w:r>
              <w:rPr>
                <w:rFonts w:ascii="Verdana" w:hAnsi="Verdana" w:cs="Arial"/>
                <w:b/>
                <w:bCs/>
                <w:sz w:val="16"/>
                <w:szCs w:val="16"/>
              </w:rPr>
              <w:t>(7,921)</w:t>
            </w:r>
          </w:p>
        </w:tc>
        <w:tc>
          <w:tcPr>
            <w:tcW w:w="1194" w:type="dxa"/>
            <w:tcBorders>
              <w:top w:val="nil"/>
              <w:left w:val="nil"/>
              <w:bottom w:val="nil"/>
              <w:right w:val="single" w:sz="4" w:space="0" w:color="auto"/>
            </w:tcBorders>
            <w:shd w:val="clear" w:color="auto" w:fill="auto"/>
            <w:noWrap/>
            <w:vAlign w:val="center"/>
            <w:hideMark/>
          </w:tcPr>
          <w:p w14:paraId="4E32CB1F" w14:textId="77777777" w:rsidR="00DA611C" w:rsidRDefault="00DA611C">
            <w:pPr>
              <w:jc w:val="right"/>
              <w:rPr>
                <w:rFonts w:ascii="Verdana" w:hAnsi="Verdana" w:cs="Arial"/>
                <w:sz w:val="16"/>
                <w:szCs w:val="16"/>
              </w:rPr>
            </w:pPr>
            <w:r>
              <w:rPr>
                <w:rFonts w:ascii="Verdana" w:hAnsi="Verdana" w:cs="Arial"/>
                <w:sz w:val="16"/>
                <w:szCs w:val="16"/>
              </w:rPr>
              <w:t>(3,066)</w:t>
            </w:r>
          </w:p>
        </w:tc>
        <w:tc>
          <w:tcPr>
            <w:tcW w:w="1194" w:type="dxa"/>
            <w:tcBorders>
              <w:top w:val="nil"/>
              <w:left w:val="nil"/>
              <w:bottom w:val="nil"/>
              <w:right w:val="single" w:sz="4" w:space="0" w:color="auto"/>
            </w:tcBorders>
            <w:shd w:val="clear" w:color="auto" w:fill="auto"/>
            <w:noWrap/>
            <w:vAlign w:val="center"/>
            <w:hideMark/>
          </w:tcPr>
          <w:p w14:paraId="0DA7423A"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(10,987)</w:t>
            </w:r>
          </w:p>
        </w:tc>
        <w:tc>
          <w:tcPr>
            <w:tcW w:w="1194" w:type="dxa"/>
            <w:tcBorders>
              <w:top w:val="nil"/>
              <w:left w:val="nil"/>
              <w:bottom w:val="nil"/>
              <w:right w:val="single" w:sz="4" w:space="0" w:color="auto"/>
            </w:tcBorders>
            <w:shd w:val="clear" w:color="auto" w:fill="auto"/>
            <w:noWrap/>
            <w:vAlign w:val="center"/>
            <w:hideMark/>
          </w:tcPr>
          <w:p w14:paraId="64A45601"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(2,080)</w:t>
            </w:r>
          </w:p>
        </w:tc>
        <w:tc>
          <w:tcPr>
            <w:tcW w:w="1194" w:type="dxa"/>
            <w:tcBorders>
              <w:top w:val="nil"/>
              <w:left w:val="nil"/>
              <w:bottom w:val="nil"/>
              <w:right w:val="single" w:sz="4" w:space="0" w:color="auto"/>
            </w:tcBorders>
            <w:shd w:val="clear" w:color="auto" w:fill="auto"/>
            <w:noWrap/>
            <w:vAlign w:val="center"/>
            <w:hideMark/>
          </w:tcPr>
          <w:p w14:paraId="0F844147" w14:textId="77777777" w:rsidR="00DA611C" w:rsidRDefault="00DA611C">
            <w:pPr>
              <w:jc w:val="right"/>
              <w:rPr>
                <w:rFonts w:ascii="Verdana" w:hAnsi="Verdana" w:cs="Arial"/>
                <w:b/>
                <w:bCs/>
                <w:sz w:val="16"/>
                <w:szCs w:val="16"/>
              </w:rPr>
            </w:pPr>
            <w:r>
              <w:rPr>
                <w:rFonts w:ascii="Verdana" w:hAnsi="Verdana" w:cs="Arial"/>
                <w:b/>
                <w:bCs/>
                <w:sz w:val="16"/>
                <w:szCs w:val="16"/>
              </w:rPr>
              <w:t>(13,067)</w:t>
            </w:r>
          </w:p>
        </w:tc>
      </w:tr>
      <w:tr w:rsidR="00DA611C" w14:paraId="17AC5095"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CA8BD38" w14:textId="77777777" w:rsidR="00DA611C" w:rsidRDefault="00DA611C">
            <w:pPr>
              <w:rPr>
                <w:rFonts w:ascii="Verdana" w:hAnsi="Verdana" w:cs="Arial"/>
                <w:sz w:val="16"/>
                <w:szCs w:val="16"/>
              </w:rPr>
            </w:pPr>
            <w:r>
              <w:rPr>
                <w:rFonts w:ascii="Verdana" w:hAnsi="Verdana" w:cs="Arial"/>
                <w:sz w:val="16"/>
                <w:szCs w:val="16"/>
              </w:rPr>
              <w:t>Our Pass Reserve</w:t>
            </w:r>
          </w:p>
        </w:tc>
        <w:tc>
          <w:tcPr>
            <w:tcW w:w="1194" w:type="dxa"/>
            <w:tcBorders>
              <w:top w:val="nil"/>
              <w:left w:val="nil"/>
              <w:bottom w:val="nil"/>
              <w:right w:val="single" w:sz="4" w:space="0" w:color="auto"/>
            </w:tcBorders>
            <w:shd w:val="clear" w:color="auto" w:fill="auto"/>
            <w:noWrap/>
            <w:vAlign w:val="center"/>
            <w:hideMark/>
          </w:tcPr>
          <w:p w14:paraId="306FEAEE" w14:textId="77777777" w:rsidR="00DA611C" w:rsidRDefault="00DA611C">
            <w:pPr>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50948147" w14:textId="77777777" w:rsidR="00DA611C" w:rsidRDefault="00DA611C">
            <w:pPr>
              <w:jc w:val="right"/>
              <w:rPr>
                <w:rFonts w:ascii="Verdana" w:hAnsi="Verdana" w:cs="Arial"/>
                <w:sz w:val="16"/>
                <w:szCs w:val="16"/>
              </w:rPr>
            </w:pPr>
            <w:r>
              <w:rPr>
                <w:rFonts w:ascii="Verdana" w:hAnsi="Verdana" w:cs="Arial"/>
                <w:sz w:val="16"/>
                <w:szCs w:val="16"/>
              </w:rPr>
              <w:t>(5,688)</w:t>
            </w:r>
          </w:p>
        </w:tc>
        <w:tc>
          <w:tcPr>
            <w:tcW w:w="1194" w:type="dxa"/>
            <w:tcBorders>
              <w:top w:val="nil"/>
              <w:left w:val="nil"/>
              <w:bottom w:val="nil"/>
              <w:right w:val="single" w:sz="4" w:space="0" w:color="auto"/>
            </w:tcBorders>
            <w:shd w:val="clear" w:color="auto" w:fill="auto"/>
            <w:noWrap/>
            <w:vAlign w:val="center"/>
            <w:hideMark/>
          </w:tcPr>
          <w:p w14:paraId="6C30724F"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(5,688)</w:t>
            </w:r>
          </w:p>
        </w:tc>
        <w:tc>
          <w:tcPr>
            <w:tcW w:w="1194" w:type="dxa"/>
            <w:tcBorders>
              <w:top w:val="nil"/>
              <w:left w:val="nil"/>
              <w:bottom w:val="nil"/>
              <w:right w:val="single" w:sz="4" w:space="0" w:color="auto"/>
            </w:tcBorders>
            <w:shd w:val="clear" w:color="auto" w:fill="auto"/>
            <w:noWrap/>
            <w:vAlign w:val="center"/>
            <w:hideMark/>
          </w:tcPr>
          <w:p w14:paraId="199E21A9" w14:textId="77777777" w:rsidR="00DA611C" w:rsidRDefault="00DA611C">
            <w:pPr>
              <w:jc w:val="right"/>
              <w:rPr>
                <w:rFonts w:ascii="Verdana" w:hAnsi="Verdana" w:cs="Arial"/>
                <w:color w:val="000000"/>
                <w:sz w:val="16"/>
                <w:szCs w:val="16"/>
              </w:rPr>
            </w:pPr>
            <w:r>
              <w:rPr>
                <w:rFonts w:ascii="Verdana" w:hAnsi="Verdana" w:cs="Arial"/>
                <w:color w:val="000000"/>
                <w:sz w:val="16"/>
                <w:szCs w:val="16"/>
              </w:rPr>
              <w:t>5,688</w:t>
            </w:r>
          </w:p>
        </w:tc>
        <w:tc>
          <w:tcPr>
            <w:tcW w:w="1194" w:type="dxa"/>
            <w:tcBorders>
              <w:top w:val="nil"/>
              <w:left w:val="nil"/>
              <w:bottom w:val="nil"/>
              <w:right w:val="single" w:sz="4" w:space="0" w:color="auto"/>
            </w:tcBorders>
            <w:shd w:val="clear" w:color="auto" w:fill="auto"/>
            <w:noWrap/>
            <w:vAlign w:val="center"/>
            <w:hideMark/>
          </w:tcPr>
          <w:p w14:paraId="627E05AB" w14:textId="77777777" w:rsidR="00DA611C" w:rsidRDefault="00DA611C">
            <w:pPr>
              <w:jc w:val="right"/>
              <w:rPr>
                <w:rFonts w:ascii="Verdana" w:hAnsi="Verdana" w:cs="Arial"/>
                <w:b/>
                <w:bCs/>
                <w:sz w:val="16"/>
                <w:szCs w:val="16"/>
              </w:rPr>
            </w:pPr>
            <w:r>
              <w:rPr>
                <w:rFonts w:ascii="Verdana" w:hAnsi="Verdana" w:cs="Arial"/>
                <w:b/>
                <w:bCs/>
                <w:sz w:val="16"/>
                <w:szCs w:val="16"/>
              </w:rPr>
              <w:t xml:space="preserve">0 </w:t>
            </w:r>
          </w:p>
        </w:tc>
      </w:tr>
      <w:tr w:rsidR="00DA611C" w14:paraId="54CBE6D1"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89C2757" w14:textId="77777777" w:rsidR="00DA611C" w:rsidRDefault="00DA611C">
            <w:pPr>
              <w:rPr>
                <w:rFonts w:ascii="Verdana" w:hAnsi="Verdana" w:cs="Arial"/>
                <w:sz w:val="16"/>
                <w:szCs w:val="16"/>
              </w:rPr>
            </w:pPr>
            <w:r>
              <w:rPr>
                <w:rFonts w:ascii="Verdana" w:hAnsi="Verdana" w:cs="Arial"/>
                <w:sz w:val="16"/>
                <w:szCs w:val="16"/>
              </w:rPr>
              <w:t>A Bed Every Night</w:t>
            </w:r>
          </w:p>
        </w:tc>
        <w:tc>
          <w:tcPr>
            <w:tcW w:w="1194" w:type="dxa"/>
            <w:tcBorders>
              <w:top w:val="nil"/>
              <w:left w:val="nil"/>
              <w:bottom w:val="nil"/>
              <w:right w:val="single" w:sz="4" w:space="0" w:color="auto"/>
            </w:tcBorders>
            <w:shd w:val="clear" w:color="auto" w:fill="auto"/>
            <w:noWrap/>
            <w:vAlign w:val="center"/>
            <w:hideMark/>
          </w:tcPr>
          <w:p w14:paraId="299E0BD3" w14:textId="77777777" w:rsidR="00DA611C" w:rsidRDefault="00DA611C">
            <w:pPr>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2F38619D" w14:textId="77777777" w:rsidR="00DA611C" w:rsidRDefault="00DA611C">
            <w:pPr>
              <w:jc w:val="right"/>
              <w:rPr>
                <w:rFonts w:ascii="Verdana" w:hAnsi="Verdana" w:cs="Arial"/>
                <w:sz w:val="16"/>
                <w:szCs w:val="16"/>
              </w:rPr>
            </w:pPr>
            <w:r>
              <w:rPr>
                <w:rFonts w:ascii="Verdana" w:hAnsi="Verdana" w:cs="Arial"/>
                <w:sz w:val="16"/>
                <w:szCs w:val="16"/>
              </w:rPr>
              <w:t>(2,000)</w:t>
            </w:r>
          </w:p>
        </w:tc>
        <w:tc>
          <w:tcPr>
            <w:tcW w:w="1194" w:type="dxa"/>
            <w:tcBorders>
              <w:top w:val="nil"/>
              <w:left w:val="nil"/>
              <w:bottom w:val="nil"/>
              <w:right w:val="single" w:sz="4" w:space="0" w:color="auto"/>
            </w:tcBorders>
            <w:shd w:val="clear" w:color="auto" w:fill="auto"/>
            <w:noWrap/>
            <w:vAlign w:val="center"/>
            <w:hideMark/>
          </w:tcPr>
          <w:p w14:paraId="21059436"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(2,000)</w:t>
            </w:r>
          </w:p>
        </w:tc>
        <w:tc>
          <w:tcPr>
            <w:tcW w:w="1194" w:type="dxa"/>
            <w:tcBorders>
              <w:top w:val="nil"/>
              <w:left w:val="nil"/>
              <w:bottom w:val="nil"/>
              <w:right w:val="single" w:sz="4" w:space="0" w:color="auto"/>
            </w:tcBorders>
            <w:shd w:val="clear" w:color="auto" w:fill="auto"/>
            <w:noWrap/>
            <w:vAlign w:val="center"/>
            <w:hideMark/>
          </w:tcPr>
          <w:p w14:paraId="6E139CBA"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017085DC" w14:textId="77777777" w:rsidR="00DA611C" w:rsidRDefault="00DA611C">
            <w:pPr>
              <w:jc w:val="right"/>
              <w:rPr>
                <w:rFonts w:ascii="Verdana" w:hAnsi="Verdana" w:cs="Arial"/>
                <w:b/>
                <w:bCs/>
                <w:sz w:val="16"/>
                <w:szCs w:val="16"/>
              </w:rPr>
            </w:pPr>
            <w:r>
              <w:rPr>
                <w:rFonts w:ascii="Verdana" w:hAnsi="Verdana" w:cs="Arial"/>
                <w:b/>
                <w:bCs/>
                <w:sz w:val="16"/>
                <w:szCs w:val="16"/>
              </w:rPr>
              <w:t>(2,000)</w:t>
            </w:r>
          </w:p>
        </w:tc>
      </w:tr>
      <w:tr w:rsidR="00DA611C" w14:paraId="1E0ACE9B"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2D62CBFA" w14:textId="77777777" w:rsidR="00DA611C" w:rsidRDefault="00DA611C">
            <w:pPr>
              <w:rPr>
                <w:rFonts w:ascii="Verdana" w:hAnsi="Verdana" w:cs="Arial"/>
                <w:sz w:val="16"/>
                <w:szCs w:val="16"/>
              </w:rPr>
            </w:pPr>
            <w:r>
              <w:rPr>
                <w:rFonts w:ascii="Verdana" w:hAnsi="Verdana" w:cs="Arial"/>
                <w:sz w:val="16"/>
                <w:szCs w:val="16"/>
              </w:rPr>
              <w:t>Brownfield Fund</w:t>
            </w:r>
          </w:p>
        </w:tc>
        <w:tc>
          <w:tcPr>
            <w:tcW w:w="1194" w:type="dxa"/>
            <w:tcBorders>
              <w:top w:val="nil"/>
              <w:left w:val="nil"/>
              <w:bottom w:val="nil"/>
              <w:right w:val="single" w:sz="4" w:space="0" w:color="auto"/>
            </w:tcBorders>
            <w:shd w:val="clear" w:color="auto" w:fill="auto"/>
            <w:noWrap/>
            <w:vAlign w:val="center"/>
            <w:hideMark/>
          </w:tcPr>
          <w:p w14:paraId="4237F1EA" w14:textId="77777777" w:rsidR="00DA611C" w:rsidRDefault="00DA611C">
            <w:pPr>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77486B68" w14:textId="77777777" w:rsidR="00DA611C" w:rsidRDefault="00DA611C">
            <w:pPr>
              <w:jc w:val="right"/>
              <w:rPr>
                <w:rFonts w:ascii="Verdana" w:hAnsi="Verdana" w:cs="Arial"/>
                <w:sz w:val="16"/>
                <w:szCs w:val="16"/>
              </w:rPr>
            </w:pPr>
            <w:r>
              <w:rPr>
                <w:rFonts w:ascii="Verdana" w:hAnsi="Verdana" w:cs="Arial"/>
                <w:sz w:val="16"/>
                <w:szCs w:val="16"/>
              </w:rPr>
              <w:t>(1,551)</w:t>
            </w:r>
          </w:p>
        </w:tc>
        <w:tc>
          <w:tcPr>
            <w:tcW w:w="1194" w:type="dxa"/>
            <w:tcBorders>
              <w:top w:val="nil"/>
              <w:left w:val="nil"/>
              <w:bottom w:val="nil"/>
              <w:right w:val="single" w:sz="4" w:space="0" w:color="auto"/>
            </w:tcBorders>
            <w:shd w:val="clear" w:color="auto" w:fill="auto"/>
            <w:noWrap/>
            <w:vAlign w:val="center"/>
            <w:hideMark/>
          </w:tcPr>
          <w:p w14:paraId="304D66F9"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(1,551)</w:t>
            </w:r>
          </w:p>
        </w:tc>
        <w:tc>
          <w:tcPr>
            <w:tcW w:w="1194" w:type="dxa"/>
            <w:tcBorders>
              <w:top w:val="nil"/>
              <w:left w:val="nil"/>
              <w:bottom w:val="nil"/>
              <w:right w:val="single" w:sz="4" w:space="0" w:color="auto"/>
            </w:tcBorders>
            <w:shd w:val="clear" w:color="auto" w:fill="auto"/>
            <w:noWrap/>
            <w:vAlign w:val="center"/>
            <w:hideMark/>
          </w:tcPr>
          <w:p w14:paraId="24743168" w14:textId="77777777" w:rsidR="00DA611C" w:rsidRDefault="00DA611C">
            <w:pPr>
              <w:jc w:val="right"/>
              <w:rPr>
                <w:rFonts w:ascii="Verdana" w:hAnsi="Verdana" w:cs="Arial"/>
                <w:color w:val="000000"/>
                <w:sz w:val="16"/>
                <w:szCs w:val="16"/>
              </w:rPr>
            </w:pPr>
            <w:r>
              <w:rPr>
                <w:rFonts w:ascii="Verdana" w:hAnsi="Verdana" w:cs="Arial"/>
                <w:color w:val="000000"/>
                <w:sz w:val="16"/>
                <w:szCs w:val="16"/>
              </w:rPr>
              <w:t>494</w:t>
            </w:r>
          </w:p>
        </w:tc>
        <w:tc>
          <w:tcPr>
            <w:tcW w:w="1194" w:type="dxa"/>
            <w:tcBorders>
              <w:top w:val="nil"/>
              <w:left w:val="nil"/>
              <w:bottom w:val="nil"/>
              <w:right w:val="single" w:sz="4" w:space="0" w:color="auto"/>
            </w:tcBorders>
            <w:shd w:val="clear" w:color="auto" w:fill="auto"/>
            <w:noWrap/>
            <w:vAlign w:val="center"/>
            <w:hideMark/>
          </w:tcPr>
          <w:p w14:paraId="1898192F" w14:textId="77777777" w:rsidR="00DA611C" w:rsidRDefault="00DA611C">
            <w:pPr>
              <w:jc w:val="right"/>
              <w:rPr>
                <w:rFonts w:ascii="Verdana" w:hAnsi="Verdana" w:cs="Arial"/>
                <w:b/>
                <w:bCs/>
                <w:sz w:val="16"/>
                <w:szCs w:val="16"/>
              </w:rPr>
            </w:pPr>
            <w:r>
              <w:rPr>
                <w:rFonts w:ascii="Verdana" w:hAnsi="Verdana" w:cs="Arial"/>
                <w:b/>
                <w:bCs/>
                <w:sz w:val="16"/>
                <w:szCs w:val="16"/>
              </w:rPr>
              <w:t>(1,057)</w:t>
            </w:r>
          </w:p>
        </w:tc>
      </w:tr>
      <w:tr w:rsidR="00DA611C" w14:paraId="2B49424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1FA4E26F" w14:textId="77777777" w:rsidR="00DA611C" w:rsidRDefault="00DA611C">
            <w:pPr>
              <w:rPr>
                <w:rFonts w:ascii="Verdana" w:hAnsi="Verdana" w:cs="Arial"/>
                <w:sz w:val="16"/>
                <w:szCs w:val="16"/>
              </w:rPr>
            </w:pPr>
            <w:r>
              <w:rPr>
                <w:rFonts w:ascii="Verdana" w:hAnsi="Verdana" w:cs="Arial"/>
                <w:sz w:val="16"/>
                <w:szCs w:val="16"/>
              </w:rPr>
              <w:t>Active Travel Fund</w:t>
            </w:r>
          </w:p>
        </w:tc>
        <w:tc>
          <w:tcPr>
            <w:tcW w:w="1194" w:type="dxa"/>
            <w:tcBorders>
              <w:top w:val="nil"/>
              <w:left w:val="nil"/>
              <w:bottom w:val="nil"/>
              <w:right w:val="single" w:sz="4" w:space="0" w:color="auto"/>
            </w:tcBorders>
            <w:shd w:val="clear" w:color="auto" w:fill="auto"/>
            <w:noWrap/>
            <w:vAlign w:val="center"/>
            <w:hideMark/>
          </w:tcPr>
          <w:p w14:paraId="138F72CD" w14:textId="77777777" w:rsidR="00DA611C" w:rsidRDefault="00DA611C">
            <w:pPr>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0133D7FA"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(2,759)</w:t>
            </w:r>
          </w:p>
        </w:tc>
        <w:tc>
          <w:tcPr>
            <w:tcW w:w="1194" w:type="dxa"/>
            <w:tcBorders>
              <w:top w:val="nil"/>
              <w:left w:val="nil"/>
              <w:bottom w:val="nil"/>
              <w:right w:val="single" w:sz="4" w:space="0" w:color="auto"/>
            </w:tcBorders>
            <w:shd w:val="clear" w:color="auto" w:fill="auto"/>
            <w:noWrap/>
            <w:vAlign w:val="center"/>
            <w:hideMark/>
          </w:tcPr>
          <w:p w14:paraId="3CF13975"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(2,759)</w:t>
            </w:r>
          </w:p>
        </w:tc>
        <w:tc>
          <w:tcPr>
            <w:tcW w:w="1194" w:type="dxa"/>
            <w:tcBorders>
              <w:top w:val="nil"/>
              <w:left w:val="nil"/>
              <w:bottom w:val="nil"/>
              <w:right w:val="single" w:sz="4" w:space="0" w:color="auto"/>
            </w:tcBorders>
            <w:shd w:val="clear" w:color="auto" w:fill="auto"/>
            <w:noWrap/>
            <w:vAlign w:val="center"/>
            <w:hideMark/>
          </w:tcPr>
          <w:p w14:paraId="0D361AB8" w14:textId="77777777" w:rsidR="00DA611C" w:rsidRDefault="00DA611C">
            <w:pPr>
              <w:jc w:val="right"/>
              <w:rPr>
                <w:rFonts w:ascii="Verdana" w:hAnsi="Verdana" w:cs="Arial"/>
                <w:color w:val="000000"/>
                <w:sz w:val="16"/>
                <w:szCs w:val="16"/>
              </w:rPr>
            </w:pPr>
            <w:r>
              <w:rPr>
                <w:rFonts w:ascii="Verdana" w:hAnsi="Verdana" w:cs="Arial"/>
                <w:color w:val="000000"/>
                <w:sz w:val="16"/>
                <w:szCs w:val="16"/>
              </w:rPr>
              <w:t>410</w:t>
            </w:r>
          </w:p>
        </w:tc>
        <w:tc>
          <w:tcPr>
            <w:tcW w:w="1194" w:type="dxa"/>
            <w:tcBorders>
              <w:top w:val="nil"/>
              <w:left w:val="nil"/>
              <w:bottom w:val="nil"/>
              <w:right w:val="single" w:sz="4" w:space="0" w:color="auto"/>
            </w:tcBorders>
            <w:shd w:val="clear" w:color="auto" w:fill="auto"/>
            <w:noWrap/>
            <w:vAlign w:val="center"/>
            <w:hideMark/>
          </w:tcPr>
          <w:p w14:paraId="6FABC248" w14:textId="77777777" w:rsidR="00DA611C" w:rsidRDefault="00DA611C">
            <w:pPr>
              <w:jc w:val="right"/>
              <w:rPr>
                <w:rFonts w:ascii="Verdana" w:hAnsi="Verdana" w:cs="Arial"/>
                <w:b/>
                <w:bCs/>
                <w:sz w:val="16"/>
                <w:szCs w:val="16"/>
              </w:rPr>
            </w:pPr>
            <w:r>
              <w:rPr>
                <w:rFonts w:ascii="Verdana" w:hAnsi="Verdana" w:cs="Arial"/>
                <w:b/>
                <w:bCs/>
                <w:sz w:val="16"/>
                <w:szCs w:val="16"/>
              </w:rPr>
              <w:t>(2,349)</w:t>
            </w:r>
          </w:p>
        </w:tc>
      </w:tr>
      <w:tr w:rsidR="00DA611C" w14:paraId="3269034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47FD2CA" w14:textId="77777777" w:rsidR="00DA611C" w:rsidRDefault="00DA611C">
            <w:pPr>
              <w:rPr>
                <w:rFonts w:ascii="Verdana" w:hAnsi="Verdana" w:cs="Arial"/>
                <w:sz w:val="16"/>
                <w:szCs w:val="16"/>
              </w:rPr>
            </w:pPr>
            <w:r>
              <w:rPr>
                <w:rFonts w:ascii="Verdana" w:hAnsi="Verdana" w:cs="Arial"/>
                <w:sz w:val="16"/>
                <w:szCs w:val="16"/>
              </w:rPr>
              <w:t>Other Transport and ED&amp;R Reserves</w:t>
            </w:r>
          </w:p>
        </w:tc>
        <w:tc>
          <w:tcPr>
            <w:tcW w:w="1194" w:type="dxa"/>
            <w:tcBorders>
              <w:top w:val="nil"/>
              <w:left w:val="nil"/>
              <w:bottom w:val="nil"/>
              <w:right w:val="single" w:sz="4" w:space="0" w:color="auto"/>
            </w:tcBorders>
            <w:shd w:val="clear" w:color="auto" w:fill="auto"/>
            <w:noWrap/>
            <w:vAlign w:val="center"/>
            <w:hideMark/>
          </w:tcPr>
          <w:p w14:paraId="26C6700B" w14:textId="77777777" w:rsidR="00DA611C" w:rsidRDefault="00DA611C">
            <w:pPr>
              <w:jc w:val="right"/>
              <w:rPr>
                <w:rFonts w:ascii="Verdana" w:hAnsi="Verdana" w:cs="Arial"/>
                <w:b/>
                <w:bCs/>
                <w:sz w:val="16"/>
                <w:szCs w:val="16"/>
              </w:rPr>
            </w:pPr>
            <w:r>
              <w:rPr>
                <w:rFonts w:ascii="Verdana" w:hAnsi="Verdana" w:cs="Arial"/>
                <w:b/>
                <w:bCs/>
                <w:sz w:val="16"/>
                <w:szCs w:val="16"/>
              </w:rPr>
              <w:t>(11,498)</w:t>
            </w:r>
          </w:p>
        </w:tc>
        <w:tc>
          <w:tcPr>
            <w:tcW w:w="1194" w:type="dxa"/>
            <w:tcBorders>
              <w:top w:val="nil"/>
              <w:left w:val="nil"/>
              <w:bottom w:val="nil"/>
              <w:right w:val="single" w:sz="4" w:space="0" w:color="auto"/>
            </w:tcBorders>
            <w:shd w:val="clear" w:color="auto" w:fill="auto"/>
            <w:noWrap/>
            <w:vAlign w:val="center"/>
            <w:hideMark/>
          </w:tcPr>
          <w:p w14:paraId="25C5159D"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831 </w:t>
            </w:r>
          </w:p>
        </w:tc>
        <w:tc>
          <w:tcPr>
            <w:tcW w:w="1194" w:type="dxa"/>
            <w:tcBorders>
              <w:top w:val="nil"/>
              <w:left w:val="nil"/>
              <w:bottom w:val="nil"/>
              <w:right w:val="single" w:sz="4" w:space="0" w:color="auto"/>
            </w:tcBorders>
            <w:shd w:val="clear" w:color="auto" w:fill="auto"/>
            <w:noWrap/>
            <w:vAlign w:val="center"/>
            <w:hideMark/>
          </w:tcPr>
          <w:p w14:paraId="14DAE3AE"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(10,668)</w:t>
            </w:r>
          </w:p>
        </w:tc>
        <w:tc>
          <w:tcPr>
            <w:tcW w:w="1194" w:type="dxa"/>
            <w:tcBorders>
              <w:top w:val="nil"/>
              <w:left w:val="nil"/>
              <w:bottom w:val="nil"/>
              <w:right w:val="single" w:sz="4" w:space="0" w:color="auto"/>
            </w:tcBorders>
            <w:shd w:val="clear" w:color="auto" w:fill="auto"/>
            <w:noWrap/>
            <w:vAlign w:val="center"/>
            <w:hideMark/>
          </w:tcPr>
          <w:p w14:paraId="2C5D542B"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(2,492)</w:t>
            </w:r>
          </w:p>
        </w:tc>
        <w:tc>
          <w:tcPr>
            <w:tcW w:w="1194" w:type="dxa"/>
            <w:tcBorders>
              <w:top w:val="nil"/>
              <w:left w:val="nil"/>
              <w:bottom w:val="nil"/>
              <w:right w:val="single" w:sz="4" w:space="0" w:color="auto"/>
            </w:tcBorders>
            <w:shd w:val="clear" w:color="auto" w:fill="auto"/>
            <w:noWrap/>
            <w:vAlign w:val="center"/>
            <w:hideMark/>
          </w:tcPr>
          <w:p w14:paraId="1372B3D1" w14:textId="77777777" w:rsidR="00DA611C" w:rsidRDefault="00DA611C">
            <w:pPr>
              <w:jc w:val="right"/>
              <w:rPr>
                <w:rFonts w:ascii="Verdana" w:hAnsi="Verdana" w:cs="Arial"/>
                <w:b/>
                <w:bCs/>
                <w:sz w:val="16"/>
                <w:szCs w:val="16"/>
              </w:rPr>
            </w:pPr>
            <w:r>
              <w:rPr>
                <w:rFonts w:ascii="Verdana" w:hAnsi="Verdana" w:cs="Arial"/>
                <w:b/>
                <w:bCs/>
                <w:sz w:val="16"/>
                <w:szCs w:val="16"/>
              </w:rPr>
              <w:t>(13,160)</w:t>
            </w:r>
          </w:p>
        </w:tc>
      </w:tr>
      <w:tr w:rsidR="00DA611C" w14:paraId="48EDC07C"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01AEECDF" w14:textId="77777777" w:rsidR="00DA611C" w:rsidRDefault="00DA611C">
            <w:pPr>
              <w:rPr>
                <w:rFonts w:ascii="Verdana" w:hAnsi="Verdana" w:cs="Arial"/>
                <w:sz w:val="16"/>
                <w:szCs w:val="16"/>
              </w:rPr>
            </w:pPr>
            <w:r>
              <w:rPr>
                <w:rFonts w:ascii="Verdana" w:hAnsi="Verdana" w:cs="Arial"/>
                <w:sz w:val="16"/>
                <w:szCs w:val="16"/>
              </w:rPr>
              <w:t>Waste Disposal Insurance Reserve</w:t>
            </w:r>
          </w:p>
        </w:tc>
        <w:tc>
          <w:tcPr>
            <w:tcW w:w="1194" w:type="dxa"/>
            <w:tcBorders>
              <w:top w:val="nil"/>
              <w:left w:val="nil"/>
              <w:bottom w:val="nil"/>
              <w:right w:val="single" w:sz="4" w:space="0" w:color="auto"/>
            </w:tcBorders>
            <w:shd w:val="clear" w:color="auto" w:fill="auto"/>
            <w:noWrap/>
            <w:vAlign w:val="center"/>
            <w:hideMark/>
          </w:tcPr>
          <w:p w14:paraId="2EC1DE16" w14:textId="77777777" w:rsidR="00DA611C" w:rsidRDefault="00DA611C">
            <w:pPr>
              <w:jc w:val="right"/>
              <w:rPr>
                <w:rFonts w:ascii="Verdana" w:hAnsi="Verdana" w:cs="Arial"/>
                <w:b/>
                <w:bCs/>
                <w:sz w:val="16"/>
                <w:szCs w:val="16"/>
              </w:rPr>
            </w:pPr>
            <w:r>
              <w:rPr>
                <w:rFonts w:ascii="Verdana" w:hAnsi="Verdana" w:cs="Arial"/>
                <w:b/>
                <w:bCs/>
                <w:sz w:val="16"/>
                <w:szCs w:val="16"/>
              </w:rPr>
              <w:t>(12,694)</w:t>
            </w:r>
          </w:p>
        </w:tc>
        <w:tc>
          <w:tcPr>
            <w:tcW w:w="1194" w:type="dxa"/>
            <w:tcBorders>
              <w:top w:val="nil"/>
              <w:left w:val="nil"/>
              <w:bottom w:val="nil"/>
              <w:right w:val="single" w:sz="4" w:space="0" w:color="auto"/>
            </w:tcBorders>
            <w:shd w:val="clear" w:color="auto" w:fill="auto"/>
            <w:noWrap/>
            <w:vAlign w:val="center"/>
            <w:hideMark/>
          </w:tcPr>
          <w:p w14:paraId="5E71B8E0"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4BCE53C6"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(12,694)</w:t>
            </w:r>
          </w:p>
        </w:tc>
        <w:tc>
          <w:tcPr>
            <w:tcW w:w="1194" w:type="dxa"/>
            <w:tcBorders>
              <w:top w:val="nil"/>
              <w:left w:val="nil"/>
              <w:bottom w:val="nil"/>
              <w:right w:val="single" w:sz="4" w:space="0" w:color="auto"/>
            </w:tcBorders>
            <w:shd w:val="clear" w:color="auto" w:fill="auto"/>
            <w:noWrap/>
            <w:vAlign w:val="center"/>
            <w:hideMark/>
          </w:tcPr>
          <w:p w14:paraId="4570AA12"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0E3957E6" w14:textId="77777777" w:rsidR="00DA611C" w:rsidRDefault="00DA611C">
            <w:pPr>
              <w:jc w:val="right"/>
              <w:rPr>
                <w:rFonts w:ascii="Verdana" w:hAnsi="Verdana" w:cs="Arial"/>
                <w:b/>
                <w:bCs/>
                <w:sz w:val="16"/>
                <w:szCs w:val="16"/>
              </w:rPr>
            </w:pPr>
            <w:r>
              <w:rPr>
                <w:rFonts w:ascii="Verdana" w:hAnsi="Verdana" w:cs="Arial"/>
                <w:b/>
                <w:bCs/>
                <w:sz w:val="16"/>
                <w:szCs w:val="16"/>
              </w:rPr>
              <w:t>(12,694)</w:t>
            </w:r>
          </w:p>
        </w:tc>
      </w:tr>
      <w:tr w:rsidR="00DA611C" w14:paraId="4F05E7C0"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63FE3C25" w14:textId="77777777" w:rsidR="00DA611C" w:rsidRDefault="00DA611C">
            <w:pPr>
              <w:rPr>
                <w:rFonts w:ascii="Verdana" w:hAnsi="Verdana" w:cs="Arial"/>
                <w:sz w:val="16"/>
                <w:szCs w:val="16"/>
              </w:rPr>
            </w:pPr>
            <w:r>
              <w:rPr>
                <w:rFonts w:ascii="Verdana" w:hAnsi="Verdana" w:cs="Arial"/>
                <w:sz w:val="16"/>
                <w:szCs w:val="16"/>
              </w:rPr>
              <w:t>Waste Interest Rate Reserve</w:t>
            </w:r>
          </w:p>
        </w:tc>
        <w:tc>
          <w:tcPr>
            <w:tcW w:w="1194" w:type="dxa"/>
            <w:tcBorders>
              <w:top w:val="nil"/>
              <w:left w:val="nil"/>
              <w:bottom w:val="nil"/>
              <w:right w:val="single" w:sz="4" w:space="0" w:color="auto"/>
            </w:tcBorders>
            <w:shd w:val="clear" w:color="auto" w:fill="auto"/>
            <w:noWrap/>
            <w:vAlign w:val="center"/>
            <w:hideMark/>
          </w:tcPr>
          <w:p w14:paraId="2B56553F" w14:textId="77777777" w:rsidR="00DA611C" w:rsidRDefault="00DA611C">
            <w:pPr>
              <w:jc w:val="right"/>
              <w:rPr>
                <w:rFonts w:ascii="Verdana" w:hAnsi="Verdana" w:cs="Arial"/>
                <w:b/>
                <w:bCs/>
                <w:sz w:val="16"/>
                <w:szCs w:val="16"/>
              </w:rPr>
            </w:pPr>
            <w:r>
              <w:rPr>
                <w:rFonts w:ascii="Verdana" w:hAnsi="Verdana" w:cs="Arial"/>
                <w:b/>
                <w:bCs/>
                <w:sz w:val="16"/>
                <w:szCs w:val="16"/>
              </w:rPr>
              <w:t>(2,000)</w:t>
            </w:r>
          </w:p>
        </w:tc>
        <w:tc>
          <w:tcPr>
            <w:tcW w:w="1194" w:type="dxa"/>
            <w:tcBorders>
              <w:top w:val="nil"/>
              <w:left w:val="nil"/>
              <w:bottom w:val="nil"/>
              <w:right w:val="single" w:sz="4" w:space="0" w:color="auto"/>
            </w:tcBorders>
            <w:shd w:val="clear" w:color="auto" w:fill="auto"/>
            <w:noWrap/>
            <w:vAlign w:val="center"/>
            <w:hideMark/>
          </w:tcPr>
          <w:p w14:paraId="2A112AC1"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6FA1F1EC"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(2,000)</w:t>
            </w:r>
          </w:p>
        </w:tc>
        <w:tc>
          <w:tcPr>
            <w:tcW w:w="1194" w:type="dxa"/>
            <w:tcBorders>
              <w:top w:val="nil"/>
              <w:left w:val="nil"/>
              <w:bottom w:val="nil"/>
              <w:right w:val="single" w:sz="4" w:space="0" w:color="auto"/>
            </w:tcBorders>
            <w:shd w:val="clear" w:color="auto" w:fill="auto"/>
            <w:noWrap/>
            <w:vAlign w:val="center"/>
            <w:hideMark/>
          </w:tcPr>
          <w:p w14:paraId="32CAD356"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2A1A5399" w14:textId="77777777" w:rsidR="00DA611C" w:rsidRDefault="00DA611C">
            <w:pPr>
              <w:jc w:val="right"/>
              <w:rPr>
                <w:rFonts w:ascii="Verdana" w:hAnsi="Verdana" w:cs="Arial"/>
                <w:b/>
                <w:bCs/>
                <w:sz w:val="16"/>
                <w:szCs w:val="16"/>
              </w:rPr>
            </w:pPr>
            <w:r>
              <w:rPr>
                <w:rFonts w:ascii="Verdana" w:hAnsi="Verdana" w:cs="Arial"/>
                <w:b/>
                <w:bCs/>
                <w:sz w:val="16"/>
                <w:szCs w:val="16"/>
              </w:rPr>
              <w:t>(2,000)</w:t>
            </w:r>
          </w:p>
        </w:tc>
      </w:tr>
      <w:tr w:rsidR="00DA611C" w14:paraId="7019C5E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098A26B" w14:textId="77777777" w:rsidR="00DA611C" w:rsidRDefault="00DA611C">
            <w:pPr>
              <w:rPr>
                <w:rFonts w:ascii="Verdana" w:hAnsi="Verdana" w:cs="Arial"/>
                <w:sz w:val="16"/>
                <w:szCs w:val="16"/>
              </w:rPr>
            </w:pPr>
            <w:r>
              <w:rPr>
                <w:rFonts w:ascii="Verdana" w:hAnsi="Verdana" w:cs="Arial"/>
                <w:sz w:val="16"/>
                <w:szCs w:val="16"/>
              </w:rPr>
              <w:t>Waste Pension Deficit Funding Reserve</w:t>
            </w:r>
          </w:p>
        </w:tc>
        <w:tc>
          <w:tcPr>
            <w:tcW w:w="1194" w:type="dxa"/>
            <w:tcBorders>
              <w:top w:val="nil"/>
              <w:left w:val="nil"/>
              <w:bottom w:val="nil"/>
              <w:right w:val="single" w:sz="4" w:space="0" w:color="auto"/>
            </w:tcBorders>
            <w:shd w:val="clear" w:color="auto" w:fill="auto"/>
            <w:noWrap/>
            <w:vAlign w:val="center"/>
            <w:hideMark/>
          </w:tcPr>
          <w:p w14:paraId="6A9BAB66" w14:textId="77777777" w:rsidR="00DA611C" w:rsidRDefault="00DA611C">
            <w:pPr>
              <w:jc w:val="right"/>
              <w:rPr>
                <w:rFonts w:ascii="Verdana" w:hAnsi="Verdana" w:cs="Arial"/>
                <w:b/>
                <w:bCs/>
                <w:sz w:val="16"/>
                <w:szCs w:val="16"/>
              </w:rPr>
            </w:pPr>
            <w:r>
              <w:rPr>
                <w:rFonts w:ascii="Verdana" w:hAnsi="Verdana" w:cs="Arial"/>
                <w:b/>
                <w:bCs/>
                <w:sz w:val="16"/>
                <w:szCs w:val="16"/>
              </w:rPr>
              <w:t>(812)</w:t>
            </w:r>
          </w:p>
        </w:tc>
        <w:tc>
          <w:tcPr>
            <w:tcW w:w="1194" w:type="dxa"/>
            <w:tcBorders>
              <w:top w:val="nil"/>
              <w:left w:val="nil"/>
              <w:bottom w:val="nil"/>
              <w:right w:val="single" w:sz="4" w:space="0" w:color="auto"/>
            </w:tcBorders>
            <w:shd w:val="clear" w:color="auto" w:fill="auto"/>
            <w:noWrap/>
            <w:vAlign w:val="center"/>
            <w:hideMark/>
          </w:tcPr>
          <w:p w14:paraId="710B61A9"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5CAE8907"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(812)</w:t>
            </w:r>
          </w:p>
        </w:tc>
        <w:tc>
          <w:tcPr>
            <w:tcW w:w="1194" w:type="dxa"/>
            <w:tcBorders>
              <w:top w:val="nil"/>
              <w:left w:val="nil"/>
              <w:bottom w:val="nil"/>
              <w:right w:val="single" w:sz="4" w:space="0" w:color="auto"/>
            </w:tcBorders>
            <w:shd w:val="clear" w:color="auto" w:fill="auto"/>
            <w:noWrap/>
            <w:vAlign w:val="center"/>
            <w:hideMark/>
          </w:tcPr>
          <w:p w14:paraId="2ECBBC78"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590A02C9" w14:textId="77777777" w:rsidR="00DA611C" w:rsidRDefault="00DA611C">
            <w:pPr>
              <w:jc w:val="right"/>
              <w:rPr>
                <w:rFonts w:ascii="Verdana" w:hAnsi="Verdana" w:cs="Arial"/>
                <w:b/>
                <w:bCs/>
                <w:sz w:val="16"/>
                <w:szCs w:val="16"/>
              </w:rPr>
            </w:pPr>
            <w:r>
              <w:rPr>
                <w:rFonts w:ascii="Verdana" w:hAnsi="Verdana" w:cs="Arial"/>
                <w:b/>
                <w:bCs/>
                <w:sz w:val="16"/>
                <w:szCs w:val="16"/>
              </w:rPr>
              <w:t>(812)</w:t>
            </w:r>
          </w:p>
        </w:tc>
      </w:tr>
      <w:tr w:rsidR="00DA611C" w14:paraId="2469B012"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27C992BF" w14:textId="77777777" w:rsidR="00DA611C" w:rsidRDefault="00DA611C">
            <w:pPr>
              <w:rPr>
                <w:rFonts w:ascii="Verdana" w:hAnsi="Verdana" w:cs="Arial"/>
                <w:sz w:val="16"/>
                <w:szCs w:val="16"/>
              </w:rPr>
            </w:pPr>
            <w:r>
              <w:rPr>
                <w:rFonts w:ascii="Verdana" w:hAnsi="Verdana" w:cs="Arial"/>
                <w:sz w:val="16"/>
                <w:szCs w:val="16"/>
              </w:rPr>
              <w:t>Waste MTFP Funding Reserve</w:t>
            </w:r>
          </w:p>
        </w:tc>
        <w:tc>
          <w:tcPr>
            <w:tcW w:w="1194" w:type="dxa"/>
            <w:tcBorders>
              <w:top w:val="nil"/>
              <w:left w:val="nil"/>
              <w:bottom w:val="nil"/>
              <w:right w:val="single" w:sz="4" w:space="0" w:color="auto"/>
            </w:tcBorders>
            <w:shd w:val="clear" w:color="auto" w:fill="auto"/>
            <w:noWrap/>
            <w:vAlign w:val="center"/>
            <w:hideMark/>
          </w:tcPr>
          <w:p w14:paraId="7B0F77D5" w14:textId="77777777" w:rsidR="00DA611C" w:rsidRDefault="00DA611C">
            <w:pPr>
              <w:jc w:val="right"/>
              <w:rPr>
                <w:rFonts w:ascii="Verdana" w:hAnsi="Verdana" w:cs="Arial"/>
                <w:b/>
                <w:bCs/>
                <w:sz w:val="16"/>
                <w:szCs w:val="16"/>
              </w:rPr>
            </w:pPr>
            <w:r>
              <w:rPr>
                <w:rFonts w:ascii="Verdana" w:hAnsi="Verdana" w:cs="Arial"/>
                <w:b/>
                <w:bCs/>
                <w:sz w:val="16"/>
                <w:szCs w:val="16"/>
              </w:rPr>
              <w:t>(17,550)</w:t>
            </w:r>
          </w:p>
        </w:tc>
        <w:tc>
          <w:tcPr>
            <w:tcW w:w="1194" w:type="dxa"/>
            <w:tcBorders>
              <w:top w:val="nil"/>
              <w:left w:val="nil"/>
              <w:bottom w:val="nil"/>
              <w:right w:val="single" w:sz="4" w:space="0" w:color="auto"/>
            </w:tcBorders>
            <w:shd w:val="clear" w:color="auto" w:fill="auto"/>
            <w:noWrap/>
            <w:vAlign w:val="center"/>
            <w:hideMark/>
          </w:tcPr>
          <w:p w14:paraId="1B752D67"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5,664 </w:t>
            </w:r>
          </w:p>
        </w:tc>
        <w:tc>
          <w:tcPr>
            <w:tcW w:w="1194" w:type="dxa"/>
            <w:tcBorders>
              <w:top w:val="nil"/>
              <w:left w:val="nil"/>
              <w:bottom w:val="nil"/>
              <w:right w:val="single" w:sz="4" w:space="0" w:color="auto"/>
            </w:tcBorders>
            <w:shd w:val="clear" w:color="auto" w:fill="auto"/>
            <w:noWrap/>
            <w:vAlign w:val="center"/>
            <w:hideMark/>
          </w:tcPr>
          <w:p w14:paraId="795B882E"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(11,886)</w:t>
            </w:r>
          </w:p>
        </w:tc>
        <w:tc>
          <w:tcPr>
            <w:tcW w:w="1194" w:type="dxa"/>
            <w:tcBorders>
              <w:top w:val="nil"/>
              <w:left w:val="nil"/>
              <w:bottom w:val="nil"/>
              <w:right w:val="single" w:sz="4" w:space="0" w:color="auto"/>
            </w:tcBorders>
            <w:shd w:val="clear" w:color="auto" w:fill="auto"/>
            <w:noWrap/>
            <w:vAlign w:val="center"/>
            <w:hideMark/>
          </w:tcPr>
          <w:p w14:paraId="47843CA7"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(23,112)</w:t>
            </w:r>
          </w:p>
        </w:tc>
        <w:tc>
          <w:tcPr>
            <w:tcW w:w="1194" w:type="dxa"/>
            <w:tcBorders>
              <w:top w:val="nil"/>
              <w:left w:val="nil"/>
              <w:bottom w:val="nil"/>
              <w:right w:val="single" w:sz="4" w:space="0" w:color="auto"/>
            </w:tcBorders>
            <w:shd w:val="clear" w:color="auto" w:fill="auto"/>
            <w:noWrap/>
            <w:vAlign w:val="center"/>
            <w:hideMark/>
          </w:tcPr>
          <w:p w14:paraId="3717BAE5" w14:textId="77777777" w:rsidR="00DA611C" w:rsidRDefault="00DA611C">
            <w:pPr>
              <w:jc w:val="right"/>
              <w:rPr>
                <w:rFonts w:ascii="Verdana" w:hAnsi="Verdana" w:cs="Arial"/>
                <w:b/>
                <w:bCs/>
                <w:sz w:val="16"/>
                <w:szCs w:val="16"/>
              </w:rPr>
            </w:pPr>
            <w:r>
              <w:rPr>
                <w:rFonts w:ascii="Verdana" w:hAnsi="Verdana" w:cs="Arial"/>
                <w:b/>
                <w:bCs/>
                <w:sz w:val="16"/>
                <w:szCs w:val="16"/>
              </w:rPr>
              <w:t>(34,998)</w:t>
            </w:r>
          </w:p>
        </w:tc>
      </w:tr>
      <w:tr w:rsidR="00DA611C" w14:paraId="0A5A4B5E"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059463F5" w14:textId="77777777" w:rsidR="00DA611C" w:rsidRDefault="00DA611C">
            <w:pPr>
              <w:rPr>
                <w:rFonts w:ascii="Verdana" w:hAnsi="Verdana" w:cs="Arial"/>
                <w:sz w:val="16"/>
                <w:szCs w:val="16"/>
              </w:rPr>
            </w:pPr>
            <w:r>
              <w:rPr>
                <w:rFonts w:ascii="Verdana" w:hAnsi="Verdana" w:cs="Arial"/>
                <w:sz w:val="16"/>
                <w:szCs w:val="16"/>
              </w:rPr>
              <w:t>Waste Optimisation and Efficiency</w:t>
            </w:r>
          </w:p>
        </w:tc>
        <w:tc>
          <w:tcPr>
            <w:tcW w:w="1194" w:type="dxa"/>
            <w:tcBorders>
              <w:top w:val="nil"/>
              <w:left w:val="nil"/>
              <w:bottom w:val="nil"/>
              <w:right w:val="single" w:sz="4" w:space="0" w:color="auto"/>
            </w:tcBorders>
            <w:shd w:val="clear" w:color="auto" w:fill="auto"/>
            <w:noWrap/>
            <w:vAlign w:val="center"/>
            <w:hideMark/>
          </w:tcPr>
          <w:p w14:paraId="28CB5112" w14:textId="77777777" w:rsidR="00DA611C" w:rsidRDefault="00DA611C">
            <w:pPr>
              <w:jc w:val="right"/>
              <w:rPr>
                <w:rFonts w:ascii="Verdana" w:hAnsi="Verdana" w:cs="Arial"/>
                <w:b/>
                <w:bCs/>
                <w:sz w:val="16"/>
                <w:szCs w:val="16"/>
              </w:rPr>
            </w:pPr>
            <w:r>
              <w:rPr>
                <w:rFonts w:ascii="Verdana" w:hAnsi="Verdana" w:cs="Arial"/>
                <w:b/>
                <w:bCs/>
                <w:sz w:val="16"/>
                <w:szCs w:val="16"/>
              </w:rPr>
              <w:t>(5,000)</w:t>
            </w:r>
          </w:p>
        </w:tc>
        <w:tc>
          <w:tcPr>
            <w:tcW w:w="1194" w:type="dxa"/>
            <w:tcBorders>
              <w:top w:val="nil"/>
              <w:left w:val="nil"/>
              <w:bottom w:val="nil"/>
              <w:right w:val="single" w:sz="4" w:space="0" w:color="auto"/>
            </w:tcBorders>
            <w:shd w:val="clear" w:color="auto" w:fill="auto"/>
            <w:noWrap/>
            <w:vAlign w:val="center"/>
            <w:hideMark/>
          </w:tcPr>
          <w:p w14:paraId="1AF1F9AE"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5,000 </w:t>
            </w:r>
          </w:p>
        </w:tc>
        <w:tc>
          <w:tcPr>
            <w:tcW w:w="1194" w:type="dxa"/>
            <w:tcBorders>
              <w:top w:val="nil"/>
              <w:left w:val="nil"/>
              <w:bottom w:val="nil"/>
              <w:right w:val="single" w:sz="4" w:space="0" w:color="auto"/>
            </w:tcBorders>
            <w:shd w:val="clear" w:color="auto" w:fill="auto"/>
            <w:noWrap/>
            <w:vAlign w:val="center"/>
            <w:hideMark/>
          </w:tcPr>
          <w:p w14:paraId="50044F64"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50669E99" w14:textId="77777777" w:rsidR="00DA611C" w:rsidRDefault="00DA611C">
            <w:pPr>
              <w:jc w:val="right"/>
              <w:rPr>
                <w:rFonts w:ascii="Verdana" w:hAnsi="Verdana" w:cs="Arial"/>
                <w:color w:val="000000"/>
                <w:sz w:val="16"/>
                <w:szCs w:val="16"/>
              </w:rPr>
            </w:pPr>
            <w:r>
              <w:rPr>
                <w:rFonts w:ascii="Verdana" w:hAnsi="Verdana" w:cs="Arial"/>
                <w:color w:val="000000"/>
                <w:sz w:val="16"/>
                <w:szCs w:val="16"/>
              </w:rPr>
              <w:t>(6,000)</w:t>
            </w:r>
          </w:p>
        </w:tc>
        <w:tc>
          <w:tcPr>
            <w:tcW w:w="1194" w:type="dxa"/>
            <w:tcBorders>
              <w:top w:val="nil"/>
              <w:left w:val="nil"/>
              <w:bottom w:val="nil"/>
              <w:right w:val="single" w:sz="4" w:space="0" w:color="auto"/>
            </w:tcBorders>
            <w:shd w:val="clear" w:color="auto" w:fill="auto"/>
            <w:noWrap/>
            <w:vAlign w:val="center"/>
            <w:hideMark/>
          </w:tcPr>
          <w:p w14:paraId="0BDF234F" w14:textId="77777777" w:rsidR="00DA611C" w:rsidRDefault="00DA611C">
            <w:pPr>
              <w:jc w:val="right"/>
              <w:rPr>
                <w:rFonts w:ascii="Verdana" w:hAnsi="Verdana" w:cs="Arial"/>
                <w:b/>
                <w:bCs/>
                <w:sz w:val="16"/>
                <w:szCs w:val="16"/>
              </w:rPr>
            </w:pPr>
            <w:r>
              <w:rPr>
                <w:rFonts w:ascii="Verdana" w:hAnsi="Verdana" w:cs="Arial"/>
                <w:b/>
                <w:bCs/>
                <w:sz w:val="16"/>
                <w:szCs w:val="16"/>
              </w:rPr>
              <w:t>(6,000)</w:t>
            </w:r>
          </w:p>
        </w:tc>
      </w:tr>
      <w:tr w:rsidR="00DA611C" w14:paraId="394846A4"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50A1B6E" w14:textId="77777777" w:rsidR="00DA611C" w:rsidRDefault="00DA611C">
            <w:pPr>
              <w:rPr>
                <w:rFonts w:ascii="Verdana" w:hAnsi="Verdana" w:cs="Arial"/>
                <w:sz w:val="16"/>
                <w:szCs w:val="16"/>
              </w:rPr>
            </w:pPr>
            <w:r>
              <w:rPr>
                <w:rFonts w:ascii="Verdana" w:hAnsi="Verdana" w:cs="Arial"/>
                <w:sz w:val="16"/>
                <w:szCs w:val="16"/>
              </w:rPr>
              <w:t>Waste Composition Analysis</w:t>
            </w:r>
          </w:p>
        </w:tc>
        <w:tc>
          <w:tcPr>
            <w:tcW w:w="1194" w:type="dxa"/>
            <w:tcBorders>
              <w:top w:val="nil"/>
              <w:left w:val="nil"/>
              <w:bottom w:val="nil"/>
              <w:right w:val="single" w:sz="4" w:space="0" w:color="auto"/>
            </w:tcBorders>
            <w:shd w:val="clear" w:color="auto" w:fill="auto"/>
            <w:noWrap/>
            <w:vAlign w:val="center"/>
            <w:hideMark/>
          </w:tcPr>
          <w:p w14:paraId="2FCB3356" w14:textId="77777777" w:rsidR="00DA611C" w:rsidRDefault="00DA611C">
            <w:pPr>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217D450F"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5DCF099E"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6AB0E2F0"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(1,000)</w:t>
            </w:r>
          </w:p>
        </w:tc>
        <w:tc>
          <w:tcPr>
            <w:tcW w:w="1194" w:type="dxa"/>
            <w:tcBorders>
              <w:top w:val="nil"/>
              <w:left w:val="nil"/>
              <w:bottom w:val="nil"/>
              <w:right w:val="single" w:sz="4" w:space="0" w:color="auto"/>
            </w:tcBorders>
            <w:shd w:val="clear" w:color="auto" w:fill="auto"/>
            <w:noWrap/>
            <w:vAlign w:val="center"/>
            <w:hideMark/>
          </w:tcPr>
          <w:p w14:paraId="1EFF0AA6" w14:textId="77777777" w:rsidR="00DA611C" w:rsidRDefault="00DA611C">
            <w:pPr>
              <w:jc w:val="right"/>
              <w:rPr>
                <w:rFonts w:ascii="Verdana" w:hAnsi="Verdana" w:cs="Arial"/>
                <w:b/>
                <w:bCs/>
                <w:sz w:val="16"/>
                <w:szCs w:val="16"/>
              </w:rPr>
            </w:pPr>
            <w:r>
              <w:rPr>
                <w:rFonts w:ascii="Verdana" w:hAnsi="Verdana" w:cs="Arial"/>
                <w:b/>
                <w:bCs/>
                <w:sz w:val="16"/>
                <w:szCs w:val="16"/>
              </w:rPr>
              <w:t>(1,000)</w:t>
            </w:r>
          </w:p>
        </w:tc>
      </w:tr>
      <w:tr w:rsidR="00DA611C" w14:paraId="3A3C4A8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24CACE3B" w14:textId="77777777" w:rsidR="00DA611C" w:rsidRDefault="00DA611C">
            <w:pPr>
              <w:rPr>
                <w:rFonts w:ascii="Verdana" w:hAnsi="Verdana" w:cs="Arial"/>
                <w:sz w:val="16"/>
                <w:szCs w:val="16"/>
              </w:rPr>
            </w:pPr>
            <w:r>
              <w:rPr>
                <w:rFonts w:ascii="Verdana" w:hAnsi="Verdana" w:cs="Arial"/>
                <w:sz w:val="16"/>
                <w:szCs w:val="16"/>
              </w:rPr>
              <w:t>Waste Lifecycle Reserve</w:t>
            </w:r>
          </w:p>
        </w:tc>
        <w:tc>
          <w:tcPr>
            <w:tcW w:w="1194" w:type="dxa"/>
            <w:tcBorders>
              <w:top w:val="nil"/>
              <w:left w:val="nil"/>
              <w:bottom w:val="nil"/>
              <w:right w:val="single" w:sz="4" w:space="0" w:color="auto"/>
            </w:tcBorders>
            <w:shd w:val="clear" w:color="auto" w:fill="auto"/>
            <w:noWrap/>
            <w:vAlign w:val="center"/>
            <w:hideMark/>
          </w:tcPr>
          <w:p w14:paraId="1356804F" w14:textId="77777777" w:rsidR="00DA611C" w:rsidRDefault="00DA611C">
            <w:pPr>
              <w:jc w:val="right"/>
              <w:rPr>
                <w:rFonts w:ascii="Verdana" w:hAnsi="Verdana" w:cs="Arial"/>
                <w:b/>
                <w:bCs/>
                <w:sz w:val="16"/>
                <w:szCs w:val="16"/>
              </w:rPr>
            </w:pPr>
            <w:r>
              <w:rPr>
                <w:rFonts w:ascii="Verdana" w:hAnsi="Verdana" w:cs="Arial"/>
                <w:b/>
                <w:bCs/>
                <w:sz w:val="16"/>
                <w:szCs w:val="16"/>
              </w:rPr>
              <w:t>(3,911)</w:t>
            </w:r>
          </w:p>
        </w:tc>
        <w:tc>
          <w:tcPr>
            <w:tcW w:w="1194" w:type="dxa"/>
            <w:tcBorders>
              <w:top w:val="nil"/>
              <w:left w:val="nil"/>
              <w:bottom w:val="nil"/>
              <w:right w:val="single" w:sz="4" w:space="0" w:color="auto"/>
            </w:tcBorders>
            <w:shd w:val="clear" w:color="auto" w:fill="auto"/>
            <w:noWrap/>
            <w:vAlign w:val="center"/>
            <w:hideMark/>
          </w:tcPr>
          <w:p w14:paraId="78850620"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2248F901"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(3,911)</w:t>
            </w:r>
          </w:p>
        </w:tc>
        <w:tc>
          <w:tcPr>
            <w:tcW w:w="1194" w:type="dxa"/>
            <w:tcBorders>
              <w:top w:val="nil"/>
              <w:left w:val="nil"/>
              <w:bottom w:val="nil"/>
              <w:right w:val="single" w:sz="4" w:space="0" w:color="auto"/>
            </w:tcBorders>
            <w:shd w:val="clear" w:color="auto" w:fill="auto"/>
            <w:noWrap/>
            <w:vAlign w:val="center"/>
            <w:hideMark/>
          </w:tcPr>
          <w:p w14:paraId="64856D1C"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(1,811)</w:t>
            </w:r>
          </w:p>
        </w:tc>
        <w:tc>
          <w:tcPr>
            <w:tcW w:w="1194" w:type="dxa"/>
            <w:tcBorders>
              <w:top w:val="nil"/>
              <w:left w:val="nil"/>
              <w:bottom w:val="nil"/>
              <w:right w:val="single" w:sz="4" w:space="0" w:color="auto"/>
            </w:tcBorders>
            <w:shd w:val="clear" w:color="auto" w:fill="auto"/>
            <w:noWrap/>
            <w:vAlign w:val="center"/>
            <w:hideMark/>
          </w:tcPr>
          <w:p w14:paraId="6DB7AB87" w14:textId="77777777" w:rsidR="00DA611C" w:rsidRDefault="00DA611C">
            <w:pPr>
              <w:jc w:val="right"/>
              <w:rPr>
                <w:rFonts w:ascii="Verdana" w:hAnsi="Verdana" w:cs="Arial"/>
                <w:b/>
                <w:bCs/>
                <w:sz w:val="16"/>
                <w:szCs w:val="16"/>
              </w:rPr>
            </w:pPr>
            <w:r>
              <w:rPr>
                <w:rFonts w:ascii="Verdana" w:hAnsi="Verdana" w:cs="Arial"/>
                <w:b/>
                <w:bCs/>
                <w:sz w:val="16"/>
                <w:szCs w:val="16"/>
              </w:rPr>
              <w:t>(5,722)</w:t>
            </w:r>
          </w:p>
        </w:tc>
      </w:tr>
      <w:tr w:rsidR="00DA611C" w14:paraId="5F75EBE0"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6034FCB" w14:textId="77777777" w:rsidR="00DA611C" w:rsidRDefault="00DA611C">
            <w:pPr>
              <w:rPr>
                <w:rFonts w:ascii="Verdana" w:hAnsi="Verdana" w:cs="Arial"/>
                <w:sz w:val="16"/>
                <w:szCs w:val="16"/>
              </w:rPr>
            </w:pPr>
            <w:r>
              <w:rPr>
                <w:rFonts w:ascii="Verdana" w:hAnsi="Verdana" w:cs="Arial"/>
                <w:sz w:val="16"/>
                <w:szCs w:val="16"/>
              </w:rPr>
              <w:t>Revenue Grants Unapplied Reserve - TfGM</w:t>
            </w:r>
          </w:p>
        </w:tc>
        <w:tc>
          <w:tcPr>
            <w:tcW w:w="1194" w:type="dxa"/>
            <w:tcBorders>
              <w:top w:val="nil"/>
              <w:left w:val="nil"/>
              <w:bottom w:val="nil"/>
              <w:right w:val="single" w:sz="4" w:space="0" w:color="auto"/>
            </w:tcBorders>
            <w:shd w:val="clear" w:color="auto" w:fill="auto"/>
            <w:noWrap/>
            <w:vAlign w:val="center"/>
            <w:hideMark/>
          </w:tcPr>
          <w:p w14:paraId="3818EE2C" w14:textId="77777777" w:rsidR="00DA611C" w:rsidRDefault="00DA611C">
            <w:pPr>
              <w:jc w:val="right"/>
              <w:rPr>
                <w:rFonts w:ascii="Verdana" w:hAnsi="Verdana" w:cs="Arial"/>
                <w:b/>
                <w:bCs/>
                <w:sz w:val="16"/>
                <w:szCs w:val="16"/>
              </w:rPr>
            </w:pPr>
            <w:r>
              <w:rPr>
                <w:rFonts w:ascii="Verdana" w:hAnsi="Verdana" w:cs="Arial"/>
                <w:b/>
                <w:bCs/>
                <w:sz w:val="16"/>
                <w:szCs w:val="16"/>
              </w:rPr>
              <w:t>(314)</w:t>
            </w:r>
          </w:p>
        </w:tc>
        <w:tc>
          <w:tcPr>
            <w:tcW w:w="1194" w:type="dxa"/>
            <w:tcBorders>
              <w:top w:val="nil"/>
              <w:left w:val="nil"/>
              <w:bottom w:val="nil"/>
              <w:right w:val="single" w:sz="4" w:space="0" w:color="auto"/>
            </w:tcBorders>
            <w:shd w:val="clear" w:color="auto" w:fill="auto"/>
            <w:noWrap/>
            <w:vAlign w:val="center"/>
            <w:hideMark/>
          </w:tcPr>
          <w:p w14:paraId="2F75D624"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56A4F9D8"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(314)</w:t>
            </w:r>
          </w:p>
        </w:tc>
        <w:tc>
          <w:tcPr>
            <w:tcW w:w="1194" w:type="dxa"/>
            <w:tcBorders>
              <w:top w:val="nil"/>
              <w:left w:val="nil"/>
              <w:bottom w:val="nil"/>
              <w:right w:val="single" w:sz="4" w:space="0" w:color="auto"/>
            </w:tcBorders>
            <w:shd w:val="clear" w:color="auto" w:fill="auto"/>
            <w:noWrap/>
            <w:vAlign w:val="center"/>
            <w:hideMark/>
          </w:tcPr>
          <w:p w14:paraId="1211BA59"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4D26AADE" w14:textId="77777777" w:rsidR="00DA611C" w:rsidRDefault="00DA611C">
            <w:pPr>
              <w:jc w:val="right"/>
              <w:rPr>
                <w:rFonts w:ascii="Verdana" w:hAnsi="Verdana" w:cs="Arial"/>
                <w:b/>
                <w:bCs/>
                <w:sz w:val="16"/>
                <w:szCs w:val="16"/>
              </w:rPr>
            </w:pPr>
            <w:r>
              <w:rPr>
                <w:rFonts w:ascii="Verdana" w:hAnsi="Verdana" w:cs="Arial"/>
                <w:b/>
                <w:bCs/>
                <w:sz w:val="16"/>
                <w:szCs w:val="16"/>
              </w:rPr>
              <w:t>(314)</w:t>
            </w:r>
          </w:p>
        </w:tc>
      </w:tr>
      <w:tr w:rsidR="00DA611C" w14:paraId="63B696B6"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9E6D96D" w14:textId="77777777" w:rsidR="00DA611C" w:rsidRDefault="00DA611C">
            <w:pPr>
              <w:rPr>
                <w:rFonts w:ascii="Verdana" w:hAnsi="Verdana" w:cs="Arial"/>
                <w:sz w:val="16"/>
                <w:szCs w:val="16"/>
              </w:rPr>
            </w:pPr>
            <w:r>
              <w:rPr>
                <w:rFonts w:ascii="Verdana" w:hAnsi="Verdana" w:cs="Arial"/>
                <w:sz w:val="16"/>
                <w:szCs w:val="16"/>
              </w:rPr>
              <w:t>Property Reserve - TfGM</w:t>
            </w:r>
          </w:p>
        </w:tc>
        <w:tc>
          <w:tcPr>
            <w:tcW w:w="1194" w:type="dxa"/>
            <w:tcBorders>
              <w:top w:val="nil"/>
              <w:left w:val="nil"/>
              <w:bottom w:val="nil"/>
              <w:right w:val="single" w:sz="4" w:space="0" w:color="auto"/>
            </w:tcBorders>
            <w:shd w:val="clear" w:color="auto" w:fill="auto"/>
            <w:noWrap/>
            <w:vAlign w:val="center"/>
            <w:hideMark/>
          </w:tcPr>
          <w:p w14:paraId="382FF766" w14:textId="77777777" w:rsidR="00DA611C" w:rsidRDefault="00DA611C">
            <w:pPr>
              <w:jc w:val="right"/>
              <w:rPr>
                <w:rFonts w:ascii="Verdana" w:hAnsi="Verdana" w:cs="Arial"/>
                <w:b/>
                <w:bCs/>
                <w:sz w:val="16"/>
                <w:szCs w:val="16"/>
              </w:rPr>
            </w:pPr>
            <w:r>
              <w:rPr>
                <w:rFonts w:ascii="Verdana" w:hAnsi="Verdana" w:cs="Arial"/>
                <w:b/>
                <w:bCs/>
                <w:sz w:val="16"/>
                <w:szCs w:val="16"/>
              </w:rPr>
              <w:t>(11,584)</w:t>
            </w:r>
          </w:p>
        </w:tc>
        <w:tc>
          <w:tcPr>
            <w:tcW w:w="1194" w:type="dxa"/>
            <w:tcBorders>
              <w:top w:val="nil"/>
              <w:left w:val="nil"/>
              <w:bottom w:val="nil"/>
              <w:right w:val="single" w:sz="4" w:space="0" w:color="auto"/>
            </w:tcBorders>
            <w:shd w:val="clear" w:color="auto" w:fill="auto"/>
            <w:noWrap/>
            <w:vAlign w:val="center"/>
            <w:hideMark/>
          </w:tcPr>
          <w:p w14:paraId="2332E4DD"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321 </w:t>
            </w:r>
          </w:p>
        </w:tc>
        <w:tc>
          <w:tcPr>
            <w:tcW w:w="1194" w:type="dxa"/>
            <w:tcBorders>
              <w:top w:val="nil"/>
              <w:left w:val="nil"/>
              <w:bottom w:val="nil"/>
              <w:right w:val="single" w:sz="4" w:space="0" w:color="auto"/>
            </w:tcBorders>
            <w:shd w:val="clear" w:color="auto" w:fill="auto"/>
            <w:noWrap/>
            <w:vAlign w:val="center"/>
            <w:hideMark/>
          </w:tcPr>
          <w:p w14:paraId="7282BFD5"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(11,263)</w:t>
            </w:r>
          </w:p>
        </w:tc>
        <w:tc>
          <w:tcPr>
            <w:tcW w:w="1194" w:type="dxa"/>
            <w:tcBorders>
              <w:top w:val="nil"/>
              <w:left w:val="nil"/>
              <w:bottom w:val="nil"/>
              <w:right w:val="single" w:sz="4" w:space="0" w:color="auto"/>
            </w:tcBorders>
            <w:shd w:val="clear" w:color="auto" w:fill="auto"/>
            <w:noWrap/>
            <w:vAlign w:val="center"/>
            <w:hideMark/>
          </w:tcPr>
          <w:p w14:paraId="1D064E82" w14:textId="77777777" w:rsidR="00DA611C" w:rsidRDefault="00DA611C">
            <w:pPr>
              <w:jc w:val="right"/>
              <w:rPr>
                <w:rFonts w:ascii="Verdana" w:hAnsi="Verdana" w:cs="Arial"/>
                <w:color w:val="000000"/>
                <w:sz w:val="16"/>
                <w:szCs w:val="16"/>
              </w:rPr>
            </w:pPr>
            <w:r>
              <w:rPr>
                <w:rFonts w:ascii="Verdana" w:hAnsi="Verdana" w:cs="Arial"/>
                <w:color w:val="000000"/>
                <w:sz w:val="16"/>
                <w:szCs w:val="16"/>
              </w:rPr>
              <w:t>364</w:t>
            </w:r>
          </w:p>
        </w:tc>
        <w:tc>
          <w:tcPr>
            <w:tcW w:w="1194" w:type="dxa"/>
            <w:tcBorders>
              <w:top w:val="nil"/>
              <w:left w:val="nil"/>
              <w:bottom w:val="nil"/>
              <w:right w:val="single" w:sz="4" w:space="0" w:color="auto"/>
            </w:tcBorders>
            <w:shd w:val="clear" w:color="auto" w:fill="auto"/>
            <w:noWrap/>
            <w:vAlign w:val="center"/>
            <w:hideMark/>
          </w:tcPr>
          <w:p w14:paraId="15FE9C15" w14:textId="77777777" w:rsidR="00DA611C" w:rsidRDefault="00DA611C">
            <w:pPr>
              <w:jc w:val="right"/>
              <w:rPr>
                <w:rFonts w:ascii="Verdana" w:hAnsi="Verdana" w:cs="Arial"/>
                <w:b/>
                <w:bCs/>
                <w:sz w:val="16"/>
                <w:szCs w:val="16"/>
              </w:rPr>
            </w:pPr>
            <w:r>
              <w:rPr>
                <w:rFonts w:ascii="Verdana" w:hAnsi="Verdana" w:cs="Arial"/>
                <w:b/>
                <w:bCs/>
                <w:sz w:val="16"/>
                <w:szCs w:val="16"/>
              </w:rPr>
              <w:t>(10,899)</w:t>
            </w:r>
          </w:p>
        </w:tc>
      </w:tr>
      <w:tr w:rsidR="00DA611C" w14:paraId="262C7AC2"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6EC0B016" w14:textId="77777777" w:rsidR="00DA611C" w:rsidRDefault="00DA611C">
            <w:pPr>
              <w:rPr>
                <w:rFonts w:ascii="Verdana" w:hAnsi="Verdana" w:cs="Arial"/>
                <w:sz w:val="16"/>
                <w:szCs w:val="16"/>
              </w:rPr>
            </w:pPr>
            <w:r>
              <w:rPr>
                <w:rFonts w:ascii="Verdana" w:hAnsi="Verdana" w:cs="Arial"/>
                <w:sz w:val="16"/>
                <w:szCs w:val="16"/>
              </w:rPr>
              <w:t xml:space="preserve">Metrolink Reserve - TfGM </w:t>
            </w:r>
          </w:p>
        </w:tc>
        <w:tc>
          <w:tcPr>
            <w:tcW w:w="1194" w:type="dxa"/>
            <w:tcBorders>
              <w:top w:val="nil"/>
              <w:left w:val="nil"/>
              <w:bottom w:val="nil"/>
              <w:right w:val="single" w:sz="4" w:space="0" w:color="auto"/>
            </w:tcBorders>
            <w:shd w:val="clear" w:color="auto" w:fill="auto"/>
            <w:noWrap/>
            <w:vAlign w:val="center"/>
            <w:hideMark/>
          </w:tcPr>
          <w:p w14:paraId="71303260" w14:textId="77777777" w:rsidR="00DA611C" w:rsidRDefault="00DA611C">
            <w:pPr>
              <w:jc w:val="right"/>
              <w:rPr>
                <w:rFonts w:ascii="Verdana" w:hAnsi="Verdana" w:cs="Arial"/>
                <w:b/>
                <w:bCs/>
                <w:sz w:val="16"/>
                <w:szCs w:val="16"/>
              </w:rPr>
            </w:pPr>
            <w:r>
              <w:rPr>
                <w:rFonts w:ascii="Verdana" w:hAnsi="Verdana" w:cs="Arial"/>
                <w:b/>
                <w:bCs/>
                <w:sz w:val="16"/>
                <w:szCs w:val="16"/>
              </w:rPr>
              <w:t>(2,093)</w:t>
            </w:r>
          </w:p>
        </w:tc>
        <w:tc>
          <w:tcPr>
            <w:tcW w:w="1194" w:type="dxa"/>
            <w:tcBorders>
              <w:top w:val="nil"/>
              <w:left w:val="nil"/>
              <w:bottom w:val="nil"/>
              <w:right w:val="single" w:sz="4" w:space="0" w:color="auto"/>
            </w:tcBorders>
            <w:shd w:val="clear" w:color="auto" w:fill="auto"/>
            <w:noWrap/>
            <w:vAlign w:val="center"/>
            <w:hideMark/>
          </w:tcPr>
          <w:p w14:paraId="61098CC7" w14:textId="77777777" w:rsidR="00DA611C" w:rsidRDefault="00DA611C">
            <w:pPr>
              <w:jc w:val="right"/>
              <w:rPr>
                <w:rFonts w:ascii="Verdana" w:hAnsi="Verdana" w:cs="Arial"/>
                <w:color w:val="000000"/>
                <w:sz w:val="16"/>
                <w:szCs w:val="16"/>
              </w:rPr>
            </w:pPr>
            <w:r>
              <w:rPr>
                <w:rFonts w:ascii="Verdana" w:hAnsi="Verdana" w:cs="Arial"/>
                <w:color w:val="000000"/>
                <w:sz w:val="16"/>
                <w:szCs w:val="16"/>
              </w:rPr>
              <w:t>(303)</w:t>
            </w:r>
          </w:p>
        </w:tc>
        <w:tc>
          <w:tcPr>
            <w:tcW w:w="1194" w:type="dxa"/>
            <w:tcBorders>
              <w:top w:val="nil"/>
              <w:left w:val="nil"/>
              <w:bottom w:val="nil"/>
              <w:right w:val="single" w:sz="4" w:space="0" w:color="auto"/>
            </w:tcBorders>
            <w:shd w:val="clear" w:color="auto" w:fill="auto"/>
            <w:noWrap/>
            <w:vAlign w:val="center"/>
            <w:hideMark/>
          </w:tcPr>
          <w:p w14:paraId="466A8A88"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(2,396)</w:t>
            </w:r>
          </w:p>
        </w:tc>
        <w:tc>
          <w:tcPr>
            <w:tcW w:w="1194" w:type="dxa"/>
            <w:tcBorders>
              <w:top w:val="nil"/>
              <w:left w:val="nil"/>
              <w:bottom w:val="nil"/>
              <w:right w:val="single" w:sz="4" w:space="0" w:color="auto"/>
            </w:tcBorders>
            <w:shd w:val="clear" w:color="auto" w:fill="auto"/>
            <w:noWrap/>
            <w:vAlign w:val="center"/>
            <w:hideMark/>
          </w:tcPr>
          <w:p w14:paraId="00514DE4"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4A25C612" w14:textId="77777777" w:rsidR="00DA611C" w:rsidRDefault="00DA611C">
            <w:pPr>
              <w:jc w:val="right"/>
              <w:rPr>
                <w:rFonts w:ascii="Verdana" w:hAnsi="Verdana" w:cs="Arial"/>
                <w:b/>
                <w:bCs/>
                <w:sz w:val="16"/>
                <w:szCs w:val="16"/>
              </w:rPr>
            </w:pPr>
            <w:r>
              <w:rPr>
                <w:rFonts w:ascii="Verdana" w:hAnsi="Verdana" w:cs="Arial"/>
                <w:b/>
                <w:bCs/>
                <w:sz w:val="16"/>
                <w:szCs w:val="16"/>
              </w:rPr>
              <w:t>(2,396)</w:t>
            </w:r>
          </w:p>
        </w:tc>
      </w:tr>
      <w:tr w:rsidR="00DA611C" w14:paraId="665FBFE1"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136E1AA7" w14:textId="77777777" w:rsidR="00DA611C" w:rsidRDefault="00DA611C">
            <w:pPr>
              <w:rPr>
                <w:rFonts w:ascii="Verdana" w:hAnsi="Verdana" w:cs="Arial"/>
                <w:sz w:val="16"/>
                <w:szCs w:val="16"/>
              </w:rPr>
            </w:pPr>
            <w:r>
              <w:rPr>
                <w:rFonts w:ascii="Verdana" w:hAnsi="Verdana" w:cs="Arial"/>
                <w:sz w:val="16"/>
                <w:szCs w:val="16"/>
              </w:rPr>
              <w:t>Joint Road Safety Group Reserve - TfGM</w:t>
            </w:r>
          </w:p>
        </w:tc>
        <w:tc>
          <w:tcPr>
            <w:tcW w:w="1194" w:type="dxa"/>
            <w:tcBorders>
              <w:top w:val="nil"/>
              <w:left w:val="nil"/>
              <w:bottom w:val="nil"/>
              <w:right w:val="single" w:sz="4" w:space="0" w:color="auto"/>
            </w:tcBorders>
            <w:shd w:val="clear" w:color="auto" w:fill="auto"/>
            <w:noWrap/>
            <w:vAlign w:val="center"/>
            <w:hideMark/>
          </w:tcPr>
          <w:p w14:paraId="020138A9" w14:textId="77777777" w:rsidR="00DA611C" w:rsidRDefault="00DA611C">
            <w:pPr>
              <w:jc w:val="right"/>
              <w:rPr>
                <w:rFonts w:ascii="Verdana" w:hAnsi="Verdana" w:cs="Arial"/>
                <w:b/>
                <w:bCs/>
                <w:sz w:val="16"/>
                <w:szCs w:val="16"/>
              </w:rPr>
            </w:pPr>
            <w:r>
              <w:rPr>
                <w:rFonts w:ascii="Verdana" w:hAnsi="Verdana" w:cs="Arial"/>
                <w:b/>
                <w:bCs/>
                <w:sz w:val="16"/>
                <w:szCs w:val="16"/>
              </w:rPr>
              <w:t>(4,293)</w:t>
            </w:r>
          </w:p>
        </w:tc>
        <w:tc>
          <w:tcPr>
            <w:tcW w:w="1194" w:type="dxa"/>
            <w:tcBorders>
              <w:top w:val="nil"/>
              <w:left w:val="nil"/>
              <w:bottom w:val="nil"/>
              <w:right w:val="single" w:sz="4" w:space="0" w:color="auto"/>
            </w:tcBorders>
            <w:shd w:val="clear" w:color="auto" w:fill="auto"/>
            <w:noWrap/>
            <w:vAlign w:val="center"/>
            <w:hideMark/>
          </w:tcPr>
          <w:p w14:paraId="03E76385" w14:textId="77777777" w:rsidR="00DA611C" w:rsidRDefault="00DA611C">
            <w:pPr>
              <w:jc w:val="right"/>
              <w:rPr>
                <w:rFonts w:ascii="Verdana" w:hAnsi="Verdana" w:cs="Arial"/>
                <w:color w:val="000000"/>
                <w:sz w:val="16"/>
                <w:szCs w:val="16"/>
              </w:rPr>
            </w:pPr>
            <w:r>
              <w:rPr>
                <w:rFonts w:ascii="Verdana" w:hAnsi="Verdana" w:cs="Arial"/>
                <w:color w:val="000000"/>
                <w:sz w:val="16"/>
                <w:szCs w:val="16"/>
              </w:rPr>
              <w:t>(909)</w:t>
            </w:r>
          </w:p>
        </w:tc>
        <w:tc>
          <w:tcPr>
            <w:tcW w:w="1194" w:type="dxa"/>
            <w:tcBorders>
              <w:top w:val="nil"/>
              <w:left w:val="nil"/>
              <w:bottom w:val="nil"/>
              <w:right w:val="single" w:sz="4" w:space="0" w:color="auto"/>
            </w:tcBorders>
            <w:shd w:val="clear" w:color="auto" w:fill="auto"/>
            <w:noWrap/>
            <w:vAlign w:val="center"/>
            <w:hideMark/>
          </w:tcPr>
          <w:p w14:paraId="5EE19AAB"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(5,202)</w:t>
            </w:r>
          </w:p>
        </w:tc>
        <w:tc>
          <w:tcPr>
            <w:tcW w:w="1194" w:type="dxa"/>
            <w:tcBorders>
              <w:top w:val="nil"/>
              <w:left w:val="nil"/>
              <w:bottom w:val="nil"/>
              <w:right w:val="single" w:sz="4" w:space="0" w:color="auto"/>
            </w:tcBorders>
            <w:shd w:val="clear" w:color="auto" w:fill="auto"/>
            <w:noWrap/>
            <w:vAlign w:val="center"/>
            <w:hideMark/>
          </w:tcPr>
          <w:p w14:paraId="0FF7692F"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(1,405)</w:t>
            </w:r>
          </w:p>
        </w:tc>
        <w:tc>
          <w:tcPr>
            <w:tcW w:w="1194" w:type="dxa"/>
            <w:tcBorders>
              <w:top w:val="nil"/>
              <w:left w:val="nil"/>
              <w:bottom w:val="nil"/>
              <w:right w:val="single" w:sz="4" w:space="0" w:color="auto"/>
            </w:tcBorders>
            <w:shd w:val="clear" w:color="auto" w:fill="auto"/>
            <w:noWrap/>
            <w:vAlign w:val="center"/>
            <w:hideMark/>
          </w:tcPr>
          <w:p w14:paraId="218AD6D0" w14:textId="77777777" w:rsidR="00DA611C" w:rsidRDefault="00DA611C">
            <w:pPr>
              <w:jc w:val="right"/>
              <w:rPr>
                <w:rFonts w:ascii="Verdana" w:hAnsi="Verdana" w:cs="Arial"/>
                <w:b/>
                <w:bCs/>
                <w:sz w:val="16"/>
                <w:szCs w:val="16"/>
              </w:rPr>
            </w:pPr>
            <w:r>
              <w:rPr>
                <w:rFonts w:ascii="Verdana" w:hAnsi="Verdana" w:cs="Arial"/>
                <w:b/>
                <w:bCs/>
                <w:sz w:val="16"/>
                <w:szCs w:val="16"/>
              </w:rPr>
              <w:t>(6,607)</w:t>
            </w:r>
          </w:p>
        </w:tc>
      </w:tr>
      <w:tr w:rsidR="00DA611C" w14:paraId="1A81D69D" w14:textId="77777777" w:rsidTr="00DA611C">
        <w:trPr>
          <w:trHeight w:val="274"/>
        </w:trPr>
        <w:tc>
          <w:tcPr>
            <w:tcW w:w="3749" w:type="dxa"/>
            <w:tcBorders>
              <w:top w:val="nil"/>
              <w:left w:val="single" w:sz="4" w:space="0" w:color="auto"/>
              <w:bottom w:val="nil"/>
              <w:right w:val="single" w:sz="4" w:space="0" w:color="auto"/>
            </w:tcBorders>
            <w:shd w:val="clear" w:color="auto" w:fill="auto"/>
            <w:vAlign w:val="center"/>
            <w:hideMark/>
          </w:tcPr>
          <w:p w14:paraId="0250FE2C" w14:textId="77777777" w:rsidR="00DA611C" w:rsidRDefault="00DA611C">
            <w:pPr>
              <w:rPr>
                <w:rFonts w:ascii="Verdana" w:hAnsi="Verdana" w:cs="Arial"/>
                <w:sz w:val="16"/>
                <w:szCs w:val="16"/>
              </w:rPr>
            </w:pPr>
            <w:r>
              <w:rPr>
                <w:rFonts w:ascii="Verdana" w:hAnsi="Verdana" w:cs="Arial"/>
                <w:sz w:val="16"/>
                <w:szCs w:val="16"/>
              </w:rPr>
              <w:t>Concessionary Fares Reserve - TfGM</w:t>
            </w:r>
          </w:p>
        </w:tc>
        <w:tc>
          <w:tcPr>
            <w:tcW w:w="1194" w:type="dxa"/>
            <w:tcBorders>
              <w:top w:val="nil"/>
              <w:left w:val="nil"/>
              <w:bottom w:val="nil"/>
              <w:right w:val="single" w:sz="4" w:space="0" w:color="auto"/>
            </w:tcBorders>
            <w:shd w:val="clear" w:color="auto" w:fill="auto"/>
            <w:noWrap/>
            <w:vAlign w:val="center"/>
            <w:hideMark/>
          </w:tcPr>
          <w:p w14:paraId="783392E1" w14:textId="77777777" w:rsidR="00DA611C" w:rsidRDefault="00DA611C">
            <w:pPr>
              <w:jc w:val="right"/>
              <w:rPr>
                <w:rFonts w:ascii="Verdana" w:hAnsi="Verdana" w:cs="Arial"/>
                <w:b/>
                <w:bCs/>
                <w:sz w:val="16"/>
                <w:szCs w:val="16"/>
              </w:rPr>
            </w:pPr>
            <w:r>
              <w:rPr>
                <w:rFonts w:ascii="Verdana" w:hAnsi="Verdana" w:cs="Arial"/>
                <w:b/>
                <w:bCs/>
                <w:sz w:val="16"/>
                <w:szCs w:val="16"/>
              </w:rPr>
              <w:t>(7,989)</w:t>
            </w:r>
          </w:p>
        </w:tc>
        <w:tc>
          <w:tcPr>
            <w:tcW w:w="1194" w:type="dxa"/>
            <w:tcBorders>
              <w:top w:val="nil"/>
              <w:left w:val="nil"/>
              <w:bottom w:val="nil"/>
              <w:right w:val="single" w:sz="4" w:space="0" w:color="auto"/>
            </w:tcBorders>
            <w:shd w:val="clear" w:color="auto" w:fill="auto"/>
            <w:noWrap/>
            <w:vAlign w:val="center"/>
            <w:hideMark/>
          </w:tcPr>
          <w:p w14:paraId="6D96CB15"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4CF9D373"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(7,989)</w:t>
            </w:r>
          </w:p>
        </w:tc>
        <w:tc>
          <w:tcPr>
            <w:tcW w:w="1194" w:type="dxa"/>
            <w:tcBorders>
              <w:top w:val="nil"/>
              <w:left w:val="nil"/>
              <w:bottom w:val="nil"/>
              <w:right w:val="single" w:sz="4" w:space="0" w:color="auto"/>
            </w:tcBorders>
            <w:shd w:val="clear" w:color="auto" w:fill="auto"/>
            <w:noWrap/>
            <w:vAlign w:val="center"/>
            <w:hideMark/>
          </w:tcPr>
          <w:p w14:paraId="2731AF22" w14:textId="77777777" w:rsidR="00DA611C" w:rsidRDefault="00DA611C">
            <w:pPr>
              <w:jc w:val="right"/>
              <w:rPr>
                <w:rFonts w:ascii="Verdana" w:hAnsi="Verdana" w:cs="Arial"/>
                <w:color w:val="000000"/>
                <w:sz w:val="16"/>
                <w:szCs w:val="16"/>
              </w:rPr>
            </w:pPr>
            <w:r>
              <w:rPr>
                <w:rFonts w:ascii="Verdana" w:hAnsi="Verdana" w:cs="Arial"/>
                <w:color w:val="000000"/>
                <w:sz w:val="16"/>
                <w:szCs w:val="16"/>
              </w:rPr>
              <w:t>(8,314)</w:t>
            </w:r>
          </w:p>
        </w:tc>
        <w:tc>
          <w:tcPr>
            <w:tcW w:w="1194" w:type="dxa"/>
            <w:tcBorders>
              <w:top w:val="nil"/>
              <w:left w:val="nil"/>
              <w:bottom w:val="nil"/>
              <w:right w:val="single" w:sz="4" w:space="0" w:color="auto"/>
            </w:tcBorders>
            <w:shd w:val="clear" w:color="auto" w:fill="auto"/>
            <w:noWrap/>
            <w:vAlign w:val="center"/>
            <w:hideMark/>
          </w:tcPr>
          <w:p w14:paraId="3818625A" w14:textId="77777777" w:rsidR="00DA611C" w:rsidRDefault="00DA611C">
            <w:pPr>
              <w:jc w:val="right"/>
              <w:rPr>
                <w:rFonts w:ascii="Verdana" w:hAnsi="Verdana" w:cs="Arial"/>
                <w:b/>
                <w:bCs/>
                <w:sz w:val="16"/>
                <w:szCs w:val="16"/>
              </w:rPr>
            </w:pPr>
            <w:r>
              <w:rPr>
                <w:rFonts w:ascii="Verdana" w:hAnsi="Verdana" w:cs="Arial"/>
                <w:b/>
                <w:bCs/>
                <w:sz w:val="16"/>
                <w:szCs w:val="16"/>
              </w:rPr>
              <w:t>(16,303)</w:t>
            </w:r>
          </w:p>
        </w:tc>
      </w:tr>
      <w:tr w:rsidR="00DA611C" w14:paraId="56A7A680" w14:textId="77777777" w:rsidTr="00DA611C">
        <w:trPr>
          <w:trHeight w:val="263"/>
        </w:trPr>
        <w:tc>
          <w:tcPr>
            <w:tcW w:w="3749" w:type="dxa"/>
            <w:tcBorders>
              <w:top w:val="nil"/>
              <w:left w:val="single" w:sz="4" w:space="0" w:color="auto"/>
              <w:bottom w:val="nil"/>
              <w:right w:val="single" w:sz="4" w:space="0" w:color="auto"/>
            </w:tcBorders>
            <w:shd w:val="clear" w:color="auto" w:fill="auto"/>
            <w:vAlign w:val="center"/>
            <w:hideMark/>
          </w:tcPr>
          <w:p w14:paraId="0212F631" w14:textId="77777777" w:rsidR="00DA611C" w:rsidRDefault="00DA611C">
            <w:pPr>
              <w:rPr>
                <w:rFonts w:ascii="Verdana" w:hAnsi="Verdana" w:cs="Arial"/>
                <w:sz w:val="16"/>
                <w:szCs w:val="16"/>
              </w:rPr>
            </w:pPr>
            <w:r>
              <w:rPr>
                <w:rFonts w:ascii="Verdana" w:hAnsi="Verdana" w:cs="Arial"/>
                <w:sz w:val="16"/>
                <w:szCs w:val="16"/>
              </w:rPr>
              <w:t>Subsidised Bus - TfGM</w:t>
            </w:r>
          </w:p>
        </w:tc>
        <w:tc>
          <w:tcPr>
            <w:tcW w:w="1194" w:type="dxa"/>
            <w:tcBorders>
              <w:top w:val="nil"/>
              <w:left w:val="nil"/>
              <w:bottom w:val="nil"/>
              <w:right w:val="single" w:sz="4" w:space="0" w:color="auto"/>
            </w:tcBorders>
            <w:shd w:val="clear" w:color="auto" w:fill="auto"/>
            <w:noWrap/>
            <w:vAlign w:val="center"/>
            <w:hideMark/>
          </w:tcPr>
          <w:p w14:paraId="2C7B6F46" w14:textId="77777777" w:rsidR="00DA611C" w:rsidRDefault="00DA611C">
            <w:pPr>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16689020"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nil"/>
            </w:tcBorders>
            <w:shd w:val="clear" w:color="auto" w:fill="auto"/>
            <w:noWrap/>
            <w:vAlign w:val="center"/>
            <w:hideMark/>
          </w:tcPr>
          <w:p w14:paraId="446DCEE0"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0</w:t>
            </w:r>
          </w:p>
        </w:tc>
        <w:tc>
          <w:tcPr>
            <w:tcW w:w="1194" w:type="dxa"/>
            <w:tcBorders>
              <w:top w:val="nil"/>
              <w:left w:val="single" w:sz="4" w:space="0" w:color="auto"/>
              <w:bottom w:val="nil"/>
              <w:right w:val="single" w:sz="4" w:space="0" w:color="auto"/>
            </w:tcBorders>
            <w:shd w:val="clear" w:color="auto" w:fill="auto"/>
            <w:noWrap/>
            <w:vAlign w:val="center"/>
            <w:hideMark/>
          </w:tcPr>
          <w:p w14:paraId="43A64A81"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(1,750)</w:t>
            </w:r>
          </w:p>
        </w:tc>
        <w:tc>
          <w:tcPr>
            <w:tcW w:w="1194" w:type="dxa"/>
            <w:tcBorders>
              <w:top w:val="nil"/>
              <w:left w:val="nil"/>
              <w:bottom w:val="nil"/>
              <w:right w:val="single" w:sz="4" w:space="0" w:color="auto"/>
            </w:tcBorders>
            <w:shd w:val="clear" w:color="auto" w:fill="auto"/>
            <w:noWrap/>
            <w:vAlign w:val="center"/>
            <w:hideMark/>
          </w:tcPr>
          <w:p w14:paraId="5D851C9D" w14:textId="77777777" w:rsidR="00DA611C" w:rsidRDefault="00DA611C">
            <w:pPr>
              <w:jc w:val="right"/>
              <w:rPr>
                <w:rFonts w:ascii="Verdana" w:hAnsi="Verdana" w:cs="Arial"/>
                <w:b/>
                <w:bCs/>
                <w:sz w:val="16"/>
                <w:szCs w:val="16"/>
              </w:rPr>
            </w:pPr>
            <w:r>
              <w:rPr>
                <w:rFonts w:ascii="Verdana" w:hAnsi="Verdana" w:cs="Arial"/>
                <w:b/>
                <w:bCs/>
                <w:sz w:val="16"/>
                <w:szCs w:val="16"/>
              </w:rPr>
              <w:t>(1,750)</w:t>
            </w:r>
          </w:p>
        </w:tc>
      </w:tr>
      <w:tr w:rsidR="00DA611C" w14:paraId="24468AA2" w14:textId="77777777" w:rsidTr="00DA611C">
        <w:trPr>
          <w:trHeight w:val="252"/>
        </w:trPr>
        <w:tc>
          <w:tcPr>
            <w:tcW w:w="3749" w:type="dxa"/>
            <w:tcBorders>
              <w:top w:val="nil"/>
              <w:left w:val="single" w:sz="4" w:space="0" w:color="auto"/>
              <w:bottom w:val="nil"/>
              <w:right w:val="single" w:sz="4" w:space="0" w:color="auto"/>
            </w:tcBorders>
            <w:shd w:val="clear" w:color="auto" w:fill="auto"/>
            <w:vAlign w:val="center"/>
            <w:hideMark/>
          </w:tcPr>
          <w:p w14:paraId="78AB52D0" w14:textId="77777777" w:rsidR="00DA611C" w:rsidRDefault="00DA611C">
            <w:pPr>
              <w:rPr>
                <w:rFonts w:ascii="Verdana" w:hAnsi="Verdana" w:cs="Arial"/>
                <w:sz w:val="16"/>
                <w:szCs w:val="16"/>
              </w:rPr>
            </w:pPr>
            <w:r>
              <w:rPr>
                <w:rFonts w:ascii="Verdana" w:hAnsi="Verdana" w:cs="Arial"/>
                <w:sz w:val="16"/>
                <w:szCs w:val="16"/>
              </w:rPr>
              <w:t>NW Evergreen Holding Fund</w:t>
            </w:r>
          </w:p>
        </w:tc>
        <w:tc>
          <w:tcPr>
            <w:tcW w:w="1194" w:type="dxa"/>
            <w:tcBorders>
              <w:top w:val="nil"/>
              <w:left w:val="nil"/>
              <w:bottom w:val="nil"/>
              <w:right w:val="single" w:sz="4" w:space="0" w:color="auto"/>
            </w:tcBorders>
            <w:shd w:val="clear" w:color="auto" w:fill="auto"/>
            <w:noWrap/>
            <w:vAlign w:val="center"/>
            <w:hideMark/>
          </w:tcPr>
          <w:p w14:paraId="5F94FF5B" w14:textId="77777777" w:rsidR="00DA611C" w:rsidRDefault="00DA611C">
            <w:pPr>
              <w:jc w:val="right"/>
              <w:rPr>
                <w:rFonts w:ascii="Verdana" w:hAnsi="Verdana" w:cs="Arial"/>
                <w:b/>
                <w:bCs/>
                <w:sz w:val="16"/>
                <w:szCs w:val="16"/>
              </w:rPr>
            </w:pPr>
            <w:r>
              <w:rPr>
                <w:rFonts w:ascii="Verdana" w:hAnsi="Verdana" w:cs="Arial"/>
                <w:b/>
                <w:bCs/>
                <w:sz w:val="16"/>
                <w:szCs w:val="16"/>
              </w:rPr>
              <w:t>(67,982)</w:t>
            </w:r>
          </w:p>
        </w:tc>
        <w:tc>
          <w:tcPr>
            <w:tcW w:w="1194" w:type="dxa"/>
            <w:tcBorders>
              <w:top w:val="nil"/>
              <w:left w:val="nil"/>
              <w:bottom w:val="nil"/>
              <w:right w:val="single" w:sz="4" w:space="0" w:color="auto"/>
            </w:tcBorders>
            <w:shd w:val="clear" w:color="auto" w:fill="auto"/>
            <w:noWrap/>
            <w:vAlign w:val="center"/>
            <w:hideMark/>
          </w:tcPr>
          <w:p w14:paraId="72152165"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(1,679)</w:t>
            </w:r>
          </w:p>
        </w:tc>
        <w:tc>
          <w:tcPr>
            <w:tcW w:w="1194" w:type="dxa"/>
            <w:tcBorders>
              <w:top w:val="nil"/>
              <w:left w:val="nil"/>
              <w:bottom w:val="nil"/>
              <w:right w:val="nil"/>
            </w:tcBorders>
            <w:shd w:val="clear" w:color="auto" w:fill="auto"/>
            <w:noWrap/>
            <w:vAlign w:val="center"/>
            <w:hideMark/>
          </w:tcPr>
          <w:p w14:paraId="2FAF09A4"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(69,661)</w:t>
            </w:r>
          </w:p>
        </w:tc>
        <w:tc>
          <w:tcPr>
            <w:tcW w:w="1194" w:type="dxa"/>
            <w:tcBorders>
              <w:top w:val="nil"/>
              <w:left w:val="single" w:sz="4" w:space="0" w:color="auto"/>
              <w:bottom w:val="nil"/>
              <w:right w:val="single" w:sz="4" w:space="0" w:color="auto"/>
            </w:tcBorders>
            <w:shd w:val="clear" w:color="auto" w:fill="auto"/>
            <w:noWrap/>
            <w:vAlign w:val="center"/>
            <w:hideMark/>
          </w:tcPr>
          <w:p w14:paraId="6911AC6C" w14:textId="77777777" w:rsidR="00DA611C" w:rsidRDefault="00DA611C">
            <w:pPr>
              <w:jc w:val="right"/>
              <w:rPr>
                <w:rFonts w:ascii="Verdana" w:hAnsi="Verdana" w:cs="Arial"/>
                <w:color w:val="000000"/>
                <w:sz w:val="16"/>
                <w:szCs w:val="16"/>
              </w:rPr>
            </w:pPr>
            <w:r>
              <w:rPr>
                <w:rFonts w:ascii="Verdana" w:hAnsi="Verdana" w:cs="Arial"/>
                <w:color w:val="000000"/>
                <w:sz w:val="16"/>
                <w:szCs w:val="16"/>
              </w:rPr>
              <w:t>3,870</w:t>
            </w:r>
          </w:p>
        </w:tc>
        <w:tc>
          <w:tcPr>
            <w:tcW w:w="1194" w:type="dxa"/>
            <w:tcBorders>
              <w:top w:val="nil"/>
              <w:left w:val="nil"/>
              <w:bottom w:val="nil"/>
              <w:right w:val="single" w:sz="4" w:space="0" w:color="auto"/>
            </w:tcBorders>
            <w:shd w:val="clear" w:color="auto" w:fill="auto"/>
            <w:noWrap/>
            <w:vAlign w:val="center"/>
            <w:hideMark/>
          </w:tcPr>
          <w:p w14:paraId="66108EE3" w14:textId="77777777" w:rsidR="00DA611C" w:rsidRDefault="00DA611C">
            <w:pPr>
              <w:jc w:val="right"/>
              <w:rPr>
                <w:rFonts w:ascii="Verdana" w:hAnsi="Verdana" w:cs="Arial"/>
                <w:b/>
                <w:bCs/>
                <w:sz w:val="16"/>
                <w:szCs w:val="16"/>
              </w:rPr>
            </w:pPr>
            <w:r>
              <w:rPr>
                <w:rFonts w:ascii="Verdana" w:hAnsi="Verdana" w:cs="Arial"/>
                <w:b/>
                <w:bCs/>
                <w:sz w:val="16"/>
                <w:szCs w:val="16"/>
              </w:rPr>
              <w:t>(65,792)</w:t>
            </w:r>
          </w:p>
        </w:tc>
      </w:tr>
      <w:tr w:rsidR="00DA611C" w14:paraId="0BBA1F30" w14:textId="77777777" w:rsidTr="00DA611C">
        <w:trPr>
          <w:trHeight w:val="274"/>
        </w:trPr>
        <w:tc>
          <w:tcPr>
            <w:tcW w:w="3749" w:type="dxa"/>
            <w:tcBorders>
              <w:top w:val="nil"/>
              <w:left w:val="single" w:sz="4" w:space="0" w:color="auto"/>
              <w:bottom w:val="nil"/>
              <w:right w:val="single" w:sz="4" w:space="0" w:color="auto"/>
            </w:tcBorders>
            <w:shd w:val="clear" w:color="auto" w:fill="auto"/>
            <w:vAlign w:val="center"/>
            <w:hideMark/>
          </w:tcPr>
          <w:p w14:paraId="41413F78" w14:textId="77777777" w:rsidR="00DA611C" w:rsidRDefault="00DA611C">
            <w:pPr>
              <w:rPr>
                <w:rFonts w:ascii="Verdana" w:hAnsi="Verdana" w:cs="Arial"/>
                <w:sz w:val="16"/>
                <w:szCs w:val="16"/>
              </w:rPr>
            </w:pPr>
            <w:r>
              <w:rPr>
                <w:rFonts w:ascii="Verdana" w:hAnsi="Verdana" w:cs="Arial"/>
                <w:sz w:val="16"/>
                <w:szCs w:val="16"/>
              </w:rPr>
              <w:t>Greater Manchester Fund of Funds</w:t>
            </w:r>
          </w:p>
        </w:tc>
        <w:tc>
          <w:tcPr>
            <w:tcW w:w="1194" w:type="dxa"/>
            <w:tcBorders>
              <w:top w:val="nil"/>
              <w:left w:val="nil"/>
              <w:bottom w:val="nil"/>
              <w:right w:val="single" w:sz="4" w:space="0" w:color="auto"/>
            </w:tcBorders>
            <w:shd w:val="clear" w:color="auto" w:fill="auto"/>
            <w:noWrap/>
            <w:vAlign w:val="center"/>
            <w:hideMark/>
          </w:tcPr>
          <w:p w14:paraId="7F2CB788" w14:textId="77777777" w:rsidR="00DA611C" w:rsidRDefault="00DA611C">
            <w:pPr>
              <w:jc w:val="right"/>
              <w:rPr>
                <w:rFonts w:ascii="Verdana" w:hAnsi="Verdana" w:cs="Arial"/>
                <w:b/>
                <w:bCs/>
                <w:sz w:val="16"/>
                <w:szCs w:val="16"/>
              </w:rPr>
            </w:pPr>
            <w:r>
              <w:rPr>
                <w:rFonts w:ascii="Verdana" w:hAnsi="Verdana" w:cs="Arial"/>
                <w:b/>
                <w:bCs/>
                <w:sz w:val="16"/>
                <w:szCs w:val="16"/>
              </w:rPr>
              <w:t>(30,152)</w:t>
            </w:r>
          </w:p>
        </w:tc>
        <w:tc>
          <w:tcPr>
            <w:tcW w:w="1194" w:type="dxa"/>
            <w:tcBorders>
              <w:top w:val="nil"/>
              <w:left w:val="nil"/>
              <w:bottom w:val="nil"/>
              <w:right w:val="single" w:sz="4" w:space="0" w:color="auto"/>
            </w:tcBorders>
            <w:shd w:val="clear" w:color="auto" w:fill="auto"/>
            <w:noWrap/>
            <w:vAlign w:val="center"/>
            <w:hideMark/>
          </w:tcPr>
          <w:p w14:paraId="7189CD8C" w14:textId="77777777" w:rsidR="00DA611C" w:rsidRDefault="00DA611C">
            <w:pPr>
              <w:jc w:val="right"/>
              <w:rPr>
                <w:rFonts w:ascii="Verdana" w:hAnsi="Verdana" w:cs="Arial"/>
                <w:color w:val="000000"/>
                <w:sz w:val="16"/>
                <w:szCs w:val="16"/>
              </w:rPr>
            </w:pPr>
            <w:r>
              <w:rPr>
                <w:rFonts w:ascii="Verdana" w:hAnsi="Verdana" w:cs="Arial"/>
                <w:color w:val="000000"/>
                <w:sz w:val="16"/>
                <w:szCs w:val="16"/>
              </w:rPr>
              <w:t>592</w:t>
            </w:r>
          </w:p>
        </w:tc>
        <w:tc>
          <w:tcPr>
            <w:tcW w:w="1194" w:type="dxa"/>
            <w:tcBorders>
              <w:top w:val="nil"/>
              <w:left w:val="nil"/>
              <w:bottom w:val="nil"/>
              <w:right w:val="nil"/>
            </w:tcBorders>
            <w:shd w:val="clear" w:color="auto" w:fill="auto"/>
            <w:noWrap/>
            <w:vAlign w:val="center"/>
            <w:hideMark/>
          </w:tcPr>
          <w:p w14:paraId="4E9F587D"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(29,560)</w:t>
            </w:r>
          </w:p>
        </w:tc>
        <w:tc>
          <w:tcPr>
            <w:tcW w:w="1194" w:type="dxa"/>
            <w:tcBorders>
              <w:top w:val="nil"/>
              <w:left w:val="single" w:sz="4" w:space="0" w:color="auto"/>
              <w:bottom w:val="nil"/>
              <w:right w:val="single" w:sz="4" w:space="0" w:color="auto"/>
            </w:tcBorders>
            <w:shd w:val="clear" w:color="auto" w:fill="auto"/>
            <w:noWrap/>
            <w:vAlign w:val="center"/>
            <w:hideMark/>
          </w:tcPr>
          <w:p w14:paraId="52128B27"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204</w:t>
            </w:r>
          </w:p>
        </w:tc>
        <w:tc>
          <w:tcPr>
            <w:tcW w:w="1194" w:type="dxa"/>
            <w:tcBorders>
              <w:top w:val="nil"/>
              <w:left w:val="nil"/>
              <w:bottom w:val="nil"/>
              <w:right w:val="single" w:sz="4" w:space="0" w:color="auto"/>
            </w:tcBorders>
            <w:shd w:val="clear" w:color="auto" w:fill="auto"/>
            <w:noWrap/>
            <w:vAlign w:val="center"/>
            <w:hideMark/>
          </w:tcPr>
          <w:p w14:paraId="2C71258B" w14:textId="77777777" w:rsidR="00DA611C" w:rsidRDefault="00DA611C">
            <w:pPr>
              <w:jc w:val="right"/>
              <w:rPr>
                <w:rFonts w:ascii="Verdana" w:hAnsi="Verdana" w:cs="Arial"/>
                <w:b/>
                <w:bCs/>
                <w:sz w:val="16"/>
                <w:szCs w:val="16"/>
              </w:rPr>
            </w:pPr>
            <w:r>
              <w:rPr>
                <w:rFonts w:ascii="Verdana" w:hAnsi="Verdana" w:cs="Arial"/>
                <w:b/>
                <w:bCs/>
                <w:sz w:val="16"/>
                <w:szCs w:val="16"/>
              </w:rPr>
              <w:t>(29,356)</w:t>
            </w:r>
          </w:p>
        </w:tc>
      </w:tr>
      <w:tr w:rsidR="00DA611C" w14:paraId="2161C6FC" w14:textId="77777777" w:rsidTr="00DA611C">
        <w:trPr>
          <w:trHeight w:val="219"/>
        </w:trPr>
        <w:tc>
          <w:tcPr>
            <w:tcW w:w="3749" w:type="dxa"/>
            <w:tcBorders>
              <w:top w:val="single" w:sz="4" w:space="0" w:color="auto"/>
              <w:left w:val="single" w:sz="4" w:space="0" w:color="auto"/>
              <w:bottom w:val="nil"/>
              <w:right w:val="single" w:sz="4" w:space="0" w:color="auto"/>
            </w:tcBorders>
            <w:shd w:val="clear" w:color="auto" w:fill="auto"/>
            <w:vAlign w:val="center"/>
            <w:hideMark/>
          </w:tcPr>
          <w:p w14:paraId="7E4B382B" w14:textId="77777777" w:rsidR="00DA611C" w:rsidRDefault="00DA611C">
            <w:pPr>
              <w:rPr>
                <w:rFonts w:ascii="Verdana" w:hAnsi="Verdana" w:cs="Arial"/>
                <w:b/>
                <w:bCs/>
                <w:sz w:val="16"/>
                <w:szCs w:val="16"/>
              </w:rPr>
            </w:pPr>
            <w:r>
              <w:rPr>
                <w:rFonts w:ascii="Verdana" w:hAnsi="Verdana" w:cs="Arial"/>
                <w:b/>
                <w:bCs/>
                <w:sz w:val="16"/>
                <w:szCs w:val="16"/>
              </w:rPr>
              <w:t>Total Earmarked Reserves</w:t>
            </w:r>
          </w:p>
        </w:tc>
        <w:tc>
          <w:tcPr>
            <w:tcW w:w="1194" w:type="dxa"/>
            <w:tcBorders>
              <w:top w:val="single" w:sz="4" w:space="0" w:color="auto"/>
              <w:left w:val="nil"/>
              <w:bottom w:val="nil"/>
              <w:right w:val="single" w:sz="4" w:space="0" w:color="auto"/>
            </w:tcBorders>
            <w:shd w:val="clear" w:color="auto" w:fill="auto"/>
            <w:noWrap/>
            <w:vAlign w:val="center"/>
            <w:hideMark/>
          </w:tcPr>
          <w:p w14:paraId="26B6D19E"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(461,804)</w:t>
            </w:r>
          </w:p>
        </w:tc>
        <w:tc>
          <w:tcPr>
            <w:tcW w:w="1194" w:type="dxa"/>
            <w:tcBorders>
              <w:top w:val="single" w:sz="4" w:space="0" w:color="auto"/>
              <w:left w:val="nil"/>
              <w:bottom w:val="nil"/>
              <w:right w:val="single" w:sz="4" w:space="0" w:color="auto"/>
            </w:tcBorders>
            <w:shd w:val="clear" w:color="auto" w:fill="auto"/>
            <w:noWrap/>
            <w:vAlign w:val="center"/>
            <w:hideMark/>
          </w:tcPr>
          <w:p w14:paraId="4E9467F3"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53,738</w:t>
            </w:r>
          </w:p>
        </w:tc>
        <w:tc>
          <w:tcPr>
            <w:tcW w:w="1194" w:type="dxa"/>
            <w:tcBorders>
              <w:top w:val="single" w:sz="4" w:space="0" w:color="auto"/>
              <w:left w:val="nil"/>
              <w:bottom w:val="nil"/>
              <w:right w:val="single" w:sz="4" w:space="0" w:color="auto"/>
            </w:tcBorders>
            <w:shd w:val="clear" w:color="auto" w:fill="auto"/>
            <w:noWrap/>
            <w:vAlign w:val="center"/>
            <w:hideMark/>
          </w:tcPr>
          <w:p w14:paraId="2E64AF0B"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(408,064)</w:t>
            </w:r>
          </w:p>
        </w:tc>
        <w:tc>
          <w:tcPr>
            <w:tcW w:w="1194" w:type="dxa"/>
            <w:tcBorders>
              <w:top w:val="single" w:sz="4" w:space="0" w:color="auto"/>
              <w:left w:val="nil"/>
              <w:bottom w:val="nil"/>
              <w:right w:val="single" w:sz="4" w:space="0" w:color="auto"/>
            </w:tcBorders>
            <w:shd w:val="clear" w:color="auto" w:fill="auto"/>
            <w:noWrap/>
            <w:vAlign w:val="center"/>
            <w:hideMark/>
          </w:tcPr>
          <w:p w14:paraId="679C03B3"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(81,514)</w:t>
            </w:r>
          </w:p>
        </w:tc>
        <w:tc>
          <w:tcPr>
            <w:tcW w:w="1194" w:type="dxa"/>
            <w:tcBorders>
              <w:top w:val="single" w:sz="4" w:space="0" w:color="auto"/>
              <w:left w:val="nil"/>
              <w:bottom w:val="nil"/>
              <w:right w:val="single" w:sz="4" w:space="0" w:color="auto"/>
            </w:tcBorders>
            <w:shd w:val="clear" w:color="auto" w:fill="auto"/>
            <w:noWrap/>
            <w:vAlign w:val="center"/>
            <w:hideMark/>
          </w:tcPr>
          <w:p w14:paraId="6746C789"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(489,579)</w:t>
            </w:r>
          </w:p>
        </w:tc>
      </w:tr>
      <w:tr w:rsidR="00DA611C" w14:paraId="3AC53F36" w14:textId="77777777" w:rsidTr="00DA611C">
        <w:trPr>
          <w:trHeight w:val="219"/>
        </w:trPr>
        <w:tc>
          <w:tcPr>
            <w:tcW w:w="3749" w:type="dxa"/>
            <w:tcBorders>
              <w:top w:val="nil"/>
              <w:left w:val="single" w:sz="4" w:space="0" w:color="auto"/>
              <w:bottom w:val="nil"/>
              <w:right w:val="single" w:sz="4" w:space="0" w:color="auto"/>
            </w:tcBorders>
            <w:shd w:val="clear" w:color="auto" w:fill="auto"/>
            <w:hideMark/>
          </w:tcPr>
          <w:p w14:paraId="3F1B80D2" w14:textId="77777777" w:rsidR="00DA611C" w:rsidRDefault="00DA611C">
            <w:pPr>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1D29D8E0" w14:textId="77777777" w:rsidR="00DA611C" w:rsidRDefault="00DA611C">
            <w:pPr>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6971C205" w14:textId="77777777" w:rsidR="00DA611C" w:rsidRDefault="00DA611C">
            <w:pPr>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4C2D1FF1" w14:textId="77777777" w:rsidR="00DA611C" w:rsidRDefault="00DA611C">
            <w:pPr>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7A2F507E" w14:textId="77777777" w:rsidR="00DA611C" w:rsidRDefault="00DA611C">
            <w:pPr>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042FD9DA" w14:textId="77777777" w:rsidR="00DA611C" w:rsidRDefault="00DA611C">
            <w:pPr>
              <w:rPr>
                <w:rFonts w:ascii="Verdana" w:hAnsi="Verdana" w:cs="Arial"/>
                <w:b/>
                <w:bCs/>
                <w:color w:val="000000"/>
                <w:sz w:val="16"/>
                <w:szCs w:val="16"/>
              </w:rPr>
            </w:pPr>
            <w:r>
              <w:rPr>
                <w:rFonts w:ascii="Verdana" w:hAnsi="Verdana" w:cs="Arial"/>
                <w:b/>
                <w:bCs/>
                <w:color w:val="000000"/>
                <w:sz w:val="16"/>
                <w:szCs w:val="16"/>
              </w:rPr>
              <w:t> </w:t>
            </w:r>
          </w:p>
        </w:tc>
      </w:tr>
      <w:tr w:rsidR="00DA611C" w14:paraId="107D84C0" w14:textId="77777777" w:rsidTr="00DA611C">
        <w:trPr>
          <w:trHeight w:val="219"/>
        </w:trPr>
        <w:tc>
          <w:tcPr>
            <w:tcW w:w="3749" w:type="dxa"/>
            <w:tcBorders>
              <w:top w:val="nil"/>
              <w:left w:val="single" w:sz="4" w:space="0" w:color="auto"/>
              <w:bottom w:val="nil"/>
              <w:right w:val="single" w:sz="4" w:space="0" w:color="auto"/>
            </w:tcBorders>
            <w:shd w:val="clear" w:color="auto" w:fill="auto"/>
            <w:hideMark/>
          </w:tcPr>
          <w:p w14:paraId="3C16CB3E" w14:textId="77777777" w:rsidR="00DA611C" w:rsidRDefault="00DA611C">
            <w:pPr>
              <w:rPr>
                <w:rFonts w:ascii="Verdana" w:hAnsi="Verdana" w:cs="Arial"/>
                <w:sz w:val="16"/>
                <w:szCs w:val="16"/>
              </w:rPr>
            </w:pPr>
            <w:r>
              <w:rPr>
                <w:rFonts w:ascii="Verdana" w:hAnsi="Verdana" w:cs="Arial"/>
                <w:sz w:val="16"/>
                <w:szCs w:val="16"/>
              </w:rPr>
              <w:t>Transport and ED&amp;R General Fund Balances</w:t>
            </w:r>
          </w:p>
        </w:tc>
        <w:tc>
          <w:tcPr>
            <w:tcW w:w="1194" w:type="dxa"/>
            <w:tcBorders>
              <w:top w:val="nil"/>
              <w:left w:val="nil"/>
              <w:bottom w:val="nil"/>
              <w:right w:val="single" w:sz="4" w:space="0" w:color="auto"/>
            </w:tcBorders>
            <w:shd w:val="clear" w:color="auto" w:fill="auto"/>
            <w:noWrap/>
            <w:hideMark/>
          </w:tcPr>
          <w:p w14:paraId="517FCE15" w14:textId="77777777" w:rsidR="00DA611C" w:rsidRDefault="00DA611C">
            <w:pPr>
              <w:jc w:val="right"/>
              <w:rPr>
                <w:rFonts w:ascii="Verdana" w:hAnsi="Verdana" w:cs="Arial"/>
                <w:b/>
                <w:bCs/>
                <w:sz w:val="16"/>
                <w:szCs w:val="16"/>
              </w:rPr>
            </w:pPr>
            <w:r>
              <w:rPr>
                <w:rFonts w:ascii="Verdana" w:hAnsi="Verdana" w:cs="Arial"/>
                <w:b/>
                <w:bCs/>
                <w:sz w:val="16"/>
                <w:szCs w:val="16"/>
              </w:rPr>
              <w:t>(5,330)</w:t>
            </w:r>
          </w:p>
        </w:tc>
        <w:tc>
          <w:tcPr>
            <w:tcW w:w="1194" w:type="dxa"/>
            <w:tcBorders>
              <w:top w:val="nil"/>
              <w:left w:val="nil"/>
              <w:bottom w:val="nil"/>
              <w:right w:val="single" w:sz="4" w:space="0" w:color="auto"/>
            </w:tcBorders>
            <w:shd w:val="clear" w:color="auto" w:fill="auto"/>
            <w:noWrap/>
            <w:hideMark/>
          </w:tcPr>
          <w:p w14:paraId="2F11DD30"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hideMark/>
          </w:tcPr>
          <w:p w14:paraId="5B5F40F2"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(5,330)</w:t>
            </w:r>
          </w:p>
        </w:tc>
        <w:tc>
          <w:tcPr>
            <w:tcW w:w="1194" w:type="dxa"/>
            <w:tcBorders>
              <w:top w:val="nil"/>
              <w:left w:val="nil"/>
              <w:bottom w:val="nil"/>
              <w:right w:val="single" w:sz="4" w:space="0" w:color="auto"/>
            </w:tcBorders>
            <w:shd w:val="clear" w:color="auto" w:fill="auto"/>
            <w:noWrap/>
            <w:hideMark/>
          </w:tcPr>
          <w:p w14:paraId="704B5AD4"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(28)</w:t>
            </w:r>
          </w:p>
        </w:tc>
        <w:tc>
          <w:tcPr>
            <w:tcW w:w="1194" w:type="dxa"/>
            <w:tcBorders>
              <w:top w:val="nil"/>
              <w:left w:val="nil"/>
              <w:bottom w:val="nil"/>
              <w:right w:val="single" w:sz="4" w:space="0" w:color="auto"/>
            </w:tcBorders>
            <w:shd w:val="clear" w:color="auto" w:fill="auto"/>
            <w:noWrap/>
            <w:hideMark/>
          </w:tcPr>
          <w:p w14:paraId="15E86BD5" w14:textId="77777777" w:rsidR="00DA611C" w:rsidRDefault="00DA611C">
            <w:pPr>
              <w:jc w:val="right"/>
              <w:rPr>
                <w:rFonts w:ascii="Verdana" w:hAnsi="Verdana" w:cs="Arial"/>
                <w:b/>
                <w:bCs/>
                <w:sz w:val="16"/>
                <w:szCs w:val="16"/>
              </w:rPr>
            </w:pPr>
            <w:r>
              <w:rPr>
                <w:rFonts w:ascii="Verdana" w:hAnsi="Verdana" w:cs="Arial"/>
                <w:b/>
                <w:bCs/>
                <w:sz w:val="16"/>
                <w:szCs w:val="16"/>
              </w:rPr>
              <w:t>(5,358)</w:t>
            </w:r>
          </w:p>
        </w:tc>
      </w:tr>
      <w:tr w:rsidR="00DA611C" w14:paraId="68343A5E" w14:textId="77777777" w:rsidTr="00DA611C">
        <w:trPr>
          <w:trHeight w:val="219"/>
        </w:trPr>
        <w:tc>
          <w:tcPr>
            <w:tcW w:w="3749" w:type="dxa"/>
            <w:tcBorders>
              <w:top w:val="nil"/>
              <w:left w:val="single" w:sz="4" w:space="0" w:color="auto"/>
              <w:bottom w:val="nil"/>
              <w:right w:val="single" w:sz="4" w:space="0" w:color="auto"/>
            </w:tcBorders>
            <w:shd w:val="clear" w:color="auto" w:fill="auto"/>
            <w:hideMark/>
          </w:tcPr>
          <w:p w14:paraId="3A5A8055" w14:textId="77777777" w:rsidR="00DA611C" w:rsidRDefault="00DA611C">
            <w:pPr>
              <w:rPr>
                <w:rFonts w:ascii="Verdana" w:hAnsi="Verdana" w:cs="Arial"/>
                <w:sz w:val="16"/>
                <w:szCs w:val="16"/>
              </w:rPr>
            </w:pPr>
            <w:r>
              <w:rPr>
                <w:rFonts w:ascii="Verdana" w:hAnsi="Verdana" w:cs="Arial"/>
                <w:sz w:val="16"/>
                <w:szCs w:val="16"/>
              </w:rPr>
              <w:t>Waste General Fund Balance</w:t>
            </w:r>
          </w:p>
        </w:tc>
        <w:tc>
          <w:tcPr>
            <w:tcW w:w="1194" w:type="dxa"/>
            <w:tcBorders>
              <w:top w:val="nil"/>
              <w:left w:val="nil"/>
              <w:bottom w:val="nil"/>
              <w:right w:val="single" w:sz="4" w:space="0" w:color="auto"/>
            </w:tcBorders>
            <w:shd w:val="clear" w:color="auto" w:fill="auto"/>
            <w:noWrap/>
            <w:hideMark/>
          </w:tcPr>
          <w:p w14:paraId="3CFA1AC4" w14:textId="77777777" w:rsidR="00DA611C" w:rsidRDefault="00DA611C">
            <w:pPr>
              <w:jc w:val="right"/>
              <w:rPr>
                <w:rFonts w:ascii="Verdana" w:hAnsi="Verdana" w:cs="Arial"/>
                <w:b/>
                <w:bCs/>
                <w:sz w:val="16"/>
                <w:szCs w:val="16"/>
              </w:rPr>
            </w:pPr>
            <w:r>
              <w:rPr>
                <w:rFonts w:ascii="Verdana" w:hAnsi="Verdana" w:cs="Arial"/>
                <w:b/>
                <w:bCs/>
                <w:sz w:val="16"/>
                <w:szCs w:val="16"/>
              </w:rPr>
              <w:t>(12,132)</w:t>
            </w:r>
          </w:p>
        </w:tc>
        <w:tc>
          <w:tcPr>
            <w:tcW w:w="1194" w:type="dxa"/>
            <w:tcBorders>
              <w:top w:val="nil"/>
              <w:left w:val="nil"/>
              <w:bottom w:val="nil"/>
              <w:right w:val="single" w:sz="4" w:space="0" w:color="auto"/>
            </w:tcBorders>
            <w:shd w:val="clear" w:color="auto" w:fill="auto"/>
            <w:noWrap/>
            <w:hideMark/>
          </w:tcPr>
          <w:p w14:paraId="61E19B88"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bottom"/>
            <w:hideMark/>
          </w:tcPr>
          <w:p w14:paraId="27189171"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(12,132)</w:t>
            </w:r>
          </w:p>
        </w:tc>
        <w:tc>
          <w:tcPr>
            <w:tcW w:w="1194" w:type="dxa"/>
            <w:tcBorders>
              <w:top w:val="nil"/>
              <w:left w:val="nil"/>
              <w:bottom w:val="nil"/>
              <w:right w:val="single" w:sz="4" w:space="0" w:color="auto"/>
            </w:tcBorders>
            <w:shd w:val="clear" w:color="auto" w:fill="auto"/>
            <w:noWrap/>
            <w:hideMark/>
          </w:tcPr>
          <w:p w14:paraId="74905824"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hideMark/>
          </w:tcPr>
          <w:p w14:paraId="609250D7" w14:textId="77777777" w:rsidR="00DA611C" w:rsidRDefault="00DA611C">
            <w:pPr>
              <w:jc w:val="right"/>
              <w:rPr>
                <w:rFonts w:ascii="Verdana" w:hAnsi="Verdana" w:cs="Arial"/>
                <w:b/>
                <w:bCs/>
                <w:sz w:val="16"/>
                <w:szCs w:val="16"/>
              </w:rPr>
            </w:pPr>
            <w:r>
              <w:rPr>
                <w:rFonts w:ascii="Verdana" w:hAnsi="Verdana" w:cs="Arial"/>
                <w:b/>
                <w:bCs/>
                <w:sz w:val="16"/>
                <w:szCs w:val="16"/>
              </w:rPr>
              <w:t>(12,132)</w:t>
            </w:r>
          </w:p>
        </w:tc>
      </w:tr>
      <w:tr w:rsidR="00DA611C" w14:paraId="4DA6D930" w14:textId="77777777" w:rsidTr="00DA611C">
        <w:trPr>
          <w:trHeight w:val="219"/>
        </w:trPr>
        <w:tc>
          <w:tcPr>
            <w:tcW w:w="3749" w:type="dxa"/>
            <w:tcBorders>
              <w:top w:val="nil"/>
              <w:left w:val="single" w:sz="4" w:space="0" w:color="auto"/>
              <w:bottom w:val="nil"/>
              <w:right w:val="single" w:sz="4" w:space="0" w:color="auto"/>
            </w:tcBorders>
            <w:shd w:val="clear" w:color="auto" w:fill="auto"/>
            <w:hideMark/>
          </w:tcPr>
          <w:p w14:paraId="36B0286D" w14:textId="77777777" w:rsidR="00DA611C" w:rsidRDefault="00DA611C">
            <w:pPr>
              <w:rPr>
                <w:rFonts w:ascii="Verdana" w:hAnsi="Verdana" w:cs="Arial"/>
                <w:sz w:val="16"/>
                <w:szCs w:val="16"/>
              </w:rPr>
            </w:pPr>
            <w:r>
              <w:rPr>
                <w:rFonts w:ascii="Verdana" w:hAnsi="Verdana" w:cs="Arial"/>
                <w:sz w:val="16"/>
                <w:szCs w:val="16"/>
              </w:rPr>
              <w:t>TFGM General Balances</w:t>
            </w:r>
          </w:p>
        </w:tc>
        <w:tc>
          <w:tcPr>
            <w:tcW w:w="1194" w:type="dxa"/>
            <w:tcBorders>
              <w:top w:val="nil"/>
              <w:left w:val="nil"/>
              <w:bottom w:val="nil"/>
              <w:right w:val="single" w:sz="4" w:space="0" w:color="auto"/>
            </w:tcBorders>
            <w:shd w:val="clear" w:color="auto" w:fill="auto"/>
            <w:noWrap/>
            <w:hideMark/>
          </w:tcPr>
          <w:p w14:paraId="1F0BB63D" w14:textId="77777777" w:rsidR="00DA611C" w:rsidRDefault="00DA611C">
            <w:pPr>
              <w:jc w:val="right"/>
              <w:rPr>
                <w:rFonts w:ascii="Verdana" w:hAnsi="Verdana" w:cs="Arial"/>
                <w:b/>
                <w:bCs/>
                <w:sz w:val="16"/>
                <w:szCs w:val="16"/>
              </w:rPr>
            </w:pPr>
            <w:r>
              <w:rPr>
                <w:rFonts w:ascii="Verdana" w:hAnsi="Verdana" w:cs="Arial"/>
                <w:b/>
                <w:bCs/>
                <w:sz w:val="16"/>
                <w:szCs w:val="16"/>
              </w:rPr>
              <w:t>(10,320)</w:t>
            </w:r>
          </w:p>
        </w:tc>
        <w:tc>
          <w:tcPr>
            <w:tcW w:w="1194" w:type="dxa"/>
            <w:tcBorders>
              <w:top w:val="nil"/>
              <w:left w:val="nil"/>
              <w:bottom w:val="nil"/>
              <w:right w:val="single" w:sz="4" w:space="0" w:color="auto"/>
            </w:tcBorders>
            <w:shd w:val="clear" w:color="auto" w:fill="auto"/>
            <w:noWrap/>
            <w:hideMark/>
          </w:tcPr>
          <w:p w14:paraId="1F5B176E"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(27)</w:t>
            </w:r>
          </w:p>
        </w:tc>
        <w:tc>
          <w:tcPr>
            <w:tcW w:w="1194" w:type="dxa"/>
            <w:tcBorders>
              <w:top w:val="nil"/>
              <w:left w:val="nil"/>
              <w:bottom w:val="nil"/>
              <w:right w:val="nil"/>
            </w:tcBorders>
            <w:shd w:val="clear" w:color="000000" w:fill="FFFFFF"/>
            <w:noWrap/>
            <w:vAlign w:val="bottom"/>
            <w:hideMark/>
          </w:tcPr>
          <w:p w14:paraId="049EA591"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(10,351)</w:t>
            </w:r>
          </w:p>
        </w:tc>
        <w:tc>
          <w:tcPr>
            <w:tcW w:w="1194" w:type="dxa"/>
            <w:tcBorders>
              <w:top w:val="nil"/>
              <w:left w:val="single" w:sz="4" w:space="0" w:color="auto"/>
              <w:bottom w:val="nil"/>
              <w:right w:val="single" w:sz="4" w:space="0" w:color="auto"/>
            </w:tcBorders>
            <w:shd w:val="clear" w:color="auto" w:fill="auto"/>
            <w:noWrap/>
            <w:hideMark/>
          </w:tcPr>
          <w:p w14:paraId="55424D8B"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(224)</w:t>
            </w:r>
          </w:p>
        </w:tc>
        <w:tc>
          <w:tcPr>
            <w:tcW w:w="1194" w:type="dxa"/>
            <w:tcBorders>
              <w:top w:val="nil"/>
              <w:left w:val="nil"/>
              <w:bottom w:val="nil"/>
              <w:right w:val="single" w:sz="4" w:space="0" w:color="auto"/>
            </w:tcBorders>
            <w:shd w:val="clear" w:color="auto" w:fill="auto"/>
            <w:noWrap/>
            <w:hideMark/>
          </w:tcPr>
          <w:p w14:paraId="6BA5AB3B" w14:textId="77777777" w:rsidR="00DA611C" w:rsidRDefault="00DA611C">
            <w:pPr>
              <w:jc w:val="right"/>
              <w:rPr>
                <w:rFonts w:ascii="Verdana" w:hAnsi="Verdana" w:cs="Arial"/>
                <w:b/>
                <w:bCs/>
                <w:sz w:val="16"/>
                <w:szCs w:val="16"/>
              </w:rPr>
            </w:pPr>
            <w:r>
              <w:rPr>
                <w:rFonts w:ascii="Verdana" w:hAnsi="Verdana" w:cs="Arial"/>
                <w:b/>
                <w:bCs/>
                <w:sz w:val="16"/>
                <w:szCs w:val="16"/>
              </w:rPr>
              <w:t>(10,575)</w:t>
            </w:r>
          </w:p>
        </w:tc>
      </w:tr>
      <w:tr w:rsidR="00DA611C" w14:paraId="69A40F82" w14:textId="77777777" w:rsidTr="00DA611C">
        <w:trPr>
          <w:trHeight w:val="219"/>
        </w:trPr>
        <w:tc>
          <w:tcPr>
            <w:tcW w:w="3749" w:type="dxa"/>
            <w:tcBorders>
              <w:top w:val="single" w:sz="4" w:space="0" w:color="auto"/>
              <w:left w:val="single" w:sz="4" w:space="0" w:color="auto"/>
              <w:bottom w:val="nil"/>
              <w:right w:val="nil"/>
            </w:tcBorders>
            <w:shd w:val="clear" w:color="auto" w:fill="auto"/>
            <w:hideMark/>
          </w:tcPr>
          <w:p w14:paraId="14E6EFDD" w14:textId="77777777" w:rsidR="00DA611C" w:rsidRDefault="00DA611C">
            <w:pPr>
              <w:rPr>
                <w:rFonts w:ascii="Verdana" w:hAnsi="Verdana" w:cs="Arial"/>
                <w:b/>
                <w:bCs/>
                <w:sz w:val="16"/>
                <w:szCs w:val="16"/>
              </w:rPr>
            </w:pPr>
            <w:r>
              <w:rPr>
                <w:rFonts w:ascii="Verdana" w:hAnsi="Verdana" w:cs="Arial"/>
                <w:b/>
                <w:bCs/>
                <w:sz w:val="16"/>
                <w:szCs w:val="16"/>
              </w:rPr>
              <w:t>Total General Fund Balances</w:t>
            </w:r>
          </w:p>
        </w:tc>
        <w:tc>
          <w:tcPr>
            <w:tcW w:w="1194" w:type="dxa"/>
            <w:tcBorders>
              <w:top w:val="single" w:sz="4" w:space="0" w:color="auto"/>
              <w:left w:val="single" w:sz="4" w:space="0" w:color="auto"/>
              <w:bottom w:val="nil"/>
              <w:right w:val="single" w:sz="4" w:space="0" w:color="auto"/>
            </w:tcBorders>
            <w:shd w:val="clear" w:color="auto" w:fill="auto"/>
            <w:noWrap/>
            <w:hideMark/>
          </w:tcPr>
          <w:p w14:paraId="7A8CBA90" w14:textId="77777777" w:rsidR="00DA611C" w:rsidRDefault="00DA611C">
            <w:pPr>
              <w:jc w:val="right"/>
              <w:rPr>
                <w:rFonts w:ascii="Verdana" w:hAnsi="Verdana" w:cs="Arial"/>
                <w:b/>
                <w:bCs/>
                <w:sz w:val="16"/>
                <w:szCs w:val="16"/>
              </w:rPr>
            </w:pPr>
            <w:r>
              <w:rPr>
                <w:rFonts w:ascii="Verdana" w:hAnsi="Verdana" w:cs="Arial"/>
                <w:b/>
                <w:bCs/>
                <w:sz w:val="16"/>
                <w:szCs w:val="16"/>
              </w:rPr>
              <w:t>(27,782)</w:t>
            </w:r>
          </w:p>
        </w:tc>
        <w:tc>
          <w:tcPr>
            <w:tcW w:w="1194" w:type="dxa"/>
            <w:tcBorders>
              <w:top w:val="single" w:sz="4" w:space="0" w:color="auto"/>
              <w:left w:val="nil"/>
              <w:bottom w:val="nil"/>
              <w:right w:val="single" w:sz="4" w:space="0" w:color="auto"/>
            </w:tcBorders>
            <w:shd w:val="clear" w:color="auto" w:fill="auto"/>
            <w:noWrap/>
            <w:hideMark/>
          </w:tcPr>
          <w:p w14:paraId="03DE18E2" w14:textId="77777777" w:rsidR="00DA611C" w:rsidRDefault="00DA611C">
            <w:pPr>
              <w:jc w:val="right"/>
              <w:rPr>
                <w:rFonts w:ascii="Verdana" w:hAnsi="Verdana" w:cs="Arial"/>
                <w:b/>
                <w:bCs/>
                <w:sz w:val="16"/>
                <w:szCs w:val="16"/>
              </w:rPr>
            </w:pPr>
            <w:r>
              <w:rPr>
                <w:rFonts w:ascii="Verdana" w:hAnsi="Verdana" w:cs="Arial"/>
                <w:b/>
                <w:bCs/>
                <w:sz w:val="16"/>
                <w:szCs w:val="16"/>
              </w:rPr>
              <w:t>(27)</w:t>
            </w:r>
          </w:p>
        </w:tc>
        <w:tc>
          <w:tcPr>
            <w:tcW w:w="1194" w:type="dxa"/>
            <w:tcBorders>
              <w:top w:val="single" w:sz="4" w:space="0" w:color="auto"/>
              <w:left w:val="nil"/>
              <w:bottom w:val="nil"/>
              <w:right w:val="single" w:sz="4" w:space="0" w:color="auto"/>
            </w:tcBorders>
            <w:shd w:val="clear" w:color="auto" w:fill="auto"/>
            <w:noWrap/>
            <w:hideMark/>
          </w:tcPr>
          <w:p w14:paraId="7A6D3F3C" w14:textId="77777777" w:rsidR="00DA611C" w:rsidRDefault="00DA611C">
            <w:pPr>
              <w:jc w:val="right"/>
              <w:rPr>
                <w:rFonts w:ascii="Verdana" w:hAnsi="Verdana" w:cs="Arial"/>
                <w:b/>
                <w:bCs/>
                <w:sz w:val="16"/>
                <w:szCs w:val="16"/>
              </w:rPr>
            </w:pPr>
            <w:r>
              <w:rPr>
                <w:rFonts w:ascii="Verdana" w:hAnsi="Verdana" w:cs="Arial"/>
                <w:b/>
                <w:bCs/>
                <w:sz w:val="16"/>
                <w:szCs w:val="16"/>
              </w:rPr>
              <w:t>(27,813)</w:t>
            </w:r>
          </w:p>
        </w:tc>
        <w:tc>
          <w:tcPr>
            <w:tcW w:w="1194" w:type="dxa"/>
            <w:tcBorders>
              <w:top w:val="single" w:sz="4" w:space="0" w:color="auto"/>
              <w:left w:val="nil"/>
              <w:bottom w:val="nil"/>
              <w:right w:val="single" w:sz="4" w:space="0" w:color="auto"/>
            </w:tcBorders>
            <w:shd w:val="clear" w:color="auto" w:fill="auto"/>
            <w:noWrap/>
            <w:hideMark/>
          </w:tcPr>
          <w:p w14:paraId="4C1FD649" w14:textId="77777777" w:rsidR="00DA611C" w:rsidRDefault="00DA611C">
            <w:pPr>
              <w:jc w:val="right"/>
              <w:rPr>
                <w:rFonts w:ascii="Verdana" w:hAnsi="Verdana" w:cs="Arial"/>
                <w:b/>
                <w:bCs/>
                <w:sz w:val="16"/>
                <w:szCs w:val="16"/>
              </w:rPr>
            </w:pPr>
            <w:r>
              <w:rPr>
                <w:rFonts w:ascii="Verdana" w:hAnsi="Verdana" w:cs="Arial"/>
                <w:b/>
                <w:bCs/>
                <w:sz w:val="16"/>
                <w:szCs w:val="16"/>
              </w:rPr>
              <w:t>(252)</w:t>
            </w:r>
          </w:p>
        </w:tc>
        <w:tc>
          <w:tcPr>
            <w:tcW w:w="1194" w:type="dxa"/>
            <w:tcBorders>
              <w:top w:val="single" w:sz="4" w:space="0" w:color="auto"/>
              <w:left w:val="nil"/>
              <w:bottom w:val="nil"/>
              <w:right w:val="single" w:sz="4" w:space="0" w:color="auto"/>
            </w:tcBorders>
            <w:shd w:val="clear" w:color="auto" w:fill="auto"/>
            <w:noWrap/>
            <w:hideMark/>
          </w:tcPr>
          <w:p w14:paraId="7C6C8129" w14:textId="77777777" w:rsidR="00DA611C" w:rsidRDefault="00DA611C">
            <w:pPr>
              <w:jc w:val="right"/>
              <w:rPr>
                <w:rFonts w:ascii="Verdana" w:hAnsi="Verdana" w:cs="Arial"/>
                <w:b/>
                <w:bCs/>
                <w:sz w:val="16"/>
                <w:szCs w:val="16"/>
              </w:rPr>
            </w:pPr>
            <w:r>
              <w:rPr>
                <w:rFonts w:ascii="Verdana" w:hAnsi="Verdana" w:cs="Arial"/>
                <w:b/>
                <w:bCs/>
                <w:sz w:val="16"/>
                <w:szCs w:val="16"/>
              </w:rPr>
              <w:t>(28,065)</w:t>
            </w:r>
          </w:p>
        </w:tc>
      </w:tr>
      <w:tr w:rsidR="00DA611C" w14:paraId="20A97A01" w14:textId="77777777" w:rsidTr="00DA611C">
        <w:trPr>
          <w:trHeight w:val="219"/>
        </w:trPr>
        <w:tc>
          <w:tcPr>
            <w:tcW w:w="3749" w:type="dxa"/>
            <w:tcBorders>
              <w:top w:val="nil"/>
              <w:left w:val="single" w:sz="4" w:space="0" w:color="auto"/>
              <w:bottom w:val="nil"/>
              <w:right w:val="nil"/>
            </w:tcBorders>
            <w:shd w:val="clear" w:color="auto" w:fill="auto"/>
            <w:hideMark/>
          </w:tcPr>
          <w:p w14:paraId="55F3D3C1" w14:textId="77777777" w:rsidR="00DA611C" w:rsidRDefault="00DA611C">
            <w:pPr>
              <w:rPr>
                <w:rFonts w:ascii="Verdana" w:hAnsi="Verdana" w:cs="Arial"/>
                <w:b/>
                <w:bCs/>
                <w:sz w:val="16"/>
                <w:szCs w:val="16"/>
              </w:rPr>
            </w:pPr>
            <w:r>
              <w:rPr>
                <w:rFonts w:ascii="Verdana" w:hAnsi="Verdana" w:cs="Arial"/>
                <w:b/>
                <w:bCs/>
                <w:sz w:val="16"/>
                <w:szCs w:val="16"/>
              </w:rPr>
              <w:t> </w:t>
            </w:r>
          </w:p>
        </w:tc>
        <w:tc>
          <w:tcPr>
            <w:tcW w:w="1194" w:type="dxa"/>
            <w:tcBorders>
              <w:top w:val="nil"/>
              <w:left w:val="single" w:sz="4" w:space="0" w:color="auto"/>
              <w:bottom w:val="nil"/>
              <w:right w:val="single" w:sz="4" w:space="0" w:color="auto"/>
            </w:tcBorders>
            <w:shd w:val="clear" w:color="auto" w:fill="auto"/>
            <w:noWrap/>
            <w:hideMark/>
          </w:tcPr>
          <w:p w14:paraId="060F71AD" w14:textId="77777777" w:rsidR="00DA611C" w:rsidRDefault="00DA611C">
            <w:pPr>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1988B62B" w14:textId="77777777" w:rsidR="00DA611C" w:rsidRDefault="00DA611C">
            <w:pPr>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2CC14B91" w14:textId="77777777" w:rsidR="00DA611C" w:rsidRDefault="00DA611C">
            <w:pPr>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0E7CB925" w14:textId="77777777" w:rsidR="00DA611C" w:rsidRDefault="00DA611C">
            <w:pPr>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61D76E25" w14:textId="77777777" w:rsidR="00DA611C" w:rsidRDefault="00DA611C">
            <w:pPr>
              <w:rPr>
                <w:rFonts w:ascii="Verdana" w:hAnsi="Verdana" w:cs="Arial"/>
                <w:b/>
                <w:bCs/>
                <w:color w:val="000000"/>
                <w:sz w:val="16"/>
                <w:szCs w:val="16"/>
              </w:rPr>
            </w:pPr>
            <w:r>
              <w:rPr>
                <w:rFonts w:ascii="Verdana" w:hAnsi="Verdana" w:cs="Arial"/>
                <w:b/>
                <w:bCs/>
                <w:color w:val="000000"/>
                <w:sz w:val="16"/>
                <w:szCs w:val="16"/>
              </w:rPr>
              <w:t> </w:t>
            </w:r>
          </w:p>
        </w:tc>
      </w:tr>
      <w:tr w:rsidR="00DA611C" w14:paraId="2E1AD4C9" w14:textId="77777777" w:rsidTr="00DA611C">
        <w:trPr>
          <w:trHeight w:val="219"/>
        </w:trPr>
        <w:tc>
          <w:tcPr>
            <w:tcW w:w="3749" w:type="dxa"/>
            <w:tcBorders>
              <w:top w:val="nil"/>
              <w:left w:val="single" w:sz="4" w:space="0" w:color="auto"/>
              <w:bottom w:val="nil"/>
              <w:right w:val="nil"/>
            </w:tcBorders>
            <w:shd w:val="clear" w:color="auto" w:fill="auto"/>
            <w:hideMark/>
          </w:tcPr>
          <w:p w14:paraId="20BA35CF" w14:textId="77777777" w:rsidR="00DA611C" w:rsidRDefault="00DA611C">
            <w:pPr>
              <w:rPr>
                <w:rFonts w:ascii="Verdana" w:hAnsi="Verdana" w:cs="Arial"/>
                <w:sz w:val="16"/>
                <w:szCs w:val="16"/>
              </w:rPr>
            </w:pPr>
            <w:r>
              <w:rPr>
                <w:rFonts w:ascii="Verdana" w:hAnsi="Verdana" w:cs="Arial"/>
                <w:sz w:val="16"/>
                <w:szCs w:val="16"/>
              </w:rPr>
              <w:t>Usable Capital Receipts Reserve</w:t>
            </w:r>
          </w:p>
        </w:tc>
        <w:tc>
          <w:tcPr>
            <w:tcW w:w="1194" w:type="dxa"/>
            <w:tcBorders>
              <w:top w:val="nil"/>
              <w:left w:val="single" w:sz="4" w:space="0" w:color="auto"/>
              <w:bottom w:val="nil"/>
              <w:right w:val="single" w:sz="4" w:space="0" w:color="auto"/>
            </w:tcBorders>
            <w:shd w:val="clear" w:color="auto" w:fill="auto"/>
            <w:noWrap/>
            <w:hideMark/>
          </w:tcPr>
          <w:p w14:paraId="22AEF794"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(82,724)</w:t>
            </w:r>
          </w:p>
        </w:tc>
        <w:tc>
          <w:tcPr>
            <w:tcW w:w="1194" w:type="dxa"/>
            <w:tcBorders>
              <w:top w:val="nil"/>
              <w:left w:val="nil"/>
              <w:bottom w:val="nil"/>
              <w:right w:val="single" w:sz="4" w:space="0" w:color="auto"/>
            </w:tcBorders>
            <w:shd w:val="clear" w:color="auto" w:fill="auto"/>
            <w:noWrap/>
            <w:hideMark/>
          </w:tcPr>
          <w:p w14:paraId="2D5CB724"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28,459 </w:t>
            </w:r>
          </w:p>
        </w:tc>
        <w:tc>
          <w:tcPr>
            <w:tcW w:w="1194" w:type="dxa"/>
            <w:tcBorders>
              <w:top w:val="nil"/>
              <w:left w:val="nil"/>
              <w:bottom w:val="nil"/>
              <w:right w:val="single" w:sz="4" w:space="0" w:color="auto"/>
            </w:tcBorders>
            <w:shd w:val="clear" w:color="auto" w:fill="auto"/>
            <w:noWrap/>
            <w:hideMark/>
          </w:tcPr>
          <w:p w14:paraId="58EAB9C4"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(54,265)</w:t>
            </w:r>
          </w:p>
        </w:tc>
        <w:tc>
          <w:tcPr>
            <w:tcW w:w="1194" w:type="dxa"/>
            <w:tcBorders>
              <w:top w:val="nil"/>
              <w:left w:val="nil"/>
              <w:bottom w:val="nil"/>
              <w:right w:val="single" w:sz="4" w:space="0" w:color="auto"/>
            </w:tcBorders>
            <w:shd w:val="clear" w:color="auto" w:fill="auto"/>
            <w:noWrap/>
            <w:hideMark/>
          </w:tcPr>
          <w:p w14:paraId="3FE57E4D"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(14,307)</w:t>
            </w:r>
          </w:p>
        </w:tc>
        <w:tc>
          <w:tcPr>
            <w:tcW w:w="1194" w:type="dxa"/>
            <w:tcBorders>
              <w:top w:val="nil"/>
              <w:left w:val="nil"/>
              <w:bottom w:val="nil"/>
              <w:right w:val="single" w:sz="4" w:space="0" w:color="auto"/>
            </w:tcBorders>
            <w:shd w:val="clear" w:color="auto" w:fill="auto"/>
            <w:noWrap/>
            <w:hideMark/>
          </w:tcPr>
          <w:p w14:paraId="622B319A" w14:textId="77777777" w:rsidR="00DA611C" w:rsidRDefault="00DA611C">
            <w:pPr>
              <w:jc w:val="right"/>
              <w:rPr>
                <w:rFonts w:ascii="Verdana" w:hAnsi="Verdana" w:cs="Arial"/>
                <w:b/>
                <w:bCs/>
                <w:sz w:val="16"/>
                <w:szCs w:val="16"/>
              </w:rPr>
            </w:pPr>
            <w:r>
              <w:rPr>
                <w:rFonts w:ascii="Verdana" w:hAnsi="Verdana" w:cs="Arial"/>
                <w:b/>
                <w:bCs/>
                <w:sz w:val="16"/>
                <w:szCs w:val="16"/>
              </w:rPr>
              <w:t>(68,572)</w:t>
            </w:r>
          </w:p>
        </w:tc>
      </w:tr>
      <w:tr w:rsidR="00DA611C" w14:paraId="1211BEFF" w14:textId="77777777" w:rsidTr="00DA611C">
        <w:trPr>
          <w:trHeight w:val="219"/>
        </w:trPr>
        <w:tc>
          <w:tcPr>
            <w:tcW w:w="3749" w:type="dxa"/>
            <w:tcBorders>
              <w:top w:val="nil"/>
              <w:left w:val="single" w:sz="4" w:space="0" w:color="auto"/>
              <w:bottom w:val="nil"/>
              <w:right w:val="nil"/>
            </w:tcBorders>
            <w:shd w:val="clear" w:color="auto" w:fill="auto"/>
            <w:noWrap/>
            <w:hideMark/>
          </w:tcPr>
          <w:p w14:paraId="5661F5D0" w14:textId="77777777" w:rsidR="00DA611C" w:rsidRDefault="00DA611C">
            <w:pPr>
              <w:rPr>
                <w:rFonts w:ascii="Verdana" w:hAnsi="Verdana" w:cs="Arial"/>
                <w:sz w:val="16"/>
                <w:szCs w:val="16"/>
              </w:rPr>
            </w:pPr>
            <w:r>
              <w:rPr>
                <w:rFonts w:ascii="Verdana" w:hAnsi="Verdana" w:cs="Arial"/>
                <w:sz w:val="16"/>
                <w:szCs w:val="16"/>
              </w:rPr>
              <w:t>Capital Grants Unapplied Reserve</w:t>
            </w:r>
          </w:p>
        </w:tc>
        <w:tc>
          <w:tcPr>
            <w:tcW w:w="1194" w:type="dxa"/>
            <w:tcBorders>
              <w:top w:val="nil"/>
              <w:left w:val="single" w:sz="4" w:space="0" w:color="auto"/>
              <w:bottom w:val="nil"/>
              <w:right w:val="single" w:sz="4" w:space="0" w:color="auto"/>
            </w:tcBorders>
            <w:shd w:val="clear" w:color="auto" w:fill="auto"/>
            <w:noWrap/>
            <w:hideMark/>
          </w:tcPr>
          <w:p w14:paraId="072021C1" w14:textId="77777777" w:rsidR="00DA611C" w:rsidRDefault="00DA611C">
            <w:pPr>
              <w:jc w:val="right"/>
              <w:rPr>
                <w:rFonts w:ascii="Verdana" w:hAnsi="Verdana" w:cs="Arial"/>
                <w:b/>
                <w:bCs/>
                <w:sz w:val="16"/>
                <w:szCs w:val="16"/>
              </w:rPr>
            </w:pPr>
            <w:r>
              <w:rPr>
                <w:rFonts w:ascii="Verdana" w:hAnsi="Verdana" w:cs="Arial"/>
                <w:b/>
                <w:bCs/>
                <w:sz w:val="16"/>
                <w:szCs w:val="16"/>
              </w:rPr>
              <w:t>0</w:t>
            </w:r>
          </w:p>
        </w:tc>
        <w:tc>
          <w:tcPr>
            <w:tcW w:w="1194" w:type="dxa"/>
            <w:tcBorders>
              <w:top w:val="nil"/>
              <w:left w:val="nil"/>
              <w:bottom w:val="nil"/>
              <w:right w:val="single" w:sz="4" w:space="0" w:color="auto"/>
            </w:tcBorders>
            <w:shd w:val="clear" w:color="auto" w:fill="auto"/>
            <w:noWrap/>
            <w:hideMark/>
          </w:tcPr>
          <w:p w14:paraId="76BB9FE2"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(24,987)</w:t>
            </w:r>
          </w:p>
        </w:tc>
        <w:tc>
          <w:tcPr>
            <w:tcW w:w="1194" w:type="dxa"/>
            <w:tcBorders>
              <w:top w:val="nil"/>
              <w:left w:val="nil"/>
              <w:bottom w:val="nil"/>
              <w:right w:val="single" w:sz="4" w:space="0" w:color="auto"/>
            </w:tcBorders>
            <w:shd w:val="clear" w:color="auto" w:fill="auto"/>
            <w:noWrap/>
            <w:hideMark/>
          </w:tcPr>
          <w:p w14:paraId="16F198D7"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(24,987)</w:t>
            </w:r>
          </w:p>
        </w:tc>
        <w:tc>
          <w:tcPr>
            <w:tcW w:w="1194" w:type="dxa"/>
            <w:tcBorders>
              <w:top w:val="nil"/>
              <w:left w:val="nil"/>
              <w:bottom w:val="nil"/>
              <w:right w:val="single" w:sz="4" w:space="0" w:color="auto"/>
            </w:tcBorders>
            <w:shd w:val="clear" w:color="auto" w:fill="auto"/>
            <w:noWrap/>
            <w:hideMark/>
          </w:tcPr>
          <w:p w14:paraId="4D812DC5"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(10,367)</w:t>
            </w:r>
          </w:p>
        </w:tc>
        <w:tc>
          <w:tcPr>
            <w:tcW w:w="1194" w:type="dxa"/>
            <w:tcBorders>
              <w:top w:val="nil"/>
              <w:left w:val="nil"/>
              <w:bottom w:val="nil"/>
              <w:right w:val="single" w:sz="4" w:space="0" w:color="auto"/>
            </w:tcBorders>
            <w:shd w:val="clear" w:color="auto" w:fill="auto"/>
            <w:noWrap/>
            <w:hideMark/>
          </w:tcPr>
          <w:p w14:paraId="6FC5CB36" w14:textId="77777777" w:rsidR="00DA611C" w:rsidRDefault="00DA611C">
            <w:pPr>
              <w:jc w:val="right"/>
              <w:rPr>
                <w:rFonts w:ascii="Verdana" w:hAnsi="Verdana" w:cs="Arial"/>
                <w:b/>
                <w:bCs/>
                <w:sz w:val="16"/>
                <w:szCs w:val="16"/>
              </w:rPr>
            </w:pPr>
            <w:r>
              <w:rPr>
                <w:rFonts w:ascii="Verdana" w:hAnsi="Verdana" w:cs="Arial"/>
                <w:b/>
                <w:bCs/>
                <w:sz w:val="16"/>
                <w:szCs w:val="16"/>
              </w:rPr>
              <w:t>(35,354)</w:t>
            </w:r>
          </w:p>
        </w:tc>
      </w:tr>
      <w:tr w:rsidR="00DA611C" w14:paraId="1F4D8D3E" w14:textId="77777777" w:rsidTr="00DA611C">
        <w:trPr>
          <w:trHeight w:val="219"/>
        </w:trPr>
        <w:tc>
          <w:tcPr>
            <w:tcW w:w="3749" w:type="dxa"/>
            <w:tcBorders>
              <w:top w:val="nil"/>
              <w:left w:val="single" w:sz="4" w:space="0" w:color="auto"/>
              <w:bottom w:val="nil"/>
              <w:right w:val="nil"/>
            </w:tcBorders>
            <w:shd w:val="clear" w:color="auto" w:fill="auto"/>
            <w:hideMark/>
          </w:tcPr>
          <w:p w14:paraId="4DD8F129" w14:textId="77777777" w:rsidR="00DA611C" w:rsidRDefault="00DA611C">
            <w:pPr>
              <w:rPr>
                <w:rFonts w:ascii="Verdana" w:hAnsi="Verdana" w:cs="Arial"/>
                <w:sz w:val="16"/>
                <w:szCs w:val="16"/>
              </w:rPr>
            </w:pPr>
            <w:r>
              <w:rPr>
                <w:rFonts w:ascii="Verdana" w:hAnsi="Verdana" w:cs="Arial"/>
                <w:sz w:val="16"/>
                <w:szCs w:val="16"/>
              </w:rPr>
              <w:t>Capital Grants Unapplied Reserve - TfGM</w:t>
            </w:r>
          </w:p>
        </w:tc>
        <w:tc>
          <w:tcPr>
            <w:tcW w:w="1194" w:type="dxa"/>
            <w:tcBorders>
              <w:top w:val="nil"/>
              <w:left w:val="single" w:sz="4" w:space="0" w:color="auto"/>
              <w:bottom w:val="nil"/>
              <w:right w:val="single" w:sz="4" w:space="0" w:color="auto"/>
            </w:tcBorders>
            <w:shd w:val="clear" w:color="auto" w:fill="auto"/>
            <w:noWrap/>
            <w:hideMark/>
          </w:tcPr>
          <w:p w14:paraId="16A89866"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(538)</w:t>
            </w:r>
          </w:p>
        </w:tc>
        <w:tc>
          <w:tcPr>
            <w:tcW w:w="1194" w:type="dxa"/>
            <w:tcBorders>
              <w:top w:val="nil"/>
              <w:left w:val="nil"/>
              <w:bottom w:val="nil"/>
              <w:right w:val="single" w:sz="4" w:space="0" w:color="auto"/>
            </w:tcBorders>
            <w:shd w:val="clear" w:color="auto" w:fill="auto"/>
            <w:noWrap/>
            <w:hideMark/>
          </w:tcPr>
          <w:p w14:paraId="5CEB471C"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(112)</w:t>
            </w:r>
          </w:p>
        </w:tc>
        <w:tc>
          <w:tcPr>
            <w:tcW w:w="1194" w:type="dxa"/>
            <w:tcBorders>
              <w:top w:val="nil"/>
              <w:left w:val="nil"/>
              <w:bottom w:val="nil"/>
              <w:right w:val="single" w:sz="4" w:space="0" w:color="auto"/>
            </w:tcBorders>
            <w:shd w:val="clear" w:color="auto" w:fill="auto"/>
            <w:noWrap/>
            <w:hideMark/>
          </w:tcPr>
          <w:p w14:paraId="4913F701"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(650)</w:t>
            </w:r>
          </w:p>
        </w:tc>
        <w:tc>
          <w:tcPr>
            <w:tcW w:w="1194" w:type="dxa"/>
            <w:tcBorders>
              <w:top w:val="nil"/>
              <w:left w:val="nil"/>
              <w:bottom w:val="nil"/>
              <w:right w:val="single" w:sz="4" w:space="0" w:color="auto"/>
            </w:tcBorders>
            <w:shd w:val="clear" w:color="auto" w:fill="auto"/>
            <w:noWrap/>
            <w:hideMark/>
          </w:tcPr>
          <w:p w14:paraId="1DF7C88B"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(237)</w:t>
            </w:r>
          </w:p>
        </w:tc>
        <w:tc>
          <w:tcPr>
            <w:tcW w:w="1194" w:type="dxa"/>
            <w:tcBorders>
              <w:top w:val="nil"/>
              <w:left w:val="nil"/>
              <w:bottom w:val="nil"/>
              <w:right w:val="single" w:sz="4" w:space="0" w:color="auto"/>
            </w:tcBorders>
            <w:shd w:val="clear" w:color="auto" w:fill="auto"/>
            <w:noWrap/>
            <w:hideMark/>
          </w:tcPr>
          <w:p w14:paraId="45D5348B" w14:textId="77777777" w:rsidR="00DA611C" w:rsidRDefault="00DA611C">
            <w:pPr>
              <w:jc w:val="right"/>
              <w:rPr>
                <w:rFonts w:ascii="Verdana" w:hAnsi="Verdana" w:cs="Arial"/>
                <w:b/>
                <w:bCs/>
                <w:sz w:val="16"/>
                <w:szCs w:val="16"/>
              </w:rPr>
            </w:pPr>
            <w:r>
              <w:rPr>
                <w:rFonts w:ascii="Verdana" w:hAnsi="Verdana" w:cs="Arial"/>
                <w:b/>
                <w:bCs/>
                <w:sz w:val="16"/>
                <w:szCs w:val="16"/>
              </w:rPr>
              <w:t>(887)</w:t>
            </w:r>
          </w:p>
        </w:tc>
      </w:tr>
      <w:tr w:rsidR="00DA611C" w14:paraId="62ECA10F" w14:textId="77777777" w:rsidTr="00DA611C">
        <w:trPr>
          <w:trHeight w:val="284"/>
        </w:trPr>
        <w:tc>
          <w:tcPr>
            <w:tcW w:w="3749" w:type="dxa"/>
            <w:tcBorders>
              <w:top w:val="single" w:sz="4" w:space="0" w:color="auto"/>
              <w:left w:val="single" w:sz="4" w:space="0" w:color="auto"/>
              <w:bottom w:val="single" w:sz="4" w:space="0" w:color="auto"/>
              <w:right w:val="nil"/>
            </w:tcBorders>
            <w:shd w:val="clear" w:color="auto" w:fill="auto"/>
            <w:vAlign w:val="center"/>
            <w:hideMark/>
          </w:tcPr>
          <w:p w14:paraId="7D3047B4" w14:textId="77777777" w:rsidR="00DA611C" w:rsidRDefault="00DA611C">
            <w:pPr>
              <w:rPr>
                <w:rFonts w:ascii="Verdana" w:hAnsi="Verdana" w:cs="Arial"/>
                <w:b/>
                <w:bCs/>
                <w:sz w:val="16"/>
                <w:szCs w:val="16"/>
              </w:rPr>
            </w:pPr>
            <w:r>
              <w:rPr>
                <w:rFonts w:ascii="Verdana" w:hAnsi="Verdana" w:cs="Arial"/>
                <w:b/>
                <w:bCs/>
                <w:sz w:val="16"/>
                <w:szCs w:val="16"/>
              </w:rPr>
              <w:t>Total Transport, ED&amp;R and Waste Reserves</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BCFD5" w14:textId="77777777" w:rsidR="00DA611C" w:rsidRDefault="00DA611C">
            <w:pPr>
              <w:jc w:val="right"/>
              <w:rPr>
                <w:rFonts w:ascii="Verdana" w:hAnsi="Verdana" w:cs="Arial"/>
                <w:b/>
                <w:bCs/>
                <w:sz w:val="16"/>
                <w:szCs w:val="16"/>
              </w:rPr>
            </w:pPr>
            <w:r>
              <w:rPr>
                <w:rFonts w:ascii="Verdana" w:hAnsi="Verdana" w:cs="Arial"/>
                <w:b/>
                <w:bCs/>
                <w:sz w:val="16"/>
                <w:szCs w:val="16"/>
              </w:rPr>
              <w:t>(572,849)</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51A0F991" w14:textId="77777777" w:rsidR="00DA611C" w:rsidRDefault="00DA611C">
            <w:pPr>
              <w:jc w:val="right"/>
              <w:rPr>
                <w:rFonts w:ascii="Verdana" w:hAnsi="Verdana" w:cs="Arial"/>
                <w:b/>
                <w:bCs/>
                <w:sz w:val="16"/>
                <w:szCs w:val="16"/>
              </w:rPr>
            </w:pPr>
            <w:r>
              <w:rPr>
                <w:rFonts w:ascii="Verdana" w:hAnsi="Verdana" w:cs="Arial"/>
                <w:b/>
                <w:bCs/>
                <w:sz w:val="16"/>
                <w:szCs w:val="16"/>
              </w:rPr>
              <w:t xml:space="preserve">57,071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27930BB1" w14:textId="77777777" w:rsidR="00DA611C" w:rsidRDefault="00DA611C">
            <w:pPr>
              <w:jc w:val="right"/>
              <w:rPr>
                <w:rFonts w:ascii="Verdana" w:hAnsi="Verdana" w:cs="Arial"/>
                <w:b/>
                <w:bCs/>
                <w:sz w:val="16"/>
                <w:szCs w:val="16"/>
              </w:rPr>
            </w:pPr>
            <w:r>
              <w:rPr>
                <w:rFonts w:ascii="Verdana" w:hAnsi="Verdana" w:cs="Arial"/>
                <w:b/>
                <w:bCs/>
                <w:sz w:val="16"/>
                <w:szCs w:val="16"/>
              </w:rPr>
              <w:t>(515,780)</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4F343AE0" w14:textId="77777777" w:rsidR="00DA611C" w:rsidRDefault="00DA611C">
            <w:pPr>
              <w:jc w:val="right"/>
              <w:rPr>
                <w:rFonts w:ascii="Verdana" w:hAnsi="Verdana" w:cs="Arial"/>
                <w:b/>
                <w:bCs/>
                <w:sz w:val="16"/>
                <w:szCs w:val="16"/>
              </w:rPr>
            </w:pPr>
            <w:r>
              <w:rPr>
                <w:rFonts w:ascii="Verdana" w:hAnsi="Verdana" w:cs="Arial"/>
                <w:b/>
                <w:bCs/>
                <w:sz w:val="16"/>
                <w:szCs w:val="16"/>
              </w:rPr>
              <w:t>(106,676)</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21C37859" w14:textId="77777777" w:rsidR="00DA611C" w:rsidRDefault="00DA611C">
            <w:pPr>
              <w:jc w:val="right"/>
              <w:rPr>
                <w:rFonts w:ascii="Verdana" w:hAnsi="Verdana" w:cs="Arial"/>
                <w:b/>
                <w:bCs/>
                <w:sz w:val="16"/>
                <w:szCs w:val="16"/>
              </w:rPr>
            </w:pPr>
            <w:r>
              <w:rPr>
                <w:rFonts w:ascii="Verdana" w:hAnsi="Verdana" w:cs="Arial"/>
                <w:b/>
                <w:bCs/>
                <w:sz w:val="16"/>
                <w:szCs w:val="16"/>
              </w:rPr>
              <w:t>(622,457)</w:t>
            </w:r>
          </w:p>
        </w:tc>
      </w:tr>
    </w:tbl>
    <w:p w14:paraId="487E8B86" w14:textId="77777777" w:rsidR="00795BE0" w:rsidRPr="0007572B" w:rsidRDefault="00795BE0" w:rsidP="00795BE0">
      <w:pPr>
        <w:rPr>
          <w:rFonts w:ascii="Arial" w:hAnsi="Arial" w:cs="Arial"/>
          <w:b/>
          <w:sz w:val="22"/>
          <w:szCs w:val="22"/>
        </w:rPr>
      </w:pPr>
      <w:r w:rsidRPr="0007572B">
        <w:rPr>
          <w:rFonts w:ascii="Arial" w:hAnsi="Arial" w:cs="Arial"/>
          <w:b/>
          <w:sz w:val="22"/>
          <w:szCs w:val="22"/>
        </w:rPr>
        <w:br w:type="page"/>
      </w:r>
    </w:p>
    <w:p w14:paraId="39BB6820" w14:textId="2CCE04E6" w:rsidR="00795BE0" w:rsidRPr="0007572B" w:rsidRDefault="008633CA" w:rsidP="008633CA">
      <w:pPr>
        <w:pStyle w:val="Heading3greennumbered"/>
        <w:pBdr>
          <w:bottom w:val="single" w:sz="4" w:space="0" w:color="auto"/>
        </w:pBdr>
      </w:pPr>
      <w:bookmarkStart w:id="266" w:name="_Toc92894932"/>
      <w:bookmarkStart w:id="267" w:name="_Toc92895236"/>
      <w:bookmarkStart w:id="268" w:name="_Toc109922670"/>
      <w:r>
        <w:lastRenderedPageBreak/>
        <w:t>4</w:t>
      </w:r>
      <w:r w:rsidR="00DA611C">
        <w:t>0</w:t>
      </w:r>
      <w:r w:rsidR="00795BE0" w:rsidRPr="0007572B">
        <w:t xml:space="preserve"> Transfers (to)/from Group Earmarked Reserves (Continued)</w:t>
      </w:r>
      <w:bookmarkEnd w:id="266"/>
      <w:bookmarkEnd w:id="267"/>
      <w:bookmarkEnd w:id="268"/>
    </w:p>
    <w:p w14:paraId="6596624C" w14:textId="77777777" w:rsidR="00795BE0" w:rsidRDefault="00795BE0" w:rsidP="00795BE0">
      <w:pPr>
        <w:jc w:val="both"/>
        <w:rPr>
          <w:rFonts w:ascii="Arial" w:hAnsi="Arial" w:cs="Arial"/>
        </w:rPr>
      </w:pPr>
    </w:p>
    <w:tbl>
      <w:tblPr>
        <w:tblW w:w="9470" w:type="dxa"/>
        <w:tblLook w:val="04A0" w:firstRow="1" w:lastRow="0" w:firstColumn="1" w:lastColumn="0" w:noHBand="0" w:noVBand="1"/>
      </w:tblPr>
      <w:tblGrid>
        <w:gridCol w:w="3655"/>
        <w:gridCol w:w="1163"/>
        <w:gridCol w:w="1163"/>
        <w:gridCol w:w="1163"/>
        <w:gridCol w:w="1163"/>
        <w:gridCol w:w="1163"/>
      </w:tblGrid>
      <w:tr w:rsidR="00DA611C" w14:paraId="1BED2F1B" w14:textId="77777777" w:rsidTr="00DA611C">
        <w:trPr>
          <w:trHeight w:val="692"/>
        </w:trPr>
        <w:tc>
          <w:tcPr>
            <w:tcW w:w="3655" w:type="dxa"/>
            <w:tcBorders>
              <w:top w:val="single" w:sz="4" w:space="0" w:color="auto"/>
              <w:left w:val="single" w:sz="4" w:space="0" w:color="auto"/>
              <w:bottom w:val="nil"/>
              <w:right w:val="single" w:sz="4" w:space="0" w:color="auto"/>
            </w:tcBorders>
            <w:shd w:val="clear" w:color="auto" w:fill="auto"/>
            <w:noWrap/>
            <w:hideMark/>
          </w:tcPr>
          <w:p w14:paraId="0A798F07" w14:textId="77777777" w:rsidR="00DA611C" w:rsidRDefault="00DA611C">
            <w:pPr>
              <w:rPr>
                <w:rFonts w:ascii="Verdana" w:hAnsi="Verdana" w:cs="Arial"/>
                <w:b/>
                <w:bCs/>
                <w:sz w:val="16"/>
                <w:szCs w:val="16"/>
                <w:lang w:eastAsia="en-GB"/>
              </w:rPr>
            </w:pPr>
            <w:r>
              <w:rPr>
                <w:rFonts w:ascii="Verdana" w:hAnsi="Verdana" w:cs="Arial"/>
                <w:b/>
                <w:bCs/>
                <w:sz w:val="16"/>
                <w:szCs w:val="16"/>
              </w:rPr>
              <w:t>Earmarked Reserves and Balances</w:t>
            </w:r>
          </w:p>
        </w:tc>
        <w:tc>
          <w:tcPr>
            <w:tcW w:w="1163" w:type="dxa"/>
            <w:tcBorders>
              <w:top w:val="single" w:sz="4" w:space="0" w:color="auto"/>
              <w:left w:val="nil"/>
              <w:bottom w:val="nil"/>
              <w:right w:val="single" w:sz="4" w:space="0" w:color="auto"/>
            </w:tcBorders>
            <w:shd w:val="clear" w:color="auto" w:fill="auto"/>
            <w:hideMark/>
          </w:tcPr>
          <w:p w14:paraId="7470C539" w14:textId="77777777" w:rsidR="00DA611C" w:rsidRDefault="00DA611C">
            <w:pPr>
              <w:jc w:val="center"/>
              <w:rPr>
                <w:rFonts w:ascii="Verdana" w:hAnsi="Verdana" w:cs="Arial"/>
                <w:b/>
                <w:bCs/>
                <w:sz w:val="16"/>
                <w:szCs w:val="16"/>
              </w:rPr>
            </w:pPr>
            <w:r>
              <w:rPr>
                <w:rFonts w:ascii="Verdana" w:hAnsi="Verdana" w:cs="Arial"/>
                <w:b/>
                <w:bCs/>
                <w:sz w:val="16"/>
                <w:szCs w:val="16"/>
              </w:rPr>
              <w:t>31 March 2020</w:t>
            </w:r>
          </w:p>
        </w:tc>
        <w:tc>
          <w:tcPr>
            <w:tcW w:w="1163" w:type="dxa"/>
            <w:tcBorders>
              <w:top w:val="single" w:sz="4" w:space="0" w:color="auto"/>
              <w:left w:val="nil"/>
              <w:bottom w:val="nil"/>
              <w:right w:val="single" w:sz="4" w:space="0" w:color="auto"/>
            </w:tcBorders>
            <w:shd w:val="clear" w:color="auto" w:fill="auto"/>
            <w:hideMark/>
          </w:tcPr>
          <w:p w14:paraId="254B1910" w14:textId="77777777" w:rsidR="00DA611C" w:rsidRDefault="00DA611C">
            <w:pPr>
              <w:jc w:val="center"/>
              <w:rPr>
                <w:rFonts w:ascii="Verdana" w:hAnsi="Verdana" w:cs="Arial"/>
                <w:b/>
                <w:bCs/>
                <w:sz w:val="16"/>
                <w:szCs w:val="16"/>
              </w:rPr>
            </w:pPr>
            <w:r>
              <w:rPr>
                <w:rFonts w:ascii="Verdana" w:hAnsi="Verdana" w:cs="Arial"/>
                <w:b/>
                <w:bCs/>
                <w:sz w:val="16"/>
                <w:szCs w:val="16"/>
              </w:rPr>
              <w:t>Transfers (in)/out</w:t>
            </w:r>
          </w:p>
        </w:tc>
        <w:tc>
          <w:tcPr>
            <w:tcW w:w="1163" w:type="dxa"/>
            <w:tcBorders>
              <w:top w:val="single" w:sz="4" w:space="0" w:color="auto"/>
              <w:left w:val="nil"/>
              <w:bottom w:val="nil"/>
              <w:right w:val="single" w:sz="4" w:space="0" w:color="auto"/>
            </w:tcBorders>
            <w:shd w:val="clear" w:color="auto" w:fill="auto"/>
            <w:hideMark/>
          </w:tcPr>
          <w:p w14:paraId="4D0D504E" w14:textId="77777777" w:rsidR="00DA611C" w:rsidRDefault="00DA611C">
            <w:pPr>
              <w:jc w:val="center"/>
              <w:rPr>
                <w:rFonts w:ascii="Verdana" w:hAnsi="Verdana" w:cs="Arial"/>
                <w:b/>
                <w:bCs/>
                <w:sz w:val="16"/>
                <w:szCs w:val="16"/>
              </w:rPr>
            </w:pPr>
            <w:r>
              <w:rPr>
                <w:rFonts w:ascii="Verdana" w:hAnsi="Verdana" w:cs="Arial"/>
                <w:b/>
                <w:bCs/>
                <w:sz w:val="16"/>
                <w:szCs w:val="16"/>
              </w:rPr>
              <w:t>31 March 2021</w:t>
            </w:r>
          </w:p>
        </w:tc>
        <w:tc>
          <w:tcPr>
            <w:tcW w:w="1163" w:type="dxa"/>
            <w:tcBorders>
              <w:top w:val="single" w:sz="4" w:space="0" w:color="auto"/>
              <w:left w:val="nil"/>
              <w:bottom w:val="nil"/>
              <w:right w:val="single" w:sz="4" w:space="0" w:color="auto"/>
            </w:tcBorders>
            <w:shd w:val="clear" w:color="auto" w:fill="auto"/>
            <w:hideMark/>
          </w:tcPr>
          <w:p w14:paraId="12CEA3D8" w14:textId="77777777" w:rsidR="00DA611C" w:rsidRDefault="00DA611C">
            <w:pPr>
              <w:jc w:val="center"/>
              <w:rPr>
                <w:rFonts w:ascii="Verdana" w:hAnsi="Verdana" w:cs="Arial"/>
                <w:b/>
                <w:bCs/>
                <w:sz w:val="16"/>
                <w:szCs w:val="16"/>
              </w:rPr>
            </w:pPr>
            <w:r>
              <w:rPr>
                <w:rFonts w:ascii="Verdana" w:hAnsi="Verdana" w:cs="Arial"/>
                <w:b/>
                <w:bCs/>
                <w:sz w:val="16"/>
                <w:szCs w:val="16"/>
              </w:rPr>
              <w:t>Transfers (in)/out</w:t>
            </w:r>
          </w:p>
        </w:tc>
        <w:tc>
          <w:tcPr>
            <w:tcW w:w="1163" w:type="dxa"/>
            <w:tcBorders>
              <w:top w:val="single" w:sz="4" w:space="0" w:color="auto"/>
              <w:left w:val="nil"/>
              <w:bottom w:val="nil"/>
              <w:right w:val="single" w:sz="4" w:space="0" w:color="auto"/>
            </w:tcBorders>
            <w:shd w:val="clear" w:color="auto" w:fill="auto"/>
            <w:hideMark/>
          </w:tcPr>
          <w:p w14:paraId="1C705157" w14:textId="77777777" w:rsidR="00DA611C" w:rsidRDefault="00DA611C">
            <w:pPr>
              <w:jc w:val="center"/>
              <w:rPr>
                <w:rFonts w:ascii="Verdana" w:hAnsi="Verdana" w:cs="Arial"/>
                <w:b/>
                <w:bCs/>
                <w:sz w:val="16"/>
                <w:szCs w:val="16"/>
              </w:rPr>
            </w:pPr>
            <w:r>
              <w:rPr>
                <w:rFonts w:ascii="Verdana" w:hAnsi="Verdana" w:cs="Arial"/>
                <w:b/>
                <w:bCs/>
                <w:sz w:val="16"/>
                <w:szCs w:val="16"/>
              </w:rPr>
              <w:t>31 March 2022</w:t>
            </w:r>
          </w:p>
        </w:tc>
      </w:tr>
      <w:tr w:rsidR="00DA611C" w14:paraId="60FB5DFA" w14:textId="77777777" w:rsidTr="00DA611C">
        <w:trPr>
          <w:trHeight w:val="230"/>
        </w:trPr>
        <w:tc>
          <w:tcPr>
            <w:tcW w:w="3655" w:type="dxa"/>
            <w:tcBorders>
              <w:top w:val="nil"/>
              <w:left w:val="single" w:sz="4" w:space="0" w:color="auto"/>
              <w:bottom w:val="single" w:sz="4" w:space="0" w:color="auto"/>
              <w:right w:val="single" w:sz="4" w:space="0" w:color="auto"/>
            </w:tcBorders>
            <w:shd w:val="clear" w:color="auto" w:fill="auto"/>
            <w:noWrap/>
            <w:hideMark/>
          </w:tcPr>
          <w:p w14:paraId="7534D0A2" w14:textId="77777777" w:rsidR="00DA611C" w:rsidRDefault="00DA611C">
            <w:pPr>
              <w:rPr>
                <w:rFonts w:ascii="Verdana" w:hAnsi="Verdana" w:cs="Arial"/>
                <w:sz w:val="16"/>
                <w:szCs w:val="16"/>
              </w:rPr>
            </w:pPr>
            <w:r>
              <w:rPr>
                <w:rFonts w:ascii="Verdana" w:hAnsi="Verdana" w:cs="Arial"/>
                <w:sz w:val="16"/>
                <w:szCs w:val="16"/>
              </w:rPr>
              <w:t> </w:t>
            </w:r>
          </w:p>
        </w:tc>
        <w:tc>
          <w:tcPr>
            <w:tcW w:w="1163" w:type="dxa"/>
            <w:tcBorders>
              <w:top w:val="nil"/>
              <w:left w:val="nil"/>
              <w:bottom w:val="single" w:sz="4" w:space="0" w:color="auto"/>
              <w:right w:val="single" w:sz="4" w:space="0" w:color="auto"/>
            </w:tcBorders>
            <w:shd w:val="clear" w:color="auto" w:fill="auto"/>
            <w:noWrap/>
            <w:hideMark/>
          </w:tcPr>
          <w:p w14:paraId="0634CF0A"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32F77399"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5A1A7A90"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44DCD92D"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67847EA5" w14:textId="77777777" w:rsidR="00DA611C" w:rsidRDefault="00DA611C">
            <w:pPr>
              <w:jc w:val="center"/>
              <w:rPr>
                <w:rFonts w:ascii="Verdana" w:hAnsi="Verdana" w:cs="Arial"/>
                <w:b/>
                <w:bCs/>
                <w:sz w:val="16"/>
                <w:szCs w:val="16"/>
              </w:rPr>
            </w:pPr>
            <w:r>
              <w:rPr>
                <w:rFonts w:ascii="Verdana" w:hAnsi="Verdana" w:cs="Arial"/>
                <w:b/>
                <w:bCs/>
                <w:sz w:val="16"/>
                <w:szCs w:val="16"/>
              </w:rPr>
              <w:t>£000s</w:t>
            </w:r>
          </w:p>
        </w:tc>
      </w:tr>
      <w:tr w:rsidR="00DA611C" w14:paraId="36B11682"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26511816" w14:textId="77777777" w:rsidR="00DA611C" w:rsidRDefault="00DA611C">
            <w:pPr>
              <w:rPr>
                <w:rFonts w:ascii="Verdana" w:hAnsi="Verdana" w:cs="Arial"/>
                <w:b/>
                <w:bCs/>
                <w:sz w:val="16"/>
                <w:szCs w:val="16"/>
              </w:rPr>
            </w:pPr>
            <w:r>
              <w:rPr>
                <w:rFonts w:ascii="Verdana" w:hAnsi="Verdana" w:cs="Arial"/>
                <w:b/>
                <w:bCs/>
                <w:sz w:val="16"/>
                <w:szCs w:val="16"/>
              </w:rPr>
              <w:t>Mayoral General Fund</w:t>
            </w:r>
          </w:p>
        </w:tc>
        <w:tc>
          <w:tcPr>
            <w:tcW w:w="1163" w:type="dxa"/>
            <w:tcBorders>
              <w:top w:val="nil"/>
              <w:left w:val="nil"/>
              <w:bottom w:val="nil"/>
              <w:right w:val="single" w:sz="4" w:space="0" w:color="auto"/>
            </w:tcBorders>
            <w:shd w:val="clear" w:color="auto" w:fill="auto"/>
            <w:noWrap/>
            <w:vAlign w:val="center"/>
            <w:hideMark/>
          </w:tcPr>
          <w:p w14:paraId="1015DCC9" w14:textId="77777777" w:rsidR="00DA611C" w:rsidRDefault="00DA611C">
            <w:pPr>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vAlign w:val="center"/>
            <w:hideMark/>
          </w:tcPr>
          <w:p w14:paraId="31C3C7DD" w14:textId="77777777" w:rsidR="00DA611C" w:rsidRDefault="00DA611C">
            <w:pPr>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vAlign w:val="center"/>
            <w:hideMark/>
          </w:tcPr>
          <w:p w14:paraId="3ED72FA5" w14:textId="77777777" w:rsidR="00DA611C" w:rsidRDefault="00DA611C">
            <w:pPr>
              <w:rPr>
                <w:rFonts w:ascii="Verdana" w:hAnsi="Verdana" w:cs="Arial"/>
                <w:b/>
                <w:bCs/>
                <w:color w:val="FF0000"/>
                <w:sz w:val="16"/>
                <w:szCs w:val="16"/>
              </w:rPr>
            </w:pPr>
            <w:r>
              <w:rPr>
                <w:rFonts w:ascii="Verdana" w:hAnsi="Verdana" w:cs="Arial"/>
                <w:b/>
                <w:bCs/>
                <w:color w:val="FF0000"/>
                <w:sz w:val="16"/>
                <w:szCs w:val="16"/>
              </w:rPr>
              <w:t> </w:t>
            </w:r>
          </w:p>
        </w:tc>
        <w:tc>
          <w:tcPr>
            <w:tcW w:w="1163" w:type="dxa"/>
            <w:tcBorders>
              <w:top w:val="nil"/>
              <w:left w:val="nil"/>
              <w:bottom w:val="nil"/>
              <w:right w:val="single" w:sz="4" w:space="0" w:color="auto"/>
            </w:tcBorders>
            <w:shd w:val="clear" w:color="auto" w:fill="auto"/>
            <w:noWrap/>
            <w:vAlign w:val="center"/>
            <w:hideMark/>
          </w:tcPr>
          <w:p w14:paraId="604B95EB" w14:textId="77777777" w:rsidR="00DA611C" w:rsidRDefault="00DA611C">
            <w:pPr>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vAlign w:val="center"/>
            <w:hideMark/>
          </w:tcPr>
          <w:p w14:paraId="4EC3556D" w14:textId="77777777" w:rsidR="00DA611C" w:rsidRDefault="00DA611C">
            <w:pPr>
              <w:rPr>
                <w:rFonts w:ascii="Verdana" w:hAnsi="Verdana" w:cs="Arial"/>
                <w:b/>
                <w:bCs/>
                <w:color w:val="FF0000"/>
                <w:sz w:val="16"/>
                <w:szCs w:val="16"/>
              </w:rPr>
            </w:pPr>
            <w:r>
              <w:rPr>
                <w:rFonts w:ascii="Verdana" w:hAnsi="Verdana" w:cs="Arial"/>
                <w:b/>
                <w:bCs/>
                <w:color w:val="FF0000"/>
                <w:sz w:val="16"/>
                <w:szCs w:val="16"/>
              </w:rPr>
              <w:t> </w:t>
            </w:r>
          </w:p>
        </w:tc>
      </w:tr>
      <w:tr w:rsidR="00DA611C" w14:paraId="627ECD5D"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42B93FE2" w14:textId="77777777" w:rsidR="00DA611C" w:rsidRDefault="00DA611C">
            <w:pPr>
              <w:rPr>
                <w:rFonts w:ascii="Verdana" w:hAnsi="Verdana" w:cs="Arial"/>
                <w:sz w:val="16"/>
                <w:szCs w:val="16"/>
              </w:rPr>
            </w:pPr>
            <w:r>
              <w:rPr>
                <w:rFonts w:ascii="Verdana" w:hAnsi="Verdana" w:cs="Arial"/>
                <w:sz w:val="16"/>
                <w:szCs w:val="16"/>
              </w:rPr>
              <w:t>Capital Reserve</w:t>
            </w:r>
          </w:p>
        </w:tc>
        <w:tc>
          <w:tcPr>
            <w:tcW w:w="1163" w:type="dxa"/>
            <w:tcBorders>
              <w:top w:val="nil"/>
              <w:left w:val="nil"/>
              <w:bottom w:val="nil"/>
              <w:right w:val="single" w:sz="4" w:space="0" w:color="auto"/>
            </w:tcBorders>
            <w:shd w:val="clear" w:color="auto" w:fill="auto"/>
            <w:noWrap/>
            <w:vAlign w:val="center"/>
            <w:hideMark/>
          </w:tcPr>
          <w:p w14:paraId="57D4A5F4"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(4,676)</w:t>
            </w:r>
          </w:p>
        </w:tc>
        <w:tc>
          <w:tcPr>
            <w:tcW w:w="1163" w:type="dxa"/>
            <w:tcBorders>
              <w:top w:val="nil"/>
              <w:left w:val="nil"/>
              <w:bottom w:val="nil"/>
              <w:right w:val="single" w:sz="4" w:space="0" w:color="auto"/>
            </w:tcBorders>
            <w:shd w:val="clear" w:color="auto" w:fill="auto"/>
            <w:noWrap/>
            <w:vAlign w:val="center"/>
            <w:hideMark/>
          </w:tcPr>
          <w:p w14:paraId="13EF6E37" w14:textId="77777777" w:rsidR="00DA611C" w:rsidRDefault="00DA611C">
            <w:pPr>
              <w:jc w:val="right"/>
              <w:rPr>
                <w:rFonts w:ascii="Verdana" w:hAnsi="Verdana" w:cs="Arial"/>
                <w:color w:val="000000"/>
                <w:sz w:val="16"/>
                <w:szCs w:val="16"/>
              </w:rPr>
            </w:pPr>
            <w:r>
              <w:rPr>
                <w:rFonts w:ascii="Verdana" w:hAnsi="Verdana" w:cs="Arial"/>
                <w:color w:val="000000"/>
                <w:sz w:val="16"/>
                <w:szCs w:val="16"/>
              </w:rPr>
              <w:t>(5,924)</w:t>
            </w:r>
          </w:p>
        </w:tc>
        <w:tc>
          <w:tcPr>
            <w:tcW w:w="1163" w:type="dxa"/>
            <w:tcBorders>
              <w:top w:val="nil"/>
              <w:left w:val="nil"/>
              <w:bottom w:val="nil"/>
              <w:right w:val="single" w:sz="4" w:space="0" w:color="auto"/>
            </w:tcBorders>
            <w:shd w:val="clear" w:color="auto" w:fill="auto"/>
            <w:noWrap/>
            <w:vAlign w:val="center"/>
            <w:hideMark/>
          </w:tcPr>
          <w:p w14:paraId="6363EF06"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(10,600)</w:t>
            </w:r>
          </w:p>
        </w:tc>
        <w:tc>
          <w:tcPr>
            <w:tcW w:w="1163" w:type="dxa"/>
            <w:tcBorders>
              <w:top w:val="nil"/>
              <w:left w:val="nil"/>
              <w:bottom w:val="nil"/>
              <w:right w:val="single" w:sz="4" w:space="0" w:color="auto"/>
            </w:tcBorders>
            <w:shd w:val="clear" w:color="auto" w:fill="auto"/>
            <w:noWrap/>
            <w:vAlign w:val="center"/>
            <w:hideMark/>
          </w:tcPr>
          <w:p w14:paraId="0BD5981E"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1,026</w:t>
            </w:r>
          </w:p>
        </w:tc>
        <w:tc>
          <w:tcPr>
            <w:tcW w:w="1163" w:type="dxa"/>
            <w:tcBorders>
              <w:top w:val="nil"/>
              <w:left w:val="nil"/>
              <w:bottom w:val="nil"/>
              <w:right w:val="single" w:sz="4" w:space="0" w:color="auto"/>
            </w:tcBorders>
            <w:shd w:val="clear" w:color="auto" w:fill="auto"/>
            <w:noWrap/>
            <w:vAlign w:val="center"/>
            <w:hideMark/>
          </w:tcPr>
          <w:p w14:paraId="1C396FB2" w14:textId="77777777" w:rsidR="00DA611C" w:rsidRDefault="00DA611C">
            <w:pPr>
              <w:jc w:val="right"/>
              <w:rPr>
                <w:rFonts w:ascii="Verdana" w:hAnsi="Verdana" w:cs="Arial"/>
                <w:b/>
                <w:bCs/>
                <w:sz w:val="16"/>
                <w:szCs w:val="16"/>
              </w:rPr>
            </w:pPr>
            <w:r>
              <w:rPr>
                <w:rFonts w:ascii="Verdana" w:hAnsi="Verdana" w:cs="Arial"/>
                <w:b/>
                <w:bCs/>
                <w:sz w:val="16"/>
                <w:szCs w:val="16"/>
              </w:rPr>
              <w:t>(9,575)</w:t>
            </w:r>
          </w:p>
        </w:tc>
      </w:tr>
      <w:tr w:rsidR="00DA611C" w14:paraId="7D0B6684"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3599507D" w14:textId="77777777" w:rsidR="00DA611C" w:rsidRDefault="00DA611C">
            <w:pPr>
              <w:rPr>
                <w:rFonts w:ascii="Verdana" w:hAnsi="Verdana" w:cs="Arial"/>
                <w:sz w:val="16"/>
                <w:szCs w:val="16"/>
              </w:rPr>
            </w:pPr>
            <w:r>
              <w:rPr>
                <w:rFonts w:ascii="Verdana" w:hAnsi="Verdana" w:cs="Arial"/>
                <w:sz w:val="16"/>
                <w:szCs w:val="16"/>
              </w:rPr>
              <w:t>Earmarked Budgets Reserve</w:t>
            </w:r>
          </w:p>
        </w:tc>
        <w:tc>
          <w:tcPr>
            <w:tcW w:w="1163" w:type="dxa"/>
            <w:tcBorders>
              <w:top w:val="nil"/>
              <w:left w:val="nil"/>
              <w:bottom w:val="nil"/>
              <w:right w:val="single" w:sz="4" w:space="0" w:color="auto"/>
            </w:tcBorders>
            <w:shd w:val="clear" w:color="auto" w:fill="auto"/>
            <w:noWrap/>
            <w:vAlign w:val="center"/>
            <w:hideMark/>
          </w:tcPr>
          <w:p w14:paraId="55B18DDF"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(2,460)</w:t>
            </w:r>
          </w:p>
        </w:tc>
        <w:tc>
          <w:tcPr>
            <w:tcW w:w="1163" w:type="dxa"/>
            <w:tcBorders>
              <w:top w:val="nil"/>
              <w:left w:val="nil"/>
              <w:bottom w:val="nil"/>
              <w:right w:val="single" w:sz="4" w:space="0" w:color="auto"/>
            </w:tcBorders>
            <w:shd w:val="clear" w:color="auto" w:fill="auto"/>
            <w:noWrap/>
            <w:vAlign w:val="center"/>
            <w:hideMark/>
          </w:tcPr>
          <w:p w14:paraId="179C8246" w14:textId="77777777" w:rsidR="00DA611C" w:rsidRDefault="00DA611C">
            <w:pPr>
              <w:jc w:val="right"/>
              <w:rPr>
                <w:rFonts w:ascii="Verdana" w:hAnsi="Verdana" w:cs="Arial"/>
                <w:color w:val="000000"/>
                <w:sz w:val="16"/>
                <w:szCs w:val="16"/>
              </w:rPr>
            </w:pPr>
            <w:r>
              <w:rPr>
                <w:rFonts w:ascii="Verdana" w:hAnsi="Verdana" w:cs="Arial"/>
                <w:color w:val="000000"/>
                <w:sz w:val="16"/>
                <w:szCs w:val="16"/>
              </w:rPr>
              <w:t>(726)</w:t>
            </w:r>
          </w:p>
        </w:tc>
        <w:tc>
          <w:tcPr>
            <w:tcW w:w="1163" w:type="dxa"/>
            <w:tcBorders>
              <w:top w:val="nil"/>
              <w:left w:val="nil"/>
              <w:bottom w:val="nil"/>
              <w:right w:val="single" w:sz="4" w:space="0" w:color="auto"/>
            </w:tcBorders>
            <w:shd w:val="clear" w:color="auto" w:fill="auto"/>
            <w:noWrap/>
            <w:vAlign w:val="center"/>
            <w:hideMark/>
          </w:tcPr>
          <w:p w14:paraId="6A3E7E3C"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(3,186)</w:t>
            </w:r>
          </w:p>
        </w:tc>
        <w:tc>
          <w:tcPr>
            <w:tcW w:w="1163" w:type="dxa"/>
            <w:tcBorders>
              <w:top w:val="nil"/>
              <w:left w:val="nil"/>
              <w:bottom w:val="nil"/>
              <w:right w:val="single" w:sz="4" w:space="0" w:color="auto"/>
            </w:tcBorders>
            <w:shd w:val="clear" w:color="auto" w:fill="auto"/>
            <w:noWrap/>
            <w:vAlign w:val="center"/>
            <w:hideMark/>
          </w:tcPr>
          <w:p w14:paraId="7A7DB695" w14:textId="77777777" w:rsidR="00DA611C" w:rsidRDefault="00DA611C">
            <w:pPr>
              <w:jc w:val="right"/>
              <w:rPr>
                <w:rFonts w:ascii="Verdana" w:hAnsi="Verdana" w:cs="Arial"/>
                <w:color w:val="000000"/>
                <w:sz w:val="16"/>
                <w:szCs w:val="16"/>
              </w:rPr>
            </w:pPr>
            <w:r>
              <w:rPr>
                <w:rFonts w:ascii="Verdana" w:hAnsi="Verdana" w:cs="Arial"/>
                <w:color w:val="000000"/>
                <w:sz w:val="16"/>
                <w:szCs w:val="16"/>
              </w:rPr>
              <w:t>(3,392)</w:t>
            </w:r>
          </w:p>
        </w:tc>
        <w:tc>
          <w:tcPr>
            <w:tcW w:w="1163" w:type="dxa"/>
            <w:tcBorders>
              <w:top w:val="nil"/>
              <w:left w:val="nil"/>
              <w:bottom w:val="nil"/>
              <w:right w:val="single" w:sz="4" w:space="0" w:color="auto"/>
            </w:tcBorders>
            <w:shd w:val="clear" w:color="auto" w:fill="auto"/>
            <w:noWrap/>
            <w:vAlign w:val="center"/>
            <w:hideMark/>
          </w:tcPr>
          <w:p w14:paraId="43D27CD2" w14:textId="77777777" w:rsidR="00DA611C" w:rsidRDefault="00DA611C">
            <w:pPr>
              <w:jc w:val="right"/>
              <w:rPr>
                <w:rFonts w:ascii="Verdana" w:hAnsi="Verdana" w:cs="Arial"/>
                <w:b/>
                <w:bCs/>
                <w:sz w:val="16"/>
                <w:szCs w:val="16"/>
              </w:rPr>
            </w:pPr>
            <w:r>
              <w:rPr>
                <w:rFonts w:ascii="Verdana" w:hAnsi="Verdana" w:cs="Arial"/>
                <w:b/>
                <w:bCs/>
                <w:sz w:val="16"/>
                <w:szCs w:val="16"/>
              </w:rPr>
              <w:t>(6,578)</w:t>
            </w:r>
          </w:p>
        </w:tc>
      </w:tr>
      <w:tr w:rsidR="00DA611C" w14:paraId="5F134250"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3968DB2D" w14:textId="77777777" w:rsidR="00DA611C" w:rsidRDefault="00DA611C">
            <w:pPr>
              <w:rPr>
                <w:rFonts w:ascii="Verdana" w:hAnsi="Verdana" w:cs="Arial"/>
                <w:sz w:val="16"/>
                <w:szCs w:val="16"/>
              </w:rPr>
            </w:pPr>
            <w:r>
              <w:rPr>
                <w:rFonts w:ascii="Verdana" w:hAnsi="Verdana" w:cs="Arial"/>
                <w:sz w:val="16"/>
                <w:szCs w:val="16"/>
              </w:rPr>
              <w:t>Revenue Grants Unapplied</w:t>
            </w:r>
          </w:p>
        </w:tc>
        <w:tc>
          <w:tcPr>
            <w:tcW w:w="1163" w:type="dxa"/>
            <w:tcBorders>
              <w:top w:val="nil"/>
              <w:left w:val="nil"/>
              <w:bottom w:val="nil"/>
              <w:right w:val="single" w:sz="4" w:space="0" w:color="auto"/>
            </w:tcBorders>
            <w:shd w:val="clear" w:color="auto" w:fill="auto"/>
            <w:noWrap/>
            <w:vAlign w:val="center"/>
            <w:hideMark/>
          </w:tcPr>
          <w:p w14:paraId="06AD25B1"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(4,775)</w:t>
            </w:r>
          </w:p>
        </w:tc>
        <w:tc>
          <w:tcPr>
            <w:tcW w:w="1163" w:type="dxa"/>
            <w:tcBorders>
              <w:top w:val="nil"/>
              <w:left w:val="nil"/>
              <w:bottom w:val="nil"/>
              <w:right w:val="single" w:sz="4" w:space="0" w:color="auto"/>
            </w:tcBorders>
            <w:shd w:val="clear" w:color="auto" w:fill="auto"/>
            <w:noWrap/>
            <w:vAlign w:val="center"/>
            <w:hideMark/>
          </w:tcPr>
          <w:p w14:paraId="3B8BB0B2" w14:textId="77777777" w:rsidR="00DA611C" w:rsidRDefault="00DA611C">
            <w:pPr>
              <w:jc w:val="right"/>
              <w:rPr>
                <w:rFonts w:ascii="Verdana" w:hAnsi="Verdana" w:cs="Arial"/>
                <w:color w:val="000000"/>
                <w:sz w:val="16"/>
                <w:szCs w:val="16"/>
              </w:rPr>
            </w:pPr>
            <w:r>
              <w:rPr>
                <w:rFonts w:ascii="Verdana" w:hAnsi="Verdana" w:cs="Arial"/>
                <w:color w:val="000000"/>
                <w:sz w:val="16"/>
                <w:szCs w:val="16"/>
              </w:rPr>
              <w:t>(7,688)</w:t>
            </w:r>
          </w:p>
        </w:tc>
        <w:tc>
          <w:tcPr>
            <w:tcW w:w="1163" w:type="dxa"/>
            <w:tcBorders>
              <w:top w:val="nil"/>
              <w:left w:val="nil"/>
              <w:bottom w:val="nil"/>
              <w:right w:val="single" w:sz="4" w:space="0" w:color="auto"/>
            </w:tcBorders>
            <w:shd w:val="clear" w:color="auto" w:fill="auto"/>
            <w:noWrap/>
            <w:vAlign w:val="center"/>
            <w:hideMark/>
          </w:tcPr>
          <w:p w14:paraId="79067BBF"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(12,463)</w:t>
            </w:r>
          </w:p>
        </w:tc>
        <w:tc>
          <w:tcPr>
            <w:tcW w:w="1163" w:type="dxa"/>
            <w:tcBorders>
              <w:top w:val="nil"/>
              <w:left w:val="nil"/>
              <w:bottom w:val="nil"/>
              <w:right w:val="single" w:sz="4" w:space="0" w:color="auto"/>
            </w:tcBorders>
            <w:shd w:val="clear" w:color="auto" w:fill="auto"/>
            <w:noWrap/>
            <w:vAlign w:val="center"/>
            <w:hideMark/>
          </w:tcPr>
          <w:p w14:paraId="08C63B7C" w14:textId="77777777" w:rsidR="00DA611C" w:rsidRDefault="00DA611C">
            <w:pPr>
              <w:jc w:val="right"/>
              <w:rPr>
                <w:rFonts w:ascii="Verdana" w:hAnsi="Verdana" w:cs="Arial"/>
                <w:color w:val="000000"/>
                <w:sz w:val="16"/>
                <w:szCs w:val="16"/>
              </w:rPr>
            </w:pPr>
            <w:r>
              <w:rPr>
                <w:rFonts w:ascii="Verdana" w:hAnsi="Verdana" w:cs="Arial"/>
                <w:color w:val="000000"/>
                <w:sz w:val="16"/>
                <w:szCs w:val="16"/>
              </w:rPr>
              <w:t>3,850</w:t>
            </w:r>
          </w:p>
        </w:tc>
        <w:tc>
          <w:tcPr>
            <w:tcW w:w="1163" w:type="dxa"/>
            <w:tcBorders>
              <w:top w:val="nil"/>
              <w:left w:val="nil"/>
              <w:bottom w:val="nil"/>
              <w:right w:val="single" w:sz="4" w:space="0" w:color="auto"/>
            </w:tcBorders>
            <w:shd w:val="clear" w:color="auto" w:fill="auto"/>
            <w:noWrap/>
            <w:vAlign w:val="center"/>
            <w:hideMark/>
          </w:tcPr>
          <w:p w14:paraId="37E4C982" w14:textId="77777777" w:rsidR="00DA611C" w:rsidRDefault="00DA611C">
            <w:pPr>
              <w:jc w:val="right"/>
              <w:rPr>
                <w:rFonts w:ascii="Verdana" w:hAnsi="Verdana" w:cs="Arial"/>
                <w:b/>
                <w:bCs/>
                <w:sz w:val="16"/>
                <w:szCs w:val="16"/>
              </w:rPr>
            </w:pPr>
            <w:r>
              <w:rPr>
                <w:rFonts w:ascii="Verdana" w:hAnsi="Verdana" w:cs="Arial"/>
                <w:b/>
                <w:bCs/>
                <w:sz w:val="16"/>
                <w:szCs w:val="16"/>
              </w:rPr>
              <w:t>(8,612)</w:t>
            </w:r>
          </w:p>
        </w:tc>
      </w:tr>
      <w:tr w:rsidR="00DA611C" w14:paraId="67049E46"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00E3D8D9" w14:textId="77777777" w:rsidR="00DA611C" w:rsidRDefault="00DA611C">
            <w:pPr>
              <w:rPr>
                <w:rFonts w:ascii="Verdana" w:hAnsi="Verdana" w:cs="Arial"/>
                <w:sz w:val="16"/>
                <w:szCs w:val="16"/>
              </w:rPr>
            </w:pPr>
            <w:r>
              <w:rPr>
                <w:rFonts w:ascii="Verdana" w:hAnsi="Verdana" w:cs="Arial"/>
                <w:sz w:val="16"/>
                <w:szCs w:val="16"/>
              </w:rPr>
              <w:t>Insurance Reserve</w:t>
            </w:r>
          </w:p>
        </w:tc>
        <w:tc>
          <w:tcPr>
            <w:tcW w:w="1163" w:type="dxa"/>
            <w:tcBorders>
              <w:top w:val="nil"/>
              <w:left w:val="nil"/>
              <w:bottom w:val="nil"/>
              <w:right w:val="single" w:sz="4" w:space="0" w:color="auto"/>
            </w:tcBorders>
            <w:shd w:val="clear" w:color="auto" w:fill="auto"/>
            <w:noWrap/>
            <w:vAlign w:val="center"/>
            <w:hideMark/>
          </w:tcPr>
          <w:p w14:paraId="4002B1E2"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(2,849)</w:t>
            </w:r>
          </w:p>
        </w:tc>
        <w:tc>
          <w:tcPr>
            <w:tcW w:w="1163" w:type="dxa"/>
            <w:tcBorders>
              <w:top w:val="nil"/>
              <w:left w:val="nil"/>
              <w:bottom w:val="nil"/>
              <w:right w:val="single" w:sz="4" w:space="0" w:color="auto"/>
            </w:tcBorders>
            <w:shd w:val="clear" w:color="auto" w:fill="auto"/>
            <w:noWrap/>
            <w:vAlign w:val="center"/>
            <w:hideMark/>
          </w:tcPr>
          <w:p w14:paraId="426EF5A8"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63" w:type="dxa"/>
            <w:tcBorders>
              <w:top w:val="nil"/>
              <w:left w:val="nil"/>
              <w:bottom w:val="nil"/>
              <w:right w:val="single" w:sz="4" w:space="0" w:color="auto"/>
            </w:tcBorders>
            <w:shd w:val="clear" w:color="auto" w:fill="auto"/>
            <w:noWrap/>
            <w:vAlign w:val="center"/>
            <w:hideMark/>
          </w:tcPr>
          <w:p w14:paraId="35D30912"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(2,849)</w:t>
            </w:r>
          </w:p>
        </w:tc>
        <w:tc>
          <w:tcPr>
            <w:tcW w:w="1163" w:type="dxa"/>
            <w:tcBorders>
              <w:top w:val="nil"/>
              <w:left w:val="nil"/>
              <w:bottom w:val="nil"/>
              <w:right w:val="single" w:sz="4" w:space="0" w:color="auto"/>
            </w:tcBorders>
            <w:shd w:val="clear" w:color="auto" w:fill="auto"/>
            <w:noWrap/>
            <w:vAlign w:val="center"/>
            <w:hideMark/>
          </w:tcPr>
          <w:p w14:paraId="7C0FC59C"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63" w:type="dxa"/>
            <w:tcBorders>
              <w:top w:val="nil"/>
              <w:left w:val="nil"/>
              <w:bottom w:val="nil"/>
              <w:right w:val="single" w:sz="4" w:space="0" w:color="auto"/>
            </w:tcBorders>
            <w:shd w:val="clear" w:color="auto" w:fill="auto"/>
            <w:noWrap/>
            <w:vAlign w:val="center"/>
            <w:hideMark/>
          </w:tcPr>
          <w:p w14:paraId="041CFC38" w14:textId="77777777" w:rsidR="00DA611C" w:rsidRDefault="00DA611C">
            <w:pPr>
              <w:jc w:val="right"/>
              <w:rPr>
                <w:rFonts w:ascii="Verdana" w:hAnsi="Verdana" w:cs="Arial"/>
                <w:b/>
                <w:bCs/>
                <w:sz w:val="16"/>
                <w:szCs w:val="16"/>
              </w:rPr>
            </w:pPr>
            <w:r>
              <w:rPr>
                <w:rFonts w:ascii="Verdana" w:hAnsi="Verdana" w:cs="Arial"/>
                <w:b/>
                <w:bCs/>
                <w:sz w:val="16"/>
                <w:szCs w:val="16"/>
              </w:rPr>
              <w:t>(2,849)</w:t>
            </w:r>
          </w:p>
        </w:tc>
      </w:tr>
      <w:tr w:rsidR="00DA611C" w14:paraId="14576F53"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3738CA88" w14:textId="77777777" w:rsidR="00DA611C" w:rsidRDefault="00DA611C">
            <w:pPr>
              <w:rPr>
                <w:rFonts w:ascii="Verdana" w:hAnsi="Verdana" w:cs="Arial"/>
                <w:sz w:val="16"/>
                <w:szCs w:val="16"/>
              </w:rPr>
            </w:pPr>
            <w:r>
              <w:rPr>
                <w:rFonts w:ascii="Verdana" w:hAnsi="Verdana" w:cs="Arial"/>
                <w:sz w:val="16"/>
                <w:szCs w:val="16"/>
              </w:rPr>
              <w:t>Business Rates Reserve</w:t>
            </w:r>
          </w:p>
        </w:tc>
        <w:tc>
          <w:tcPr>
            <w:tcW w:w="1163" w:type="dxa"/>
            <w:tcBorders>
              <w:top w:val="nil"/>
              <w:left w:val="nil"/>
              <w:bottom w:val="nil"/>
              <w:right w:val="single" w:sz="4" w:space="0" w:color="auto"/>
            </w:tcBorders>
            <w:shd w:val="clear" w:color="auto" w:fill="auto"/>
            <w:noWrap/>
            <w:vAlign w:val="center"/>
            <w:hideMark/>
          </w:tcPr>
          <w:p w14:paraId="18BE9ADA"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(2,093)</w:t>
            </w:r>
          </w:p>
        </w:tc>
        <w:tc>
          <w:tcPr>
            <w:tcW w:w="1163" w:type="dxa"/>
            <w:tcBorders>
              <w:top w:val="nil"/>
              <w:left w:val="nil"/>
              <w:bottom w:val="nil"/>
              <w:right w:val="single" w:sz="4" w:space="0" w:color="auto"/>
            </w:tcBorders>
            <w:shd w:val="clear" w:color="auto" w:fill="auto"/>
            <w:noWrap/>
            <w:vAlign w:val="center"/>
            <w:hideMark/>
          </w:tcPr>
          <w:p w14:paraId="63474FB2"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488 </w:t>
            </w:r>
          </w:p>
        </w:tc>
        <w:tc>
          <w:tcPr>
            <w:tcW w:w="1163" w:type="dxa"/>
            <w:tcBorders>
              <w:top w:val="nil"/>
              <w:left w:val="nil"/>
              <w:bottom w:val="nil"/>
              <w:right w:val="single" w:sz="4" w:space="0" w:color="auto"/>
            </w:tcBorders>
            <w:shd w:val="clear" w:color="auto" w:fill="auto"/>
            <w:noWrap/>
            <w:vAlign w:val="center"/>
            <w:hideMark/>
          </w:tcPr>
          <w:p w14:paraId="41C949D6"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(1,605)</w:t>
            </w:r>
          </w:p>
        </w:tc>
        <w:tc>
          <w:tcPr>
            <w:tcW w:w="1163" w:type="dxa"/>
            <w:tcBorders>
              <w:top w:val="nil"/>
              <w:left w:val="nil"/>
              <w:bottom w:val="nil"/>
              <w:right w:val="single" w:sz="4" w:space="0" w:color="auto"/>
            </w:tcBorders>
            <w:shd w:val="clear" w:color="auto" w:fill="auto"/>
            <w:noWrap/>
            <w:vAlign w:val="center"/>
            <w:hideMark/>
          </w:tcPr>
          <w:p w14:paraId="62227F57"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191</w:t>
            </w:r>
          </w:p>
        </w:tc>
        <w:tc>
          <w:tcPr>
            <w:tcW w:w="1163" w:type="dxa"/>
            <w:tcBorders>
              <w:top w:val="nil"/>
              <w:left w:val="nil"/>
              <w:bottom w:val="nil"/>
              <w:right w:val="single" w:sz="4" w:space="0" w:color="auto"/>
            </w:tcBorders>
            <w:shd w:val="clear" w:color="auto" w:fill="auto"/>
            <w:noWrap/>
            <w:vAlign w:val="center"/>
            <w:hideMark/>
          </w:tcPr>
          <w:p w14:paraId="607C1C52" w14:textId="77777777" w:rsidR="00DA611C" w:rsidRDefault="00DA611C">
            <w:pPr>
              <w:jc w:val="right"/>
              <w:rPr>
                <w:rFonts w:ascii="Verdana" w:hAnsi="Verdana" w:cs="Arial"/>
                <w:b/>
                <w:bCs/>
                <w:sz w:val="16"/>
                <w:szCs w:val="16"/>
              </w:rPr>
            </w:pPr>
            <w:r>
              <w:rPr>
                <w:rFonts w:ascii="Verdana" w:hAnsi="Verdana" w:cs="Arial"/>
                <w:b/>
                <w:bCs/>
                <w:sz w:val="16"/>
                <w:szCs w:val="16"/>
              </w:rPr>
              <w:t>(1,414)</w:t>
            </w:r>
          </w:p>
        </w:tc>
      </w:tr>
      <w:tr w:rsidR="00DA611C" w14:paraId="17131F17"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79568E74" w14:textId="77777777" w:rsidR="00DA611C" w:rsidRDefault="00DA611C">
            <w:pPr>
              <w:rPr>
                <w:rFonts w:ascii="Verdana" w:hAnsi="Verdana" w:cs="Arial"/>
                <w:sz w:val="16"/>
                <w:szCs w:val="16"/>
              </w:rPr>
            </w:pPr>
            <w:r>
              <w:rPr>
                <w:rFonts w:ascii="Verdana" w:hAnsi="Verdana" w:cs="Arial"/>
                <w:sz w:val="16"/>
                <w:szCs w:val="16"/>
              </w:rPr>
              <w:t>Restructuring Reserve</w:t>
            </w:r>
          </w:p>
        </w:tc>
        <w:tc>
          <w:tcPr>
            <w:tcW w:w="1163" w:type="dxa"/>
            <w:tcBorders>
              <w:top w:val="nil"/>
              <w:left w:val="nil"/>
              <w:bottom w:val="nil"/>
              <w:right w:val="single" w:sz="4" w:space="0" w:color="auto"/>
            </w:tcBorders>
            <w:shd w:val="clear" w:color="auto" w:fill="auto"/>
            <w:noWrap/>
            <w:vAlign w:val="center"/>
            <w:hideMark/>
          </w:tcPr>
          <w:p w14:paraId="08A3E70A"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(418)</w:t>
            </w:r>
          </w:p>
        </w:tc>
        <w:tc>
          <w:tcPr>
            <w:tcW w:w="1163" w:type="dxa"/>
            <w:tcBorders>
              <w:top w:val="nil"/>
              <w:left w:val="nil"/>
              <w:bottom w:val="nil"/>
              <w:right w:val="single" w:sz="4" w:space="0" w:color="auto"/>
            </w:tcBorders>
            <w:shd w:val="clear" w:color="auto" w:fill="auto"/>
            <w:noWrap/>
            <w:vAlign w:val="center"/>
            <w:hideMark/>
          </w:tcPr>
          <w:p w14:paraId="12E31785"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63" w:type="dxa"/>
            <w:tcBorders>
              <w:top w:val="nil"/>
              <w:left w:val="nil"/>
              <w:bottom w:val="nil"/>
              <w:right w:val="single" w:sz="4" w:space="0" w:color="auto"/>
            </w:tcBorders>
            <w:shd w:val="clear" w:color="auto" w:fill="auto"/>
            <w:noWrap/>
            <w:vAlign w:val="center"/>
            <w:hideMark/>
          </w:tcPr>
          <w:p w14:paraId="2D09F53A"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(418)</w:t>
            </w:r>
          </w:p>
        </w:tc>
        <w:tc>
          <w:tcPr>
            <w:tcW w:w="1163" w:type="dxa"/>
            <w:tcBorders>
              <w:top w:val="nil"/>
              <w:left w:val="nil"/>
              <w:bottom w:val="nil"/>
              <w:right w:val="single" w:sz="4" w:space="0" w:color="auto"/>
            </w:tcBorders>
            <w:shd w:val="clear" w:color="auto" w:fill="auto"/>
            <w:noWrap/>
            <w:vAlign w:val="center"/>
            <w:hideMark/>
          </w:tcPr>
          <w:p w14:paraId="7211767A"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63" w:type="dxa"/>
            <w:tcBorders>
              <w:top w:val="nil"/>
              <w:left w:val="nil"/>
              <w:bottom w:val="nil"/>
              <w:right w:val="single" w:sz="4" w:space="0" w:color="auto"/>
            </w:tcBorders>
            <w:shd w:val="clear" w:color="auto" w:fill="auto"/>
            <w:noWrap/>
            <w:vAlign w:val="center"/>
            <w:hideMark/>
          </w:tcPr>
          <w:p w14:paraId="22FB204E" w14:textId="77777777" w:rsidR="00DA611C" w:rsidRDefault="00DA611C">
            <w:pPr>
              <w:jc w:val="right"/>
              <w:rPr>
                <w:rFonts w:ascii="Verdana" w:hAnsi="Verdana" w:cs="Arial"/>
                <w:b/>
                <w:bCs/>
                <w:sz w:val="16"/>
                <w:szCs w:val="16"/>
              </w:rPr>
            </w:pPr>
            <w:r>
              <w:rPr>
                <w:rFonts w:ascii="Verdana" w:hAnsi="Verdana" w:cs="Arial"/>
                <w:b/>
                <w:bCs/>
                <w:sz w:val="16"/>
                <w:szCs w:val="16"/>
              </w:rPr>
              <w:t>(418)</w:t>
            </w:r>
          </w:p>
        </w:tc>
      </w:tr>
      <w:tr w:rsidR="00DA611C" w14:paraId="0EFC4D39" w14:textId="77777777" w:rsidTr="00DA611C">
        <w:trPr>
          <w:trHeight w:val="299"/>
        </w:trPr>
        <w:tc>
          <w:tcPr>
            <w:tcW w:w="3655" w:type="dxa"/>
            <w:tcBorders>
              <w:top w:val="nil"/>
              <w:left w:val="single" w:sz="4" w:space="0" w:color="auto"/>
              <w:bottom w:val="nil"/>
              <w:right w:val="single" w:sz="4" w:space="0" w:color="auto"/>
            </w:tcBorders>
            <w:shd w:val="clear" w:color="auto" w:fill="auto"/>
            <w:vAlign w:val="center"/>
            <w:hideMark/>
          </w:tcPr>
          <w:p w14:paraId="539C6529" w14:textId="77777777" w:rsidR="00DA611C" w:rsidRDefault="00DA611C">
            <w:pPr>
              <w:rPr>
                <w:rFonts w:ascii="Verdana" w:hAnsi="Verdana" w:cs="Arial"/>
                <w:sz w:val="16"/>
                <w:szCs w:val="16"/>
              </w:rPr>
            </w:pPr>
            <w:r>
              <w:rPr>
                <w:rFonts w:ascii="Verdana" w:hAnsi="Verdana" w:cs="Arial"/>
                <w:sz w:val="16"/>
                <w:szCs w:val="16"/>
              </w:rPr>
              <w:t>Innovation and Partnership CYP</w:t>
            </w:r>
          </w:p>
        </w:tc>
        <w:tc>
          <w:tcPr>
            <w:tcW w:w="1163" w:type="dxa"/>
            <w:tcBorders>
              <w:top w:val="nil"/>
              <w:left w:val="nil"/>
              <w:bottom w:val="nil"/>
              <w:right w:val="single" w:sz="4" w:space="0" w:color="auto"/>
            </w:tcBorders>
            <w:shd w:val="clear" w:color="auto" w:fill="auto"/>
            <w:noWrap/>
            <w:vAlign w:val="center"/>
            <w:hideMark/>
          </w:tcPr>
          <w:p w14:paraId="31E1AB64"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(127)</w:t>
            </w:r>
          </w:p>
        </w:tc>
        <w:tc>
          <w:tcPr>
            <w:tcW w:w="1163" w:type="dxa"/>
            <w:tcBorders>
              <w:top w:val="nil"/>
              <w:left w:val="nil"/>
              <w:bottom w:val="nil"/>
              <w:right w:val="single" w:sz="4" w:space="0" w:color="auto"/>
            </w:tcBorders>
            <w:shd w:val="clear" w:color="auto" w:fill="auto"/>
            <w:noWrap/>
            <w:vAlign w:val="center"/>
            <w:hideMark/>
          </w:tcPr>
          <w:p w14:paraId="3978D878"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63" w:type="dxa"/>
            <w:tcBorders>
              <w:top w:val="nil"/>
              <w:left w:val="nil"/>
              <w:bottom w:val="nil"/>
              <w:right w:val="single" w:sz="4" w:space="0" w:color="auto"/>
            </w:tcBorders>
            <w:shd w:val="clear" w:color="auto" w:fill="auto"/>
            <w:noWrap/>
            <w:vAlign w:val="center"/>
            <w:hideMark/>
          </w:tcPr>
          <w:p w14:paraId="6C1555D3"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(127)</w:t>
            </w:r>
          </w:p>
        </w:tc>
        <w:tc>
          <w:tcPr>
            <w:tcW w:w="1163" w:type="dxa"/>
            <w:tcBorders>
              <w:top w:val="nil"/>
              <w:left w:val="nil"/>
              <w:bottom w:val="nil"/>
              <w:right w:val="single" w:sz="4" w:space="0" w:color="auto"/>
            </w:tcBorders>
            <w:shd w:val="clear" w:color="auto" w:fill="auto"/>
            <w:noWrap/>
            <w:vAlign w:val="center"/>
            <w:hideMark/>
          </w:tcPr>
          <w:p w14:paraId="098A5E84"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63" w:type="dxa"/>
            <w:tcBorders>
              <w:top w:val="nil"/>
              <w:left w:val="nil"/>
              <w:bottom w:val="nil"/>
              <w:right w:val="single" w:sz="4" w:space="0" w:color="auto"/>
            </w:tcBorders>
            <w:shd w:val="clear" w:color="auto" w:fill="auto"/>
            <w:noWrap/>
            <w:vAlign w:val="center"/>
            <w:hideMark/>
          </w:tcPr>
          <w:p w14:paraId="1C589FEF" w14:textId="77777777" w:rsidR="00DA611C" w:rsidRDefault="00DA611C">
            <w:pPr>
              <w:jc w:val="right"/>
              <w:rPr>
                <w:rFonts w:ascii="Verdana" w:hAnsi="Verdana" w:cs="Arial"/>
                <w:b/>
                <w:bCs/>
                <w:sz w:val="16"/>
                <w:szCs w:val="16"/>
              </w:rPr>
            </w:pPr>
            <w:r>
              <w:rPr>
                <w:rFonts w:ascii="Verdana" w:hAnsi="Verdana" w:cs="Arial"/>
                <w:b/>
                <w:bCs/>
                <w:sz w:val="16"/>
                <w:szCs w:val="16"/>
              </w:rPr>
              <w:t>(127)</w:t>
            </w:r>
          </w:p>
        </w:tc>
      </w:tr>
      <w:tr w:rsidR="00DA611C" w14:paraId="07F3D401"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002B3C6F" w14:textId="77777777" w:rsidR="00DA611C" w:rsidRDefault="00DA611C">
            <w:pPr>
              <w:rPr>
                <w:rFonts w:ascii="Verdana" w:hAnsi="Verdana" w:cs="Arial"/>
                <w:color w:val="000000"/>
                <w:sz w:val="16"/>
                <w:szCs w:val="16"/>
              </w:rPr>
            </w:pPr>
            <w:r>
              <w:rPr>
                <w:rFonts w:ascii="Verdana" w:hAnsi="Verdana" w:cs="Arial"/>
                <w:color w:val="000000"/>
                <w:sz w:val="16"/>
                <w:szCs w:val="16"/>
              </w:rPr>
              <w:t>Transformation Fund</w:t>
            </w:r>
          </w:p>
        </w:tc>
        <w:tc>
          <w:tcPr>
            <w:tcW w:w="1163" w:type="dxa"/>
            <w:tcBorders>
              <w:top w:val="nil"/>
              <w:left w:val="nil"/>
              <w:bottom w:val="nil"/>
              <w:right w:val="single" w:sz="4" w:space="0" w:color="auto"/>
            </w:tcBorders>
            <w:shd w:val="clear" w:color="auto" w:fill="auto"/>
            <w:noWrap/>
            <w:vAlign w:val="center"/>
            <w:hideMark/>
          </w:tcPr>
          <w:p w14:paraId="15BA0EB2"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(3,604)</w:t>
            </w:r>
          </w:p>
        </w:tc>
        <w:tc>
          <w:tcPr>
            <w:tcW w:w="1163" w:type="dxa"/>
            <w:tcBorders>
              <w:top w:val="nil"/>
              <w:left w:val="nil"/>
              <w:bottom w:val="nil"/>
              <w:right w:val="single" w:sz="4" w:space="0" w:color="auto"/>
            </w:tcBorders>
            <w:shd w:val="clear" w:color="auto" w:fill="auto"/>
            <w:noWrap/>
            <w:vAlign w:val="center"/>
            <w:hideMark/>
          </w:tcPr>
          <w:p w14:paraId="1DD28820"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0 </w:t>
            </w:r>
          </w:p>
        </w:tc>
        <w:tc>
          <w:tcPr>
            <w:tcW w:w="1163" w:type="dxa"/>
            <w:tcBorders>
              <w:top w:val="nil"/>
              <w:left w:val="nil"/>
              <w:bottom w:val="nil"/>
              <w:right w:val="single" w:sz="4" w:space="0" w:color="auto"/>
            </w:tcBorders>
            <w:shd w:val="clear" w:color="auto" w:fill="auto"/>
            <w:noWrap/>
            <w:vAlign w:val="center"/>
            <w:hideMark/>
          </w:tcPr>
          <w:p w14:paraId="30BD0415"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(3,604)</w:t>
            </w:r>
          </w:p>
        </w:tc>
        <w:tc>
          <w:tcPr>
            <w:tcW w:w="1163" w:type="dxa"/>
            <w:tcBorders>
              <w:top w:val="nil"/>
              <w:left w:val="nil"/>
              <w:bottom w:val="nil"/>
              <w:right w:val="single" w:sz="4" w:space="0" w:color="auto"/>
            </w:tcBorders>
            <w:shd w:val="clear" w:color="auto" w:fill="auto"/>
            <w:noWrap/>
            <w:vAlign w:val="center"/>
            <w:hideMark/>
          </w:tcPr>
          <w:p w14:paraId="5E52581E"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63" w:type="dxa"/>
            <w:tcBorders>
              <w:top w:val="nil"/>
              <w:left w:val="nil"/>
              <w:bottom w:val="nil"/>
              <w:right w:val="single" w:sz="4" w:space="0" w:color="auto"/>
            </w:tcBorders>
            <w:shd w:val="clear" w:color="auto" w:fill="auto"/>
            <w:noWrap/>
            <w:vAlign w:val="center"/>
            <w:hideMark/>
          </w:tcPr>
          <w:p w14:paraId="180B6379" w14:textId="77777777" w:rsidR="00DA611C" w:rsidRDefault="00DA611C">
            <w:pPr>
              <w:jc w:val="right"/>
              <w:rPr>
                <w:rFonts w:ascii="Verdana" w:hAnsi="Verdana" w:cs="Arial"/>
                <w:b/>
                <w:bCs/>
                <w:sz w:val="16"/>
                <w:szCs w:val="16"/>
              </w:rPr>
            </w:pPr>
            <w:r>
              <w:rPr>
                <w:rFonts w:ascii="Verdana" w:hAnsi="Verdana" w:cs="Arial"/>
                <w:b/>
                <w:bCs/>
                <w:sz w:val="16"/>
                <w:szCs w:val="16"/>
              </w:rPr>
              <w:t>(3,604)</w:t>
            </w:r>
          </w:p>
        </w:tc>
      </w:tr>
      <w:tr w:rsidR="00DA611C" w14:paraId="58B57848" w14:textId="77777777" w:rsidTr="00DA611C">
        <w:trPr>
          <w:trHeight w:val="230"/>
        </w:trPr>
        <w:tc>
          <w:tcPr>
            <w:tcW w:w="3655" w:type="dxa"/>
            <w:tcBorders>
              <w:top w:val="single" w:sz="4" w:space="0" w:color="auto"/>
              <w:left w:val="single" w:sz="4" w:space="0" w:color="auto"/>
              <w:bottom w:val="nil"/>
              <w:right w:val="single" w:sz="4" w:space="0" w:color="auto"/>
            </w:tcBorders>
            <w:shd w:val="clear" w:color="auto" w:fill="auto"/>
            <w:hideMark/>
          </w:tcPr>
          <w:p w14:paraId="3018E2EF" w14:textId="77777777" w:rsidR="00DA611C" w:rsidRDefault="00DA611C">
            <w:pPr>
              <w:rPr>
                <w:rFonts w:ascii="Verdana" w:hAnsi="Verdana" w:cs="Arial"/>
                <w:b/>
                <w:bCs/>
                <w:sz w:val="16"/>
                <w:szCs w:val="16"/>
              </w:rPr>
            </w:pPr>
            <w:r>
              <w:rPr>
                <w:rFonts w:ascii="Verdana" w:hAnsi="Verdana" w:cs="Arial"/>
                <w:b/>
                <w:bCs/>
                <w:sz w:val="16"/>
                <w:szCs w:val="16"/>
              </w:rPr>
              <w:t>Total Earmarked Reserves</w:t>
            </w:r>
          </w:p>
        </w:tc>
        <w:tc>
          <w:tcPr>
            <w:tcW w:w="1163" w:type="dxa"/>
            <w:tcBorders>
              <w:top w:val="single" w:sz="4" w:space="0" w:color="auto"/>
              <w:left w:val="nil"/>
              <w:bottom w:val="nil"/>
              <w:right w:val="single" w:sz="4" w:space="0" w:color="auto"/>
            </w:tcBorders>
            <w:shd w:val="clear" w:color="auto" w:fill="auto"/>
            <w:noWrap/>
            <w:hideMark/>
          </w:tcPr>
          <w:p w14:paraId="45C6C9FC" w14:textId="77777777" w:rsidR="00DA611C" w:rsidRDefault="00DA611C">
            <w:pPr>
              <w:jc w:val="right"/>
              <w:rPr>
                <w:rFonts w:ascii="Verdana" w:hAnsi="Verdana" w:cs="Arial"/>
                <w:b/>
                <w:bCs/>
                <w:sz w:val="16"/>
                <w:szCs w:val="16"/>
              </w:rPr>
            </w:pPr>
            <w:r>
              <w:rPr>
                <w:rFonts w:ascii="Verdana" w:hAnsi="Verdana" w:cs="Arial"/>
                <w:b/>
                <w:bCs/>
                <w:sz w:val="16"/>
                <w:szCs w:val="16"/>
              </w:rPr>
              <w:t>(21,002)</w:t>
            </w:r>
          </w:p>
        </w:tc>
        <w:tc>
          <w:tcPr>
            <w:tcW w:w="1163" w:type="dxa"/>
            <w:tcBorders>
              <w:top w:val="single" w:sz="4" w:space="0" w:color="auto"/>
              <w:left w:val="nil"/>
              <w:bottom w:val="nil"/>
              <w:right w:val="single" w:sz="4" w:space="0" w:color="auto"/>
            </w:tcBorders>
            <w:shd w:val="clear" w:color="auto" w:fill="auto"/>
            <w:noWrap/>
            <w:hideMark/>
          </w:tcPr>
          <w:p w14:paraId="763F963F" w14:textId="77777777" w:rsidR="00DA611C" w:rsidRDefault="00DA611C">
            <w:pPr>
              <w:jc w:val="right"/>
              <w:rPr>
                <w:rFonts w:ascii="Verdana" w:hAnsi="Verdana" w:cs="Arial"/>
                <w:b/>
                <w:bCs/>
                <w:sz w:val="16"/>
                <w:szCs w:val="16"/>
              </w:rPr>
            </w:pPr>
            <w:r>
              <w:rPr>
                <w:rFonts w:ascii="Verdana" w:hAnsi="Verdana" w:cs="Arial"/>
                <w:b/>
                <w:bCs/>
                <w:sz w:val="16"/>
                <w:szCs w:val="16"/>
              </w:rPr>
              <w:t>(13,850)</w:t>
            </w:r>
          </w:p>
        </w:tc>
        <w:tc>
          <w:tcPr>
            <w:tcW w:w="1163" w:type="dxa"/>
            <w:tcBorders>
              <w:top w:val="single" w:sz="4" w:space="0" w:color="auto"/>
              <w:left w:val="nil"/>
              <w:bottom w:val="nil"/>
              <w:right w:val="single" w:sz="4" w:space="0" w:color="auto"/>
            </w:tcBorders>
            <w:shd w:val="clear" w:color="auto" w:fill="auto"/>
            <w:noWrap/>
            <w:hideMark/>
          </w:tcPr>
          <w:p w14:paraId="0073D697" w14:textId="77777777" w:rsidR="00DA611C" w:rsidRDefault="00DA611C">
            <w:pPr>
              <w:jc w:val="right"/>
              <w:rPr>
                <w:rFonts w:ascii="Verdana" w:hAnsi="Verdana" w:cs="Arial"/>
                <w:b/>
                <w:bCs/>
                <w:sz w:val="16"/>
                <w:szCs w:val="16"/>
              </w:rPr>
            </w:pPr>
            <w:r>
              <w:rPr>
                <w:rFonts w:ascii="Verdana" w:hAnsi="Verdana" w:cs="Arial"/>
                <w:b/>
                <w:bCs/>
                <w:sz w:val="16"/>
                <w:szCs w:val="16"/>
              </w:rPr>
              <w:t>(34,852)</w:t>
            </w:r>
          </w:p>
        </w:tc>
        <w:tc>
          <w:tcPr>
            <w:tcW w:w="1163" w:type="dxa"/>
            <w:tcBorders>
              <w:top w:val="single" w:sz="4" w:space="0" w:color="auto"/>
              <w:left w:val="nil"/>
              <w:bottom w:val="nil"/>
              <w:right w:val="single" w:sz="4" w:space="0" w:color="auto"/>
            </w:tcBorders>
            <w:shd w:val="clear" w:color="auto" w:fill="auto"/>
            <w:noWrap/>
            <w:hideMark/>
          </w:tcPr>
          <w:p w14:paraId="76FC2150" w14:textId="77777777" w:rsidR="00DA611C" w:rsidRDefault="00DA611C">
            <w:pPr>
              <w:jc w:val="right"/>
              <w:rPr>
                <w:rFonts w:ascii="Verdana" w:hAnsi="Verdana" w:cs="Arial"/>
                <w:b/>
                <w:bCs/>
                <w:sz w:val="16"/>
                <w:szCs w:val="16"/>
              </w:rPr>
            </w:pPr>
            <w:r>
              <w:rPr>
                <w:rFonts w:ascii="Verdana" w:hAnsi="Verdana" w:cs="Arial"/>
                <w:b/>
                <w:bCs/>
                <w:sz w:val="16"/>
                <w:szCs w:val="16"/>
              </w:rPr>
              <w:t xml:space="preserve">1,675 </w:t>
            </w:r>
          </w:p>
        </w:tc>
        <w:tc>
          <w:tcPr>
            <w:tcW w:w="1163" w:type="dxa"/>
            <w:tcBorders>
              <w:top w:val="single" w:sz="4" w:space="0" w:color="auto"/>
              <w:left w:val="nil"/>
              <w:bottom w:val="nil"/>
              <w:right w:val="single" w:sz="4" w:space="0" w:color="auto"/>
            </w:tcBorders>
            <w:shd w:val="clear" w:color="auto" w:fill="auto"/>
            <w:noWrap/>
            <w:hideMark/>
          </w:tcPr>
          <w:p w14:paraId="4196FEB0" w14:textId="77777777" w:rsidR="00DA611C" w:rsidRDefault="00DA611C">
            <w:pPr>
              <w:jc w:val="right"/>
              <w:rPr>
                <w:rFonts w:ascii="Verdana" w:hAnsi="Verdana" w:cs="Arial"/>
                <w:b/>
                <w:bCs/>
                <w:sz w:val="16"/>
                <w:szCs w:val="16"/>
              </w:rPr>
            </w:pPr>
            <w:r>
              <w:rPr>
                <w:rFonts w:ascii="Verdana" w:hAnsi="Verdana" w:cs="Arial"/>
                <w:b/>
                <w:bCs/>
                <w:sz w:val="16"/>
                <w:szCs w:val="16"/>
              </w:rPr>
              <w:t>(33,177)</w:t>
            </w:r>
          </w:p>
        </w:tc>
      </w:tr>
      <w:tr w:rsidR="00DA611C" w14:paraId="13A290E3"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44D453E6" w14:textId="77777777" w:rsidR="00DA611C" w:rsidRDefault="00DA611C">
            <w:pPr>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20A36E0E" w14:textId="77777777" w:rsidR="00DA611C" w:rsidRDefault="00DA611C">
            <w:pPr>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38C1DE36" w14:textId="77777777" w:rsidR="00DA611C" w:rsidRDefault="00DA611C">
            <w:pPr>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00769044" w14:textId="77777777" w:rsidR="00DA611C" w:rsidRDefault="00DA611C">
            <w:pPr>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5F894197" w14:textId="77777777" w:rsidR="00DA611C" w:rsidRDefault="00DA611C">
            <w:pPr>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2FA6233C" w14:textId="77777777" w:rsidR="00DA611C" w:rsidRDefault="00DA611C">
            <w:pPr>
              <w:rPr>
                <w:rFonts w:ascii="Verdana" w:hAnsi="Verdana" w:cs="Arial"/>
                <w:b/>
                <w:bCs/>
                <w:sz w:val="16"/>
                <w:szCs w:val="16"/>
              </w:rPr>
            </w:pPr>
            <w:r>
              <w:rPr>
                <w:rFonts w:ascii="Verdana" w:hAnsi="Verdana" w:cs="Arial"/>
                <w:b/>
                <w:bCs/>
                <w:sz w:val="16"/>
                <w:szCs w:val="16"/>
              </w:rPr>
              <w:t> </w:t>
            </w:r>
          </w:p>
        </w:tc>
      </w:tr>
      <w:tr w:rsidR="00DA611C" w14:paraId="58A07178"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5E9D1101" w14:textId="77777777" w:rsidR="00DA611C" w:rsidRDefault="00DA611C">
            <w:pPr>
              <w:rPr>
                <w:rFonts w:ascii="Verdana" w:hAnsi="Verdana" w:cs="Arial"/>
                <w:sz w:val="16"/>
                <w:szCs w:val="16"/>
              </w:rPr>
            </w:pPr>
            <w:r>
              <w:rPr>
                <w:rFonts w:ascii="Verdana" w:hAnsi="Verdana" w:cs="Arial"/>
                <w:sz w:val="16"/>
                <w:szCs w:val="16"/>
              </w:rPr>
              <w:t>Mayoral General Fund Balances</w:t>
            </w:r>
          </w:p>
        </w:tc>
        <w:tc>
          <w:tcPr>
            <w:tcW w:w="1163" w:type="dxa"/>
            <w:tcBorders>
              <w:top w:val="nil"/>
              <w:left w:val="nil"/>
              <w:bottom w:val="nil"/>
              <w:right w:val="single" w:sz="4" w:space="0" w:color="auto"/>
            </w:tcBorders>
            <w:shd w:val="clear" w:color="auto" w:fill="auto"/>
            <w:noWrap/>
            <w:vAlign w:val="bottom"/>
            <w:hideMark/>
          </w:tcPr>
          <w:p w14:paraId="4AA24A93"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(11,615)</w:t>
            </w:r>
          </w:p>
        </w:tc>
        <w:tc>
          <w:tcPr>
            <w:tcW w:w="1163" w:type="dxa"/>
            <w:tcBorders>
              <w:top w:val="nil"/>
              <w:left w:val="nil"/>
              <w:bottom w:val="nil"/>
              <w:right w:val="single" w:sz="4" w:space="0" w:color="auto"/>
            </w:tcBorders>
            <w:shd w:val="clear" w:color="auto" w:fill="auto"/>
            <w:noWrap/>
            <w:hideMark/>
          </w:tcPr>
          <w:p w14:paraId="4F13C2DE" w14:textId="77777777" w:rsidR="00DA611C" w:rsidRDefault="00DA611C">
            <w:pPr>
              <w:jc w:val="right"/>
              <w:rPr>
                <w:rFonts w:ascii="Verdana" w:hAnsi="Verdana" w:cs="Arial"/>
                <w:color w:val="000000"/>
                <w:sz w:val="16"/>
                <w:szCs w:val="16"/>
              </w:rPr>
            </w:pPr>
            <w:r>
              <w:rPr>
                <w:rFonts w:ascii="Verdana" w:hAnsi="Verdana" w:cs="Arial"/>
                <w:color w:val="000000"/>
                <w:sz w:val="16"/>
                <w:szCs w:val="16"/>
              </w:rPr>
              <w:t>(477)</w:t>
            </w:r>
          </w:p>
        </w:tc>
        <w:tc>
          <w:tcPr>
            <w:tcW w:w="1163" w:type="dxa"/>
            <w:tcBorders>
              <w:top w:val="nil"/>
              <w:left w:val="nil"/>
              <w:bottom w:val="nil"/>
              <w:right w:val="single" w:sz="4" w:space="0" w:color="auto"/>
            </w:tcBorders>
            <w:shd w:val="clear" w:color="auto" w:fill="auto"/>
            <w:noWrap/>
            <w:hideMark/>
          </w:tcPr>
          <w:p w14:paraId="442793D8"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(12,092)</w:t>
            </w:r>
          </w:p>
        </w:tc>
        <w:tc>
          <w:tcPr>
            <w:tcW w:w="1163" w:type="dxa"/>
            <w:tcBorders>
              <w:top w:val="nil"/>
              <w:left w:val="nil"/>
              <w:bottom w:val="nil"/>
              <w:right w:val="single" w:sz="4" w:space="0" w:color="auto"/>
            </w:tcBorders>
            <w:shd w:val="clear" w:color="auto" w:fill="auto"/>
            <w:noWrap/>
            <w:hideMark/>
          </w:tcPr>
          <w:p w14:paraId="3D5F8D1A" w14:textId="77777777" w:rsidR="00DA611C" w:rsidRDefault="00DA611C">
            <w:pPr>
              <w:jc w:val="right"/>
              <w:rPr>
                <w:rFonts w:ascii="Verdana" w:hAnsi="Verdana" w:cs="Arial"/>
                <w:color w:val="000000"/>
                <w:sz w:val="16"/>
                <w:szCs w:val="16"/>
              </w:rPr>
            </w:pPr>
            <w:r>
              <w:rPr>
                <w:rFonts w:ascii="Verdana" w:hAnsi="Verdana" w:cs="Arial"/>
                <w:color w:val="000000"/>
                <w:sz w:val="16"/>
                <w:szCs w:val="16"/>
              </w:rPr>
              <w:t>0</w:t>
            </w:r>
          </w:p>
        </w:tc>
        <w:tc>
          <w:tcPr>
            <w:tcW w:w="1163" w:type="dxa"/>
            <w:tcBorders>
              <w:top w:val="nil"/>
              <w:left w:val="nil"/>
              <w:bottom w:val="nil"/>
              <w:right w:val="single" w:sz="4" w:space="0" w:color="auto"/>
            </w:tcBorders>
            <w:shd w:val="clear" w:color="auto" w:fill="auto"/>
            <w:noWrap/>
            <w:hideMark/>
          </w:tcPr>
          <w:p w14:paraId="15B4EACD" w14:textId="77777777" w:rsidR="00DA611C" w:rsidRDefault="00DA611C">
            <w:pPr>
              <w:jc w:val="right"/>
              <w:rPr>
                <w:rFonts w:ascii="Verdana" w:hAnsi="Verdana" w:cs="Arial"/>
                <w:b/>
                <w:bCs/>
                <w:sz w:val="16"/>
                <w:szCs w:val="16"/>
              </w:rPr>
            </w:pPr>
            <w:r>
              <w:rPr>
                <w:rFonts w:ascii="Verdana" w:hAnsi="Verdana" w:cs="Arial"/>
                <w:b/>
                <w:bCs/>
                <w:sz w:val="16"/>
                <w:szCs w:val="16"/>
              </w:rPr>
              <w:t>(12,092)</w:t>
            </w:r>
          </w:p>
        </w:tc>
      </w:tr>
      <w:tr w:rsidR="00DA611C" w14:paraId="4D67EEBA" w14:textId="77777777" w:rsidTr="00DA611C">
        <w:trPr>
          <w:trHeight w:val="230"/>
        </w:trPr>
        <w:tc>
          <w:tcPr>
            <w:tcW w:w="3655" w:type="dxa"/>
            <w:tcBorders>
              <w:top w:val="nil"/>
              <w:left w:val="single" w:sz="4" w:space="0" w:color="auto"/>
              <w:bottom w:val="single" w:sz="4" w:space="0" w:color="auto"/>
              <w:right w:val="single" w:sz="4" w:space="0" w:color="auto"/>
            </w:tcBorders>
            <w:shd w:val="clear" w:color="auto" w:fill="auto"/>
            <w:hideMark/>
          </w:tcPr>
          <w:p w14:paraId="1E2DEEE0" w14:textId="77777777" w:rsidR="00DA611C" w:rsidRDefault="00DA611C">
            <w:pPr>
              <w:rPr>
                <w:rFonts w:ascii="Verdana" w:hAnsi="Verdana" w:cs="Arial"/>
                <w:sz w:val="16"/>
                <w:szCs w:val="16"/>
              </w:rPr>
            </w:pPr>
            <w:r>
              <w:rPr>
                <w:rFonts w:ascii="Verdana" w:hAnsi="Verdana" w:cs="Arial"/>
                <w:sz w:val="16"/>
                <w:szCs w:val="16"/>
              </w:rPr>
              <w:t>Capital Grants Unapplied Reserve</w:t>
            </w:r>
          </w:p>
        </w:tc>
        <w:tc>
          <w:tcPr>
            <w:tcW w:w="1163" w:type="dxa"/>
            <w:tcBorders>
              <w:top w:val="nil"/>
              <w:left w:val="nil"/>
              <w:bottom w:val="single" w:sz="4" w:space="0" w:color="auto"/>
              <w:right w:val="single" w:sz="4" w:space="0" w:color="auto"/>
            </w:tcBorders>
            <w:shd w:val="clear" w:color="auto" w:fill="auto"/>
            <w:noWrap/>
            <w:hideMark/>
          </w:tcPr>
          <w:p w14:paraId="6331B887"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 xml:space="preserve">0 </w:t>
            </w:r>
          </w:p>
        </w:tc>
        <w:tc>
          <w:tcPr>
            <w:tcW w:w="1163" w:type="dxa"/>
            <w:tcBorders>
              <w:top w:val="nil"/>
              <w:left w:val="nil"/>
              <w:bottom w:val="single" w:sz="4" w:space="0" w:color="auto"/>
              <w:right w:val="single" w:sz="4" w:space="0" w:color="auto"/>
            </w:tcBorders>
            <w:shd w:val="clear" w:color="auto" w:fill="auto"/>
            <w:noWrap/>
            <w:hideMark/>
          </w:tcPr>
          <w:p w14:paraId="0580F2E1"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(2,050)</w:t>
            </w:r>
          </w:p>
        </w:tc>
        <w:tc>
          <w:tcPr>
            <w:tcW w:w="1163" w:type="dxa"/>
            <w:tcBorders>
              <w:top w:val="nil"/>
              <w:left w:val="nil"/>
              <w:bottom w:val="single" w:sz="4" w:space="0" w:color="auto"/>
              <w:right w:val="single" w:sz="4" w:space="0" w:color="auto"/>
            </w:tcBorders>
            <w:shd w:val="clear" w:color="auto" w:fill="auto"/>
            <w:noWrap/>
            <w:hideMark/>
          </w:tcPr>
          <w:p w14:paraId="3EF2616D"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(2,050)</w:t>
            </w:r>
          </w:p>
        </w:tc>
        <w:tc>
          <w:tcPr>
            <w:tcW w:w="1163" w:type="dxa"/>
            <w:tcBorders>
              <w:top w:val="nil"/>
              <w:left w:val="nil"/>
              <w:bottom w:val="single" w:sz="4" w:space="0" w:color="auto"/>
              <w:right w:val="single" w:sz="4" w:space="0" w:color="auto"/>
            </w:tcBorders>
            <w:shd w:val="clear" w:color="auto" w:fill="auto"/>
            <w:noWrap/>
            <w:hideMark/>
          </w:tcPr>
          <w:p w14:paraId="73907B92"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1,751</w:t>
            </w:r>
          </w:p>
        </w:tc>
        <w:tc>
          <w:tcPr>
            <w:tcW w:w="1163" w:type="dxa"/>
            <w:tcBorders>
              <w:top w:val="nil"/>
              <w:left w:val="nil"/>
              <w:bottom w:val="nil"/>
              <w:right w:val="single" w:sz="4" w:space="0" w:color="auto"/>
            </w:tcBorders>
            <w:shd w:val="clear" w:color="auto" w:fill="auto"/>
            <w:noWrap/>
            <w:hideMark/>
          </w:tcPr>
          <w:p w14:paraId="08E17C3D" w14:textId="77777777" w:rsidR="00DA611C" w:rsidRDefault="00DA611C">
            <w:pPr>
              <w:jc w:val="right"/>
              <w:rPr>
                <w:rFonts w:ascii="Verdana" w:hAnsi="Verdana" w:cs="Arial"/>
                <w:b/>
                <w:bCs/>
                <w:sz w:val="16"/>
                <w:szCs w:val="16"/>
              </w:rPr>
            </w:pPr>
            <w:r>
              <w:rPr>
                <w:rFonts w:ascii="Verdana" w:hAnsi="Verdana" w:cs="Arial"/>
                <w:b/>
                <w:bCs/>
                <w:sz w:val="16"/>
                <w:szCs w:val="16"/>
              </w:rPr>
              <w:t>(299)</w:t>
            </w:r>
          </w:p>
        </w:tc>
      </w:tr>
      <w:tr w:rsidR="00DA611C" w14:paraId="14452ADD" w14:textId="77777777" w:rsidTr="00DA611C">
        <w:trPr>
          <w:trHeight w:val="241"/>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273E22C0" w14:textId="77777777" w:rsidR="00DA611C" w:rsidRDefault="00DA611C">
            <w:pPr>
              <w:rPr>
                <w:rFonts w:ascii="Verdana" w:hAnsi="Verdana" w:cs="Arial"/>
                <w:b/>
                <w:bCs/>
                <w:sz w:val="16"/>
                <w:szCs w:val="16"/>
              </w:rPr>
            </w:pPr>
            <w:r>
              <w:rPr>
                <w:rFonts w:ascii="Verdana" w:hAnsi="Verdana" w:cs="Arial"/>
                <w:b/>
                <w:bCs/>
                <w:sz w:val="16"/>
                <w:szCs w:val="16"/>
              </w:rPr>
              <w:t>Total Mayoral General Fund Reserves</w:t>
            </w:r>
          </w:p>
        </w:tc>
        <w:tc>
          <w:tcPr>
            <w:tcW w:w="1163" w:type="dxa"/>
            <w:tcBorders>
              <w:top w:val="nil"/>
              <w:left w:val="nil"/>
              <w:bottom w:val="single" w:sz="4" w:space="0" w:color="auto"/>
              <w:right w:val="single" w:sz="4" w:space="0" w:color="auto"/>
            </w:tcBorders>
            <w:shd w:val="clear" w:color="auto" w:fill="auto"/>
            <w:noWrap/>
            <w:vAlign w:val="center"/>
            <w:hideMark/>
          </w:tcPr>
          <w:p w14:paraId="15C7D6AD" w14:textId="77777777" w:rsidR="00DA611C" w:rsidRDefault="00DA611C">
            <w:pPr>
              <w:jc w:val="right"/>
              <w:rPr>
                <w:rFonts w:ascii="Verdana" w:hAnsi="Verdana" w:cs="Arial"/>
                <w:b/>
                <w:bCs/>
                <w:sz w:val="16"/>
                <w:szCs w:val="16"/>
              </w:rPr>
            </w:pPr>
            <w:r>
              <w:rPr>
                <w:rFonts w:ascii="Verdana" w:hAnsi="Verdana" w:cs="Arial"/>
                <w:b/>
                <w:bCs/>
                <w:sz w:val="16"/>
                <w:szCs w:val="16"/>
              </w:rPr>
              <w:t>(32,617)</w:t>
            </w:r>
          </w:p>
        </w:tc>
        <w:tc>
          <w:tcPr>
            <w:tcW w:w="1163" w:type="dxa"/>
            <w:tcBorders>
              <w:top w:val="nil"/>
              <w:left w:val="nil"/>
              <w:bottom w:val="single" w:sz="4" w:space="0" w:color="auto"/>
              <w:right w:val="single" w:sz="4" w:space="0" w:color="auto"/>
            </w:tcBorders>
            <w:shd w:val="clear" w:color="auto" w:fill="auto"/>
            <w:noWrap/>
            <w:vAlign w:val="center"/>
            <w:hideMark/>
          </w:tcPr>
          <w:p w14:paraId="2E8363CB" w14:textId="77777777" w:rsidR="00DA611C" w:rsidRDefault="00DA611C">
            <w:pPr>
              <w:jc w:val="right"/>
              <w:rPr>
                <w:rFonts w:ascii="Verdana" w:hAnsi="Verdana" w:cs="Arial"/>
                <w:b/>
                <w:bCs/>
                <w:sz w:val="16"/>
                <w:szCs w:val="16"/>
              </w:rPr>
            </w:pPr>
            <w:r>
              <w:rPr>
                <w:rFonts w:ascii="Verdana" w:hAnsi="Verdana" w:cs="Arial"/>
                <w:b/>
                <w:bCs/>
                <w:sz w:val="16"/>
                <w:szCs w:val="16"/>
              </w:rPr>
              <w:t>(16,377)</w:t>
            </w:r>
          </w:p>
        </w:tc>
        <w:tc>
          <w:tcPr>
            <w:tcW w:w="1163" w:type="dxa"/>
            <w:tcBorders>
              <w:top w:val="nil"/>
              <w:left w:val="nil"/>
              <w:bottom w:val="single" w:sz="4" w:space="0" w:color="auto"/>
              <w:right w:val="single" w:sz="4" w:space="0" w:color="auto"/>
            </w:tcBorders>
            <w:shd w:val="clear" w:color="auto" w:fill="auto"/>
            <w:noWrap/>
            <w:vAlign w:val="center"/>
            <w:hideMark/>
          </w:tcPr>
          <w:p w14:paraId="01983E63" w14:textId="77777777" w:rsidR="00DA611C" w:rsidRDefault="00DA611C">
            <w:pPr>
              <w:jc w:val="right"/>
              <w:rPr>
                <w:rFonts w:ascii="Verdana" w:hAnsi="Verdana" w:cs="Arial"/>
                <w:b/>
                <w:bCs/>
                <w:sz w:val="16"/>
                <w:szCs w:val="16"/>
              </w:rPr>
            </w:pPr>
            <w:r>
              <w:rPr>
                <w:rFonts w:ascii="Verdana" w:hAnsi="Verdana" w:cs="Arial"/>
                <w:b/>
                <w:bCs/>
                <w:sz w:val="16"/>
                <w:szCs w:val="16"/>
              </w:rPr>
              <w:t>(48,994)</w:t>
            </w:r>
          </w:p>
        </w:tc>
        <w:tc>
          <w:tcPr>
            <w:tcW w:w="1163" w:type="dxa"/>
            <w:tcBorders>
              <w:top w:val="nil"/>
              <w:left w:val="nil"/>
              <w:bottom w:val="single" w:sz="4" w:space="0" w:color="auto"/>
              <w:right w:val="single" w:sz="4" w:space="0" w:color="auto"/>
            </w:tcBorders>
            <w:shd w:val="clear" w:color="auto" w:fill="auto"/>
            <w:noWrap/>
            <w:vAlign w:val="center"/>
            <w:hideMark/>
          </w:tcPr>
          <w:p w14:paraId="489E150F" w14:textId="77777777" w:rsidR="00DA611C" w:rsidRDefault="00DA611C">
            <w:pPr>
              <w:jc w:val="right"/>
              <w:rPr>
                <w:rFonts w:ascii="Verdana" w:hAnsi="Verdana" w:cs="Arial"/>
                <w:b/>
                <w:bCs/>
                <w:sz w:val="16"/>
                <w:szCs w:val="16"/>
              </w:rPr>
            </w:pPr>
            <w:r>
              <w:rPr>
                <w:rFonts w:ascii="Verdana" w:hAnsi="Verdana" w:cs="Arial"/>
                <w:b/>
                <w:bCs/>
                <w:sz w:val="16"/>
                <w:szCs w:val="16"/>
              </w:rPr>
              <w:t xml:space="preserve">3,426 </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739ACA06" w14:textId="77777777" w:rsidR="00DA611C" w:rsidRDefault="00DA611C">
            <w:pPr>
              <w:jc w:val="right"/>
              <w:rPr>
                <w:rFonts w:ascii="Verdana" w:hAnsi="Verdana" w:cs="Arial"/>
                <w:b/>
                <w:bCs/>
                <w:sz w:val="16"/>
                <w:szCs w:val="16"/>
              </w:rPr>
            </w:pPr>
            <w:r>
              <w:rPr>
                <w:rFonts w:ascii="Verdana" w:hAnsi="Verdana" w:cs="Arial"/>
                <w:b/>
                <w:bCs/>
                <w:sz w:val="16"/>
                <w:szCs w:val="16"/>
              </w:rPr>
              <w:t>(45,569)</w:t>
            </w:r>
          </w:p>
        </w:tc>
      </w:tr>
      <w:tr w:rsidR="00DA611C" w14:paraId="1976CBAE" w14:textId="77777777" w:rsidTr="00DA611C">
        <w:trPr>
          <w:trHeight w:val="230"/>
        </w:trPr>
        <w:tc>
          <w:tcPr>
            <w:tcW w:w="3655" w:type="dxa"/>
            <w:tcBorders>
              <w:top w:val="nil"/>
              <w:left w:val="nil"/>
              <w:bottom w:val="nil"/>
              <w:right w:val="nil"/>
            </w:tcBorders>
            <w:shd w:val="clear" w:color="auto" w:fill="auto"/>
            <w:hideMark/>
          </w:tcPr>
          <w:p w14:paraId="3C8A1C4E" w14:textId="77777777" w:rsidR="00DA611C" w:rsidRDefault="00DA611C">
            <w:pPr>
              <w:jc w:val="right"/>
              <w:rPr>
                <w:rFonts w:ascii="Verdana" w:hAnsi="Verdana" w:cs="Arial"/>
                <w:b/>
                <w:bCs/>
                <w:sz w:val="16"/>
                <w:szCs w:val="16"/>
              </w:rPr>
            </w:pPr>
          </w:p>
        </w:tc>
        <w:tc>
          <w:tcPr>
            <w:tcW w:w="1163" w:type="dxa"/>
            <w:tcBorders>
              <w:top w:val="nil"/>
              <w:left w:val="nil"/>
              <w:bottom w:val="nil"/>
              <w:right w:val="nil"/>
            </w:tcBorders>
            <w:shd w:val="clear" w:color="auto" w:fill="auto"/>
            <w:noWrap/>
            <w:hideMark/>
          </w:tcPr>
          <w:p w14:paraId="196CA2C5" w14:textId="77777777" w:rsidR="00DA611C" w:rsidRDefault="00DA611C">
            <w:pPr>
              <w:rPr>
                <w:sz w:val="20"/>
                <w:szCs w:val="20"/>
              </w:rPr>
            </w:pPr>
          </w:p>
        </w:tc>
        <w:tc>
          <w:tcPr>
            <w:tcW w:w="1163" w:type="dxa"/>
            <w:tcBorders>
              <w:top w:val="nil"/>
              <w:left w:val="nil"/>
              <w:bottom w:val="nil"/>
              <w:right w:val="nil"/>
            </w:tcBorders>
            <w:shd w:val="clear" w:color="auto" w:fill="auto"/>
            <w:noWrap/>
            <w:hideMark/>
          </w:tcPr>
          <w:p w14:paraId="77AD2F83" w14:textId="77777777" w:rsidR="00DA611C" w:rsidRDefault="00DA611C">
            <w:pPr>
              <w:rPr>
                <w:sz w:val="20"/>
                <w:szCs w:val="20"/>
              </w:rPr>
            </w:pPr>
          </w:p>
        </w:tc>
        <w:tc>
          <w:tcPr>
            <w:tcW w:w="1163" w:type="dxa"/>
            <w:tcBorders>
              <w:top w:val="nil"/>
              <w:left w:val="nil"/>
              <w:bottom w:val="nil"/>
              <w:right w:val="nil"/>
            </w:tcBorders>
            <w:shd w:val="clear" w:color="auto" w:fill="auto"/>
            <w:noWrap/>
            <w:hideMark/>
          </w:tcPr>
          <w:p w14:paraId="4A04AD86" w14:textId="77777777" w:rsidR="00DA611C" w:rsidRDefault="00DA611C">
            <w:pPr>
              <w:rPr>
                <w:sz w:val="20"/>
                <w:szCs w:val="20"/>
              </w:rPr>
            </w:pPr>
          </w:p>
        </w:tc>
        <w:tc>
          <w:tcPr>
            <w:tcW w:w="1163" w:type="dxa"/>
            <w:tcBorders>
              <w:top w:val="nil"/>
              <w:left w:val="nil"/>
              <w:bottom w:val="nil"/>
              <w:right w:val="nil"/>
            </w:tcBorders>
            <w:shd w:val="clear" w:color="auto" w:fill="auto"/>
            <w:noWrap/>
            <w:hideMark/>
          </w:tcPr>
          <w:p w14:paraId="3081CE1D" w14:textId="77777777" w:rsidR="00DA611C" w:rsidRDefault="00DA611C">
            <w:pPr>
              <w:rPr>
                <w:sz w:val="20"/>
                <w:szCs w:val="20"/>
              </w:rPr>
            </w:pPr>
          </w:p>
        </w:tc>
        <w:tc>
          <w:tcPr>
            <w:tcW w:w="1163" w:type="dxa"/>
            <w:tcBorders>
              <w:top w:val="nil"/>
              <w:left w:val="nil"/>
              <w:bottom w:val="nil"/>
              <w:right w:val="nil"/>
            </w:tcBorders>
            <w:shd w:val="clear" w:color="auto" w:fill="auto"/>
            <w:noWrap/>
            <w:hideMark/>
          </w:tcPr>
          <w:p w14:paraId="7ECCFF9B" w14:textId="77777777" w:rsidR="00DA611C" w:rsidRDefault="00DA611C">
            <w:pPr>
              <w:rPr>
                <w:sz w:val="20"/>
                <w:szCs w:val="20"/>
              </w:rPr>
            </w:pPr>
          </w:p>
        </w:tc>
      </w:tr>
      <w:tr w:rsidR="00DA611C" w14:paraId="0E0DC29C" w14:textId="77777777" w:rsidTr="00DA611C">
        <w:trPr>
          <w:trHeight w:val="692"/>
        </w:trPr>
        <w:tc>
          <w:tcPr>
            <w:tcW w:w="3655" w:type="dxa"/>
            <w:tcBorders>
              <w:top w:val="single" w:sz="4" w:space="0" w:color="auto"/>
              <w:left w:val="single" w:sz="4" w:space="0" w:color="auto"/>
              <w:bottom w:val="nil"/>
              <w:right w:val="single" w:sz="4" w:space="0" w:color="auto"/>
            </w:tcBorders>
            <w:shd w:val="clear" w:color="auto" w:fill="auto"/>
            <w:noWrap/>
            <w:hideMark/>
          </w:tcPr>
          <w:p w14:paraId="7D709B1D" w14:textId="77777777" w:rsidR="00DA611C" w:rsidRDefault="00DA611C">
            <w:pPr>
              <w:rPr>
                <w:rFonts w:ascii="Verdana" w:hAnsi="Verdana" w:cs="Arial"/>
                <w:b/>
                <w:bCs/>
                <w:sz w:val="16"/>
                <w:szCs w:val="16"/>
              </w:rPr>
            </w:pPr>
            <w:r>
              <w:rPr>
                <w:rFonts w:ascii="Verdana" w:hAnsi="Verdana" w:cs="Arial"/>
                <w:b/>
                <w:bCs/>
                <w:sz w:val="16"/>
                <w:szCs w:val="16"/>
              </w:rPr>
              <w:t>Earmarked Reserves and Balances</w:t>
            </w:r>
          </w:p>
        </w:tc>
        <w:tc>
          <w:tcPr>
            <w:tcW w:w="1163" w:type="dxa"/>
            <w:tcBorders>
              <w:top w:val="single" w:sz="4" w:space="0" w:color="auto"/>
              <w:left w:val="nil"/>
              <w:bottom w:val="nil"/>
              <w:right w:val="single" w:sz="4" w:space="0" w:color="auto"/>
            </w:tcBorders>
            <w:shd w:val="clear" w:color="auto" w:fill="auto"/>
            <w:hideMark/>
          </w:tcPr>
          <w:p w14:paraId="63FB9D9F" w14:textId="77777777" w:rsidR="00DA611C" w:rsidRDefault="00DA611C">
            <w:pPr>
              <w:jc w:val="center"/>
              <w:rPr>
                <w:rFonts w:ascii="Verdana" w:hAnsi="Verdana" w:cs="Arial"/>
                <w:b/>
                <w:bCs/>
                <w:sz w:val="16"/>
                <w:szCs w:val="16"/>
              </w:rPr>
            </w:pPr>
            <w:r>
              <w:rPr>
                <w:rFonts w:ascii="Verdana" w:hAnsi="Verdana" w:cs="Arial"/>
                <w:b/>
                <w:bCs/>
                <w:sz w:val="16"/>
                <w:szCs w:val="16"/>
              </w:rPr>
              <w:t>31 March 2020</w:t>
            </w:r>
          </w:p>
        </w:tc>
        <w:tc>
          <w:tcPr>
            <w:tcW w:w="1163" w:type="dxa"/>
            <w:tcBorders>
              <w:top w:val="single" w:sz="4" w:space="0" w:color="auto"/>
              <w:left w:val="nil"/>
              <w:bottom w:val="nil"/>
              <w:right w:val="single" w:sz="4" w:space="0" w:color="auto"/>
            </w:tcBorders>
            <w:shd w:val="clear" w:color="auto" w:fill="auto"/>
            <w:hideMark/>
          </w:tcPr>
          <w:p w14:paraId="46DAC0CA" w14:textId="77777777" w:rsidR="00DA611C" w:rsidRDefault="00DA611C">
            <w:pPr>
              <w:jc w:val="center"/>
              <w:rPr>
                <w:rFonts w:ascii="Verdana" w:hAnsi="Verdana" w:cs="Arial"/>
                <w:b/>
                <w:bCs/>
                <w:sz w:val="16"/>
                <w:szCs w:val="16"/>
              </w:rPr>
            </w:pPr>
            <w:r>
              <w:rPr>
                <w:rFonts w:ascii="Verdana" w:hAnsi="Verdana" w:cs="Arial"/>
                <w:b/>
                <w:bCs/>
                <w:sz w:val="16"/>
                <w:szCs w:val="16"/>
              </w:rPr>
              <w:t>Transfers (in)/out</w:t>
            </w:r>
          </w:p>
        </w:tc>
        <w:tc>
          <w:tcPr>
            <w:tcW w:w="1163" w:type="dxa"/>
            <w:tcBorders>
              <w:top w:val="single" w:sz="4" w:space="0" w:color="auto"/>
              <w:left w:val="nil"/>
              <w:bottom w:val="nil"/>
              <w:right w:val="single" w:sz="4" w:space="0" w:color="auto"/>
            </w:tcBorders>
            <w:shd w:val="clear" w:color="auto" w:fill="auto"/>
            <w:hideMark/>
          </w:tcPr>
          <w:p w14:paraId="5122F207" w14:textId="77777777" w:rsidR="00DA611C" w:rsidRDefault="00DA611C">
            <w:pPr>
              <w:jc w:val="center"/>
              <w:rPr>
                <w:rFonts w:ascii="Verdana" w:hAnsi="Verdana" w:cs="Arial"/>
                <w:b/>
                <w:bCs/>
                <w:sz w:val="16"/>
                <w:szCs w:val="16"/>
              </w:rPr>
            </w:pPr>
            <w:r>
              <w:rPr>
                <w:rFonts w:ascii="Verdana" w:hAnsi="Verdana" w:cs="Arial"/>
                <w:b/>
                <w:bCs/>
                <w:sz w:val="16"/>
                <w:szCs w:val="16"/>
              </w:rPr>
              <w:t>31 March 2021</w:t>
            </w:r>
          </w:p>
        </w:tc>
        <w:tc>
          <w:tcPr>
            <w:tcW w:w="1163" w:type="dxa"/>
            <w:tcBorders>
              <w:top w:val="single" w:sz="4" w:space="0" w:color="auto"/>
              <w:left w:val="nil"/>
              <w:bottom w:val="nil"/>
              <w:right w:val="single" w:sz="4" w:space="0" w:color="auto"/>
            </w:tcBorders>
            <w:shd w:val="clear" w:color="auto" w:fill="auto"/>
            <w:hideMark/>
          </w:tcPr>
          <w:p w14:paraId="44ABDEEB" w14:textId="77777777" w:rsidR="00DA611C" w:rsidRDefault="00DA611C">
            <w:pPr>
              <w:jc w:val="center"/>
              <w:rPr>
                <w:rFonts w:ascii="Verdana" w:hAnsi="Verdana" w:cs="Arial"/>
                <w:b/>
                <w:bCs/>
                <w:sz w:val="16"/>
                <w:szCs w:val="16"/>
              </w:rPr>
            </w:pPr>
            <w:r>
              <w:rPr>
                <w:rFonts w:ascii="Verdana" w:hAnsi="Verdana" w:cs="Arial"/>
                <w:b/>
                <w:bCs/>
                <w:sz w:val="16"/>
                <w:szCs w:val="16"/>
              </w:rPr>
              <w:t>Transfers (in)/out</w:t>
            </w:r>
          </w:p>
        </w:tc>
        <w:tc>
          <w:tcPr>
            <w:tcW w:w="1163" w:type="dxa"/>
            <w:tcBorders>
              <w:top w:val="single" w:sz="4" w:space="0" w:color="auto"/>
              <w:left w:val="nil"/>
              <w:bottom w:val="nil"/>
              <w:right w:val="single" w:sz="4" w:space="0" w:color="auto"/>
            </w:tcBorders>
            <w:shd w:val="clear" w:color="auto" w:fill="auto"/>
            <w:hideMark/>
          </w:tcPr>
          <w:p w14:paraId="1093B830" w14:textId="77777777" w:rsidR="00DA611C" w:rsidRDefault="00DA611C">
            <w:pPr>
              <w:jc w:val="center"/>
              <w:rPr>
                <w:rFonts w:ascii="Verdana" w:hAnsi="Verdana" w:cs="Arial"/>
                <w:b/>
                <w:bCs/>
                <w:sz w:val="16"/>
                <w:szCs w:val="16"/>
              </w:rPr>
            </w:pPr>
            <w:r>
              <w:rPr>
                <w:rFonts w:ascii="Verdana" w:hAnsi="Verdana" w:cs="Arial"/>
                <w:b/>
                <w:bCs/>
                <w:sz w:val="16"/>
                <w:szCs w:val="16"/>
              </w:rPr>
              <w:t>31 March 2022</w:t>
            </w:r>
          </w:p>
        </w:tc>
      </w:tr>
      <w:tr w:rsidR="00DA611C" w14:paraId="644AA2A5" w14:textId="77777777" w:rsidTr="00DA611C">
        <w:trPr>
          <w:trHeight w:val="230"/>
        </w:trPr>
        <w:tc>
          <w:tcPr>
            <w:tcW w:w="3655" w:type="dxa"/>
            <w:tcBorders>
              <w:top w:val="nil"/>
              <w:left w:val="single" w:sz="4" w:space="0" w:color="auto"/>
              <w:bottom w:val="single" w:sz="4" w:space="0" w:color="auto"/>
              <w:right w:val="single" w:sz="4" w:space="0" w:color="auto"/>
            </w:tcBorders>
            <w:shd w:val="clear" w:color="auto" w:fill="auto"/>
            <w:noWrap/>
            <w:hideMark/>
          </w:tcPr>
          <w:p w14:paraId="40EFA4DA" w14:textId="77777777" w:rsidR="00DA611C" w:rsidRDefault="00DA611C">
            <w:pPr>
              <w:rPr>
                <w:rFonts w:ascii="Verdana" w:hAnsi="Verdana" w:cs="Arial"/>
                <w:sz w:val="16"/>
                <w:szCs w:val="16"/>
              </w:rPr>
            </w:pPr>
            <w:r>
              <w:rPr>
                <w:rFonts w:ascii="Verdana" w:hAnsi="Verdana" w:cs="Arial"/>
                <w:sz w:val="16"/>
                <w:szCs w:val="16"/>
              </w:rPr>
              <w:t> </w:t>
            </w:r>
          </w:p>
        </w:tc>
        <w:tc>
          <w:tcPr>
            <w:tcW w:w="1163" w:type="dxa"/>
            <w:tcBorders>
              <w:top w:val="nil"/>
              <w:left w:val="nil"/>
              <w:bottom w:val="single" w:sz="4" w:space="0" w:color="auto"/>
              <w:right w:val="single" w:sz="4" w:space="0" w:color="auto"/>
            </w:tcBorders>
            <w:shd w:val="clear" w:color="auto" w:fill="auto"/>
            <w:noWrap/>
            <w:hideMark/>
          </w:tcPr>
          <w:p w14:paraId="4494124A"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7F8E8B94"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1A8D9FC8"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46378E9A"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5C6686B5" w14:textId="77777777" w:rsidR="00DA611C" w:rsidRDefault="00DA611C">
            <w:pPr>
              <w:jc w:val="center"/>
              <w:rPr>
                <w:rFonts w:ascii="Verdana" w:hAnsi="Verdana" w:cs="Arial"/>
                <w:b/>
                <w:bCs/>
                <w:sz w:val="16"/>
                <w:szCs w:val="16"/>
              </w:rPr>
            </w:pPr>
            <w:r>
              <w:rPr>
                <w:rFonts w:ascii="Verdana" w:hAnsi="Verdana" w:cs="Arial"/>
                <w:b/>
                <w:bCs/>
                <w:sz w:val="16"/>
                <w:szCs w:val="16"/>
              </w:rPr>
              <w:t>£000s</w:t>
            </w:r>
          </w:p>
        </w:tc>
      </w:tr>
      <w:tr w:rsidR="00DA611C" w14:paraId="67BD3FF3"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1E4E8C6E" w14:textId="77777777" w:rsidR="00DA611C" w:rsidRDefault="00DA611C">
            <w:pPr>
              <w:rPr>
                <w:rFonts w:ascii="Verdana" w:hAnsi="Verdana" w:cs="Arial"/>
                <w:b/>
                <w:bCs/>
                <w:sz w:val="16"/>
                <w:szCs w:val="16"/>
              </w:rPr>
            </w:pPr>
            <w:r>
              <w:rPr>
                <w:rFonts w:ascii="Verdana" w:hAnsi="Verdana" w:cs="Arial"/>
                <w:b/>
                <w:bCs/>
                <w:sz w:val="16"/>
                <w:szCs w:val="16"/>
              </w:rPr>
              <w:t>Mayoral Police Fund</w:t>
            </w:r>
          </w:p>
        </w:tc>
        <w:tc>
          <w:tcPr>
            <w:tcW w:w="1163" w:type="dxa"/>
            <w:tcBorders>
              <w:top w:val="nil"/>
              <w:left w:val="nil"/>
              <w:bottom w:val="nil"/>
              <w:right w:val="single" w:sz="4" w:space="0" w:color="auto"/>
            </w:tcBorders>
            <w:shd w:val="clear" w:color="auto" w:fill="auto"/>
            <w:noWrap/>
            <w:hideMark/>
          </w:tcPr>
          <w:p w14:paraId="466E0E6F" w14:textId="77777777" w:rsidR="00DA611C" w:rsidRDefault="00DA611C">
            <w:pPr>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hideMark/>
          </w:tcPr>
          <w:p w14:paraId="072C9431" w14:textId="77777777" w:rsidR="00DA611C" w:rsidRDefault="00DA611C">
            <w:pPr>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hideMark/>
          </w:tcPr>
          <w:p w14:paraId="543DC370" w14:textId="77777777" w:rsidR="00DA611C" w:rsidRDefault="00DA611C">
            <w:pPr>
              <w:rPr>
                <w:rFonts w:ascii="Verdana" w:hAnsi="Verdana" w:cs="Arial"/>
                <w:b/>
                <w:bCs/>
                <w:color w:val="FF0000"/>
                <w:sz w:val="16"/>
                <w:szCs w:val="16"/>
              </w:rPr>
            </w:pPr>
            <w:r>
              <w:rPr>
                <w:rFonts w:ascii="Verdana" w:hAnsi="Verdana" w:cs="Arial"/>
                <w:b/>
                <w:bCs/>
                <w:color w:val="FF0000"/>
                <w:sz w:val="16"/>
                <w:szCs w:val="16"/>
              </w:rPr>
              <w:t> </w:t>
            </w:r>
          </w:p>
        </w:tc>
        <w:tc>
          <w:tcPr>
            <w:tcW w:w="1163" w:type="dxa"/>
            <w:tcBorders>
              <w:top w:val="nil"/>
              <w:left w:val="nil"/>
              <w:bottom w:val="nil"/>
              <w:right w:val="single" w:sz="4" w:space="0" w:color="auto"/>
            </w:tcBorders>
            <w:shd w:val="clear" w:color="auto" w:fill="auto"/>
            <w:noWrap/>
            <w:hideMark/>
          </w:tcPr>
          <w:p w14:paraId="607F7CE6" w14:textId="77777777" w:rsidR="00DA611C" w:rsidRDefault="00DA611C">
            <w:pPr>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hideMark/>
          </w:tcPr>
          <w:p w14:paraId="15E75BE6" w14:textId="77777777" w:rsidR="00DA611C" w:rsidRDefault="00DA611C">
            <w:pPr>
              <w:rPr>
                <w:rFonts w:ascii="Verdana" w:hAnsi="Verdana" w:cs="Arial"/>
                <w:b/>
                <w:bCs/>
                <w:color w:val="FF0000"/>
                <w:sz w:val="16"/>
                <w:szCs w:val="16"/>
              </w:rPr>
            </w:pPr>
            <w:r>
              <w:rPr>
                <w:rFonts w:ascii="Verdana" w:hAnsi="Verdana" w:cs="Arial"/>
                <w:b/>
                <w:bCs/>
                <w:color w:val="FF0000"/>
                <w:sz w:val="16"/>
                <w:szCs w:val="16"/>
              </w:rPr>
              <w:t> </w:t>
            </w:r>
          </w:p>
        </w:tc>
      </w:tr>
      <w:tr w:rsidR="00DA611C" w14:paraId="28C77F15"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624B2C5C" w14:textId="77777777" w:rsidR="00DA611C" w:rsidRDefault="00DA611C">
            <w:pPr>
              <w:rPr>
                <w:rFonts w:ascii="Verdana" w:hAnsi="Verdana" w:cs="Arial"/>
                <w:sz w:val="16"/>
                <w:szCs w:val="16"/>
              </w:rPr>
            </w:pPr>
            <w:r>
              <w:rPr>
                <w:rFonts w:ascii="Verdana" w:hAnsi="Verdana" w:cs="Arial"/>
                <w:sz w:val="16"/>
                <w:szCs w:val="16"/>
              </w:rPr>
              <w:t>Revenue Expenditure Reserve</w:t>
            </w:r>
          </w:p>
        </w:tc>
        <w:tc>
          <w:tcPr>
            <w:tcW w:w="1163" w:type="dxa"/>
            <w:tcBorders>
              <w:top w:val="nil"/>
              <w:left w:val="nil"/>
              <w:bottom w:val="nil"/>
              <w:right w:val="single" w:sz="4" w:space="0" w:color="auto"/>
            </w:tcBorders>
            <w:shd w:val="clear" w:color="auto" w:fill="auto"/>
            <w:noWrap/>
            <w:hideMark/>
          </w:tcPr>
          <w:p w14:paraId="78F1B284"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(15,170)</w:t>
            </w:r>
          </w:p>
        </w:tc>
        <w:tc>
          <w:tcPr>
            <w:tcW w:w="1163" w:type="dxa"/>
            <w:tcBorders>
              <w:top w:val="nil"/>
              <w:left w:val="nil"/>
              <w:bottom w:val="nil"/>
              <w:right w:val="single" w:sz="4" w:space="0" w:color="auto"/>
            </w:tcBorders>
            <w:shd w:val="clear" w:color="auto" w:fill="auto"/>
            <w:noWrap/>
            <w:hideMark/>
          </w:tcPr>
          <w:p w14:paraId="6B5A5DC6"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3,848 </w:t>
            </w:r>
          </w:p>
        </w:tc>
        <w:tc>
          <w:tcPr>
            <w:tcW w:w="1163" w:type="dxa"/>
            <w:tcBorders>
              <w:top w:val="nil"/>
              <w:left w:val="nil"/>
              <w:bottom w:val="nil"/>
              <w:right w:val="single" w:sz="4" w:space="0" w:color="auto"/>
            </w:tcBorders>
            <w:shd w:val="clear" w:color="auto" w:fill="auto"/>
            <w:noWrap/>
            <w:hideMark/>
          </w:tcPr>
          <w:p w14:paraId="04CC5D75"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(11,322)</w:t>
            </w:r>
          </w:p>
        </w:tc>
        <w:tc>
          <w:tcPr>
            <w:tcW w:w="1163" w:type="dxa"/>
            <w:tcBorders>
              <w:top w:val="nil"/>
              <w:left w:val="nil"/>
              <w:bottom w:val="nil"/>
              <w:right w:val="single" w:sz="4" w:space="0" w:color="auto"/>
            </w:tcBorders>
            <w:shd w:val="clear" w:color="auto" w:fill="auto"/>
            <w:noWrap/>
            <w:hideMark/>
          </w:tcPr>
          <w:p w14:paraId="2F2A13F7" w14:textId="77777777" w:rsidR="00DA611C" w:rsidRDefault="00DA611C">
            <w:pPr>
              <w:jc w:val="right"/>
              <w:rPr>
                <w:rFonts w:ascii="Verdana" w:hAnsi="Verdana" w:cs="Arial"/>
                <w:color w:val="000000"/>
                <w:sz w:val="16"/>
                <w:szCs w:val="16"/>
              </w:rPr>
            </w:pPr>
            <w:r>
              <w:rPr>
                <w:rFonts w:ascii="Verdana" w:hAnsi="Verdana" w:cs="Arial"/>
                <w:color w:val="000000"/>
                <w:sz w:val="16"/>
                <w:szCs w:val="16"/>
              </w:rPr>
              <w:t>(11,759)</w:t>
            </w:r>
          </w:p>
        </w:tc>
        <w:tc>
          <w:tcPr>
            <w:tcW w:w="1163" w:type="dxa"/>
            <w:tcBorders>
              <w:top w:val="nil"/>
              <w:left w:val="nil"/>
              <w:bottom w:val="nil"/>
              <w:right w:val="single" w:sz="4" w:space="0" w:color="auto"/>
            </w:tcBorders>
            <w:shd w:val="clear" w:color="auto" w:fill="auto"/>
            <w:noWrap/>
            <w:hideMark/>
          </w:tcPr>
          <w:p w14:paraId="7C4CC8FD" w14:textId="77777777" w:rsidR="00DA611C" w:rsidRDefault="00DA611C">
            <w:pPr>
              <w:jc w:val="right"/>
              <w:rPr>
                <w:rFonts w:ascii="Verdana" w:hAnsi="Verdana" w:cs="Arial"/>
                <w:b/>
                <w:bCs/>
                <w:sz w:val="16"/>
                <w:szCs w:val="16"/>
              </w:rPr>
            </w:pPr>
            <w:r>
              <w:rPr>
                <w:rFonts w:ascii="Verdana" w:hAnsi="Verdana" w:cs="Arial"/>
                <w:b/>
                <w:bCs/>
                <w:sz w:val="16"/>
                <w:szCs w:val="16"/>
              </w:rPr>
              <w:t>(23,081)</w:t>
            </w:r>
          </w:p>
        </w:tc>
      </w:tr>
      <w:tr w:rsidR="00DA611C" w14:paraId="59FA1E40" w14:textId="77777777" w:rsidTr="00DA611C">
        <w:trPr>
          <w:trHeight w:val="253"/>
        </w:trPr>
        <w:tc>
          <w:tcPr>
            <w:tcW w:w="3655" w:type="dxa"/>
            <w:tcBorders>
              <w:top w:val="nil"/>
              <w:left w:val="single" w:sz="4" w:space="0" w:color="auto"/>
              <w:bottom w:val="nil"/>
              <w:right w:val="single" w:sz="4" w:space="0" w:color="auto"/>
            </w:tcBorders>
            <w:shd w:val="clear" w:color="auto" w:fill="auto"/>
            <w:hideMark/>
          </w:tcPr>
          <w:p w14:paraId="08631522" w14:textId="77777777" w:rsidR="00DA611C" w:rsidRDefault="00DA611C">
            <w:pPr>
              <w:rPr>
                <w:rFonts w:ascii="Verdana" w:hAnsi="Verdana" w:cs="Arial"/>
                <w:sz w:val="16"/>
                <w:szCs w:val="16"/>
              </w:rPr>
            </w:pPr>
            <w:r>
              <w:rPr>
                <w:rFonts w:ascii="Verdana" w:hAnsi="Verdana" w:cs="Arial"/>
                <w:sz w:val="16"/>
                <w:szCs w:val="16"/>
              </w:rPr>
              <w:t>Insurance Reserve</w:t>
            </w:r>
          </w:p>
        </w:tc>
        <w:tc>
          <w:tcPr>
            <w:tcW w:w="1163" w:type="dxa"/>
            <w:tcBorders>
              <w:top w:val="nil"/>
              <w:left w:val="nil"/>
              <w:bottom w:val="nil"/>
              <w:right w:val="single" w:sz="4" w:space="0" w:color="auto"/>
            </w:tcBorders>
            <w:shd w:val="clear" w:color="auto" w:fill="auto"/>
            <w:noWrap/>
            <w:vAlign w:val="bottom"/>
            <w:hideMark/>
          </w:tcPr>
          <w:p w14:paraId="5C2E7E49"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(15,881)</w:t>
            </w:r>
          </w:p>
        </w:tc>
        <w:tc>
          <w:tcPr>
            <w:tcW w:w="1163" w:type="dxa"/>
            <w:tcBorders>
              <w:top w:val="nil"/>
              <w:left w:val="nil"/>
              <w:bottom w:val="nil"/>
              <w:right w:val="single" w:sz="4" w:space="0" w:color="auto"/>
            </w:tcBorders>
            <w:shd w:val="clear" w:color="auto" w:fill="auto"/>
            <w:noWrap/>
            <w:hideMark/>
          </w:tcPr>
          <w:p w14:paraId="7EAF948D"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648 </w:t>
            </w:r>
          </w:p>
        </w:tc>
        <w:tc>
          <w:tcPr>
            <w:tcW w:w="1163" w:type="dxa"/>
            <w:tcBorders>
              <w:top w:val="nil"/>
              <w:left w:val="nil"/>
              <w:bottom w:val="nil"/>
              <w:right w:val="single" w:sz="4" w:space="0" w:color="auto"/>
            </w:tcBorders>
            <w:shd w:val="clear" w:color="auto" w:fill="auto"/>
            <w:noWrap/>
            <w:hideMark/>
          </w:tcPr>
          <w:p w14:paraId="30E2E3DA"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(15,232)</w:t>
            </w:r>
          </w:p>
        </w:tc>
        <w:tc>
          <w:tcPr>
            <w:tcW w:w="1163" w:type="dxa"/>
            <w:tcBorders>
              <w:top w:val="nil"/>
              <w:left w:val="nil"/>
              <w:bottom w:val="nil"/>
              <w:right w:val="single" w:sz="4" w:space="0" w:color="auto"/>
            </w:tcBorders>
            <w:shd w:val="clear" w:color="auto" w:fill="auto"/>
            <w:noWrap/>
            <w:hideMark/>
          </w:tcPr>
          <w:p w14:paraId="0B4BFB24"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2,684</w:t>
            </w:r>
          </w:p>
        </w:tc>
        <w:tc>
          <w:tcPr>
            <w:tcW w:w="1163" w:type="dxa"/>
            <w:tcBorders>
              <w:top w:val="nil"/>
              <w:left w:val="nil"/>
              <w:bottom w:val="nil"/>
              <w:right w:val="single" w:sz="4" w:space="0" w:color="auto"/>
            </w:tcBorders>
            <w:shd w:val="clear" w:color="auto" w:fill="auto"/>
            <w:noWrap/>
            <w:hideMark/>
          </w:tcPr>
          <w:p w14:paraId="7CEE387D" w14:textId="77777777" w:rsidR="00DA611C" w:rsidRDefault="00DA611C">
            <w:pPr>
              <w:jc w:val="right"/>
              <w:rPr>
                <w:rFonts w:ascii="Verdana" w:hAnsi="Verdana" w:cs="Arial"/>
                <w:b/>
                <w:bCs/>
                <w:sz w:val="16"/>
                <w:szCs w:val="16"/>
              </w:rPr>
            </w:pPr>
            <w:r>
              <w:rPr>
                <w:rFonts w:ascii="Verdana" w:hAnsi="Verdana" w:cs="Arial"/>
                <w:b/>
                <w:bCs/>
                <w:sz w:val="16"/>
                <w:szCs w:val="16"/>
              </w:rPr>
              <w:t>(12,548)</w:t>
            </w:r>
          </w:p>
        </w:tc>
      </w:tr>
      <w:tr w:rsidR="00DA611C" w14:paraId="7C1437B8" w14:textId="77777777" w:rsidTr="00DA611C">
        <w:trPr>
          <w:trHeight w:val="264"/>
        </w:trPr>
        <w:tc>
          <w:tcPr>
            <w:tcW w:w="3655" w:type="dxa"/>
            <w:tcBorders>
              <w:top w:val="nil"/>
              <w:left w:val="single" w:sz="4" w:space="0" w:color="auto"/>
              <w:bottom w:val="nil"/>
              <w:right w:val="single" w:sz="4" w:space="0" w:color="auto"/>
            </w:tcBorders>
            <w:shd w:val="clear" w:color="auto" w:fill="auto"/>
            <w:hideMark/>
          </w:tcPr>
          <w:p w14:paraId="6B676D6A" w14:textId="77777777" w:rsidR="00DA611C" w:rsidRDefault="00DA611C">
            <w:pPr>
              <w:rPr>
                <w:rFonts w:ascii="Verdana" w:hAnsi="Verdana" w:cs="Arial"/>
                <w:sz w:val="16"/>
                <w:szCs w:val="16"/>
              </w:rPr>
            </w:pPr>
            <w:r>
              <w:rPr>
                <w:rFonts w:ascii="Verdana" w:hAnsi="Verdana" w:cs="Arial"/>
                <w:sz w:val="16"/>
                <w:szCs w:val="16"/>
              </w:rPr>
              <w:t>PCC Earmarked Reserves</w:t>
            </w:r>
          </w:p>
        </w:tc>
        <w:tc>
          <w:tcPr>
            <w:tcW w:w="1163" w:type="dxa"/>
            <w:tcBorders>
              <w:top w:val="nil"/>
              <w:left w:val="nil"/>
              <w:bottom w:val="nil"/>
              <w:right w:val="single" w:sz="4" w:space="0" w:color="auto"/>
            </w:tcBorders>
            <w:shd w:val="clear" w:color="auto" w:fill="auto"/>
            <w:noWrap/>
            <w:hideMark/>
          </w:tcPr>
          <w:p w14:paraId="79DD787C"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(27,693)</w:t>
            </w:r>
          </w:p>
        </w:tc>
        <w:tc>
          <w:tcPr>
            <w:tcW w:w="1163" w:type="dxa"/>
            <w:tcBorders>
              <w:top w:val="nil"/>
              <w:left w:val="nil"/>
              <w:bottom w:val="nil"/>
              <w:right w:val="single" w:sz="4" w:space="0" w:color="auto"/>
            </w:tcBorders>
            <w:shd w:val="clear" w:color="auto" w:fill="auto"/>
            <w:noWrap/>
            <w:hideMark/>
          </w:tcPr>
          <w:p w14:paraId="40642C5A"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(20,299)</w:t>
            </w:r>
          </w:p>
        </w:tc>
        <w:tc>
          <w:tcPr>
            <w:tcW w:w="1163" w:type="dxa"/>
            <w:tcBorders>
              <w:top w:val="nil"/>
              <w:left w:val="nil"/>
              <w:bottom w:val="nil"/>
              <w:right w:val="single" w:sz="4" w:space="0" w:color="auto"/>
            </w:tcBorders>
            <w:shd w:val="clear" w:color="auto" w:fill="auto"/>
            <w:noWrap/>
            <w:hideMark/>
          </w:tcPr>
          <w:p w14:paraId="5E06438C"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(47,992)</w:t>
            </w:r>
          </w:p>
        </w:tc>
        <w:tc>
          <w:tcPr>
            <w:tcW w:w="1163" w:type="dxa"/>
            <w:tcBorders>
              <w:top w:val="nil"/>
              <w:left w:val="nil"/>
              <w:bottom w:val="nil"/>
              <w:right w:val="single" w:sz="4" w:space="0" w:color="auto"/>
            </w:tcBorders>
            <w:shd w:val="clear" w:color="auto" w:fill="auto"/>
            <w:noWrap/>
            <w:hideMark/>
          </w:tcPr>
          <w:p w14:paraId="315A3D4F" w14:textId="77777777" w:rsidR="00DA611C" w:rsidRDefault="00DA611C">
            <w:pPr>
              <w:jc w:val="right"/>
              <w:rPr>
                <w:rFonts w:ascii="Verdana" w:hAnsi="Verdana" w:cs="Arial"/>
                <w:color w:val="000000"/>
                <w:sz w:val="16"/>
                <w:szCs w:val="16"/>
              </w:rPr>
            </w:pPr>
            <w:r>
              <w:rPr>
                <w:rFonts w:ascii="Verdana" w:hAnsi="Verdana" w:cs="Arial"/>
                <w:color w:val="000000"/>
                <w:sz w:val="16"/>
                <w:szCs w:val="16"/>
              </w:rPr>
              <w:t>3,033</w:t>
            </w:r>
          </w:p>
        </w:tc>
        <w:tc>
          <w:tcPr>
            <w:tcW w:w="1163" w:type="dxa"/>
            <w:tcBorders>
              <w:top w:val="nil"/>
              <w:left w:val="nil"/>
              <w:bottom w:val="nil"/>
              <w:right w:val="single" w:sz="4" w:space="0" w:color="auto"/>
            </w:tcBorders>
            <w:shd w:val="clear" w:color="auto" w:fill="auto"/>
            <w:noWrap/>
            <w:hideMark/>
          </w:tcPr>
          <w:p w14:paraId="6DEEC54E" w14:textId="77777777" w:rsidR="00DA611C" w:rsidRDefault="00DA611C">
            <w:pPr>
              <w:jc w:val="right"/>
              <w:rPr>
                <w:rFonts w:ascii="Verdana" w:hAnsi="Verdana" w:cs="Arial"/>
                <w:b/>
                <w:bCs/>
                <w:sz w:val="16"/>
                <w:szCs w:val="16"/>
              </w:rPr>
            </w:pPr>
            <w:r>
              <w:rPr>
                <w:rFonts w:ascii="Verdana" w:hAnsi="Verdana" w:cs="Arial"/>
                <w:b/>
                <w:bCs/>
                <w:sz w:val="16"/>
                <w:szCs w:val="16"/>
              </w:rPr>
              <w:t>(44,959)</w:t>
            </w:r>
          </w:p>
        </w:tc>
      </w:tr>
      <w:tr w:rsidR="00DA611C" w14:paraId="0633E9B6" w14:textId="77777777" w:rsidTr="00DA611C">
        <w:trPr>
          <w:trHeight w:val="253"/>
        </w:trPr>
        <w:tc>
          <w:tcPr>
            <w:tcW w:w="3655" w:type="dxa"/>
            <w:tcBorders>
              <w:top w:val="nil"/>
              <w:left w:val="single" w:sz="4" w:space="0" w:color="auto"/>
              <w:bottom w:val="single" w:sz="4" w:space="0" w:color="auto"/>
              <w:right w:val="single" w:sz="4" w:space="0" w:color="auto"/>
            </w:tcBorders>
            <w:shd w:val="clear" w:color="auto" w:fill="auto"/>
            <w:hideMark/>
          </w:tcPr>
          <w:p w14:paraId="2EAA8DBF" w14:textId="77777777" w:rsidR="00DA611C" w:rsidRDefault="00DA611C">
            <w:pPr>
              <w:rPr>
                <w:rFonts w:ascii="Verdana" w:hAnsi="Verdana" w:cs="Arial"/>
                <w:sz w:val="16"/>
                <w:szCs w:val="16"/>
              </w:rPr>
            </w:pPr>
            <w:r>
              <w:rPr>
                <w:rFonts w:ascii="Verdana" w:hAnsi="Verdana" w:cs="Arial"/>
                <w:sz w:val="16"/>
                <w:szCs w:val="16"/>
              </w:rPr>
              <w:t>PFI Reserve</w:t>
            </w:r>
          </w:p>
        </w:tc>
        <w:tc>
          <w:tcPr>
            <w:tcW w:w="1163" w:type="dxa"/>
            <w:tcBorders>
              <w:top w:val="nil"/>
              <w:left w:val="nil"/>
              <w:bottom w:val="single" w:sz="4" w:space="0" w:color="auto"/>
              <w:right w:val="single" w:sz="4" w:space="0" w:color="auto"/>
            </w:tcBorders>
            <w:shd w:val="clear" w:color="auto" w:fill="auto"/>
            <w:noWrap/>
            <w:hideMark/>
          </w:tcPr>
          <w:p w14:paraId="600CB49F"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(11,227)</w:t>
            </w:r>
          </w:p>
        </w:tc>
        <w:tc>
          <w:tcPr>
            <w:tcW w:w="1163" w:type="dxa"/>
            <w:tcBorders>
              <w:top w:val="nil"/>
              <w:left w:val="nil"/>
              <w:bottom w:val="single" w:sz="4" w:space="0" w:color="auto"/>
              <w:right w:val="single" w:sz="4" w:space="0" w:color="auto"/>
            </w:tcBorders>
            <w:shd w:val="clear" w:color="auto" w:fill="auto"/>
            <w:noWrap/>
            <w:hideMark/>
          </w:tcPr>
          <w:p w14:paraId="627A289A" w14:textId="77777777" w:rsidR="00DA611C" w:rsidRDefault="00DA611C">
            <w:pPr>
              <w:jc w:val="right"/>
              <w:rPr>
                <w:rFonts w:ascii="Verdana" w:hAnsi="Verdana" w:cs="Arial"/>
                <w:color w:val="000000"/>
                <w:sz w:val="16"/>
                <w:szCs w:val="16"/>
              </w:rPr>
            </w:pPr>
            <w:r>
              <w:rPr>
                <w:rFonts w:ascii="Verdana" w:hAnsi="Verdana" w:cs="Arial"/>
                <w:color w:val="000000"/>
                <w:sz w:val="16"/>
                <w:szCs w:val="16"/>
              </w:rPr>
              <w:t xml:space="preserve">621 </w:t>
            </w:r>
          </w:p>
        </w:tc>
        <w:tc>
          <w:tcPr>
            <w:tcW w:w="1163" w:type="dxa"/>
            <w:tcBorders>
              <w:top w:val="nil"/>
              <w:left w:val="nil"/>
              <w:bottom w:val="single" w:sz="4" w:space="0" w:color="auto"/>
              <w:right w:val="single" w:sz="4" w:space="0" w:color="auto"/>
            </w:tcBorders>
            <w:shd w:val="clear" w:color="auto" w:fill="auto"/>
            <w:noWrap/>
            <w:hideMark/>
          </w:tcPr>
          <w:p w14:paraId="03748AEB"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(10,606)</w:t>
            </w:r>
          </w:p>
        </w:tc>
        <w:tc>
          <w:tcPr>
            <w:tcW w:w="1163" w:type="dxa"/>
            <w:tcBorders>
              <w:top w:val="nil"/>
              <w:left w:val="nil"/>
              <w:bottom w:val="single" w:sz="4" w:space="0" w:color="auto"/>
              <w:right w:val="single" w:sz="4" w:space="0" w:color="auto"/>
            </w:tcBorders>
            <w:shd w:val="clear" w:color="auto" w:fill="auto"/>
            <w:noWrap/>
            <w:hideMark/>
          </w:tcPr>
          <w:p w14:paraId="29020D39" w14:textId="77777777" w:rsidR="00DA611C" w:rsidRDefault="00DA611C">
            <w:pPr>
              <w:jc w:val="right"/>
              <w:rPr>
                <w:rFonts w:ascii="Verdana" w:hAnsi="Verdana" w:cs="Arial"/>
                <w:color w:val="000000"/>
                <w:sz w:val="16"/>
                <w:szCs w:val="16"/>
              </w:rPr>
            </w:pPr>
            <w:r>
              <w:rPr>
                <w:rFonts w:ascii="Verdana" w:hAnsi="Verdana" w:cs="Arial"/>
                <w:color w:val="000000"/>
                <w:sz w:val="16"/>
                <w:szCs w:val="16"/>
              </w:rPr>
              <w:t>726</w:t>
            </w:r>
          </w:p>
        </w:tc>
        <w:tc>
          <w:tcPr>
            <w:tcW w:w="1163" w:type="dxa"/>
            <w:tcBorders>
              <w:top w:val="nil"/>
              <w:left w:val="nil"/>
              <w:bottom w:val="single" w:sz="4" w:space="0" w:color="auto"/>
              <w:right w:val="single" w:sz="4" w:space="0" w:color="auto"/>
            </w:tcBorders>
            <w:shd w:val="clear" w:color="auto" w:fill="auto"/>
            <w:noWrap/>
            <w:hideMark/>
          </w:tcPr>
          <w:p w14:paraId="4EC211DB" w14:textId="77777777" w:rsidR="00DA611C" w:rsidRDefault="00DA611C">
            <w:pPr>
              <w:jc w:val="right"/>
              <w:rPr>
                <w:rFonts w:ascii="Verdana" w:hAnsi="Verdana" w:cs="Arial"/>
                <w:b/>
                <w:bCs/>
                <w:sz w:val="16"/>
                <w:szCs w:val="16"/>
              </w:rPr>
            </w:pPr>
            <w:r>
              <w:rPr>
                <w:rFonts w:ascii="Verdana" w:hAnsi="Verdana" w:cs="Arial"/>
                <w:b/>
                <w:bCs/>
                <w:sz w:val="16"/>
                <w:szCs w:val="16"/>
              </w:rPr>
              <w:t>(9,880)</w:t>
            </w:r>
          </w:p>
        </w:tc>
      </w:tr>
      <w:tr w:rsidR="00DA611C" w14:paraId="2369C14A"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109994DB" w14:textId="77777777" w:rsidR="00DA611C" w:rsidRDefault="00DA611C">
            <w:pPr>
              <w:rPr>
                <w:rFonts w:ascii="Verdana" w:hAnsi="Verdana" w:cs="Arial"/>
                <w:b/>
                <w:bCs/>
                <w:sz w:val="16"/>
                <w:szCs w:val="16"/>
              </w:rPr>
            </w:pPr>
            <w:r>
              <w:rPr>
                <w:rFonts w:ascii="Verdana" w:hAnsi="Verdana" w:cs="Arial"/>
                <w:b/>
                <w:bCs/>
                <w:sz w:val="16"/>
                <w:szCs w:val="16"/>
              </w:rPr>
              <w:t>Total Earmarked Reserves</w:t>
            </w:r>
          </w:p>
        </w:tc>
        <w:tc>
          <w:tcPr>
            <w:tcW w:w="1163" w:type="dxa"/>
            <w:tcBorders>
              <w:top w:val="nil"/>
              <w:left w:val="nil"/>
              <w:bottom w:val="nil"/>
              <w:right w:val="single" w:sz="4" w:space="0" w:color="auto"/>
            </w:tcBorders>
            <w:shd w:val="clear" w:color="auto" w:fill="auto"/>
            <w:noWrap/>
            <w:hideMark/>
          </w:tcPr>
          <w:p w14:paraId="6EF04FB3"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(69,971)</w:t>
            </w:r>
          </w:p>
        </w:tc>
        <w:tc>
          <w:tcPr>
            <w:tcW w:w="1163" w:type="dxa"/>
            <w:tcBorders>
              <w:top w:val="nil"/>
              <w:left w:val="nil"/>
              <w:bottom w:val="nil"/>
              <w:right w:val="single" w:sz="4" w:space="0" w:color="auto"/>
            </w:tcBorders>
            <w:shd w:val="clear" w:color="auto" w:fill="auto"/>
            <w:noWrap/>
            <w:hideMark/>
          </w:tcPr>
          <w:p w14:paraId="142E846F"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(15,182)</w:t>
            </w:r>
          </w:p>
        </w:tc>
        <w:tc>
          <w:tcPr>
            <w:tcW w:w="1163" w:type="dxa"/>
            <w:tcBorders>
              <w:top w:val="nil"/>
              <w:left w:val="nil"/>
              <w:bottom w:val="nil"/>
              <w:right w:val="single" w:sz="4" w:space="0" w:color="auto"/>
            </w:tcBorders>
            <w:shd w:val="clear" w:color="auto" w:fill="auto"/>
            <w:noWrap/>
            <w:hideMark/>
          </w:tcPr>
          <w:p w14:paraId="579B5A48"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(85,152)</w:t>
            </w:r>
          </w:p>
        </w:tc>
        <w:tc>
          <w:tcPr>
            <w:tcW w:w="1163" w:type="dxa"/>
            <w:tcBorders>
              <w:top w:val="nil"/>
              <w:left w:val="nil"/>
              <w:bottom w:val="nil"/>
              <w:right w:val="single" w:sz="4" w:space="0" w:color="auto"/>
            </w:tcBorders>
            <w:shd w:val="clear" w:color="auto" w:fill="auto"/>
            <w:noWrap/>
            <w:hideMark/>
          </w:tcPr>
          <w:p w14:paraId="7DE372B0"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(5,315)</w:t>
            </w:r>
          </w:p>
        </w:tc>
        <w:tc>
          <w:tcPr>
            <w:tcW w:w="1163" w:type="dxa"/>
            <w:tcBorders>
              <w:top w:val="nil"/>
              <w:left w:val="nil"/>
              <w:bottom w:val="nil"/>
              <w:right w:val="single" w:sz="4" w:space="0" w:color="auto"/>
            </w:tcBorders>
            <w:shd w:val="clear" w:color="auto" w:fill="auto"/>
            <w:noWrap/>
            <w:hideMark/>
          </w:tcPr>
          <w:p w14:paraId="19B3D7C8"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(90,468)</w:t>
            </w:r>
          </w:p>
        </w:tc>
      </w:tr>
      <w:tr w:rsidR="00DA611C" w14:paraId="0A4A5132"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2B28FF1D" w14:textId="77777777" w:rsidR="00DA611C" w:rsidRDefault="00DA611C">
            <w:pPr>
              <w:rPr>
                <w:rFonts w:ascii="Verdana" w:hAnsi="Verdana" w:cs="Arial"/>
                <w:sz w:val="16"/>
                <w:szCs w:val="16"/>
              </w:rPr>
            </w:pPr>
            <w:r>
              <w:rPr>
                <w:rFonts w:ascii="Verdana" w:hAnsi="Verdana" w:cs="Arial"/>
                <w:sz w:val="16"/>
                <w:szCs w:val="16"/>
              </w:rPr>
              <w:t> </w:t>
            </w:r>
          </w:p>
        </w:tc>
        <w:tc>
          <w:tcPr>
            <w:tcW w:w="1163" w:type="dxa"/>
            <w:tcBorders>
              <w:top w:val="nil"/>
              <w:left w:val="nil"/>
              <w:bottom w:val="nil"/>
              <w:right w:val="single" w:sz="4" w:space="0" w:color="auto"/>
            </w:tcBorders>
            <w:shd w:val="clear" w:color="auto" w:fill="auto"/>
            <w:noWrap/>
            <w:hideMark/>
          </w:tcPr>
          <w:p w14:paraId="5ECFBD19" w14:textId="77777777" w:rsidR="00DA611C" w:rsidRDefault="00DA611C">
            <w:pPr>
              <w:rPr>
                <w:rFonts w:ascii="Verdana" w:hAnsi="Verdana" w:cs="Arial"/>
                <w:b/>
                <w:bCs/>
                <w:color w:val="000000"/>
                <w:sz w:val="16"/>
                <w:szCs w:val="16"/>
              </w:rPr>
            </w:pPr>
            <w:r>
              <w:rPr>
                <w:rFonts w:ascii="Verdana" w:hAnsi="Verdana" w:cs="Arial"/>
                <w:b/>
                <w:bCs/>
                <w:color w:val="000000"/>
                <w:sz w:val="16"/>
                <w:szCs w:val="16"/>
              </w:rPr>
              <w:t> </w:t>
            </w:r>
          </w:p>
        </w:tc>
        <w:tc>
          <w:tcPr>
            <w:tcW w:w="1163" w:type="dxa"/>
            <w:tcBorders>
              <w:top w:val="nil"/>
              <w:left w:val="nil"/>
              <w:bottom w:val="nil"/>
              <w:right w:val="single" w:sz="4" w:space="0" w:color="auto"/>
            </w:tcBorders>
            <w:shd w:val="clear" w:color="auto" w:fill="auto"/>
            <w:noWrap/>
            <w:hideMark/>
          </w:tcPr>
          <w:p w14:paraId="62963F72" w14:textId="77777777" w:rsidR="00DA611C" w:rsidRDefault="00DA611C">
            <w:pPr>
              <w:rPr>
                <w:rFonts w:ascii="Verdana" w:hAnsi="Verdana" w:cs="Arial"/>
                <w:color w:val="000000"/>
                <w:sz w:val="16"/>
                <w:szCs w:val="16"/>
              </w:rPr>
            </w:pPr>
            <w:r>
              <w:rPr>
                <w:rFonts w:ascii="Verdana" w:hAnsi="Verdana" w:cs="Arial"/>
                <w:color w:val="000000"/>
                <w:sz w:val="16"/>
                <w:szCs w:val="16"/>
              </w:rPr>
              <w:t> </w:t>
            </w:r>
          </w:p>
        </w:tc>
        <w:tc>
          <w:tcPr>
            <w:tcW w:w="1163" w:type="dxa"/>
            <w:tcBorders>
              <w:top w:val="nil"/>
              <w:left w:val="nil"/>
              <w:bottom w:val="nil"/>
              <w:right w:val="single" w:sz="4" w:space="0" w:color="auto"/>
            </w:tcBorders>
            <w:shd w:val="clear" w:color="auto" w:fill="auto"/>
            <w:noWrap/>
            <w:hideMark/>
          </w:tcPr>
          <w:p w14:paraId="390CF0AD" w14:textId="77777777" w:rsidR="00DA611C" w:rsidRDefault="00DA611C">
            <w:pPr>
              <w:rPr>
                <w:rFonts w:ascii="Verdana" w:hAnsi="Verdana" w:cs="Arial"/>
                <w:b/>
                <w:bCs/>
                <w:color w:val="000000"/>
                <w:sz w:val="16"/>
                <w:szCs w:val="16"/>
              </w:rPr>
            </w:pPr>
            <w:r>
              <w:rPr>
                <w:rFonts w:ascii="Verdana" w:hAnsi="Verdana" w:cs="Arial"/>
                <w:b/>
                <w:bCs/>
                <w:color w:val="000000"/>
                <w:sz w:val="16"/>
                <w:szCs w:val="16"/>
              </w:rPr>
              <w:t> </w:t>
            </w:r>
          </w:p>
        </w:tc>
        <w:tc>
          <w:tcPr>
            <w:tcW w:w="1163" w:type="dxa"/>
            <w:tcBorders>
              <w:top w:val="nil"/>
              <w:left w:val="nil"/>
              <w:bottom w:val="nil"/>
              <w:right w:val="single" w:sz="4" w:space="0" w:color="auto"/>
            </w:tcBorders>
            <w:shd w:val="clear" w:color="auto" w:fill="auto"/>
            <w:noWrap/>
            <w:hideMark/>
          </w:tcPr>
          <w:p w14:paraId="4079E4C7" w14:textId="77777777" w:rsidR="00DA611C" w:rsidRDefault="00DA611C">
            <w:pPr>
              <w:rPr>
                <w:rFonts w:ascii="Verdana" w:hAnsi="Verdana" w:cs="Arial"/>
                <w:color w:val="000000"/>
                <w:sz w:val="16"/>
                <w:szCs w:val="16"/>
              </w:rPr>
            </w:pPr>
            <w:r>
              <w:rPr>
                <w:rFonts w:ascii="Verdana" w:hAnsi="Verdana" w:cs="Arial"/>
                <w:color w:val="000000"/>
                <w:sz w:val="16"/>
                <w:szCs w:val="16"/>
              </w:rPr>
              <w:t> </w:t>
            </w:r>
          </w:p>
        </w:tc>
        <w:tc>
          <w:tcPr>
            <w:tcW w:w="1163" w:type="dxa"/>
            <w:tcBorders>
              <w:top w:val="nil"/>
              <w:left w:val="nil"/>
              <w:bottom w:val="nil"/>
              <w:right w:val="single" w:sz="4" w:space="0" w:color="auto"/>
            </w:tcBorders>
            <w:shd w:val="clear" w:color="auto" w:fill="auto"/>
            <w:noWrap/>
            <w:hideMark/>
          </w:tcPr>
          <w:p w14:paraId="1F4A8E85" w14:textId="77777777" w:rsidR="00DA611C" w:rsidRDefault="00DA611C">
            <w:pPr>
              <w:rPr>
                <w:rFonts w:ascii="Verdana" w:hAnsi="Verdana" w:cs="Arial"/>
                <w:b/>
                <w:bCs/>
                <w:sz w:val="16"/>
                <w:szCs w:val="16"/>
              </w:rPr>
            </w:pPr>
            <w:r>
              <w:rPr>
                <w:rFonts w:ascii="Verdana" w:hAnsi="Verdana" w:cs="Arial"/>
                <w:b/>
                <w:bCs/>
                <w:sz w:val="16"/>
                <w:szCs w:val="16"/>
              </w:rPr>
              <w:t> </w:t>
            </w:r>
          </w:p>
        </w:tc>
      </w:tr>
      <w:tr w:rsidR="00DA611C" w14:paraId="678062FD"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6019AC93" w14:textId="77777777" w:rsidR="00DA611C" w:rsidRDefault="00DA611C">
            <w:pPr>
              <w:rPr>
                <w:rFonts w:ascii="Verdana" w:hAnsi="Verdana" w:cs="Arial"/>
                <w:sz w:val="16"/>
                <w:szCs w:val="16"/>
              </w:rPr>
            </w:pPr>
            <w:r>
              <w:rPr>
                <w:rFonts w:ascii="Verdana" w:hAnsi="Verdana" w:cs="Arial"/>
                <w:sz w:val="16"/>
                <w:szCs w:val="16"/>
              </w:rPr>
              <w:t>Mayoral Police Fund Balances</w:t>
            </w:r>
          </w:p>
        </w:tc>
        <w:tc>
          <w:tcPr>
            <w:tcW w:w="1163" w:type="dxa"/>
            <w:tcBorders>
              <w:top w:val="nil"/>
              <w:left w:val="nil"/>
              <w:bottom w:val="nil"/>
              <w:right w:val="single" w:sz="4" w:space="0" w:color="auto"/>
            </w:tcBorders>
            <w:shd w:val="clear" w:color="auto" w:fill="auto"/>
            <w:noWrap/>
            <w:hideMark/>
          </w:tcPr>
          <w:p w14:paraId="53FE7332" w14:textId="77777777" w:rsidR="00DA611C" w:rsidRDefault="00DA611C">
            <w:pPr>
              <w:jc w:val="right"/>
              <w:rPr>
                <w:rFonts w:ascii="Verdana" w:hAnsi="Verdana" w:cs="Arial"/>
                <w:b/>
                <w:bCs/>
                <w:sz w:val="16"/>
                <w:szCs w:val="16"/>
              </w:rPr>
            </w:pPr>
            <w:r>
              <w:rPr>
                <w:rFonts w:ascii="Verdana" w:hAnsi="Verdana" w:cs="Arial"/>
                <w:b/>
                <w:bCs/>
                <w:sz w:val="16"/>
                <w:szCs w:val="16"/>
              </w:rPr>
              <w:t>(15,375)</w:t>
            </w:r>
          </w:p>
        </w:tc>
        <w:tc>
          <w:tcPr>
            <w:tcW w:w="1163" w:type="dxa"/>
            <w:tcBorders>
              <w:top w:val="nil"/>
              <w:left w:val="nil"/>
              <w:bottom w:val="nil"/>
              <w:right w:val="single" w:sz="4" w:space="0" w:color="auto"/>
            </w:tcBorders>
            <w:shd w:val="clear" w:color="auto" w:fill="auto"/>
            <w:noWrap/>
            <w:hideMark/>
          </w:tcPr>
          <w:p w14:paraId="63961F4D" w14:textId="77777777" w:rsidR="00DA611C" w:rsidRDefault="00DA611C">
            <w:pPr>
              <w:jc w:val="right"/>
              <w:rPr>
                <w:rFonts w:ascii="Verdana" w:hAnsi="Verdana" w:cs="Arial"/>
                <w:sz w:val="16"/>
                <w:szCs w:val="16"/>
              </w:rPr>
            </w:pPr>
            <w:r>
              <w:rPr>
                <w:rFonts w:ascii="Verdana" w:hAnsi="Verdana" w:cs="Arial"/>
                <w:sz w:val="16"/>
                <w:szCs w:val="16"/>
              </w:rPr>
              <w:t>(23)</w:t>
            </w:r>
          </w:p>
        </w:tc>
        <w:tc>
          <w:tcPr>
            <w:tcW w:w="1163" w:type="dxa"/>
            <w:tcBorders>
              <w:top w:val="nil"/>
              <w:left w:val="nil"/>
              <w:bottom w:val="nil"/>
              <w:right w:val="single" w:sz="4" w:space="0" w:color="auto"/>
            </w:tcBorders>
            <w:shd w:val="clear" w:color="auto" w:fill="auto"/>
            <w:noWrap/>
            <w:hideMark/>
          </w:tcPr>
          <w:p w14:paraId="113BBA85"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(15,398)</w:t>
            </w:r>
          </w:p>
        </w:tc>
        <w:tc>
          <w:tcPr>
            <w:tcW w:w="1163" w:type="dxa"/>
            <w:tcBorders>
              <w:top w:val="nil"/>
              <w:left w:val="nil"/>
              <w:bottom w:val="nil"/>
              <w:right w:val="single" w:sz="4" w:space="0" w:color="auto"/>
            </w:tcBorders>
            <w:shd w:val="clear" w:color="auto" w:fill="auto"/>
            <w:noWrap/>
            <w:hideMark/>
          </w:tcPr>
          <w:p w14:paraId="3B6F4939" w14:textId="77777777" w:rsidR="00DA611C" w:rsidRDefault="00DA611C">
            <w:pPr>
              <w:jc w:val="right"/>
              <w:rPr>
                <w:rFonts w:ascii="Verdana" w:hAnsi="Verdana" w:cs="Arial"/>
                <w:color w:val="000000"/>
                <w:sz w:val="16"/>
                <w:szCs w:val="16"/>
              </w:rPr>
            </w:pPr>
            <w:r>
              <w:rPr>
                <w:rFonts w:ascii="Verdana" w:hAnsi="Verdana" w:cs="Arial"/>
                <w:color w:val="000000"/>
                <w:sz w:val="16"/>
                <w:szCs w:val="16"/>
              </w:rPr>
              <w:t>2</w:t>
            </w:r>
          </w:p>
        </w:tc>
        <w:tc>
          <w:tcPr>
            <w:tcW w:w="1163" w:type="dxa"/>
            <w:tcBorders>
              <w:top w:val="nil"/>
              <w:left w:val="nil"/>
              <w:bottom w:val="nil"/>
              <w:right w:val="single" w:sz="4" w:space="0" w:color="auto"/>
            </w:tcBorders>
            <w:shd w:val="clear" w:color="auto" w:fill="auto"/>
            <w:noWrap/>
            <w:hideMark/>
          </w:tcPr>
          <w:p w14:paraId="3758DF6E" w14:textId="77777777" w:rsidR="00DA611C" w:rsidRDefault="00DA611C">
            <w:pPr>
              <w:jc w:val="right"/>
              <w:rPr>
                <w:rFonts w:ascii="Verdana" w:hAnsi="Verdana" w:cs="Arial"/>
                <w:b/>
                <w:bCs/>
                <w:sz w:val="16"/>
                <w:szCs w:val="16"/>
              </w:rPr>
            </w:pPr>
            <w:r>
              <w:rPr>
                <w:rFonts w:ascii="Verdana" w:hAnsi="Verdana" w:cs="Arial"/>
                <w:b/>
                <w:bCs/>
                <w:sz w:val="16"/>
                <w:szCs w:val="16"/>
              </w:rPr>
              <w:t>(15,395)</w:t>
            </w:r>
          </w:p>
        </w:tc>
      </w:tr>
      <w:tr w:rsidR="00DA611C" w14:paraId="0EB2A23B" w14:textId="77777777" w:rsidTr="00DA611C">
        <w:trPr>
          <w:trHeight w:val="276"/>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2708E" w14:textId="77777777" w:rsidR="00DA611C" w:rsidRDefault="00DA611C">
            <w:pPr>
              <w:rPr>
                <w:rFonts w:ascii="Verdana" w:hAnsi="Verdana" w:cs="Arial"/>
                <w:b/>
                <w:bCs/>
                <w:sz w:val="16"/>
                <w:szCs w:val="16"/>
              </w:rPr>
            </w:pPr>
            <w:r>
              <w:rPr>
                <w:rFonts w:ascii="Verdana" w:hAnsi="Verdana" w:cs="Arial"/>
                <w:b/>
                <w:bCs/>
                <w:sz w:val="16"/>
                <w:szCs w:val="16"/>
              </w:rPr>
              <w:t>Total Mayoral Police Fund</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3284DFF6" w14:textId="77777777" w:rsidR="00DA611C" w:rsidRDefault="00DA611C">
            <w:pPr>
              <w:jc w:val="right"/>
              <w:rPr>
                <w:rFonts w:ascii="Verdana" w:hAnsi="Verdana" w:cs="Arial"/>
                <w:b/>
                <w:bCs/>
                <w:sz w:val="16"/>
                <w:szCs w:val="16"/>
              </w:rPr>
            </w:pPr>
            <w:r>
              <w:rPr>
                <w:rFonts w:ascii="Verdana" w:hAnsi="Verdana" w:cs="Arial"/>
                <w:b/>
                <w:bCs/>
                <w:sz w:val="16"/>
                <w:szCs w:val="16"/>
              </w:rPr>
              <w:t>(85,346)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2E90BB2F" w14:textId="77777777" w:rsidR="00DA611C" w:rsidRDefault="00DA611C">
            <w:pPr>
              <w:jc w:val="right"/>
              <w:rPr>
                <w:rFonts w:ascii="Verdana" w:hAnsi="Verdana" w:cs="Arial"/>
                <w:b/>
                <w:bCs/>
                <w:sz w:val="16"/>
                <w:szCs w:val="16"/>
              </w:rPr>
            </w:pPr>
            <w:r>
              <w:rPr>
                <w:rFonts w:ascii="Verdana" w:hAnsi="Verdana" w:cs="Arial"/>
                <w:b/>
                <w:bCs/>
                <w:sz w:val="16"/>
                <w:szCs w:val="16"/>
              </w:rPr>
              <w:t>(15,204)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0169B340" w14:textId="77777777" w:rsidR="00DA611C" w:rsidRDefault="00DA611C">
            <w:pPr>
              <w:jc w:val="right"/>
              <w:rPr>
                <w:rFonts w:ascii="Verdana" w:hAnsi="Verdana" w:cs="Arial"/>
                <w:b/>
                <w:bCs/>
                <w:sz w:val="16"/>
                <w:szCs w:val="16"/>
              </w:rPr>
            </w:pPr>
            <w:r>
              <w:rPr>
                <w:rFonts w:ascii="Verdana" w:hAnsi="Verdana" w:cs="Arial"/>
                <w:b/>
                <w:bCs/>
                <w:sz w:val="16"/>
                <w:szCs w:val="16"/>
              </w:rPr>
              <w:t>(100,550)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4F0E4211" w14:textId="77777777" w:rsidR="00DA611C" w:rsidRDefault="00DA611C">
            <w:pPr>
              <w:jc w:val="right"/>
              <w:rPr>
                <w:rFonts w:ascii="Verdana" w:hAnsi="Verdana" w:cs="Arial"/>
                <w:b/>
                <w:bCs/>
                <w:sz w:val="16"/>
                <w:szCs w:val="16"/>
              </w:rPr>
            </w:pPr>
            <w:r>
              <w:rPr>
                <w:rFonts w:ascii="Verdana" w:hAnsi="Verdana" w:cs="Arial"/>
                <w:b/>
                <w:bCs/>
                <w:sz w:val="16"/>
                <w:szCs w:val="16"/>
              </w:rPr>
              <w:t>(5,313)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71095945" w14:textId="77777777" w:rsidR="00DA611C" w:rsidRDefault="00DA611C">
            <w:pPr>
              <w:jc w:val="right"/>
              <w:rPr>
                <w:rFonts w:ascii="Verdana" w:hAnsi="Verdana" w:cs="Arial"/>
                <w:b/>
                <w:bCs/>
                <w:sz w:val="16"/>
                <w:szCs w:val="16"/>
              </w:rPr>
            </w:pPr>
            <w:r>
              <w:rPr>
                <w:rFonts w:ascii="Verdana" w:hAnsi="Verdana" w:cs="Arial"/>
                <w:b/>
                <w:bCs/>
                <w:sz w:val="16"/>
                <w:szCs w:val="16"/>
              </w:rPr>
              <w:t>(105,863)</w:t>
            </w:r>
          </w:p>
        </w:tc>
      </w:tr>
      <w:tr w:rsidR="00DA611C" w14:paraId="156E26CE" w14:textId="77777777" w:rsidTr="00DA611C">
        <w:trPr>
          <w:trHeight w:val="230"/>
        </w:trPr>
        <w:tc>
          <w:tcPr>
            <w:tcW w:w="3655" w:type="dxa"/>
            <w:tcBorders>
              <w:top w:val="nil"/>
              <w:left w:val="nil"/>
              <w:bottom w:val="single" w:sz="4" w:space="0" w:color="auto"/>
              <w:right w:val="nil"/>
            </w:tcBorders>
            <w:shd w:val="clear" w:color="auto" w:fill="auto"/>
            <w:hideMark/>
          </w:tcPr>
          <w:p w14:paraId="76067624" w14:textId="77777777" w:rsidR="00DA611C" w:rsidRDefault="00DA611C">
            <w:pPr>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single" w:sz="4" w:space="0" w:color="auto"/>
              <w:right w:val="nil"/>
            </w:tcBorders>
            <w:shd w:val="clear" w:color="auto" w:fill="auto"/>
            <w:noWrap/>
            <w:hideMark/>
          </w:tcPr>
          <w:p w14:paraId="70EF3292" w14:textId="77777777" w:rsidR="00DA611C" w:rsidRDefault="00DA611C">
            <w:pPr>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single" w:sz="4" w:space="0" w:color="auto"/>
              <w:right w:val="nil"/>
            </w:tcBorders>
            <w:shd w:val="clear" w:color="auto" w:fill="auto"/>
            <w:noWrap/>
            <w:hideMark/>
          </w:tcPr>
          <w:p w14:paraId="2373EFAB" w14:textId="77777777" w:rsidR="00DA611C" w:rsidRDefault="00DA611C">
            <w:pPr>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single" w:sz="4" w:space="0" w:color="auto"/>
              <w:right w:val="nil"/>
            </w:tcBorders>
            <w:shd w:val="clear" w:color="auto" w:fill="auto"/>
            <w:noWrap/>
            <w:hideMark/>
          </w:tcPr>
          <w:p w14:paraId="31BE4ADD" w14:textId="77777777" w:rsidR="00DA611C" w:rsidRDefault="00DA611C">
            <w:pPr>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single" w:sz="4" w:space="0" w:color="auto"/>
              <w:right w:val="nil"/>
            </w:tcBorders>
            <w:shd w:val="clear" w:color="auto" w:fill="auto"/>
            <w:noWrap/>
            <w:hideMark/>
          </w:tcPr>
          <w:p w14:paraId="6C4ACEA8" w14:textId="77777777" w:rsidR="00DA611C" w:rsidRDefault="00DA611C">
            <w:pPr>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single" w:sz="4" w:space="0" w:color="auto"/>
              <w:right w:val="nil"/>
            </w:tcBorders>
            <w:shd w:val="clear" w:color="auto" w:fill="auto"/>
            <w:noWrap/>
            <w:hideMark/>
          </w:tcPr>
          <w:p w14:paraId="0CE70316" w14:textId="77777777" w:rsidR="00DA611C" w:rsidRDefault="00DA611C">
            <w:pPr>
              <w:rPr>
                <w:rFonts w:ascii="Verdana" w:hAnsi="Verdana" w:cs="Arial"/>
                <w:b/>
                <w:bCs/>
                <w:sz w:val="16"/>
                <w:szCs w:val="16"/>
              </w:rPr>
            </w:pPr>
            <w:r>
              <w:rPr>
                <w:rFonts w:ascii="Verdana" w:hAnsi="Verdana" w:cs="Arial"/>
                <w:b/>
                <w:bCs/>
                <w:sz w:val="16"/>
                <w:szCs w:val="16"/>
              </w:rPr>
              <w:t> </w:t>
            </w:r>
          </w:p>
        </w:tc>
      </w:tr>
      <w:tr w:rsidR="00DA611C" w14:paraId="7AD8EEF7" w14:textId="77777777" w:rsidTr="00DA611C">
        <w:trPr>
          <w:trHeight w:val="692"/>
        </w:trPr>
        <w:tc>
          <w:tcPr>
            <w:tcW w:w="3655" w:type="dxa"/>
            <w:tcBorders>
              <w:top w:val="nil"/>
              <w:left w:val="single" w:sz="4" w:space="0" w:color="auto"/>
              <w:bottom w:val="nil"/>
              <w:right w:val="single" w:sz="4" w:space="0" w:color="auto"/>
            </w:tcBorders>
            <w:shd w:val="clear" w:color="auto" w:fill="auto"/>
            <w:noWrap/>
            <w:hideMark/>
          </w:tcPr>
          <w:p w14:paraId="3DD36F13" w14:textId="77777777" w:rsidR="00DA611C" w:rsidRDefault="00DA611C">
            <w:pPr>
              <w:rPr>
                <w:rFonts w:ascii="Verdana" w:hAnsi="Verdana" w:cs="Arial"/>
                <w:b/>
                <w:bCs/>
                <w:sz w:val="16"/>
                <w:szCs w:val="16"/>
              </w:rPr>
            </w:pPr>
            <w:r>
              <w:rPr>
                <w:rFonts w:ascii="Verdana" w:hAnsi="Verdana" w:cs="Arial"/>
                <w:b/>
                <w:bCs/>
                <w:sz w:val="16"/>
                <w:szCs w:val="16"/>
              </w:rPr>
              <w:t>Earmarked Reserves and Balances</w:t>
            </w:r>
          </w:p>
        </w:tc>
        <w:tc>
          <w:tcPr>
            <w:tcW w:w="1163" w:type="dxa"/>
            <w:tcBorders>
              <w:top w:val="nil"/>
              <w:left w:val="nil"/>
              <w:bottom w:val="nil"/>
              <w:right w:val="single" w:sz="4" w:space="0" w:color="auto"/>
            </w:tcBorders>
            <w:shd w:val="clear" w:color="auto" w:fill="auto"/>
            <w:hideMark/>
          </w:tcPr>
          <w:p w14:paraId="7358F541" w14:textId="77777777" w:rsidR="00DA611C" w:rsidRDefault="00DA611C">
            <w:pPr>
              <w:jc w:val="center"/>
              <w:rPr>
                <w:rFonts w:ascii="Verdana" w:hAnsi="Verdana" w:cs="Arial"/>
                <w:b/>
                <w:bCs/>
                <w:sz w:val="16"/>
                <w:szCs w:val="16"/>
              </w:rPr>
            </w:pPr>
            <w:r>
              <w:rPr>
                <w:rFonts w:ascii="Verdana" w:hAnsi="Verdana" w:cs="Arial"/>
                <w:b/>
                <w:bCs/>
                <w:sz w:val="16"/>
                <w:szCs w:val="16"/>
              </w:rPr>
              <w:t>31 March 2020</w:t>
            </w:r>
          </w:p>
        </w:tc>
        <w:tc>
          <w:tcPr>
            <w:tcW w:w="1163" w:type="dxa"/>
            <w:tcBorders>
              <w:top w:val="nil"/>
              <w:left w:val="nil"/>
              <w:bottom w:val="nil"/>
              <w:right w:val="single" w:sz="4" w:space="0" w:color="auto"/>
            </w:tcBorders>
            <w:shd w:val="clear" w:color="auto" w:fill="auto"/>
            <w:hideMark/>
          </w:tcPr>
          <w:p w14:paraId="36C5B826" w14:textId="77777777" w:rsidR="00DA611C" w:rsidRDefault="00DA611C">
            <w:pPr>
              <w:jc w:val="center"/>
              <w:rPr>
                <w:rFonts w:ascii="Verdana" w:hAnsi="Verdana" w:cs="Arial"/>
                <w:b/>
                <w:bCs/>
                <w:sz w:val="16"/>
                <w:szCs w:val="16"/>
              </w:rPr>
            </w:pPr>
            <w:r>
              <w:rPr>
                <w:rFonts w:ascii="Verdana" w:hAnsi="Verdana" w:cs="Arial"/>
                <w:b/>
                <w:bCs/>
                <w:sz w:val="16"/>
                <w:szCs w:val="16"/>
              </w:rPr>
              <w:t>Transfers (in)/out</w:t>
            </w:r>
          </w:p>
        </w:tc>
        <w:tc>
          <w:tcPr>
            <w:tcW w:w="1163" w:type="dxa"/>
            <w:tcBorders>
              <w:top w:val="nil"/>
              <w:left w:val="nil"/>
              <w:bottom w:val="nil"/>
              <w:right w:val="single" w:sz="4" w:space="0" w:color="auto"/>
            </w:tcBorders>
            <w:shd w:val="clear" w:color="auto" w:fill="auto"/>
            <w:hideMark/>
          </w:tcPr>
          <w:p w14:paraId="5A365542" w14:textId="77777777" w:rsidR="00DA611C" w:rsidRDefault="00DA611C">
            <w:pPr>
              <w:jc w:val="center"/>
              <w:rPr>
                <w:rFonts w:ascii="Verdana" w:hAnsi="Verdana" w:cs="Arial"/>
                <w:b/>
                <w:bCs/>
                <w:sz w:val="16"/>
                <w:szCs w:val="16"/>
              </w:rPr>
            </w:pPr>
            <w:r>
              <w:rPr>
                <w:rFonts w:ascii="Verdana" w:hAnsi="Verdana" w:cs="Arial"/>
                <w:b/>
                <w:bCs/>
                <w:sz w:val="16"/>
                <w:szCs w:val="16"/>
              </w:rPr>
              <w:t>31 March 2021</w:t>
            </w:r>
          </w:p>
        </w:tc>
        <w:tc>
          <w:tcPr>
            <w:tcW w:w="1163" w:type="dxa"/>
            <w:tcBorders>
              <w:top w:val="nil"/>
              <w:left w:val="nil"/>
              <w:bottom w:val="nil"/>
              <w:right w:val="single" w:sz="4" w:space="0" w:color="auto"/>
            </w:tcBorders>
            <w:shd w:val="clear" w:color="auto" w:fill="auto"/>
            <w:hideMark/>
          </w:tcPr>
          <w:p w14:paraId="71719B71" w14:textId="77777777" w:rsidR="00DA611C" w:rsidRDefault="00DA611C">
            <w:pPr>
              <w:jc w:val="center"/>
              <w:rPr>
                <w:rFonts w:ascii="Verdana" w:hAnsi="Verdana" w:cs="Arial"/>
                <w:b/>
                <w:bCs/>
                <w:sz w:val="16"/>
                <w:szCs w:val="16"/>
              </w:rPr>
            </w:pPr>
            <w:r>
              <w:rPr>
                <w:rFonts w:ascii="Verdana" w:hAnsi="Verdana" w:cs="Arial"/>
                <w:b/>
                <w:bCs/>
                <w:sz w:val="16"/>
                <w:szCs w:val="16"/>
              </w:rPr>
              <w:t>Transfers (in)/out</w:t>
            </w:r>
          </w:p>
        </w:tc>
        <w:tc>
          <w:tcPr>
            <w:tcW w:w="1163" w:type="dxa"/>
            <w:tcBorders>
              <w:top w:val="nil"/>
              <w:left w:val="nil"/>
              <w:bottom w:val="nil"/>
              <w:right w:val="single" w:sz="4" w:space="0" w:color="auto"/>
            </w:tcBorders>
            <w:shd w:val="clear" w:color="auto" w:fill="auto"/>
            <w:hideMark/>
          </w:tcPr>
          <w:p w14:paraId="2E652F6B" w14:textId="77777777" w:rsidR="00DA611C" w:rsidRDefault="00DA611C">
            <w:pPr>
              <w:jc w:val="center"/>
              <w:rPr>
                <w:rFonts w:ascii="Verdana" w:hAnsi="Verdana" w:cs="Arial"/>
                <w:b/>
                <w:bCs/>
                <w:sz w:val="16"/>
                <w:szCs w:val="16"/>
              </w:rPr>
            </w:pPr>
            <w:r>
              <w:rPr>
                <w:rFonts w:ascii="Verdana" w:hAnsi="Verdana" w:cs="Arial"/>
                <w:b/>
                <w:bCs/>
                <w:sz w:val="16"/>
                <w:szCs w:val="16"/>
              </w:rPr>
              <w:t>31 March 2022</w:t>
            </w:r>
          </w:p>
        </w:tc>
      </w:tr>
      <w:tr w:rsidR="00DA611C" w14:paraId="05AD8BA1" w14:textId="77777777" w:rsidTr="00DA611C">
        <w:trPr>
          <w:trHeight w:val="230"/>
        </w:trPr>
        <w:tc>
          <w:tcPr>
            <w:tcW w:w="3655" w:type="dxa"/>
            <w:tcBorders>
              <w:top w:val="nil"/>
              <w:left w:val="single" w:sz="4" w:space="0" w:color="auto"/>
              <w:bottom w:val="single" w:sz="4" w:space="0" w:color="auto"/>
              <w:right w:val="single" w:sz="4" w:space="0" w:color="auto"/>
            </w:tcBorders>
            <w:shd w:val="clear" w:color="auto" w:fill="auto"/>
            <w:noWrap/>
            <w:hideMark/>
          </w:tcPr>
          <w:p w14:paraId="6F54646D" w14:textId="77777777" w:rsidR="00DA611C" w:rsidRDefault="00DA611C">
            <w:pPr>
              <w:rPr>
                <w:rFonts w:ascii="Verdana" w:hAnsi="Verdana" w:cs="Arial"/>
                <w:sz w:val="16"/>
                <w:szCs w:val="16"/>
              </w:rPr>
            </w:pPr>
            <w:r>
              <w:rPr>
                <w:rFonts w:ascii="Verdana" w:hAnsi="Verdana" w:cs="Arial"/>
                <w:sz w:val="16"/>
                <w:szCs w:val="16"/>
              </w:rPr>
              <w:t> </w:t>
            </w:r>
          </w:p>
        </w:tc>
        <w:tc>
          <w:tcPr>
            <w:tcW w:w="1163" w:type="dxa"/>
            <w:tcBorders>
              <w:top w:val="nil"/>
              <w:left w:val="nil"/>
              <w:bottom w:val="single" w:sz="4" w:space="0" w:color="auto"/>
              <w:right w:val="single" w:sz="4" w:space="0" w:color="auto"/>
            </w:tcBorders>
            <w:shd w:val="clear" w:color="auto" w:fill="auto"/>
            <w:noWrap/>
            <w:hideMark/>
          </w:tcPr>
          <w:p w14:paraId="139D9C9E"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208E05FC"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03884AF3"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1EAFFACF" w14:textId="77777777" w:rsidR="00DA611C" w:rsidRDefault="00DA611C">
            <w:pPr>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6035A952" w14:textId="77777777" w:rsidR="00DA611C" w:rsidRDefault="00DA611C">
            <w:pPr>
              <w:jc w:val="center"/>
              <w:rPr>
                <w:rFonts w:ascii="Verdana" w:hAnsi="Verdana" w:cs="Arial"/>
                <w:b/>
                <w:bCs/>
                <w:sz w:val="16"/>
                <w:szCs w:val="16"/>
              </w:rPr>
            </w:pPr>
            <w:r>
              <w:rPr>
                <w:rFonts w:ascii="Verdana" w:hAnsi="Verdana" w:cs="Arial"/>
                <w:b/>
                <w:bCs/>
                <w:sz w:val="16"/>
                <w:szCs w:val="16"/>
              </w:rPr>
              <w:t>£000s</w:t>
            </w:r>
          </w:p>
        </w:tc>
      </w:tr>
      <w:tr w:rsidR="00DA611C" w14:paraId="38E9EDE8"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6DD254FC" w14:textId="77777777" w:rsidR="00DA611C" w:rsidRDefault="00DA611C">
            <w:pPr>
              <w:rPr>
                <w:rFonts w:ascii="Verdana" w:hAnsi="Verdana" w:cs="Arial"/>
                <w:b/>
                <w:bCs/>
                <w:sz w:val="16"/>
                <w:szCs w:val="16"/>
              </w:rPr>
            </w:pPr>
            <w:r>
              <w:rPr>
                <w:rFonts w:ascii="Verdana" w:hAnsi="Verdana" w:cs="Arial"/>
                <w:b/>
                <w:bCs/>
                <w:sz w:val="16"/>
                <w:szCs w:val="16"/>
              </w:rPr>
              <w:t xml:space="preserve">Combined </w:t>
            </w:r>
          </w:p>
        </w:tc>
        <w:tc>
          <w:tcPr>
            <w:tcW w:w="1163" w:type="dxa"/>
            <w:tcBorders>
              <w:top w:val="nil"/>
              <w:left w:val="nil"/>
              <w:bottom w:val="nil"/>
              <w:right w:val="single" w:sz="4" w:space="0" w:color="auto"/>
            </w:tcBorders>
            <w:shd w:val="clear" w:color="auto" w:fill="auto"/>
            <w:noWrap/>
            <w:hideMark/>
          </w:tcPr>
          <w:p w14:paraId="39133BE9" w14:textId="77777777" w:rsidR="00DA611C" w:rsidRDefault="00DA611C">
            <w:pPr>
              <w:rPr>
                <w:rFonts w:ascii="Verdana" w:hAnsi="Verdana" w:cs="Arial"/>
                <w:sz w:val="16"/>
                <w:szCs w:val="16"/>
              </w:rPr>
            </w:pPr>
            <w:r>
              <w:rPr>
                <w:rFonts w:ascii="Verdana" w:hAnsi="Verdana" w:cs="Arial"/>
                <w:sz w:val="16"/>
                <w:szCs w:val="16"/>
              </w:rPr>
              <w:t> </w:t>
            </w:r>
          </w:p>
        </w:tc>
        <w:tc>
          <w:tcPr>
            <w:tcW w:w="1163" w:type="dxa"/>
            <w:tcBorders>
              <w:top w:val="nil"/>
              <w:left w:val="nil"/>
              <w:bottom w:val="nil"/>
              <w:right w:val="single" w:sz="4" w:space="0" w:color="auto"/>
            </w:tcBorders>
            <w:shd w:val="clear" w:color="auto" w:fill="auto"/>
            <w:noWrap/>
            <w:hideMark/>
          </w:tcPr>
          <w:p w14:paraId="31EE36EE" w14:textId="77777777" w:rsidR="00DA611C" w:rsidRDefault="00DA611C">
            <w:pPr>
              <w:rPr>
                <w:rFonts w:ascii="Verdana" w:hAnsi="Verdana" w:cs="Arial"/>
                <w:sz w:val="16"/>
                <w:szCs w:val="16"/>
              </w:rPr>
            </w:pPr>
            <w:r>
              <w:rPr>
                <w:rFonts w:ascii="Verdana" w:hAnsi="Verdana" w:cs="Arial"/>
                <w:sz w:val="16"/>
                <w:szCs w:val="16"/>
              </w:rPr>
              <w:t> </w:t>
            </w:r>
          </w:p>
        </w:tc>
        <w:tc>
          <w:tcPr>
            <w:tcW w:w="1163" w:type="dxa"/>
            <w:tcBorders>
              <w:top w:val="nil"/>
              <w:left w:val="nil"/>
              <w:bottom w:val="nil"/>
              <w:right w:val="single" w:sz="4" w:space="0" w:color="auto"/>
            </w:tcBorders>
            <w:shd w:val="clear" w:color="auto" w:fill="auto"/>
            <w:noWrap/>
            <w:hideMark/>
          </w:tcPr>
          <w:p w14:paraId="1ABE27C6" w14:textId="77777777" w:rsidR="00DA611C" w:rsidRDefault="00DA611C">
            <w:pPr>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0C088C35" w14:textId="77777777" w:rsidR="00DA611C" w:rsidRDefault="00DA611C">
            <w:pPr>
              <w:rPr>
                <w:rFonts w:ascii="Verdana" w:hAnsi="Verdana" w:cs="Arial"/>
                <w:sz w:val="16"/>
                <w:szCs w:val="16"/>
              </w:rPr>
            </w:pPr>
            <w:r>
              <w:rPr>
                <w:rFonts w:ascii="Verdana" w:hAnsi="Verdana" w:cs="Arial"/>
                <w:sz w:val="16"/>
                <w:szCs w:val="16"/>
              </w:rPr>
              <w:t> </w:t>
            </w:r>
          </w:p>
        </w:tc>
        <w:tc>
          <w:tcPr>
            <w:tcW w:w="1163" w:type="dxa"/>
            <w:tcBorders>
              <w:top w:val="nil"/>
              <w:left w:val="nil"/>
              <w:bottom w:val="nil"/>
              <w:right w:val="single" w:sz="4" w:space="0" w:color="auto"/>
            </w:tcBorders>
            <w:shd w:val="clear" w:color="auto" w:fill="auto"/>
            <w:noWrap/>
            <w:hideMark/>
          </w:tcPr>
          <w:p w14:paraId="3EF7865A" w14:textId="77777777" w:rsidR="00DA611C" w:rsidRDefault="00DA611C">
            <w:pPr>
              <w:rPr>
                <w:rFonts w:ascii="Verdana" w:hAnsi="Verdana" w:cs="Arial"/>
                <w:b/>
                <w:bCs/>
                <w:sz w:val="16"/>
                <w:szCs w:val="16"/>
              </w:rPr>
            </w:pPr>
            <w:r>
              <w:rPr>
                <w:rFonts w:ascii="Verdana" w:hAnsi="Verdana" w:cs="Arial"/>
                <w:b/>
                <w:bCs/>
                <w:sz w:val="16"/>
                <w:szCs w:val="16"/>
              </w:rPr>
              <w:t> </w:t>
            </w:r>
          </w:p>
        </w:tc>
      </w:tr>
      <w:tr w:rsidR="00DA611C" w14:paraId="5E26C3E3"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0158B480" w14:textId="77777777" w:rsidR="00DA611C" w:rsidRDefault="00DA611C">
            <w:pPr>
              <w:rPr>
                <w:rFonts w:ascii="Verdana" w:hAnsi="Verdana" w:cs="Arial"/>
                <w:sz w:val="16"/>
                <w:szCs w:val="16"/>
              </w:rPr>
            </w:pPr>
            <w:r>
              <w:rPr>
                <w:rFonts w:ascii="Verdana" w:hAnsi="Verdana" w:cs="Arial"/>
                <w:sz w:val="16"/>
                <w:szCs w:val="16"/>
              </w:rPr>
              <w:t>Earmarked Reserves</w:t>
            </w:r>
          </w:p>
        </w:tc>
        <w:tc>
          <w:tcPr>
            <w:tcW w:w="1163" w:type="dxa"/>
            <w:tcBorders>
              <w:top w:val="nil"/>
              <w:left w:val="nil"/>
              <w:bottom w:val="nil"/>
              <w:right w:val="single" w:sz="4" w:space="0" w:color="auto"/>
            </w:tcBorders>
            <w:shd w:val="clear" w:color="auto" w:fill="auto"/>
            <w:noWrap/>
            <w:hideMark/>
          </w:tcPr>
          <w:p w14:paraId="43115676" w14:textId="77777777" w:rsidR="00DA611C" w:rsidRDefault="00DA611C">
            <w:pPr>
              <w:jc w:val="right"/>
              <w:rPr>
                <w:rFonts w:ascii="Verdana" w:hAnsi="Verdana" w:cs="Arial"/>
                <w:b/>
                <w:bCs/>
                <w:sz w:val="16"/>
                <w:szCs w:val="16"/>
              </w:rPr>
            </w:pPr>
            <w:r>
              <w:rPr>
                <w:rFonts w:ascii="Verdana" w:hAnsi="Verdana" w:cs="Arial"/>
                <w:b/>
                <w:bCs/>
                <w:sz w:val="16"/>
                <w:szCs w:val="16"/>
              </w:rPr>
              <w:t>(552,775)</w:t>
            </w:r>
          </w:p>
        </w:tc>
        <w:tc>
          <w:tcPr>
            <w:tcW w:w="1163" w:type="dxa"/>
            <w:tcBorders>
              <w:top w:val="nil"/>
              <w:left w:val="nil"/>
              <w:bottom w:val="nil"/>
              <w:right w:val="single" w:sz="4" w:space="0" w:color="auto"/>
            </w:tcBorders>
            <w:shd w:val="clear" w:color="auto" w:fill="auto"/>
            <w:noWrap/>
            <w:hideMark/>
          </w:tcPr>
          <w:p w14:paraId="0B2EBD0C" w14:textId="77777777" w:rsidR="00DA611C" w:rsidRDefault="00DA611C">
            <w:pPr>
              <w:jc w:val="right"/>
              <w:rPr>
                <w:rFonts w:ascii="Verdana" w:hAnsi="Verdana" w:cs="Arial"/>
                <w:sz w:val="16"/>
                <w:szCs w:val="16"/>
              </w:rPr>
            </w:pPr>
            <w:r>
              <w:rPr>
                <w:rFonts w:ascii="Verdana" w:hAnsi="Verdana" w:cs="Arial"/>
                <w:sz w:val="16"/>
                <w:szCs w:val="16"/>
              </w:rPr>
              <w:t xml:space="preserve">24,706 </w:t>
            </w:r>
          </w:p>
        </w:tc>
        <w:tc>
          <w:tcPr>
            <w:tcW w:w="1163" w:type="dxa"/>
            <w:tcBorders>
              <w:top w:val="nil"/>
              <w:left w:val="nil"/>
              <w:bottom w:val="nil"/>
              <w:right w:val="single" w:sz="4" w:space="0" w:color="auto"/>
            </w:tcBorders>
            <w:shd w:val="clear" w:color="auto" w:fill="auto"/>
            <w:noWrap/>
            <w:hideMark/>
          </w:tcPr>
          <w:p w14:paraId="1B171B93" w14:textId="77777777" w:rsidR="00DA611C" w:rsidRDefault="00DA611C">
            <w:pPr>
              <w:jc w:val="right"/>
              <w:rPr>
                <w:rFonts w:ascii="Verdana" w:hAnsi="Verdana" w:cs="Arial"/>
                <w:b/>
                <w:bCs/>
                <w:sz w:val="16"/>
                <w:szCs w:val="16"/>
              </w:rPr>
            </w:pPr>
            <w:r>
              <w:rPr>
                <w:rFonts w:ascii="Verdana" w:hAnsi="Verdana" w:cs="Arial"/>
                <w:b/>
                <w:bCs/>
                <w:sz w:val="16"/>
                <w:szCs w:val="16"/>
              </w:rPr>
              <w:t>(528,068)</w:t>
            </w:r>
          </w:p>
        </w:tc>
        <w:tc>
          <w:tcPr>
            <w:tcW w:w="1163" w:type="dxa"/>
            <w:tcBorders>
              <w:top w:val="nil"/>
              <w:left w:val="nil"/>
              <w:bottom w:val="nil"/>
              <w:right w:val="single" w:sz="4" w:space="0" w:color="auto"/>
            </w:tcBorders>
            <w:shd w:val="clear" w:color="auto" w:fill="auto"/>
            <w:noWrap/>
            <w:hideMark/>
          </w:tcPr>
          <w:p w14:paraId="6089A24E" w14:textId="77777777" w:rsidR="00DA611C" w:rsidRDefault="00DA611C">
            <w:pPr>
              <w:jc w:val="right"/>
              <w:rPr>
                <w:rFonts w:ascii="Verdana" w:hAnsi="Verdana" w:cs="Arial"/>
                <w:sz w:val="16"/>
                <w:szCs w:val="16"/>
              </w:rPr>
            </w:pPr>
            <w:r>
              <w:rPr>
                <w:rFonts w:ascii="Verdana" w:hAnsi="Verdana" w:cs="Arial"/>
                <w:sz w:val="16"/>
                <w:szCs w:val="16"/>
              </w:rPr>
              <w:t>(85,156)</w:t>
            </w:r>
          </w:p>
        </w:tc>
        <w:tc>
          <w:tcPr>
            <w:tcW w:w="1163" w:type="dxa"/>
            <w:tcBorders>
              <w:top w:val="nil"/>
              <w:left w:val="nil"/>
              <w:bottom w:val="nil"/>
              <w:right w:val="single" w:sz="4" w:space="0" w:color="auto"/>
            </w:tcBorders>
            <w:shd w:val="clear" w:color="auto" w:fill="auto"/>
            <w:noWrap/>
            <w:hideMark/>
          </w:tcPr>
          <w:p w14:paraId="1B246441" w14:textId="77777777" w:rsidR="00DA611C" w:rsidRDefault="00DA611C">
            <w:pPr>
              <w:jc w:val="right"/>
              <w:rPr>
                <w:rFonts w:ascii="Verdana" w:hAnsi="Verdana" w:cs="Arial"/>
                <w:b/>
                <w:bCs/>
                <w:sz w:val="16"/>
                <w:szCs w:val="16"/>
              </w:rPr>
            </w:pPr>
            <w:r>
              <w:rPr>
                <w:rFonts w:ascii="Verdana" w:hAnsi="Verdana" w:cs="Arial"/>
                <w:b/>
                <w:bCs/>
                <w:sz w:val="16"/>
                <w:szCs w:val="16"/>
              </w:rPr>
              <w:t>(613,224)</w:t>
            </w:r>
          </w:p>
        </w:tc>
      </w:tr>
      <w:tr w:rsidR="00DA611C" w14:paraId="1375A287"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1035D71A" w14:textId="77777777" w:rsidR="00DA611C" w:rsidRDefault="00DA611C">
            <w:pPr>
              <w:rPr>
                <w:rFonts w:ascii="Verdana" w:hAnsi="Verdana" w:cs="Arial"/>
                <w:sz w:val="16"/>
                <w:szCs w:val="16"/>
              </w:rPr>
            </w:pPr>
            <w:r>
              <w:rPr>
                <w:rFonts w:ascii="Verdana" w:hAnsi="Verdana" w:cs="Arial"/>
                <w:sz w:val="16"/>
                <w:szCs w:val="16"/>
              </w:rPr>
              <w:t>General Fund Balances</w:t>
            </w:r>
          </w:p>
        </w:tc>
        <w:tc>
          <w:tcPr>
            <w:tcW w:w="1163" w:type="dxa"/>
            <w:tcBorders>
              <w:top w:val="nil"/>
              <w:left w:val="nil"/>
              <w:bottom w:val="nil"/>
              <w:right w:val="single" w:sz="4" w:space="0" w:color="auto"/>
            </w:tcBorders>
            <w:shd w:val="clear" w:color="000000" w:fill="FFFFFF"/>
            <w:noWrap/>
            <w:hideMark/>
          </w:tcPr>
          <w:p w14:paraId="7C89A8AE" w14:textId="77777777" w:rsidR="00DA611C" w:rsidRDefault="00DA611C">
            <w:pPr>
              <w:jc w:val="right"/>
              <w:rPr>
                <w:rFonts w:ascii="Verdana" w:hAnsi="Verdana" w:cs="Arial"/>
                <w:b/>
                <w:bCs/>
                <w:sz w:val="16"/>
                <w:szCs w:val="16"/>
              </w:rPr>
            </w:pPr>
            <w:r>
              <w:rPr>
                <w:rFonts w:ascii="Verdana" w:hAnsi="Verdana" w:cs="Arial"/>
                <w:b/>
                <w:bCs/>
                <w:sz w:val="16"/>
                <w:szCs w:val="16"/>
              </w:rPr>
              <w:t>(54,777)</w:t>
            </w:r>
          </w:p>
        </w:tc>
        <w:tc>
          <w:tcPr>
            <w:tcW w:w="1163" w:type="dxa"/>
            <w:tcBorders>
              <w:top w:val="nil"/>
              <w:left w:val="nil"/>
              <w:bottom w:val="nil"/>
              <w:right w:val="single" w:sz="4" w:space="0" w:color="auto"/>
            </w:tcBorders>
            <w:shd w:val="clear" w:color="auto" w:fill="auto"/>
            <w:noWrap/>
            <w:hideMark/>
          </w:tcPr>
          <w:p w14:paraId="481909CE" w14:textId="77777777" w:rsidR="00DA611C" w:rsidRDefault="00DA611C">
            <w:pPr>
              <w:jc w:val="right"/>
              <w:rPr>
                <w:rFonts w:ascii="Verdana" w:hAnsi="Verdana" w:cs="Arial"/>
                <w:sz w:val="16"/>
                <w:szCs w:val="16"/>
              </w:rPr>
            </w:pPr>
            <w:r>
              <w:rPr>
                <w:rFonts w:ascii="Verdana" w:hAnsi="Verdana" w:cs="Arial"/>
                <w:sz w:val="16"/>
                <w:szCs w:val="16"/>
              </w:rPr>
              <w:t>(527)</w:t>
            </w:r>
          </w:p>
        </w:tc>
        <w:tc>
          <w:tcPr>
            <w:tcW w:w="1163" w:type="dxa"/>
            <w:tcBorders>
              <w:top w:val="nil"/>
              <w:left w:val="nil"/>
              <w:bottom w:val="nil"/>
              <w:right w:val="single" w:sz="4" w:space="0" w:color="auto"/>
            </w:tcBorders>
            <w:shd w:val="clear" w:color="auto" w:fill="auto"/>
            <w:noWrap/>
            <w:hideMark/>
          </w:tcPr>
          <w:p w14:paraId="039A0193" w14:textId="77777777" w:rsidR="00DA611C" w:rsidRDefault="00DA611C">
            <w:pPr>
              <w:jc w:val="right"/>
              <w:rPr>
                <w:rFonts w:ascii="Verdana" w:hAnsi="Verdana" w:cs="Arial"/>
                <w:b/>
                <w:bCs/>
                <w:sz w:val="16"/>
                <w:szCs w:val="16"/>
              </w:rPr>
            </w:pPr>
            <w:r>
              <w:rPr>
                <w:rFonts w:ascii="Verdana" w:hAnsi="Verdana" w:cs="Arial"/>
                <w:b/>
                <w:bCs/>
                <w:sz w:val="16"/>
                <w:szCs w:val="16"/>
              </w:rPr>
              <w:t>(55,303)</w:t>
            </w:r>
          </w:p>
        </w:tc>
        <w:tc>
          <w:tcPr>
            <w:tcW w:w="1163" w:type="dxa"/>
            <w:tcBorders>
              <w:top w:val="nil"/>
              <w:left w:val="nil"/>
              <w:bottom w:val="nil"/>
              <w:right w:val="single" w:sz="4" w:space="0" w:color="auto"/>
            </w:tcBorders>
            <w:shd w:val="clear" w:color="000000" w:fill="FFFFFF"/>
            <w:noWrap/>
            <w:hideMark/>
          </w:tcPr>
          <w:p w14:paraId="463B20CB" w14:textId="77777777" w:rsidR="00DA611C" w:rsidRDefault="00DA611C">
            <w:pPr>
              <w:jc w:val="right"/>
              <w:rPr>
                <w:rFonts w:ascii="Verdana" w:hAnsi="Verdana" w:cs="Arial"/>
                <w:sz w:val="16"/>
                <w:szCs w:val="16"/>
              </w:rPr>
            </w:pPr>
            <w:r>
              <w:rPr>
                <w:rFonts w:ascii="Verdana" w:hAnsi="Verdana" w:cs="Arial"/>
                <w:sz w:val="16"/>
                <w:szCs w:val="16"/>
              </w:rPr>
              <w:t>(250)</w:t>
            </w:r>
          </w:p>
        </w:tc>
        <w:tc>
          <w:tcPr>
            <w:tcW w:w="1163" w:type="dxa"/>
            <w:tcBorders>
              <w:top w:val="nil"/>
              <w:left w:val="nil"/>
              <w:bottom w:val="nil"/>
              <w:right w:val="single" w:sz="4" w:space="0" w:color="auto"/>
            </w:tcBorders>
            <w:shd w:val="clear" w:color="000000" w:fill="FFFFFF"/>
            <w:noWrap/>
            <w:hideMark/>
          </w:tcPr>
          <w:p w14:paraId="6565F505" w14:textId="77777777" w:rsidR="00DA611C" w:rsidRDefault="00DA611C">
            <w:pPr>
              <w:jc w:val="right"/>
              <w:rPr>
                <w:rFonts w:ascii="Verdana" w:hAnsi="Verdana" w:cs="Arial"/>
                <w:b/>
                <w:bCs/>
                <w:sz w:val="16"/>
                <w:szCs w:val="16"/>
              </w:rPr>
            </w:pPr>
            <w:r>
              <w:rPr>
                <w:rFonts w:ascii="Verdana" w:hAnsi="Verdana" w:cs="Arial"/>
                <w:b/>
                <w:bCs/>
                <w:sz w:val="16"/>
                <w:szCs w:val="16"/>
              </w:rPr>
              <w:t>(55,554)</w:t>
            </w:r>
          </w:p>
        </w:tc>
      </w:tr>
      <w:tr w:rsidR="00DA611C" w14:paraId="42C081FC"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22E8C320" w14:textId="77777777" w:rsidR="00DA611C" w:rsidRDefault="00DA611C">
            <w:pPr>
              <w:rPr>
                <w:rFonts w:ascii="Verdana" w:hAnsi="Verdana" w:cs="Arial"/>
                <w:sz w:val="16"/>
                <w:szCs w:val="16"/>
              </w:rPr>
            </w:pPr>
            <w:r>
              <w:rPr>
                <w:rFonts w:ascii="Verdana" w:hAnsi="Verdana" w:cs="Arial"/>
                <w:sz w:val="16"/>
                <w:szCs w:val="16"/>
              </w:rPr>
              <w:t>Usable Capital Receipts Reserve</w:t>
            </w:r>
          </w:p>
        </w:tc>
        <w:tc>
          <w:tcPr>
            <w:tcW w:w="1163" w:type="dxa"/>
            <w:tcBorders>
              <w:top w:val="nil"/>
              <w:left w:val="nil"/>
              <w:bottom w:val="nil"/>
              <w:right w:val="single" w:sz="4" w:space="0" w:color="auto"/>
            </w:tcBorders>
            <w:shd w:val="clear" w:color="auto" w:fill="auto"/>
            <w:noWrap/>
            <w:hideMark/>
          </w:tcPr>
          <w:p w14:paraId="5692714C" w14:textId="77777777" w:rsidR="00DA611C" w:rsidRDefault="00DA611C">
            <w:pPr>
              <w:jc w:val="right"/>
              <w:rPr>
                <w:rFonts w:ascii="Verdana" w:hAnsi="Verdana" w:cs="Arial"/>
                <w:b/>
                <w:bCs/>
                <w:sz w:val="16"/>
                <w:szCs w:val="16"/>
              </w:rPr>
            </w:pPr>
            <w:r>
              <w:rPr>
                <w:rFonts w:ascii="Verdana" w:hAnsi="Verdana" w:cs="Arial"/>
                <w:b/>
                <w:bCs/>
                <w:sz w:val="16"/>
                <w:szCs w:val="16"/>
              </w:rPr>
              <w:t>(82,724)</w:t>
            </w:r>
          </w:p>
        </w:tc>
        <w:tc>
          <w:tcPr>
            <w:tcW w:w="1163" w:type="dxa"/>
            <w:tcBorders>
              <w:top w:val="nil"/>
              <w:left w:val="nil"/>
              <w:bottom w:val="nil"/>
              <w:right w:val="single" w:sz="4" w:space="0" w:color="auto"/>
            </w:tcBorders>
            <w:shd w:val="clear" w:color="auto" w:fill="auto"/>
            <w:noWrap/>
            <w:hideMark/>
          </w:tcPr>
          <w:p w14:paraId="4B11662C" w14:textId="77777777" w:rsidR="00DA611C" w:rsidRDefault="00DA611C">
            <w:pPr>
              <w:jc w:val="right"/>
              <w:rPr>
                <w:rFonts w:ascii="Verdana" w:hAnsi="Verdana" w:cs="Arial"/>
                <w:sz w:val="16"/>
                <w:szCs w:val="16"/>
              </w:rPr>
            </w:pPr>
            <w:r>
              <w:rPr>
                <w:rFonts w:ascii="Verdana" w:hAnsi="Verdana" w:cs="Arial"/>
                <w:sz w:val="16"/>
                <w:szCs w:val="16"/>
              </w:rPr>
              <w:t xml:space="preserve">28,459 </w:t>
            </w:r>
          </w:p>
        </w:tc>
        <w:tc>
          <w:tcPr>
            <w:tcW w:w="1163" w:type="dxa"/>
            <w:tcBorders>
              <w:top w:val="nil"/>
              <w:left w:val="nil"/>
              <w:bottom w:val="nil"/>
              <w:right w:val="single" w:sz="4" w:space="0" w:color="auto"/>
            </w:tcBorders>
            <w:shd w:val="clear" w:color="auto" w:fill="auto"/>
            <w:noWrap/>
            <w:hideMark/>
          </w:tcPr>
          <w:p w14:paraId="75897F98" w14:textId="77777777" w:rsidR="00DA611C" w:rsidRDefault="00DA611C">
            <w:pPr>
              <w:jc w:val="right"/>
              <w:rPr>
                <w:rFonts w:ascii="Verdana" w:hAnsi="Verdana" w:cs="Arial"/>
                <w:b/>
                <w:bCs/>
                <w:sz w:val="16"/>
                <w:szCs w:val="16"/>
              </w:rPr>
            </w:pPr>
            <w:r>
              <w:rPr>
                <w:rFonts w:ascii="Verdana" w:hAnsi="Verdana" w:cs="Arial"/>
                <w:b/>
                <w:bCs/>
                <w:sz w:val="16"/>
                <w:szCs w:val="16"/>
              </w:rPr>
              <w:t>(54,265)</w:t>
            </w:r>
          </w:p>
        </w:tc>
        <w:tc>
          <w:tcPr>
            <w:tcW w:w="1163" w:type="dxa"/>
            <w:tcBorders>
              <w:top w:val="nil"/>
              <w:left w:val="nil"/>
              <w:bottom w:val="nil"/>
              <w:right w:val="single" w:sz="4" w:space="0" w:color="auto"/>
            </w:tcBorders>
            <w:shd w:val="clear" w:color="auto" w:fill="auto"/>
            <w:noWrap/>
            <w:hideMark/>
          </w:tcPr>
          <w:p w14:paraId="36F0F3B7" w14:textId="77777777" w:rsidR="00DA611C" w:rsidRDefault="00DA611C">
            <w:pPr>
              <w:jc w:val="right"/>
              <w:rPr>
                <w:rFonts w:ascii="Verdana" w:hAnsi="Verdana" w:cs="Arial"/>
                <w:sz w:val="16"/>
                <w:szCs w:val="16"/>
              </w:rPr>
            </w:pPr>
            <w:r>
              <w:rPr>
                <w:rFonts w:ascii="Verdana" w:hAnsi="Verdana" w:cs="Arial"/>
                <w:sz w:val="16"/>
                <w:szCs w:val="16"/>
              </w:rPr>
              <w:t>(14,308)</w:t>
            </w:r>
          </w:p>
        </w:tc>
        <w:tc>
          <w:tcPr>
            <w:tcW w:w="1163" w:type="dxa"/>
            <w:tcBorders>
              <w:top w:val="nil"/>
              <w:left w:val="nil"/>
              <w:bottom w:val="nil"/>
              <w:right w:val="single" w:sz="4" w:space="0" w:color="auto"/>
            </w:tcBorders>
            <w:shd w:val="clear" w:color="000000" w:fill="FFFFFF"/>
            <w:noWrap/>
            <w:hideMark/>
          </w:tcPr>
          <w:p w14:paraId="54C272F2" w14:textId="77777777" w:rsidR="00DA611C" w:rsidRDefault="00DA611C">
            <w:pPr>
              <w:jc w:val="right"/>
              <w:rPr>
                <w:rFonts w:ascii="Verdana" w:hAnsi="Verdana" w:cs="Arial"/>
                <w:b/>
                <w:bCs/>
                <w:sz w:val="16"/>
                <w:szCs w:val="16"/>
              </w:rPr>
            </w:pPr>
            <w:r>
              <w:rPr>
                <w:rFonts w:ascii="Verdana" w:hAnsi="Verdana" w:cs="Arial"/>
                <w:b/>
                <w:bCs/>
                <w:sz w:val="16"/>
                <w:szCs w:val="16"/>
              </w:rPr>
              <w:t>(68,573)</w:t>
            </w:r>
          </w:p>
        </w:tc>
      </w:tr>
      <w:tr w:rsidR="00DA611C" w14:paraId="75906757" w14:textId="77777777" w:rsidTr="00DA611C">
        <w:trPr>
          <w:trHeight w:val="230"/>
        </w:trPr>
        <w:tc>
          <w:tcPr>
            <w:tcW w:w="3655" w:type="dxa"/>
            <w:tcBorders>
              <w:top w:val="nil"/>
              <w:left w:val="single" w:sz="4" w:space="0" w:color="auto"/>
              <w:bottom w:val="single" w:sz="4" w:space="0" w:color="auto"/>
              <w:right w:val="single" w:sz="4" w:space="0" w:color="auto"/>
            </w:tcBorders>
            <w:shd w:val="clear" w:color="auto" w:fill="auto"/>
            <w:hideMark/>
          </w:tcPr>
          <w:p w14:paraId="6E4772BE" w14:textId="77777777" w:rsidR="00DA611C" w:rsidRDefault="00DA611C">
            <w:pPr>
              <w:rPr>
                <w:rFonts w:ascii="Verdana" w:hAnsi="Verdana" w:cs="Arial"/>
                <w:sz w:val="16"/>
                <w:szCs w:val="16"/>
              </w:rPr>
            </w:pPr>
            <w:r>
              <w:rPr>
                <w:rFonts w:ascii="Verdana" w:hAnsi="Verdana" w:cs="Arial"/>
                <w:sz w:val="16"/>
                <w:szCs w:val="16"/>
              </w:rPr>
              <w:t>Capital Grants Unapplied Reserve</w:t>
            </w:r>
          </w:p>
        </w:tc>
        <w:tc>
          <w:tcPr>
            <w:tcW w:w="1163" w:type="dxa"/>
            <w:tcBorders>
              <w:top w:val="nil"/>
              <w:left w:val="nil"/>
              <w:bottom w:val="single" w:sz="4" w:space="0" w:color="auto"/>
              <w:right w:val="single" w:sz="4" w:space="0" w:color="auto"/>
            </w:tcBorders>
            <w:shd w:val="clear" w:color="auto" w:fill="auto"/>
            <w:noWrap/>
            <w:hideMark/>
          </w:tcPr>
          <w:p w14:paraId="4609C6D4" w14:textId="77777777" w:rsidR="00DA611C" w:rsidRDefault="00DA611C">
            <w:pPr>
              <w:jc w:val="right"/>
              <w:rPr>
                <w:rFonts w:ascii="Verdana" w:hAnsi="Verdana" w:cs="Arial"/>
                <w:b/>
                <w:bCs/>
                <w:sz w:val="16"/>
                <w:szCs w:val="16"/>
              </w:rPr>
            </w:pPr>
            <w:r>
              <w:rPr>
                <w:rFonts w:ascii="Verdana" w:hAnsi="Verdana" w:cs="Arial"/>
                <w:b/>
                <w:bCs/>
                <w:sz w:val="16"/>
                <w:szCs w:val="16"/>
              </w:rPr>
              <w:t>(538)</w:t>
            </w:r>
          </w:p>
        </w:tc>
        <w:tc>
          <w:tcPr>
            <w:tcW w:w="1163" w:type="dxa"/>
            <w:tcBorders>
              <w:top w:val="nil"/>
              <w:left w:val="nil"/>
              <w:bottom w:val="single" w:sz="4" w:space="0" w:color="auto"/>
              <w:right w:val="single" w:sz="4" w:space="0" w:color="auto"/>
            </w:tcBorders>
            <w:shd w:val="clear" w:color="auto" w:fill="auto"/>
            <w:noWrap/>
            <w:hideMark/>
          </w:tcPr>
          <w:p w14:paraId="001D8AC3" w14:textId="77777777" w:rsidR="00DA611C" w:rsidRDefault="00DA611C">
            <w:pPr>
              <w:jc w:val="right"/>
              <w:rPr>
                <w:rFonts w:ascii="Verdana" w:hAnsi="Verdana" w:cs="Arial"/>
                <w:sz w:val="16"/>
                <w:szCs w:val="16"/>
              </w:rPr>
            </w:pPr>
            <w:r>
              <w:rPr>
                <w:rFonts w:ascii="Verdana" w:hAnsi="Verdana" w:cs="Arial"/>
                <w:sz w:val="16"/>
                <w:szCs w:val="16"/>
              </w:rPr>
              <w:t>(27,149)</w:t>
            </w:r>
          </w:p>
        </w:tc>
        <w:tc>
          <w:tcPr>
            <w:tcW w:w="1163" w:type="dxa"/>
            <w:tcBorders>
              <w:top w:val="nil"/>
              <w:left w:val="nil"/>
              <w:bottom w:val="nil"/>
              <w:right w:val="single" w:sz="4" w:space="0" w:color="auto"/>
            </w:tcBorders>
            <w:shd w:val="clear" w:color="auto" w:fill="auto"/>
            <w:noWrap/>
            <w:hideMark/>
          </w:tcPr>
          <w:p w14:paraId="086102DB" w14:textId="77777777" w:rsidR="00DA611C" w:rsidRDefault="00DA611C">
            <w:pPr>
              <w:jc w:val="right"/>
              <w:rPr>
                <w:rFonts w:ascii="Verdana" w:hAnsi="Verdana" w:cs="Arial"/>
                <w:b/>
                <w:bCs/>
                <w:sz w:val="16"/>
                <w:szCs w:val="16"/>
              </w:rPr>
            </w:pPr>
            <w:r>
              <w:rPr>
                <w:rFonts w:ascii="Verdana" w:hAnsi="Verdana" w:cs="Arial"/>
                <w:b/>
                <w:bCs/>
                <w:sz w:val="16"/>
                <w:szCs w:val="16"/>
              </w:rPr>
              <w:t>(27,687)</w:t>
            </w:r>
          </w:p>
        </w:tc>
        <w:tc>
          <w:tcPr>
            <w:tcW w:w="1163" w:type="dxa"/>
            <w:tcBorders>
              <w:top w:val="nil"/>
              <w:left w:val="nil"/>
              <w:bottom w:val="single" w:sz="4" w:space="0" w:color="auto"/>
              <w:right w:val="single" w:sz="4" w:space="0" w:color="auto"/>
            </w:tcBorders>
            <w:shd w:val="clear" w:color="auto" w:fill="auto"/>
            <w:noWrap/>
            <w:hideMark/>
          </w:tcPr>
          <w:p w14:paraId="0CB73EE4" w14:textId="77777777" w:rsidR="00DA611C" w:rsidRDefault="00DA611C">
            <w:pPr>
              <w:jc w:val="right"/>
              <w:rPr>
                <w:rFonts w:ascii="Verdana" w:hAnsi="Verdana" w:cs="Arial"/>
                <w:sz w:val="16"/>
                <w:szCs w:val="16"/>
              </w:rPr>
            </w:pPr>
            <w:r>
              <w:rPr>
                <w:rFonts w:ascii="Verdana" w:hAnsi="Verdana" w:cs="Arial"/>
                <w:sz w:val="16"/>
                <w:szCs w:val="16"/>
              </w:rPr>
              <w:t>(8,853)</w:t>
            </w:r>
          </w:p>
        </w:tc>
        <w:tc>
          <w:tcPr>
            <w:tcW w:w="1163" w:type="dxa"/>
            <w:tcBorders>
              <w:top w:val="nil"/>
              <w:left w:val="nil"/>
              <w:bottom w:val="nil"/>
              <w:right w:val="single" w:sz="4" w:space="0" w:color="auto"/>
            </w:tcBorders>
            <w:shd w:val="clear" w:color="auto" w:fill="auto"/>
            <w:noWrap/>
            <w:hideMark/>
          </w:tcPr>
          <w:p w14:paraId="6CF45C93" w14:textId="77777777" w:rsidR="00DA611C" w:rsidRDefault="00DA611C">
            <w:pPr>
              <w:jc w:val="right"/>
              <w:rPr>
                <w:rFonts w:ascii="Verdana" w:hAnsi="Verdana" w:cs="Arial"/>
                <w:b/>
                <w:bCs/>
                <w:sz w:val="16"/>
                <w:szCs w:val="16"/>
              </w:rPr>
            </w:pPr>
            <w:r>
              <w:rPr>
                <w:rFonts w:ascii="Verdana" w:hAnsi="Verdana" w:cs="Arial"/>
                <w:b/>
                <w:bCs/>
                <w:sz w:val="16"/>
                <w:szCs w:val="16"/>
              </w:rPr>
              <w:t>(36,540)</w:t>
            </w:r>
          </w:p>
        </w:tc>
      </w:tr>
      <w:tr w:rsidR="00DA611C" w14:paraId="0F20DC66" w14:textId="77777777" w:rsidTr="00DA611C">
        <w:trPr>
          <w:trHeight w:val="253"/>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97C27" w14:textId="77777777" w:rsidR="00DA611C" w:rsidRDefault="00DA611C">
            <w:pPr>
              <w:rPr>
                <w:rFonts w:ascii="Verdana" w:hAnsi="Verdana" w:cs="Arial"/>
                <w:b/>
                <w:bCs/>
                <w:sz w:val="16"/>
                <w:szCs w:val="16"/>
              </w:rPr>
            </w:pPr>
            <w:r>
              <w:rPr>
                <w:rFonts w:ascii="Verdana" w:hAnsi="Verdana" w:cs="Arial"/>
                <w:b/>
                <w:bCs/>
                <w:sz w:val="16"/>
                <w:szCs w:val="16"/>
              </w:rPr>
              <w:t>Total Usable Reserves</w:t>
            </w:r>
          </w:p>
        </w:tc>
        <w:tc>
          <w:tcPr>
            <w:tcW w:w="1163" w:type="dxa"/>
            <w:tcBorders>
              <w:top w:val="nil"/>
              <w:left w:val="nil"/>
              <w:bottom w:val="single" w:sz="4" w:space="0" w:color="auto"/>
              <w:right w:val="single" w:sz="4" w:space="0" w:color="auto"/>
            </w:tcBorders>
            <w:shd w:val="clear" w:color="auto" w:fill="auto"/>
            <w:noWrap/>
            <w:vAlign w:val="center"/>
            <w:hideMark/>
          </w:tcPr>
          <w:p w14:paraId="157CAE46"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(690,814)</w:t>
            </w:r>
          </w:p>
        </w:tc>
        <w:tc>
          <w:tcPr>
            <w:tcW w:w="1163" w:type="dxa"/>
            <w:tcBorders>
              <w:top w:val="nil"/>
              <w:left w:val="nil"/>
              <w:bottom w:val="single" w:sz="4" w:space="0" w:color="auto"/>
              <w:right w:val="single" w:sz="4" w:space="0" w:color="auto"/>
            </w:tcBorders>
            <w:shd w:val="clear" w:color="auto" w:fill="auto"/>
            <w:noWrap/>
            <w:vAlign w:val="center"/>
            <w:hideMark/>
          </w:tcPr>
          <w:p w14:paraId="6B367F8E"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 xml:space="preserve">25,490 </w:t>
            </w:r>
          </w:p>
        </w:tc>
        <w:tc>
          <w:tcPr>
            <w:tcW w:w="1163" w:type="dxa"/>
            <w:tcBorders>
              <w:top w:val="nil"/>
              <w:left w:val="nil"/>
              <w:bottom w:val="single" w:sz="4" w:space="0" w:color="auto"/>
              <w:right w:val="single" w:sz="4" w:space="0" w:color="auto"/>
            </w:tcBorders>
            <w:shd w:val="clear" w:color="auto" w:fill="auto"/>
            <w:noWrap/>
            <w:vAlign w:val="center"/>
            <w:hideMark/>
          </w:tcPr>
          <w:p w14:paraId="24C85968"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(665,323)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351AB722"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(108,568)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CF070B6" w14:textId="77777777" w:rsidR="00DA611C" w:rsidRDefault="00DA611C">
            <w:pPr>
              <w:jc w:val="right"/>
              <w:rPr>
                <w:rFonts w:ascii="Verdana" w:hAnsi="Verdana" w:cs="Arial"/>
                <w:b/>
                <w:bCs/>
                <w:color w:val="000000"/>
                <w:sz w:val="16"/>
                <w:szCs w:val="16"/>
              </w:rPr>
            </w:pPr>
            <w:r>
              <w:rPr>
                <w:rFonts w:ascii="Verdana" w:hAnsi="Verdana" w:cs="Arial"/>
                <w:b/>
                <w:bCs/>
                <w:color w:val="000000"/>
                <w:sz w:val="16"/>
                <w:szCs w:val="16"/>
              </w:rPr>
              <w:t>(773,893)</w:t>
            </w:r>
          </w:p>
        </w:tc>
      </w:tr>
    </w:tbl>
    <w:p w14:paraId="5545F32C" w14:textId="59E59E82" w:rsidR="00795BE0" w:rsidRDefault="00795BE0" w:rsidP="00795BE0">
      <w:pPr>
        <w:jc w:val="both"/>
        <w:rPr>
          <w:rFonts w:ascii="Arial" w:hAnsi="Arial" w:cs="Arial"/>
        </w:rPr>
      </w:pPr>
    </w:p>
    <w:p w14:paraId="394CA8B7" w14:textId="77777777" w:rsidR="00795BE0" w:rsidRPr="0007572B" w:rsidRDefault="00795BE0" w:rsidP="00795BE0">
      <w:pPr>
        <w:jc w:val="both"/>
        <w:rPr>
          <w:rFonts w:ascii="Arial" w:hAnsi="Arial" w:cs="Arial"/>
        </w:rPr>
      </w:pPr>
    </w:p>
    <w:p w14:paraId="4CF133F2" w14:textId="42529905" w:rsidR="00795BE0" w:rsidRPr="0007572B" w:rsidRDefault="00795BE0" w:rsidP="00795BE0">
      <w:pPr>
        <w:pStyle w:val="Heading3greennumbered"/>
      </w:pPr>
      <w:bookmarkStart w:id="269" w:name="_Toc92894933"/>
      <w:bookmarkStart w:id="270" w:name="_Toc92895237"/>
      <w:bookmarkStart w:id="271" w:name="_Toc109922671"/>
      <w:r>
        <w:t>4</w:t>
      </w:r>
      <w:r w:rsidR="00DA611C">
        <w:t>1</w:t>
      </w:r>
      <w:r w:rsidRPr="0007572B">
        <w:t xml:space="preserve"> Purpose of Group Earmarked Reserves</w:t>
      </w:r>
      <w:bookmarkEnd w:id="269"/>
      <w:bookmarkEnd w:id="270"/>
      <w:bookmarkEnd w:id="271"/>
    </w:p>
    <w:p w14:paraId="5C629EFB" w14:textId="77777777" w:rsidR="00795BE0" w:rsidRDefault="00795BE0" w:rsidP="00795BE0">
      <w:pPr>
        <w:rPr>
          <w:rFonts w:ascii="Arial" w:hAnsi="Arial" w:cs="Arial"/>
        </w:rPr>
      </w:pPr>
    </w:p>
    <w:p w14:paraId="4E79FBBE" w14:textId="77777777" w:rsidR="00795BE0" w:rsidRPr="0007572B" w:rsidRDefault="00795BE0" w:rsidP="00795BE0">
      <w:pPr>
        <w:rPr>
          <w:rFonts w:ascii="Arial" w:hAnsi="Arial" w:cs="Arial"/>
        </w:rPr>
      </w:pPr>
      <w:r w:rsidRPr="0007572B">
        <w:rPr>
          <w:rFonts w:ascii="Arial" w:hAnsi="Arial" w:cs="Arial"/>
        </w:rPr>
        <w:t xml:space="preserve">The purpose of the Authority’s earmarked reserves is set out in </w:t>
      </w:r>
      <w:r>
        <w:rPr>
          <w:rFonts w:ascii="Arial" w:hAnsi="Arial" w:cs="Arial"/>
        </w:rPr>
        <w:t xml:space="preserve">the </w:t>
      </w:r>
      <w:r w:rsidRPr="0007572B">
        <w:rPr>
          <w:rFonts w:ascii="Arial" w:hAnsi="Arial" w:cs="Arial"/>
        </w:rPr>
        <w:t>note</w:t>
      </w:r>
      <w:r>
        <w:rPr>
          <w:rFonts w:ascii="Arial" w:hAnsi="Arial" w:cs="Arial"/>
        </w:rPr>
        <w:t>s to the single entity accounts</w:t>
      </w:r>
      <w:r w:rsidRPr="0007572B">
        <w:rPr>
          <w:rFonts w:ascii="Arial" w:hAnsi="Arial" w:cs="Arial"/>
        </w:rPr>
        <w:t>. The purpose of other group reserves is set out below:</w:t>
      </w:r>
    </w:p>
    <w:p w14:paraId="38BB8BD4" w14:textId="77777777" w:rsidR="00795BE0" w:rsidRPr="0007572B" w:rsidRDefault="00795BE0" w:rsidP="00795BE0">
      <w:pPr>
        <w:rPr>
          <w:rFonts w:ascii="Arial" w:hAnsi="Arial" w:cs="Arial"/>
        </w:rPr>
      </w:pPr>
    </w:p>
    <w:p w14:paraId="0DF01BC3" w14:textId="77777777" w:rsidR="00795BE0" w:rsidRPr="00A4694D" w:rsidRDefault="00795BE0" w:rsidP="00795BE0">
      <w:pPr>
        <w:rPr>
          <w:rFonts w:ascii="Arial" w:hAnsi="Arial" w:cs="Arial"/>
        </w:rPr>
      </w:pPr>
      <w:bookmarkStart w:id="272" w:name="_Hlk76896645"/>
      <w:r w:rsidRPr="00A4694D">
        <w:rPr>
          <w:rFonts w:ascii="Arial" w:hAnsi="Arial" w:cs="Arial"/>
        </w:rPr>
        <w:t>Transport for Greater Manchester Reserves</w:t>
      </w:r>
    </w:p>
    <w:p w14:paraId="4F65AFDA" w14:textId="77777777" w:rsidR="00795BE0" w:rsidRPr="00A4694D" w:rsidRDefault="00795BE0" w:rsidP="00DF4603">
      <w:pPr>
        <w:pStyle w:val="ListParagraph"/>
        <w:numPr>
          <w:ilvl w:val="0"/>
          <w:numId w:val="80"/>
        </w:numPr>
        <w:spacing w:line="240" w:lineRule="auto"/>
        <w:rPr>
          <w:rFonts w:ascii="Arial" w:hAnsi="Arial" w:cs="Arial"/>
          <w:sz w:val="24"/>
          <w:szCs w:val="24"/>
        </w:rPr>
      </w:pPr>
      <w:r w:rsidRPr="00A4694D">
        <w:rPr>
          <w:rFonts w:ascii="Arial" w:hAnsi="Arial" w:cs="Arial"/>
          <w:sz w:val="24"/>
          <w:szCs w:val="24"/>
        </w:rPr>
        <w:t>Revenue Grants Unapplied Reserve – Manchester Airport Contribution to the Metrolink extension to the airport;</w:t>
      </w:r>
    </w:p>
    <w:p w14:paraId="0B1817E3" w14:textId="77777777" w:rsidR="00795BE0" w:rsidRPr="00A4694D" w:rsidRDefault="00795BE0" w:rsidP="00DF4603">
      <w:pPr>
        <w:pStyle w:val="ListParagraph"/>
        <w:numPr>
          <w:ilvl w:val="0"/>
          <w:numId w:val="80"/>
        </w:numPr>
        <w:spacing w:line="240" w:lineRule="auto"/>
        <w:rPr>
          <w:rFonts w:ascii="Arial" w:hAnsi="Arial" w:cs="Arial"/>
          <w:sz w:val="24"/>
          <w:szCs w:val="24"/>
        </w:rPr>
      </w:pPr>
      <w:r w:rsidRPr="00A4694D">
        <w:rPr>
          <w:rFonts w:ascii="Arial" w:hAnsi="Arial" w:cs="Arial"/>
          <w:sz w:val="24"/>
          <w:szCs w:val="24"/>
        </w:rPr>
        <w:t>Property Reserve – surpluses arising from 2 Piccadilly Place to be reinvested in property activity;</w:t>
      </w:r>
    </w:p>
    <w:p w14:paraId="36592333" w14:textId="77777777" w:rsidR="00795BE0" w:rsidRPr="00A4694D" w:rsidRDefault="00795BE0" w:rsidP="00DF4603">
      <w:pPr>
        <w:pStyle w:val="ListParagraph"/>
        <w:numPr>
          <w:ilvl w:val="0"/>
          <w:numId w:val="80"/>
        </w:numPr>
        <w:spacing w:line="240" w:lineRule="auto"/>
        <w:rPr>
          <w:rFonts w:ascii="Arial" w:hAnsi="Arial" w:cs="Arial"/>
          <w:sz w:val="24"/>
          <w:szCs w:val="24"/>
        </w:rPr>
      </w:pPr>
      <w:r w:rsidRPr="00A4694D">
        <w:rPr>
          <w:rFonts w:ascii="Arial" w:hAnsi="Arial" w:cs="Arial"/>
          <w:sz w:val="24"/>
          <w:szCs w:val="24"/>
        </w:rPr>
        <w:lastRenderedPageBreak/>
        <w:t>Metrolink Reserve – funding set aside for Metrolink Service Enhancements;</w:t>
      </w:r>
    </w:p>
    <w:p w14:paraId="14A83D29" w14:textId="77777777" w:rsidR="00795BE0" w:rsidRPr="00A4694D" w:rsidRDefault="00795BE0" w:rsidP="00DF4603">
      <w:pPr>
        <w:pStyle w:val="ListParagraph"/>
        <w:numPr>
          <w:ilvl w:val="0"/>
          <w:numId w:val="80"/>
        </w:numPr>
        <w:spacing w:line="240" w:lineRule="auto"/>
        <w:rPr>
          <w:rFonts w:ascii="Arial" w:hAnsi="Arial" w:cs="Arial"/>
          <w:sz w:val="24"/>
          <w:szCs w:val="24"/>
        </w:rPr>
      </w:pPr>
      <w:r w:rsidRPr="00A4694D">
        <w:rPr>
          <w:rFonts w:ascii="Arial" w:hAnsi="Arial" w:cs="Arial"/>
          <w:sz w:val="24"/>
          <w:szCs w:val="24"/>
        </w:rPr>
        <w:t>Joint Road Safety Group Reserve – surpluses arising from JRSG activity;</w:t>
      </w:r>
    </w:p>
    <w:p w14:paraId="153F1B60" w14:textId="77777777" w:rsidR="00795BE0" w:rsidRPr="00A4694D" w:rsidRDefault="00795BE0" w:rsidP="00DF4603">
      <w:pPr>
        <w:pStyle w:val="ListParagraph"/>
        <w:numPr>
          <w:ilvl w:val="0"/>
          <w:numId w:val="80"/>
        </w:numPr>
        <w:spacing w:line="240" w:lineRule="auto"/>
        <w:rPr>
          <w:rFonts w:ascii="Arial" w:hAnsi="Arial" w:cs="Arial"/>
          <w:sz w:val="24"/>
          <w:szCs w:val="24"/>
        </w:rPr>
      </w:pPr>
      <w:r w:rsidRPr="00A4694D">
        <w:rPr>
          <w:rFonts w:ascii="Arial" w:hAnsi="Arial" w:cs="Arial"/>
          <w:sz w:val="24"/>
          <w:szCs w:val="24"/>
        </w:rPr>
        <w:t>Concessionary Fares Reserve – surpluses of reimbursed income set aside for future investment;</w:t>
      </w:r>
    </w:p>
    <w:p w14:paraId="3109DE4F" w14:textId="77777777" w:rsidR="00795BE0" w:rsidRPr="00A4694D" w:rsidRDefault="00795BE0" w:rsidP="00DF4603">
      <w:pPr>
        <w:pStyle w:val="ListParagraph"/>
        <w:numPr>
          <w:ilvl w:val="0"/>
          <w:numId w:val="80"/>
        </w:numPr>
        <w:spacing w:line="240" w:lineRule="auto"/>
        <w:rPr>
          <w:rFonts w:ascii="Arial" w:hAnsi="Arial" w:cs="Arial"/>
          <w:sz w:val="24"/>
          <w:szCs w:val="24"/>
        </w:rPr>
      </w:pPr>
      <w:r w:rsidRPr="00A4694D">
        <w:rPr>
          <w:rFonts w:ascii="Arial" w:hAnsi="Arial" w:cs="Arial"/>
          <w:sz w:val="24"/>
          <w:szCs w:val="24"/>
        </w:rPr>
        <w:t>Capital Grants Unapplied Reserve – grants for specific capital schemes to be applied in future years.</w:t>
      </w:r>
    </w:p>
    <w:bookmarkEnd w:id="272"/>
    <w:p w14:paraId="62A24B86" w14:textId="77777777" w:rsidR="00795BE0" w:rsidRPr="0007572B" w:rsidRDefault="00795BE0" w:rsidP="00795BE0">
      <w:pPr>
        <w:rPr>
          <w:rFonts w:ascii="Arial" w:hAnsi="Arial" w:cs="Arial"/>
        </w:rPr>
      </w:pPr>
      <w:r w:rsidRPr="0007572B">
        <w:rPr>
          <w:rFonts w:ascii="Arial" w:hAnsi="Arial" w:cs="Arial"/>
        </w:rPr>
        <w:t>NW Evergreen Holdings Reserve</w:t>
      </w:r>
    </w:p>
    <w:p w14:paraId="073830D2" w14:textId="77777777" w:rsidR="00795BE0" w:rsidRPr="0007572B" w:rsidRDefault="00795BE0" w:rsidP="00DF4603">
      <w:pPr>
        <w:pStyle w:val="ListParagraph"/>
        <w:numPr>
          <w:ilvl w:val="0"/>
          <w:numId w:val="81"/>
        </w:numPr>
        <w:spacing w:line="240" w:lineRule="auto"/>
        <w:rPr>
          <w:rFonts w:ascii="Arial" w:hAnsi="Arial" w:cs="Arial"/>
          <w:sz w:val="24"/>
          <w:szCs w:val="24"/>
        </w:rPr>
      </w:pPr>
      <w:r w:rsidRPr="0007572B">
        <w:rPr>
          <w:rFonts w:ascii="Arial" w:hAnsi="Arial" w:cs="Arial"/>
          <w:sz w:val="24"/>
          <w:szCs w:val="24"/>
        </w:rPr>
        <w:t>Includes grant monies novated to NW Evergreen for investment in city areas.</w:t>
      </w:r>
    </w:p>
    <w:p w14:paraId="11B5934D" w14:textId="77777777" w:rsidR="00795BE0" w:rsidRPr="0007572B" w:rsidRDefault="00795BE0" w:rsidP="00795BE0">
      <w:pPr>
        <w:rPr>
          <w:rFonts w:ascii="Arial" w:hAnsi="Arial" w:cs="Arial"/>
        </w:rPr>
      </w:pPr>
      <w:r w:rsidRPr="0007572B">
        <w:rPr>
          <w:rFonts w:ascii="Arial" w:hAnsi="Arial" w:cs="Arial"/>
        </w:rPr>
        <w:t>Fund of Funds Reserve</w:t>
      </w:r>
    </w:p>
    <w:p w14:paraId="72E27F85" w14:textId="0869A365" w:rsidR="00BF1014" w:rsidRPr="00DA611C" w:rsidRDefault="00795BE0" w:rsidP="00647034">
      <w:pPr>
        <w:pStyle w:val="ListParagraph"/>
        <w:numPr>
          <w:ilvl w:val="0"/>
          <w:numId w:val="81"/>
        </w:numPr>
        <w:spacing w:line="240" w:lineRule="auto"/>
        <w:rPr>
          <w:rFonts w:ascii="Arial" w:hAnsi="Arial" w:cs="Arial"/>
          <w:b/>
        </w:rPr>
      </w:pPr>
      <w:r w:rsidRPr="00BF1014">
        <w:rPr>
          <w:rFonts w:ascii="Arial" w:hAnsi="Arial" w:cs="Arial"/>
          <w:sz w:val="24"/>
          <w:szCs w:val="24"/>
        </w:rPr>
        <w:t>Includes funding from European Regional Development Fund held for investment in low carbon and energy efficiency initiatives</w:t>
      </w:r>
      <w:r w:rsidR="00BF1014" w:rsidRPr="00BF1014">
        <w:rPr>
          <w:rFonts w:ascii="Arial" w:hAnsi="Arial" w:cs="Arial"/>
          <w:sz w:val="24"/>
          <w:szCs w:val="24"/>
        </w:rPr>
        <w:t>.</w:t>
      </w:r>
    </w:p>
    <w:p w14:paraId="50CB55E9" w14:textId="77777777" w:rsidR="00DA611C" w:rsidRPr="00647034" w:rsidRDefault="00DA611C" w:rsidP="00DA611C">
      <w:pPr>
        <w:pStyle w:val="ListParagraph"/>
        <w:spacing w:line="240" w:lineRule="auto"/>
        <w:rPr>
          <w:rFonts w:ascii="Arial" w:hAnsi="Arial" w:cs="Arial"/>
          <w:b/>
        </w:rPr>
      </w:pPr>
    </w:p>
    <w:p w14:paraId="2E46FF84" w14:textId="3AC9A45A" w:rsidR="00795BE0" w:rsidRPr="0007572B" w:rsidRDefault="00795BE0" w:rsidP="00795BE0">
      <w:pPr>
        <w:pStyle w:val="Heading3greennumbered"/>
      </w:pPr>
      <w:bookmarkStart w:id="273" w:name="_Toc92894934"/>
      <w:bookmarkStart w:id="274" w:name="_Toc92895238"/>
      <w:bookmarkStart w:id="275" w:name="_Toc109922672"/>
      <w:r w:rsidRPr="0007572B">
        <w:t>4</w:t>
      </w:r>
      <w:r w:rsidR="00DA611C">
        <w:t>2</w:t>
      </w:r>
      <w:r w:rsidRPr="0007572B">
        <w:t xml:space="preserve"> Group Nature of Income and Expenditure</w:t>
      </w:r>
      <w:bookmarkEnd w:id="273"/>
      <w:bookmarkEnd w:id="274"/>
      <w:bookmarkEnd w:id="275"/>
    </w:p>
    <w:p w14:paraId="74C54504" w14:textId="77777777" w:rsidR="00795BE0" w:rsidRDefault="00795BE0" w:rsidP="00795BE0">
      <w:pPr>
        <w:rPr>
          <w:rFonts w:ascii="Arial" w:hAnsi="Arial" w:cs="Arial"/>
        </w:rPr>
      </w:pPr>
    </w:p>
    <w:p w14:paraId="5D18156D" w14:textId="5DEED135" w:rsidR="00795BE0" w:rsidRDefault="00795BE0" w:rsidP="00795BE0">
      <w:pPr>
        <w:rPr>
          <w:rFonts w:ascii="Arial" w:hAnsi="Arial" w:cs="Arial"/>
        </w:rPr>
      </w:pPr>
      <w:r w:rsidRPr="0007572B">
        <w:rPr>
          <w:rFonts w:ascii="Arial" w:hAnsi="Arial" w:cs="Arial"/>
        </w:rPr>
        <w:t>The nature of the Group’s income and expenditure is outlined in the table below:</w:t>
      </w:r>
    </w:p>
    <w:p w14:paraId="2DDCD145" w14:textId="77777777" w:rsidR="006F400A" w:rsidRPr="00C10207" w:rsidRDefault="006F400A" w:rsidP="00795BE0">
      <w:pPr>
        <w:rPr>
          <w:rFonts w:ascii="Arial" w:hAnsi="Arial" w:cs="Arial"/>
        </w:rPr>
      </w:pPr>
    </w:p>
    <w:p w14:paraId="4EB52AC6" w14:textId="16AF1835" w:rsidR="00795BE0" w:rsidRPr="00647034" w:rsidRDefault="00DA611C" w:rsidP="00647034">
      <w:pPr>
        <w:rPr>
          <w:rFonts w:ascii="Arial" w:hAnsi="Arial" w:cs="Arial"/>
          <w:b/>
        </w:rPr>
      </w:pPr>
      <w:r w:rsidRPr="00DA611C">
        <w:rPr>
          <w:noProof/>
        </w:rPr>
        <w:drawing>
          <wp:inline distT="0" distB="0" distL="0" distR="0" wp14:anchorId="5DE5C4C4" wp14:editId="5E5C517D">
            <wp:extent cx="5391785" cy="318452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1785" cy="3184525"/>
                    </a:xfrm>
                    <a:prstGeom prst="rect">
                      <a:avLst/>
                    </a:prstGeom>
                    <a:noFill/>
                    <a:ln>
                      <a:noFill/>
                    </a:ln>
                  </pic:spPr>
                </pic:pic>
              </a:graphicData>
            </a:graphic>
          </wp:inline>
        </w:drawing>
      </w:r>
      <w:r w:rsidR="00795BE0" w:rsidRPr="0007572B">
        <w:rPr>
          <w:rFonts w:ascii="Arial" w:hAnsi="Arial" w:cs="Arial"/>
          <w:b/>
          <w:sz w:val="22"/>
          <w:szCs w:val="22"/>
        </w:rPr>
        <w:br w:type="page"/>
      </w:r>
    </w:p>
    <w:p w14:paraId="1736D196" w14:textId="0ABDCB90" w:rsidR="00795BE0" w:rsidRPr="0007572B" w:rsidRDefault="00795BE0" w:rsidP="00795BE0">
      <w:pPr>
        <w:pStyle w:val="Heading3greennumbered"/>
      </w:pPr>
      <w:bookmarkStart w:id="276" w:name="_Toc92894935"/>
      <w:bookmarkStart w:id="277" w:name="_Toc92895239"/>
      <w:bookmarkStart w:id="278" w:name="_Toc109922673"/>
      <w:r w:rsidRPr="0007572B">
        <w:lastRenderedPageBreak/>
        <w:t>4</w:t>
      </w:r>
      <w:r w:rsidR="008633CA">
        <w:t>3</w:t>
      </w:r>
      <w:r w:rsidRPr="0007572B">
        <w:t xml:space="preserve"> Group Financing and Investment Expenditure and Income</w:t>
      </w:r>
      <w:bookmarkEnd w:id="276"/>
      <w:bookmarkEnd w:id="277"/>
      <w:bookmarkEnd w:id="278"/>
    </w:p>
    <w:p w14:paraId="2D13314C" w14:textId="77777777" w:rsidR="00795BE0" w:rsidRDefault="00795BE0" w:rsidP="00795BE0">
      <w:pPr>
        <w:rPr>
          <w:rFonts w:ascii="Arial" w:hAnsi="Arial" w:cs="Arial"/>
        </w:rPr>
      </w:pPr>
    </w:p>
    <w:p w14:paraId="5457073A" w14:textId="7C948731" w:rsidR="00795BE0" w:rsidRPr="0007572B" w:rsidRDefault="00DA611C" w:rsidP="00795BE0">
      <w:pPr>
        <w:rPr>
          <w:rFonts w:ascii="Arial" w:hAnsi="Arial" w:cs="Arial"/>
        </w:rPr>
      </w:pPr>
      <w:r w:rsidRPr="00DA611C">
        <w:rPr>
          <w:noProof/>
        </w:rPr>
        <w:drawing>
          <wp:inline distT="0" distB="0" distL="0" distR="0" wp14:anchorId="3867960B" wp14:editId="447CA361">
            <wp:extent cx="4729480" cy="1271905"/>
            <wp:effectExtent l="0" t="0" r="0" b="444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29480" cy="1271905"/>
                    </a:xfrm>
                    <a:prstGeom prst="rect">
                      <a:avLst/>
                    </a:prstGeom>
                    <a:noFill/>
                    <a:ln>
                      <a:noFill/>
                    </a:ln>
                  </pic:spPr>
                </pic:pic>
              </a:graphicData>
            </a:graphic>
          </wp:inline>
        </w:drawing>
      </w:r>
    </w:p>
    <w:p w14:paraId="29BD1503" w14:textId="77777777" w:rsidR="00795BE0" w:rsidRPr="0007572B" w:rsidRDefault="00795BE0" w:rsidP="00795BE0">
      <w:pPr>
        <w:rPr>
          <w:rFonts w:ascii="Arial" w:hAnsi="Arial" w:cs="Arial"/>
          <w:b/>
          <w:szCs w:val="28"/>
        </w:rPr>
      </w:pPr>
    </w:p>
    <w:p w14:paraId="6F01CF20" w14:textId="3E9BA129" w:rsidR="00795BE0" w:rsidRDefault="009B74BD" w:rsidP="00795BE0">
      <w:pPr>
        <w:rPr>
          <w:rFonts w:ascii="Arial" w:hAnsi="Arial" w:cs="Arial"/>
          <w:b/>
          <w:szCs w:val="28"/>
        </w:rPr>
      </w:pPr>
      <w:r w:rsidRPr="009B74BD">
        <w:rPr>
          <w:noProof/>
        </w:rPr>
        <w:drawing>
          <wp:inline distT="0" distB="0" distL="0" distR="0" wp14:anchorId="012FBE4E" wp14:editId="34D731BB">
            <wp:extent cx="4729480" cy="1019810"/>
            <wp:effectExtent l="0" t="0" r="0" b="889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29480" cy="1019810"/>
                    </a:xfrm>
                    <a:prstGeom prst="rect">
                      <a:avLst/>
                    </a:prstGeom>
                    <a:noFill/>
                    <a:ln>
                      <a:noFill/>
                    </a:ln>
                  </pic:spPr>
                </pic:pic>
              </a:graphicData>
            </a:graphic>
          </wp:inline>
        </w:drawing>
      </w:r>
    </w:p>
    <w:p w14:paraId="223E72DF" w14:textId="50C98869" w:rsidR="00F65B75" w:rsidRDefault="00F65B75" w:rsidP="00795BE0">
      <w:pPr>
        <w:rPr>
          <w:rFonts w:ascii="Arial" w:hAnsi="Arial" w:cs="Arial"/>
          <w:b/>
          <w:szCs w:val="28"/>
        </w:rPr>
      </w:pPr>
    </w:p>
    <w:p w14:paraId="5E831536" w14:textId="77777777" w:rsidR="00F65B75" w:rsidRPr="0007572B" w:rsidRDefault="00F65B75" w:rsidP="00795BE0">
      <w:pPr>
        <w:rPr>
          <w:rFonts w:ascii="Arial" w:hAnsi="Arial" w:cs="Arial"/>
          <w:b/>
          <w:szCs w:val="28"/>
        </w:rPr>
      </w:pPr>
    </w:p>
    <w:p w14:paraId="061336D7" w14:textId="120ECDE9" w:rsidR="00795BE0" w:rsidRPr="00C10207" w:rsidRDefault="00795BE0" w:rsidP="00C10207">
      <w:pPr>
        <w:pStyle w:val="Heading3greennumbered"/>
      </w:pPr>
      <w:bookmarkStart w:id="279" w:name="_Toc92894936"/>
      <w:bookmarkStart w:id="280" w:name="_Toc92895240"/>
      <w:bookmarkStart w:id="281" w:name="_Toc109922674"/>
      <w:r w:rsidRPr="0007572B">
        <w:t>4</w:t>
      </w:r>
      <w:r w:rsidR="008633CA">
        <w:t>4</w:t>
      </w:r>
      <w:r w:rsidRPr="0007572B">
        <w:t xml:space="preserve"> Group Taxation and Non-Specific Grant Income</w:t>
      </w:r>
      <w:bookmarkEnd w:id="279"/>
      <w:bookmarkEnd w:id="280"/>
      <w:bookmarkEnd w:id="281"/>
    </w:p>
    <w:p w14:paraId="2A2B7A26" w14:textId="77777777" w:rsidR="00795BE0" w:rsidRPr="0007572B" w:rsidRDefault="00795BE0" w:rsidP="00795BE0">
      <w:pPr>
        <w:rPr>
          <w:rFonts w:ascii="Arial" w:hAnsi="Arial" w:cs="Arial"/>
          <w:b/>
        </w:rPr>
      </w:pPr>
    </w:p>
    <w:p w14:paraId="60F9D0F0" w14:textId="6BABB0BB" w:rsidR="00795BE0" w:rsidRPr="0007572B" w:rsidRDefault="009B74BD" w:rsidP="00795BE0">
      <w:pPr>
        <w:rPr>
          <w:rFonts w:ascii="Arial" w:hAnsi="Arial" w:cs="Arial"/>
          <w:b/>
        </w:rPr>
      </w:pPr>
      <w:r w:rsidRPr="009B74BD">
        <w:rPr>
          <w:noProof/>
        </w:rPr>
        <w:drawing>
          <wp:inline distT="0" distB="0" distL="0" distR="0" wp14:anchorId="442A5019" wp14:editId="1B501E6B">
            <wp:extent cx="5234305" cy="4456430"/>
            <wp:effectExtent l="0" t="0" r="4445"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34305" cy="4456430"/>
                    </a:xfrm>
                    <a:prstGeom prst="rect">
                      <a:avLst/>
                    </a:prstGeom>
                    <a:noFill/>
                    <a:ln>
                      <a:noFill/>
                    </a:ln>
                  </pic:spPr>
                </pic:pic>
              </a:graphicData>
            </a:graphic>
          </wp:inline>
        </w:drawing>
      </w:r>
    </w:p>
    <w:p w14:paraId="6AD16C87" w14:textId="77777777" w:rsidR="00795BE0" w:rsidRPr="0007572B" w:rsidRDefault="00795BE0" w:rsidP="00795BE0">
      <w:pPr>
        <w:rPr>
          <w:rFonts w:ascii="Arial" w:hAnsi="Arial" w:cs="Arial"/>
          <w:b/>
          <w:sz w:val="22"/>
          <w:szCs w:val="22"/>
        </w:rPr>
      </w:pPr>
      <w:r w:rsidRPr="0007572B">
        <w:rPr>
          <w:rFonts w:ascii="Arial" w:hAnsi="Arial" w:cs="Arial"/>
          <w:b/>
          <w:sz w:val="22"/>
          <w:szCs w:val="22"/>
        </w:rPr>
        <w:br w:type="page"/>
      </w:r>
    </w:p>
    <w:p w14:paraId="7F3D5766" w14:textId="196841D8" w:rsidR="00795BE0" w:rsidRPr="0007572B" w:rsidRDefault="00795BE0" w:rsidP="00795BE0">
      <w:pPr>
        <w:pStyle w:val="Heading3greennumbered"/>
      </w:pPr>
      <w:bookmarkStart w:id="282" w:name="_Toc92894937"/>
      <w:bookmarkStart w:id="283" w:name="_Toc92895241"/>
      <w:bookmarkStart w:id="284" w:name="_Toc109922675"/>
      <w:r w:rsidRPr="0007572B">
        <w:lastRenderedPageBreak/>
        <w:t>4</w:t>
      </w:r>
      <w:r w:rsidR="008633CA">
        <w:t>5</w:t>
      </w:r>
      <w:r w:rsidRPr="0007572B">
        <w:t xml:space="preserve"> Group External Audit Fees</w:t>
      </w:r>
      <w:bookmarkEnd w:id="282"/>
      <w:bookmarkEnd w:id="283"/>
      <w:bookmarkEnd w:id="284"/>
    </w:p>
    <w:p w14:paraId="6F4ED4AB" w14:textId="77777777" w:rsidR="00795BE0" w:rsidRDefault="00795BE0" w:rsidP="00795BE0">
      <w:pPr>
        <w:rPr>
          <w:rFonts w:ascii="Arial" w:hAnsi="Arial" w:cs="Arial"/>
        </w:rPr>
      </w:pPr>
    </w:p>
    <w:p w14:paraId="3E41A4A0" w14:textId="77777777" w:rsidR="00795BE0" w:rsidRPr="0007572B" w:rsidRDefault="00795BE0" w:rsidP="00795BE0">
      <w:pPr>
        <w:rPr>
          <w:rFonts w:ascii="Arial" w:hAnsi="Arial" w:cs="Arial"/>
        </w:rPr>
      </w:pPr>
      <w:r w:rsidRPr="0007572B">
        <w:rPr>
          <w:rFonts w:ascii="Arial" w:hAnsi="Arial" w:cs="Arial"/>
        </w:rPr>
        <w:t>The Group has incurred the following External Audit costs in relation to the audit of the Statement of Accounts and certification of grant claims.</w:t>
      </w:r>
    </w:p>
    <w:p w14:paraId="77555561" w14:textId="77777777" w:rsidR="00795BE0" w:rsidRPr="0007572B" w:rsidRDefault="00795BE0" w:rsidP="00795BE0">
      <w:pPr>
        <w:rPr>
          <w:rFonts w:ascii="Arial" w:hAnsi="Arial" w:cs="Arial"/>
        </w:rPr>
      </w:pPr>
    </w:p>
    <w:p w14:paraId="1FB9607A" w14:textId="5BF1620C" w:rsidR="00795BE0" w:rsidRPr="0007572B" w:rsidRDefault="00EF5F08" w:rsidP="00795BE0">
      <w:pPr>
        <w:jc w:val="both"/>
        <w:rPr>
          <w:rFonts w:ascii="Arial" w:hAnsi="Arial" w:cs="Arial"/>
          <w:b/>
        </w:rPr>
      </w:pPr>
      <w:r w:rsidRPr="00EF5F08">
        <w:rPr>
          <w:noProof/>
        </w:rPr>
        <w:drawing>
          <wp:inline distT="0" distB="0" distL="0" distR="0" wp14:anchorId="6AE4C9CA" wp14:editId="17390B60">
            <wp:extent cx="5975350" cy="1351915"/>
            <wp:effectExtent l="0" t="0" r="6350"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75350" cy="1351915"/>
                    </a:xfrm>
                    <a:prstGeom prst="rect">
                      <a:avLst/>
                    </a:prstGeom>
                    <a:noFill/>
                    <a:ln>
                      <a:noFill/>
                    </a:ln>
                  </pic:spPr>
                </pic:pic>
              </a:graphicData>
            </a:graphic>
          </wp:inline>
        </w:drawing>
      </w:r>
    </w:p>
    <w:p w14:paraId="25B6F413" w14:textId="77777777" w:rsidR="00795BE0" w:rsidRPr="0007572B" w:rsidRDefault="00795BE0" w:rsidP="00795BE0">
      <w:pPr>
        <w:jc w:val="both"/>
        <w:rPr>
          <w:rFonts w:ascii="Arial" w:hAnsi="Arial" w:cs="Arial"/>
          <w:b/>
        </w:rPr>
      </w:pPr>
    </w:p>
    <w:p w14:paraId="76BE48E0" w14:textId="5A81FB36" w:rsidR="00795BE0" w:rsidRPr="007A6E96" w:rsidRDefault="00795BE0" w:rsidP="00795BE0">
      <w:pPr>
        <w:pStyle w:val="Heading3greennumbered"/>
      </w:pPr>
      <w:bookmarkStart w:id="285" w:name="_Toc92894938"/>
      <w:bookmarkStart w:id="286" w:name="_Toc92895242"/>
      <w:bookmarkStart w:id="287" w:name="_Toc109922676"/>
      <w:r w:rsidRPr="007A6E96">
        <w:t>4</w:t>
      </w:r>
      <w:r w:rsidR="008633CA">
        <w:t xml:space="preserve">6 </w:t>
      </w:r>
      <w:r w:rsidRPr="007A6E96">
        <w:t>Group Officer Remuneration</w:t>
      </w:r>
      <w:bookmarkEnd w:id="285"/>
      <w:bookmarkEnd w:id="286"/>
      <w:bookmarkEnd w:id="287"/>
    </w:p>
    <w:p w14:paraId="7CFEC09E" w14:textId="77777777" w:rsidR="00795BE0" w:rsidRDefault="00795BE0" w:rsidP="00795BE0">
      <w:pPr>
        <w:rPr>
          <w:rFonts w:ascii="Arial" w:hAnsi="Arial" w:cs="Arial"/>
          <w:b/>
        </w:rPr>
      </w:pPr>
    </w:p>
    <w:p w14:paraId="5430685B" w14:textId="77777777" w:rsidR="00795BE0" w:rsidRPr="0007572B" w:rsidRDefault="00795BE0" w:rsidP="00795BE0">
      <w:pPr>
        <w:pStyle w:val="Heading4bold"/>
      </w:pPr>
      <w:r w:rsidRPr="0007572B">
        <w:t>Officers Remuneration above £50,000</w:t>
      </w:r>
    </w:p>
    <w:p w14:paraId="602047BE" w14:textId="77777777" w:rsidR="00795BE0" w:rsidRDefault="00795BE0" w:rsidP="00795BE0">
      <w:pPr>
        <w:rPr>
          <w:rFonts w:ascii="Arial" w:hAnsi="Arial" w:cs="Arial"/>
          <w:bCs/>
        </w:rPr>
      </w:pPr>
      <w:r w:rsidRPr="0007572B">
        <w:rPr>
          <w:rFonts w:ascii="Arial" w:hAnsi="Arial" w:cs="Arial"/>
        </w:rPr>
        <w:t>The number of employees (including senior officer) receiving more than £50,000 remuneration for the year (excluding employer's pension contributions) were as follows</w:t>
      </w:r>
      <w:r w:rsidRPr="0007572B">
        <w:rPr>
          <w:rFonts w:ascii="Arial" w:hAnsi="Arial" w:cs="Arial"/>
          <w:bCs/>
        </w:rPr>
        <w:t>:</w:t>
      </w:r>
    </w:p>
    <w:p w14:paraId="516D3850" w14:textId="33A4AC5E" w:rsidR="00795BE0" w:rsidRDefault="00795BE0" w:rsidP="00795BE0">
      <w:pPr>
        <w:rPr>
          <w:rFonts w:ascii="Arial" w:hAnsi="Arial" w:cs="Arial"/>
          <w:b/>
        </w:rPr>
      </w:pPr>
    </w:p>
    <w:p w14:paraId="4F756E76" w14:textId="1B9B092F" w:rsidR="00795BE0" w:rsidRPr="0007572B" w:rsidRDefault="00795BE0" w:rsidP="00795BE0">
      <w:pPr>
        <w:rPr>
          <w:rFonts w:ascii="Arial" w:hAnsi="Arial" w:cs="Arial"/>
          <w:b/>
        </w:rPr>
      </w:pPr>
      <w:r w:rsidRPr="00795BE0">
        <w:rPr>
          <w:noProof/>
        </w:rPr>
        <w:drawing>
          <wp:inline distT="0" distB="0" distL="0" distR="0" wp14:anchorId="352EF1B5" wp14:editId="61EFE199">
            <wp:extent cx="5975350" cy="440499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75350" cy="4404995"/>
                    </a:xfrm>
                    <a:prstGeom prst="rect">
                      <a:avLst/>
                    </a:prstGeom>
                    <a:noFill/>
                    <a:ln>
                      <a:noFill/>
                    </a:ln>
                  </pic:spPr>
                </pic:pic>
              </a:graphicData>
            </a:graphic>
          </wp:inline>
        </w:drawing>
      </w:r>
    </w:p>
    <w:p w14:paraId="66162B4E" w14:textId="77777777" w:rsidR="00795BE0" w:rsidRPr="0007572B" w:rsidRDefault="00795BE0" w:rsidP="00795BE0">
      <w:pPr>
        <w:rPr>
          <w:rFonts w:ascii="Arial" w:hAnsi="Arial" w:cs="Arial"/>
        </w:rPr>
      </w:pPr>
    </w:p>
    <w:p w14:paraId="7B882BCB" w14:textId="77777777" w:rsidR="00795BE0" w:rsidRDefault="00795BE0" w:rsidP="00795BE0">
      <w:pPr>
        <w:rPr>
          <w:rFonts w:ascii="Arial" w:hAnsi="Arial" w:cs="Arial"/>
          <w:b/>
        </w:rPr>
        <w:sectPr w:rsidR="00795BE0" w:rsidSect="00171330">
          <w:pgSz w:w="11906" w:h="16838"/>
          <w:pgMar w:top="946" w:right="1416" w:bottom="1440" w:left="1080" w:header="283" w:footer="567" w:gutter="0"/>
          <w:cols w:space="708"/>
          <w:docGrid w:linePitch="360"/>
        </w:sectPr>
      </w:pPr>
    </w:p>
    <w:p w14:paraId="07569475" w14:textId="77777777" w:rsidR="00795BE0" w:rsidRPr="0007572B" w:rsidRDefault="00795BE0" w:rsidP="00795BE0">
      <w:pPr>
        <w:pStyle w:val="Heading4bold"/>
      </w:pPr>
      <w:r w:rsidRPr="0007572B">
        <w:lastRenderedPageBreak/>
        <w:t>Senior Officers Remuneration</w:t>
      </w:r>
    </w:p>
    <w:p w14:paraId="47946F97" w14:textId="29AD2D22" w:rsidR="004E6C8F" w:rsidRDefault="00795BE0" w:rsidP="00795BE0">
      <w:pPr>
        <w:rPr>
          <w:rFonts w:ascii="Arial" w:hAnsi="Arial" w:cs="Arial"/>
          <w:sz w:val="28"/>
          <w:szCs w:val="28"/>
        </w:rPr>
      </w:pPr>
      <w:r w:rsidRPr="0007572B">
        <w:rPr>
          <w:rFonts w:ascii="Arial" w:hAnsi="Arial" w:cs="Arial"/>
        </w:rPr>
        <w:t>Employees are classed as senior officer employees when they received a salary in excess of £150,000 (disclosed by name) or received a salary in excess of £50,000 and reported to a Head of Paid Service for any of the group entities. In addition the salaries for the Mayor, Deputy Mayor for Police and Crime and the Director of the Mayor’s Office are disclosed.</w:t>
      </w:r>
      <w:r w:rsidRPr="0007572B">
        <w:rPr>
          <w:rFonts w:ascii="Arial" w:hAnsi="Arial" w:cs="Arial"/>
          <w:sz w:val="28"/>
          <w:szCs w:val="28"/>
        </w:rPr>
        <w:t xml:space="preserve"> </w:t>
      </w:r>
    </w:p>
    <w:p w14:paraId="73A92859" w14:textId="77777777" w:rsidR="00731725" w:rsidRPr="0007572B" w:rsidRDefault="00731725" w:rsidP="00795BE0">
      <w:pPr>
        <w:rPr>
          <w:rFonts w:ascii="Arial" w:hAnsi="Arial" w:cs="Arial"/>
          <w:sz w:val="28"/>
          <w:szCs w:val="28"/>
        </w:rPr>
      </w:pPr>
    </w:p>
    <w:p w14:paraId="35D8C936" w14:textId="06EF6974" w:rsidR="00795BE0" w:rsidRPr="0007572B" w:rsidRDefault="00EF5F08" w:rsidP="00FC3AF4">
      <w:pPr>
        <w:rPr>
          <w:rFonts w:ascii="Arial" w:hAnsi="Arial" w:cs="Arial"/>
          <w:b/>
        </w:rPr>
      </w:pPr>
      <w:r w:rsidRPr="00EF5F08">
        <w:rPr>
          <w:noProof/>
        </w:rPr>
        <w:drawing>
          <wp:inline distT="0" distB="0" distL="0" distR="0" wp14:anchorId="33C04F3F" wp14:editId="1093192A">
            <wp:extent cx="9177020" cy="3947160"/>
            <wp:effectExtent l="0" t="0" r="508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177020" cy="3947160"/>
                    </a:xfrm>
                    <a:prstGeom prst="rect">
                      <a:avLst/>
                    </a:prstGeom>
                    <a:noFill/>
                    <a:ln>
                      <a:noFill/>
                    </a:ln>
                  </pic:spPr>
                </pic:pic>
              </a:graphicData>
            </a:graphic>
          </wp:inline>
        </w:drawing>
      </w:r>
    </w:p>
    <w:p w14:paraId="58ABF64E" w14:textId="2E32F966" w:rsidR="00795BE0" w:rsidRPr="0007572B" w:rsidRDefault="00EF5F08" w:rsidP="00795BE0">
      <w:pPr>
        <w:rPr>
          <w:rFonts w:ascii="Arial" w:hAnsi="Arial" w:cs="Arial"/>
          <w:b/>
          <w:sz w:val="22"/>
          <w:szCs w:val="22"/>
        </w:rPr>
        <w:sectPr w:rsidR="00795BE0" w:rsidRPr="0007572B" w:rsidSect="008B249B">
          <w:pgSz w:w="16838" w:h="11906" w:orient="landscape"/>
          <w:pgMar w:top="1080" w:right="946" w:bottom="1416" w:left="1440" w:header="283" w:footer="567" w:gutter="0"/>
          <w:cols w:space="708"/>
          <w:docGrid w:linePitch="360"/>
        </w:sectPr>
      </w:pPr>
      <w:r w:rsidRPr="00EF5F08">
        <w:rPr>
          <w:noProof/>
        </w:rPr>
        <w:lastRenderedPageBreak/>
        <w:drawing>
          <wp:inline distT="0" distB="0" distL="0" distR="0" wp14:anchorId="16881F2C" wp14:editId="624A0258">
            <wp:extent cx="9177020" cy="2949575"/>
            <wp:effectExtent l="0" t="0" r="5080" b="317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77020" cy="2949575"/>
                    </a:xfrm>
                    <a:prstGeom prst="rect">
                      <a:avLst/>
                    </a:prstGeom>
                    <a:noFill/>
                    <a:ln>
                      <a:noFill/>
                    </a:ln>
                  </pic:spPr>
                </pic:pic>
              </a:graphicData>
            </a:graphic>
          </wp:inline>
        </w:drawing>
      </w:r>
    </w:p>
    <w:p w14:paraId="5814F86F" w14:textId="77777777" w:rsidR="00795BE0" w:rsidRPr="0007572B" w:rsidRDefault="00795BE0" w:rsidP="00795BE0">
      <w:pPr>
        <w:pStyle w:val="Heading4bold"/>
      </w:pPr>
      <w:r w:rsidRPr="0007572B">
        <w:lastRenderedPageBreak/>
        <w:t>Exit Costs</w:t>
      </w:r>
    </w:p>
    <w:p w14:paraId="378B9BF5" w14:textId="77777777" w:rsidR="00795BE0" w:rsidRPr="0007572B" w:rsidRDefault="00795BE0" w:rsidP="00795BE0">
      <w:pPr>
        <w:rPr>
          <w:rFonts w:ascii="Arial" w:hAnsi="Arial" w:cs="Arial"/>
        </w:rPr>
      </w:pPr>
      <w:r w:rsidRPr="0007572B">
        <w:rPr>
          <w:rFonts w:ascii="Arial" w:hAnsi="Arial" w:cs="Arial"/>
        </w:rPr>
        <w:t>Exit payments are made as a result of the departure of staff from the Authority. The total cost per band and the total cost of compulsory and other redundancies are set out in the table below:</w:t>
      </w:r>
    </w:p>
    <w:p w14:paraId="01EAD37C" w14:textId="77777777" w:rsidR="00795BE0" w:rsidRPr="0007572B" w:rsidRDefault="00795BE0" w:rsidP="00795BE0">
      <w:pPr>
        <w:rPr>
          <w:rFonts w:ascii="Arial" w:hAnsi="Arial" w:cs="Arial"/>
          <w:b/>
          <w:highlight w:val="yellow"/>
        </w:rPr>
      </w:pPr>
    </w:p>
    <w:p w14:paraId="28BFE87B" w14:textId="6BD9BAAD" w:rsidR="00795BE0" w:rsidRPr="0007572B" w:rsidRDefault="009B74BD" w:rsidP="00795BE0">
      <w:pPr>
        <w:rPr>
          <w:rFonts w:ascii="Arial" w:hAnsi="Arial" w:cs="Arial"/>
          <w:b/>
        </w:rPr>
      </w:pPr>
      <w:r w:rsidRPr="009B74BD">
        <w:rPr>
          <w:noProof/>
        </w:rPr>
        <w:drawing>
          <wp:inline distT="0" distB="0" distL="0" distR="0" wp14:anchorId="549E2C19" wp14:editId="71CADB4A">
            <wp:extent cx="5975350" cy="1697990"/>
            <wp:effectExtent l="0" t="0" r="635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75350" cy="1697990"/>
                    </a:xfrm>
                    <a:prstGeom prst="rect">
                      <a:avLst/>
                    </a:prstGeom>
                    <a:noFill/>
                    <a:ln>
                      <a:noFill/>
                    </a:ln>
                  </pic:spPr>
                </pic:pic>
              </a:graphicData>
            </a:graphic>
          </wp:inline>
        </w:drawing>
      </w:r>
    </w:p>
    <w:p w14:paraId="65468582" w14:textId="77777777" w:rsidR="00795BE0" w:rsidRDefault="00795BE0" w:rsidP="00795BE0">
      <w:pPr>
        <w:rPr>
          <w:rFonts w:ascii="Arial" w:hAnsi="Arial" w:cs="Arial"/>
          <w:b/>
          <w:highlight w:val="yellow"/>
        </w:rPr>
      </w:pPr>
    </w:p>
    <w:p w14:paraId="15EC9E75" w14:textId="77777777" w:rsidR="00795BE0" w:rsidRPr="0007572B" w:rsidRDefault="00795BE0" w:rsidP="00795BE0">
      <w:pPr>
        <w:rPr>
          <w:rFonts w:ascii="Arial" w:hAnsi="Arial" w:cs="Arial"/>
          <w:b/>
          <w:highlight w:val="yellow"/>
        </w:rPr>
      </w:pPr>
    </w:p>
    <w:p w14:paraId="3187ACD8" w14:textId="59E56E47" w:rsidR="00795BE0" w:rsidRPr="0007572B" w:rsidRDefault="00795BE0" w:rsidP="00795BE0">
      <w:pPr>
        <w:pStyle w:val="Heading3greennumbered"/>
      </w:pPr>
      <w:bookmarkStart w:id="288" w:name="_Toc92894939"/>
      <w:bookmarkStart w:id="289" w:name="_Toc92895243"/>
      <w:bookmarkStart w:id="290" w:name="_Toc109922677"/>
      <w:r w:rsidRPr="0007572B">
        <w:t>4</w:t>
      </w:r>
      <w:r w:rsidR="008633CA">
        <w:t>7</w:t>
      </w:r>
      <w:r w:rsidRPr="0007572B">
        <w:t xml:space="preserve"> Group Capital and Lease Commitments</w:t>
      </w:r>
      <w:bookmarkEnd w:id="288"/>
      <w:bookmarkEnd w:id="289"/>
      <w:bookmarkEnd w:id="290"/>
    </w:p>
    <w:p w14:paraId="3CFEB91B" w14:textId="77777777" w:rsidR="00795BE0" w:rsidRDefault="00795BE0" w:rsidP="00795BE0">
      <w:pPr>
        <w:rPr>
          <w:rFonts w:ascii="Arial" w:hAnsi="Arial" w:cs="Arial"/>
        </w:rPr>
      </w:pPr>
    </w:p>
    <w:p w14:paraId="13100419" w14:textId="403E9A86" w:rsidR="00795BE0" w:rsidRPr="0007572B" w:rsidRDefault="000C2400" w:rsidP="00795BE0">
      <w:pPr>
        <w:rPr>
          <w:rFonts w:ascii="Arial" w:hAnsi="Arial" w:cs="Arial"/>
        </w:rPr>
      </w:pPr>
      <w:r w:rsidRPr="000C2400">
        <w:rPr>
          <w:noProof/>
        </w:rPr>
        <w:drawing>
          <wp:inline distT="0" distB="0" distL="0" distR="0" wp14:anchorId="06775A35" wp14:editId="30F4F3ED">
            <wp:extent cx="5391150" cy="1057275"/>
            <wp:effectExtent l="0" t="0" r="0" b="9525"/>
            <wp:docPr id="1622582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1057275"/>
                    </a:xfrm>
                    <a:prstGeom prst="rect">
                      <a:avLst/>
                    </a:prstGeom>
                    <a:noFill/>
                    <a:ln>
                      <a:noFill/>
                    </a:ln>
                  </pic:spPr>
                </pic:pic>
              </a:graphicData>
            </a:graphic>
          </wp:inline>
        </w:drawing>
      </w:r>
    </w:p>
    <w:p w14:paraId="6879EAE7" w14:textId="77777777" w:rsidR="00795BE0" w:rsidRPr="0007572B" w:rsidRDefault="00795BE0" w:rsidP="00795BE0">
      <w:pPr>
        <w:ind w:left="2" w:right="4073" w:firstLine="10"/>
        <w:rPr>
          <w:rFonts w:ascii="Arial" w:eastAsia="Calibri" w:hAnsi="Arial" w:cs="Arial"/>
        </w:rPr>
      </w:pPr>
    </w:p>
    <w:p w14:paraId="2835861F" w14:textId="7F6FCACD" w:rsidR="00795BE0" w:rsidRPr="0007572B" w:rsidRDefault="00795BE0" w:rsidP="00795BE0">
      <w:pPr>
        <w:ind w:right="95" w:firstLine="10"/>
        <w:rPr>
          <w:rFonts w:ascii="Arial" w:eastAsia="Calibri" w:hAnsi="Arial" w:cs="Arial"/>
          <w:spacing w:val="-1"/>
        </w:rPr>
      </w:pPr>
      <w:r w:rsidRPr="0007572B">
        <w:rPr>
          <w:rFonts w:ascii="Arial" w:eastAsia="Calibri" w:hAnsi="Arial" w:cs="Arial"/>
          <w:spacing w:val="-1"/>
        </w:rPr>
        <w:t>The key commitments for 202</w:t>
      </w:r>
      <w:r>
        <w:rPr>
          <w:rFonts w:ascii="Arial" w:eastAsia="Calibri" w:hAnsi="Arial" w:cs="Arial"/>
          <w:spacing w:val="-1"/>
        </w:rPr>
        <w:t>1</w:t>
      </w:r>
      <w:r w:rsidRPr="0007572B">
        <w:rPr>
          <w:rFonts w:ascii="Arial" w:eastAsia="Calibri" w:hAnsi="Arial" w:cs="Arial"/>
          <w:spacing w:val="-1"/>
        </w:rPr>
        <w:t>/2</w:t>
      </w:r>
      <w:r>
        <w:rPr>
          <w:rFonts w:ascii="Arial" w:eastAsia="Calibri" w:hAnsi="Arial" w:cs="Arial"/>
          <w:spacing w:val="-1"/>
        </w:rPr>
        <w:t>2</w:t>
      </w:r>
      <w:r w:rsidRPr="0007572B">
        <w:rPr>
          <w:rFonts w:ascii="Arial" w:eastAsia="Calibri" w:hAnsi="Arial" w:cs="Arial"/>
          <w:spacing w:val="-1"/>
        </w:rPr>
        <w:t xml:space="preserve"> are in relation to the Transport for Greater Manchester and the following projects:</w:t>
      </w:r>
    </w:p>
    <w:p w14:paraId="286723D0" w14:textId="77777777" w:rsidR="00795BE0" w:rsidRPr="007A6E96" w:rsidRDefault="00795BE0" w:rsidP="00795BE0">
      <w:pPr>
        <w:ind w:right="4071" w:firstLine="11"/>
        <w:rPr>
          <w:rFonts w:ascii="Arial" w:eastAsia="Calibri" w:hAnsi="Arial" w:cs="Arial"/>
          <w:sz w:val="28"/>
          <w:szCs w:val="28"/>
        </w:rPr>
      </w:pPr>
    </w:p>
    <w:p w14:paraId="18470C5B" w14:textId="6228DB7C" w:rsidR="00795BE0" w:rsidRPr="00795BE0" w:rsidRDefault="00795BE0" w:rsidP="00DF4603">
      <w:pPr>
        <w:pStyle w:val="ListParagraph"/>
        <w:numPr>
          <w:ilvl w:val="0"/>
          <w:numId w:val="82"/>
        </w:numPr>
        <w:snapToGrid w:val="0"/>
        <w:spacing w:after="0" w:line="240" w:lineRule="auto"/>
        <w:rPr>
          <w:rFonts w:ascii="Arial" w:hAnsi="Arial" w:cs="Arial"/>
          <w:sz w:val="24"/>
          <w:szCs w:val="24"/>
        </w:rPr>
      </w:pPr>
      <w:r w:rsidRPr="00795BE0">
        <w:rPr>
          <w:rFonts w:ascii="Arial" w:hAnsi="Arial" w:cs="Arial"/>
          <w:sz w:val="24"/>
          <w:szCs w:val="24"/>
        </w:rPr>
        <w:t>Stockport Interchange / Mixed Use Scheme £87.1m (2020/21: £1.2m). This is in respect of the construction of a new interchange inclusive of a park podium, link bridge and residential apartments; and</w:t>
      </w:r>
    </w:p>
    <w:p w14:paraId="17D5A028" w14:textId="26C96C28" w:rsidR="00795BE0" w:rsidRPr="00795BE0" w:rsidRDefault="00795BE0" w:rsidP="00DF4603">
      <w:pPr>
        <w:pStyle w:val="ListParagraph"/>
        <w:numPr>
          <w:ilvl w:val="0"/>
          <w:numId w:val="82"/>
        </w:numPr>
        <w:snapToGrid w:val="0"/>
        <w:spacing w:after="0" w:line="240" w:lineRule="auto"/>
        <w:rPr>
          <w:rFonts w:ascii="Arial" w:hAnsi="Arial" w:cs="Arial"/>
        </w:rPr>
      </w:pPr>
      <w:r w:rsidRPr="00795BE0">
        <w:rPr>
          <w:rFonts w:ascii="Arial" w:hAnsi="Arial" w:cs="Arial"/>
          <w:sz w:val="24"/>
          <w:szCs w:val="24"/>
        </w:rPr>
        <w:t>Metrolink Capacity Improvement Programme (MCIP) £18.9m (2020/21: £16.8m). This project relates to the purchase of 27 additional trams and associated infrastructure.</w:t>
      </w:r>
    </w:p>
    <w:p w14:paraId="06E493F8" w14:textId="77777777" w:rsidR="00795BE0" w:rsidRDefault="00795BE0" w:rsidP="00795BE0">
      <w:pPr>
        <w:tabs>
          <w:tab w:val="left" w:pos="720"/>
        </w:tabs>
        <w:ind w:left="721" w:right="54" w:hanging="360"/>
        <w:rPr>
          <w:rFonts w:ascii="Arial" w:eastAsia="Calibri" w:hAnsi="Arial" w:cs="Arial"/>
        </w:rPr>
      </w:pPr>
    </w:p>
    <w:p w14:paraId="7B007CA1" w14:textId="57AE05D3" w:rsidR="00795BE0" w:rsidRPr="00647034" w:rsidRDefault="0027341C" w:rsidP="00647034">
      <w:pPr>
        <w:tabs>
          <w:tab w:val="left" w:pos="720"/>
        </w:tabs>
        <w:ind w:left="360" w:right="54" w:hanging="360"/>
        <w:rPr>
          <w:rFonts w:ascii="Arial" w:eastAsia="Calibri" w:hAnsi="Arial" w:cs="Arial"/>
        </w:rPr>
        <w:sectPr w:rsidR="00795BE0" w:rsidRPr="00647034" w:rsidSect="006962C5">
          <w:pgSz w:w="11906" w:h="16838"/>
          <w:pgMar w:top="946" w:right="1416" w:bottom="1440" w:left="1080" w:header="283" w:footer="567" w:gutter="0"/>
          <w:cols w:space="708"/>
          <w:docGrid w:linePitch="360"/>
        </w:sectPr>
      </w:pPr>
      <w:r w:rsidRPr="0027341C">
        <w:rPr>
          <w:rFonts w:eastAsia="Calibri"/>
          <w:noProof/>
        </w:rPr>
        <w:drawing>
          <wp:inline distT="0" distB="0" distL="0" distR="0" wp14:anchorId="7F9231FB" wp14:editId="57A864DC">
            <wp:extent cx="5393690" cy="20256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3690" cy="2025650"/>
                    </a:xfrm>
                    <a:prstGeom prst="rect">
                      <a:avLst/>
                    </a:prstGeom>
                    <a:noFill/>
                    <a:ln>
                      <a:noFill/>
                    </a:ln>
                  </pic:spPr>
                </pic:pic>
              </a:graphicData>
            </a:graphic>
          </wp:inline>
        </w:drawing>
      </w:r>
    </w:p>
    <w:p w14:paraId="5CBA2413" w14:textId="77777777" w:rsidR="00795BE0" w:rsidRPr="0007572B" w:rsidRDefault="00795BE0" w:rsidP="00795BE0">
      <w:pPr>
        <w:rPr>
          <w:rFonts w:ascii="Arial" w:hAnsi="Arial" w:cs="Arial"/>
          <w:b/>
          <w:sz w:val="22"/>
          <w:szCs w:val="22"/>
        </w:rPr>
      </w:pPr>
    </w:p>
    <w:p w14:paraId="6C06C2D8" w14:textId="79301889" w:rsidR="00795BE0" w:rsidRPr="0007572B" w:rsidRDefault="00795BE0" w:rsidP="00795BE0">
      <w:pPr>
        <w:pStyle w:val="Heading3greennumbered"/>
      </w:pPr>
      <w:bookmarkStart w:id="291" w:name="_Toc92894940"/>
      <w:bookmarkStart w:id="292" w:name="_Toc92895244"/>
      <w:bookmarkStart w:id="293" w:name="_Toc109922678"/>
      <w:r w:rsidRPr="0007572B">
        <w:t>4</w:t>
      </w:r>
      <w:r w:rsidR="008633CA">
        <w:t>8</w:t>
      </w:r>
      <w:r w:rsidRPr="0007572B">
        <w:t xml:space="preserve"> Group Property, Plant and Equipment</w:t>
      </w:r>
      <w:bookmarkEnd w:id="291"/>
      <w:bookmarkEnd w:id="292"/>
      <w:bookmarkEnd w:id="293"/>
      <w:r w:rsidRPr="0007572B">
        <w:t xml:space="preserve"> </w:t>
      </w:r>
    </w:p>
    <w:p w14:paraId="5A6DBF6B" w14:textId="77777777" w:rsidR="00795BE0" w:rsidRDefault="00795BE0" w:rsidP="00795BE0">
      <w:pPr>
        <w:rPr>
          <w:rFonts w:ascii="Arial" w:hAnsi="Arial" w:cs="Arial"/>
        </w:rPr>
      </w:pPr>
    </w:p>
    <w:p w14:paraId="3F555BE4" w14:textId="77777777" w:rsidR="00795BE0" w:rsidRPr="0007572B" w:rsidRDefault="00795BE0" w:rsidP="00795BE0">
      <w:pPr>
        <w:rPr>
          <w:rFonts w:ascii="Arial" w:hAnsi="Arial" w:cs="Arial"/>
        </w:rPr>
      </w:pPr>
      <w:r w:rsidRPr="0007572B">
        <w:rPr>
          <w:rFonts w:ascii="Arial" w:hAnsi="Arial" w:cs="Arial"/>
        </w:rPr>
        <w:t>Property, plant and equipment is reported as either capitalised assets available for use or as assets under construction. An analysis of the movements are contained in the tables below:</w:t>
      </w:r>
    </w:p>
    <w:p w14:paraId="48B30282" w14:textId="77777777" w:rsidR="00795BE0" w:rsidRPr="0007572B" w:rsidRDefault="00795BE0" w:rsidP="00795BE0">
      <w:pPr>
        <w:rPr>
          <w:rFonts w:ascii="Arial" w:hAnsi="Arial" w:cs="Arial"/>
        </w:rPr>
      </w:pPr>
    </w:p>
    <w:p w14:paraId="16741669" w14:textId="62008080" w:rsidR="00795BE0" w:rsidRPr="0007572B" w:rsidRDefault="003565C7" w:rsidP="00795BE0">
      <w:pPr>
        <w:rPr>
          <w:rFonts w:ascii="Arial" w:hAnsi="Arial" w:cs="Arial"/>
        </w:rPr>
      </w:pPr>
      <w:r w:rsidRPr="003565C7">
        <w:rPr>
          <w:noProof/>
        </w:rPr>
        <w:drawing>
          <wp:inline distT="0" distB="0" distL="0" distR="0" wp14:anchorId="56F3102C" wp14:editId="38364311">
            <wp:extent cx="9177020" cy="3973830"/>
            <wp:effectExtent l="0" t="0" r="508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77020" cy="3973830"/>
                    </a:xfrm>
                    <a:prstGeom prst="rect">
                      <a:avLst/>
                    </a:prstGeom>
                    <a:noFill/>
                    <a:ln>
                      <a:noFill/>
                    </a:ln>
                  </pic:spPr>
                </pic:pic>
              </a:graphicData>
            </a:graphic>
          </wp:inline>
        </w:drawing>
      </w:r>
    </w:p>
    <w:p w14:paraId="7E8C842C" w14:textId="77777777" w:rsidR="00795BE0" w:rsidRPr="0007572B" w:rsidRDefault="00795BE0" w:rsidP="00795BE0">
      <w:pPr>
        <w:rPr>
          <w:rFonts w:ascii="Arial" w:hAnsi="Arial" w:cs="Arial"/>
        </w:rPr>
      </w:pPr>
    </w:p>
    <w:p w14:paraId="6FB77781" w14:textId="4C664881" w:rsidR="00D536E5" w:rsidRDefault="00D536E5">
      <w:pPr>
        <w:rPr>
          <w:rFonts w:ascii="Arial" w:hAnsi="Arial" w:cs="Arial"/>
        </w:rPr>
      </w:pPr>
      <w:r>
        <w:rPr>
          <w:rFonts w:ascii="Arial" w:hAnsi="Arial" w:cs="Arial"/>
        </w:rPr>
        <w:br w:type="page"/>
      </w:r>
    </w:p>
    <w:p w14:paraId="0AF86518" w14:textId="6DEF6060" w:rsidR="00795BE0" w:rsidRPr="0007572B" w:rsidRDefault="00003377" w:rsidP="00795BE0">
      <w:pPr>
        <w:rPr>
          <w:rFonts w:ascii="Arial" w:hAnsi="Arial" w:cs="Arial"/>
        </w:rPr>
      </w:pPr>
      <w:r w:rsidRPr="00003377">
        <w:rPr>
          <w:noProof/>
        </w:rPr>
        <w:lastRenderedPageBreak/>
        <w:drawing>
          <wp:inline distT="0" distB="0" distL="0" distR="0" wp14:anchorId="0BDDE614" wp14:editId="55E0D230">
            <wp:extent cx="9177020" cy="3785870"/>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177020" cy="3785870"/>
                    </a:xfrm>
                    <a:prstGeom prst="rect">
                      <a:avLst/>
                    </a:prstGeom>
                    <a:noFill/>
                    <a:ln>
                      <a:noFill/>
                    </a:ln>
                  </pic:spPr>
                </pic:pic>
              </a:graphicData>
            </a:graphic>
          </wp:inline>
        </w:drawing>
      </w:r>
    </w:p>
    <w:p w14:paraId="6C7082E0" w14:textId="6F0CB96B" w:rsidR="00795BE0" w:rsidRPr="0007572B" w:rsidRDefault="00931BA5" w:rsidP="00795BE0">
      <w:pPr>
        <w:rPr>
          <w:rFonts w:ascii="Arial" w:hAnsi="Arial" w:cs="Arial"/>
        </w:rPr>
      </w:pPr>
      <w:r w:rsidRPr="00931BA5">
        <w:t xml:space="preserve"> </w:t>
      </w:r>
    </w:p>
    <w:p w14:paraId="3359C4AF" w14:textId="77777777" w:rsidR="00795BE0" w:rsidRPr="0007572B" w:rsidRDefault="00795BE0" w:rsidP="00795BE0">
      <w:pPr>
        <w:rPr>
          <w:rFonts w:ascii="Arial" w:hAnsi="Arial" w:cs="Arial"/>
          <w:b/>
        </w:rPr>
      </w:pPr>
    </w:p>
    <w:p w14:paraId="178DE8D9" w14:textId="77777777" w:rsidR="003103DC" w:rsidRDefault="003103DC" w:rsidP="003103DC">
      <w:pPr>
        <w:rPr>
          <w:rFonts w:ascii="Arial" w:hAnsi="Arial" w:cs="Arial"/>
          <w:b/>
          <w:bCs/>
        </w:rPr>
      </w:pPr>
    </w:p>
    <w:p w14:paraId="0F1E1F1F" w14:textId="77777777" w:rsidR="003103DC" w:rsidRDefault="003103DC" w:rsidP="003103DC">
      <w:pPr>
        <w:rPr>
          <w:rFonts w:ascii="Arial" w:hAnsi="Arial" w:cs="Arial"/>
          <w:b/>
          <w:bCs/>
        </w:rPr>
      </w:pPr>
    </w:p>
    <w:p w14:paraId="3E7465D3" w14:textId="77777777" w:rsidR="003103DC" w:rsidRDefault="003103DC" w:rsidP="003103DC">
      <w:pPr>
        <w:rPr>
          <w:rFonts w:ascii="Arial" w:hAnsi="Arial" w:cs="Arial"/>
          <w:b/>
          <w:bCs/>
        </w:rPr>
      </w:pPr>
    </w:p>
    <w:p w14:paraId="690E214B" w14:textId="77777777" w:rsidR="003103DC" w:rsidRDefault="003103DC" w:rsidP="003103DC">
      <w:pPr>
        <w:rPr>
          <w:rFonts w:ascii="Arial" w:hAnsi="Arial" w:cs="Arial"/>
          <w:b/>
          <w:bCs/>
        </w:rPr>
      </w:pPr>
    </w:p>
    <w:p w14:paraId="140D8F5C" w14:textId="77777777" w:rsidR="003103DC" w:rsidRDefault="003103DC" w:rsidP="003103DC">
      <w:pPr>
        <w:rPr>
          <w:rFonts w:ascii="Arial" w:hAnsi="Arial" w:cs="Arial"/>
          <w:b/>
          <w:bCs/>
        </w:rPr>
      </w:pPr>
    </w:p>
    <w:p w14:paraId="5596AEE8" w14:textId="77777777" w:rsidR="003103DC" w:rsidRDefault="003103DC" w:rsidP="003103DC">
      <w:pPr>
        <w:rPr>
          <w:rFonts w:ascii="Arial" w:hAnsi="Arial" w:cs="Arial"/>
          <w:b/>
          <w:bCs/>
        </w:rPr>
      </w:pPr>
    </w:p>
    <w:p w14:paraId="50265FFA" w14:textId="77777777" w:rsidR="003103DC" w:rsidRDefault="003103DC" w:rsidP="003103DC">
      <w:pPr>
        <w:rPr>
          <w:rFonts w:ascii="Arial" w:hAnsi="Arial" w:cs="Arial"/>
          <w:b/>
          <w:bCs/>
        </w:rPr>
      </w:pPr>
    </w:p>
    <w:p w14:paraId="1896604D" w14:textId="77777777" w:rsidR="003103DC" w:rsidRDefault="003103DC" w:rsidP="003103DC">
      <w:pPr>
        <w:rPr>
          <w:rFonts w:ascii="Arial" w:hAnsi="Arial" w:cs="Arial"/>
          <w:b/>
          <w:bCs/>
        </w:rPr>
      </w:pPr>
    </w:p>
    <w:p w14:paraId="0027C83A" w14:textId="77777777" w:rsidR="003103DC" w:rsidRDefault="003103DC" w:rsidP="003103DC">
      <w:pPr>
        <w:rPr>
          <w:rFonts w:ascii="Arial" w:hAnsi="Arial" w:cs="Arial"/>
          <w:b/>
          <w:bCs/>
        </w:rPr>
      </w:pPr>
    </w:p>
    <w:p w14:paraId="55A01D27" w14:textId="77777777" w:rsidR="003103DC" w:rsidRDefault="003103DC" w:rsidP="003103DC">
      <w:pPr>
        <w:rPr>
          <w:rFonts w:ascii="Arial" w:hAnsi="Arial" w:cs="Arial"/>
          <w:b/>
          <w:bCs/>
        </w:rPr>
      </w:pPr>
    </w:p>
    <w:p w14:paraId="5BE618D4" w14:textId="7BFC720A" w:rsidR="003103DC" w:rsidRDefault="003103DC" w:rsidP="003103DC">
      <w:pPr>
        <w:rPr>
          <w:rFonts w:ascii="Arial" w:hAnsi="Arial" w:cs="Arial"/>
          <w:b/>
          <w:bCs/>
        </w:rPr>
      </w:pPr>
      <w:r w:rsidRPr="003103DC">
        <w:rPr>
          <w:rFonts w:ascii="Arial" w:hAnsi="Arial" w:cs="Arial"/>
          <w:b/>
          <w:bCs/>
        </w:rPr>
        <w:lastRenderedPageBreak/>
        <w:t>Movements on balances</w:t>
      </w:r>
    </w:p>
    <w:p w14:paraId="2553750D" w14:textId="77777777" w:rsidR="003103DC" w:rsidRPr="003103DC" w:rsidRDefault="003103DC" w:rsidP="003103DC">
      <w:pPr>
        <w:rPr>
          <w:rFonts w:ascii="Arial" w:hAnsi="Arial" w:cs="Arial"/>
          <w:b/>
          <w:bCs/>
        </w:rPr>
      </w:pPr>
    </w:p>
    <w:p w14:paraId="0DBE4D1E" w14:textId="77777777" w:rsidR="003103DC" w:rsidRPr="003103DC" w:rsidRDefault="003103DC" w:rsidP="003103DC">
      <w:pPr>
        <w:rPr>
          <w:rFonts w:ascii="Arial" w:hAnsi="Arial" w:cs="Arial"/>
        </w:rPr>
      </w:pPr>
      <w:r w:rsidRPr="003103DC">
        <w:rPr>
          <w:rFonts w:ascii="Arial" w:hAnsi="Arial" w:cs="Arial"/>
        </w:rPr>
        <w:t>In accordance with the temporary relief offered by the Update to the Code of Practice on infrastructure assets, this note does not include disclosure of gross cost and accumulated depreciation for infrastructure assets because historical reporting practices and resultant information deficits mean that this would not faithfully represent the asset position to the users of the financial statements.</w:t>
      </w:r>
    </w:p>
    <w:p w14:paraId="58A11FC2" w14:textId="77777777" w:rsidR="003103DC" w:rsidRPr="003103DC" w:rsidRDefault="003103DC" w:rsidP="003103DC">
      <w:pPr>
        <w:rPr>
          <w:rFonts w:ascii="Arial" w:hAnsi="Arial" w:cs="Arial"/>
        </w:rPr>
      </w:pPr>
    </w:p>
    <w:p w14:paraId="384C4798" w14:textId="1D59B415" w:rsidR="003103DC" w:rsidRDefault="003103DC" w:rsidP="003103DC">
      <w:pPr>
        <w:rPr>
          <w:rFonts w:ascii="Arial" w:hAnsi="Arial" w:cs="Arial"/>
        </w:rPr>
      </w:pPr>
      <w:r w:rsidRPr="003103DC">
        <w:rPr>
          <w:rFonts w:ascii="Arial" w:hAnsi="Arial" w:cs="Arial"/>
        </w:rPr>
        <w:t xml:space="preserve">The authority has chosen not to disclose this information </w:t>
      </w:r>
      <w:r w:rsidR="00912B96" w:rsidRPr="00912B96">
        <w:rPr>
          <w:rFonts w:ascii="Arial" w:hAnsi="Arial" w:cs="Arial"/>
        </w:rPr>
        <w:t xml:space="preserve">in the Single Entity accounts </w:t>
      </w:r>
      <w:r w:rsidRPr="003103DC">
        <w:rPr>
          <w:rFonts w:ascii="Arial" w:hAnsi="Arial" w:cs="Arial"/>
        </w:rPr>
        <w:t xml:space="preserve">as the previously reported practices and resultant information deficits mean that gross cost and accumulated depreciation are not measured accurately and would not provide the basis for the users of the financial statements to take economic or other decisions relating to infrastructure assets. </w:t>
      </w:r>
    </w:p>
    <w:p w14:paraId="155E3DA2" w14:textId="5B6F2593" w:rsidR="00912B96" w:rsidRDefault="00912B96" w:rsidP="003103DC">
      <w:pPr>
        <w:rPr>
          <w:rFonts w:ascii="Arial" w:hAnsi="Arial" w:cs="Arial"/>
        </w:rPr>
      </w:pPr>
    </w:p>
    <w:p w14:paraId="57A9EDF9" w14:textId="03072E20" w:rsidR="00912B96" w:rsidRPr="00E40C58" w:rsidRDefault="00912B96" w:rsidP="00912B96">
      <w:pPr>
        <w:rPr>
          <w:rFonts w:ascii="Arial" w:hAnsi="Arial" w:cs="Arial"/>
        </w:rPr>
      </w:pPr>
      <w:r w:rsidRPr="00912B96">
        <w:rPr>
          <w:rFonts w:ascii="Arial" w:hAnsi="Arial" w:cs="Arial"/>
        </w:rPr>
        <w:t>TfGM did not adopt the temporary relief in their accounts and show the gross cost and accumulated depreciation for infrastructure assets in full within the Property, Plant and Equipment note.</w:t>
      </w:r>
      <w:r w:rsidR="00E40C58">
        <w:rPr>
          <w:rFonts w:ascii="Arial" w:hAnsi="Arial" w:cs="Arial"/>
        </w:rPr>
        <w:t xml:space="preserve"> </w:t>
      </w:r>
      <w:r w:rsidRPr="00912B96">
        <w:rPr>
          <w:rFonts w:ascii="Arial" w:hAnsi="Arial" w:cs="Arial"/>
        </w:rPr>
        <w:t>Therefore consolidation adjustments have been made in the Group Accounts to adopt a consistent approach and the infrastructure column has been removed from the TfGM Property, Plant and Equipment note as if they had adopted the temporary relief. The net book value and in-year movements for infrastructure at group level are disclosed in the table below.</w:t>
      </w:r>
    </w:p>
    <w:p w14:paraId="6CF9F1E0" w14:textId="77777777" w:rsidR="003103DC" w:rsidRDefault="003103DC" w:rsidP="003103DC">
      <w:pPr>
        <w:rPr>
          <w:rFonts w:ascii="Arial" w:hAnsi="Arial" w:cs="Arial"/>
        </w:rPr>
      </w:pPr>
    </w:p>
    <w:p w14:paraId="4BC11A62" w14:textId="337066A5" w:rsidR="003103DC" w:rsidRDefault="00A776F5" w:rsidP="003103DC">
      <w:pPr>
        <w:rPr>
          <w:rFonts w:ascii="Arial" w:hAnsi="Arial" w:cs="Arial"/>
        </w:rPr>
      </w:pPr>
      <w:r w:rsidRPr="00A776F5">
        <w:rPr>
          <w:noProof/>
        </w:rPr>
        <w:drawing>
          <wp:inline distT="0" distB="0" distL="0" distR="0" wp14:anchorId="0172906C" wp14:editId="0F89C5A8">
            <wp:extent cx="5319395" cy="1105535"/>
            <wp:effectExtent l="0" t="0" r="0" b="0"/>
            <wp:docPr id="488543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19395" cy="1105535"/>
                    </a:xfrm>
                    <a:prstGeom prst="rect">
                      <a:avLst/>
                    </a:prstGeom>
                    <a:noFill/>
                    <a:ln>
                      <a:noFill/>
                    </a:ln>
                  </pic:spPr>
                </pic:pic>
              </a:graphicData>
            </a:graphic>
          </wp:inline>
        </w:drawing>
      </w:r>
    </w:p>
    <w:p w14:paraId="291C1E5A" w14:textId="77777777" w:rsidR="00931BA5" w:rsidRDefault="00931BA5" w:rsidP="003103DC">
      <w:pPr>
        <w:rPr>
          <w:rFonts w:ascii="Arial" w:hAnsi="Arial" w:cs="Arial"/>
        </w:rPr>
      </w:pPr>
    </w:p>
    <w:p w14:paraId="52E02A61" w14:textId="662C7592" w:rsidR="00931BA5" w:rsidRDefault="00931BA5" w:rsidP="003103DC">
      <w:pPr>
        <w:rPr>
          <w:rFonts w:ascii="Arial" w:hAnsi="Arial" w:cs="Arial"/>
        </w:rPr>
      </w:pPr>
      <w:r>
        <w:rPr>
          <w:rFonts w:ascii="Arial" w:hAnsi="Arial" w:cs="Arial"/>
        </w:rPr>
        <w:t>Balance Sheet Reconciling note:</w:t>
      </w:r>
    </w:p>
    <w:p w14:paraId="4A1DECC1" w14:textId="27FFD918" w:rsidR="003103DC" w:rsidRDefault="00A776F5" w:rsidP="003103DC">
      <w:pPr>
        <w:rPr>
          <w:rFonts w:ascii="Arial" w:hAnsi="Arial" w:cs="Arial"/>
        </w:rPr>
      </w:pPr>
      <w:r w:rsidRPr="00A776F5">
        <w:rPr>
          <w:noProof/>
        </w:rPr>
        <w:drawing>
          <wp:inline distT="0" distB="0" distL="0" distR="0" wp14:anchorId="1648EB7E" wp14:editId="79ED8478">
            <wp:extent cx="5322570" cy="798195"/>
            <wp:effectExtent l="0" t="0" r="0" b="1905"/>
            <wp:docPr id="922044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22570" cy="798195"/>
                    </a:xfrm>
                    <a:prstGeom prst="rect">
                      <a:avLst/>
                    </a:prstGeom>
                    <a:noFill/>
                    <a:ln>
                      <a:noFill/>
                    </a:ln>
                  </pic:spPr>
                </pic:pic>
              </a:graphicData>
            </a:graphic>
          </wp:inline>
        </w:drawing>
      </w:r>
    </w:p>
    <w:p w14:paraId="79108911" w14:textId="77777777" w:rsidR="003103DC" w:rsidRDefault="003103DC" w:rsidP="003103DC">
      <w:pPr>
        <w:rPr>
          <w:rFonts w:ascii="Arial" w:hAnsi="Arial" w:cs="Arial"/>
        </w:rPr>
      </w:pPr>
    </w:p>
    <w:p w14:paraId="0A675308" w14:textId="7D01ED01" w:rsidR="00E40C58" w:rsidRDefault="003103DC" w:rsidP="003103DC">
      <w:pPr>
        <w:rPr>
          <w:rFonts w:ascii="Arial" w:hAnsi="Arial" w:cs="Arial"/>
        </w:rPr>
      </w:pPr>
      <w:bookmarkStart w:id="294" w:name="_Hlk128048175"/>
      <w:r w:rsidRPr="003103DC">
        <w:rPr>
          <w:rFonts w:ascii="Arial" w:hAnsi="Arial" w:cs="Arial"/>
        </w:rPr>
        <w:t xml:space="preserve">The authority has determined in accordance with </w:t>
      </w:r>
      <w:r w:rsidR="00D2560A">
        <w:rPr>
          <w:rFonts w:ascii="Arial" w:hAnsi="Arial" w:cs="Arial"/>
        </w:rPr>
        <w:t xml:space="preserve">the England amendment </w:t>
      </w:r>
      <w:r w:rsidRPr="003103DC">
        <w:rPr>
          <w:rFonts w:ascii="Arial" w:hAnsi="Arial" w:cs="Arial"/>
        </w:rPr>
        <w:t>of the Local Authorities Capital Finance and Accounting</w:t>
      </w:r>
      <w:r w:rsidR="00D2560A">
        <w:rPr>
          <w:rFonts w:ascii="Arial" w:hAnsi="Arial" w:cs="Arial"/>
        </w:rPr>
        <w:t xml:space="preserve"> </w:t>
      </w:r>
      <w:r w:rsidRPr="003103DC">
        <w:rPr>
          <w:rFonts w:ascii="Arial" w:hAnsi="Arial" w:cs="Arial"/>
        </w:rPr>
        <w:t>Regulations 2022 that the carrying amounts to be derecognised for infrastructure assets when there is replacement expenditure is nil.</w:t>
      </w:r>
    </w:p>
    <w:p w14:paraId="15DB4A6A" w14:textId="7C1DACE2" w:rsidR="00795BE0" w:rsidRPr="0007572B" w:rsidRDefault="00E40C58" w:rsidP="00795BE0">
      <w:pPr>
        <w:rPr>
          <w:rFonts w:ascii="Arial" w:hAnsi="Arial" w:cs="Arial"/>
          <w:b/>
        </w:rPr>
      </w:pPr>
      <w:r>
        <w:rPr>
          <w:rFonts w:ascii="Arial" w:hAnsi="Arial" w:cs="Arial"/>
        </w:rPr>
        <w:br w:type="page"/>
      </w:r>
      <w:bookmarkEnd w:id="294"/>
    </w:p>
    <w:p w14:paraId="18C27A02" w14:textId="77777777" w:rsidR="00795BE0" w:rsidRPr="0007572B" w:rsidRDefault="00795BE0" w:rsidP="00795BE0">
      <w:pPr>
        <w:rPr>
          <w:rFonts w:ascii="Arial" w:hAnsi="Arial" w:cs="Arial"/>
          <w:sz w:val="22"/>
          <w:szCs w:val="22"/>
        </w:rPr>
        <w:sectPr w:rsidR="00795BE0" w:rsidRPr="0007572B" w:rsidSect="00E40C58">
          <w:pgSz w:w="16838" w:h="11906" w:orient="landscape"/>
          <w:pgMar w:top="1077" w:right="947" w:bottom="1418" w:left="1440" w:header="284" w:footer="567" w:gutter="0"/>
          <w:cols w:space="708"/>
          <w:docGrid w:linePitch="360"/>
        </w:sectPr>
      </w:pPr>
    </w:p>
    <w:p w14:paraId="77CF6CB9" w14:textId="01F8F8CB" w:rsidR="00795BE0" w:rsidRPr="0007572B" w:rsidRDefault="00795BE0" w:rsidP="00795BE0">
      <w:pPr>
        <w:pStyle w:val="Heading3greennumbered"/>
      </w:pPr>
      <w:bookmarkStart w:id="295" w:name="_Toc92894941"/>
      <w:bookmarkStart w:id="296" w:name="_Toc92895245"/>
      <w:bookmarkStart w:id="297" w:name="_Toc109922679"/>
      <w:bookmarkStart w:id="298" w:name="_Hlk109658869"/>
      <w:r w:rsidRPr="0007572B">
        <w:lastRenderedPageBreak/>
        <w:t>4</w:t>
      </w:r>
      <w:r w:rsidR="008633CA">
        <w:t>8</w:t>
      </w:r>
      <w:r w:rsidRPr="0007572B">
        <w:t xml:space="preserve"> Group Property, Plant and Equipment Valuations</w:t>
      </w:r>
      <w:bookmarkEnd w:id="295"/>
      <w:bookmarkEnd w:id="296"/>
      <w:bookmarkEnd w:id="297"/>
    </w:p>
    <w:p w14:paraId="6B8AF8C7" w14:textId="77777777" w:rsidR="00795BE0" w:rsidRDefault="00795BE0" w:rsidP="00795BE0">
      <w:pPr>
        <w:rPr>
          <w:rFonts w:ascii="Arial" w:hAnsi="Arial" w:cs="Arial"/>
        </w:rPr>
      </w:pPr>
    </w:p>
    <w:p w14:paraId="4D76E8FF" w14:textId="77777777" w:rsidR="00795BE0" w:rsidRPr="00BD07AE" w:rsidRDefault="00795BE0" w:rsidP="00795BE0">
      <w:pPr>
        <w:rPr>
          <w:rFonts w:ascii="Arial" w:hAnsi="Arial" w:cs="Arial"/>
        </w:rPr>
      </w:pPr>
      <w:r>
        <w:rPr>
          <w:rFonts w:ascii="Arial" w:hAnsi="Arial" w:cs="Arial"/>
        </w:rPr>
        <w:t xml:space="preserve">Details relating to GMCA property, plant and equipment are provided in note 20 to the single </w:t>
      </w:r>
      <w:r w:rsidRPr="00BD07AE">
        <w:rPr>
          <w:rFonts w:ascii="Arial" w:hAnsi="Arial" w:cs="Arial"/>
        </w:rPr>
        <w:t xml:space="preserve">entity financial statements. </w:t>
      </w:r>
    </w:p>
    <w:p w14:paraId="65D55E78" w14:textId="77777777" w:rsidR="00795BE0" w:rsidRPr="00BD07AE" w:rsidRDefault="00795BE0" w:rsidP="00795BE0">
      <w:pPr>
        <w:rPr>
          <w:rFonts w:ascii="Arial" w:hAnsi="Arial" w:cs="Arial"/>
        </w:rPr>
      </w:pPr>
    </w:p>
    <w:p w14:paraId="459607A5" w14:textId="73BD1176" w:rsidR="00795BE0" w:rsidRPr="00BD07AE" w:rsidRDefault="00795BE0" w:rsidP="00795BE0">
      <w:pPr>
        <w:rPr>
          <w:rFonts w:ascii="Arial" w:hAnsi="Arial" w:cs="Arial"/>
        </w:rPr>
      </w:pPr>
      <w:r w:rsidRPr="00BD07AE">
        <w:rPr>
          <w:rFonts w:ascii="Arial" w:hAnsi="Arial" w:cs="Arial"/>
        </w:rPr>
        <w:t>Within the Group, TfGM carries out a rolling programme that ensures that all Property, Plant and Equipment required to be measured at current value is revalued at least every five years. Valuations of land and buildings were carried out in accordance with the methodologies and bases for estimation set out in the professional standards of the Royal Institution of Chartered Surveyors. The current values for these properties have been based on existing use values and these were re-valued as at 31 March 20</w:t>
      </w:r>
      <w:r w:rsidR="00BD07AE" w:rsidRPr="00BD07AE">
        <w:rPr>
          <w:rFonts w:ascii="Arial" w:hAnsi="Arial" w:cs="Arial"/>
        </w:rPr>
        <w:t>22</w:t>
      </w:r>
      <w:r w:rsidRPr="00BD07AE">
        <w:rPr>
          <w:rFonts w:ascii="Arial" w:hAnsi="Arial" w:cs="Arial"/>
        </w:rPr>
        <w:t xml:space="preserve">. </w:t>
      </w:r>
    </w:p>
    <w:p w14:paraId="27B02DEB" w14:textId="77777777" w:rsidR="00795BE0" w:rsidRPr="00BD07AE" w:rsidRDefault="00795BE0" w:rsidP="00795BE0">
      <w:pPr>
        <w:rPr>
          <w:rFonts w:ascii="Arial" w:hAnsi="Arial" w:cs="Arial"/>
        </w:rPr>
      </w:pPr>
    </w:p>
    <w:p w14:paraId="2CDE5635" w14:textId="77777777" w:rsidR="00795BE0" w:rsidRPr="00BD07AE" w:rsidRDefault="00795BE0" w:rsidP="00795BE0">
      <w:pPr>
        <w:rPr>
          <w:rFonts w:ascii="Arial" w:hAnsi="Arial" w:cs="Arial"/>
        </w:rPr>
      </w:pPr>
      <w:r w:rsidRPr="00BD07AE">
        <w:rPr>
          <w:rFonts w:ascii="Arial" w:hAnsi="Arial" w:cs="Arial"/>
        </w:rPr>
        <w:t xml:space="preserve">A number of surplus properties were identified in 2015/16 and in accordance with the code were revalued at fair value. The fair value for the properties has been based on the market approach using current market conditions and recent sales prices and other relevant information for similar assets in the local area. Market conditions are such that similar properties are actively purchased and sold and the level of observable inputs are significant, leading to the properties being categorised at Level 2 in the fair value hierarchy. </w:t>
      </w:r>
    </w:p>
    <w:p w14:paraId="689DEDD1" w14:textId="77777777" w:rsidR="00795BE0" w:rsidRPr="00BD07AE" w:rsidRDefault="00795BE0" w:rsidP="00795BE0">
      <w:pPr>
        <w:rPr>
          <w:rFonts w:ascii="Arial" w:hAnsi="Arial" w:cs="Arial"/>
        </w:rPr>
      </w:pPr>
    </w:p>
    <w:p w14:paraId="0DB95E78" w14:textId="3B3FE1CD" w:rsidR="00795BE0" w:rsidRPr="00BD07AE" w:rsidRDefault="00795BE0" w:rsidP="00795BE0">
      <w:pPr>
        <w:rPr>
          <w:rFonts w:ascii="Arial" w:hAnsi="Arial" w:cs="Arial"/>
        </w:rPr>
      </w:pPr>
      <w:r w:rsidRPr="00BD07AE">
        <w:rPr>
          <w:rFonts w:ascii="Arial" w:hAnsi="Arial" w:cs="Arial"/>
        </w:rPr>
        <w:t xml:space="preserve">In estimating the fair value of TfGM’s surplus properties, the highest and best use of the properties is their current use. </w:t>
      </w:r>
      <w:r w:rsidR="00BD07AE" w:rsidRPr="00BD07AE">
        <w:rPr>
          <w:rFonts w:ascii="Arial" w:hAnsi="Arial" w:cs="Arial"/>
        </w:rPr>
        <w:t xml:space="preserve">These were revalued in 2021/22, however due to the value of the properties and the minimal movements the changes in valuations have not been updated in the financial statements. </w:t>
      </w:r>
    </w:p>
    <w:p w14:paraId="1B69D885" w14:textId="77777777" w:rsidR="00795BE0" w:rsidRPr="00BD07AE" w:rsidRDefault="00795BE0" w:rsidP="00795BE0">
      <w:pPr>
        <w:rPr>
          <w:rFonts w:ascii="Arial" w:hAnsi="Arial" w:cs="Arial"/>
        </w:rPr>
      </w:pPr>
    </w:p>
    <w:p w14:paraId="46A41F43" w14:textId="77777777" w:rsidR="00795BE0" w:rsidRPr="00BD07AE" w:rsidRDefault="00795BE0" w:rsidP="00795BE0">
      <w:pPr>
        <w:rPr>
          <w:rFonts w:ascii="Arial" w:hAnsi="Arial" w:cs="Arial"/>
        </w:rPr>
      </w:pPr>
      <w:r w:rsidRPr="00BD07AE">
        <w:rPr>
          <w:rFonts w:ascii="Arial" w:hAnsi="Arial" w:cs="Arial"/>
        </w:rPr>
        <w:t>All TFGM valuations were carried out by Leslie Roberts &amp; Co Ltd, in accordance with the methodologies and bases for estimation set out in the professional standards of the Royal Institution of Chartered Surveyors. TfGM’s valuation experts work closely with finance officers reporting directly to the chief financial officer on a regular basis regarding all valuation matters.</w:t>
      </w:r>
    </w:p>
    <w:p w14:paraId="215028FB" w14:textId="77777777" w:rsidR="00795BE0" w:rsidRPr="00BD07AE" w:rsidRDefault="00795BE0" w:rsidP="00795BE0">
      <w:pPr>
        <w:rPr>
          <w:rFonts w:ascii="Arial" w:hAnsi="Arial" w:cs="Arial"/>
        </w:rPr>
      </w:pPr>
    </w:p>
    <w:p w14:paraId="1B40DE48" w14:textId="78B12166" w:rsidR="00795BE0" w:rsidRDefault="00795BE0" w:rsidP="00795BE0">
      <w:pPr>
        <w:pStyle w:val="8TfGMStandardDocumentText"/>
        <w:jc w:val="left"/>
      </w:pPr>
      <w:r w:rsidRPr="00BD07AE">
        <w:rPr>
          <w:rFonts w:ascii="Arial" w:eastAsia="Times New Roman" w:hAnsi="Arial"/>
          <w:sz w:val="24"/>
          <w:lang w:eastAsia="en-US"/>
        </w:rPr>
        <w:t>COVID-19 has impacted global financial markets and has led to an unprecedented set of circumstances on which the valuations have been based due to the restrictions imposed. Due to the unknown future impact that COVID-19 will have on the real estate market, the valuations will be kept under regular review. The latest valuation was undertaken 31 March 2022 and there was no material impact on the accounts</w:t>
      </w:r>
      <w:r w:rsidRPr="00BD07AE">
        <w:t>.</w:t>
      </w:r>
    </w:p>
    <w:p w14:paraId="229C335E" w14:textId="761F13C1" w:rsidR="00795BE0" w:rsidRDefault="00785A67" w:rsidP="00795BE0">
      <w:pPr>
        <w:rPr>
          <w:rFonts w:ascii="Arial" w:eastAsia="Palatino Linotype" w:hAnsi="Arial" w:cs="Arial"/>
          <w:b/>
          <w:bCs/>
          <w:szCs w:val="28"/>
          <w:lang w:val="en-US"/>
        </w:rPr>
      </w:pPr>
      <w:bookmarkStart w:id="299" w:name="_Toc92894942"/>
      <w:bookmarkStart w:id="300" w:name="_Toc92895246"/>
      <w:bookmarkEnd w:id="298"/>
      <w:r w:rsidRPr="00785A67">
        <w:rPr>
          <w:noProof/>
        </w:rPr>
        <w:drawing>
          <wp:inline distT="0" distB="0" distL="0" distR="0" wp14:anchorId="36CFCEAC" wp14:editId="09A410A4">
            <wp:extent cx="5362575" cy="24860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62575" cy="2486025"/>
                    </a:xfrm>
                    <a:prstGeom prst="rect">
                      <a:avLst/>
                    </a:prstGeom>
                    <a:noFill/>
                    <a:ln>
                      <a:noFill/>
                    </a:ln>
                  </pic:spPr>
                </pic:pic>
              </a:graphicData>
            </a:graphic>
          </wp:inline>
        </w:drawing>
      </w:r>
      <w:r w:rsidR="00795BE0">
        <w:br w:type="page"/>
      </w:r>
    </w:p>
    <w:p w14:paraId="5D6B745D" w14:textId="431A80D2" w:rsidR="00795BE0" w:rsidRPr="0007572B" w:rsidRDefault="00795BE0" w:rsidP="00795BE0">
      <w:pPr>
        <w:pStyle w:val="Heading3greennumbered"/>
      </w:pPr>
      <w:bookmarkStart w:id="301" w:name="_Toc109922680"/>
      <w:r w:rsidRPr="0007572B">
        <w:lastRenderedPageBreak/>
        <w:t>4</w:t>
      </w:r>
      <w:r w:rsidR="008633CA">
        <w:t>9</w:t>
      </w:r>
      <w:r w:rsidRPr="0007572B">
        <w:t xml:space="preserve"> Group Intangible Assets</w:t>
      </w:r>
      <w:bookmarkEnd w:id="299"/>
      <w:bookmarkEnd w:id="300"/>
      <w:bookmarkEnd w:id="301"/>
    </w:p>
    <w:p w14:paraId="7E5BFE1B" w14:textId="77777777" w:rsidR="00795BE0" w:rsidRDefault="00795BE0" w:rsidP="00795BE0">
      <w:pPr>
        <w:rPr>
          <w:rFonts w:ascii="Arial" w:hAnsi="Arial" w:cs="Arial"/>
        </w:rPr>
      </w:pPr>
    </w:p>
    <w:p w14:paraId="2A304859" w14:textId="77777777" w:rsidR="00795BE0" w:rsidRPr="0007572B" w:rsidRDefault="00795BE0" w:rsidP="00795BE0">
      <w:pPr>
        <w:rPr>
          <w:rFonts w:ascii="Arial" w:hAnsi="Arial" w:cs="Arial"/>
        </w:rPr>
      </w:pPr>
      <w:r w:rsidRPr="0007572B">
        <w:rPr>
          <w:rFonts w:ascii="Arial" w:hAnsi="Arial" w:cs="Arial"/>
        </w:rPr>
        <w:t xml:space="preserve">The </w:t>
      </w:r>
      <w:r>
        <w:rPr>
          <w:rFonts w:ascii="Arial" w:hAnsi="Arial" w:cs="Arial"/>
        </w:rPr>
        <w:t>Group</w:t>
      </w:r>
      <w:r w:rsidRPr="0007572B">
        <w:rPr>
          <w:rFonts w:ascii="Arial" w:hAnsi="Arial" w:cs="Arial"/>
        </w:rPr>
        <w:t xml:space="preserve"> accounts for its software as intangible assets, to the extent that the software is not an integral part of a particular IT system and accounted for as part of the hardware item of property, plant and equipment. The intangible assets are purchased licenses</w:t>
      </w:r>
      <w:r>
        <w:rPr>
          <w:rFonts w:ascii="Arial" w:hAnsi="Arial" w:cs="Arial"/>
        </w:rPr>
        <w:t xml:space="preserve"> and internally generated software</w:t>
      </w:r>
      <w:r w:rsidRPr="0007572B">
        <w:rPr>
          <w:rFonts w:ascii="Arial" w:hAnsi="Arial" w:cs="Arial"/>
        </w:rPr>
        <w:t xml:space="preserve">. </w:t>
      </w:r>
    </w:p>
    <w:p w14:paraId="19543F99" w14:textId="77777777" w:rsidR="00795BE0" w:rsidRPr="0007572B" w:rsidRDefault="00795BE0" w:rsidP="00795BE0">
      <w:pPr>
        <w:rPr>
          <w:rFonts w:ascii="Arial" w:hAnsi="Arial" w:cs="Arial"/>
        </w:rPr>
      </w:pPr>
    </w:p>
    <w:p w14:paraId="50188C13" w14:textId="77777777" w:rsidR="00795BE0" w:rsidRPr="0007572B" w:rsidRDefault="00795BE0" w:rsidP="00795BE0">
      <w:pPr>
        <w:rPr>
          <w:rFonts w:ascii="Arial" w:hAnsi="Arial" w:cs="Arial"/>
        </w:rPr>
      </w:pPr>
      <w:r w:rsidRPr="0007572B">
        <w:rPr>
          <w:rFonts w:ascii="Arial" w:hAnsi="Arial" w:cs="Arial"/>
        </w:rPr>
        <w:t>All software is given a finite useful life, based on assessments of the period that the software is expected to be used by the Authority. The useful lives assigned to the major software suites used by the Authority are:</w:t>
      </w:r>
    </w:p>
    <w:p w14:paraId="58C29748" w14:textId="77777777" w:rsidR="00795BE0" w:rsidRPr="0007572B" w:rsidRDefault="00795BE0" w:rsidP="00795BE0">
      <w:pPr>
        <w:rPr>
          <w:rFonts w:ascii="Arial" w:hAnsi="Arial" w:cs="Arial"/>
        </w:rPr>
      </w:pPr>
    </w:p>
    <w:tbl>
      <w:tblPr>
        <w:tblStyle w:val="TableGrid"/>
        <w:tblW w:w="0" w:type="auto"/>
        <w:tblLook w:val="04A0" w:firstRow="1" w:lastRow="0" w:firstColumn="1" w:lastColumn="0" w:noHBand="0" w:noVBand="1"/>
      </w:tblPr>
      <w:tblGrid>
        <w:gridCol w:w="5524"/>
        <w:gridCol w:w="3876"/>
      </w:tblGrid>
      <w:tr w:rsidR="00795BE0" w:rsidRPr="009B74BD" w14:paraId="18142C6E" w14:textId="77777777" w:rsidTr="00D323EE">
        <w:tc>
          <w:tcPr>
            <w:tcW w:w="5524" w:type="dxa"/>
          </w:tcPr>
          <w:p w14:paraId="3C3291F4" w14:textId="77777777" w:rsidR="00795BE0" w:rsidRPr="009B74BD" w:rsidRDefault="00795BE0" w:rsidP="00D323EE">
            <w:pPr>
              <w:rPr>
                <w:rFonts w:ascii="Arial" w:hAnsi="Arial" w:cs="Arial"/>
              </w:rPr>
            </w:pPr>
            <w:r w:rsidRPr="009B74BD">
              <w:rPr>
                <w:rFonts w:ascii="Arial" w:hAnsi="Arial" w:cs="Arial"/>
              </w:rPr>
              <w:t>Assets attributable to the Fire and Rescue Service</w:t>
            </w:r>
          </w:p>
        </w:tc>
        <w:tc>
          <w:tcPr>
            <w:tcW w:w="3876" w:type="dxa"/>
          </w:tcPr>
          <w:p w14:paraId="7B160D96" w14:textId="77777777" w:rsidR="00795BE0" w:rsidRPr="009B74BD" w:rsidRDefault="00795BE0" w:rsidP="00D323EE">
            <w:pPr>
              <w:rPr>
                <w:rFonts w:ascii="Arial" w:hAnsi="Arial" w:cs="Arial"/>
              </w:rPr>
            </w:pPr>
            <w:r w:rsidRPr="009B74BD">
              <w:rPr>
                <w:rFonts w:ascii="Arial" w:hAnsi="Arial" w:cs="Arial"/>
              </w:rPr>
              <w:t>3 to 10 years</w:t>
            </w:r>
          </w:p>
        </w:tc>
      </w:tr>
      <w:tr w:rsidR="00795BE0" w:rsidRPr="009B74BD" w14:paraId="274DBE31" w14:textId="77777777" w:rsidTr="00D323EE">
        <w:tc>
          <w:tcPr>
            <w:tcW w:w="5524" w:type="dxa"/>
          </w:tcPr>
          <w:p w14:paraId="58F93207" w14:textId="77777777" w:rsidR="00795BE0" w:rsidRPr="009B74BD" w:rsidRDefault="00795BE0" w:rsidP="00D323EE">
            <w:pPr>
              <w:rPr>
                <w:rFonts w:ascii="Arial" w:hAnsi="Arial" w:cs="Arial"/>
              </w:rPr>
            </w:pPr>
            <w:r w:rsidRPr="009B74BD">
              <w:rPr>
                <w:rFonts w:ascii="Arial" w:hAnsi="Arial" w:cs="Arial"/>
              </w:rPr>
              <w:t>Assets attributable to the Policing Service</w:t>
            </w:r>
          </w:p>
        </w:tc>
        <w:tc>
          <w:tcPr>
            <w:tcW w:w="3876" w:type="dxa"/>
          </w:tcPr>
          <w:p w14:paraId="6B012DFA" w14:textId="77777777" w:rsidR="00795BE0" w:rsidRPr="009B74BD" w:rsidRDefault="00795BE0" w:rsidP="00D323EE">
            <w:pPr>
              <w:rPr>
                <w:rFonts w:ascii="Arial" w:hAnsi="Arial" w:cs="Arial"/>
              </w:rPr>
            </w:pPr>
            <w:r w:rsidRPr="009B74BD">
              <w:rPr>
                <w:rFonts w:ascii="Arial" w:hAnsi="Arial" w:cs="Arial"/>
              </w:rPr>
              <w:t>5 years</w:t>
            </w:r>
          </w:p>
        </w:tc>
      </w:tr>
      <w:tr w:rsidR="00795BE0" w:rsidRPr="009B74BD" w14:paraId="7F7CD559" w14:textId="77777777" w:rsidTr="00D323EE">
        <w:tc>
          <w:tcPr>
            <w:tcW w:w="5524" w:type="dxa"/>
          </w:tcPr>
          <w:p w14:paraId="6C8626B4" w14:textId="77777777" w:rsidR="00795BE0" w:rsidRPr="009B74BD" w:rsidRDefault="00795BE0" w:rsidP="00D323EE">
            <w:pPr>
              <w:rPr>
                <w:rFonts w:ascii="Arial" w:hAnsi="Arial" w:cs="Arial"/>
              </w:rPr>
            </w:pPr>
            <w:r w:rsidRPr="009B74BD">
              <w:rPr>
                <w:rFonts w:ascii="Arial" w:hAnsi="Arial" w:cs="Arial"/>
              </w:rPr>
              <w:t>Assets attributable to the Waste Disposal Service</w:t>
            </w:r>
          </w:p>
        </w:tc>
        <w:tc>
          <w:tcPr>
            <w:tcW w:w="3876" w:type="dxa"/>
          </w:tcPr>
          <w:p w14:paraId="7187BD7A" w14:textId="77777777" w:rsidR="00795BE0" w:rsidRPr="009B74BD" w:rsidRDefault="00795BE0" w:rsidP="00D323EE">
            <w:pPr>
              <w:rPr>
                <w:rFonts w:ascii="Arial" w:hAnsi="Arial" w:cs="Arial"/>
              </w:rPr>
            </w:pPr>
            <w:r w:rsidRPr="009B74BD">
              <w:rPr>
                <w:rFonts w:ascii="Arial" w:hAnsi="Arial" w:cs="Arial"/>
              </w:rPr>
              <w:t>5 years</w:t>
            </w:r>
          </w:p>
        </w:tc>
      </w:tr>
      <w:tr w:rsidR="00795BE0" w:rsidRPr="009B74BD" w14:paraId="5FF420D0" w14:textId="77777777" w:rsidTr="00D323EE">
        <w:tc>
          <w:tcPr>
            <w:tcW w:w="5524" w:type="dxa"/>
          </w:tcPr>
          <w:p w14:paraId="7311A40D" w14:textId="77777777" w:rsidR="00795BE0" w:rsidRPr="009B74BD" w:rsidRDefault="00795BE0" w:rsidP="00D323EE">
            <w:pPr>
              <w:rPr>
                <w:rFonts w:ascii="Arial" w:hAnsi="Arial" w:cs="Arial"/>
              </w:rPr>
            </w:pPr>
            <w:r w:rsidRPr="009B74BD">
              <w:rPr>
                <w:rFonts w:ascii="Arial" w:hAnsi="Arial" w:cs="Arial"/>
              </w:rPr>
              <w:t>Assets attributable to TfGM</w:t>
            </w:r>
          </w:p>
        </w:tc>
        <w:tc>
          <w:tcPr>
            <w:tcW w:w="3876" w:type="dxa"/>
          </w:tcPr>
          <w:p w14:paraId="06CF7625" w14:textId="5BE37EB7" w:rsidR="00795BE0" w:rsidRPr="009B74BD" w:rsidRDefault="009C22BA" w:rsidP="00D323EE">
            <w:pPr>
              <w:rPr>
                <w:rFonts w:ascii="Arial" w:hAnsi="Arial" w:cs="Arial"/>
              </w:rPr>
            </w:pPr>
            <w:r w:rsidRPr="009B74BD">
              <w:rPr>
                <w:rFonts w:ascii="Arial" w:hAnsi="Arial" w:cs="Arial"/>
              </w:rPr>
              <w:t xml:space="preserve">3 </w:t>
            </w:r>
            <w:r w:rsidR="00795BE0" w:rsidRPr="009B74BD">
              <w:rPr>
                <w:rFonts w:ascii="Arial" w:hAnsi="Arial" w:cs="Arial"/>
              </w:rPr>
              <w:t>to 5 years</w:t>
            </w:r>
          </w:p>
        </w:tc>
      </w:tr>
    </w:tbl>
    <w:p w14:paraId="339BAE52" w14:textId="77777777" w:rsidR="00795BE0" w:rsidRPr="0007572B" w:rsidRDefault="00795BE0" w:rsidP="00795BE0">
      <w:pPr>
        <w:rPr>
          <w:rFonts w:ascii="Arial" w:hAnsi="Arial" w:cs="Arial"/>
          <w:sz w:val="22"/>
          <w:szCs w:val="22"/>
        </w:rPr>
      </w:pPr>
    </w:p>
    <w:p w14:paraId="767B42B2" w14:textId="77777777" w:rsidR="00795BE0" w:rsidRDefault="00795BE0" w:rsidP="00795BE0">
      <w:pPr>
        <w:rPr>
          <w:rFonts w:ascii="Arial" w:hAnsi="Arial" w:cs="Arial"/>
        </w:rPr>
      </w:pPr>
      <w:r w:rsidRPr="0007572B">
        <w:rPr>
          <w:rFonts w:ascii="Arial" w:hAnsi="Arial" w:cs="Arial"/>
        </w:rPr>
        <w:t>The carrying amounts of intangible assets is amortised on a straight-line basis. Amortisation has been charged to service headings in the cost of services as follows:</w:t>
      </w:r>
    </w:p>
    <w:p w14:paraId="71BAAEBB" w14:textId="77777777" w:rsidR="00795BE0" w:rsidRDefault="00795BE0" w:rsidP="00795BE0">
      <w:pPr>
        <w:rPr>
          <w:rFonts w:ascii="Arial" w:hAnsi="Arial" w:cs="Arial"/>
        </w:rPr>
      </w:pPr>
    </w:p>
    <w:tbl>
      <w:tblPr>
        <w:tblStyle w:val="TableGrid"/>
        <w:tblW w:w="0" w:type="auto"/>
        <w:tblLook w:val="04A0" w:firstRow="1" w:lastRow="0" w:firstColumn="1" w:lastColumn="0" w:noHBand="0" w:noVBand="1"/>
      </w:tblPr>
      <w:tblGrid>
        <w:gridCol w:w="3964"/>
        <w:gridCol w:w="1134"/>
      </w:tblGrid>
      <w:tr w:rsidR="00795BE0" w:rsidRPr="009B74BD" w14:paraId="53D89BB9" w14:textId="77777777" w:rsidTr="00D323EE">
        <w:trPr>
          <w:trHeight w:val="428"/>
        </w:trPr>
        <w:tc>
          <w:tcPr>
            <w:tcW w:w="3964" w:type="dxa"/>
          </w:tcPr>
          <w:p w14:paraId="7F16E5C5" w14:textId="77777777" w:rsidR="00795BE0" w:rsidRPr="009B74BD" w:rsidRDefault="00795BE0" w:rsidP="00D323EE">
            <w:pPr>
              <w:rPr>
                <w:rFonts w:ascii="Arial" w:hAnsi="Arial" w:cs="Arial"/>
                <w:b/>
                <w:bCs/>
              </w:rPr>
            </w:pPr>
            <w:r w:rsidRPr="009B74BD">
              <w:rPr>
                <w:rFonts w:ascii="Arial" w:hAnsi="Arial" w:cs="Arial"/>
                <w:b/>
                <w:bCs/>
              </w:rPr>
              <w:t>Amortisation</w:t>
            </w:r>
          </w:p>
        </w:tc>
        <w:tc>
          <w:tcPr>
            <w:tcW w:w="1134" w:type="dxa"/>
          </w:tcPr>
          <w:p w14:paraId="2C79B319" w14:textId="77777777" w:rsidR="00795BE0" w:rsidRPr="009B74BD" w:rsidRDefault="00795BE0" w:rsidP="00D323EE">
            <w:pPr>
              <w:jc w:val="right"/>
              <w:rPr>
                <w:rFonts w:ascii="Arial" w:hAnsi="Arial" w:cs="Arial"/>
                <w:b/>
                <w:bCs/>
              </w:rPr>
            </w:pPr>
            <w:r w:rsidRPr="009B74BD">
              <w:rPr>
                <w:rFonts w:ascii="Arial" w:hAnsi="Arial" w:cs="Arial"/>
                <w:b/>
                <w:bCs/>
              </w:rPr>
              <w:t>£000s</w:t>
            </w:r>
          </w:p>
        </w:tc>
      </w:tr>
      <w:tr w:rsidR="00795BE0" w:rsidRPr="009B74BD" w14:paraId="5D2B2FDA" w14:textId="77777777" w:rsidTr="00D323EE">
        <w:tc>
          <w:tcPr>
            <w:tcW w:w="3964" w:type="dxa"/>
          </w:tcPr>
          <w:p w14:paraId="37DAF9A6" w14:textId="77777777" w:rsidR="00795BE0" w:rsidRPr="009B74BD" w:rsidRDefault="00795BE0" w:rsidP="00D323EE">
            <w:pPr>
              <w:rPr>
                <w:rFonts w:ascii="Arial" w:hAnsi="Arial" w:cs="Arial"/>
              </w:rPr>
            </w:pPr>
            <w:r w:rsidRPr="009B74BD">
              <w:rPr>
                <w:rFonts w:ascii="Arial" w:hAnsi="Arial" w:cs="Arial"/>
              </w:rPr>
              <w:t>Fire and Rescue Service</w:t>
            </w:r>
          </w:p>
        </w:tc>
        <w:tc>
          <w:tcPr>
            <w:tcW w:w="1134" w:type="dxa"/>
          </w:tcPr>
          <w:p w14:paraId="66A82F4B" w14:textId="27F57D09" w:rsidR="00795BE0" w:rsidRPr="009B74BD" w:rsidRDefault="0043503F" w:rsidP="00D323EE">
            <w:pPr>
              <w:jc w:val="right"/>
              <w:rPr>
                <w:rFonts w:ascii="Arial" w:hAnsi="Arial" w:cs="Arial"/>
              </w:rPr>
            </w:pPr>
            <w:r w:rsidRPr="009B74BD">
              <w:rPr>
                <w:rFonts w:ascii="Arial" w:hAnsi="Arial" w:cs="Arial"/>
              </w:rPr>
              <w:t>(</w:t>
            </w:r>
            <w:r w:rsidR="00BB4C1F" w:rsidRPr="009B74BD">
              <w:rPr>
                <w:rFonts w:ascii="Arial" w:hAnsi="Arial" w:cs="Arial"/>
              </w:rPr>
              <w:t>56</w:t>
            </w:r>
            <w:r w:rsidRPr="009B74BD">
              <w:rPr>
                <w:rFonts w:ascii="Arial" w:hAnsi="Arial" w:cs="Arial"/>
              </w:rPr>
              <w:t>)</w:t>
            </w:r>
          </w:p>
        </w:tc>
      </w:tr>
      <w:tr w:rsidR="00795BE0" w:rsidRPr="009B74BD" w14:paraId="16FC5DA5" w14:textId="77777777" w:rsidTr="00D323EE">
        <w:tc>
          <w:tcPr>
            <w:tcW w:w="3964" w:type="dxa"/>
          </w:tcPr>
          <w:p w14:paraId="5CD7B5B4" w14:textId="77777777" w:rsidR="00795BE0" w:rsidRPr="009B74BD" w:rsidRDefault="00795BE0" w:rsidP="00D323EE">
            <w:pPr>
              <w:rPr>
                <w:rFonts w:ascii="Arial" w:hAnsi="Arial" w:cs="Arial"/>
              </w:rPr>
            </w:pPr>
            <w:r w:rsidRPr="009B74BD">
              <w:rPr>
                <w:rFonts w:ascii="Arial" w:hAnsi="Arial" w:cs="Arial"/>
              </w:rPr>
              <w:t>Policing Service</w:t>
            </w:r>
          </w:p>
        </w:tc>
        <w:tc>
          <w:tcPr>
            <w:tcW w:w="1134" w:type="dxa"/>
          </w:tcPr>
          <w:p w14:paraId="5A62AFBA" w14:textId="2398A26E" w:rsidR="00795BE0" w:rsidRPr="009B74BD" w:rsidRDefault="0043503F" w:rsidP="00D323EE">
            <w:pPr>
              <w:jc w:val="right"/>
              <w:rPr>
                <w:rFonts w:ascii="Arial" w:hAnsi="Arial" w:cs="Arial"/>
              </w:rPr>
            </w:pPr>
            <w:r w:rsidRPr="009B74BD">
              <w:rPr>
                <w:rFonts w:ascii="Arial" w:hAnsi="Arial" w:cs="Arial"/>
              </w:rPr>
              <w:t>(4,485)</w:t>
            </w:r>
          </w:p>
        </w:tc>
      </w:tr>
      <w:tr w:rsidR="00795BE0" w:rsidRPr="009B74BD" w14:paraId="41E7D04A" w14:textId="77777777" w:rsidTr="00D323EE">
        <w:tc>
          <w:tcPr>
            <w:tcW w:w="3964" w:type="dxa"/>
          </w:tcPr>
          <w:p w14:paraId="6AA14C12" w14:textId="77777777" w:rsidR="00795BE0" w:rsidRPr="009B74BD" w:rsidRDefault="00795BE0" w:rsidP="00D323EE">
            <w:pPr>
              <w:rPr>
                <w:rFonts w:ascii="Arial" w:hAnsi="Arial" w:cs="Arial"/>
              </w:rPr>
            </w:pPr>
            <w:r w:rsidRPr="009B74BD">
              <w:rPr>
                <w:rFonts w:ascii="Arial" w:hAnsi="Arial" w:cs="Arial"/>
              </w:rPr>
              <w:t>Waste Disposal Service</w:t>
            </w:r>
          </w:p>
        </w:tc>
        <w:tc>
          <w:tcPr>
            <w:tcW w:w="1134" w:type="dxa"/>
          </w:tcPr>
          <w:p w14:paraId="48F0332B" w14:textId="603598F1" w:rsidR="00795BE0" w:rsidRPr="009B74BD" w:rsidRDefault="0043503F" w:rsidP="0043503F">
            <w:pPr>
              <w:jc w:val="right"/>
              <w:rPr>
                <w:rFonts w:ascii="Arial" w:hAnsi="Arial" w:cs="Arial"/>
              </w:rPr>
            </w:pPr>
            <w:r w:rsidRPr="009B74BD">
              <w:rPr>
                <w:rFonts w:ascii="Arial" w:hAnsi="Arial" w:cs="Arial"/>
              </w:rPr>
              <w:t>0</w:t>
            </w:r>
          </w:p>
        </w:tc>
      </w:tr>
      <w:tr w:rsidR="00795BE0" w:rsidRPr="009B74BD" w14:paraId="5BBD7206" w14:textId="77777777" w:rsidTr="00D323EE">
        <w:tc>
          <w:tcPr>
            <w:tcW w:w="3964" w:type="dxa"/>
          </w:tcPr>
          <w:p w14:paraId="752E6E49" w14:textId="77777777" w:rsidR="00795BE0" w:rsidRPr="009B74BD" w:rsidRDefault="00795BE0" w:rsidP="00D323EE">
            <w:pPr>
              <w:rPr>
                <w:rFonts w:ascii="Arial" w:hAnsi="Arial" w:cs="Arial"/>
              </w:rPr>
            </w:pPr>
            <w:r w:rsidRPr="009B74BD">
              <w:rPr>
                <w:rFonts w:ascii="Arial" w:hAnsi="Arial" w:cs="Arial"/>
              </w:rPr>
              <w:t>TfGM</w:t>
            </w:r>
          </w:p>
        </w:tc>
        <w:tc>
          <w:tcPr>
            <w:tcW w:w="1134" w:type="dxa"/>
          </w:tcPr>
          <w:p w14:paraId="1149EAB2" w14:textId="15406868" w:rsidR="00795BE0" w:rsidRPr="009B74BD" w:rsidRDefault="0043503F" w:rsidP="00D323EE">
            <w:pPr>
              <w:jc w:val="right"/>
              <w:rPr>
                <w:rFonts w:ascii="Arial" w:hAnsi="Arial" w:cs="Arial"/>
              </w:rPr>
            </w:pPr>
            <w:r w:rsidRPr="009B74BD">
              <w:rPr>
                <w:rFonts w:ascii="Arial" w:hAnsi="Arial" w:cs="Arial"/>
              </w:rPr>
              <w:t>(3,255)</w:t>
            </w:r>
          </w:p>
        </w:tc>
      </w:tr>
      <w:tr w:rsidR="00795BE0" w:rsidRPr="009B74BD" w14:paraId="646AB14A" w14:textId="77777777" w:rsidTr="00D323EE">
        <w:tc>
          <w:tcPr>
            <w:tcW w:w="3964" w:type="dxa"/>
          </w:tcPr>
          <w:p w14:paraId="0DCC3556" w14:textId="77777777" w:rsidR="00795BE0" w:rsidRPr="009B74BD" w:rsidRDefault="00795BE0" w:rsidP="00D323EE">
            <w:pPr>
              <w:rPr>
                <w:rFonts w:ascii="Arial" w:hAnsi="Arial" w:cs="Arial"/>
                <w:b/>
                <w:bCs/>
              </w:rPr>
            </w:pPr>
            <w:r w:rsidRPr="009B74BD">
              <w:rPr>
                <w:rFonts w:ascii="Arial" w:hAnsi="Arial" w:cs="Arial"/>
                <w:b/>
                <w:bCs/>
              </w:rPr>
              <w:t>Total</w:t>
            </w:r>
          </w:p>
        </w:tc>
        <w:tc>
          <w:tcPr>
            <w:tcW w:w="1134" w:type="dxa"/>
          </w:tcPr>
          <w:p w14:paraId="6E26DFF5" w14:textId="0FCA912C" w:rsidR="00795BE0" w:rsidRPr="009B74BD" w:rsidRDefault="0043503F" w:rsidP="00D323EE">
            <w:pPr>
              <w:jc w:val="right"/>
              <w:rPr>
                <w:rFonts w:ascii="Arial" w:hAnsi="Arial" w:cs="Arial"/>
                <w:b/>
                <w:bCs/>
              </w:rPr>
            </w:pPr>
            <w:r w:rsidRPr="009B74BD">
              <w:rPr>
                <w:rFonts w:ascii="Arial" w:hAnsi="Arial" w:cs="Arial"/>
                <w:b/>
                <w:bCs/>
              </w:rPr>
              <w:t>(7,7</w:t>
            </w:r>
            <w:r w:rsidR="00BB4C1F" w:rsidRPr="009B74BD">
              <w:rPr>
                <w:rFonts w:ascii="Arial" w:hAnsi="Arial" w:cs="Arial"/>
                <w:b/>
                <w:bCs/>
              </w:rPr>
              <w:t>96</w:t>
            </w:r>
            <w:r w:rsidRPr="009B74BD">
              <w:rPr>
                <w:rFonts w:ascii="Arial" w:hAnsi="Arial" w:cs="Arial"/>
                <w:b/>
                <w:bCs/>
              </w:rPr>
              <w:t>)</w:t>
            </w:r>
          </w:p>
        </w:tc>
      </w:tr>
    </w:tbl>
    <w:p w14:paraId="6C204450" w14:textId="77777777" w:rsidR="00795BE0" w:rsidRDefault="00795BE0" w:rsidP="00795BE0">
      <w:pPr>
        <w:rPr>
          <w:rFonts w:ascii="Arial" w:hAnsi="Arial" w:cs="Arial"/>
        </w:rPr>
      </w:pPr>
    </w:p>
    <w:p w14:paraId="2CE9A880" w14:textId="77777777" w:rsidR="00795BE0" w:rsidRPr="0007572B" w:rsidRDefault="00795BE0" w:rsidP="00795BE0">
      <w:pPr>
        <w:rPr>
          <w:rFonts w:ascii="Arial" w:hAnsi="Arial" w:cs="Arial"/>
        </w:rPr>
      </w:pPr>
      <w:r w:rsidRPr="0007572B">
        <w:rPr>
          <w:rFonts w:ascii="Arial" w:hAnsi="Arial" w:cs="Arial"/>
        </w:rPr>
        <w:t>The movement on intangible asset balances during the year is as follows:</w:t>
      </w:r>
    </w:p>
    <w:p w14:paraId="1AF1FEA9" w14:textId="77777777" w:rsidR="00795BE0" w:rsidRDefault="00795BE0" w:rsidP="00795BE0">
      <w:pPr>
        <w:rPr>
          <w:rFonts w:ascii="Arial" w:hAnsi="Arial" w:cs="Arial"/>
        </w:rPr>
      </w:pPr>
    </w:p>
    <w:p w14:paraId="50C349CC" w14:textId="2FC157BB" w:rsidR="00795BE0" w:rsidRPr="0007572B" w:rsidRDefault="009B74BD" w:rsidP="00795BE0">
      <w:pPr>
        <w:rPr>
          <w:rFonts w:ascii="Arial" w:hAnsi="Arial" w:cs="Arial"/>
        </w:rPr>
      </w:pPr>
      <w:r w:rsidRPr="009B74BD">
        <w:rPr>
          <w:noProof/>
        </w:rPr>
        <w:drawing>
          <wp:inline distT="0" distB="0" distL="0" distR="0" wp14:anchorId="259D7B4F" wp14:editId="3932F675">
            <wp:extent cx="5975350" cy="2873375"/>
            <wp:effectExtent l="0" t="0" r="6350" b="317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75350" cy="2873375"/>
                    </a:xfrm>
                    <a:prstGeom prst="rect">
                      <a:avLst/>
                    </a:prstGeom>
                    <a:noFill/>
                    <a:ln>
                      <a:noFill/>
                    </a:ln>
                  </pic:spPr>
                </pic:pic>
              </a:graphicData>
            </a:graphic>
          </wp:inline>
        </w:drawing>
      </w:r>
    </w:p>
    <w:p w14:paraId="6EF2FDFC" w14:textId="77777777" w:rsidR="00795BE0" w:rsidRPr="0007572B" w:rsidRDefault="00795BE0" w:rsidP="00795BE0">
      <w:pPr>
        <w:rPr>
          <w:rFonts w:ascii="Arial" w:hAnsi="Arial" w:cs="Arial"/>
        </w:rPr>
      </w:pPr>
    </w:p>
    <w:p w14:paraId="7B069571" w14:textId="77777777" w:rsidR="00795BE0" w:rsidRPr="0007572B" w:rsidRDefault="00795BE0" w:rsidP="00795BE0">
      <w:pPr>
        <w:rPr>
          <w:rFonts w:ascii="Arial" w:hAnsi="Arial" w:cs="Arial"/>
        </w:rPr>
      </w:pPr>
    </w:p>
    <w:p w14:paraId="07514BB5" w14:textId="77777777" w:rsidR="00795BE0" w:rsidRDefault="00795BE0" w:rsidP="00795BE0">
      <w:pPr>
        <w:rPr>
          <w:rFonts w:ascii="Arial" w:hAnsi="Arial" w:cs="Arial"/>
        </w:rPr>
      </w:pPr>
    </w:p>
    <w:p w14:paraId="54D20C29" w14:textId="77777777" w:rsidR="00795BE0" w:rsidRDefault="00795BE0" w:rsidP="00795BE0">
      <w:pPr>
        <w:rPr>
          <w:rFonts w:ascii="Arial" w:hAnsi="Arial" w:cs="Arial"/>
        </w:rPr>
      </w:pPr>
      <w:r>
        <w:rPr>
          <w:rFonts w:ascii="Arial" w:hAnsi="Arial" w:cs="Arial"/>
        </w:rPr>
        <w:br w:type="page"/>
      </w:r>
    </w:p>
    <w:p w14:paraId="19295D95" w14:textId="17D46F8F" w:rsidR="00795BE0" w:rsidRPr="0007572B" w:rsidRDefault="00795BE0" w:rsidP="00795BE0">
      <w:pPr>
        <w:rPr>
          <w:rFonts w:ascii="Arial" w:hAnsi="Arial" w:cs="Arial"/>
        </w:rPr>
      </w:pPr>
      <w:r w:rsidRPr="0007572B">
        <w:rPr>
          <w:rFonts w:ascii="Arial" w:hAnsi="Arial" w:cs="Arial"/>
        </w:rPr>
        <w:lastRenderedPageBreak/>
        <w:t xml:space="preserve">There is one capitalised software suite that is individually material to the financial statements: The Information Services Transformation Programme had a </w:t>
      </w:r>
      <w:r w:rsidR="00F84681">
        <w:rPr>
          <w:rFonts w:ascii="Arial" w:hAnsi="Arial" w:cs="Arial"/>
        </w:rPr>
        <w:t xml:space="preserve">gross </w:t>
      </w:r>
      <w:r w:rsidRPr="0007572B">
        <w:rPr>
          <w:rFonts w:ascii="Arial" w:hAnsi="Arial" w:cs="Arial"/>
        </w:rPr>
        <w:t xml:space="preserve">carrying amount </w:t>
      </w:r>
      <w:r w:rsidRPr="002810BB">
        <w:rPr>
          <w:rFonts w:ascii="Arial" w:hAnsi="Arial" w:cs="Arial"/>
        </w:rPr>
        <w:t>of £2</w:t>
      </w:r>
      <w:r w:rsidR="0043503F">
        <w:rPr>
          <w:rFonts w:ascii="Arial" w:hAnsi="Arial" w:cs="Arial"/>
        </w:rPr>
        <w:t>5</w:t>
      </w:r>
      <w:r w:rsidRPr="002810BB">
        <w:rPr>
          <w:rFonts w:ascii="Arial" w:hAnsi="Arial" w:cs="Arial"/>
        </w:rPr>
        <w:t>.</w:t>
      </w:r>
      <w:r w:rsidR="0043503F">
        <w:rPr>
          <w:rFonts w:ascii="Arial" w:hAnsi="Arial" w:cs="Arial"/>
        </w:rPr>
        <w:t>30</w:t>
      </w:r>
      <w:r w:rsidRPr="002810BB">
        <w:rPr>
          <w:rFonts w:ascii="Arial" w:hAnsi="Arial" w:cs="Arial"/>
        </w:rPr>
        <w:t>6m at 31 March</w:t>
      </w:r>
      <w:r w:rsidRPr="0007572B">
        <w:rPr>
          <w:rFonts w:ascii="Arial" w:hAnsi="Arial" w:cs="Arial"/>
        </w:rPr>
        <w:t xml:space="preserve"> 202</w:t>
      </w:r>
      <w:r w:rsidR="0043503F">
        <w:rPr>
          <w:rFonts w:ascii="Arial" w:hAnsi="Arial" w:cs="Arial"/>
        </w:rPr>
        <w:t>2</w:t>
      </w:r>
      <w:r w:rsidRPr="0007572B">
        <w:rPr>
          <w:rFonts w:ascii="Arial" w:hAnsi="Arial" w:cs="Arial"/>
        </w:rPr>
        <w:t xml:space="preserve"> and remaining amortisation period of </w:t>
      </w:r>
      <w:r w:rsidR="0043503F">
        <w:rPr>
          <w:rFonts w:ascii="Arial" w:hAnsi="Arial" w:cs="Arial"/>
        </w:rPr>
        <w:t>2</w:t>
      </w:r>
      <w:r w:rsidRPr="0007572B">
        <w:rPr>
          <w:rFonts w:ascii="Arial" w:hAnsi="Arial" w:cs="Arial"/>
        </w:rPr>
        <w:t>.5 years.</w:t>
      </w:r>
    </w:p>
    <w:p w14:paraId="62F7EB0D" w14:textId="77777777" w:rsidR="00795BE0" w:rsidRPr="0007572B" w:rsidRDefault="00795BE0" w:rsidP="00795BE0">
      <w:pPr>
        <w:rPr>
          <w:rFonts w:ascii="Arial" w:hAnsi="Arial" w:cs="Arial"/>
        </w:rPr>
      </w:pPr>
    </w:p>
    <w:p w14:paraId="5C014E54" w14:textId="2C4A3CDC" w:rsidR="00795BE0" w:rsidRPr="0007572B" w:rsidRDefault="00795BE0" w:rsidP="00795BE0">
      <w:pPr>
        <w:rPr>
          <w:rFonts w:ascii="Arial" w:hAnsi="Arial" w:cs="Arial"/>
        </w:rPr>
      </w:pPr>
      <w:r w:rsidRPr="0007572B">
        <w:rPr>
          <w:rFonts w:ascii="Arial" w:hAnsi="Arial" w:cs="Arial"/>
        </w:rPr>
        <w:t>Internally generated assets relate to TFGM and</w:t>
      </w:r>
      <w:r>
        <w:rPr>
          <w:rFonts w:ascii="Arial" w:hAnsi="Arial" w:cs="Arial"/>
        </w:rPr>
        <w:t xml:space="preserve"> for 202</w:t>
      </w:r>
      <w:r w:rsidR="0043503F">
        <w:rPr>
          <w:rFonts w:ascii="Arial" w:hAnsi="Arial" w:cs="Arial"/>
        </w:rPr>
        <w:t>1</w:t>
      </w:r>
      <w:r>
        <w:rPr>
          <w:rFonts w:ascii="Arial" w:hAnsi="Arial" w:cs="Arial"/>
        </w:rPr>
        <w:t>/2</w:t>
      </w:r>
      <w:r w:rsidR="0043503F">
        <w:rPr>
          <w:rFonts w:ascii="Arial" w:hAnsi="Arial" w:cs="Arial"/>
        </w:rPr>
        <w:t>2</w:t>
      </w:r>
      <w:r w:rsidRPr="0007572B">
        <w:rPr>
          <w:rFonts w:ascii="Arial" w:hAnsi="Arial" w:cs="Arial"/>
        </w:rPr>
        <w:t xml:space="preserve"> </w:t>
      </w:r>
      <w:r w:rsidR="0043503F">
        <w:rPr>
          <w:rFonts w:ascii="Arial" w:hAnsi="Arial" w:cs="Arial"/>
        </w:rPr>
        <w:t>relate to the Clean Air Plan and Bus Franchising Programmes</w:t>
      </w:r>
      <w:r>
        <w:rPr>
          <w:rFonts w:ascii="Arial" w:hAnsi="Arial" w:cs="Arial"/>
        </w:rPr>
        <w:t>.</w:t>
      </w:r>
    </w:p>
    <w:p w14:paraId="1FF8FE35" w14:textId="77777777" w:rsidR="00795BE0" w:rsidRDefault="00795BE0" w:rsidP="00795BE0">
      <w:pPr>
        <w:rPr>
          <w:rFonts w:ascii="Arial" w:eastAsia="Palatino Linotype" w:hAnsi="Arial" w:cs="Arial"/>
          <w:b/>
          <w:bCs/>
          <w:szCs w:val="28"/>
          <w:lang w:val="en-US"/>
        </w:rPr>
      </w:pPr>
      <w:bookmarkStart w:id="302" w:name="_Toc92894943"/>
      <w:bookmarkStart w:id="303" w:name="_Toc92895247"/>
    </w:p>
    <w:p w14:paraId="2E3CF37F" w14:textId="1932D962" w:rsidR="00795BE0" w:rsidRPr="0007572B" w:rsidRDefault="008633CA" w:rsidP="00795BE0">
      <w:pPr>
        <w:pStyle w:val="Heading3greennumbered"/>
      </w:pPr>
      <w:bookmarkStart w:id="304" w:name="_Toc109922681"/>
      <w:r>
        <w:t xml:space="preserve">50 </w:t>
      </w:r>
      <w:r w:rsidR="00795BE0" w:rsidRPr="0007572B">
        <w:t>Group Short and Long Term Debtors and Payments in Advance</w:t>
      </w:r>
      <w:bookmarkEnd w:id="302"/>
      <w:bookmarkEnd w:id="303"/>
      <w:bookmarkEnd w:id="304"/>
    </w:p>
    <w:p w14:paraId="73562A79" w14:textId="77777777" w:rsidR="00795BE0" w:rsidRDefault="00795BE0" w:rsidP="00795BE0">
      <w:pPr>
        <w:rPr>
          <w:rFonts w:ascii="Arial" w:hAnsi="Arial" w:cs="Arial"/>
          <w:b/>
        </w:rPr>
      </w:pPr>
    </w:p>
    <w:p w14:paraId="4BA84DE8" w14:textId="6A80E83E" w:rsidR="00795BE0" w:rsidRPr="0007572B" w:rsidRDefault="00030CA2" w:rsidP="00795BE0">
      <w:pPr>
        <w:rPr>
          <w:rFonts w:ascii="Arial" w:hAnsi="Arial" w:cs="Arial"/>
          <w:b/>
          <w:highlight w:val="yellow"/>
        </w:rPr>
      </w:pPr>
      <w:r w:rsidRPr="00030CA2">
        <w:rPr>
          <w:noProof/>
        </w:rPr>
        <w:drawing>
          <wp:inline distT="0" distB="0" distL="0" distR="0" wp14:anchorId="6736B0EA" wp14:editId="1AE551D4">
            <wp:extent cx="5651500" cy="8445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51500" cy="844550"/>
                    </a:xfrm>
                    <a:prstGeom prst="rect">
                      <a:avLst/>
                    </a:prstGeom>
                    <a:noFill/>
                    <a:ln>
                      <a:noFill/>
                    </a:ln>
                  </pic:spPr>
                </pic:pic>
              </a:graphicData>
            </a:graphic>
          </wp:inline>
        </w:drawing>
      </w:r>
    </w:p>
    <w:p w14:paraId="12C19121" w14:textId="77777777" w:rsidR="00795BE0" w:rsidRPr="0007572B" w:rsidRDefault="00795BE0" w:rsidP="00795BE0">
      <w:pPr>
        <w:rPr>
          <w:rFonts w:ascii="Arial" w:hAnsi="Arial" w:cs="Arial"/>
          <w:b/>
        </w:rPr>
      </w:pPr>
    </w:p>
    <w:p w14:paraId="26E95C48" w14:textId="586AAC0F" w:rsidR="00795BE0" w:rsidRDefault="00EF5F08" w:rsidP="00795BE0">
      <w:pPr>
        <w:rPr>
          <w:rFonts w:ascii="Arial" w:hAnsi="Arial" w:cs="Arial"/>
          <w:b/>
        </w:rPr>
      </w:pPr>
      <w:r w:rsidRPr="00EF5F08">
        <w:rPr>
          <w:noProof/>
        </w:rPr>
        <w:drawing>
          <wp:inline distT="0" distB="0" distL="0" distR="0" wp14:anchorId="3017D703" wp14:editId="13E36AF2">
            <wp:extent cx="5651500" cy="1323833"/>
            <wp:effectExtent l="0" t="0" r="635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54327" cy="1324495"/>
                    </a:xfrm>
                    <a:prstGeom prst="rect">
                      <a:avLst/>
                    </a:prstGeom>
                    <a:noFill/>
                    <a:ln>
                      <a:noFill/>
                    </a:ln>
                  </pic:spPr>
                </pic:pic>
              </a:graphicData>
            </a:graphic>
          </wp:inline>
        </w:drawing>
      </w:r>
    </w:p>
    <w:p w14:paraId="29D207D9" w14:textId="77777777" w:rsidR="00EF5F08" w:rsidRDefault="00EF5F08" w:rsidP="00795BE0">
      <w:pPr>
        <w:rPr>
          <w:rFonts w:ascii="Arial" w:hAnsi="Arial" w:cs="Arial"/>
          <w:b/>
        </w:rPr>
      </w:pPr>
    </w:p>
    <w:p w14:paraId="2C422504" w14:textId="4CF94ADE" w:rsidR="00EF5F08" w:rsidRPr="00EF5F08" w:rsidRDefault="00EF5F08" w:rsidP="00431F6F">
      <w:pPr>
        <w:pStyle w:val="Heading4bold"/>
      </w:pPr>
      <w:r w:rsidRPr="00F51726">
        <w:t>Ageing Analysis of Trade Debtors</w:t>
      </w:r>
    </w:p>
    <w:p w14:paraId="6185FFF5" w14:textId="2C2E3BD3" w:rsidR="00795BE0" w:rsidRDefault="00A776F5" w:rsidP="00795BE0">
      <w:pPr>
        <w:rPr>
          <w:rFonts w:ascii="Arial" w:hAnsi="Arial" w:cs="Arial"/>
          <w:b/>
        </w:rPr>
      </w:pPr>
      <w:r w:rsidRPr="00A776F5">
        <w:rPr>
          <w:noProof/>
        </w:rPr>
        <w:drawing>
          <wp:inline distT="0" distB="0" distL="0" distR="0" wp14:anchorId="2AA43AE4" wp14:editId="1BA536A6">
            <wp:extent cx="4389120" cy="659765"/>
            <wp:effectExtent l="0" t="0" r="0" b="6985"/>
            <wp:docPr id="796825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89120" cy="659765"/>
                    </a:xfrm>
                    <a:prstGeom prst="rect">
                      <a:avLst/>
                    </a:prstGeom>
                    <a:noFill/>
                    <a:ln>
                      <a:noFill/>
                    </a:ln>
                  </pic:spPr>
                </pic:pic>
              </a:graphicData>
            </a:graphic>
          </wp:inline>
        </w:drawing>
      </w:r>
    </w:p>
    <w:p w14:paraId="65EDB840" w14:textId="77777777" w:rsidR="00A776F5" w:rsidRPr="0007572B" w:rsidRDefault="00A776F5" w:rsidP="00795BE0">
      <w:pPr>
        <w:rPr>
          <w:rFonts w:ascii="Arial" w:hAnsi="Arial" w:cs="Arial"/>
          <w:b/>
        </w:rPr>
      </w:pPr>
    </w:p>
    <w:p w14:paraId="6CB956FB" w14:textId="7F404C25" w:rsidR="00795BE0" w:rsidRPr="0007572B" w:rsidRDefault="008633CA" w:rsidP="00795BE0">
      <w:pPr>
        <w:pStyle w:val="Heading3greennumbered"/>
      </w:pPr>
      <w:bookmarkStart w:id="305" w:name="_Toc92894944"/>
      <w:bookmarkStart w:id="306" w:name="_Toc92895248"/>
      <w:bookmarkStart w:id="307" w:name="_Toc109922682"/>
      <w:r>
        <w:t xml:space="preserve">51 </w:t>
      </w:r>
      <w:r w:rsidR="00795BE0" w:rsidRPr="0007572B">
        <w:t>Group Cash and Cash Equivalents</w:t>
      </w:r>
      <w:bookmarkEnd w:id="305"/>
      <w:bookmarkEnd w:id="306"/>
      <w:bookmarkEnd w:id="307"/>
    </w:p>
    <w:p w14:paraId="1D4ADA7D" w14:textId="77777777" w:rsidR="00795BE0" w:rsidRDefault="00795BE0" w:rsidP="00795BE0">
      <w:pPr>
        <w:rPr>
          <w:rFonts w:ascii="Arial" w:hAnsi="Arial" w:cs="Arial"/>
          <w:b/>
        </w:rPr>
      </w:pPr>
    </w:p>
    <w:tbl>
      <w:tblPr>
        <w:tblW w:w="6260" w:type="dxa"/>
        <w:tblLook w:val="04A0" w:firstRow="1" w:lastRow="0" w:firstColumn="1" w:lastColumn="0" w:noHBand="0" w:noVBand="1"/>
      </w:tblPr>
      <w:tblGrid>
        <w:gridCol w:w="1080"/>
        <w:gridCol w:w="4100"/>
        <w:gridCol w:w="1080"/>
      </w:tblGrid>
      <w:tr w:rsidR="007A4DD8" w14:paraId="285FE4F0" w14:textId="77777777" w:rsidTr="007A4DD8">
        <w:trPr>
          <w:trHeight w:val="400"/>
        </w:trPr>
        <w:tc>
          <w:tcPr>
            <w:tcW w:w="1080" w:type="dxa"/>
            <w:tcBorders>
              <w:top w:val="single" w:sz="4" w:space="0" w:color="auto"/>
              <w:left w:val="single" w:sz="4" w:space="0" w:color="auto"/>
              <w:bottom w:val="nil"/>
              <w:right w:val="single" w:sz="4" w:space="0" w:color="auto"/>
            </w:tcBorders>
            <w:shd w:val="clear" w:color="auto" w:fill="auto"/>
            <w:vAlign w:val="bottom"/>
            <w:hideMark/>
          </w:tcPr>
          <w:p w14:paraId="2862360B" w14:textId="77777777" w:rsidR="007A4DD8" w:rsidRDefault="007A4DD8">
            <w:pPr>
              <w:jc w:val="center"/>
              <w:rPr>
                <w:rFonts w:ascii="Verdana" w:hAnsi="Verdana" w:cs="Arial"/>
                <w:b/>
                <w:bCs/>
                <w:sz w:val="16"/>
                <w:szCs w:val="16"/>
                <w:lang w:eastAsia="en-GB"/>
              </w:rPr>
            </w:pPr>
            <w:r>
              <w:rPr>
                <w:rFonts w:ascii="Verdana" w:hAnsi="Verdana" w:cs="Arial"/>
                <w:b/>
                <w:bCs/>
                <w:sz w:val="16"/>
                <w:szCs w:val="16"/>
              </w:rPr>
              <w:t>Restated</w:t>
            </w:r>
            <w:r>
              <w:rPr>
                <w:rFonts w:ascii="Verdana" w:hAnsi="Verdana" w:cs="Arial"/>
                <w:b/>
                <w:bCs/>
                <w:sz w:val="16"/>
                <w:szCs w:val="16"/>
              </w:rPr>
              <w:br/>
              <w:t>2020/21</w:t>
            </w:r>
          </w:p>
        </w:tc>
        <w:tc>
          <w:tcPr>
            <w:tcW w:w="4100" w:type="dxa"/>
            <w:tcBorders>
              <w:top w:val="single" w:sz="4" w:space="0" w:color="auto"/>
              <w:left w:val="nil"/>
              <w:bottom w:val="nil"/>
              <w:right w:val="nil"/>
            </w:tcBorders>
            <w:shd w:val="clear" w:color="auto" w:fill="auto"/>
            <w:noWrap/>
            <w:hideMark/>
          </w:tcPr>
          <w:p w14:paraId="5AC00CC0" w14:textId="77777777" w:rsidR="007A4DD8" w:rsidRDefault="007A4DD8">
            <w:pPr>
              <w:rPr>
                <w:rFonts w:ascii="Verdana" w:hAnsi="Verdana" w:cs="Arial"/>
                <w:b/>
                <w:bCs/>
                <w:sz w:val="16"/>
                <w:szCs w:val="16"/>
              </w:rPr>
            </w:pPr>
            <w:r>
              <w:rPr>
                <w:rFonts w:ascii="Verdana" w:hAnsi="Verdana" w:cs="Arial"/>
                <w:b/>
                <w:bCs/>
                <w:sz w:val="16"/>
                <w:szCs w:val="16"/>
              </w:rPr>
              <w:t>Cash and Cash Equivalents</w:t>
            </w:r>
          </w:p>
        </w:tc>
        <w:tc>
          <w:tcPr>
            <w:tcW w:w="1080" w:type="dxa"/>
            <w:tcBorders>
              <w:top w:val="single" w:sz="4" w:space="0" w:color="auto"/>
              <w:left w:val="single" w:sz="4" w:space="0" w:color="auto"/>
              <w:bottom w:val="nil"/>
              <w:right w:val="single" w:sz="4" w:space="0" w:color="auto"/>
            </w:tcBorders>
            <w:shd w:val="clear" w:color="auto" w:fill="auto"/>
            <w:noWrap/>
            <w:hideMark/>
          </w:tcPr>
          <w:p w14:paraId="14B61568" w14:textId="77777777" w:rsidR="007A4DD8" w:rsidRDefault="007A4DD8">
            <w:pPr>
              <w:jc w:val="center"/>
              <w:rPr>
                <w:rFonts w:ascii="Verdana" w:hAnsi="Verdana" w:cs="Arial"/>
                <w:b/>
                <w:bCs/>
                <w:sz w:val="16"/>
                <w:szCs w:val="16"/>
              </w:rPr>
            </w:pPr>
            <w:r>
              <w:rPr>
                <w:rFonts w:ascii="Verdana" w:hAnsi="Verdana" w:cs="Arial"/>
                <w:b/>
                <w:bCs/>
                <w:sz w:val="16"/>
                <w:szCs w:val="16"/>
              </w:rPr>
              <w:t>2021/22</w:t>
            </w:r>
          </w:p>
        </w:tc>
      </w:tr>
      <w:tr w:rsidR="007A4DD8" w14:paraId="70877862" w14:textId="77777777" w:rsidTr="007A4DD8">
        <w:trPr>
          <w:trHeight w:val="2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DEA0D6" w14:textId="77777777" w:rsidR="007A4DD8" w:rsidRDefault="007A4DD8">
            <w:pPr>
              <w:jc w:val="center"/>
              <w:rPr>
                <w:rFonts w:ascii="Verdana" w:hAnsi="Verdana" w:cs="Arial"/>
                <w:b/>
                <w:bCs/>
                <w:sz w:val="16"/>
                <w:szCs w:val="16"/>
              </w:rPr>
            </w:pPr>
            <w:r>
              <w:rPr>
                <w:rFonts w:ascii="Verdana" w:hAnsi="Verdana" w:cs="Arial"/>
                <w:b/>
                <w:bCs/>
                <w:sz w:val="16"/>
                <w:szCs w:val="16"/>
              </w:rPr>
              <w:t>£000s</w:t>
            </w:r>
          </w:p>
        </w:tc>
        <w:tc>
          <w:tcPr>
            <w:tcW w:w="4100" w:type="dxa"/>
            <w:tcBorders>
              <w:top w:val="nil"/>
              <w:left w:val="nil"/>
              <w:bottom w:val="single" w:sz="4" w:space="0" w:color="auto"/>
              <w:right w:val="nil"/>
            </w:tcBorders>
            <w:shd w:val="clear" w:color="auto" w:fill="auto"/>
            <w:noWrap/>
            <w:vAlign w:val="bottom"/>
            <w:hideMark/>
          </w:tcPr>
          <w:p w14:paraId="54CCD675" w14:textId="77777777" w:rsidR="007A4DD8" w:rsidRDefault="007A4DD8">
            <w:pPr>
              <w:rPr>
                <w:rFonts w:ascii="Verdana" w:hAnsi="Verdana" w:cs="Arial"/>
                <w:b/>
                <w:bCs/>
                <w:sz w:val="16"/>
                <w:szCs w:val="16"/>
              </w:rPr>
            </w:pPr>
            <w:r>
              <w:rPr>
                <w:rFonts w:ascii="Verdana" w:hAnsi="Verdana" w:cs="Arial"/>
                <w:b/>
                <w:bCs/>
                <w:sz w:val="16"/>
                <w:szCs w:val="16"/>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4C207F" w14:textId="77777777" w:rsidR="007A4DD8" w:rsidRDefault="007A4DD8">
            <w:pPr>
              <w:jc w:val="center"/>
              <w:rPr>
                <w:rFonts w:ascii="Verdana" w:hAnsi="Verdana" w:cs="Arial"/>
                <w:b/>
                <w:bCs/>
                <w:sz w:val="16"/>
                <w:szCs w:val="16"/>
              </w:rPr>
            </w:pPr>
            <w:r>
              <w:rPr>
                <w:rFonts w:ascii="Verdana" w:hAnsi="Verdana" w:cs="Arial"/>
                <w:b/>
                <w:bCs/>
                <w:sz w:val="16"/>
                <w:szCs w:val="16"/>
              </w:rPr>
              <w:t>£000s</w:t>
            </w:r>
          </w:p>
        </w:tc>
      </w:tr>
      <w:tr w:rsidR="007A4DD8" w14:paraId="3CA22680" w14:textId="77777777" w:rsidTr="007A4DD8">
        <w:trPr>
          <w:trHeight w:val="200"/>
        </w:trPr>
        <w:tc>
          <w:tcPr>
            <w:tcW w:w="1080" w:type="dxa"/>
            <w:tcBorders>
              <w:top w:val="nil"/>
              <w:left w:val="single" w:sz="4" w:space="0" w:color="auto"/>
              <w:bottom w:val="nil"/>
              <w:right w:val="single" w:sz="4" w:space="0" w:color="auto"/>
            </w:tcBorders>
            <w:shd w:val="clear" w:color="auto" w:fill="auto"/>
            <w:noWrap/>
            <w:vAlign w:val="center"/>
            <w:hideMark/>
          </w:tcPr>
          <w:p w14:paraId="1822360C" w14:textId="77777777" w:rsidR="007A4DD8" w:rsidRDefault="007A4DD8">
            <w:pPr>
              <w:jc w:val="right"/>
              <w:rPr>
                <w:rFonts w:ascii="Verdana" w:hAnsi="Verdana" w:cs="Arial"/>
                <w:sz w:val="16"/>
                <w:szCs w:val="16"/>
              </w:rPr>
            </w:pPr>
            <w:r>
              <w:rPr>
                <w:rFonts w:ascii="Verdana" w:hAnsi="Verdana" w:cs="Arial"/>
                <w:sz w:val="16"/>
                <w:szCs w:val="16"/>
              </w:rPr>
              <w:t xml:space="preserve">35,738 </w:t>
            </w:r>
          </w:p>
        </w:tc>
        <w:tc>
          <w:tcPr>
            <w:tcW w:w="4100" w:type="dxa"/>
            <w:tcBorders>
              <w:top w:val="nil"/>
              <w:left w:val="nil"/>
              <w:bottom w:val="nil"/>
              <w:right w:val="nil"/>
            </w:tcBorders>
            <w:shd w:val="clear" w:color="auto" w:fill="auto"/>
            <w:noWrap/>
            <w:vAlign w:val="center"/>
            <w:hideMark/>
          </w:tcPr>
          <w:p w14:paraId="73803A4E" w14:textId="77777777" w:rsidR="007A4DD8" w:rsidRDefault="007A4DD8">
            <w:pPr>
              <w:rPr>
                <w:rFonts w:ascii="Verdana" w:hAnsi="Verdana" w:cs="Arial"/>
                <w:sz w:val="16"/>
                <w:szCs w:val="16"/>
              </w:rPr>
            </w:pPr>
            <w:r>
              <w:rPr>
                <w:rFonts w:ascii="Verdana" w:hAnsi="Verdana" w:cs="Arial"/>
                <w:sz w:val="16"/>
                <w:szCs w:val="16"/>
              </w:rPr>
              <w:t>Bank current accounts</w:t>
            </w:r>
          </w:p>
        </w:tc>
        <w:tc>
          <w:tcPr>
            <w:tcW w:w="1080" w:type="dxa"/>
            <w:tcBorders>
              <w:top w:val="nil"/>
              <w:left w:val="single" w:sz="4" w:space="0" w:color="auto"/>
              <w:bottom w:val="nil"/>
              <w:right w:val="single" w:sz="4" w:space="0" w:color="auto"/>
            </w:tcBorders>
            <w:shd w:val="clear" w:color="auto" w:fill="auto"/>
            <w:noWrap/>
            <w:vAlign w:val="center"/>
            <w:hideMark/>
          </w:tcPr>
          <w:p w14:paraId="1949BB46" w14:textId="77777777" w:rsidR="007A4DD8" w:rsidRDefault="007A4DD8">
            <w:pPr>
              <w:jc w:val="right"/>
              <w:rPr>
                <w:rFonts w:ascii="Verdana" w:hAnsi="Verdana" w:cs="Arial"/>
                <w:sz w:val="16"/>
                <w:szCs w:val="16"/>
              </w:rPr>
            </w:pPr>
            <w:r>
              <w:rPr>
                <w:rFonts w:ascii="Verdana" w:hAnsi="Verdana" w:cs="Arial"/>
                <w:sz w:val="16"/>
                <w:szCs w:val="16"/>
              </w:rPr>
              <w:t xml:space="preserve">11,821 </w:t>
            </w:r>
          </w:p>
        </w:tc>
      </w:tr>
      <w:tr w:rsidR="007A4DD8" w14:paraId="53D0BB93" w14:textId="77777777" w:rsidTr="007A4DD8">
        <w:trPr>
          <w:trHeight w:val="200"/>
        </w:trPr>
        <w:tc>
          <w:tcPr>
            <w:tcW w:w="1080" w:type="dxa"/>
            <w:tcBorders>
              <w:top w:val="nil"/>
              <w:left w:val="single" w:sz="4" w:space="0" w:color="auto"/>
              <w:bottom w:val="nil"/>
              <w:right w:val="single" w:sz="4" w:space="0" w:color="auto"/>
            </w:tcBorders>
            <w:shd w:val="clear" w:color="auto" w:fill="auto"/>
            <w:noWrap/>
            <w:vAlign w:val="center"/>
            <w:hideMark/>
          </w:tcPr>
          <w:p w14:paraId="33ABCD93" w14:textId="77777777" w:rsidR="007A4DD8" w:rsidRDefault="007A4DD8">
            <w:pPr>
              <w:jc w:val="right"/>
              <w:rPr>
                <w:rFonts w:ascii="Verdana" w:hAnsi="Verdana" w:cs="Arial"/>
                <w:sz w:val="16"/>
                <w:szCs w:val="16"/>
              </w:rPr>
            </w:pPr>
            <w:r>
              <w:rPr>
                <w:rFonts w:ascii="Verdana" w:hAnsi="Verdana" w:cs="Arial"/>
                <w:sz w:val="16"/>
                <w:szCs w:val="16"/>
              </w:rPr>
              <w:t xml:space="preserve">89,377 </w:t>
            </w:r>
          </w:p>
        </w:tc>
        <w:tc>
          <w:tcPr>
            <w:tcW w:w="4100" w:type="dxa"/>
            <w:tcBorders>
              <w:top w:val="nil"/>
              <w:left w:val="nil"/>
              <w:bottom w:val="nil"/>
              <w:right w:val="nil"/>
            </w:tcBorders>
            <w:shd w:val="clear" w:color="auto" w:fill="auto"/>
            <w:noWrap/>
            <w:vAlign w:val="center"/>
            <w:hideMark/>
          </w:tcPr>
          <w:p w14:paraId="60FA4868" w14:textId="77777777" w:rsidR="007A4DD8" w:rsidRDefault="007A4DD8">
            <w:pPr>
              <w:rPr>
                <w:rFonts w:ascii="Verdana" w:hAnsi="Verdana" w:cs="Arial"/>
                <w:sz w:val="16"/>
                <w:szCs w:val="16"/>
              </w:rPr>
            </w:pPr>
            <w:r>
              <w:rPr>
                <w:rFonts w:ascii="Verdana" w:hAnsi="Verdana" w:cs="Arial"/>
                <w:sz w:val="16"/>
                <w:szCs w:val="16"/>
              </w:rPr>
              <w:t>Bank call accounts</w:t>
            </w:r>
          </w:p>
        </w:tc>
        <w:tc>
          <w:tcPr>
            <w:tcW w:w="1080" w:type="dxa"/>
            <w:tcBorders>
              <w:top w:val="nil"/>
              <w:left w:val="single" w:sz="4" w:space="0" w:color="auto"/>
              <w:bottom w:val="nil"/>
              <w:right w:val="single" w:sz="4" w:space="0" w:color="auto"/>
            </w:tcBorders>
            <w:shd w:val="clear" w:color="auto" w:fill="auto"/>
            <w:noWrap/>
            <w:vAlign w:val="center"/>
            <w:hideMark/>
          </w:tcPr>
          <w:p w14:paraId="7CB8ACF9" w14:textId="77777777" w:rsidR="007A4DD8" w:rsidRDefault="007A4DD8">
            <w:pPr>
              <w:jc w:val="right"/>
              <w:rPr>
                <w:rFonts w:ascii="Verdana" w:hAnsi="Verdana" w:cs="Arial"/>
                <w:sz w:val="16"/>
                <w:szCs w:val="16"/>
              </w:rPr>
            </w:pPr>
            <w:r>
              <w:rPr>
                <w:rFonts w:ascii="Verdana" w:hAnsi="Verdana" w:cs="Arial"/>
                <w:sz w:val="16"/>
                <w:szCs w:val="16"/>
              </w:rPr>
              <w:t xml:space="preserve">13,361 </w:t>
            </w:r>
          </w:p>
        </w:tc>
      </w:tr>
      <w:tr w:rsidR="007A4DD8" w14:paraId="6DCFE3BD" w14:textId="77777777" w:rsidTr="007A4DD8">
        <w:trPr>
          <w:trHeight w:val="200"/>
        </w:trPr>
        <w:tc>
          <w:tcPr>
            <w:tcW w:w="1080" w:type="dxa"/>
            <w:tcBorders>
              <w:top w:val="nil"/>
              <w:left w:val="single" w:sz="4" w:space="0" w:color="auto"/>
              <w:bottom w:val="nil"/>
              <w:right w:val="single" w:sz="4" w:space="0" w:color="auto"/>
            </w:tcBorders>
            <w:shd w:val="clear" w:color="auto" w:fill="auto"/>
            <w:noWrap/>
            <w:vAlign w:val="center"/>
            <w:hideMark/>
          </w:tcPr>
          <w:p w14:paraId="09B8DEA2" w14:textId="77777777" w:rsidR="007A4DD8" w:rsidRDefault="007A4DD8">
            <w:pPr>
              <w:jc w:val="right"/>
              <w:rPr>
                <w:rFonts w:ascii="Verdana" w:hAnsi="Verdana" w:cs="Arial"/>
                <w:sz w:val="16"/>
                <w:szCs w:val="16"/>
              </w:rPr>
            </w:pPr>
            <w:r>
              <w:rPr>
                <w:rFonts w:ascii="Verdana" w:hAnsi="Verdana" w:cs="Arial"/>
                <w:sz w:val="16"/>
                <w:szCs w:val="16"/>
              </w:rPr>
              <w:t xml:space="preserve">565 </w:t>
            </w:r>
          </w:p>
        </w:tc>
        <w:tc>
          <w:tcPr>
            <w:tcW w:w="4100" w:type="dxa"/>
            <w:tcBorders>
              <w:top w:val="nil"/>
              <w:left w:val="nil"/>
              <w:bottom w:val="nil"/>
              <w:right w:val="nil"/>
            </w:tcBorders>
            <w:shd w:val="clear" w:color="auto" w:fill="auto"/>
            <w:vAlign w:val="center"/>
            <w:hideMark/>
          </w:tcPr>
          <w:p w14:paraId="1441935E" w14:textId="77777777" w:rsidR="007A4DD8" w:rsidRDefault="007A4DD8">
            <w:pPr>
              <w:rPr>
                <w:rFonts w:ascii="Verdana" w:hAnsi="Verdana" w:cs="Arial"/>
                <w:sz w:val="16"/>
                <w:szCs w:val="16"/>
              </w:rPr>
            </w:pPr>
            <w:r>
              <w:rPr>
                <w:rFonts w:ascii="Verdana" w:hAnsi="Verdana" w:cs="Arial"/>
                <w:sz w:val="16"/>
                <w:szCs w:val="16"/>
              </w:rPr>
              <w:t>Cash held by the Authority</w:t>
            </w:r>
          </w:p>
        </w:tc>
        <w:tc>
          <w:tcPr>
            <w:tcW w:w="1080" w:type="dxa"/>
            <w:tcBorders>
              <w:top w:val="nil"/>
              <w:left w:val="single" w:sz="4" w:space="0" w:color="auto"/>
              <w:bottom w:val="nil"/>
              <w:right w:val="single" w:sz="4" w:space="0" w:color="auto"/>
            </w:tcBorders>
            <w:shd w:val="clear" w:color="auto" w:fill="auto"/>
            <w:noWrap/>
            <w:vAlign w:val="center"/>
            <w:hideMark/>
          </w:tcPr>
          <w:p w14:paraId="32BF3E90" w14:textId="77777777" w:rsidR="007A4DD8" w:rsidRDefault="007A4DD8">
            <w:pPr>
              <w:jc w:val="right"/>
              <w:rPr>
                <w:rFonts w:ascii="Verdana" w:hAnsi="Verdana" w:cs="Arial"/>
                <w:sz w:val="16"/>
                <w:szCs w:val="16"/>
              </w:rPr>
            </w:pPr>
            <w:r>
              <w:rPr>
                <w:rFonts w:ascii="Verdana" w:hAnsi="Verdana" w:cs="Arial"/>
                <w:sz w:val="16"/>
                <w:szCs w:val="16"/>
              </w:rPr>
              <w:t xml:space="preserve">562 </w:t>
            </w:r>
          </w:p>
        </w:tc>
      </w:tr>
      <w:tr w:rsidR="007A4DD8" w14:paraId="75647F9E" w14:textId="77777777" w:rsidTr="007A4DD8">
        <w:trPr>
          <w:trHeight w:val="200"/>
        </w:trPr>
        <w:tc>
          <w:tcPr>
            <w:tcW w:w="1080" w:type="dxa"/>
            <w:tcBorders>
              <w:top w:val="nil"/>
              <w:left w:val="single" w:sz="4" w:space="0" w:color="auto"/>
              <w:bottom w:val="nil"/>
              <w:right w:val="single" w:sz="4" w:space="0" w:color="auto"/>
            </w:tcBorders>
            <w:shd w:val="clear" w:color="auto" w:fill="auto"/>
            <w:noWrap/>
            <w:vAlign w:val="center"/>
            <w:hideMark/>
          </w:tcPr>
          <w:p w14:paraId="5B60CA29" w14:textId="77777777" w:rsidR="007A4DD8" w:rsidRDefault="007A4DD8">
            <w:pPr>
              <w:jc w:val="right"/>
              <w:rPr>
                <w:rFonts w:ascii="Verdana" w:hAnsi="Verdana" w:cs="Arial"/>
                <w:sz w:val="16"/>
                <w:szCs w:val="16"/>
              </w:rPr>
            </w:pPr>
            <w:r>
              <w:rPr>
                <w:rFonts w:ascii="Verdana" w:hAnsi="Verdana" w:cs="Arial"/>
                <w:sz w:val="16"/>
                <w:szCs w:val="16"/>
              </w:rPr>
              <w:t xml:space="preserve">50,012 </w:t>
            </w:r>
          </w:p>
        </w:tc>
        <w:tc>
          <w:tcPr>
            <w:tcW w:w="4100" w:type="dxa"/>
            <w:tcBorders>
              <w:top w:val="nil"/>
              <w:left w:val="nil"/>
              <w:bottom w:val="nil"/>
              <w:right w:val="nil"/>
            </w:tcBorders>
            <w:shd w:val="clear" w:color="000000" w:fill="FFFFFF"/>
            <w:vAlign w:val="center"/>
            <w:hideMark/>
          </w:tcPr>
          <w:p w14:paraId="2B387484" w14:textId="77777777" w:rsidR="007A4DD8" w:rsidRDefault="007A4DD8">
            <w:pPr>
              <w:rPr>
                <w:rFonts w:ascii="Verdana" w:hAnsi="Verdana" w:cs="Arial"/>
                <w:sz w:val="16"/>
                <w:szCs w:val="16"/>
              </w:rPr>
            </w:pPr>
            <w:r>
              <w:rPr>
                <w:rFonts w:ascii="Verdana" w:hAnsi="Verdana" w:cs="Arial"/>
                <w:sz w:val="16"/>
                <w:szCs w:val="16"/>
              </w:rPr>
              <w:t>Cash - deposits for up to 3 months</w:t>
            </w:r>
          </w:p>
        </w:tc>
        <w:tc>
          <w:tcPr>
            <w:tcW w:w="1080" w:type="dxa"/>
            <w:tcBorders>
              <w:top w:val="nil"/>
              <w:left w:val="single" w:sz="4" w:space="0" w:color="auto"/>
              <w:bottom w:val="nil"/>
              <w:right w:val="single" w:sz="4" w:space="0" w:color="auto"/>
            </w:tcBorders>
            <w:shd w:val="clear" w:color="auto" w:fill="auto"/>
            <w:noWrap/>
            <w:hideMark/>
          </w:tcPr>
          <w:p w14:paraId="2FDABBD4" w14:textId="77777777" w:rsidR="007A4DD8" w:rsidRDefault="007A4DD8">
            <w:pPr>
              <w:jc w:val="right"/>
              <w:rPr>
                <w:rFonts w:ascii="Verdana" w:hAnsi="Verdana" w:cs="Arial"/>
                <w:sz w:val="16"/>
                <w:szCs w:val="16"/>
              </w:rPr>
            </w:pPr>
            <w:r>
              <w:rPr>
                <w:rFonts w:ascii="Verdana" w:hAnsi="Verdana" w:cs="Arial"/>
                <w:sz w:val="16"/>
                <w:szCs w:val="16"/>
              </w:rPr>
              <w:t xml:space="preserve">228,356 </w:t>
            </w:r>
          </w:p>
        </w:tc>
      </w:tr>
      <w:tr w:rsidR="007A4DD8" w14:paraId="31FF6362" w14:textId="77777777" w:rsidTr="007A4DD8">
        <w:trPr>
          <w:trHeight w:val="2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0B4CE" w14:textId="77777777" w:rsidR="007A4DD8" w:rsidRDefault="007A4DD8">
            <w:pPr>
              <w:jc w:val="right"/>
              <w:rPr>
                <w:rFonts w:ascii="Verdana" w:hAnsi="Verdana" w:cs="Arial"/>
                <w:b/>
                <w:bCs/>
                <w:sz w:val="16"/>
                <w:szCs w:val="16"/>
              </w:rPr>
            </w:pPr>
            <w:r>
              <w:rPr>
                <w:rFonts w:ascii="Verdana" w:hAnsi="Verdana" w:cs="Arial"/>
                <w:b/>
                <w:bCs/>
                <w:sz w:val="16"/>
                <w:szCs w:val="16"/>
              </w:rPr>
              <w:t xml:space="preserve">175,692 </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14:paraId="03A5059A" w14:textId="77777777" w:rsidR="007A4DD8" w:rsidRDefault="007A4DD8">
            <w:pPr>
              <w:rPr>
                <w:rFonts w:ascii="Verdana" w:hAnsi="Verdana" w:cs="Arial"/>
                <w:b/>
                <w:bCs/>
                <w:sz w:val="16"/>
                <w:szCs w:val="16"/>
              </w:rPr>
            </w:pPr>
            <w:r>
              <w:rPr>
                <w:rFonts w:ascii="Verdana" w:hAnsi="Verdana" w:cs="Arial"/>
                <w:b/>
                <w:bCs/>
                <w:sz w:val="16"/>
                <w:szCs w:val="16"/>
              </w:rPr>
              <w:t>Total Cash and Cash Equivalents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CD49259" w14:textId="1103B042" w:rsidR="007A4DD8" w:rsidRDefault="007A4DD8">
            <w:pPr>
              <w:jc w:val="right"/>
              <w:rPr>
                <w:rFonts w:ascii="Verdana" w:hAnsi="Verdana" w:cs="Arial"/>
                <w:b/>
                <w:bCs/>
                <w:sz w:val="16"/>
                <w:szCs w:val="16"/>
              </w:rPr>
            </w:pPr>
            <w:r>
              <w:rPr>
                <w:rFonts w:ascii="Verdana" w:hAnsi="Verdana" w:cs="Arial"/>
                <w:b/>
                <w:bCs/>
                <w:sz w:val="16"/>
                <w:szCs w:val="16"/>
              </w:rPr>
              <w:t xml:space="preserve">254,101 </w:t>
            </w:r>
          </w:p>
        </w:tc>
      </w:tr>
    </w:tbl>
    <w:p w14:paraId="5178842E" w14:textId="77777777" w:rsidR="00647034" w:rsidRPr="0007572B" w:rsidRDefault="00647034" w:rsidP="00795BE0">
      <w:pPr>
        <w:rPr>
          <w:rFonts w:ascii="Arial" w:hAnsi="Arial" w:cs="Arial"/>
          <w:b/>
        </w:rPr>
      </w:pPr>
    </w:p>
    <w:p w14:paraId="215483FE" w14:textId="458C2897" w:rsidR="00795BE0" w:rsidRPr="0007572B" w:rsidRDefault="00795BE0" w:rsidP="00795BE0">
      <w:pPr>
        <w:pStyle w:val="Heading3greennumbered"/>
      </w:pPr>
      <w:bookmarkStart w:id="308" w:name="_Toc92894945"/>
      <w:bookmarkStart w:id="309" w:name="_Toc92895249"/>
      <w:bookmarkStart w:id="310" w:name="_Toc109922683"/>
      <w:r w:rsidRPr="0007572B">
        <w:t>5</w:t>
      </w:r>
      <w:r w:rsidR="008633CA">
        <w:t>2</w:t>
      </w:r>
      <w:r w:rsidRPr="0007572B">
        <w:t xml:space="preserve"> Group Short Term Creditors</w:t>
      </w:r>
      <w:bookmarkEnd w:id="308"/>
      <w:bookmarkEnd w:id="309"/>
      <w:bookmarkEnd w:id="310"/>
    </w:p>
    <w:p w14:paraId="6B362301" w14:textId="77777777" w:rsidR="00647034" w:rsidRDefault="00647034" w:rsidP="00795BE0">
      <w:pPr>
        <w:rPr>
          <w:rFonts w:ascii="Arial" w:hAnsi="Arial" w:cs="Arial"/>
          <w:noProof/>
          <w:sz w:val="28"/>
          <w:szCs w:val="28"/>
          <w:lang w:eastAsia="en-GB"/>
        </w:rPr>
      </w:pPr>
    </w:p>
    <w:p w14:paraId="3C3F25F8" w14:textId="2770CD6D" w:rsidR="00795BE0" w:rsidRDefault="009033AF" w:rsidP="00795BE0">
      <w:pPr>
        <w:rPr>
          <w:rFonts w:ascii="Arial" w:hAnsi="Arial" w:cs="Arial"/>
          <w:noProof/>
          <w:sz w:val="28"/>
          <w:szCs w:val="28"/>
          <w:lang w:eastAsia="en-GB"/>
        </w:rPr>
      </w:pPr>
      <w:r w:rsidRPr="009033AF">
        <w:rPr>
          <w:noProof/>
        </w:rPr>
        <w:drawing>
          <wp:inline distT="0" distB="0" distL="0" distR="0" wp14:anchorId="58F98400" wp14:editId="55EAB00D">
            <wp:extent cx="5244465" cy="160782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44465" cy="1607820"/>
                    </a:xfrm>
                    <a:prstGeom prst="rect">
                      <a:avLst/>
                    </a:prstGeom>
                    <a:noFill/>
                    <a:ln>
                      <a:noFill/>
                    </a:ln>
                  </pic:spPr>
                </pic:pic>
              </a:graphicData>
            </a:graphic>
          </wp:inline>
        </w:drawing>
      </w:r>
    </w:p>
    <w:p w14:paraId="1D43266D" w14:textId="77777777" w:rsidR="00A776F5" w:rsidRPr="00647034" w:rsidRDefault="00A776F5" w:rsidP="00795BE0">
      <w:pPr>
        <w:rPr>
          <w:rFonts w:ascii="Arial" w:hAnsi="Arial" w:cs="Arial"/>
          <w:noProof/>
          <w:sz w:val="28"/>
          <w:szCs w:val="28"/>
          <w:lang w:eastAsia="en-GB"/>
        </w:rPr>
      </w:pPr>
    </w:p>
    <w:p w14:paraId="5DA05E9A" w14:textId="32BB80C4" w:rsidR="00795BE0" w:rsidRPr="0007572B" w:rsidRDefault="00795BE0" w:rsidP="00795BE0">
      <w:pPr>
        <w:pStyle w:val="Heading3greennumbered"/>
      </w:pPr>
      <w:bookmarkStart w:id="311" w:name="_Toc92894946"/>
      <w:bookmarkStart w:id="312" w:name="_Toc92895250"/>
      <w:bookmarkStart w:id="313" w:name="_Toc109922684"/>
      <w:r w:rsidRPr="0007572B">
        <w:lastRenderedPageBreak/>
        <w:t>5</w:t>
      </w:r>
      <w:r w:rsidR="008633CA">
        <w:t xml:space="preserve">3 </w:t>
      </w:r>
      <w:r w:rsidRPr="0007572B">
        <w:t>Group Short and Long Term Provisions</w:t>
      </w:r>
      <w:bookmarkEnd w:id="311"/>
      <w:bookmarkEnd w:id="312"/>
      <w:bookmarkEnd w:id="313"/>
    </w:p>
    <w:p w14:paraId="6C5A2D08" w14:textId="77777777" w:rsidR="00795BE0" w:rsidRDefault="00795BE0" w:rsidP="00795BE0">
      <w:pPr>
        <w:rPr>
          <w:rFonts w:ascii="Arial" w:hAnsi="Arial" w:cs="Arial"/>
        </w:rPr>
      </w:pPr>
    </w:p>
    <w:p w14:paraId="5A7E8C1B" w14:textId="77C299A1" w:rsidR="00795BE0" w:rsidRPr="0007572B" w:rsidRDefault="00795BE0" w:rsidP="00795BE0">
      <w:pPr>
        <w:rPr>
          <w:rFonts w:ascii="Arial" w:hAnsi="Arial" w:cs="Arial"/>
        </w:rPr>
      </w:pPr>
      <w:r w:rsidRPr="0007572B">
        <w:rPr>
          <w:rFonts w:ascii="Arial" w:hAnsi="Arial" w:cs="Arial"/>
        </w:rPr>
        <w:t>Provisions are established to meet liabilities or losses which are likely or certain to be incurred, but the amounts or timings are uncertain. Provisions provided as at 31 March 202</w:t>
      </w:r>
      <w:r>
        <w:rPr>
          <w:rFonts w:ascii="Arial" w:hAnsi="Arial" w:cs="Arial"/>
        </w:rPr>
        <w:t>2</w:t>
      </w:r>
      <w:r w:rsidRPr="0007572B">
        <w:rPr>
          <w:rFonts w:ascii="Arial" w:hAnsi="Arial" w:cs="Arial"/>
        </w:rPr>
        <w:t xml:space="preserve"> relate to (a) capital works, (b) insurance excesses,</w:t>
      </w:r>
      <w:r w:rsidR="00EF116E">
        <w:rPr>
          <w:rFonts w:ascii="Arial" w:hAnsi="Arial" w:cs="Arial"/>
        </w:rPr>
        <w:t xml:space="preserve"> </w:t>
      </w:r>
      <w:r w:rsidR="00B54132">
        <w:rPr>
          <w:rFonts w:ascii="Arial" w:hAnsi="Arial" w:cs="Arial"/>
        </w:rPr>
        <w:t xml:space="preserve">(c) </w:t>
      </w:r>
      <w:r w:rsidRPr="0007572B">
        <w:rPr>
          <w:rFonts w:ascii="Arial" w:hAnsi="Arial" w:cs="Arial"/>
        </w:rPr>
        <w:t>an onerous lease</w:t>
      </w:r>
      <w:r w:rsidR="00EF116E">
        <w:rPr>
          <w:rFonts w:ascii="Arial" w:hAnsi="Arial" w:cs="Arial"/>
        </w:rPr>
        <w:t xml:space="preserve"> and (d) </w:t>
      </w:r>
      <w:proofErr w:type="spellStart"/>
      <w:r w:rsidR="00EF116E">
        <w:rPr>
          <w:rFonts w:ascii="Arial" w:hAnsi="Arial" w:cs="Arial"/>
        </w:rPr>
        <w:t>landcare</w:t>
      </w:r>
      <w:proofErr w:type="spellEnd"/>
      <w:r w:rsidR="00EF116E">
        <w:rPr>
          <w:rFonts w:ascii="Arial" w:hAnsi="Arial" w:cs="Arial"/>
        </w:rPr>
        <w:t xml:space="preserve"> provision</w:t>
      </w:r>
      <w:r w:rsidRPr="0007572B">
        <w:rPr>
          <w:rFonts w:ascii="Arial" w:hAnsi="Arial" w:cs="Arial"/>
        </w:rPr>
        <w:t>.</w:t>
      </w:r>
    </w:p>
    <w:p w14:paraId="43D1DFEB" w14:textId="722ECE31" w:rsidR="00795BE0" w:rsidRDefault="00795BE0" w:rsidP="00795BE0">
      <w:pPr>
        <w:rPr>
          <w:rFonts w:ascii="Arial" w:hAnsi="Arial" w:cs="Arial"/>
          <w:b/>
        </w:rPr>
      </w:pPr>
    </w:p>
    <w:p w14:paraId="08A91475" w14:textId="65C13E68" w:rsidR="004C15B8" w:rsidRPr="0007572B" w:rsidRDefault="009033AF" w:rsidP="00795BE0">
      <w:pPr>
        <w:rPr>
          <w:rFonts w:ascii="Arial" w:hAnsi="Arial" w:cs="Arial"/>
          <w:b/>
        </w:rPr>
      </w:pPr>
      <w:r w:rsidRPr="009033AF">
        <w:rPr>
          <w:noProof/>
        </w:rPr>
        <w:drawing>
          <wp:inline distT="0" distB="0" distL="0" distR="0" wp14:anchorId="0ED8AA5E" wp14:editId="3039633A">
            <wp:extent cx="5975350" cy="3176905"/>
            <wp:effectExtent l="0" t="0" r="6350" b="444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75350" cy="3176905"/>
                    </a:xfrm>
                    <a:prstGeom prst="rect">
                      <a:avLst/>
                    </a:prstGeom>
                    <a:noFill/>
                    <a:ln>
                      <a:noFill/>
                    </a:ln>
                  </pic:spPr>
                </pic:pic>
              </a:graphicData>
            </a:graphic>
          </wp:inline>
        </w:drawing>
      </w:r>
    </w:p>
    <w:p w14:paraId="65881ABA" w14:textId="3AB19E24" w:rsidR="00795BE0" w:rsidRDefault="00E66BDC" w:rsidP="00795BE0">
      <w:pPr>
        <w:rPr>
          <w:rFonts w:ascii="Arial" w:hAnsi="Arial" w:cs="Arial"/>
          <w:b/>
        </w:rPr>
      </w:pPr>
      <w:r w:rsidRPr="00E66BDC">
        <w:rPr>
          <w:rFonts w:ascii="Arial" w:hAnsi="Arial" w:cs="Arial"/>
          <w:b/>
        </w:rPr>
        <w:t xml:space="preserve"> </w:t>
      </w:r>
    </w:p>
    <w:p w14:paraId="3176420A" w14:textId="77777777" w:rsidR="00795BE0" w:rsidRPr="0007572B" w:rsidRDefault="00795BE0" w:rsidP="00795BE0">
      <w:pPr>
        <w:jc w:val="both"/>
        <w:rPr>
          <w:rFonts w:ascii="Arial" w:hAnsi="Arial" w:cs="Arial"/>
          <w:b/>
          <w:u w:val="single"/>
          <w:lang w:eastAsia="en-GB"/>
        </w:rPr>
      </w:pPr>
    </w:p>
    <w:p w14:paraId="20D045C3" w14:textId="5F91E866" w:rsidR="00795BE0" w:rsidRDefault="00795BE0" w:rsidP="00DF4603">
      <w:pPr>
        <w:pStyle w:val="ListParagraph"/>
        <w:numPr>
          <w:ilvl w:val="0"/>
          <w:numId w:val="83"/>
        </w:numPr>
        <w:spacing w:after="0" w:line="240" w:lineRule="auto"/>
        <w:rPr>
          <w:rFonts w:ascii="Arial" w:hAnsi="Arial" w:cs="Arial"/>
          <w:sz w:val="24"/>
          <w:szCs w:val="24"/>
        </w:rPr>
      </w:pPr>
      <w:bookmarkStart w:id="314" w:name="_Hlk107235867"/>
      <w:r>
        <w:rPr>
          <w:rFonts w:ascii="Arial" w:hAnsi="Arial" w:cs="Arial"/>
          <w:sz w:val="24"/>
          <w:szCs w:val="24"/>
        </w:rPr>
        <w:t xml:space="preserve">Capital Works - </w:t>
      </w:r>
      <w:r w:rsidRPr="000A2EDF">
        <w:rPr>
          <w:rFonts w:ascii="Arial" w:hAnsi="Arial" w:cs="Arial"/>
          <w:sz w:val="24"/>
          <w:szCs w:val="24"/>
        </w:rPr>
        <w:t>Costs for works arising for land acquired</w:t>
      </w:r>
      <w:r w:rsidRPr="000A2EDF" w:rsidDel="001F1EF1">
        <w:rPr>
          <w:rFonts w:ascii="Arial" w:hAnsi="Arial" w:cs="Arial"/>
          <w:sz w:val="24"/>
          <w:szCs w:val="24"/>
        </w:rPr>
        <w:t xml:space="preserve"> </w:t>
      </w:r>
      <w:r w:rsidRPr="000A2EDF">
        <w:rPr>
          <w:rFonts w:ascii="Arial" w:hAnsi="Arial" w:cs="Arial"/>
          <w:sz w:val="24"/>
          <w:szCs w:val="24"/>
        </w:rPr>
        <w:t>in the ordinary course of delivering TfGM’s capital programme, where the amount of payment is uncertain</w:t>
      </w:r>
      <w:r w:rsidR="00A776F5">
        <w:rPr>
          <w:rFonts w:ascii="Arial" w:hAnsi="Arial" w:cs="Arial"/>
          <w:sz w:val="24"/>
          <w:szCs w:val="24"/>
        </w:rPr>
        <w:t>.</w:t>
      </w:r>
    </w:p>
    <w:p w14:paraId="7111124B" w14:textId="77777777" w:rsidR="00795BE0" w:rsidRDefault="00795BE0" w:rsidP="00795BE0">
      <w:pPr>
        <w:pStyle w:val="ListParagraph"/>
        <w:spacing w:after="0" w:line="240" w:lineRule="auto"/>
        <w:rPr>
          <w:rFonts w:ascii="Arial" w:hAnsi="Arial" w:cs="Arial"/>
          <w:sz w:val="24"/>
          <w:szCs w:val="24"/>
        </w:rPr>
      </w:pPr>
    </w:p>
    <w:p w14:paraId="36F7B9E3" w14:textId="7B8D6C50" w:rsidR="00795BE0" w:rsidRDefault="00795BE0" w:rsidP="00DF4603">
      <w:pPr>
        <w:pStyle w:val="ListParagraph"/>
        <w:numPr>
          <w:ilvl w:val="0"/>
          <w:numId w:val="83"/>
        </w:numPr>
        <w:spacing w:after="0" w:line="240" w:lineRule="auto"/>
        <w:rPr>
          <w:rFonts w:ascii="Arial" w:hAnsi="Arial" w:cs="Arial"/>
          <w:sz w:val="24"/>
          <w:szCs w:val="24"/>
        </w:rPr>
      </w:pPr>
      <w:r>
        <w:rPr>
          <w:rFonts w:ascii="Arial" w:hAnsi="Arial" w:cs="Arial"/>
          <w:sz w:val="24"/>
          <w:szCs w:val="24"/>
        </w:rPr>
        <w:t xml:space="preserve">Insurance Excess - </w:t>
      </w:r>
      <w:r w:rsidRPr="00E5256C">
        <w:rPr>
          <w:rFonts w:ascii="Arial" w:hAnsi="Arial" w:cs="Arial"/>
          <w:sz w:val="24"/>
          <w:szCs w:val="24"/>
        </w:rPr>
        <w:t>Excesses on Public Liability claims, arising from minor accidents to the public, and Employers Liability claims for work related illnesses that were potentially incurred prior to the transfer of TfGM’s bus operations following the implementation of the Transport Act 1985</w:t>
      </w:r>
      <w:r w:rsidR="00A776F5">
        <w:rPr>
          <w:rFonts w:ascii="Arial" w:hAnsi="Arial" w:cs="Arial"/>
          <w:sz w:val="24"/>
          <w:szCs w:val="24"/>
        </w:rPr>
        <w:t>.</w:t>
      </w:r>
    </w:p>
    <w:p w14:paraId="58A31001" w14:textId="77777777" w:rsidR="00795BE0" w:rsidRPr="00E5256C" w:rsidRDefault="00795BE0" w:rsidP="00795BE0">
      <w:pPr>
        <w:pStyle w:val="ListParagraph"/>
        <w:rPr>
          <w:rFonts w:ascii="Arial" w:hAnsi="Arial" w:cs="Arial"/>
          <w:sz w:val="24"/>
          <w:szCs w:val="24"/>
        </w:rPr>
      </w:pPr>
    </w:p>
    <w:p w14:paraId="02A9EEB4" w14:textId="7B814267" w:rsidR="00795BE0" w:rsidRDefault="00795BE0" w:rsidP="00DF4603">
      <w:pPr>
        <w:pStyle w:val="ListParagraph"/>
        <w:numPr>
          <w:ilvl w:val="0"/>
          <w:numId w:val="83"/>
        </w:numPr>
        <w:spacing w:after="0" w:line="240" w:lineRule="auto"/>
        <w:rPr>
          <w:rFonts w:ascii="Arial" w:hAnsi="Arial" w:cs="Arial"/>
          <w:sz w:val="24"/>
          <w:szCs w:val="24"/>
        </w:rPr>
      </w:pPr>
      <w:r w:rsidRPr="00E5256C">
        <w:rPr>
          <w:rFonts w:ascii="Arial" w:hAnsi="Arial" w:cs="Arial"/>
          <w:sz w:val="24"/>
          <w:szCs w:val="24"/>
        </w:rPr>
        <w:t>Onerous lease</w:t>
      </w:r>
      <w:r>
        <w:rPr>
          <w:rFonts w:ascii="Arial" w:hAnsi="Arial" w:cs="Arial"/>
          <w:sz w:val="24"/>
          <w:szCs w:val="24"/>
        </w:rPr>
        <w:t xml:space="preserve"> -</w:t>
      </w:r>
      <w:r w:rsidRPr="00E5256C">
        <w:rPr>
          <w:rFonts w:ascii="Arial" w:hAnsi="Arial" w:cs="Arial"/>
          <w:sz w:val="24"/>
          <w:szCs w:val="24"/>
        </w:rPr>
        <w:t xml:space="preserve"> Future lease costs of a property held on a long</w:t>
      </w:r>
      <w:r>
        <w:rPr>
          <w:rFonts w:ascii="Arial" w:hAnsi="Arial" w:cs="Arial"/>
          <w:sz w:val="24"/>
          <w:szCs w:val="24"/>
        </w:rPr>
        <w:t>-</w:t>
      </w:r>
      <w:r w:rsidRPr="00E5256C">
        <w:rPr>
          <w:rFonts w:ascii="Arial" w:hAnsi="Arial" w:cs="Arial"/>
          <w:sz w:val="24"/>
          <w:szCs w:val="24"/>
        </w:rPr>
        <w:t>term lease by TfGM</w:t>
      </w:r>
      <w:r w:rsidR="00A776F5">
        <w:rPr>
          <w:rFonts w:ascii="Arial" w:hAnsi="Arial" w:cs="Arial"/>
          <w:sz w:val="24"/>
          <w:szCs w:val="24"/>
        </w:rPr>
        <w:t>.</w:t>
      </w:r>
    </w:p>
    <w:p w14:paraId="3B0ECE8C" w14:textId="77777777" w:rsidR="00EF116E" w:rsidRPr="00EF116E" w:rsidRDefault="00EF116E" w:rsidP="00EF116E">
      <w:pPr>
        <w:pStyle w:val="ListParagraph"/>
        <w:rPr>
          <w:rFonts w:ascii="Arial" w:hAnsi="Arial" w:cs="Arial"/>
          <w:sz w:val="24"/>
          <w:szCs w:val="24"/>
        </w:rPr>
      </w:pPr>
    </w:p>
    <w:p w14:paraId="3F6C421F" w14:textId="115CF6A4" w:rsidR="00EF116E" w:rsidRDefault="00EF116E" w:rsidP="00EF116E">
      <w:pPr>
        <w:pStyle w:val="ListParagraph"/>
        <w:numPr>
          <w:ilvl w:val="0"/>
          <w:numId w:val="83"/>
        </w:numPr>
        <w:spacing w:after="0" w:line="240" w:lineRule="auto"/>
        <w:rPr>
          <w:rFonts w:ascii="Arial" w:hAnsi="Arial" w:cs="Arial"/>
          <w:sz w:val="24"/>
          <w:szCs w:val="24"/>
        </w:rPr>
      </w:pPr>
      <w:r w:rsidRPr="00271082">
        <w:rPr>
          <w:rFonts w:ascii="Arial" w:hAnsi="Arial" w:cs="Arial"/>
          <w:sz w:val="24"/>
          <w:szCs w:val="24"/>
        </w:rPr>
        <w:t>Landcare Provision - The GMWDA sold 18 sites to the private sector (Landcare (Manchester) Limited) in December 2012 in return for agreeing a fixed ten year contribution less potential income from part of any enhanced value (overage) from future development of the sites. The Landcare provision represents the maximum amounts that GMCA would have to pay each year, however as there is an overage clause if Landcare were to make money from one of the sites transferred to them, there is a mechanism to reduce the annual payment.</w:t>
      </w:r>
    </w:p>
    <w:p w14:paraId="33D7E3A9" w14:textId="77777777" w:rsidR="0062785B" w:rsidRPr="0062785B" w:rsidRDefault="0062785B" w:rsidP="0062785B">
      <w:pPr>
        <w:pStyle w:val="ListParagraph"/>
        <w:rPr>
          <w:rFonts w:ascii="Arial" w:hAnsi="Arial" w:cs="Arial"/>
          <w:sz w:val="24"/>
          <w:szCs w:val="24"/>
        </w:rPr>
      </w:pPr>
    </w:p>
    <w:p w14:paraId="366EADBF" w14:textId="7AD552F2" w:rsidR="0062785B" w:rsidRDefault="0062785B" w:rsidP="0062785B">
      <w:pPr>
        <w:pStyle w:val="ListParagraph"/>
        <w:spacing w:after="0" w:line="240" w:lineRule="auto"/>
        <w:rPr>
          <w:rFonts w:ascii="Arial" w:hAnsi="Arial" w:cs="Arial"/>
          <w:sz w:val="24"/>
          <w:szCs w:val="24"/>
        </w:rPr>
      </w:pPr>
    </w:p>
    <w:p w14:paraId="64DC03B3" w14:textId="58562F64" w:rsidR="0062785B" w:rsidRDefault="0062785B" w:rsidP="0062785B">
      <w:pPr>
        <w:pStyle w:val="ListParagraph"/>
        <w:spacing w:after="0" w:line="240" w:lineRule="auto"/>
        <w:rPr>
          <w:rFonts w:ascii="Arial" w:hAnsi="Arial" w:cs="Arial"/>
          <w:sz w:val="24"/>
          <w:szCs w:val="24"/>
        </w:rPr>
      </w:pPr>
    </w:p>
    <w:p w14:paraId="7D65033D" w14:textId="2AC887EF" w:rsidR="0062785B" w:rsidRDefault="0062785B" w:rsidP="0062785B">
      <w:pPr>
        <w:pStyle w:val="ListParagraph"/>
        <w:spacing w:after="0" w:line="240" w:lineRule="auto"/>
        <w:rPr>
          <w:rFonts w:ascii="Arial" w:hAnsi="Arial" w:cs="Arial"/>
          <w:sz w:val="24"/>
          <w:szCs w:val="24"/>
        </w:rPr>
      </w:pPr>
    </w:p>
    <w:p w14:paraId="6A13A939" w14:textId="77777777" w:rsidR="0062785B" w:rsidRDefault="0062785B" w:rsidP="0062785B">
      <w:pPr>
        <w:pStyle w:val="ListParagraph"/>
        <w:spacing w:after="0" w:line="240" w:lineRule="auto"/>
        <w:rPr>
          <w:rFonts w:ascii="Arial" w:hAnsi="Arial" w:cs="Arial"/>
          <w:sz w:val="24"/>
          <w:szCs w:val="24"/>
        </w:rPr>
      </w:pPr>
    </w:p>
    <w:bookmarkEnd w:id="314"/>
    <w:p w14:paraId="57568625" w14:textId="77777777" w:rsidR="00795BE0" w:rsidRPr="0007572B" w:rsidRDefault="00795BE0" w:rsidP="00795BE0">
      <w:pPr>
        <w:jc w:val="both"/>
        <w:rPr>
          <w:rFonts w:ascii="Arial" w:hAnsi="Arial" w:cs="Arial"/>
          <w:b/>
          <w:sz w:val="22"/>
          <w:szCs w:val="22"/>
        </w:rPr>
      </w:pPr>
    </w:p>
    <w:p w14:paraId="2D6514C8" w14:textId="7D1A74A0" w:rsidR="00795BE0" w:rsidRPr="0007572B" w:rsidRDefault="00795BE0" w:rsidP="00795BE0">
      <w:pPr>
        <w:pStyle w:val="Heading3greennumbered"/>
      </w:pPr>
      <w:bookmarkStart w:id="315" w:name="_Toc92894947"/>
      <w:bookmarkStart w:id="316" w:name="_Toc92895251"/>
      <w:bookmarkStart w:id="317" w:name="_Toc109922685"/>
      <w:r w:rsidRPr="0007572B">
        <w:lastRenderedPageBreak/>
        <w:t>5</w:t>
      </w:r>
      <w:r w:rsidR="008633CA">
        <w:t>4</w:t>
      </w:r>
      <w:r w:rsidRPr="0007572B">
        <w:t xml:space="preserve"> Group Unusable Reserves</w:t>
      </w:r>
      <w:bookmarkEnd w:id="315"/>
      <w:bookmarkEnd w:id="316"/>
      <w:bookmarkEnd w:id="317"/>
    </w:p>
    <w:p w14:paraId="19DB003F" w14:textId="034A786C" w:rsidR="00795BE0" w:rsidRDefault="00795BE0" w:rsidP="00795BE0">
      <w:pPr>
        <w:rPr>
          <w:rFonts w:ascii="Arial" w:hAnsi="Arial" w:cs="Arial"/>
          <w:b/>
        </w:rPr>
      </w:pPr>
    </w:p>
    <w:p w14:paraId="5AFA6834" w14:textId="7503E409" w:rsidR="004C15B8" w:rsidRDefault="009033AF" w:rsidP="00795BE0">
      <w:pPr>
        <w:rPr>
          <w:rFonts w:ascii="Arial" w:hAnsi="Arial" w:cs="Arial"/>
          <w:b/>
        </w:rPr>
      </w:pPr>
      <w:r w:rsidRPr="009033AF">
        <w:rPr>
          <w:noProof/>
        </w:rPr>
        <w:drawing>
          <wp:inline distT="0" distB="0" distL="0" distR="0" wp14:anchorId="2408CC42" wp14:editId="48155252">
            <wp:extent cx="5539105" cy="1671320"/>
            <wp:effectExtent l="0" t="0" r="4445" b="508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39105" cy="1671320"/>
                    </a:xfrm>
                    <a:prstGeom prst="rect">
                      <a:avLst/>
                    </a:prstGeom>
                    <a:noFill/>
                    <a:ln>
                      <a:noFill/>
                    </a:ln>
                  </pic:spPr>
                </pic:pic>
              </a:graphicData>
            </a:graphic>
          </wp:inline>
        </w:drawing>
      </w:r>
    </w:p>
    <w:p w14:paraId="3E63497E" w14:textId="5B9BB57D" w:rsidR="00AC6E9D" w:rsidRDefault="00AC6E9D" w:rsidP="00795BE0">
      <w:pPr>
        <w:rPr>
          <w:rFonts w:ascii="Arial" w:hAnsi="Arial" w:cs="Arial"/>
          <w:b/>
        </w:rPr>
      </w:pPr>
    </w:p>
    <w:p w14:paraId="3E1B3994" w14:textId="77777777" w:rsidR="00795BE0" w:rsidRPr="0007572B" w:rsidRDefault="00795BE0" w:rsidP="00795BE0">
      <w:pPr>
        <w:pStyle w:val="Heading4bold"/>
      </w:pPr>
      <w:r w:rsidRPr="0007572B">
        <w:t>Capital Adjustment Account</w:t>
      </w:r>
    </w:p>
    <w:p w14:paraId="357CC60C" w14:textId="32C593F5" w:rsidR="00795BE0" w:rsidRDefault="00795BE0" w:rsidP="00795BE0">
      <w:pPr>
        <w:rPr>
          <w:rFonts w:ascii="Arial" w:hAnsi="Arial" w:cs="Arial"/>
        </w:rPr>
      </w:pPr>
      <w:r w:rsidRPr="0007572B">
        <w:rPr>
          <w:rFonts w:ascii="Arial" w:hAnsi="Arial" w:cs="Arial"/>
        </w:rPr>
        <w:t>The Capital Adjustment Account absorbs the timing differences arising from the different arrangements for accounting for the consumption of non-current assets and for financing the acquisition, construction or enhancement of those assets under statutory provisions.</w:t>
      </w:r>
    </w:p>
    <w:p w14:paraId="60C9EB67" w14:textId="77777777" w:rsidR="003D03A4" w:rsidRPr="0007572B" w:rsidRDefault="003D03A4" w:rsidP="00795BE0">
      <w:pPr>
        <w:rPr>
          <w:rFonts w:ascii="Arial" w:hAnsi="Arial" w:cs="Arial"/>
        </w:rPr>
      </w:pPr>
    </w:p>
    <w:p w14:paraId="0EC687B0" w14:textId="21A33EB0" w:rsidR="00795BE0" w:rsidRDefault="009033AF" w:rsidP="00795BE0">
      <w:pPr>
        <w:rPr>
          <w:rFonts w:ascii="Arial" w:hAnsi="Arial" w:cs="Arial"/>
        </w:rPr>
      </w:pPr>
      <w:r w:rsidRPr="009033AF">
        <w:rPr>
          <w:noProof/>
        </w:rPr>
        <w:drawing>
          <wp:inline distT="0" distB="0" distL="0" distR="0" wp14:anchorId="59417E04" wp14:editId="41655229">
            <wp:extent cx="5975350" cy="3021330"/>
            <wp:effectExtent l="0" t="0" r="6350" b="762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75350" cy="3021330"/>
                    </a:xfrm>
                    <a:prstGeom prst="rect">
                      <a:avLst/>
                    </a:prstGeom>
                    <a:noFill/>
                    <a:ln>
                      <a:noFill/>
                    </a:ln>
                  </pic:spPr>
                </pic:pic>
              </a:graphicData>
            </a:graphic>
          </wp:inline>
        </w:drawing>
      </w:r>
    </w:p>
    <w:p w14:paraId="455D6628" w14:textId="385A3D51" w:rsidR="006F1CCD" w:rsidRDefault="006F1CCD" w:rsidP="00795BE0">
      <w:pPr>
        <w:rPr>
          <w:rFonts w:ascii="Arial" w:hAnsi="Arial" w:cs="Arial"/>
        </w:rPr>
      </w:pPr>
    </w:p>
    <w:p w14:paraId="2716A6E3" w14:textId="77777777" w:rsidR="00795BE0" w:rsidRPr="0007572B" w:rsidRDefault="00795BE0" w:rsidP="00795BE0">
      <w:pPr>
        <w:pStyle w:val="Heading4bold"/>
      </w:pPr>
      <w:r w:rsidRPr="0007572B">
        <w:t>Pensions Reserve</w:t>
      </w:r>
    </w:p>
    <w:p w14:paraId="2B0D1275" w14:textId="5F05895C" w:rsidR="00795BE0" w:rsidRDefault="00795BE0" w:rsidP="00795BE0">
      <w:pPr>
        <w:rPr>
          <w:rFonts w:ascii="Arial" w:hAnsi="Arial" w:cs="Arial"/>
        </w:rPr>
      </w:pPr>
      <w:r w:rsidRPr="0007572B">
        <w:rPr>
          <w:rFonts w:ascii="Arial" w:hAnsi="Arial" w:cs="Arial"/>
        </w:rPr>
        <w:t>This relates to the net pension asset as at 31 March 202</w:t>
      </w:r>
      <w:r>
        <w:rPr>
          <w:rFonts w:ascii="Arial" w:hAnsi="Arial" w:cs="Arial"/>
        </w:rPr>
        <w:t>2</w:t>
      </w:r>
      <w:r w:rsidRPr="0007572B">
        <w:rPr>
          <w:rFonts w:ascii="Arial" w:hAnsi="Arial" w:cs="Arial"/>
        </w:rPr>
        <w:t xml:space="preserve"> in accordance with the actuary's report. Further details are shown in note </w:t>
      </w:r>
      <w:r w:rsidR="00E416F6">
        <w:rPr>
          <w:rFonts w:ascii="Arial" w:hAnsi="Arial" w:cs="Arial"/>
        </w:rPr>
        <w:t>59</w:t>
      </w:r>
      <w:r w:rsidRPr="0007572B">
        <w:rPr>
          <w:rFonts w:ascii="Arial" w:hAnsi="Arial" w:cs="Arial"/>
        </w:rPr>
        <w:t>.</w:t>
      </w:r>
    </w:p>
    <w:p w14:paraId="296311AE" w14:textId="0ED1081E" w:rsidR="004C15B8" w:rsidRDefault="004C15B8" w:rsidP="00795BE0">
      <w:pPr>
        <w:rPr>
          <w:rFonts w:ascii="Arial" w:hAnsi="Arial" w:cs="Arial"/>
        </w:rPr>
      </w:pPr>
    </w:p>
    <w:p w14:paraId="327DF32C" w14:textId="3F945E9D" w:rsidR="00795BE0" w:rsidRPr="0007572B" w:rsidRDefault="009033AF" w:rsidP="00795BE0">
      <w:pPr>
        <w:rPr>
          <w:rFonts w:ascii="Arial" w:hAnsi="Arial" w:cs="Arial"/>
          <w:b/>
        </w:rPr>
      </w:pPr>
      <w:r w:rsidRPr="009033AF">
        <w:rPr>
          <w:noProof/>
        </w:rPr>
        <w:drawing>
          <wp:inline distT="0" distB="0" distL="0" distR="0" wp14:anchorId="1296FD8F" wp14:editId="1C4B151B">
            <wp:extent cx="5975350" cy="1176655"/>
            <wp:effectExtent l="0" t="0" r="6350"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75350" cy="1176655"/>
                    </a:xfrm>
                    <a:prstGeom prst="rect">
                      <a:avLst/>
                    </a:prstGeom>
                    <a:noFill/>
                    <a:ln>
                      <a:noFill/>
                    </a:ln>
                  </pic:spPr>
                </pic:pic>
              </a:graphicData>
            </a:graphic>
          </wp:inline>
        </w:drawing>
      </w:r>
    </w:p>
    <w:p w14:paraId="24E69E13" w14:textId="77777777" w:rsidR="00795BE0" w:rsidRPr="0007572B" w:rsidRDefault="00795BE0" w:rsidP="00795BE0">
      <w:pPr>
        <w:rPr>
          <w:rFonts w:ascii="Arial" w:hAnsi="Arial" w:cs="Arial"/>
          <w:b/>
          <w:sz w:val="22"/>
          <w:szCs w:val="22"/>
        </w:rPr>
      </w:pPr>
      <w:r w:rsidRPr="0007572B">
        <w:rPr>
          <w:rFonts w:ascii="Arial" w:hAnsi="Arial" w:cs="Arial"/>
          <w:b/>
          <w:sz w:val="22"/>
          <w:szCs w:val="22"/>
        </w:rPr>
        <w:br w:type="page"/>
      </w:r>
    </w:p>
    <w:p w14:paraId="3E4B167E" w14:textId="43EC7E49" w:rsidR="00795BE0" w:rsidRDefault="00795BE0" w:rsidP="00795BE0">
      <w:pPr>
        <w:pStyle w:val="Heading4bold"/>
      </w:pPr>
      <w:r w:rsidRPr="0007572B">
        <w:lastRenderedPageBreak/>
        <w:t>Revaluation Reserve</w:t>
      </w:r>
    </w:p>
    <w:p w14:paraId="66F1EECA" w14:textId="1F300570" w:rsidR="00A04862" w:rsidRDefault="009033AF" w:rsidP="00795BE0">
      <w:pPr>
        <w:rPr>
          <w:rFonts w:ascii="Arial" w:hAnsi="Arial" w:cs="Arial"/>
          <w:b/>
        </w:rPr>
      </w:pPr>
      <w:r w:rsidRPr="009033AF">
        <w:rPr>
          <w:noProof/>
        </w:rPr>
        <w:drawing>
          <wp:inline distT="0" distB="0" distL="0" distR="0" wp14:anchorId="21C5EABD" wp14:editId="7EC44FD7">
            <wp:extent cx="5975350" cy="2048510"/>
            <wp:effectExtent l="0" t="0" r="6350" b="889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75350" cy="2048510"/>
                    </a:xfrm>
                    <a:prstGeom prst="rect">
                      <a:avLst/>
                    </a:prstGeom>
                    <a:noFill/>
                    <a:ln>
                      <a:noFill/>
                    </a:ln>
                  </pic:spPr>
                </pic:pic>
              </a:graphicData>
            </a:graphic>
          </wp:inline>
        </w:drawing>
      </w:r>
    </w:p>
    <w:p w14:paraId="2AE509FC" w14:textId="77777777" w:rsidR="00AC6E9D" w:rsidRPr="0007572B" w:rsidRDefault="00AC6E9D" w:rsidP="00795BE0">
      <w:pPr>
        <w:rPr>
          <w:rFonts w:ascii="Arial" w:hAnsi="Arial" w:cs="Arial"/>
          <w:b/>
        </w:rPr>
      </w:pPr>
    </w:p>
    <w:p w14:paraId="327EB6E5" w14:textId="77777777" w:rsidR="00795BE0" w:rsidRPr="0007572B" w:rsidRDefault="00795BE0" w:rsidP="00795BE0">
      <w:pPr>
        <w:pStyle w:val="Heading4bold"/>
      </w:pPr>
      <w:r w:rsidRPr="0007572B">
        <w:t>Accumulated Absences Reserve</w:t>
      </w:r>
    </w:p>
    <w:p w14:paraId="423B4D74" w14:textId="29FE168C" w:rsidR="00795BE0" w:rsidRPr="0007572B" w:rsidRDefault="00A04862" w:rsidP="00795BE0">
      <w:pPr>
        <w:rPr>
          <w:rFonts w:ascii="Arial" w:hAnsi="Arial" w:cs="Arial"/>
          <w:b/>
        </w:rPr>
      </w:pPr>
      <w:r w:rsidRPr="00A04862">
        <w:rPr>
          <w:noProof/>
        </w:rPr>
        <w:drawing>
          <wp:inline distT="0" distB="0" distL="0" distR="0" wp14:anchorId="41D8934E" wp14:editId="04800EBF">
            <wp:extent cx="5975350" cy="15621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75350" cy="1562100"/>
                    </a:xfrm>
                    <a:prstGeom prst="rect">
                      <a:avLst/>
                    </a:prstGeom>
                    <a:noFill/>
                    <a:ln>
                      <a:noFill/>
                    </a:ln>
                  </pic:spPr>
                </pic:pic>
              </a:graphicData>
            </a:graphic>
          </wp:inline>
        </w:drawing>
      </w:r>
    </w:p>
    <w:p w14:paraId="2A7E33B5" w14:textId="77777777" w:rsidR="00795BE0" w:rsidRPr="0007572B" w:rsidRDefault="00795BE0" w:rsidP="00795BE0">
      <w:pPr>
        <w:rPr>
          <w:rFonts w:ascii="Arial" w:hAnsi="Arial" w:cs="Arial"/>
          <w:b/>
        </w:rPr>
      </w:pPr>
    </w:p>
    <w:p w14:paraId="469264B8" w14:textId="77777777" w:rsidR="00795BE0" w:rsidRPr="0007572B" w:rsidRDefault="00795BE0" w:rsidP="00795BE0">
      <w:pPr>
        <w:pStyle w:val="Heading4bold"/>
      </w:pPr>
      <w:r w:rsidRPr="0007572B">
        <w:t>Deregulation Reserve</w:t>
      </w:r>
    </w:p>
    <w:p w14:paraId="792EC8FF" w14:textId="77777777" w:rsidR="00795BE0" w:rsidRPr="0007572B" w:rsidRDefault="00795BE0" w:rsidP="00795BE0">
      <w:pPr>
        <w:rPr>
          <w:rFonts w:ascii="Arial" w:hAnsi="Arial" w:cs="Arial"/>
        </w:rPr>
      </w:pPr>
      <w:r w:rsidRPr="0007572B">
        <w:rPr>
          <w:rFonts w:ascii="Arial" w:hAnsi="Arial" w:cs="Arial"/>
        </w:rPr>
        <w:t>The Deregulation Reserve represents payments and losses incurred by TfGM with respect to deregulation on 25 October 1986, which were not charged to profit and loss.</w:t>
      </w:r>
    </w:p>
    <w:p w14:paraId="12E1DCE5" w14:textId="77777777" w:rsidR="00795BE0" w:rsidRPr="0007572B" w:rsidRDefault="00795BE0" w:rsidP="00795BE0">
      <w:pPr>
        <w:rPr>
          <w:rFonts w:ascii="Arial" w:hAnsi="Arial" w:cs="Arial"/>
          <w:b/>
        </w:rPr>
      </w:pPr>
    </w:p>
    <w:p w14:paraId="7DE3F336" w14:textId="4AA4F80E" w:rsidR="00795BE0" w:rsidRPr="0007572B" w:rsidRDefault="00CF44E1" w:rsidP="00795BE0">
      <w:pPr>
        <w:rPr>
          <w:rFonts w:ascii="Arial" w:hAnsi="Arial" w:cs="Arial"/>
          <w:b/>
        </w:rPr>
      </w:pPr>
      <w:r w:rsidRPr="00CF44E1">
        <w:rPr>
          <w:noProof/>
        </w:rPr>
        <w:drawing>
          <wp:inline distT="0" distB="0" distL="0" distR="0" wp14:anchorId="5ACB43D2" wp14:editId="577D1688">
            <wp:extent cx="5326270" cy="682907"/>
            <wp:effectExtent l="0" t="0" r="9525" b="31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26270" cy="682907"/>
                    </a:xfrm>
                    <a:prstGeom prst="rect">
                      <a:avLst/>
                    </a:prstGeom>
                    <a:noFill/>
                    <a:ln>
                      <a:noFill/>
                    </a:ln>
                  </pic:spPr>
                </pic:pic>
              </a:graphicData>
            </a:graphic>
          </wp:inline>
        </w:drawing>
      </w:r>
    </w:p>
    <w:p w14:paraId="0269D26C" w14:textId="77777777" w:rsidR="00795BE0" w:rsidRPr="0007572B" w:rsidRDefault="00795BE0" w:rsidP="00795BE0">
      <w:pPr>
        <w:rPr>
          <w:rFonts w:ascii="Arial" w:hAnsi="Arial" w:cs="Arial"/>
          <w:b/>
          <w:szCs w:val="28"/>
        </w:rPr>
      </w:pPr>
    </w:p>
    <w:p w14:paraId="30BA2DD6" w14:textId="77777777" w:rsidR="00795BE0" w:rsidRPr="0007572B" w:rsidRDefault="00795BE0" w:rsidP="00795BE0">
      <w:pPr>
        <w:rPr>
          <w:rFonts w:ascii="Arial" w:hAnsi="Arial" w:cs="Arial"/>
          <w:b/>
          <w:sz w:val="22"/>
          <w:szCs w:val="22"/>
        </w:rPr>
      </w:pPr>
      <w:r w:rsidRPr="0007572B">
        <w:rPr>
          <w:rFonts w:ascii="Arial" w:hAnsi="Arial" w:cs="Arial"/>
          <w:b/>
          <w:sz w:val="22"/>
          <w:szCs w:val="22"/>
        </w:rPr>
        <w:br w:type="page"/>
      </w:r>
    </w:p>
    <w:p w14:paraId="717D31D9" w14:textId="4318A229" w:rsidR="00795BE0" w:rsidRPr="0007572B" w:rsidRDefault="00795BE0" w:rsidP="00795BE0">
      <w:pPr>
        <w:pStyle w:val="Heading3greennumbered"/>
      </w:pPr>
      <w:bookmarkStart w:id="318" w:name="_Toc92894948"/>
      <w:bookmarkStart w:id="319" w:name="_Toc92895252"/>
      <w:bookmarkStart w:id="320" w:name="_Toc109922686"/>
      <w:r w:rsidRPr="0007572B">
        <w:lastRenderedPageBreak/>
        <w:t>5</w:t>
      </w:r>
      <w:r w:rsidR="008633CA">
        <w:t>5</w:t>
      </w:r>
      <w:r w:rsidRPr="0007572B">
        <w:t xml:space="preserve"> Group Contingent Liabilities</w:t>
      </w:r>
      <w:bookmarkEnd w:id="318"/>
      <w:bookmarkEnd w:id="319"/>
      <w:bookmarkEnd w:id="320"/>
    </w:p>
    <w:p w14:paraId="6AEE5122" w14:textId="77777777" w:rsidR="00795BE0" w:rsidRDefault="00795BE0" w:rsidP="00795BE0">
      <w:pPr>
        <w:rPr>
          <w:rFonts w:ascii="Arial" w:hAnsi="Arial" w:cs="Arial"/>
          <w:b/>
          <w:bCs/>
        </w:rPr>
      </w:pPr>
    </w:p>
    <w:p w14:paraId="57B4D2FD" w14:textId="20B67FAB" w:rsidR="001C7C79" w:rsidRPr="001C7C79" w:rsidRDefault="001C7C79" w:rsidP="00256B04">
      <w:pPr>
        <w:pStyle w:val="Heading4bold"/>
        <w:spacing w:after="0"/>
      </w:pPr>
      <w:bookmarkStart w:id="321" w:name="_Hlk109673158"/>
      <w:r w:rsidRPr="001C7C79">
        <w:t>Contingent Liabilities relating to GMP</w:t>
      </w:r>
      <w:r w:rsidR="00256B04">
        <w:t>:</w:t>
      </w:r>
    </w:p>
    <w:p w14:paraId="0FD44D52" w14:textId="77777777" w:rsidR="001C7C79" w:rsidRPr="001C7C79" w:rsidRDefault="001C7C79" w:rsidP="00256B04">
      <w:pPr>
        <w:pStyle w:val="Normal0"/>
        <w:spacing w:line="240" w:lineRule="auto"/>
        <w:rPr>
          <w:rFonts w:ascii="Arial" w:hAnsi="Arial" w:cs="Arial"/>
          <w:sz w:val="24"/>
          <w:szCs w:val="24"/>
        </w:rPr>
      </w:pPr>
    </w:p>
    <w:p w14:paraId="53AB7691" w14:textId="7CDD7A96" w:rsidR="00795BE0" w:rsidRPr="001C7C79" w:rsidRDefault="00795BE0" w:rsidP="00256B04">
      <w:pPr>
        <w:pStyle w:val="Heading4bold"/>
        <w:spacing w:after="0"/>
      </w:pPr>
      <w:r w:rsidRPr="001C7C79">
        <w:t>McCloud / Sargeant Compensation Claims</w:t>
      </w:r>
    </w:p>
    <w:p w14:paraId="73F08432" w14:textId="77777777" w:rsidR="00795BE0" w:rsidRPr="001C7C79" w:rsidRDefault="00795BE0" w:rsidP="00256B04">
      <w:pPr>
        <w:rPr>
          <w:rFonts w:ascii="Arial" w:hAnsi="Arial" w:cs="Arial"/>
        </w:rPr>
      </w:pPr>
    </w:p>
    <w:p w14:paraId="0A73CA0C" w14:textId="77777777" w:rsidR="00F06E01" w:rsidRPr="001C7C79" w:rsidRDefault="00795BE0" w:rsidP="00795BE0">
      <w:pPr>
        <w:rPr>
          <w:rFonts w:ascii="Arial" w:hAnsi="Arial" w:cs="Arial"/>
        </w:rPr>
      </w:pPr>
      <w:r w:rsidRPr="001C7C79">
        <w:rPr>
          <w:rFonts w:ascii="Arial" w:hAnsi="Arial" w:cs="Arial"/>
        </w:rPr>
        <w:t>Claimants have lodged claims</w:t>
      </w:r>
      <w:r w:rsidR="00F06E01" w:rsidRPr="001C7C79">
        <w:rPr>
          <w:rFonts w:ascii="Arial" w:hAnsi="Arial" w:cs="Arial"/>
        </w:rPr>
        <w:t xml:space="preserve"> for compensation under two active sets of litigation, Aarons and Penningtons. </w:t>
      </w:r>
    </w:p>
    <w:p w14:paraId="7E5F1483" w14:textId="77777777" w:rsidR="00F06E01" w:rsidRDefault="00F06E01" w:rsidP="00795BE0">
      <w:pPr>
        <w:rPr>
          <w:rFonts w:ascii="Arial" w:hAnsi="Arial" w:cs="Arial"/>
          <w:highlight w:val="yellow"/>
        </w:rPr>
      </w:pPr>
    </w:p>
    <w:bookmarkEnd w:id="321"/>
    <w:p w14:paraId="0F8F88DD" w14:textId="1A8064F0" w:rsidR="00795BE0" w:rsidRPr="00F06E01" w:rsidRDefault="00F06E01" w:rsidP="00795BE0">
      <w:pPr>
        <w:rPr>
          <w:rFonts w:ascii="Arial" w:hAnsi="Arial" w:cs="Arial"/>
          <w:b/>
          <w:bCs/>
        </w:rPr>
      </w:pPr>
      <w:r w:rsidRPr="00F06E01">
        <w:rPr>
          <w:rFonts w:ascii="Arial" w:hAnsi="Arial" w:cs="Arial"/>
          <w:b/>
          <w:bCs/>
        </w:rPr>
        <w:t>Aarons and Ors</w:t>
      </w:r>
    </w:p>
    <w:p w14:paraId="4AAD1BA9" w14:textId="6AA3C74B" w:rsidR="00F06E01" w:rsidRDefault="00F06E01" w:rsidP="00795BE0">
      <w:pPr>
        <w:rPr>
          <w:rFonts w:ascii="Arial" w:hAnsi="Arial" w:cs="Arial"/>
        </w:rPr>
      </w:pPr>
      <w:r>
        <w:rPr>
          <w:rFonts w:ascii="Arial" w:hAnsi="Arial" w:cs="Arial"/>
        </w:rPr>
        <w:t>Government Legal Department settled the injury to feelings claims for Aaron on behalf of Chief Officers without seeking any financial contributions. Pecuniary loss claims are due to be heard by the Employment Tribunal in December 2022. The settlement of the injury to feelings for Aarons sets a helpful precedent, and therefore no liability in respect of compensation claims is recognised in these accounts.</w:t>
      </w:r>
    </w:p>
    <w:p w14:paraId="282172B9" w14:textId="263ADAF5" w:rsidR="00F06E01" w:rsidRDefault="00F06E01" w:rsidP="00795BE0">
      <w:pPr>
        <w:rPr>
          <w:rFonts w:ascii="Arial" w:hAnsi="Arial" w:cs="Arial"/>
        </w:rPr>
      </w:pPr>
    </w:p>
    <w:p w14:paraId="3AEEA1E0" w14:textId="0A6A6F8E" w:rsidR="00F06E01" w:rsidRPr="00F06E01" w:rsidRDefault="00F06E01" w:rsidP="00795BE0">
      <w:pPr>
        <w:rPr>
          <w:rFonts w:ascii="Arial" w:hAnsi="Arial" w:cs="Arial"/>
          <w:b/>
          <w:bCs/>
        </w:rPr>
      </w:pPr>
      <w:r w:rsidRPr="00F06E01">
        <w:rPr>
          <w:rFonts w:ascii="Arial" w:hAnsi="Arial" w:cs="Arial"/>
          <w:b/>
          <w:bCs/>
        </w:rPr>
        <w:t>Penningtons</w:t>
      </w:r>
    </w:p>
    <w:p w14:paraId="30465CE6" w14:textId="5DC667F2" w:rsidR="00F06E01" w:rsidRDefault="00F06E01" w:rsidP="00795BE0">
      <w:pPr>
        <w:rPr>
          <w:rFonts w:ascii="Arial" w:hAnsi="Arial" w:cs="Arial"/>
        </w:rPr>
      </w:pPr>
      <w:r>
        <w:rPr>
          <w:rFonts w:ascii="Arial" w:hAnsi="Arial" w:cs="Arial"/>
        </w:rPr>
        <w:t>As at 31 March 2022, it is not possible to reliably estimate the extent or likelihood of these claims being successful, and therefore no liability in respect of compensation claim</w:t>
      </w:r>
      <w:r w:rsidR="001C7C79">
        <w:rPr>
          <w:rFonts w:ascii="Arial" w:hAnsi="Arial" w:cs="Arial"/>
        </w:rPr>
        <w:t>s</w:t>
      </w:r>
      <w:r>
        <w:rPr>
          <w:rFonts w:ascii="Arial" w:hAnsi="Arial" w:cs="Arial"/>
        </w:rPr>
        <w:t xml:space="preserve"> is recognised in these accounts.</w:t>
      </w:r>
    </w:p>
    <w:p w14:paraId="36F4160A" w14:textId="4CFE4364" w:rsidR="00F06E01" w:rsidRDefault="00F06E01" w:rsidP="00795BE0">
      <w:pPr>
        <w:rPr>
          <w:rFonts w:ascii="Arial" w:hAnsi="Arial" w:cs="Arial"/>
        </w:rPr>
      </w:pPr>
    </w:p>
    <w:p w14:paraId="108247DA" w14:textId="77777777" w:rsidR="00795BE0" w:rsidRPr="00CE76C2" w:rsidRDefault="00795BE0" w:rsidP="00256B04">
      <w:pPr>
        <w:pStyle w:val="Heading4bold"/>
        <w:spacing w:after="0"/>
      </w:pPr>
      <w:r w:rsidRPr="00CE76C2">
        <w:t>Contingent Liabilities relating to TfGM</w:t>
      </w:r>
    </w:p>
    <w:p w14:paraId="710B2732" w14:textId="301FC6D0" w:rsidR="00795BE0" w:rsidRPr="00CE76C2" w:rsidRDefault="00795BE0" w:rsidP="00256B04">
      <w:pPr>
        <w:pStyle w:val="2TfGMHeading2"/>
        <w:numPr>
          <w:ilvl w:val="0"/>
          <w:numId w:val="0"/>
        </w:numPr>
        <w:spacing w:before="0" w:after="0"/>
        <w:jc w:val="left"/>
        <w:rPr>
          <w:rFonts w:ascii="Arial" w:hAnsi="Arial"/>
          <w:sz w:val="24"/>
          <w:lang w:eastAsia="en-US"/>
        </w:rPr>
      </w:pPr>
      <w:r w:rsidRPr="00CE76C2">
        <w:rPr>
          <w:rFonts w:ascii="Arial" w:hAnsi="Arial"/>
          <w:sz w:val="24"/>
          <w:lang w:eastAsia="en-US"/>
        </w:rPr>
        <w:t xml:space="preserve">A contingent liability exists in relation to a claim received from a third party for damages. There are ongoing court proceedings and liability is denied. Due to this, the final amount payable, if any, in relation to this claim is uncertain. The </w:t>
      </w:r>
      <w:r w:rsidR="002D2E99">
        <w:rPr>
          <w:rFonts w:ascii="Arial" w:hAnsi="Arial"/>
          <w:sz w:val="24"/>
          <w:lang w:eastAsia="en-US"/>
        </w:rPr>
        <w:t>Directors of TfGM</w:t>
      </w:r>
      <w:r w:rsidR="002D2E99" w:rsidRPr="00CE76C2">
        <w:rPr>
          <w:rFonts w:ascii="Arial" w:hAnsi="Arial"/>
          <w:sz w:val="24"/>
          <w:lang w:eastAsia="en-US"/>
        </w:rPr>
        <w:t xml:space="preserve"> </w:t>
      </w:r>
      <w:r w:rsidRPr="00CE76C2">
        <w:rPr>
          <w:rFonts w:ascii="Arial" w:hAnsi="Arial"/>
          <w:sz w:val="24"/>
          <w:lang w:eastAsia="en-US"/>
        </w:rPr>
        <w:t>consider that the provision of additional information could be prejudicial to its position in resolving this matter.</w:t>
      </w:r>
    </w:p>
    <w:p w14:paraId="53EBA16C" w14:textId="6C017FF8" w:rsidR="00795BE0" w:rsidRDefault="00795BE0" w:rsidP="00256B04">
      <w:pPr>
        <w:rPr>
          <w:rFonts w:ascii="Arial" w:hAnsi="Arial" w:cs="Arial"/>
          <w:b/>
          <w:bCs/>
          <w:color w:val="000000" w:themeColor="text1"/>
          <w:sz w:val="26"/>
          <w:szCs w:val="26"/>
        </w:rPr>
      </w:pPr>
    </w:p>
    <w:p w14:paraId="10974535" w14:textId="77777777" w:rsidR="00256B04" w:rsidRDefault="00256B04" w:rsidP="00256B04">
      <w:pPr>
        <w:rPr>
          <w:rFonts w:ascii="Arial" w:hAnsi="Arial" w:cs="Arial"/>
          <w:b/>
          <w:bCs/>
          <w:color w:val="000000" w:themeColor="text1"/>
          <w:sz w:val="26"/>
          <w:szCs w:val="26"/>
        </w:rPr>
      </w:pPr>
    </w:p>
    <w:p w14:paraId="119C9A9B" w14:textId="7EB475F7" w:rsidR="00795BE0" w:rsidRPr="0007572B" w:rsidRDefault="00795BE0" w:rsidP="00795BE0">
      <w:pPr>
        <w:pStyle w:val="Heading3greennumbered"/>
      </w:pPr>
      <w:bookmarkStart w:id="322" w:name="_Toc92894949"/>
      <w:bookmarkStart w:id="323" w:name="_Toc92895253"/>
      <w:bookmarkStart w:id="324" w:name="_Toc109922687"/>
      <w:r w:rsidRPr="0007572B">
        <w:t>5</w:t>
      </w:r>
      <w:r w:rsidR="008633CA">
        <w:t>6</w:t>
      </w:r>
      <w:r w:rsidRPr="0007572B">
        <w:t xml:space="preserve"> Group Financial Instruments</w:t>
      </w:r>
      <w:bookmarkEnd w:id="322"/>
      <w:bookmarkEnd w:id="323"/>
      <w:bookmarkEnd w:id="324"/>
    </w:p>
    <w:p w14:paraId="3FE3F524" w14:textId="77777777" w:rsidR="00795BE0" w:rsidRDefault="00795BE0" w:rsidP="00795BE0">
      <w:pPr>
        <w:rPr>
          <w:rFonts w:ascii="Arial" w:hAnsi="Arial" w:cs="Arial"/>
          <w:b/>
        </w:rPr>
      </w:pPr>
    </w:p>
    <w:p w14:paraId="27402ED6" w14:textId="77777777" w:rsidR="00795BE0" w:rsidRPr="0007572B" w:rsidRDefault="00795BE0" w:rsidP="00795BE0">
      <w:pPr>
        <w:pStyle w:val="Heading4bold"/>
      </w:pPr>
      <w:r w:rsidRPr="0007572B">
        <w:t>Categories of Financial Instruments</w:t>
      </w:r>
    </w:p>
    <w:p w14:paraId="64518987" w14:textId="37FA8D83" w:rsidR="00795BE0" w:rsidRDefault="00795BE0" w:rsidP="00795BE0">
      <w:pPr>
        <w:rPr>
          <w:rFonts w:ascii="Arial" w:hAnsi="Arial" w:cs="Arial"/>
        </w:rPr>
      </w:pPr>
      <w:r w:rsidRPr="0007572B">
        <w:rPr>
          <w:rFonts w:ascii="Arial" w:hAnsi="Arial" w:cs="Arial"/>
        </w:rPr>
        <w:t>The tables below show the categories of financial instruments which are carried in the Balance Sheet:</w:t>
      </w:r>
    </w:p>
    <w:p w14:paraId="2213BDB9" w14:textId="29522F47" w:rsidR="0044773C" w:rsidRDefault="0044773C" w:rsidP="00795BE0">
      <w:pPr>
        <w:rPr>
          <w:rFonts w:ascii="Arial" w:hAnsi="Arial" w:cs="Arial"/>
        </w:rPr>
      </w:pPr>
    </w:p>
    <w:p w14:paraId="50EC6EEA" w14:textId="48C3046A" w:rsidR="0044773C" w:rsidRPr="0007572B" w:rsidRDefault="009033AF" w:rsidP="00795BE0">
      <w:pPr>
        <w:rPr>
          <w:rFonts w:ascii="Arial" w:hAnsi="Arial" w:cs="Arial"/>
        </w:rPr>
      </w:pPr>
      <w:r w:rsidRPr="009033AF">
        <w:rPr>
          <w:noProof/>
        </w:rPr>
        <w:drawing>
          <wp:inline distT="0" distB="0" distL="0" distR="0" wp14:anchorId="46A5FEA7" wp14:editId="676B6C22">
            <wp:extent cx="5975350" cy="1316990"/>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75350" cy="1316990"/>
                    </a:xfrm>
                    <a:prstGeom prst="rect">
                      <a:avLst/>
                    </a:prstGeom>
                    <a:noFill/>
                    <a:ln>
                      <a:noFill/>
                    </a:ln>
                  </pic:spPr>
                </pic:pic>
              </a:graphicData>
            </a:graphic>
          </wp:inline>
        </w:drawing>
      </w:r>
    </w:p>
    <w:p w14:paraId="1D20F99B" w14:textId="1F2034DD" w:rsidR="0044773C" w:rsidRPr="00AE6A99" w:rsidRDefault="0044773C" w:rsidP="00795BE0">
      <w:pPr>
        <w:rPr>
          <w:rFonts w:ascii="Arial" w:hAnsi="Arial" w:cs="Arial"/>
          <w:b/>
        </w:rPr>
      </w:pPr>
    </w:p>
    <w:p w14:paraId="046E1EE6" w14:textId="407DE30D" w:rsidR="00795BE0" w:rsidRDefault="004F3512" w:rsidP="00795BE0">
      <w:pPr>
        <w:rPr>
          <w:rFonts w:ascii="Arial" w:hAnsi="Arial" w:cs="Arial"/>
          <w:noProof/>
          <w:sz w:val="28"/>
          <w:szCs w:val="28"/>
        </w:rPr>
      </w:pPr>
      <w:r w:rsidRPr="004F3512">
        <w:rPr>
          <w:noProof/>
        </w:rPr>
        <w:drawing>
          <wp:inline distT="0" distB="0" distL="0" distR="0" wp14:anchorId="08F01249" wp14:editId="64E29402">
            <wp:extent cx="5975350" cy="935990"/>
            <wp:effectExtent l="0" t="0" r="6350" b="0"/>
            <wp:docPr id="11505808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75350" cy="935990"/>
                    </a:xfrm>
                    <a:prstGeom prst="rect">
                      <a:avLst/>
                    </a:prstGeom>
                    <a:noFill/>
                    <a:ln>
                      <a:noFill/>
                    </a:ln>
                  </pic:spPr>
                </pic:pic>
              </a:graphicData>
            </a:graphic>
          </wp:inline>
        </w:drawing>
      </w:r>
    </w:p>
    <w:p w14:paraId="2BC9128C" w14:textId="77777777" w:rsidR="009033AF" w:rsidRDefault="009033AF" w:rsidP="00795BE0">
      <w:pPr>
        <w:rPr>
          <w:rFonts w:ascii="Arial" w:hAnsi="Arial" w:cs="Arial"/>
          <w:noProof/>
          <w:sz w:val="28"/>
          <w:szCs w:val="28"/>
        </w:rPr>
      </w:pPr>
    </w:p>
    <w:p w14:paraId="3BF63781" w14:textId="77777777" w:rsidR="009033AF" w:rsidRDefault="009033AF" w:rsidP="00795BE0">
      <w:pPr>
        <w:rPr>
          <w:rFonts w:ascii="Arial" w:hAnsi="Arial" w:cs="Arial"/>
          <w:noProof/>
          <w:sz w:val="28"/>
          <w:szCs w:val="28"/>
        </w:rPr>
      </w:pPr>
    </w:p>
    <w:p w14:paraId="1E6DE906" w14:textId="7C7F4925" w:rsidR="009033AF" w:rsidRPr="0007572B" w:rsidRDefault="004F3512" w:rsidP="00795BE0">
      <w:pPr>
        <w:rPr>
          <w:rFonts w:ascii="Arial" w:hAnsi="Arial" w:cs="Arial"/>
          <w:noProof/>
          <w:sz w:val="28"/>
          <w:szCs w:val="28"/>
        </w:rPr>
      </w:pPr>
      <w:r w:rsidRPr="004F3512">
        <w:rPr>
          <w:noProof/>
        </w:rPr>
        <w:drawing>
          <wp:inline distT="0" distB="0" distL="0" distR="0" wp14:anchorId="0C6F1B21" wp14:editId="1944D4BE">
            <wp:extent cx="5975350" cy="1020445"/>
            <wp:effectExtent l="0" t="0" r="6350" b="8255"/>
            <wp:docPr id="6923170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75350" cy="1020445"/>
                    </a:xfrm>
                    <a:prstGeom prst="rect">
                      <a:avLst/>
                    </a:prstGeom>
                    <a:noFill/>
                    <a:ln>
                      <a:noFill/>
                    </a:ln>
                  </pic:spPr>
                </pic:pic>
              </a:graphicData>
            </a:graphic>
          </wp:inline>
        </w:drawing>
      </w:r>
    </w:p>
    <w:p w14:paraId="0FA412FB" w14:textId="1301AC6F" w:rsidR="00795BE0" w:rsidRDefault="00795BE0" w:rsidP="00795BE0">
      <w:pPr>
        <w:rPr>
          <w:rFonts w:ascii="Arial" w:hAnsi="Arial" w:cs="Arial"/>
        </w:rPr>
      </w:pPr>
    </w:p>
    <w:p w14:paraId="1107F608" w14:textId="79E79B32" w:rsidR="00795BE0" w:rsidRDefault="004F3512" w:rsidP="00795BE0">
      <w:pPr>
        <w:rPr>
          <w:rFonts w:ascii="Arial" w:hAnsi="Arial" w:cs="Arial"/>
        </w:rPr>
      </w:pPr>
      <w:r w:rsidRPr="004F3512">
        <w:rPr>
          <w:noProof/>
        </w:rPr>
        <w:drawing>
          <wp:inline distT="0" distB="0" distL="0" distR="0" wp14:anchorId="28BEADA4" wp14:editId="79888835">
            <wp:extent cx="5975350" cy="1031240"/>
            <wp:effectExtent l="0" t="0" r="6350" b="0"/>
            <wp:docPr id="1176556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75350" cy="1031240"/>
                    </a:xfrm>
                    <a:prstGeom prst="rect">
                      <a:avLst/>
                    </a:prstGeom>
                    <a:noFill/>
                    <a:ln>
                      <a:noFill/>
                    </a:ln>
                  </pic:spPr>
                </pic:pic>
              </a:graphicData>
            </a:graphic>
          </wp:inline>
        </w:drawing>
      </w:r>
    </w:p>
    <w:p w14:paraId="6622C747" w14:textId="77777777" w:rsidR="009033AF" w:rsidRDefault="009033AF" w:rsidP="00795BE0">
      <w:pPr>
        <w:rPr>
          <w:rFonts w:ascii="Arial" w:hAnsi="Arial" w:cs="Arial"/>
        </w:rPr>
      </w:pPr>
    </w:p>
    <w:p w14:paraId="39F2B60B" w14:textId="77777777" w:rsidR="00795BE0" w:rsidRPr="0007572B" w:rsidRDefault="00795BE0" w:rsidP="000E09F5">
      <w:pPr>
        <w:pStyle w:val="Heading4bold"/>
        <w:spacing w:after="0"/>
      </w:pPr>
      <w:r w:rsidRPr="0007572B">
        <w:t>Income, Expenses, Gains and Losses</w:t>
      </w:r>
    </w:p>
    <w:p w14:paraId="2F3E9B10" w14:textId="77777777" w:rsidR="00795BE0" w:rsidRPr="0007572B" w:rsidRDefault="00795BE0" w:rsidP="000E09F5">
      <w:pPr>
        <w:rPr>
          <w:rFonts w:ascii="Arial" w:hAnsi="Arial" w:cs="Arial"/>
          <w:sz w:val="22"/>
          <w:szCs w:val="22"/>
        </w:rPr>
      </w:pPr>
      <w:r w:rsidRPr="0007572B">
        <w:rPr>
          <w:rFonts w:ascii="Arial" w:hAnsi="Arial" w:cs="Arial"/>
          <w:sz w:val="22"/>
          <w:szCs w:val="22"/>
        </w:rPr>
        <w:t>The gains and losses recognised in the Group Comprehensive Income and Expenditure Statement in relation to financial instruments are summarised in the table below:</w:t>
      </w:r>
    </w:p>
    <w:p w14:paraId="0FCF9134" w14:textId="77777777" w:rsidR="00795BE0" w:rsidRPr="0007572B" w:rsidRDefault="00795BE0" w:rsidP="000E09F5">
      <w:pPr>
        <w:rPr>
          <w:rFonts w:ascii="Arial" w:hAnsi="Arial" w:cs="Arial"/>
          <w:b/>
          <w:sz w:val="22"/>
          <w:szCs w:val="22"/>
          <w:highlight w:val="yellow"/>
        </w:rPr>
      </w:pPr>
    </w:p>
    <w:p w14:paraId="290229F2" w14:textId="24D7C7C6" w:rsidR="00795BE0" w:rsidRDefault="009033AF" w:rsidP="000E09F5">
      <w:pPr>
        <w:rPr>
          <w:rFonts w:ascii="Arial" w:hAnsi="Arial" w:cs="Arial"/>
          <w:sz w:val="22"/>
          <w:szCs w:val="22"/>
        </w:rPr>
      </w:pPr>
      <w:r w:rsidRPr="009033AF">
        <w:rPr>
          <w:noProof/>
        </w:rPr>
        <w:drawing>
          <wp:inline distT="0" distB="0" distL="0" distR="0" wp14:anchorId="05A6E3C7" wp14:editId="1289B55D">
            <wp:extent cx="5975350" cy="2406650"/>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75350" cy="2406650"/>
                    </a:xfrm>
                    <a:prstGeom prst="rect">
                      <a:avLst/>
                    </a:prstGeom>
                    <a:noFill/>
                    <a:ln>
                      <a:noFill/>
                    </a:ln>
                  </pic:spPr>
                </pic:pic>
              </a:graphicData>
            </a:graphic>
          </wp:inline>
        </w:drawing>
      </w:r>
    </w:p>
    <w:p w14:paraId="247523C2" w14:textId="77777777" w:rsidR="00795BE0" w:rsidRPr="0007572B" w:rsidRDefault="00795BE0" w:rsidP="00795BE0">
      <w:pPr>
        <w:rPr>
          <w:rFonts w:ascii="Arial" w:hAnsi="Arial" w:cs="Arial"/>
          <w:b/>
          <w:sz w:val="22"/>
          <w:szCs w:val="22"/>
        </w:rPr>
      </w:pPr>
    </w:p>
    <w:p w14:paraId="3CE99096" w14:textId="77777777" w:rsidR="00795BE0" w:rsidRPr="0007572B" w:rsidRDefault="00795BE0" w:rsidP="000E09F5">
      <w:pPr>
        <w:pStyle w:val="Heading4bold"/>
        <w:spacing w:after="0"/>
      </w:pPr>
      <w:r w:rsidRPr="0007572B">
        <w:t>Fair Value of Assets and Liabilities</w:t>
      </w:r>
    </w:p>
    <w:p w14:paraId="675C8C6D" w14:textId="77777777" w:rsidR="00795BE0" w:rsidRPr="0007572B" w:rsidRDefault="00795BE0" w:rsidP="000E09F5">
      <w:pPr>
        <w:rPr>
          <w:rFonts w:ascii="Arial" w:hAnsi="Arial" w:cs="Arial"/>
          <w:sz w:val="22"/>
          <w:szCs w:val="22"/>
        </w:rPr>
      </w:pPr>
    </w:p>
    <w:p w14:paraId="64842BCE" w14:textId="2F40B224" w:rsidR="00795BE0" w:rsidRDefault="00795BE0" w:rsidP="00795BE0">
      <w:pPr>
        <w:rPr>
          <w:rFonts w:ascii="Arial" w:hAnsi="Arial" w:cs="Arial"/>
          <w:sz w:val="22"/>
          <w:szCs w:val="22"/>
        </w:rPr>
      </w:pPr>
      <w:r w:rsidRPr="0007572B">
        <w:rPr>
          <w:rFonts w:ascii="Arial" w:hAnsi="Arial" w:cs="Arial"/>
          <w:sz w:val="22"/>
          <w:szCs w:val="22"/>
        </w:rPr>
        <w:t>Set out below is a comparison by class of the carrying amounts and fair value of the Group financial assets and financial liabilities:</w:t>
      </w:r>
    </w:p>
    <w:p w14:paraId="5FFED7FB" w14:textId="77777777" w:rsidR="00431940" w:rsidRDefault="00431940" w:rsidP="00795BE0">
      <w:pPr>
        <w:rPr>
          <w:rFonts w:ascii="Arial" w:hAnsi="Arial" w:cs="Arial"/>
          <w:sz w:val="22"/>
          <w:szCs w:val="22"/>
        </w:rPr>
      </w:pPr>
    </w:p>
    <w:p w14:paraId="3776846E" w14:textId="3ECD81BD" w:rsidR="0044773C" w:rsidRPr="0007572B" w:rsidRDefault="009033AF" w:rsidP="00795BE0">
      <w:pPr>
        <w:rPr>
          <w:rFonts w:ascii="Arial" w:hAnsi="Arial" w:cs="Arial"/>
          <w:sz w:val="22"/>
          <w:szCs w:val="22"/>
        </w:rPr>
      </w:pPr>
      <w:r w:rsidRPr="009033AF">
        <w:rPr>
          <w:noProof/>
        </w:rPr>
        <w:drawing>
          <wp:inline distT="0" distB="0" distL="0" distR="0" wp14:anchorId="670BA171" wp14:editId="3491199A">
            <wp:extent cx="5975350" cy="2270125"/>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75350" cy="2270125"/>
                    </a:xfrm>
                    <a:prstGeom prst="rect">
                      <a:avLst/>
                    </a:prstGeom>
                    <a:noFill/>
                    <a:ln>
                      <a:noFill/>
                    </a:ln>
                  </pic:spPr>
                </pic:pic>
              </a:graphicData>
            </a:graphic>
          </wp:inline>
        </w:drawing>
      </w:r>
    </w:p>
    <w:p w14:paraId="2627248B" w14:textId="3797C853" w:rsidR="00795BE0" w:rsidRPr="00C41280" w:rsidRDefault="00795BE0" w:rsidP="00795BE0">
      <w:pPr>
        <w:rPr>
          <w:rFonts w:ascii="Arial" w:hAnsi="Arial" w:cs="Arial"/>
          <w:highlight w:val="yellow"/>
        </w:rPr>
      </w:pPr>
      <w:r w:rsidRPr="0007572B">
        <w:rPr>
          <w:rFonts w:ascii="Arial" w:hAnsi="Arial" w:cs="Arial"/>
          <w:sz w:val="22"/>
          <w:szCs w:val="22"/>
        </w:rPr>
        <w:br w:type="page"/>
      </w:r>
      <w:r w:rsidRPr="006A2C2B">
        <w:rPr>
          <w:rFonts w:ascii="Arial" w:hAnsi="Arial" w:cs="Arial"/>
        </w:rPr>
        <w:lastRenderedPageBreak/>
        <w:t xml:space="preserve">The Authority holds </w:t>
      </w:r>
      <w:r w:rsidRPr="00B94071">
        <w:rPr>
          <w:rFonts w:ascii="Arial" w:hAnsi="Arial" w:cs="Arial"/>
        </w:rPr>
        <w:t>£</w:t>
      </w:r>
      <w:r w:rsidR="00396731">
        <w:rPr>
          <w:rFonts w:ascii="Arial" w:hAnsi="Arial" w:cs="Arial"/>
        </w:rPr>
        <w:t>45</w:t>
      </w:r>
      <w:r w:rsidR="00A776F5">
        <w:rPr>
          <w:rFonts w:ascii="Arial" w:hAnsi="Arial" w:cs="Arial"/>
        </w:rPr>
        <w:t>.</w:t>
      </w:r>
      <w:r w:rsidR="00396731">
        <w:rPr>
          <w:rFonts w:ascii="Arial" w:hAnsi="Arial" w:cs="Arial"/>
        </w:rPr>
        <w:t>222m</w:t>
      </w:r>
      <w:r w:rsidRPr="006A2C2B">
        <w:rPr>
          <w:rFonts w:ascii="Arial" w:hAnsi="Arial" w:cs="Arial"/>
        </w:rPr>
        <w:t xml:space="preserve"> in equity investments:</w:t>
      </w:r>
    </w:p>
    <w:p w14:paraId="46B1B346" w14:textId="77777777" w:rsidR="00795BE0" w:rsidRPr="00C41280" w:rsidRDefault="00795BE0" w:rsidP="00795BE0">
      <w:pPr>
        <w:rPr>
          <w:rFonts w:ascii="Arial" w:hAnsi="Arial" w:cs="Arial"/>
          <w:highlight w:val="yellow"/>
        </w:rPr>
      </w:pPr>
    </w:p>
    <w:p w14:paraId="2A3768E9" w14:textId="77777777" w:rsidR="00795BE0" w:rsidRPr="00882716" w:rsidRDefault="00795BE0" w:rsidP="00795BE0">
      <w:pPr>
        <w:rPr>
          <w:rFonts w:ascii="Arial" w:hAnsi="Arial" w:cs="Arial"/>
          <w:highlight w:val="yellow"/>
        </w:rPr>
      </w:pPr>
      <w:r w:rsidRPr="00B94071">
        <w:rPr>
          <w:rFonts w:ascii="Arial" w:hAnsi="Arial" w:cs="Arial"/>
        </w:rPr>
        <w:t>£40.766m</w:t>
      </w:r>
      <w:r w:rsidRPr="006A2C2B">
        <w:rPr>
          <w:rFonts w:ascii="Arial" w:hAnsi="Arial" w:cs="Arial"/>
        </w:rPr>
        <w:t xml:space="preserve"> within the single entity accounts relates to a number of businesses that either previously held loans with the Authority and which have converted to equity investments or are a direct equity investment. These shares are not traded in active markets. The shares are valued based on level 2 - observable input data from the companies, such as latest filed accounts and management accounting reports. There have been no transfers between input levels or changes in valuation techniques during </w:t>
      </w:r>
      <w:r>
        <w:rPr>
          <w:rFonts w:ascii="Arial" w:hAnsi="Arial" w:cs="Arial"/>
        </w:rPr>
        <w:t>2021/22</w:t>
      </w:r>
      <w:r w:rsidRPr="006A2C2B">
        <w:rPr>
          <w:rFonts w:ascii="Arial" w:hAnsi="Arial" w:cs="Arial"/>
        </w:rPr>
        <w:t xml:space="preserve"> for this class of </w:t>
      </w:r>
      <w:r w:rsidRPr="00882716">
        <w:rPr>
          <w:rFonts w:ascii="Arial" w:hAnsi="Arial" w:cs="Arial"/>
        </w:rPr>
        <w:t>asset.</w:t>
      </w:r>
    </w:p>
    <w:p w14:paraId="2E1B77BE" w14:textId="77777777" w:rsidR="00795BE0" w:rsidRPr="00882716" w:rsidRDefault="00795BE0" w:rsidP="00795BE0">
      <w:pPr>
        <w:rPr>
          <w:rFonts w:ascii="Arial" w:hAnsi="Arial" w:cs="Arial"/>
        </w:rPr>
      </w:pPr>
    </w:p>
    <w:p w14:paraId="6ECD7E6D" w14:textId="50DF0DDF" w:rsidR="00795BE0" w:rsidRPr="00882716" w:rsidRDefault="00795BE0" w:rsidP="00795BE0">
      <w:pPr>
        <w:rPr>
          <w:rFonts w:ascii="Arial" w:hAnsi="Arial" w:cs="Arial"/>
        </w:rPr>
      </w:pPr>
      <w:bookmarkStart w:id="325" w:name="_Hlk109073824"/>
      <w:r w:rsidRPr="00882716">
        <w:rPr>
          <w:rFonts w:ascii="Arial" w:hAnsi="Arial" w:cs="Arial"/>
        </w:rPr>
        <w:t>£</w:t>
      </w:r>
      <w:r w:rsidR="00396731">
        <w:rPr>
          <w:rFonts w:ascii="Arial" w:hAnsi="Arial" w:cs="Arial"/>
        </w:rPr>
        <w:t>4</w:t>
      </w:r>
      <w:r w:rsidR="00A776F5">
        <w:rPr>
          <w:rFonts w:ascii="Arial" w:hAnsi="Arial" w:cs="Arial"/>
        </w:rPr>
        <w:t>.</w:t>
      </w:r>
      <w:r w:rsidR="00396731">
        <w:rPr>
          <w:rFonts w:ascii="Arial" w:hAnsi="Arial" w:cs="Arial"/>
        </w:rPr>
        <w:t>449m</w:t>
      </w:r>
      <w:r w:rsidRPr="00882716">
        <w:rPr>
          <w:rFonts w:ascii="Arial" w:hAnsi="Arial" w:cs="Arial"/>
        </w:rPr>
        <w:t xml:space="preserve"> of TfGM long-term investments evaluated based on level 3 – unobservable inputs for the asset or liability and included using a discounted cash flow value, based on analysis of the Gross Development Value, cost inputs and timing assumptions. This is a change from the previous input level 2 valuation technique in the prior year for this class of asset.</w:t>
      </w:r>
    </w:p>
    <w:bookmarkEnd w:id="325"/>
    <w:p w14:paraId="5C780399" w14:textId="77777777" w:rsidR="00795BE0" w:rsidRPr="00E12104" w:rsidRDefault="00795BE0" w:rsidP="00795BE0">
      <w:pPr>
        <w:rPr>
          <w:rFonts w:ascii="Arial" w:hAnsi="Arial" w:cs="Arial"/>
        </w:rPr>
      </w:pPr>
    </w:p>
    <w:p w14:paraId="032EE2EC" w14:textId="77777777" w:rsidR="00795BE0" w:rsidRPr="00924B0A" w:rsidRDefault="00795BE0" w:rsidP="00795BE0">
      <w:pPr>
        <w:rPr>
          <w:rFonts w:ascii="Arial" w:hAnsi="Arial" w:cs="Arial"/>
        </w:rPr>
      </w:pPr>
      <w:r w:rsidRPr="00924B0A">
        <w:rPr>
          <w:rFonts w:ascii="Arial" w:hAnsi="Arial" w:cs="Arial"/>
        </w:rPr>
        <w:t>Other Financial Assets and Financial Liabilities are carried in the balance sheet at amortised cost, with carrying values as disclosed above. Their fair values disclosed in the table below have been assessed by calculating the present value of the cash flows that will take place over the remaining term of the instruments, using the following assumptions;</w:t>
      </w:r>
    </w:p>
    <w:p w14:paraId="38C41F26" w14:textId="77777777" w:rsidR="00795BE0" w:rsidRPr="00C41280" w:rsidRDefault="00795BE0" w:rsidP="00795BE0">
      <w:pPr>
        <w:rPr>
          <w:rFonts w:ascii="Arial" w:hAnsi="Arial" w:cs="Arial"/>
          <w:highlight w:val="yellow"/>
        </w:rPr>
      </w:pPr>
    </w:p>
    <w:p w14:paraId="56EBBD1D" w14:textId="77777777" w:rsidR="00795BE0" w:rsidRPr="00924B0A" w:rsidRDefault="00795BE0" w:rsidP="00DF4603">
      <w:pPr>
        <w:pStyle w:val="Normal0"/>
        <w:numPr>
          <w:ilvl w:val="0"/>
          <w:numId w:val="77"/>
        </w:numPr>
        <w:spacing w:line="240" w:lineRule="auto"/>
        <w:rPr>
          <w:rFonts w:ascii="Arial" w:eastAsia="Verdana" w:hAnsi="Arial" w:cs="Arial"/>
          <w:sz w:val="24"/>
          <w:szCs w:val="24"/>
          <w:lang w:val="en-GB"/>
        </w:rPr>
      </w:pPr>
      <w:r w:rsidRPr="00924B0A">
        <w:rPr>
          <w:rFonts w:ascii="Arial" w:eastAsia="Verdana" w:hAnsi="Arial" w:cs="Arial"/>
          <w:sz w:val="24"/>
          <w:szCs w:val="24"/>
          <w:lang w:val="en-GB"/>
        </w:rPr>
        <w:t>The fair value of cash and cash equivalents (which includes other investments), short-term debtors and short-term creditors is taken to be their carrying amount as this is deemed to provide a reasonable approximation in accordance with the CIPFA Code of Practice.</w:t>
      </w:r>
    </w:p>
    <w:p w14:paraId="2CC2D6E1" w14:textId="77777777" w:rsidR="00795BE0" w:rsidRPr="000E1954" w:rsidRDefault="00795BE0" w:rsidP="00795BE0">
      <w:pPr>
        <w:pStyle w:val="Normal0"/>
        <w:spacing w:line="240" w:lineRule="auto"/>
        <w:ind w:left="720"/>
        <w:rPr>
          <w:rFonts w:ascii="Arial" w:eastAsia="Verdana" w:hAnsi="Arial" w:cs="Arial"/>
          <w:sz w:val="24"/>
          <w:szCs w:val="24"/>
          <w:lang w:val="en-GB"/>
        </w:rPr>
      </w:pPr>
    </w:p>
    <w:p w14:paraId="49BA4B4E" w14:textId="77777777" w:rsidR="00795BE0" w:rsidRPr="000E1954" w:rsidRDefault="00795BE0" w:rsidP="00795BE0">
      <w:pPr>
        <w:pStyle w:val="Normal0"/>
        <w:numPr>
          <w:ilvl w:val="0"/>
          <w:numId w:val="37"/>
        </w:numPr>
        <w:spacing w:line="240" w:lineRule="auto"/>
        <w:rPr>
          <w:rFonts w:ascii="Arial" w:eastAsia="Verdana" w:hAnsi="Arial" w:cs="Arial"/>
          <w:sz w:val="24"/>
          <w:szCs w:val="24"/>
          <w:lang w:val="en-GB"/>
        </w:rPr>
      </w:pPr>
      <w:r w:rsidRPr="000E1954">
        <w:rPr>
          <w:rFonts w:ascii="Arial" w:eastAsia="Verdana" w:hAnsi="Arial" w:cs="Arial"/>
          <w:sz w:val="24"/>
          <w:szCs w:val="24"/>
          <w:lang w:val="en-GB"/>
        </w:rPr>
        <w:t xml:space="preserve">The fair value of long-term debtors within the single entity accounts has been evaluated and where these relate to loan advances greater than £3m, prevailing benchmark market rates have been applied to provide the fair value. All other long-term debtors are included at their carrying value. </w:t>
      </w:r>
    </w:p>
    <w:p w14:paraId="0AE7D9D0" w14:textId="77777777" w:rsidR="00795BE0" w:rsidRPr="00C41280" w:rsidRDefault="00795BE0" w:rsidP="00795BE0">
      <w:pPr>
        <w:pStyle w:val="Normal0"/>
        <w:spacing w:line="240" w:lineRule="auto"/>
        <w:ind w:left="720"/>
        <w:rPr>
          <w:rFonts w:ascii="Arial" w:eastAsia="Verdana" w:hAnsi="Arial" w:cs="Arial"/>
          <w:sz w:val="24"/>
          <w:szCs w:val="24"/>
          <w:highlight w:val="yellow"/>
          <w:lang w:val="en-GB"/>
        </w:rPr>
      </w:pPr>
    </w:p>
    <w:p w14:paraId="7B9BB84E" w14:textId="77777777" w:rsidR="00795BE0" w:rsidRPr="00342B6D" w:rsidRDefault="00795BE0" w:rsidP="00795BE0">
      <w:pPr>
        <w:pStyle w:val="Normal0"/>
        <w:numPr>
          <w:ilvl w:val="0"/>
          <w:numId w:val="37"/>
        </w:numPr>
        <w:spacing w:line="240" w:lineRule="auto"/>
        <w:rPr>
          <w:rFonts w:ascii="Arial" w:eastAsia="Verdana" w:hAnsi="Arial" w:cs="Arial"/>
          <w:sz w:val="24"/>
          <w:szCs w:val="24"/>
          <w:lang w:val="en-GB"/>
        </w:rPr>
      </w:pPr>
      <w:r w:rsidRPr="00342B6D">
        <w:rPr>
          <w:rFonts w:ascii="Arial" w:eastAsia="Verdana" w:hAnsi="Arial" w:cs="Arial"/>
          <w:sz w:val="24"/>
          <w:szCs w:val="24"/>
          <w:lang w:val="en-GB"/>
        </w:rPr>
        <w:t xml:space="preserve">Fair value for deferred liabilities in the single entity accounts in relation to the historical Greater Manchester Loan Fund is held at cost as this debt is not tradeable in any principal or alternative market. </w:t>
      </w:r>
    </w:p>
    <w:p w14:paraId="1FFA8DEF" w14:textId="77777777" w:rsidR="00795BE0" w:rsidRPr="00342B6D" w:rsidRDefault="00795BE0" w:rsidP="00795BE0">
      <w:pPr>
        <w:rPr>
          <w:rFonts w:ascii="Arial" w:hAnsi="Arial" w:cs="Arial"/>
        </w:rPr>
      </w:pPr>
    </w:p>
    <w:p w14:paraId="6A23DE91" w14:textId="77777777" w:rsidR="00795BE0" w:rsidRPr="00342B6D" w:rsidRDefault="00795BE0" w:rsidP="00795BE0">
      <w:pPr>
        <w:pStyle w:val="Normal0"/>
        <w:numPr>
          <w:ilvl w:val="0"/>
          <w:numId w:val="37"/>
        </w:numPr>
        <w:spacing w:line="240" w:lineRule="auto"/>
        <w:rPr>
          <w:rFonts w:ascii="Arial" w:eastAsia="Verdana" w:hAnsi="Arial" w:cs="Arial"/>
          <w:sz w:val="24"/>
          <w:szCs w:val="24"/>
          <w:lang w:val="en-GB"/>
        </w:rPr>
      </w:pPr>
      <w:r w:rsidRPr="00342B6D">
        <w:rPr>
          <w:rFonts w:ascii="Arial" w:eastAsia="Verdana" w:hAnsi="Arial" w:cs="Arial"/>
          <w:sz w:val="24"/>
          <w:szCs w:val="24"/>
          <w:lang w:val="en-GB"/>
        </w:rPr>
        <w:t>Fair value for PFI schemes cannot be obtained as there is no comparable information available, and these have therefore been shown at cost.</w:t>
      </w:r>
    </w:p>
    <w:p w14:paraId="7D1E4B38" w14:textId="77777777" w:rsidR="00795BE0" w:rsidRPr="00C41280" w:rsidRDefault="00795BE0" w:rsidP="00795BE0">
      <w:pPr>
        <w:pStyle w:val="Normal0"/>
        <w:spacing w:line="240" w:lineRule="auto"/>
        <w:ind w:left="720"/>
        <w:rPr>
          <w:rFonts w:ascii="Arial" w:eastAsia="Verdana" w:hAnsi="Arial" w:cs="Arial"/>
          <w:sz w:val="24"/>
          <w:szCs w:val="24"/>
          <w:highlight w:val="yellow"/>
          <w:lang w:val="en-GB"/>
        </w:rPr>
      </w:pPr>
    </w:p>
    <w:p w14:paraId="0E38AECA" w14:textId="77777777" w:rsidR="00795BE0" w:rsidRPr="0022418C" w:rsidRDefault="00795BE0" w:rsidP="00DF4603">
      <w:pPr>
        <w:numPr>
          <w:ilvl w:val="0"/>
          <w:numId w:val="77"/>
        </w:numPr>
        <w:rPr>
          <w:rFonts w:ascii="Arial" w:hAnsi="Arial" w:cs="Arial"/>
        </w:rPr>
      </w:pPr>
      <w:bookmarkStart w:id="326" w:name="_Hlk109072659"/>
      <w:r w:rsidRPr="0022418C">
        <w:rPr>
          <w:rFonts w:ascii="Arial" w:hAnsi="Arial" w:cs="Arial"/>
        </w:rPr>
        <w:t xml:space="preserve">For loans from the PWLB, premature repayment rates from the PWLB have been applied to provide the fair value; by applying new loan rates their fair value would be </w:t>
      </w:r>
      <w:r w:rsidRPr="00A2072D">
        <w:rPr>
          <w:rFonts w:ascii="Arial" w:hAnsi="Arial" w:cs="Arial"/>
        </w:rPr>
        <w:t>£7</w:t>
      </w:r>
      <w:r>
        <w:rPr>
          <w:rFonts w:ascii="Arial" w:hAnsi="Arial" w:cs="Arial"/>
        </w:rPr>
        <w:t>00</w:t>
      </w:r>
      <w:r w:rsidRPr="00A2072D">
        <w:rPr>
          <w:rFonts w:ascii="Arial" w:hAnsi="Arial" w:cs="Arial"/>
        </w:rPr>
        <w:t>.</w:t>
      </w:r>
      <w:r>
        <w:rPr>
          <w:rFonts w:ascii="Arial" w:hAnsi="Arial" w:cs="Arial"/>
        </w:rPr>
        <w:t>910</w:t>
      </w:r>
      <w:r w:rsidRPr="00A2072D">
        <w:rPr>
          <w:rFonts w:ascii="Arial" w:hAnsi="Arial" w:cs="Arial"/>
        </w:rPr>
        <w:t>m</w:t>
      </w:r>
      <w:r w:rsidRPr="0022418C">
        <w:rPr>
          <w:rFonts w:ascii="Arial" w:hAnsi="Arial" w:cs="Arial"/>
        </w:rPr>
        <w:t>.</w:t>
      </w:r>
    </w:p>
    <w:p w14:paraId="2F963035" w14:textId="77777777" w:rsidR="00795BE0" w:rsidRPr="00C41280" w:rsidRDefault="00795BE0" w:rsidP="00795BE0">
      <w:pPr>
        <w:ind w:left="720"/>
        <w:rPr>
          <w:rFonts w:ascii="Arial" w:hAnsi="Arial" w:cs="Arial"/>
          <w:highlight w:val="yellow"/>
        </w:rPr>
      </w:pPr>
    </w:p>
    <w:p w14:paraId="2FC43D44" w14:textId="77777777" w:rsidR="00795BE0" w:rsidRPr="000F0CEB" w:rsidRDefault="00795BE0" w:rsidP="00DF4603">
      <w:pPr>
        <w:numPr>
          <w:ilvl w:val="0"/>
          <w:numId w:val="77"/>
        </w:numPr>
        <w:rPr>
          <w:rFonts w:ascii="Arial" w:hAnsi="Arial" w:cs="Arial"/>
        </w:rPr>
      </w:pPr>
      <w:r w:rsidRPr="000F0CEB">
        <w:rPr>
          <w:rFonts w:ascii="Arial" w:hAnsi="Arial" w:cs="Arial"/>
        </w:rPr>
        <w:t>For non-PWLB loans payable, premature repayment rates have been applied to provide the fair value; by applying new loan rates their fair value would be £1,052.066m.</w:t>
      </w:r>
    </w:p>
    <w:bookmarkEnd w:id="326"/>
    <w:p w14:paraId="166F35A5" w14:textId="77777777" w:rsidR="00795BE0" w:rsidRPr="00C41280" w:rsidRDefault="00795BE0" w:rsidP="00795BE0">
      <w:pPr>
        <w:ind w:left="720"/>
        <w:rPr>
          <w:rFonts w:ascii="Arial" w:hAnsi="Arial" w:cs="Arial"/>
          <w:highlight w:val="yellow"/>
        </w:rPr>
      </w:pPr>
    </w:p>
    <w:p w14:paraId="4369A98C" w14:textId="77777777" w:rsidR="00795BE0" w:rsidRPr="00342B6D" w:rsidRDefault="00795BE0" w:rsidP="00DF4603">
      <w:pPr>
        <w:pStyle w:val="Normal0"/>
        <w:numPr>
          <w:ilvl w:val="0"/>
          <w:numId w:val="77"/>
        </w:numPr>
        <w:spacing w:line="240" w:lineRule="auto"/>
        <w:rPr>
          <w:rFonts w:ascii="Arial" w:eastAsia="Verdana" w:hAnsi="Arial" w:cs="Arial"/>
          <w:sz w:val="24"/>
          <w:szCs w:val="24"/>
          <w:lang w:val="en-GB"/>
        </w:rPr>
      </w:pPr>
      <w:r w:rsidRPr="00342B6D">
        <w:rPr>
          <w:rFonts w:ascii="Arial" w:eastAsia="Verdana" w:hAnsi="Arial" w:cs="Arial"/>
          <w:sz w:val="24"/>
          <w:szCs w:val="24"/>
          <w:lang w:val="en-GB"/>
        </w:rPr>
        <w:t>The valuation techniques used for PWLB and non-PWLB debt are level 2 –observable inputs. There have been no changes in valuation technique during the financial year.</w:t>
      </w:r>
    </w:p>
    <w:p w14:paraId="479A38F3" w14:textId="77777777" w:rsidR="00795BE0" w:rsidRPr="00C41280" w:rsidRDefault="00795BE0" w:rsidP="00795BE0">
      <w:pPr>
        <w:pStyle w:val="Normal0"/>
        <w:spacing w:line="240" w:lineRule="auto"/>
        <w:rPr>
          <w:rFonts w:ascii="Arial" w:eastAsia="Verdana" w:hAnsi="Arial" w:cs="Arial"/>
          <w:sz w:val="24"/>
          <w:szCs w:val="24"/>
          <w:highlight w:val="yellow"/>
          <w:lang w:val="en-GB"/>
        </w:rPr>
      </w:pPr>
    </w:p>
    <w:p w14:paraId="02879AFF" w14:textId="77777777" w:rsidR="00795BE0" w:rsidRPr="00342B6D" w:rsidRDefault="00795BE0" w:rsidP="00795BE0">
      <w:pPr>
        <w:pStyle w:val="Normal0"/>
        <w:spacing w:line="240" w:lineRule="auto"/>
        <w:ind w:left="360"/>
        <w:rPr>
          <w:rFonts w:ascii="Arial" w:eastAsia="Verdana" w:hAnsi="Arial" w:cs="Arial"/>
          <w:sz w:val="24"/>
          <w:szCs w:val="24"/>
          <w:lang w:val="en-GB"/>
        </w:rPr>
      </w:pPr>
      <w:r w:rsidRPr="00342B6D">
        <w:rPr>
          <w:rFonts w:ascii="Arial" w:eastAsia="Verdana" w:hAnsi="Arial" w:cs="Arial"/>
          <w:sz w:val="24"/>
          <w:szCs w:val="24"/>
          <w:lang w:val="en-GB"/>
        </w:rPr>
        <w:lastRenderedPageBreak/>
        <w:t>The purpose of the fair value disclosure is primarily to provide a comparison with the carrying value, which includes accrued interest as at the balance sheet date. The Authority has therefore included accrued interest in the fair value calculation.</w:t>
      </w:r>
    </w:p>
    <w:p w14:paraId="2751DE83" w14:textId="77777777" w:rsidR="00795BE0" w:rsidRPr="00342B6D" w:rsidRDefault="00795BE0" w:rsidP="00795BE0">
      <w:pPr>
        <w:pStyle w:val="Normal0"/>
        <w:spacing w:line="240" w:lineRule="auto"/>
        <w:ind w:left="720"/>
        <w:rPr>
          <w:rFonts w:ascii="Arial" w:eastAsia="Verdana" w:hAnsi="Arial" w:cs="Arial"/>
          <w:sz w:val="24"/>
          <w:szCs w:val="24"/>
          <w:lang w:val="en-GB"/>
        </w:rPr>
      </w:pPr>
    </w:p>
    <w:p w14:paraId="0AD21213" w14:textId="77777777" w:rsidR="00795BE0" w:rsidRPr="00342B6D" w:rsidRDefault="00795BE0" w:rsidP="00795BE0">
      <w:pPr>
        <w:pStyle w:val="Normal0"/>
        <w:spacing w:line="240" w:lineRule="auto"/>
        <w:ind w:left="360"/>
        <w:rPr>
          <w:rFonts w:ascii="Arial" w:eastAsia="Verdana" w:hAnsi="Arial" w:cs="Arial"/>
          <w:sz w:val="24"/>
          <w:szCs w:val="24"/>
          <w:lang w:val="en-GB"/>
        </w:rPr>
      </w:pPr>
      <w:r w:rsidRPr="00342B6D">
        <w:rPr>
          <w:rFonts w:ascii="Arial" w:eastAsia="Verdana" w:hAnsi="Arial" w:cs="Arial"/>
          <w:sz w:val="24"/>
          <w:szCs w:val="24"/>
          <w:lang w:val="en-GB"/>
        </w:rPr>
        <w:t>The discount rates used for the evaluation were obtained by the Authority from Link Asset Services. The Link Asset Group is a leading and independent provider of capital financing, treasury advisory and strategic advisory consulting services to the public sector.</w:t>
      </w:r>
    </w:p>
    <w:p w14:paraId="380C1C26" w14:textId="77777777" w:rsidR="00795BE0" w:rsidRPr="00C41280" w:rsidRDefault="00795BE0" w:rsidP="00795BE0">
      <w:pPr>
        <w:pStyle w:val="Normal0"/>
        <w:spacing w:line="240" w:lineRule="auto"/>
        <w:ind w:left="360"/>
        <w:rPr>
          <w:rFonts w:ascii="Arial" w:eastAsia="Verdana" w:hAnsi="Arial" w:cs="Arial"/>
          <w:sz w:val="24"/>
          <w:szCs w:val="24"/>
          <w:highlight w:val="yellow"/>
          <w:lang w:val="en-GB"/>
        </w:rPr>
      </w:pPr>
    </w:p>
    <w:p w14:paraId="43A0AEF4" w14:textId="77777777" w:rsidR="00795BE0" w:rsidRPr="00342B6D" w:rsidRDefault="00795BE0" w:rsidP="00795BE0">
      <w:pPr>
        <w:ind w:left="360"/>
        <w:rPr>
          <w:rFonts w:ascii="Arial" w:hAnsi="Arial" w:cs="Arial"/>
        </w:rPr>
      </w:pPr>
      <w:r w:rsidRPr="00342B6D">
        <w:rPr>
          <w:rFonts w:ascii="Arial" w:eastAsia="Verdana" w:hAnsi="Arial" w:cs="Arial"/>
        </w:rPr>
        <w:t>Assumptions used, which do not have a material effect on the fair value evaluation are</w:t>
      </w:r>
      <w:r>
        <w:rPr>
          <w:rFonts w:ascii="Arial" w:eastAsia="Verdana" w:hAnsi="Arial" w:cs="Arial"/>
        </w:rPr>
        <w:t>;</w:t>
      </w:r>
      <w:r w:rsidRPr="00342B6D">
        <w:rPr>
          <w:rFonts w:ascii="Arial" w:eastAsia="Verdana" w:hAnsi="Arial" w:cs="Arial"/>
        </w:rPr>
        <w:t xml:space="preserve"> interest is calculated using a 365-day basis; interest is paid on the maturity date; no adjustment is made to the interest value and date where a relevant date occurs on a non-working day.</w:t>
      </w:r>
    </w:p>
    <w:p w14:paraId="0664959E" w14:textId="77777777" w:rsidR="00795BE0" w:rsidRPr="00C41280" w:rsidRDefault="00795BE0" w:rsidP="00795BE0">
      <w:pPr>
        <w:rPr>
          <w:rFonts w:ascii="Arial" w:hAnsi="Arial" w:cs="Arial"/>
          <w:highlight w:val="yellow"/>
        </w:rPr>
      </w:pPr>
    </w:p>
    <w:p w14:paraId="5BCC931B" w14:textId="77777777" w:rsidR="00795BE0" w:rsidRPr="0007572B" w:rsidRDefault="00795BE0" w:rsidP="00795BE0">
      <w:pPr>
        <w:ind w:left="360"/>
        <w:rPr>
          <w:rFonts w:ascii="Arial" w:hAnsi="Arial" w:cs="Arial"/>
        </w:rPr>
      </w:pPr>
      <w:r w:rsidRPr="00342B6D">
        <w:rPr>
          <w:rFonts w:ascii="Arial" w:hAnsi="Arial" w:cs="Arial"/>
        </w:rPr>
        <w:t>Loans and Borrowings of the Group are set out by type of loan and by maturity in the table below:</w:t>
      </w:r>
    </w:p>
    <w:p w14:paraId="5234624D" w14:textId="77777777" w:rsidR="00795BE0" w:rsidRPr="0007572B" w:rsidRDefault="00795BE0" w:rsidP="00795BE0">
      <w:pPr>
        <w:rPr>
          <w:rFonts w:ascii="Arial" w:hAnsi="Arial" w:cs="Arial"/>
        </w:rPr>
      </w:pPr>
    </w:p>
    <w:p w14:paraId="3EAC089A" w14:textId="51969F35" w:rsidR="00795BE0" w:rsidRPr="0007572B" w:rsidRDefault="00D52D1B" w:rsidP="00795BE0">
      <w:pPr>
        <w:rPr>
          <w:rFonts w:ascii="Arial" w:hAnsi="Arial" w:cs="Arial"/>
        </w:rPr>
      </w:pPr>
      <w:r w:rsidRPr="00D52D1B">
        <w:rPr>
          <w:noProof/>
        </w:rPr>
        <w:drawing>
          <wp:inline distT="0" distB="0" distL="0" distR="0" wp14:anchorId="3B2007B7" wp14:editId="7DEC2720">
            <wp:extent cx="5975350" cy="4098925"/>
            <wp:effectExtent l="0" t="0" r="635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75350" cy="4098925"/>
                    </a:xfrm>
                    <a:prstGeom prst="rect">
                      <a:avLst/>
                    </a:prstGeom>
                    <a:noFill/>
                    <a:ln>
                      <a:noFill/>
                    </a:ln>
                  </pic:spPr>
                </pic:pic>
              </a:graphicData>
            </a:graphic>
          </wp:inline>
        </w:drawing>
      </w:r>
    </w:p>
    <w:p w14:paraId="68D2D39C" w14:textId="77777777" w:rsidR="00795BE0" w:rsidRPr="0007572B" w:rsidRDefault="00795BE0" w:rsidP="00795BE0">
      <w:pPr>
        <w:rPr>
          <w:rFonts w:ascii="Arial" w:hAnsi="Arial" w:cs="Arial"/>
          <w:b/>
          <w:sz w:val="22"/>
          <w:szCs w:val="22"/>
        </w:rPr>
      </w:pPr>
    </w:p>
    <w:p w14:paraId="32A7A275" w14:textId="77777777" w:rsidR="00882716" w:rsidRDefault="00882716">
      <w:pPr>
        <w:rPr>
          <w:rFonts w:ascii="Arial" w:eastAsia="Palatino Linotype" w:hAnsi="Arial" w:cs="Arial"/>
          <w:b/>
          <w:bCs/>
          <w:szCs w:val="28"/>
          <w:lang w:val="en-US"/>
        </w:rPr>
      </w:pPr>
      <w:bookmarkStart w:id="327" w:name="_Toc92894950"/>
      <w:bookmarkStart w:id="328" w:name="_Toc92895254"/>
      <w:r>
        <w:br w:type="page"/>
      </w:r>
    </w:p>
    <w:p w14:paraId="7B0CF570" w14:textId="69CD5758" w:rsidR="00795BE0" w:rsidRPr="0007572B" w:rsidRDefault="00795BE0" w:rsidP="00795BE0">
      <w:pPr>
        <w:pStyle w:val="Heading3greennumbered"/>
      </w:pPr>
      <w:bookmarkStart w:id="329" w:name="_Toc109922688"/>
      <w:r w:rsidRPr="0007572B">
        <w:lastRenderedPageBreak/>
        <w:t>5</w:t>
      </w:r>
      <w:r w:rsidR="008633CA">
        <w:t>7</w:t>
      </w:r>
      <w:r w:rsidRPr="0007572B">
        <w:t xml:space="preserve"> Group Nature and Extent of Risks arising from Financial Instruments</w:t>
      </w:r>
      <w:bookmarkEnd w:id="327"/>
      <w:bookmarkEnd w:id="328"/>
      <w:bookmarkEnd w:id="329"/>
    </w:p>
    <w:p w14:paraId="3B30CDDD" w14:textId="77777777" w:rsidR="00795BE0" w:rsidRDefault="00795BE0" w:rsidP="00795BE0">
      <w:pPr>
        <w:rPr>
          <w:rFonts w:ascii="Arial" w:eastAsiaTheme="minorHAnsi" w:hAnsi="Arial" w:cs="Arial"/>
        </w:rPr>
      </w:pPr>
    </w:p>
    <w:p w14:paraId="5A565AA5" w14:textId="35D7F32A" w:rsidR="00795BE0" w:rsidRPr="0007572B" w:rsidRDefault="00795BE0" w:rsidP="00795BE0">
      <w:pPr>
        <w:spacing w:after="160"/>
        <w:rPr>
          <w:rFonts w:ascii="Arial" w:eastAsiaTheme="minorHAnsi" w:hAnsi="Arial" w:cs="Arial"/>
        </w:rPr>
      </w:pPr>
      <w:r w:rsidRPr="0007572B">
        <w:rPr>
          <w:rFonts w:ascii="Arial" w:eastAsiaTheme="minorHAnsi" w:hAnsi="Arial" w:cs="Arial"/>
        </w:rPr>
        <w:t>The Authority’s risks are explained in note 30, this narrative covers the risk associated with TfGM, NWEH</w:t>
      </w:r>
      <w:r w:rsidR="008B1A29">
        <w:rPr>
          <w:rFonts w:ascii="Arial" w:eastAsiaTheme="minorHAnsi" w:hAnsi="Arial" w:cs="Arial"/>
        </w:rPr>
        <w:t>,</w:t>
      </w:r>
      <w:r w:rsidRPr="0007572B">
        <w:rPr>
          <w:rFonts w:ascii="Arial" w:eastAsiaTheme="minorHAnsi" w:hAnsi="Arial" w:cs="Arial"/>
          <w:color w:val="FF0000"/>
        </w:rPr>
        <w:t xml:space="preserve"> </w:t>
      </w:r>
      <w:r w:rsidRPr="0007572B">
        <w:rPr>
          <w:rFonts w:ascii="Arial" w:eastAsiaTheme="minorHAnsi" w:hAnsi="Arial" w:cs="Arial"/>
        </w:rPr>
        <w:t xml:space="preserve">FoFLP </w:t>
      </w:r>
      <w:r w:rsidR="008B1A29">
        <w:rPr>
          <w:rFonts w:ascii="Arial" w:eastAsiaTheme="minorHAnsi" w:hAnsi="Arial" w:cs="Arial"/>
        </w:rPr>
        <w:t xml:space="preserve">and </w:t>
      </w:r>
      <w:r w:rsidR="002B049C">
        <w:rPr>
          <w:rFonts w:ascii="Arial" w:eastAsiaTheme="minorHAnsi" w:hAnsi="Arial" w:cs="Arial"/>
        </w:rPr>
        <w:t>GME2</w:t>
      </w:r>
      <w:r w:rsidR="008B1A29" w:rsidRPr="008B1A29">
        <w:rPr>
          <w:rFonts w:ascii="Arial" w:eastAsiaTheme="minorHAnsi" w:hAnsi="Arial" w:cs="Arial"/>
        </w:rPr>
        <w:t xml:space="preserve">LP </w:t>
      </w:r>
      <w:r w:rsidRPr="008B1A29">
        <w:rPr>
          <w:rFonts w:ascii="Arial" w:eastAsiaTheme="minorHAnsi" w:hAnsi="Arial" w:cs="Arial"/>
        </w:rPr>
        <w:t xml:space="preserve">financial </w:t>
      </w:r>
      <w:r w:rsidRPr="0007572B">
        <w:rPr>
          <w:rFonts w:ascii="Arial" w:eastAsiaTheme="minorHAnsi" w:hAnsi="Arial" w:cs="Arial"/>
        </w:rPr>
        <w:t>instruments.</w:t>
      </w:r>
    </w:p>
    <w:p w14:paraId="3DE05118" w14:textId="77777777" w:rsidR="00795BE0" w:rsidRPr="0007572B" w:rsidRDefault="00795BE0" w:rsidP="00795BE0">
      <w:pPr>
        <w:pStyle w:val="Heading4bold"/>
        <w:rPr>
          <w:rFonts w:eastAsiaTheme="minorHAnsi"/>
        </w:rPr>
      </w:pPr>
      <w:r w:rsidRPr="0007572B">
        <w:rPr>
          <w:rFonts w:eastAsiaTheme="minorHAnsi"/>
        </w:rPr>
        <w:t>Risk Factors</w:t>
      </w:r>
    </w:p>
    <w:p w14:paraId="6193E7CC" w14:textId="77777777" w:rsidR="00795BE0" w:rsidRPr="00716403" w:rsidRDefault="00795BE0" w:rsidP="00795BE0">
      <w:pPr>
        <w:pStyle w:val="Heading5underline"/>
      </w:pPr>
      <w:r w:rsidRPr="00716403">
        <w:t>TfGM</w:t>
      </w:r>
    </w:p>
    <w:p w14:paraId="02307466" w14:textId="77777777" w:rsidR="00795BE0" w:rsidRPr="00A333FE" w:rsidRDefault="00795BE0" w:rsidP="00795BE0">
      <w:pPr>
        <w:rPr>
          <w:rFonts w:ascii="Arial" w:eastAsiaTheme="minorHAnsi" w:hAnsi="Arial" w:cs="Arial"/>
        </w:rPr>
      </w:pPr>
      <w:r w:rsidRPr="00A333FE">
        <w:rPr>
          <w:rFonts w:ascii="Arial" w:eastAsiaTheme="minorHAnsi" w:hAnsi="Arial" w:cs="Arial"/>
        </w:rPr>
        <w:t xml:space="preserve">TfGM has a credit risk management policy that establishes guidelines and processes for credit risk assessments conducted on customer accounts, via a licence to Companywatch. Assessments consider historic financial information and an overall financial health score based on cashflow, balance sheet liquidity, and income and expenditure analysis. </w:t>
      </w:r>
    </w:p>
    <w:p w14:paraId="17EE2720" w14:textId="77777777" w:rsidR="00795BE0" w:rsidRPr="000162E7" w:rsidRDefault="00795BE0" w:rsidP="00795BE0">
      <w:pPr>
        <w:rPr>
          <w:rFonts w:ascii="Arial" w:eastAsiaTheme="minorHAnsi" w:hAnsi="Arial" w:cs="Arial"/>
          <w:highlight w:val="yellow"/>
        </w:rPr>
      </w:pPr>
    </w:p>
    <w:p w14:paraId="265FC7B4" w14:textId="77777777" w:rsidR="00795BE0" w:rsidRPr="0007572B" w:rsidRDefault="00795BE0" w:rsidP="00795BE0">
      <w:pPr>
        <w:rPr>
          <w:rFonts w:ascii="Arial" w:hAnsi="Arial" w:cs="Arial"/>
        </w:rPr>
      </w:pPr>
      <w:r w:rsidRPr="00AE4811">
        <w:rPr>
          <w:rFonts w:ascii="Arial" w:eastAsiaTheme="minorHAnsi" w:hAnsi="Arial" w:cs="Arial"/>
        </w:rPr>
        <w:t xml:space="preserve">As at 31 March </w:t>
      </w:r>
      <w:r>
        <w:rPr>
          <w:rFonts w:ascii="Arial" w:eastAsiaTheme="minorHAnsi" w:hAnsi="Arial" w:cs="Arial"/>
        </w:rPr>
        <w:t>2022</w:t>
      </w:r>
      <w:r w:rsidRPr="00AE4811">
        <w:rPr>
          <w:rFonts w:ascii="Arial" w:eastAsiaTheme="minorHAnsi" w:hAnsi="Arial" w:cs="Arial"/>
        </w:rPr>
        <w:t>,</w:t>
      </w:r>
      <w:r w:rsidRPr="0007572B">
        <w:rPr>
          <w:rFonts w:ascii="Arial" w:eastAsiaTheme="minorHAnsi" w:hAnsi="Arial" w:cs="Arial"/>
        </w:rPr>
        <w:t xml:space="preserve"> </w:t>
      </w:r>
      <w:r w:rsidRPr="00A77BA2">
        <w:rPr>
          <w:rFonts w:ascii="Arial" w:eastAsiaTheme="minorHAnsi" w:hAnsi="Arial" w:cs="Arial"/>
        </w:rPr>
        <w:t>a substantial proportion of the total debtors</w:t>
      </w:r>
      <w:r>
        <w:rPr>
          <w:rFonts w:ascii="Arial" w:eastAsiaTheme="minorHAnsi" w:hAnsi="Arial" w:cs="Arial"/>
        </w:rPr>
        <w:t xml:space="preserve"> </w:t>
      </w:r>
      <w:r w:rsidRPr="00AE4811">
        <w:rPr>
          <w:rFonts w:ascii="Arial" w:eastAsiaTheme="minorHAnsi" w:hAnsi="Arial" w:cs="Arial"/>
        </w:rPr>
        <w:t>relate to central government and local authority bodies which are deemed to be low credit risk</w:t>
      </w:r>
      <w:r w:rsidRPr="00AE4811">
        <w:rPr>
          <w:rFonts w:ascii="Arial" w:hAnsi="Arial" w:cs="Arial"/>
        </w:rPr>
        <w:t>.</w:t>
      </w:r>
    </w:p>
    <w:p w14:paraId="437CFD09" w14:textId="77777777" w:rsidR="00795BE0" w:rsidRPr="0007572B" w:rsidRDefault="00795BE0" w:rsidP="00795BE0">
      <w:pPr>
        <w:rPr>
          <w:rFonts w:ascii="Arial" w:eastAsiaTheme="minorHAnsi" w:hAnsi="Arial" w:cs="Arial"/>
        </w:rPr>
      </w:pPr>
      <w:r w:rsidRPr="0007572B">
        <w:rPr>
          <w:rFonts w:ascii="Arial" w:eastAsiaTheme="minorHAnsi" w:hAnsi="Arial" w:cs="Arial"/>
        </w:rPr>
        <w:t xml:space="preserve"> </w:t>
      </w:r>
    </w:p>
    <w:p w14:paraId="2D042866" w14:textId="0F2D5EA3" w:rsidR="00795BE0" w:rsidRPr="00235431" w:rsidRDefault="00795BE0" w:rsidP="00795BE0">
      <w:pPr>
        <w:rPr>
          <w:rFonts w:ascii="Arial" w:eastAsiaTheme="minorHAnsi" w:hAnsi="Arial" w:cs="Arial"/>
          <w:highlight w:val="yellow"/>
        </w:rPr>
      </w:pPr>
      <w:r w:rsidRPr="00AE4811">
        <w:rPr>
          <w:rFonts w:ascii="Arial" w:eastAsiaTheme="minorHAnsi" w:hAnsi="Arial" w:cs="Arial"/>
        </w:rPr>
        <w:t>The remaining £</w:t>
      </w:r>
      <w:r>
        <w:rPr>
          <w:rFonts w:ascii="Arial" w:eastAsiaTheme="minorHAnsi" w:hAnsi="Arial" w:cs="Arial"/>
        </w:rPr>
        <w:t>2</w:t>
      </w:r>
      <w:r w:rsidR="00235431">
        <w:rPr>
          <w:rFonts w:ascii="Arial" w:eastAsiaTheme="minorHAnsi" w:hAnsi="Arial" w:cs="Arial"/>
        </w:rPr>
        <w:t>5</w:t>
      </w:r>
      <w:r>
        <w:rPr>
          <w:rFonts w:ascii="Arial" w:eastAsiaTheme="minorHAnsi" w:hAnsi="Arial" w:cs="Arial"/>
        </w:rPr>
        <w:t>.</w:t>
      </w:r>
      <w:r w:rsidR="00235431">
        <w:rPr>
          <w:rFonts w:ascii="Arial" w:eastAsiaTheme="minorHAnsi" w:hAnsi="Arial" w:cs="Arial"/>
        </w:rPr>
        <w:t>6</w:t>
      </w:r>
      <w:r>
        <w:rPr>
          <w:rFonts w:ascii="Arial" w:eastAsiaTheme="minorHAnsi" w:hAnsi="Arial" w:cs="Arial"/>
        </w:rPr>
        <w:t>m</w:t>
      </w:r>
      <w:r w:rsidRPr="00AE4811">
        <w:rPr>
          <w:rFonts w:ascii="Arial" w:eastAsiaTheme="minorHAnsi" w:hAnsi="Arial" w:cs="Arial"/>
        </w:rPr>
        <w:t xml:space="preserve"> of debtors relate to other entities and individuals, including</w:t>
      </w:r>
      <w:r w:rsidR="00235431">
        <w:rPr>
          <w:rFonts w:ascii="Arial" w:eastAsiaTheme="minorHAnsi" w:hAnsi="Arial" w:cs="Arial"/>
        </w:rPr>
        <w:t xml:space="preserve"> £8.5m trade debtors, of which</w:t>
      </w:r>
      <w:r w:rsidRPr="00AE4811">
        <w:rPr>
          <w:rFonts w:ascii="Arial" w:eastAsiaTheme="minorHAnsi" w:hAnsi="Arial" w:cs="Arial"/>
        </w:rPr>
        <w:t xml:space="preserve"> </w:t>
      </w:r>
      <w:r>
        <w:rPr>
          <w:rFonts w:ascii="Arial" w:eastAsiaTheme="minorHAnsi" w:hAnsi="Arial" w:cs="Arial"/>
        </w:rPr>
        <w:t>56</w:t>
      </w:r>
      <w:r w:rsidRPr="00F17DC4">
        <w:rPr>
          <w:rFonts w:ascii="Arial" w:eastAsiaTheme="minorHAnsi" w:hAnsi="Arial" w:cs="Arial"/>
        </w:rPr>
        <w:t xml:space="preserve">% are past </w:t>
      </w:r>
      <w:r w:rsidRPr="00235431">
        <w:rPr>
          <w:rFonts w:ascii="Arial" w:eastAsiaTheme="minorHAnsi" w:hAnsi="Arial" w:cs="Arial"/>
        </w:rPr>
        <w:t>due, with 17% of these being in the more than 30 days past due category.</w:t>
      </w:r>
    </w:p>
    <w:p w14:paraId="138E9AA3" w14:textId="77777777" w:rsidR="00795BE0" w:rsidRPr="00235431" w:rsidRDefault="00795BE0" w:rsidP="00795BE0">
      <w:pPr>
        <w:rPr>
          <w:rFonts w:ascii="Arial" w:eastAsiaTheme="minorHAnsi" w:hAnsi="Arial" w:cs="Arial"/>
          <w:highlight w:val="yellow"/>
        </w:rPr>
      </w:pPr>
    </w:p>
    <w:p w14:paraId="60CF20ED" w14:textId="77777777" w:rsidR="00795BE0" w:rsidRPr="000162E7" w:rsidRDefault="00795BE0" w:rsidP="00795BE0">
      <w:pPr>
        <w:spacing w:after="160"/>
        <w:rPr>
          <w:rFonts w:ascii="Arial" w:eastAsiaTheme="minorHAnsi" w:hAnsi="Arial" w:cs="Arial"/>
        </w:rPr>
      </w:pPr>
      <w:r w:rsidRPr="000162E7">
        <w:rPr>
          <w:rFonts w:ascii="Arial" w:eastAsiaTheme="minorHAnsi" w:hAnsi="Arial" w:cs="Arial"/>
        </w:rPr>
        <w:t>A prudent view is taken in respect of impairment of trade debtors.</w:t>
      </w:r>
    </w:p>
    <w:p w14:paraId="052F0968" w14:textId="77777777" w:rsidR="00795BE0" w:rsidRPr="000162E7" w:rsidRDefault="00795BE0" w:rsidP="00795BE0">
      <w:pPr>
        <w:spacing w:after="160"/>
        <w:rPr>
          <w:rFonts w:ascii="Arial" w:eastAsiaTheme="minorHAnsi" w:hAnsi="Arial" w:cs="Arial"/>
        </w:rPr>
      </w:pPr>
      <w:r w:rsidRPr="000162E7">
        <w:rPr>
          <w:rFonts w:ascii="Arial" w:eastAsiaTheme="minorHAnsi" w:hAnsi="Arial" w:cs="Arial"/>
        </w:rPr>
        <w:t>TfGM bears no interest rate risk in relation to loans and borrowings, as all existing loans are at a fixed rate. Where required, short term funding for working capital is provided by GMCA at zero interest.</w:t>
      </w:r>
    </w:p>
    <w:p w14:paraId="78887E12" w14:textId="77777777" w:rsidR="00795BE0" w:rsidRPr="000162E7" w:rsidRDefault="00795BE0" w:rsidP="00795BE0">
      <w:pPr>
        <w:spacing w:after="160"/>
        <w:rPr>
          <w:rFonts w:ascii="Arial" w:eastAsiaTheme="minorHAnsi" w:hAnsi="Arial" w:cs="Arial"/>
        </w:rPr>
      </w:pPr>
      <w:r w:rsidRPr="000162E7">
        <w:rPr>
          <w:rFonts w:ascii="Arial" w:eastAsiaTheme="minorHAnsi" w:hAnsi="Arial" w:cs="Arial"/>
        </w:rPr>
        <w:t>Currency risk is not a significant factor for TfGM, as it ensures that substantially all financial assets and liabilities are contracted for in sterling. The value of contracts denominated in Euros is not material.</w:t>
      </w:r>
    </w:p>
    <w:p w14:paraId="27596796" w14:textId="77777777" w:rsidR="00795BE0" w:rsidRPr="000162E7" w:rsidRDefault="00795BE0" w:rsidP="00795BE0">
      <w:pPr>
        <w:spacing w:after="160"/>
        <w:rPr>
          <w:rFonts w:ascii="Arial" w:eastAsiaTheme="minorHAnsi" w:hAnsi="Arial" w:cs="Arial"/>
        </w:rPr>
      </w:pPr>
      <w:r w:rsidRPr="000162E7">
        <w:rPr>
          <w:rFonts w:ascii="Arial" w:eastAsiaTheme="minorHAnsi" w:hAnsi="Arial" w:cs="Arial"/>
        </w:rPr>
        <w:t>Equity price risk is not a factor for TfGM since it holds no tradable investments.</w:t>
      </w:r>
    </w:p>
    <w:p w14:paraId="2BE7A076" w14:textId="77777777" w:rsidR="00795BE0" w:rsidRPr="0007572B" w:rsidRDefault="00795BE0" w:rsidP="00795BE0">
      <w:pPr>
        <w:spacing w:after="160"/>
        <w:rPr>
          <w:rFonts w:ascii="Arial" w:eastAsiaTheme="minorHAnsi" w:hAnsi="Arial" w:cs="Arial"/>
        </w:rPr>
      </w:pPr>
      <w:r w:rsidRPr="002E200A">
        <w:rPr>
          <w:rFonts w:ascii="Arial" w:eastAsiaTheme="minorHAnsi" w:hAnsi="Arial" w:cs="Arial"/>
        </w:rPr>
        <w:t>Risks are managed in accordance with the Annual Governance Statement. Management of TfGM’s cash balances and funding requirements is undertaken by the daily assessment of available funds for short-term deposits; and the regular preparation of detailed treasury and cash flow forecasts which are reviewed by the Head of Finance and the Director of Finance and Corporate Services. Where necessary, mitigating actions are taken and agreement is sought from GMCA officers if further funding is required to cover, for example, short term cash flow requirements arising from the timing difference between expenditure and grant monies being applied for and received.</w:t>
      </w:r>
    </w:p>
    <w:p w14:paraId="7003A6D5" w14:textId="26622C7D" w:rsidR="00795BE0" w:rsidRDefault="00795BE0" w:rsidP="00795BE0">
      <w:pPr>
        <w:pStyle w:val="Heading5underline"/>
      </w:pPr>
      <w:r w:rsidRPr="0007572B">
        <w:t>NWEH</w:t>
      </w:r>
      <w:r w:rsidR="00C42A8A">
        <w:t xml:space="preserve">, </w:t>
      </w:r>
      <w:r w:rsidRPr="0007572B">
        <w:t>FoFLP</w:t>
      </w:r>
      <w:r w:rsidR="00C42A8A">
        <w:t xml:space="preserve"> </w:t>
      </w:r>
      <w:r w:rsidR="00C42A8A" w:rsidRPr="002B049C">
        <w:t xml:space="preserve">and </w:t>
      </w:r>
      <w:r w:rsidR="00C42A8A" w:rsidRPr="002B049C">
        <w:rPr>
          <w:rFonts w:cs="Arial"/>
        </w:rPr>
        <w:t>GME2LP</w:t>
      </w:r>
      <w:r w:rsidRPr="002B049C">
        <w:t xml:space="preserve"> </w:t>
      </w:r>
      <w:r w:rsidRPr="0007572B">
        <w:t>(LPs)</w:t>
      </w:r>
    </w:p>
    <w:p w14:paraId="57241CA8" w14:textId="77777777" w:rsidR="00795BE0" w:rsidRPr="0007572B" w:rsidRDefault="00795BE0" w:rsidP="00795BE0">
      <w:pPr>
        <w:spacing w:after="160"/>
        <w:rPr>
          <w:rFonts w:ascii="Arial" w:eastAsiaTheme="minorHAnsi" w:hAnsi="Arial" w:cs="Arial"/>
        </w:rPr>
      </w:pPr>
      <w:r w:rsidRPr="0007572B">
        <w:rPr>
          <w:rFonts w:ascii="Arial" w:eastAsiaTheme="minorHAnsi" w:hAnsi="Arial" w:cs="Arial"/>
        </w:rPr>
        <w:t>The LPs’ principal risks are liquidity, credit and capital management, for which risk management programmes are in place to limit the adverse effect of such risks in their financial position.</w:t>
      </w:r>
    </w:p>
    <w:p w14:paraId="1F6C4CCC" w14:textId="77777777" w:rsidR="00795BE0" w:rsidRPr="00716403" w:rsidRDefault="00795BE0" w:rsidP="00795BE0">
      <w:pPr>
        <w:pStyle w:val="Heading5underline"/>
        <w:rPr>
          <w:w w:val="100"/>
        </w:rPr>
      </w:pPr>
      <w:r w:rsidRPr="00716403">
        <w:rPr>
          <w:w w:val="100"/>
        </w:rPr>
        <w:t>Liquidity risk</w:t>
      </w:r>
    </w:p>
    <w:p w14:paraId="18CAF9F1" w14:textId="549F474A" w:rsidR="00795BE0" w:rsidRDefault="00795BE0" w:rsidP="00795BE0">
      <w:pPr>
        <w:spacing w:after="160"/>
        <w:rPr>
          <w:rFonts w:ascii="Arial" w:eastAsiaTheme="minorHAnsi" w:hAnsi="Arial" w:cs="Arial"/>
        </w:rPr>
      </w:pPr>
      <w:r w:rsidRPr="0007572B">
        <w:rPr>
          <w:rFonts w:ascii="Arial" w:eastAsiaTheme="minorHAnsi" w:hAnsi="Arial" w:cs="Arial"/>
        </w:rPr>
        <w:t xml:space="preserve">Liquidity risk is the risk that the LPs will have difficulty in meeting their obligations as and when they fall due. The LPs’ approach to liquidity is to utilise cash flow forecasting to ensure that they will always have sufficient liquidity to meet liabilities as and when they fall due without incurring unacceptable credit risk or risking damage to the LPs’ reputations. </w:t>
      </w:r>
    </w:p>
    <w:p w14:paraId="7D7EB8CC" w14:textId="77777777" w:rsidR="008B1A29" w:rsidRPr="0007572B" w:rsidRDefault="008B1A29" w:rsidP="00795BE0">
      <w:pPr>
        <w:spacing w:after="160"/>
        <w:rPr>
          <w:rFonts w:ascii="Arial" w:eastAsiaTheme="minorHAnsi" w:hAnsi="Arial" w:cs="Arial"/>
        </w:rPr>
      </w:pPr>
    </w:p>
    <w:p w14:paraId="3DE33F22" w14:textId="77777777" w:rsidR="00795BE0" w:rsidRPr="0007572B" w:rsidRDefault="00795BE0" w:rsidP="00795BE0">
      <w:pPr>
        <w:pStyle w:val="Heading5underline"/>
      </w:pPr>
      <w:r w:rsidRPr="0007572B">
        <w:lastRenderedPageBreak/>
        <w:t>Credit risk</w:t>
      </w:r>
    </w:p>
    <w:p w14:paraId="51F9D81D" w14:textId="77777777" w:rsidR="00795BE0" w:rsidRPr="0007572B" w:rsidRDefault="00795BE0" w:rsidP="00795BE0">
      <w:pPr>
        <w:spacing w:after="160"/>
        <w:rPr>
          <w:rFonts w:ascii="Arial" w:eastAsiaTheme="minorHAnsi" w:hAnsi="Arial" w:cs="Arial"/>
        </w:rPr>
      </w:pPr>
      <w:r w:rsidRPr="0007572B">
        <w:rPr>
          <w:rFonts w:ascii="Arial" w:eastAsiaTheme="minorHAnsi" w:hAnsi="Arial" w:cs="Arial"/>
        </w:rPr>
        <w:t>Credit risk arises for the funds from both deposits with banks and credit exposures to borrowers.</w:t>
      </w:r>
    </w:p>
    <w:p w14:paraId="78E4A56D" w14:textId="77777777" w:rsidR="00795BE0" w:rsidRPr="00882716" w:rsidRDefault="00795BE0" w:rsidP="00795BE0">
      <w:pPr>
        <w:rPr>
          <w:rFonts w:ascii="Arial" w:eastAsiaTheme="minorHAnsi" w:hAnsi="Arial" w:cs="Arial"/>
        </w:rPr>
      </w:pPr>
      <w:r w:rsidRPr="0007572B">
        <w:rPr>
          <w:rFonts w:ascii="Arial" w:eastAsiaTheme="minorHAnsi" w:hAnsi="Arial" w:cs="Arial"/>
        </w:rPr>
        <w:t xml:space="preserve">The LPs’ credit risk in relation to bank deposits is minimised by following the GMCA’s Annual Investment Strategy, which requires that deposits are not made with financial institutions unless they meet identified minimum credit criteria, in accordance with the Fitch and Moody’s Ratings Services. The Annual Investment Strategy also imposes a maximum sum to be invested with a financial institution located within each category. Deposits are not made with banks and financial institutions unless they meet the </w:t>
      </w:r>
      <w:r w:rsidRPr="00ED0268">
        <w:rPr>
          <w:rFonts w:ascii="Arial" w:eastAsiaTheme="minorHAnsi" w:hAnsi="Arial" w:cs="Arial"/>
        </w:rPr>
        <w:t xml:space="preserve">minimum requirements of the investment criteria outlined in Note </w:t>
      </w:r>
      <w:r>
        <w:rPr>
          <w:rFonts w:ascii="Arial" w:eastAsiaTheme="minorHAnsi" w:hAnsi="Arial" w:cs="Arial"/>
        </w:rPr>
        <w:t>30</w:t>
      </w:r>
      <w:r w:rsidRPr="004A32D4">
        <w:rPr>
          <w:rFonts w:ascii="Arial" w:eastAsiaTheme="minorHAnsi" w:hAnsi="Arial" w:cs="Arial"/>
        </w:rPr>
        <w:t xml:space="preserve">. All investments held as at 31 March </w:t>
      </w:r>
      <w:r>
        <w:rPr>
          <w:rFonts w:ascii="Arial" w:eastAsiaTheme="minorHAnsi" w:hAnsi="Arial" w:cs="Arial"/>
        </w:rPr>
        <w:t>2022</w:t>
      </w:r>
      <w:r w:rsidRPr="004A32D4">
        <w:rPr>
          <w:rFonts w:ascii="Arial" w:eastAsiaTheme="minorHAnsi" w:hAnsi="Arial" w:cs="Arial"/>
        </w:rPr>
        <w:t xml:space="preserve"> were with the HM </w:t>
      </w:r>
      <w:r w:rsidRPr="00882716">
        <w:rPr>
          <w:rFonts w:ascii="Arial" w:eastAsiaTheme="minorHAnsi" w:hAnsi="Arial" w:cs="Arial"/>
        </w:rPr>
        <w:t xml:space="preserve">Treasury Debt Management Office, other local authorities or UK banks and building societies. </w:t>
      </w:r>
    </w:p>
    <w:p w14:paraId="76AB3F14" w14:textId="77777777" w:rsidR="00795BE0" w:rsidRPr="00882716" w:rsidRDefault="00795BE0" w:rsidP="00795BE0">
      <w:pPr>
        <w:rPr>
          <w:rFonts w:ascii="Arial" w:eastAsiaTheme="minorHAnsi" w:hAnsi="Arial" w:cs="Arial"/>
        </w:rPr>
      </w:pPr>
    </w:p>
    <w:p w14:paraId="229FE578" w14:textId="77777777" w:rsidR="00795BE0" w:rsidRPr="0007572B" w:rsidRDefault="00795BE0" w:rsidP="00795BE0">
      <w:pPr>
        <w:spacing w:after="160"/>
        <w:rPr>
          <w:rFonts w:ascii="Arial" w:eastAsiaTheme="minorHAnsi" w:hAnsi="Arial" w:cs="Arial"/>
        </w:rPr>
      </w:pPr>
      <w:r w:rsidRPr="00882716">
        <w:rPr>
          <w:rFonts w:ascii="Arial" w:eastAsiaTheme="minorHAnsi" w:hAnsi="Arial" w:cs="Arial"/>
        </w:rPr>
        <w:t xml:space="preserve">The Authority has not used any non-credit rated institutions </w:t>
      </w:r>
      <w:r w:rsidRPr="0007572B">
        <w:rPr>
          <w:rFonts w:ascii="Arial" w:eastAsiaTheme="minorHAnsi" w:hAnsi="Arial" w:cs="Arial"/>
        </w:rPr>
        <w:t>(for instance smaller building societies or bank subsidiaries where the parent has a satisfactory rating).</w:t>
      </w:r>
    </w:p>
    <w:p w14:paraId="6B32E22A" w14:textId="77777777" w:rsidR="00795BE0" w:rsidRPr="008B1A29" w:rsidRDefault="00795BE0" w:rsidP="00795BE0">
      <w:pPr>
        <w:spacing w:after="160"/>
        <w:rPr>
          <w:rFonts w:ascii="Arial" w:eastAsiaTheme="minorHAnsi" w:hAnsi="Arial" w:cs="Arial"/>
        </w:rPr>
      </w:pPr>
      <w:r w:rsidRPr="008B1A29">
        <w:rPr>
          <w:rFonts w:ascii="Arial" w:eastAsiaTheme="minorHAnsi" w:hAnsi="Arial" w:cs="Arial"/>
        </w:rPr>
        <w:t>The purpose of the LPs is to provide short term funding into urban development projects in the North-West via their sub-funds. This provides credit risk in relation to each borrower and project. The LPs manage this risk by setting agreed investment parameters under the Contingent Loan Agreements and the Investment Adviser and Operator Agreements in place, with detailed due diligence undertaken for all borrowers and projects.</w:t>
      </w:r>
    </w:p>
    <w:p w14:paraId="1A1B6098" w14:textId="77777777" w:rsidR="00795BE0" w:rsidRPr="0007572B" w:rsidRDefault="00795BE0" w:rsidP="00795BE0">
      <w:pPr>
        <w:spacing w:after="160"/>
        <w:rPr>
          <w:rFonts w:ascii="Arial" w:eastAsiaTheme="minorHAnsi" w:hAnsi="Arial" w:cs="Arial"/>
        </w:rPr>
      </w:pPr>
      <w:r w:rsidRPr="008B1A29">
        <w:rPr>
          <w:rFonts w:ascii="Arial" w:eastAsiaTheme="minorHAnsi" w:hAnsi="Arial" w:cs="Arial"/>
        </w:rPr>
        <w:t>Each investment is subject to approval by the investment funds’ board, in addition to CBRE’s investment board as Investment Adviser to the funds. These are predominantly senior loans and as such carry prudent loan to values secured on tangible real estate assets. CBRE, in its capacity as Investment Adviser and Operator, monitor the projects throughout the loan term, reporting progress to the board and providing recommendations as appropriate. No defaults have been suffered by the funds to date, and none of the loans as at 31 March 2022 were in default.</w:t>
      </w:r>
    </w:p>
    <w:p w14:paraId="27555A19" w14:textId="77777777" w:rsidR="00795BE0" w:rsidRPr="0007572B" w:rsidRDefault="00795BE0" w:rsidP="00795BE0">
      <w:pPr>
        <w:pStyle w:val="Heading5underline"/>
      </w:pPr>
      <w:r w:rsidRPr="0007572B">
        <w:t>Capital management</w:t>
      </w:r>
    </w:p>
    <w:p w14:paraId="106E3160" w14:textId="77777777" w:rsidR="00795BE0" w:rsidRPr="0007572B" w:rsidRDefault="00795BE0" w:rsidP="00795BE0">
      <w:pPr>
        <w:spacing w:after="160"/>
        <w:rPr>
          <w:rFonts w:ascii="Arial" w:eastAsiaTheme="minorHAnsi" w:hAnsi="Arial" w:cs="Arial"/>
        </w:rPr>
      </w:pPr>
      <w:r w:rsidRPr="0007572B">
        <w:rPr>
          <w:rFonts w:ascii="Arial" w:eastAsiaTheme="minorHAnsi" w:hAnsi="Arial" w:cs="Arial"/>
        </w:rPr>
        <w:t>The LPs’ finance their operations through the management of working capital and ultimately from the support of their partners if required.</w:t>
      </w:r>
    </w:p>
    <w:p w14:paraId="48068F74" w14:textId="77777777" w:rsidR="00795BE0" w:rsidRPr="0007572B" w:rsidRDefault="00795BE0" w:rsidP="00795BE0">
      <w:pPr>
        <w:pStyle w:val="Heading4bold"/>
        <w:rPr>
          <w:rFonts w:eastAsiaTheme="minorHAnsi"/>
        </w:rPr>
      </w:pPr>
      <w:r w:rsidRPr="0007572B">
        <w:rPr>
          <w:rFonts w:eastAsiaTheme="minorHAnsi"/>
        </w:rPr>
        <w:t>Hedging Instruments</w:t>
      </w:r>
    </w:p>
    <w:p w14:paraId="3EBA3D11" w14:textId="2BFC2EE3" w:rsidR="00795BE0" w:rsidRDefault="00795BE0" w:rsidP="00795BE0">
      <w:pPr>
        <w:spacing w:after="160"/>
        <w:rPr>
          <w:rFonts w:ascii="Arial" w:eastAsiaTheme="minorHAnsi" w:hAnsi="Arial" w:cs="Arial"/>
        </w:rPr>
      </w:pPr>
      <w:r w:rsidRPr="0007572B">
        <w:rPr>
          <w:rFonts w:ascii="Arial" w:eastAsiaTheme="minorHAnsi" w:hAnsi="Arial" w:cs="Arial"/>
        </w:rPr>
        <w:t>Neither TfGM, NWEH</w:t>
      </w:r>
      <w:r w:rsidR="00C42A8A">
        <w:rPr>
          <w:rFonts w:ascii="Arial" w:eastAsiaTheme="minorHAnsi" w:hAnsi="Arial" w:cs="Arial"/>
        </w:rPr>
        <w:t xml:space="preserve">, </w:t>
      </w:r>
      <w:r w:rsidRPr="0007572B">
        <w:rPr>
          <w:rFonts w:ascii="Arial" w:eastAsiaTheme="minorHAnsi" w:hAnsi="Arial" w:cs="Arial"/>
        </w:rPr>
        <w:t>FoFLP</w:t>
      </w:r>
      <w:r w:rsidR="00C42A8A">
        <w:rPr>
          <w:rFonts w:ascii="Arial" w:eastAsiaTheme="minorHAnsi" w:hAnsi="Arial" w:cs="Arial"/>
        </w:rPr>
        <w:t xml:space="preserve"> </w:t>
      </w:r>
      <w:r w:rsidR="00C42A8A" w:rsidRPr="002B049C">
        <w:rPr>
          <w:rFonts w:ascii="Arial" w:eastAsiaTheme="minorHAnsi" w:hAnsi="Arial" w:cs="Arial"/>
        </w:rPr>
        <w:t>nor GME2LP</w:t>
      </w:r>
      <w:r w:rsidRPr="002B049C">
        <w:rPr>
          <w:rFonts w:ascii="Arial" w:eastAsiaTheme="minorHAnsi" w:hAnsi="Arial" w:cs="Arial"/>
        </w:rPr>
        <w:t xml:space="preserve"> </w:t>
      </w:r>
      <w:r w:rsidRPr="0007572B">
        <w:rPr>
          <w:rFonts w:ascii="Arial" w:eastAsiaTheme="minorHAnsi" w:hAnsi="Arial" w:cs="Arial"/>
        </w:rPr>
        <w:t>hold any financial instruments that could be classified as hedging instruments.</w:t>
      </w:r>
    </w:p>
    <w:p w14:paraId="049F767D" w14:textId="7491397A" w:rsidR="0066778F" w:rsidRDefault="0066778F" w:rsidP="00795BE0">
      <w:pPr>
        <w:spacing w:after="160"/>
        <w:rPr>
          <w:rFonts w:ascii="Arial" w:eastAsiaTheme="minorHAnsi" w:hAnsi="Arial" w:cs="Arial"/>
        </w:rPr>
      </w:pPr>
    </w:p>
    <w:p w14:paraId="0256F3A3" w14:textId="50500558" w:rsidR="0066778F" w:rsidRDefault="0066778F" w:rsidP="00795BE0">
      <w:pPr>
        <w:spacing w:after="160"/>
        <w:rPr>
          <w:rFonts w:ascii="Arial" w:eastAsiaTheme="minorHAnsi" w:hAnsi="Arial" w:cs="Arial"/>
        </w:rPr>
      </w:pPr>
    </w:p>
    <w:p w14:paraId="28E9EEE4" w14:textId="56312FFC" w:rsidR="0066778F" w:rsidRDefault="0066778F" w:rsidP="00795BE0">
      <w:pPr>
        <w:spacing w:after="160"/>
        <w:rPr>
          <w:rFonts w:ascii="Arial" w:eastAsiaTheme="minorHAnsi" w:hAnsi="Arial" w:cs="Arial"/>
        </w:rPr>
      </w:pPr>
    </w:p>
    <w:p w14:paraId="380AB196" w14:textId="028E08C8" w:rsidR="0066778F" w:rsidRDefault="0066778F" w:rsidP="00795BE0">
      <w:pPr>
        <w:spacing w:after="160"/>
        <w:rPr>
          <w:rFonts w:ascii="Arial" w:eastAsiaTheme="minorHAnsi" w:hAnsi="Arial" w:cs="Arial"/>
        </w:rPr>
      </w:pPr>
    </w:p>
    <w:p w14:paraId="1DF39A6E" w14:textId="002C7999" w:rsidR="0066778F" w:rsidRDefault="0066778F" w:rsidP="00795BE0">
      <w:pPr>
        <w:spacing w:after="160"/>
        <w:rPr>
          <w:rFonts w:ascii="Arial" w:eastAsiaTheme="minorHAnsi" w:hAnsi="Arial" w:cs="Arial"/>
        </w:rPr>
      </w:pPr>
    </w:p>
    <w:p w14:paraId="454193E3" w14:textId="7290B32E" w:rsidR="0066778F" w:rsidRDefault="0066778F" w:rsidP="00795BE0">
      <w:pPr>
        <w:spacing w:after="160"/>
        <w:rPr>
          <w:rFonts w:ascii="Arial" w:eastAsiaTheme="minorHAnsi" w:hAnsi="Arial" w:cs="Arial"/>
        </w:rPr>
      </w:pPr>
    </w:p>
    <w:p w14:paraId="3436DF40" w14:textId="5C9888AF" w:rsidR="0066778F" w:rsidRDefault="0066778F" w:rsidP="00795BE0">
      <w:pPr>
        <w:spacing w:after="160"/>
        <w:rPr>
          <w:rFonts w:ascii="Arial" w:eastAsiaTheme="minorHAnsi" w:hAnsi="Arial" w:cs="Arial"/>
        </w:rPr>
      </w:pPr>
    </w:p>
    <w:p w14:paraId="62C081C8" w14:textId="6D0F15E7" w:rsidR="0066778F" w:rsidRDefault="0066778F" w:rsidP="00795BE0">
      <w:pPr>
        <w:spacing w:after="160"/>
        <w:rPr>
          <w:rFonts w:ascii="Arial" w:eastAsiaTheme="minorHAnsi" w:hAnsi="Arial" w:cs="Arial"/>
        </w:rPr>
      </w:pPr>
    </w:p>
    <w:p w14:paraId="76C83899" w14:textId="77777777" w:rsidR="0066778F" w:rsidRDefault="0066778F" w:rsidP="00795BE0">
      <w:pPr>
        <w:spacing w:after="160"/>
        <w:rPr>
          <w:rFonts w:ascii="Arial" w:eastAsiaTheme="minorHAnsi" w:hAnsi="Arial" w:cs="Arial"/>
        </w:rPr>
      </w:pPr>
    </w:p>
    <w:p w14:paraId="09C58C8C" w14:textId="6A1CF4D0" w:rsidR="00795BE0" w:rsidRPr="0007572B" w:rsidRDefault="00795BE0" w:rsidP="00795BE0">
      <w:pPr>
        <w:pStyle w:val="Heading3greennumbered"/>
      </w:pPr>
      <w:bookmarkStart w:id="330" w:name="_Toc92894951"/>
      <w:bookmarkStart w:id="331" w:name="_Toc92895255"/>
      <w:bookmarkStart w:id="332" w:name="_Toc109922689"/>
      <w:r w:rsidRPr="0007572B">
        <w:lastRenderedPageBreak/>
        <w:t>5</w:t>
      </w:r>
      <w:r w:rsidR="008633CA">
        <w:t>8</w:t>
      </w:r>
      <w:r w:rsidRPr="0007572B">
        <w:t xml:space="preserve"> Group Related Party Transactions</w:t>
      </w:r>
      <w:bookmarkEnd w:id="330"/>
      <w:bookmarkEnd w:id="331"/>
      <w:bookmarkEnd w:id="332"/>
    </w:p>
    <w:p w14:paraId="7AAD8264" w14:textId="77777777" w:rsidR="00795BE0" w:rsidRPr="0007572B" w:rsidRDefault="00795BE0" w:rsidP="00795BE0">
      <w:pPr>
        <w:rPr>
          <w:rFonts w:ascii="Arial" w:hAnsi="Arial" w:cs="Arial"/>
        </w:rPr>
      </w:pPr>
    </w:p>
    <w:p w14:paraId="6D70249F" w14:textId="77777777" w:rsidR="00795BE0" w:rsidRPr="0007572B" w:rsidRDefault="00795BE0" w:rsidP="00795BE0">
      <w:pPr>
        <w:rPr>
          <w:rFonts w:ascii="Arial" w:eastAsiaTheme="minorHAnsi" w:hAnsi="Arial" w:cs="Arial"/>
        </w:rPr>
      </w:pPr>
      <w:r w:rsidRPr="0007572B">
        <w:rPr>
          <w:rFonts w:ascii="Arial" w:hAnsi="Arial" w:cs="Arial"/>
        </w:rPr>
        <w:t>The</w:t>
      </w:r>
      <w:r w:rsidRPr="0007572B">
        <w:rPr>
          <w:rFonts w:ascii="Arial" w:eastAsiaTheme="minorHAnsi" w:hAnsi="Arial" w:cs="Arial"/>
        </w:rPr>
        <w:t xml:space="preserve"> Group is required to disclose material transactions with related parties - bodies or individuals that have the potential to control or influence the Group or to be controlled or influenced by the Group. </w:t>
      </w:r>
    </w:p>
    <w:p w14:paraId="0239CFFE" w14:textId="77777777" w:rsidR="00795BE0" w:rsidRPr="0007572B" w:rsidRDefault="00795BE0" w:rsidP="00795BE0">
      <w:pPr>
        <w:rPr>
          <w:rFonts w:ascii="Arial" w:eastAsiaTheme="minorHAnsi" w:hAnsi="Arial" w:cs="Arial"/>
        </w:rPr>
      </w:pPr>
    </w:p>
    <w:p w14:paraId="7876DB49" w14:textId="0FEF0D63" w:rsidR="00464DD2" w:rsidRDefault="00795BE0" w:rsidP="00795BE0">
      <w:pPr>
        <w:rPr>
          <w:rFonts w:ascii="Arial" w:hAnsi="Arial" w:cs="Arial"/>
        </w:rPr>
      </w:pPr>
      <w:r w:rsidRPr="0007572B">
        <w:rPr>
          <w:rFonts w:ascii="Arial" w:hAnsi="Arial" w:cs="Arial"/>
        </w:rPr>
        <w:t>Transactions and balances between the Authority and its related parties are disclosed in note 31.</w:t>
      </w:r>
      <w:r w:rsidR="0010781E">
        <w:rPr>
          <w:rFonts w:ascii="Arial" w:hAnsi="Arial" w:cs="Arial"/>
        </w:rPr>
        <w:t xml:space="preserve"> Transactions between the Authority and those included within the group have been removed on consolidation.</w:t>
      </w:r>
    </w:p>
    <w:p w14:paraId="07B7B44F" w14:textId="31B221B7" w:rsidR="00795BE0" w:rsidRDefault="00795BE0" w:rsidP="00795BE0">
      <w:pPr>
        <w:rPr>
          <w:rFonts w:ascii="Arial" w:eastAsia="Palatino Linotype" w:hAnsi="Arial"/>
          <w:b/>
          <w:lang w:val="en-US"/>
        </w:rPr>
      </w:pPr>
      <w:bookmarkStart w:id="333" w:name="_Toc92894952"/>
      <w:bookmarkStart w:id="334" w:name="_Toc92895256"/>
    </w:p>
    <w:p w14:paraId="158EBE0C" w14:textId="013D1C69" w:rsidR="00464DD2" w:rsidRDefault="00464DD2" w:rsidP="000E09F5">
      <w:pPr>
        <w:pStyle w:val="Heading4bold"/>
        <w:spacing w:after="0"/>
      </w:pPr>
      <w:r w:rsidRPr="00741CBC">
        <w:t>T</w:t>
      </w:r>
      <w:r w:rsidR="00AC7857">
        <w:t>FG</w:t>
      </w:r>
      <w:r w:rsidRPr="00741CBC">
        <w:t>M</w:t>
      </w:r>
    </w:p>
    <w:p w14:paraId="201D8D1B" w14:textId="534C79F9" w:rsidR="00464DD2" w:rsidRDefault="00464DD2" w:rsidP="000E09F5">
      <w:pPr>
        <w:rPr>
          <w:rFonts w:ascii="Arial" w:hAnsi="Arial" w:cs="Arial"/>
        </w:rPr>
      </w:pPr>
      <w:r w:rsidRPr="008E5C10">
        <w:rPr>
          <w:rFonts w:ascii="Arial" w:hAnsi="Arial" w:cs="Arial"/>
        </w:rPr>
        <w:t>The following entities are consolidated within the GMCA group accounts; the Chief Constable of Greater Manchester, NW Evergreen Holdings Limited Partnership, Greater Manchester Evergreen 2 Limited Partnership and Greater Manchester Fund of Funds Limited Partnership. No transactions took place between TfGM and any of these entities.</w:t>
      </w:r>
    </w:p>
    <w:p w14:paraId="37F02F7B" w14:textId="145A5C5A" w:rsidR="00AC7857" w:rsidRDefault="00AC7857" w:rsidP="000E09F5">
      <w:pPr>
        <w:rPr>
          <w:rFonts w:ascii="Arial" w:hAnsi="Arial" w:cs="Arial"/>
        </w:rPr>
      </w:pPr>
    </w:p>
    <w:p w14:paraId="699593ED" w14:textId="620C488E" w:rsidR="00AC7857" w:rsidRPr="00741CBC" w:rsidRDefault="00AC7857" w:rsidP="000E09F5">
      <w:pPr>
        <w:rPr>
          <w:rFonts w:ascii="Arial" w:hAnsi="Arial" w:cs="Arial"/>
        </w:rPr>
      </w:pPr>
      <w:r>
        <w:rPr>
          <w:rFonts w:ascii="Arial" w:hAnsi="Arial" w:cs="Arial"/>
        </w:rPr>
        <w:t xml:space="preserve">Greater Manchester Accessible Transport Limited and Piccadilly Triangle Developments are subsidiaries of TFGM, see below for related party transactions. </w:t>
      </w:r>
    </w:p>
    <w:p w14:paraId="28BB07DF" w14:textId="77777777" w:rsidR="00464DD2" w:rsidRDefault="00464DD2" w:rsidP="00464DD2">
      <w:pPr>
        <w:rPr>
          <w:rFonts w:ascii="Arial" w:hAnsi="Arial" w:cs="Arial"/>
        </w:rPr>
      </w:pPr>
    </w:p>
    <w:p w14:paraId="2A29BF4B" w14:textId="77777777" w:rsidR="00464DD2" w:rsidRPr="00196AB4" w:rsidRDefault="00464DD2" w:rsidP="00464DD2">
      <w:pPr>
        <w:pStyle w:val="Heading4bold"/>
      </w:pPr>
      <w:r w:rsidRPr="00196AB4">
        <w:t>Greater Manchester Accessible Transport Limited</w:t>
      </w:r>
      <w:r>
        <w:t xml:space="preserve"> (GMATL) </w:t>
      </w:r>
    </w:p>
    <w:p w14:paraId="1E9C6C73" w14:textId="42FB396B" w:rsidR="00464DD2" w:rsidRDefault="00AC7857" w:rsidP="00464DD2">
      <w:pPr>
        <w:rPr>
          <w:rFonts w:ascii="Arial" w:hAnsi="Arial" w:cs="Arial"/>
        </w:rPr>
      </w:pPr>
      <w:r>
        <w:rPr>
          <w:rFonts w:ascii="Arial" w:hAnsi="Arial" w:cs="Arial"/>
        </w:rPr>
        <w:t>Subsidiary of TFGM, r</w:t>
      </w:r>
      <w:r w:rsidR="00464DD2" w:rsidRPr="00196AB4">
        <w:rPr>
          <w:rFonts w:ascii="Arial" w:hAnsi="Arial" w:cs="Arial"/>
        </w:rPr>
        <w:t>elated party by virtue of shared group</w:t>
      </w:r>
    </w:p>
    <w:p w14:paraId="71F94733" w14:textId="77777777" w:rsidR="00464DD2" w:rsidRDefault="00464DD2" w:rsidP="00464DD2">
      <w:pPr>
        <w:rPr>
          <w:rFonts w:ascii="Arial" w:hAnsi="Arial" w:cs="Arial"/>
        </w:rPr>
      </w:pPr>
    </w:p>
    <w:p w14:paraId="032D5E0D" w14:textId="77777777" w:rsidR="00464DD2" w:rsidRDefault="00464DD2" w:rsidP="00464DD2">
      <w:pPr>
        <w:rPr>
          <w:rFonts w:ascii="Arial" w:hAnsi="Arial" w:cs="Arial"/>
        </w:rPr>
      </w:pPr>
      <w:r w:rsidRPr="00741CBC">
        <w:rPr>
          <w:noProof/>
        </w:rPr>
        <w:drawing>
          <wp:inline distT="0" distB="0" distL="0" distR="0" wp14:anchorId="27D347D1" wp14:editId="6F76DD23">
            <wp:extent cx="383540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35400" cy="1390650"/>
                    </a:xfrm>
                    <a:prstGeom prst="rect">
                      <a:avLst/>
                    </a:prstGeom>
                    <a:noFill/>
                    <a:ln>
                      <a:noFill/>
                    </a:ln>
                  </pic:spPr>
                </pic:pic>
              </a:graphicData>
            </a:graphic>
          </wp:inline>
        </w:drawing>
      </w:r>
    </w:p>
    <w:p w14:paraId="7E7DC933" w14:textId="77777777" w:rsidR="00464DD2" w:rsidRDefault="00464DD2" w:rsidP="00464DD2">
      <w:pPr>
        <w:rPr>
          <w:rFonts w:ascii="Arial" w:hAnsi="Arial" w:cs="Arial"/>
        </w:rPr>
      </w:pPr>
    </w:p>
    <w:p w14:paraId="3A9C9760" w14:textId="77777777" w:rsidR="00464DD2" w:rsidRPr="00741CBC" w:rsidRDefault="00464DD2" w:rsidP="00464DD2">
      <w:pPr>
        <w:pStyle w:val="Heading4bold"/>
      </w:pPr>
      <w:r w:rsidRPr="00741CBC">
        <w:t>Piccadilly Triangle Developments</w:t>
      </w:r>
      <w:r>
        <w:t xml:space="preserve"> LLP</w:t>
      </w:r>
    </w:p>
    <w:p w14:paraId="2468135F" w14:textId="21DD406E" w:rsidR="00464DD2" w:rsidRDefault="00AC7857" w:rsidP="00464DD2">
      <w:pPr>
        <w:rPr>
          <w:rFonts w:ascii="Arial" w:hAnsi="Arial" w:cs="Arial"/>
        </w:rPr>
      </w:pPr>
      <w:r>
        <w:rPr>
          <w:rFonts w:ascii="Arial" w:hAnsi="Arial" w:cs="Arial"/>
        </w:rPr>
        <w:t xml:space="preserve">Subsidiary of TFGM, related party by virtue of shared group. </w:t>
      </w:r>
      <w:r w:rsidR="00464DD2">
        <w:rPr>
          <w:rFonts w:ascii="Arial" w:hAnsi="Arial" w:cs="Arial"/>
        </w:rPr>
        <w:t>T</w:t>
      </w:r>
      <w:r w:rsidR="00464DD2" w:rsidRPr="00741CBC">
        <w:rPr>
          <w:rFonts w:ascii="Arial" w:hAnsi="Arial" w:cs="Arial"/>
        </w:rPr>
        <w:t>fGM and Manchester City Council are partners in Piccadilly Triangle Developments LLP (PTD LLP).  TfGM has a 50% share of PTD LLP.  This partnership is for the development of an area of land in Manchester, which commenced in May 2005</w:t>
      </w:r>
    </w:p>
    <w:p w14:paraId="0DA648E7" w14:textId="77777777" w:rsidR="00464DD2" w:rsidRDefault="00464DD2" w:rsidP="00464DD2">
      <w:pPr>
        <w:rPr>
          <w:rFonts w:ascii="Arial" w:hAnsi="Arial" w:cs="Arial"/>
        </w:rPr>
      </w:pPr>
    </w:p>
    <w:tbl>
      <w:tblPr>
        <w:tblW w:w="6060" w:type="dxa"/>
        <w:tblLook w:val="04A0" w:firstRow="1" w:lastRow="0" w:firstColumn="1" w:lastColumn="0" w:noHBand="0" w:noVBand="1"/>
      </w:tblPr>
      <w:tblGrid>
        <w:gridCol w:w="1360"/>
        <w:gridCol w:w="3240"/>
        <w:gridCol w:w="1460"/>
      </w:tblGrid>
      <w:tr w:rsidR="00464DD2" w14:paraId="10A18029" w14:textId="77777777" w:rsidTr="00150A27">
        <w:trPr>
          <w:trHeight w:val="230"/>
        </w:trPr>
        <w:tc>
          <w:tcPr>
            <w:tcW w:w="1360" w:type="dxa"/>
            <w:tcBorders>
              <w:top w:val="single" w:sz="4" w:space="0" w:color="auto"/>
              <w:left w:val="single" w:sz="4" w:space="0" w:color="auto"/>
              <w:bottom w:val="nil"/>
              <w:right w:val="single" w:sz="4" w:space="0" w:color="auto"/>
            </w:tcBorders>
            <w:shd w:val="clear" w:color="000000" w:fill="FFFFFF"/>
            <w:noWrap/>
            <w:hideMark/>
          </w:tcPr>
          <w:p w14:paraId="3F477E6A" w14:textId="77777777" w:rsidR="00464DD2" w:rsidRDefault="00464DD2" w:rsidP="00150A27">
            <w:pPr>
              <w:jc w:val="center"/>
              <w:rPr>
                <w:rFonts w:ascii="Verdana" w:hAnsi="Verdana" w:cs="Calibri"/>
                <w:b/>
                <w:bCs/>
                <w:sz w:val="16"/>
                <w:szCs w:val="16"/>
              </w:rPr>
            </w:pPr>
            <w:r>
              <w:rPr>
                <w:rFonts w:ascii="Verdana" w:hAnsi="Verdana" w:cs="Calibri"/>
                <w:b/>
                <w:bCs/>
                <w:sz w:val="16"/>
                <w:szCs w:val="16"/>
              </w:rPr>
              <w:t>2020/21</w:t>
            </w:r>
          </w:p>
        </w:tc>
        <w:tc>
          <w:tcPr>
            <w:tcW w:w="3240" w:type="dxa"/>
            <w:tcBorders>
              <w:top w:val="single" w:sz="4" w:space="0" w:color="auto"/>
              <w:left w:val="nil"/>
              <w:bottom w:val="nil"/>
              <w:right w:val="single" w:sz="4" w:space="0" w:color="auto"/>
            </w:tcBorders>
            <w:shd w:val="clear" w:color="000000" w:fill="FFFFFF"/>
            <w:noWrap/>
            <w:vAlign w:val="bottom"/>
            <w:hideMark/>
          </w:tcPr>
          <w:p w14:paraId="34C980B3" w14:textId="77777777" w:rsidR="00464DD2" w:rsidRDefault="00464DD2" w:rsidP="00150A27">
            <w:pPr>
              <w:rPr>
                <w:rFonts w:ascii="Calibri" w:hAnsi="Calibri" w:cs="Calibri"/>
                <w:b/>
                <w:bCs/>
                <w:color w:val="000000"/>
                <w:sz w:val="20"/>
                <w:szCs w:val="20"/>
              </w:rPr>
            </w:pPr>
            <w:r>
              <w:rPr>
                <w:rFonts w:ascii="Calibri" w:hAnsi="Calibri" w:cs="Calibri"/>
                <w:b/>
                <w:bCs/>
                <w:color w:val="000000"/>
                <w:sz w:val="20"/>
                <w:szCs w:val="20"/>
              </w:rPr>
              <w:t>Piccadilly Triangle Developments</w:t>
            </w:r>
          </w:p>
        </w:tc>
        <w:tc>
          <w:tcPr>
            <w:tcW w:w="1460" w:type="dxa"/>
            <w:tcBorders>
              <w:top w:val="single" w:sz="4" w:space="0" w:color="auto"/>
              <w:left w:val="nil"/>
              <w:bottom w:val="nil"/>
              <w:right w:val="single" w:sz="4" w:space="0" w:color="auto"/>
            </w:tcBorders>
            <w:shd w:val="clear" w:color="000000" w:fill="FFFFFF"/>
            <w:noWrap/>
            <w:hideMark/>
          </w:tcPr>
          <w:p w14:paraId="315B24DA" w14:textId="77777777" w:rsidR="00464DD2" w:rsidRDefault="00464DD2" w:rsidP="00150A27">
            <w:pPr>
              <w:jc w:val="center"/>
              <w:rPr>
                <w:rFonts w:ascii="Verdana" w:hAnsi="Verdana" w:cs="Calibri"/>
                <w:b/>
                <w:bCs/>
                <w:sz w:val="16"/>
                <w:szCs w:val="16"/>
              </w:rPr>
            </w:pPr>
            <w:r>
              <w:rPr>
                <w:rFonts w:ascii="Verdana" w:hAnsi="Verdana" w:cs="Calibri"/>
                <w:b/>
                <w:bCs/>
                <w:sz w:val="16"/>
                <w:szCs w:val="16"/>
              </w:rPr>
              <w:t>2021/22</w:t>
            </w:r>
          </w:p>
        </w:tc>
      </w:tr>
      <w:tr w:rsidR="00464DD2" w14:paraId="1DDD8F8B" w14:textId="77777777" w:rsidTr="00150A27">
        <w:trPr>
          <w:trHeight w:val="210"/>
        </w:trPr>
        <w:tc>
          <w:tcPr>
            <w:tcW w:w="1360" w:type="dxa"/>
            <w:tcBorders>
              <w:top w:val="nil"/>
              <w:left w:val="single" w:sz="4" w:space="0" w:color="auto"/>
              <w:bottom w:val="single" w:sz="4" w:space="0" w:color="auto"/>
              <w:right w:val="single" w:sz="4" w:space="0" w:color="auto"/>
            </w:tcBorders>
            <w:shd w:val="clear" w:color="000000" w:fill="FFFFFF"/>
            <w:noWrap/>
            <w:hideMark/>
          </w:tcPr>
          <w:p w14:paraId="1EBE6AE1" w14:textId="77777777" w:rsidR="00464DD2" w:rsidRDefault="00464DD2" w:rsidP="00150A27">
            <w:pPr>
              <w:jc w:val="center"/>
              <w:rPr>
                <w:rFonts w:ascii="Verdana" w:hAnsi="Verdana" w:cs="Calibri"/>
                <w:b/>
                <w:bCs/>
                <w:sz w:val="16"/>
                <w:szCs w:val="16"/>
              </w:rPr>
            </w:pPr>
            <w:r>
              <w:rPr>
                <w:rFonts w:ascii="Verdana" w:hAnsi="Verdana" w:cs="Calibri"/>
                <w:b/>
                <w:bCs/>
                <w:sz w:val="16"/>
                <w:szCs w:val="16"/>
              </w:rPr>
              <w:t>£000s</w:t>
            </w:r>
          </w:p>
        </w:tc>
        <w:tc>
          <w:tcPr>
            <w:tcW w:w="3240" w:type="dxa"/>
            <w:tcBorders>
              <w:top w:val="nil"/>
              <w:left w:val="nil"/>
              <w:bottom w:val="single" w:sz="4" w:space="0" w:color="auto"/>
              <w:right w:val="single" w:sz="4" w:space="0" w:color="auto"/>
            </w:tcBorders>
            <w:shd w:val="clear" w:color="000000" w:fill="FFFFFF"/>
            <w:noWrap/>
            <w:hideMark/>
          </w:tcPr>
          <w:p w14:paraId="0A17063E" w14:textId="77777777" w:rsidR="00464DD2" w:rsidRDefault="00464DD2" w:rsidP="00150A27">
            <w:pPr>
              <w:rPr>
                <w:rFonts w:ascii="Verdana" w:hAnsi="Verdana" w:cs="Calibri"/>
                <w:b/>
                <w:bCs/>
                <w:sz w:val="16"/>
                <w:szCs w:val="16"/>
              </w:rPr>
            </w:pPr>
            <w:r>
              <w:rPr>
                <w:rFonts w:ascii="Verdana" w:hAnsi="Verdana" w:cs="Calibri"/>
                <w:b/>
                <w:bCs/>
                <w:sz w:val="16"/>
                <w:szCs w:val="16"/>
              </w:rPr>
              <w:t> </w:t>
            </w:r>
          </w:p>
        </w:tc>
        <w:tc>
          <w:tcPr>
            <w:tcW w:w="1460" w:type="dxa"/>
            <w:tcBorders>
              <w:top w:val="nil"/>
              <w:left w:val="nil"/>
              <w:bottom w:val="single" w:sz="4" w:space="0" w:color="auto"/>
              <w:right w:val="single" w:sz="4" w:space="0" w:color="auto"/>
            </w:tcBorders>
            <w:shd w:val="clear" w:color="000000" w:fill="FFFFFF"/>
            <w:noWrap/>
            <w:hideMark/>
          </w:tcPr>
          <w:p w14:paraId="30573D75" w14:textId="77777777" w:rsidR="00464DD2" w:rsidRDefault="00464DD2" w:rsidP="00150A27">
            <w:pPr>
              <w:jc w:val="center"/>
              <w:rPr>
                <w:rFonts w:ascii="Verdana" w:hAnsi="Verdana" w:cs="Calibri"/>
                <w:b/>
                <w:bCs/>
                <w:sz w:val="16"/>
                <w:szCs w:val="16"/>
              </w:rPr>
            </w:pPr>
            <w:r>
              <w:rPr>
                <w:rFonts w:ascii="Verdana" w:hAnsi="Verdana" w:cs="Calibri"/>
                <w:b/>
                <w:bCs/>
                <w:sz w:val="16"/>
                <w:szCs w:val="16"/>
              </w:rPr>
              <w:t>£000s</w:t>
            </w:r>
          </w:p>
        </w:tc>
      </w:tr>
      <w:tr w:rsidR="00464DD2" w14:paraId="6F729634" w14:textId="77777777" w:rsidTr="00150A27">
        <w:trPr>
          <w:trHeight w:val="290"/>
        </w:trPr>
        <w:tc>
          <w:tcPr>
            <w:tcW w:w="1360" w:type="dxa"/>
            <w:tcBorders>
              <w:top w:val="nil"/>
              <w:left w:val="single" w:sz="4" w:space="0" w:color="auto"/>
              <w:bottom w:val="nil"/>
              <w:right w:val="single" w:sz="4" w:space="0" w:color="auto"/>
            </w:tcBorders>
            <w:shd w:val="clear" w:color="000000" w:fill="FFFFFF"/>
            <w:noWrap/>
            <w:hideMark/>
          </w:tcPr>
          <w:p w14:paraId="57D87966" w14:textId="77777777" w:rsidR="00464DD2" w:rsidRDefault="00464DD2" w:rsidP="00150A27">
            <w:pPr>
              <w:jc w:val="right"/>
              <w:rPr>
                <w:rFonts w:ascii="Verdana" w:hAnsi="Verdana" w:cs="Calibri"/>
                <w:sz w:val="16"/>
                <w:szCs w:val="16"/>
              </w:rPr>
            </w:pPr>
            <w:r>
              <w:rPr>
                <w:rFonts w:ascii="Verdana" w:hAnsi="Verdana" w:cs="Calibri"/>
                <w:sz w:val="16"/>
                <w:szCs w:val="16"/>
              </w:rPr>
              <w:t xml:space="preserve">0 </w:t>
            </w:r>
          </w:p>
        </w:tc>
        <w:tc>
          <w:tcPr>
            <w:tcW w:w="3240" w:type="dxa"/>
            <w:tcBorders>
              <w:top w:val="nil"/>
              <w:left w:val="nil"/>
              <w:bottom w:val="nil"/>
              <w:right w:val="nil"/>
            </w:tcBorders>
            <w:shd w:val="clear" w:color="000000" w:fill="FFFFFF"/>
            <w:noWrap/>
            <w:hideMark/>
          </w:tcPr>
          <w:p w14:paraId="26B616D9" w14:textId="77777777" w:rsidR="00464DD2" w:rsidRDefault="00464DD2" w:rsidP="00150A27">
            <w:pPr>
              <w:rPr>
                <w:rFonts w:ascii="Verdana" w:hAnsi="Verdana" w:cs="Calibri"/>
                <w:sz w:val="16"/>
                <w:szCs w:val="16"/>
              </w:rPr>
            </w:pPr>
            <w:r>
              <w:rPr>
                <w:rFonts w:ascii="Verdana" w:hAnsi="Verdana" w:cs="Calibri"/>
                <w:sz w:val="16"/>
                <w:szCs w:val="16"/>
              </w:rPr>
              <w:t>Expenditure</w:t>
            </w:r>
          </w:p>
        </w:tc>
        <w:tc>
          <w:tcPr>
            <w:tcW w:w="1460" w:type="dxa"/>
            <w:tcBorders>
              <w:top w:val="nil"/>
              <w:left w:val="single" w:sz="4" w:space="0" w:color="auto"/>
              <w:bottom w:val="nil"/>
              <w:right w:val="single" w:sz="4" w:space="0" w:color="auto"/>
            </w:tcBorders>
            <w:shd w:val="clear" w:color="000000" w:fill="FFFFFF"/>
            <w:noWrap/>
            <w:hideMark/>
          </w:tcPr>
          <w:p w14:paraId="32973FAD" w14:textId="77777777" w:rsidR="00464DD2" w:rsidRDefault="00464DD2" w:rsidP="00150A27">
            <w:pPr>
              <w:jc w:val="right"/>
              <w:rPr>
                <w:rFonts w:ascii="Verdana" w:hAnsi="Verdana" w:cs="Calibri"/>
                <w:sz w:val="16"/>
                <w:szCs w:val="16"/>
              </w:rPr>
            </w:pPr>
            <w:r>
              <w:rPr>
                <w:rFonts w:ascii="Verdana" w:hAnsi="Verdana" w:cs="Calibri"/>
                <w:sz w:val="16"/>
                <w:szCs w:val="16"/>
              </w:rPr>
              <w:t xml:space="preserve">0 </w:t>
            </w:r>
          </w:p>
        </w:tc>
      </w:tr>
      <w:tr w:rsidR="00464DD2" w14:paraId="6E68BF3A" w14:textId="77777777" w:rsidTr="00150A27">
        <w:trPr>
          <w:trHeight w:val="290"/>
        </w:trPr>
        <w:tc>
          <w:tcPr>
            <w:tcW w:w="1360" w:type="dxa"/>
            <w:tcBorders>
              <w:top w:val="nil"/>
              <w:left w:val="single" w:sz="4" w:space="0" w:color="auto"/>
              <w:bottom w:val="nil"/>
              <w:right w:val="single" w:sz="4" w:space="0" w:color="auto"/>
            </w:tcBorders>
            <w:shd w:val="clear" w:color="000000" w:fill="FFFFFF"/>
            <w:noWrap/>
            <w:hideMark/>
          </w:tcPr>
          <w:p w14:paraId="19F9383D" w14:textId="77777777" w:rsidR="00464DD2" w:rsidRDefault="00464DD2" w:rsidP="00150A27">
            <w:pPr>
              <w:jc w:val="right"/>
              <w:rPr>
                <w:rFonts w:ascii="Verdana" w:hAnsi="Verdana" w:cs="Calibri"/>
                <w:sz w:val="16"/>
                <w:szCs w:val="16"/>
              </w:rPr>
            </w:pPr>
            <w:r>
              <w:rPr>
                <w:rFonts w:ascii="Verdana" w:hAnsi="Verdana" w:cs="Calibri"/>
                <w:sz w:val="16"/>
                <w:szCs w:val="16"/>
              </w:rPr>
              <w:t xml:space="preserve">380 </w:t>
            </w:r>
          </w:p>
        </w:tc>
        <w:tc>
          <w:tcPr>
            <w:tcW w:w="3240" w:type="dxa"/>
            <w:tcBorders>
              <w:top w:val="nil"/>
              <w:left w:val="nil"/>
              <w:bottom w:val="nil"/>
              <w:right w:val="nil"/>
            </w:tcBorders>
            <w:shd w:val="clear" w:color="000000" w:fill="FFFFFF"/>
            <w:noWrap/>
            <w:hideMark/>
          </w:tcPr>
          <w:p w14:paraId="08EF2CA4" w14:textId="77777777" w:rsidR="00464DD2" w:rsidRDefault="00464DD2" w:rsidP="00150A27">
            <w:pPr>
              <w:rPr>
                <w:rFonts w:ascii="Verdana" w:hAnsi="Verdana" w:cs="Calibri"/>
                <w:sz w:val="16"/>
                <w:szCs w:val="16"/>
              </w:rPr>
            </w:pPr>
            <w:r>
              <w:rPr>
                <w:rFonts w:ascii="Verdana" w:hAnsi="Verdana" w:cs="Calibri"/>
                <w:sz w:val="16"/>
                <w:szCs w:val="16"/>
              </w:rPr>
              <w:t>Income</w:t>
            </w:r>
          </w:p>
        </w:tc>
        <w:tc>
          <w:tcPr>
            <w:tcW w:w="1460" w:type="dxa"/>
            <w:tcBorders>
              <w:top w:val="nil"/>
              <w:left w:val="single" w:sz="4" w:space="0" w:color="auto"/>
              <w:bottom w:val="nil"/>
              <w:right w:val="single" w:sz="4" w:space="0" w:color="auto"/>
            </w:tcBorders>
            <w:shd w:val="clear" w:color="000000" w:fill="FFFFFF"/>
            <w:noWrap/>
            <w:hideMark/>
          </w:tcPr>
          <w:p w14:paraId="5A90570F" w14:textId="77777777" w:rsidR="00464DD2" w:rsidRDefault="00464DD2" w:rsidP="00150A27">
            <w:pPr>
              <w:jc w:val="right"/>
              <w:rPr>
                <w:rFonts w:ascii="Verdana" w:hAnsi="Verdana" w:cs="Calibri"/>
                <w:sz w:val="16"/>
                <w:szCs w:val="16"/>
              </w:rPr>
            </w:pPr>
            <w:r>
              <w:rPr>
                <w:rFonts w:ascii="Verdana" w:hAnsi="Verdana" w:cs="Calibri"/>
                <w:sz w:val="16"/>
                <w:szCs w:val="16"/>
              </w:rPr>
              <w:t xml:space="preserve">298 </w:t>
            </w:r>
          </w:p>
        </w:tc>
      </w:tr>
      <w:tr w:rsidR="00464DD2" w14:paraId="4A5418FC" w14:textId="77777777" w:rsidTr="00150A27">
        <w:trPr>
          <w:trHeight w:val="290"/>
        </w:trPr>
        <w:tc>
          <w:tcPr>
            <w:tcW w:w="1360" w:type="dxa"/>
            <w:tcBorders>
              <w:top w:val="nil"/>
              <w:left w:val="single" w:sz="4" w:space="0" w:color="auto"/>
              <w:bottom w:val="nil"/>
              <w:right w:val="single" w:sz="4" w:space="0" w:color="auto"/>
            </w:tcBorders>
            <w:shd w:val="clear" w:color="000000" w:fill="FFFFFF"/>
            <w:noWrap/>
            <w:hideMark/>
          </w:tcPr>
          <w:p w14:paraId="437CF9AC" w14:textId="77777777" w:rsidR="00464DD2" w:rsidRDefault="00464DD2" w:rsidP="00150A27">
            <w:pPr>
              <w:jc w:val="right"/>
              <w:rPr>
                <w:rFonts w:ascii="Verdana" w:hAnsi="Verdana" w:cs="Calibri"/>
                <w:sz w:val="16"/>
                <w:szCs w:val="16"/>
              </w:rPr>
            </w:pPr>
            <w:r>
              <w:rPr>
                <w:rFonts w:ascii="Verdana" w:hAnsi="Verdana" w:cs="Calibri"/>
                <w:sz w:val="16"/>
                <w:szCs w:val="16"/>
              </w:rPr>
              <w:t xml:space="preserve">97 </w:t>
            </w:r>
          </w:p>
        </w:tc>
        <w:tc>
          <w:tcPr>
            <w:tcW w:w="3240" w:type="dxa"/>
            <w:tcBorders>
              <w:top w:val="nil"/>
              <w:left w:val="nil"/>
              <w:bottom w:val="nil"/>
              <w:right w:val="nil"/>
            </w:tcBorders>
            <w:shd w:val="clear" w:color="000000" w:fill="FFFFFF"/>
            <w:noWrap/>
            <w:hideMark/>
          </w:tcPr>
          <w:p w14:paraId="2C832104" w14:textId="77777777" w:rsidR="00464DD2" w:rsidRDefault="00464DD2" w:rsidP="00150A27">
            <w:pPr>
              <w:rPr>
                <w:rFonts w:ascii="Verdana" w:hAnsi="Verdana" w:cs="Calibri"/>
                <w:sz w:val="16"/>
                <w:szCs w:val="16"/>
              </w:rPr>
            </w:pPr>
            <w:r>
              <w:rPr>
                <w:rFonts w:ascii="Verdana" w:hAnsi="Verdana" w:cs="Calibri"/>
                <w:sz w:val="16"/>
                <w:szCs w:val="16"/>
              </w:rPr>
              <w:t>Debtors</w:t>
            </w:r>
          </w:p>
        </w:tc>
        <w:tc>
          <w:tcPr>
            <w:tcW w:w="1460" w:type="dxa"/>
            <w:tcBorders>
              <w:top w:val="nil"/>
              <w:left w:val="single" w:sz="4" w:space="0" w:color="auto"/>
              <w:bottom w:val="nil"/>
              <w:right w:val="single" w:sz="4" w:space="0" w:color="auto"/>
            </w:tcBorders>
            <w:shd w:val="clear" w:color="000000" w:fill="FFFFFF"/>
            <w:noWrap/>
            <w:hideMark/>
          </w:tcPr>
          <w:p w14:paraId="3D964EA6" w14:textId="77777777" w:rsidR="00464DD2" w:rsidRDefault="00464DD2" w:rsidP="00150A27">
            <w:pPr>
              <w:jc w:val="right"/>
              <w:rPr>
                <w:rFonts w:ascii="Verdana" w:hAnsi="Verdana" w:cs="Calibri"/>
                <w:sz w:val="16"/>
                <w:szCs w:val="16"/>
              </w:rPr>
            </w:pPr>
            <w:r>
              <w:rPr>
                <w:rFonts w:ascii="Verdana" w:hAnsi="Verdana" w:cs="Calibri"/>
                <w:sz w:val="16"/>
                <w:szCs w:val="16"/>
              </w:rPr>
              <w:t xml:space="preserve">204 </w:t>
            </w:r>
          </w:p>
        </w:tc>
      </w:tr>
      <w:tr w:rsidR="00464DD2" w14:paraId="3EB7A572" w14:textId="77777777" w:rsidTr="00150A27">
        <w:trPr>
          <w:trHeight w:val="290"/>
        </w:trPr>
        <w:tc>
          <w:tcPr>
            <w:tcW w:w="1360" w:type="dxa"/>
            <w:tcBorders>
              <w:top w:val="nil"/>
              <w:left w:val="single" w:sz="4" w:space="0" w:color="auto"/>
              <w:bottom w:val="nil"/>
              <w:right w:val="single" w:sz="4" w:space="0" w:color="auto"/>
            </w:tcBorders>
            <w:shd w:val="clear" w:color="000000" w:fill="FFFFFF"/>
            <w:noWrap/>
            <w:hideMark/>
          </w:tcPr>
          <w:p w14:paraId="174F5DDB" w14:textId="77777777" w:rsidR="00464DD2" w:rsidRDefault="00464DD2" w:rsidP="00150A27">
            <w:pPr>
              <w:jc w:val="right"/>
              <w:rPr>
                <w:rFonts w:ascii="Verdana" w:hAnsi="Verdana" w:cs="Calibri"/>
                <w:sz w:val="16"/>
                <w:szCs w:val="16"/>
              </w:rPr>
            </w:pPr>
            <w:r>
              <w:rPr>
                <w:rFonts w:ascii="Verdana" w:hAnsi="Verdana" w:cs="Calibri"/>
                <w:sz w:val="16"/>
                <w:szCs w:val="16"/>
              </w:rPr>
              <w:t xml:space="preserve">0 </w:t>
            </w:r>
          </w:p>
        </w:tc>
        <w:tc>
          <w:tcPr>
            <w:tcW w:w="3240" w:type="dxa"/>
            <w:tcBorders>
              <w:top w:val="nil"/>
              <w:left w:val="nil"/>
              <w:bottom w:val="nil"/>
              <w:right w:val="nil"/>
            </w:tcBorders>
            <w:shd w:val="clear" w:color="000000" w:fill="FFFFFF"/>
            <w:noWrap/>
            <w:hideMark/>
          </w:tcPr>
          <w:p w14:paraId="5AD05A06" w14:textId="77777777" w:rsidR="00464DD2" w:rsidRDefault="00464DD2" w:rsidP="00150A27">
            <w:pPr>
              <w:rPr>
                <w:rFonts w:ascii="Verdana" w:hAnsi="Verdana" w:cs="Calibri"/>
                <w:sz w:val="16"/>
                <w:szCs w:val="16"/>
              </w:rPr>
            </w:pPr>
            <w:r>
              <w:rPr>
                <w:rFonts w:ascii="Verdana" w:hAnsi="Verdana" w:cs="Calibri"/>
                <w:sz w:val="16"/>
                <w:szCs w:val="16"/>
              </w:rPr>
              <w:t>Creditors</w:t>
            </w:r>
          </w:p>
        </w:tc>
        <w:tc>
          <w:tcPr>
            <w:tcW w:w="1460" w:type="dxa"/>
            <w:tcBorders>
              <w:top w:val="nil"/>
              <w:left w:val="single" w:sz="4" w:space="0" w:color="auto"/>
              <w:bottom w:val="nil"/>
              <w:right w:val="single" w:sz="4" w:space="0" w:color="auto"/>
            </w:tcBorders>
            <w:shd w:val="clear" w:color="000000" w:fill="FFFFFF"/>
            <w:noWrap/>
            <w:hideMark/>
          </w:tcPr>
          <w:p w14:paraId="061A6C41" w14:textId="77777777" w:rsidR="00464DD2" w:rsidRDefault="00464DD2" w:rsidP="00150A27">
            <w:pPr>
              <w:jc w:val="right"/>
              <w:rPr>
                <w:rFonts w:ascii="Verdana" w:hAnsi="Verdana" w:cs="Calibri"/>
                <w:sz w:val="16"/>
                <w:szCs w:val="16"/>
              </w:rPr>
            </w:pPr>
            <w:r>
              <w:rPr>
                <w:rFonts w:ascii="Verdana" w:hAnsi="Verdana" w:cs="Calibri"/>
                <w:sz w:val="16"/>
                <w:szCs w:val="16"/>
              </w:rPr>
              <w:t xml:space="preserve">0 </w:t>
            </w:r>
          </w:p>
        </w:tc>
      </w:tr>
      <w:tr w:rsidR="00464DD2" w14:paraId="6D370FD6" w14:textId="77777777" w:rsidTr="00150A27">
        <w:trPr>
          <w:trHeight w:val="290"/>
        </w:trPr>
        <w:tc>
          <w:tcPr>
            <w:tcW w:w="1360" w:type="dxa"/>
            <w:tcBorders>
              <w:top w:val="nil"/>
              <w:left w:val="single" w:sz="4" w:space="0" w:color="auto"/>
              <w:bottom w:val="single" w:sz="4" w:space="0" w:color="auto"/>
              <w:right w:val="single" w:sz="4" w:space="0" w:color="auto"/>
            </w:tcBorders>
            <w:shd w:val="clear" w:color="000000" w:fill="FFFFFF"/>
            <w:noWrap/>
            <w:hideMark/>
          </w:tcPr>
          <w:p w14:paraId="2652EA38" w14:textId="77777777" w:rsidR="00464DD2" w:rsidRDefault="00464DD2" w:rsidP="00150A27">
            <w:pPr>
              <w:jc w:val="right"/>
              <w:rPr>
                <w:rFonts w:ascii="Verdana" w:hAnsi="Verdana" w:cs="Calibri"/>
                <w:sz w:val="16"/>
                <w:szCs w:val="16"/>
              </w:rPr>
            </w:pPr>
            <w:r>
              <w:rPr>
                <w:rFonts w:ascii="Verdana" w:hAnsi="Verdana" w:cs="Calibri"/>
                <w:sz w:val="16"/>
                <w:szCs w:val="16"/>
              </w:rPr>
              <w:t xml:space="preserve">0 </w:t>
            </w:r>
          </w:p>
        </w:tc>
        <w:tc>
          <w:tcPr>
            <w:tcW w:w="3240" w:type="dxa"/>
            <w:tcBorders>
              <w:top w:val="nil"/>
              <w:left w:val="nil"/>
              <w:bottom w:val="single" w:sz="4" w:space="0" w:color="auto"/>
              <w:right w:val="nil"/>
            </w:tcBorders>
            <w:shd w:val="clear" w:color="000000" w:fill="FFFFFF"/>
            <w:noWrap/>
            <w:hideMark/>
          </w:tcPr>
          <w:p w14:paraId="55F03E15" w14:textId="77777777" w:rsidR="00464DD2" w:rsidRDefault="00464DD2" w:rsidP="00150A27">
            <w:pPr>
              <w:rPr>
                <w:rFonts w:ascii="Verdana" w:hAnsi="Verdana" w:cs="Calibri"/>
                <w:sz w:val="16"/>
                <w:szCs w:val="16"/>
              </w:rPr>
            </w:pPr>
            <w:r>
              <w:rPr>
                <w:rFonts w:ascii="Verdana" w:hAnsi="Verdana" w:cs="Calibri"/>
                <w:sz w:val="16"/>
                <w:szCs w:val="16"/>
              </w:rPr>
              <w:t>Borrowings</w:t>
            </w:r>
          </w:p>
        </w:tc>
        <w:tc>
          <w:tcPr>
            <w:tcW w:w="1460" w:type="dxa"/>
            <w:tcBorders>
              <w:top w:val="nil"/>
              <w:left w:val="single" w:sz="4" w:space="0" w:color="auto"/>
              <w:bottom w:val="single" w:sz="4" w:space="0" w:color="auto"/>
              <w:right w:val="single" w:sz="4" w:space="0" w:color="auto"/>
            </w:tcBorders>
            <w:shd w:val="clear" w:color="000000" w:fill="FFFFFF"/>
            <w:noWrap/>
            <w:hideMark/>
          </w:tcPr>
          <w:p w14:paraId="7C8AA05D" w14:textId="77777777" w:rsidR="00464DD2" w:rsidRDefault="00464DD2" w:rsidP="00150A27">
            <w:pPr>
              <w:jc w:val="right"/>
              <w:rPr>
                <w:rFonts w:ascii="Verdana" w:hAnsi="Verdana" w:cs="Calibri"/>
                <w:sz w:val="16"/>
                <w:szCs w:val="16"/>
              </w:rPr>
            </w:pPr>
            <w:r>
              <w:rPr>
                <w:rFonts w:ascii="Verdana" w:hAnsi="Verdana" w:cs="Calibri"/>
                <w:sz w:val="16"/>
                <w:szCs w:val="16"/>
              </w:rPr>
              <w:t xml:space="preserve">0 </w:t>
            </w:r>
          </w:p>
        </w:tc>
      </w:tr>
      <w:tr w:rsidR="00464DD2" w14:paraId="0C2B127A" w14:textId="77777777" w:rsidTr="00150A27">
        <w:trPr>
          <w:trHeight w:val="290"/>
        </w:trPr>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14:paraId="74676EEA" w14:textId="77777777" w:rsidR="00464DD2" w:rsidRDefault="00464DD2" w:rsidP="00150A27">
            <w:pPr>
              <w:jc w:val="right"/>
              <w:rPr>
                <w:rFonts w:ascii="Calibri" w:hAnsi="Calibri" w:cs="Calibri"/>
                <w:color w:val="000000"/>
                <w:sz w:val="22"/>
                <w:szCs w:val="22"/>
              </w:rPr>
            </w:pPr>
            <w:r>
              <w:rPr>
                <w:rFonts w:ascii="Calibri" w:hAnsi="Calibri" w:cs="Calibri"/>
                <w:color w:val="000000"/>
                <w:sz w:val="22"/>
                <w:szCs w:val="22"/>
              </w:rPr>
              <w:t xml:space="preserve">477 </w:t>
            </w:r>
          </w:p>
        </w:tc>
        <w:tc>
          <w:tcPr>
            <w:tcW w:w="3240" w:type="dxa"/>
            <w:tcBorders>
              <w:top w:val="nil"/>
              <w:left w:val="nil"/>
              <w:bottom w:val="single" w:sz="4" w:space="0" w:color="auto"/>
              <w:right w:val="single" w:sz="4" w:space="0" w:color="auto"/>
            </w:tcBorders>
            <w:shd w:val="clear" w:color="000000" w:fill="FFFFFF"/>
            <w:noWrap/>
            <w:vAlign w:val="bottom"/>
            <w:hideMark/>
          </w:tcPr>
          <w:p w14:paraId="3F16EFAF" w14:textId="77777777" w:rsidR="00464DD2" w:rsidRDefault="00464DD2" w:rsidP="00150A27">
            <w:pPr>
              <w:rPr>
                <w:rFonts w:ascii="Calibri" w:hAnsi="Calibri" w:cs="Calibri"/>
                <w:b/>
                <w:bCs/>
                <w:color w:val="000000"/>
                <w:sz w:val="22"/>
                <w:szCs w:val="22"/>
              </w:rPr>
            </w:pPr>
            <w:r>
              <w:rPr>
                <w:rFonts w:ascii="Calibri" w:hAnsi="Calibri" w:cs="Calibri"/>
                <w:b/>
                <w:bCs/>
                <w:color w:val="000000"/>
                <w:sz w:val="22"/>
                <w:szCs w:val="22"/>
              </w:rPr>
              <w:t>Total</w:t>
            </w:r>
          </w:p>
        </w:tc>
        <w:tc>
          <w:tcPr>
            <w:tcW w:w="1460" w:type="dxa"/>
            <w:tcBorders>
              <w:top w:val="nil"/>
              <w:left w:val="nil"/>
              <w:bottom w:val="single" w:sz="4" w:space="0" w:color="auto"/>
              <w:right w:val="single" w:sz="4" w:space="0" w:color="auto"/>
            </w:tcBorders>
            <w:shd w:val="clear" w:color="000000" w:fill="FFFFFF"/>
            <w:noWrap/>
            <w:vAlign w:val="bottom"/>
            <w:hideMark/>
          </w:tcPr>
          <w:p w14:paraId="6DF5DCF8" w14:textId="77777777" w:rsidR="00464DD2" w:rsidRDefault="00464DD2" w:rsidP="00150A27">
            <w:pPr>
              <w:jc w:val="right"/>
              <w:rPr>
                <w:rFonts w:ascii="Calibri" w:hAnsi="Calibri" w:cs="Calibri"/>
                <w:color w:val="000000"/>
                <w:sz w:val="22"/>
                <w:szCs w:val="22"/>
              </w:rPr>
            </w:pPr>
            <w:r>
              <w:rPr>
                <w:rFonts w:ascii="Calibri" w:hAnsi="Calibri" w:cs="Calibri"/>
                <w:color w:val="000000"/>
                <w:sz w:val="22"/>
                <w:szCs w:val="22"/>
              </w:rPr>
              <w:t xml:space="preserve">502 </w:t>
            </w:r>
          </w:p>
        </w:tc>
      </w:tr>
    </w:tbl>
    <w:p w14:paraId="6B7099E0" w14:textId="5E78483A" w:rsidR="00464DD2" w:rsidRDefault="00464DD2" w:rsidP="00464DD2">
      <w:pPr>
        <w:rPr>
          <w:rFonts w:ascii="Arial" w:hAnsi="Arial" w:cs="Arial"/>
        </w:rPr>
      </w:pPr>
    </w:p>
    <w:p w14:paraId="4777BB3A" w14:textId="575677F6" w:rsidR="00AC7857" w:rsidRDefault="00AC7857" w:rsidP="00464DD2">
      <w:pPr>
        <w:rPr>
          <w:rFonts w:ascii="Arial" w:hAnsi="Arial" w:cs="Arial"/>
        </w:rPr>
      </w:pPr>
    </w:p>
    <w:p w14:paraId="2B44F4AE" w14:textId="77777777" w:rsidR="00AC7857" w:rsidRDefault="00AC7857" w:rsidP="00464DD2">
      <w:pPr>
        <w:rPr>
          <w:rFonts w:ascii="Arial" w:hAnsi="Arial" w:cs="Arial"/>
        </w:rPr>
      </w:pPr>
    </w:p>
    <w:p w14:paraId="04E010E6" w14:textId="77777777" w:rsidR="00464DD2" w:rsidRDefault="00464DD2" w:rsidP="000E09F5">
      <w:pPr>
        <w:pStyle w:val="Heading4bold"/>
        <w:spacing w:after="0"/>
      </w:pPr>
      <w:r w:rsidRPr="00741CBC">
        <w:lastRenderedPageBreak/>
        <w:t>GMP</w:t>
      </w:r>
    </w:p>
    <w:p w14:paraId="22F4EEAB" w14:textId="77777777" w:rsidR="00464DD2" w:rsidRDefault="00464DD2" w:rsidP="000E09F5">
      <w:pPr>
        <w:rPr>
          <w:rFonts w:ascii="Arial" w:hAnsi="Arial" w:cs="Arial"/>
        </w:rPr>
      </w:pPr>
      <w:r w:rsidRPr="008E5C10">
        <w:rPr>
          <w:rFonts w:ascii="Arial" w:hAnsi="Arial" w:cs="Arial"/>
        </w:rPr>
        <w:t xml:space="preserve">The following entities are consolidated within the GMCA group accounts; the Chief Constable of Greater Manchester, NW Evergreen Holdings Limited Partnership, Greater Manchester Evergreen 2 Limited Partnership and Greater Manchester Fund of Funds Limited Partnership. No transactions took place between </w:t>
      </w:r>
      <w:r>
        <w:rPr>
          <w:rFonts w:ascii="Arial" w:hAnsi="Arial" w:cs="Arial"/>
        </w:rPr>
        <w:t>GMP</w:t>
      </w:r>
      <w:r w:rsidRPr="008E5C10">
        <w:rPr>
          <w:rFonts w:ascii="Arial" w:hAnsi="Arial" w:cs="Arial"/>
        </w:rPr>
        <w:t xml:space="preserve"> and any of these entities.</w:t>
      </w:r>
    </w:p>
    <w:p w14:paraId="2974E8EB" w14:textId="77777777" w:rsidR="00464DD2" w:rsidRPr="00741CBC" w:rsidRDefault="00464DD2" w:rsidP="00464DD2">
      <w:pPr>
        <w:rPr>
          <w:rFonts w:ascii="Arial" w:hAnsi="Arial" w:cs="Arial"/>
        </w:rPr>
      </w:pPr>
    </w:p>
    <w:p w14:paraId="05184E33" w14:textId="77777777" w:rsidR="00464DD2" w:rsidRDefault="00464DD2" w:rsidP="00464DD2">
      <w:pPr>
        <w:pStyle w:val="Heading4bold"/>
      </w:pPr>
      <w:r>
        <w:t xml:space="preserve">Senior Police officers and Senior Employees  </w:t>
      </w:r>
    </w:p>
    <w:p w14:paraId="107CB14E" w14:textId="77777777" w:rsidR="00464DD2" w:rsidRPr="008F61D1" w:rsidRDefault="00464DD2" w:rsidP="00464DD2">
      <w:pPr>
        <w:jc w:val="both"/>
        <w:rPr>
          <w:rFonts w:ascii="Arial" w:hAnsi="Arial" w:cs="Arial"/>
        </w:rPr>
      </w:pPr>
      <w:r w:rsidRPr="008F61D1">
        <w:rPr>
          <w:rFonts w:ascii="Arial" w:hAnsi="Arial" w:cs="Arial"/>
        </w:rPr>
        <w:t xml:space="preserve">Senior officers and staff were asked to declare any material, financial transactions with the Chief Constable by themselves, by their close family, or by any organisation in which they or their close family have a controlling interest. </w:t>
      </w:r>
    </w:p>
    <w:p w14:paraId="1AAAA859" w14:textId="77777777" w:rsidR="00464DD2" w:rsidRPr="008F61D1" w:rsidRDefault="00464DD2" w:rsidP="00464DD2">
      <w:pPr>
        <w:jc w:val="both"/>
        <w:rPr>
          <w:rFonts w:ascii="Arial" w:hAnsi="Arial" w:cs="Arial"/>
        </w:rPr>
      </w:pPr>
    </w:p>
    <w:p w14:paraId="20091BDA" w14:textId="77777777" w:rsidR="00464DD2" w:rsidRPr="008F61D1" w:rsidRDefault="00464DD2" w:rsidP="00464DD2">
      <w:pPr>
        <w:jc w:val="both"/>
        <w:rPr>
          <w:rFonts w:ascii="Arial" w:hAnsi="Arial" w:cs="Arial"/>
        </w:rPr>
      </w:pPr>
      <w:r w:rsidRPr="008F61D1">
        <w:rPr>
          <w:rFonts w:ascii="Arial" w:hAnsi="Arial" w:cs="Arial"/>
        </w:rPr>
        <w:t>During 2021/22 Odd Arts, a registered charity of which an Assistant Chief Constable is a Trustee, was awarded funding for £1,500 (3 were awarded in 2020/21 totalling £5,000). The charity works with young people in Greater Manchester who are at risk of getting involved in criminality. The Assistant Chief Constable did not take part in any discussion, decision or administration relating to the funding award.</w:t>
      </w:r>
    </w:p>
    <w:p w14:paraId="187E328B" w14:textId="77777777" w:rsidR="00464DD2" w:rsidRPr="008F61D1" w:rsidRDefault="00464DD2" w:rsidP="00464DD2">
      <w:pPr>
        <w:jc w:val="both"/>
        <w:rPr>
          <w:rFonts w:ascii="Arial" w:hAnsi="Arial" w:cs="Arial"/>
        </w:rPr>
      </w:pPr>
    </w:p>
    <w:p w14:paraId="3C65C8C0" w14:textId="77777777" w:rsidR="00464DD2" w:rsidRPr="008F61D1" w:rsidRDefault="00464DD2" w:rsidP="00464DD2">
      <w:pPr>
        <w:jc w:val="both"/>
        <w:rPr>
          <w:rFonts w:ascii="Arial" w:hAnsi="Arial" w:cs="Arial"/>
        </w:rPr>
      </w:pPr>
      <w:r w:rsidRPr="008F61D1">
        <w:rPr>
          <w:rFonts w:ascii="Arial" w:hAnsi="Arial" w:cs="Arial"/>
        </w:rPr>
        <w:t>A payment for 9 annual insurance levies totalling £23,850 was made to the Chief Police Officers Staff Association during 2021/22, of which an Assistant Chief Officer is a Director and Secretary. The organisation arranges the legal expenses insurance for Chief Police Officers and staff. The Assistant Chief Officer did not take part in any discussion, decision or administration relating to the payments. This was not a related party in 2020/21 because the Assistant Chief Officer was appointed in 2022.</w:t>
      </w:r>
    </w:p>
    <w:p w14:paraId="19C42A12" w14:textId="77777777" w:rsidR="00464DD2" w:rsidRPr="00431F6F" w:rsidRDefault="00464DD2" w:rsidP="00795BE0">
      <w:pPr>
        <w:rPr>
          <w:rFonts w:ascii="Arial" w:eastAsia="Palatino Linotype" w:hAnsi="Arial"/>
          <w:b/>
          <w:lang w:val="en-US"/>
        </w:rPr>
      </w:pPr>
    </w:p>
    <w:p w14:paraId="34ECD9E1" w14:textId="3F879AA6" w:rsidR="0010781E" w:rsidRDefault="0010781E">
      <w:pPr>
        <w:rPr>
          <w:rFonts w:ascii="Arial" w:eastAsia="Palatino Linotype" w:hAnsi="Arial" w:cs="Arial"/>
          <w:b/>
          <w:bCs/>
          <w:szCs w:val="28"/>
          <w:lang w:val="en-US"/>
        </w:rPr>
      </w:pPr>
      <w:bookmarkStart w:id="335" w:name="_Toc109922690"/>
    </w:p>
    <w:p w14:paraId="2D8CEF4D" w14:textId="4B5C4D64" w:rsidR="00795BE0" w:rsidRPr="00B11466" w:rsidRDefault="00795BE0" w:rsidP="00795BE0">
      <w:pPr>
        <w:pStyle w:val="Heading3greennumbered"/>
      </w:pPr>
      <w:r w:rsidRPr="00B11466">
        <w:t>5</w:t>
      </w:r>
      <w:r w:rsidR="008633CA">
        <w:t>9</w:t>
      </w:r>
      <w:r w:rsidRPr="00B11466">
        <w:t>a Group Cash Flow Statement - Adjustments to Net Cash Flows from Operating Activities</w:t>
      </w:r>
      <w:bookmarkEnd w:id="333"/>
      <w:bookmarkEnd w:id="334"/>
      <w:bookmarkEnd w:id="335"/>
    </w:p>
    <w:p w14:paraId="12C52415" w14:textId="77777777" w:rsidR="00795BE0" w:rsidRPr="0007572B" w:rsidRDefault="00795BE0" w:rsidP="00795BE0">
      <w:pPr>
        <w:rPr>
          <w:rFonts w:ascii="Arial" w:hAnsi="Arial" w:cs="Arial"/>
        </w:rPr>
      </w:pPr>
    </w:p>
    <w:p w14:paraId="3005FB91" w14:textId="5432D1A7" w:rsidR="00795BE0" w:rsidRDefault="00795BE0" w:rsidP="00795BE0">
      <w:pPr>
        <w:rPr>
          <w:rFonts w:ascii="Arial" w:hAnsi="Arial" w:cs="Arial"/>
        </w:rPr>
      </w:pPr>
      <w:r w:rsidRPr="0007572B">
        <w:rPr>
          <w:rFonts w:ascii="Arial" w:hAnsi="Arial" w:cs="Arial"/>
        </w:rPr>
        <w:t>The cash flows for operating activities include the following items:</w:t>
      </w:r>
    </w:p>
    <w:p w14:paraId="59AAA96E" w14:textId="77777777" w:rsidR="0028331C" w:rsidRDefault="0028331C" w:rsidP="00795BE0">
      <w:pPr>
        <w:rPr>
          <w:rFonts w:ascii="Arial" w:hAnsi="Arial" w:cs="Arial"/>
        </w:rPr>
      </w:pPr>
    </w:p>
    <w:p w14:paraId="3CA1D05B" w14:textId="798E5650" w:rsidR="005F02C0" w:rsidRDefault="0028331C" w:rsidP="00795BE0">
      <w:pPr>
        <w:rPr>
          <w:rFonts w:ascii="Arial" w:hAnsi="Arial" w:cs="Arial"/>
        </w:rPr>
      </w:pPr>
      <w:r w:rsidRPr="0028331C">
        <w:rPr>
          <w:noProof/>
        </w:rPr>
        <w:drawing>
          <wp:inline distT="0" distB="0" distL="0" distR="0" wp14:anchorId="5678D90D" wp14:editId="2C9F6264">
            <wp:extent cx="5497195" cy="3542030"/>
            <wp:effectExtent l="0" t="0" r="825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97195" cy="3542030"/>
                    </a:xfrm>
                    <a:prstGeom prst="rect">
                      <a:avLst/>
                    </a:prstGeom>
                    <a:noFill/>
                    <a:ln>
                      <a:noFill/>
                    </a:ln>
                  </pic:spPr>
                </pic:pic>
              </a:graphicData>
            </a:graphic>
          </wp:inline>
        </w:drawing>
      </w:r>
    </w:p>
    <w:p w14:paraId="107EF898" w14:textId="24988FF3" w:rsidR="009844DE" w:rsidRDefault="009844DE" w:rsidP="00795BE0">
      <w:pPr>
        <w:rPr>
          <w:rFonts w:ascii="Arial" w:hAnsi="Arial" w:cs="Arial"/>
        </w:rPr>
      </w:pPr>
    </w:p>
    <w:p w14:paraId="6FB8DCC5" w14:textId="58E3BAB0" w:rsidR="00795BE0" w:rsidRPr="0007572B" w:rsidRDefault="00795BE0" w:rsidP="00795BE0">
      <w:pPr>
        <w:pStyle w:val="Heading3greennumbered"/>
      </w:pPr>
      <w:bookmarkStart w:id="336" w:name="_Toc92894953"/>
      <w:bookmarkStart w:id="337" w:name="_Toc92895257"/>
      <w:bookmarkStart w:id="338" w:name="_Toc109922691"/>
      <w:r w:rsidRPr="0007572B">
        <w:lastRenderedPageBreak/>
        <w:t>5</w:t>
      </w:r>
      <w:r w:rsidR="008633CA">
        <w:t>9</w:t>
      </w:r>
      <w:r w:rsidRPr="0007572B">
        <w:t>b Group Cash Flow Statement - Investing Activities</w:t>
      </w:r>
      <w:bookmarkEnd w:id="336"/>
      <w:bookmarkEnd w:id="337"/>
      <w:bookmarkEnd w:id="338"/>
    </w:p>
    <w:p w14:paraId="21FA6F99" w14:textId="42E80A3C" w:rsidR="00795BE0" w:rsidRDefault="00795BE0" w:rsidP="00795BE0">
      <w:pPr>
        <w:rPr>
          <w:rFonts w:ascii="Arial" w:hAnsi="Arial" w:cs="Arial"/>
          <w:b/>
          <w:highlight w:val="yellow"/>
        </w:rPr>
      </w:pPr>
    </w:p>
    <w:p w14:paraId="1E710590" w14:textId="3C8A9A14" w:rsidR="00D417B7" w:rsidRDefault="0028331C" w:rsidP="00795BE0">
      <w:pPr>
        <w:rPr>
          <w:rFonts w:ascii="Arial" w:hAnsi="Arial" w:cs="Arial"/>
          <w:b/>
          <w:highlight w:val="yellow"/>
        </w:rPr>
      </w:pPr>
      <w:r w:rsidRPr="0028331C">
        <w:rPr>
          <w:noProof/>
        </w:rPr>
        <w:drawing>
          <wp:inline distT="0" distB="0" distL="0" distR="0" wp14:anchorId="5198323E" wp14:editId="208229CE">
            <wp:extent cx="5497195" cy="1219200"/>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97195" cy="1219200"/>
                    </a:xfrm>
                    <a:prstGeom prst="rect">
                      <a:avLst/>
                    </a:prstGeom>
                    <a:noFill/>
                    <a:ln>
                      <a:noFill/>
                    </a:ln>
                  </pic:spPr>
                </pic:pic>
              </a:graphicData>
            </a:graphic>
          </wp:inline>
        </w:drawing>
      </w:r>
    </w:p>
    <w:p w14:paraId="0354CBAF" w14:textId="286C5699" w:rsidR="00BA2A28" w:rsidRDefault="00BA2A28" w:rsidP="00795BE0">
      <w:pPr>
        <w:rPr>
          <w:rFonts w:ascii="Arial" w:hAnsi="Arial" w:cs="Arial"/>
          <w:b/>
          <w:highlight w:val="yellow"/>
        </w:rPr>
      </w:pPr>
    </w:p>
    <w:p w14:paraId="273A1A5A" w14:textId="7FAE388B" w:rsidR="00795BE0" w:rsidRPr="0007572B" w:rsidRDefault="00795BE0" w:rsidP="00795BE0">
      <w:pPr>
        <w:pStyle w:val="Heading3greennumbered"/>
      </w:pPr>
      <w:bookmarkStart w:id="339" w:name="_Toc92894954"/>
      <w:bookmarkStart w:id="340" w:name="_Toc92895258"/>
      <w:bookmarkStart w:id="341" w:name="_Toc109922692"/>
      <w:r w:rsidRPr="0007572B">
        <w:t>5</w:t>
      </w:r>
      <w:r w:rsidR="008633CA">
        <w:t>9</w:t>
      </w:r>
      <w:r w:rsidRPr="0007572B">
        <w:t>c Group Cash Flow Statement - Financing Activities</w:t>
      </w:r>
      <w:bookmarkEnd w:id="339"/>
      <w:bookmarkEnd w:id="340"/>
      <w:bookmarkEnd w:id="341"/>
    </w:p>
    <w:p w14:paraId="7B11AE3B" w14:textId="77777777" w:rsidR="00795BE0" w:rsidRPr="0007572B" w:rsidRDefault="00795BE0" w:rsidP="00795BE0">
      <w:pPr>
        <w:rPr>
          <w:rFonts w:ascii="Arial" w:hAnsi="Arial" w:cs="Arial"/>
          <w:b/>
        </w:rPr>
      </w:pPr>
    </w:p>
    <w:p w14:paraId="70560ED5" w14:textId="1CDA5199" w:rsidR="00795BE0" w:rsidRPr="0007572B" w:rsidRDefault="00BA2A28" w:rsidP="00795BE0">
      <w:pPr>
        <w:rPr>
          <w:rFonts w:ascii="Arial" w:hAnsi="Arial" w:cs="Arial"/>
          <w:b/>
        </w:rPr>
      </w:pPr>
      <w:r w:rsidRPr="00BA2A28">
        <w:rPr>
          <w:noProof/>
        </w:rPr>
        <w:drawing>
          <wp:inline distT="0" distB="0" distL="0" distR="0" wp14:anchorId="5AE007A7" wp14:editId="4264B4E5">
            <wp:extent cx="5991225" cy="10953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91225" cy="1095375"/>
                    </a:xfrm>
                    <a:prstGeom prst="rect">
                      <a:avLst/>
                    </a:prstGeom>
                    <a:noFill/>
                    <a:ln>
                      <a:noFill/>
                    </a:ln>
                  </pic:spPr>
                </pic:pic>
              </a:graphicData>
            </a:graphic>
          </wp:inline>
        </w:drawing>
      </w:r>
    </w:p>
    <w:p w14:paraId="517D170D" w14:textId="74A05B74" w:rsidR="00795BE0" w:rsidRDefault="00795BE0" w:rsidP="00795BE0">
      <w:pPr>
        <w:rPr>
          <w:rFonts w:ascii="Arial" w:eastAsia="Palatino Linotype" w:hAnsi="Arial" w:cs="Arial"/>
          <w:b/>
          <w:bCs/>
          <w:szCs w:val="28"/>
          <w:lang w:val="en-US"/>
        </w:rPr>
      </w:pPr>
      <w:bookmarkStart w:id="342" w:name="_Toc92894955"/>
      <w:bookmarkStart w:id="343" w:name="_Toc92895259"/>
    </w:p>
    <w:p w14:paraId="0CF237F5" w14:textId="77777777" w:rsidR="0028331C" w:rsidRDefault="0028331C" w:rsidP="00795BE0">
      <w:pPr>
        <w:rPr>
          <w:rFonts w:ascii="Arial" w:eastAsia="Palatino Linotype" w:hAnsi="Arial" w:cs="Arial"/>
          <w:b/>
          <w:bCs/>
          <w:szCs w:val="28"/>
          <w:lang w:val="en-US"/>
        </w:rPr>
      </w:pPr>
    </w:p>
    <w:p w14:paraId="46EA24CA" w14:textId="21A17112" w:rsidR="00795BE0" w:rsidRPr="00B11466" w:rsidRDefault="00795BE0" w:rsidP="00795BE0">
      <w:pPr>
        <w:pStyle w:val="Heading3greennumbered"/>
      </w:pPr>
      <w:bookmarkStart w:id="344" w:name="_Toc109922693"/>
      <w:r w:rsidRPr="00B11466">
        <w:t>5</w:t>
      </w:r>
      <w:r w:rsidR="008633CA">
        <w:t>9</w:t>
      </w:r>
      <w:r w:rsidRPr="00B11466">
        <w:t>d Group Cash Flow Statement – Reconciliation of Liabilities Arising from Financing Activities</w:t>
      </w:r>
      <w:bookmarkEnd w:id="342"/>
      <w:bookmarkEnd w:id="343"/>
      <w:bookmarkEnd w:id="344"/>
    </w:p>
    <w:p w14:paraId="1F9235C6" w14:textId="77777777" w:rsidR="00795BE0" w:rsidRDefault="00795BE0" w:rsidP="00795BE0">
      <w:pPr>
        <w:rPr>
          <w:rFonts w:ascii="Arial" w:hAnsi="Arial" w:cs="Arial"/>
          <w:b/>
        </w:rPr>
      </w:pPr>
    </w:p>
    <w:p w14:paraId="47259EFB" w14:textId="24FB8848" w:rsidR="00795BE0" w:rsidRDefault="0028331C" w:rsidP="00795BE0">
      <w:pPr>
        <w:rPr>
          <w:rFonts w:ascii="Arial" w:hAnsi="Arial" w:cs="Arial"/>
          <w:b/>
        </w:rPr>
      </w:pPr>
      <w:r w:rsidRPr="0028331C">
        <w:rPr>
          <w:noProof/>
        </w:rPr>
        <w:drawing>
          <wp:inline distT="0" distB="0" distL="0" distR="0" wp14:anchorId="64035D5B" wp14:editId="6C8570AC">
            <wp:extent cx="5975350" cy="1018540"/>
            <wp:effectExtent l="0" t="0" r="635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75350" cy="1018540"/>
                    </a:xfrm>
                    <a:prstGeom prst="rect">
                      <a:avLst/>
                    </a:prstGeom>
                    <a:noFill/>
                    <a:ln>
                      <a:noFill/>
                    </a:ln>
                  </pic:spPr>
                </pic:pic>
              </a:graphicData>
            </a:graphic>
          </wp:inline>
        </w:drawing>
      </w:r>
    </w:p>
    <w:p w14:paraId="0950E9EA" w14:textId="77777777" w:rsidR="00795BE0" w:rsidRPr="0007572B" w:rsidRDefault="00795BE0" w:rsidP="00795BE0">
      <w:pPr>
        <w:rPr>
          <w:rFonts w:ascii="Arial" w:hAnsi="Arial" w:cs="Arial"/>
          <w:b/>
        </w:rPr>
      </w:pPr>
    </w:p>
    <w:p w14:paraId="002A6A9D" w14:textId="78BA8A72" w:rsidR="00795BE0" w:rsidRPr="0007572B" w:rsidRDefault="009844DE" w:rsidP="00795B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b/>
          <w:color w:val="000000"/>
        </w:rPr>
      </w:pPr>
      <w:r w:rsidRPr="009844DE">
        <w:rPr>
          <w:noProof/>
        </w:rPr>
        <w:drawing>
          <wp:inline distT="0" distB="0" distL="0" distR="0" wp14:anchorId="1210EB9B" wp14:editId="08B57FC0">
            <wp:extent cx="5975350" cy="1012825"/>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75350" cy="1012825"/>
                    </a:xfrm>
                    <a:prstGeom prst="rect">
                      <a:avLst/>
                    </a:prstGeom>
                    <a:noFill/>
                    <a:ln>
                      <a:noFill/>
                    </a:ln>
                  </pic:spPr>
                </pic:pic>
              </a:graphicData>
            </a:graphic>
          </wp:inline>
        </w:drawing>
      </w:r>
    </w:p>
    <w:p w14:paraId="7648A9C7" w14:textId="77777777" w:rsidR="00795BE0" w:rsidRPr="0007572B" w:rsidRDefault="00795BE0" w:rsidP="00795B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b/>
          <w:color w:val="000000"/>
        </w:rPr>
      </w:pPr>
    </w:p>
    <w:p w14:paraId="5CA61F98" w14:textId="77777777" w:rsidR="00795BE0" w:rsidRPr="0007572B" w:rsidRDefault="00795BE0" w:rsidP="00795B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Arial" w:hAnsi="Arial" w:cs="Arial"/>
          <w:b/>
          <w:color w:val="000000"/>
          <w:sz w:val="22"/>
          <w:szCs w:val="22"/>
        </w:rPr>
        <w:sectPr w:rsidR="00795BE0" w:rsidRPr="0007572B" w:rsidSect="00322755">
          <w:pgSz w:w="11906" w:h="16838"/>
          <w:pgMar w:top="946" w:right="1416" w:bottom="1440" w:left="1080" w:header="283" w:footer="567" w:gutter="0"/>
          <w:cols w:space="708"/>
          <w:docGrid w:linePitch="360"/>
        </w:sectPr>
      </w:pPr>
    </w:p>
    <w:p w14:paraId="6C16EC73" w14:textId="10F3218C" w:rsidR="00795BE0" w:rsidRPr="0007572B" w:rsidRDefault="008633CA" w:rsidP="00795BE0">
      <w:pPr>
        <w:pStyle w:val="Heading3greennumbered"/>
      </w:pPr>
      <w:bookmarkStart w:id="345" w:name="_Toc92894956"/>
      <w:bookmarkStart w:id="346" w:name="_Toc92895260"/>
      <w:bookmarkStart w:id="347" w:name="_Toc109922694"/>
      <w:r>
        <w:lastRenderedPageBreak/>
        <w:t>60</w:t>
      </w:r>
      <w:r w:rsidR="00795BE0" w:rsidRPr="0007572B">
        <w:t xml:space="preserve"> Group Defined Benefit Pension Schemes</w:t>
      </w:r>
      <w:bookmarkEnd w:id="345"/>
      <w:bookmarkEnd w:id="346"/>
      <w:bookmarkEnd w:id="347"/>
    </w:p>
    <w:p w14:paraId="4679D6A3" w14:textId="77777777" w:rsidR="00795BE0" w:rsidRDefault="00795BE0" w:rsidP="00795BE0">
      <w:pPr>
        <w:rPr>
          <w:rFonts w:ascii="Arial" w:hAnsi="Arial" w:cs="Arial"/>
        </w:rPr>
      </w:pPr>
    </w:p>
    <w:p w14:paraId="4B2C038E" w14:textId="77777777" w:rsidR="00795BE0" w:rsidRPr="0007572B" w:rsidRDefault="00795BE0" w:rsidP="00795BE0">
      <w:pPr>
        <w:rPr>
          <w:rFonts w:ascii="Arial" w:hAnsi="Arial" w:cs="Arial"/>
        </w:rPr>
      </w:pPr>
      <w:r w:rsidRPr="0007572B">
        <w:rPr>
          <w:rFonts w:ascii="Arial" w:hAnsi="Arial" w:cs="Arial"/>
        </w:rPr>
        <w:t>Employees of the Group are divided between two separate defined benefit pension schemes:</w:t>
      </w:r>
    </w:p>
    <w:p w14:paraId="72913E57" w14:textId="77777777" w:rsidR="00795BE0" w:rsidRPr="0007572B" w:rsidRDefault="00795BE0" w:rsidP="00795BE0">
      <w:pPr>
        <w:rPr>
          <w:rFonts w:ascii="Arial" w:hAnsi="Arial" w:cs="Arial"/>
        </w:rPr>
      </w:pPr>
    </w:p>
    <w:p w14:paraId="4911950D" w14:textId="77777777" w:rsidR="00795BE0" w:rsidRPr="0007572B" w:rsidRDefault="00795BE0" w:rsidP="00795BE0">
      <w:pPr>
        <w:rPr>
          <w:rFonts w:ascii="Arial" w:hAnsi="Arial" w:cs="Arial"/>
        </w:rPr>
      </w:pPr>
      <w:r w:rsidRPr="0007572B">
        <w:rPr>
          <w:rFonts w:ascii="Arial" w:hAnsi="Arial" w:cs="Arial"/>
          <w:b/>
        </w:rPr>
        <w:t xml:space="preserve">The </w:t>
      </w:r>
      <w:r>
        <w:rPr>
          <w:rFonts w:ascii="Arial" w:hAnsi="Arial" w:cs="Arial"/>
          <w:b/>
        </w:rPr>
        <w:t xml:space="preserve">Fire Service Pension Scheme and the </w:t>
      </w:r>
      <w:r w:rsidRPr="0007572B">
        <w:rPr>
          <w:rFonts w:ascii="Arial" w:hAnsi="Arial" w:cs="Arial"/>
          <w:b/>
        </w:rPr>
        <w:t>Police Service Pension Scheme</w:t>
      </w:r>
      <w:r w:rsidRPr="0007572B">
        <w:rPr>
          <w:rFonts w:ascii="Arial" w:hAnsi="Arial" w:cs="Arial"/>
        </w:rPr>
        <w:t xml:space="preserve"> for its uniformed </w:t>
      </w:r>
      <w:r>
        <w:rPr>
          <w:rFonts w:ascii="Arial" w:hAnsi="Arial" w:cs="Arial"/>
        </w:rPr>
        <w:t xml:space="preserve">firefighters and </w:t>
      </w:r>
      <w:r w:rsidRPr="0007572B">
        <w:rPr>
          <w:rFonts w:ascii="Arial" w:hAnsi="Arial" w:cs="Arial"/>
        </w:rPr>
        <w:t xml:space="preserve">police officers </w:t>
      </w:r>
      <w:r>
        <w:rPr>
          <w:rFonts w:ascii="Arial" w:hAnsi="Arial" w:cs="Arial"/>
        </w:rPr>
        <w:t>–</w:t>
      </w:r>
      <w:r w:rsidRPr="0007572B">
        <w:rPr>
          <w:rFonts w:ascii="Arial" w:hAnsi="Arial" w:cs="Arial"/>
        </w:rPr>
        <w:t xml:space="preserve"> </w:t>
      </w:r>
      <w:r>
        <w:rPr>
          <w:rFonts w:ascii="Arial" w:hAnsi="Arial" w:cs="Arial"/>
        </w:rPr>
        <w:t xml:space="preserve">these are separate but similar unfunded schemes, </w:t>
      </w:r>
      <w:r w:rsidRPr="0007572B">
        <w:rPr>
          <w:rFonts w:ascii="Arial" w:hAnsi="Arial" w:cs="Arial"/>
        </w:rPr>
        <w:t>meaning that there are no investment assets built up to meet the pensions liabilities, and cash has to be generated to meet actual pensions payments as they eventually fall due.</w:t>
      </w:r>
    </w:p>
    <w:p w14:paraId="429000E5" w14:textId="77777777" w:rsidR="00795BE0" w:rsidRPr="0007572B" w:rsidRDefault="00795BE0" w:rsidP="00795BE0">
      <w:pPr>
        <w:rPr>
          <w:rFonts w:ascii="Arial" w:hAnsi="Arial" w:cs="Arial"/>
        </w:rPr>
      </w:pPr>
    </w:p>
    <w:p w14:paraId="297F1D9F" w14:textId="77777777" w:rsidR="00795BE0" w:rsidRDefault="00795BE0" w:rsidP="00795BE0">
      <w:pPr>
        <w:rPr>
          <w:rFonts w:ascii="Arial" w:hAnsi="Arial" w:cs="Arial"/>
        </w:rPr>
      </w:pPr>
      <w:r w:rsidRPr="0007572B">
        <w:rPr>
          <w:rFonts w:ascii="Arial" w:hAnsi="Arial" w:cs="Arial"/>
          <w:b/>
        </w:rPr>
        <w:t>The Local Government Pension Scheme</w:t>
      </w:r>
      <w:r w:rsidRPr="0007572B">
        <w:rPr>
          <w:rFonts w:ascii="Arial" w:hAnsi="Arial" w:cs="Arial"/>
        </w:rPr>
        <w:t xml:space="preserve"> for its other employees - this is a funded scheme, meaning that the Authority and employees pay its contributions into a fund, calculated at a level intended to balance the pensions liabilities with investment assets. The cost of retirement benefits is recognised in the Net Cost of Services when they are earned by employees, rather than when the benefits are eventually paid as pensions. However, the charge we are required to make against grant and precept income is based on the cash payable in the year, so the real cost of retirement benefits is reversed out of the Comprehensive Income and Expenditure Account in the Movement in Reserves Statement.</w:t>
      </w:r>
    </w:p>
    <w:p w14:paraId="0CA01ABB" w14:textId="77777777" w:rsidR="00795BE0" w:rsidRPr="0007572B" w:rsidRDefault="00795BE0" w:rsidP="00795BE0">
      <w:pPr>
        <w:rPr>
          <w:rFonts w:ascii="Arial" w:hAnsi="Arial" w:cs="Arial"/>
        </w:rPr>
      </w:pPr>
    </w:p>
    <w:p w14:paraId="752E33B9" w14:textId="77777777" w:rsidR="00795BE0" w:rsidRPr="003378D4" w:rsidRDefault="00795BE0" w:rsidP="00795BE0">
      <w:pPr>
        <w:pStyle w:val="Heading4bold"/>
      </w:pPr>
      <w:r w:rsidRPr="003378D4">
        <w:t>McCloud / Sargeant Judgement</w:t>
      </w:r>
    </w:p>
    <w:p w14:paraId="08833E77" w14:textId="77777777" w:rsidR="00795BE0" w:rsidRPr="003378D4" w:rsidRDefault="00795BE0" w:rsidP="00795BE0">
      <w:pPr>
        <w:rPr>
          <w:rFonts w:ascii="Arial" w:hAnsi="Arial" w:cs="Arial"/>
          <w:b/>
        </w:rPr>
      </w:pPr>
    </w:p>
    <w:p w14:paraId="2E001141" w14:textId="77777777" w:rsidR="00795BE0" w:rsidRPr="003378D4" w:rsidRDefault="00795BE0" w:rsidP="00795BE0">
      <w:pPr>
        <w:pStyle w:val="Heading5"/>
      </w:pPr>
      <w:r w:rsidRPr="003378D4">
        <w:t>Firefighters and Police Officers schemes</w:t>
      </w:r>
    </w:p>
    <w:p w14:paraId="53A2C307" w14:textId="77777777" w:rsidR="00795BE0" w:rsidRPr="003378D4" w:rsidRDefault="00795BE0" w:rsidP="00795BE0">
      <w:pPr>
        <w:pStyle w:val="Default"/>
        <w:rPr>
          <w:b/>
          <w:color w:val="auto"/>
          <w:szCs w:val="18"/>
        </w:rPr>
      </w:pPr>
    </w:p>
    <w:p w14:paraId="2620CA46" w14:textId="369D41B7" w:rsidR="00795BE0" w:rsidRPr="003378D4" w:rsidRDefault="00795BE0" w:rsidP="00795BE0">
      <w:pPr>
        <w:pStyle w:val="Default"/>
        <w:rPr>
          <w:bCs/>
          <w:color w:val="auto"/>
          <w:szCs w:val="18"/>
        </w:rPr>
      </w:pPr>
      <w:r w:rsidRPr="003378D4">
        <w:rPr>
          <w:bCs/>
          <w:color w:val="auto"/>
          <w:szCs w:val="18"/>
        </w:rPr>
        <w:t>Claims of age discrimination were brought in relation to the terms of transitional protection by groups of firefighters and members of the Judiciary in the McCloud/Sargeant legal case (referred to as "McCloud") and the Court of Appeal handed down its judgement on this claim on 20 December 2018, ruling that the transitional protection arrangements were discriminatory on the basis of age. As a result, the cost control element of the 2016 valuation was paused whilst the Government addressed the need to remedy this discrimination across all public service pension schemes.</w:t>
      </w:r>
      <w:r w:rsidR="003378D4">
        <w:rPr>
          <w:bCs/>
          <w:color w:val="auto"/>
          <w:szCs w:val="18"/>
        </w:rPr>
        <w:t xml:space="preserve"> </w:t>
      </w:r>
      <w:r w:rsidR="003378D4">
        <w:t>The cost cap mechanism for the 2016 valuation has since been un-paused and the calculations complete, with the outcome being no changes to benefits or contributions</w:t>
      </w:r>
    </w:p>
    <w:p w14:paraId="52FC9407" w14:textId="77777777" w:rsidR="00795BE0" w:rsidRPr="0080212E" w:rsidRDefault="00795BE0" w:rsidP="00795BE0">
      <w:pPr>
        <w:pStyle w:val="Default"/>
        <w:rPr>
          <w:bCs/>
          <w:color w:val="auto"/>
          <w:szCs w:val="18"/>
          <w:highlight w:val="yellow"/>
        </w:rPr>
      </w:pPr>
    </w:p>
    <w:p w14:paraId="3EC7BE03" w14:textId="77777777" w:rsidR="00795BE0" w:rsidRPr="003378D4" w:rsidRDefault="00795BE0" w:rsidP="00795BE0">
      <w:pPr>
        <w:pStyle w:val="Default"/>
        <w:rPr>
          <w:bCs/>
          <w:color w:val="auto"/>
          <w:szCs w:val="18"/>
        </w:rPr>
      </w:pPr>
      <w:r w:rsidRPr="003378D4">
        <w:rPr>
          <w:bCs/>
          <w:color w:val="auto"/>
          <w:szCs w:val="18"/>
        </w:rPr>
        <w:t>Past service costs were included in the 2018/19 and 2019/20 accounts and the 2020/21 service cost allows for the higher expected cost of accrual under McCloud.</w:t>
      </w:r>
    </w:p>
    <w:p w14:paraId="39C8D662" w14:textId="46E16EA5" w:rsidR="00465E32" w:rsidRDefault="00465E32" w:rsidP="00795BE0">
      <w:pPr>
        <w:pStyle w:val="Default"/>
        <w:rPr>
          <w:bCs/>
          <w:color w:val="auto"/>
          <w:szCs w:val="18"/>
        </w:rPr>
      </w:pPr>
    </w:p>
    <w:p w14:paraId="515E935F" w14:textId="34487EC7" w:rsidR="0066778F" w:rsidRDefault="0066778F" w:rsidP="00795BE0">
      <w:pPr>
        <w:pStyle w:val="Default"/>
        <w:rPr>
          <w:bCs/>
          <w:color w:val="auto"/>
          <w:szCs w:val="18"/>
        </w:rPr>
      </w:pPr>
    </w:p>
    <w:p w14:paraId="5C3454E9" w14:textId="5EAA4675" w:rsidR="0066778F" w:rsidRDefault="0066778F" w:rsidP="00795BE0">
      <w:pPr>
        <w:pStyle w:val="Default"/>
        <w:rPr>
          <w:bCs/>
          <w:color w:val="auto"/>
          <w:szCs w:val="18"/>
        </w:rPr>
      </w:pPr>
    </w:p>
    <w:p w14:paraId="455DF236" w14:textId="77777777" w:rsidR="0066778F" w:rsidRDefault="0066778F" w:rsidP="00795BE0">
      <w:pPr>
        <w:pStyle w:val="Default"/>
        <w:rPr>
          <w:bCs/>
          <w:color w:val="auto"/>
          <w:szCs w:val="18"/>
        </w:rPr>
      </w:pPr>
    </w:p>
    <w:p w14:paraId="2CC04189" w14:textId="77777777" w:rsidR="00795BE0" w:rsidRPr="0007572B" w:rsidRDefault="00795BE0" w:rsidP="00795BE0">
      <w:pPr>
        <w:pStyle w:val="Heading5"/>
      </w:pPr>
      <w:r w:rsidRPr="0007572B">
        <w:lastRenderedPageBreak/>
        <w:t>Local Government Scheme</w:t>
      </w:r>
    </w:p>
    <w:p w14:paraId="669EE308" w14:textId="77777777" w:rsidR="00795BE0" w:rsidRPr="0007572B" w:rsidRDefault="00795BE0" w:rsidP="00795BE0">
      <w:pPr>
        <w:pStyle w:val="Default"/>
        <w:rPr>
          <w:b/>
          <w:color w:val="auto"/>
          <w:szCs w:val="18"/>
        </w:rPr>
      </w:pPr>
    </w:p>
    <w:p w14:paraId="7878A7EF" w14:textId="67D620AA" w:rsidR="00795BE0" w:rsidRPr="00795E11" w:rsidRDefault="00795BE0" w:rsidP="00795BE0">
      <w:pPr>
        <w:rPr>
          <w:rFonts w:ascii="Arial" w:hAnsi="Arial" w:cs="Arial"/>
          <w:color w:val="000000"/>
        </w:rPr>
      </w:pPr>
      <w:r w:rsidRPr="00465E32">
        <w:rPr>
          <w:rFonts w:ascii="Arial" w:hAnsi="Arial" w:cs="Arial"/>
          <w:color w:val="000000"/>
        </w:rPr>
        <w:t>As the Authority made an allowance for McCloud in 2019/20, no further adjustments have been made in 2020/21</w:t>
      </w:r>
      <w:r w:rsidR="0080212E" w:rsidRPr="00465E32">
        <w:rPr>
          <w:rFonts w:ascii="Arial" w:hAnsi="Arial" w:cs="Arial"/>
          <w:color w:val="000000"/>
        </w:rPr>
        <w:t xml:space="preserve"> or 2021/22</w:t>
      </w:r>
      <w:r w:rsidRPr="00465E32">
        <w:rPr>
          <w:rFonts w:ascii="Arial" w:hAnsi="Arial" w:cs="Arial"/>
          <w:color w:val="000000"/>
        </w:rPr>
        <w:t>. The previous allowance within the balance sheet has been rolled forward and included in the balance sheet. No additional adjustment for McCloud has been added to the current service cost for 202</w:t>
      </w:r>
      <w:r w:rsidR="0080212E" w:rsidRPr="00465E32">
        <w:rPr>
          <w:rFonts w:ascii="Arial" w:hAnsi="Arial" w:cs="Arial"/>
          <w:color w:val="000000"/>
        </w:rPr>
        <w:t>1</w:t>
      </w:r>
      <w:r w:rsidRPr="00465E32">
        <w:rPr>
          <w:rFonts w:ascii="Arial" w:hAnsi="Arial" w:cs="Arial"/>
          <w:color w:val="000000"/>
        </w:rPr>
        <w:t>/2</w:t>
      </w:r>
      <w:r w:rsidR="0080212E" w:rsidRPr="00465E32">
        <w:rPr>
          <w:rFonts w:ascii="Arial" w:hAnsi="Arial" w:cs="Arial"/>
          <w:color w:val="000000"/>
        </w:rPr>
        <w:t>2</w:t>
      </w:r>
      <w:r w:rsidRPr="00465E32">
        <w:rPr>
          <w:rFonts w:ascii="Arial" w:hAnsi="Arial" w:cs="Arial"/>
          <w:color w:val="000000"/>
        </w:rPr>
        <w:t>.</w:t>
      </w:r>
    </w:p>
    <w:p w14:paraId="47CF6998" w14:textId="77777777" w:rsidR="00795BE0" w:rsidRPr="0007572B" w:rsidRDefault="00795BE0" w:rsidP="00795BE0">
      <w:pPr>
        <w:rPr>
          <w:rFonts w:ascii="Arial" w:hAnsi="Arial" w:cs="Arial"/>
          <w:b/>
          <w:bCs/>
          <w:color w:val="000000"/>
        </w:rPr>
      </w:pPr>
    </w:p>
    <w:p w14:paraId="1AE03824" w14:textId="129225F2" w:rsidR="00795BE0" w:rsidRDefault="00795BE0" w:rsidP="00795BE0">
      <w:pPr>
        <w:pStyle w:val="Heading4bold"/>
      </w:pPr>
      <w:r w:rsidRPr="0007572B">
        <w:t>Group Comprehensive Income and Expenditure Statement</w:t>
      </w:r>
    </w:p>
    <w:p w14:paraId="0BC669AB" w14:textId="3B652D43" w:rsidR="00D417B7" w:rsidRPr="0007572B" w:rsidRDefault="0028331C" w:rsidP="003C5C4E">
      <w:pPr>
        <w:pStyle w:val="Heading4bold"/>
        <w:spacing w:after="0"/>
        <w:rPr>
          <w:lang w:eastAsia="en-GB"/>
        </w:rPr>
      </w:pPr>
      <w:r w:rsidRPr="0028331C">
        <w:rPr>
          <w:noProof/>
        </w:rPr>
        <w:drawing>
          <wp:inline distT="0" distB="0" distL="0" distR="0" wp14:anchorId="2C1BC3B2" wp14:editId="7114E34F">
            <wp:extent cx="9177020" cy="2691765"/>
            <wp:effectExtent l="0" t="0" r="508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177020" cy="2691765"/>
                    </a:xfrm>
                    <a:prstGeom prst="rect">
                      <a:avLst/>
                    </a:prstGeom>
                    <a:noFill/>
                    <a:ln>
                      <a:noFill/>
                    </a:ln>
                  </pic:spPr>
                </pic:pic>
              </a:graphicData>
            </a:graphic>
          </wp:inline>
        </w:drawing>
      </w:r>
    </w:p>
    <w:p w14:paraId="0CBCBCD9" w14:textId="6F0D81AE" w:rsidR="00795BE0" w:rsidRPr="0007572B" w:rsidRDefault="0080212E" w:rsidP="003C5C4E">
      <w:pPr>
        <w:ind w:firstLine="720"/>
        <w:rPr>
          <w:rFonts w:ascii="Arial" w:hAnsi="Arial" w:cs="Arial"/>
          <w:b/>
        </w:rPr>
      </w:pPr>
      <w:r w:rsidRPr="0080212E">
        <w:rPr>
          <w:rFonts w:ascii="Arial" w:hAnsi="Arial" w:cs="Arial"/>
          <w:b/>
        </w:rPr>
        <w:t xml:space="preserve"> </w:t>
      </w:r>
    </w:p>
    <w:p w14:paraId="3FA577DF" w14:textId="77777777" w:rsidR="00795BE0" w:rsidRPr="0007572B" w:rsidRDefault="00795BE0" w:rsidP="00795BE0">
      <w:pPr>
        <w:pStyle w:val="Heading4bold"/>
      </w:pPr>
      <w:r w:rsidRPr="0007572B">
        <w:t>Group Movement in Reserves Statement</w:t>
      </w:r>
    </w:p>
    <w:p w14:paraId="49F471D7" w14:textId="496145F5" w:rsidR="00795BE0" w:rsidRPr="0007572B" w:rsidRDefault="00795BE0" w:rsidP="00795BE0">
      <w:pPr>
        <w:rPr>
          <w:rFonts w:ascii="Arial" w:hAnsi="Arial" w:cs="Arial"/>
          <w:noProof/>
          <w:sz w:val="28"/>
          <w:szCs w:val="28"/>
          <w:lang w:eastAsia="en-GB"/>
        </w:rPr>
      </w:pPr>
    </w:p>
    <w:p w14:paraId="41C0180D" w14:textId="71BA1D4F" w:rsidR="00795BE0" w:rsidRPr="0007572B" w:rsidRDefault="0028331C" w:rsidP="00795BE0">
      <w:pPr>
        <w:rPr>
          <w:rFonts w:ascii="Arial" w:hAnsi="Arial" w:cs="Arial"/>
          <w:b/>
          <w:bCs/>
          <w:color w:val="000000"/>
        </w:rPr>
      </w:pPr>
      <w:r w:rsidRPr="0028331C">
        <w:rPr>
          <w:noProof/>
        </w:rPr>
        <w:drawing>
          <wp:inline distT="0" distB="0" distL="0" distR="0" wp14:anchorId="3D69C1E0" wp14:editId="27574D6E">
            <wp:extent cx="9177020" cy="1012825"/>
            <wp:effectExtent l="0" t="0" r="508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177020" cy="1012825"/>
                    </a:xfrm>
                    <a:prstGeom prst="rect">
                      <a:avLst/>
                    </a:prstGeom>
                    <a:noFill/>
                    <a:ln>
                      <a:noFill/>
                    </a:ln>
                  </pic:spPr>
                </pic:pic>
              </a:graphicData>
            </a:graphic>
          </wp:inline>
        </w:drawing>
      </w:r>
    </w:p>
    <w:p w14:paraId="0167877D" w14:textId="607A75F0" w:rsidR="00795BE0" w:rsidRDefault="00795BE0" w:rsidP="00795BE0">
      <w:pPr>
        <w:pStyle w:val="Heading4bold"/>
      </w:pPr>
      <w:r w:rsidRPr="0007572B">
        <w:lastRenderedPageBreak/>
        <w:t>Group Pensions Assets and Liabilities Recognised in the Balance Sheet</w:t>
      </w:r>
    </w:p>
    <w:p w14:paraId="550B6223" w14:textId="5F2BD316" w:rsidR="00D417B7" w:rsidRDefault="0028331C" w:rsidP="003C5C4E">
      <w:pPr>
        <w:pStyle w:val="Heading4bold"/>
        <w:spacing w:after="0"/>
      </w:pPr>
      <w:r w:rsidRPr="0028331C">
        <w:rPr>
          <w:noProof/>
        </w:rPr>
        <w:drawing>
          <wp:inline distT="0" distB="0" distL="0" distR="0" wp14:anchorId="3813D214" wp14:editId="7177F97E">
            <wp:extent cx="9177020" cy="888365"/>
            <wp:effectExtent l="0" t="0" r="5080" b="69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177020" cy="888365"/>
                    </a:xfrm>
                    <a:prstGeom prst="rect">
                      <a:avLst/>
                    </a:prstGeom>
                    <a:noFill/>
                    <a:ln>
                      <a:noFill/>
                    </a:ln>
                  </pic:spPr>
                </pic:pic>
              </a:graphicData>
            </a:graphic>
          </wp:inline>
        </w:drawing>
      </w:r>
    </w:p>
    <w:p w14:paraId="7BC574F0" w14:textId="34248BCC" w:rsidR="00795BE0" w:rsidRDefault="00795BE0" w:rsidP="003C5C4E">
      <w:pPr>
        <w:rPr>
          <w:rFonts w:ascii="Arial" w:hAnsi="Arial" w:cs="Arial"/>
          <w:b/>
          <w:bCs/>
          <w:sz w:val="26"/>
          <w:szCs w:val="26"/>
        </w:rPr>
      </w:pPr>
    </w:p>
    <w:p w14:paraId="5D89295C" w14:textId="33F797FC" w:rsidR="003C5C4E" w:rsidRDefault="00795BE0" w:rsidP="003C5C4E">
      <w:pPr>
        <w:pStyle w:val="Heading4bold"/>
        <w:spacing w:after="0"/>
      </w:pPr>
      <w:r w:rsidRPr="0007572B">
        <w:t>Group Reconciliation of the present value of the scheme liabilities (Defined Benefit Obligations)</w:t>
      </w:r>
    </w:p>
    <w:p w14:paraId="3C8E7863" w14:textId="77777777" w:rsidR="003C5C4E" w:rsidRPr="003C5C4E" w:rsidRDefault="003C5C4E" w:rsidP="003C5C4E">
      <w:pPr>
        <w:pStyle w:val="Heading4bold"/>
        <w:spacing w:after="0"/>
      </w:pPr>
    </w:p>
    <w:p w14:paraId="116A313F" w14:textId="19808A7C" w:rsidR="00D417B7" w:rsidRDefault="0028331C" w:rsidP="00795BE0">
      <w:pPr>
        <w:rPr>
          <w:rFonts w:ascii="Arial" w:hAnsi="Arial" w:cs="Arial"/>
          <w:b/>
          <w:bCs/>
          <w:color w:val="000000"/>
          <w:lang w:eastAsia="en-GB"/>
        </w:rPr>
      </w:pPr>
      <w:r w:rsidRPr="0028331C">
        <w:rPr>
          <w:noProof/>
        </w:rPr>
        <w:drawing>
          <wp:inline distT="0" distB="0" distL="0" distR="0" wp14:anchorId="1EC90BDD" wp14:editId="7BEE104A">
            <wp:extent cx="9177020" cy="2363470"/>
            <wp:effectExtent l="0" t="0" r="508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177020" cy="2363470"/>
                    </a:xfrm>
                    <a:prstGeom prst="rect">
                      <a:avLst/>
                    </a:prstGeom>
                    <a:noFill/>
                    <a:ln>
                      <a:noFill/>
                    </a:ln>
                  </pic:spPr>
                </pic:pic>
              </a:graphicData>
            </a:graphic>
          </wp:inline>
        </w:drawing>
      </w:r>
    </w:p>
    <w:p w14:paraId="759D8228" w14:textId="3E71DC8D" w:rsidR="00D417B7" w:rsidRDefault="00D417B7">
      <w:pPr>
        <w:rPr>
          <w:rFonts w:ascii="Arial" w:hAnsi="Arial" w:cs="Arial"/>
          <w:b/>
          <w:bCs/>
          <w:color w:val="000000"/>
          <w:lang w:eastAsia="en-GB"/>
        </w:rPr>
      </w:pPr>
    </w:p>
    <w:p w14:paraId="2D7B640C" w14:textId="4E0EC4E8" w:rsidR="00795BE0" w:rsidRPr="0007572B" w:rsidRDefault="00795BE0" w:rsidP="00795BE0">
      <w:pPr>
        <w:pStyle w:val="Heading4bold"/>
        <w:rPr>
          <w:lang w:eastAsia="en-GB"/>
        </w:rPr>
      </w:pPr>
      <w:r w:rsidRPr="0007572B">
        <w:lastRenderedPageBreak/>
        <w:t>Reconciliation of movements in the fair value of the scheme assets</w:t>
      </w:r>
    </w:p>
    <w:p w14:paraId="78ADEF5E" w14:textId="3F761A02" w:rsidR="00795BE0" w:rsidRPr="0066778F" w:rsidRDefault="0028331C" w:rsidP="00795BE0">
      <w:pPr>
        <w:rPr>
          <w:rFonts w:ascii="Arial" w:hAnsi="Arial" w:cs="Arial"/>
          <w:b/>
          <w:sz w:val="22"/>
          <w:szCs w:val="22"/>
        </w:rPr>
      </w:pPr>
      <w:r w:rsidRPr="0028331C">
        <w:rPr>
          <w:noProof/>
        </w:rPr>
        <w:drawing>
          <wp:inline distT="0" distB="0" distL="0" distR="0" wp14:anchorId="6068E512" wp14:editId="333CD2F7">
            <wp:extent cx="5560060" cy="1944370"/>
            <wp:effectExtent l="0" t="0" r="254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60060" cy="1944370"/>
                    </a:xfrm>
                    <a:prstGeom prst="rect">
                      <a:avLst/>
                    </a:prstGeom>
                    <a:noFill/>
                    <a:ln>
                      <a:noFill/>
                    </a:ln>
                  </pic:spPr>
                </pic:pic>
              </a:graphicData>
            </a:graphic>
          </wp:inline>
        </w:drawing>
      </w:r>
    </w:p>
    <w:p w14:paraId="483FE29A" w14:textId="0963FFFA" w:rsidR="00D417B7" w:rsidRDefault="00795BE0" w:rsidP="00795BE0">
      <w:pPr>
        <w:pStyle w:val="Heading4bold"/>
      </w:pPr>
      <w:r w:rsidRPr="0007572B">
        <w:lastRenderedPageBreak/>
        <w:t>Local Government Pension Scheme assets comprised:</w:t>
      </w:r>
    </w:p>
    <w:p w14:paraId="5C5FDC6E" w14:textId="21780F39" w:rsidR="00031D06" w:rsidRDefault="0028331C" w:rsidP="00795BE0">
      <w:pPr>
        <w:pStyle w:val="Heading4bold"/>
      </w:pPr>
      <w:r w:rsidRPr="0028331C">
        <w:rPr>
          <w:noProof/>
        </w:rPr>
        <w:drawing>
          <wp:inline distT="0" distB="0" distL="0" distR="0" wp14:anchorId="7D84BB7B" wp14:editId="0DC750F5">
            <wp:extent cx="9177020" cy="3571240"/>
            <wp:effectExtent l="0" t="0" r="508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177020" cy="3571240"/>
                    </a:xfrm>
                    <a:prstGeom prst="rect">
                      <a:avLst/>
                    </a:prstGeom>
                    <a:noFill/>
                    <a:ln>
                      <a:noFill/>
                    </a:ln>
                  </pic:spPr>
                </pic:pic>
              </a:graphicData>
            </a:graphic>
          </wp:inline>
        </w:drawing>
      </w:r>
    </w:p>
    <w:p w14:paraId="42E16776" w14:textId="77777777" w:rsidR="00031D06" w:rsidRPr="0007572B" w:rsidRDefault="00031D06" w:rsidP="00795BE0">
      <w:pPr>
        <w:pStyle w:val="Heading4bold"/>
      </w:pPr>
    </w:p>
    <w:p w14:paraId="49CCEEE3" w14:textId="77777777" w:rsidR="00795BE0" w:rsidRDefault="00795BE0" w:rsidP="00795BE0">
      <w:pPr>
        <w:rPr>
          <w:rFonts w:ascii="Arial" w:hAnsi="Arial" w:cs="Arial"/>
          <w:b/>
          <w:sz w:val="22"/>
          <w:szCs w:val="22"/>
        </w:rPr>
      </w:pPr>
    </w:p>
    <w:p w14:paraId="74A90E78" w14:textId="0655E083" w:rsidR="0080212E" w:rsidRPr="0007572B" w:rsidRDefault="0080212E" w:rsidP="00795BE0">
      <w:pPr>
        <w:rPr>
          <w:rFonts w:ascii="Arial" w:hAnsi="Arial" w:cs="Arial"/>
          <w:b/>
          <w:sz w:val="22"/>
          <w:szCs w:val="22"/>
        </w:rPr>
        <w:sectPr w:rsidR="0080212E" w:rsidRPr="0007572B" w:rsidSect="00B86BE8">
          <w:pgSz w:w="16838" w:h="11906" w:orient="landscape"/>
          <w:pgMar w:top="1080" w:right="946" w:bottom="1416" w:left="1440" w:header="283" w:footer="567" w:gutter="0"/>
          <w:cols w:space="708"/>
          <w:docGrid w:linePitch="360"/>
        </w:sectPr>
      </w:pPr>
    </w:p>
    <w:p w14:paraId="149D1805" w14:textId="77777777" w:rsidR="00795BE0" w:rsidRPr="0007572B" w:rsidRDefault="00795BE0" w:rsidP="00795BE0">
      <w:pPr>
        <w:pStyle w:val="Heading4bold"/>
        <w:rPr>
          <w:lang w:eastAsia="en-GB"/>
        </w:rPr>
      </w:pPr>
      <w:r w:rsidRPr="0007572B">
        <w:lastRenderedPageBreak/>
        <w:t>Assumptions</w:t>
      </w:r>
    </w:p>
    <w:p w14:paraId="69AF2632" w14:textId="5E108073" w:rsidR="00795BE0" w:rsidRDefault="00795BE0" w:rsidP="00795BE0">
      <w:pPr>
        <w:rPr>
          <w:rFonts w:ascii="Arial" w:hAnsi="Arial" w:cs="Arial"/>
          <w:b/>
          <w:sz w:val="22"/>
          <w:szCs w:val="22"/>
        </w:rPr>
      </w:pPr>
    </w:p>
    <w:p w14:paraId="7F5936B5" w14:textId="706C3AD3" w:rsidR="00795BE0" w:rsidRPr="0007572B" w:rsidRDefault="00CD18AF" w:rsidP="00795BE0">
      <w:pPr>
        <w:rPr>
          <w:rFonts w:ascii="Arial" w:hAnsi="Arial" w:cs="Arial"/>
          <w:b/>
          <w:sz w:val="22"/>
          <w:szCs w:val="22"/>
        </w:rPr>
      </w:pPr>
      <w:r w:rsidRPr="00CD18AF">
        <w:rPr>
          <w:noProof/>
        </w:rPr>
        <w:drawing>
          <wp:inline distT="0" distB="0" distL="0" distR="0" wp14:anchorId="703D0672" wp14:editId="7EBE9522">
            <wp:extent cx="7458075" cy="2400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458075" cy="2400300"/>
                    </a:xfrm>
                    <a:prstGeom prst="rect">
                      <a:avLst/>
                    </a:prstGeom>
                    <a:noFill/>
                    <a:ln>
                      <a:noFill/>
                    </a:ln>
                  </pic:spPr>
                </pic:pic>
              </a:graphicData>
            </a:graphic>
          </wp:inline>
        </w:drawing>
      </w:r>
    </w:p>
    <w:p w14:paraId="0B8D93AD" w14:textId="77777777" w:rsidR="00C5056D" w:rsidRDefault="00C5056D"/>
    <w:p w14:paraId="5166FC29" w14:textId="3C5A3D5C" w:rsidR="00C5056D" w:rsidRPr="008648BE" w:rsidRDefault="00C5056D" w:rsidP="00C5056D">
      <w:pPr>
        <w:rPr>
          <w:rFonts w:ascii="Arial" w:hAnsi="Arial" w:cs="Arial"/>
        </w:rPr>
      </w:pPr>
    </w:p>
    <w:p w14:paraId="42BF05FD" w14:textId="5D9F976C" w:rsidR="00A32B6E" w:rsidRDefault="00A32B6E">
      <w:pPr>
        <w:rPr>
          <w:rFonts w:ascii="Arial" w:hAnsi="Arial" w:cs="Arial"/>
          <w:b/>
          <w:bCs/>
        </w:rPr>
      </w:pPr>
      <w:r>
        <w:br w:type="page"/>
      </w:r>
    </w:p>
    <w:p w14:paraId="572B8E69" w14:textId="0056E518" w:rsidR="00A25260" w:rsidRDefault="00795BE0" w:rsidP="00795BE0">
      <w:pPr>
        <w:pStyle w:val="Heading4bold"/>
      </w:pPr>
      <w:r w:rsidRPr="0007572B">
        <w:lastRenderedPageBreak/>
        <w:t>Sensitivity Analysis</w:t>
      </w:r>
    </w:p>
    <w:p w14:paraId="0368C1B2" w14:textId="74C2896B" w:rsidR="00795BE0" w:rsidRPr="0007572B" w:rsidRDefault="00A25260" w:rsidP="00795BE0">
      <w:pPr>
        <w:rPr>
          <w:rFonts w:ascii="Arial" w:hAnsi="Arial" w:cs="Arial"/>
          <w:b/>
          <w:sz w:val="22"/>
          <w:szCs w:val="22"/>
        </w:rPr>
        <w:sectPr w:rsidR="00795BE0" w:rsidRPr="0007572B" w:rsidSect="00B86BE8">
          <w:pgSz w:w="16838" w:h="11906" w:orient="landscape"/>
          <w:pgMar w:top="1080" w:right="946" w:bottom="1416" w:left="1440" w:header="283" w:footer="567" w:gutter="0"/>
          <w:cols w:space="708"/>
          <w:docGrid w:linePitch="360"/>
        </w:sectPr>
      </w:pPr>
      <w:r w:rsidRPr="00A25260">
        <w:rPr>
          <w:noProof/>
        </w:rPr>
        <w:drawing>
          <wp:inline distT="0" distB="0" distL="0" distR="0" wp14:anchorId="59A63F80" wp14:editId="5F67F2C7">
            <wp:extent cx="7272718" cy="3918857"/>
            <wp:effectExtent l="0" t="0" r="444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292335" cy="3929428"/>
                    </a:xfrm>
                    <a:prstGeom prst="rect">
                      <a:avLst/>
                    </a:prstGeom>
                    <a:noFill/>
                    <a:ln>
                      <a:noFill/>
                    </a:ln>
                  </pic:spPr>
                </pic:pic>
              </a:graphicData>
            </a:graphic>
          </wp:inline>
        </w:drawing>
      </w:r>
    </w:p>
    <w:p w14:paraId="71C18DE7" w14:textId="64B3852B" w:rsidR="00C5056D" w:rsidRPr="0007572B" w:rsidRDefault="00C5056D" w:rsidP="00C5056D">
      <w:pPr>
        <w:pStyle w:val="Heading3greennumbered"/>
      </w:pPr>
      <w:r>
        <w:lastRenderedPageBreak/>
        <w:t>6</w:t>
      </w:r>
      <w:r w:rsidR="008633CA">
        <w:t>1</w:t>
      </w:r>
      <w:r w:rsidRPr="0007572B">
        <w:t xml:space="preserve"> </w:t>
      </w:r>
      <w:r w:rsidR="00513478">
        <w:t xml:space="preserve">Group </w:t>
      </w:r>
      <w:r>
        <w:t>Prior Period Restatements</w:t>
      </w:r>
    </w:p>
    <w:p w14:paraId="60B820D5" w14:textId="77777777" w:rsidR="00C5056D" w:rsidRDefault="00C5056D" w:rsidP="00795BE0">
      <w:pPr>
        <w:rPr>
          <w:rFonts w:ascii="Arial" w:hAnsi="Arial" w:cs="Arial"/>
        </w:rPr>
      </w:pPr>
    </w:p>
    <w:p w14:paraId="6DEE8E31" w14:textId="7AD7D1AB" w:rsidR="00C44B1C" w:rsidRDefault="00C06DC0" w:rsidP="00795BE0">
      <w:pPr>
        <w:rPr>
          <w:rFonts w:ascii="Arial" w:hAnsi="Arial" w:cs="Arial"/>
        </w:rPr>
      </w:pPr>
      <w:r w:rsidRPr="00C06DC0">
        <w:rPr>
          <w:rFonts w:ascii="Arial" w:hAnsi="Arial" w:cs="Arial"/>
        </w:rPr>
        <w:t>Prior</w:t>
      </w:r>
      <w:r w:rsidR="00C5056D" w:rsidRPr="00C06DC0">
        <w:rPr>
          <w:rFonts w:ascii="Arial" w:hAnsi="Arial" w:cs="Arial"/>
        </w:rPr>
        <w:t xml:space="preserve"> period </w:t>
      </w:r>
      <w:r w:rsidR="00C5056D" w:rsidRPr="008648BE">
        <w:rPr>
          <w:rFonts w:ascii="Arial" w:hAnsi="Arial" w:cs="Arial"/>
        </w:rPr>
        <w:t xml:space="preserve">values have been restated in the main statements and notes to the accounts so that 2020/21 is presented in a comparable way to 2021/22.  The narrative and tables below explain the changes that have been made. </w:t>
      </w:r>
    </w:p>
    <w:p w14:paraId="5770B070" w14:textId="77777777" w:rsidR="00C44B1C" w:rsidRDefault="00C44B1C" w:rsidP="00795BE0">
      <w:pPr>
        <w:rPr>
          <w:rFonts w:ascii="Arial" w:hAnsi="Arial" w:cs="Arial"/>
        </w:rPr>
      </w:pPr>
    </w:p>
    <w:p w14:paraId="49A38D21" w14:textId="77777777" w:rsidR="008E3949" w:rsidRPr="000D3116" w:rsidRDefault="008E3949" w:rsidP="008E3949">
      <w:pPr>
        <w:pStyle w:val="Heading4bold"/>
      </w:pPr>
      <w:r w:rsidRPr="000D3116">
        <w:t xml:space="preserve">Transport for Greater Manchester </w:t>
      </w:r>
    </w:p>
    <w:p w14:paraId="226A0055" w14:textId="3B3FD7D5" w:rsidR="008E3949" w:rsidRDefault="00C06DC0" w:rsidP="008E3949">
      <w:pPr>
        <w:rPr>
          <w:rFonts w:ascii="Arial" w:hAnsi="Arial" w:cs="Arial"/>
        </w:rPr>
      </w:pPr>
      <w:r w:rsidRPr="00C06DC0">
        <w:rPr>
          <w:rFonts w:ascii="Arial" w:hAnsi="Arial" w:cs="Arial"/>
        </w:rPr>
        <w:t xml:space="preserve">Restatements </w:t>
      </w:r>
      <w:r>
        <w:rPr>
          <w:rFonts w:ascii="Arial" w:hAnsi="Arial" w:cs="Arial"/>
        </w:rPr>
        <w:t xml:space="preserve">have been made due to a change </w:t>
      </w:r>
      <w:r w:rsidR="008E3949" w:rsidRPr="00C06DC0">
        <w:rPr>
          <w:rFonts w:ascii="Arial" w:hAnsi="Arial" w:cs="Arial"/>
        </w:rPr>
        <w:t xml:space="preserve">in classification of TFGM </w:t>
      </w:r>
      <w:r w:rsidR="00DF10CE">
        <w:rPr>
          <w:rFonts w:ascii="Arial" w:hAnsi="Arial" w:cs="Arial"/>
        </w:rPr>
        <w:t>consolidation</w:t>
      </w:r>
      <w:r w:rsidR="008E3949" w:rsidRPr="00C06DC0">
        <w:rPr>
          <w:rFonts w:ascii="Arial" w:hAnsi="Arial" w:cs="Arial"/>
        </w:rPr>
        <w:t xml:space="preserve"> adjustments</w:t>
      </w:r>
      <w:r>
        <w:rPr>
          <w:rFonts w:ascii="Arial" w:hAnsi="Arial" w:cs="Arial"/>
        </w:rPr>
        <w:t xml:space="preserve"> relating to grant</w:t>
      </w:r>
      <w:r w:rsidR="00DF10CE">
        <w:rPr>
          <w:rFonts w:ascii="Arial" w:hAnsi="Arial" w:cs="Arial"/>
        </w:rPr>
        <w:t xml:space="preserve"> expenditure</w:t>
      </w:r>
      <w:r>
        <w:rPr>
          <w:rFonts w:ascii="Arial" w:hAnsi="Arial" w:cs="Arial"/>
        </w:rPr>
        <w:t xml:space="preserve">, </w:t>
      </w:r>
      <w:r w:rsidR="00DF10CE">
        <w:rPr>
          <w:rFonts w:ascii="Arial" w:hAnsi="Arial" w:cs="Arial"/>
        </w:rPr>
        <w:t>revenue expenditure funded from capital under statute and capital financing applied in year.</w:t>
      </w:r>
    </w:p>
    <w:p w14:paraId="58143CDC" w14:textId="10D656D3" w:rsidR="00773DD7" w:rsidRPr="00C06DC0" w:rsidRDefault="00773DD7" w:rsidP="008E3949">
      <w:pPr>
        <w:rPr>
          <w:rFonts w:ascii="Arial" w:hAnsi="Arial" w:cs="Arial"/>
        </w:rPr>
      </w:pPr>
      <w:r w:rsidRPr="00773DD7">
        <w:rPr>
          <w:noProof/>
        </w:rPr>
        <w:drawing>
          <wp:inline distT="0" distB="0" distL="0" distR="0" wp14:anchorId="4171DD16" wp14:editId="5DA8B208">
            <wp:extent cx="5892800" cy="3157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892800" cy="3157855"/>
                    </a:xfrm>
                    <a:prstGeom prst="rect">
                      <a:avLst/>
                    </a:prstGeom>
                    <a:noFill/>
                    <a:ln>
                      <a:noFill/>
                    </a:ln>
                  </pic:spPr>
                </pic:pic>
              </a:graphicData>
            </a:graphic>
          </wp:inline>
        </w:drawing>
      </w:r>
    </w:p>
    <w:p w14:paraId="57B6FBEC" w14:textId="2BC2D77E" w:rsidR="00C06DC0" w:rsidRPr="000C63F7" w:rsidRDefault="00C06DC0" w:rsidP="008E3949">
      <w:pPr>
        <w:rPr>
          <w:rFonts w:ascii="Arial" w:hAnsi="Arial" w:cs="Arial"/>
        </w:rPr>
      </w:pPr>
    </w:p>
    <w:p w14:paraId="7C11958F" w14:textId="77777777" w:rsidR="008E3949" w:rsidRDefault="008E3949" w:rsidP="00795BE0">
      <w:pPr>
        <w:rPr>
          <w:rFonts w:ascii="Arial" w:hAnsi="Arial" w:cs="Arial"/>
        </w:rPr>
      </w:pPr>
    </w:p>
    <w:p w14:paraId="345BD622" w14:textId="6D41CD81" w:rsidR="00513478" w:rsidRDefault="00513478" w:rsidP="00513478">
      <w:pPr>
        <w:pStyle w:val="Heading4bold"/>
      </w:pPr>
      <w:r w:rsidRPr="00513478">
        <w:t>Greater</w:t>
      </w:r>
      <w:r>
        <w:t xml:space="preserve"> Manchester Evergreen 2 </w:t>
      </w:r>
      <w:r w:rsidRPr="0007572B">
        <w:t>Limited Partnership</w:t>
      </w:r>
      <w:r w:rsidRPr="00513478">
        <w:t xml:space="preserve"> </w:t>
      </w:r>
    </w:p>
    <w:p w14:paraId="5D6DA38B" w14:textId="025D79D0" w:rsidR="00513478" w:rsidRDefault="00513478" w:rsidP="00513478">
      <w:pPr>
        <w:rPr>
          <w:rFonts w:ascii="Arial" w:hAnsi="Arial" w:cs="Arial"/>
        </w:rPr>
      </w:pPr>
      <w:r w:rsidRPr="000C63F7">
        <w:rPr>
          <w:rFonts w:ascii="Arial" w:hAnsi="Arial" w:cs="Arial"/>
        </w:rPr>
        <w:t xml:space="preserve">A new entity </w:t>
      </w:r>
      <w:r w:rsidR="00C06DC0">
        <w:rPr>
          <w:rFonts w:ascii="Arial" w:hAnsi="Arial" w:cs="Arial"/>
        </w:rPr>
        <w:t xml:space="preserve">has been </w:t>
      </w:r>
      <w:r w:rsidRPr="000C63F7">
        <w:rPr>
          <w:rFonts w:ascii="Arial" w:hAnsi="Arial" w:cs="Arial"/>
        </w:rPr>
        <w:t>consolidated into the 2021/22 accounts that was excluded in 2020/21</w:t>
      </w:r>
      <w:r w:rsidR="00C06DC0">
        <w:rPr>
          <w:rFonts w:ascii="Arial" w:hAnsi="Arial" w:cs="Arial"/>
        </w:rPr>
        <w:t xml:space="preserve">, </w:t>
      </w:r>
      <w:r w:rsidRPr="000C63F7">
        <w:rPr>
          <w:rFonts w:ascii="Arial" w:hAnsi="Arial" w:cs="Arial"/>
        </w:rPr>
        <w:t xml:space="preserve">on the </w:t>
      </w:r>
      <w:r w:rsidRPr="00513478">
        <w:rPr>
          <w:rFonts w:ascii="Arial" w:hAnsi="Arial" w:cs="Arial"/>
        </w:rPr>
        <w:t xml:space="preserve">basis that it was a sub-fund of NWEH which is already included in the consolidated accounts. However, limited company accounts legislation does not require the sub-fund to be consolidated into the holding company and NWEH prepare separate accounts for </w:t>
      </w:r>
      <w:r>
        <w:rPr>
          <w:rFonts w:ascii="Arial" w:hAnsi="Arial" w:cs="Arial"/>
        </w:rPr>
        <w:t xml:space="preserve">the </w:t>
      </w:r>
      <w:r w:rsidRPr="00513478">
        <w:rPr>
          <w:rFonts w:ascii="Arial" w:hAnsi="Arial" w:cs="Arial"/>
        </w:rPr>
        <w:t>GME2LP</w:t>
      </w:r>
      <w:r>
        <w:rPr>
          <w:rFonts w:ascii="Arial" w:hAnsi="Arial" w:cs="Arial"/>
        </w:rPr>
        <w:t xml:space="preserve">. </w:t>
      </w:r>
      <w:r w:rsidRPr="000C63F7">
        <w:rPr>
          <w:rFonts w:ascii="Arial" w:hAnsi="Arial" w:cs="Arial"/>
        </w:rPr>
        <w:t xml:space="preserve">The table below shows the impact to the </w:t>
      </w:r>
      <w:r>
        <w:rPr>
          <w:rFonts w:ascii="Arial" w:hAnsi="Arial" w:cs="Arial"/>
        </w:rPr>
        <w:t xml:space="preserve">2020/21 </w:t>
      </w:r>
      <w:r w:rsidRPr="000C63F7">
        <w:rPr>
          <w:rFonts w:ascii="Arial" w:hAnsi="Arial" w:cs="Arial"/>
        </w:rPr>
        <w:t>accounts after a full sub-fund company consolidation exercise has been completed and restatements included for the prior year.</w:t>
      </w:r>
    </w:p>
    <w:p w14:paraId="1A6D889F" w14:textId="77777777" w:rsidR="00513478" w:rsidRDefault="00513478" w:rsidP="00795BE0">
      <w:pPr>
        <w:rPr>
          <w:rFonts w:ascii="Arial" w:hAnsi="Arial" w:cs="Arial"/>
        </w:rPr>
      </w:pPr>
    </w:p>
    <w:p w14:paraId="278D59D4" w14:textId="441450C2" w:rsidR="00F82676" w:rsidRDefault="00773DD7" w:rsidP="00795BE0">
      <w:pPr>
        <w:rPr>
          <w:rFonts w:ascii="Arial" w:hAnsi="Arial" w:cs="Arial"/>
        </w:rPr>
      </w:pPr>
      <w:r w:rsidRPr="00773DD7">
        <w:rPr>
          <w:noProof/>
        </w:rPr>
        <w:lastRenderedPageBreak/>
        <w:drawing>
          <wp:inline distT="0" distB="0" distL="0" distR="0" wp14:anchorId="1C6C3F9A" wp14:editId="4143F454">
            <wp:extent cx="5892800" cy="24511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92800" cy="2451100"/>
                    </a:xfrm>
                    <a:prstGeom prst="rect">
                      <a:avLst/>
                    </a:prstGeom>
                    <a:noFill/>
                    <a:ln>
                      <a:noFill/>
                    </a:ln>
                  </pic:spPr>
                </pic:pic>
              </a:graphicData>
            </a:graphic>
          </wp:inline>
        </w:drawing>
      </w:r>
    </w:p>
    <w:p w14:paraId="1C0F702F" w14:textId="77777777" w:rsidR="00F82676" w:rsidRDefault="00F82676" w:rsidP="00795BE0">
      <w:pPr>
        <w:rPr>
          <w:rFonts w:ascii="Arial" w:hAnsi="Arial" w:cs="Arial"/>
        </w:rPr>
      </w:pPr>
    </w:p>
    <w:p w14:paraId="1CFEE674" w14:textId="6CC9D091" w:rsidR="00C44B1C" w:rsidRPr="00585B0A" w:rsidRDefault="00C44B1C" w:rsidP="00585B0A">
      <w:pPr>
        <w:pStyle w:val="Heading4bold"/>
      </w:pPr>
      <w:r w:rsidRPr="00585B0A">
        <w:t xml:space="preserve">Cashflow </w:t>
      </w:r>
    </w:p>
    <w:p w14:paraId="343F555C" w14:textId="60E46B8D" w:rsidR="00C44B1C" w:rsidRDefault="00C44B1C" w:rsidP="00C44B1C">
      <w:pPr>
        <w:rPr>
          <w:rFonts w:ascii="Arial" w:hAnsi="Arial" w:cs="Arial"/>
        </w:rPr>
      </w:pPr>
      <w:r w:rsidRPr="000C63F7">
        <w:rPr>
          <w:rFonts w:ascii="Arial" w:hAnsi="Arial" w:cs="Arial"/>
        </w:rPr>
        <w:t xml:space="preserve">The </w:t>
      </w:r>
      <w:r>
        <w:rPr>
          <w:rFonts w:ascii="Arial" w:hAnsi="Arial" w:cs="Arial"/>
        </w:rPr>
        <w:t xml:space="preserve">Group </w:t>
      </w:r>
      <w:r w:rsidRPr="000C63F7">
        <w:rPr>
          <w:rFonts w:ascii="Arial" w:hAnsi="Arial" w:cs="Arial"/>
        </w:rPr>
        <w:t>Cashflow Statement and supporting Notes have been restated following a revised analysis approach adopted in 2021</w:t>
      </w:r>
      <w:r>
        <w:rPr>
          <w:rFonts w:ascii="Arial" w:hAnsi="Arial" w:cs="Arial"/>
        </w:rPr>
        <w:t>/</w:t>
      </w:r>
      <w:r w:rsidRPr="000C63F7">
        <w:rPr>
          <w:rFonts w:ascii="Arial" w:hAnsi="Arial" w:cs="Arial"/>
        </w:rPr>
        <w:t xml:space="preserve">22.  The tables </w:t>
      </w:r>
      <w:r>
        <w:rPr>
          <w:rFonts w:ascii="Arial" w:hAnsi="Arial" w:cs="Arial"/>
        </w:rPr>
        <w:t xml:space="preserve">below </w:t>
      </w:r>
      <w:r w:rsidRPr="000C63F7">
        <w:rPr>
          <w:rFonts w:ascii="Arial" w:hAnsi="Arial" w:cs="Arial"/>
        </w:rPr>
        <w:t xml:space="preserve">include the restatements as a result of the Single Entity movements </w:t>
      </w:r>
      <w:r>
        <w:rPr>
          <w:rFonts w:ascii="Arial" w:hAnsi="Arial" w:cs="Arial"/>
        </w:rPr>
        <w:t xml:space="preserve">disclosed </w:t>
      </w:r>
      <w:r w:rsidRPr="000C63F7">
        <w:rPr>
          <w:rFonts w:ascii="Arial" w:hAnsi="Arial" w:cs="Arial"/>
        </w:rPr>
        <w:t xml:space="preserve">in </w:t>
      </w:r>
      <w:r w:rsidRPr="00C44B1C">
        <w:rPr>
          <w:rFonts w:ascii="Arial" w:hAnsi="Arial" w:cs="Arial"/>
        </w:rPr>
        <w:t>Note 36</w:t>
      </w:r>
      <w:r>
        <w:rPr>
          <w:rFonts w:ascii="Arial" w:hAnsi="Arial" w:cs="Arial"/>
        </w:rPr>
        <w:t xml:space="preserve"> Prior </w:t>
      </w:r>
      <w:r w:rsidR="00513478">
        <w:rPr>
          <w:rFonts w:ascii="Arial" w:hAnsi="Arial" w:cs="Arial"/>
        </w:rPr>
        <w:t>P</w:t>
      </w:r>
      <w:r>
        <w:rPr>
          <w:rFonts w:ascii="Arial" w:hAnsi="Arial" w:cs="Arial"/>
        </w:rPr>
        <w:t>eriod Adjustments</w:t>
      </w:r>
      <w:r w:rsidRPr="000C63F7">
        <w:rPr>
          <w:rFonts w:ascii="Arial" w:hAnsi="Arial" w:cs="Arial"/>
        </w:rPr>
        <w:t xml:space="preserve"> and </w:t>
      </w:r>
      <w:r>
        <w:rPr>
          <w:rFonts w:ascii="Arial" w:hAnsi="Arial" w:cs="Arial"/>
        </w:rPr>
        <w:t>the additional G</w:t>
      </w:r>
      <w:r w:rsidRPr="000C63F7">
        <w:rPr>
          <w:rFonts w:ascii="Arial" w:hAnsi="Arial" w:cs="Arial"/>
        </w:rPr>
        <w:t xml:space="preserve">roup </w:t>
      </w:r>
      <w:r>
        <w:rPr>
          <w:rFonts w:ascii="Arial" w:hAnsi="Arial" w:cs="Arial"/>
        </w:rPr>
        <w:t xml:space="preserve">movements identified. </w:t>
      </w:r>
    </w:p>
    <w:p w14:paraId="1AEF4A53" w14:textId="77777777" w:rsidR="00C44B1C" w:rsidRDefault="00C44B1C" w:rsidP="00C44B1C">
      <w:pPr>
        <w:rPr>
          <w:rFonts w:ascii="Arial" w:hAnsi="Arial" w:cs="Arial"/>
        </w:rPr>
      </w:pPr>
    </w:p>
    <w:p w14:paraId="04983376" w14:textId="35FEF6C3" w:rsidR="008B7323" w:rsidRDefault="008B7323" w:rsidP="00C44B1C">
      <w:pPr>
        <w:rPr>
          <w:rFonts w:ascii="Arial" w:hAnsi="Arial" w:cs="Arial"/>
        </w:rPr>
      </w:pPr>
      <w:r>
        <w:rPr>
          <w:rFonts w:ascii="Arial" w:hAnsi="Arial" w:cs="Arial"/>
        </w:rPr>
        <w:t xml:space="preserve">On </w:t>
      </w:r>
      <w:r w:rsidR="006A5185">
        <w:rPr>
          <w:rFonts w:ascii="Arial" w:hAnsi="Arial" w:cs="Arial"/>
        </w:rPr>
        <w:t xml:space="preserve">consolidation of </w:t>
      </w:r>
      <w:r>
        <w:rPr>
          <w:rFonts w:ascii="Arial" w:hAnsi="Arial" w:cs="Arial"/>
        </w:rPr>
        <w:t>the</w:t>
      </w:r>
      <w:r w:rsidR="006A5185">
        <w:rPr>
          <w:rFonts w:ascii="Arial" w:hAnsi="Arial" w:cs="Arial"/>
        </w:rPr>
        <w:t xml:space="preserve"> new Group </w:t>
      </w:r>
      <w:r w:rsidR="00513478" w:rsidRPr="000C63F7">
        <w:rPr>
          <w:rFonts w:ascii="Arial" w:hAnsi="Arial" w:cs="Arial"/>
        </w:rPr>
        <w:t>company</w:t>
      </w:r>
      <w:r w:rsidR="00513478">
        <w:rPr>
          <w:rFonts w:ascii="Arial" w:hAnsi="Arial" w:cs="Arial"/>
        </w:rPr>
        <w:t>,</w:t>
      </w:r>
      <w:r w:rsidR="00513478">
        <w:rPr>
          <w:rFonts w:ascii="Arial" w:hAnsi="Arial" w:cs="Arial"/>
          <w:bCs/>
          <w:lang w:eastAsia="en-GB"/>
        </w:rPr>
        <w:t xml:space="preserve"> Greater Manchester Evergreen 2 </w:t>
      </w:r>
      <w:r w:rsidR="00513478" w:rsidRPr="0007572B">
        <w:rPr>
          <w:rFonts w:ascii="Arial" w:hAnsi="Arial" w:cs="Arial"/>
        </w:rPr>
        <w:t>Limited Partnership</w:t>
      </w:r>
      <w:r>
        <w:rPr>
          <w:rFonts w:ascii="Arial" w:hAnsi="Arial" w:cs="Arial"/>
        </w:rPr>
        <w:t xml:space="preserve">, </w:t>
      </w:r>
      <w:r w:rsidR="006A5185">
        <w:rPr>
          <w:rFonts w:ascii="Arial" w:hAnsi="Arial" w:cs="Arial"/>
        </w:rPr>
        <w:t>£</w:t>
      </w:r>
      <w:r w:rsidR="00773DD7">
        <w:rPr>
          <w:rFonts w:ascii="Arial" w:hAnsi="Arial" w:cs="Arial"/>
        </w:rPr>
        <w:t>15.383</w:t>
      </w:r>
      <w:r>
        <w:rPr>
          <w:rFonts w:ascii="Arial" w:hAnsi="Arial" w:cs="Arial"/>
        </w:rPr>
        <w:t>m</w:t>
      </w:r>
      <w:r w:rsidR="006A5185">
        <w:rPr>
          <w:rFonts w:ascii="Arial" w:hAnsi="Arial" w:cs="Arial"/>
        </w:rPr>
        <w:t xml:space="preserve"> </w:t>
      </w:r>
      <w:r>
        <w:rPr>
          <w:rFonts w:ascii="Arial" w:hAnsi="Arial" w:cs="Arial"/>
        </w:rPr>
        <w:t>has been i</w:t>
      </w:r>
      <w:r w:rsidR="006A5185">
        <w:rPr>
          <w:rFonts w:ascii="Arial" w:hAnsi="Arial" w:cs="Arial"/>
        </w:rPr>
        <w:t xml:space="preserve">ntroduced </w:t>
      </w:r>
      <w:r w:rsidR="00230EF6">
        <w:rPr>
          <w:rFonts w:ascii="Arial" w:hAnsi="Arial" w:cs="Arial"/>
        </w:rPr>
        <w:t>within operating activitie</w:t>
      </w:r>
      <w:r w:rsidR="00F82676">
        <w:rPr>
          <w:rFonts w:ascii="Arial" w:hAnsi="Arial" w:cs="Arial"/>
        </w:rPr>
        <w:t>s</w:t>
      </w:r>
      <w:r>
        <w:rPr>
          <w:rFonts w:ascii="Arial" w:hAnsi="Arial" w:cs="Arial"/>
        </w:rPr>
        <w:t>.</w:t>
      </w:r>
    </w:p>
    <w:p w14:paraId="30666CE2" w14:textId="75BA7D2E" w:rsidR="00E77BCD" w:rsidRPr="00E77BCD" w:rsidRDefault="00E77BCD" w:rsidP="00E77BCD">
      <w:pPr>
        <w:rPr>
          <w:rFonts w:ascii="Arial" w:hAnsi="Arial" w:cs="Arial"/>
          <w:color w:val="0070C0"/>
        </w:rPr>
      </w:pPr>
    </w:p>
    <w:p w14:paraId="646BE8D9" w14:textId="6C51DF90" w:rsidR="00E77BCD" w:rsidRPr="00F74ADA" w:rsidRDefault="00E77BCD" w:rsidP="00E77BCD">
      <w:pPr>
        <w:rPr>
          <w:rFonts w:ascii="Arial" w:hAnsi="Arial" w:cs="Arial"/>
        </w:rPr>
      </w:pPr>
      <w:r w:rsidRPr="00F74ADA">
        <w:rPr>
          <w:rFonts w:ascii="Arial" w:hAnsi="Arial" w:cs="Arial"/>
        </w:rPr>
        <w:t xml:space="preserve">Other </w:t>
      </w:r>
      <w:r w:rsidR="00916C67" w:rsidRPr="00F74ADA">
        <w:rPr>
          <w:rFonts w:ascii="Arial" w:hAnsi="Arial" w:cs="Arial"/>
        </w:rPr>
        <w:t xml:space="preserve">restatements </w:t>
      </w:r>
      <w:r w:rsidRPr="00F74ADA">
        <w:rPr>
          <w:rFonts w:ascii="Arial" w:hAnsi="Arial" w:cs="Arial"/>
        </w:rPr>
        <w:t xml:space="preserve">are due to </w:t>
      </w:r>
      <w:r w:rsidR="00916C67" w:rsidRPr="00F74ADA">
        <w:rPr>
          <w:rFonts w:ascii="Arial" w:hAnsi="Arial" w:cs="Arial"/>
        </w:rPr>
        <w:t xml:space="preserve">consolidation adjustments for TfGM intercompany debtor, creditor and provision movements, grants and contributions receivable </w:t>
      </w:r>
      <w:r w:rsidRPr="00F74ADA">
        <w:rPr>
          <w:rFonts w:ascii="Arial" w:hAnsi="Arial" w:cs="Arial"/>
        </w:rPr>
        <w:t xml:space="preserve">and </w:t>
      </w:r>
      <w:r w:rsidR="00916C67" w:rsidRPr="00F74ADA">
        <w:rPr>
          <w:rFonts w:ascii="Arial" w:hAnsi="Arial" w:cs="Arial"/>
        </w:rPr>
        <w:t>IAS19 pension adjustments.</w:t>
      </w:r>
    </w:p>
    <w:p w14:paraId="7E35825F" w14:textId="77777777" w:rsidR="008B7323" w:rsidRDefault="008B7323" w:rsidP="00C44B1C">
      <w:pPr>
        <w:rPr>
          <w:rFonts w:ascii="Arial" w:hAnsi="Arial" w:cs="Arial"/>
        </w:rPr>
      </w:pPr>
    </w:p>
    <w:p w14:paraId="0830741B" w14:textId="58146A56" w:rsidR="00C44B1C" w:rsidRDefault="00A63206" w:rsidP="00795BE0">
      <w:pPr>
        <w:rPr>
          <w:rFonts w:ascii="Arial" w:hAnsi="Arial" w:cs="Arial"/>
        </w:rPr>
      </w:pPr>
      <w:r w:rsidRPr="00A63206">
        <w:rPr>
          <w:noProof/>
        </w:rPr>
        <w:drawing>
          <wp:inline distT="0" distB="0" distL="0" distR="0" wp14:anchorId="1CE7A494" wp14:editId="7C6ED66F">
            <wp:extent cx="5892800" cy="2644140"/>
            <wp:effectExtent l="0" t="0" r="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92800" cy="2644140"/>
                    </a:xfrm>
                    <a:prstGeom prst="rect">
                      <a:avLst/>
                    </a:prstGeom>
                    <a:noFill/>
                    <a:ln>
                      <a:noFill/>
                    </a:ln>
                  </pic:spPr>
                </pic:pic>
              </a:graphicData>
            </a:graphic>
          </wp:inline>
        </w:drawing>
      </w:r>
    </w:p>
    <w:p w14:paraId="2DA628A4" w14:textId="77777777" w:rsidR="00C44B1C" w:rsidRDefault="00C44B1C" w:rsidP="00795BE0">
      <w:pPr>
        <w:rPr>
          <w:rFonts w:ascii="Arial" w:hAnsi="Arial" w:cs="Arial"/>
        </w:rPr>
      </w:pPr>
    </w:p>
    <w:p w14:paraId="255192A6" w14:textId="77777777" w:rsidR="00F82676" w:rsidRDefault="00F82676" w:rsidP="00795BE0">
      <w:pPr>
        <w:rPr>
          <w:rFonts w:ascii="Arial" w:hAnsi="Arial" w:cs="Arial"/>
        </w:rPr>
      </w:pPr>
    </w:p>
    <w:p w14:paraId="1E5035D6" w14:textId="3BA1FDD7" w:rsidR="00C44B1C" w:rsidRDefault="00C44B1C" w:rsidP="00795BE0">
      <w:pPr>
        <w:rPr>
          <w:rFonts w:ascii="Arial" w:hAnsi="Arial" w:cs="Arial"/>
        </w:rPr>
      </w:pPr>
    </w:p>
    <w:p w14:paraId="4B78ADB5" w14:textId="5AB8EBDA" w:rsidR="00F82676" w:rsidRDefault="00773DD7" w:rsidP="00795BE0">
      <w:pPr>
        <w:rPr>
          <w:rFonts w:ascii="Arial" w:hAnsi="Arial" w:cs="Arial"/>
        </w:rPr>
      </w:pPr>
      <w:r w:rsidRPr="00773DD7">
        <w:rPr>
          <w:noProof/>
        </w:rPr>
        <w:lastRenderedPageBreak/>
        <w:drawing>
          <wp:inline distT="0" distB="0" distL="0" distR="0" wp14:anchorId="2DBB76EE" wp14:editId="6AE0E6BC">
            <wp:extent cx="5892800" cy="42805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92800" cy="4280535"/>
                    </a:xfrm>
                    <a:prstGeom prst="rect">
                      <a:avLst/>
                    </a:prstGeom>
                    <a:noFill/>
                    <a:ln>
                      <a:noFill/>
                    </a:ln>
                  </pic:spPr>
                </pic:pic>
              </a:graphicData>
            </a:graphic>
          </wp:inline>
        </w:drawing>
      </w:r>
    </w:p>
    <w:p w14:paraId="527155E7" w14:textId="77777777" w:rsidR="00F82676" w:rsidRDefault="00F82676" w:rsidP="00795BE0">
      <w:pPr>
        <w:rPr>
          <w:rFonts w:ascii="Arial" w:hAnsi="Arial" w:cs="Arial"/>
        </w:rPr>
      </w:pPr>
    </w:p>
    <w:p w14:paraId="578CEAA2" w14:textId="24133C6F" w:rsidR="00F82676" w:rsidRDefault="00F03D82" w:rsidP="00795BE0">
      <w:pPr>
        <w:rPr>
          <w:rFonts w:ascii="Arial" w:hAnsi="Arial" w:cs="Arial"/>
        </w:rPr>
      </w:pPr>
      <w:r w:rsidRPr="00F03D82">
        <w:rPr>
          <w:noProof/>
        </w:rPr>
        <w:drawing>
          <wp:inline distT="0" distB="0" distL="0" distR="0" wp14:anchorId="5118068E" wp14:editId="686A9E56">
            <wp:extent cx="5892800" cy="177990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92800" cy="1779905"/>
                    </a:xfrm>
                    <a:prstGeom prst="rect">
                      <a:avLst/>
                    </a:prstGeom>
                    <a:noFill/>
                    <a:ln>
                      <a:noFill/>
                    </a:ln>
                  </pic:spPr>
                </pic:pic>
              </a:graphicData>
            </a:graphic>
          </wp:inline>
        </w:drawing>
      </w:r>
    </w:p>
    <w:p w14:paraId="1252711E" w14:textId="77777777" w:rsidR="0033617C" w:rsidRDefault="0033617C" w:rsidP="00795BE0">
      <w:pPr>
        <w:rPr>
          <w:rFonts w:ascii="Arial" w:hAnsi="Arial" w:cs="Arial"/>
        </w:rPr>
      </w:pPr>
    </w:p>
    <w:p w14:paraId="5E765458" w14:textId="77777777" w:rsidR="0033617C" w:rsidRDefault="0033617C" w:rsidP="00795BE0">
      <w:pPr>
        <w:rPr>
          <w:rFonts w:ascii="Arial" w:hAnsi="Arial" w:cs="Arial"/>
        </w:rPr>
      </w:pPr>
    </w:p>
    <w:p w14:paraId="075E27C9" w14:textId="77777777" w:rsidR="0033617C" w:rsidRDefault="0033617C" w:rsidP="00795BE0">
      <w:pPr>
        <w:rPr>
          <w:rFonts w:ascii="Arial" w:hAnsi="Arial" w:cs="Arial"/>
        </w:rPr>
      </w:pPr>
    </w:p>
    <w:p w14:paraId="37C5D780" w14:textId="77777777" w:rsidR="0033617C" w:rsidRDefault="0033617C" w:rsidP="00795BE0">
      <w:pPr>
        <w:rPr>
          <w:rFonts w:ascii="Arial" w:hAnsi="Arial" w:cs="Arial"/>
        </w:rPr>
      </w:pPr>
    </w:p>
    <w:p w14:paraId="7B0046A2" w14:textId="77777777" w:rsidR="0033617C" w:rsidRDefault="0033617C" w:rsidP="00795BE0">
      <w:pPr>
        <w:rPr>
          <w:rFonts w:ascii="Arial" w:hAnsi="Arial" w:cs="Arial"/>
        </w:rPr>
      </w:pPr>
    </w:p>
    <w:p w14:paraId="02E016A1" w14:textId="77777777" w:rsidR="0033617C" w:rsidRDefault="0033617C" w:rsidP="00795BE0">
      <w:pPr>
        <w:rPr>
          <w:rFonts w:ascii="Arial" w:hAnsi="Arial" w:cs="Arial"/>
        </w:rPr>
      </w:pPr>
    </w:p>
    <w:p w14:paraId="08818006" w14:textId="77777777" w:rsidR="0033617C" w:rsidRDefault="0033617C" w:rsidP="00795BE0">
      <w:pPr>
        <w:rPr>
          <w:rFonts w:ascii="Arial" w:hAnsi="Arial" w:cs="Arial"/>
        </w:rPr>
      </w:pPr>
    </w:p>
    <w:p w14:paraId="3E0E074A" w14:textId="77777777" w:rsidR="0033617C" w:rsidRDefault="0033617C" w:rsidP="00795BE0">
      <w:pPr>
        <w:rPr>
          <w:rFonts w:ascii="Arial" w:hAnsi="Arial" w:cs="Arial"/>
        </w:rPr>
      </w:pPr>
    </w:p>
    <w:p w14:paraId="4BD1CF17" w14:textId="77777777" w:rsidR="0033617C" w:rsidRDefault="0033617C" w:rsidP="00795BE0">
      <w:pPr>
        <w:rPr>
          <w:rFonts w:ascii="Arial" w:hAnsi="Arial" w:cs="Arial"/>
        </w:rPr>
      </w:pPr>
    </w:p>
    <w:p w14:paraId="3791CCF6" w14:textId="77777777" w:rsidR="0033617C" w:rsidRDefault="0033617C" w:rsidP="00795BE0">
      <w:pPr>
        <w:rPr>
          <w:rFonts w:ascii="Arial" w:hAnsi="Arial" w:cs="Arial"/>
        </w:rPr>
      </w:pPr>
    </w:p>
    <w:p w14:paraId="54977E9E" w14:textId="77777777" w:rsidR="0033617C" w:rsidRDefault="0033617C" w:rsidP="00795BE0">
      <w:pPr>
        <w:rPr>
          <w:rFonts w:ascii="Arial" w:hAnsi="Arial" w:cs="Arial"/>
        </w:rPr>
      </w:pPr>
    </w:p>
    <w:p w14:paraId="296562F0" w14:textId="77777777" w:rsidR="0033617C" w:rsidRDefault="0033617C" w:rsidP="00795BE0">
      <w:pPr>
        <w:rPr>
          <w:rFonts w:ascii="Arial" w:hAnsi="Arial" w:cs="Arial"/>
        </w:rPr>
      </w:pPr>
    </w:p>
    <w:p w14:paraId="2D9F3873" w14:textId="77777777" w:rsidR="0033617C" w:rsidRDefault="0033617C" w:rsidP="00795BE0">
      <w:pPr>
        <w:rPr>
          <w:rFonts w:ascii="Arial" w:hAnsi="Arial" w:cs="Arial"/>
        </w:rPr>
      </w:pPr>
    </w:p>
    <w:p w14:paraId="0DDF4DE0" w14:textId="77777777" w:rsidR="0033617C" w:rsidRDefault="0033617C" w:rsidP="00795BE0">
      <w:pPr>
        <w:rPr>
          <w:rFonts w:ascii="Arial" w:hAnsi="Arial" w:cs="Arial"/>
        </w:rPr>
      </w:pPr>
    </w:p>
    <w:p w14:paraId="0A637B57" w14:textId="77777777" w:rsidR="0033617C" w:rsidRDefault="0033617C" w:rsidP="00795BE0">
      <w:pPr>
        <w:rPr>
          <w:rFonts w:ascii="Arial" w:hAnsi="Arial" w:cs="Arial"/>
        </w:rPr>
      </w:pPr>
    </w:p>
    <w:p w14:paraId="2359BF33" w14:textId="77777777" w:rsidR="0033617C" w:rsidRDefault="0033617C" w:rsidP="00795BE0">
      <w:pPr>
        <w:rPr>
          <w:rFonts w:ascii="Arial" w:hAnsi="Arial" w:cs="Arial"/>
        </w:rPr>
      </w:pPr>
    </w:p>
    <w:p w14:paraId="56E670AE" w14:textId="77777777" w:rsidR="00F82676" w:rsidRDefault="00F82676" w:rsidP="00795BE0">
      <w:pPr>
        <w:rPr>
          <w:rFonts w:ascii="Arial" w:hAnsi="Arial" w:cs="Arial"/>
        </w:rPr>
      </w:pPr>
    </w:p>
    <w:p w14:paraId="1BE2CB3F" w14:textId="0D866795" w:rsidR="0033617C" w:rsidRDefault="0033617C" w:rsidP="0033617C">
      <w:pPr>
        <w:pStyle w:val="Heading3greennumbered"/>
      </w:pPr>
      <w:r>
        <w:lastRenderedPageBreak/>
        <w:t>62</w:t>
      </w:r>
      <w:r w:rsidRPr="0033617C">
        <w:t xml:space="preserve"> Events After the Reporting Period</w:t>
      </w:r>
      <w:bookmarkStart w:id="348" w:name="_Toc92895261"/>
      <w:bookmarkStart w:id="349" w:name="_Toc109922695"/>
    </w:p>
    <w:p w14:paraId="31C18BDE" w14:textId="048C77F6" w:rsidR="0033617C" w:rsidRPr="0007572B" w:rsidRDefault="0033617C" w:rsidP="0033617C">
      <w:pPr>
        <w:rPr>
          <w:rFonts w:ascii="Arial" w:hAnsi="Arial" w:cs="Arial"/>
        </w:rPr>
      </w:pPr>
      <w:r w:rsidRPr="0007572B">
        <w:rPr>
          <w:rFonts w:ascii="Arial" w:hAnsi="Arial" w:cs="Arial"/>
        </w:rPr>
        <w:t>Events after the Balance Sheet date are those events, both favourable and unfavourable, that occur between the end of the reporting period and the date when the Statement of Accounts is authorised for issue. Two types of events can be identified:</w:t>
      </w:r>
    </w:p>
    <w:p w14:paraId="691F92C5" w14:textId="77777777" w:rsidR="0033617C" w:rsidRPr="0007572B" w:rsidRDefault="0033617C" w:rsidP="0033617C">
      <w:pPr>
        <w:autoSpaceDE w:val="0"/>
        <w:autoSpaceDN w:val="0"/>
        <w:adjustRightInd w:val="0"/>
        <w:rPr>
          <w:rFonts w:ascii="Arial" w:hAnsi="Arial" w:cs="Arial"/>
          <w:lang w:eastAsia="en-GB"/>
        </w:rPr>
      </w:pPr>
    </w:p>
    <w:p w14:paraId="7B4E8893" w14:textId="77777777" w:rsidR="0033617C" w:rsidRPr="0007572B" w:rsidRDefault="0033617C" w:rsidP="0033617C">
      <w:pPr>
        <w:pStyle w:val="ListParagraph"/>
        <w:widowControl w:val="0"/>
        <w:numPr>
          <w:ilvl w:val="0"/>
          <w:numId w:val="42"/>
        </w:numPr>
        <w:tabs>
          <w:tab w:val="left" w:pos="8789"/>
        </w:tabs>
        <w:autoSpaceDE w:val="0"/>
        <w:autoSpaceDN w:val="0"/>
        <w:adjustRightInd w:val="0"/>
        <w:spacing w:before="72" w:line="240" w:lineRule="auto"/>
        <w:ind w:right="226"/>
        <w:rPr>
          <w:rFonts w:ascii="Arial" w:eastAsia="Verdana" w:hAnsi="Arial" w:cs="Arial"/>
          <w:sz w:val="24"/>
          <w:szCs w:val="24"/>
        </w:rPr>
      </w:pPr>
      <w:r w:rsidRPr="0007572B">
        <w:rPr>
          <w:rFonts w:ascii="Arial" w:hAnsi="Arial" w:cs="Arial"/>
          <w:sz w:val="24"/>
          <w:szCs w:val="24"/>
        </w:rPr>
        <w:t>those that provide evidence of conditions that existed at the end of the reporting period – the Statement of Accounts is adjusted to reflect such events</w:t>
      </w:r>
    </w:p>
    <w:p w14:paraId="0EDA56A8" w14:textId="77777777" w:rsidR="0033617C" w:rsidRPr="00D66E9C" w:rsidRDefault="0033617C" w:rsidP="0033617C">
      <w:pPr>
        <w:pStyle w:val="ListParagraph"/>
        <w:numPr>
          <w:ilvl w:val="0"/>
          <w:numId w:val="42"/>
        </w:numPr>
        <w:autoSpaceDE w:val="0"/>
        <w:autoSpaceDN w:val="0"/>
        <w:adjustRightInd w:val="0"/>
        <w:spacing w:line="240" w:lineRule="auto"/>
        <w:rPr>
          <w:rFonts w:ascii="Arial" w:hAnsi="Arial" w:cs="Arial"/>
          <w:i/>
          <w:iCs/>
          <w:sz w:val="24"/>
          <w:szCs w:val="24"/>
        </w:rPr>
      </w:pPr>
      <w:r w:rsidRPr="0007572B">
        <w:rPr>
          <w:rFonts w:ascii="Arial" w:hAnsi="Arial" w:cs="Arial"/>
          <w:sz w:val="24"/>
          <w:szCs w:val="24"/>
        </w:rPr>
        <w:t xml:space="preserve">those that are indicative of conditions that arose after the reporting period – the Statement of Accounts is not adjusted to reflect such events, but where a category of events would have a material effect, disclosure is made in the notes </w:t>
      </w:r>
      <w:r w:rsidRPr="00D66E9C">
        <w:rPr>
          <w:rFonts w:ascii="Arial" w:hAnsi="Arial" w:cs="Arial"/>
          <w:sz w:val="24"/>
          <w:szCs w:val="24"/>
        </w:rPr>
        <w:t>of the nature of the events and their estimated financial effect.</w:t>
      </w:r>
    </w:p>
    <w:p w14:paraId="693B2A32" w14:textId="7FC72112" w:rsidR="0033617C" w:rsidRPr="003A0B61" w:rsidRDefault="0033617C" w:rsidP="0033617C">
      <w:pPr>
        <w:rPr>
          <w:rFonts w:ascii="Arial" w:hAnsi="Arial" w:cs="Arial"/>
        </w:rPr>
      </w:pPr>
      <w:r w:rsidRPr="003A0B61">
        <w:rPr>
          <w:rFonts w:ascii="Arial" w:hAnsi="Arial" w:cs="Arial"/>
        </w:rPr>
        <w:t xml:space="preserve">The Statement of Accounts was authorised for issue by the </w:t>
      </w:r>
      <w:r>
        <w:rPr>
          <w:rFonts w:ascii="Arial" w:hAnsi="Arial" w:cs="Arial"/>
        </w:rPr>
        <w:t>Treasurer</w:t>
      </w:r>
      <w:r w:rsidRPr="003A0B61">
        <w:rPr>
          <w:rFonts w:ascii="Arial" w:hAnsi="Arial" w:cs="Arial"/>
        </w:rPr>
        <w:t xml:space="preserve"> </w:t>
      </w:r>
      <w:r>
        <w:rPr>
          <w:rFonts w:ascii="Arial" w:hAnsi="Arial" w:cs="Arial"/>
        </w:rPr>
        <w:t xml:space="preserve">on </w:t>
      </w:r>
      <w:r w:rsidR="004F3512">
        <w:rPr>
          <w:rFonts w:ascii="Arial" w:hAnsi="Arial" w:cs="Arial"/>
        </w:rPr>
        <w:t>9 November</w:t>
      </w:r>
      <w:r w:rsidRPr="00D20EBF">
        <w:rPr>
          <w:rFonts w:ascii="Arial" w:eastAsia="Palatino Linotype" w:hAnsi="Arial" w:cs="Arial"/>
          <w:highlight w:val="yellow"/>
          <w:lang w:val="en-US"/>
        </w:rPr>
        <w:t xml:space="preserve"> </w:t>
      </w:r>
      <w:r w:rsidRPr="004F3512">
        <w:rPr>
          <w:rFonts w:ascii="Arial" w:eastAsia="Palatino Linotype" w:hAnsi="Arial" w:cs="Arial"/>
          <w:lang w:val="en-US"/>
        </w:rPr>
        <w:t>2023</w:t>
      </w:r>
      <w:r w:rsidRPr="004F3512">
        <w:rPr>
          <w:rFonts w:ascii="Arial" w:hAnsi="Arial" w:cs="Arial"/>
        </w:rPr>
        <w:t>.</w:t>
      </w:r>
      <w:r w:rsidRPr="003A0B61">
        <w:rPr>
          <w:rFonts w:ascii="Arial" w:hAnsi="Arial" w:cs="Arial"/>
        </w:rPr>
        <w:t xml:space="preserve"> Events taking place after this date are not reflected in the financial statement</w:t>
      </w:r>
      <w:r>
        <w:rPr>
          <w:rFonts w:ascii="Arial" w:hAnsi="Arial" w:cs="Arial"/>
        </w:rPr>
        <w:t>s</w:t>
      </w:r>
      <w:r w:rsidRPr="003A0B61">
        <w:rPr>
          <w:rFonts w:ascii="Arial" w:hAnsi="Arial" w:cs="Arial"/>
        </w:rPr>
        <w:t xml:space="preserve"> or notes.</w:t>
      </w:r>
    </w:p>
    <w:p w14:paraId="1DCE9EBA" w14:textId="77777777" w:rsidR="0033617C" w:rsidRPr="003A0B61" w:rsidRDefault="0033617C" w:rsidP="0033617C">
      <w:pPr>
        <w:rPr>
          <w:rFonts w:ascii="Arial" w:hAnsi="Arial" w:cs="Arial"/>
        </w:rPr>
      </w:pPr>
    </w:p>
    <w:p w14:paraId="1AAC01E4" w14:textId="77777777" w:rsidR="0033617C" w:rsidRPr="003A0B61" w:rsidRDefault="0033617C" w:rsidP="0033617C">
      <w:pPr>
        <w:rPr>
          <w:rFonts w:ascii="Arial" w:hAnsi="Arial" w:cs="Arial"/>
        </w:rPr>
      </w:pPr>
      <w:r w:rsidRPr="003A0B61">
        <w:rPr>
          <w:rFonts w:ascii="Arial" w:hAnsi="Arial" w:cs="Arial"/>
        </w:rPr>
        <w:t>Where events taking place before this date provided information about conditions existing at 31 March 2022, the figures in the financial statements and notes have been adjusted in all material respects to reflect the impact of this informatio</w:t>
      </w:r>
      <w:r>
        <w:rPr>
          <w:rFonts w:ascii="Arial" w:hAnsi="Arial" w:cs="Arial"/>
        </w:rPr>
        <w:t>n as detailed below.</w:t>
      </w:r>
    </w:p>
    <w:p w14:paraId="53D143C5" w14:textId="77777777" w:rsidR="0033617C" w:rsidRPr="003A0B61" w:rsidRDefault="0033617C" w:rsidP="0033617C">
      <w:pPr>
        <w:rPr>
          <w:rFonts w:ascii="Arial" w:hAnsi="Arial" w:cs="Arial"/>
        </w:rPr>
      </w:pPr>
    </w:p>
    <w:p w14:paraId="1E21C265" w14:textId="77777777" w:rsidR="0033617C" w:rsidRDefault="0033617C" w:rsidP="0033617C">
      <w:pPr>
        <w:autoSpaceDE w:val="0"/>
        <w:autoSpaceDN w:val="0"/>
        <w:adjustRightInd w:val="0"/>
        <w:rPr>
          <w:rFonts w:ascii="Arial" w:hAnsi="Arial" w:cs="Arial"/>
        </w:rPr>
      </w:pPr>
      <w:r w:rsidRPr="00227CBF">
        <w:rPr>
          <w:rFonts w:ascii="Arial" w:hAnsi="Arial" w:cs="Arial"/>
        </w:rPr>
        <w:t>A full valuation of the Local Government Pension Scheme liabilities is carried out every three years. The latest full valuation of the scheme is at 31 March 2022, using membership data up to that date and was published in March 2023. Actuarial estimates have been revised based on the latest full valuation which has</w:t>
      </w:r>
      <w:r>
        <w:rPr>
          <w:rFonts w:ascii="Arial" w:hAnsi="Arial" w:cs="Arial"/>
        </w:rPr>
        <w:t>:</w:t>
      </w:r>
    </w:p>
    <w:p w14:paraId="102B70C4" w14:textId="77777777" w:rsidR="0033617C" w:rsidRDefault="0033617C" w:rsidP="0033617C">
      <w:pPr>
        <w:autoSpaceDE w:val="0"/>
        <w:autoSpaceDN w:val="0"/>
        <w:adjustRightInd w:val="0"/>
        <w:rPr>
          <w:rFonts w:ascii="Arial" w:hAnsi="Arial" w:cs="Arial"/>
        </w:rPr>
      </w:pPr>
    </w:p>
    <w:p w14:paraId="0AC12C14" w14:textId="77777777" w:rsidR="0033617C" w:rsidRPr="0033617C" w:rsidRDefault="0033617C" w:rsidP="0033617C">
      <w:pPr>
        <w:pStyle w:val="ListParagraph"/>
        <w:numPr>
          <w:ilvl w:val="0"/>
          <w:numId w:val="88"/>
        </w:numPr>
        <w:autoSpaceDE w:val="0"/>
        <w:autoSpaceDN w:val="0"/>
        <w:adjustRightInd w:val="0"/>
        <w:ind w:left="720"/>
        <w:rPr>
          <w:rFonts w:ascii="Arial" w:hAnsi="Arial" w:cs="Arial"/>
        </w:rPr>
      </w:pPr>
      <w:r w:rsidRPr="0033617C">
        <w:rPr>
          <w:rFonts w:ascii="Arial" w:hAnsi="Arial" w:cs="Arial"/>
        </w:rPr>
        <w:t xml:space="preserve">reduced the 2021/22 Group Accounts pension liability and pension reserve by £75.372m. </w:t>
      </w:r>
    </w:p>
    <w:p w14:paraId="1645FF05" w14:textId="77777777" w:rsidR="0033617C" w:rsidRDefault="0033617C" w:rsidP="0033617C">
      <w:pPr>
        <w:pStyle w:val="ListParagraph"/>
        <w:autoSpaceDE w:val="0"/>
        <w:autoSpaceDN w:val="0"/>
        <w:adjustRightInd w:val="0"/>
        <w:rPr>
          <w:rFonts w:ascii="Arial" w:hAnsi="Arial" w:cs="Arial"/>
          <w:highlight w:val="yellow"/>
        </w:rPr>
      </w:pPr>
    </w:p>
    <w:p w14:paraId="5AF71963" w14:textId="154CB6DD" w:rsidR="004F3512" w:rsidRDefault="004F3512">
      <w:pPr>
        <w:rPr>
          <w:rFonts w:ascii="Arial" w:hAnsi="Arial" w:cs="Arial"/>
          <w:sz w:val="22"/>
          <w:szCs w:val="22"/>
          <w:highlight w:val="yellow"/>
          <w:lang w:eastAsia="en-GB"/>
        </w:rPr>
      </w:pPr>
      <w:r>
        <w:rPr>
          <w:rFonts w:ascii="Arial" w:hAnsi="Arial" w:cs="Arial"/>
          <w:highlight w:val="yellow"/>
        </w:rPr>
        <w:br w:type="page"/>
      </w:r>
    </w:p>
    <w:p w14:paraId="3B0FF18F" w14:textId="77777777" w:rsidR="0033617C" w:rsidRPr="00390EA6" w:rsidRDefault="0033617C" w:rsidP="0033617C">
      <w:pPr>
        <w:pStyle w:val="ListParagraph"/>
        <w:autoSpaceDE w:val="0"/>
        <w:autoSpaceDN w:val="0"/>
        <w:adjustRightInd w:val="0"/>
        <w:rPr>
          <w:rFonts w:ascii="Arial" w:hAnsi="Arial" w:cs="Arial"/>
          <w:highlight w:val="yellow"/>
        </w:rPr>
      </w:pPr>
    </w:p>
    <w:p w14:paraId="39183D48" w14:textId="77777777" w:rsidR="00585B0A" w:rsidRPr="0007572B" w:rsidRDefault="00585B0A" w:rsidP="0045408E">
      <w:pPr>
        <w:pStyle w:val="Heading3greennumbered"/>
      </w:pPr>
      <w:r w:rsidRPr="0007572B">
        <w:t>Police Pension Fund</w:t>
      </w:r>
      <w:bookmarkEnd w:id="348"/>
      <w:bookmarkEnd w:id="349"/>
    </w:p>
    <w:p w14:paraId="71F3BEAE" w14:textId="77777777" w:rsidR="00585B0A" w:rsidRDefault="00585B0A" w:rsidP="00585B0A">
      <w:pPr>
        <w:rPr>
          <w:rFonts w:ascii="Arial" w:hAnsi="Arial" w:cs="Arial"/>
        </w:rPr>
      </w:pPr>
    </w:p>
    <w:p w14:paraId="2EE71D03" w14:textId="77777777" w:rsidR="00585B0A" w:rsidRPr="0007572B" w:rsidRDefault="00585B0A" w:rsidP="00585B0A">
      <w:pPr>
        <w:rPr>
          <w:rFonts w:ascii="Arial" w:hAnsi="Arial" w:cs="Arial"/>
        </w:rPr>
      </w:pPr>
      <w:r w:rsidRPr="0007572B">
        <w:rPr>
          <w:rFonts w:ascii="Arial" w:hAnsi="Arial" w:cs="Arial"/>
        </w:rPr>
        <w:t>The Police Pension Scheme is unfunded. Both employer and employee pension contributions are based on a percentage of pay, which is paid into the Pension Fund. The amounts that must be paid into and out of the Pension Fund are specified by the Police Pension Fund Regulations 2007 and do not include injury awards.</w:t>
      </w:r>
    </w:p>
    <w:p w14:paraId="7350C30B" w14:textId="77777777" w:rsidR="00585B0A" w:rsidRPr="0007572B" w:rsidRDefault="00585B0A" w:rsidP="00585B0A">
      <w:pPr>
        <w:pStyle w:val="Heading3"/>
      </w:pPr>
      <w:bookmarkStart w:id="350" w:name="_Toc92894958"/>
      <w:bookmarkStart w:id="351" w:name="_Toc92895262"/>
      <w:bookmarkStart w:id="352" w:name="_Toc109922696"/>
      <w:r w:rsidRPr="0007572B">
        <w:t>Police Pension Fund Account</w:t>
      </w:r>
      <w:bookmarkEnd w:id="350"/>
      <w:bookmarkEnd w:id="351"/>
      <w:bookmarkEnd w:id="352"/>
    </w:p>
    <w:p w14:paraId="7C577DB8" w14:textId="77777777" w:rsidR="00585B0A" w:rsidRPr="0007572B" w:rsidRDefault="00585B0A" w:rsidP="00585B0A">
      <w:pPr>
        <w:rPr>
          <w:rFonts w:ascii="Arial" w:hAnsi="Arial" w:cs="Arial"/>
          <w:sz w:val="28"/>
          <w:szCs w:val="28"/>
        </w:rPr>
      </w:pPr>
    </w:p>
    <w:p w14:paraId="437EFE72" w14:textId="77777777" w:rsidR="00585B0A" w:rsidRPr="0007572B" w:rsidRDefault="00585B0A" w:rsidP="00585B0A">
      <w:pPr>
        <w:rPr>
          <w:rFonts w:ascii="Arial" w:hAnsi="Arial" w:cs="Arial"/>
          <w:sz w:val="28"/>
          <w:szCs w:val="28"/>
        </w:rPr>
      </w:pPr>
      <w:r w:rsidRPr="00A32B6E">
        <w:rPr>
          <w:noProof/>
        </w:rPr>
        <w:drawing>
          <wp:inline distT="0" distB="0" distL="0" distR="0" wp14:anchorId="36E38608" wp14:editId="5199A1F1">
            <wp:extent cx="5892800" cy="383730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92800" cy="3837305"/>
                    </a:xfrm>
                    <a:prstGeom prst="rect">
                      <a:avLst/>
                    </a:prstGeom>
                    <a:noFill/>
                    <a:ln>
                      <a:noFill/>
                    </a:ln>
                  </pic:spPr>
                </pic:pic>
              </a:graphicData>
            </a:graphic>
          </wp:inline>
        </w:drawing>
      </w:r>
    </w:p>
    <w:p w14:paraId="79F425F7" w14:textId="77777777" w:rsidR="00585B0A" w:rsidRPr="0007572B" w:rsidRDefault="00585B0A" w:rsidP="00585B0A">
      <w:pPr>
        <w:rPr>
          <w:rFonts w:ascii="Arial" w:hAnsi="Arial" w:cs="Arial"/>
          <w:sz w:val="18"/>
          <w:szCs w:val="18"/>
        </w:rPr>
      </w:pPr>
    </w:p>
    <w:p w14:paraId="26616AAB" w14:textId="77777777" w:rsidR="00585B0A" w:rsidRPr="0007572B" w:rsidRDefault="00585B0A" w:rsidP="00585B0A">
      <w:pPr>
        <w:pStyle w:val="Heading3"/>
      </w:pPr>
      <w:bookmarkStart w:id="353" w:name="_Toc92894959"/>
      <w:bookmarkStart w:id="354" w:name="_Toc92895263"/>
      <w:bookmarkStart w:id="355" w:name="_Toc109922697"/>
      <w:r w:rsidRPr="0007572B">
        <w:t>Net asset statement</w:t>
      </w:r>
      <w:bookmarkEnd w:id="353"/>
      <w:bookmarkEnd w:id="354"/>
      <w:bookmarkEnd w:id="355"/>
    </w:p>
    <w:p w14:paraId="0245F85E" w14:textId="77777777" w:rsidR="00585B0A" w:rsidRPr="0007572B" w:rsidRDefault="00585B0A" w:rsidP="00585B0A">
      <w:pPr>
        <w:rPr>
          <w:rFonts w:ascii="Arial" w:hAnsi="Arial" w:cs="Arial"/>
          <w:sz w:val="18"/>
          <w:szCs w:val="18"/>
        </w:rPr>
      </w:pPr>
    </w:p>
    <w:p w14:paraId="5155E43F" w14:textId="77777777" w:rsidR="00585B0A" w:rsidRPr="0007572B" w:rsidRDefault="00585B0A" w:rsidP="00585B0A">
      <w:pPr>
        <w:rPr>
          <w:rFonts w:ascii="Arial" w:hAnsi="Arial" w:cs="Arial"/>
          <w:sz w:val="18"/>
          <w:szCs w:val="18"/>
        </w:rPr>
      </w:pPr>
      <w:r w:rsidRPr="00A32B6E">
        <w:rPr>
          <w:noProof/>
        </w:rPr>
        <w:drawing>
          <wp:inline distT="0" distB="0" distL="0" distR="0" wp14:anchorId="0DE68DDE" wp14:editId="60DD4607">
            <wp:extent cx="5892800" cy="63246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92800" cy="632460"/>
                    </a:xfrm>
                    <a:prstGeom prst="rect">
                      <a:avLst/>
                    </a:prstGeom>
                    <a:noFill/>
                    <a:ln>
                      <a:noFill/>
                    </a:ln>
                  </pic:spPr>
                </pic:pic>
              </a:graphicData>
            </a:graphic>
          </wp:inline>
        </w:drawing>
      </w:r>
    </w:p>
    <w:p w14:paraId="67222445" w14:textId="77777777" w:rsidR="00585B0A" w:rsidRDefault="00585B0A" w:rsidP="00585B0A">
      <w:pPr>
        <w:rPr>
          <w:rFonts w:ascii="Arial" w:hAnsi="Arial" w:cs="Arial"/>
          <w:b/>
          <w:bCs/>
          <w:sz w:val="26"/>
          <w:szCs w:val="26"/>
        </w:rPr>
      </w:pPr>
      <w:bookmarkStart w:id="356" w:name="_Toc92894960"/>
      <w:bookmarkStart w:id="357" w:name="_Toc92895264"/>
    </w:p>
    <w:p w14:paraId="23D664AD" w14:textId="77777777" w:rsidR="00585B0A" w:rsidRPr="0007572B" w:rsidRDefault="00585B0A" w:rsidP="00585B0A">
      <w:pPr>
        <w:pStyle w:val="Heading3"/>
      </w:pPr>
      <w:bookmarkStart w:id="358" w:name="_Toc109922698"/>
      <w:r w:rsidRPr="0007572B">
        <w:t>Contribution rates</w:t>
      </w:r>
      <w:bookmarkEnd w:id="356"/>
      <w:bookmarkEnd w:id="357"/>
      <w:bookmarkEnd w:id="358"/>
    </w:p>
    <w:p w14:paraId="72E1131E" w14:textId="77777777" w:rsidR="00585B0A" w:rsidRPr="0007572B" w:rsidRDefault="00585B0A" w:rsidP="00585B0A">
      <w:pPr>
        <w:rPr>
          <w:rFonts w:ascii="Arial" w:hAnsi="Arial" w:cs="Arial"/>
          <w:b/>
        </w:rPr>
      </w:pPr>
    </w:p>
    <w:p w14:paraId="3FA750AC" w14:textId="77777777" w:rsidR="00585B0A" w:rsidRPr="0007572B" w:rsidRDefault="00585B0A" w:rsidP="00585B0A">
      <w:pPr>
        <w:rPr>
          <w:rFonts w:ascii="Arial" w:hAnsi="Arial" w:cs="Arial"/>
          <w:b/>
          <w:u w:val="single"/>
        </w:rPr>
      </w:pPr>
      <w:r w:rsidRPr="00A32B6E">
        <w:rPr>
          <w:noProof/>
        </w:rPr>
        <w:drawing>
          <wp:inline distT="0" distB="0" distL="0" distR="0" wp14:anchorId="23D46638" wp14:editId="2662267F">
            <wp:extent cx="5892800" cy="11334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892800" cy="1133475"/>
                    </a:xfrm>
                    <a:prstGeom prst="rect">
                      <a:avLst/>
                    </a:prstGeom>
                    <a:noFill/>
                    <a:ln>
                      <a:noFill/>
                    </a:ln>
                  </pic:spPr>
                </pic:pic>
              </a:graphicData>
            </a:graphic>
          </wp:inline>
        </w:drawing>
      </w:r>
    </w:p>
    <w:p w14:paraId="10CEAA2F" w14:textId="77777777" w:rsidR="00585B0A" w:rsidRPr="0007572B" w:rsidRDefault="00585B0A" w:rsidP="00585B0A">
      <w:pPr>
        <w:rPr>
          <w:rFonts w:ascii="Arial" w:hAnsi="Arial" w:cs="Arial"/>
          <w:b/>
          <w:u w:val="single"/>
        </w:rPr>
      </w:pPr>
    </w:p>
    <w:p w14:paraId="63637C6D" w14:textId="77777777" w:rsidR="00585B0A" w:rsidRPr="0007572B" w:rsidRDefault="00585B0A" w:rsidP="00585B0A">
      <w:pPr>
        <w:pStyle w:val="Heading3"/>
      </w:pPr>
      <w:bookmarkStart w:id="359" w:name="_Toc92894961"/>
      <w:bookmarkStart w:id="360" w:name="_Toc92895265"/>
      <w:bookmarkStart w:id="361" w:name="_Toc109922699"/>
      <w:r w:rsidRPr="0007572B">
        <w:lastRenderedPageBreak/>
        <w:t>Notes to the Police Pension Fund Account and Net Assets Statement</w:t>
      </w:r>
      <w:bookmarkEnd w:id="359"/>
      <w:bookmarkEnd w:id="360"/>
      <w:bookmarkEnd w:id="361"/>
    </w:p>
    <w:p w14:paraId="7AA95A01" w14:textId="77777777" w:rsidR="00585B0A" w:rsidRPr="0007572B" w:rsidRDefault="00585B0A" w:rsidP="00585B0A">
      <w:pPr>
        <w:ind w:left="142" w:hanging="142"/>
        <w:rPr>
          <w:rFonts w:ascii="Arial" w:hAnsi="Arial" w:cs="Arial"/>
        </w:rPr>
      </w:pPr>
    </w:p>
    <w:p w14:paraId="4DEED498" w14:textId="77777777" w:rsidR="00585B0A" w:rsidRPr="0007572B" w:rsidRDefault="00585B0A" w:rsidP="00585B0A">
      <w:pPr>
        <w:pStyle w:val="AGS-Bullets"/>
        <w:numPr>
          <w:ilvl w:val="0"/>
          <w:numId w:val="0"/>
        </w:numPr>
        <w:rPr>
          <w:sz w:val="24"/>
          <w:szCs w:val="24"/>
        </w:rPr>
      </w:pPr>
      <w:r w:rsidRPr="0007572B">
        <w:rPr>
          <w:sz w:val="24"/>
          <w:szCs w:val="24"/>
        </w:rPr>
        <w:t>The Fund was established under the Police Pension Fund Regulations 2007 (SI 2007 no. 1932) and is administered and managed by the Chief Constable.</w:t>
      </w:r>
    </w:p>
    <w:p w14:paraId="5E5EAB5A" w14:textId="77777777" w:rsidR="00585B0A" w:rsidRPr="0007572B" w:rsidRDefault="00585B0A" w:rsidP="00585B0A">
      <w:pPr>
        <w:pStyle w:val="AGS-Bullets"/>
        <w:numPr>
          <w:ilvl w:val="0"/>
          <w:numId w:val="0"/>
        </w:numPr>
        <w:ind w:left="360"/>
        <w:rPr>
          <w:sz w:val="24"/>
          <w:szCs w:val="24"/>
        </w:rPr>
      </w:pPr>
    </w:p>
    <w:p w14:paraId="70E07741" w14:textId="77777777" w:rsidR="00585B0A" w:rsidRPr="0007572B" w:rsidRDefault="00585B0A" w:rsidP="00585B0A">
      <w:pPr>
        <w:pStyle w:val="AGS-Bullets"/>
        <w:numPr>
          <w:ilvl w:val="0"/>
          <w:numId w:val="0"/>
        </w:numPr>
        <w:rPr>
          <w:sz w:val="24"/>
          <w:szCs w:val="24"/>
        </w:rPr>
      </w:pPr>
      <w:r w:rsidRPr="0007572B">
        <w:rPr>
          <w:sz w:val="24"/>
          <w:szCs w:val="24"/>
        </w:rPr>
        <w:t>The Police Pension Scheme is an unfunded, defined benefit scheme. There are no investment assets. The fund is balanced to nil each year by a transfer from Greater Manchester Combined Authority, which is reclaimed from Central Government.</w:t>
      </w:r>
    </w:p>
    <w:p w14:paraId="6E4BF777" w14:textId="77777777" w:rsidR="00585B0A" w:rsidRPr="0007572B" w:rsidRDefault="00585B0A" w:rsidP="00585B0A">
      <w:pPr>
        <w:pStyle w:val="AGS-Bullets"/>
        <w:numPr>
          <w:ilvl w:val="0"/>
          <w:numId w:val="0"/>
        </w:numPr>
        <w:rPr>
          <w:sz w:val="24"/>
          <w:szCs w:val="24"/>
        </w:rPr>
      </w:pPr>
    </w:p>
    <w:p w14:paraId="73617DFF" w14:textId="77777777" w:rsidR="00585B0A" w:rsidRPr="0007572B" w:rsidRDefault="00585B0A" w:rsidP="00585B0A">
      <w:pPr>
        <w:rPr>
          <w:rFonts w:ascii="Arial" w:hAnsi="Arial" w:cs="Arial"/>
        </w:rPr>
      </w:pPr>
      <w:r w:rsidRPr="0007572B">
        <w:rPr>
          <w:rFonts w:ascii="Arial" w:hAnsi="Arial" w:cs="Arial"/>
        </w:rPr>
        <w:t>Employer and employee contributions are paid into the Fund based on a percentage of pensionable pay set nationally by the Home Office and subject to triennial revaluation by the Government Actuary Department. (See the contribution rates table above).</w:t>
      </w:r>
    </w:p>
    <w:p w14:paraId="7E2BA3E2" w14:textId="77777777" w:rsidR="00585B0A" w:rsidRPr="0007572B" w:rsidRDefault="00585B0A" w:rsidP="00585B0A">
      <w:pPr>
        <w:pStyle w:val="AGS-Bullets"/>
        <w:numPr>
          <w:ilvl w:val="0"/>
          <w:numId w:val="0"/>
        </w:numPr>
        <w:rPr>
          <w:sz w:val="24"/>
          <w:szCs w:val="24"/>
        </w:rPr>
      </w:pPr>
    </w:p>
    <w:p w14:paraId="6B3B05DE" w14:textId="77777777" w:rsidR="00585B0A" w:rsidRPr="0007572B" w:rsidRDefault="00585B0A" w:rsidP="00585B0A">
      <w:pPr>
        <w:pStyle w:val="AGS-Bullets"/>
        <w:numPr>
          <w:ilvl w:val="0"/>
          <w:numId w:val="0"/>
        </w:numPr>
        <w:rPr>
          <w:sz w:val="24"/>
          <w:szCs w:val="24"/>
        </w:rPr>
      </w:pPr>
      <w:r w:rsidRPr="0007572B">
        <w:rPr>
          <w:sz w:val="24"/>
          <w:szCs w:val="24"/>
        </w:rPr>
        <w:t>Benefits payable to scheme members are made from the Fund with the exception of injury awards, which are payable from revenue funds, as are administrative costs. Inward transfer values are paid into the Fund and outward transfer values are paid from the Fund.</w:t>
      </w:r>
    </w:p>
    <w:p w14:paraId="525CFDB9" w14:textId="77777777" w:rsidR="00585B0A" w:rsidRPr="0007572B" w:rsidRDefault="00585B0A" w:rsidP="00585B0A">
      <w:pPr>
        <w:pStyle w:val="AGS-Bullets"/>
        <w:numPr>
          <w:ilvl w:val="0"/>
          <w:numId w:val="0"/>
        </w:numPr>
        <w:rPr>
          <w:sz w:val="24"/>
          <w:szCs w:val="24"/>
        </w:rPr>
      </w:pPr>
    </w:p>
    <w:p w14:paraId="547E8796" w14:textId="77777777" w:rsidR="00585B0A" w:rsidRPr="0007572B" w:rsidRDefault="00585B0A" w:rsidP="00585B0A">
      <w:pPr>
        <w:pStyle w:val="AGS-Bullets"/>
        <w:numPr>
          <w:ilvl w:val="0"/>
          <w:numId w:val="0"/>
        </w:numPr>
        <w:rPr>
          <w:sz w:val="24"/>
          <w:szCs w:val="24"/>
        </w:rPr>
      </w:pPr>
      <w:r w:rsidRPr="0007572B">
        <w:rPr>
          <w:sz w:val="24"/>
          <w:szCs w:val="24"/>
        </w:rPr>
        <w:t xml:space="preserve">The fund is balanced to zero each year. If income to the fund exceeds </w:t>
      </w:r>
      <w:proofErr w:type="gramStart"/>
      <w:r w:rsidRPr="0007572B">
        <w:rPr>
          <w:sz w:val="24"/>
          <w:szCs w:val="24"/>
        </w:rPr>
        <w:t>expenditure</w:t>
      </w:r>
      <w:proofErr w:type="gramEnd"/>
      <w:r w:rsidRPr="0007572B">
        <w:rPr>
          <w:sz w:val="24"/>
          <w:szCs w:val="24"/>
        </w:rPr>
        <w:t xml:space="preserve"> then the excess is paid to Greater Manchester Combined Authority. If expenditure exceeds </w:t>
      </w:r>
      <w:proofErr w:type="gramStart"/>
      <w:r w:rsidRPr="0007572B">
        <w:rPr>
          <w:sz w:val="24"/>
          <w:szCs w:val="24"/>
        </w:rPr>
        <w:t>income</w:t>
      </w:r>
      <w:proofErr w:type="gramEnd"/>
      <w:r w:rsidRPr="0007572B">
        <w:rPr>
          <w:sz w:val="24"/>
          <w:szCs w:val="24"/>
        </w:rPr>
        <w:t xml:space="preserve"> then Greater Manchester Combined Authority must fund the deficit. Greater Manchester Combined Authority pays any excess income to the Home Office and receives Police Pension Fund top up grant from the Home Office to fund any deficit.</w:t>
      </w:r>
    </w:p>
    <w:p w14:paraId="1524561E" w14:textId="77777777" w:rsidR="00585B0A" w:rsidRPr="0007572B" w:rsidRDefault="00585B0A" w:rsidP="00585B0A">
      <w:pPr>
        <w:pStyle w:val="AGS-Bullets"/>
        <w:numPr>
          <w:ilvl w:val="0"/>
          <w:numId w:val="0"/>
        </w:numPr>
        <w:rPr>
          <w:sz w:val="24"/>
          <w:szCs w:val="24"/>
        </w:rPr>
      </w:pPr>
    </w:p>
    <w:p w14:paraId="2E088176" w14:textId="77777777" w:rsidR="00585B0A" w:rsidRPr="0007572B" w:rsidRDefault="00585B0A" w:rsidP="00585B0A">
      <w:pPr>
        <w:pStyle w:val="AGS-Bullets"/>
        <w:numPr>
          <w:ilvl w:val="0"/>
          <w:numId w:val="0"/>
        </w:numPr>
        <w:rPr>
          <w:sz w:val="24"/>
          <w:szCs w:val="24"/>
        </w:rPr>
      </w:pPr>
      <w:r w:rsidRPr="0007572B">
        <w:rPr>
          <w:sz w:val="24"/>
          <w:szCs w:val="24"/>
        </w:rPr>
        <w:t>The contributions receivable from the employer shown in the account are debited to the Chief Constable’s Comprehensive Income and Expenditure Statement. The additional contribution from Greater Manchester Combined Authority is debited in its accounts together with a matching grant from the Home Office.</w:t>
      </w:r>
    </w:p>
    <w:p w14:paraId="175B4710" w14:textId="77777777" w:rsidR="00585B0A" w:rsidRPr="0007572B" w:rsidRDefault="00585B0A" w:rsidP="00585B0A">
      <w:pPr>
        <w:pStyle w:val="AGS-Bullets"/>
        <w:numPr>
          <w:ilvl w:val="0"/>
          <w:numId w:val="0"/>
        </w:numPr>
        <w:rPr>
          <w:sz w:val="24"/>
          <w:szCs w:val="24"/>
        </w:rPr>
      </w:pPr>
    </w:p>
    <w:p w14:paraId="23C1F752" w14:textId="77777777" w:rsidR="00585B0A" w:rsidRPr="0007572B" w:rsidRDefault="00585B0A" w:rsidP="00585B0A">
      <w:pPr>
        <w:pStyle w:val="AGS-Bullets"/>
        <w:numPr>
          <w:ilvl w:val="0"/>
          <w:numId w:val="0"/>
        </w:numPr>
        <w:rPr>
          <w:sz w:val="24"/>
          <w:szCs w:val="24"/>
        </w:rPr>
      </w:pPr>
      <w:r w:rsidRPr="0007572B">
        <w:rPr>
          <w:sz w:val="24"/>
          <w:szCs w:val="24"/>
        </w:rPr>
        <w:t xml:space="preserve">The amount of Home Office grant outstanding at 31 March </w:t>
      </w:r>
      <w:r>
        <w:rPr>
          <w:sz w:val="24"/>
          <w:szCs w:val="24"/>
        </w:rPr>
        <w:t>2022</w:t>
      </w:r>
      <w:r w:rsidRPr="0007572B">
        <w:rPr>
          <w:sz w:val="24"/>
          <w:szCs w:val="24"/>
        </w:rPr>
        <w:t xml:space="preserve"> has been accrued and is shown in Greater Manchester Combined Authority’s Consolidated Balance Sheet.</w:t>
      </w:r>
    </w:p>
    <w:p w14:paraId="6339DBB4" w14:textId="77777777" w:rsidR="00585B0A" w:rsidRPr="0007572B" w:rsidRDefault="00585B0A" w:rsidP="00585B0A">
      <w:pPr>
        <w:pStyle w:val="AGS-Bullets"/>
        <w:numPr>
          <w:ilvl w:val="0"/>
          <w:numId w:val="0"/>
        </w:numPr>
        <w:rPr>
          <w:sz w:val="24"/>
          <w:szCs w:val="24"/>
        </w:rPr>
      </w:pPr>
    </w:p>
    <w:p w14:paraId="3DAE7D34" w14:textId="77777777" w:rsidR="00585B0A" w:rsidRPr="0007572B" w:rsidRDefault="00585B0A" w:rsidP="00585B0A">
      <w:pPr>
        <w:pStyle w:val="AGS-Bullets"/>
        <w:numPr>
          <w:ilvl w:val="0"/>
          <w:numId w:val="0"/>
        </w:numPr>
        <w:rPr>
          <w:sz w:val="24"/>
          <w:szCs w:val="24"/>
        </w:rPr>
      </w:pPr>
      <w:r w:rsidRPr="0007572B">
        <w:rPr>
          <w:sz w:val="24"/>
          <w:szCs w:val="24"/>
        </w:rPr>
        <w:t xml:space="preserve">The Fund’s financial statements do not </w:t>
      </w:r>
      <w:proofErr w:type="gramStart"/>
      <w:r w:rsidRPr="0007572B">
        <w:rPr>
          <w:sz w:val="24"/>
          <w:szCs w:val="24"/>
        </w:rPr>
        <w:t>take into account</w:t>
      </w:r>
      <w:proofErr w:type="gramEnd"/>
      <w:r w:rsidRPr="0007572B">
        <w:rPr>
          <w:sz w:val="24"/>
          <w:szCs w:val="24"/>
        </w:rPr>
        <w:t xml:space="preserve"> liabilities to pay pensions after 31 March </w:t>
      </w:r>
      <w:r>
        <w:rPr>
          <w:sz w:val="24"/>
          <w:szCs w:val="24"/>
        </w:rPr>
        <w:t>2022</w:t>
      </w:r>
      <w:r w:rsidRPr="0007572B">
        <w:rPr>
          <w:sz w:val="24"/>
          <w:szCs w:val="24"/>
        </w:rPr>
        <w:t>. Liabilities to pay future payments are included in the IAS19 charges and notes to the Financial Statements.</w:t>
      </w:r>
    </w:p>
    <w:p w14:paraId="6A06148C" w14:textId="77777777" w:rsidR="00585B0A" w:rsidRPr="0007572B" w:rsidRDefault="00585B0A" w:rsidP="00585B0A">
      <w:pPr>
        <w:pStyle w:val="AGS-Bullets"/>
        <w:numPr>
          <w:ilvl w:val="0"/>
          <w:numId w:val="0"/>
        </w:numPr>
        <w:rPr>
          <w:sz w:val="24"/>
          <w:szCs w:val="24"/>
        </w:rPr>
      </w:pPr>
    </w:p>
    <w:p w14:paraId="064F24D7" w14:textId="77777777" w:rsidR="00585B0A" w:rsidRPr="0007572B" w:rsidRDefault="00585B0A" w:rsidP="00585B0A">
      <w:pPr>
        <w:rPr>
          <w:rFonts w:ascii="Arial" w:hAnsi="Arial" w:cs="Arial"/>
        </w:rPr>
      </w:pPr>
      <w:r w:rsidRPr="0007572B">
        <w:rPr>
          <w:rFonts w:ascii="Arial" w:hAnsi="Arial" w:cs="Arial"/>
        </w:rPr>
        <w:t>The Fund’s Accounting Policies are set out in the notes to the Financial Statements.</w:t>
      </w:r>
    </w:p>
    <w:p w14:paraId="254507C0" w14:textId="77777777" w:rsidR="00585B0A" w:rsidRDefault="00585B0A" w:rsidP="00585B0A">
      <w:pPr>
        <w:rPr>
          <w:rFonts w:ascii="Arial" w:hAnsi="Arial" w:cs="Arial"/>
        </w:rPr>
      </w:pPr>
    </w:p>
    <w:p w14:paraId="64471AB4" w14:textId="77777777" w:rsidR="00585B0A" w:rsidRDefault="00585B0A" w:rsidP="00585B0A">
      <w:pPr>
        <w:rPr>
          <w:rFonts w:ascii="Arial" w:hAnsi="Arial" w:cs="Arial"/>
        </w:rPr>
      </w:pPr>
    </w:p>
    <w:p w14:paraId="32CB28A8" w14:textId="77777777" w:rsidR="00585B0A" w:rsidRDefault="00585B0A" w:rsidP="00585B0A">
      <w:pPr>
        <w:rPr>
          <w:rFonts w:ascii="Arial" w:hAnsi="Arial" w:cs="Arial"/>
        </w:rPr>
      </w:pPr>
    </w:p>
    <w:p w14:paraId="5BA08B98" w14:textId="77777777" w:rsidR="00585B0A" w:rsidRPr="0007572B" w:rsidRDefault="00585B0A" w:rsidP="00795BE0">
      <w:pPr>
        <w:rPr>
          <w:rFonts w:ascii="Arial" w:hAnsi="Arial" w:cs="Arial"/>
        </w:rPr>
      </w:pPr>
    </w:p>
    <w:p w14:paraId="20F801C6" w14:textId="77777777" w:rsidR="00585B0A" w:rsidRDefault="00585B0A">
      <w:pPr>
        <w:rPr>
          <w:rFonts w:ascii="Arial" w:hAnsi="Arial" w:cs="Arial"/>
          <w:b/>
          <w:bCs/>
          <w:sz w:val="26"/>
          <w:szCs w:val="26"/>
        </w:rPr>
      </w:pPr>
      <w:bookmarkStart w:id="362" w:name="_Toc92895266"/>
      <w:bookmarkStart w:id="363" w:name="_Toc109922700"/>
      <w:r>
        <w:br w:type="page"/>
      </w:r>
    </w:p>
    <w:p w14:paraId="44C6D6DF" w14:textId="1E6B99CD" w:rsidR="00795BE0" w:rsidRPr="0007572B" w:rsidRDefault="00795BE0" w:rsidP="00795BE0">
      <w:pPr>
        <w:pStyle w:val="Heading2green"/>
      </w:pPr>
      <w:r w:rsidRPr="0007572B">
        <w:lastRenderedPageBreak/>
        <w:t>Glossary of Financial Terms</w:t>
      </w:r>
      <w:bookmarkEnd w:id="362"/>
      <w:bookmarkEnd w:id="363"/>
    </w:p>
    <w:p w14:paraId="1B2E0540" w14:textId="77777777" w:rsidR="00795BE0" w:rsidRPr="0007572B" w:rsidRDefault="00795BE0" w:rsidP="00795BE0">
      <w:pPr>
        <w:pStyle w:val="Heading3"/>
      </w:pPr>
      <w:bookmarkStart w:id="364" w:name="_Toc92894963"/>
      <w:bookmarkStart w:id="365" w:name="_Toc92895267"/>
      <w:bookmarkStart w:id="366" w:name="_Toc109922701"/>
      <w:r w:rsidRPr="0007572B">
        <w:t>Accounting Policies</w:t>
      </w:r>
      <w:bookmarkEnd w:id="364"/>
      <w:bookmarkEnd w:id="365"/>
      <w:bookmarkEnd w:id="366"/>
    </w:p>
    <w:p w14:paraId="4F8C32BA"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eastAsiaTheme="minorHAnsi" w:hAnsi="Arial" w:cs="Arial"/>
        </w:rPr>
      </w:pPr>
      <w:r w:rsidRPr="0007572B">
        <w:rPr>
          <w:rFonts w:ascii="Arial" w:hAnsi="Arial" w:cs="Arial"/>
          <w:color w:val="000000"/>
        </w:rPr>
        <w:t>Within</w:t>
      </w:r>
      <w:r w:rsidRPr="0007572B">
        <w:rPr>
          <w:rFonts w:ascii="Arial" w:eastAsiaTheme="minorHAnsi" w:hAnsi="Arial" w:cs="Arial"/>
        </w:rPr>
        <w:t xml:space="preserve"> the range of possible methods of accounting, a policy is a statement of the actual methods chosen locally and used to prepare these accounts.</w:t>
      </w:r>
    </w:p>
    <w:p w14:paraId="5082F88A" w14:textId="77777777" w:rsidR="00795BE0" w:rsidRPr="0007572B" w:rsidRDefault="00795BE0" w:rsidP="004F3512">
      <w:pPr>
        <w:pStyle w:val="Heading3"/>
      </w:pPr>
      <w:bookmarkStart w:id="367" w:name="_Toc92894964"/>
      <w:bookmarkStart w:id="368" w:name="_Toc92895268"/>
      <w:bookmarkStart w:id="369" w:name="_Toc109922702"/>
      <w:r w:rsidRPr="0007572B">
        <w:t>Accruals</w:t>
      </w:r>
      <w:bookmarkEnd w:id="367"/>
      <w:bookmarkEnd w:id="368"/>
      <w:bookmarkEnd w:id="369"/>
    </w:p>
    <w:p w14:paraId="4B85A059"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eastAsiaTheme="minorHAnsi" w:hAnsi="Arial" w:cs="Arial"/>
        </w:rPr>
      </w:pPr>
      <w:r w:rsidRPr="0007572B">
        <w:rPr>
          <w:rFonts w:ascii="Arial" w:hAnsi="Arial" w:cs="Arial"/>
          <w:color w:val="000000"/>
        </w:rPr>
        <w:t>The concept that income and expenditure are recognised as they are earned or incurred, not</w:t>
      </w:r>
      <w:r w:rsidRPr="0007572B">
        <w:rPr>
          <w:rFonts w:ascii="Arial" w:eastAsiaTheme="minorHAnsi" w:hAnsi="Arial" w:cs="Arial"/>
        </w:rPr>
        <w:t xml:space="preserve"> as money is received or paid.</w:t>
      </w:r>
    </w:p>
    <w:p w14:paraId="6065447B" w14:textId="77777777" w:rsidR="00795BE0" w:rsidRPr="0007572B" w:rsidRDefault="00795BE0" w:rsidP="004F3512">
      <w:pPr>
        <w:pStyle w:val="Heading3"/>
      </w:pPr>
      <w:bookmarkStart w:id="370" w:name="_Toc92894965"/>
      <w:bookmarkStart w:id="371" w:name="_Toc92895269"/>
      <w:bookmarkStart w:id="372" w:name="_Toc109922703"/>
      <w:r w:rsidRPr="0007572B">
        <w:t>Actuarial Gains and Losses</w:t>
      </w:r>
      <w:bookmarkEnd w:id="370"/>
      <w:bookmarkEnd w:id="371"/>
      <w:bookmarkEnd w:id="372"/>
    </w:p>
    <w:p w14:paraId="28010DD5"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rPr>
      </w:pPr>
      <w:r w:rsidRPr="0007572B">
        <w:rPr>
          <w:rFonts w:ascii="Arial" w:hAnsi="Arial" w:cs="Arial"/>
        </w:rPr>
        <w:t>This Re-measurement of the net defined benefit liability comprises actuarial gains and losses, the return on plan assets and any change in the effect of the asset ceiling. Actuarial gains and losses are changes in the present value of the defined benefit obligation arising from the effects of differences between the previous actuarial assumptions and what has occurred and the effects of changes in the actuarial assumptions</w:t>
      </w:r>
    </w:p>
    <w:p w14:paraId="4B7C747A" w14:textId="77777777" w:rsidR="00795BE0" w:rsidRPr="0007572B" w:rsidRDefault="00795BE0" w:rsidP="004F3512">
      <w:pPr>
        <w:pStyle w:val="Heading3"/>
      </w:pPr>
      <w:bookmarkStart w:id="373" w:name="_Toc92894966"/>
      <w:bookmarkStart w:id="374" w:name="_Toc92895270"/>
      <w:bookmarkStart w:id="375" w:name="_Toc109922704"/>
      <w:r w:rsidRPr="0007572B">
        <w:t>Agency Services</w:t>
      </w:r>
      <w:bookmarkEnd w:id="373"/>
      <w:bookmarkEnd w:id="374"/>
      <w:bookmarkEnd w:id="375"/>
    </w:p>
    <w:p w14:paraId="008D4CD5"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Services that are performed by or for another authority or public body, where the authority responsible for the service reimburses the authority carrying out the work for the cost of that work.</w:t>
      </w:r>
    </w:p>
    <w:p w14:paraId="47C9390E" w14:textId="77777777" w:rsidR="00795BE0" w:rsidRPr="0007572B" w:rsidRDefault="00795BE0" w:rsidP="00795BE0">
      <w:pPr>
        <w:pStyle w:val="Heading3"/>
      </w:pPr>
      <w:bookmarkStart w:id="376" w:name="_Toc92894967"/>
      <w:bookmarkStart w:id="377" w:name="_Toc92895271"/>
      <w:bookmarkStart w:id="378" w:name="_Toc109922705"/>
      <w:r w:rsidRPr="0007572B">
        <w:t>Amortisation</w:t>
      </w:r>
      <w:bookmarkEnd w:id="376"/>
      <w:bookmarkEnd w:id="377"/>
      <w:bookmarkEnd w:id="378"/>
    </w:p>
    <w:p w14:paraId="0D9EB857"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A charge to the comprehensive income and expenditure statement spread over a number of years.</w:t>
      </w:r>
    </w:p>
    <w:p w14:paraId="1D128FEA" w14:textId="77777777" w:rsidR="00795BE0" w:rsidRPr="0007572B" w:rsidRDefault="00795BE0" w:rsidP="004F3512">
      <w:pPr>
        <w:pStyle w:val="Heading3"/>
      </w:pPr>
      <w:bookmarkStart w:id="379" w:name="_Toc92894968"/>
      <w:bookmarkStart w:id="380" w:name="_Toc92895272"/>
      <w:bookmarkStart w:id="381" w:name="_Toc109922706"/>
      <w:r w:rsidRPr="0007572B">
        <w:t>Assets</w:t>
      </w:r>
      <w:bookmarkEnd w:id="379"/>
      <w:bookmarkEnd w:id="380"/>
      <w:bookmarkEnd w:id="381"/>
    </w:p>
    <w:p w14:paraId="6C27C139"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Items of worth that are measurable in terms of value. Current assets are ones that may change in value on a day-to-day basis (i.e. inventory). Non-current assets are assets that yield benefit to the Authority and Group for a period of more than one year (i.e. Metrolink trams).</w:t>
      </w:r>
    </w:p>
    <w:p w14:paraId="4C2C90E8" w14:textId="77777777" w:rsidR="00795BE0" w:rsidRPr="0007572B" w:rsidRDefault="00795BE0" w:rsidP="004F3512">
      <w:pPr>
        <w:pStyle w:val="Heading3"/>
      </w:pPr>
      <w:bookmarkStart w:id="382" w:name="_Toc92894969"/>
      <w:bookmarkStart w:id="383" w:name="_Toc92895273"/>
      <w:bookmarkStart w:id="384" w:name="_Toc109922707"/>
      <w:r w:rsidRPr="0007572B">
        <w:t>Assets Held for Sale</w:t>
      </w:r>
      <w:bookmarkEnd w:id="382"/>
      <w:bookmarkEnd w:id="383"/>
      <w:bookmarkEnd w:id="384"/>
    </w:p>
    <w:p w14:paraId="64BFEF04"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 xml:space="preserve">Assets which are being actively marketed and expected to sell within the next 12 months. </w:t>
      </w:r>
    </w:p>
    <w:p w14:paraId="32416B62" w14:textId="77777777" w:rsidR="00795BE0" w:rsidRPr="0007572B" w:rsidRDefault="00795BE0" w:rsidP="004F3512">
      <w:pPr>
        <w:pStyle w:val="Heading3"/>
      </w:pPr>
      <w:bookmarkStart w:id="385" w:name="_Toc92894970"/>
      <w:bookmarkStart w:id="386" w:name="_Toc92895274"/>
      <w:bookmarkStart w:id="387" w:name="_Toc109922708"/>
      <w:r w:rsidRPr="0007572B">
        <w:t>Bad (and doubtful) debts</w:t>
      </w:r>
      <w:bookmarkEnd w:id="385"/>
      <w:bookmarkEnd w:id="386"/>
      <w:bookmarkEnd w:id="387"/>
    </w:p>
    <w:p w14:paraId="12C15CE8"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Debts/income which may be uneconomic to collect or un-enforceable.</w:t>
      </w:r>
    </w:p>
    <w:p w14:paraId="1F15DCA4" w14:textId="77777777" w:rsidR="00795BE0" w:rsidRPr="0007572B" w:rsidRDefault="00795BE0" w:rsidP="00795BE0">
      <w:pPr>
        <w:pStyle w:val="Heading3"/>
      </w:pPr>
      <w:bookmarkStart w:id="388" w:name="_Toc92894971"/>
      <w:bookmarkStart w:id="389" w:name="_Toc92895275"/>
      <w:bookmarkStart w:id="390" w:name="_Toc109922709"/>
      <w:r w:rsidRPr="0007572B">
        <w:t>Balances</w:t>
      </w:r>
      <w:bookmarkEnd w:id="388"/>
      <w:bookmarkEnd w:id="389"/>
      <w:bookmarkEnd w:id="390"/>
    </w:p>
    <w:p w14:paraId="24BE4770" w14:textId="77777777" w:rsidR="00795BE0" w:rsidRPr="0007572B" w:rsidRDefault="00795BE0" w:rsidP="00795B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Arial" w:hAnsi="Arial" w:cs="Arial"/>
          <w:color w:val="000000"/>
        </w:rPr>
      </w:pPr>
      <w:r w:rsidRPr="0007572B">
        <w:rPr>
          <w:rFonts w:ascii="Arial" w:hAnsi="Arial" w:cs="Arial"/>
          <w:color w:val="000000"/>
        </w:rPr>
        <w:t>The reserves of the Authority and Group, which include the accumulated surplus of income over expenditure.</w:t>
      </w:r>
    </w:p>
    <w:p w14:paraId="32C74E95" w14:textId="77777777" w:rsidR="00795BE0" w:rsidRPr="0007572B" w:rsidRDefault="00795BE0" w:rsidP="00795BE0">
      <w:pPr>
        <w:pStyle w:val="Heading3"/>
      </w:pPr>
      <w:bookmarkStart w:id="391" w:name="_Toc92894972"/>
      <w:bookmarkStart w:id="392" w:name="_Toc92895276"/>
      <w:bookmarkStart w:id="393" w:name="_Toc109922710"/>
      <w:r w:rsidRPr="0007572B">
        <w:t>Balance sheet</w:t>
      </w:r>
      <w:bookmarkEnd w:id="391"/>
      <w:bookmarkEnd w:id="392"/>
      <w:bookmarkEnd w:id="393"/>
    </w:p>
    <w:p w14:paraId="231E7B21"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 statement of the recorded assets, liabilities and other balances at the end of an accounting period.</w:t>
      </w:r>
    </w:p>
    <w:p w14:paraId="63666206" w14:textId="77777777" w:rsidR="00795BE0" w:rsidRPr="0007572B" w:rsidRDefault="00795BE0" w:rsidP="004F3512">
      <w:pPr>
        <w:pStyle w:val="Heading3"/>
      </w:pPr>
      <w:bookmarkStart w:id="394" w:name="_Toc92894973"/>
      <w:bookmarkStart w:id="395" w:name="_Toc92895277"/>
      <w:bookmarkStart w:id="396" w:name="_Toc109922711"/>
      <w:r w:rsidRPr="0007572B">
        <w:t>Budget</w:t>
      </w:r>
      <w:bookmarkEnd w:id="394"/>
      <w:bookmarkEnd w:id="395"/>
      <w:bookmarkEnd w:id="396"/>
    </w:p>
    <w:p w14:paraId="69CB737E" w14:textId="77777777" w:rsidR="00795BE0" w:rsidRPr="0007572B" w:rsidRDefault="00795BE0" w:rsidP="004F3512">
      <w:pPr>
        <w:tabs>
          <w:tab w:val="left" w:pos="180"/>
        </w:tabs>
        <w:spacing w:after="160"/>
        <w:rPr>
          <w:rFonts w:ascii="Arial" w:eastAsiaTheme="minorHAnsi" w:hAnsi="Arial" w:cs="Arial"/>
        </w:rPr>
      </w:pPr>
      <w:r w:rsidRPr="0007572B">
        <w:rPr>
          <w:rFonts w:ascii="Arial" w:eastAsiaTheme="minorHAnsi" w:hAnsi="Arial" w:cs="Arial"/>
        </w:rPr>
        <w:t>A statement defining in financial terms the Authority's plans over a specified period. The budget is prepared as part of the process of setting the precept.</w:t>
      </w:r>
    </w:p>
    <w:p w14:paraId="3D1A9785" w14:textId="77777777" w:rsidR="00795BE0" w:rsidRPr="0007572B" w:rsidRDefault="00795BE0" w:rsidP="004F3512">
      <w:pPr>
        <w:pStyle w:val="Heading3"/>
      </w:pPr>
      <w:bookmarkStart w:id="397" w:name="_Toc92894974"/>
      <w:bookmarkStart w:id="398" w:name="_Toc92895278"/>
      <w:bookmarkStart w:id="399" w:name="_Toc109922712"/>
      <w:r w:rsidRPr="0007572B">
        <w:lastRenderedPageBreak/>
        <w:t>Capital Adjustment Account</w:t>
      </w:r>
      <w:bookmarkEnd w:id="397"/>
      <w:bookmarkEnd w:id="398"/>
      <w:bookmarkEnd w:id="399"/>
    </w:p>
    <w:p w14:paraId="40338EA0" w14:textId="77777777" w:rsidR="00795BE0" w:rsidRPr="0007572B" w:rsidRDefault="00795BE0" w:rsidP="004F3512">
      <w:pPr>
        <w:tabs>
          <w:tab w:val="left" w:pos="180"/>
        </w:tabs>
        <w:rPr>
          <w:rFonts w:ascii="Arial" w:hAnsi="Arial" w:cs="Arial"/>
        </w:rPr>
      </w:pPr>
      <w:r w:rsidRPr="0007572B">
        <w:rPr>
          <w:rFonts w:ascii="Arial" w:hAnsi="Arial" w:cs="Arial"/>
        </w:rPr>
        <w:t>This provides a balancing mechanism between the different rates at which assets are depreciated under the Code and are financed through the capital control system.</w:t>
      </w:r>
    </w:p>
    <w:p w14:paraId="14F36AA4" w14:textId="77777777" w:rsidR="00795BE0" w:rsidRPr="0007572B" w:rsidRDefault="00795BE0" w:rsidP="004F3512">
      <w:pPr>
        <w:pStyle w:val="Heading3"/>
      </w:pPr>
      <w:bookmarkStart w:id="400" w:name="_Toc92894975"/>
      <w:bookmarkStart w:id="401" w:name="_Toc92895279"/>
      <w:bookmarkStart w:id="402" w:name="_Toc109922713"/>
      <w:r w:rsidRPr="0007572B">
        <w:t>Capital Expenditure</w:t>
      </w:r>
      <w:bookmarkEnd w:id="400"/>
      <w:bookmarkEnd w:id="401"/>
      <w:bookmarkEnd w:id="402"/>
    </w:p>
    <w:p w14:paraId="594ED93D"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Expenditure on the acquisition or enhancement of property, plant and equipment that have a long-term value to the Authority and Group. This includes grants or advances paid to third parties to assist them in acquiring or enhancing their own property, plant and equipment.</w:t>
      </w:r>
    </w:p>
    <w:p w14:paraId="40F0D3D3" w14:textId="77777777" w:rsidR="00795BE0" w:rsidRPr="0007572B" w:rsidRDefault="00795BE0" w:rsidP="004F3512">
      <w:pPr>
        <w:pStyle w:val="Heading3"/>
      </w:pPr>
      <w:bookmarkStart w:id="403" w:name="_Toc92894976"/>
      <w:bookmarkStart w:id="404" w:name="_Toc92895280"/>
      <w:bookmarkStart w:id="405" w:name="_Toc109922714"/>
      <w:r w:rsidRPr="0007572B">
        <w:t>Capital Financing Costs</w:t>
      </w:r>
      <w:bookmarkEnd w:id="403"/>
      <w:bookmarkEnd w:id="404"/>
      <w:bookmarkEnd w:id="405"/>
    </w:p>
    <w:p w14:paraId="71FB173F"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Each service is charged with an annual capital charge to reflect the cost of non-current assets used in the provision of services.</w:t>
      </w:r>
    </w:p>
    <w:p w14:paraId="48B7C4AC" w14:textId="77777777" w:rsidR="00795BE0" w:rsidRPr="0007572B" w:rsidRDefault="00795BE0" w:rsidP="004F3512">
      <w:pPr>
        <w:pStyle w:val="Heading3"/>
      </w:pPr>
      <w:bookmarkStart w:id="406" w:name="_Toc92894977"/>
      <w:bookmarkStart w:id="407" w:name="_Toc92895281"/>
      <w:bookmarkStart w:id="408" w:name="_Toc109922715"/>
      <w:r w:rsidRPr="0007572B">
        <w:t>Capital Financing Requirements</w:t>
      </w:r>
      <w:bookmarkEnd w:id="406"/>
      <w:bookmarkEnd w:id="407"/>
      <w:bookmarkEnd w:id="408"/>
    </w:p>
    <w:p w14:paraId="4D00CCD5"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This measures the underlying need to borrow to finance capital expenditure.</w:t>
      </w:r>
    </w:p>
    <w:p w14:paraId="32BED2C2" w14:textId="77777777" w:rsidR="00795BE0" w:rsidRPr="0007572B" w:rsidRDefault="00795BE0" w:rsidP="004F3512">
      <w:pPr>
        <w:pStyle w:val="Heading3"/>
      </w:pPr>
      <w:bookmarkStart w:id="409" w:name="_Toc92894978"/>
      <w:bookmarkStart w:id="410" w:name="_Toc92895282"/>
      <w:bookmarkStart w:id="411" w:name="_Toc109922716"/>
      <w:r w:rsidRPr="0007572B">
        <w:t>Capital Grants</w:t>
      </w:r>
      <w:bookmarkEnd w:id="409"/>
      <w:bookmarkEnd w:id="410"/>
      <w:bookmarkEnd w:id="411"/>
    </w:p>
    <w:p w14:paraId="5DA82BF9"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Grants received towards capital expenditure either generally or for a particular project.</w:t>
      </w:r>
    </w:p>
    <w:p w14:paraId="17ABE4F3" w14:textId="77777777" w:rsidR="00795BE0" w:rsidRPr="0007572B" w:rsidRDefault="00795BE0" w:rsidP="004F3512">
      <w:pPr>
        <w:pStyle w:val="Heading3"/>
      </w:pPr>
      <w:bookmarkStart w:id="412" w:name="_Toc92894979"/>
      <w:bookmarkStart w:id="413" w:name="_Toc92895283"/>
      <w:bookmarkStart w:id="414" w:name="_Toc109922717"/>
      <w:r w:rsidRPr="0007572B">
        <w:t>Capital Grants Unapplied</w:t>
      </w:r>
      <w:bookmarkEnd w:id="412"/>
      <w:bookmarkEnd w:id="413"/>
      <w:bookmarkEnd w:id="414"/>
    </w:p>
    <w:p w14:paraId="387AEA90"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Proceeds received from Government Grants, Other Grants and Contributions, which have not yet been used to finance capital expenditure.</w:t>
      </w:r>
    </w:p>
    <w:p w14:paraId="5E855733" w14:textId="77777777" w:rsidR="00795BE0" w:rsidRPr="0007572B" w:rsidRDefault="00795BE0" w:rsidP="004F3512">
      <w:pPr>
        <w:pStyle w:val="Heading3"/>
      </w:pPr>
      <w:bookmarkStart w:id="415" w:name="_Toc92894980"/>
      <w:bookmarkStart w:id="416" w:name="_Toc92895284"/>
      <w:bookmarkStart w:id="417" w:name="_Toc109922718"/>
      <w:r w:rsidRPr="0007572B">
        <w:t>Capital Receipts</w:t>
      </w:r>
      <w:bookmarkEnd w:id="415"/>
      <w:bookmarkEnd w:id="416"/>
      <w:bookmarkEnd w:id="417"/>
    </w:p>
    <w:p w14:paraId="3C6F24E8"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Money received from the sale of property, plant and equipment or repayment of a capital advance.</w:t>
      </w:r>
    </w:p>
    <w:p w14:paraId="0EE7A8E8" w14:textId="77777777" w:rsidR="00795BE0" w:rsidRPr="0007572B" w:rsidRDefault="00795BE0" w:rsidP="004F3512">
      <w:pPr>
        <w:pStyle w:val="Heading3"/>
      </w:pPr>
      <w:bookmarkStart w:id="418" w:name="_Toc92894981"/>
      <w:bookmarkStart w:id="419" w:name="_Toc92895285"/>
      <w:bookmarkStart w:id="420" w:name="_Toc109922719"/>
      <w:r w:rsidRPr="0007572B">
        <w:t>Carrying Amount</w:t>
      </w:r>
      <w:bookmarkEnd w:id="418"/>
      <w:bookmarkEnd w:id="419"/>
      <w:bookmarkEnd w:id="420"/>
    </w:p>
    <w:p w14:paraId="684790D7"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The balance sheet value recorded of an asset or a liability.</w:t>
      </w:r>
    </w:p>
    <w:p w14:paraId="1C8C69AA" w14:textId="77777777" w:rsidR="00795BE0" w:rsidRPr="0007572B" w:rsidRDefault="00795BE0" w:rsidP="004F3512">
      <w:pPr>
        <w:pStyle w:val="Heading3"/>
      </w:pPr>
      <w:bookmarkStart w:id="421" w:name="_Toc92894982"/>
      <w:bookmarkStart w:id="422" w:name="_Toc92895286"/>
      <w:bookmarkStart w:id="423" w:name="_Toc109922720"/>
      <w:r w:rsidRPr="0007572B">
        <w:t>Cash and Cash Equivalents</w:t>
      </w:r>
      <w:bookmarkEnd w:id="421"/>
      <w:bookmarkEnd w:id="422"/>
      <w:bookmarkEnd w:id="423"/>
    </w:p>
    <w:p w14:paraId="51BE6544"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This comprises cash in hand, cash overdrawn and short-term investments, which are readily convertible into known amounts of cash.</w:t>
      </w:r>
    </w:p>
    <w:p w14:paraId="103FB8A0" w14:textId="77777777" w:rsidR="00795BE0" w:rsidRPr="0007572B" w:rsidRDefault="00795BE0" w:rsidP="004F3512">
      <w:pPr>
        <w:pStyle w:val="Heading3"/>
      </w:pPr>
      <w:bookmarkStart w:id="424" w:name="_Toc92894983"/>
      <w:bookmarkStart w:id="425" w:name="_Toc92895287"/>
      <w:bookmarkStart w:id="426" w:name="_Toc109922721"/>
      <w:r w:rsidRPr="0007572B">
        <w:t>CIPFA (The Chartered Institute of Public Finance and Accountancy)</w:t>
      </w:r>
      <w:bookmarkEnd w:id="424"/>
      <w:bookmarkEnd w:id="425"/>
      <w:bookmarkEnd w:id="426"/>
    </w:p>
    <w:p w14:paraId="779A7A35"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CIPFA is the leading professional accountancy body for public services.</w:t>
      </w:r>
    </w:p>
    <w:p w14:paraId="7C4F4A45" w14:textId="77777777" w:rsidR="00795BE0" w:rsidRPr="0007572B" w:rsidRDefault="00795BE0" w:rsidP="004F3512">
      <w:pPr>
        <w:pStyle w:val="Heading3"/>
      </w:pPr>
      <w:bookmarkStart w:id="427" w:name="_Toc92894984"/>
      <w:bookmarkStart w:id="428" w:name="_Toc92895288"/>
      <w:bookmarkStart w:id="429" w:name="_Toc109922722"/>
      <w:r w:rsidRPr="0007572B">
        <w:t>Consolidated</w:t>
      </w:r>
      <w:bookmarkEnd w:id="427"/>
      <w:bookmarkEnd w:id="428"/>
      <w:bookmarkEnd w:id="429"/>
    </w:p>
    <w:p w14:paraId="08E14590"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Added together with adjustments to avoid double counting of income, expenditure or to avoid exaggeration.</w:t>
      </w:r>
    </w:p>
    <w:p w14:paraId="4536489B" w14:textId="77777777" w:rsidR="00795BE0" w:rsidRPr="0007572B" w:rsidRDefault="00795BE0" w:rsidP="004F3512">
      <w:pPr>
        <w:pStyle w:val="Heading3"/>
      </w:pPr>
      <w:bookmarkStart w:id="430" w:name="_Toc92894985"/>
      <w:bookmarkStart w:id="431" w:name="_Toc92895289"/>
      <w:bookmarkStart w:id="432" w:name="_Toc109922723"/>
      <w:r w:rsidRPr="0007572B">
        <w:t>Contingent Assets</w:t>
      </w:r>
      <w:bookmarkEnd w:id="430"/>
      <w:bookmarkEnd w:id="431"/>
      <w:bookmarkEnd w:id="432"/>
    </w:p>
    <w:p w14:paraId="4E8C2AFD"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Sums due from individuals or organisations that may arise in the future but which cannot be determined in advance.</w:t>
      </w:r>
    </w:p>
    <w:p w14:paraId="725A0D17" w14:textId="77777777" w:rsidR="00795BE0" w:rsidRPr="0007572B" w:rsidRDefault="00795BE0" w:rsidP="004F3512">
      <w:pPr>
        <w:pStyle w:val="Heading3"/>
      </w:pPr>
      <w:bookmarkStart w:id="433" w:name="_Toc92894986"/>
      <w:bookmarkStart w:id="434" w:name="_Toc92895290"/>
      <w:bookmarkStart w:id="435" w:name="_Toc109922724"/>
      <w:r w:rsidRPr="0007572B">
        <w:t>Contingent Liabilities</w:t>
      </w:r>
      <w:bookmarkEnd w:id="433"/>
      <w:bookmarkEnd w:id="434"/>
      <w:bookmarkEnd w:id="435"/>
    </w:p>
    <w:p w14:paraId="03B51BC0"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Sums due to individuals or organisations that may arise in the future but which cannot be determined in advance.</w:t>
      </w:r>
    </w:p>
    <w:p w14:paraId="55F659E8" w14:textId="77777777" w:rsidR="00795BE0" w:rsidRPr="0007572B" w:rsidRDefault="00795BE0" w:rsidP="004F3512">
      <w:pPr>
        <w:pStyle w:val="Heading3"/>
      </w:pPr>
      <w:bookmarkStart w:id="436" w:name="_Toc92894987"/>
      <w:bookmarkStart w:id="437" w:name="_Toc92895291"/>
      <w:bookmarkStart w:id="438" w:name="_Toc109922725"/>
      <w:r w:rsidRPr="0007572B">
        <w:lastRenderedPageBreak/>
        <w:t>Creditors</w:t>
      </w:r>
      <w:bookmarkEnd w:id="436"/>
      <w:bookmarkEnd w:id="437"/>
      <w:bookmarkEnd w:id="438"/>
    </w:p>
    <w:p w14:paraId="66E40C38"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Amounts owed by the Authority and Group for goods and services provided by the balance sheet date, where payment has not been made at that date.</w:t>
      </w:r>
    </w:p>
    <w:p w14:paraId="55B5B29C" w14:textId="77777777" w:rsidR="00795BE0" w:rsidRPr="0007572B" w:rsidRDefault="00795BE0" w:rsidP="004F3512">
      <w:pPr>
        <w:pStyle w:val="Heading3"/>
      </w:pPr>
      <w:bookmarkStart w:id="439" w:name="_Toc92894988"/>
      <w:bookmarkStart w:id="440" w:name="_Toc92895292"/>
      <w:bookmarkStart w:id="441" w:name="_Toc109922726"/>
      <w:r w:rsidRPr="0007572B">
        <w:t>Current Assets</w:t>
      </w:r>
      <w:bookmarkEnd w:id="439"/>
      <w:bookmarkEnd w:id="440"/>
      <w:bookmarkEnd w:id="441"/>
    </w:p>
    <w:p w14:paraId="3691E496"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An asset where the value changes because the volume held varies from day to day, for example, stock. It is reasonable to expect that these assets will either be consumed or realised during the next accounting period.</w:t>
      </w:r>
    </w:p>
    <w:p w14:paraId="15FB2723" w14:textId="77777777" w:rsidR="00795BE0" w:rsidRPr="0007572B" w:rsidRDefault="00795BE0" w:rsidP="004F3512">
      <w:pPr>
        <w:pStyle w:val="Heading3"/>
      </w:pPr>
      <w:bookmarkStart w:id="442" w:name="_Toc92894989"/>
      <w:bookmarkStart w:id="443" w:name="_Toc92895293"/>
      <w:bookmarkStart w:id="444" w:name="_Toc109922727"/>
      <w:r w:rsidRPr="0007572B">
        <w:t>Current Liabilities</w:t>
      </w:r>
      <w:bookmarkEnd w:id="442"/>
      <w:bookmarkEnd w:id="443"/>
      <w:bookmarkEnd w:id="444"/>
    </w:p>
    <w:p w14:paraId="5F19189E"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An amount which will become payable or could be called in within the next accounting period.</w:t>
      </w:r>
    </w:p>
    <w:p w14:paraId="60D25A5C" w14:textId="77777777" w:rsidR="00795BE0" w:rsidRPr="0007572B" w:rsidRDefault="00795BE0" w:rsidP="004F3512">
      <w:pPr>
        <w:pStyle w:val="Heading3"/>
      </w:pPr>
      <w:bookmarkStart w:id="445" w:name="_Toc92894990"/>
      <w:bookmarkStart w:id="446" w:name="_Toc92895294"/>
      <w:bookmarkStart w:id="447" w:name="_Toc109922728"/>
      <w:r w:rsidRPr="0007572B">
        <w:t>Current Service Cost</w:t>
      </w:r>
      <w:bookmarkEnd w:id="445"/>
      <w:bookmarkEnd w:id="446"/>
      <w:bookmarkEnd w:id="447"/>
      <w:r w:rsidRPr="0007572B">
        <w:t xml:space="preserve"> </w:t>
      </w:r>
    </w:p>
    <w:p w14:paraId="00E16A05"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The increase in present value of a defined benefit pension scheme’s liabilities expected to arise from employee service in the current financial year.</w:t>
      </w:r>
    </w:p>
    <w:p w14:paraId="62ACF930" w14:textId="77777777" w:rsidR="00795BE0" w:rsidRPr="0007572B" w:rsidRDefault="00795BE0" w:rsidP="004F3512">
      <w:pPr>
        <w:pStyle w:val="Heading3"/>
      </w:pPr>
      <w:bookmarkStart w:id="448" w:name="_Toc92894991"/>
      <w:bookmarkStart w:id="449" w:name="_Toc92895295"/>
      <w:bookmarkStart w:id="450" w:name="_Toc109922729"/>
      <w:r w:rsidRPr="0007572B">
        <w:t>Curtailments</w:t>
      </w:r>
      <w:bookmarkEnd w:id="448"/>
      <w:bookmarkEnd w:id="449"/>
      <w:bookmarkEnd w:id="450"/>
    </w:p>
    <w:p w14:paraId="20E08932"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For a defined benefit pension scheme, an event that reduces the expected years of future service of present employees or reduces the accrual of defined benefits for a number of employees for some or all of their future service.</w:t>
      </w:r>
    </w:p>
    <w:p w14:paraId="60FC118A" w14:textId="77777777" w:rsidR="00795BE0" w:rsidRPr="0007572B" w:rsidRDefault="00795BE0" w:rsidP="004F3512">
      <w:pPr>
        <w:pStyle w:val="Heading3"/>
      </w:pPr>
      <w:bookmarkStart w:id="451" w:name="_Toc92894992"/>
      <w:bookmarkStart w:id="452" w:name="_Toc92895296"/>
      <w:bookmarkStart w:id="453" w:name="_Toc109922730"/>
      <w:r w:rsidRPr="0007572B">
        <w:t>Debtors</w:t>
      </w:r>
      <w:bookmarkEnd w:id="451"/>
      <w:bookmarkEnd w:id="452"/>
      <w:bookmarkEnd w:id="453"/>
    </w:p>
    <w:p w14:paraId="4139B4D2"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Sums of money owed to the Authority and Group at the balance sheet date but not received at that date.</w:t>
      </w:r>
    </w:p>
    <w:p w14:paraId="5DDAC663" w14:textId="77777777" w:rsidR="00795BE0" w:rsidRPr="0007572B" w:rsidRDefault="00795BE0" w:rsidP="004F3512">
      <w:pPr>
        <w:pStyle w:val="Heading3"/>
      </w:pPr>
      <w:bookmarkStart w:id="454" w:name="_Toc92894993"/>
      <w:bookmarkStart w:id="455" w:name="_Toc92895297"/>
      <w:bookmarkStart w:id="456" w:name="_Toc109922731"/>
      <w:r w:rsidRPr="0007572B">
        <w:t>Deferred Capital Receipts</w:t>
      </w:r>
      <w:bookmarkEnd w:id="454"/>
      <w:bookmarkEnd w:id="455"/>
      <w:bookmarkEnd w:id="456"/>
    </w:p>
    <w:p w14:paraId="2CF9A599"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Amounts derived from asset sales, which will be received in instalments over a period of years.</w:t>
      </w:r>
    </w:p>
    <w:p w14:paraId="0052AC10" w14:textId="77777777" w:rsidR="00795BE0" w:rsidRPr="0007572B" w:rsidRDefault="00795BE0" w:rsidP="004F3512">
      <w:pPr>
        <w:pStyle w:val="Heading3"/>
      </w:pPr>
      <w:bookmarkStart w:id="457" w:name="_Toc92894994"/>
      <w:bookmarkStart w:id="458" w:name="_Toc92895298"/>
      <w:bookmarkStart w:id="459" w:name="_Toc109922732"/>
      <w:r w:rsidRPr="0007572B">
        <w:t>Defined Benefit Pension Scheme</w:t>
      </w:r>
      <w:bookmarkEnd w:id="457"/>
      <w:bookmarkEnd w:id="458"/>
      <w:bookmarkEnd w:id="459"/>
    </w:p>
    <w:p w14:paraId="7E9F8E3E"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A pension or other retirement benefit scheme other than a defined contribution scheme. Usually, the scheme rules define the benefits independently of the contributions payable, and the benefits are not directly related to the investments of the scheme. The scheme may be funded or unfunded.</w:t>
      </w:r>
    </w:p>
    <w:p w14:paraId="4A20D5B6" w14:textId="77777777" w:rsidR="00795BE0" w:rsidRPr="0007572B" w:rsidRDefault="00795BE0" w:rsidP="004F3512">
      <w:pPr>
        <w:pStyle w:val="Heading3"/>
      </w:pPr>
      <w:bookmarkStart w:id="460" w:name="_Toc92894995"/>
      <w:bookmarkStart w:id="461" w:name="_Toc92895299"/>
      <w:bookmarkStart w:id="462" w:name="_Toc109922733"/>
      <w:r w:rsidRPr="0007572B">
        <w:t>Defined Benefit Contribution Scheme</w:t>
      </w:r>
      <w:bookmarkEnd w:id="460"/>
      <w:bookmarkEnd w:id="461"/>
      <w:bookmarkEnd w:id="462"/>
    </w:p>
    <w:p w14:paraId="68B392A3"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A pension or other retirement benefit scheme into which an employer pays regular contributions fixed as an amount or percentage of pay and will have no legal or constructive obligation to pay further contributions if the scheme does not have sufficient assets to pay all employee benefits relating to employee service in the current and prior periods.</w:t>
      </w:r>
    </w:p>
    <w:p w14:paraId="4C0D6A28" w14:textId="77777777" w:rsidR="00795BE0" w:rsidRPr="0007572B" w:rsidRDefault="00795BE0" w:rsidP="004F3512">
      <w:pPr>
        <w:pStyle w:val="Heading3"/>
      </w:pPr>
      <w:bookmarkStart w:id="463" w:name="_Toc92894996"/>
      <w:bookmarkStart w:id="464" w:name="_Toc92895300"/>
      <w:bookmarkStart w:id="465" w:name="_Toc109922734"/>
      <w:r w:rsidRPr="0007572B">
        <w:t>Depreciation</w:t>
      </w:r>
      <w:bookmarkEnd w:id="463"/>
      <w:bookmarkEnd w:id="464"/>
      <w:bookmarkEnd w:id="465"/>
    </w:p>
    <w:p w14:paraId="39AE4C6F"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The measure of the wearing out, consumption or other reduction in the useful economic life of property, plant and equipment.</w:t>
      </w:r>
    </w:p>
    <w:p w14:paraId="6EB7183C" w14:textId="77777777" w:rsidR="00795BE0" w:rsidRPr="0007572B" w:rsidRDefault="00795BE0" w:rsidP="004F3512">
      <w:pPr>
        <w:pStyle w:val="Heading3"/>
      </w:pPr>
      <w:bookmarkStart w:id="466" w:name="_Toc92894997"/>
      <w:bookmarkStart w:id="467" w:name="_Toc92895301"/>
      <w:bookmarkStart w:id="468" w:name="_Toc109922735"/>
      <w:r w:rsidRPr="0007572B">
        <w:t>Remeasurement of the Net Defined Benefit Liability</w:t>
      </w:r>
      <w:bookmarkEnd w:id="466"/>
      <w:bookmarkEnd w:id="467"/>
      <w:bookmarkEnd w:id="468"/>
    </w:p>
    <w:p w14:paraId="0129B4CE" w14:textId="77777777" w:rsidR="00795BE0" w:rsidRPr="0007572B" w:rsidRDefault="00795BE0" w:rsidP="004F3512">
      <w:pPr>
        <w:rPr>
          <w:rFonts w:ascii="Arial" w:hAnsi="Arial" w:cs="Arial"/>
          <w:color w:val="000000"/>
        </w:rPr>
      </w:pPr>
      <w:r w:rsidRPr="0007572B">
        <w:rPr>
          <w:rFonts w:ascii="Arial" w:hAnsi="Arial" w:cs="Arial"/>
          <w:color w:val="000000"/>
        </w:rPr>
        <w:t>Remeasurement of the Net Defined Benefit Liability (asset) comprises:</w:t>
      </w:r>
    </w:p>
    <w:p w14:paraId="3809F1D1" w14:textId="77777777" w:rsidR="00795BE0" w:rsidRPr="0007572B" w:rsidRDefault="00795BE0" w:rsidP="004F3512">
      <w:pPr>
        <w:rPr>
          <w:rFonts w:ascii="Arial" w:hAnsi="Arial" w:cs="Arial"/>
          <w:color w:val="000000"/>
        </w:rPr>
      </w:pPr>
      <w:r w:rsidRPr="0007572B">
        <w:rPr>
          <w:rFonts w:ascii="Arial" w:hAnsi="Arial" w:cs="Arial"/>
          <w:color w:val="000000"/>
        </w:rPr>
        <w:t>a) actuarial gains and losses</w:t>
      </w:r>
    </w:p>
    <w:p w14:paraId="708EB47E" w14:textId="77777777" w:rsidR="00795BE0" w:rsidRPr="0007572B" w:rsidRDefault="00795BE0" w:rsidP="004F3512">
      <w:pPr>
        <w:rPr>
          <w:rFonts w:ascii="Arial" w:hAnsi="Arial" w:cs="Arial"/>
          <w:color w:val="000000"/>
        </w:rPr>
      </w:pPr>
      <w:r w:rsidRPr="0007572B">
        <w:rPr>
          <w:rFonts w:ascii="Arial" w:hAnsi="Arial" w:cs="Arial"/>
          <w:color w:val="000000"/>
        </w:rPr>
        <w:lastRenderedPageBreak/>
        <w:t>b) the return on plan assets, excluding amounts included in net interest on the net defined benefit liability (asset), and</w:t>
      </w:r>
    </w:p>
    <w:p w14:paraId="2DAF3BB6" w14:textId="77777777" w:rsidR="00795BE0" w:rsidRPr="0007572B" w:rsidRDefault="00795BE0" w:rsidP="004F3512">
      <w:pPr>
        <w:rPr>
          <w:rFonts w:ascii="Arial" w:hAnsi="Arial" w:cs="Arial"/>
          <w:color w:val="000000"/>
        </w:rPr>
      </w:pPr>
      <w:r w:rsidRPr="0007572B">
        <w:rPr>
          <w:rFonts w:ascii="Arial" w:hAnsi="Arial" w:cs="Arial"/>
          <w:color w:val="000000"/>
        </w:rPr>
        <w:t>c) any change in the effect of the asset ceiling, excluding amounts included in net interest on the net defined benefit liability (asset).</w:t>
      </w:r>
    </w:p>
    <w:p w14:paraId="36928B5C" w14:textId="77777777" w:rsidR="00795BE0" w:rsidRPr="0007572B" w:rsidRDefault="00795BE0" w:rsidP="004F3512">
      <w:pPr>
        <w:pStyle w:val="Heading3"/>
      </w:pPr>
      <w:bookmarkStart w:id="469" w:name="_Toc92894998"/>
      <w:bookmarkStart w:id="470" w:name="_Toc92895302"/>
      <w:bookmarkStart w:id="471" w:name="_Toc109922736"/>
      <w:r w:rsidRPr="0007572B">
        <w:t>Expenditure</w:t>
      </w:r>
      <w:bookmarkEnd w:id="469"/>
      <w:bookmarkEnd w:id="470"/>
      <w:bookmarkEnd w:id="471"/>
    </w:p>
    <w:p w14:paraId="2EF924E2"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Amounts paid by the Authority and Group for goods received or services rendered of either a capital or revenue nature. This does not necessarily involve a cash payment - expenditure is deemed to have been incurred once the goods or services have been received even if they have not been paid for.</w:t>
      </w:r>
    </w:p>
    <w:p w14:paraId="2708D17D" w14:textId="77777777" w:rsidR="00795BE0" w:rsidRPr="0007572B" w:rsidRDefault="00795BE0" w:rsidP="004F3512">
      <w:pPr>
        <w:pStyle w:val="Heading3"/>
      </w:pPr>
      <w:bookmarkStart w:id="472" w:name="_Toc92894999"/>
      <w:bookmarkStart w:id="473" w:name="_Toc92895303"/>
      <w:bookmarkStart w:id="474" w:name="_Toc109922737"/>
      <w:r w:rsidRPr="0007572B">
        <w:t>External Audit</w:t>
      </w:r>
      <w:bookmarkEnd w:id="472"/>
      <w:bookmarkEnd w:id="473"/>
      <w:bookmarkEnd w:id="474"/>
    </w:p>
    <w:p w14:paraId="185964A8"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The independent examination of the activities and accounts of local authorities to ensure the accounts have been prepared in accordance with legislative requirements and proper practices and to ensure the Authority has made proper arrangements to secure value for money in its use of resources.</w:t>
      </w:r>
    </w:p>
    <w:p w14:paraId="38773602" w14:textId="77777777" w:rsidR="00795BE0" w:rsidRPr="0007572B" w:rsidRDefault="00795BE0" w:rsidP="004F3512">
      <w:pPr>
        <w:pStyle w:val="Heading3"/>
      </w:pPr>
      <w:bookmarkStart w:id="475" w:name="_Toc92895000"/>
      <w:bookmarkStart w:id="476" w:name="_Toc92895304"/>
      <w:bookmarkStart w:id="477" w:name="_Toc109922738"/>
      <w:r w:rsidRPr="0007572B">
        <w:t>Fair Value</w:t>
      </w:r>
      <w:bookmarkEnd w:id="475"/>
      <w:bookmarkEnd w:id="476"/>
      <w:bookmarkEnd w:id="477"/>
    </w:p>
    <w:p w14:paraId="505FAE50"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The fair value of an asset is the price at which it could be exchanged in an arm’s length transaction.</w:t>
      </w:r>
    </w:p>
    <w:p w14:paraId="01AF06C3" w14:textId="77777777" w:rsidR="00795BE0" w:rsidRPr="0007572B" w:rsidRDefault="00795BE0" w:rsidP="004F3512">
      <w:pPr>
        <w:pStyle w:val="Heading3"/>
      </w:pPr>
      <w:bookmarkStart w:id="478" w:name="_Toc92895001"/>
      <w:bookmarkStart w:id="479" w:name="_Toc92895305"/>
      <w:bookmarkStart w:id="480" w:name="_Toc109922739"/>
      <w:r w:rsidRPr="0007572B">
        <w:t>Fees and Charges</w:t>
      </w:r>
      <w:bookmarkEnd w:id="478"/>
      <w:bookmarkEnd w:id="479"/>
      <w:bookmarkEnd w:id="480"/>
    </w:p>
    <w:p w14:paraId="32A31632"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Income arising from the provision of services, e.g. the use of premises.</w:t>
      </w:r>
    </w:p>
    <w:p w14:paraId="35974E37" w14:textId="77777777" w:rsidR="00795BE0" w:rsidRPr="0007572B" w:rsidRDefault="00795BE0" w:rsidP="004F3512">
      <w:pPr>
        <w:pStyle w:val="Heading3"/>
      </w:pPr>
      <w:bookmarkStart w:id="481" w:name="_Toc92895002"/>
      <w:bookmarkStart w:id="482" w:name="_Toc92895306"/>
      <w:bookmarkStart w:id="483" w:name="_Toc109922740"/>
      <w:r w:rsidRPr="0007572B">
        <w:t>Finance Lease</w:t>
      </w:r>
      <w:bookmarkEnd w:id="481"/>
      <w:bookmarkEnd w:id="482"/>
      <w:bookmarkEnd w:id="483"/>
    </w:p>
    <w:p w14:paraId="08A05A7E"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 xml:space="preserve">A finance lease is one that transfers substantially all the risks and rewards of ownership of items of property, plant and equipment to a lessee. </w:t>
      </w:r>
    </w:p>
    <w:p w14:paraId="0ABC4455" w14:textId="77777777" w:rsidR="00795BE0" w:rsidRPr="0007572B" w:rsidRDefault="00795BE0" w:rsidP="004F3512">
      <w:pPr>
        <w:pStyle w:val="Heading3"/>
      </w:pPr>
      <w:bookmarkStart w:id="484" w:name="_Toc92895003"/>
      <w:bookmarkStart w:id="485" w:name="_Toc92895307"/>
      <w:bookmarkStart w:id="486" w:name="_Toc109922741"/>
      <w:r w:rsidRPr="0007572B">
        <w:t>Financial Instruments</w:t>
      </w:r>
      <w:bookmarkEnd w:id="484"/>
      <w:bookmarkEnd w:id="485"/>
      <w:bookmarkEnd w:id="486"/>
    </w:p>
    <w:p w14:paraId="739618F6"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This is any contract that gives rise to a financial asset of one entity and a financial liability or equity of another. The term covers both financial assets (e.g. loans receivable) and financial liabilities (e.g. borrowings).</w:t>
      </w:r>
    </w:p>
    <w:p w14:paraId="60489C63" w14:textId="77777777" w:rsidR="00795BE0" w:rsidRPr="0007572B" w:rsidRDefault="00795BE0" w:rsidP="004F3512">
      <w:pPr>
        <w:pStyle w:val="Heading3"/>
      </w:pPr>
      <w:bookmarkStart w:id="487" w:name="_Toc92895004"/>
      <w:bookmarkStart w:id="488" w:name="_Toc92895308"/>
      <w:bookmarkStart w:id="489" w:name="_Toc109922742"/>
      <w:r w:rsidRPr="0007572B">
        <w:t>Historical Cost</w:t>
      </w:r>
      <w:bookmarkEnd w:id="487"/>
      <w:bookmarkEnd w:id="488"/>
      <w:bookmarkEnd w:id="489"/>
    </w:p>
    <w:p w14:paraId="5CA46817"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The actual cost of assets, goods or services, at the time of their acquisition.</w:t>
      </w:r>
    </w:p>
    <w:p w14:paraId="2A3A2A4D" w14:textId="77777777" w:rsidR="00795BE0" w:rsidRPr="0007572B" w:rsidRDefault="00795BE0" w:rsidP="004F3512">
      <w:pPr>
        <w:pStyle w:val="Heading3"/>
      </w:pPr>
      <w:bookmarkStart w:id="490" w:name="_Toc92895005"/>
      <w:bookmarkStart w:id="491" w:name="_Toc92895309"/>
      <w:bookmarkStart w:id="492" w:name="_Toc109922743"/>
      <w:r w:rsidRPr="0007572B">
        <w:t>Impairment</w:t>
      </w:r>
      <w:bookmarkEnd w:id="490"/>
      <w:bookmarkEnd w:id="491"/>
      <w:bookmarkEnd w:id="492"/>
    </w:p>
    <w:p w14:paraId="14758DB0"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 reduction in the value of a property, plant and equipment below its carrying amount in the balance sheet.</w:t>
      </w:r>
    </w:p>
    <w:p w14:paraId="7CC957E0" w14:textId="77777777" w:rsidR="00795BE0" w:rsidRPr="0007572B" w:rsidRDefault="00795BE0" w:rsidP="004F3512">
      <w:pPr>
        <w:pStyle w:val="Heading3"/>
      </w:pPr>
      <w:bookmarkStart w:id="493" w:name="_Toc92895006"/>
      <w:bookmarkStart w:id="494" w:name="_Toc92895310"/>
      <w:bookmarkStart w:id="495" w:name="_Toc109922744"/>
      <w:r w:rsidRPr="0007572B">
        <w:t>Income</w:t>
      </w:r>
      <w:bookmarkEnd w:id="493"/>
      <w:bookmarkEnd w:id="494"/>
      <w:bookmarkEnd w:id="495"/>
    </w:p>
    <w:p w14:paraId="533D1C64"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Amounts due to the Authority and Group for goods supplied or services rendered of either a capital or revenue nature. This does not necessarily involve cash being received - income is deemed to have been earned once the goods or services have been supplied even if the cash has not been received.</w:t>
      </w:r>
    </w:p>
    <w:p w14:paraId="6A771772" w14:textId="77777777" w:rsidR="00795BE0" w:rsidRPr="0007572B" w:rsidRDefault="00795BE0" w:rsidP="004F3512">
      <w:pPr>
        <w:pStyle w:val="Heading3"/>
      </w:pPr>
      <w:bookmarkStart w:id="496" w:name="_Toc92895007"/>
      <w:bookmarkStart w:id="497" w:name="_Toc92895311"/>
      <w:bookmarkStart w:id="498" w:name="_Toc109922745"/>
      <w:r w:rsidRPr="0007572B">
        <w:t>Infrastructure Assets</w:t>
      </w:r>
      <w:bookmarkEnd w:id="496"/>
      <w:bookmarkEnd w:id="497"/>
      <w:bookmarkEnd w:id="498"/>
      <w:r w:rsidRPr="0007572B">
        <w:t xml:space="preserve"> </w:t>
      </w:r>
    </w:p>
    <w:p w14:paraId="75CB5890"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These are inalienable assets, expenditure on which is recoverable only by continued use of the asset created. Examples of such assets are traffic signals.</w:t>
      </w:r>
    </w:p>
    <w:p w14:paraId="15117896" w14:textId="77777777" w:rsidR="00795BE0" w:rsidRPr="0007572B" w:rsidRDefault="00795BE0" w:rsidP="004F3512">
      <w:pPr>
        <w:pStyle w:val="Heading3"/>
      </w:pPr>
      <w:bookmarkStart w:id="499" w:name="_Toc92895008"/>
      <w:bookmarkStart w:id="500" w:name="_Toc92895312"/>
      <w:bookmarkStart w:id="501" w:name="_Toc109922746"/>
      <w:r w:rsidRPr="0007572B">
        <w:lastRenderedPageBreak/>
        <w:t>Intangible Assets</w:t>
      </w:r>
      <w:bookmarkEnd w:id="499"/>
      <w:bookmarkEnd w:id="500"/>
      <w:bookmarkEnd w:id="501"/>
    </w:p>
    <w:p w14:paraId="5A4BD819"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These are assets that have no physical substance, for example, the purchase of computer software licences.</w:t>
      </w:r>
    </w:p>
    <w:p w14:paraId="2AAE2D78" w14:textId="77777777" w:rsidR="00795BE0" w:rsidRPr="0007572B" w:rsidRDefault="00795BE0" w:rsidP="004F3512">
      <w:pPr>
        <w:pStyle w:val="Heading3"/>
      </w:pPr>
      <w:bookmarkStart w:id="502" w:name="_Toc92895009"/>
      <w:bookmarkStart w:id="503" w:name="_Toc92895313"/>
      <w:bookmarkStart w:id="504" w:name="_Toc109922747"/>
      <w:r w:rsidRPr="0007572B">
        <w:t>Interest Cost (Pensions)</w:t>
      </w:r>
      <w:bookmarkEnd w:id="502"/>
      <w:bookmarkEnd w:id="503"/>
      <w:bookmarkEnd w:id="504"/>
    </w:p>
    <w:p w14:paraId="77132E21"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For a defined benefit scheme, the expected increase during the period in the present value of the scheme liabilities because the benefits are one period closer to settlement.</w:t>
      </w:r>
    </w:p>
    <w:p w14:paraId="35DDAA84" w14:textId="77777777" w:rsidR="00795BE0" w:rsidRPr="0007572B" w:rsidRDefault="00795BE0" w:rsidP="004F3512">
      <w:pPr>
        <w:pStyle w:val="Heading3"/>
      </w:pPr>
      <w:bookmarkStart w:id="505" w:name="_Toc92895010"/>
      <w:bookmarkStart w:id="506" w:name="_Toc92895314"/>
      <w:bookmarkStart w:id="507" w:name="_Toc109922748"/>
      <w:r w:rsidRPr="0007572B">
        <w:t>International Financial Reporting Standards (IFRS)</w:t>
      </w:r>
      <w:bookmarkEnd w:id="505"/>
      <w:bookmarkEnd w:id="506"/>
      <w:bookmarkEnd w:id="507"/>
    </w:p>
    <w:p w14:paraId="13E34D9E"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These are statements prepared by the International Accounting Standards Board to ensure consistency in accountancy matters. Many of these standards now apply to local authorities and any departure from these must be disclosed in the published accounts.</w:t>
      </w:r>
    </w:p>
    <w:p w14:paraId="12255AB4" w14:textId="77777777" w:rsidR="00795BE0" w:rsidRPr="0007572B" w:rsidRDefault="00795BE0" w:rsidP="004F3512">
      <w:pPr>
        <w:pStyle w:val="Heading3"/>
      </w:pPr>
      <w:bookmarkStart w:id="508" w:name="_Toc92895011"/>
      <w:bookmarkStart w:id="509" w:name="_Toc92895315"/>
      <w:bookmarkStart w:id="510" w:name="_Toc109922749"/>
      <w:r w:rsidRPr="0007572B">
        <w:t>Inventory</w:t>
      </w:r>
      <w:bookmarkEnd w:id="508"/>
      <w:bookmarkEnd w:id="509"/>
      <w:bookmarkEnd w:id="510"/>
    </w:p>
    <w:p w14:paraId="3E1556A0"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Raw materials and consumable items the Authority’s Group has purchased to use on a continuing basis and has not used by the end of the financial year.</w:t>
      </w:r>
    </w:p>
    <w:p w14:paraId="53A90A8C" w14:textId="77777777" w:rsidR="00795BE0" w:rsidRPr="0007572B" w:rsidRDefault="00795BE0" w:rsidP="004F3512">
      <w:pPr>
        <w:pStyle w:val="Heading3"/>
      </w:pPr>
      <w:bookmarkStart w:id="511" w:name="_Toc92895012"/>
      <w:bookmarkStart w:id="512" w:name="_Toc92895316"/>
      <w:bookmarkStart w:id="513" w:name="_Toc109922750"/>
      <w:r w:rsidRPr="0007572B">
        <w:t>Investment Properties</w:t>
      </w:r>
      <w:bookmarkEnd w:id="511"/>
      <w:bookmarkEnd w:id="512"/>
      <w:bookmarkEnd w:id="513"/>
    </w:p>
    <w:p w14:paraId="17066F35"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These are property or land that is held solely to earn rentals or for capital appreciation or both.</w:t>
      </w:r>
    </w:p>
    <w:p w14:paraId="6CE50FA1" w14:textId="77777777" w:rsidR="00795BE0" w:rsidRPr="0007572B" w:rsidRDefault="00795BE0" w:rsidP="004F3512">
      <w:pPr>
        <w:pStyle w:val="Heading3"/>
      </w:pPr>
      <w:bookmarkStart w:id="514" w:name="_Toc92895013"/>
      <w:bookmarkStart w:id="515" w:name="_Toc92895317"/>
      <w:bookmarkStart w:id="516" w:name="_Toc109922751"/>
      <w:r w:rsidRPr="0007572B">
        <w:t>Investments</w:t>
      </w:r>
      <w:bookmarkEnd w:id="514"/>
      <w:bookmarkEnd w:id="515"/>
      <w:bookmarkEnd w:id="516"/>
    </w:p>
    <w:p w14:paraId="2A95895A"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Items such as company shares, other securities and money deposited with financial institutions (other than bank current accounts).</w:t>
      </w:r>
    </w:p>
    <w:p w14:paraId="45C310E5" w14:textId="77777777" w:rsidR="00795BE0" w:rsidRPr="0007572B" w:rsidRDefault="00795BE0" w:rsidP="004F3512">
      <w:pPr>
        <w:pStyle w:val="Heading3"/>
      </w:pPr>
      <w:bookmarkStart w:id="517" w:name="_Toc92895014"/>
      <w:bookmarkStart w:id="518" w:name="_Toc92895318"/>
      <w:bookmarkStart w:id="519" w:name="_Toc109922752"/>
      <w:r w:rsidRPr="0007572B">
        <w:t>Liabilities</w:t>
      </w:r>
      <w:bookmarkEnd w:id="517"/>
      <w:bookmarkEnd w:id="518"/>
      <w:bookmarkEnd w:id="519"/>
    </w:p>
    <w:p w14:paraId="676BFACE"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Amounts due to individuals or organisations that will have to be paid at some time in the future. Current liabilities are usually payable within one year of the balance sheet date.</w:t>
      </w:r>
    </w:p>
    <w:p w14:paraId="348193F8" w14:textId="77777777" w:rsidR="00795BE0" w:rsidRPr="0007572B" w:rsidRDefault="00795BE0" w:rsidP="004F3512">
      <w:pPr>
        <w:pStyle w:val="Heading3"/>
      </w:pPr>
      <w:bookmarkStart w:id="520" w:name="_Toc92895015"/>
      <w:bookmarkStart w:id="521" w:name="_Toc92895319"/>
      <w:bookmarkStart w:id="522" w:name="_Toc109922753"/>
      <w:r w:rsidRPr="0007572B">
        <w:t>Long-term Contracts</w:t>
      </w:r>
      <w:bookmarkEnd w:id="520"/>
      <w:bookmarkEnd w:id="521"/>
      <w:bookmarkEnd w:id="522"/>
    </w:p>
    <w:p w14:paraId="6A16507B"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A contract entered into for the design, manufacture or construction of a single substantial asset or service where the time taken to complete the contract is such that the contract activity falls into different accounting periods.</w:t>
      </w:r>
    </w:p>
    <w:p w14:paraId="751A7225" w14:textId="77777777" w:rsidR="00795BE0" w:rsidRPr="0007572B" w:rsidRDefault="00795BE0" w:rsidP="004F3512">
      <w:pPr>
        <w:pStyle w:val="Heading3"/>
      </w:pPr>
      <w:bookmarkStart w:id="523" w:name="_Toc92895016"/>
      <w:bookmarkStart w:id="524" w:name="_Toc92895320"/>
      <w:bookmarkStart w:id="525" w:name="_Toc109922754"/>
      <w:r w:rsidRPr="0007572B">
        <w:t>Material</w:t>
      </w:r>
      <w:bookmarkEnd w:id="523"/>
      <w:bookmarkEnd w:id="524"/>
      <w:bookmarkEnd w:id="525"/>
    </w:p>
    <w:p w14:paraId="1299F220"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The concept that any omission from or inaccuracy in the statements of account should not be large enough to affect the understanding of those statements by a reader.</w:t>
      </w:r>
    </w:p>
    <w:p w14:paraId="36EA72B1" w14:textId="77777777" w:rsidR="00795BE0" w:rsidRPr="0007572B" w:rsidRDefault="00795BE0" w:rsidP="004F3512">
      <w:pPr>
        <w:pStyle w:val="Heading3"/>
      </w:pPr>
      <w:bookmarkStart w:id="526" w:name="_Toc92895017"/>
      <w:bookmarkStart w:id="527" w:name="_Toc92895321"/>
      <w:bookmarkStart w:id="528" w:name="_Toc109922755"/>
      <w:r w:rsidRPr="0007572B">
        <w:t>Minimum Revenue Provision (MRP)</w:t>
      </w:r>
      <w:bookmarkEnd w:id="526"/>
      <w:bookmarkEnd w:id="527"/>
      <w:bookmarkEnd w:id="528"/>
    </w:p>
    <w:p w14:paraId="5B3ECB90"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This is the amount that is charged to the Authority's Movement in Reserves Statement each year and set aside as a provision for credit liabilities.</w:t>
      </w:r>
    </w:p>
    <w:p w14:paraId="1314364C" w14:textId="77777777" w:rsidR="00795BE0" w:rsidRPr="0007572B" w:rsidRDefault="00795BE0" w:rsidP="004F3512">
      <w:pPr>
        <w:pStyle w:val="Heading3"/>
      </w:pPr>
      <w:bookmarkStart w:id="529" w:name="_Toc92895018"/>
      <w:bookmarkStart w:id="530" w:name="_Toc92895322"/>
      <w:bookmarkStart w:id="531" w:name="_Toc109922756"/>
      <w:r w:rsidRPr="0007572B">
        <w:t>Net Book Value</w:t>
      </w:r>
      <w:bookmarkEnd w:id="529"/>
      <w:bookmarkEnd w:id="530"/>
      <w:bookmarkEnd w:id="531"/>
    </w:p>
    <w:p w14:paraId="0973B311"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The amount at which non-current assets are included in the balance sheet, i.e. their historical cost or current cost less the cumulative depreciation.</w:t>
      </w:r>
    </w:p>
    <w:p w14:paraId="36A94228" w14:textId="77777777" w:rsidR="00795BE0" w:rsidRPr="0007572B" w:rsidRDefault="00795BE0" w:rsidP="004F3512">
      <w:pPr>
        <w:pStyle w:val="Heading3"/>
      </w:pPr>
      <w:bookmarkStart w:id="532" w:name="_Toc92895019"/>
      <w:bookmarkStart w:id="533" w:name="_Toc92895323"/>
      <w:bookmarkStart w:id="534" w:name="_Toc109922757"/>
      <w:r w:rsidRPr="0007572B">
        <w:t>Net Realisable Value</w:t>
      </w:r>
      <w:bookmarkEnd w:id="532"/>
      <w:bookmarkEnd w:id="533"/>
      <w:bookmarkEnd w:id="534"/>
    </w:p>
    <w:p w14:paraId="165BCE1A"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The open market value of the asset in its existing use (or open market value in the case of non-operational assets), less the expenses to be incurred in realising the asset.</w:t>
      </w:r>
    </w:p>
    <w:p w14:paraId="5AFE7F8E" w14:textId="77777777" w:rsidR="00795BE0" w:rsidRPr="0007572B" w:rsidRDefault="00795BE0" w:rsidP="004F3512">
      <w:pPr>
        <w:pStyle w:val="Heading3"/>
      </w:pPr>
      <w:bookmarkStart w:id="535" w:name="_Toc92895020"/>
      <w:bookmarkStart w:id="536" w:name="_Toc92895324"/>
      <w:bookmarkStart w:id="537" w:name="_Toc109922758"/>
      <w:r w:rsidRPr="0007572B">
        <w:lastRenderedPageBreak/>
        <w:t>Non-Current Assets</w:t>
      </w:r>
      <w:bookmarkEnd w:id="535"/>
      <w:bookmarkEnd w:id="536"/>
      <w:bookmarkEnd w:id="537"/>
    </w:p>
    <w:p w14:paraId="707048B1"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Assets which have value to the Authority for more than one year. These can be tangible (e.g. land, buildings, equipment) or intangible (e.g. Software or licences) assets.</w:t>
      </w:r>
    </w:p>
    <w:p w14:paraId="1EA1B3E6" w14:textId="77777777" w:rsidR="00795BE0" w:rsidRPr="0007572B" w:rsidRDefault="00795BE0" w:rsidP="004F3512">
      <w:pPr>
        <w:pStyle w:val="Heading3"/>
      </w:pPr>
      <w:bookmarkStart w:id="538" w:name="_Toc92895021"/>
      <w:bookmarkStart w:id="539" w:name="_Toc92895325"/>
      <w:bookmarkStart w:id="540" w:name="_Toc109922759"/>
      <w:r w:rsidRPr="0007572B">
        <w:t>Non-Operational Assets</w:t>
      </w:r>
      <w:bookmarkEnd w:id="538"/>
      <w:bookmarkEnd w:id="539"/>
      <w:bookmarkEnd w:id="540"/>
    </w:p>
    <w:p w14:paraId="3C7F534D"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Non-current assets held by the Authority but not directly occupied, used or consumed in the delivery of services. Examples of non-operational assets are investment properties and assets that are surplus to requirements pending sale or redevelopment.</w:t>
      </w:r>
    </w:p>
    <w:p w14:paraId="7BAB7527" w14:textId="77777777" w:rsidR="00795BE0" w:rsidRPr="0007572B" w:rsidRDefault="00795BE0" w:rsidP="004F3512">
      <w:pPr>
        <w:pStyle w:val="Heading3"/>
      </w:pPr>
      <w:bookmarkStart w:id="541" w:name="_Toc92895022"/>
      <w:bookmarkStart w:id="542" w:name="_Toc92895326"/>
      <w:bookmarkStart w:id="543" w:name="_Toc109922760"/>
      <w:r>
        <w:t>Business Rates</w:t>
      </w:r>
      <w:bookmarkEnd w:id="541"/>
      <w:bookmarkEnd w:id="542"/>
      <w:bookmarkEnd w:id="543"/>
    </w:p>
    <w:p w14:paraId="7BBA649B"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 xml:space="preserve">These are a levy on business properties based on a national rate in the pound applied to the ‘rateable value’ of the property. The Government determines that national rate poundage, local authorities collect the sums due, with distribution made in accordance with rules governing the </w:t>
      </w:r>
      <w:r>
        <w:rPr>
          <w:rFonts w:ascii="Arial" w:hAnsi="Arial" w:cs="Arial"/>
          <w:color w:val="000000"/>
        </w:rPr>
        <w:t>b</w:t>
      </w:r>
      <w:r w:rsidRPr="0007572B">
        <w:rPr>
          <w:rFonts w:ascii="Arial" w:hAnsi="Arial" w:cs="Arial"/>
          <w:color w:val="000000"/>
        </w:rPr>
        <w:t xml:space="preserve">usiness </w:t>
      </w:r>
      <w:r>
        <w:rPr>
          <w:rFonts w:ascii="Arial" w:hAnsi="Arial" w:cs="Arial"/>
          <w:color w:val="000000"/>
        </w:rPr>
        <w:t>r</w:t>
      </w:r>
      <w:r w:rsidRPr="0007572B">
        <w:rPr>
          <w:rFonts w:ascii="Arial" w:hAnsi="Arial" w:cs="Arial"/>
          <w:color w:val="000000"/>
        </w:rPr>
        <w:t>ates retention scheme.</w:t>
      </w:r>
    </w:p>
    <w:p w14:paraId="38B28FDC" w14:textId="77777777" w:rsidR="00795BE0" w:rsidRPr="0007572B" w:rsidRDefault="00795BE0" w:rsidP="004F3512">
      <w:pPr>
        <w:pStyle w:val="Heading3"/>
      </w:pPr>
      <w:bookmarkStart w:id="544" w:name="_Toc92895023"/>
      <w:bookmarkStart w:id="545" w:name="_Toc92895327"/>
      <w:bookmarkStart w:id="546" w:name="_Toc109922761"/>
      <w:r w:rsidRPr="0007572B">
        <w:t>Operating Lease</w:t>
      </w:r>
      <w:bookmarkEnd w:id="544"/>
      <w:bookmarkEnd w:id="545"/>
      <w:bookmarkEnd w:id="546"/>
    </w:p>
    <w:p w14:paraId="3545C702"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A lease other than a finance lease.</w:t>
      </w:r>
    </w:p>
    <w:p w14:paraId="50F07AA2" w14:textId="77777777" w:rsidR="00795BE0" w:rsidRPr="0007572B" w:rsidRDefault="00795BE0" w:rsidP="004F3512">
      <w:pPr>
        <w:pStyle w:val="Heading3"/>
      </w:pPr>
      <w:bookmarkStart w:id="547" w:name="_Toc92895024"/>
      <w:bookmarkStart w:id="548" w:name="_Toc92895328"/>
      <w:bookmarkStart w:id="549" w:name="_Toc109922762"/>
      <w:r w:rsidRPr="0007572B">
        <w:t>Past Service Cost</w:t>
      </w:r>
      <w:bookmarkEnd w:id="547"/>
      <w:bookmarkEnd w:id="548"/>
      <w:bookmarkEnd w:id="549"/>
    </w:p>
    <w:p w14:paraId="349D69B3"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For a defined benefit pension scheme, the increase in present value of the scheme liabilities related to employee service in prior periods arising in the current period as a result of the introduction of, or improvement to, retirement benefits.</w:t>
      </w:r>
    </w:p>
    <w:p w14:paraId="15ECD17F" w14:textId="77777777" w:rsidR="00795BE0" w:rsidRPr="0007572B" w:rsidRDefault="00795BE0" w:rsidP="004F3512">
      <w:pPr>
        <w:pStyle w:val="Heading3"/>
      </w:pPr>
      <w:bookmarkStart w:id="550" w:name="_Toc92895025"/>
      <w:bookmarkStart w:id="551" w:name="_Toc92895329"/>
      <w:bookmarkStart w:id="552" w:name="_Toc109922763"/>
      <w:r w:rsidRPr="0007572B">
        <w:t>Payments in Advance</w:t>
      </w:r>
      <w:bookmarkEnd w:id="550"/>
      <w:bookmarkEnd w:id="551"/>
      <w:bookmarkEnd w:id="552"/>
    </w:p>
    <w:p w14:paraId="392DA3F8"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Amounts actually paid in an accounting period prior to the period in which they are due</w:t>
      </w:r>
    </w:p>
    <w:p w14:paraId="26F828BA" w14:textId="77777777" w:rsidR="00795BE0" w:rsidRPr="0007572B" w:rsidRDefault="00795BE0" w:rsidP="004F3512">
      <w:pPr>
        <w:pStyle w:val="Heading3"/>
      </w:pPr>
      <w:bookmarkStart w:id="553" w:name="_Toc92895026"/>
      <w:bookmarkStart w:id="554" w:name="_Toc92895330"/>
      <w:bookmarkStart w:id="555" w:name="_Toc109922764"/>
      <w:r w:rsidRPr="0007572B">
        <w:t>Pension Funds</w:t>
      </w:r>
      <w:bookmarkEnd w:id="553"/>
      <w:bookmarkEnd w:id="554"/>
      <w:bookmarkEnd w:id="555"/>
    </w:p>
    <w:p w14:paraId="193F33ED"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The Authority is required to set up a separate fund from the rest of its operation for transactions relating to firefighters’ and police pension arrangements. The funds are balanced to nil each year by the receipt of a pensions top-up grant from the Department for Communities and Local Government.</w:t>
      </w:r>
    </w:p>
    <w:p w14:paraId="28B7C219" w14:textId="77777777" w:rsidR="00795BE0" w:rsidRPr="0007572B" w:rsidRDefault="00795BE0" w:rsidP="004F3512">
      <w:pPr>
        <w:pStyle w:val="Heading3"/>
      </w:pPr>
      <w:bookmarkStart w:id="556" w:name="_Toc92895027"/>
      <w:bookmarkStart w:id="557" w:name="_Toc92895331"/>
      <w:bookmarkStart w:id="558" w:name="_Toc109922765"/>
      <w:r w:rsidRPr="0007572B">
        <w:t>Precept</w:t>
      </w:r>
      <w:bookmarkEnd w:id="556"/>
      <w:bookmarkEnd w:id="557"/>
      <w:bookmarkEnd w:id="558"/>
    </w:p>
    <w:p w14:paraId="2C9DF8FF"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An amount of money levied by one authority (the precepting authority) which is collected by another authority (the collecting authority) as part of the council tax. The Authority is the precepting authority and the GM Authorities are the collecting authorities.</w:t>
      </w:r>
    </w:p>
    <w:p w14:paraId="43662627" w14:textId="77777777" w:rsidR="00795BE0" w:rsidRPr="0007572B" w:rsidRDefault="00795BE0" w:rsidP="004F3512">
      <w:pPr>
        <w:pStyle w:val="Heading3"/>
      </w:pPr>
      <w:bookmarkStart w:id="559" w:name="_Toc92895028"/>
      <w:bookmarkStart w:id="560" w:name="_Toc92895332"/>
      <w:bookmarkStart w:id="561" w:name="_Toc109922766"/>
      <w:r w:rsidRPr="0007572B">
        <w:t>Prior Year Adjustments</w:t>
      </w:r>
      <w:bookmarkEnd w:id="559"/>
      <w:bookmarkEnd w:id="560"/>
      <w:bookmarkEnd w:id="561"/>
    </w:p>
    <w:p w14:paraId="40D28600"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Material adjustments to the accounts of earlier years arising from changes in accounting policies or from the correction of fundamental errors. They do not include normal recurring corrections or adjustments of accounting estimates made in prior years.</w:t>
      </w:r>
    </w:p>
    <w:p w14:paraId="676B940D" w14:textId="77777777" w:rsidR="00795BE0" w:rsidRPr="0007572B" w:rsidRDefault="00795BE0" w:rsidP="004F3512">
      <w:pPr>
        <w:pStyle w:val="Heading3"/>
      </w:pPr>
      <w:bookmarkStart w:id="562" w:name="_Toc92895029"/>
      <w:bookmarkStart w:id="563" w:name="_Toc92895333"/>
      <w:bookmarkStart w:id="564" w:name="_Toc109922767"/>
      <w:r w:rsidRPr="0007572B">
        <w:t>Private Finance Initiative (PFI)</w:t>
      </w:r>
      <w:bookmarkEnd w:id="562"/>
      <w:bookmarkEnd w:id="563"/>
      <w:bookmarkEnd w:id="564"/>
    </w:p>
    <w:p w14:paraId="251B9FB3"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 partnership between the private and public sectors that uses private sector financing to provide public sector assets. The partnership has to meet certain criteria to qualify for Central Government subsidy.</w:t>
      </w:r>
    </w:p>
    <w:p w14:paraId="2FCA5BDD" w14:textId="77777777" w:rsidR="00795BE0" w:rsidRPr="0007572B" w:rsidRDefault="00795BE0" w:rsidP="004F3512">
      <w:pPr>
        <w:pStyle w:val="Heading3"/>
      </w:pPr>
      <w:bookmarkStart w:id="565" w:name="_Toc92895030"/>
      <w:bookmarkStart w:id="566" w:name="_Toc92895334"/>
      <w:bookmarkStart w:id="567" w:name="_Toc109922768"/>
      <w:r w:rsidRPr="0007572B">
        <w:lastRenderedPageBreak/>
        <w:t>Provisions</w:t>
      </w:r>
      <w:bookmarkEnd w:id="565"/>
      <w:bookmarkEnd w:id="566"/>
      <w:bookmarkEnd w:id="567"/>
    </w:p>
    <w:p w14:paraId="0132EBDB"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These are sums set aside to meet liabilities or losses that have been incurred but where the amount and/or timing of such costs are uncertain.</w:t>
      </w:r>
    </w:p>
    <w:p w14:paraId="198ED760" w14:textId="77777777" w:rsidR="00795BE0" w:rsidRPr="0007572B" w:rsidRDefault="00795BE0" w:rsidP="004F3512">
      <w:pPr>
        <w:pStyle w:val="Heading3"/>
      </w:pPr>
      <w:bookmarkStart w:id="568" w:name="_Toc92895031"/>
      <w:bookmarkStart w:id="569" w:name="_Toc92895335"/>
      <w:bookmarkStart w:id="570" w:name="_Toc109922769"/>
      <w:r w:rsidRPr="0007572B">
        <w:t>Public Works Loan Board (PWLB)</w:t>
      </w:r>
      <w:bookmarkEnd w:id="568"/>
      <w:bookmarkEnd w:id="569"/>
      <w:bookmarkEnd w:id="570"/>
    </w:p>
    <w:p w14:paraId="17E934CD"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A Government agency that lends money to local authorities. Local authorities are able to borrow some or all of their requirements to finance capital expenditure from this source.</w:t>
      </w:r>
    </w:p>
    <w:p w14:paraId="689B60EB" w14:textId="77777777" w:rsidR="00795BE0" w:rsidRPr="0007572B" w:rsidRDefault="00795BE0" w:rsidP="004F3512">
      <w:pPr>
        <w:pStyle w:val="Heading3"/>
      </w:pPr>
      <w:bookmarkStart w:id="571" w:name="_Toc92895032"/>
      <w:bookmarkStart w:id="572" w:name="_Toc92895336"/>
      <w:bookmarkStart w:id="573" w:name="_Toc109922770"/>
      <w:r w:rsidRPr="0007572B">
        <w:t>Receipts in Advance</w:t>
      </w:r>
      <w:bookmarkEnd w:id="571"/>
      <w:bookmarkEnd w:id="572"/>
      <w:bookmarkEnd w:id="573"/>
    </w:p>
    <w:p w14:paraId="2BE201A9"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bCs/>
          <w:color w:val="000000"/>
        </w:rPr>
      </w:pPr>
      <w:r w:rsidRPr="0007572B">
        <w:rPr>
          <w:rFonts w:ascii="Arial" w:hAnsi="Arial" w:cs="Arial"/>
          <w:bCs/>
          <w:color w:val="000000"/>
        </w:rPr>
        <w:t>Amounts actually received in an accounting period prior to the period in which they are due.</w:t>
      </w:r>
    </w:p>
    <w:p w14:paraId="186669F1" w14:textId="77777777" w:rsidR="00795BE0" w:rsidRPr="0007572B" w:rsidRDefault="00795BE0" w:rsidP="004F3512">
      <w:pPr>
        <w:pStyle w:val="Heading3"/>
      </w:pPr>
      <w:bookmarkStart w:id="574" w:name="_Toc92895033"/>
      <w:bookmarkStart w:id="575" w:name="_Toc92895337"/>
      <w:bookmarkStart w:id="576" w:name="_Toc109922771"/>
      <w:r w:rsidRPr="0007572B">
        <w:t>Residual Value</w:t>
      </w:r>
      <w:bookmarkEnd w:id="574"/>
      <w:bookmarkEnd w:id="575"/>
      <w:bookmarkEnd w:id="576"/>
    </w:p>
    <w:p w14:paraId="2BFB0936"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 xml:space="preserve">The net realisable value of property, plant or equipment at the end of its useful life. </w:t>
      </w:r>
    </w:p>
    <w:p w14:paraId="589D1B1B" w14:textId="77777777" w:rsidR="00795BE0" w:rsidRPr="0007572B" w:rsidRDefault="00795BE0" w:rsidP="004F3512">
      <w:pPr>
        <w:pStyle w:val="Heading3"/>
      </w:pPr>
      <w:bookmarkStart w:id="577" w:name="_Toc92895034"/>
      <w:bookmarkStart w:id="578" w:name="_Toc92895338"/>
      <w:bookmarkStart w:id="579" w:name="_Toc109922772"/>
      <w:r w:rsidRPr="0007572B">
        <w:t>Reserves</w:t>
      </w:r>
      <w:bookmarkEnd w:id="577"/>
      <w:bookmarkEnd w:id="578"/>
      <w:bookmarkEnd w:id="579"/>
    </w:p>
    <w:p w14:paraId="1E25C762"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These are sums set aside to meet possible future costs where there is no certainty about whether or not these costs will be incurred.</w:t>
      </w:r>
    </w:p>
    <w:p w14:paraId="2A5EB5A6" w14:textId="77777777" w:rsidR="00795BE0" w:rsidRPr="0007572B" w:rsidRDefault="00795BE0" w:rsidP="004F3512">
      <w:pPr>
        <w:pStyle w:val="Heading3"/>
      </w:pPr>
      <w:bookmarkStart w:id="580" w:name="_Toc92895035"/>
      <w:bookmarkStart w:id="581" w:name="_Toc92895339"/>
      <w:bookmarkStart w:id="582" w:name="_Toc109922773"/>
      <w:r w:rsidRPr="0007572B">
        <w:t>Revenue Contributions</w:t>
      </w:r>
      <w:bookmarkEnd w:id="580"/>
      <w:bookmarkEnd w:id="581"/>
      <w:bookmarkEnd w:id="582"/>
    </w:p>
    <w:p w14:paraId="0E6B59E1"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 xml:space="preserve">The method of financing capital expenditure directly from revenue. </w:t>
      </w:r>
    </w:p>
    <w:p w14:paraId="4763C589" w14:textId="77777777" w:rsidR="00795BE0" w:rsidRPr="0007572B" w:rsidRDefault="00795BE0" w:rsidP="004F3512">
      <w:pPr>
        <w:pStyle w:val="Heading3"/>
      </w:pPr>
      <w:bookmarkStart w:id="583" w:name="_Toc92895036"/>
      <w:bookmarkStart w:id="584" w:name="_Toc92895340"/>
      <w:bookmarkStart w:id="585" w:name="_Toc109922774"/>
      <w:r w:rsidRPr="0007572B">
        <w:t>Revenue Expenditure</w:t>
      </w:r>
      <w:bookmarkEnd w:id="583"/>
      <w:bookmarkEnd w:id="584"/>
      <w:bookmarkEnd w:id="585"/>
    </w:p>
    <w:p w14:paraId="599DE678"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Expenditure incurred on the day-to-day running of the Authority and Group. This mainly includes staff recharge costs, general running expenses and capital financing costs.</w:t>
      </w:r>
    </w:p>
    <w:p w14:paraId="199F714C" w14:textId="77777777" w:rsidR="00795BE0" w:rsidRPr="0007572B" w:rsidRDefault="00795BE0" w:rsidP="004F3512">
      <w:pPr>
        <w:pStyle w:val="Heading3"/>
      </w:pPr>
      <w:bookmarkStart w:id="586" w:name="_Toc92895037"/>
      <w:bookmarkStart w:id="587" w:name="_Toc92895341"/>
      <w:bookmarkStart w:id="588" w:name="_Toc109922775"/>
      <w:r w:rsidRPr="0007572B">
        <w:t>Revenue Expenditure Funded from Capital Under Statute (REFCUS)</w:t>
      </w:r>
      <w:bookmarkEnd w:id="586"/>
      <w:bookmarkEnd w:id="587"/>
      <w:bookmarkEnd w:id="588"/>
    </w:p>
    <w:p w14:paraId="14CA3313"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Arial" w:hAnsi="Arial" w:cs="Arial"/>
          <w:color w:val="000000"/>
        </w:rPr>
      </w:pPr>
      <w:r w:rsidRPr="0007572B">
        <w:rPr>
          <w:rFonts w:ascii="Arial" w:hAnsi="Arial" w:cs="Arial"/>
          <w:color w:val="000000"/>
        </w:rPr>
        <w:t xml:space="preserve">These are items of capital expenditure that do not result in, or remain matched by, the Authority’s property, plant and equipment. </w:t>
      </w:r>
    </w:p>
    <w:p w14:paraId="2C1617CD" w14:textId="77777777" w:rsidR="00795BE0" w:rsidRPr="0007572B" w:rsidRDefault="00795BE0" w:rsidP="004F3512">
      <w:pPr>
        <w:pStyle w:val="Heading3"/>
      </w:pPr>
      <w:bookmarkStart w:id="589" w:name="_Toc92895038"/>
      <w:bookmarkStart w:id="590" w:name="_Toc92895342"/>
      <w:bookmarkStart w:id="591" w:name="_Toc109922776"/>
      <w:r w:rsidRPr="0007572B">
        <w:t>Settlement</w:t>
      </w:r>
      <w:bookmarkEnd w:id="589"/>
      <w:bookmarkEnd w:id="590"/>
      <w:bookmarkEnd w:id="591"/>
    </w:p>
    <w:p w14:paraId="669BDA47"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 xml:space="preserve">An irrevocable action that relieves the employer of the primary responsibility for a pension obligation and eliminates significant risks relating to the obligations and the assets used to </w:t>
      </w:r>
      <w:proofErr w:type="gramStart"/>
      <w:r w:rsidRPr="0007572B">
        <w:rPr>
          <w:rFonts w:ascii="Arial" w:hAnsi="Arial" w:cs="Arial"/>
          <w:color w:val="000000"/>
        </w:rPr>
        <w:t>effect</w:t>
      </w:r>
      <w:proofErr w:type="gramEnd"/>
      <w:r w:rsidRPr="0007572B">
        <w:rPr>
          <w:rFonts w:ascii="Arial" w:hAnsi="Arial" w:cs="Arial"/>
          <w:color w:val="000000"/>
        </w:rPr>
        <w:t xml:space="preserve"> the settlement</w:t>
      </w:r>
    </w:p>
    <w:p w14:paraId="0411C896" w14:textId="77777777" w:rsidR="00795BE0" w:rsidRPr="0007572B" w:rsidRDefault="00795BE0" w:rsidP="004F3512">
      <w:pPr>
        <w:pStyle w:val="Heading3"/>
      </w:pPr>
      <w:bookmarkStart w:id="592" w:name="_Toc92895039"/>
      <w:bookmarkStart w:id="593" w:name="_Toc92895343"/>
      <w:bookmarkStart w:id="594" w:name="_Toc109922777"/>
      <w:r w:rsidRPr="0007572B">
        <w:t>Unfunded Pension Scheme</w:t>
      </w:r>
      <w:bookmarkEnd w:id="592"/>
      <w:bookmarkEnd w:id="593"/>
      <w:bookmarkEnd w:id="594"/>
    </w:p>
    <w:p w14:paraId="3948E075" w14:textId="77777777" w:rsidR="00795BE0" w:rsidRPr="0007572B" w:rsidRDefault="00795BE0" w:rsidP="004F3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textAlignment w:val="baseline"/>
        <w:rPr>
          <w:rFonts w:ascii="Arial" w:hAnsi="Arial" w:cs="Arial"/>
          <w:color w:val="000000"/>
        </w:rPr>
      </w:pPr>
      <w:r w:rsidRPr="0007572B">
        <w:rPr>
          <w:rFonts w:ascii="Arial" w:hAnsi="Arial" w:cs="Arial"/>
          <w:color w:val="000000"/>
        </w:rPr>
        <w:t>This is one in which liabilities for pension benefits are charged to the employer's revenue account in the year in which they arise and are not financed from investments held. The Authority operates such a scheme for its firefighters.</w:t>
      </w:r>
    </w:p>
    <w:p w14:paraId="3BD7CAA9" w14:textId="77777777" w:rsidR="00795BE0" w:rsidRPr="0007572B" w:rsidRDefault="00795BE0" w:rsidP="004F3512">
      <w:pPr>
        <w:rPr>
          <w:rFonts w:ascii="Arial" w:hAnsi="Arial" w:cs="Arial"/>
          <w:color w:val="000000"/>
        </w:rPr>
      </w:pPr>
    </w:p>
    <w:p w14:paraId="4CEF8465" w14:textId="60868D49" w:rsidR="00293CC5" w:rsidRPr="0007572B" w:rsidRDefault="00293CC5" w:rsidP="0038082E">
      <w:pPr>
        <w:rPr>
          <w:rFonts w:ascii="Arial" w:hAnsi="Arial" w:cs="Arial"/>
          <w:b/>
          <w:sz w:val="40"/>
          <w:szCs w:val="40"/>
        </w:rPr>
      </w:pPr>
    </w:p>
    <w:sectPr w:rsidR="00293CC5" w:rsidRPr="0007572B" w:rsidSect="00F351C8">
      <w:pgSz w:w="11940" w:h="16860"/>
      <w:pgMar w:top="920" w:right="1540" w:bottom="280" w:left="1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6D6D5" w14:textId="77777777" w:rsidR="00A443D0" w:rsidRDefault="00A443D0">
      <w:r>
        <w:separator/>
      </w:r>
    </w:p>
  </w:endnote>
  <w:endnote w:type="continuationSeparator" w:id="0">
    <w:p w14:paraId="6CE591ED" w14:textId="77777777" w:rsidR="00A443D0" w:rsidRDefault="00A443D0">
      <w:r>
        <w:continuationSeparator/>
      </w:r>
    </w:p>
  </w:endnote>
  <w:endnote w:type="continuationNotice" w:id="1">
    <w:p w14:paraId="3EFDDEA9" w14:textId="77777777" w:rsidR="00A443D0" w:rsidRDefault="00A443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S Lola">
    <w:altName w:val="FS Lola"/>
    <w:panose1 w:val="00000000000000000000"/>
    <w:charset w:val="00"/>
    <w:family w:val="roman"/>
    <w:notTrueType/>
    <w:pitch w:val="default"/>
    <w:sig w:usb0="00000003" w:usb1="00000000" w:usb2="00000000" w:usb3="00000000" w:csb0="00000001" w:csb1="00000000"/>
  </w:font>
  <w:font w:name="FS Lola Medium">
    <w:altName w:val="Cambria"/>
    <w:panose1 w:val="00000000000000000000"/>
    <w:charset w:val="00"/>
    <w:family w:val="roman"/>
    <w:notTrueType/>
    <w:pitch w:val="default"/>
    <w:sig w:usb0="00000003" w:usb1="00000000" w:usb2="00000000" w:usb3="00000000" w:csb0="00000001" w:csb1="00000000"/>
  </w:font>
  <w:font w:name="Colfax-Medium">
    <w:altName w:val="Cambria"/>
    <w:panose1 w:val="00000000000000000000"/>
    <w:charset w:val="00"/>
    <w:family w:val="roman"/>
    <w:notTrueType/>
    <w:pitch w:val="default"/>
  </w:font>
  <w:font w:name="ヒラギノ角ゴ Pro W3">
    <w:altName w:val="MS Gothic"/>
    <w:charset w:val="80"/>
    <w:family w:val="auto"/>
    <w:pitch w:val="variable"/>
    <w:sig w:usb0="E00002FF" w:usb1="7AC7FFFF" w:usb2="00000012" w:usb3="00000000" w:csb0="0002000D" w:csb1="00000000"/>
  </w:font>
  <w:font w:name="inherit">
    <w:altName w:val="Cambria"/>
    <w:panose1 w:val="00000000000000000000"/>
    <w:charset w:val="00"/>
    <w:family w:val="roman"/>
    <w:notTrueType/>
    <w:pitch w:val="default"/>
  </w:font>
  <w:font w:name="Poppins Light">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F70C" w14:textId="30F7DEC4" w:rsidR="00E83847" w:rsidRDefault="00E838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37CC">
      <w:rPr>
        <w:rStyle w:val="PageNumber"/>
        <w:noProof/>
      </w:rPr>
      <w:t>1</w:t>
    </w:r>
    <w:r>
      <w:rPr>
        <w:rStyle w:val="PageNumber"/>
      </w:rPr>
      <w:fldChar w:fldCharType="end"/>
    </w:r>
  </w:p>
  <w:p w14:paraId="1CE040FB" w14:textId="77777777" w:rsidR="00E83847" w:rsidRDefault="00E83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A7EE" w14:textId="77777777" w:rsidR="00E83847" w:rsidRDefault="00E83847" w:rsidP="00DD5B4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319908"/>
      <w:docPartObj>
        <w:docPartGallery w:val="Page Numbers (Bottom of Page)"/>
        <w:docPartUnique/>
      </w:docPartObj>
    </w:sdtPr>
    <w:sdtEndPr>
      <w:rPr>
        <w:noProof/>
      </w:rPr>
    </w:sdtEndPr>
    <w:sdtContent>
      <w:p w14:paraId="2D1B0F10" w14:textId="0776DF4E" w:rsidR="00E83847" w:rsidRDefault="00E83847" w:rsidP="007C2B58">
        <w:pPr>
          <w:pStyle w:val="Footer"/>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F4451" w14:textId="77777777" w:rsidR="00A443D0" w:rsidRDefault="00A443D0">
      <w:r>
        <w:separator/>
      </w:r>
    </w:p>
  </w:footnote>
  <w:footnote w:type="continuationSeparator" w:id="0">
    <w:p w14:paraId="4DB477D6" w14:textId="77777777" w:rsidR="00A443D0" w:rsidRDefault="00A443D0">
      <w:r>
        <w:continuationSeparator/>
      </w:r>
    </w:p>
  </w:footnote>
  <w:footnote w:type="continuationNotice" w:id="1">
    <w:p w14:paraId="7438AC2E" w14:textId="77777777" w:rsidR="00A443D0" w:rsidRDefault="00A443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6DD1" w14:textId="77777777" w:rsidR="00E83847" w:rsidRPr="00DA344C" w:rsidRDefault="00E83847" w:rsidP="00DA34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C2A9" w14:textId="5E9C583C" w:rsidR="00E83847" w:rsidRDefault="00E83847" w:rsidP="008064FB">
    <w:pPr>
      <w:pStyle w:val="Header"/>
      <w:jc w:val="center"/>
      <w:rPr>
        <w:rFonts w:ascii="Verdana" w:hAnsi="Verdana"/>
        <w:sz w:val="20"/>
        <w:szCs w:val="20"/>
      </w:rPr>
    </w:pPr>
    <w:r w:rsidRPr="00F556DF">
      <w:rPr>
        <w:rFonts w:ascii="Verdana" w:hAnsi="Verdana"/>
        <w:sz w:val="20"/>
        <w:szCs w:val="20"/>
      </w:rPr>
      <w:t xml:space="preserve">Greater Manchester Combined Authority </w:t>
    </w:r>
    <w:r w:rsidR="00CB4346">
      <w:rPr>
        <w:rFonts w:ascii="Verdana" w:hAnsi="Verdana"/>
        <w:sz w:val="20"/>
        <w:szCs w:val="20"/>
      </w:rPr>
      <w:t>Audited</w:t>
    </w:r>
    <w:r>
      <w:rPr>
        <w:rFonts w:ascii="Verdana" w:hAnsi="Verdana"/>
        <w:sz w:val="20"/>
        <w:szCs w:val="20"/>
      </w:rPr>
      <w:t xml:space="preserve"> </w:t>
    </w:r>
    <w:r w:rsidRPr="00F556DF">
      <w:rPr>
        <w:rFonts w:ascii="Verdana" w:hAnsi="Verdana"/>
        <w:sz w:val="20"/>
        <w:szCs w:val="20"/>
      </w:rPr>
      <w:t>Statement of Accounts 20</w:t>
    </w:r>
    <w:r>
      <w:rPr>
        <w:rFonts w:ascii="Verdana" w:hAnsi="Verdana"/>
        <w:sz w:val="20"/>
        <w:szCs w:val="20"/>
      </w:rPr>
      <w:t>2</w:t>
    </w:r>
    <w:r w:rsidR="00B53098">
      <w:rPr>
        <w:rFonts w:ascii="Verdana" w:hAnsi="Verdana"/>
        <w:sz w:val="20"/>
        <w:szCs w:val="20"/>
      </w:rPr>
      <w:t>1</w:t>
    </w:r>
    <w:r w:rsidRPr="00F556DF">
      <w:rPr>
        <w:rFonts w:ascii="Verdana" w:hAnsi="Verdana"/>
        <w:sz w:val="20"/>
        <w:szCs w:val="20"/>
      </w:rPr>
      <w:t>/2</w:t>
    </w:r>
    <w:r w:rsidR="00B53098">
      <w:rPr>
        <w:rFonts w:ascii="Verdana" w:hAnsi="Verdana"/>
        <w:sz w:val="20"/>
        <w:szCs w:val="20"/>
      </w:rPr>
      <w:t>2</w:t>
    </w:r>
  </w:p>
  <w:p w14:paraId="289E4CA0" w14:textId="5BEE5883" w:rsidR="00B53098" w:rsidRDefault="00B53098" w:rsidP="00B53098">
    <w:pPr>
      <w:pStyle w:val="Header"/>
      <w:rPr>
        <w:rFonts w:ascii="Verdana" w:hAnsi="Verdana"/>
        <w:sz w:val="20"/>
        <w:szCs w:val="20"/>
      </w:rPr>
    </w:pPr>
    <w:r>
      <w:rPr>
        <w:rFonts w:ascii="Verdana" w:hAnsi="Verdana"/>
        <w:sz w:val="20"/>
        <w:szCs w:val="20"/>
      </w:rPr>
      <w:tab/>
    </w:r>
  </w:p>
  <w:p w14:paraId="087B5458" w14:textId="77777777" w:rsidR="00E83847" w:rsidRPr="00F556DF" w:rsidRDefault="00E83847" w:rsidP="008064FB">
    <w:pPr>
      <w:pStyle w:val="Header"/>
      <w:jc w:val="center"/>
      <w:rPr>
        <w:rFonts w:ascii="Verdana" w:hAnsi="Verdana"/>
        <w:sz w:val="20"/>
        <w:szCs w:val="20"/>
      </w:rPr>
    </w:pPr>
  </w:p>
  <w:p w14:paraId="475DBDB6" w14:textId="77777777" w:rsidR="00E83847" w:rsidRPr="008064FB" w:rsidRDefault="00E83847" w:rsidP="00DA6CEE">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1E0E" w14:textId="0FB51084" w:rsidR="00E83847" w:rsidRPr="008064FB" w:rsidRDefault="00E83847" w:rsidP="008064FB">
    <w:pPr>
      <w:pStyle w:val="Header"/>
      <w:jc w:val="center"/>
      <w:rPr>
        <w:sz w:val="20"/>
        <w:szCs w:val="20"/>
      </w:rPr>
    </w:pPr>
    <w:r w:rsidRPr="008064FB">
      <w:rPr>
        <w:sz w:val="20"/>
        <w:szCs w:val="20"/>
      </w:rPr>
      <w:t xml:space="preserve">Greater Manchester Combined Authority </w:t>
    </w:r>
    <w:r w:rsidR="000C2400">
      <w:rPr>
        <w:sz w:val="20"/>
        <w:szCs w:val="20"/>
      </w:rPr>
      <w:t>Audited</w:t>
    </w:r>
    <w:r>
      <w:rPr>
        <w:sz w:val="20"/>
        <w:szCs w:val="20"/>
      </w:rPr>
      <w:t xml:space="preserve"> </w:t>
    </w:r>
    <w:r w:rsidRPr="008064FB">
      <w:rPr>
        <w:sz w:val="20"/>
        <w:szCs w:val="20"/>
      </w:rPr>
      <w:t>Statement of Accounts 20</w:t>
    </w:r>
    <w:r>
      <w:rPr>
        <w:sz w:val="20"/>
        <w:szCs w:val="20"/>
      </w:rPr>
      <w:t>2</w:t>
    </w:r>
    <w:r w:rsidR="009D2D1A">
      <w:rPr>
        <w:sz w:val="20"/>
        <w:szCs w:val="20"/>
      </w:rPr>
      <w:t>1</w:t>
    </w:r>
    <w:r>
      <w:rPr>
        <w:sz w:val="20"/>
        <w:szCs w:val="20"/>
      </w:rPr>
      <w:t>/2</w:t>
    </w:r>
    <w:r w:rsidR="009D2D1A">
      <w:rPr>
        <w:sz w:val="20"/>
        <w:szCs w:val="20"/>
      </w:rPr>
      <w:t>2</w:t>
    </w:r>
  </w:p>
  <w:p w14:paraId="57D0C6A4" w14:textId="77777777" w:rsidR="00E83847" w:rsidRPr="008064FB" w:rsidRDefault="00E83847" w:rsidP="00DA6CEE">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81A5" w14:textId="3D03CD30" w:rsidR="00795BE0" w:rsidRPr="008064FB" w:rsidRDefault="00795BE0" w:rsidP="008064FB">
    <w:pPr>
      <w:pStyle w:val="Header"/>
      <w:jc w:val="center"/>
      <w:rPr>
        <w:sz w:val="20"/>
        <w:szCs w:val="20"/>
      </w:rPr>
    </w:pPr>
    <w:r w:rsidRPr="008064FB">
      <w:rPr>
        <w:sz w:val="20"/>
        <w:szCs w:val="20"/>
      </w:rPr>
      <w:t xml:space="preserve">Greater Manchester Combined Authority </w:t>
    </w:r>
    <w:r w:rsidR="000C2400">
      <w:rPr>
        <w:sz w:val="20"/>
        <w:szCs w:val="20"/>
      </w:rPr>
      <w:t>Audited</w:t>
    </w:r>
    <w:r>
      <w:rPr>
        <w:sz w:val="20"/>
        <w:szCs w:val="20"/>
      </w:rPr>
      <w:t xml:space="preserve"> </w:t>
    </w:r>
    <w:r w:rsidRPr="008064FB">
      <w:rPr>
        <w:sz w:val="20"/>
        <w:szCs w:val="20"/>
      </w:rPr>
      <w:t>Statement of Accounts 20</w:t>
    </w:r>
    <w:r>
      <w:rPr>
        <w:sz w:val="20"/>
        <w:szCs w:val="20"/>
      </w:rPr>
      <w:t>21/22</w:t>
    </w:r>
  </w:p>
  <w:p w14:paraId="460D9EB6" w14:textId="77777777" w:rsidR="00795BE0" w:rsidRPr="008064FB" w:rsidRDefault="00795BE0" w:rsidP="00DA6CEE">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C9A505A"/>
    <w:lvl w:ilvl="0">
      <w:start w:val="1"/>
      <w:numFmt w:val="decimal"/>
      <w:pStyle w:val="ListNumber"/>
      <w:lvlText w:val="%1."/>
      <w:lvlJc w:val="left"/>
      <w:pPr>
        <w:tabs>
          <w:tab w:val="num" w:pos="360"/>
        </w:tabs>
        <w:ind w:left="360" w:hanging="360"/>
      </w:pPr>
    </w:lvl>
  </w:abstractNum>
  <w:abstractNum w:abstractNumId="1" w15:restartNumberingAfterBreak="0">
    <w:nsid w:val="0000000B"/>
    <w:multiLevelType w:val="hybridMultilevel"/>
    <w:tmpl w:val="CB66AAC8"/>
    <w:lvl w:ilvl="0" w:tplc="9FF4E77A">
      <w:start w:val="1"/>
      <w:numFmt w:val="bullet"/>
      <w:lvlText w:val=""/>
      <w:lvlJc w:val="left"/>
      <w:pPr>
        <w:ind w:left="1110" w:hanging="360"/>
      </w:pPr>
      <w:rPr>
        <w:rFonts w:ascii="Symbol" w:hAnsi="Symbol" w:hint="default"/>
      </w:rPr>
    </w:lvl>
    <w:lvl w:ilvl="1" w:tplc="FA308570">
      <w:start w:val="1"/>
      <w:numFmt w:val="bullet"/>
      <w:lvlText w:val="o"/>
      <w:lvlJc w:val="left"/>
      <w:pPr>
        <w:ind w:left="1830" w:hanging="360"/>
      </w:pPr>
      <w:rPr>
        <w:rFonts w:ascii="Courier New" w:hAnsi="Courier New" w:cs="Courier New" w:hint="default"/>
      </w:rPr>
    </w:lvl>
    <w:lvl w:ilvl="2" w:tplc="BFFC999C">
      <w:start w:val="1"/>
      <w:numFmt w:val="bullet"/>
      <w:lvlText w:val=""/>
      <w:lvlJc w:val="left"/>
      <w:pPr>
        <w:ind w:left="2550" w:hanging="360"/>
      </w:pPr>
      <w:rPr>
        <w:rFonts w:ascii="Wingdings" w:hAnsi="Wingdings" w:hint="default"/>
      </w:rPr>
    </w:lvl>
    <w:lvl w:ilvl="3" w:tplc="9CC0F4F0">
      <w:start w:val="1"/>
      <w:numFmt w:val="bullet"/>
      <w:lvlText w:val=""/>
      <w:lvlJc w:val="left"/>
      <w:pPr>
        <w:ind w:left="3270" w:hanging="360"/>
      </w:pPr>
      <w:rPr>
        <w:rFonts w:ascii="Symbol" w:hAnsi="Symbol" w:hint="default"/>
      </w:rPr>
    </w:lvl>
    <w:lvl w:ilvl="4" w:tplc="31FCF9CC">
      <w:start w:val="1"/>
      <w:numFmt w:val="bullet"/>
      <w:lvlText w:val="o"/>
      <w:lvlJc w:val="left"/>
      <w:pPr>
        <w:ind w:left="3990" w:hanging="360"/>
      </w:pPr>
      <w:rPr>
        <w:rFonts w:ascii="Courier New" w:hAnsi="Courier New" w:cs="Courier New" w:hint="default"/>
      </w:rPr>
    </w:lvl>
    <w:lvl w:ilvl="5" w:tplc="B588AA30">
      <w:start w:val="1"/>
      <w:numFmt w:val="bullet"/>
      <w:lvlText w:val=""/>
      <w:lvlJc w:val="left"/>
      <w:pPr>
        <w:ind w:left="4710" w:hanging="360"/>
      </w:pPr>
      <w:rPr>
        <w:rFonts w:ascii="Wingdings" w:hAnsi="Wingdings" w:hint="default"/>
      </w:rPr>
    </w:lvl>
    <w:lvl w:ilvl="6" w:tplc="A4028FCA">
      <w:start w:val="1"/>
      <w:numFmt w:val="bullet"/>
      <w:lvlText w:val=""/>
      <w:lvlJc w:val="left"/>
      <w:pPr>
        <w:ind w:left="5430" w:hanging="360"/>
      </w:pPr>
      <w:rPr>
        <w:rFonts w:ascii="Symbol" w:hAnsi="Symbol" w:hint="default"/>
      </w:rPr>
    </w:lvl>
    <w:lvl w:ilvl="7" w:tplc="ACF01292">
      <w:start w:val="1"/>
      <w:numFmt w:val="bullet"/>
      <w:lvlText w:val="o"/>
      <w:lvlJc w:val="left"/>
      <w:pPr>
        <w:ind w:left="6150" w:hanging="360"/>
      </w:pPr>
      <w:rPr>
        <w:rFonts w:ascii="Courier New" w:hAnsi="Courier New" w:cs="Courier New" w:hint="default"/>
      </w:rPr>
    </w:lvl>
    <w:lvl w:ilvl="8" w:tplc="EED64BEE">
      <w:start w:val="1"/>
      <w:numFmt w:val="bullet"/>
      <w:lvlText w:val=""/>
      <w:lvlJc w:val="left"/>
      <w:pPr>
        <w:ind w:left="6870" w:hanging="360"/>
      </w:pPr>
      <w:rPr>
        <w:rFonts w:ascii="Wingdings" w:hAnsi="Wingdings" w:hint="default"/>
      </w:rPr>
    </w:lvl>
  </w:abstractNum>
  <w:abstractNum w:abstractNumId="2" w15:restartNumberingAfterBreak="0">
    <w:nsid w:val="0000000C"/>
    <w:multiLevelType w:val="hybridMultilevel"/>
    <w:tmpl w:val="15FCA580"/>
    <w:lvl w:ilvl="0" w:tplc="A770FF78">
      <w:start w:val="1"/>
      <w:numFmt w:val="bullet"/>
      <w:lvlText w:val=""/>
      <w:lvlJc w:val="left"/>
      <w:pPr>
        <w:ind w:left="1080" w:hanging="360"/>
      </w:pPr>
      <w:rPr>
        <w:rFonts w:ascii="Symbol" w:hAnsi="Symbol" w:hint="default"/>
      </w:rPr>
    </w:lvl>
    <w:lvl w:ilvl="1" w:tplc="2A3E01BE">
      <w:numFmt w:val="bullet"/>
      <w:lvlText w:val="·"/>
      <w:lvlJc w:val="left"/>
      <w:pPr>
        <w:ind w:left="1800" w:hanging="360"/>
      </w:pPr>
      <w:rPr>
        <w:rFonts w:ascii="Arial" w:eastAsia="Times New Roman" w:hAnsi="Arial" w:cs="Arial" w:hint="default"/>
      </w:rPr>
    </w:lvl>
    <w:lvl w:ilvl="2" w:tplc="4914EE2E">
      <w:start w:val="1"/>
      <w:numFmt w:val="bullet"/>
      <w:lvlText w:val=""/>
      <w:lvlJc w:val="left"/>
      <w:pPr>
        <w:ind w:left="2520" w:hanging="360"/>
      </w:pPr>
      <w:rPr>
        <w:rFonts w:ascii="Wingdings" w:hAnsi="Wingdings" w:hint="default"/>
      </w:rPr>
    </w:lvl>
    <w:lvl w:ilvl="3" w:tplc="0C14BE28">
      <w:start w:val="1"/>
      <w:numFmt w:val="bullet"/>
      <w:lvlText w:val=""/>
      <w:lvlJc w:val="left"/>
      <w:pPr>
        <w:ind w:left="3240" w:hanging="360"/>
      </w:pPr>
      <w:rPr>
        <w:rFonts w:ascii="Symbol" w:hAnsi="Symbol" w:hint="default"/>
      </w:rPr>
    </w:lvl>
    <w:lvl w:ilvl="4" w:tplc="9D80BAE6">
      <w:start w:val="1"/>
      <w:numFmt w:val="bullet"/>
      <w:lvlText w:val="o"/>
      <w:lvlJc w:val="left"/>
      <w:pPr>
        <w:ind w:left="3960" w:hanging="360"/>
      </w:pPr>
      <w:rPr>
        <w:rFonts w:ascii="Courier New" w:hAnsi="Courier New" w:cs="Courier New" w:hint="default"/>
      </w:rPr>
    </w:lvl>
    <w:lvl w:ilvl="5" w:tplc="7B5CE9C0">
      <w:start w:val="1"/>
      <w:numFmt w:val="bullet"/>
      <w:lvlText w:val=""/>
      <w:lvlJc w:val="left"/>
      <w:pPr>
        <w:ind w:left="4680" w:hanging="360"/>
      </w:pPr>
      <w:rPr>
        <w:rFonts w:ascii="Wingdings" w:hAnsi="Wingdings" w:hint="default"/>
      </w:rPr>
    </w:lvl>
    <w:lvl w:ilvl="6" w:tplc="085C2220">
      <w:start w:val="1"/>
      <w:numFmt w:val="bullet"/>
      <w:lvlText w:val=""/>
      <w:lvlJc w:val="left"/>
      <w:pPr>
        <w:ind w:left="5400" w:hanging="360"/>
      </w:pPr>
      <w:rPr>
        <w:rFonts w:ascii="Symbol" w:hAnsi="Symbol" w:hint="default"/>
      </w:rPr>
    </w:lvl>
    <w:lvl w:ilvl="7" w:tplc="7ED417FC">
      <w:start w:val="1"/>
      <w:numFmt w:val="bullet"/>
      <w:lvlText w:val="o"/>
      <w:lvlJc w:val="left"/>
      <w:pPr>
        <w:ind w:left="6120" w:hanging="360"/>
      </w:pPr>
      <w:rPr>
        <w:rFonts w:ascii="Courier New" w:hAnsi="Courier New" w:cs="Courier New" w:hint="default"/>
      </w:rPr>
    </w:lvl>
    <w:lvl w:ilvl="8" w:tplc="72500502">
      <w:start w:val="1"/>
      <w:numFmt w:val="bullet"/>
      <w:lvlText w:val=""/>
      <w:lvlJc w:val="left"/>
      <w:pPr>
        <w:ind w:left="6840" w:hanging="360"/>
      </w:pPr>
      <w:rPr>
        <w:rFonts w:ascii="Wingdings" w:hAnsi="Wingdings" w:hint="default"/>
      </w:rPr>
    </w:lvl>
  </w:abstractNum>
  <w:abstractNum w:abstractNumId="3" w15:restartNumberingAfterBreak="0">
    <w:nsid w:val="0000000E"/>
    <w:multiLevelType w:val="hybridMultilevel"/>
    <w:tmpl w:val="5C081DB6"/>
    <w:lvl w:ilvl="0" w:tplc="E77E77DC">
      <w:start w:val="1"/>
      <w:numFmt w:val="bullet"/>
      <w:lvlText w:val=""/>
      <w:lvlJc w:val="left"/>
      <w:pPr>
        <w:ind w:left="945" w:hanging="585"/>
      </w:pPr>
      <w:rPr>
        <w:rFonts w:ascii="Symbol" w:hAnsi="Symbol" w:hint="default"/>
      </w:rPr>
    </w:lvl>
    <w:lvl w:ilvl="1" w:tplc="C340E9B8">
      <w:start w:val="1"/>
      <w:numFmt w:val="bullet"/>
      <w:lvlText w:val=""/>
      <w:lvlJc w:val="left"/>
      <w:pPr>
        <w:ind w:left="1710" w:hanging="630"/>
      </w:pPr>
      <w:rPr>
        <w:rFonts w:ascii="Symbol" w:hAnsi="Symbol" w:hint="default"/>
      </w:rPr>
    </w:lvl>
    <w:lvl w:ilvl="2" w:tplc="BD26D1A0">
      <w:start w:val="1"/>
      <w:numFmt w:val="bullet"/>
      <w:lvlText w:val=""/>
      <w:lvlJc w:val="left"/>
      <w:pPr>
        <w:ind w:left="2160" w:hanging="360"/>
      </w:pPr>
      <w:rPr>
        <w:rFonts w:ascii="Wingdings" w:hAnsi="Wingdings" w:hint="default"/>
      </w:rPr>
    </w:lvl>
    <w:lvl w:ilvl="3" w:tplc="7E66944C">
      <w:start w:val="1"/>
      <w:numFmt w:val="bullet"/>
      <w:lvlText w:val=""/>
      <w:lvlJc w:val="left"/>
      <w:pPr>
        <w:ind w:left="2880" w:hanging="360"/>
      </w:pPr>
      <w:rPr>
        <w:rFonts w:ascii="Symbol" w:hAnsi="Symbol" w:hint="default"/>
      </w:rPr>
    </w:lvl>
    <w:lvl w:ilvl="4" w:tplc="BFBAF184">
      <w:start w:val="1"/>
      <w:numFmt w:val="bullet"/>
      <w:lvlText w:val="o"/>
      <w:lvlJc w:val="left"/>
      <w:pPr>
        <w:ind w:left="3600" w:hanging="360"/>
      </w:pPr>
      <w:rPr>
        <w:rFonts w:ascii="Courier New" w:hAnsi="Courier New" w:cs="Courier New" w:hint="default"/>
      </w:rPr>
    </w:lvl>
    <w:lvl w:ilvl="5" w:tplc="0C1A8BD2">
      <w:start w:val="1"/>
      <w:numFmt w:val="bullet"/>
      <w:lvlText w:val=""/>
      <w:lvlJc w:val="left"/>
      <w:pPr>
        <w:ind w:left="4320" w:hanging="360"/>
      </w:pPr>
      <w:rPr>
        <w:rFonts w:ascii="Wingdings" w:hAnsi="Wingdings" w:hint="default"/>
      </w:rPr>
    </w:lvl>
    <w:lvl w:ilvl="6" w:tplc="7D42C4EC">
      <w:start w:val="1"/>
      <w:numFmt w:val="bullet"/>
      <w:lvlText w:val=""/>
      <w:lvlJc w:val="left"/>
      <w:pPr>
        <w:ind w:left="5040" w:hanging="360"/>
      </w:pPr>
      <w:rPr>
        <w:rFonts w:ascii="Symbol" w:hAnsi="Symbol" w:hint="default"/>
      </w:rPr>
    </w:lvl>
    <w:lvl w:ilvl="7" w:tplc="0D62A720">
      <w:start w:val="1"/>
      <w:numFmt w:val="bullet"/>
      <w:lvlText w:val="o"/>
      <w:lvlJc w:val="left"/>
      <w:pPr>
        <w:ind w:left="5760" w:hanging="360"/>
      </w:pPr>
      <w:rPr>
        <w:rFonts w:ascii="Courier New" w:hAnsi="Courier New" w:cs="Courier New" w:hint="default"/>
      </w:rPr>
    </w:lvl>
    <w:lvl w:ilvl="8" w:tplc="F8849EFC">
      <w:start w:val="1"/>
      <w:numFmt w:val="bullet"/>
      <w:lvlText w:val=""/>
      <w:lvlJc w:val="left"/>
      <w:pPr>
        <w:ind w:left="6480" w:hanging="360"/>
      </w:pPr>
      <w:rPr>
        <w:rFonts w:ascii="Wingdings" w:hAnsi="Wingdings" w:hint="default"/>
      </w:rPr>
    </w:lvl>
  </w:abstractNum>
  <w:abstractNum w:abstractNumId="4" w15:restartNumberingAfterBreak="0">
    <w:nsid w:val="0000000F"/>
    <w:multiLevelType w:val="hybridMultilevel"/>
    <w:tmpl w:val="D5AA9470"/>
    <w:lvl w:ilvl="0" w:tplc="40320894">
      <w:start w:val="1"/>
      <w:numFmt w:val="bullet"/>
      <w:lvlText w:val=""/>
      <w:lvlJc w:val="left"/>
      <w:pPr>
        <w:ind w:left="720" w:hanging="360"/>
      </w:pPr>
      <w:rPr>
        <w:rFonts w:ascii="Symbol" w:hAnsi="Symbol" w:hint="default"/>
      </w:rPr>
    </w:lvl>
    <w:lvl w:ilvl="1" w:tplc="8C32C630">
      <w:start w:val="1"/>
      <w:numFmt w:val="bullet"/>
      <w:lvlText w:val="o"/>
      <w:lvlJc w:val="left"/>
      <w:pPr>
        <w:ind w:left="1440" w:hanging="360"/>
      </w:pPr>
      <w:rPr>
        <w:rFonts w:ascii="Courier New" w:hAnsi="Courier New" w:cs="Courier New" w:hint="default"/>
      </w:rPr>
    </w:lvl>
    <w:lvl w:ilvl="2" w:tplc="933E49D4">
      <w:start w:val="1"/>
      <w:numFmt w:val="bullet"/>
      <w:lvlText w:val=""/>
      <w:lvlJc w:val="left"/>
      <w:pPr>
        <w:ind w:left="2160" w:hanging="360"/>
      </w:pPr>
      <w:rPr>
        <w:rFonts w:ascii="Wingdings" w:hAnsi="Wingdings" w:hint="default"/>
      </w:rPr>
    </w:lvl>
    <w:lvl w:ilvl="3" w:tplc="A5E8682A">
      <w:start w:val="1"/>
      <w:numFmt w:val="bullet"/>
      <w:lvlText w:val=""/>
      <w:lvlJc w:val="left"/>
      <w:pPr>
        <w:ind w:left="2880" w:hanging="360"/>
      </w:pPr>
      <w:rPr>
        <w:rFonts w:ascii="Symbol" w:hAnsi="Symbol" w:hint="default"/>
      </w:rPr>
    </w:lvl>
    <w:lvl w:ilvl="4" w:tplc="8FAAE0EC">
      <w:start w:val="1"/>
      <w:numFmt w:val="bullet"/>
      <w:lvlText w:val="o"/>
      <w:lvlJc w:val="left"/>
      <w:pPr>
        <w:ind w:left="3600" w:hanging="360"/>
      </w:pPr>
      <w:rPr>
        <w:rFonts w:ascii="Courier New" w:hAnsi="Courier New" w:cs="Courier New" w:hint="default"/>
      </w:rPr>
    </w:lvl>
    <w:lvl w:ilvl="5" w:tplc="65BEA2C2">
      <w:start w:val="1"/>
      <w:numFmt w:val="bullet"/>
      <w:lvlText w:val=""/>
      <w:lvlJc w:val="left"/>
      <w:pPr>
        <w:ind w:left="4320" w:hanging="360"/>
      </w:pPr>
      <w:rPr>
        <w:rFonts w:ascii="Wingdings" w:hAnsi="Wingdings" w:hint="default"/>
      </w:rPr>
    </w:lvl>
    <w:lvl w:ilvl="6" w:tplc="8A543C78">
      <w:start w:val="1"/>
      <w:numFmt w:val="bullet"/>
      <w:lvlText w:val=""/>
      <w:lvlJc w:val="left"/>
      <w:pPr>
        <w:ind w:left="5040" w:hanging="360"/>
      </w:pPr>
      <w:rPr>
        <w:rFonts w:ascii="Symbol" w:hAnsi="Symbol" w:hint="default"/>
      </w:rPr>
    </w:lvl>
    <w:lvl w:ilvl="7" w:tplc="4BD811D4">
      <w:start w:val="1"/>
      <w:numFmt w:val="bullet"/>
      <w:lvlText w:val="o"/>
      <w:lvlJc w:val="left"/>
      <w:pPr>
        <w:ind w:left="5760" w:hanging="360"/>
      </w:pPr>
      <w:rPr>
        <w:rFonts w:ascii="Courier New" w:hAnsi="Courier New" w:cs="Courier New" w:hint="default"/>
      </w:rPr>
    </w:lvl>
    <w:lvl w:ilvl="8" w:tplc="37EE2C26">
      <w:start w:val="1"/>
      <w:numFmt w:val="bullet"/>
      <w:lvlText w:val=""/>
      <w:lvlJc w:val="left"/>
      <w:pPr>
        <w:ind w:left="6480" w:hanging="360"/>
      </w:pPr>
      <w:rPr>
        <w:rFonts w:ascii="Wingdings" w:hAnsi="Wingdings" w:hint="default"/>
      </w:rPr>
    </w:lvl>
  </w:abstractNum>
  <w:abstractNum w:abstractNumId="5" w15:restartNumberingAfterBreak="0">
    <w:nsid w:val="00000010"/>
    <w:multiLevelType w:val="hybridMultilevel"/>
    <w:tmpl w:val="82A8CE96"/>
    <w:lvl w:ilvl="0" w:tplc="E38C133A">
      <w:start w:val="1"/>
      <w:numFmt w:val="bullet"/>
      <w:lvlText w:val=""/>
      <w:lvlJc w:val="left"/>
      <w:pPr>
        <w:ind w:left="720" w:hanging="360"/>
      </w:pPr>
      <w:rPr>
        <w:rFonts w:ascii="Symbol" w:hAnsi="Symbol" w:hint="default"/>
      </w:rPr>
    </w:lvl>
    <w:lvl w:ilvl="1" w:tplc="EC0083F0">
      <w:start w:val="1"/>
      <w:numFmt w:val="bullet"/>
      <w:lvlText w:val="o"/>
      <w:lvlJc w:val="left"/>
      <w:pPr>
        <w:ind w:left="1440" w:hanging="360"/>
      </w:pPr>
      <w:rPr>
        <w:rFonts w:ascii="Courier New" w:hAnsi="Courier New" w:cs="Courier New" w:hint="default"/>
      </w:rPr>
    </w:lvl>
    <w:lvl w:ilvl="2" w:tplc="35FC6304">
      <w:start w:val="1"/>
      <w:numFmt w:val="bullet"/>
      <w:lvlText w:val=""/>
      <w:lvlJc w:val="left"/>
      <w:pPr>
        <w:ind w:left="2160" w:hanging="360"/>
      </w:pPr>
      <w:rPr>
        <w:rFonts w:ascii="Wingdings" w:hAnsi="Wingdings" w:hint="default"/>
      </w:rPr>
    </w:lvl>
    <w:lvl w:ilvl="3" w:tplc="038A069A">
      <w:start w:val="1"/>
      <w:numFmt w:val="bullet"/>
      <w:lvlText w:val=""/>
      <w:lvlJc w:val="left"/>
      <w:pPr>
        <w:ind w:left="2880" w:hanging="360"/>
      </w:pPr>
      <w:rPr>
        <w:rFonts w:ascii="Symbol" w:hAnsi="Symbol" w:hint="default"/>
      </w:rPr>
    </w:lvl>
    <w:lvl w:ilvl="4" w:tplc="9D7406C0">
      <w:start w:val="1"/>
      <w:numFmt w:val="bullet"/>
      <w:lvlText w:val="o"/>
      <w:lvlJc w:val="left"/>
      <w:pPr>
        <w:ind w:left="3600" w:hanging="360"/>
      </w:pPr>
      <w:rPr>
        <w:rFonts w:ascii="Courier New" w:hAnsi="Courier New" w:cs="Courier New" w:hint="default"/>
      </w:rPr>
    </w:lvl>
    <w:lvl w:ilvl="5" w:tplc="44FABE2E">
      <w:start w:val="1"/>
      <w:numFmt w:val="bullet"/>
      <w:lvlText w:val=""/>
      <w:lvlJc w:val="left"/>
      <w:pPr>
        <w:ind w:left="4320" w:hanging="360"/>
      </w:pPr>
      <w:rPr>
        <w:rFonts w:ascii="Wingdings" w:hAnsi="Wingdings" w:hint="default"/>
      </w:rPr>
    </w:lvl>
    <w:lvl w:ilvl="6" w:tplc="92AC3444">
      <w:start w:val="1"/>
      <w:numFmt w:val="bullet"/>
      <w:lvlText w:val=""/>
      <w:lvlJc w:val="left"/>
      <w:pPr>
        <w:ind w:left="5040" w:hanging="360"/>
      </w:pPr>
      <w:rPr>
        <w:rFonts w:ascii="Symbol" w:hAnsi="Symbol" w:hint="default"/>
      </w:rPr>
    </w:lvl>
    <w:lvl w:ilvl="7" w:tplc="622A5080">
      <w:start w:val="1"/>
      <w:numFmt w:val="bullet"/>
      <w:lvlText w:val="o"/>
      <w:lvlJc w:val="left"/>
      <w:pPr>
        <w:ind w:left="5760" w:hanging="360"/>
      </w:pPr>
      <w:rPr>
        <w:rFonts w:ascii="Courier New" w:hAnsi="Courier New" w:cs="Courier New" w:hint="default"/>
      </w:rPr>
    </w:lvl>
    <w:lvl w:ilvl="8" w:tplc="B33A4CD4">
      <w:start w:val="1"/>
      <w:numFmt w:val="bullet"/>
      <w:lvlText w:val=""/>
      <w:lvlJc w:val="left"/>
      <w:pPr>
        <w:ind w:left="6480" w:hanging="360"/>
      </w:pPr>
      <w:rPr>
        <w:rFonts w:ascii="Wingdings" w:hAnsi="Wingdings" w:hint="default"/>
      </w:rPr>
    </w:lvl>
  </w:abstractNum>
  <w:abstractNum w:abstractNumId="6" w15:restartNumberingAfterBreak="0">
    <w:nsid w:val="00000011"/>
    <w:multiLevelType w:val="hybridMultilevel"/>
    <w:tmpl w:val="53FC8216"/>
    <w:lvl w:ilvl="0" w:tplc="27B81F04">
      <w:start w:val="1"/>
      <w:numFmt w:val="bullet"/>
      <w:lvlText w:val=""/>
      <w:lvlJc w:val="left"/>
      <w:pPr>
        <w:ind w:left="780" w:hanging="360"/>
      </w:pPr>
      <w:rPr>
        <w:rFonts w:ascii="Symbol" w:hAnsi="Symbol" w:hint="default"/>
      </w:rPr>
    </w:lvl>
    <w:lvl w:ilvl="1" w:tplc="68724E78">
      <w:start w:val="1"/>
      <w:numFmt w:val="bullet"/>
      <w:lvlText w:val="o"/>
      <w:lvlJc w:val="left"/>
      <w:pPr>
        <w:ind w:left="1500" w:hanging="360"/>
      </w:pPr>
      <w:rPr>
        <w:rFonts w:ascii="Courier New" w:hAnsi="Courier New" w:cs="Courier New" w:hint="default"/>
      </w:rPr>
    </w:lvl>
    <w:lvl w:ilvl="2" w:tplc="C688D904">
      <w:start w:val="1"/>
      <w:numFmt w:val="bullet"/>
      <w:lvlText w:val=""/>
      <w:lvlJc w:val="left"/>
      <w:pPr>
        <w:ind w:left="2220" w:hanging="360"/>
      </w:pPr>
      <w:rPr>
        <w:rFonts w:ascii="Wingdings" w:hAnsi="Wingdings" w:hint="default"/>
      </w:rPr>
    </w:lvl>
    <w:lvl w:ilvl="3" w:tplc="122CA37E">
      <w:start w:val="1"/>
      <w:numFmt w:val="bullet"/>
      <w:lvlText w:val=""/>
      <w:lvlJc w:val="left"/>
      <w:pPr>
        <w:ind w:left="2940" w:hanging="360"/>
      </w:pPr>
      <w:rPr>
        <w:rFonts w:ascii="Symbol" w:hAnsi="Symbol" w:hint="default"/>
      </w:rPr>
    </w:lvl>
    <w:lvl w:ilvl="4" w:tplc="A366FB8C">
      <w:start w:val="1"/>
      <w:numFmt w:val="bullet"/>
      <w:lvlText w:val="o"/>
      <w:lvlJc w:val="left"/>
      <w:pPr>
        <w:ind w:left="3660" w:hanging="360"/>
      </w:pPr>
      <w:rPr>
        <w:rFonts w:ascii="Courier New" w:hAnsi="Courier New" w:cs="Courier New" w:hint="default"/>
      </w:rPr>
    </w:lvl>
    <w:lvl w:ilvl="5" w:tplc="DD443656">
      <w:start w:val="1"/>
      <w:numFmt w:val="bullet"/>
      <w:lvlText w:val=""/>
      <w:lvlJc w:val="left"/>
      <w:pPr>
        <w:ind w:left="4380" w:hanging="360"/>
      </w:pPr>
      <w:rPr>
        <w:rFonts w:ascii="Wingdings" w:hAnsi="Wingdings" w:hint="default"/>
      </w:rPr>
    </w:lvl>
    <w:lvl w:ilvl="6" w:tplc="C86A3A90">
      <w:start w:val="1"/>
      <w:numFmt w:val="bullet"/>
      <w:lvlText w:val=""/>
      <w:lvlJc w:val="left"/>
      <w:pPr>
        <w:ind w:left="5100" w:hanging="360"/>
      </w:pPr>
      <w:rPr>
        <w:rFonts w:ascii="Symbol" w:hAnsi="Symbol" w:hint="default"/>
      </w:rPr>
    </w:lvl>
    <w:lvl w:ilvl="7" w:tplc="2E783C78">
      <w:start w:val="1"/>
      <w:numFmt w:val="bullet"/>
      <w:lvlText w:val="o"/>
      <w:lvlJc w:val="left"/>
      <w:pPr>
        <w:ind w:left="5820" w:hanging="360"/>
      </w:pPr>
      <w:rPr>
        <w:rFonts w:ascii="Courier New" w:hAnsi="Courier New" w:cs="Courier New" w:hint="default"/>
      </w:rPr>
    </w:lvl>
    <w:lvl w:ilvl="8" w:tplc="3D24DA12">
      <w:start w:val="1"/>
      <w:numFmt w:val="bullet"/>
      <w:lvlText w:val=""/>
      <w:lvlJc w:val="left"/>
      <w:pPr>
        <w:ind w:left="6540" w:hanging="360"/>
      </w:pPr>
      <w:rPr>
        <w:rFonts w:ascii="Wingdings" w:hAnsi="Wingdings" w:hint="default"/>
      </w:rPr>
    </w:lvl>
  </w:abstractNum>
  <w:abstractNum w:abstractNumId="7" w15:restartNumberingAfterBreak="0">
    <w:nsid w:val="00000012"/>
    <w:multiLevelType w:val="hybridMultilevel"/>
    <w:tmpl w:val="9CFABFF0"/>
    <w:lvl w:ilvl="0" w:tplc="EBA2681E">
      <w:start w:val="1"/>
      <w:numFmt w:val="bullet"/>
      <w:lvlText w:val=""/>
      <w:lvlJc w:val="left"/>
      <w:pPr>
        <w:ind w:left="855" w:hanging="360"/>
      </w:pPr>
      <w:rPr>
        <w:rFonts w:ascii="Symbol" w:hAnsi="Symbol" w:hint="default"/>
      </w:rPr>
    </w:lvl>
    <w:lvl w:ilvl="1" w:tplc="9C6E9D48">
      <w:start w:val="1"/>
      <w:numFmt w:val="bullet"/>
      <w:lvlText w:val="o"/>
      <w:lvlJc w:val="left"/>
      <w:pPr>
        <w:ind w:left="1575" w:hanging="360"/>
      </w:pPr>
      <w:rPr>
        <w:rFonts w:ascii="Courier New" w:hAnsi="Courier New" w:cs="Courier New" w:hint="default"/>
      </w:rPr>
    </w:lvl>
    <w:lvl w:ilvl="2" w:tplc="56DA7E48">
      <w:start w:val="1"/>
      <w:numFmt w:val="bullet"/>
      <w:lvlText w:val=""/>
      <w:lvlJc w:val="left"/>
      <w:pPr>
        <w:ind w:left="2295" w:hanging="360"/>
      </w:pPr>
      <w:rPr>
        <w:rFonts w:ascii="Wingdings" w:hAnsi="Wingdings" w:hint="default"/>
      </w:rPr>
    </w:lvl>
    <w:lvl w:ilvl="3" w:tplc="1DC21432">
      <w:start w:val="1"/>
      <w:numFmt w:val="bullet"/>
      <w:lvlText w:val=""/>
      <w:lvlJc w:val="left"/>
      <w:pPr>
        <w:ind w:left="3015" w:hanging="360"/>
      </w:pPr>
      <w:rPr>
        <w:rFonts w:ascii="Symbol" w:hAnsi="Symbol" w:hint="default"/>
      </w:rPr>
    </w:lvl>
    <w:lvl w:ilvl="4" w:tplc="426CACA0">
      <w:start w:val="1"/>
      <w:numFmt w:val="bullet"/>
      <w:lvlText w:val="o"/>
      <w:lvlJc w:val="left"/>
      <w:pPr>
        <w:ind w:left="3735" w:hanging="360"/>
      </w:pPr>
      <w:rPr>
        <w:rFonts w:ascii="Courier New" w:hAnsi="Courier New" w:cs="Courier New" w:hint="default"/>
      </w:rPr>
    </w:lvl>
    <w:lvl w:ilvl="5" w:tplc="1D824734">
      <w:start w:val="1"/>
      <w:numFmt w:val="bullet"/>
      <w:lvlText w:val=""/>
      <w:lvlJc w:val="left"/>
      <w:pPr>
        <w:ind w:left="4455" w:hanging="360"/>
      </w:pPr>
      <w:rPr>
        <w:rFonts w:ascii="Wingdings" w:hAnsi="Wingdings" w:hint="default"/>
      </w:rPr>
    </w:lvl>
    <w:lvl w:ilvl="6" w:tplc="105ABD14">
      <w:start w:val="1"/>
      <w:numFmt w:val="bullet"/>
      <w:lvlText w:val=""/>
      <w:lvlJc w:val="left"/>
      <w:pPr>
        <w:ind w:left="5175" w:hanging="360"/>
      </w:pPr>
      <w:rPr>
        <w:rFonts w:ascii="Symbol" w:hAnsi="Symbol" w:hint="default"/>
      </w:rPr>
    </w:lvl>
    <w:lvl w:ilvl="7" w:tplc="32321234">
      <w:start w:val="1"/>
      <w:numFmt w:val="bullet"/>
      <w:lvlText w:val="o"/>
      <w:lvlJc w:val="left"/>
      <w:pPr>
        <w:ind w:left="5895" w:hanging="360"/>
      </w:pPr>
      <w:rPr>
        <w:rFonts w:ascii="Courier New" w:hAnsi="Courier New" w:cs="Courier New" w:hint="default"/>
      </w:rPr>
    </w:lvl>
    <w:lvl w:ilvl="8" w:tplc="B27A6FFA">
      <w:start w:val="1"/>
      <w:numFmt w:val="bullet"/>
      <w:lvlText w:val=""/>
      <w:lvlJc w:val="left"/>
      <w:pPr>
        <w:ind w:left="6615" w:hanging="360"/>
      </w:pPr>
      <w:rPr>
        <w:rFonts w:ascii="Wingdings" w:hAnsi="Wingdings" w:hint="default"/>
      </w:rPr>
    </w:lvl>
  </w:abstractNum>
  <w:abstractNum w:abstractNumId="8" w15:restartNumberingAfterBreak="0">
    <w:nsid w:val="00000013"/>
    <w:multiLevelType w:val="hybridMultilevel"/>
    <w:tmpl w:val="4308ED98"/>
    <w:lvl w:ilvl="0" w:tplc="0DF00D3C">
      <w:start w:val="1"/>
      <w:numFmt w:val="bullet"/>
      <w:lvlText w:val=""/>
      <w:lvlJc w:val="left"/>
      <w:pPr>
        <w:ind w:left="1440" w:hanging="360"/>
      </w:pPr>
      <w:rPr>
        <w:rFonts w:ascii="Symbol" w:hAnsi="Symbol" w:hint="default"/>
      </w:rPr>
    </w:lvl>
    <w:lvl w:ilvl="1" w:tplc="29AE7DA0">
      <w:start w:val="1"/>
      <w:numFmt w:val="bullet"/>
      <w:lvlText w:val="o"/>
      <w:lvlJc w:val="left"/>
      <w:pPr>
        <w:ind w:left="2160" w:hanging="360"/>
      </w:pPr>
      <w:rPr>
        <w:rFonts w:ascii="Courier New" w:hAnsi="Courier New" w:cs="Courier New" w:hint="default"/>
      </w:rPr>
    </w:lvl>
    <w:lvl w:ilvl="2" w:tplc="C61C9D22">
      <w:start w:val="1"/>
      <w:numFmt w:val="bullet"/>
      <w:lvlText w:val=""/>
      <w:lvlJc w:val="left"/>
      <w:pPr>
        <w:ind w:left="2880" w:hanging="360"/>
      </w:pPr>
      <w:rPr>
        <w:rFonts w:ascii="Wingdings" w:hAnsi="Wingdings" w:hint="default"/>
      </w:rPr>
    </w:lvl>
    <w:lvl w:ilvl="3" w:tplc="9E76C6B2">
      <w:start w:val="1"/>
      <w:numFmt w:val="bullet"/>
      <w:lvlText w:val=""/>
      <w:lvlJc w:val="left"/>
      <w:pPr>
        <w:ind w:left="3600" w:hanging="360"/>
      </w:pPr>
      <w:rPr>
        <w:rFonts w:ascii="Symbol" w:hAnsi="Symbol" w:hint="default"/>
      </w:rPr>
    </w:lvl>
    <w:lvl w:ilvl="4" w:tplc="57A26D92">
      <w:start w:val="1"/>
      <w:numFmt w:val="bullet"/>
      <w:lvlText w:val="o"/>
      <w:lvlJc w:val="left"/>
      <w:pPr>
        <w:ind w:left="4320" w:hanging="360"/>
      </w:pPr>
      <w:rPr>
        <w:rFonts w:ascii="Courier New" w:hAnsi="Courier New" w:cs="Courier New" w:hint="default"/>
      </w:rPr>
    </w:lvl>
    <w:lvl w:ilvl="5" w:tplc="02F83C18">
      <w:start w:val="1"/>
      <w:numFmt w:val="bullet"/>
      <w:lvlText w:val=""/>
      <w:lvlJc w:val="left"/>
      <w:pPr>
        <w:ind w:left="5040" w:hanging="360"/>
      </w:pPr>
      <w:rPr>
        <w:rFonts w:ascii="Wingdings" w:hAnsi="Wingdings" w:hint="default"/>
      </w:rPr>
    </w:lvl>
    <w:lvl w:ilvl="6" w:tplc="DBDC3DFC">
      <w:start w:val="1"/>
      <w:numFmt w:val="bullet"/>
      <w:lvlText w:val=""/>
      <w:lvlJc w:val="left"/>
      <w:pPr>
        <w:ind w:left="5760" w:hanging="360"/>
      </w:pPr>
      <w:rPr>
        <w:rFonts w:ascii="Symbol" w:hAnsi="Symbol" w:hint="default"/>
      </w:rPr>
    </w:lvl>
    <w:lvl w:ilvl="7" w:tplc="5058D754">
      <w:start w:val="1"/>
      <w:numFmt w:val="bullet"/>
      <w:lvlText w:val="o"/>
      <w:lvlJc w:val="left"/>
      <w:pPr>
        <w:ind w:left="6480" w:hanging="360"/>
      </w:pPr>
      <w:rPr>
        <w:rFonts w:ascii="Courier New" w:hAnsi="Courier New" w:cs="Courier New" w:hint="default"/>
      </w:rPr>
    </w:lvl>
    <w:lvl w:ilvl="8" w:tplc="3A589B72">
      <w:start w:val="1"/>
      <w:numFmt w:val="bullet"/>
      <w:lvlText w:val=""/>
      <w:lvlJc w:val="left"/>
      <w:pPr>
        <w:ind w:left="7200" w:hanging="360"/>
      </w:pPr>
      <w:rPr>
        <w:rFonts w:ascii="Wingdings" w:hAnsi="Wingdings" w:hint="default"/>
      </w:rPr>
    </w:lvl>
  </w:abstractNum>
  <w:abstractNum w:abstractNumId="9" w15:restartNumberingAfterBreak="0">
    <w:nsid w:val="00000015"/>
    <w:multiLevelType w:val="hybridMultilevel"/>
    <w:tmpl w:val="CDBC297A"/>
    <w:lvl w:ilvl="0" w:tplc="E59C27FC">
      <w:start w:val="1"/>
      <w:numFmt w:val="bullet"/>
      <w:lvlText w:val=""/>
      <w:lvlJc w:val="left"/>
      <w:pPr>
        <w:ind w:left="720" w:hanging="360"/>
      </w:pPr>
      <w:rPr>
        <w:rFonts w:ascii="Symbol" w:hAnsi="Symbol" w:hint="default"/>
      </w:rPr>
    </w:lvl>
    <w:lvl w:ilvl="1" w:tplc="3B28BE6A">
      <w:start w:val="1"/>
      <w:numFmt w:val="bullet"/>
      <w:lvlText w:val="o"/>
      <w:lvlJc w:val="left"/>
      <w:pPr>
        <w:ind w:left="1440" w:hanging="360"/>
      </w:pPr>
      <w:rPr>
        <w:rFonts w:ascii="Courier New" w:hAnsi="Courier New" w:cs="Courier New" w:hint="default"/>
      </w:rPr>
    </w:lvl>
    <w:lvl w:ilvl="2" w:tplc="8B606AC2">
      <w:start w:val="1"/>
      <w:numFmt w:val="bullet"/>
      <w:lvlText w:val=""/>
      <w:lvlJc w:val="left"/>
      <w:pPr>
        <w:ind w:left="2160" w:hanging="360"/>
      </w:pPr>
      <w:rPr>
        <w:rFonts w:ascii="Wingdings" w:hAnsi="Wingdings" w:hint="default"/>
      </w:rPr>
    </w:lvl>
    <w:lvl w:ilvl="3" w:tplc="262A64EE">
      <w:start w:val="1"/>
      <w:numFmt w:val="bullet"/>
      <w:lvlText w:val=""/>
      <w:lvlJc w:val="left"/>
      <w:pPr>
        <w:ind w:left="2880" w:hanging="360"/>
      </w:pPr>
      <w:rPr>
        <w:rFonts w:ascii="Symbol" w:hAnsi="Symbol" w:hint="default"/>
      </w:rPr>
    </w:lvl>
    <w:lvl w:ilvl="4" w:tplc="70BEA502">
      <w:start w:val="1"/>
      <w:numFmt w:val="bullet"/>
      <w:lvlText w:val="o"/>
      <w:lvlJc w:val="left"/>
      <w:pPr>
        <w:ind w:left="3600" w:hanging="360"/>
      </w:pPr>
      <w:rPr>
        <w:rFonts w:ascii="Courier New" w:hAnsi="Courier New" w:cs="Courier New" w:hint="default"/>
      </w:rPr>
    </w:lvl>
    <w:lvl w:ilvl="5" w:tplc="BC9E6E94">
      <w:start w:val="1"/>
      <w:numFmt w:val="bullet"/>
      <w:lvlText w:val=""/>
      <w:lvlJc w:val="left"/>
      <w:pPr>
        <w:ind w:left="4320" w:hanging="360"/>
      </w:pPr>
      <w:rPr>
        <w:rFonts w:ascii="Wingdings" w:hAnsi="Wingdings" w:hint="default"/>
      </w:rPr>
    </w:lvl>
    <w:lvl w:ilvl="6" w:tplc="ADE6061A">
      <w:start w:val="1"/>
      <w:numFmt w:val="bullet"/>
      <w:lvlText w:val=""/>
      <w:lvlJc w:val="left"/>
      <w:pPr>
        <w:ind w:left="5040" w:hanging="360"/>
      </w:pPr>
      <w:rPr>
        <w:rFonts w:ascii="Symbol" w:hAnsi="Symbol" w:hint="default"/>
      </w:rPr>
    </w:lvl>
    <w:lvl w:ilvl="7" w:tplc="7E805B50">
      <w:start w:val="1"/>
      <w:numFmt w:val="bullet"/>
      <w:lvlText w:val="o"/>
      <w:lvlJc w:val="left"/>
      <w:pPr>
        <w:ind w:left="5760" w:hanging="360"/>
      </w:pPr>
      <w:rPr>
        <w:rFonts w:ascii="Courier New" w:hAnsi="Courier New" w:cs="Courier New" w:hint="default"/>
      </w:rPr>
    </w:lvl>
    <w:lvl w:ilvl="8" w:tplc="9FD07C22">
      <w:start w:val="1"/>
      <w:numFmt w:val="bullet"/>
      <w:lvlText w:val=""/>
      <w:lvlJc w:val="left"/>
      <w:pPr>
        <w:ind w:left="6480" w:hanging="360"/>
      </w:pPr>
      <w:rPr>
        <w:rFonts w:ascii="Wingdings" w:hAnsi="Wingdings" w:hint="default"/>
      </w:rPr>
    </w:lvl>
  </w:abstractNum>
  <w:abstractNum w:abstractNumId="10" w15:restartNumberingAfterBreak="0">
    <w:nsid w:val="00000017"/>
    <w:multiLevelType w:val="hybridMultilevel"/>
    <w:tmpl w:val="B9987896"/>
    <w:lvl w:ilvl="0" w:tplc="62AA9D24">
      <w:start w:val="1"/>
      <w:numFmt w:val="bullet"/>
      <w:lvlText w:val=""/>
      <w:lvlJc w:val="left"/>
      <w:pPr>
        <w:ind w:left="720" w:hanging="360"/>
      </w:pPr>
      <w:rPr>
        <w:rFonts w:ascii="Symbol" w:hAnsi="Symbol" w:hint="default"/>
      </w:rPr>
    </w:lvl>
    <w:lvl w:ilvl="1" w:tplc="1F94B844">
      <w:start w:val="1"/>
      <w:numFmt w:val="bullet"/>
      <w:lvlText w:val="o"/>
      <w:lvlJc w:val="left"/>
      <w:pPr>
        <w:ind w:left="1440" w:hanging="360"/>
      </w:pPr>
      <w:rPr>
        <w:rFonts w:ascii="Courier New" w:hAnsi="Courier New" w:cs="Courier New" w:hint="default"/>
      </w:rPr>
    </w:lvl>
    <w:lvl w:ilvl="2" w:tplc="9EBAC1BE">
      <w:start w:val="1"/>
      <w:numFmt w:val="bullet"/>
      <w:lvlText w:val=""/>
      <w:lvlJc w:val="left"/>
      <w:pPr>
        <w:ind w:left="2160" w:hanging="360"/>
      </w:pPr>
      <w:rPr>
        <w:rFonts w:ascii="Wingdings" w:hAnsi="Wingdings" w:hint="default"/>
      </w:rPr>
    </w:lvl>
    <w:lvl w:ilvl="3" w:tplc="23AA758E">
      <w:start w:val="1"/>
      <w:numFmt w:val="bullet"/>
      <w:lvlText w:val=""/>
      <w:lvlJc w:val="left"/>
      <w:pPr>
        <w:ind w:left="2880" w:hanging="360"/>
      </w:pPr>
      <w:rPr>
        <w:rFonts w:ascii="Symbol" w:hAnsi="Symbol" w:hint="default"/>
      </w:rPr>
    </w:lvl>
    <w:lvl w:ilvl="4" w:tplc="555AD266">
      <w:start w:val="1"/>
      <w:numFmt w:val="bullet"/>
      <w:lvlText w:val="o"/>
      <w:lvlJc w:val="left"/>
      <w:pPr>
        <w:ind w:left="3600" w:hanging="360"/>
      </w:pPr>
      <w:rPr>
        <w:rFonts w:ascii="Courier New" w:hAnsi="Courier New" w:cs="Courier New" w:hint="default"/>
      </w:rPr>
    </w:lvl>
    <w:lvl w:ilvl="5" w:tplc="1E948686">
      <w:start w:val="1"/>
      <w:numFmt w:val="bullet"/>
      <w:lvlText w:val=""/>
      <w:lvlJc w:val="left"/>
      <w:pPr>
        <w:ind w:left="4320" w:hanging="360"/>
      </w:pPr>
      <w:rPr>
        <w:rFonts w:ascii="Wingdings" w:hAnsi="Wingdings" w:hint="default"/>
      </w:rPr>
    </w:lvl>
    <w:lvl w:ilvl="6" w:tplc="5F9EAD36">
      <w:start w:val="1"/>
      <w:numFmt w:val="bullet"/>
      <w:lvlText w:val=""/>
      <w:lvlJc w:val="left"/>
      <w:pPr>
        <w:ind w:left="5040" w:hanging="360"/>
      </w:pPr>
      <w:rPr>
        <w:rFonts w:ascii="Symbol" w:hAnsi="Symbol" w:hint="default"/>
      </w:rPr>
    </w:lvl>
    <w:lvl w:ilvl="7" w:tplc="A30EC606">
      <w:start w:val="1"/>
      <w:numFmt w:val="bullet"/>
      <w:lvlText w:val="o"/>
      <w:lvlJc w:val="left"/>
      <w:pPr>
        <w:ind w:left="5760" w:hanging="360"/>
      </w:pPr>
      <w:rPr>
        <w:rFonts w:ascii="Courier New" w:hAnsi="Courier New" w:cs="Courier New" w:hint="default"/>
      </w:rPr>
    </w:lvl>
    <w:lvl w:ilvl="8" w:tplc="83FA6B9E">
      <w:start w:val="1"/>
      <w:numFmt w:val="bullet"/>
      <w:lvlText w:val=""/>
      <w:lvlJc w:val="left"/>
      <w:pPr>
        <w:ind w:left="6480" w:hanging="360"/>
      </w:pPr>
      <w:rPr>
        <w:rFonts w:ascii="Wingdings" w:hAnsi="Wingdings" w:hint="default"/>
      </w:rPr>
    </w:lvl>
  </w:abstractNum>
  <w:abstractNum w:abstractNumId="11" w15:restartNumberingAfterBreak="0">
    <w:nsid w:val="00000019"/>
    <w:multiLevelType w:val="hybridMultilevel"/>
    <w:tmpl w:val="F88E00EE"/>
    <w:lvl w:ilvl="0" w:tplc="61268A56">
      <w:start w:val="1"/>
      <w:numFmt w:val="bullet"/>
      <w:lvlText w:val=""/>
      <w:lvlJc w:val="left"/>
      <w:pPr>
        <w:ind w:left="720" w:hanging="360"/>
      </w:pPr>
      <w:rPr>
        <w:rFonts w:ascii="Symbol" w:hAnsi="Symbol" w:hint="default"/>
      </w:rPr>
    </w:lvl>
    <w:lvl w:ilvl="1" w:tplc="9BBACC0A">
      <w:start w:val="1"/>
      <w:numFmt w:val="bullet"/>
      <w:lvlText w:val="o"/>
      <w:lvlJc w:val="left"/>
      <w:pPr>
        <w:ind w:left="1440" w:hanging="360"/>
      </w:pPr>
      <w:rPr>
        <w:rFonts w:ascii="Courier New" w:hAnsi="Courier New" w:cs="Courier New" w:hint="default"/>
      </w:rPr>
    </w:lvl>
    <w:lvl w:ilvl="2" w:tplc="0FBE6154">
      <w:start w:val="1"/>
      <w:numFmt w:val="bullet"/>
      <w:lvlText w:val=""/>
      <w:lvlJc w:val="left"/>
      <w:pPr>
        <w:ind w:left="2160" w:hanging="360"/>
      </w:pPr>
      <w:rPr>
        <w:rFonts w:ascii="Wingdings" w:hAnsi="Wingdings" w:hint="default"/>
      </w:rPr>
    </w:lvl>
    <w:lvl w:ilvl="3" w:tplc="4A260BCE">
      <w:start w:val="1"/>
      <w:numFmt w:val="bullet"/>
      <w:lvlText w:val=""/>
      <w:lvlJc w:val="left"/>
      <w:pPr>
        <w:ind w:left="2880" w:hanging="360"/>
      </w:pPr>
      <w:rPr>
        <w:rFonts w:ascii="Symbol" w:hAnsi="Symbol" w:hint="default"/>
      </w:rPr>
    </w:lvl>
    <w:lvl w:ilvl="4" w:tplc="63449BC6">
      <w:start w:val="1"/>
      <w:numFmt w:val="bullet"/>
      <w:lvlText w:val="o"/>
      <w:lvlJc w:val="left"/>
      <w:pPr>
        <w:ind w:left="3600" w:hanging="360"/>
      </w:pPr>
      <w:rPr>
        <w:rFonts w:ascii="Courier New" w:hAnsi="Courier New" w:cs="Courier New" w:hint="default"/>
      </w:rPr>
    </w:lvl>
    <w:lvl w:ilvl="5" w:tplc="7144C61C">
      <w:start w:val="1"/>
      <w:numFmt w:val="bullet"/>
      <w:lvlText w:val=""/>
      <w:lvlJc w:val="left"/>
      <w:pPr>
        <w:ind w:left="4320" w:hanging="360"/>
      </w:pPr>
      <w:rPr>
        <w:rFonts w:ascii="Wingdings" w:hAnsi="Wingdings" w:hint="default"/>
      </w:rPr>
    </w:lvl>
    <w:lvl w:ilvl="6" w:tplc="DCBCBFBC">
      <w:start w:val="1"/>
      <w:numFmt w:val="bullet"/>
      <w:lvlText w:val=""/>
      <w:lvlJc w:val="left"/>
      <w:pPr>
        <w:ind w:left="5040" w:hanging="360"/>
      </w:pPr>
      <w:rPr>
        <w:rFonts w:ascii="Symbol" w:hAnsi="Symbol" w:hint="default"/>
      </w:rPr>
    </w:lvl>
    <w:lvl w:ilvl="7" w:tplc="054C771C">
      <w:start w:val="1"/>
      <w:numFmt w:val="bullet"/>
      <w:lvlText w:val="o"/>
      <w:lvlJc w:val="left"/>
      <w:pPr>
        <w:ind w:left="5760" w:hanging="360"/>
      </w:pPr>
      <w:rPr>
        <w:rFonts w:ascii="Courier New" w:hAnsi="Courier New" w:cs="Courier New" w:hint="default"/>
      </w:rPr>
    </w:lvl>
    <w:lvl w:ilvl="8" w:tplc="E9B66DD6">
      <w:start w:val="1"/>
      <w:numFmt w:val="bullet"/>
      <w:lvlText w:val=""/>
      <w:lvlJc w:val="left"/>
      <w:pPr>
        <w:ind w:left="6480" w:hanging="360"/>
      </w:pPr>
      <w:rPr>
        <w:rFonts w:ascii="Wingdings" w:hAnsi="Wingdings" w:hint="default"/>
      </w:rPr>
    </w:lvl>
  </w:abstractNum>
  <w:abstractNum w:abstractNumId="12" w15:restartNumberingAfterBreak="0">
    <w:nsid w:val="0000001A"/>
    <w:multiLevelType w:val="hybridMultilevel"/>
    <w:tmpl w:val="F266B458"/>
    <w:lvl w:ilvl="0" w:tplc="1C704A4E">
      <w:start w:val="1"/>
      <w:numFmt w:val="bullet"/>
      <w:lvlText w:val=""/>
      <w:lvlJc w:val="left"/>
      <w:pPr>
        <w:ind w:left="720" w:hanging="360"/>
      </w:pPr>
      <w:rPr>
        <w:rFonts w:ascii="Symbol" w:hAnsi="Symbol" w:hint="default"/>
      </w:rPr>
    </w:lvl>
    <w:lvl w:ilvl="1" w:tplc="EC9A703C">
      <w:start w:val="1"/>
      <w:numFmt w:val="bullet"/>
      <w:lvlText w:val="o"/>
      <w:lvlJc w:val="left"/>
      <w:pPr>
        <w:ind w:left="1440" w:hanging="360"/>
      </w:pPr>
      <w:rPr>
        <w:rFonts w:ascii="Courier New" w:hAnsi="Courier New" w:cs="Courier New" w:hint="default"/>
      </w:rPr>
    </w:lvl>
    <w:lvl w:ilvl="2" w:tplc="07B60D4A">
      <w:start w:val="1"/>
      <w:numFmt w:val="bullet"/>
      <w:lvlText w:val=""/>
      <w:lvlJc w:val="left"/>
      <w:pPr>
        <w:ind w:left="2160" w:hanging="360"/>
      </w:pPr>
      <w:rPr>
        <w:rFonts w:ascii="Wingdings" w:hAnsi="Wingdings" w:hint="default"/>
      </w:rPr>
    </w:lvl>
    <w:lvl w:ilvl="3" w:tplc="53C06722">
      <w:start w:val="1"/>
      <w:numFmt w:val="bullet"/>
      <w:lvlText w:val=""/>
      <w:lvlJc w:val="left"/>
      <w:pPr>
        <w:ind w:left="2880" w:hanging="360"/>
      </w:pPr>
      <w:rPr>
        <w:rFonts w:ascii="Symbol" w:hAnsi="Symbol" w:hint="default"/>
      </w:rPr>
    </w:lvl>
    <w:lvl w:ilvl="4" w:tplc="F47A6C24">
      <w:start w:val="1"/>
      <w:numFmt w:val="bullet"/>
      <w:lvlText w:val="o"/>
      <w:lvlJc w:val="left"/>
      <w:pPr>
        <w:ind w:left="3600" w:hanging="360"/>
      </w:pPr>
      <w:rPr>
        <w:rFonts w:ascii="Courier New" w:hAnsi="Courier New" w:cs="Courier New" w:hint="default"/>
      </w:rPr>
    </w:lvl>
    <w:lvl w:ilvl="5" w:tplc="287C998A">
      <w:start w:val="1"/>
      <w:numFmt w:val="bullet"/>
      <w:lvlText w:val=""/>
      <w:lvlJc w:val="left"/>
      <w:pPr>
        <w:ind w:left="4320" w:hanging="360"/>
      </w:pPr>
      <w:rPr>
        <w:rFonts w:ascii="Wingdings" w:hAnsi="Wingdings" w:hint="default"/>
      </w:rPr>
    </w:lvl>
    <w:lvl w:ilvl="6" w:tplc="CD50291A">
      <w:start w:val="1"/>
      <w:numFmt w:val="bullet"/>
      <w:lvlText w:val=""/>
      <w:lvlJc w:val="left"/>
      <w:pPr>
        <w:ind w:left="5040" w:hanging="360"/>
      </w:pPr>
      <w:rPr>
        <w:rFonts w:ascii="Symbol" w:hAnsi="Symbol" w:hint="default"/>
      </w:rPr>
    </w:lvl>
    <w:lvl w:ilvl="7" w:tplc="44E0BB6C">
      <w:start w:val="1"/>
      <w:numFmt w:val="bullet"/>
      <w:lvlText w:val="o"/>
      <w:lvlJc w:val="left"/>
      <w:pPr>
        <w:ind w:left="5760" w:hanging="360"/>
      </w:pPr>
      <w:rPr>
        <w:rFonts w:ascii="Courier New" w:hAnsi="Courier New" w:cs="Courier New" w:hint="default"/>
      </w:rPr>
    </w:lvl>
    <w:lvl w:ilvl="8" w:tplc="D08E6794">
      <w:start w:val="1"/>
      <w:numFmt w:val="bullet"/>
      <w:lvlText w:val=""/>
      <w:lvlJc w:val="left"/>
      <w:pPr>
        <w:ind w:left="6480" w:hanging="360"/>
      </w:pPr>
      <w:rPr>
        <w:rFonts w:ascii="Wingdings" w:hAnsi="Wingdings" w:hint="default"/>
      </w:rPr>
    </w:lvl>
  </w:abstractNum>
  <w:abstractNum w:abstractNumId="13" w15:restartNumberingAfterBreak="0">
    <w:nsid w:val="000D10E5"/>
    <w:multiLevelType w:val="hybridMultilevel"/>
    <w:tmpl w:val="7390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6F0B6B"/>
    <w:multiLevelType w:val="hybridMultilevel"/>
    <w:tmpl w:val="9F52805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5" w15:restartNumberingAfterBreak="0">
    <w:nsid w:val="069F2C01"/>
    <w:multiLevelType w:val="multilevel"/>
    <w:tmpl w:val="52E0CBCA"/>
    <w:lvl w:ilvl="0">
      <w:start w:val="1"/>
      <w:numFmt w:val="decimal"/>
      <w:pStyle w:val="Body"/>
      <w:lvlText w:val="%1."/>
      <w:lvlJc w:val="left"/>
      <w:pPr>
        <w:ind w:left="360" w:hanging="360"/>
      </w:pPr>
    </w:lvl>
    <w:lvl w:ilvl="1">
      <w:start w:val="1"/>
      <w:numFmt w:val="decimal"/>
      <w:isLgl/>
      <w:lvlText w:val="%1.%2"/>
      <w:lvlJc w:val="left"/>
      <w:pPr>
        <w:ind w:left="473" w:hanging="36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059" w:hanging="720"/>
      </w:pPr>
      <w:rPr>
        <w:rFonts w:hint="default"/>
      </w:rPr>
    </w:lvl>
    <w:lvl w:ilvl="4">
      <w:start w:val="1"/>
      <w:numFmt w:val="decimal"/>
      <w:isLgl/>
      <w:lvlText w:val="%1.%2.%3.%4.%5"/>
      <w:lvlJc w:val="left"/>
      <w:pPr>
        <w:ind w:left="1532" w:hanging="1080"/>
      </w:pPr>
      <w:rPr>
        <w:rFonts w:hint="default"/>
      </w:rPr>
    </w:lvl>
    <w:lvl w:ilvl="5">
      <w:start w:val="1"/>
      <w:numFmt w:val="decimal"/>
      <w:isLgl/>
      <w:lvlText w:val="%1.%2.%3.%4.%5.%6"/>
      <w:lvlJc w:val="left"/>
      <w:pPr>
        <w:ind w:left="1645" w:hanging="108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231" w:hanging="1440"/>
      </w:pPr>
      <w:rPr>
        <w:rFonts w:hint="default"/>
      </w:rPr>
    </w:lvl>
    <w:lvl w:ilvl="8">
      <w:start w:val="1"/>
      <w:numFmt w:val="decimal"/>
      <w:isLgl/>
      <w:lvlText w:val="%1.%2.%3.%4.%5.%6.%7.%8.%9"/>
      <w:lvlJc w:val="left"/>
      <w:pPr>
        <w:ind w:left="2704" w:hanging="1800"/>
      </w:pPr>
      <w:rPr>
        <w:rFonts w:hint="default"/>
      </w:rPr>
    </w:lvl>
  </w:abstractNum>
  <w:abstractNum w:abstractNumId="16" w15:restartNumberingAfterBreak="0">
    <w:nsid w:val="0827686B"/>
    <w:multiLevelType w:val="hybridMultilevel"/>
    <w:tmpl w:val="5074FF6C"/>
    <w:lvl w:ilvl="0" w:tplc="EDE65A78">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8392F05"/>
    <w:multiLevelType w:val="hybridMultilevel"/>
    <w:tmpl w:val="C55CFF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C955DBA"/>
    <w:multiLevelType w:val="hybridMultilevel"/>
    <w:tmpl w:val="2846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BD6473"/>
    <w:multiLevelType w:val="hybridMultilevel"/>
    <w:tmpl w:val="D4DA2D4C"/>
    <w:lvl w:ilvl="0" w:tplc="EDE65A78">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0F4C1562"/>
    <w:multiLevelType w:val="hybridMultilevel"/>
    <w:tmpl w:val="2CCE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7F00E7"/>
    <w:multiLevelType w:val="hybridMultilevel"/>
    <w:tmpl w:val="59044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053EF4"/>
    <w:multiLevelType w:val="multilevel"/>
    <w:tmpl w:val="81D092B6"/>
    <w:lvl w:ilvl="0">
      <w:start w:val="1"/>
      <w:numFmt w:val="decimal"/>
      <w:lvlText w:val="%1."/>
      <w:lvlJc w:val="left"/>
      <w:pPr>
        <w:ind w:left="360" w:hanging="360"/>
      </w:pPr>
      <w:rPr>
        <w:rFonts w:hint="default"/>
      </w:rPr>
    </w:lvl>
    <w:lvl w:ilvl="1">
      <w:start w:val="1"/>
      <w:numFmt w:val="decimal"/>
      <w:pStyle w:val="AGS-Bullets"/>
      <w:lvlText w:val="%1.%2"/>
      <w:lvlJc w:val="left"/>
      <w:pPr>
        <w:ind w:left="360" w:hanging="360"/>
      </w:pPr>
      <w:rPr>
        <w:rFonts w:ascii="Calibri" w:hAnsi="Calibri" w:hint="default"/>
        <w:b w:val="0"/>
        <w:i w:val="0"/>
        <w:strike w:val="0"/>
        <w:color w:val="auto"/>
      </w:rPr>
    </w:lvl>
    <w:lvl w:ilvl="2">
      <w:start w:val="1"/>
      <w:numFmt w:val="lowerRoman"/>
      <w:lvlText w:val="(%3)"/>
      <w:lvlJc w:val="left"/>
      <w:pPr>
        <w:ind w:left="1287" w:hanging="720"/>
      </w:pPr>
      <w:rPr>
        <w:rFonts w:asciiTheme="majorHAnsi" w:eastAsia="Times New Roman" w:hAnsiTheme="majorHAnsi" w:cs="Calibri"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14D97022"/>
    <w:multiLevelType w:val="hybridMultilevel"/>
    <w:tmpl w:val="3966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B0333C"/>
    <w:multiLevelType w:val="hybridMultilevel"/>
    <w:tmpl w:val="97D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514374"/>
    <w:multiLevelType w:val="hybridMultilevel"/>
    <w:tmpl w:val="BC78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8121FAA"/>
    <w:multiLevelType w:val="hybridMultilevel"/>
    <w:tmpl w:val="EF983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0221DE"/>
    <w:multiLevelType w:val="hybridMultilevel"/>
    <w:tmpl w:val="E7EE1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407300"/>
    <w:multiLevelType w:val="hybridMultilevel"/>
    <w:tmpl w:val="D9C8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8F48F5"/>
    <w:multiLevelType w:val="hybridMultilevel"/>
    <w:tmpl w:val="5D7C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DAC01DE"/>
    <w:multiLevelType w:val="hybridMultilevel"/>
    <w:tmpl w:val="8DE4D5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604C11"/>
    <w:multiLevelType w:val="hybridMultilevel"/>
    <w:tmpl w:val="599E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9E69AA"/>
    <w:multiLevelType w:val="multilevel"/>
    <w:tmpl w:val="3118C848"/>
    <w:numStyleLink w:val="TfGMList"/>
  </w:abstractNum>
  <w:abstractNum w:abstractNumId="33" w15:restartNumberingAfterBreak="0">
    <w:nsid w:val="259F0CF6"/>
    <w:multiLevelType w:val="hybridMultilevel"/>
    <w:tmpl w:val="B9AC6A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BC48F1"/>
    <w:multiLevelType w:val="hybridMultilevel"/>
    <w:tmpl w:val="0A7C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6E02A9"/>
    <w:multiLevelType w:val="hybridMultilevel"/>
    <w:tmpl w:val="A3F6A534"/>
    <w:lvl w:ilvl="0" w:tplc="BBD0AFB8">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2AE55663"/>
    <w:multiLevelType w:val="hybridMultilevel"/>
    <w:tmpl w:val="C072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A50502"/>
    <w:multiLevelType w:val="hybridMultilevel"/>
    <w:tmpl w:val="4EDCC50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C1D1C60"/>
    <w:multiLevelType w:val="hybridMultilevel"/>
    <w:tmpl w:val="9DE28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EB1A20"/>
    <w:multiLevelType w:val="hybridMultilevel"/>
    <w:tmpl w:val="D17E866A"/>
    <w:lvl w:ilvl="0" w:tplc="C14E8280">
      <w:start w:val="1"/>
      <w:numFmt w:val="bullet"/>
      <w:lvlText w:val=""/>
      <w:lvlJc w:val="left"/>
      <w:pPr>
        <w:tabs>
          <w:tab w:val="num" w:pos="1512"/>
        </w:tabs>
        <w:ind w:left="1512" w:hanging="360"/>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416C9C"/>
    <w:multiLevelType w:val="hybridMultilevel"/>
    <w:tmpl w:val="D416D4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39844F89"/>
    <w:multiLevelType w:val="hybridMultilevel"/>
    <w:tmpl w:val="D3CA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125D58"/>
    <w:multiLevelType w:val="hybridMultilevel"/>
    <w:tmpl w:val="C95C418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3B9C0D52"/>
    <w:multiLevelType w:val="hybridMultilevel"/>
    <w:tmpl w:val="3870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B72294"/>
    <w:multiLevelType w:val="hybridMultilevel"/>
    <w:tmpl w:val="4EDCC50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EC001B3"/>
    <w:multiLevelType w:val="hybridMultilevel"/>
    <w:tmpl w:val="B6648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FC4ACC"/>
    <w:multiLevelType w:val="hybridMultilevel"/>
    <w:tmpl w:val="65E0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E8028D"/>
    <w:multiLevelType w:val="multilevel"/>
    <w:tmpl w:val="1952E0AA"/>
    <w:styleLink w:val="AGMAList"/>
    <w:lvl w:ilvl="0">
      <w:start w:val="1"/>
      <w:numFmt w:val="decimal"/>
      <w:pStyle w:val="1AGMAHeading1"/>
      <w:lvlText w:val="%1."/>
      <w:lvlJc w:val="left"/>
      <w:pPr>
        <w:ind w:left="851" w:hanging="851"/>
      </w:pPr>
      <w:rPr>
        <w:rFonts w:ascii="Arial" w:hAnsi="Arial" w:cs="Times New Roman" w:hint="default"/>
        <w:b/>
        <w:i w:val="0"/>
        <w:sz w:val="24"/>
      </w:rPr>
    </w:lvl>
    <w:lvl w:ilvl="1">
      <w:start w:val="1"/>
      <w:numFmt w:val="decimal"/>
      <w:pStyle w:val="2AGMAHeading2"/>
      <w:lvlText w:val="%1.%2"/>
      <w:lvlJc w:val="left"/>
      <w:pPr>
        <w:ind w:left="851" w:hanging="851"/>
      </w:pPr>
      <w:rPr>
        <w:rFonts w:ascii="Arial" w:hAnsi="Arial" w:cs="Times New Roman" w:hint="default"/>
        <w:b w:val="0"/>
        <w:i w:val="0"/>
        <w:sz w:val="24"/>
      </w:rPr>
    </w:lvl>
    <w:lvl w:ilvl="2">
      <w:start w:val="1"/>
      <w:numFmt w:val="decimal"/>
      <w:pStyle w:val="3AGMAHeading3"/>
      <w:lvlText w:val="%1.%2.%3"/>
      <w:lvlJc w:val="left"/>
      <w:pPr>
        <w:ind w:left="851" w:hanging="851"/>
      </w:pPr>
      <w:rPr>
        <w:rFonts w:ascii="Arial" w:hAnsi="Arial" w:cs="Times New Roman" w:hint="default"/>
        <w:b w:val="0"/>
        <w:i w:val="0"/>
        <w:sz w:val="24"/>
      </w:rPr>
    </w:lvl>
    <w:lvl w:ilvl="3">
      <w:start w:val="1"/>
      <w:numFmt w:val="bullet"/>
      <w:pStyle w:val="4AGMABullet1"/>
      <w:lvlText w:val=""/>
      <w:lvlJc w:val="left"/>
      <w:pPr>
        <w:ind w:left="1134" w:hanging="283"/>
      </w:pPr>
      <w:rPr>
        <w:rFonts w:ascii="Symbol" w:hAnsi="Symbol" w:hint="default"/>
        <w:color w:val="auto"/>
      </w:rPr>
    </w:lvl>
    <w:lvl w:ilvl="4">
      <w:start w:val="1"/>
      <w:numFmt w:val="bullet"/>
      <w:pStyle w:val="5AGMABullet2"/>
      <w:lvlText w:val=""/>
      <w:lvlJc w:val="left"/>
      <w:pPr>
        <w:ind w:left="1418" w:hanging="284"/>
      </w:pPr>
      <w:rPr>
        <w:rFonts w:ascii="Symbol" w:hAnsi="Symbol" w:hint="default"/>
      </w:rPr>
    </w:lvl>
    <w:lvl w:ilvl="5">
      <w:start w:val="1"/>
      <w:numFmt w:val="lowerRoman"/>
      <w:pStyle w:val="6AGMARecommendations"/>
      <w:lvlText w:val="(%6)"/>
      <w:lvlJc w:val="left"/>
      <w:pPr>
        <w:ind w:left="1077" w:hanging="226"/>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8" w15:restartNumberingAfterBreak="0">
    <w:nsid w:val="440A02F8"/>
    <w:multiLevelType w:val="hybridMultilevel"/>
    <w:tmpl w:val="E736A60A"/>
    <w:lvl w:ilvl="0" w:tplc="8292A8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8C6BF4"/>
    <w:multiLevelType w:val="hybridMultilevel"/>
    <w:tmpl w:val="B9FA3780"/>
    <w:lvl w:ilvl="0" w:tplc="2FCE7DCA">
      <w:numFmt w:val="bullet"/>
      <w:lvlText w:val="•"/>
      <w:lvlJc w:val="left"/>
      <w:pPr>
        <w:ind w:left="720" w:hanging="360"/>
      </w:pPr>
      <w:rPr>
        <w:rFonts w:ascii="Verdana" w:eastAsia="Verdana" w:hAnsi="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4D14545"/>
    <w:multiLevelType w:val="hybridMultilevel"/>
    <w:tmpl w:val="0AFA9B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58532CC"/>
    <w:multiLevelType w:val="hybridMultilevel"/>
    <w:tmpl w:val="E6FE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2C6A90"/>
    <w:multiLevelType w:val="hybridMultilevel"/>
    <w:tmpl w:val="CB145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0A3EE4"/>
    <w:multiLevelType w:val="hybridMultilevel"/>
    <w:tmpl w:val="AFCC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F9B2F52"/>
    <w:multiLevelType w:val="hybridMultilevel"/>
    <w:tmpl w:val="42C86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FA7B49"/>
    <w:multiLevelType w:val="hybridMultilevel"/>
    <w:tmpl w:val="EA5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615F29"/>
    <w:multiLevelType w:val="hybridMultilevel"/>
    <w:tmpl w:val="1E5291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510B4CC8"/>
    <w:multiLevelType w:val="hybridMultilevel"/>
    <w:tmpl w:val="DC2641A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523C177A"/>
    <w:multiLevelType w:val="multilevel"/>
    <w:tmpl w:val="3118C848"/>
    <w:styleLink w:val="TfGMList"/>
    <w:lvl w:ilvl="0">
      <w:start w:val="1"/>
      <w:numFmt w:val="decimal"/>
      <w:pStyle w:val="1TfGMHeading1"/>
      <w:lvlText w:val="%1"/>
      <w:lvlJc w:val="left"/>
      <w:pPr>
        <w:ind w:left="851" w:hanging="851"/>
      </w:pPr>
      <w:rPr>
        <w:rFonts w:ascii="Calibri" w:hAnsi="Calibri" w:hint="default"/>
        <w:b/>
        <w:sz w:val="26"/>
      </w:rPr>
    </w:lvl>
    <w:lvl w:ilvl="1">
      <w:start w:val="1"/>
      <w:numFmt w:val="decimal"/>
      <w:pStyle w:val="2TfGMHeading2"/>
      <w:lvlText w:val="%1.%2"/>
      <w:lvlJc w:val="left"/>
      <w:pPr>
        <w:ind w:left="851"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567"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59" w15:restartNumberingAfterBreak="0">
    <w:nsid w:val="52BF1FA8"/>
    <w:multiLevelType w:val="hybridMultilevel"/>
    <w:tmpl w:val="70C81F1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541A233A"/>
    <w:multiLevelType w:val="hybridMultilevel"/>
    <w:tmpl w:val="29C83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561D49"/>
    <w:multiLevelType w:val="hybridMultilevel"/>
    <w:tmpl w:val="3384C0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48E1566"/>
    <w:multiLevelType w:val="hybridMultilevel"/>
    <w:tmpl w:val="3F04F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57402A4"/>
    <w:multiLevelType w:val="hybridMultilevel"/>
    <w:tmpl w:val="0C1033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56734E93"/>
    <w:multiLevelType w:val="hybridMultilevel"/>
    <w:tmpl w:val="E5220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0E73FA"/>
    <w:multiLevelType w:val="hybridMultilevel"/>
    <w:tmpl w:val="3536E8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7231BD1"/>
    <w:multiLevelType w:val="hybridMultilevel"/>
    <w:tmpl w:val="9C866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8255EE8"/>
    <w:multiLevelType w:val="hybridMultilevel"/>
    <w:tmpl w:val="5964C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97067DE"/>
    <w:multiLevelType w:val="hybridMultilevel"/>
    <w:tmpl w:val="E28A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C590D02"/>
    <w:multiLevelType w:val="hybridMultilevel"/>
    <w:tmpl w:val="D20A75F4"/>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60100F3E"/>
    <w:multiLevelType w:val="hybridMultilevel"/>
    <w:tmpl w:val="09CEA76E"/>
    <w:lvl w:ilvl="0" w:tplc="53F2F22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23F4963"/>
    <w:multiLevelType w:val="hybridMultilevel"/>
    <w:tmpl w:val="FFFFFFFF"/>
    <w:styleLink w:val="ImportedStyle16"/>
    <w:lvl w:ilvl="0" w:tplc="2FECF79E">
      <w:start w:val="1"/>
      <w:numFmt w:val="bullet"/>
      <w:lvlText w:val="•"/>
      <w:lvlJc w:val="left"/>
      <w:pPr>
        <w:ind w:left="360"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99E51AA">
      <w:start w:val="1"/>
      <w:numFmt w:val="bullet"/>
      <w:lvlText w:val="o"/>
      <w:lvlJc w:val="left"/>
      <w:pPr>
        <w:ind w:left="108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B680F8C">
      <w:start w:val="1"/>
      <w:numFmt w:val="bullet"/>
      <w:lvlText w:val="▪"/>
      <w:lvlJc w:val="left"/>
      <w:pPr>
        <w:ind w:left="180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922BA6A">
      <w:start w:val="1"/>
      <w:numFmt w:val="bullet"/>
      <w:lvlText w:val="▪"/>
      <w:lvlJc w:val="left"/>
      <w:pPr>
        <w:ind w:left="252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1C2A65A">
      <w:start w:val="1"/>
      <w:numFmt w:val="bullet"/>
      <w:lvlText w:val="▪"/>
      <w:lvlJc w:val="left"/>
      <w:pPr>
        <w:ind w:left="324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CF264BE">
      <w:start w:val="1"/>
      <w:numFmt w:val="bullet"/>
      <w:lvlText w:val="▪"/>
      <w:lvlJc w:val="left"/>
      <w:pPr>
        <w:ind w:left="396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1E2B132">
      <w:start w:val="1"/>
      <w:numFmt w:val="bullet"/>
      <w:lvlText w:val="▪"/>
      <w:lvlJc w:val="left"/>
      <w:pPr>
        <w:ind w:left="468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C7C1D14">
      <w:start w:val="1"/>
      <w:numFmt w:val="bullet"/>
      <w:lvlText w:val="▪"/>
      <w:lvlJc w:val="left"/>
      <w:pPr>
        <w:ind w:left="540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93A4148">
      <w:start w:val="1"/>
      <w:numFmt w:val="bullet"/>
      <w:lvlText w:val="▪"/>
      <w:lvlJc w:val="left"/>
      <w:pPr>
        <w:ind w:left="612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62983619"/>
    <w:multiLevelType w:val="hybridMultilevel"/>
    <w:tmpl w:val="4AA6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823C14"/>
    <w:multiLevelType w:val="hybridMultilevel"/>
    <w:tmpl w:val="574A2A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7B97FF5"/>
    <w:multiLevelType w:val="hybridMultilevel"/>
    <w:tmpl w:val="CC04319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6A3F3054"/>
    <w:multiLevelType w:val="hybridMultilevel"/>
    <w:tmpl w:val="7A5A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B915FF6"/>
    <w:multiLevelType w:val="hybridMultilevel"/>
    <w:tmpl w:val="4EDCC50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C92631F"/>
    <w:multiLevelType w:val="hybridMultilevel"/>
    <w:tmpl w:val="CAC46C68"/>
    <w:lvl w:ilvl="0" w:tplc="5FB417A4">
      <w:start w:val="1"/>
      <w:numFmt w:val="decimal"/>
      <w:pStyle w:val="Heading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CC80F1E"/>
    <w:multiLevelType w:val="hybridMultilevel"/>
    <w:tmpl w:val="5956C30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9" w15:restartNumberingAfterBreak="0">
    <w:nsid w:val="6E25510F"/>
    <w:multiLevelType w:val="hybridMultilevel"/>
    <w:tmpl w:val="B0C61706"/>
    <w:lvl w:ilvl="0" w:tplc="84C84F1E">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72922033"/>
    <w:multiLevelType w:val="hybridMultilevel"/>
    <w:tmpl w:val="DFAED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873666"/>
    <w:multiLevelType w:val="hybridMultilevel"/>
    <w:tmpl w:val="3BB0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187C34"/>
    <w:multiLevelType w:val="hybridMultilevel"/>
    <w:tmpl w:val="A782B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7A1A0960"/>
    <w:multiLevelType w:val="multilevel"/>
    <w:tmpl w:val="8CA0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A7649CB"/>
    <w:multiLevelType w:val="hybridMultilevel"/>
    <w:tmpl w:val="8C922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DAC7436"/>
    <w:multiLevelType w:val="hybridMultilevel"/>
    <w:tmpl w:val="282EF5B0"/>
    <w:lvl w:ilvl="0" w:tplc="08090001">
      <w:start w:val="1"/>
      <w:numFmt w:val="bullet"/>
      <w:lvlText w:val=""/>
      <w:lvlJc w:val="left"/>
      <w:pPr>
        <w:ind w:left="1211" w:hanging="360"/>
      </w:pPr>
      <w:rPr>
        <w:rFonts w:ascii="Symbol" w:hAnsi="Symbol" w:hint="default"/>
      </w:rPr>
    </w:lvl>
    <w:lvl w:ilvl="1" w:tplc="08090001">
      <w:start w:val="1"/>
      <w:numFmt w:val="bullet"/>
      <w:lvlText w:val=""/>
      <w:lvlJc w:val="left"/>
      <w:pPr>
        <w:ind w:left="2171" w:hanging="600"/>
      </w:pPr>
      <w:rPr>
        <w:rFonts w:ascii="Symbol" w:hAnsi="Symbol"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6" w15:restartNumberingAfterBreak="0">
    <w:nsid w:val="7DC005E7"/>
    <w:multiLevelType w:val="hybridMultilevel"/>
    <w:tmpl w:val="5B5E959C"/>
    <w:lvl w:ilvl="0" w:tplc="D3CAA47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9712071">
    <w:abstractNumId w:val="61"/>
  </w:num>
  <w:num w:numId="2" w16cid:durableId="377053215">
    <w:abstractNumId w:val="30"/>
  </w:num>
  <w:num w:numId="3" w16cid:durableId="2139570541">
    <w:abstractNumId w:val="50"/>
  </w:num>
  <w:num w:numId="4" w16cid:durableId="451483274">
    <w:abstractNumId w:val="73"/>
  </w:num>
  <w:num w:numId="5" w16cid:durableId="1142890935">
    <w:abstractNumId w:val="47"/>
  </w:num>
  <w:num w:numId="6" w16cid:durableId="820853645">
    <w:abstractNumId w:val="71"/>
  </w:num>
  <w:num w:numId="7" w16cid:durableId="53237741">
    <w:abstractNumId w:val="23"/>
  </w:num>
  <w:num w:numId="8" w16cid:durableId="198472768">
    <w:abstractNumId w:val="14"/>
  </w:num>
  <w:num w:numId="9" w16cid:durableId="87502297">
    <w:abstractNumId w:val="74"/>
  </w:num>
  <w:num w:numId="10" w16cid:durableId="701590638">
    <w:abstractNumId w:val="36"/>
  </w:num>
  <w:num w:numId="11" w16cid:durableId="1414552142">
    <w:abstractNumId w:val="68"/>
  </w:num>
  <w:num w:numId="12" w16cid:durableId="1159879896">
    <w:abstractNumId w:val="53"/>
  </w:num>
  <w:num w:numId="13" w16cid:durableId="965618357">
    <w:abstractNumId w:val="62"/>
  </w:num>
  <w:num w:numId="14" w16cid:durableId="940796510">
    <w:abstractNumId w:val="33"/>
  </w:num>
  <w:num w:numId="15" w16cid:durableId="1749495192">
    <w:abstractNumId w:val="38"/>
  </w:num>
  <w:num w:numId="16" w16cid:durableId="370034002">
    <w:abstractNumId w:val="67"/>
  </w:num>
  <w:num w:numId="17" w16cid:durableId="118501280">
    <w:abstractNumId w:val="20"/>
  </w:num>
  <w:num w:numId="18" w16cid:durableId="122969418">
    <w:abstractNumId w:val="1"/>
  </w:num>
  <w:num w:numId="19" w16cid:durableId="633098913">
    <w:abstractNumId w:val="2"/>
  </w:num>
  <w:num w:numId="20" w16cid:durableId="2076973928">
    <w:abstractNumId w:val="3"/>
  </w:num>
  <w:num w:numId="21" w16cid:durableId="1490948680">
    <w:abstractNumId w:val="4"/>
  </w:num>
  <w:num w:numId="22" w16cid:durableId="1480611947">
    <w:abstractNumId w:val="5"/>
  </w:num>
  <w:num w:numId="23" w16cid:durableId="124588706">
    <w:abstractNumId w:val="6"/>
  </w:num>
  <w:num w:numId="24" w16cid:durableId="1657996993">
    <w:abstractNumId w:val="7"/>
  </w:num>
  <w:num w:numId="25" w16cid:durableId="764619599">
    <w:abstractNumId w:val="8"/>
  </w:num>
  <w:num w:numId="26" w16cid:durableId="1128860632">
    <w:abstractNumId w:val="9"/>
  </w:num>
  <w:num w:numId="27" w16cid:durableId="157310983">
    <w:abstractNumId w:val="10"/>
  </w:num>
  <w:num w:numId="28" w16cid:durableId="54359645">
    <w:abstractNumId w:val="22"/>
  </w:num>
  <w:num w:numId="29" w16cid:durableId="1753354439">
    <w:abstractNumId w:val="17"/>
  </w:num>
  <w:num w:numId="30" w16cid:durableId="1060832575">
    <w:abstractNumId w:val="60"/>
  </w:num>
  <w:num w:numId="31" w16cid:durableId="2091003600">
    <w:abstractNumId w:val="18"/>
  </w:num>
  <w:num w:numId="32" w16cid:durableId="1349914591">
    <w:abstractNumId w:val="66"/>
  </w:num>
  <w:num w:numId="33" w16cid:durableId="875384531">
    <w:abstractNumId w:val="19"/>
  </w:num>
  <w:num w:numId="34" w16cid:durableId="1225069312">
    <w:abstractNumId w:val="76"/>
  </w:num>
  <w:num w:numId="35" w16cid:durableId="2062631676">
    <w:abstractNumId w:val="31"/>
  </w:num>
  <w:num w:numId="36" w16cid:durableId="775829382">
    <w:abstractNumId w:val="28"/>
  </w:num>
  <w:num w:numId="37" w16cid:durableId="318461927">
    <w:abstractNumId w:val="49"/>
  </w:num>
  <w:num w:numId="38" w16cid:durableId="364914551">
    <w:abstractNumId w:val="25"/>
  </w:num>
  <w:num w:numId="39" w16cid:durableId="1959406298">
    <w:abstractNumId w:val="16"/>
  </w:num>
  <w:num w:numId="40" w16cid:durableId="2083331569">
    <w:abstractNumId w:val="39"/>
  </w:num>
  <w:num w:numId="41" w16cid:durableId="229001940">
    <w:abstractNumId w:val="0"/>
  </w:num>
  <w:num w:numId="42" w16cid:durableId="216598392">
    <w:abstractNumId w:val="64"/>
  </w:num>
  <w:num w:numId="43" w16cid:durableId="340813562">
    <w:abstractNumId w:val="82"/>
  </w:num>
  <w:num w:numId="44" w16cid:durableId="1053039127">
    <w:abstractNumId w:val="85"/>
  </w:num>
  <w:num w:numId="45" w16cid:durableId="624852635">
    <w:abstractNumId w:val="43"/>
  </w:num>
  <w:num w:numId="46" w16cid:durableId="453064024">
    <w:abstractNumId w:val="35"/>
  </w:num>
  <w:num w:numId="47" w16cid:durableId="682167400">
    <w:abstractNumId w:val="77"/>
  </w:num>
  <w:num w:numId="48" w16cid:durableId="2095323221">
    <w:abstractNumId w:val="40"/>
  </w:num>
  <w:num w:numId="49" w16cid:durableId="1642464541">
    <w:abstractNumId w:val="34"/>
  </w:num>
  <w:num w:numId="50" w16cid:durableId="963804502">
    <w:abstractNumId w:val="58"/>
  </w:num>
  <w:num w:numId="51" w16cid:durableId="226190706">
    <w:abstractNumId w:val="32"/>
    <w:lvlOverride w:ilvl="0">
      <w:lvl w:ilvl="0">
        <w:start w:val="1"/>
        <w:numFmt w:val="decimal"/>
        <w:pStyle w:val="1TfGMHeading1"/>
        <w:lvlText w:val="%1"/>
        <w:lvlJc w:val="left"/>
        <w:pPr>
          <w:ind w:left="851" w:hanging="851"/>
        </w:pPr>
        <w:rPr>
          <w:rFonts w:ascii="Calibri" w:hAnsi="Calibri" w:hint="default"/>
          <w:b/>
          <w:sz w:val="20"/>
        </w:rPr>
      </w:lvl>
    </w:lvlOverride>
    <w:lvlOverride w:ilvl="1">
      <w:lvl w:ilvl="1">
        <w:start w:val="1"/>
        <w:numFmt w:val="decimal"/>
        <w:pStyle w:val="2TfGMHeading2"/>
        <w:lvlText w:val="%1.%2"/>
        <w:lvlJc w:val="left"/>
        <w:pPr>
          <w:ind w:left="851" w:hanging="851"/>
        </w:pPr>
        <w:rPr>
          <w:rFonts w:ascii="Calibri" w:hAnsi="Calibri" w:hint="default"/>
          <w:sz w:val="20"/>
        </w:rPr>
      </w:lvl>
    </w:lvlOverride>
    <w:lvlOverride w:ilvl="2">
      <w:lvl w:ilvl="2">
        <w:start w:val="1"/>
        <w:numFmt w:val="decimal"/>
        <w:pStyle w:val="3TfGMHeading3"/>
        <w:lvlText w:val="%1.%2.%3"/>
        <w:lvlJc w:val="left"/>
        <w:pPr>
          <w:ind w:left="851" w:hanging="851"/>
        </w:pPr>
        <w:rPr>
          <w:rFonts w:ascii="Calibri" w:hAnsi="Calibri" w:hint="default"/>
          <w:sz w:val="26"/>
        </w:rPr>
      </w:lvl>
    </w:lvlOverride>
    <w:lvlOverride w:ilvl="3">
      <w:lvl w:ilvl="3">
        <w:start w:val="1"/>
        <w:numFmt w:val="bullet"/>
        <w:pStyle w:val="4TfGMBullet1"/>
        <w:lvlText w:val=""/>
        <w:lvlJc w:val="left"/>
        <w:pPr>
          <w:ind w:left="567" w:firstLine="510"/>
        </w:pPr>
        <w:rPr>
          <w:rFonts w:ascii="Symbol" w:hAnsi="Symbol" w:hint="default"/>
          <w:color w:val="auto"/>
          <w:sz w:val="26"/>
        </w:rPr>
      </w:lvl>
    </w:lvlOverride>
    <w:lvlOverride w:ilvl="4">
      <w:lvl w:ilvl="4">
        <w:start w:val="1"/>
        <w:numFmt w:val="bullet"/>
        <w:pStyle w:val="5TfGMBullet2"/>
        <w:lvlText w:val=""/>
        <w:lvlJc w:val="left"/>
        <w:pPr>
          <w:ind w:left="567" w:firstLine="851"/>
        </w:pPr>
        <w:rPr>
          <w:rFonts w:ascii="Symbol" w:hAnsi="Symbol" w:hint="default"/>
          <w:sz w:val="26"/>
        </w:rPr>
      </w:lvl>
    </w:lvlOverride>
    <w:lvlOverride w:ilvl="5">
      <w:lvl w:ilvl="5">
        <w:start w:val="1"/>
        <w:numFmt w:val="lowerRoman"/>
        <w:pStyle w:val="6TfGMRecommendations"/>
        <w:lvlText w:val="%6)"/>
        <w:lvlJc w:val="left"/>
        <w:pPr>
          <w:ind w:left="567" w:firstLine="510"/>
        </w:pPr>
        <w:rPr>
          <w:rFonts w:ascii="Calibri" w:hAnsi="Calibri" w:hint="default"/>
          <w:sz w:val="26"/>
        </w:rPr>
      </w:lvl>
    </w:lvlOverride>
    <w:lvlOverride w:ilvl="6">
      <w:lvl w:ilvl="6">
        <w:start w:val="1"/>
        <w:numFmt w:val="none"/>
        <w:lvlText w:val=""/>
        <w:lvlJc w:val="left"/>
        <w:pPr>
          <w:ind w:left="851" w:firstLine="31918"/>
        </w:pPr>
        <w:rPr>
          <w:rFonts w:ascii="Calibri" w:hAnsi="Calibri" w:hint="default"/>
          <w:sz w:val="26"/>
        </w:rPr>
      </w:lvl>
    </w:lvlOverride>
    <w:lvlOverride w:ilvl="7">
      <w:lvl w:ilvl="7">
        <w:start w:val="1"/>
        <w:numFmt w:val="lowerLetter"/>
        <w:lvlText w:val="%8."/>
        <w:lvlJc w:val="left"/>
        <w:pPr>
          <w:ind w:left="12960" w:hanging="360"/>
        </w:pPr>
        <w:rPr>
          <w:rFonts w:hint="default"/>
        </w:rPr>
      </w:lvl>
    </w:lvlOverride>
    <w:lvlOverride w:ilvl="8">
      <w:lvl w:ilvl="8">
        <w:start w:val="1"/>
        <w:numFmt w:val="lowerRoman"/>
        <w:lvlText w:val="%9."/>
        <w:lvlJc w:val="left"/>
        <w:pPr>
          <w:ind w:left="13320" w:hanging="360"/>
        </w:pPr>
        <w:rPr>
          <w:rFonts w:hint="default"/>
        </w:rPr>
      </w:lvl>
    </w:lvlOverride>
  </w:num>
  <w:num w:numId="52" w16cid:durableId="956452335">
    <w:abstractNumId w:val="15"/>
  </w:num>
  <w:num w:numId="53" w16cid:durableId="788398735">
    <w:abstractNumId w:val="56"/>
  </w:num>
  <w:num w:numId="54" w16cid:durableId="1082994181">
    <w:abstractNumId w:val="70"/>
  </w:num>
  <w:num w:numId="55" w16cid:durableId="1215432743">
    <w:abstractNumId w:val="69"/>
  </w:num>
  <w:num w:numId="56" w16cid:durableId="1001395988">
    <w:abstractNumId w:val="11"/>
  </w:num>
  <w:num w:numId="57" w16cid:durableId="112136868">
    <w:abstractNumId w:val="12"/>
  </w:num>
  <w:num w:numId="58" w16cid:durableId="1089813714">
    <w:abstractNumId w:val="46"/>
  </w:num>
  <w:num w:numId="59" w16cid:durableId="393552062">
    <w:abstractNumId w:val="78"/>
  </w:num>
  <w:num w:numId="60" w16cid:durableId="1549956477">
    <w:abstractNumId w:val="26"/>
  </w:num>
  <w:num w:numId="61" w16cid:durableId="359210294">
    <w:abstractNumId w:val="83"/>
  </w:num>
  <w:num w:numId="62" w16cid:durableId="1331371766">
    <w:abstractNumId w:val="54"/>
  </w:num>
  <w:num w:numId="63" w16cid:durableId="52514033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51344582">
    <w:abstractNumId w:val="51"/>
  </w:num>
  <w:num w:numId="65" w16cid:durableId="901401982">
    <w:abstractNumId w:val="79"/>
  </w:num>
  <w:num w:numId="66" w16cid:durableId="321541756">
    <w:abstractNumId w:val="86"/>
  </w:num>
  <w:num w:numId="67" w16cid:durableId="181752302">
    <w:abstractNumId w:val="57"/>
  </w:num>
  <w:num w:numId="68" w16cid:durableId="1860393587">
    <w:abstractNumId w:val="42"/>
  </w:num>
  <w:num w:numId="69" w16cid:durableId="2022585481">
    <w:abstractNumId w:val="45"/>
  </w:num>
  <w:num w:numId="70" w16cid:durableId="1788238379">
    <w:abstractNumId w:val="29"/>
  </w:num>
  <w:num w:numId="71" w16cid:durableId="1916278809">
    <w:abstractNumId w:val="27"/>
  </w:num>
  <w:num w:numId="72" w16cid:durableId="563183501">
    <w:abstractNumId w:val="72"/>
  </w:num>
  <w:num w:numId="73" w16cid:durableId="698509146">
    <w:abstractNumId w:val="81"/>
  </w:num>
  <w:num w:numId="74" w16cid:durableId="1079790269">
    <w:abstractNumId w:val="52"/>
  </w:num>
  <w:num w:numId="75" w16cid:durableId="85729908">
    <w:abstractNumId w:val="24"/>
  </w:num>
  <w:num w:numId="76" w16cid:durableId="153180819">
    <w:abstractNumId w:val="65"/>
  </w:num>
  <w:num w:numId="77" w16cid:durableId="238758054">
    <w:abstractNumId w:val="13"/>
  </w:num>
  <w:num w:numId="78" w16cid:durableId="840774208">
    <w:abstractNumId w:val="80"/>
  </w:num>
  <w:num w:numId="79" w16cid:durableId="1882597565">
    <w:abstractNumId w:val="21"/>
  </w:num>
  <w:num w:numId="80" w16cid:durableId="350033793">
    <w:abstractNumId w:val="55"/>
  </w:num>
  <w:num w:numId="81" w16cid:durableId="1979411790">
    <w:abstractNumId w:val="41"/>
  </w:num>
  <w:num w:numId="82" w16cid:durableId="75381536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30691430">
    <w:abstractNumId w:val="44"/>
  </w:num>
  <w:num w:numId="84" w16cid:durableId="1238591081">
    <w:abstractNumId w:val="37"/>
  </w:num>
  <w:num w:numId="85" w16cid:durableId="915818360">
    <w:abstractNumId w:val="75"/>
  </w:num>
  <w:num w:numId="86" w16cid:durableId="2029478495">
    <w:abstractNumId w:val="48"/>
  </w:num>
  <w:num w:numId="87" w16cid:durableId="195386770">
    <w:abstractNumId w:val="84"/>
  </w:num>
  <w:num w:numId="88" w16cid:durableId="756246172">
    <w:abstractNumId w:val="6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300"/>
    <w:rsid w:val="000008C1"/>
    <w:rsid w:val="00001147"/>
    <w:rsid w:val="000014B1"/>
    <w:rsid w:val="00002622"/>
    <w:rsid w:val="000026DC"/>
    <w:rsid w:val="00002D6A"/>
    <w:rsid w:val="00003377"/>
    <w:rsid w:val="000037B3"/>
    <w:rsid w:val="00003CD3"/>
    <w:rsid w:val="00003F30"/>
    <w:rsid w:val="00006751"/>
    <w:rsid w:val="00006ADD"/>
    <w:rsid w:val="00006FCC"/>
    <w:rsid w:val="000071D7"/>
    <w:rsid w:val="00007437"/>
    <w:rsid w:val="000100D5"/>
    <w:rsid w:val="0001019F"/>
    <w:rsid w:val="00010401"/>
    <w:rsid w:val="000113E7"/>
    <w:rsid w:val="0001170B"/>
    <w:rsid w:val="000121F2"/>
    <w:rsid w:val="000140CC"/>
    <w:rsid w:val="00014212"/>
    <w:rsid w:val="000148D8"/>
    <w:rsid w:val="00014DE7"/>
    <w:rsid w:val="000162E7"/>
    <w:rsid w:val="00016686"/>
    <w:rsid w:val="00016C24"/>
    <w:rsid w:val="00020DA9"/>
    <w:rsid w:val="0002190C"/>
    <w:rsid w:val="00021D5A"/>
    <w:rsid w:val="0002416A"/>
    <w:rsid w:val="0002432F"/>
    <w:rsid w:val="000254B5"/>
    <w:rsid w:val="00025CB7"/>
    <w:rsid w:val="00026E51"/>
    <w:rsid w:val="00027BE1"/>
    <w:rsid w:val="00027C2E"/>
    <w:rsid w:val="00027EC2"/>
    <w:rsid w:val="00027F3A"/>
    <w:rsid w:val="00030B86"/>
    <w:rsid w:val="00030CA2"/>
    <w:rsid w:val="00031A22"/>
    <w:rsid w:val="00031D06"/>
    <w:rsid w:val="000329D6"/>
    <w:rsid w:val="00032DA3"/>
    <w:rsid w:val="00032ED6"/>
    <w:rsid w:val="0003428E"/>
    <w:rsid w:val="0003456C"/>
    <w:rsid w:val="000378D5"/>
    <w:rsid w:val="00040A1A"/>
    <w:rsid w:val="00041DAE"/>
    <w:rsid w:val="00043063"/>
    <w:rsid w:val="00044067"/>
    <w:rsid w:val="000442D5"/>
    <w:rsid w:val="000451CA"/>
    <w:rsid w:val="00045882"/>
    <w:rsid w:val="00046148"/>
    <w:rsid w:val="00050D41"/>
    <w:rsid w:val="00050D81"/>
    <w:rsid w:val="00050EC4"/>
    <w:rsid w:val="000525BE"/>
    <w:rsid w:val="00052C64"/>
    <w:rsid w:val="00052C74"/>
    <w:rsid w:val="0005360C"/>
    <w:rsid w:val="00053A7C"/>
    <w:rsid w:val="00053E1A"/>
    <w:rsid w:val="000560AF"/>
    <w:rsid w:val="00057EEC"/>
    <w:rsid w:val="0006241B"/>
    <w:rsid w:val="00062B2C"/>
    <w:rsid w:val="0006366E"/>
    <w:rsid w:val="00064376"/>
    <w:rsid w:val="0006490A"/>
    <w:rsid w:val="0006524E"/>
    <w:rsid w:val="0006685C"/>
    <w:rsid w:val="00067560"/>
    <w:rsid w:val="000713CE"/>
    <w:rsid w:val="0007272A"/>
    <w:rsid w:val="00072FCF"/>
    <w:rsid w:val="000731D7"/>
    <w:rsid w:val="00073770"/>
    <w:rsid w:val="0007382A"/>
    <w:rsid w:val="00073BDC"/>
    <w:rsid w:val="00073E55"/>
    <w:rsid w:val="00073FBD"/>
    <w:rsid w:val="000740BC"/>
    <w:rsid w:val="0007442E"/>
    <w:rsid w:val="00074FAB"/>
    <w:rsid w:val="00075218"/>
    <w:rsid w:val="0007558E"/>
    <w:rsid w:val="0007572B"/>
    <w:rsid w:val="000767D4"/>
    <w:rsid w:val="000767F9"/>
    <w:rsid w:val="00076DF7"/>
    <w:rsid w:val="00077DB3"/>
    <w:rsid w:val="00080228"/>
    <w:rsid w:val="000805FA"/>
    <w:rsid w:val="000811AC"/>
    <w:rsid w:val="00081545"/>
    <w:rsid w:val="00081DA7"/>
    <w:rsid w:val="00081F87"/>
    <w:rsid w:val="00082940"/>
    <w:rsid w:val="00084130"/>
    <w:rsid w:val="00084476"/>
    <w:rsid w:val="00084BB4"/>
    <w:rsid w:val="00085C04"/>
    <w:rsid w:val="00085FBD"/>
    <w:rsid w:val="00086043"/>
    <w:rsid w:val="00086FA1"/>
    <w:rsid w:val="000874EF"/>
    <w:rsid w:val="00090E63"/>
    <w:rsid w:val="000915B2"/>
    <w:rsid w:val="00092735"/>
    <w:rsid w:val="00093337"/>
    <w:rsid w:val="00093A5F"/>
    <w:rsid w:val="000945A1"/>
    <w:rsid w:val="0009565D"/>
    <w:rsid w:val="00095C18"/>
    <w:rsid w:val="000960E1"/>
    <w:rsid w:val="000963D2"/>
    <w:rsid w:val="000A0695"/>
    <w:rsid w:val="000A0F4F"/>
    <w:rsid w:val="000A258D"/>
    <w:rsid w:val="000A2EDF"/>
    <w:rsid w:val="000A630A"/>
    <w:rsid w:val="000A68A4"/>
    <w:rsid w:val="000A7AB6"/>
    <w:rsid w:val="000B14D0"/>
    <w:rsid w:val="000B1D0E"/>
    <w:rsid w:val="000B247E"/>
    <w:rsid w:val="000B3072"/>
    <w:rsid w:val="000B32B0"/>
    <w:rsid w:val="000B3FD2"/>
    <w:rsid w:val="000B4A7E"/>
    <w:rsid w:val="000B5A53"/>
    <w:rsid w:val="000B67F1"/>
    <w:rsid w:val="000B6E49"/>
    <w:rsid w:val="000B7486"/>
    <w:rsid w:val="000B7B21"/>
    <w:rsid w:val="000C0ECB"/>
    <w:rsid w:val="000C19CD"/>
    <w:rsid w:val="000C19F2"/>
    <w:rsid w:val="000C230B"/>
    <w:rsid w:val="000C2400"/>
    <w:rsid w:val="000C2D30"/>
    <w:rsid w:val="000C2F94"/>
    <w:rsid w:val="000C364F"/>
    <w:rsid w:val="000C3CF7"/>
    <w:rsid w:val="000C4B28"/>
    <w:rsid w:val="000C5F4E"/>
    <w:rsid w:val="000C6B2A"/>
    <w:rsid w:val="000C7D8A"/>
    <w:rsid w:val="000D11BC"/>
    <w:rsid w:val="000D1AD1"/>
    <w:rsid w:val="000D1F38"/>
    <w:rsid w:val="000D3116"/>
    <w:rsid w:val="000D4E56"/>
    <w:rsid w:val="000D5882"/>
    <w:rsid w:val="000D6A7A"/>
    <w:rsid w:val="000E09F5"/>
    <w:rsid w:val="000E0AE8"/>
    <w:rsid w:val="000E15E4"/>
    <w:rsid w:val="000E18CB"/>
    <w:rsid w:val="000E1954"/>
    <w:rsid w:val="000E2349"/>
    <w:rsid w:val="000E2A08"/>
    <w:rsid w:val="000E46C3"/>
    <w:rsid w:val="000E4A9D"/>
    <w:rsid w:val="000E5109"/>
    <w:rsid w:val="000E5378"/>
    <w:rsid w:val="000E5AD6"/>
    <w:rsid w:val="000E706D"/>
    <w:rsid w:val="000E7CD3"/>
    <w:rsid w:val="000E7DA0"/>
    <w:rsid w:val="000E7F37"/>
    <w:rsid w:val="000F0CEB"/>
    <w:rsid w:val="000F1EB5"/>
    <w:rsid w:val="000F2BC6"/>
    <w:rsid w:val="000F2D9A"/>
    <w:rsid w:val="000F3752"/>
    <w:rsid w:val="000F4716"/>
    <w:rsid w:val="000F48B9"/>
    <w:rsid w:val="000F6434"/>
    <w:rsid w:val="000F64EB"/>
    <w:rsid w:val="00100674"/>
    <w:rsid w:val="00100C95"/>
    <w:rsid w:val="001026CC"/>
    <w:rsid w:val="00102E58"/>
    <w:rsid w:val="00103DD7"/>
    <w:rsid w:val="00105404"/>
    <w:rsid w:val="001056D1"/>
    <w:rsid w:val="00106061"/>
    <w:rsid w:val="00106B37"/>
    <w:rsid w:val="0010757F"/>
    <w:rsid w:val="0010781E"/>
    <w:rsid w:val="00110ACA"/>
    <w:rsid w:val="00112F30"/>
    <w:rsid w:val="00112F51"/>
    <w:rsid w:val="001131BA"/>
    <w:rsid w:val="00114815"/>
    <w:rsid w:val="00114BDA"/>
    <w:rsid w:val="00114D57"/>
    <w:rsid w:val="00115670"/>
    <w:rsid w:val="00115DCD"/>
    <w:rsid w:val="001162A2"/>
    <w:rsid w:val="0012135A"/>
    <w:rsid w:val="0012253E"/>
    <w:rsid w:val="00122A4E"/>
    <w:rsid w:val="00122CC1"/>
    <w:rsid w:val="00122CC7"/>
    <w:rsid w:val="00122ECC"/>
    <w:rsid w:val="00123598"/>
    <w:rsid w:val="00123CF2"/>
    <w:rsid w:val="00123DA1"/>
    <w:rsid w:val="00123E80"/>
    <w:rsid w:val="00124E12"/>
    <w:rsid w:val="00125398"/>
    <w:rsid w:val="00126747"/>
    <w:rsid w:val="001267EE"/>
    <w:rsid w:val="00126B18"/>
    <w:rsid w:val="00126BFE"/>
    <w:rsid w:val="00127201"/>
    <w:rsid w:val="00130913"/>
    <w:rsid w:val="00130F88"/>
    <w:rsid w:val="00131BA5"/>
    <w:rsid w:val="00131DE6"/>
    <w:rsid w:val="00131FED"/>
    <w:rsid w:val="00133E33"/>
    <w:rsid w:val="00135610"/>
    <w:rsid w:val="00135E29"/>
    <w:rsid w:val="00136014"/>
    <w:rsid w:val="0013619D"/>
    <w:rsid w:val="001366B9"/>
    <w:rsid w:val="00137D04"/>
    <w:rsid w:val="001416DC"/>
    <w:rsid w:val="0014202A"/>
    <w:rsid w:val="00142A03"/>
    <w:rsid w:val="00144400"/>
    <w:rsid w:val="001446CC"/>
    <w:rsid w:val="00144BB8"/>
    <w:rsid w:val="00144C23"/>
    <w:rsid w:val="00144E9F"/>
    <w:rsid w:val="001456FE"/>
    <w:rsid w:val="00145C13"/>
    <w:rsid w:val="001468DD"/>
    <w:rsid w:val="0014763F"/>
    <w:rsid w:val="00147906"/>
    <w:rsid w:val="00150CDE"/>
    <w:rsid w:val="00150E0B"/>
    <w:rsid w:val="001513E1"/>
    <w:rsid w:val="001513F6"/>
    <w:rsid w:val="0015228D"/>
    <w:rsid w:val="00152326"/>
    <w:rsid w:val="00152412"/>
    <w:rsid w:val="00152638"/>
    <w:rsid w:val="0015309F"/>
    <w:rsid w:val="00153EF1"/>
    <w:rsid w:val="00154EDF"/>
    <w:rsid w:val="001557D9"/>
    <w:rsid w:val="0015682A"/>
    <w:rsid w:val="00156EAA"/>
    <w:rsid w:val="00160771"/>
    <w:rsid w:val="00160785"/>
    <w:rsid w:val="00161AD9"/>
    <w:rsid w:val="001628C2"/>
    <w:rsid w:val="00163E12"/>
    <w:rsid w:val="001649F6"/>
    <w:rsid w:val="00164A5F"/>
    <w:rsid w:val="00165CEE"/>
    <w:rsid w:val="00166F8F"/>
    <w:rsid w:val="00170115"/>
    <w:rsid w:val="0017061D"/>
    <w:rsid w:val="00171330"/>
    <w:rsid w:val="00171DAF"/>
    <w:rsid w:val="0017271E"/>
    <w:rsid w:val="00173546"/>
    <w:rsid w:val="00176124"/>
    <w:rsid w:val="00176317"/>
    <w:rsid w:val="0017725A"/>
    <w:rsid w:val="0017778E"/>
    <w:rsid w:val="00180CC0"/>
    <w:rsid w:val="00181143"/>
    <w:rsid w:val="001819D9"/>
    <w:rsid w:val="00181A50"/>
    <w:rsid w:val="00182284"/>
    <w:rsid w:val="00182392"/>
    <w:rsid w:val="0018253E"/>
    <w:rsid w:val="001826CE"/>
    <w:rsid w:val="001838A2"/>
    <w:rsid w:val="00184362"/>
    <w:rsid w:val="001859D8"/>
    <w:rsid w:val="00186278"/>
    <w:rsid w:val="001867BA"/>
    <w:rsid w:val="00186C02"/>
    <w:rsid w:val="001876BD"/>
    <w:rsid w:val="00187C9F"/>
    <w:rsid w:val="001901D8"/>
    <w:rsid w:val="00190FF1"/>
    <w:rsid w:val="00191294"/>
    <w:rsid w:val="0019189C"/>
    <w:rsid w:val="00192CB0"/>
    <w:rsid w:val="001930C7"/>
    <w:rsid w:val="001937E4"/>
    <w:rsid w:val="0019391D"/>
    <w:rsid w:val="00193F02"/>
    <w:rsid w:val="001943BF"/>
    <w:rsid w:val="0019544B"/>
    <w:rsid w:val="001969DD"/>
    <w:rsid w:val="00197529"/>
    <w:rsid w:val="001A1195"/>
    <w:rsid w:val="001A1273"/>
    <w:rsid w:val="001A16CB"/>
    <w:rsid w:val="001A1EC9"/>
    <w:rsid w:val="001A3595"/>
    <w:rsid w:val="001A3736"/>
    <w:rsid w:val="001A44E2"/>
    <w:rsid w:val="001A454E"/>
    <w:rsid w:val="001A62A5"/>
    <w:rsid w:val="001A74B2"/>
    <w:rsid w:val="001A791D"/>
    <w:rsid w:val="001A7D30"/>
    <w:rsid w:val="001B0760"/>
    <w:rsid w:val="001B0BAB"/>
    <w:rsid w:val="001B1330"/>
    <w:rsid w:val="001B1DE6"/>
    <w:rsid w:val="001B2BD9"/>
    <w:rsid w:val="001B4436"/>
    <w:rsid w:val="001B4593"/>
    <w:rsid w:val="001B478E"/>
    <w:rsid w:val="001B6D1C"/>
    <w:rsid w:val="001B7888"/>
    <w:rsid w:val="001C1AA1"/>
    <w:rsid w:val="001C348B"/>
    <w:rsid w:val="001C3B7A"/>
    <w:rsid w:val="001C49A0"/>
    <w:rsid w:val="001C562B"/>
    <w:rsid w:val="001C59EE"/>
    <w:rsid w:val="001C5DE1"/>
    <w:rsid w:val="001C5FFB"/>
    <w:rsid w:val="001C626B"/>
    <w:rsid w:val="001C6ACD"/>
    <w:rsid w:val="001C7AD8"/>
    <w:rsid w:val="001C7C79"/>
    <w:rsid w:val="001D1053"/>
    <w:rsid w:val="001D2055"/>
    <w:rsid w:val="001D2242"/>
    <w:rsid w:val="001D23EA"/>
    <w:rsid w:val="001D278E"/>
    <w:rsid w:val="001D4791"/>
    <w:rsid w:val="001D47A1"/>
    <w:rsid w:val="001D4868"/>
    <w:rsid w:val="001D4BAF"/>
    <w:rsid w:val="001D5319"/>
    <w:rsid w:val="001D6744"/>
    <w:rsid w:val="001D69B8"/>
    <w:rsid w:val="001D6B41"/>
    <w:rsid w:val="001D735D"/>
    <w:rsid w:val="001D7507"/>
    <w:rsid w:val="001E052C"/>
    <w:rsid w:val="001E0C92"/>
    <w:rsid w:val="001E1831"/>
    <w:rsid w:val="001E1A08"/>
    <w:rsid w:val="001E2659"/>
    <w:rsid w:val="001E2EE1"/>
    <w:rsid w:val="001E30AB"/>
    <w:rsid w:val="001E3540"/>
    <w:rsid w:val="001E40DE"/>
    <w:rsid w:val="001E470D"/>
    <w:rsid w:val="001E4EB2"/>
    <w:rsid w:val="001E50D6"/>
    <w:rsid w:val="001E581A"/>
    <w:rsid w:val="001E6778"/>
    <w:rsid w:val="001F0259"/>
    <w:rsid w:val="001F1CDD"/>
    <w:rsid w:val="001F2C3F"/>
    <w:rsid w:val="001F2EE6"/>
    <w:rsid w:val="001F31F2"/>
    <w:rsid w:val="001F3CE0"/>
    <w:rsid w:val="001F692E"/>
    <w:rsid w:val="001F6973"/>
    <w:rsid w:val="001F6FEF"/>
    <w:rsid w:val="001F7616"/>
    <w:rsid w:val="001F7D88"/>
    <w:rsid w:val="00201AD1"/>
    <w:rsid w:val="002020AA"/>
    <w:rsid w:val="00202C5F"/>
    <w:rsid w:val="00203B09"/>
    <w:rsid w:val="00203F2A"/>
    <w:rsid w:val="0020483D"/>
    <w:rsid w:val="00204E54"/>
    <w:rsid w:val="00204F33"/>
    <w:rsid w:val="0020516D"/>
    <w:rsid w:val="002061DD"/>
    <w:rsid w:val="00206DF3"/>
    <w:rsid w:val="00206F03"/>
    <w:rsid w:val="002103AC"/>
    <w:rsid w:val="00212954"/>
    <w:rsid w:val="00212C0B"/>
    <w:rsid w:val="002138F0"/>
    <w:rsid w:val="00214CB1"/>
    <w:rsid w:val="00215616"/>
    <w:rsid w:val="00215941"/>
    <w:rsid w:val="00215A6A"/>
    <w:rsid w:val="00216825"/>
    <w:rsid w:val="00216971"/>
    <w:rsid w:val="00217C9D"/>
    <w:rsid w:val="002213B4"/>
    <w:rsid w:val="002217DB"/>
    <w:rsid w:val="00221C18"/>
    <w:rsid w:val="00223B59"/>
    <w:rsid w:val="0022418C"/>
    <w:rsid w:val="00225F11"/>
    <w:rsid w:val="002265D2"/>
    <w:rsid w:val="00226BA8"/>
    <w:rsid w:val="002270C7"/>
    <w:rsid w:val="00227DEA"/>
    <w:rsid w:val="002305C6"/>
    <w:rsid w:val="00230784"/>
    <w:rsid w:val="00230EF6"/>
    <w:rsid w:val="00231013"/>
    <w:rsid w:val="00231EC2"/>
    <w:rsid w:val="002326BD"/>
    <w:rsid w:val="0023425C"/>
    <w:rsid w:val="00235431"/>
    <w:rsid w:val="00236570"/>
    <w:rsid w:val="00236F88"/>
    <w:rsid w:val="002409D7"/>
    <w:rsid w:val="00240FAF"/>
    <w:rsid w:val="00242325"/>
    <w:rsid w:val="00243254"/>
    <w:rsid w:val="0024378D"/>
    <w:rsid w:val="0024576A"/>
    <w:rsid w:val="00245D50"/>
    <w:rsid w:val="00246B1A"/>
    <w:rsid w:val="00247E04"/>
    <w:rsid w:val="002510FA"/>
    <w:rsid w:val="00253110"/>
    <w:rsid w:val="0025349D"/>
    <w:rsid w:val="00254030"/>
    <w:rsid w:val="002555A0"/>
    <w:rsid w:val="00255813"/>
    <w:rsid w:val="002558A0"/>
    <w:rsid w:val="00255A94"/>
    <w:rsid w:val="00256B04"/>
    <w:rsid w:val="00260876"/>
    <w:rsid w:val="00260A2B"/>
    <w:rsid w:val="00260BAF"/>
    <w:rsid w:val="00260FAE"/>
    <w:rsid w:val="00261260"/>
    <w:rsid w:val="00261307"/>
    <w:rsid w:val="00261631"/>
    <w:rsid w:val="00261CE2"/>
    <w:rsid w:val="00262377"/>
    <w:rsid w:val="0026268F"/>
    <w:rsid w:val="00263339"/>
    <w:rsid w:val="00263783"/>
    <w:rsid w:val="00263B3D"/>
    <w:rsid w:val="00264715"/>
    <w:rsid w:val="00265D05"/>
    <w:rsid w:val="0026647A"/>
    <w:rsid w:val="00266B23"/>
    <w:rsid w:val="00267033"/>
    <w:rsid w:val="00267675"/>
    <w:rsid w:val="00267803"/>
    <w:rsid w:val="00267A25"/>
    <w:rsid w:val="00267BF9"/>
    <w:rsid w:val="002706DC"/>
    <w:rsid w:val="00270FE4"/>
    <w:rsid w:val="00271956"/>
    <w:rsid w:val="00272B08"/>
    <w:rsid w:val="0027341C"/>
    <w:rsid w:val="002735A0"/>
    <w:rsid w:val="00275033"/>
    <w:rsid w:val="00276378"/>
    <w:rsid w:val="0027782F"/>
    <w:rsid w:val="00277A16"/>
    <w:rsid w:val="00281085"/>
    <w:rsid w:val="002810BB"/>
    <w:rsid w:val="00281348"/>
    <w:rsid w:val="002816D7"/>
    <w:rsid w:val="00281BE5"/>
    <w:rsid w:val="00282FEE"/>
    <w:rsid w:val="0028331C"/>
    <w:rsid w:val="00283DF3"/>
    <w:rsid w:val="00285F28"/>
    <w:rsid w:val="00287411"/>
    <w:rsid w:val="00290F44"/>
    <w:rsid w:val="002914CC"/>
    <w:rsid w:val="002919EB"/>
    <w:rsid w:val="00291C64"/>
    <w:rsid w:val="00293CC5"/>
    <w:rsid w:val="002942E7"/>
    <w:rsid w:val="00294E50"/>
    <w:rsid w:val="002952F9"/>
    <w:rsid w:val="00296CD9"/>
    <w:rsid w:val="00296E9D"/>
    <w:rsid w:val="00296F78"/>
    <w:rsid w:val="002A0152"/>
    <w:rsid w:val="002A18FB"/>
    <w:rsid w:val="002A1987"/>
    <w:rsid w:val="002A19B3"/>
    <w:rsid w:val="002A1BED"/>
    <w:rsid w:val="002A5193"/>
    <w:rsid w:val="002A5D88"/>
    <w:rsid w:val="002A6212"/>
    <w:rsid w:val="002A6573"/>
    <w:rsid w:val="002A65CE"/>
    <w:rsid w:val="002A6C4C"/>
    <w:rsid w:val="002A74DB"/>
    <w:rsid w:val="002A799E"/>
    <w:rsid w:val="002A7CF3"/>
    <w:rsid w:val="002B00AF"/>
    <w:rsid w:val="002B049C"/>
    <w:rsid w:val="002B38D1"/>
    <w:rsid w:val="002B3C1D"/>
    <w:rsid w:val="002B5482"/>
    <w:rsid w:val="002B759B"/>
    <w:rsid w:val="002B7650"/>
    <w:rsid w:val="002C113C"/>
    <w:rsid w:val="002C21D2"/>
    <w:rsid w:val="002C2649"/>
    <w:rsid w:val="002C3062"/>
    <w:rsid w:val="002C36DB"/>
    <w:rsid w:val="002C3C28"/>
    <w:rsid w:val="002C411B"/>
    <w:rsid w:val="002C413A"/>
    <w:rsid w:val="002C48AD"/>
    <w:rsid w:val="002C4B67"/>
    <w:rsid w:val="002C5006"/>
    <w:rsid w:val="002C5479"/>
    <w:rsid w:val="002C641A"/>
    <w:rsid w:val="002C772E"/>
    <w:rsid w:val="002D2913"/>
    <w:rsid w:val="002D2E99"/>
    <w:rsid w:val="002D2F17"/>
    <w:rsid w:val="002D3571"/>
    <w:rsid w:val="002D358A"/>
    <w:rsid w:val="002D40FF"/>
    <w:rsid w:val="002D41AB"/>
    <w:rsid w:val="002D4A42"/>
    <w:rsid w:val="002D4B06"/>
    <w:rsid w:val="002D6356"/>
    <w:rsid w:val="002D68EA"/>
    <w:rsid w:val="002D76CD"/>
    <w:rsid w:val="002E0B9F"/>
    <w:rsid w:val="002E0E9D"/>
    <w:rsid w:val="002E10EA"/>
    <w:rsid w:val="002E18E5"/>
    <w:rsid w:val="002E1BEE"/>
    <w:rsid w:val="002E200A"/>
    <w:rsid w:val="002E22CF"/>
    <w:rsid w:val="002E36E6"/>
    <w:rsid w:val="002E3C35"/>
    <w:rsid w:val="002E426E"/>
    <w:rsid w:val="002E4EEE"/>
    <w:rsid w:val="002E56A4"/>
    <w:rsid w:val="002E5D9D"/>
    <w:rsid w:val="002E76FA"/>
    <w:rsid w:val="002E79D3"/>
    <w:rsid w:val="002E7A9F"/>
    <w:rsid w:val="002F037F"/>
    <w:rsid w:val="002F083C"/>
    <w:rsid w:val="002F25D4"/>
    <w:rsid w:val="002F2A52"/>
    <w:rsid w:val="002F46D8"/>
    <w:rsid w:val="002F5EDD"/>
    <w:rsid w:val="00300686"/>
    <w:rsid w:val="00300D64"/>
    <w:rsid w:val="00301A65"/>
    <w:rsid w:val="00305C7A"/>
    <w:rsid w:val="003061E0"/>
    <w:rsid w:val="00306657"/>
    <w:rsid w:val="0030674D"/>
    <w:rsid w:val="0030753F"/>
    <w:rsid w:val="003103DC"/>
    <w:rsid w:val="003109CE"/>
    <w:rsid w:val="003117AB"/>
    <w:rsid w:val="00311AE7"/>
    <w:rsid w:val="00314193"/>
    <w:rsid w:val="00314A95"/>
    <w:rsid w:val="00315CA1"/>
    <w:rsid w:val="00315FD6"/>
    <w:rsid w:val="003161FC"/>
    <w:rsid w:val="003166DA"/>
    <w:rsid w:val="0031699E"/>
    <w:rsid w:val="00317709"/>
    <w:rsid w:val="00317E52"/>
    <w:rsid w:val="00320ADB"/>
    <w:rsid w:val="00320E1C"/>
    <w:rsid w:val="00321EB6"/>
    <w:rsid w:val="00322179"/>
    <w:rsid w:val="0032236D"/>
    <w:rsid w:val="00322485"/>
    <w:rsid w:val="00322755"/>
    <w:rsid w:val="00323BE3"/>
    <w:rsid w:val="0032476E"/>
    <w:rsid w:val="00324A39"/>
    <w:rsid w:val="003251F3"/>
    <w:rsid w:val="003262C5"/>
    <w:rsid w:val="0032642E"/>
    <w:rsid w:val="00327BDC"/>
    <w:rsid w:val="003313B0"/>
    <w:rsid w:val="003314BE"/>
    <w:rsid w:val="00333273"/>
    <w:rsid w:val="003332EC"/>
    <w:rsid w:val="00334B82"/>
    <w:rsid w:val="0033617C"/>
    <w:rsid w:val="003366E1"/>
    <w:rsid w:val="00336734"/>
    <w:rsid w:val="00336C9F"/>
    <w:rsid w:val="00336D63"/>
    <w:rsid w:val="003378D4"/>
    <w:rsid w:val="00337C1A"/>
    <w:rsid w:val="00340252"/>
    <w:rsid w:val="00340F0A"/>
    <w:rsid w:val="00342B6D"/>
    <w:rsid w:val="00343260"/>
    <w:rsid w:val="0034379B"/>
    <w:rsid w:val="003439C3"/>
    <w:rsid w:val="00344898"/>
    <w:rsid w:val="003455E5"/>
    <w:rsid w:val="00345AFF"/>
    <w:rsid w:val="00345EB7"/>
    <w:rsid w:val="00346123"/>
    <w:rsid w:val="00347879"/>
    <w:rsid w:val="00350F78"/>
    <w:rsid w:val="00351717"/>
    <w:rsid w:val="00352866"/>
    <w:rsid w:val="003531BD"/>
    <w:rsid w:val="0035322B"/>
    <w:rsid w:val="003537DF"/>
    <w:rsid w:val="003539BC"/>
    <w:rsid w:val="003543D4"/>
    <w:rsid w:val="003544D1"/>
    <w:rsid w:val="0035486D"/>
    <w:rsid w:val="0035629E"/>
    <w:rsid w:val="003565C7"/>
    <w:rsid w:val="00356A8F"/>
    <w:rsid w:val="00356F92"/>
    <w:rsid w:val="0035752C"/>
    <w:rsid w:val="00357FDB"/>
    <w:rsid w:val="00361995"/>
    <w:rsid w:val="003623B2"/>
    <w:rsid w:val="00362815"/>
    <w:rsid w:val="00364082"/>
    <w:rsid w:val="00364A5B"/>
    <w:rsid w:val="00365515"/>
    <w:rsid w:val="00365E9B"/>
    <w:rsid w:val="00367C72"/>
    <w:rsid w:val="00367E38"/>
    <w:rsid w:val="00370B6B"/>
    <w:rsid w:val="00371A6D"/>
    <w:rsid w:val="00372292"/>
    <w:rsid w:val="003730CC"/>
    <w:rsid w:val="00373365"/>
    <w:rsid w:val="003741C8"/>
    <w:rsid w:val="00375977"/>
    <w:rsid w:val="00376627"/>
    <w:rsid w:val="00377E35"/>
    <w:rsid w:val="0038082E"/>
    <w:rsid w:val="0038153E"/>
    <w:rsid w:val="0038217D"/>
    <w:rsid w:val="00383E2B"/>
    <w:rsid w:val="00384F95"/>
    <w:rsid w:val="003865F0"/>
    <w:rsid w:val="00386B1F"/>
    <w:rsid w:val="00387436"/>
    <w:rsid w:val="00387571"/>
    <w:rsid w:val="003877F1"/>
    <w:rsid w:val="00387C38"/>
    <w:rsid w:val="00390EA6"/>
    <w:rsid w:val="003923B6"/>
    <w:rsid w:val="00392774"/>
    <w:rsid w:val="00392BE2"/>
    <w:rsid w:val="003941CA"/>
    <w:rsid w:val="003943A4"/>
    <w:rsid w:val="003949B8"/>
    <w:rsid w:val="00394A58"/>
    <w:rsid w:val="00395E70"/>
    <w:rsid w:val="00396731"/>
    <w:rsid w:val="003967B3"/>
    <w:rsid w:val="003975A7"/>
    <w:rsid w:val="00397854"/>
    <w:rsid w:val="003A2C31"/>
    <w:rsid w:val="003A31EF"/>
    <w:rsid w:val="003A3296"/>
    <w:rsid w:val="003A363A"/>
    <w:rsid w:val="003A36B1"/>
    <w:rsid w:val="003A46ED"/>
    <w:rsid w:val="003A641D"/>
    <w:rsid w:val="003A6BBA"/>
    <w:rsid w:val="003B018E"/>
    <w:rsid w:val="003B01B5"/>
    <w:rsid w:val="003B0A92"/>
    <w:rsid w:val="003B15CE"/>
    <w:rsid w:val="003B248D"/>
    <w:rsid w:val="003B3921"/>
    <w:rsid w:val="003B44CC"/>
    <w:rsid w:val="003B4D5B"/>
    <w:rsid w:val="003B5460"/>
    <w:rsid w:val="003B62A8"/>
    <w:rsid w:val="003C15F7"/>
    <w:rsid w:val="003C37CC"/>
    <w:rsid w:val="003C3CBC"/>
    <w:rsid w:val="003C3CE4"/>
    <w:rsid w:val="003C5C4E"/>
    <w:rsid w:val="003C6654"/>
    <w:rsid w:val="003D03A4"/>
    <w:rsid w:val="003D0DED"/>
    <w:rsid w:val="003D1325"/>
    <w:rsid w:val="003D29CB"/>
    <w:rsid w:val="003D2CD5"/>
    <w:rsid w:val="003D57AF"/>
    <w:rsid w:val="003D5A05"/>
    <w:rsid w:val="003E1E05"/>
    <w:rsid w:val="003E20A2"/>
    <w:rsid w:val="003E22F1"/>
    <w:rsid w:val="003E4069"/>
    <w:rsid w:val="003E4C16"/>
    <w:rsid w:val="003E69FE"/>
    <w:rsid w:val="003E7B25"/>
    <w:rsid w:val="003F1F09"/>
    <w:rsid w:val="003F32BF"/>
    <w:rsid w:val="003F3CF2"/>
    <w:rsid w:val="003F6CDC"/>
    <w:rsid w:val="003F6FBC"/>
    <w:rsid w:val="0040243D"/>
    <w:rsid w:val="004028D3"/>
    <w:rsid w:val="0040301F"/>
    <w:rsid w:val="004047A3"/>
    <w:rsid w:val="00404D5B"/>
    <w:rsid w:val="00404EEA"/>
    <w:rsid w:val="00405761"/>
    <w:rsid w:val="00406277"/>
    <w:rsid w:val="00406A62"/>
    <w:rsid w:val="00406FBB"/>
    <w:rsid w:val="004103E9"/>
    <w:rsid w:val="00410CDF"/>
    <w:rsid w:val="00413894"/>
    <w:rsid w:val="00413C79"/>
    <w:rsid w:val="00413CC3"/>
    <w:rsid w:val="0041436B"/>
    <w:rsid w:val="00414515"/>
    <w:rsid w:val="00414538"/>
    <w:rsid w:val="00414F94"/>
    <w:rsid w:val="00415AD6"/>
    <w:rsid w:val="00416D4A"/>
    <w:rsid w:val="00417350"/>
    <w:rsid w:val="00417E04"/>
    <w:rsid w:val="004219F1"/>
    <w:rsid w:val="0042270C"/>
    <w:rsid w:val="00423B0A"/>
    <w:rsid w:val="004254CB"/>
    <w:rsid w:val="004261BF"/>
    <w:rsid w:val="0042690D"/>
    <w:rsid w:val="004277A6"/>
    <w:rsid w:val="00427F33"/>
    <w:rsid w:val="004300C4"/>
    <w:rsid w:val="004311A4"/>
    <w:rsid w:val="00431940"/>
    <w:rsid w:val="00431D87"/>
    <w:rsid w:val="00431DA3"/>
    <w:rsid w:val="00431F6F"/>
    <w:rsid w:val="0043245A"/>
    <w:rsid w:val="00432D92"/>
    <w:rsid w:val="00432E3E"/>
    <w:rsid w:val="0043331B"/>
    <w:rsid w:val="004334C8"/>
    <w:rsid w:val="0043503F"/>
    <w:rsid w:val="00436A00"/>
    <w:rsid w:val="004371A7"/>
    <w:rsid w:val="00437C52"/>
    <w:rsid w:val="004404B8"/>
    <w:rsid w:val="004407D7"/>
    <w:rsid w:val="004418BB"/>
    <w:rsid w:val="00441C42"/>
    <w:rsid w:val="004420AF"/>
    <w:rsid w:val="00442C9E"/>
    <w:rsid w:val="00442F1B"/>
    <w:rsid w:val="00443D5C"/>
    <w:rsid w:val="00445D2B"/>
    <w:rsid w:val="004466F7"/>
    <w:rsid w:val="00446D99"/>
    <w:rsid w:val="0044773C"/>
    <w:rsid w:val="00447F22"/>
    <w:rsid w:val="004505C0"/>
    <w:rsid w:val="00451128"/>
    <w:rsid w:val="004511A1"/>
    <w:rsid w:val="00451E80"/>
    <w:rsid w:val="00452795"/>
    <w:rsid w:val="0045408E"/>
    <w:rsid w:val="00455368"/>
    <w:rsid w:val="004554F4"/>
    <w:rsid w:val="00455E34"/>
    <w:rsid w:val="00457B77"/>
    <w:rsid w:val="00457D76"/>
    <w:rsid w:val="00460DE1"/>
    <w:rsid w:val="004611C5"/>
    <w:rsid w:val="0046128B"/>
    <w:rsid w:val="00461DC1"/>
    <w:rsid w:val="00462E88"/>
    <w:rsid w:val="00464A86"/>
    <w:rsid w:val="00464DD2"/>
    <w:rsid w:val="00465416"/>
    <w:rsid w:val="00465662"/>
    <w:rsid w:val="00465E32"/>
    <w:rsid w:val="00465FFB"/>
    <w:rsid w:val="00466E30"/>
    <w:rsid w:val="0047078D"/>
    <w:rsid w:val="00470A78"/>
    <w:rsid w:val="004716C5"/>
    <w:rsid w:val="00471A15"/>
    <w:rsid w:val="00471CCA"/>
    <w:rsid w:val="004726F0"/>
    <w:rsid w:val="00472E2F"/>
    <w:rsid w:val="00474D1F"/>
    <w:rsid w:val="00474E8D"/>
    <w:rsid w:val="00475816"/>
    <w:rsid w:val="00475A3D"/>
    <w:rsid w:val="00475DF4"/>
    <w:rsid w:val="00476CC7"/>
    <w:rsid w:val="00482031"/>
    <w:rsid w:val="004844EC"/>
    <w:rsid w:val="00484A56"/>
    <w:rsid w:val="00486E78"/>
    <w:rsid w:val="00487AB5"/>
    <w:rsid w:val="00487DB2"/>
    <w:rsid w:val="00490231"/>
    <w:rsid w:val="004903C5"/>
    <w:rsid w:val="0049058A"/>
    <w:rsid w:val="00490C00"/>
    <w:rsid w:val="00493476"/>
    <w:rsid w:val="004944B7"/>
    <w:rsid w:val="004948D5"/>
    <w:rsid w:val="00494F71"/>
    <w:rsid w:val="00495FFD"/>
    <w:rsid w:val="004970AF"/>
    <w:rsid w:val="004A0A00"/>
    <w:rsid w:val="004A0EA0"/>
    <w:rsid w:val="004A167F"/>
    <w:rsid w:val="004A1B08"/>
    <w:rsid w:val="004A1E00"/>
    <w:rsid w:val="004A2119"/>
    <w:rsid w:val="004A21E5"/>
    <w:rsid w:val="004A2572"/>
    <w:rsid w:val="004A32D4"/>
    <w:rsid w:val="004A4FE2"/>
    <w:rsid w:val="004A508B"/>
    <w:rsid w:val="004A5459"/>
    <w:rsid w:val="004B17B4"/>
    <w:rsid w:val="004B1BB7"/>
    <w:rsid w:val="004B1FD8"/>
    <w:rsid w:val="004B28AE"/>
    <w:rsid w:val="004B4083"/>
    <w:rsid w:val="004B43FB"/>
    <w:rsid w:val="004B483A"/>
    <w:rsid w:val="004B4C2E"/>
    <w:rsid w:val="004B519B"/>
    <w:rsid w:val="004B70CE"/>
    <w:rsid w:val="004B71ED"/>
    <w:rsid w:val="004B7F14"/>
    <w:rsid w:val="004C0814"/>
    <w:rsid w:val="004C15B8"/>
    <w:rsid w:val="004C310E"/>
    <w:rsid w:val="004C38B1"/>
    <w:rsid w:val="004C5297"/>
    <w:rsid w:val="004C6295"/>
    <w:rsid w:val="004C7E94"/>
    <w:rsid w:val="004D0520"/>
    <w:rsid w:val="004D15B7"/>
    <w:rsid w:val="004D1848"/>
    <w:rsid w:val="004D1A81"/>
    <w:rsid w:val="004D1E0D"/>
    <w:rsid w:val="004D275D"/>
    <w:rsid w:val="004D2865"/>
    <w:rsid w:val="004D4F57"/>
    <w:rsid w:val="004D4FF0"/>
    <w:rsid w:val="004D531F"/>
    <w:rsid w:val="004D5F1A"/>
    <w:rsid w:val="004E11FD"/>
    <w:rsid w:val="004E2A1D"/>
    <w:rsid w:val="004E50F0"/>
    <w:rsid w:val="004E552A"/>
    <w:rsid w:val="004E616C"/>
    <w:rsid w:val="004E6C8F"/>
    <w:rsid w:val="004E7B0B"/>
    <w:rsid w:val="004E7B4B"/>
    <w:rsid w:val="004E7E62"/>
    <w:rsid w:val="004F137A"/>
    <w:rsid w:val="004F14AA"/>
    <w:rsid w:val="004F1EB1"/>
    <w:rsid w:val="004F3065"/>
    <w:rsid w:val="004F306C"/>
    <w:rsid w:val="004F3512"/>
    <w:rsid w:val="004F5004"/>
    <w:rsid w:val="004F5B36"/>
    <w:rsid w:val="004F7B72"/>
    <w:rsid w:val="00500110"/>
    <w:rsid w:val="00500299"/>
    <w:rsid w:val="00500E92"/>
    <w:rsid w:val="0050161B"/>
    <w:rsid w:val="00501A3A"/>
    <w:rsid w:val="00501D98"/>
    <w:rsid w:val="0050202D"/>
    <w:rsid w:val="00502211"/>
    <w:rsid w:val="00502339"/>
    <w:rsid w:val="00502431"/>
    <w:rsid w:val="0050323A"/>
    <w:rsid w:val="00503BC1"/>
    <w:rsid w:val="005054B7"/>
    <w:rsid w:val="00505947"/>
    <w:rsid w:val="005061FA"/>
    <w:rsid w:val="00506BE7"/>
    <w:rsid w:val="0050750F"/>
    <w:rsid w:val="00507B97"/>
    <w:rsid w:val="00511A8D"/>
    <w:rsid w:val="0051201B"/>
    <w:rsid w:val="00513478"/>
    <w:rsid w:val="00513B48"/>
    <w:rsid w:val="0051484F"/>
    <w:rsid w:val="00515457"/>
    <w:rsid w:val="00515CEF"/>
    <w:rsid w:val="00520F77"/>
    <w:rsid w:val="005211A9"/>
    <w:rsid w:val="0052156E"/>
    <w:rsid w:val="00521842"/>
    <w:rsid w:val="005220CB"/>
    <w:rsid w:val="00522FBC"/>
    <w:rsid w:val="00523C48"/>
    <w:rsid w:val="005250DB"/>
    <w:rsid w:val="00525E5C"/>
    <w:rsid w:val="00526289"/>
    <w:rsid w:val="00527516"/>
    <w:rsid w:val="00527F29"/>
    <w:rsid w:val="005305F8"/>
    <w:rsid w:val="005309BB"/>
    <w:rsid w:val="00530FFA"/>
    <w:rsid w:val="00531512"/>
    <w:rsid w:val="0053162E"/>
    <w:rsid w:val="00532CF5"/>
    <w:rsid w:val="00533FE1"/>
    <w:rsid w:val="00535970"/>
    <w:rsid w:val="005403AF"/>
    <w:rsid w:val="00541790"/>
    <w:rsid w:val="00541F54"/>
    <w:rsid w:val="0054308A"/>
    <w:rsid w:val="00543B15"/>
    <w:rsid w:val="00543D95"/>
    <w:rsid w:val="005459E2"/>
    <w:rsid w:val="00546F11"/>
    <w:rsid w:val="005514FF"/>
    <w:rsid w:val="0055161B"/>
    <w:rsid w:val="0055182B"/>
    <w:rsid w:val="00551DCC"/>
    <w:rsid w:val="005521DC"/>
    <w:rsid w:val="00552B4E"/>
    <w:rsid w:val="00552C0D"/>
    <w:rsid w:val="00553560"/>
    <w:rsid w:val="00553F1C"/>
    <w:rsid w:val="00555109"/>
    <w:rsid w:val="0055554A"/>
    <w:rsid w:val="00555E68"/>
    <w:rsid w:val="00556989"/>
    <w:rsid w:val="00557828"/>
    <w:rsid w:val="00560057"/>
    <w:rsid w:val="005602D7"/>
    <w:rsid w:val="0056108F"/>
    <w:rsid w:val="00564E77"/>
    <w:rsid w:val="0056516E"/>
    <w:rsid w:val="00565209"/>
    <w:rsid w:val="005660AF"/>
    <w:rsid w:val="0056706E"/>
    <w:rsid w:val="00567680"/>
    <w:rsid w:val="00567801"/>
    <w:rsid w:val="00567CBB"/>
    <w:rsid w:val="00567EAA"/>
    <w:rsid w:val="00570027"/>
    <w:rsid w:val="00571049"/>
    <w:rsid w:val="00571B67"/>
    <w:rsid w:val="00571C19"/>
    <w:rsid w:val="00571CE5"/>
    <w:rsid w:val="00572BAE"/>
    <w:rsid w:val="00572ECA"/>
    <w:rsid w:val="005737E5"/>
    <w:rsid w:val="00575573"/>
    <w:rsid w:val="005764D1"/>
    <w:rsid w:val="00576A21"/>
    <w:rsid w:val="005775D9"/>
    <w:rsid w:val="00577AA5"/>
    <w:rsid w:val="005800C9"/>
    <w:rsid w:val="005814E2"/>
    <w:rsid w:val="005838F8"/>
    <w:rsid w:val="00584258"/>
    <w:rsid w:val="0058440C"/>
    <w:rsid w:val="00584860"/>
    <w:rsid w:val="00585B0A"/>
    <w:rsid w:val="00585DBB"/>
    <w:rsid w:val="00586AF4"/>
    <w:rsid w:val="0058713C"/>
    <w:rsid w:val="0059095B"/>
    <w:rsid w:val="00590C24"/>
    <w:rsid w:val="005914B2"/>
    <w:rsid w:val="00592A2E"/>
    <w:rsid w:val="00593738"/>
    <w:rsid w:val="00594113"/>
    <w:rsid w:val="005949D1"/>
    <w:rsid w:val="00595212"/>
    <w:rsid w:val="00595F05"/>
    <w:rsid w:val="00596963"/>
    <w:rsid w:val="005972E8"/>
    <w:rsid w:val="005A021D"/>
    <w:rsid w:val="005A0274"/>
    <w:rsid w:val="005A1F62"/>
    <w:rsid w:val="005A34DA"/>
    <w:rsid w:val="005A4DB9"/>
    <w:rsid w:val="005A4EFC"/>
    <w:rsid w:val="005A5731"/>
    <w:rsid w:val="005A59A9"/>
    <w:rsid w:val="005A601C"/>
    <w:rsid w:val="005A6C1D"/>
    <w:rsid w:val="005B0CC8"/>
    <w:rsid w:val="005B1B6B"/>
    <w:rsid w:val="005B25F0"/>
    <w:rsid w:val="005B26A1"/>
    <w:rsid w:val="005B39A0"/>
    <w:rsid w:val="005B4139"/>
    <w:rsid w:val="005B730A"/>
    <w:rsid w:val="005B7B8F"/>
    <w:rsid w:val="005C3C01"/>
    <w:rsid w:val="005C3F1C"/>
    <w:rsid w:val="005C42E4"/>
    <w:rsid w:val="005C57C8"/>
    <w:rsid w:val="005C6D68"/>
    <w:rsid w:val="005C6F4C"/>
    <w:rsid w:val="005C7048"/>
    <w:rsid w:val="005D0823"/>
    <w:rsid w:val="005D1A33"/>
    <w:rsid w:val="005D1F47"/>
    <w:rsid w:val="005D1F85"/>
    <w:rsid w:val="005D37FB"/>
    <w:rsid w:val="005D4E2A"/>
    <w:rsid w:val="005D4E9A"/>
    <w:rsid w:val="005D5957"/>
    <w:rsid w:val="005D60DB"/>
    <w:rsid w:val="005D6366"/>
    <w:rsid w:val="005D6EE2"/>
    <w:rsid w:val="005D7367"/>
    <w:rsid w:val="005E0E26"/>
    <w:rsid w:val="005E300D"/>
    <w:rsid w:val="005E771A"/>
    <w:rsid w:val="005F01B4"/>
    <w:rsid w:val="005F02C0"/>
    <w:rsid w:val="005F1354"/>
    <w:rsid w:val="005F16B1"/>
    <w:rsid w:val="005F1921"/>
    <w:rsid w:val="005F1C30"/>
    <w:rsid w:val="005F2CA6"/>
    <w:rsid w:val="005F3210"/>
    <w:rsid w:val="005F371A"/>
    <w:rsid w:val="005F3DFC"/>
    <w:rsid w:val="005F4324"/>
    <w:rsid w:val="005F4456"/>
    <w:rsid w:val="005F5527"/>
    <w:rsid w:val="005F5DE4"/>
    <w:rsid w:val="005F619C"/>
    <w:rsid w:val="006004B8"/>
    <w:rsid w:val="006008F1"/>
    <w:rsid w:val="00600DE2"/>
    <w:rsid w:val="006014FB"/>
    <w:rsid w:val="00601DBA"/>
    <w:rsid w:val="00602BFE"/>
    <w:rsid w:val="006050F9"/>
    <w:rsid w:val="0060522D"/>
    <w:rsid w:val="0060687C"/>
    <w:rsid w:val="00606E4A"/>
    <w:rsid w:val="00607034"/>
    <w:rsid w:val="0060751C"/>
    <w:rsid w:val="00611320"/>
    <w:rsid w:val="00611F61"/>
    <w:rsid w:val="006128A0"/>
    <w:rsid w:val="00612C4E"/>
    <w:rsid w:val="006132E7"/>
    <w:rsid w:val="00613AF6"/>
    <w:rsid w:val="00613DE8"/>
    <w:rsid w:val="00614735"/>
    <w:rsid w:val="00615156"/>
    <w:rsid w:val="0061599E"/>
    <w:rsid w:val="006159A1"/>
    <w:rsid w:val="00615DE1"/>
    <w:rsid w:val="00615FB7"/>
    <w:rsid w:val="00617B8F"/>
    <w:rsid w:val="00620974"/>
    <w:rsid w:val="006219CE"/>
    <w:rsid w:val="00622393"/>
    <w:rsid w:val="00622983"/>
    <w:rsid w:val="00623228"/>
    <w:rsid w:val="00623550"/>
    <w:rsid w:val="00623ED3"/>
    <w:rsid w:val="006257E7"/>
    <w:rsid w:val="00625974"/>
    <w:rsid w:val="006269E0"/>
    <w:rsid w:val="0062785B"/>
    <w:rsid w:val="00627BE3"/>
    <w:rsid w:val="006301F8"/>
    <w:rsid w:val="00631CAD"/>
    <w:rsid w:val="006323F0"/>
    <w:rsid w:val="006334E1"/>
    <w:rsid w:val="006334F8"/>
    <w:rsid w:val="00633BBB"/>
    <w:rsid w:val="00634F9A"/>
    <w:rsid w:val="0063513E"/>
    <w:rsid w:val="006366E3"/>
    <w:rsid w:val="006368A0"/>
    <w:rsid w:val="006368E2"/>
    <w:rsid w:val="00640182"/>
    <w:rsid w:val="006402CF"/>
    <w:rsid w:val="00641547"/>
    <w:rsid w:val="00641574"/>
    <w:rsid w:val="00641792"/>
    <w:rsid w:val="006418CF"/>
    <w:rsid w:val="00641FF6"/>
    <w:rsid w:val="00647034"/>
    <w:rsid w:val="00650433"/>
    <w:rsid w:val="00650534"/>
    <w:rsid w:val="006506FA"/>
    <w:rsid w:val="00651A93"/>
    <w:rsid w:val="00652FA4"/>
    <w:rsid w:val="006533F8"/>
    <w:rsid w:val="00653414"/>
    <w:rsid w:val="006539C3"/>
    <w:rsid w:val="00653D50"/>
    <w:rsid w:val="00655251"/>
    <w:rsid w:val="00655E4C"/>
    <w:rsid w:val="00656B99"/>
    <w:rsid w:val="0065752F"/>
    <w:rsid w:val="00660726"/>
    <w:rsid w:val="00663BC6"/>
    <w:rsid w:val="006640D1"/>
    <w:rsid w:val="00664A8C"/>
    <w:rsid w:val="006655A7"/>
    <w:rsid w:val="00665FB8"/>
    <w:rsid w:val="0066778F"/>
    <w:rsid w:val="006679B5"/>
    <w:rsid w:val="00667C71"/>
    <w:rsid w:val="0067120E"/>
    <w:rsid w:val="00671D4C"/>
    <w:rsid w:val="006721E7"/>
    <w:rsid w:val="00672A8E"/>
    <w:rsid w:val="00672FC1"/>
    <w:rsid w:val="0067370B"/>
    <w:rsid w:val="006737E3"/>
    <w:rsid w:val="006756B4"/>
    <w:rsid w:val="00675D0D"/>
    <w:rsid w:val="00676D0D"/>
    <w:rsid w:val="00677A80"/>
    <w:rsid w:val="00680267"/>
    <w:rsid w:val="00682195"/>
    <w:rsid w:val="00685D5B"/>
    <w:rsid w:val="00685E1C"/>
    <w:rsid w:val="00685F1C"/>
    <w:rsid w:val="00687F9E"/>
    <w:rsid w:val="00690211"/>
    <w:rsid w:val="006926AB"/>
    <w:rsid w:val="0069372A"/>
    <w:rsid w:val="0069416A"/>
    <w:rsid w:val="0069432D"/>
    <w:rsid w:val="0069450B"/>
    <w:rsid w:val="00695D41"/>
    <w:rsid w:val="006962C5"/>
    <w:rsid w:val="00696B43"/>
    <w:rsid w:val="00697480"/>
    <w:rsid w:val="0069749D"/>
    <w:rsid w:val="00697508"/>
    <w:rsid w:val="00697721"/>
    <w:rsid w:val="0069780F"/>
    <w:rsid w:val="006A0802"/>
    <w:rsid w:val="006A1983"/>
    <w:rsid w:val="006A209B"/>
    <w:rsid w:val="006A27AB"/>
    <w:rsid w:val="006A2C2B"/>
    <w:rsid w:val="006A2C41"/>
    <w:rsid w:val="006A2E5F"/>
    <w:rsid w:val="006A3069"/>
    <w:rsid w:val="006A3772"/>
    <w:rsid w:val="006A3FA2"/>
    <w:rsid w:val="006A425C"/>
    <w:rsid w:val="006A5185"/>
    <w:rsid w:val="006A5604"/>
    <w:rsid w:val="006A7474"/>
    <w:rsid w:val="006A7CB8"/>
    <w:rsid w:val="006B0C59"/>
    <w:rsid w:val="006B1E72"/>
    <w:rsid w:val="006B342F"/>
    <w:rsid w:val="006B3C25"/>
    <w:rsid w:val="006B59CA"/>
    <w:rsid w:val="006B7039"/>
    <w:rsid w:val="006B71C2"/>
    <w:rsid w:val="006C2940"/>
    <w:rsid w:val="006C4B27"/>
    <w:rsid w:val="006C5186"/>
    <w:rsid w:val="006C7B57"/>
    <w:rsid w:val="006C7BDA"/>
    <w:rsid w:val="006D1366"/>
    <w:rsid w:val="006D2181"/>
    <w:rsid w:val="006D2710"/>
    <w:rsid w:val="006D3385"/>
    <w:rsid w:val="006D38BD"/>
    <w:rsid w:val="006D59B2"/>
    <w:rsid w:val="006D7982"/>
    <w:rsid w:val="006E0C9A"/>
    <w:rsid w:val="006E108D"/>
    <w:rsid w:val="006E1394"/>
    <w:rsid w:val="006E2332"/>
    <w:rsid w:val="006E28AB"/>
    <w:rsid w:val="006E2CA8"/>
    <w:rsid w:val="006E339D"/>
    <w:rsid w:val="006E4A95"/>
    <w:rsid w:val="006E4D9B"/>
    <w:rsid w:val="006E53BD"/>
    <w:rsid w:val="006E616E"/>
    <w:rsid w:val="006E6C8E"/>
    <w:rsid w:val="006E737B"/>
    <w:rsid w:val="006E754E"/>
    <w:rsid w:val="006F0A94"/>
    <w:rsid w:val="006F1CCD"/>
    <w:rsid w:val="006F2589"/>
    <w:rsid w:val="006F26C7"/>
    <w:rsid w:val="006F400A"/>
    <w:rsid w:val="006F40D6"/>
    <w:rsid w:val="006F416E"/>
    <w:rsid w:val="006F4C01"/>
    <w:rsid w:val="006F56A7"/>
    <w:rsid w:val="006F5BBD"/>
    <w:rsid w:val="006F5CE0"/>
    <w:rsid w:val="006F782B"/>
    <w:rsid w:val="006F7BF0"/>
    <w:rsid w:val="00700E24"/>
    <w:rsid w:val="007012A7"/>
    <w:rsid w:val="00702761"/>
    <w:rsid w:val="00702909"/>
    <w:rsid w:val="00706297"/>
    <w:rsid w:val="0071000D"/>
    <w:rsid w:val="007101FD"/>
    <w:rsid w:val="00711336"/>
    <w:rsid w:val="007114B8"/>
    <w:rsid w:val="0071193A"/>
    <w:rsid w:val="007120D9"/>
    <w:rsid w:val="00712935"/>
    <w:rsid w:val="00713EDC"/>
    <w:rsid w:val="00713F7F"/>
    <w:rsid w:val="00716403"/>
    <w:rsid w:val="00716A39"/>
    <w:rsid w:val="00720784"/>
    <w:rsid w:val="00721E7A"/>
    <w:rsid w:val="00722D40"/>
    <w:rsid w:val="007234FA"/>
    <w:rsid w:val="00724DE4"/>
    <w:rsid w:val="00725E3C"/>
    <w:rsid w:val="0072796A"/>
    <w:rsid w:val="00727FB0"/>
    <w:rsid w:val="00730AF8"/>
    <w:rsid w:val="00731725"/>
    <w:rsid w:val="00731FC3"/>
    <w:rsid w:val="00735807"/>
    <w:rsid w:val="00736046"/>
    <w:rsid w:val="007360BC"/>
    <w:rsid w:val="007376E2"/>
    <w:rsid w:val="007402A1"/>
    <w:rsid w:val="00740595"/>
    <w:rsid w:val="00740996"/>
    <w:rsid w:val="007416B3"/>
    <w:rsid w:val="00741E75"/>
    <w:rsid w:val="00742A3A"/>
    <w:rsid w:val="00742E6F"/>
    <w:rsid w:val="007439A1"/>
    <w:rsid w:val="00744363"/>
    <w:rsid w:val="007444D1"/>
    <w:rsid w:val="007445E7"/>
    <w:rsid w:val="00744B75"/>
    <w:rsid w:val="0074597D"/>
    <w:rsid w:val="00745F34"/>
    <w:rsid w:val="00746C9C"/>
    <w:rsid w:val="00746F6B"/>
    <w:rsid w:val="00747587"/>
    <w:rsid w:val="007477F7"/>
    <w:rsid w:val="00747A4E"/>
    <w:rsid w:val="007510F5"/>
    <w:rsid w:val="007512FA"/>
    <w:rsid w:val="00751D53"/>
    <w:rsid w:val="00753900"/>
    <w:rsid w:val="00754750"/>
    <w:rsid w:val="00754D73"/>
    <w:rsid w:val="00755EA4"/>
    <w:rsid w:val="00756131"/>
    <w:rsid w:val="00756D1F"/>
    <w:rsid w:val="007575E1"/>
    <w:rsid w:val="00757FC3"/>
    <w:rsid w:val="007612D5"/>
    <w:rsid w:val="00761957"/>
    <w:rsid w:val="007625B4"/>
    <w:rsid w:val="007629A1"/>
    <w:rsid w:val="0076348A"/>
    <w:rsid w:val="00763511"/>
    <w:rsid w:val="00764100"/>
    <w:rsid w:val="00764244"/>
    <w:rsid w:val="00764CCD"/>
    <w:rsid w:val="00765877"/>
    <w:rsid w:val="00765D26"/>
    <w:rsid w:val="00766864"/>
    <w:rsid w:val="00766D45"/>
    <w:rsid w:val="00767773"/>
    <w:rsid w:val="0077198A"/>
    <w:rsid w:val="00771AC6"/>
    <w:rsid w:val="00771BD3"/>
    <w:rsid w:val="00771E5E"/>
    <w:rsid w:val="007721F5"/>
    <w:rsid w:val="00773D95"/>
    <w:rsid w:val="00773DD7"/>
    <w:rsid w:val="007744F6"/>
    <w:rsid w:val="00775981"/>
    <w:rsid w:val="007759B8"/>
    <w:rsid w:val="00776CC6"/>
    <w:rsid w:val="00776DD2"/>
    <w:rsid w:val="00777DD4"/>
    <w:rsid w:val="00780BDC"/>
    <w:rsid w:val="007858B6"/>
    <w:rsid w:val="00785A67"/>
    <w:rsid w:val="0078639F"/>
    <w:rsid w:val="00792349"/>
    <w:rsid w:val="00793037"/>
    <w:rsid w:val="0079381D"/>
    <w:rsid w:val="007938BA"/>
    <w:rsid w:val="0079409A"/>
    <w:rsid w:val="00794B6D"/>
    <w:rsid w:val="00794CE5"/>
    <w:rsid w:val="0079577C"/>
    <w:rsid w:val="00795BE0"/>
    <w:rsid w:val="00795C04"/>
    <w:rsid w:val="00795E11"/>
    <w:rsid w:val="00795E46"/>
    <w:rsid w:val="00796777"/>
    <w:rsid w:val="00796965"/>
    <w:rsid w:val="00796C6F"/>
    <w:rsid w:val="00796FBA"/>
    <w:rsid w:val="007A1C84"/>
    <w:rsid w:val="007A2501"/>
    <w:rsid w:val="007A37B2"/>
    <w:rsid w:val="007A3BBC"/>
    <w:rsid w:val="007A4DD8"/>
    <w:rsid w:val="007A5365"/>
    <w:rsid w:val="007A6E96"/>
    <w:rsid w:val="007A711E"/>
    <w:rsid w:val="007A7747"/>
    <w:rsid w:val="007A7A72"/>
    <w:rsid w:val="007A7DCC"/>
    <w:rsid w:val="007B0FA5"/>
    <w:rsid w:val="007B1051"/>
    <w:rsid w:val="007B3A7A"/>
    <w:rsid w:val="007B4AF8"/>
    <w:rsid w:val="007B4CF2"/>
    <w:rsid w:val="007B567F"/>
    <w:rsid w:val="007B6EAC"/>
    <w:rsid w:val="007B7CB8"/>
    <w:rsid w:val="007C001F"/>
    <w:rsid w:val="007C0750"/>
    <w:rsid w:val="007C0CAE"/>
    <w:rsid w:val="007C2B58"/>
    <w:rsid w:val="007C45E2"/>
    <w:rsid w:val="007C4F54"/>
    <w:rsid w:val="007C64B7"/>
    <w:rsid w:val="007C7C98"/>
    <w:rsid w:val="007C7E27"/>
    <w:rsid w:val="007D09A6"/>
    <w:rsid w:val="007D1678"/>
    <w:rsid w:val="007D2F13"/>
    <w:rsid w:val="007D46F9"/>
    <w:rsid w:val="007D591F"/>
    <w:rsid w:val="007D5BD7"/>
    <w:rsid w:val="007D6C76"/>
    <w:rsid w:val="007E0EF3"/>
    <w:rsid w:val="007E40CE"/>
    <w:rsid w:val="007E467D"/>
    <w:rsid w:val="007E4DDF"/>
    <w:rsid w:val="007E4ED3"/>
    <w:rsid w:val="007E5937"/>
    <w:rsid w:val="007E675D"/>
    <w:rsid w:val="007E791E"/>
    <w:rsid w:val="007F0BED"/>
    <w:rsid w:val="007F154A"/>
    <w:rsid w:val="007F2080"/>
    <w:rsid w:val="007F371B"/>
    <w:rsid w:val="007F381A"/>
    <w:rsid w:val="007F40D2"/>
    <w:rsid w:val="007F474B"/>
    <w:rsid w:val="007F4F06"/>
    <w:rsid w:val="007F7217"/>
    <w:rsid w:val="007F78D0"/>
    <w:rsid w:val="00801C0D"/>
    <w:rsid w:val="00802122"/>
    <w:rsid w:val="0080212E"/>
    <w:rsid w:val="00802596"/>
    <w:rsid w:val="008028C1"/>
    <w:rsid w:val="008060EE"/>
    <w:rsid w:val="008064FB"/>
    <w:rsid w:val="00806535"/>
    <w:rsid w:val="0080660E"/>
    <w:rsid w:val="00806DD0"/>
    <w:rsid w:val="00807F6C"/>
    <w:rsid w:val="0081020C"/>
    <w:rsid w:val="00812DBD"/>
    <w:rsid w:val="00813669"/>
    <w:rsid w:val="00814B5C"/>
    <w:rsid w:val="008157F1"/>
    <w:rsid w:val="0081587D"/>
    <w:rsid w:val="008166BF"/>
    <w:rsid w:val="00816A69"/>
    <w:rsid w:val="0081728A"/>
    <w:rsid w:val="00817530"/>
    <w:rsid w:val="00820D5B"/>
    <w:rsid w:val="00822338"/>
    <w:rsid w:val="00822DE2"/>
    <w:rsid w:val="00823103"/>
    <w:rsid w:val="0082314D"/>
    <w:rsid w:val="008249C0"/>
    <w:rsid w:val="00824FE2"/>
    <w:rsid w:val="00826230"/>
    <w:rsid w:val="008267BC"/>
    <w:rsid w:val="008278C5"/>
    <w:rsid w:val="00827EEA"/>
    <w:rsid w:val="00831A0A"/>
    <w:rsid w:val="00831E1B"/>
    <w:rsid w:val="00833679"/>
    <w:rsid w:val="00833B21"/>
    <w:rsid w:val="00833D07"/>
    <w:rsid w:val="008349BD"/>
    <w:rsid w:val="00834CE3"/>
    <w:rsid w:val="00835DD8"/>
    <w:rsid w:val="008373B0"/>
    <w:rsid w:val="0083780A"/>
    <w:rsid w:val="008413E6"/>
    <w:rsid w:val="00841450"/>
    <w:rsid w:val="0084156E"/>
    <w:rsid w:val="00841739"/>
    <w:rsid w:val="00843031"/>
    <w:rsid w:val="008439DF"/>
    <w:rsid w:val="008446B3"/>
    <w:rsid w:val="00844729"/>
    <w:rsid w:val="0084483A"/>
    <w:rsid w:val="00844BE9"/>
    <w:rsid w:val="00844CE8"/>
    <w:rsid w:val="00846C38"/>
    <w:rsid w:val="00846F1D"/>
    <w:rsid w:val="0085136B"/>
    <w:rsid w:val="008523BE"/>
    <w:rsid w:val="008527A1"/>
    <w:rsid w:val="00852E3A"/>
    <w:rsid w:val="00853080"/>
    <w:rsid w:val="008551B6"/>
    <w:rsid w:val="008555AB"/>
    <w:rsid w:val="0085625D"/>
    <w:rsid w:val="00857515"/>
    <w:rsid w:val="00860E50"/>
    <w:rsid w:val="00862936"/>
    <w:rsid w:val="00862B30"/>
    <w:rsid w:val="008630E4"/>
    <w:rsid w:val="00863346"/>
    <w:rsid w:val="008633CA"/>
    <w:rsid w:val="00863EF6"/>
    <w:rsid w:val="00864474"/>
    <w:rsid w:val="00864617"/>
    <w:rsid w:val="008648BE"/>
    <w:rsid w:val="008649F9"/>
    <w:rsid w:val="00864F2C"/>
    <w:rsid w:val="0086765F"/>
    <w:rsid w:val="00867D36"/>
    <w:rsid w:val="00870623"/>
    <w:rsid w:val="008711FF"/>
    <w:rsid w:val="00872257"/>
    <w:rsid w:val="008729B6"/>
    <w:rsid w:val="00872C16"/>
    <w:rsid w:val="008735D6"/>
    <w:rsid w:val="008743A7"/>
    <w:rsid w:val="00874D32"/>
    <w:rsid w:val="008752E8"/>
    <w:rsid w:val="00875309"/>
    <w:rsid w:val="00875E2D"/>
    <w:rsid w:val="00876B48"/>
    <w:rsid w:val="00876E4C"/>
    <w:rsid w:val="008810B9"/>
    <w:rsid w:val="0088218B"/>
    <w:rsid w:val="00882283"/>
    <w:rsid w:val="00882716"/>
    <w:rsid w:val="00884440"/>
    <w:rsid w:val="00884D7A"/>
    <w:rsid w:val="0088539C"/>
    <w:rsid w:val="00885591"/>
    <w:rsid w:val="00885FF6"/>
    <w:rsid w:val="00886DC3"/>
    <w:rsid w:val="008902ED"/>
    <w:rsid w:val="0089095F"/>
    <w:rsid w:val="00890A6B"/>
    <w:rsid w:val="00890DAA"/>
    <w:rsid w:val="0089236E"/>
    <w:rsid w:val="00892EDC"/>
    <w:rsid w:val="008939BD"/>
    <w:rsid w:val="00893B42"/>
    <w:rsid w:val="0089440B"/>
    <w:rsid w:val="00895072"/>
    <w:rsid w:val="00897793"/>
    <w:rsid w:val="008A0A69"/>
    <w:rsid w:val="008A1583"/>
    <w:rsid w:val="008A1801"/>
    <w:rsid w:val="008A1C84"/>
    <w:rsid w:val="008A21C8"/>
    <w:rsid w:val="008A2447"/>
    <w:rsid w:val="008A2937"/>
    <w:rsid w:val="008A37F1"/>
    <w:rsid w:val="008A3D2A"/>
    <w:rsid w:val="008A4032"/>
    <w:rsid w:val="008A40F2"/>
    <w:rsid w:val="008A593A"/>
    <w:rsid w:val="008A6C8C"/>
    <w:rsid w:val="008A7789"/>
    <w:rsid w:val="008B016E"/>
    <w:rsid w:val="008B02D7"/>
    <w:rsid w:val="008B052D"/>
    <w:rsid w:val="008B10EB"/>
    <w:rsid w:val="008B1A29"/>
    <w:rsid w:val="008B249B"/>
    <w:rsid w:val="008B25DA"/>
    <w:rsid w:val="008B3083"/>
    <w:rsid w:val="008B356D"/>
    <w:rsid w:val="008B36C4"/>
    <w:rsid w:val="008B40F2"/>
    <w:rsid w:val="008B6AF2"/>
    <w:rsid w:val="008B7323"/>
    <w:rsid w:val="008B7DA1"/>
    <w:rsid w:val="008C0473"/>
    <w:rsid w:val="008C0738"/>
    <w:rsid w:val="008C0D2A"/>
    <w:rsid w:val="008C1CB1"/>
    <w:rsid w:val="008C1DA1"/>
    <w:rsid w:val="008C2889"/>
    <w:rsid w:val="008C2C1B"/>
    <w:rsid w:val="008C3B0C"/>
    <w:rsid w:val="008C4064"/>
    <w:rsid w:val="008C482C"/>
    <w:rsid w:val="008C5F76"/>
    <w:rsid w:val="008C682F"/>
    <w:rsid w:val="008D027F"/>
    <w:rsid w:val="008D077F"/>
    <w:rsid w:val="008D0C11"/>
    <w:rsid w:val="008D18DA"/>
    <w:rsid w:val="008D1C0E"/>
    <w:rsid w:val="008D2C8E"/>
    <w:rsid w:val="008D3134"/>
    <w:rsid w:val="008D3B14"/>
    <w:rsid w:val="008D55C3"/>
    <w:rsid w:val="008D6F49"/>
    <w:rsid w:val="008D6F60"/>
    <w:rsid w:val="008D7ACA"/>
    <w:rsid w:val="008E0264"/>
    <w:rsid w:val="008E1240"/>
    <w:rsid w:val="008E1780"/>
    <w:rsid w:val="008E1BF5"/>
    <w:rsid w:val="008E2A0D"/>
    <w:rsid w:val="008E2CB8"/>
    <w:rsid w:val="008E3497"/>
    <w:rsid w:val="008E3949"/>
    <w:rsid w:val="008E4075"/>
    <w:rsid w:val="008E4356"/>
    <w:rsid w:val="008E50FC"/>
    <w:rsid w:val="008E544B"/>
    <w:rsid w:val="008E577F"/>
    <w:rsid w:val="008E57C6"/>
    <w:rsid w:val="008E7BD7"/>
    <w:rsid w:val="008F12E4"/>
    <w:rsid w:val="008F330E"/>
    <w:rsid w:val="008F392D"/>
    <w:rsid w:val="008F4A98"/>
    <w:rsid w:val="008F5AFA"/>
    <w:rsid w:val="008F6931"/>
    <w:rsid w:val="008F6A36"/>
    <w:rsid w:val="008F727E"/>
    <w:rsid w:val="008F7B59"/>
    <w:rsid w:val="008F7D12"/>
    <w:rsid w:val="009006F5"/>
    <w:rsid w:val="00900C7C"/>
    <w:rsid w:val="0090138C"/>
    <w:rsid w:val="009022D5"/>
    <w:rsid w:val="009032D9"/>
    <w:rsid w:val="009033AF"/>
    <w:rsid w:val="00903D02"/>
    <w:rsid w:val="0090498E"/>
    <w:rsid w:val="00905AAC"/>
    <w:rsid w:val="00905E4B"/>
    <w:rsid w:val="00906184"/>
    <w:rsid w:val="009079BA"/>
    <w:rsid w:val="009102B6"/>
    <w:rsid w:val="00910772"/>
    <w:rsid w:val="009110EC"/>
    <w:rsid w:val="00911920"/>
    <w:rsid w:val="00911E04"/>
    <w:rsid w:val="00911EAA"/>
    <w:rsid w:val="009121BA"/>
    <w:rsid w:val="009126D2"/>
    <w:rsid w:val="00912B96"/>
    <w:rsid w:val="00912ED4"/>
    <w:rsid w:val="00913118"/>
    <w:rsid w:val="00913548"/>
    <w:rsid w:val="009159D3"/>
    <w:rsid w:val="00916C67"/>
    <w:rsid w:val="00916D13"/>
    <w:rsid w:val="0091741C"/>
    <w:rsid w:val="00920402"/>
    <w:rsid w:val="00920D46"/>
    <w:rsid w:val="009215D0"/>
    <w:rsid w:val="00922A8B"/>
    <w:rsid w:val="00922B84"/>
    <w:rsid w:val="009231AC"/>
    <w:rsid w:val="00923E34"/>
    <w:rsid w:val="00923E75"/>
    <w:rsid w:val="009240A9"/>
    <w:rsid w:val="00924375"/>
    <w:rsid w:val="00924B0A"/>
    <w:rsid w:val="00924BEE"/>
    <w:rsid w:val="00924E51"/>
    <w:rsid w:val="0092597A"/>
    <w:rsid w:val="00925D82"/>
    <w:rsid w:val="00926018"/>
    <w:rsid w:val="009260BE"/>
    <w:rsid w:val="00927741"/>
    <w:rsid w:val="00927C84"/>
    <w:rsid w:val="00927CF5"/>
    <w:rsid w:val="00931AF3"/>
    <w:rsid w:val="00931BA5"/>
    <w:rsid w:val="00932C40"/>
    <w:rsid w:val="009332EA"/>
    <w:rsid w:val="00934F50"/>
    <w:rsid w:val="00935157"/>
    <w:rsid w:val="009352BB"/>
    <w:rsid w:val="00935680"/>
    <w:rsid w:val="00935849"/>
    <w:rsid w:val="00936026"/>
    <w:rsid w:val="0093637C"/>
    <w:rsid w:val="009367E1"/>
    <w:rsid w:val="009375B5"/>
    <w:rsid w:val="0094056D"/>
    <w:rsid w:val="00940D2C"/>
    <w:rsid w:val="00942055"/>
    <w:rsid w:val="00942643"/>
    <w:rsid w:val="00943154"/>
    <w:rsid w:val="00943897"/>
    <w:rsid w:val="00943C5B"/>
    <w:rsid w:val="00943EE0"/>
    <w:rsid w:val="00943F46"/>
    <w:rsid w:val="00944D15"/>
    <w:rsid w:val="00945A5D"/>
    <w:rsid w:val="009502C1"/>
    <w:rsid w:val="00950A2E"/>
    <w:rsid w:val="00950EAF"/>
    <w:rsid w:val="00951291"/>
    <w:rsid w:val="009518CD"/>
    <w:rsid w:val="00951938"/>
    <w:rsid w:val="00952201"/>
    <w:rsid w:val="009525EC"/>
    <w:rsid w:val="00952982"/>
    <w:rsid w:val="00953288"/>
    <w:rsid w:val="009533F7"/>
    <w:rsid w:val="0095384C"/>
    <w:rsid w:val="00953EE2"/>
    <w:rsid w:val="0095519B"/>
    <w:rsid w:val="00956A1D"/>
    <w:rsid w:val="00956C3E"/>
    <w:rsid w:val="009573CB"/>
    <w:rsid w:val="009578EC"/>
    <w:rsid w:val="009609BB"/>
    <w:rsid w:val="009615B5"/>
    <w:rsid w:val="00966500"/>
    <w:rsid w:val="009712DE"/>
    <w:rsid w:val="00971D36"/>
    <w:rsid w:val="00972ACF"/>
    <w:rsid w:val="00972EC1"/>
    <w:rsid w:val="00973896"/>
    <w:rsid w:val="00973D1F"/>
    <w:rsid w:val="00974AF2"/>
    <w:rsid w:val="00974CA9"/>
    <w:rsid w:val="0097605E"/>
    <w:rsid w:val="009771BC"/>
    <w:rsid w:val="009771F9"/>
    <w:rsid w:val="00977446"/>
    <w:rsid w:val="00977A81"/>
    <w:rsid w:val="009802D8"/>
    <w:rsid w:val="00981486"/>
    <w:rsid w:val="00981DBA"/>
    <w:rsid w:val="00982819"/>
    <w:rsid w:val="00982993"/>
    <w:rsid w:val="00982B95"/>
    <w:rsid w:val="00982F34"/>
    <w:rsid w:val="009842CD"/>
    <w:rsid w:val="009844DE"/>
    <w:rsid w:val="00984528"/>
    <w:rsid w:val="00984FC7"/>
    <w:rsid w:val="00985B7E"/>
    <w:rsid w:val="00986057"/>
    <w:rsid w:val="00986A8C"/>
    <w:rsid w:val="00986BB0"/>
    <w:rsid w:val="00990743"/>
    <w:rsid w:val="00990A8F"/>
    <w:rsid w:val="00990F1E"/>
    <w:rsid w:val="009925CF"/>
    <w:rsid w:val="00994314"/>
    <w:rsid w:val="00994706"/>
    <w:rsid w:val="00994975"/>
    <w:rsid w:val="00994C6B"/>
    <w:rsid w:val="00994EAE"/>
    <w:rsid w:val="00995724"/>
    <w:rsid w:val="00995773"/>
    <w:rsid w:val="00995A1C"/>
    <w:rsid w:val="00996C0B"/>
    <w:rsid w:val="009A04A7"/>
    <w:rsid w:val="009A144F"/>
    <w:rsid w:val="009A1B7F"/>
    <w:rsid w:val="009A1C9F"/>
    <w:rsid w:val="009A26A2"/>
    <w:rsid w:val="009A2DEA"/>
    <w:rsid w:val="009A4817"/>
    <w:rsid w:val="009A4C08"/>
    <w:rsid w:val="009A4FBD"/>
    <w:rsid w:val="009A7095"/>
    <w:rsid w:val="009A751B"/>
    <w:rsid w:val="009A7D38"/>
    <w:rsid w:val="009B1276"/>
    <w:rsid w:val="009B194C"/>
    <w:rsid w:val="009B2008"/>
    <w:rsid w:val="009B40C0"/>
    <w:rsid w:val="009B463D"/>
    <w:rsid w:val="009B48C8"/>
    <w:rsid w:val="009B5F80"/>
    <w:rsid w:val="009B74BD"/>
    <w:rsid w:val="009B7BE7"/>
    <w:rsid w:val="009C0484"/>
    <w:rsid w:val="009C096E"/>
    <w:rsid w:val="009C22BA"/>
    <w:rsid w:val="009C39CB"/>
    <w:rsid w:val="009C450B"/>
    <w:rsid w:val="009C51B0"/>
    <w:rsid w:val="009C5AAB"/>
    <w:rsid w:val="009C6AEE"/>
    <w:rsid w:val="009C7030"/>
    <w:rsid w:val="009C7061"/>
    <w:rsid w:val="009C7135"/>
    <w:rsid w:val="009C7D9F"/>
    <w:rsid w:val="009D035B"/>
    <w:rsid w:val="009D0BC9"/>
    <w:rsid w:val="009D0CED"/>
    <w:rsid w:val="009D1596"/>
    <w:rsid w:val="009D250F"/>
    <w:rsid w:val="009D2D1A"/>
    <w:rsid w:val="009D2EC7"/>
    <w:rsid w:val="009D35B7"/>
    <w:rsid w:val="009D3A5D"/>
    <w:rsid w:val="009D3F59"/>
    <w:rsid w:val="009D4BF0"/>
    <w:rsid w:val="009D5C9A"/>
    <w:rsid w:val="009D664A"/>
    <w:rsid w:val="009D6F36"/>
    <w:rsid w:val="009D6FD6"/>
    <w:rsid w:val="009D75A5"/>
    <w:rsid w:val="009D79B4"/>
    <w:rsid w:val="009E0091"/>
    <w:rsid w:val="009E09BD"/>
    <w:rsid w:val="009E4264"/>
    <w:rsid w:val="009E4920"/>
    <w:rsid w:val="009E4EF6"/>
    <w:rsid w:val="009E5C77"/>
    <w:rsid w:val="009E6023"/>
    <w:rsid w:val="009E60DD"/>
    <w:rsid w:val="009E7472"/>
    <w:rsid w:val="009F03CF"/>
    <w:rsid w:val="009F17EF"/>
    <w:rsid w:val="009F2026"/>
    <w:rsid w:val="009F299D"/>
    <w:rsid w:val="009F2EA3"/>
    <w:rsid w:val="009F3037"/>
    <w:rsid w:val="009F41A0"/>
    <w:rsid w:val="009F53F8"/>
    <w:rsid w:val="009F6965"/>
    <w:rsid w:val="009F7265"/>
    <w:rsid w:val="009F7D0A"/>
    <w:rsid w:val="00A0024E"/>
    <w:rsid w:val="00A013EE"/>
    <w:rsid w:val="00A01617"/>
    <w:rsid w:val="00A028E4"/>
    <w:rsid w:val="00A02A7A"/>
    <w:rsid w:val="00A02E83"/>
    <w:rsid w:val="00A039AC"/>
    <w:rsid w:val="00A041A7"/>
    <w:rsid w:val="00A04862"/>
    <w:rsid w:val="00A04B7B"/>
    <w:rsid w:val="00A064B3"/>
    <w:rsid w:val="00A06CB5"/>
    <w:rsid w:val="00A06FE6"/>
    <w:rsid w:val="00A1006A"/>
    <w:rsid w:val="00A106AE"/>
    <w:rsid w:val="00A10A20"/>
    <w:rsid w:val="00A10D1A"/>
    <w:rsid w:val="00A13652"/>
    <w:rsid w:val="00A136CF"/>
    <w:rsid w:val="00A15472"/>
    <w:rsid w:val="00A157AD"/>
    <w:rsid w:val="00A15B8C"/>
    <w:rsid w:val="00A16486"/>
    <w:rsid w:val="00A164B8"/>
    <w:rsid w:val="00A167D4"/>
    <w:rsid w:val="00A16916"/>
    <w:rsid w:val="00A16957"/>
    <w:rsid w:val="00A17B26"/>
    <w:rsid w:val="00A2072D"/>
    <w:rsid w:val="00A2236C"/>
    <w:rsid w:val="00A22877"/>
    <w:rsid w:val="00A233C0"/>
    <w:rsid w:val="00A25260"/>
    <w:rsid w:val="00A25B3E"/>
    <w:rsid w:val="00A26C10"/>
    <w:rsid w:val="00A27388"/>
    <w:rsid w:val="00A27862"/>
    <w:rsid w:val="00A31293"/>
    <w:rsid w:val="00A31ADC"/>
    <w:rsid w:val="00A325D3"/>
    <w:rsid w:val="00A32B6E"/>
    <w:rsid w:val="00A32E8C"/>
    <w:rsid w:val="00A333FE"/>
    <w:rsid w:val="00A334F6"/>
    <w:rsid w:val="00A33A27"/>
    <w:rsid w:val="00A347F5"/>
    <w:rsid w:val="00A35150"/>
    <w:rsid w:val="00A35BC8"/>
    <w:rsid w:val="00A403CB"/>
    <w:rsid w:val="00A40C51"/>
    <w:rsid w:val="00A40CE6"/>
    <w:rsid w:val="00A40E9C"/>
    <w:rsid w:val="00A4186F"/>
    <w:rsid w:val="00A4227C"/>
    <w:rsid w:val="00A42574"/>
    <w:rsid w:val="00A426BD"/>
    <w:rsid w:val="00A42CA3"/>
    <w:rsid w:val="00A443D0"/>
    <w:rsid w:val="00A44CB7"/>
    <w:rsid w:val="00A4524D"/>
    <w:rsid w:val="00A4618F"/>
    <w:rsid w:val="00A4621D"/>
    <w:rsid w:val="00A4694D"/>
    <w:rsid w:val="00A47196"/>
    <w:rsid w:val="00A47281"/>
    <w:rsid w:val="00A47375"/>
    <w:rsid w:val="00A475A7"/>
    <w:rsid w:val="00A47E39"/>
    <w:rsid w:val="00A47FD8"/>
    <w:rsid w:val="00A506A6"/>
    <w:rsid w:val="00A53067"/>
    <w:rsid w:val="00A5309E"/>
    <w:rsid w:val="00A5406B"/>
    <w:rsid w:val="00A54D5B"/>
    <w:rsid w:val="00A56919"/>
    <w:rsid w:val="00A57257"/>
    <w:rsid w:val="00A60570"/>
    <w:rsid w:val="00A60BF0"/>
    <w:rsid w:val="00A61028"/>
    <w:rsid w:val="00A61063"/>
    <w:rsid w:val="00A61B71"/>
    <w:rsid w:val="00A61C08"/>
    <w:rsid w:val="00A61C69"/>
    <w:rsid w:val="00A621BB"/>
    <w:rsid w:val="00A63206"/>
    <w:rsid w:val="00A632FA"/>
    <w:rsid w:val="00A64E8E"/>
    <w:rsid w:val="00A655C3"/>
    <w:rsid w:val="00A6572A"/>
    <w:rsid w:val="00A657E2"/>
    <w:rsid w:val="00A65D0A"/>
    <w:rsid w:val="00A661D0"/>
    <w:rsid w:val="00A664A1"/>
    <w:rsid w:val="00A66508"/>
    <w:rsid w:val="00A66975"/>
    <w:rsid w:val="00A66F7E"/>
    <w:rsid w:val="00A66FFF"/>
    <w:rsid w:val="00A6759A"/>
    <w:rsid w:val="00A6788D"/>
    <w:rsid w:val="00A7123C"/>
    <w:rsid w:val="00A71303"/>
    <w:rsid w:val="00A73A6B"/>
    <w:rsid w:val="00A749CA"/>
    <w:rsid w:val="00A74CCE"/>
    <w:rsid w:val="00A75266"/>
    <w:rsid w:val="00A75441"/>
    <w:rsid w:val="00A776F5"/>
    <w:rsid w:val="00A77B09"/>
    <w:rsid w:val="00A77BA2"/>
    <w:rsid w:val="00A80371"/>
    <w:rsid w:val="00A810B6"/>
    <w:rsid w:val="00A8211D"/>
    <w:rsid w:val="00A83450"/>
    <w:rsid w:val="00A842BB"/>
    <w:rsid w:val="00A847F5"/>
    <w:rsid w:val="00A84BDB"/>
    <w:rsid w:val="00A84CBB"/>
    <w:rsid w:val="00A850E4"/>
    <w:rsid w:val="00A85C07"/>
    <w:rsid w:val="00A86912"/>
    <w:rsid w:val="00A86A17"/>
    <w:rsid w:val="00A86C68"/>
    <w:rsid w:val="00A90ECA"/>
    <w:rsid w:val="00A92BA1"/>
    <w:rsid w:val="00A92BAD"/>
    <w:rsid w:val="00A93397"/>
    <w:rsid w:val="00A94B38"/>
    <w:rsid w:val="00A94CC9"/>
    <w:rsid w:val="00A951F1"/>
    <w:rsid w:val="00AA0452"/>
    <w:rsid w:val="00AA1AE9"/>
    <w:rsid w:val="00AA2E19"/>
    <w:rsid w:val="00AA3041"/>
    <w:rsid w:val="00AA5C98"/>
    <w:rsid w:val="00AA62ED"/>
    <w:rsid w:val="00AA66F9"/>
    <w:rsid w:val="00AA6845"/>
    <w:rsid w:val="00AA795F"/>
    <w:rsid w:val="00AA7B2F"/>
    <w:rsid w:val="00AB0E75"/>
    <w:rsid w:val="00AB145B"/>
    <w:rsid w:val="00AB15CB"/>
    <w:rsid w:val="00AB2267"/>
    <w:rsid w:val="00AB44FE"/>
    <w:rsid w:val="00AB450E"/>
    <w:rsid w:val="00AB47EB"/>
    <w:rsid w:val="00AB4B7B"/>
    <w:rsid w:val="00AB6319"/>
    <w:rsid w:val="00AB68F8"/>
    <w:rsid w:val="00AC02DA"/>
    <w:rsid w:val="00AC09FB"/>
    <w:rsid w:val="00AC2005"/>
    <w:rsid w:val="00AC2245"/>
    <w:rsid w:val="00AC23B0"/>
    <w:rsid w:val="00AC2C37"/>
    <w:rsid w:val="00AC315F"/>
    <w:rsid w:val="00AC3552"/>
    <w:rsid w:val="00AC38C5"/>
    <w:rsid w:val="00AC39DD"/>
    <w:rsid w:val="00AC4453"/>
    <w:rsid w:val="00AC44DD"/>
    <w:rsid w:val="00AC5506"/>
    <w:rsid w:val="00AC6E9D"/>
    <w:rsid w:val="00AC7857"/>
    <w:rsid w:val="00AD0EA6"/>
    <w:rsid w:val="00AD1CF0"/>
    <w:rsid w:val="00AD1DA0"/>
    <w:rsid w:val="00AD2D07"/>
    <w:rsid w:val="00AD2E7A"/>
    <w:rsid w:val="00AD302A"/>
    <w:rsid w:val="00AD41B8"/>
    <w:rsid w:val="00AD47F8"/>
    <w:rsid w:val="00AD4CBB"/>
    <w:rsid w:val="00AD4F4E"/>
    <w:rsid w:val="00AD52E0"/>
    <w:rsid w:val="00AD5C22"/>
    <w:rsid w:val="00AE18AD"/>
    <w:rsid w:val="00AE2A09"/>
    <w:rsid w:val="00AE2DB1"/>
    <w:rsid w:val="00AE331B"/>
    <w:rsid w:val="00AE3A8B"/>
    <w:rsid w:val="00AE3BA1"/>
    <w:rsid w:val="00AE4310"/>
    <w:rsid w:val="00AE4811"/>
    <w:rsid w:val="00AE492B"/>
    <w:rsid w:val="00AE6A99"/>
    <w:rsid w:val="00AE6E7B"/>
    <w:rsid w:val="00AE708A"/>
    <w:rsid w:val="00AE7A59"/>
    <w:rsid w:val="00AF0CC6"/>
    <w:rsid w:val="00AF0D29"/>
    <w:rsid w:val="00AF1740"/>
    <w:rsid w:val="00AF17A2"/>
    <w:rsid w:val="00AF181F"/>
    <w:rsid w:val="00AF25F7"/>
    <w:rsid w:val="00AF37B0"/>
    <w:rsid w:val="00B00671"/>
    <w:rsid w:val="00B006C9"/>
    <w:rsid w:val="00B00931"/>
    <w:rsid w:val="00B03A8E"/>
    <w:rsid w:val="00B04457"/>
    <w:rsid w:val="00B04889"/>
    <w:rsid w:val="00B04A22"/>
    <w:rsid w:val="00B05BD9"/>
    <w:rsid w:val="00B060B3"/>
    <w:rsid w:val="00B0613A"/>
    <w:rsid w:val="00B070AC"/>
    <w:rsid w:val="00B075B2"/>
    <w:rsid w:val="00B075C2"/>
    <w:rsid w:val="00B07629"/>
    <w:rsid w:val="00B10156"/>
    <w:rsid w:val="00B10289"/>
    <w:rsid w:val="00B1030A"/>
    <w:rsid w:val="00B10D4F"/>
    <w:rsid w:val="00B11466"/>
    <w:rsid w:val="00B118DB"/>
    <w:rsid w:val="00B120AF"/>
    <w:rsid w:val="00B1230A"/>
    <w:rsid w:val="00B12CBE"/>
    <w:rsid w:val="00B13465"/>
    <w:rsid w:val="00B136FB"/>
    <w:rsid w:val="00B14197"/>
    <w:rsid w:val="00B141F0"/>
    <w:rsid w:val="00B1434D"/>
    <w:rsid w:val="00B173FF"/>
    <w:rsid w:val="00B178AB"/>
    <w:rsid w:val="00B207E2"/>
    <w:rsid w:val="00B211C1"/>
    <w:rsid w:val="00B2139B"/>
    <w:rsid w:val="00B213BF"/>
    <w:rsid w:val="00B21ABA"/>
    <w:rsid w:val="00B222F8"/>
    <w:rsid w:val="00B245A7"/>
    <w:rsid w:val="00B25EF0"/>
    <w:rsid w:val="00B266FC"/>
    <w:rsid w:val="00B30DEA"/>
    <w:rsid w:val="00B3230A"/>
    <w:rsid w:val="00B325FC"/>
    <w:rsid w:val="00B329D0"/>
    <w:rsid w:val="00B32F8A"/>
    <w:rsid w:val="00B33006"/>
    <w:rsid w:val="00B33D53"/>
    <w:rsid w:val="00B35D0C"/>
    <w:rsid w:val="00B36B71"/>
    <w:rsid w:val="00B36BC5"/>
    <w:rsid w:val="00B36E46"/>
    <w:rsid w:val="00B37398"/>
    <w:rsid w:val="00B37735"/>
    <w:rsid w:val="00B37A8A"/>
    <w:rsid w:val="00B37D86"/>
    <w:rsid w:val="00B42DDE"/>
    <w:rsid w:val="00B43CE1"/>
    <w:rsid w:val="00B4518D"/>
    <w:rsid w:val="00B46CB2"/>
    <w:rsid w:val="00B47ED9"/>
    <w:rsid w:val="00B5110B"/>
    <w:rsid w:val="00B51388"/>
    <w:rsid w:val="00B5160D"/>
    <w:rsid w:val="00B51D3A"/>
    <w:rsid w:val="00B51F59"/>
    <w:rsid w:val="00B5262B"/>
    <w:rsid w:val="00B527D2"/>
    <w:rsid w:val="00B52CFE"/>
    <w:rsid w:val="00B53098"/>
    <w:rsid w:val="00B537B7"/>
    <w:rsid w:val="00B54132"/>
    <w:rsid w:val="00B54154"/>
    <w:rsid w:val="00B55523"/>
    <w:rsid w:val="00B55D2A"/>
    <w:rsid w:val="00B55D99"/>
    <w:rsid w:val="00B56B78"/>
    <w:rsid w:val="00B56BAD"/>
    <w:rsid w:val="00B57290"/>
    <w:rsid w:val="00B57353"/>
    <w:rsid w:val="00B60170"/>
    <w:rsid w:val="00B613C3"/>
    <w:rsid w:val="00B61616"/>
    <w:rsid w:val="00B61F27"/>
    <w:rsid w:val="00B62831"/>
    <w:rsid w:val="00B647E1"/>
    <w:rsid w:val="00B64D7C"/>
    <w:rsid w:val="00B6571B"/>
    <w:rsid w:val="00B65DD2"/>
    <w:rsid w:val="00B66F43"/>
    <w:rsid w:val="00B67BBA"/>
    <w:rsid w:val="00B711EF"/>
    <w:rsid w:val="00B723CD"/>
    <w:rsid w:val="00B74D26"/>
    <w:rsid w:val="00B75FC2"/>
    <w:rsid w:val="00B76ED8"/>
    <w:rsid w:val="00B806F7"/>
    <w:rsid w:val="00B80995"/>
    <w:rsid w:val="00B82CEA"/>
    <w:rsid w:val="00B84C7D"/>
    <w:rsid w:val="00B850C6"/>
    <w:rsid w:val="00B857B5"/>
    <w:rsid w:val="00B85F22"/>
    <w:rsid w:val="00B85FBC"/>
    <w:rsid w:val="00B86BE8"/>
    <w:rsid w:val="00B86CD5"/>
    <w:rsid w:val="00B86D38"/>
    <w:rsid w:val="00B86E10"/>
    <w:rsid w:val="00B908DC"/>
    <w:rsid w:val="00B91126"/>
    <w:rsid w:val="00B9114B"/>
    <w:rsid w:val="00B91632"/>
    <w:rsid w:val="00B9173C"/>
    <w:rsid w:val="00B9247A"/>
    <w:rsid w:val="00B93355"/>
    <w:rsid w:val="00B938CC"/>
    <w:rsid w:val="00B94071"/>
    <w:rsid w:val="00B95113"/>
    <w:rsid w:val="00B951EC"/>
    <w:rsid w:val="00B95A78"/>
    <w:rsid w:val="00B95B98"/>
    <w:rsid w:val="00B95EF0"/>
    <w:rsid w:val="00B963F6"/>
    <w:rsid w:val="00B965F3"/>
    <w:rsid w:val="00B96B2F"/>
    <w:rsid w:val="00B96EBC"/>
    <w:rsid w:val="00BA08FE"/>
    <w:rsid w:val="00BA2378"/>
    <w:rsid w:val="00BA2543"/>
    <w:rsid w:val="00BA2A28"/>
    <w:rsid w:val="00BA365E"/>
    <w:rsid w:val="00BA367D"/>
    <w:rsid w:val="00BA3C91"/>
    <w:rsid w:val="00BA5306"/>
    <w:rsid w:val="00BA60ED"/>
    <w:rsid w:val="00BA756E"/>
    <w:rsid w:val="00BA7933"/>
    <w:rsid w:val="00BA7AB1"/>
    <w:rsid w:val="00BB02C7"/>
    <w:rsid w:val="00BB1644"/>
    <w:rsid w:val="00BB260B"/>
    <w:rsid w:val="00BB4282"/>
    <w:rsid w:val="00BB4C1F"/>
    <w:rsid w:val="00BB5199"/>
    <w:rsid w:val="00BB5753"/>
    <w:rsid w:val="00BB6CE2"/>
    <w:rsid w:val="00BB7299"/>
    <w:rsid w:val="00BB7627"/>
    <w:rsid w:val="00BB786D"/>
    <w:rsid w:val="00BC0563"/>
    <w:rsid w:val="00BC2210"/>
    <w:rsid w:val="00BC345C"/>
    <w:rsid w:val="00BC3701"/>
    <w:rsid w:val="00BC44B7"/>
    <w:rsid w:val="00BC4F0C"/>
    <w:rsid w:val="00BC54CF"/>
    <w:rsid w:val="00BC6411"/>
    <w:rsid w:val="00BC716D"/>
    <w:rsid w:val="00BC7779"/>
    <w:rsid w:val="00BC7F1D"/>
    <w:rsid w:val="00BD07AE"/>
    <w:rsid w:val="00BD1DD7"/>
    <w:rsid w:val="00BD1DD9"/>
    <w:rsid w:val="00BD2F32"/>
    <w:rsid w:val="00BD34D4"/>
    <w:rsid w:val="00BD3D04"/>
    <w:rsid w:val="00BD51D0"/>
    <w:rsid w:val="00BD5AC2"/>
    <w:rsid w:val="00BD6774"/>
    <w:rsid w:val="00BD6C60"/>
    <w:rsid w:val="00BD79AE"/>
    <w:rsid w:val="00BE0E75"/>
    <w:rsid w:val="00BE10B3"/>
    <w:rsid w:val="00BE1768"/>
    <w:rsid w:val="00BE3566"/>
    <w:rsid w:val="00BE36DF"/>
    <w:rsid w:val="00BE3B00"/>
    <w:rsid w:val="00BE3CAA"/>
    <w:rsid w:val="00BE3D1C"/>
    <w:rsid w:val="00BE3FCA"/>
    <w:rsid w:val="00BE4EFE"/>
    <w:rsid w:val="00BE6A2C"/>
    <w:rsid w:val="00BE70A8"/>
    <w:rsid w:val="00BE7266"/>
    <w:rsid w:val="00BF1014"/>
    <w:rsid w:val="00BF153B"/>
    <w:rsid w:val="00BF1F57"/>
    <w:rsid w:val="00BF1FC7"/>
    <w:rsid w:val="00BF2172"/>
    <w:rsid w:val="00BF2183"/>
    <w:rsid w:val="00BF2319"/>
    <w:rsid w:val="00BF2B4C"/>
    <w:rsid w:val="00BF335D"/>
    <w:rsid w:val="00BF46FF"/>
    <w:rsid w:val="00BF48BB"/>
    <w:rsid w:val="00BF53C5"/>
    <w:rsid w:val="00BF5459"/>
    <w:rsid w:val="00BF559C"/>
    <w:rsid w:val="00BF58F9"/>
    <w:rsid w:val="00BF5B1E"/>
    <w:rsid w:val="00BF60BA"/>
    <w:rsid w:val="00BF6148"/>
    <w:rsid w:val="00BF62C0"/>
    <w:rsid w:val="00BF67F6"/>
    <w:rsid w:val="00BF79D2"/>
    <w:rsid w:val="00C005E6"/>
    <w:rsid w:val="00C00C63"/>
    <w:rsid w:val="00C01234"/>
    <w:rsid w:val="00C01247"/>
    <w:rsid w:val="00C028B4"/>
    <w:rsid w:val="00C04DEC"/>
    <w:rsid w:val="00C05650"/>
    <w:rsid w:val="00C05D11"/>
    <w:rsid w:val="00C06A2E"/>
    <w:rsid w:val="00C06DC0"/>
    <w:rsid w:val="00C10207"/>
    <w:rsid w:val="00C121E8"/>
    <w:rsid w:val="00C131A3"/>
    <w:rsid w:val="00C13533"/>
    <w:rsid w:val="00C13696"/>
    <w:rsid w:val="00C1425C"/>
    <w:rsid w:val="00C1505C"/>
    <w:rsid w:val="00C160CC"/>
    <w:rsid w:val="00C16BAC"/>
    <w:rsid w:val="00C22307"/>
    <w:rsid w:val="00C24BDF"/>
    <w:rsid w:val="00C25C86"/>
    <w:rsid w:val="00C26DA5"/>
    <w:rsid w:val="00C302DA"/>
    <w:rsid w:val="00C317BD"/>
    <w:rsid w:val="00C35099"/>
    <w:rsid w:val="00C35CA7"/>
    <w:rsid w:val="00C3658F"/>
    <w:rsid w:val="00C40C9B"/>
    <w:rsid w:val="00C41280"/>
    <w:rsid w:val="00C42604"/>
    <w:rsid w:val="00C42A8A"/>
    <w:rsid w:val="00C42CA7"/>
    <w:rsid w:val="00C43157"/>
    <w:rsid w:val="00C43397"/>
    <w:rsid w:val="00C4383C"/>
    <w:rsid w:val="00C44022"/>
    <w:rsid w:val="00C44A98"/>
    <w:rsid w:val="00C44B1C"/>
    <w:rsid w:val="00C451A3"/>
    <w:rsid w:val="00C457AF"/>
    <w:rsid w:val="00C45E0F"/>
    <w:rsid w:val="00C462BB"/>
    <w:rsid w:val="00C470EA"/>
    <w:rsid w:val="00C47331"/>
    <w:rsid w:val="00C47341"/>
    <w:rsid w:val="00C47CC6"/>
    <w:rsid w:val="00C5056D"/>
    <w:rsid w:val="00C50B58"/>
    <w:rsid w:val="00C5321C"/>
    <w:rsid w:val="00C55DE2"/>
    <w:rsid w:val="00C561F1"/>
    <w:rsid w:val="00C56469"/>
    <w:rsid w:val="00C57D8B"/>
    <w:rsid w:val="00C6126C"/>
    <w:rsid w:val="00C61808"/>
    <w:rsid w:val="00C619D0"/>
    <w:rsid w:val="00C61BB7"/>
    <w:rsid w:val="00C626DB"/>
    <w:rsid w:val="00C62DEE"/>
    <w:rsid w:val="00C64AE4"/>
    <w:rsid w:val="00C65107"/>
    <w:rsid w:val="00C66048"/>
    <w:rsid w:val="00C66C51"/>
    <w:rsid w:val="00C66F6C"/>
    <w:rsid w:val="00C67457"/>
    <w:rsid w:val="00C676C5"/>
    <w:rsid w:val="00C706EE"/>
    <w:rsid w:val="00C70967"/>
    <w:rsid w:val="00C71B0C"/>
    <w:rsid w:val="00C7204E"/>
    <w:rsid w:val="00C72ED7"/>
    <w:rsid w:val="00C73DB6"/>
    <w:rsid w:val="00C73F43"/>
    <w:rsid w:val="00C75439"/>
    <w:rsid w:val="00C7547D"/>
    <w:rsid w:val="00C75BFA"/>
    <w:rsid w:val="00C76D66"/>
    <w:rsid w:val="00C802FD"/>
    <w:rsid w:val="00C82074"/>
    <w:rsid w:val="00C82675"/>
    <w:rsid w:val="00C84708"/>
    <w:rsid w:val="00C85908"/>
    <w:rsid w:val="00C8634E"/>
    <w:rsid w:val="00C86D96"/>
    <w:rsid w:val="00C90076"/>
    <w:rsid w:val="00C90529"/>
    <w:rsid w:val="00C908B3"/>
    <w:rsid w:val="00C911FC"/>
    <w:rsid w:val="00C91641"/>
    <w:rsid w:val="00C9193D"/>
    <w:rsid w:val="00C93F6F"/>
    <w:rsid w:val="00C94AE1"/>
    <w:rsid w:val="00C94D99"/>
    <w:rsid w:val="00C96C4C"/>
    <w:rsid w:val="00C97E89"/>
    <w:rsid w:val="00CA00D8"/>
    <w:rsid w:val="00CA0D0A"/>
    <w:rsid w:val="00CA1281"/>
    <w:rsid w:val="00CA236A"/>
    <w:rsid w:val="00CA26F7"/>
    <w:rsid w:val="00CA2A58"/>
    <w:rsid w:val="00CA3482"/>
    <w:rsid w:val="00CA6390"/>
    <w:rsid w:val="00CA67F8"/>
    <w:rsid w:val="00CA69A2"/>
    <w:rsid w:val="00CA71C2"/>
    <w:rsid w:val="00CA750E"/>
    <w:rsid w:val="00CB14E2"/>
    <w:rsid w:val="00CB19DF"/>
    <w:rsid w:val="00CB1FDD"/>
    <w:rsid w:val="00CB302B"/>
    <w:rsid w:val="00CB33BA"/>
    <w:rsid w:val="00CB356D"/>
    <w:rsid w:val="00CB4346"/>
    <w:rsid w:val="00CB45BA"/>
    <w:rsid w:val="00CB4A8E"/>
    <w:rsid w:val="00CB4C9A"/>
    <w:rsid w:val="00CB4F58"/>
    <w:rsid w:val="00CB6604"/>
    <w:rsid w:val="00CB66BB"/>
    <w:rsid w:val="00CB67FA"/>
    <w:rsid w:val="00CB7932"/>
    <w:rsid w:val="00CC337D"/>
    <w:rsid w:val="00CC364C"/>
    <w:rsid w:val="00CC5310"/>
    <w:rsid w:val="00CC6B07"/>
    <w:rsid w:val="00CC7806"/>
    <w:rsid w:val="00CC7A30"/>
    <w:rsid w:val="00CC7D81"/>
    <w:rsid w:val="00CD01A6"/>
    <w:rsid w:val="00CD1554"/>
    <w:rsid w:val="00CD18AF"/>
    <w:rsid w:val="00CD1B6A"/>
    <w:rsid w:val="00CD248C"/>
    <w:rsid w:val="00CD3411"/>
    <w:rsid w:val="00CD5468"/>
    <w:rsid w:val="00CD64C2"/>
    <w:rsid w:val="00CD68B8"/>
    <w:rsid w:val="00CE020E"/>
    <w:rsid w:val="00CE0922"/>
    <w:rsid w:val="00CE0F0C"/>
    <w:rsid w:val="00CE33F8"/>
    <w:rsid w:val="00CE3618"/>
    <w:rsid w:val="00CE4C07"/>
    <w:rsid w:val="00CE54EE"/>
    <w:rsid w:val="00CE5923"/>
    <w:rsid w:val="00CE68AB"/>
    <w:rsid w:val="00CE6A00"/>
    <w:rsid w:val="00CE6C46"/>
    <w:rsid w:val="00CE6D22"/>
    <w:rsid w:val="00CE7092"/>
    <w:rsid w:val="00CE7425"/>
    <w:rsid w:val="00CE76C2"/>
    <w:rsid w:val="00CF07D4"/>
    <w:rsid w:val="00CF084D"/>
    <w:rsid w:val="00CF0BB7"/>
    <w:rsid w:val="00CF101C"/>
    <w:rsid w:val="00CF1FEE"/>
    <w:rsid w:val="00CF27B6"/>
    <w:rsid w:val="00CF2D3F"/>
    <w:rsid w:val="00CF3300"/>
    <w:rsid w:val="00CF383A"/>
    <w:rsid w:val="00CF44E1"/>
    <w:rsid w:val="00CF670D"/>
    <w:rsid w:val="00CF7305"/>
    <w:rsid w:val="00CF788B"/>
    <w:rsid w:val="00D000B3"/>
    <w:rsid w:val="00D00AF4"/>
    <w:rsid w:val="00D01912"/>
    <w:rsid w:val="00D01B03"/>
    <w:rsid w:val="00D024DF"/>
    <w:rsid w:val="00D02C5E"/>
    <w:rsid w:val="00D02D3D"/>
    <w:rsid w:val="00D03A32"/>
    <w:rsid w:val="00D04EC9"/>
    <w:rsid w:val="00D0656E"/>
    <w:rsid w:val="00D070A3"/>
    <w:rsid w:val="00D0786E"/>
    <w:rsid w:val="00D108EC"/>
    <w:rsid w:val="00D151CE"/>
    <w:rsid w:val="00D1577F"/>
    <w:rsid w:val="00D159CD"/>
    <w:rsid w:val="00D163E5"/>
    <w:rsid w:val="00D17B12"/>
    <w:rsid w:val="00D20645"/>
    <w:rsid w:val="00D207EF"/>
    <w:rsid w:val="00D20EBF"/>
    <w:rsid w:val="00D211E2"/>
    <w:rsid w:val="00D2257F"/>
    <w:rsid w:val="00D22EC9"/>
    <w:rsid w:val="00D23146"/>
    <w:rsid w:val="00D2315A"/>
    <w:rsid w:val="00D252E0"/>
    <w:rsid w:val="00D2560A"/>
    <w:rsid w:val="00D2583B"/>
    <w:rsid w:val="00D2614D"/>
    <w:rsid w:val="00D27132"/>
    <w:rsid w:val="00D279AB"/>
    <w:rsid w:val="00D30478"/>
    <w:rsid w:val="00D30EB4"/>
    <w:rsid w:val="00D30F25"/>
    <w:rsid w:val="00D310C1"/>
    <w:rsid w:val="00D31B1F"/>
    <w:rsid w:val="00D32962"/>
    <w:rsid w:val="00D32AA5"/>
    <w:rsid w:val="00D3393B"/>
    <w:rsid w:val="00D34B50"/>
    <w:rsid w:val="00D34CE4"/>
    <w:rsid w:val="00D35975"/>
    <w:rsid w:val="00D35A13"/>
    <w:rsid w:val="00D361AD"/>
    <w:rsid w:val="00D361C6"/>
    <w:rsid w:val="00D37612"/>
    <w:rsid w:val="00D379C0"/>
    <w:rsid w:val="00D37CCD"/>
    <w:rsid w:val="00D37CDD"/>
    <w:rsid w:val="00D40406"/>
    <w:rsid w:val="00D41223"/>
    <w:rsid w:val="00D414EF"/>
    <w:rsid w:val="00D417B7"/>
    <w:rsid w:val="00D41E47"/>
    <w:rsid w:val="00D43551"/>
    <w:rsid w:val="00D442F5"/>
    <w:rsid w:val="00D44373"/>
    <w:rsid w:val="00D4492C"/>
    <w:rsid w:val="00D475FE"/>
    <w:rsid w:val="00D47CC4"/>
    <w:rsid w:val="00D5012F"/>
    <w:rsid w:val="00D50BD5"/>
    <w:rsid w:val="00D50C37"/>
    <w:rsid w:val="00D511FA"/>
    <w:rsid w:val="00D51955"/>
    <w:rsid w:val="00D526D7"/>
    <w:rsid w:val="00D52D1B"/>
    <w:rsid w:val="00D5311B"/>
    <w:rsid w:val="00D536E5"/>
    <w:rsid w:val="00D543DF"/>
    <w:rsid w:val="00D546DE"/>
    <w:rsid w:val="00D550DB"/>
    <w:rsid w:val="00D552A9"/>
    <w:rsid w:val="00D5567A"/>
    <w:rsid w:val="00D56C8A"/>
    <w:rsid w:val="00D60764"/>
    <w:rsid w:val="00D6080E"/>
    <w:rsid w:val="00D6373F"/>
    <w:rsid w:val="00D63BD3"/>
    <w:rsid w:val="00D644F6"/>
    <w:rsid w:val="00D64CE7"/>
    <w:rsid w:val="00D64FA5"/>
    <w:rsid w:val="00D65106"/>
    <w:rsid w:val="00D658B0"/>
    <w:rsid w:val="00D66991"/>
    <w:rsid w:val="00D66E9C"/>
    <w:rsid w:val="00D67576"/>
    <w:rsid w:val="00D67D42"/>
    <w:rsid w:val="00D70900"/>
    <w:rsid w:val="00D71563"/>
    <w:rsid w:val="00D72324"/>
    <w:rsid w:val="00D725F0"/>
    <w:rsid w:val="00D73A3E"/>
    <w:rsid w:val="00D73AC7"/>
    <w:rsid w:val="00D748DA"/>
    <w:rsid w:val="00D74A24"/>
    <w:rsid w:val="00D74B7A"/>
    <w:rsid w:val="00D75EE0"/>
    <w:rsid w:val="00D76931"/>
    <w:rsid w:val="00D76DC6"/>
    <w:rsid w:val="00D80334"/>
    <w:rsid w:val="00D8088B"/>
    <w:rsid w:val="00D81CAA"/>
    <w:rsid w:val="00D81E9D"/>
    <w:rsid w:val="00D83D2B"/>
    <w:rsid w:val="00D84108"/>
    <w:rsid w:val="00D8424D"/>
    <w:rsid w:val="00D8469A"/>
    <w:rsid w:val="00D84EE9"/>
    <w:rsid w:val="00D84F3A"/>
    <w:rsid w:val="00D85E1C"/>
    <w:rsid w:val="00D864BA"/>
    <w:rsid w:val="00D871C0"/>
    <w:rsid w:val="00D872CB"/>
    <w:rsid w:val="00D874DB"/>
    <w:rsid w:val="00D87EFB"/>
    <w:rsid w:val="00D90B72"/>
    <w:rsid w:val="00D91CF1"/>
    <w:rsid w:val="00D9207B"/>
    <w:rsid w:val="00D92355"/>
    <w:rsid w:val="00D93E0C"/>
    <w:rsid w:val="00D93FDB"/>
    <w:rsid w:val="00D94BE1"/>
    <w:rsid w:val="00D952FE"/>
    <w:rsid w:val="00D95661"/>
    <w:rsid w:val="00D96498"/>
    <w:rsid w:val="00D97991"/>
    <w:rsid w:val="00DA0417"/>
    <w:rsid w:val="00DA086E"/>
    <w:rsid w:val="00DA211C"/>
    <w:rsid w:val="00DA2B6C"/>
    <w:rsid w:val="00DA344C"/>
    <w:rsid w:val="00DA34B9"/>
    <w:rsid w:val="00DA36C6"/>
    <w:rsid w:val="00DA3749"/>
    <w:rsid w:val="00DA3CFE"/>
    <w:rsid w:val="00DA5835"/>
    <w:rsid w:val="00DA611C"/>
    <w:rsid w:val="00DA6CEE"/>
    <w:rsid w:val="00DA70CC"/>
    <w:rsid w:val="00DB05F2"/>
    <w:rsid w:val="00DB0E9B"/>
    <w:rsid w:val="00DB20C2"/>
    <w:rsid w:val="00DB3028"/>
    <w:rsid w:val="00DB66E7"/>
    <w:rsid w:val="00DB7BCF"/>
    <w:rsid w:val="00DB7E39"/>
    <w:rsid w:val="00DC0105"/>
    <w:rsid w:val="00DC02FF"/>
    <w:rsid w:val="00DC1C3F"/>
    <w:rsid w:val="00DC21FD"/>
    <w:rsid w:val="00DC2712"/>
    <w:rsid w:val="00DC31AA"/>
    <w:rsid w:val="00DC3C73"/>
    <w:rsid w:val="00DC4488"/>
    <w:rsid w:val="00DC58DC"/>
    <w:rsid w:val="00DC5AAB"/>
    <w:rsid w:val="00DC674E"/>
    <w:rsid w:val="00DC6E1A"/>
    <w:rsid w:val="00DC6FD1"/>
    <w:rsid w:val="00DC7AE0"/>
    <w:rsid w:val="00DC7AF1"/>
    <w:rsid w:val="00DC7E13"/>
    <w:rsid w:val="00DD3CB0"/>
    <w:rsid w:val="00DD3E71"/>
    <w:rsid w:val="00DD53B7"/>
    <w:rsid w:val="00DD5B45"/>
    <w:rsid w:val="00DD5F49"/>
    <w:rsid w:val="00DD79D5"/>
    <w:rsid w:val="00DD7CAF"/>
    <w:rsid w:val="00DE335C"/>
    <w:rsid w:val="00DE3E80"/>
    <w:rsid w:val="00DE43CF"/>
    <w:rsid w:val="00DE6457"/>
    <w:rsid w:val="00DE7517"/>
    <w:rsid w:val="00DF052B"/>
    <w:rsid w:val="00DF0A17"/>
    <w:rsid w:val="00DF10CE"/>
    <w:rsid w:val="00DF1A90"/>
    <w:rsid w:val="00DF2A41"/>
    <w:rsid w:val="00DF3500"/>
    <w:rsid w:val="00DF39E3"/>
    <w:rsid w:val="00DF3A5C"/>
    <w:rsid w:val="00DF3BE7"/>
    <w:rsid w:val="00DF415E"/>
    <w:rsid w:val="00DF4603"/>
    <w:rsid w:val="00DF4CF2"/>
    <w:rsid w:val="00E012F9"/>
    <w:rsid w:val="00E01316"/>
    <w:rsid w:val="00E018B4"/>
    <w:rsid w:val="00E046EE"/>
    <w:rsid w:val="00E056E5"/>
    <w:rsid w:val="00E05738"/>
    <w:rsid w:val="00E0671E"/>
    <w:rsid w:val="00E06878"/>
    <w:rsid w:val="00E07E42"/>
    <w:rsid w:val="00E11813"/>
    <w:rsid w:val="00E12104"/>
    <w:rsid w:val="00E12821"/>
    <w:rsid w:val="00E12922"/>
    <w:rsid w:val="00E14116"/>
    <w:rsid w:val="00E14F6F"/>
    <w:rsid w:val="00E155E9"/>
    <w:rsid w:val="00E15848"/>
    <w:rsid w:val="00E15B96"/>
    <w:rsid w:val="00E15D1B"/>
    <w:rsid w:val="00E163D1"/>
    <w:rsid w:val="00E17EDC"/>
    <w:rsid w:val="00E203C4"/>
    <w:rsid w:val="00E203C7"/>
    <w:rsid w:val="00E20447"/>
    <w:rsid w:val="00E20E4B"/>
    <w:rsid w:val="00E210FC"/>
    <w:rsid w:val="00E22036"/>
    <w:rsid w:val="00E2220F"/>
    <w:rsid w:val="00E22FE3"/>
    <w:rsid w:val="00E2544D"/>
    <w:rsid w:val="00E255BD"/>
    <w:rsid w:val="00E25903"/>
    <w:rsid w:val="00E25AD3"/>
    <w:rsid w:val="00E25BCC"/>
    <w:rsid w:val="00E266B1"/>
    <w:rsid w:val="00E27F3B"/>
    <w:rsid w:val="00E3096A"/>
    <w:rsid w:val="00E33D12"/>
    <w:rsid w:val="00E35B33"/>
    <w:rsid w:val="00E3656D"/>
    <w:rsid w:val="00E36931"/>
    <w:rsid w:val="00E36EFB"/>
    <w:rsid w:val="00E37560"/>
    <w:rsid w:val="00E402D1"/>
    <w:rsid w:val="00E4053E"/>
    <w:rsid w:val="00E40C58"/>
    <w:rsid w:val="00E4141D"/>
    <w:rsid w:val="00E416F6"/>
    <w:rsid w:val="00E41CA8"/>
    <w:rsid w:val="00E430CD"/>
    <w:rsid w:val="00E44797"/>
    <w:rsid w:val="00E44E70"/>
    <w:rsid w:val="00E46631"/>
    <w:rsid w:val="00E4684E"/>
    <w:rsid w:val="00E475F6"/>
    <w:rsid w:val="00E5003F"/>
    <w:rsid w:val="00E513FB"/>
    <w:rsid w:val="00E5256C"/>
    <w:rsid w:val="00E5263C"/>
    <w:rsid w:val="00E53B90"/>
    <w:rsid w:val="00E53FCF"/>
    <w:rsid w:val="00E550F6"/>
    <w:rsid w:val="00E558A4"/>
    <w:rsid w:val="00E55D32"/>
    <w:rsid w:val="00E565D9"/>
    <w:rsid w:val="00E569EF"/>
    <w:rsid w:val="00E60680"/>
    <w:rsid w:val="00E611AD"/>
    <w:rsid w:val="00E62122"/>
    <w:rsid w:val="00E62CFF"/>
    <w:rsid w:val="00E63441"/>
    <w:rsid w:val="00E66BDC"/>
    <w:rsid w:val="00E672DC"/>
    <w:rsid w:val="00E6791C"/>
    <w:rsid w:val="00E67CB0"/>
    <w:rsid w:val="00E70184"/>
    <w:rsid w:val="00E702B4"/>
    <w:rsid w:val="00E7080E"/>
    <w:rsid w:val="00E7106C"/>
    <w:rsid w:val="00E7131B"/>
    <w:rsid w:val="00E71C3C"/>
    <w:rsid w:val="00E7222F"/>
    <w:rsid w:val="00E72C38"/>
    <w:rsid w:val="00E72D07"/>
    <w:rsid w:val="00E7360A"/>
    <w:rsid w:val="00E743E4"/>
    <w:rsid w:val="00E74520"/>
    <w:rsid w:val="00E76D50"/>
    <w:rsid w:val="00E77AEF"/>
    <w:rsid w:val="00E77BCD"/>
    <w:rsid w:val="00E77EDE"/>
    <w:rsid w:val="00E805A0"/>
    <w:rsid w:val="00E807C1"/>
    <w:rsid w:val="00E80E00"/>
    <w:rsid w:val="00E8112E"/>
    <w:rsid w:val="00E8145F"/>
    <w:rsid w:val="00E8233E"/>
    <w:rsid w:val="00E83847"/>
    <w:rsid w:val="00E84B06"/>
    <w:rsid w:val="00E853C6"/>
    <w:rsid w:val="00E85440"/>
    <w:rsid w:val="00E85BD1"/>
    <w:rsid w:val="00E85DA8"/>
    <w:rsid w:val="00E85F64"/>
    <w:rsid w:val="00E86D11"/>
    <w:rsid w:val="00E90F42"/>
    <w:rsid w:val="00E913C8"/>
    <w:rsid w:val="00E9196D"/>
    <w:rsid w:val="00E92344"/>
    <w:rsid w:val="00E92DB2"/>
    <w:rsid w:val="00E93CC3"/>
    <w:rsid w:val="00E94F82"/>
    <w:rsid w:val="00E95F9F"/>
    <w:rsid w:val="00E965AF"/>
    <w:rsid w:val="00E968E1"/>
    <w:rsid w:val="00E96C7E"/>
    <w:rsid w:val="00E971BA"/>
    <w:rsid w:val="00E9783C"/>
    <w:rsid w:val="00E97AFF"/>
    <w:rsid w:val="00E97E2D"/>
    <w:rsid w:val="00EA06F6"/>
    <w:rsid w:val="00EA164F"/>
    <w:rsid w:val="00EA2EB4"/>
    <w:rsid w:val="00EA3968"/>
    <w:rsid w:val="00EA4C20"/>
    <w:rsid w:val="00EA55D8"/>
    <w:rsid w:val="00EA5E9B"/>
    <w:rsid w:val="00EA693A"/>
    <w:rsid w:val="00EA71C4"/>
    <w:rsid w:val="00EA724B"/>
    <w:rsid w:val="00EA737A"/>
    <w:rsid w:val="00EA74C7"/>
    <w:rsid w:val="00EA775D"/>
    <w:rsid w:val="00EB1576"/>
    <w:rsid w:val="00EB27EB"/>
    <w:rsid w:val="00EB356A"/>
    <w:rsid w:val="00EB4042"/>
    <w:rsid w:val="00EB4CE7"/>
    <w:rsid w:val="00EB6243"/>
    <w:rsid w:val="00EB6265"/>
    <w:rsid w:val="00EB6BEF"/>
    <w:rsid w:val="00EB729F"/>
    <w:rsid w:val="00EB76A6"/>
    <w:rsid w:val="00EC00D3"/>
    <w:rsid w:val="00EC07E5"/>
    <w:rsid w:val="00EC098D"/>
    <w:rsid w:val="00EC0C92"/>
    <w:rsid w:val="00EC1F39"/>
    <w:rsid w:val="00EC219C"/>
    <w:rsid w:val="00EC2B4E"/>
    <w:rsid w:val="00EC408E"/>
    <w:rsid w:val="00EC4AFA"/>
    <w:rsid w:val="00EC4F7F"/>
    <w:rsid w:val="00EC4FC8"/>
    <w:rsid w:val="00EC5181"/>
    <w:rsid w:val="00EC5D4C"/>
    <w:rsid w:val="00EC7CB7"/>
    <w:rsid w:val="00ED0268"/>
    <w:rsid w:val="00ED0301"/>
    <w:rsid w:val="00ED049F"/>
    <w:rsid w:val="00ED2D23"/>
    <w:rsid w:val="00ED31A9"/>
    <w:rsid w:val="00ED4E35"/>
    <w:rsid w:val="00ED4F65"/>
    <w:rsid w:val="00ED6420"/>
    <w:rsid w:val="00ED6ED0"/>
    <w:rsid w:val="00ED6F48"/>
    <w:rsid w:val="00ED7C8B"/>
    <w:rsid w:val="00ED7DF4"/>
    <w:rsid w:val="00ED7DF7"/>
    <w:rsid w:val="00EE0174"/>
    <w:rsid w:val="00EE1833"/>
    <w:rsid w:val="00EE27A0"/>
    <w:rsid w:val="00EE395A"/>
    <w:rsid w:val="00EE4C35"/>
    <w:rsid w:val="00EE53ED"/>
    <w:rsid w:val="00EE55F0"/>
    <w:rsid w:val="00EE725C"/>
    <w:rsid w:val="00EF090A"/>
    <w:rsid w:val="00EF09E2"/>
    <w:rsid w:val="00EF116E"/>
    <w:rsid w:val="00EF13CD"/>
    <w:rsid w:val="00EF1D6D"/>
    <w:rsid w:val="00EF1E28"/>
    <w:rsid w:val="00EF35CA"/>
    <w:rsid w:val="00EF3695"/>
    <w:rsid w:val="00EF3A10"/>
    <w:rsid w:val="00EF553B"/>
    <w:rsid w:val="00EF5A73"/>
    <w:rsid w:val="00EF5EF0"/>
    <w:rsid w:val="00EF5F08"/>
    <w:rsid w:val="00EF6096"/>
    <w:rsid w:val="00EF62A3"/>
    <w:rsid w:val="00EF648C"/>
    <w:rsid w:val="00EF76C1"/>
    <w:rsid w:val="00F00B42"/>
    <w:rsid w:val="00F01BC1"/>
    <w:rsid w:val="00F02D7B"/>
    <w:rsid w:val="00F03D82"/>
    <w:rsid w:val="00F05AAC"/>
    <w:rsid w:val="00F0640C"/>
    <w:rsid w:val="00F06E01"/>
    <w:rsid w:val="00F07388"/>
    <w:rsid w:val="00F106F2"/>
    <w:rsid w:val="00F108CE"/>
    <w:rsid w:val="00F10D37"/>
    <w:rsid w:val="00F10E47"/>
    <w:rsid w:val="00F114A6"/>
    <w:rsid w:val="00F11822"/>
    <w:rsid w:val="00F13495"/>
    <w:rsid w:val="00F13FEF"/>
    <w:rsid w:val="00F14D95"/>
    <w:rsid w:val="00F155AB"/>
    <w:rsid w:val="00F159FA"/>
    <w:rsid w:val="00F1644E"/>
    <w:rsid w:val="00F17DC4"/>
    <w:rsid w:val="00F201F3"/>
    <w:rsid w:val="00F20C43"/>
    <w:rsid w:val="00F20CA5"/>
    <w:rsid w:val="00F218F8"/>
    <w:rsid w:val="00F2197D"/>
    <w:rsid w:val="00F21A29"/>
    <w:rsid w:val="00F21A44"/>
    <w:rsid w:val="00F21EA7"/>
    <w:rsid w:val="00F23B5C"/>
    <w:rsid w:val="00F23E43"/>
    <w:rsid w:val="00F24631"/>
    <w:rsid w:val="00F24ACE"/>
    <w:rsid w:val="00F251F3"/>
    <w:rsid w:val="00F2757F"/>
    <w:rsid w:val="00F27582"/>
    <w:rsid w:val="00F27C09"/>
    <w:rsid w:val="00F27DE8"/>
    <w:rsid w:val="00F32071"/>
    <w:rsid w:val="00F351C8"/>
    <w:rsid w:val="00F400A1"/>
    <w:rsid w:val="00F41C3B"/>
    <w:rsid w:val="00F4245F"/>
    <w:rsid w:val="00F4401C"/>
    <w:rsid w:val="00F4439B"/>
    <w:rsid w:val="00F460E0"/>
    <w:rsid w:val="00F46BCA"/>
    <w:rsid w:val="00F470BE"/>
    <w:rsid w:val="00F477DB"/>
    <w:rsid w:val="00F509D8"/>
    <w:rsid w:val="00F51726"/>
    <w:rsid w:val="00F51933"/>
    <w:rsid w:val="00F528C8"/>
    <w:rsid w:val="00F53D57"/>
    <w:rsid w:val="00F542E3"/>
    <w:rsid w:val="00F54949"/>
    <w:rsid w:val="00F556DF"/>
    <w:rsid w:val="00F5589C"/>
    <w:rsid w:val="00F57FAD"/>
    <w:rsid w:val="00F608FE"/>
    <w:rsid w:val="00F60C62"/>
    <w:rsid w:val="00F61598"/>
    <w:rsid w:val="00F6328E"/>
    <w:rsid w:val="00F64462"/>
    <w:rsid w:val="00F650E7"/>
    <w:rsid w:val="00F652BE"/>
    <w:rsid w:val="00F65515"/>
    <w:rsid w:val="00F65649"/>
    <w:rsid w:val="00F65B75"/>
    <w:rsid w:val="00F6613F"/>
    <w:rsid w:val="00F66716"/>
    <w:rsid w:val="00F66D35"/>
    <w:rsid w:val="00F67A75"/>
    <w:rsid w:val="00F72091"/>
    <w:rsid w:val="00F722ED"/>
    <w:rsid w:val="00F74ADA"/>
    <w:rsid w:val="00F75524"/>
    <w:rsid w:val="00F7578E"/>
    <w:rsid w:val="00F75B7F"/>
    <w:rsid w:val="00F7636B"/>
    <w:rsid w:val="00F765E7"/>
    <w:rsid w:val="00F775D2"/>
    <w:rsid w:val="00F77FD7"/>
    <w:rsid w:val="00F802A8"/>
    <w:rsid w:val="00F80D98"/>
    <w:rsid w:val="00F82676"/>
    <w:rsid w:val="00F826B9"/>
    <w:rsid w:val="00F8422C"/>
    <w:rsid w:val="00F84681"/>
    <w:rsid w:val="00F84B44"/>
    <w:rsid w:val="00F8593D"/>
    <w:rsid w:val="00F87BF1"/>
    <w:rsid w:val="00F9103D"/>
    <w:rsid w:val="00F930D2"/>
    <w:rsid w:val="00F93D5A"/>
    <w:rsid w:val="00F945F6"/>
    <w:rsid w:val="00F946E9"/>
    <w:rsid w:val="00F94DA9"/>
    <w:rsid w:val="00F95397"/>
    <w:rsid w:val="00F954C0"/>
    <w:rsid w:val="00F963A4"/>
    <w:rsid w:val="00F96943"/>
    <w:rsid w:val="00F97A29"/>
    <w:rsid w:val="00F97A73"/>
    <w:rsid w:val="00FA072B"/>
    <w:rsid w:val="00FA076A"/>
    <w:rsid w:val="00FA0F5E"/>
    <w:rsid w:val="00FA1252"/>
    <w:rsid w:val="00FA17C6"/>
    <w:rsid w:val="00FA2195"/>
    <w:rsid w:val="00FA2283"/>
    <w:rsid w:val="00FA25F4"/>
    <w:rsid w:val="00FA2AC4"/>
    <w:rsid w:val="00FA52A5"/>
    <w:rsid w:val="00FA6126"/>
    <w:rsid w:val="00FA7378"/>
    <w:rsid w:val="00FB0A7D"/>
    <w:rsid w:val="00FB1028"/>
    <w:rsid w:val="00FB1945"/>
    <w:rsid w:val="00FB2032"/>
    <w:rsid w:val="00FB2406"/>
    <w:rsid w:val="00FB33B7"/>
    <w:rsid w:val="00FB434A"/>
    <w:rsid w:val="00FB4972"/>
    <w:rsid w:val="00FB5EDC"/>
    <w:rsid w:val="00FC0B65"/>
    <w:rsid w:val="00FC0DD7"/>
    <w:rsid w:val="00FC3AF4"/>
    <w:rsid w:val="00FC3BE1"/>
    <w:rsid w:val="00FC4307"/>
    <w:rsid w:val="00FC4B04"/>
    <w:rsid w:val="00FC62F7"/>
    <w:rsid w:val="00FC649A"/>
    <w:rsid w:val="00FC65B3"/>
    <w:rsid w:val="00FC70CF"/>
    <w:rsid w:val="00FC7292"/>
    <w:rsid w:val="00FC7EAB"/>
    <w:rsid w:val="00FD0221"/>
    <w:rsid w:val="00FD05A1"/>
    <w:rsid w:val="00FD0AAF"/>
    <w:rsid w:val="00FD1AF0"/>
    <w:rsid w:val="00FD1C08"/>
    <w:rsid w:val="00FD2C8C"/>
    <w:rsid w:val="00FD359A"/>
    <w:rsid w:val="00FD3787"/>
    <w:rsid w:val="00FD37D7"/>
    <w:rsid w:val="00FD380C"/>
    <w:rsid w:val="00FD38E5"/>
    <w:rsid w:val="00FD3BC6"/>
    <w:rsid w:val="00FD5F01"/>
    <w:rsid w:val="00FD6252"/>
    <w:rsid w:val="00FD6425"/>
    <w:rsid w:val="00FD6B88"/>
    <w:rsid w:val="00FD72DE"/>
    <w:rsid w:val="00FD76D5"/>
    <w:rsid w:val="00FE1212"/>
    <w:rsid w:val="00FE25E2"/>
    <w:rsid w:val="00FE26D5"/>
    <w:rsid w:val="00FE2FEC"/>
    <w:rsid w:val="00FE3576"/>
    <w:rsid w:val="00FE361C"/>
    <w:rsid w:val="00FE3696"/>
    <w:rsid w:val="00FE3698"/>
    <w:rsid w:val="00FE3E4D"/>
    <w:rsid w:val="00FE41DD"/>
    <w:rsid w:val="00FE4CE7"/>
    <w:rsid w:val="00FE4D83"/>
    <w:rsid w:val="00FE665B"/>
    <w:rsid w:val="00FE69E1"/>
    <w:rsid w:val="00FE7D0B"/>
    <w:rsid w:val="00FF0805"/>
    <w:rsid w:val="00FF27DD"/>
    <w:rsid w:val="00FF2959"/>
    <w:rsid w:val="00FF31A5"/>
    <w:rsid w:val="00FF4E59"/>
    <w:rsid w:val="00FF5E69"/>
    <w:rsid w:val="00FF676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EF1E8"/>
  <w15:chartTrackingRefBased/>
  <w15:docId w15:val="{3491284E-809E-4F68-AA30-36CAF7184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ne number" w:uiPriority="99"/>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3482"/>
    <w:rPr>
      <w:sz w:val="24"/>
      <w:szCs w:val="24"/>
      <w:lang w:eastAsia="en-US"/>
    </w:rPr>
  </w:style>
  <w:style w:type="paragraph" w:styleId="Heading1">
    <w:name w:val="heading 1"/>
    <w:aliases w:val="Heading 1 Accounts"/>
    <w:basedOn w:val="Normal"/>
    <w:next w:val="Normal"/>
    <w:link w:val="Heading1Char"/>
    <w:uiPriority w:val="9"/>
    <w:qFormat/>
    <w:rsid w:val="00CF3300"/>
    <w:pPr>
      <w:keepNext/>
      <w:outlineLvl w:val="0"/>
    </w:pPr>
    <w:rPr>
      <w:rFonts w:ascii="Arial" w:hAnsi="Arial" w:cs="Arial"/>
      <w:sz w:val="56"/>
    </w:rPr>
  </w:style>
  <w:style w:type="paragraph" w:styleId="Heading2">
    <w:name w:val="heading 2"/>
    <w:aliases w:val="Heading 2 Accounts"/>
    <w:basedOn w:val="Heading3"/>
    <w:next w:val="Normal"/>
    <w:link w:val="Heading2Char"/>
    <w:uiPriority w:val="9"/>
    <w:qFormat/>
    <w:rsid w:val="00B86CD5"/>
    <w:pPr>
      <w:outlineLvl w:val="1"/>
    </w:pPr>
  </w:style>
  <w:style w:type="paragraph" w:styleId="Heading3">
    <w:name w:val="heading 3"/>
    <w:aliases w:val="Heading 3 Accounts"/>
    <w:basedOn w:val="Normal"/>
    <w:next w:val="Normal"/>
    <w:link w:val="Heading3Char"/>
    <w:uiPriority w:val="9"/>
    <w:qFormat/>
    <w:rsid w:val="00CF3300"/>
    <w:pPr>
      <w:keepNext/>
      <w:spacing w:before="240" w:after="60"/>
      <w:outlineLvl w:val="2"/>
    </w:pPr>
    <w:rPr>
      <w:rFonts w:ascii="Arial" w:hAnsi="Arial" w:cs="Arial"/>
      <w:b/>
      <w:bCs/>
      <w:sz w:val="26"/>
      <w:szCs w:val="26"/>
    </w:rPr>
  </w:style>
  <w:style w:type="paragraph" w:styleId="Heading4">
    <w:name w:val="heading 4"/>
    <w:basedOn w:val="paragraph"/>
    <w:link w:val="Heading4Char"/>
    <w:uiPriority w:val="9"/>
    <w:qFormat/>
    <w:rsid w:val="00B86CD5"/>
    <w:pPr>
      <w:numPr>
        <w:numId w:val="47"/>
      </w:numPr>
      <w:spacing w:before="0" w:beforeAutospacing="0" w:after="160" w:afterAutospacing="0"/>
      <w:ind w:left="426" w:hanging="426"/>
      <w:textAlignment w:val="baseline"/>
      <w:outlineLvl w:val="3"/>
    </w:pPr>
    <w:rPr>
      <w:rFonts w:ascii="Arial" w:eastAsia="Yu Mincho" w:hAnsi="Arial" w:cs="Arial"/>
      <w:i/>
      <w:iCs/>
    </w:rPr>
  </w:style>
  <w:style w:type="paragraph" w:styleId="Heading5">
    <w:name w:val="heading 5"/>
    <w:aliases w:val="Heading 5 Table Title"/>
    <w:basedOn w:val="Normal"/>
    <w:next w:val="Normal"/>
    <w:link w:val="Heading5Char"/>
    <w:uiPriority w:val="9"/>
    <w:qFormat/>
    <w:rsid w:val="00CF3300"/>
    <w:pPr>
      <w:keepNext/>
      <w:outlineLvl w:val="4"/>
    </w:pPr>
    <w:rPr>
      <w:rFonts w:ascii="Arial" w:hAnsi="Arial"/>
      <w:b/>
      <w:bCs/>
    </w:rPr>
  </w:style>
  <w:style w:type="paragraph" w:styleId="Heading6">
    <w:name w:val="heading 6"/>
    <w:basedOn w:val="Heading5"/>
    <w:next w:val="Normal"/>
    <w:link w:val="Heading6Char"/>
    <w:qFormat/>
    <w:rsid w:val="00924E51"/>
    <w:pPr>
      <w:outlineLvl w:val="5"/>
    </w:pPr>
  </w:style>
  <w:style w:type="paragraph" w:styleId="Heading7">
    <w:name w:val="heading 7"/>
    <w:basedOn w:val="Normal"/>
    <w:next w:val="Normal"/>
    <w:link w:val="Heading7Char"/>
    <w:uiPriority w:val="9"/>
    <w:semiHidden/>
    <w:unhideWhenUsed/>
    <w:qFormat/>
    <w:rsid w:val="000F3752"/>
    <w:pPr>
      <w:tabs>
        <w:tab w:val="num" w:pos="5040"/>
      </w:tabs>
      <w:spacing w:before="240" w:after="60"/>
      <w:ind w:left="5040" w:hanging="720"/>
      <w:outlineLvl w:val="6"/>
    </w:pPr>
    <w:rPr>
      <w:rFonts w:asciiTheme="minorHAnsi" w:eastAsiaTheme="minorEastAsia" w:hAnsiTheme="minorHAnsi" w:cstheme="minorBidi"/>
      <w:lang w:val="en-US"/>
    </w:rPr>
  </w:style>
  <w:style w:type="paragraph" w:styleId="Heading8">
    <w:name w:val="heading 8"/>
    <w:basedOn w:val="Normal"/>
    <w:next w:val="Normal"/>
    <w:link w:val="Heading8Char"/>
    <w:uiPriority w:val="9"/>
    <w:semiHidden/>
    <w:unhideWhenUsed/>
    <w:qFormat/>
    <w:rsid w:val="000F3752"/>
    <w:pPr>
      <w:tabs>
        <w:tab w:val="num" w:pos="5760"/>
      </w:tabs>
      <w:spacing w:before="240" w:after="60"/>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link w:val="Heading9Char"/>
    <w:uiPriority w:val="9"/>
    <w:semiHidden/>
    <w:unhideWhenUsed/>
    <w:qFormat/>
    <w:rsid w:val="000F3752"/>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F3300"/>
    <w:rPr>
      <w:rFonts w:ascii="Arial" w:hAnsi="Arial" w:cs="Arial"/>
      <w:sz w:val="72"/>
    </w:rPr>
  </w:style>
  <w:style w:type="paragraph" w:styleId="BodyText2">
    <w:name w:val="Body Text 2"/>
    <w:basedOn w:val="Normal"/>
    <w:link w:val="BodyText2Char"/>
    <w:rsid w:val="00CF3300"/>
    <w:rPr>
      <w:sz w:val="28"/>
    </w:rPr>
  </w:style>
  <w:style w:type="paragraph" w:styleId="Header">
    <w:name w:val="header"/>
    <w:basedOn w:val="Normal"/>
    <w:link w:val="HeaderChar"/>
    <w:uiPriority w:val="99"/>
    <w:rsid w:val="00CF3300"/>
    <w:pPr>
      <w:tabs>
        <w:tab w:val="center" w:pos="4153"/>
        <w:tab w:val="right" w:pos="8306"/>
      </w:tabs>
    </w:pPr>
    <w:rPr>
      <w:rFonts w:ascii="Arial" w:hAnsi="Arial"/>
    </w:rPr>
  </w:style>
  <w:style w:type="paragraph" w:styleId="Footer">
    <w:name w:val="footer"/>
    <w:basedOn w:val="Normal"/>
    <w:link w:val="FooterChar"/>
    <w:uiPriority w:val="99"/>
    <w:rsid w:val="00CF3300"/>
    <w:pPr>
      <w:tabs>
        <w:tab w:val="center" w:pos="4153"/>
        <w:tab w:val="right" w:pos="8306"/>
      </w:tabs>
    </w:pPr>
    <w:rPr>
      <w:rFonts w:ascii="Arial" w:hAnsi="Arial"/>
    </w:rPr>
  </w:style>
  <w:style w:type="character" w:styleId="PageNumber">
    <w:name w:val="page number"/>
    <w:basedOn w:val="DefaultParagraphFont"/>
    <w:rsid w:val="00CF3300"/>
  </w:style>
  <w:style w:type="paragraph" w:customStyle="1" w:styleId="SubHeader">
    <w:name w:val="Sub Header"/>
    <w:basedOn w:val="Heading3"/>
    <w:rsid w:val="00CF3300"/>
  </w:style>
  <w:style w:type="character" w:styleId="Hyperlink">
    <w:name w:val="Hyperlink"/>
    <w:uiPriority w:val="99"/>
    <w:rsid w:val="00CF3300"/>
    <w:rPr>
      <w:color w:val="0000FF"/>
      <w:u w:val="single"/>
    </w:rPr>
  </w:style>
  <w:style w:type="paragraph" w:styleId="NormalWeb">
    <w:name w:val="Normal (Web)"/>
    <w:basedOn w:val="Normal"/>
    <w:rsid w:val="00CF3300"/>
    <w:pPr>
      <w:spacing w:before="100" w:beforeAutospacing="1" w:after="100" w:afterAutospacing="1"/>
    </w:pPr>
    <w:rPr>
      <w:lang w:eastAsia="en-GB"/>
    </w:rPr>
  </w:style>
  <w:style w:type="paragraph" w:styleId="NoSpacing">
    <w:name w:val="No Spacing"/>
    <w:link w:val="NoSpacingChar"/>
    <w:uiPriority w:val="1"/>
    <w:qFormat/>
    <w:rsid w:val="00CF3300"/>
    <w:rPr>
      <w:rFonts w:ascii="Calibri" w:hAnsi="Calibri"/>
      <w:sz w:val="22"/>
      <w:szCs w:val="22"/>
      <w:lang w:eastAsia="en-US"/>
    </w:rPr>
  </w:style>
  <w:style w:type="character" w:customStyle="1" w:styleId="SubHeaderChar">
    <w:name w:val="Sub Header Char"/>
    <w:rsid w:val="00CF3300"/>
    <w:rPr>
      <w:rFonts w:ascii="Arial" w:hAnsi="Arial" w:cs="Arial"/>
      <w:b/>
      <w:bCs/>
      <w:sz w:val="26"/>
      <w:szCs w:val="26"/>
      <w:lang w:val="en-GB" w:eastAsia="en-US" w:bidi="ar-SA"/>
    </w:rPr>
  </w:style>
  <w:style w:type="character" w:customStyle="1" w:styleId="Heading3Char">
    <w:name w:val="Heading 3 Char"/>
    <w:aliases w:val="Heading 3 Accounts Char"/>
    <w:link w:val="Heading3"/>
    <w:uiPriority w:val="9"/>
    <w:rsid w:val="00CF3300"/>
    <w:rPr>
      <w:rFonts w:ascii="Arial" w:hAnsi="Arial" w:cs="Arial"/>
      <w:b/>
      <w:bCs/>
      <w:sz w:val="26"/>
      <w:szCs w:val="26"/>
      <w:lang w:val="en-GB" w:eastAsia="en-US" w:bidi="ar-SA"/>
    </w:rPr>
  </w:style>
  <w:style w:type="paragraph" w:styleId="ListParagraph">
    <w:name w:val="List Paragraph"/>
    <w:aliases w:val="cv list paragraph,List Paragraph1,Table Text,List Paragraph_Table text,Table text,Table text + Justified,L....,EiB Main bullet,Dot pt,No Spacing1,List Paragraph Char Char Char,Indicator Text,Numbered Para 1,Bullet 1,F5 List Paragraph"/>
    <w:basedOn w:val="Normal"/>
    <w:link w:val="ListParagraphChar"/>
    <w:uiPriority w:val="34"/>
    <w:qFormat/>
    <w:rsid w:val="00575573"/>
    <w:pPr>
      <w:spacing w:after="200" w:line="276" w:lineRule="auto"/>
      <w:ind w:left="720"/>
      <w:contextualSpacing/>
    </w:pPr>
    <w:rPr>
      <w:rFonts w:ascii="Calibri" w:hAnsi="Calibri"/>
      <w:sz w:val="22"/>
      <w:szCs w:val="22"/>
      <w:lang w:eastAsia="en-GB"/>
    </w:rPr>
  </w:style>
  <w:style w:type="paragraph" w:styleId="Title">
    <w:name w:val="Title"/>
    <w:basedOn w:val="Normal"/>
    <w:link w:val="TitleChar"/>
    <w:qFormat/>
    <w:rsid w:val="00575573"/>
    <w:pPr>
      <w:tabs>
        <w:tab w:val="left" w:pos="1134"/>
      </w:tabs>
      <w:jc w:val="center"/>
    </w:pPr>
    <w:rPr>
      <w:b/>
      <w:sz w:val="28"/>
      <w:szCs w:val="20"/>
      <w:lang w:val="en-US"/>
    </w:rPr>
  </w:style>
  <w:style w:type="character" w:customStyle="1" w:styleId="TitleChar">
    <w:name w:val="Title Char"/>
    <w:link w:val="Title"/>
    <w:rsid w:val="00575573"/>
    <w:rPr>
      <w:b/>
      <w:sz w:val="28"/>
      <w:lang w:val="en-US" w:eastAsia="en-US" w:bidi="ar-SA"/>
    </w:rPr>
  </w:style>
  <w:style w:type="paragraph" w:customStyle="1" w:styleId="1AGMAHeading1">
    <w:name w:val="#1 AGMA Heading 1"/>
    <w:next w:val="2AGMAHeading2"/>
    <w:qFormat/>
    <w:rsid w:val="004D1848"/>
    <w:pPr>
      <w:numPr>
        <w:numId w:val="5"/>
      </w:numPr>
      <w:spacing w:before="480" w:after="480"/>
      <w:jc w:val="both"/>
    </w:pPr>
    <w:rPr>
      <w:rFonts w:ascii="Arial" w:hAnsi="Arial" w:cs="Arial"/>
      <w:b/>
      <w:sz w:val="24"/>
      <w:szCs w:val="24"/>
    </w:rPr>
  </w:style>
  <w:style w:type="paragraph" w:customStyle="1" w:styleId="2AGMAHeading2">
    <w:name w:val="#2 AGMA Heading 2"/>
    <w:basedOn w:val="1AGMAHeading1"/>
    <w:qFormat/>
    <w:rsid w:val="004D1848"/>
    <w:pPr>
      <w:numPr>
        <w:ilvl w:val="1"/>
      </w:numPr>
      <w:spacing w:before="240" w:after="240"/>
    </w:pPr>
    <w:rPr>
      <w:b w:val="0"/>
    </w:rPr>
  </w:style>
  <w:style w:type="paragraph" w:customStyle="1" w:styleId="3AGMAHeading3">
    <w:name w:val="#3 AGMA Heading 3"/>
    <w:basedOn w:val="2AGMAHeading2"/>
    <w:qFormat/>
    <w:rsid w:val="004D1848"/>
    <w:pPr>
      <w:numPr>
        <w:ilvl w:val="2"/>
      </w:numPr>
    </w:pPr>
  </w:style>
  <w:style w:type="paragraph" w:customStyle="1" w:styleId="4AGMABullet1">
    <w:name w:val="#4 AGMA Bullet 1"/>
    <w:basedOn w:val="3AGMAHeading3"/>
    <w:qFormat/>
    <w:rsid w:val="004D1848"/>
    <w:pPr>
      <w:numPr>
        <w:ilvl w:val="3"/>
      </w:numPr>
      <w:spacing w:before="120" w:after="120"/>
    </w:pPr>
  </w:style>
  <w:style w:type="paragraph" w:customStyle="1" w:styleId="5AGMABullet2">
    <w:name w:val="#5 AGMA Bullet 2"/>
    <w:basedOn w:val="4AGMABullet1"/>
    <w:qFormat/>
    <w:rsid w:val="004D1848"/>
    <w:pPr>
      <w:numPr>
        <w:ilvl w:val="4"/>
      </w:numPr>
    </w:pPr>
  </w:style>
  <w:style w:type="paragraph" w:customStyle="1" w:styleId="6AGMARecommendations">
    <w:name w:val="#6 AGMA Recommendations"/>
    <w:basedOn w:val="5AGMABullet2"/>
    <w:qFormat/>
    <w:rsid w:val="004D1848"/>
    <w:pPr>
      <w:numPr>
        <w:ilvl w:val="5"/>
      </w:numPr>
      <w:ind w:left="2041" w:hanging="510"/>
    </w:pPr>
  </w:style>
  <w:style w:type="numbering" w:customStyle="1" w:styleId="AGMAList">
    <w:name w:val="# AGMA List"/>
    <w:rsid w:val="004D1848"/>
    <w:pPr>
      <w:numPr>
        <w:numId w:val="5"/>
      </w:numPr>
    </w:pPr>
  </w:style>
  <w:style w:type="table" w:styleId="TableGrid">
    <w:name w:val="Table Grid"/>
    <w:basedOn w:val="TableNormal"/>
    <w:uiPriority w:val="39"/>
    <w:rsid w:val="00324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6">
    <w:name w:val="Imported Style 16"/>
    <w:rsid w:val="002A1BED"/>
    <w:pPr>
      <w:numPr>
        <w:numId w:val="6"/>
      </w:numPr>
    </w:pPr>
  </w:style>
  <w:style w:type="paragraph" w:styleId="Revision">
    <w:name w:val="Revision"/>
    <w:hidden/>
    <w:uiPriority w:val="99"/>
    <w:semiHidden/>
    <w:rsid w:val="00655251"/>
    <w:rPr>
      <w:sz w:val="24"/>
      <w:szCs w:val="24"/>
      <w:lang w:eastAsia="en-US"/>
    </w:rPr>
  </w:style>
  <w:style w:type="character" w:styleId="CommentReference">
    <w:name w:val="annotation reference"/>
    <w:basedOn w:val="DefaultParagraphFont"/>
    <w:uiPriority w:val="99"/>
    <w:rsid w:val="00EE0174"/>
    <w:rPr>
      <w:sz w:val="16"/>
      <w:szCs w:val="16"/>
    </w:rPr>
  </w:style>
  <w:style w:type="paragraph" w:styleId="CommentText">
    <w:name w:val="annotation text"/>
    <w:basedOn w:val="Normal"/>
    <w:link w:val="CommentTextChar"/>
    <w:rsid w:val="00EE0174"/>
    <w:rPr>
      <w:sz w:val="20"/>
      <w:szCs w:val="20"/>
    </w:rPr>
  </w:style>
  <w:style w:type="character" w:customStyle="1" w:styleId="CommentTextChar">
    <w:name w:val="Comment Text Char"/>
    <w:basedOn w:val="DefaultParagraphFont"/>
    <w:link w:val="CommentText"/>
    <w:rsid w:val="00EE0174"/>
    <w:rPr>
      <w:lang w:eastAsia="en-US"/>
    </w:rPr>
  </w:style>
  <w:style w:type="paragraph" w:styleId="CommentSubject">
    <w:name w:val="annotation subject"/>
    <w:basedOn w:val="CommentText"/>
    <w:next w:val="CommentText"/>
    <w:link w:val="CommentSubjectChar"/>
    <w:uiPriority w:val="99"/>
    <w:rsid w:val="00EE0174"/>
    <w:rPr>
      <w:b/>
      <w:bCs/>
    </w:rPr>
  </w:style>
  <w:style w:type="character" w:customStyle="1" w:styleId="CommentSubjectChar">
    <w:name w:val="Comment Subject Char"/>
    <w:basedOn w:val="CommentTextChar"/>
    <w:link w:val="CommentSubject"/>
    <w:uiPriority w:val="99"/>
    <w:rsid w:val="00EE0174"/>
    <w:rPr>
      <w:b/>
      <w:bCs/>
      <w:lang w:eastAsia="en-US"/>
    </w:rPr>
  </w:style>
  <w:style w:type="paragraph" w:styleId="BalloonText">
    <w:name w:val="Balloon Text"/>
    <w:basedOn w:val="Normal"/>
    <w:link w:val="BalloonTextChar"/>
    <w:uiPriority w:val="99"/>
    <w:rsid w:val="00EE0174"/>
    <w:rPr>
      <w:rFonts w:ascii="Segoe UI" w:hAnsi="Segoe UI" w:cs="Segoe UI"/>
      <w:sz w:val="18"/>
      <w:szCs w:val="18"/>
    </w:rPr>
  </w:style>
  <w:style w:type="character" w:customStyle="1" w:styleId="BalloonTextChar">
    <w:name w:val="Balloon Text Char"/>
    <w:basedOn w:val="DefaultParagraphFont"/>
    <w:link w:val="BalloonText"/>
    <w:uiPriority w:val="99"/>
    <w:rsid w:val="00EE0174"/>
    <w:rPr>
      <w:rFonts w:ascii="Segoe UI" w:hAnsi="Segoe UI" w:cs="Segoe UI"/>
      <w:sz w:val="18"/>
      <w:szCs w:val="18"/>
      <w:lang w:eastAsia="en-US"/>
    </w:rPr>
  </w:style>
  <w:style w:type="paragraph" w:styleId="IntenseQuote">
    <w:name w:val="Intense Quote"/>
    <w:basedOn w:val="Normal"/>
    <w:next w:val="Normal"/>
    <w:link w:val="IntenseQuoteChar"/>
    <w:uiPriority w:val="30"/>
    <w:qFormat/>
    <w:rsid w:val="008649F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649F9"/>
    <w:rPr>
      <w:i/>
      <w:iCs/>
      <w:color w:val="5B9BD5" w:themeColor="accent1"/>
      <w:sz w:val="24"/>
      <w:szCs w:val="24"/>
      <w:lang w:eastAsia="en-US"/>
    </w:rPr>
  </w:style>
  <w:style w:type="character" w:customStyle="1" w:styleId="FooterChar">
    <w:name w:val="Footer Char"/>
    <w:basedOn w:val="DefaultParagraphFont"/>
    <w:link w:val="Footer"/>
    <w:uiPriority w:val="99"/>
    <w:rsid w:val="00CB4F58"/>
    <w:rPr>
      <w:rFonts w:ascii="Arial" w:hAnsi="Arial"/>
      <w:sz w:val="24"/>
      <w:szCs w:val="24"/>
      <w:lang w:eastAsia="en-US"/>
    </w:rPr>
  </w:style>
  <w:style w:type="character" w:customStyle="1" w:styleId="Heading4Char">
    <w:name w:val="Heading 4 Char"/>
    <w:basedOn w:val="DefaultParagraphFont"/>
    <w:link w:val="Heading4"/>
    <w:uiPriority w:val="9"/>
    <w:rsid w:val="00B86CD5"/>
    <w:rPr>
      <w:rFonts w:ascii="Arial" w:eastAsia="Yu Mincho" w:hAnsi="Arial" w:cs="Arial"/>
      <w:i/>
      <w:iCs/>
      <w:sz w:val="24"/>
      <w:szCs w:val="24"/>
    </w:rPr>
  </w:style>
  <w:style w:type="character" w:customStyle="1" w:styleId="Heading1Char">
    <w:name w:val="Heading 1 Char"/>
    <w:aliases w:val="Heading 1 Accounts Char"/>
    <w:basedOn w:val="DefaultParagraphFont"/>
    <w:link w:val="Heading1"/>
    <w:uiPriority w:val="9"/>
    <w:rsid w:val="00322485"/>
    <w:rPr>
      <w:rFonts w:ascii="Arial" w:hAnsi="Arial" w:cs="Arial"/>
      <w:sz w:val="56"/>
      <w:szCs w:val="24"/>
      <w:lang w:eastAsia="en-US"/>
    </w:rPr>
  </w:style>
  <w:style w:type="character" w:customStyle="1" w:styleId="Heading2Char">
    <w:name w:val="Heading 2 Char"/>
    <w:aliases w:val="Heading 2 Accounts Char"/>
    <w:basedOn w:val="DefaultParagraphFont"/>
    <w:link w:val="Heading2"/>
    <w:uiPriority w:val="9"/>
    <w:rsid w:val="00B86CD5"/>
    <w:rPr>
      <w:rFonts w:ascii="Arial" w:hAnsi="Arial" w:cs="Arial"/>
      <w:b/>
      <w:bCs/>
      <w:sz w:val="26"/>
      <w:szCs w:val="26"/>
      <w:lang w:eastAsia="en-US"/>
    </w:rPr>
  </w:style>
  <w:style w:type="character" w:customStyle="1" w:styleId="Heading5Char">
    <w:name w:val="Heading 5 Char"/>
    <w:aliases w:val="Heading 5 Table Title Char"/>
    <w:basedOn w:val="DefaultParagraphFont"/>
    <w:link w:val="Heading5"/>
    <w:uiPriority w:val="9"/>
    <w:rsid w:val="00322485"/>
    <w:rPr>
      <w:rFonts w:ascii="Arial" w:hAnsi="Arial"/>
      <w:b/>
      <w:bCs/>
      <w:sz w:val="24"/>
      <w:szCs w:val="24"/>
      <w:lang w:eastAsia="en-US"/>
    </w:rPr>
  </w:style>
  <w:style w:type="character" w:customStyle="1" w:styleId="Heading6Char">
    <w:name w:val="Heading 6 Char"/>
    <w:basedOn w:val="DefaultParagraphFont"/>
    <w:link w:val="Heading6"/>
    <w:rsid w:val="00924E51"/>
    <w:rPr>
      <w:rFonts w:ascii="Arial" w:hAnsi="Arial"/>
      <w:b/>
      <w:bCs/>
      <w:sz w:val="24"/>
      <w:szCs w:val="24"/>
      <w:lang w:eastAsia="en-US"/>
    </w:rPr>
  </w:style>
  <w:style w:type="character" w:customStyle="1" w:styleId="BodyTextChar">
    <w:name w:val="Body Text Char"/>
    <w:basedOn w:val="DefaultParagraphFont"/>
    <w:link w:val="BodyText"/>
    <w:uiPriority w:val="99"/>
    <w:rsid w:val="00322485"/>
    <w:rPr>
      <w:rFonts w:ascii="Arial" w:hAnsi="Arial" w:cs="Arial"/>
      <w:sz w:val="72"/>
      <w:szCs w:val="24"/>
      <w:lang w:eastAsia="en-US"/>
    </w:rPr>
  </w:style>
  <w:style w:type="paragraph" w:customStyle="1" w:styleId="TableParagraph">
    <w:name w:val="Table Paragraph"/>
    <w:basedOn w:val="Normal"/>
    <w:uiPriority w:val="99"/>
    <w:rsid w:val="00322485"/>
    <w:pPr>
      <w:widowControl w:val="0"/>
    </w:pPr>
    <w:rPr>
      <w:rFonts w:ascii="Palatino Linotype" w:eastAsia="Palatino Linotype" w:hAnsi="Palatino Linotype"/>
      <w:sz w:val="22"/>
      <w:szCs w:val="22"/>
      <w:lang w:val="en-US"/>
    </w:rPr>
  </w:style>
  <w:style w:type="character" w:customStyle="1" w:styleId="HeaderChar">
    <w:name w:val="Header Char"/>
    <w:basedOn w:val="DefaultParagraphFont"/>
    <w:link w:val="Header"/>
    <w:uiPriority w:val="99"/>
    <w:rsid w:val="00322485"/>
    <w:rPr>
      <w:rFonts w:ascii="Arial" w:hAnsi="Arial"/>
      <w:sz w:val="24"/>
      <w:szCs w:val="24"/>
      <w:lang w:eastAsia="en-US"/>
    </w:rPr>
  </w:style>
  <w:style w:type="character" w:styleId="FollowedHyperlink">
    <w:name w:val="FollowedHyperlink"/>
    <w:uiPriority w:val="99"/>
    <w:rsid w:val="00322485"/>
    <w:rPr>
      <w:rFonts w:cs="Times New Roman"/>
      <w:color w:val="B2B2B2"/>
      <w:u w:val="single"/>
    </w:rPr>
  </w:style>
  <w:style w:type="character" w:customStyle="1" w:styleId="NoSpacingChar">
    <w:name w:val="No Spacing Char"/>
    <w:link w:val="NoSpacing"/>
    <w:uiPriority w:val="1"/>
    <w:locked/>
    <w:rsid w:val="00322485"/>
    <w:rPr>
      <w:rFonts w:ascii="Calibri" w:hAnsi="Calibri"/>
      <w:sz w:val="22"/>
      <w:szCs w:val="22"/>
      <w:lang w:eastAsia="en-US"/>
    </w:rPr>
  </w:style>
  <w:style w:type="paragraph" w:customStyle="1" w:styleId="FooterRight">
    <w:name w:val="Footer Right"/>
    <w:basedOn w:val="Footer"/>
    <w:uiPriority w:val="99"/>
    <w:rsid w:val="00322485"/>
    <w:pPr>
      <w:pBdr>
        <w:top w:val="dashed" w:sz="4" w:space="18" w:color="7F7F7F"/>
      </w:pBdr>
      <w:tabs>
        <w:tab w:val="clear" w:pos="4153"/>
        <w:tab w:val="clear" w:pos="8306"/>
        <w:tab w:val="center" w:pos="4320"/>
        <w:tab w:val="right" w:pos="8640"/>
      </w:tabs>
      <w:spacing w:after="200"/>
      <w:contextualSpacing/>
      <w:jc w:val="right"/>
    </w:pPr>
    <w:rPr>
      <w:rFonts w:ascii="Palatino Linotype" w:eastAsia="Palatino Linotype" w:hAnsi="Palatino Linotype"/>
      <w:color w:val="7F7F7F"/>
      <w:sz w:val="20"/>
      <w:szCs w:val="18"/>
      <w:lang w:eastAsia="ja-JP"/>
    </w:rPr>
  </w:style>
  <w:style w:type="character" w:styleId="LineNumber">
    <w:name w:val="line number"/>
    <w:uiPriority w:val="99"/>
    <w:rsid w:val="00322485"/>
    <w:rPr>
      <w:rFonts w:cs="Times New Roman"/>
    </w:rPr>
  </w:style>
  <w:style w:type="paragraph" w:customStyle="1" w:styleId="DefaultText">
    <w:name w:val="Default Text"/>
    <w:basedOn w:val="Normal"/>
    <w:rsid w:val="004219F1"/>
    <w:pPr>
      <w:overflowPunct w:val="0"/>
      <w:autoSpaceDE w:val="0"/>
      <w:autoSpaceDN w:val="0"/>
      <w:adjustRightInd w:val="0"/>
      <w:textAlignment w:val="baseline"/>
    </w:pPr>
    <w:rPr>
      <w:color w:val="000000"/>
      <w:szCs w:val="20"/>
    </w:rPr>
  </w:style>
  <w:style w:type="paragraph" w:styleId="BodyText3">
    <w:name w:val="Body Text 3"/>
    <w:basedOn w:val="Normal"/>
    <w:link w:val="BodyText3Char"/>
    <w:rsid w:val="004A0A00"/>
    <w:pPr>
      <w:spacing w:after="120"/>
    </w:pPr>
    <w:rPr>
      <w:sz w:val="16"/>
      <w:szCs w:val="16"/>
    </w:rPr>
  </w:style>
  <w:style w:type="character" w:customStyle="1" w:styleId="BodyText3Char">
    <w:name w:val="Body Text 3 Char"/>
    <w:basedOn w:val="DefaultParagraphFont"/>
    <w:link w:val="BodyText3"/>
    <w:rsid w:val="004A0A00"/>
    <w:rPr>
      <w:sz w:val="16"/>
      <w:szCs w:val="16"/>
      <w:lang w:eastAsia="en-US"/>
    </w:rPr>
  </w:style>
  <w:style w:type="table" w:customStyle="1" w:styleId="TableGrid1">
    <w:name w:val="Table Grid1"/>
    <w:basedOn w:val="TableNormal"/>
    <w:next w:val="TableGrid"/>
    <w:uiPriority w:val="39"/>
    <w:rsid w:val="00EA2EB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2F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TfGMStandardDocumentText">
    <w:name w:val="#8 TfGM Standard Document Text"/>
    <w:link w:val="8TfGMStandardDocumentTextChar"/>
    <w:qFormat/>
    <w:rsid w:val="00BC0563"/>
    <w:pPr>
      <w:spacing w:after="240"/>
      <w:jc w:val="both"/>
    </w:pPr>
    <w:rPr>
      <w:rFonts w:ascii="Calibri" w:eastAsia="MS Mincho" w:hAnsi="Calibri" w:cs="Arial"/>
      <w:sz w:val="26"/>
      <w:szCs w:val="24"/>
    </w:rPr>
  </w:style>
  <w:style w:type="character" w:customStyle="1" w:styleId="8TfGMStandardDocumentTextChar">
    <w:name w:val="#8 TfGM Standard Document Text Char"/>
    <w:basedOn w:val="DefaultParagraphFont"/>
    <w:link w:val="8TfGMStandardDocumentText"/>
    <w:rsid w:val="00BC0563"/>
    <w:rPr>
      <w:rFonts w:ascii="Calibri" w:eastAsia="MS Mincho" w:hAnsi="Calibri" w:cs="Arial"/>
      <w:sz w:val="26"/>
      <w:szCs w:val="24"/>
    </w:rPr>
  </w:style>
  <w:style w:type="paragraph" w:styleId="FootnoteText">
    <w:name w:val="footnote text"/>
    <w:aliases w:val="EKOS Footnote Text,Fußnote"/>
    <w:basedOn w:val="Normal"/>
    <w:link w:val="FootnoteTextChar"/>
    <w:uiPriority w:val="99"/>
    <w:rsid w:val="008A3D2A"/>
    <w:rPr>
      <w:rFonts w:ascii="Arial" w:hAnsi="Arial"/>
      <w:sz w:val="20"/>
      <w:szCs w:val="20"/>
    </w:rPr>
  </w:style>
  <w:style w:type="character" w:customStyle="1" w:styleId="FootnoteTextChar">
    <w:name w:val="Footnote Text Char"/>
    <w:aliases w:val="EKOS Footnote Text Char,Fußnote Char"/>
    <w:basedOn w:val="DefaultParagraphFont"/>
    <w:link w:val="FootnoteText"/>
    <w:uiPriority w:val="99"/>
    <w:rsid w:val="008A3D2A"/>
    <w:rPr>
      <w:rFonts w:ascii="Arial" w:hAnsi="Arial"/>
      <w:lang w:eastAsia="en-US"/>
    </w:rPr>
  </w:style>
  <w:style w:type="character" w:styleId="FootnoteReference">
    <w:name w:val="footnote reference"/>
    <w:aliases w:val="Footnote Reference (caveat),Footnote Reference Number"/>
    <w:uiPriority w:val="99"/>
    <w:unhideWhenUsed/>
    <w:rsid w:val="008A3D2A"/>
    <w:rPr>
      <w:vertAlign w:val="superscript"/>
    </w:rPr>
  </w:style>
  <w:style w:type="paragraph" w:customStyle="1" w:styleId="inlinenormal">
    <w:name w:val="inlinenormal"/>
    <w:basedOn w:val="Normal"/>
    <w:rsid w:val="006E0C9A"/>
    <w:pPr>
      <w:autoSpaceDN w:val="0"/>
      <w:spacing w:before="120" w:after="60" w:line="264" w:lineRule="auto"/>
    </w:pPr>
    <w:rPr>
      <w:rFonts w:ascii="Arial" w:hAnsi="Arial" w:cs="Arial"/>
      <w:lang w:eastAsia="en-GB"/>
    </w:rPr>
  </w:style>
  <w:style w:type="character" w:styleId="Emphasis">
    <w:name w:val="Emphasis"/>
    <w:uiPriority w:val="20"/>
    <w:qFormat/>
    <w:rsid w:val="006E0C9A"/>
    <w:rPr>
      <w:i/>
      <w:iCs/>
    </w:rPr>
  </w:style>
  <w:style w:type="paragraph" w:customStyle="1" w:styleId="Default">
    <w:name w:val="Default"/>
    <w:rsid w:val="006E0C9A"/>
    <w:pPr>
      <w:autoSpaceDE w:val="0"/>
      <w:autoSpaceDN w:val="0"/>
      <w:adjustRightInd w:val="0"/>
    </w:pPr>
    <w:rPr>
      <w:rFonts w:ascii="Arial" w:hAnsi="Arial" w:cs="Arial"/>
      <w:color w:val="000000"/>
      <w:sz w:val="24"/>
      <w:szCs w:val="24"/>
    </w:rPr>
  </w:style>
  <w:style w:type="paragraph" w:customStyle="1" w:styleId="Normal0">
    <w:name w:val="Normal_0"/>
    <w:qFormat/>
    <w:rsid w:val="009D79B4"/>
    <w:pPr>
      <w:spacing w:line="254" w:lineRule="auto"/>
    </w:pPr>
    <w:rPr>
      <w:rFonts w:asciiTheme="minorHAnsi" w:eastAsiaTheme="minorHAnsi" w:hAnsiTheme="minorHAnsi" w:cstheme="minorBidi"/>
      <w:lang w:val="en-US" w:eastAsia="en-US"/>
    </w:rPr>
  </w:style>
  <w:style w:type="paragraph" w:customStyle="1" w:styleId="T1TableStyle">
    <w:name w:val="T1TableStyle"/>
    <w:rsid w:val="009A7095"/>
    <w:rPr>
      <w:rFonts w:asciiTheme="minorHAnsi" w:eastAsiaTheme="minorHAnsi" w:hAnsiTheme="minorHAnsi" w:cs="Arial"/>
      <w:lang w:val="en-US" w:eastAsia="en-US"/>
    </w:rPr>
  </w:style>
  <w:style w:type="paragraph" w:customStyle="1" w:styleId="TND">
    <w:name w:val="TN D"/>
    <w:basedOn w:val="Normal"/>
    <w:link w:val="TNDChar"/>
    <w:qFormat/>
    <w:rsid w:val="008F12E4"/>
    <w:pPr>
      <w:tabs>
        <w:tab w:val="decimal" w:pos="964"/>
      </w:tabs>
    </w:pPr>
    <w:rPr>
      <w:rFonts w:ascii="Arial" w:hAnsi="Arial" w:cs="Arial"/>
      <w:bCs/>
      <w:sz w:val="18"/>
      <w:szCs w:val="18"/>
      <w:lang w:eastAsia="en-GB"/>
    </w:rPr>
  </w:style>
  <w:style w:type="character" w:customStyle="1" w:styleId="TNDChar">
    <w:name w:val="TN D Char"/>
    <w:basedOn w:val="DefaultParagraphFont"/>
    <w:link w:val="TND"/>
    <w:rsid w:val="008F12E4"/>
    <w:rPr>
      <w:rFonts w:ascii="Arial" w:hAnsi="Arial" w:cs="Arial"/>
      <w:bCs/>
      <w:sz w:val="18"/>
      <w:szCs w:val="18"/>
    </w:rPr>
  </w:style>
  <w:style w:type="paragraph" w:customStyle="1" w:styleId="TTL">
    <w:name w:val="TT L"/>
    <w:basedOn w:val="Normal"/>
    <w:link w:val="TTLChar"/>
    <w:qFormat/>
    <w:rsid w:val="008F12E4"/>
    <w:rPr>
      <w:rFonts w:ascii="Arial" w:hAnsi="Arial" w:cs="Arial"/>
      <w:bCs/>
      <w:sz w:val="18"/>
      <w:szCs w:val="18"/>
      <w:lang w:eastAsia="en-GB"/>
    </w:rPr>
  </w:style>
  <w:style w:type="character" w:customStyle="1" w:styleId="TTLChar">
    <w:name w:val="TT L Char"/>
    <w:basedOn w:val="DefaultParagraphFont"/>
    <w:link w:val="TTL"/>
    <w:rsid w:val="008F12E4"/>
    <w:rPr>
      <w:rFonts w:ascii="Arial" w:hAnsi="Arial" w:cs="Arial"/>
      <w:bCs/>
      <w:sz w:val="18"/>
      <w:szCs w:val="18"/>
    </w:rPr>
  </w:style>
  <w:style w:type="paragraph" w:customStyle="1" w:styleId="THR">
    <w:name w:val="TH R"/>
    <w:basedOn w:val="Normal"/>
    <w:link w:val="THRChar"/>
    <w:qFormat/>
    <w:rsid w:val="00322755"/>
    <w:pPr>
      <w:tabs>
        <w:tab w:val="right" w:pos="964"/>
      </w:tabs>
      <w:jc w:val="right"/>
    </w:pPr>
    <w:rPr>
      <w:rFonts w:ascii="Arial" w:hAnsi="Arial" w:cs="Arial"/>
      <w:bCs/>
      <w:sz w:val="18"/>
      <w:szCs w:val="18"/>
      <w:lang w:eastAsia="en-GB"/>
    </w:rPr>
  </w:style>
  <w:style w:type="character" w:customStyle="1" w:styleId="THRChar">
    <w:name w:val="TH R Char"/>
    <w:basedOn w:val="DefaultParagraphFont"/>
    <w:link w:val="THR"/>
    <w:rsid w:val="00322755"/>
    <w:rPr>
      <w:rFonts w:ascii="Arial" w:hAnsi="Arial" w:cs="Arial"/>
      <w:bCs/>
      <w:sz w:val="18"/>
      <w:szCs w:val="18"/>
    </w:rPr>
  </w:style>
  <w:style w:type="paragraph" w:customStyle="1" w:styleId="AGS-Bullets">
    <w:name w:val="AGS - Bullets"/>
    <w:basedOn w:val="ListParagraph"/>
    <w:link w:val="AGS-BulletsChar"/>
    <w:qFormat/>
    <w:rsid w:val="00322755"/>
    <w:pPr>
      <w:numPr>
        <w:ilvl w:val="1"/>
        <w:numId w:val="28"/>
      </w:numPr>
      <w:spacing w:after="0" w:line="240" w:lineRule="auto"/>
      <w:ind w:left="567" w:hanging="567"/>
    </w:pPr>
    <w:rPr>
      <w:rFonts w:ascii="Arial" w:eastAsiaTheme="minorHAnsi" w:hAnsi="Arial" w:cs="Arial"/>
      <w:bCs/>
    </w:rPr>
  </w:style>
  <w:style w:type="character" w:customStyle="1" w:styleId="AGS-BulletsChar">
    <w:name w:val="AGS - Bullets Char"/>
    <w:basedOn w:val="DefaultParagraphFont"/>
    <w:link w:val="AGS-Bullets"/>
    <w:rsid w:val="00322755"/>
    <w:rPr>
      <w:rFonts w:ascii="Arial" w:eastAsiaTheme="minorHAnsi" w:hAnsi="Arial" w:cs="Arial"/>
      <w:bCs/>
      <w:sz w:val="22"/>
      <w:szCs w:val="22"/>
    </w:rPr>
  </w:style>
  <w:style w:type="character" w:customStyle="1" w:styleId="Heading7Char">
    <w:name w:val="Heading 7 Char"/>
    <w:basedOn w:val="DefaultParagraphFont"/>
    <w:link w:val="Heading7"/>
    <w:uiPriority w:val="9"/>
    <w:semiHidden/>
    <w:rsid w:val="000F3752"/>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0F3752"/>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0F3752"/>
    <w:rPr>
      <w:rFonts w:asciiTheme="majorHAnsi" w:eastAsiaTheme="majorEastAsia" w:hAnsiTheme="majorHAnsi" w:cstheme="majorBidi"/>
      <w:sz w:val="22"/>
      <w:szCs w:val="22"/>
      <w:lang w:val="en-US" w:eastAsia="en-US"/>
    </w:rPr>
  </w:style>
  <w:style w:type="paragraph" w:customStyle="1" w:styleId="Pa27">
    <w:name w:val="Pa27"/>
    <w:basedOn w:val="Default"/>
    <w:next w:val="Default"/>
    <w:uiPriority w:val="99"/>
    <w:rsid w:val="001E052C"/>
    <w:pPr>
      <w:spacing w:line="201" w:lineRule="atLeast"/>
    </w:pPr>
    <w:rPr>
      <w:rFonts w:ascii="FS Lola" w:hAnsi="FS Lola" w:cs="Times New Roman"/>
      <w:color w:val="auto"/>
    </w:rPr>
  </w:style>
  <w:style w:type="paragraph" w:customStyle="1" w:styleId="Pa12">
    <w:name w:val="Pa12"/>
    <w:basedOn w:val="Default"/>
    <w:next w:val="Default"/>
    <w:uiPriority w:val="99"/>
    <w:rsid w:val="00AC23B0"/>
    <w:pPr>
      <w:spacing w:line="231" w:lineRule="atLeast"/>
    </w:pPr>
    <w:rPr>
      <w:rFonts w:ascii="FS Lola" w:hAnsi="FS Lola" w:cs="Times New Roman"/>
      <w:color w:val="auto"/>
    </w:rPr>
  </w:style>
  <w:style w:type="paragraph" w:customStyle="1" w:styleId="Pa28">
    <w:name w:val="Pa28"/>
    <w:basedOn w:val="Default"/>
    <w:next w:val="Default"/>
    <w:uiPriority w:val="99"/>
    <w:rsid w:val="002D3571"/>
    <w:pPr>
      <w:spacing w:line="231" w:lineRule="atLeast"/>
    </w:pPr>
    <w:rPr>
      <w:rFonts w:ascii="FS Lola Medium" w:hAnsi="FS Lola Medium" w:cs="Times New Roman"/>
      <w:color w:val="auto"/>
    </w:rPr>
  </w:style>
  <w:style w:type="character" w:customStyle="1" w:styleId="A14">
    <w:name w:val="A14"/>
    <w:uiPriority w:val="99"/>
    <w:rsid w:val="002D3571"/>
    <w:rPr>
      <w:rFonts w:ascii="FS Lola" w:hAnsi="FS Lola" w:cs="FS Lola"/>
      <w:b/>
      <w:bCs/>
      <w:color w:val="000000"/>
      <w:sz w:val="16"/>
      <w:szCs w:val="16"/>
    </w:rPr>
  </w:style>
  <w:style w:type="paragraph" w:customStyle="1" w:styleId="Standard">
    <w:name w:val="Standard"/>
    <w:rsid w:val="00571049"/>
    <w:pPr>
      <w:suppressAutoHyphens/>
      <w:autoSpaceDN w:val="0"/>
      <w:textAlignment w:val="baseline"/>
    </w:pPr>
    <w:rPr>
      <w:rFonts w:ascii="Arial" w:hAnsi="Arial" w:cs="Arial"/>
      <w:color w:val="000000"/>
      <w:kern w:val="3"/>
      <w:sz w:val="24"/>
      <w:szCs w:val="24"/>
    </w:rPr>
  </w:style>
  <w:style w:type="table" w:styleId="TableGridLight">
    <w:name w:val="Grid Table Light"/>
    <w:basedOn w:val="TableNormal"/>
    <w:uiPriority w:val="40"/>
    <w:rsid w:val="00716A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16A3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mail-s1">
    <w:name w:val="gmail-s1"/>
    <w:basedOn w:val="DefaultParagraphFont"/>
    <w:rsid w:val="00031A22"/>
  </w:style>
  <w:style w:type="paragraph" w:styleId="ListNumber">
    <w:name w:val="List Number"/>
    <w:basedOn w:val="Normal"/>
    <w:rsid w:val="00031A22"/>
    <w:pPr>
      <w:numPr>
        <w:numId w:val="41"/>
      </w:numPr>
      <w:contextualSpacing/>
    </w:pPr>
  </w:style>
  <w:style w:type="paragraph" w:customStyle="1" w:styleId="FIBody">
    <w:name w:val="FI Body"/>
    <w:basedOn w:val="Normal"/>
    <w:link w:val="FIBodyChar"/>
    <w:qFormat/>
    <w:rsid w:val="009F6965"/>
    <w:pPr>
      <w:tabs>
        <w:tab w:val="num" w:pos="1800"/>
      </w:tabs>
      <w:spacing w:line="276" w:lineRule="auto"/>
      <w:ind w:left="992"/>
      <w:jc w:val="both"/>
    </w:pPr>
    <w:rPr>
      <w:rFonts w:asciiTheme="minorHAnsi" w:eastAsiaTheme="minorHAnsi" w:hAnsiTheme="minorHAnsi" w:cs="Arial"/>
      <w:color w:val="005B82"/>
      <w:sz w:val="22"/>
      <w:szCs w:val="22"/>
    </w:rPr>
  </w:style>
  <w:style w:type="character" w:customStyle="1" w:styleId="FIBodyChar">
    <w:name w:val="FI Body Char"/>
    <w:basedOn w:val="DefaultParagraphFont"/>
    <w:link w:val="FIBody"/>
    <w:rsid w:val="009F6965"/>
    <w:rPr>
      <w:rFonts w:asciiTheme="minorHAnsi" w:eastAsiaTheme="minorHAnsi" w:hAnsiTheme="minorHAnsi" w:cs="Arial"/>
      <w:color w:val="005B82"/>
      <w:sz w:val="22"/>
      <w:szCs w:val="22"/>
      <w:lang w:eastAsia="en-US"/>
    </w:rPr>
  </w:style>
  <w:style w:type="paragraph" w:customStyle="1" w:styleId="Pa10">
    <w:name w:val="Pa10"/>
    <w:basedOn w:val="Default"/>
    <w:next w:val="Default"/>
    <w:uiPriority w:val="99"/>
    <w:rsid w:val="006506FA"/>
    <w:pPr>
      <w:spacing w:line="231" w:lineRule="atLeast"/>
    </w:pPr>
    <w:rPr>
      <w:rFonts w:ascii="FS Lola" w:eastAsiaTheme="minorHAnsi" w:hAnsi="FS Lola" w:cstheme="minorBidi"/>
      <w:color w:val="auto"/>
      <w:lang w:eastAsia="en-US"/>
    </w:rPr>
  </w:style>
  <w:style w:type="character" w:customStyle="1" w:styleId="ListParagraphChar">
    <w:name w:val="List Paragraph Char"/>
    <w:aliases w:val="cv list paragraph Char,List Paragraph1 Char,Table Text Char,List Paragraph_Table text Char,Table text Char,Table text + Justified Char,L.... Char,EiB Main bullet Char,Dot pt Char,No Spacing1 Char,List Paragraph Char Char Char Char"/>
    <w:link w:val="ListParagraph"/>
    <w:uiPriority w:val="34"/>
    <w:qFormat/>
    <w:locked/>
    <w:rsid w:val="005D0823"/>
    <w:rPr>
      <w:rFonts w:ascii="Calibri" w:hAnsi="Calibri"/>
      <w:sz w:val="22"/>
      <w:szCs w:val="22"/>
    </w:rPr>
  </w:style>
  <w:style w:type="character" w:customStyle="1" w:styleId="BodyText2Char">
    <w:name w:val="Body Text 2 Char"/>
    <w:basedOn w:val="DefaultParagraphFont"/>
    <w:link w:val="BodyText2"/>
    <w:rsid w:val="00AD2D07"/>
    <w:rPr>
      <w:sz w:val="28"/>
      <w:szCs w:val="24"/>
      <w:lang w:eastAsia="en-US"/>
    </w:rPr>
  </w:style>
  <w:style w:type="character" w:customStyle="1" w:styleId="Accessiblenormaltext">
    <w:name w:val="Accessible normal text"/>
    <w:basedOn w:val="DefaultParagraphFont"/>
    <w:qFormat/>
    <w:rsid w:val="00AD2D07"/>
    <w:rPr>
      <w:rFonts w:ascii="Arial" w:hAnsi="Arial"/>
    </w:rPr>
  </w:style>
  <w:style w:type="paragraph" w:customStyle="1" w:styleId="StyleNormalAccessible">
    <w:name w:val="Style Normal_Accessible"/>
    <w:basedOn w:val="Normal0"/>
    <w:rsid w:val="00AD2D07"/>
    <w:pPr>
      <w:spacing w:after="240" w:line="360" w:lineRule="auto"/>
    </w:pPr>
    <w:rPr>
      <w:rFonts w:ascii="Arial" w:eastAsia="Times New Roman" w:hAnsi="Arial" w:cs="Times New Roman"/>
      <w:sz w:val="24"/>
    </w:rPr>
  </w:style>
  <w:style w:type="paragraph" w:customStyle="1" w:styleId="Style3">
    <w:name w:val="Style 3"/>
    <w:basedOn w:val="Heading3"/>
    <w:link w:val="Style3Char"/>
    <w:qFormat/>
    <w:rsid w:val="00AD2D07"/>
    <w:pPr>
      <w:pBdr>
        <w:top w:val="single" w:sz="4" w:space="1" w:color="auto"/>
        <w:left w:val="single" w:sz="4" w:space="4" w:color="auto"/>
        <w:bottom w:val="single" w:sz="4" w:space="1" w:color="auto"/>
        <w:right w:val="single" w:sz="4" w:space="4" w:color="auto"/>
      </w:pBdr>
      <w:shd w:val="clear" w:color="auto" w:fill="C5E0B3" w:themeFill="accent6" w:themeFillTint="66"/>
      <w:spacing w:after="240"/>
    </w:pPr>
    <w:rPr>
      <w:color w:val="000000" w:themeColor="text1"/>
    </w:rPr>
  </w:style>
  <w:style w:type="character" w:customStyle="1" w:styleId="Style3Char">
    <w:name w:val="Style 3 Char"/>
    <w:basedOn w:val="Heading3Char"/>
    <w:link w:val="Style3"/>
    <w:rsid w:val="00AD2D07"/>
    <w:rPr>
      <w:rFonts w:ascii="Arial" w:hAnsi="Arial" w:cs="Arial"/>
      <w:b/>
      <w:bCs/>
      <w:color w:val="000000" w:themeColor="text1"/>
      <w:sz w:val="26"/>
      <w:szCs w:val="26"/>
      <w:shd w:val="clear" w:color="auto" w:fill="C5E0B3" w:themeFill="accent6" w:themeFillTint="66"/>
      <w:lang w:val="en-GB" w:eastAsia="en-US" w:bidi="ar-SA"/>
    </w:rPr>
  </w:style>
  <w:style w:type="paragraph" w:styleId="TOCHeading">
    <w:name w:val="TOC Heading"/>
    <w:basedOn w:val="Heading1"/>
    <w:next w:val="Normal"/>
    <w:uiPriority w:val="39"/>
    <w:unhideWhenUsed/>
    <w:qFormat/>
    <w:rsid w:val="00AD2D07"/>
    <w:pPr>
      <w:keepLines/>
      <w:spacing w:before="24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rsid w:val="00AD2D07"/>
    <w:pPr>
      <w:spacing w:after="100"/>
    </w:pPr>
  </w:style>
  <w:style w:type="paragraph" w:styleId="TOC2">
    <w:name w:val="toc 2"/>
    <w:basedOn w:val="Normal"/>
    <w:next w:val="Normal"/>
    <w:autoRedefine/>
    <w:uiPriority w:val="39"/>
    <w:rsid w:val="00AD2D07"/>
    <w:pPr>
      <w:spacing w:after="100"/>
      <w:ind w:left="240"/>
    </w:pPr>
  </w:style>
  <w:style w:type="paragraph" w:styleId="TOC3">
    <w:name w:val="toc 3"/>
    <w:basedOn w:val="Normal"/>
    <w:next w:val="Normal"/>
    <w:autoRedefine/>
    <w:uiPriority w:val="39"/>
    <w:rsid w:val="00F930D2"/>
    <w:pPr>
      <w:tabs>
        <w:tab w:val="right" w:leader="dot" w:pos="9016"/>
      </w:tabs>
      <w:spacing w:after="100"/>
      <w:ind w:left="480"/>
    </w:pPr>
  </w:style>
  <w:style w:type="paragraph" w:styleId="TOC4">
    <w:name w:val="toc 4"/>
    <w:basedOn w:val="Normal"/>
    <w:next w:val="Normal"/>
    <w:autoRedefine/>
    <w:uiPriority w:val="39"/>
    <w:unhideWhenUsed/>
    <w:rsid w:val="00AD2D07"/>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AD2D07"/>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AD2D07"/>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AD2D07"/>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AD2D07"/>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AD2D07"/>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AD2D07"/>
    <w:rPr>
      <w:color w:val="605E5C"/>
      <w:shd w:val="clear" w:color="auto" w:fill="E1DFDD"/>
    </w:rPr>
  </w:style>
  <w:style w:type="paragraph" w:customStyle="1" w:styleId="paragraph">
    <w:name w:val="paragraph"/>
    <w:basedOn w:val="Normal"/>
    <w:rsid w:val="00AD2D07"/>
    <w:pPr>
      <w:spacing w:before="100" w:beforeAutospacing="1" w:after="100" w:afterAutospacing="1"/>
    </w:pPr>
    <w:rPr>
      <w:lang w:eastAsia="en-GB"/>
    </w:rPr>
  </w:style>
  <w:style w:type="character" w:customStyle="1" w:styleId="normaltextrun">
    <w:name w:val="normaltextrun"/>
    <w:basedOn w:val="DefaultParagraphFont"/>
    <w:rsid w:val="00AD2D07"/>
  </w:style>
  <w:style w:type="character" w:customStyle="1" w:styleId="eop">
    <w:name w:val="eop"/>
    <w:basedOn w:val="DefaultParagraphFont"/>
    <w:rsid w:val="00AD2D07"/>
  </w:style>
  <w:style w:type="character" w:customStyle="1" w:styleId="pagebreaktextspan">
    <w:name w:val="pagebreaktextspan"/>
    <w:basedOn w:val="DefaultParagraphFont"/>
    <w:rsid w:val="00AD2D07"/>
  </w:style>
  <w:style w:type="character" w:styleId="Strong">
    <w:name w:val="Strong"/>
    <w:basedOn w:val="DefaultParagraphFont"/>
    <w:uiPriority w:val="22"/>
    <w:qFormat/>
    <w:rsid w:val="00AD2D07"/>
    <w:rPr>
      <w:rFonts w:ascii="Colfax-Medium" w:hAnsi="Colfax-Medium" w:hint="default"/>
      <w:b/>
      <w:bCs/>
    </w:rPr>
  </w:style>
  <w:style w:type="paragraph" w:customStyle="1" w:styleId="1TfGMHeading1">
    <w:name w:val="#1 TfGM Heading 1"/>
    <w:next w:val="2TfGMHeading2"/>
    <w:qFormat/>
    <w:rsid w:val="00CE76C2"/>
    <w:pPr>
      <w:numPr>
        <w:numId w:val="51"/>
      </w:numPr>
      <w:spacing w:before="480" w:after="480"/>
      <w:jc w:val="both"/>
    </w:pPr>
    <w:rPr>
      <w:rFonts w:ascii="Calibri" w:hAnsi="Calibri" w:cs="Arial"/>
      <w:b/>
      <w:sz w:val="26"/>
      <w:szCs w:val="24"/>
    </w:rPr>
  </w:style>
  <w:style w:type="paragraph" w:customStyle="1" w:styleId="2TfGMHeading2">
    <w:name w:val="#2 TfGM Heading 2"/>
    <w:basedOn w:val="1TfGMHeading1"/>
    <w:qFormat/>
    <w:rsid w:val="00CE76C2"/>
    <w:pPr>
      <w:numPr>
        <w:ilvl w:val="1"/>
      </w:numPr>
      <w:spacing w:before="240" w:after="240"/>
    </w:pPr>
    <w:rPr>
      <w:b w:val="0"/>
    </w:rPr>
  </w:style>
  <w:style w:type="paragraph" w:customStyle="1" w:styleId="3TfGMHeading3">
    <w:name w:val="#3 TfGM Heading 3"/>
    <w:basedOn w:val="2TfGMHeading2"/>
    <w:qFormat/>
    <w:rsid w:val="00CE76C2"/>
    <w:pPr>
      <w:numPr>
        <w:ilvl w:val="2"/>
      </w:numPr>
    </w:pPr>
  </w:style>
  <w:style w:type="paragraph" w:customStyle="1" w:styleId="4TfGMBullet1">
    <w:name w:val="#4 TfGM Bullet 1"/>
    <w:basedOn w:val="3TfGMHeading3"/>
    <w:qFormat/>
    <w:rsid w:val="00CE76C2"/>
    <w:pPr>
      <w:numPr>
        <w:ilvl w:val="3"/>
      </w:numPr>
      <w:tabs>
        <w:tab w:val="num" w:pos="360"/>
      </w:tabs>
      <w:spacing w:before="120" w:after="120"/>
      <w:ind w:left="360" w:hanging="360"/>
    </w:pPr>
  </w:style>
  <w:style w:type="paragraph" w:customStyle="1" w:styleId="5TfGMBullet2">
    <w:name w:val="#5 TfGM Bullet 2"/>
    <w:basedOn w:val="4TfGMBullet1"/>
    <w:qFormat/>
    <w:rsid w:val="00CE76C2"/>
    <w:pPr>
      <w:numPr>
        <w:ilvl w:val="4"/>
      </w:numPr>
      <w:tabs>
        <w:tab w:val="num" w:pos="360"/>
      </w:tabs>
      <w:ind w:left="1645" w:hanging="284"/>
    </w:pPr>
  </w:style>
  <w:style w:type="paragraph" w:customStyle="1" w:styleId="6TfGMRecommendations">
    <w:name w:val="#6 TfGM Recommendations"/>
    <w:basedOn w:val="5TfGMBullet2"/>
    <w:qFormat/>
    <w:rsid w:val="00CE76C2"/>
    <w:pPr>
      <w:numPr>
        <w:ilvl w:val="5"/>
      </w:numPr>
      <w:tabs>
        <w:tab w:val="num" w:pos="360"/>
      </w:tabs>
      <w:ind w:left="1418" w:hanging="567"/>
    </w:pPr>
    <w:rPr>
      <w:lang w:eastAsia="en-US"/>
    </w:rPr>
  </w:style>
  <w:style w:type="numbering" w:customStyle="1" w:styleId="TfGMList">
    <w:name w:val="#TfGM List"/>
    <w:uiPriority w:val="99"/>
    <w:rsid w:val="00CE76C2"/>
    <w:pPr>
      <w:numPr>
        <w:numId w:val="50"/>
      </w:numPr>
    </w:pPr>
  </w:style>
  <w:style w:type="paragraph" w:customStyle="1" w:styleId="Heading2green">
    <w:name w:val="Heading 2 green"/>
    <w:basedOn w:val="Heading2"/>
    <w:qFormat/>
    <w:rsid w:val="005F371A"/>
    <w:pPr>
      <w:pBdr>
        <w:top w:val="single" w:sz="4" w:space="1" w:color="auto"/>
        <w:left w:val="single" w:sz="4" w:space="4" w:color="auto"/>
        <w:bottom w:val="single" w:sz="4" w:space="1" w:color="auto"/>
        <w:right w:val="single" w:sz="4" w:space="4" w:color="auto"/>
      </w:pBdr>
      <w:shd w:val="clear" w:color="auto" w:fill="C5E0B3" w:themeFill="accent6" w:themeFillTint="66"/>
      <w:jc w:val="center"/>
    </w:pPr>
  </w:style>
  <w:style w:type="paragraph" w:customStyle="1" w:styleId="Heading4unnumbered">
    <w:name w:val="Heading 4 unnumbered"/>
    <w:basedOn w:val="Heading4"/>
    <w:link w:val="Heading4unnumberedChar"/>
    <w:qFormat/>
    <w:rsid w:val="008711FF"/>
    <w:pPr>
      <w:numPr>
        <w:numId w:val="0"/>
      </w:numPr>
      <w:ind w:left="426" w:hanging="426"/>
    </w:pPr>
    <w:rPr>
      <w:rFonts w:eastAsia="Palatino Linotype"/>
    </w:rPr>
  </w:style>
  <w:style w:type="character" w:customStyle="1" w:styleId="Heading4unnumberedChar">
    <w:name w:val="Heading 4 unnumbered Char"/>
    <w:basedOn w:val="Heading4Char"/>
    <w:link w:val="Heading4unnumbered"/>
    <w:rsid w:val="008711FF"/>
    <w:rPr>
      <w:rFonts w:ascii="Arial" w:eastAsia="Palatino Linotype" w:hAnsi="Arial" w:cs="Arial"/>
      <w:i/>
      <w:iCs/>
      <w:sz w:val="24"/>
      <w:szCs w:val="24"/>
    </w:rPr>
  </w:style>
  <w:style w:type="paragraph" w:customStyle="1" w:styleId="Heading4bold">
    <w:name w:val="Heading 4 bold"/>
    <w:basedOn w:val="Heading6"/>
    <w:link w:val="Heading4boldChar"/>
    <w:qFormat/>
    <w:rsid w:val="005403AF"/>
    <w:pPr>
      <w:spacing w:after="160"/>
      <w:outlineLvl w:val="3"/>
    </w:pPr>
    <w:rPr>
      <w:rFonts w:cs="Arial"/>
    </w:rPr>
  </w:style>
  <w:style w:type="character" w:customStyle="1" w:styleId="Heading4boldChar">
    <w:name w:val="Heading 4 bold Char"/>
    <w:basedOn w:val="Heading6Char"/>
    <w:link w:val="Heading4bold"/>
    <w:rsid w:val="005403AF"/>
    <w:rPr>
      <w:rFonts w:ascii="Arial" w:hAnsi="Arial" w:cs="Arial"/>
      <w:b/>
      <w:bCs/>
      <w:sz w:val="24"/>
      <w:szCs w:val="24"/>
      <w:lang w:eastAsia="en-US"/>
    </w:rPr>
  </w:style>
  <w:style w:type="paragraph" w:customStyle="1" w:styleId="Heaading2green">
    <w:name w:val="Heaading 2 green"/>
    <w:basedOn w:val="Normal"/>
    <w:qFormat/>
    <w:rsid w:val="005F371A"/>
    <w:pPr>
      <w:pBdr>
        <w:top w:val="single" w:sz="4" w:space="1" w:color="auto"/>
        <w:left w:val="single" w:sz="4" w:space="4" w:color="auto"/>
        <w:bottom w:val="single" w:sz="4" w:space="1" w:color="auto"/>
        <w:right w:val="single" w:sz="4" w:space="4" w:color="auto"/>
      </w:pBdr>
      <w:shd w:val="clear" w:color="auto" w:fill="C5E0B3" w:themeFill="accent6" w:themeFillTint="66"/>
      <w:jc w:val="center"/>
      <w:outlineLvl w:val="1"/>
    </w:pPr>
    <w:rPr>
      <w:rFonts w:ascii="Arial" w:hAnsi="Arial" w:cs="Arial"/>
      <w:b/>
      <w:sz w:val="40"/>
      <w:szCs w:val="40"/>
    </w:rPr>
  </w:style>
  <w:style w:type="paragraph" w:customStyle="1" w:styleId="Heading3green">
    <w:name w:val="Heading 3 green"/>
    <w:basedOn w:val="Normal"/>
    <w:qFormat/>
    <w:rsid w:val="00261631"/>
    <w:pPr>
      <w:pBdr>
        <w:top w:val="single" w:sz="4" w:space="1" w:color="auto"/>
        <w:left w:val="single" w:sz="4" w:space="4" w:color="auto"/>
        <w:bottom w:val="single" w:sz="4" w:space="1" w:color="auto"/>
        <w:right w:val="single" w:sz="4" w:space="4" w:color="auto"/>
      </w:pBdr>
      <w:shd w:val="clear" w:color="auto" w:fill="C5E0B3" w:themeFill="accent6" w:themeFillTint="66"/>
      <w:jc w:val="center"/>
      <w:outlineLvl w:val="1"/>
    </w:pPr>
    <w:rPr>
      <w:rFonts w:ascii="Arial" w:hAnsi="Arial" w:cs="Arial"/>
      <w:b/>
      <w:sz w:val="28"/>
      <w:szCs w:val="28"/>
    </w:rPr>
  </w:style>
  <w:style w:type="paragraph" w:customStyle="1" w:styleId="StyleHeading3green12pt">
    <w:name w:val="Style Heading 3 green + 12 pt"/>
    <w:basedOn w:val="Heading3green"/>
    <w:rsid w:val="002A6C4C"/>
    <w:rPr>
      <w:bCs/>
      <w:sz w:val="24"/>
    </w:rPr>
  </w:style>
  <w:style w:type="paragraph" w:customStyle="1" w:styleId="Heading3greennumbered">
    <w:name w:val="Heading 3 green numbered"/>
    <w:basedOn w:val="StyleHeading3green12pt"/>
    <w:qFormat/>
    <w:rsid w:val="000A0695"/>
    <w:pPr>
      <w:jc w:val="left"/>
      <w:outlineLvl w:val="2"/>
    </w:pPr>
    <w:rPr>
      <w:rFonts w:eastAsia="Palatino Linotype"/>
      <w:lang w:val="en-US"/>
    </w:rPr>
  </w:style>
  <w:style w:type="paragraph" w:customStyle="1" w:styleId="Style1">
    <w:name w:val="Style1"/>
    <w:basedOn w:val="Heading3greennumbered"/>
    <w:qFormat/>
    <w:rsid w:val="00924E51"/>
  </w:style>
  <w:style w:type="paragraph" w:customStyle="1" w:styleId="Heading5underline">
    <w:name w:val="Heading 5 underline"/>
    <w:basedOn w:val="Heading5"/>
    <w:rsid w:val="00716403"/>
    <w:rPr>
      <w:rFonts w:eastAsiaTheme="minorHAnsi"/>
      <w:b w:val="0"/>
      <w:bCs w:val="0"/>
      <w:w w:val="101"/>
      <w:u w:val="single"/>
    </w:rPr>
  </w:style>
  <w:style w:type="paragraph" w:customStyle="1" w:styleId="Heading4underline">
    <w:name w:val="Heading 4 underline"/>
    <w:basedOn w:val="NoSpacing"/>
    <w:rsid w:val="00474D1F"/>
    <w:pPr>
      <w:outlineLvl w:val="3"/>
    </w:pPr>
    <w:rPr>
      <w:rFonts w:ascii="Arial" w:hAnsi="Arial"/>
      <w:sz w:val="24"/>
      <w:u w:val="single"/>
    </w:rPr>
  </w:style>
  <w:style w:type="paragraph" w:customStyle="1" w:styleId="Body">
    <w:name w:val="Body"/>
    <w:autoRedefine/>
    <w:rsid w:val="00655E4C"/>
    <w:pPr>
      <w:numPr>
        <w:numId w:val="52"/>
      </w:numPr>
      <w:tabs>
        <w:tab w:val="left" w:pos="709"/>
        <w:tab w:val="left" w:pos="1417"/>
        <w:tab w:val="left" w:pos="2126"/>
        <w:tab w:val="left" w:pos="2835"/>
        <w:tab w:val="left" w:pos="3543"/>
        <w:tab w:val="left" w:pos="4252"/>
        <w:tab w:val="left" w:pos="4961"/>
        <w:tab w:val="left" w:pos="5669"/>
        <w:tab w:val="left" w:pos="6378"/>
        <w:tab w:val="left" w:pos="7087"/>
        <w:tab w:val="left" w:pos="7795"/>
      </w:tabs>
    </w:pPr>
    <w:rPr>
      <w:rFonts w:asciiTheme="minorHAnsi" w:eastAsia="ヒラギノ角ゴ Pro W3" w:hAnsiTheme="minorHAnsi" w:cstheme="minorHAnsi"/>
      <w:sz w:val="24"/>
      <w:szCs w:val="24"/>
    </w:rPr>
  </w:style>
  <w:style w:type="paragraph" w:customStyle="1" w:styleId="TfGMDocumentHeading">
    <w:name w:val="##TfGM Document Heading"/>
    <w:next w:val="8TfGMStandardDocumentText"/>
    <w:qFormat/>
    <w:rsid w:val="00016C24"/>
    <w:pPr>
      <w:spacing w:after="480"/>
      <w:jc w:val="both"/>
    </w:pPr>
    <w:rPr>
      <w:rFonts w:ascii="Calibri" w:eastAsiaTheme="majorEastAsia" w:hAnsi="Calibri" w:cstheme="majorBidi"/>
      <w:b/>
      <w:noProof/>
      <w:sz w:val="26"/>
      <w:szCs w:val="4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7757">
      <w:bodyDiv w:val="1"/>
      <w:marLeft w:val="0"/>
      <w:marRight w:val="0"/>
      <w:marTop w:val="0"/>
      <w:marBottom w:val="0"/>
      <w:divBdr>
        <w:top w:val="none" w:sz="0" w:space="0" w:color="auto"/>
        <w:left w:val="none" w:sz="0" w:space="0" w:color="auto"/>
        <w:bottom w:val="none" w:sz="0" w:space="0" w:color="auto"/>
        <w:right w:val="none" w:sz="0" w:space="0" w:color="auto"/>
      </w:divBdr>
    </w:div>
    <w:div w:id="45840316">
      <w:bodyDiv w:val="1"/>
      <w:marLeft w:val="0"/>
      <w:marRight w:val="0"/>
      <w:marTop w:val="0"/>
      <w:marBottom w:val="0"/>
      <w:divBdr>
        <w:top w:val="none" w:sz="0" w:space="0" w:color="auto"/>
        <w:left w:val="none" w:sz="0" w:space="0" w:color="auto"/>
        <w:bottom w:val="none" w:sz="0" w:space="0" w:color="auto"/>
        <w:right w:val="none" w:sz="0" w:space="0" w:color="auto"/>
      </w:divBdr>
    </w:div>
    <w:div w:id="46077213">
      <w:bodyDiv w:val="1"/>
      <w:marLeft w:val="0"/>
      <w:marRight w:val="0"/>
      <w:marTop w:val="0"/>
      <w:marBottom w:val="0"/>
      <w:divBdr>
        <w:top w:val="none" w:sz="0" w:space="0" w:color="auto"/>
        <w:left w:val="none" w:sz="0" w:space="0" w:color="auto"/>
        <w:bottom w:val="none" w:sz="0" w:space="0" w:color="auto"/>
        <w:right w:val="none" w:sz="0" w:space="0" w:color="auto"/>
      </w:divBdr>
    </w:div>
    <w:div w:id="46606448">
      <w:bodyDiv w:val="1"/>
      <w:marLeft w:val="0"/>
      <w:marRight w:val="0"/>
      <w:marTop w:val="0"/>
      <w:marBottom w:val="0"/>
      <w:divBdr>
        <w:top w:val="none" w:sz="0" w:space="0" w:color="auto"/>
        <w:left w:val="none" w:sz="0" w:space="0" w:color="auto"/>
        <w:bottom w:val="none" w:sz="0" w:space="0" w:color="auto"/>
        <w:right w:val="none" w:sz="0" w:space="0" w:color="auto"/>
      </w:divBdr>
    </w:div>
    <w:div w:id="50077004">
      <w:bodyDiv w:val="1"/>
      <w:marLeft w:val="0"/>
      <w:marRight w:val="0"/>
      <w:marTop w:val="0"/>
      <w:marBottom w:val="0"/>
      <w:divBdr>
        <w:top w:val="none" w:sz="0" w:space="0" w:color="auto"/>
        <w:left w:val="none" w:sz="0" w:space="0" w:color="auto"/>
        <w:bottom w:val="none" w:sz="0" w:space="0" w:color="auto"/>
        <w:right w:val="none" w:sz="0" w:space="0" w:color="auto"/>
      </w:divBdr>
    </w:div>
    <w:div w:id="54672385">
      <w:bodyDiv w:val="1"/>
      <w:marLeft w:val="0"/>
      <w:marRight w:val="0"/>
      <w:marTop w:val="0"/>
      <w:marBottom w:val="0"/>
      <w:divBdr>
        <w:top w:val="none" w:sz="0" w:space="0" w:color="auto"/>
        <w:left w:val="none" w:sz="0" w:space="0" w:color="auto"/>
        <w:bottom w:val="none" w:sz="0" w:space="0" w:color="auto"/>
        <w:right w:val="none" w:sz="0" w:space="0" w:color="auto"/>
      </w:divBdr>
    </w:div>
    <w:div w:id="55708806">
      <w:bodyDiv w:val="1"/>
      <w:marLeft w:val="0"/>
      <w:marRight w:val="0"/>
      <w:marTop w:val="0"/>
      <w:marBottom w:val="0"/>
      <w:divBdr>
        <w:top w:val="none" w:sz="0" w:space="0" w:color="auto"/>
        <w:left w:val="none" w:sz="0" w:space="0" w:color="auto"/>
        <w:bottom w:val="none" w:sz="0" w:space="0" w:color="auto"/>
        <w:right w:val="none" w:sz="0" w:space="0" w:color="auto"/>
      </w:divBdr>
    </w:div>
    <w:div w:id="58328540">
      <w:bodyDiv w:val="1"/>
      <w:marLeft w:val="0"/>
      <w:marRight w:val="0"/>
      <w:marTop w:val="0"/>
      <w:marBottom w:val="0"/>
      <w:divBdr>
        <w:top w:val="none" w:sz="0" w:space="0" w:color="auto"/>
        <w:left w:val="none" w:sz="0" w:space="0" w:color="auto"/>
        <w:bottom w:val="none" w:sz="0" w:space="0" w:color="auto"/>
        <w:right w:val="none" w:sz="0" w:space="0" w:color="auto"/>
      </w:divBdr>
    </w:div>
    <w:div w:id="59450139">
      <w:bodyDiv w:val="1"/>
      <w:marLeft w:val="0"/>
      <w:marRight w:val="0"/>
      <w:marTop w:val="0"/>
      <w:marBottom w:val="0"/>
      <w:divBdr>
        <w:top w:val="none" w:sz="0" w:space="0" w:color="auto"/>
        <w:left w:val="none" w:sz="0" w:space="0" w:color="auto"/>
        <w:bottom w:val="none" w:sz="0" w:space="0" w:color="auto"/>
        <w:right w:val="none" w:sz="0" w:space="0" w:color="auto"/>
      </w:divBdr>
    </w:div>
    <w:div w:id="83965498">
      <w:bodyDiv w:val="1"/>
      <w:marLeft w:val="0"/>
      <w:marRight w:val="0"/>
      <w:marTop w:val="0"/>
      <w:marBottom w:val="0"/>
      <w:divBdr>
        <w:top w:val="none" w:sz="0" w:space="0" w:color="auto"/>
        <w:left w:val="none" w:sz="0" w:space="0" w:color="auto"/>
        <w:bottom w:val="none" w:sz="0" w:space="0" w:color="auto"/>
        <w:right w:val="none" w:sz="0" w:space="0" w:color="auto"/>
      </w:divBdr>
    </w:div>
    <w:div w:id="93090303">
      <w:bodyDiv w:val="1"/>
      <w:marLeft w:val="0"/>
      <w:marRight w:val="0"/>
      <w:marTop w:val="0"/>
      <w:marBottom w:val="0"/>
      <w:divBdr>
        <w:top w:val="none" w:sz="0" w:space="0" w:color="auto"/>
        <w:left w:val="none" w:sz="0" w:space="0" w:color="auto"/>
        <w:bottom w:val="none" w:sz="0" w:space="0" w:color="auto"/>
        <w:right w:val="none" w:sz="0" w:space="0" w:color="auto"/>
      </w:divBdr>
    </w:div>
    <w:div w:id="97801244">
      <w:bodyDiv w:val="1"/>
      <w:marLeft w:val="0"/>
      <w:marRight w:val="0"/>
      <w:marTop w:val="0"/>
      <w:marBottom w:val="0"/>
      <w:divBdr>
        <w:top w:val="none" w:sz="0" w:space="0" w:color="auto"/>
        <w:left w:val="none" w:sz="0" w:space="0" w:color="auto"/>
        <w:bottom w:val="none" w:sz="0" w:space="0" w:color="auto"/>
        <w:right w:val="none" w:sz="0" w:space="0" w:color="auto"/>
      </w:divBdr>
    </w:div>
    <w:div w:id="107819659">
      <w:bodyDiv w:val="1"/>
      <w:marLeft w:val="0"/>
      <w:marRight w:val="0"/>
      <w:marTop w:val="0"/>
      <w:marBottom w:val="0"/>
      <w:divBdr>
        <w:top w:val="none" w:sz="0" w:space="0" w:color="auto"/>
        <w:left w:val="none" w:sz="0" w:space="0" w:color="auto"/>
        <w:bottom w:val="none" w:sz="0" w:space="0" w:color="auto"/>
        <w:right w:val="none" w:sz="0" w:space="0" w:color="auto"/>
      </w:divBdr>
    </w:div>
    <w:div w:id="124008782">
      <w:bodyDiv w:val="1"/>
      <w:marLeft w:val="0"/>
      <w:marRight w:val="0"/>
      <w:marTop w:val="0"/>
      <w:marBottom w:val="0"/>
      <w:divBdr>
        <w:top w:val="none" w:sz="0" w:space="0" w:color="auto"/>
        <w:left w:val="none" w:sz="0" w:space="0" w:color="auto"/>
        <w:bottom w:val="none" w:sz="0" w:space="0" w:color="auto"/>
        <w:right w:val="none" w:sz="0" w:space="0" w:color="auto"/>
      </w:divBdr>
    </w:div>
    <w:div w:id="131871734">
      <w:bodyDiv w:val="1"/>
      <w:marLeft w:val="0"/>
      <w:marRight w:val="0"/>
      <w:marTop w:val="0"/>
      <w:marBottom w:val="0"/>
      <w:divBdr>
        <w:top w:val="none" w:sz="0" w:space="0" w:color="auto"/>
        <w:left w:val="none" w:sz="0" w:space="0" w:color="auto"/>
        <w:bottom w:val="none" w:sz="0" w:space="0" w:color="auto"/>
        <w:right w:val="none" w:sz="0" w:space="0" w:color="auto"/>
      </w:divBdr>
    </w:div>
    <w:div w:id="138378769">
      <w:bodyDiv w:val="1"/>
      <w:marLeft w:val="0"/>
      <w:marRight w:val="0"/>
      <w:marTop w:val="0"/>
      <w:marBottom w:val="0"/>
      <w:divBdr>
        <w:top w:val="none" w:sz="0" w:space="0" w:color="auto"/>
        <w:left w:val="none" w:sz="0" w:space="0" w:color="auto"/>
        <w:bottom w:val="none" w:sz="0" w:space="0" w:color="auto"/>
        <w:right w:val="none" w:sz="0" w:space="0" w:color="auto"/>
      </w:divBdr>
    </w:div>
    <w:div w:id="143205222">
      <w:bodyDiv w:val="1"/>
      <w:marLeft w:val="0"/>
      <w:marRight w:val="0"/>
      <w:marTop w:val="0"/>
      <w:marBottom w:val="0"/>
      <w:divBdr>
        <w:top w:val="none" w:sz="0" w:space="0" w:color="auto"/>
        <w:left w:val="none" w:sz="0" w:space="0" w:color="auto"/>
        <w:bottom w:val="none" w:sz="0" w:space="0" w:color="auto"/>
        <w:right w:val="none" w:sz="0" w:space="0" w:color="auto"/>
      </w:divBdr>
    </w:div>
    <w:div w:id="153491245">
      <w:bodyDiv w:val="1"/>
      <w:marLeft w:val="0"/>
      <w:marRight w:val="0"/>
      <w:marTop w:val="0"/>
      <w:marBottom w:val="0"/>
      <w:divBdr>
        <w:top w:val="none" w:sz="0" w:space="0" w:color="auto"/>
        <w:left w:val="none" w:sz="0" w:space="0" w:color="auto"/>
        <w:bottom w:val="none" w:sz="0" w:space="0" w:color="auto"/>
        <w:right w:val="none" w:sz="0" w:space="0" w:color="auto"/>
      </w:divBdr>
    </w:div>
    <w:div w:id="157815081">
      <w:bodyDiv w:val="1"/>
      <w:marLeft w:val="0"/>
      <w:marRight w:val="0"/>
      <w:marTop w:val="0"/>
      <w:marBottom w:val="0"/>
      <w:divBdr>
        <w:top w:val="none" w:sz="0" w:space="0" w:color="auto"/>
        <w:left w:val="none" w:sz="0" w:space="0" w:color="auto"/>
        <w:bottom w:val="none" w:sz="0" w:space="0" w:color="auto"/>
        <w:right w:val="none" w:sz="0" w:space="0" w:color="auto"/>
      </w:divBdr>
    </w:div>
    <w:div w:id="162475298">
      <w:bodyDiv w:val="1"/>
      <w:marLeft w:val="0"/>
      <w:marRight w:val="0"/>
      <w:marTop w:val="0"/>
      <w:marBottom w:val="0"/>
      <w:divBdr>
        <w:top w:val="none" w:sz="0" w:space="0" w:color="auto"/>
        <w:left w:val="none" w:sz="0" w:space="0" w:color="auto"/>
        <w:bottom w:val="none" w:sz="0" w:space="0" w:color="auto"/>
        <w:right w:val="none" w:sz="0" w:space="0" w:color="auto"/>
      </w:divBdr>
    </w:div>
    <w:div w:id="169106884">
      <w:bodyDiv w:val="1"/>
      <w:marLeft w:val="0"/>
      <w:marRight w:val="0"/>
      <w:marTop w:val="0"/>
      <w:marBottom w:val="0"/>
      <w:divBdr>
        <w:top w:val="none" w:sz="0" w:space="0" w:color="auto"/>
        <w:left w:val="none" w:sz="0" w:space="0" w:color="auto"/>
        <w:bottom w:val="none" w:sz="0" w:space="0" w:color="auto"/>
        <w:right w:val="none" w:sz="0" w:space="0" w:color="auto"/>
      </w:divBdr>
    </w:div>
    <w:div w:id="176695282">
      <w:bodyDiv w:val="1"/>
      <w:marLeft w:val="0"/>
      <w:marRight w:val="0"/>
      <w:marTop w:val="0"/>
      <w:marBottom w:val="0"/>
      <w:divBdr>
        <w:top w:val="none" w:sz="0" w:space="0" w:color="auto"/>
        <w:left w:val="none" w:sz="0" w:space="0" w:color="auto"/>
        <w:bottom w:val="none" w:sz="0" w:space="0" w:color="auto"/>
        <w:right w:val="none" w:sz="0" w:space="0" w:color="auto"/>
      </w:divBdr>
    </w:div>
    <w:div w:id="187569440">
      <w:bodyDiv w:val="1"/>
      <w:marLeft w:val="0"/>
      <w:marRight w:val="0"/>
      <w:marTop w:val="0"/>
      <w:marBottom w:val="0"/>
      <w:divBdr>
        <w:top w:val="none" w:sz="0" w:space="0" w:color="auto"/>
        <w:left w:val="none" w:sz="0" w:space="0" w:color="auto"/>
        <w:bottom w:val="none" w:sz="0" w:space="0" w:color="auto"/>
        <w:right w:val="none" w:sz="0" w:space="0" w:color="auto"/>
      </w:divBdr>
    </w:div>
    <w:div w:id="193463822">
      <w:bodyDiv w:val="1"/>
      <w:marLeft w:val="0"/>
      <w:marRight w:val="0"/>
      <w:marTop w:val="0"/>
      <w:marBottom w:val="0"/>
      <w:divBdr>
        <w:top w:val="none" w:sz="0" w:space="0" w:color="auto"/>
        <w:left w:val="none" w:sz="0" w:space="0" w:color="auto"/>
        <w:bottom w:val="none" w:sz="0" w:space="0" w:color="auto"/>
        <w:right w:val="none" w:sz="0" w:space="0" w:color="auto"/>
      </w:divBdr>
    </w:div>
    <w:div w:id="204224156">
      <w:bodyDiv w:val="1"/>
      <w:marLeft w:val="0"/>
      <w:marRight w:val="0"/>
      <w:marTop w:val="0"/>
      <w:marBottom w:val="0"/>
      <w:divBdr>
        <w:top w:val="none" w:sz="0" w:space="0" w:color="auto"/>
        <w:left w:val="none" w:sz="0" w:space="0" w:color="auto"/>
        <w:bottom w:val="none" w:sz="0" w:space="0" w:color="auto"/>
        <w:right w:val="none" w:sz="0" w:space="0" w:color="auto"/>
      </w:divBdr>
    </w:div>
    <w:div w:id="206333564">
      <w:bodyDiv w:val="1"/>
      <w:marLeft w:val="0"/>
      <w:marRight w:val="0"/>
      <w:marTop w:val="0"/>
      <w:marBottom w:val="0"/>
      <w:divBdr>
        <w:top w:val="none" w:sz="0" w:space="0" w:color="auto"/>
        <w:left w:val="none" w:sz="0" w:space="0" w:color="auto"/>
        <w:bottom w:val="none" w:sz="0" w:space="0" w:color="auto"/>
        <w:right w:val="none" w:sz="0" w:space="0" w:color="auto"/>
      </w:divBdr>
    </w:div>
    <w:div w:id="217208666">
      <w:bodyDiv w:val="1"/>
      <w:marLeft w:val="0"/>
      <w:marRight w:val="0"/>
      <w:marTop w:val="0"/>
      <w:marBottom w:val="0"/>
      <w:divBdr>
        <w:top w:val="none" w:sz="0" w:space="0" w:color="auto"/>
        <w:left w:val="none" w:sz="0" w:space="0" w:color="auto"/>
        <w:bottom w:val="none" w:sz="0" w:space="0" w:color="auto"/>
        <w:right w:val="none" w:sz="0" w:space="0" w:color="auto"/>
      </w:divBdr>
    </w:div>
    <w:div w:id="221644206">
      <w:bodyDiv w:val="1"/>
      <w:marLeft w:val="0"/>
      <w:marRight w:val="0"/>
      <w:marTop w:val="0"/>
      <w:marBottom w:val="0"/>
      <w:divBdr>
        <w:top w:val="none" w:sz="0" w:space="0" w:color="auto"/>
        <w:left w:val="none" w:sz="0" w:space="0" w:color="auto"/>
        <w:bottom w:val="none" w:sz="0" w:space="0" w:color="auto"/>
        <w:right w:val="none" w:sz="0" w:space="0" w:color="auto"/>
      </w:divBdr>
    </w:div>
    <w:div w:id="224071447">
      <w:bodyDiv w:val="1"/>
      <w:marLeft w:val="0"/>
      <w:marRight w:val="0"/>
      <w:marTop w:val="0"/>
      <w:marBottom w:val="0"/>
      <w:divBdr>
        <w:top w:val="none" w:sz="0" w:space="0" w:color="auto"/>
        <w:left w:val="none" w:sz="0" w:space="0" w:color="auto"/>
        <w:bottom w:val="none" w:sz="0" w:space="0" w:color="auto"/>
        <w:right w:val="none" w:sz="0" w:space="0" w:color="auto"/>
      </w:divBdr>
    </w:div>
    <w:div w:id="226696632">
      <w:bodyDiv w:val="1"/>
      <w:marLeft w:val="0"/>
      <w:marRight w:val="0"/>
      <w:marTop w:val="0"/>
      <w:marBottom w:val="0"/>
      <w:divBdr>
        <w:top w:val="none" w:sz="0" w:space="0" w:color="auto"/>
        <w:left w:val="none" w:sz="0" w:space="0" w:color="auto"/>
        <w:bottom w:val="none" w:sz="0" w:space="0" w:color="auto"/>
        <w:right w:val="none" w:sz="0" w:space="0" w:color="auto"/>
      </w:divBdr>
    </w:div>
    <w:div w:id="231738424">
      <w:bodyDiv w:val="1"/>
      <w:marLeft w:val="0"/>
      <w:marRight w:val="0"/>
      <w:marTop w:val="0"/>
      <w:marBottom w:val="0"/>
      <w:divBdr>
        <w:top w:val="none" w:sz="0" w:space="0" w:color="auto"/>
        <w:left w:val="none" w:sz="0" w:space="0" w:color="auto"/>
        <w:bottom w:val="none" w:sz="0" w:space="0" w:color="auto"/>
        <w:right w:val="none" w:sz="0" w:space="0" w:color="auto"/>
      </w:divBdr>
    </w:div>
    <w:div w:id="236595673">
      <w:bodyDiv w:val="1"/>
      <w:marLeft w:val="0"/>
      <w:marRight w:val="0"/>
      <w:marTop w:val="0"/>
      <w:marBottom w:val="0"/>
      <w:divBdr>
        <w:top w:val="none" w:sz="0" w:space="0" w:color="auto"/>
        <w:left w:val="none" w:sz="0" w:space="0" w:color="auto"/>
        <w:bottom w:val="none" w:sz="0" w:space="0" w:color="auto"/>
        <w:right w:val="none" w:sz="0" w:space="0" w:color="auto"/>
      </w:divBdr>
    </w:div>
    <w:div w:id="241256283">
      <w:bodyDiv w:val="1"/>
      <w:marLeft w:val="0"/>
      <w:marRight w:val="0"/>
      <w:marTop w:val="0"/>
      <w:marBottom w:val="0"/>
      <w:divBdr>
        <w:top w:val="none" w:sz="0" w:space="0" w:color="auto"/>
        <w:left w:val="none" w:sz="0" w:space="0" w:color="auto"/>
        <w:bottom w:val="none" w:sz="0" w:space="0" w:color="auto"/>
        <w:right w:val="none" w:sz="0" w:space="0" w:color="auto"/>
      </w:divBdr>
    </w:div>
    <w:div w:id="260646432">
      <w:bodyDiv w:val="1"/>
      <w:marLeft w:val="0"/>
      <w:marRight w:val="0"/>
      <w:marTop w:val="0"/>
      <w:marBottom w:val="0"/>
      <w:divBdr>
        <w:top w:val="none" w:sz="0" w:space="0" w:color="auto"/>
        <w:left w:val="none" w:sz="0" w:space="0" w:color="auto"/>
        <w:bottom w:val="none" w:sz="0" w:space="0" w:color="auto"/>
        <w:right w:val="none" w:sz="0" w:space="0" w:color="auto"/>
      </w:divBdr>
    </w:div>
    <w:div w:id="262037631">
      <w:bodyDiv w:val="1"/>
      <w:marLeft w:val="0"/>
      <w:marRight w:val="0"/>
      <w:marTop w:val="0"/>
      <w:marBottom w:val="0"/>
      <w:divBdr>
        <w:top w:val="none" w:sz="0" w:space="0" w:color="auto"/>
        <w:left w:val="none" w:sz="0" w:space="0" w:color="auto"/>
        <w:bottom w:val="none" w:sz="0" w:space="0" w:color="auto"/>
        <w:right w:val="none" w:sz="0" w:space="0" w:color="auto"/>
      </w:divBdr>
    </w:div>
    <w:div w:id="274950467">
      <w:bodyDiv w:val="1"/>
      <w:marLeft w:val="0"/>
      <w:marRight w:val="0"/>
      <w:marTop w:val="0"/>
      <w:marBottom w:val="0"/>
      <w:divBdr>
        <w:top w:val="none" w:sz="0" w:space="0" w:color="auto"/>
        <w:left w:val="none" w:sz="0" w:space="0" w:color="auto"/>
        <w:bottom w:val="none" w:sz="0" w:space="0" w:color="auto"/>
        <w:right w:val="none" w:sz="0" w:space="0" w:color="auto"/>
      </w:divBdr>
    </w:div>
    <w:div w:id="279341787">
      <w:bodyDiv w:val="1"/>
      <w:marLeft w:val="0"/>
      <w:marRight w:val="0"/>
      <w:marTop w:val="0"/>
      <w:marBottom w:val="0"/>
      <w:divBdr>
        <w:top w:val="none" w:sz="0" w:space="0" w:color="auto"/>
        <w:left w:val="none" w:sz="0" w:space="0" w:color="auto"/>
        <w:bottom w:val="none" w:sz="0" w:space="0" w:color="auto"/>
        <w:right w:val="none" w:sz="0" w:space="0" w:color="auto"/>
      </w:divBdr>
    </w:div>
    <w:div w:id="286543737">
      <w:bodyDiv w:val="1"/>
      <w:marLeft w:val="0"/>
      <w:marRight w:val="0"/>
      <w:marTop w:val="0"/>
      <w:marBottom w:val="0"/>
      <w:divBdr>
        <w:top w:val="none" w:sz="0" w:space="0" w:color="auto"/>
        <w:left w:val="none" w:sz="0" w:space="0" w:color="auto"/>
        <w:bottom w:val="none" w:sz="0" w:space="0" w:color="auto"/>
        <w:right w:val="none" w:sz="0" w:space="0" w:color="auto"/>
      </w:divBdr>
    </w:div>
    <w:div w:id="305360628">
      <w:bodyDiv w:val="1"/>
      <w:marLeft w:val="0"/>
      <w:marRight w:val="0"/>
      <w:marTop w:val="0"/>
      <w:marBottom w:val="0"/>
      <w:divBdr>
        <w:top w:val="none" w:sz="0" w:space="0" w:color="auto"/>
        <w:left w:val="none" w:sz="0" w:space="0" w:color="auto"/>
        <w:bottom w:val="none" w:sz="0" w:space="0" w:color="auto"/>
        <w:right w:val="none" w:sz="0" w:space="0" w:color="auto"/>
      </w:divBdr>
    </w:div>
    <w:div w:id="308360399">
      <w:bodyDiv w:val="1"/>
      <w:marLeft w:val="0"/>
      <w:marRight w:val="0"/>
      <w:marTop w:val="0"/>
      <w:marBottom w:val="0"/>
      <w:divBdr>
        <w:top w:val="none" w:sz="0" w:space="0" w:color="auto"/>
        <w:left w:val="none" w:sz="0" w:space="0" w:color="auto"/>
        <w:bottom w:val="none" w:sz="0" w:space="0" w:color="auto"/>
        <w:right w:val="none" w:sz="0" w:space="0" w:color="auto"/>
      </w:divBdr>
    </w:div>
    <w:div w:id="333840587">
      <w:bodyDiv w:val="1"/>
      <w:marLeft w:val="0"/>
      <w:marRight w:val="0"/>
      <w:marTop w:val="0"/>
      <w:marBottom w:val="0"/>
      <w:divBdr>
        <w:top w:val="none" w:sz="0" w:space="0" w:color="auto"/>
        <w:left w:val="none" w:sz="0" w:space="0" w:color="auto"/>
        <w:bottom w:val="none" w:sz="0" w:space="0" w:color="auto"/>
        <w:right w:val="none" w:sz="0" w:space="0" w:color="auto"/>
      </w:divBdr>
    </w:div>
    <w:div w:id="339770670">
      <w:bodyDiv w:val="1"/>
      <w:marLeft w:val="0"/>
      <w:marRight w:val="0"/>
      <w:marTop w:val="0"/>
      <w:marBottom w:val="0"/>
      <w:divBdr>
        <w:top w:val="none" w:sz="0" w:space="0" w:color="auto"/>
        <w:left w:val="none" w:sz="0" w:space="0" w:color="auto"/>
        <w:bottom w:val="none" w:sz="0" w:space="0" w:color="auto"/>
        <w:right w:val="none" w:sz="0" w:space="0" w:color="auto"/>
      </w:divBdr>
    </w:div>
    <w:div w:id="343093411">
      <w:bodyDiv w:val="1"/>
      <w:marLeft w:val="0"/>
      <w:marRight w:val="0"/>
      <w:marTop w:val="0"/>
      <w:marBottom w:val="0"/>
      <w:divBdr>
        <w:top w:val="none" w:sz="0" w:space="0" w:color="auto"/>
        <w:left w:val="none" w:sz="0" w:space="0" w:color="auto"/>
        <w:bottom w:val="none" w:sz="0" w:space="0" w:color="auto"/>
        <w:right w:val="none" w:sz="0" w:space="0" w:color="auto"/>
      </w:divBdr>
    </w:div>
    <w:div w:id="343753315">
      <w:bodyDiv w:val="1"/>
      <w:marLeft w:val="0"/>
      <w:marRight w:val="0"/>
      <w:marTop w:val="0"/>
      <w:marBottom w:val="0"/>
      <w:divBdr>
        <w:top w:val="none" w:sz="0" w:space="0" w:color="auto"/>
        <w:left w:val="none" w:sz="0" w:space="0" w:color="auto"/>
        <w:bottom w:val="none" w:sz="0" w:space="0" w:color="auto"/>
        <w:right w:val="none" w:sz="0" w:space="0" w:color="auto"/>
      </w:divBdr>
    </w:div>
    <w:div w:id="345136536">
      <w:bodyDiv w:val="1"/>
      <w:marLeft w:val="0"/>
      <w:marRight w:val="0"/>
      <w:marTop w:val="0"/>
      <w:marBottom w:val="0"/>
      <w:divBdr>
        <w:top w:val="none" w:sz="0" w:space="0" w:color="auto"/>
        <w:left w:val="none" w:sz="0" w:space="0" w:color="auto"/>
        <w:bottom w:val="none" w:sz="0" w:space="0" w:color="auto"/>
        <w:right w:val="none" w:sz="0" w:space="0" w:color="auto"/>
      </w:divBdr>
    </w:div>
    <w:div w:id="347372349">
      <w:bodyDiv w:val="1"/>
      <w:marLeft w:val="0"/>
      <w:marRight w:val="0"/>
      <w:marTop w:val="0"/>
      <w:marBottom w:val="0"/>
      <w:divBdr>
        <w:top w:val="none" w:sz="0" w:space="0" w:color="auto"/>
        <w:left w:val="none" w:sz="0" w:space="0" w:color="auto"/>
        <w:bottom w:val="none" w:sz="0" w:space="0" w:color="auto"/>
        <w:right w:val="none" w:sz="0" w:space="0" w:color="auto"/>
      </w:divBdr>
    </w:div>
    <w:div w:id="348994503">
      <w:bodyDiv w:val="1"/>
      <w:marLeft w:val="0"/>
      <w:marRight w:val="0"/>
      <w:marTop w:val="0"/>
      <w:marBottom w:val="0"/>
      <w:divBdr>
        <w:top w:val="none" w:sz="0" w:space="0" w:color="auto"/>
        <w:left w:val="none" w:sz="0" w:space="0" w:color="auto"/>
        <w:bottom w:val="none" w:sz="0" w:space="0" w:color="auto"/>
        <w:right w:val="none" w:sz="0" w:space="0" w:color="auto"/>
      </w:divBdr>
    </w:div>
    <w:div w:id="355499772">
      <w:bodyDiv w:val="1"/>
      <w:marLeft w:val="0"/>
      <w:marRight w:val="0"/>
      <w:marTop w:val="0"/>
      <w:marBottom w:val="0"/>
      <w:divBdr>
        <w:top w:val="none" w:sz="0" w:space="0" w:color="auto"/>
        <w:left w:val="none" w:sz="0" w:space="0" w:color="auto"/>
        <w:bottom w:val="none" w:sz="0" w:space="0" w:color="auto"/>
        <w:right w:val="none" w:sz="0" w:space="0" w:color="auto"/>
      </w:divBdr>
    </w:div>
    <w:div w:id="371686061">
      <w:bodyDiv w:val="1"/>
      <w:marLeft w:val="0"/>
      <w:marRight w:val="0"/>
      <w:marTop w:val="0"/>
      <w:marBottom w:val="0"/>
      <w:divBdr>
        <w:top w:val="none" w:sz="0" w:space="0" w:color="auto"/>
        <w:left w:val="none" w:sz="0" w:space="0" w:color="auto"/>
        <w:bottom w:val="none" w:sz="0" w:space="0" w:color="auto"/>
        <w:right w:val="none" w:sz="0" w:space="0" w:color="auto"/>
      </w:divBdr>
    </w:div>
    <w:div w:id="378018480">
      <w:bodyDiv w:val="1"/>
      <w:marLeft w:val="0"/>
      <w:marRight w:val="0"/>
      <w:marTop w:val="0"/>
      <w:marBottom w:val="0"/>
      <w:divBdr>
        <w:top w:val="none" w:sz="0" w:space="0" w:color="auto"/>
        <w:left w:val="none" w:sz="0" w:space="0" w:color="auto"/>
        <w:bottom w:val="none" w:sz="0" w:space="0" w:color="auto"/>
        <w:right w:val="none" w:sz="0" w:space="0" w:color="auto"/>
      </w:divBdr>
    </w:div>
    <w:div w:id="391121070">
      <w:bodyDiv w:val="1"/>
      <w:marLeft w:val="0"/>
      <w:marRight w:val="0"/>
      <w:marTop w:val="0"/>
      <w:marBottom w:val="0"/>
      <w:divBdr>
        <w:top w:val="none" w:sz="0" w:space="0" w:color="auto"/>
        <w:left w:val="none" w:sz="0" w:space="0" w:color="auto"/>
        <w:bottom w:val="none" w:sz="0" w:space="0" w:color="auto"/>
        <w:right w:val="none" w:sz="0" w:space="0" w:color="auto"/>
      </w:divBdr>
    </w:div>
    <w:div w:id="400566272">
      <w:bodyDiv w:val="1"/>
      <w:marLeft w:val="0"/>
      <w:marRight w:val="0"/>
      <w:marTop w:val="0"/>
      <w:marBottom w:val="0"/>
      <w:divBdr>
        <w:top w:val="none" w:sz="0" w:space="0" w:color="auto"/>
        <w:left w:val="none" w:sz="0" w:space="0" w:color="auto"/>
        <w:bottom w:val="none" w:sz="0" w:space="0" w:color="auto"/>
        <w:right w:val="none" w:sz="0" w:space="0" w:color="auto"/>
      </w:divBdr>
    </w:div>
    <w:div w:id="411120782">
      <w:bodyDiv w:val="1"/>
      <w:marLeft w:val="0"/>
      <w:marRight w:val="0"/>
      <w:marTop w:val="0"/>
      <w:marBottom w:val="0"/>
      <w:divBdr>
        <w:top w:val="none" w:sz="0" w:space="0" w:color="auto"/>
        <w:left w:val="none" w:sz="0" w:space="0" w:color="auto"/>
        <w:bottom w:val="none" w:sz="0" w:space="0" w:color="auto"/>
        <w:right w:val="none" w:sz="0" w:space="0" w:color="auto"/>
      </w:divBdr>
    </w:div>
    <w:div w:id="413547544">
      <w:bodyDiv w:val="1"/>
      <w:marLeft w:val="0"/>
      <w:marRight w:val="0"/>
      <w:marTop w:val="0"/>
      <w:marBottom w:val="0"/>
      <w:divBdr>
        <w:top w:val="none" w:sz="0" w:space="0" w:color="auto"/>
        <w:left w:val="none" w:sz="0" w:space="0" w:color="auto"/>
        <w:bottom w:val="none" w:sz="0" w:space="0" w:color="auto"/>
        <w:right w:val="none" w:sz="0" w:space="0" w:color="auto"/>
      </w:divBdr>
    </w:div>
    <w:div w:id="422343790">
      <w:bodyDiv w:val="1"/>
      <w:marLeft w:val="0"/>
      <w:marRight w:val="0"/>
      <w:marTop w:val="0"/>
      <w:marBottom w:val="0"/>
      <w:divBdr>
        <w:top w:val="none" w:sz="0" w:space="0" w:color="auto"/>
        <w:left w:val="none" w:sz="0" w:space="0" w:color="auto"/>
        <w:bottom w:val="none" w:sz="0" w:space="0" w:color="auto"/>
        <w:right w:val="none" w:sz="0" w:space="0" w:color="auto"/>
      </w:divBdr>
    </w:div>
    <w:div w:id="430008694">
      <w:bodyDiv w:val="1"/>
      <w:marLeft w:val="0"/>
      <w:marRight w:val="0"/>
      <w:marTop w:val="0"/>
      <w:marBottom w:val="0"/>
      <w:divBdr>
        <w:top w:val="none" w:sz="0" w:space="0" w:color="auto"/>
        <w:left w:val="none" w:sz="0" w:space="0" w:color="auto"/>
        <w:bottom w:val="none" w:sz="0" w:space="0" w:color="auto"/>
        <w:right w:val="none" w:sz="0" w:space="0" w:color="auto"/>
      </w:divBdr>
    </w:div>
    <w:div w:id="431975060">
      <w:bodyDiv w:val="1"/>
      <w:marLeft w:val="0"/>
      <w:marRight w:val="0"/>
      <w:marTop w:val="0"/>
      <w:marBottom w:val="0"/>
      <w:divBdr>
        <w:top w:val="none" w:sz="0" w:space="0" w:color="auto"/>
        <w:left w:val="none" w:sz="0" w:space="0" w:color="auto"/>
        <w:bottom w:val="none" w:sz="0" w:space="0" w:color="auto"/>
        <w:right w:val="none" w:sz="0" w:space="0" w:color="auto"/>
      </w:divBdr>
    </w:div>
    <w:div w:id="434400085">
      <w:bodyDiv w:val="1"/>
      <w:marLeft w:val="0"/>
      <w:marRight w:val="0"/>
      <w:marTop w:val="0"/>
      <w:marBottom w:val="0"/>
      <w:divBdr>
        <w:top w:val="none" w:sz="0" w:space="0" w:color="auto"/>
        <w:left w:val="none" w:sz="0" w:space="0" w:color="auto"/>
        <w:bottom w:val="none" w:sz="0" w:space="0" w:color="auto"/>
        <w:right w:val="none" w:sz="0" w:space="0" w:color="auto"/>
      </w:divBdr>
    </w:div>
    <w:div w:id="434403349">
      <w:bodyDiv w:val="1"/>
      <w:marLeft w:val="0"/>
      <w:marRight w:val="0"/>
      <w:marTop w:val="0"/>
      <w:marBottom w:val="0"/>
      <w:divBdr>
        <w:top w:val="none" w:sz="0" w:space="0" w:color="auto"/>
        <w:left w:val="none" w:sz="0" w:space="0" w:color="auto"/>
        <w:bottom w:val="none" w:sz="0" w:space="0" w:color="auto"/>
        <w:right w:val="none" w:sz="0" w:space="0" w:color="auto"/>
      </w:divBdr>
    </w:div>
    <w:div w:id="454182272">
      <w:bodyDiv w:val="1"/>
      <w:marLeft w:val="0"/>
      <w:marRight w:val="0"/>
      <w:marTop w:val="0"/>
      <w:marBottom w:val="0"/>
      <w:divBdr>
        <w:top w:val="none" w:sz="0" w:space="0" w:color="auto"/>
        <w:left w:val="none" w:sz="0" w:space="0" w:color="auto"/>
        <w:bottom w:val="none" w:sz="0" w:space="0" w:color="auto"/>
        <w:right w:val="none" w:sz="0" w:space="0" w:color="auto"/>
      </w:divBdr>
    </w:div>
    <w:div w:id="490174546">
      <w:bodyDiv w:val="1"/>
      <w:marLeft w:val="0"/>
      <w:marRight w:val="0"/>
      <w:marTop w:val="0"/>
      <w:marBottom w:val="0"/>
      <w:divBdr>
        <w:top w:val="none" w:sz="0" w:space="0" w:color="auto"/>
        <w:left w:val="none" w:sz="0" w:space="0" w:color="auto"/>
        <w:bottom w:val="none" w:sz="0" w:space="0" w:color="auto"/>
        <w:right w:val="none" w:sz="0" w:space="0" w:color="auto"/>
      </w:divBdr>
    </w:div>
    <w:div w:id="494732055">
      <w:bodyDiv w:val="1"/>
      <w:marLeft w:val="0"/>
      <w:marRight w:val="0"/>
      <w:marTop w:val="0"/>
      <w:marBottom w:val="0"/>
      <w:divBdr>
        <w:top w:val="none" w:sz="0" w:space="0" w:color="auto"/>
        <w:left w:val="none" w:sz="0" w:space="0" w:color="auto"/>
        <w:bottom w:val="none" w:sz="0" w:space="0" w:color="auto"/>
        <w:right w:val="none" w:sz="0" w:space="0" w:color="auto"/>
      </w:divBdr>
    </w:div>
    <w:div w:id="538325043">
      <w:bodyDiv w:val="1"/>
      <w:marLeft w:val="0"/>
      <w:marRight w:val="0"/>
      <w:marTop w:val="0"/>
      <w:marBottom w:val="0"/>
      <w:divBdr>
        <w:top w:val="none" w:sz="0" w:space="0" w:color="auto"/>
        <w:left w:val="none" w:sz="0" w:space="0" w:color="auto"/>
        <w:bottom w:val="none" w:sz="0" w:space="0" w:color="auto"/>
        <w:right w:val="none" w:sz="0" w:space="0" w:color="auto"/>
      </w:divBdr>
    </w:div>
    <w:div w:id="547228540">
      <w:bodyDiv w:val="1"/>
      <w:marLeft w:val="0"/>
      <w:marRight w:val="0"/>
      <w:marTop w:val="0"/>
      <w:marBottom w:val="0"/>
      <w:divBdr>
        <w:top w:val="none" w:sz="0" w:space="0" w:color="auto"/>
        <w:left w:val="none" w:sz="0" w:space="0" w:color="auto"/>
        <w:bottom w:val="none" w:sz="0" w:space="0" w:color="auto"/>
        <w:right w:val="none" w:sz="0" w:space="0" w:color="auto"/>
      </w:divBdr>
    </w:div>
    <w:div w:id="549145907">
      <w:bodyDiv w:val="1"/>
      <w:marLeft w:val="0"/>
      <w:marRight w:val="0"/>
      <w:marTop w:val="0"/>
      <w:marBottom w:val="0"/>
      <w:divBdr>
        <w:top w:val="none" w:sz="0" w:space="0" w:color="auto"/>
        <w:left w:val="none" w:sz="0" w:space="0" w:color="auto"/>
        <w:bottom w:val="none" w:sz="0" w:space="0" w:color="auto"/>
        <w:right w:val="none" w:sz="0" w:space="0" w:color="auto"/>
      </w:divBdr>
    </w:div>
    <w:div w:id="550729959">
      <w:bodyDiv w:val="1"/>
      <w:marLeft w:val="0"/>
      <w:marRight w:val="0"/>
      <w:marTop w:val="0"/>
      <w:marBottom w:val="0"/>
      <w:divBdr>
        <w:top w:val="none" w:sz="0" w:space="0" w:color="auto"/>
        <w:left w:val="none" w:sz="0" w:space="0" w:color="auto"/>
        <w:bottom w:val="none" w:sz="0" w:space="0" w:color="auto"/>
        <w:right w:val="none" w:sz="0" w:space="0" w:color="auto"/>
      </w:divBdr>
    </w:div>
    <w:div w:id="554704559">
      <w:bodyDiv w:val="1"/>
      <w:marLeft w:val="0"/>
      <w:marRight w:val="0"/>
      <w:marTop w:val="0"/>
      <w:marBottom w:val="0"/>
      <w:divBdr>
        <w:top w:val="none" w:sz="0" w:space="0" w:color="auto"/>
        <w:left w:val="none" w:sz="0" w:space="0" w:color="auto"/>
        <w:bottom w:val="none" w:sz="0" w:space="0" w:color="auto"/>
        <w:right w:val="none" w:sz="0" w:space="0" w:color="auto"/>
      </w:divBdr>
    </w:div>
    <w:div w:id="559363821">
      <w:bodyDiv w:val="1"/>
      <w:marLeft w:val="0"/>
      <w:marRight w:val="0"/>
      <w:marTop w:val="0"/>
      <w:marBottom w:val="0"/>
      <w:divBdr>
        <w:top w:val="none" w:sz="0" w:space="0" w:color="auto"/>
        <w:left w:val="none" w:sz="0" w:space="0" w:color="auto"/>
        <w:bottom w:val="none" w:sz="0" w:space="0" w:color="auto"/>
        <w:right w:val="none" w:sz="0" w:space="0" w:color="auto"/>
      </w:divBdr>
    </w:div>
    <w:div w:id="562302387">
      <w:bodyDiv w:val="1"/>
      <w:marLeft w:val="0"/>
      <w:marRight w:val="0"/>
      <w:marTop w:val="0"/>
      <w:marBottom w:val="0"/>
      <w:divBdr>
        <w:top w:val="none" w:sz="0" w:space="0" w:color="auto"/>
        <w:left w:val="none" w:sz="0" w:space="0" w:color="auto"/>
        <w:bottom w:val="none" w:sz="0" w:space="0" w:color="auto"/>
        <w:right w:val="none" w:sz="0" w:space="0" w:color="auto"/>
      </w:divBdr>
    </w:div>
    <w:div w:id="571894180">
      <w:bodyDiv w:val="1"/>
      <w:marLeft w:val="0"/>
      <w:marRight w:val="0"/>
      <w:marTop w:val="0"/>
      <w:marBottom w:val="0"/>
      <w:divBdr>
        <w:top w:val="none" w:sz="0" w:space="0" w:color="auto"/>
        <w:left w:val="none" w:sz="0" w:space="0" w:color="auto"/>
        <w:bottom w:val="none" w:sz="0" w:space="0" w:color="auto"/>
        <w:right w:val="none" w:sz="0" w:space="0" w:color="auto"/>
      </w:divBdr>
    </w:div>
    <w:div w:id="574365467">
      <w:bodyDiv w:val="1"/>
      <w:marLeft w:val="0"/>
      <w:marRight w:val="0"/>
      <w:marTop w:val="0"/>
      <w:marBottom w:val="0"/>
      <w:divBdr>
        <w:top w:val="none" w:sz="0" w:space="0" w:color="auto"/>
        <w:left w:val="none" w:sz="0" w:space="0" w:color="auto"/>
        <w:bottom w:val="none" w:sz="0" w:space="0" w:color="auto"/>
        <w:right w:val="none" w:sz="0" w:space="0" w:color="auto"/>
      </w:divBdr>
    </w:div>
    <w:div w:id="579683449">
      <w:bodyDiv w:val="1"/>
      <w:marLeft w:val="0"/>
      <w:marRight w:val="0"/>
      <w:marTop w:val="0"/>
      <w:marBottom w:val="0"/>
      <w:divBdr>
        <w:top w:val="none" w:sz="0" w:space="0" w:color="auto"/>
        <w:left w:val="none" w:sz="0" w:space="0" w:color="auto"/>
        <w:bottom w:val="none" w:sz="0" w:space="0" w:color="auto"/>
        <w:right w:val="none" w:sz="0" w:space="0" w:color="auto"/>
      </w:divBdr>
    </w:div>
    <w:div w:id="614365570">
      <w:bodyDiv w:val="1"/>
      <w:marLeft w:val="0"/>
      <w:marRight w:val="0"/>
      <w:marTop w:val="0"/>
      <w:marBottom w:val="0"/>
      <w:divBdr>
        <w:top w:val="none" w:sz="0" w:space="0" w:color="auto"/>
        <w:left w:val="none" w:sz="0" w:space="0" w:color="auto"/>
        <w:bottom w:val="none" w:sz="0" w:space="0" w:color="auto"/>
        <w:right w:val="none" w:sz="0" w:space="0" w:color="auto"/>
      </w:divBdr>
    </w:div>
    <w:div w:id="617445684">
      <w:bodyDiv w:val="1"/>
      <w:marLeft w:val="0"/>
      <w:marRight w:val="0"/>
      <w:marTop w:val="0"/>
      <w:marBottom w:val="0"/>
      <w:divBdr>
        <w:top w:val="none" w:sz="0" w:space="0" w:color="auto"/>
        <w:left w:val="none" w:sz="0" w:space="0" w:color="auto"/>
        <w:bottom w:val="none" w:sz="0" w:space="0" w:color="auto"/>
        <w:right w:val="none" w:sz="0" w:space="0" w:color="auto"/>
      </w:divBdr>
    </w:div>
    <w:div w:id="625547086">
      <w:bodyDiv w:val="1"/>
      <w:marLeft w:val="0"/>
      <w:marRight w:val="0"/>
      <w:marTop w:val="0"/>
      <w:marBottom w:val="0"/>
      <w:divBdr>
        <w:top w:val="none" w:sz="0" w:space="0" w:color="auto"/>
        <w:left w:val="none" w:sz="0" w:space="0" w:color="auto"/>
        <w:bottom w:val="none" w:sz="0" w:space="0" w:color="auto"/>
        <w:right w:val="none" w:sz="0" w:space="0" w:color="auto"/>
      </w:divBdr>
    </w:div>
    <w:div w:id="643509726">
      <w:bodyDiv w:val="1"/>
      <w:marLeft w:val="0"/>
      <w:marRight w:val="0"/>
      <w:marTop w:val="0"/>
      <w:marBottom w:val="0"/>
      <w:divBdr>
        <w:top w:val="none" w:sz="0" w:space="0" w:color="auto"/>
        <w:left w:val="none" w:sz="0" w:space="0" w:color="auto"/>
        <w:bottom w:val="none" w:sz="0" w:space="0" w:color="auto"/>
        <w:right w:val="none" w:sz="0" w:space="0" w:color="auto"/>
      </w:divBdr>
    </w:div>
    <w:div w:id="648675992">
      <w:bodyDiv w:val="1"/>
      <w:marLeft w:val="0"/>
      <w:marRight w:val="0"/>
      <w:marTop w:val="0"/>
      <w:marBottom w:val="0"/>
      <w:divBdr>
        <w:top w:val="none" w:sz="0" w:space="0" w:color="auto"/>
        <w:left w:val="none" w:sz="0" w:space="0" w:color="auto"/>
        <w:bottom w:val="none" w:sz="0" w:space="0" w:color="auto"/>
        <w:right w:val="none" w:sz="0" w:space="0" w:color="auto"/>
      </w:divBdr>
    </w:div>
    <w:div w:id="652024349">
      <w:bodyDiv w:val="1"/>
      <w:marLeft w:val="0"/>
      <w:marRight w:val="0"/>
      <w:marTop w:val="0"/>
      <w:marBottom w:val="0"/>
      <w:divBdr>
        <w:top w:val="none" w:sz="0" w:space="0" w:color="auto"/>
        <w:left w:val="none" w:sz="0" w:space="0" w:color="auto"/>
        <w:bottom w:val="none" w:sz="0" w:space="0" w:color="auto"/>
        <w:right w:val="none" w:sz="0" w:space="0" w:color="auto"/>
      </w:divBdr>
    </w:div>
    <w:div w:id="661590086">
      <w:bodyDiv w:val="1"/>
      <w:marLeft w:val="0"/>
      <w:marRight w:val="0"/>
      <w:marTop w:val="0"/>
      <w:marBottom w:val="0"/>
      <w:divBdr>
        <w:top w:val="none" w:sz="0" w:space="0" w:color="auto"/>
        <w:left w:val="none" w:sz="0" w:space="0" w:color="auto"/>
        <w:bottom w:val="none" w:sz="0" w:space="0" w:color="auto"/>
        <w:right w:val="none" w:sz="0" w:space="0" w:color="auto"/>
      </w:divBdr>
    </w:div>
    <w:div w:id="682708959">
      <w:bodyDiv w:val="1"/>
      <w:marLeft w:val="0"/>
      <w:marRight w:val="0"/>
      <w:marTop w:val="0"/>
      <w:marBottom w:val="0"/>
      <w:divBdr>
        <w:top w:val="none" w:sz="0" w:space="0" w:color="auto"/>
        <w:left w:val="none" w:sz="0" w:space="0" w:color="auto"/>
        <w:bottom w:val="none" w:sz="0" w:space="0" w:color="auto"/>
        <w:right w:val="none" w:sz="0" w:space="0" w:color="auto"/>
      </w:divBdr>
    </w:div>
    <w:div w:id="683826918">
      <w:bodyDiv w:val="1"/>
      <w:marLeft w:val="0"/>
      <w:marRight w:val="0"/>
      <w:marTop w:val="0"/>
      <w:marBottom w:val="0"/>
      <w:divBdr>
        <w:top w:val="none" w:sz="0" w:space="0" w:color="auto"/>
        <w:left w:val="none" w:sz="0" w:space="0" w:color="auto"/>
        <w:bottom w:val="none" w:sz="0" w:space="0" w:color="auto"/>
        <w:right w:val="none" w:sz="0" w:space="0" w:color="auto"/>
      </w:divBdr>
    </w:div>
    <w:div w:id="697705917">
      <w:bodyDiv w:val="1"/>
      <w:marLeft w:val="0"/>
      <w:marRight w:val="0"/>
      <w:marTop w:val="0"/>
      <w:marBottom w:val="0"/>
      <w:divBdr>
        <w:top w:val="none" w:sz="0" w:space="0" w:color="auto"/>
        <w:left w:val="none" w:sz="0" w:space="0" w:color="auto"/>
        <w:bottom w:val="none" w:sz="0" w:space="0" w:color="auto"/>
        <w:right w:val="none" w:sz="0" w:space="0" w:color="auto"/>
      </w:divBdr>
    </w:div>
    <w:div w:id="700282204">
      <w:bodyDiv w:val="1"/>
      <w:marLeft w:val="0"/>
      <w:marRight w:val="0"/>
      <w:marTop w:val="0"/>
      <w:marBottom w:val="0"/>
      <w:divBdr>
        <w:top w:val="none" w:sz="0" w:space="0" w:color="auto"/>
        <w:left w:val="none" w:sz="0" w:space="0" w:color="auto"/>
        <w:bottom w:val="none" w:sz="0" w:space="0" w:color="auto"/>
        <w:right w:val="none" w:sz="0" w:space="0" w:color="auto"/>
      </w:divBdr>
    </w:div>
    <w:div w:id="701369811">
      <w:bodyDiv w:val="1"/>
      <w:marLeft w:val="0"/>
      <w:marRight w:val="0"/>
      <w:marTop w:val="0"/>
      <w:marBottom w:val="0"/>
      <w:divBdr>
        <w:top w:val="none" w:sz="0" w:space="0" w:color="auto"/>
        <w:left w:val="none" w:sz="0" w:space="0" w:color="auto"/>
        <w:bottom w:val="none" w:sz="0" w:space="0" w:color="auto"/>
        <w:right w:val="none" w:sz="0" w:space="0" w:color="auto"/>
      </w:divBdr>
    </w:div>
    <w:div w:id="702679084">
      <w:bodyDiv w:val="1"/>
      <w:marLeft w:val="0"/>
      <w:marRight w:val="0"/>
      <w:marTop w:val="0"/>
      <w:marBottom w:val="0"/>
      <w:divBdr>
        <w:top w:val="none" w:sz="0" w:space="0" w:color="auto"/>
        <w:left w:val="none" w:sz="0" w:space="0" w:color="auto"/>
        <w:bottom w:val="none" w:sz="0" w:space="0" w:color="auto"/>
        <w:right w:val="none" w:sz="0" w:space="0" w:color="auto"/>
      </w:divBdr>
    </w:div>
    <w:div w:id="723917145">
      <w:bodyDiv w:val="1"/>
      <w:marLeft w:val="0"/>
      <w:marRight w:val="0"/>
      <w:marTop w:val="0"/>
      <w:marBottom w:val="0"/>
      <w:divBdr>
        <w:top w:val="none" w:sz="0" w:space="0" w:color="auto"/>
        <w:left w:val="none" w:sz="0" w:space="0" w:color="auto"/>
        <w:bottom w:val="none" w:sz="0" w:space="0" w:color="auto"/>
        <w:right w:val="none" w:sz="0" w:space="0" w:color="auto"/>
      </w:divBdr>
    </w:div>
    <w:div w:id="729962464">
      <w:bodyDiv w:val="1"/>
      <w:marLeft w:val="0"/>
      <w:marRight w:val="0"/>
      <w:marTop w:val="0"/>
      <w:marBottom w:val="0"/>
      <w:divBdr>
        <w:top w:val="none" w:sz="0" w:space="0" w:color="auto"/>
        <w:left w:val="none" w:sz="0" w:space="0" w:color="auto"/>
        <w:bottom w:val="none" w:sz="0" w:space="0" w:color="auto"/>
        <w:right w:val="none" w:sz="0" w:space="0" w:color="auto"/>
      </w:divBdr>
    </w:div>
    <w:div w:id="730931863">
      <w:bodyDiv w:val="1"/>
      <w:marLeft w:val="0"/>
      <w:marRight w:val="0"/>
      <w:marTop w:val="0"/>
      <w:marBottom w:val="0"/>
      <w:divBdr>
        <w:top w:val="none" w:sz="0" w:space="0" w:color="auto"/>
        <w:left w:val="none" w:sz="0" w:space="0" w:color="auto"/>
        <w:bottom w:val="none" w:sz="0" w:space="0" w:color="auto"/>
        <w:right w:val="none" w:sz="0" w:space="0" w:color="auto"/>
      </w:divBdr>
    </w:div>
    <w:div w:id="736048431">
      <w:bodyDiv w:val="1"/>
      <w:marLeft w:val="0"/>
      <w:marRight w:val="0"/>
      <w:marTop w:val="0"/>
      <w:marBottom w:val="0"/>
      <w:divBdr>
        <w:top w:val="none" w:sz="0" w:space="0" w:color="auto"/>
        <w:left w:val="none" w:sz="0" w:space="0" w:color="auto"/>
        <w:bottom w:val="none" w:sz="0" w:space="0" w:color="auto"/>
        <w:right w:val="none" w:sz="0" w:space="0" w:color="auto"/>
      </w:divBdr>
    </w:div>
    <w:div w:id="737476794">
      <w:bodyDiv w:val="1"/>
      <w:marLeft w:val="0"/>
      <w:marRight w:val="0"/>
      <w:marTop w:val="0"/>
      <w:marBottom w:val="0"/>
      <w:divBdr>
        <w:top w:val="none" w:sz="0" w:space="0" w:color="auto"/>
        <w:left w:val="none" w:sz="0" w:space="0" w:color="auto"/>
        <w:bottom w:val="none" w:sz="0" w:space="0" w:color="auto"/>
        <w:right w:val="none" w:sz="0" w:space="0" w:color="auto"/>
      </w:divBdr>
    </w:div>
    <w:div w:id="742218211">
      <w:bodyDiv w:val="1"/>
      <w:marLeft w:val="0"/>
      <w:marRight w:val="0"/>
      <w:marTop w:val="0"/>
      <w:marBottom w:val="0"/>
      <w:divBdr>
        <w:top w:val="none" w:sz="0" w:space="0" w:color="auto"/>
        <w:left w:val="none" w:sz="0" w:space="0" w:color="auto"/>
        <w:bottom w:val="none" w:sz="0" w:space="0" w:color="auto"/>
        <w:right w:val="none" w:sz="0" w:space="0" w:color="auto"/>
      </w:divBdr>
    </w:div>
    <w:div w:id="746194070">
      <w:bodyDiv w:val="1"/>
      <w:marLeft w:val="0"/>
      <w:marRight w:val="0"/>
      <w:marTop w:val="0"/>
      <w:marBottom w:val="0"/>
      <w:divBdr>
        <w:top w:val="none" w:sz="0" w:space="0" w:color="auto"/>
        <w:left w:val="none" w:sz="0" w:space="0" w:color="auto"/>
        <w:bottom w:val="none" w:sz="0" w:space="0" w:color="auto"/>
        <w:right w:val="none" w:sz="0" w:space="0" w:color="auto"/>
      </w:divBdr>
    </w:div>
    <w:div w:id="746224760">
      <w:bodyDiv w:val="1"/>
      <w:marLeft w:val="0"/>
      <w:marRight w:val="0"/>
      <w:marTop w:val="0"/>
      <w:marBottom w:val="0"/>
      <w:divBdr>
        <w:top w:val="none" w:sz="0" w:space="0" w:color="auto"/>
        <w:left w:val="none" w:sz="0" w:space="0" w:color="auto"/>
        <w:bottom w:val="none" w:sz="0" w:space="0" w:color="auto"/>
        <w:right w:val="none" w:sz="0" w:space="0" w:color="auto"/>
      </w:divBdr>
    </w:div>
    <w:div w:id="753012403">
      <w:bodyDiv w:val="1"/>
      <w:marLeft w:val="0"/>
      <w:marRight w:val="0"/>
      <w:marTop w:val="0"/>
      <w:marBottom w:val="0"/>
      <w:divBdr>
        <w:top w:val="none" w:sz="0" w:space="0" w:color="auto"/>
        <w:left w:val="none" w:sz="0" w:space="0" w:color="auto"/>
        <w:bottom w:val="none" w:sz="0" w:space="0" w:color="auto"/>
        <w:right w:val="none" w:sz="0" w:space="0" w:color="auto"/>
      </w:divBdr>
    </w:div>
    <w:div w:id="762341627">
      <w:bodyDiv w:val="1"/>
      <w:marLeft w:val="0"/>
      <w:marRight w:val="0"/>
      <w:marTop w:val="0"/>
      <w:marBottom w:val="0"/>
      <w:divBdr>
        <w:top w:val="none" w:sz="0" w:space="0" w:color="auto"/>
        <w:left w:val="none" w:sz="0" w:space="0" w:color="auto"/>
        <w:bottom w:val="none" w:sz="0" w:space="0" w:color="auto"/>
        <w:right w:val="none" w:sz="0" w:space="0" w:color="auto"/>
      </w:divBdr>
    </w:div>
    <w:div w:id="762459399">
      <w:bodyDiv w:val="1"/>
      <w:marLeft w:val="0"/>
      <w:marRight w:val="0"/>
      <w:marTop w:val="0"/>
      <w:marBottom w:val="0"/>
      <w:divBdr>
        <w:top w:val="none" w:sz="0" w:space="0" w:color="auto"/>
        <w:left w:val="none" w:sz="0" w:space="0" w:color="auto"/>
        <w:bottom w:val="none" w:sz="0" w:space="0" w:color="auto"/>
        <w:right w:val="none" w:sz="0" w:space="0" w:color="auto"/>
      </w:divBdr>
    </w:div>
    <w:div w:id="768738747">
      <w:bodyDiv w:val="1"/>
      <w:marLeft w:val="0"/>
      <w:marRight w:val="0"/>
      <w:marTop w:val="0"/>
      <w:marBottom w:val="0"/>
      <w:divBdr>
        <w:top w:val="none" w:sz="0" w:space="0" w:color="auto"/>
        <w:left w:val="none" w:sz="0" w:space="0" w:color="auto"/>
        <w:bottom w:val="none" w:sz="0" w:space="0" w:color="auto"/>
        <w:right w:val="none" w:sz="0" w:space="0" w:color="auto"/>
      </w:divBdr>
    </w:div>
    <w:div w:id="807670343">
      <w:bodyDiv w:val="1"/>
      <w:marLeft w:val="0"/>
      <w:marRight w:val="0"/>
      <w:marTop w:val="0"/>
      <w:marBottom w:val="0"/>
      <w:divBdr>
        <w:top w:val="none" w:sz="0" w:space="0" w:color="auto"/>
        <w:left w:val="none" w:sz="0" w:space="0" w:color="auto"/>
        <w:bottom w:val="none" w:sz="0" w:space="0" w:color="auto"/>
        <w:right w:val="none" w:sz="0" w:space="0" w:color="auto"/>
      </w:divBdr>
    </w:div>
    <w:div w:id="811948475">
      <w:bodyDiv w:val="1"/>
      <w:marLeft w:val="0"/>
      <w:marRight w:val="0"/>
      <w:marTop w:val="0"/>
      <w:marBottom w:val="0"/>
      <w:divBdr>
        <w:top w:val="none" w:sz="0" w:space="0" w:color="auto"/>
        <w:left w:val="none" w:sz="0" w:space="0" w:color="auto"/>
        <w:bottom w:val="none" w:sz="0" w:space="0" w:color="auto"/>
        <w:right w:val="none" w:sz="0" w:space="0" w:color="auto"/>
      </w:divBdr>
    </w:div>
    <w:div w:id="818501259">
      <w:bodyDiv w:val="1"/>
      <w:marLeft w:val="0"/>
      <w:marRight w:val="0"/>
      <w:marTop w:val="0"/>
      <w:marBottom w:val="0"/>
      <w:divBdr>
        <w:top w:val="none" w:sz="0" w:space="0" w:color="auto"/>
        <w:left w:val="none" w:sz="0" w:space="0" w:color="auto"/>
        <w:bottom w:val="none" w:sz="0" w:space="0" w:color="auto"/>
        <w:right w:val="none" w:sz="0" w:space="0" w:color="auto"/>
      </w:divBdr>
    </w:div>
    <w:div w:id="823623667">
      <w:bodyDiv w:val="1"/>
      <w:marLeft w:val="0"/>
      <w:marRight w:val="0"/>
      <w:marTop w:val="0"/>
      <w:marBottom w:val="0"/>
      <w:divBdr>
        <w:top w:val="none" w:sz="0" w:space="0" w:color="auto"/>
        <w:left w:val="none" w:sz="0" w:space="0" w:color="auto"/>
        <w:bottom w:val="none" w:sz="0" w:space="0" w:color="auto"/>
        <w:right w:val="none" w:sz="0" w:space="0" w:color="auto"/>
      </w:divBdr>
    </w:div>
    <w:div w:id="829371564">
      <w:bodyDiv w:val="1"/>
      <w:marLeft w:val="0"/>
      <w:marRight w:val="0"/>
      <w:marTop w:val="0"/>
      <w:marBottom w:val="0"/>
      <w:divBdr>
        <w:top w:val="none" w:sz="0" w:space="0" w:color="auto"/>
        <w:left w:val="none" w:sz="0" w:space="0" w:color="auto"/>
        <w:bottom w:val="none" w:sz="0" w:space="0" w:color="auto"/>
        <w:right w:val="none" w:sz="0" w:space="0" w:color="auto"/>
      </w:divBdr>
    </w:div>
    <w:div w:id="834881326">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45822918">
      <w:bodyDiv w:val="1"/>
      <w:marLeft w:val="0"/>
      <w:marRight w:val="0"/>
      <w:marTop w:val="0"/>
      <w:marBottom w:val="0"/>
      <w:divBdr>
        <w:top w:val="none" w:sz="0" w:space="0" w:color="auto"/>
        <w:left w:val="none" w:sz="0" w:space="0" w:color="auto"/>
        <w:bottom w:val="none" w:sz="0" w:space="0" w:color="auto"/>
        <w:right w:val="none" w:sz="0" w:space="0" w:color="auto"/>
      </w:divBdr>
    </w:div>
    <w:div w:id="854999369">
      <w:bodyDiv w:val="1"/>
      <w:marLeft w:val="0"/>
      <w:marRight w:val="0"/>
      <w:marTop w:val="0"/>
      <w:marBottom w:val="0"/>
      <w:divBdr>
        <w:top w:val="none" w:sz="0" w:space="0" w:color="auto"/>
        <w:left w:val="none" w:sz="0" w:space="0" w:color="auto"/>
        <w:bottom w:val="none" w:sz="0" w:space="0" w:color="auto"/>
        <w:right w:val="none" w:sz="0" w:space="0" w:color="auto"/>
      </w:divBdr>
    </w:div>
    <w:div w:id="860509397">
      <w:bodyDiv w:val="1"/>
      <w:marLeft w:val="0"/>
      <w:marRight w:val="0"/>
      <w:marTop w:val="0"/>
      <w:marBottom w:val="0"/>
      <w:divBdr>
        <w:top w:val="none" w:sz="0" w:space="0" w:color="auto"/>
        <w:left w:val="none" w:sz="0" w:space="0" w:color="auto"/>
        <w:bottom w:val="none" w:sz="0" w:space="0" w:color="auto"/>
        <w:right w:val="none" w:sz="0" w:space="0" w:color="auto"/>
      </w:divBdr>
    </w:div>
    <w:div w:id="878205537">
      <w:bodyDiv w:val="1"/>
      <w:marLeft w:val="0"/>
      <w:marRight w:val="0"/>
      <w:marTop w:val="0"/>
      <w:marBottom w:val="0"/>
      <w:divBdr>
        <w:top w:val="none" w:sz="0" w:space="0" w:color="auto"/>
        <w:left w:val="none" w:sz="0" w:space="0" w:color="auto"/>
        <w:bottom w:val="none" w:sz="0" w:space="0" w:color="auto"/>
        <w:right w:val="none" w:sz="0" w:space="0" w:color="auto"/>
      </w:divBdr>
    </w:div>
    <w:div w:id="897714819">
      <w:bodyDiv w:val="1"/>
      <w:marLeft w:val="0"/>
      <w:marRight w:val="0"/>
      <w:marTop w:val="0"/>
      <w:marBottom w:val="0"/>
      <w:divBdr>
        <w:top w:val="none" w:sz="0" w:space="0" w:color="auto"/>
        <w:left w:val="none" w:sz="0" w:space="0" w:color="auto"/>
        <w:bottom w:val="none" w:sz="0" w:space="0" w:color="auto"/>
        <w:right w:val="none" w:sz="0" w:space="0" w:color="auto"/>
      </w:divBdr>
    </w:div>
    <w:div w:id="902981393">
      <w:bodyDiv w:val="1"/>
      <w:marLeft w:val="0"/>
      <w:marRight w:val="0"/>
      <w:marTop w:val="0"/>
      <w:marBottom w:val="0"/>
      <w:divBdr>
        <w:top w:val="none" w:sz="0" w:space="0" w:color="auto"/>
        <w:left w:val="none" w:sz="0" w:space="0" w:color="auto"/>
        <w:bottom w:val="none" w:sz="0" w:space="0" w:color="auto"/>
        <w:right w:val="none" w:sz="0" w:space="0" w:color="auto"/>
      </w:divBdr>
    </w:div>
    <w:div w:id="915937460">
      <w:bodyDiv w:val="1"/>
      <w:marLeft w:val="0"/>
      <w:marRight w:val="0"/>
      <w:marTop w:val="0"/>
      <w:marBottom w:val="0"/>
      <w:divBdr>
        <w:top w:val="none" w:sz="0" w:space="0" w:color="auto"/>
        <w:left w:val="none" w:sz="0" w:space="0" w:color="auto"/>
        <w:bottom w:val="none" w:sz="0" w:space="0" w:color="auto"/>
        <w:right w:val="none" w:sz="0" w:space="0" w:color="auto"/>
      </w:divBdr>
    </w:div>
    <w:div w:id="921990799">
      <w:bodyDiv w:val="1"/>
      <w:marLeft w:val="0"/>
      <w:marRight w:val="0"/>
      <w:marTop w:val="0"/>
      <w:marBottom w:val="0"/>
      <w:divBdr>
        <w:top w:val="none" w:sz="0" w:space="0" w:color="auto"/>
        <w:left w:val="none" w:sz="0" w:space="0" w:color="auto"/>
        <w:bottom w:val="none" w:sz="0" w:space="0" w:color="auto"/>
        <w:right w:val="none" w:sz="0" w:space="0" w:color="auto"/>
      </w:divBdr>
    </w:div>
    <w:div w:id="927617070">
      <w:bodyDiv w:val="1"/>
      <w:marLeft w:val="0"/>
      <w:marRight w:val="0"/>
      <w:marTop w:val="0"/>
      <w:marBottom w:val="0"/>
      <w:divBdr>
        <w:top w:val="none" w:sz="0" w:space="0" w:color="auto"/>
        <w:left w:val="none" w:sz="0" w:space="0" w:color="auto"/>
        <w:bottom w:val="none" w:sz="0" w:space="0" w:color="auto"/>
        <w:right w:val="none" w:sz="0" w:space="0" w:color="auto"/>
      </w:divBdr>
    </w:div>
    <w:div w:id="942499320">
      <w:bodyDiv w:val="1"/>
      <w:marLeft w:val="0"/>
      <w:marRight w:val="0"/>
      <w:marTop w:val="0"/>
      <w:marBottom w:val="0"/>
      <w:divBdr>
        <w:top w:val="none" w:sz="0" w:space="0" w:color="auto"/>
        <w:left w:val="none" w:sz="0" w:space="0" w:color="auto"/>
        <w:bottom w:val="none" w:sz="0" w:space="0" w:color="auto"/>
        <w:right w:val="none" w:sz="0" w:space="0" w:color="auto"/>
      </w:divBdr>
    </w:div>
    <w:div w:id="947346571">
      <w:bodyDiv w:val="1"/>
      <w:marLeft w:val="0"/>
      <w:marRight w:val="0"/>
      <w:marTop w:val="0"/>
      <w:marBottom w:val="0"/>
      <w:divBdr>
        <w:top w:val="none" w:sz="0" w:space="0" w:color="auto"/>
        <w:left w:val="none" w:sz="0" w:space="0" w:color="auto"/>
        <w:bottom w:val="none" w:sz="0" w:space="0" w:color="auto"/>
        <w:right w:val="none" w:sz="0" w:space="0" w:color="auto"/>
      </w:divBdr>
    </w:div>
    <w:div w:id="949974085">
      <w:bodyDiv w:val="1"/>
      <w:marLeft w:val="0"/>
      <w:marRight w:val="0"/>
      <w:marTop w:val="0"/>
      <w:marBottom w:val="0"/>
      <w:divBdr>
        <w:top w:val="none" w:sz="0" w:space="0" w:color="auto"/>
        <w:left w:val="none" w:sz="0" w:space="0" w:color="auto"/>
        <w:bottom w:val="none" w:sz="0" w:space="0" w:color="auto"/>
        <w:right w:val="none" w:sz="0" w:space="0" w:color="auto"/>
      </w:divBdr>
    </w:div>
    <w:div w:id="954554298">
      <w:bodyDiv w:val="1"/>
      <w:marLeft w:val="0"/>
      <w:marRight w:val="0"/>
      <w:marTop w:val="0"/>
      <w:marBottom w:val="0"/>
      <w:divBdr>
        <w:top w:val="none" w:sz="0" w:space="0" w:color="auto"/>
        <w:left w:val="none" w:sz="0" w:space="0" w:color="auto"/>
        <w:bottom w:val="none" w:sz="0" w:space="0" w:color="auto"/>
        <w:right w:val="none" w:sz="0" w:space="0" w:color="auto"/>
      </w:divBdr>
    </w:div>
    <w:div w:id="958149469">
      <w:bodyDiv w:val="1"/>
      <w:marLeft w:val="0"/>
      <w:marRight w:val="0"/>
      <w:marTop w:val="0"/>
      <w:marBottom w:val="0"/>
      <w:divBdr>
        <w:top w:val="none" w:sz="0" w:space="0" w:color="auto"/>
        <w:left w:val="none" w:sz="0" w:space="0" w:color="auto"/>
        <w:bottom w:val="none" w:sz="0" w:space="0" w:color="auto"/>
        <w:right w:val="none" w:sz="0" w:space="0" w:color="auto"/>
      </w:divBdr>
    </w:div>
    <w:div w:id="974876718">
      <w:bodyDiv w:val="1"/>
      <w:marLeft w:val="0"/>
      <w:marRight w:val="0"/>
      <w:marTop w:val="0"/>
      <w:marBottom w:val="0"/>
      <w:divBdr>
        <w:top w:val="none" w:sz="0" w:space="0" w:color="auto"/>
        <w:left w:val="none" w:sz="0" w:space="0" w:color="auto"/>
        <w:bottom w:val="none" w:sz="0" w:space="0" w:color="auto"/>
        <w:right w:val="none" w:sz="0" w:space="0" w:color="auto"/>
      </w:divBdr>
    </w:div>
    <w:div w:id="983319083">
      <w:bodyDiv w:val="1"/>
      <w:marLeft w:val="0"/>
      <w:marRight w:val="0"/>
      <w:marTop w:val="0"/>
      <w:marBottom w:val="0"/>
      <w:divBdr>
        <w:top w:val="none" w:sz="0" w:space="0" w:color="auto"/>
        <w:left w:val="none" w:sz="0" w:space="0" w:color="auto"/>
        <w:bottom w:val="none" w:sz="0" w:space="0" w:color="auto"/>
        <w:right w:val="none" w:sz="0" w:space="0" w:color="auto"/>
      </w:divBdr>
    </w:div>
    <w:div w:id="991637029">
      <w:bodyDiv w:val="1"/>
      <w:marLeft w:val="0"/>
      <w:marRight w:val="0"/>
      <w:marTop w:val="0"/>
      <w:marBottom w:val="0"/>
      <w:divBdr>
        <w:top w:val="none" w:sz="0" w:space="0" w:color="auto"/>
        <w:left w:val="none" w:sz="0" w:space="0" w:color="auto"/>
        <w:bottom w:val="none" w:sz="0" w:space="0" w:color="auto"/>
        <w:right w:val="none" w:sz="0" w:space="0" w:color="auto"/>
      </w:divBdr>
    </w:div>
    <w:div w:id="992567534">
      <w:bodyDiv w:val="1"/>
      <w:marLeft w:val="0"/>
      <w:marRight w:val="0"/>
      <w:marTop w:val="0"/>
      <w:marBottom w:val="0"/>
      <w:divBdr>
        <w:top w:val="none" w:sz="0" w:space="0" w:color="auto"/>
        <w:left w:val="none" w:sz="0" w:space="0" w:color="auto"/>
        <w:bottom w:val="none" w:sz="0" w:space="0" w:color="auto"/>
        <w:right w:val="none" w:sz="0" w:space="0" w:color="auto"/>
      </w:divBdr>
    </w:div>
    <w:div w:id="995916710">
      <w:bodyDiv w:val="1"/>
      <w:marLeft w:val="0"/>
      <w:marRight w:val="0"/>
      <w:marTop w:val="0"/>
      <w:marBottom w:val="0"/>
      <w:divBdr>
        <w:top w:val="none" w:sz="0" w:space="0" w:color="auto"/>
        <w:left w:val="none" w:sz="0" w:space="0" w:color="auto"/>
        <w:bottom w:val="none" w:sz="0" w:space="0" w:color="auto"/>
        <w:right w:val="none" w:sz="0" w:space="0" w:color="auto"/>
      </w:divBdr>
    </w:div>
    <w:div w:id="1016619306">
      <w:bodyDiv w:val="1"/>
      <w:marLeft w:val="0"/>
      <w:marRight w:val="0"/>
      <w:marTop w:val="0"/>
      <w:marBottom w:val="0"/>
      <w:divBdr>
        <w:top w:val="none" w:sz="0" w:space="0" w:color="auto"/>
        <w:left w:val="none" w:sz="0" w:space="0" w:color="auto"/>
        <w:bottom w:val="none" w:sz="0" w:space="0" w:color="auto"/>
        <w:right w:val="none" w:sz="0" w:space="0" w:color="auto"/>
      </w:divBdr>
    </w:div>
    <w:div w:id="1018891983">
      <w:bodyDiv w:val="1"/>
      <w:marLeft w:val="0"/>
      <w:marRight w:val="0"/>
      <w:marTop w:val="0"/>
      <w:marBottom w:val="0"/>
      <w:divBdr>
        <w:top w:val="none" w:sz="0" w:space="0" w:color="auto"/>
        <w:left w:val="none" w:sz="0" w:space="0" w:color="auto"/>
        <w:bottom w:val="none" w:sz="0" w:space="0" w:color="auto"/>
        <w:right w:val="none" w:sz="0" w:space="0" w:color="auto"/>
      </w:divBdr>
    </w:div>
    <w:div w:id="1025517973">
      <w:bodyDiv w:val="1"/>
      <w:marLeft w:val="0"/>
      <w:marRight w:val="0"/>
      <w:marTop w:val="0"/>
      <w:marBottom w:val="0"/>
      <w:divBdr>
        <w:top w:val="none" w:sz="0" w:space="0" w:color="auto"/>
        <w:left w:val="none" w:sz="0" w:space="0" w:color="auto"/>
        <w:bottom w:val="none" w:sz="0" w:space="0" w:color="auto"/>
        <w:right w:val="none" w:sz="0" w:space="0" w:color="auto"/>
      </w:divBdr>
    </w:div>
    <w:div w:id="1034958938">
      <w:bodyDiv w:val="1"/>
      <w:marLeft w:val="0"/>
      <w:marRight w:val="0"/>
      <w:marTop w:val="0"/>
      <w:marBottom w:val="0"/>
      <w:divBdr>
        <w:top w:val="none" w:sz="0" w:space="0" w:color="auto"/>
        <w:left w:val="none" w:sz="0" w:space="0" w:color="auto"/>
        <w:bottom w:val="none" w:sz="0" w:space="0" w:color="auto"/>
        <w:right w:val="none" w:sz="0" w:space="0" w:color="auto"/>
      </w:divBdr>
    </w:div>
    <w:div w:id="1054426242">
      <w:bodyDiv w:val="1"/>
      <w:marLeft w:val="0"/>
      <w:marRight w:val="0"/>
      <w:marTop w:val="0"/>
      <w:marBottom w:val="0"/>
      <w:divBdr>
        <w:top w:val="none" w:sz="0" w:space="0" w:color="auto"/>
        <w:left w:val="none" w:sz="0" w:space="0" w:color="auto"/>
        <w:bottom w:val="none" w:sz="0" w:space="0" w:color="auto"/>
        <w:right w:val="none" w:sz="0" w:space="0" w:color="auto"/>
      </w:divBdr>
    </w:div>
    <w:div w:id="1056010884">
      <w:bodyDiv w:val="1"/>
      <w:marLeft w:val="0"/>
      <w:marRight w:val="0"/>
      <w:marTop w:val="0"/>
      <w:marBottom w:val="0"/>
      <w:divBdr>
        <w:top w:val="none" w:sz="0" w:space="0" w:color="auto"/>
        <w:left w:val="none" w:sz="0" w:space="0" w:color="auto"/>
        <w:bottom w:val="none" w:sz="0" w:space="0" w:color="auto"/>
        <w:right w:val="none" w:sz="0" w:space="0" w:color="auto"/>
      </w:divBdr>
    </w:div>
    <w:div w:id="1056470466">
      <w:bodyDiv w:val="1"/>
      <w:marLeft w:val="0"/>
      <w:marRight w:val="0"/>
      <w:marTop w:val="0"/>
      <w:marBottom w:val="0"/>
      <w:divBdr>
        <w:top w:val="none" w:sz="0" w:space="0" w:color="auto"/>
        <w:left w:val="none" w:sz="0" w:space="0" w:color="auto"/>
        <w:bottom w:val="none" w:sz="0" w:space="0" w:color="auto"/>
        <w:right w:val="none" w:sz="0" w:space="0" w:color="auto"/>
      </w:divBdr>
    </w:div>
    <w:div w:id="1066413074">
      <w:bodyDiv w:val="1"/>
      <w:marLeft w:val="0"/>
      <w:marRight w:val="0"/>
      <w:marTop w:val="0"/>
      <w:marBottom w:val="0"/>
      <w:divBdr>
        <w:top w:val="none" w:sz="0" w:space="0" w:color="auto"/>
        <w:left w:val="none" w:sz="0" w:space="0" w:color="auto"/>
        <w:bottom w:val="none" w:sz="0" w:space="0" w:color="auto"/>
        <w:right w:val="none" w:sz="0" w:space="0" w:color="auto"/>
      </w:divBdr>
    </w:div>
    <w:div w:id="1072312066">
      <w:bodyDiv w:val="1"/>
      <w:marLeft w:val="0"/>
      <w:marRight w:val="0"/>
      <w:marTop w:val="0"/>
      <w:marBottom w:val="0"/>
      <w:divBdr>
        <w:top w:val="none" w:sz="0" w:space="0" w:color="auto"/>
        <w:left w:val="none" w:sz="0" w:space="0" w:color="auto"/>
        <w:bottom w:val="none" w:sz="0" w:space="0" w:color="auto"/>
        <w:right w:val="none" w:sz="0" w:space="0" w:color="auto"/>
      </w:divBdr>
    </w:div>
    <w:div w:id="1092628244">
      <w:bodyDiv w:val="1"/>
      <w:marLeft w:val="0"/>
      <w:marRight w:val="0"/>
      <w:marTop w:val="0"/>
      <w:marBottom w:val="0"/>
      <w:divBdr>
        <w:top w:val="none" w:sz="0" w:space="0" w:color="auto"/>
        <w:left w:val="none" w:sz="0" w:space="0" w:color="auto"/>
        <w:bottom w:val="none" w:sz="0" w:space="0" w:color="auto"/>
        <w:right w:val="none" w:sz="0" w:space="0" w:color="auto"/>
      </w:divBdr>
    </w:div>
    <w:div w:id="1092817973">
      <w:bodyDiv w:val="1"/>
      <w:marLeft w:val="0"/>
      <w:marRight w:val="0"/>
      <w:marTop w:val="0"/>
      <w:marBottom w:val="0"/>
      <w:divBdr>
        <w:top w:val="none" w:sz="0" w:space="0" w:color="auto"/>
        <w:left w:val="none" w:sz="0" w:space="0" w:color="auto"/>
        <w:bottom w:val="none" w:sz="0" w:space="0" w:color="auto"/>
        <w:right w:val="none" w:sz="0" w:space="0" w:color="auto"/>
      </w:divBdr>
    </w:div>
    <w:div w:id="1104693302">
      <w:bodyDiv w:val="1"/>
      <w:marLeft w:val="0"/>
      <w:marRight w:val="0"/>
      <w:marTop w:val="0"/>
      <w:marBottom w:val="0"/>
      <w:divBdr>
        <w:top w:val="none" w:sz="0" w:space="0" w:color="auto"/>
        <w:left w:val="none" w:sz="0" w:space="0" w:color="auto"/>
        <w:bottom w:val="none" w:sz="0" w:space="0" w:color="auto"/>
        <w:right w:val="none" w:sz="0" w:space="0" w:color="auto"/>
      </w:divBdr>
    </w:div>
    <w:div w:id="1112211838">
      <w:bodyDiv w:val="1"/>
      <w:marLeft w:val="0"/>
      <w:marRight w:val="0"/>
      <w:marTop w:val="0"/>
      <w:marBottom w:val="0"/>
      <w:divBdr>
        <w:top w:val="none" w:sz="0" w:space="0" w:color="auto"/>
        <w:left w:val="none" w:sz="0" w:space="0" w:color="auto"/>
        <w:bottom w:val="none" w:sz="0" w:space="0" w:color="auto"/>
        <w:right w:val="none" w:sz="0" w:space="0" w:color="auto"/>
      </w:divBdr>
    </w:div>
    <w:div w:id="1123503568">
      <w:bodyDiv w:val="1"/>
      <w:marLeft w:val="0"/>
      <w:marRight w:val="0"/>
      <w:marTop w:val="0"/>
      <w:marBottom w:val="0"/>
      <w:divBdr>
        <w:top w:val="none" w:sz="0" w:space="0" w:color="auto"/>
        <w:left w:val="none" w:sz="0" w:space="0" w:color="auto"/>
        <w:bottom w:val="none" w:sz="0" w:space="0" w:color="auto"/>
        <w:right w:val="none" w:sz="0" w:space="0" w:color="auto"/>
      </w:divBdr>
    </w:div>
    <w:div w:id="1140342774">
      <w:bodyDiv w:val="1"/>
      <w:marLeft w:val="0"/>
      <w:marRight w:val="0"/>
      <w:marTop w:val="0"/>
      <w:marBottom w:val="0"/>
      <w:divBdr>
        <w:top w:val="none" w:sz="0" w:space="0" w:color="auto"/>
        <w:left w:val="none" w:sz="0" w:space="0" w:color="auto"/>
        <w:bottom w:val="none" w:sz="0" w:space="0" w:color="auto"/>
        <w:right w:val="none" w:sz="0" w:space="0" w:color="auto"/>
      </w:divBdr>
    </w:div>
    <w:div w:id="1160996731">
      <w:bodyDiv w:val="1"/>
      <w:marLeft w:val="0"/>
      <w:marRight w:val="0"/>
      <w:marTop w:val="0"/>
      <w:marBottom w:val="0"/>
      <w:divBdr>
        <w:top w:val="none" w:sz="0" w:space="0" w:color="auto"/>
        <w:left w:val="none" w:sz="0" w:space="0" w:color="auto"/>
        <w:bottom w:val="none" w:sz="0" w:space="0" w:color="auto"/>
        <w:right w:val="none" w:sz="0" w:space="0" w:color="auto"/>
      </w:divBdr>
    </w:div>
    <w:div w:id="1167476417">
      <w:bodyDiv w:val="1"/>
      <w:marLeft w:val="0"/>
      <w:marRight w:val="0"/>
      <w:marTop w:val="0"/>
      <w:marBottom w:val="0"/>
      <w:divBdr>
        <w:top w:val="none" w:sz="0" w:space="0" w:color="auto"/>
        <w:left w:val="none" w:sz="0" w:space="0" w:color="auto"/>
        <w:bottom w:val="none" w:sz="0" w:space="0" w:color="auto"/>
        <w:right w:val="none" w:sz="0" w:space="0" w:color="auto"/>
      </w:divBdr>
    </w:div>
    <w:div w:id="1168132139">
      <w:bodyDiv w:val="1"/>
      <w:marLeft w:val="0"/>
      <w:marRight w:val="0"/>
      <w:marTop w:val="0"/>
      <w:marBottom w:val="0"/>
      <w:divBdr>
        <w:top w:val="none" w:sz="0" w:space="0" w:color="auto"/>
        <w:left w:val="none" w:sz="0" w:space="0" w:color="auto"/>
        <w:bottom w:val="none" w:sz="0" w:space="0" w:color="auto"/>
        <w:right w:val="none" w:sz="0" w:space="0" w:color="auto"/>
      </w:divBdr>
    </w:div>
    <w:div w:id="1171990227">
      <w:bodyDiv w:val="1"/>
      <w:marLeft w:val="0"/>
      <w:marRight w:val="0"/>
      <w:marTop w:val="0"/>
      <w:marBottom w:val="0"/>
      <w:divBdr>
        <w:top w:val="none" w:sz="0" w:space="0" w:color="auto"/>
        <w:left w:val="none" w:sz="0" w:space="0" w:color="auto"/>
        <w:bottom w:val="none" w:sz="0" w:space="0" w:color="auto"/>
        <w:right w:val="none" w:sz="0" w:space="0" w:color="auto"/>
      </w:divBdr>
    </w:div>
    <w:div w:id="1197813270">
      <w:bodyDiv w:val="1"/>
      <w:marLeft w:val="0"/>
      <w:marRight w:val="0"/>
      <w:marTop w:val="0"/>
      <w:marBottom w:val="0"/>
      <w:divBdr>
        <w:top w:val="none" w:sz="0" w:space="0" w:color="auto"/>
        <w:left w:val="none" w:sz="0" w:space="0" w:color="auto"/>
        <w:bottom w:val="none" w:sz="0" w:space="0" w:color="auto"/>
        <w:right w:val="none" w:sz="0" w:space="0" w:color="auto"/>
      </w:divBdr>
    </w:div>
    <w:div w:id="1200824375">
      <w:bodyDiv w:val="1"/>
      <w:marLeft w:val="0"/>
      <w:marRight w:val="0"/>
      <w:marTop w:val="0"/>
      <w:marBottom w:val="0"/>
      <w:divBdr>
        <w:top w:val="none" w:sz="0" w:space="0" w:color="auto"/>
        <w:left w:val="none" w:sz="0" w:space="0" w:color="auto"/>
        <w:bottom w:val="none" w:sz="0" w:space="0" w:color="auto"/>
        <w:right w:val="none" w:sz="0" w:space="0" w:color="auto"/>
      </w:divBdr>
    </w:div>
    <w:div w:id="1203786190">
      <w:bodyDiv w:val="1"/>
      <w:marLeft w:val="0"/>
      <w:marRight w:val="0"/>
      <w:marTop w:val="0"/>
      <w:marBottom w:val="0"/>
      <w:divBdr>
        <w:top w:val="none" w:sz="0" w:space="0" w:color="auto"/>
        <w:left w:val="none" w:sz="0" w:space="0" w:color="auto"/>
        <w:bottom w:val="none" w:sz="0" w:space="0" w:color="auto"/>
        <w:right w:val="none" w:sz="0" w:space="0" w:color="auto"/>
      </w:divBdr>
    </w:div>
    <w:div w:id="1208025917">
      <w:bodyDiv w:val="1"/>
      <w:marLeft w:val="0"/>
      <w:marRight w:val="0"/>
      <w:marTop w:val="0"/>
      <w:marBottom w:val="0"/>
      <w:divBdr>
        <w:top w:val="none" w:sz="0" w:space="0" w:color="auto"/>
        <w:left w:val="none" w:sz="0" w:space="0" w:color="auto"/>
        <w:bottom w:val="none" w:sz="0" w:space="0" w:color="auto"/>
        <w:right w:val="none" w:sz="0" w:space="0" w:color="auto"/>
      </w:divBdr>
    </w:div>
    <w:div w:id="1211188381">
      <w:bodyDiv w:val="1"/>
      <w:marLeft w:val="0"/>
      <w:marRight w:val="0"/>
      <w:marTop w:val="0"/>
      <w:marBottom w:val="0"/>
      <w:divBdr>
        <w:top w:val="none" w:sz="0" w:space="0" w:color="auto"/>
        <w:left w:val="none" w:sz="0" w:space="0" w:color="auto"/>
        <w:bottom w:val="none" w:sz="0" w:space="0" w:color="auto"/>
        <w:right w:val="none" w:sz="0" w:space="0" w:color="auto"/>
      </w:divBdr>
    </w:div>
    <w:div w:id="1218665609">
      <w:bodyDiv w:val="1"/>
      <w:marLeft w:val="0"/>
      <w:marRight w:val="0"/>
      <w:marTop w:val="0"/>
      <w:marBottom w:val="0"/>
      <w:divBdr>
        <w:top w:val="none" w:sz="0" w:space="0" w:color="auto"/>
        <w:left w:val="none" w:sz="0" w:space="0" w:color="auto"/>
        <w:bottom w:val="none" w:sz="0" w:space="0" w:color="auto"/>
        <w:right w:val="none" w:sz="0" w:space="0" w:color="auto"/>
      </w:divBdr>
    </w:div>
    <w:div w:id="1223326401">
      <w:bodyDiv w:val="1"/>
      <w:marLeft w:val="0"/>
      <w:marRight w:val="0"/>
      <w:marTop w:val="0"/>
      <w:marBottom w:val="0"/>
      <w:divBdr>
        <w:top w:val="none" w:sz="0" w:space="0" w:color="auto"/>
        <w:left w:val="none" w:sz="0" w:space="0" w:color="auto"/>
        <w:bottom w:val="none" w:sz="0" w:space="0" w:color="auto"/>
        <w:right w:val="none" w:sz="0" w:space="0" w:color="auto"/>
      </w:divBdr>
    </w:div>
    <w:div w:id="1224633907">
      <w:bodyDiv w:val="1"/>
      <w:marLeft w:val="0"/>
      <w:marRight w:val="0"/>
      <w:marTop w:val="0"/>
      <w:marBottom w:val="0"/>
      <w:divBdr>
        <w:top w:val="none" w:sz="0" w:space="0" w:color="auto"/>
        <w:left w:val="none" w:sz="0" w:space="0" w:color="auto"/>
        <w:bottom w:val="none" w:sz="0" w:space="0" w:color="auto"/>
        <w:right w:val="none" w:sz="0" w:space="0" w:color="auto"/>
      </w:divBdr>
    </w:div>
    <w:div w:id="1228108732">
      <w:bodyDiv w:val="1"/>
      <w:marLeft w:val="0"/>
      <w:marRight w:val="0"/>
      <w:marTop w:val="0"/>
      <w:marBottom w:val="0"/>
      <w:divBdr>
        <w:top w:val="none" w:sz="0" w:space="0" w:color="auto"/>
        <w:left w:val="none" w:sz="0" w:space="0" w:color="auto"/>
        <w:bottom w:val="none" w:sz="0" w:space="0" w:color="auto"/>
        <w:right w:val="none" w:sz="0" w:space="0" w:color="auto"/>
      </w:divBdr>
    </w:div>
    <w:div w:id="1241137447">
      <w:bodyDiv w:val="1"/>
      <w:marLeft w:val="0"/>
      <w:marRight w:val="0"/>
      <w:marTop w:val="0"/>
      <w:marBottom w:val="0"/>
      <w:divBdr>
        <w:top w:val="none" w:sz="0" w:space="0" w:color="auto"/>
        <w:left w:val="none" w:sz="0" w:space="0" w:color="auto"/>
        <w:bottom w:val="none" w:sz="0" w:space="0" w:color="auto"/>
        <w:right w:val="none" w:sz="0" w:space="0" w:color="auto"/>
      </w:divBdr>
    </w:div>
    <w:div w:id="1247418131">
      <w:bodyDiv w:val="1"/>
      <w:marLeft w:val="0"/>
      <w:marRight w:val="0"/>
      <w:marTop w:val="0"/>
      <w:marBottom w:val="0"/>
      <w:divBdr>
        <w:top w:val="none" w:sz="0" w:space="0" w:color="auto"/>
        <w:left w:val="none" w:sz="0" w:space="0" w:color="auto"/>
        <w:bottom w:val="none" w:sz="0" w:space="0" w:color="auto"/>
        <w:right w:val="none" w:sz="0" w:space="0" w:color="auto"/>
      </w:divBdr>
    </w:div>
    <w:div w:id="1248348524">
      <w:bodyDiv w:val="1"/>
      <w:marLeft w:val="0"/>
      <w:marRight w:val="0"/>
      <w:marTop w:val="0"/>
      <w:marBottom w:val="0"/>
      <w:divBdr>
        <w:top w:val="none" w:sz="0" w:space="0" w:color="auto"/>
        <w:left w:val="none" w:sz="0" w:space="0" w:color="auto"/>
        <w:bottom w:val="none" w:sz="0" w:space="0" w:color="auto"/>
        <w:right w:val="none" w:sz="0" w:space="0" w:color="auto"/>
      </w:divBdr>
    </w:div>
    <w:div w:id="1252153972">
      <w:bodyDiv w:val="1"/>
      <w:marLeft w:val="0"/>
      <w:marRight w:val="0"/>
      <w:marTop w:val="0"/>
      <w:marBottom w:val="0"/>
      <w:divBdr>
        <w:top w:val="none" w:sz="0" w:space="0" w:color="auto"/>
        <w:left w:val="none" w:sz="0" w:space="0" w:color="auto"/>
        <w:bottom w:val="none" w:sz="0" w:space="0" w:color="auto"/>
        <w:right w:val="none" w:sz="0" w:space="0" w:color="auto"/>
      </w:divBdr>
    </w:div>
    <w:div w:id="1263606719">
      <w:bodyDiv w:val="1"/>
      <w:marLeft w:val="0"/>
      <w:marRight w:val="0"/>
      <w:marTop w:val="0"/>
      <w:marBottom w:val="0"/>
      <w:divBdr>
        <w:top w:val="none" w:sz="0" w:space="0" w:color="auto"/>
        <w:left w:val="none" w:sz="0" w:space="0" w:color="auto"/>
        <w:bottom w:val="none" w:sz="0" w:space="0" w:color="auto"/>
        <w:right w:val="none" w:sz="0" w:space="0" w:color="auto"/>
      </w:divBdr>
    </w:div>
    <w:div w:id="1278369372">
      <w:bodyDiv w:val="1"/>
      <w:marLeft w:val="0"/>
      <w:marRight w:val="0"/>
      <w:marTop w:val="0"/>
      <w:marBottom w:val="0"/>
      <w:divBdr>
        <w:top w:val="none" w:sz="0" w:space="0" w:color="auto"/>
        <w:left w:val="none" w:sz="0" w:space="0" w:color="auto"/>
        <w:bottom w:val="none" w:sz="0" w:space="0" w:color="auto"/>
        <w:right w:val="none" w:sz="0" w:space="0" w:color="auto"/>
      </w:divBdr>
    </w:div>
    <w:div w:id="1285455348">
      <w:bodyDiv w:val="1"/>
      <w:marLeft w:val="0"/>
      <w:marRight w:val="0"/>
      <w:marTop w:val="0"/>
      <w:marBottom w:val="0"/>
      <w:divBdr>
        <w:top w:val="none" w:sz="0" w:space="0" w:color="auto"/>
        <w:left w:val="none" w:sz="0" w:space="0" w:color="auto"/>
        <w:bottom w:val="none" w:sz="0" w:space="0" w:color="auto"/>
        <w:right w:val="none" w:sz="0" w:space="0" w:color="auto"/>
      </w:divBdr>
    </w:div>
    <w:div w:id="1307052841">
      <w:bodyDiv w:val="1"/>
      <w:marLeft w:val="0"/>
      <w:marRight w:val="0"/>
      <w:marTop w:val="0"/>
      <w:marBottom w:val="0"/>
      <w:divBdr>
        <w:top w:val="none" w:sz="0" w:space="0" w:color="auto"/>
        <w:left w:val="none" w:sz="0" w:space="0" w:color="auto"/>
        <w:bottom w:val="none" w:sz="0" w:space="0" w:color="auto"/>
        <w:right w:val="none" w:sz="0" w:space="0" w:color="auto"/>
      </w:divBdr>
    </w:div>
    <w:div w:id="1311711665">
      <w:bodyDiv w:val="1"/>
      <w:marLeft w:val="0"/>
      <w:marRight w:val="0"/>
      <w:marTop w:val="0"/>
      <w:marBottom w:val="0"/>
      <w:divBdr>
        <w:top w:val="none" w:sz="0" w:space="0" w:color="auto"/>
        <w:left w:val="none" w:sz="0" w:space="0" w:color="auto"/>
        <w:bottom w:val="none" w:sz="0" w:space="0" w:color="auto"/>
        <w:right w:val="none" w:sz="0" w:space="0" w:color="auto"/>
      </w:divBdr>
    </w:div>
    <w:div w:id="1316951029">
      <w:bodyDiv w:val="1"/>
      <w:marLeft w:val="0"/>
      <w:marRight w:val="0"/>
      <w:marTop w:val="0"/>
      <w:marBottom w:val="0"/>
      <w:divBdr>
        <w:top w:val="none" w:sz="0" w:space="0" w:color="auto"/>
        <w:left w:val="none" w:sz="0" w:space="0" w:color="auto"/>
        <w:bottom w:val="none" w:sz="0" w:space="0" w:color="auto"/>
        <w:right w:val="none" w:sz="0" w:space="0" w:color="auto"/>
      </w:divBdr>
    </w:div>
    <w:div w:id="1327515240">
      <w:bodyDiv w:val="1"/>
      <w:marLeft w:val="0"/>
      <w:marRight w:val="0"/>
      <w:marTop w:val="0"/>
      <w:marBottom w:val="0"/>
      <w:divBdr>
        <w:top w:val="none" w:sz="0" w:space="0" w:color="auto"/>
        <w:left w:val="none" w:sz="0" w:space="0" w:color="auto"/>
        <w:bottom w:val="none" w:sz="0" w:space="0" w:color="auto"/>
        <w:right w:val="none" w:sz="0" w:space="0" w:color="auto"/>
      </w:divBdr>
    </w:div>
    <w:div w:id="1331562316">
      <w:bodyDiv w:val="1"/>
      <w:marLeft w:val="0"/>
      <w:marRight w:val="0"/>
      <w:marTop w:val="0"/>
      <w:marBottom w:val="0"/>
      <w:divBdr>
        <w:top w:val="none" w:sz="0" w:space="0" w:color="auto"/>
        <w:left w:val="none" w:sz="0" w:space="0" w:color="auto"/>
        <w:bottom w:val="none" w:sz="0" w:space="0" w:color="auto"/>
        <w:right w:val="none" w:sz="0" w:space="0" w:color="auto"/>
      </w:divBdr>
    </w:div>
    <w:div w:id="1337151672">
      <w:bodyDiv w:val="1"/>
      <w:marLeft w:val="0"/>
      <w:marRight w:val="0"/>
      <w:marTop w:val="0"/>
      <w:marBottom w:val="0"/>
      <w:divBdr>
        <w:top w:val="none" w:sz="0" w:space="0" w:color="auto"/>
        <w:left w:val="none" w:sz="0" w:space="0" w:color="auto"/>
        <w:bottom w:val="none" w:sz="0" w:space="0" w:color="auto"/>
        <w:right w:val="none" w:sz="0" w:space="0" w:color="auto"/>
      </w:divBdr>
    </w:div>
    <w:div w:id="1346404169">
      <w:bodyDiv w:val="1"/>
      <w:marLeft w:val="0"/>
      <w:marRight w:val="0"/>
      <w:marTop w:val="0"/>
      <w:marBottom w:val="0"/>
      <w:divBdr>
        <w:top w:val="none" w:sz="0" w:space="0" w:color="auto"/>
        <w:left w:val="none" w:sz="0" w:space="0" w:color="auto"/>
        <w:bottom w:val="none" w:sz="0" w:space="0" w:color="auto"/>
        <w:right w:val="none" w:sz="0" w:space="0" w:color="auto"/>
      </w:divBdr>
    </w:div>
    <w:div w:id="1373119479">
      <w:bodyDiv w:val="1"/>
      <w:marLeft w:val="0"/>
      <w:marRight w:val="0"/>
      <w:marTop w:val="0"/>
      <w:marBottom w:val="0"/>
      <w:divBdr>
        <w:top w:val="none" w:sz="0" w:space="0" w:color="auto"/>
        <w:left w:val="none" w:sz="0" w:space="0" w:color="auto"/>
        <w:bottom w:val="none" w:sz="0" w:space="0" w:color="auto"/>
        <w:right w:val="none" w:sz="0" w:space="0" w:color="auto"/>
      </w:divBdr>
    </w:div>
    <w:div w:id="1380206442">
      <w:bodyDiv w:val="1"/>
      <w:marLeft w:val="0"/>
      <w:marRight w:val="0"/>
      <w:marTop w:val="0"/>
      <w:marBottom w:val="0"/>
      <w:divBdr>
        <w:top w:val="none" w:sz="0" w:space="0" w:color="auto"/>
        <w:left w:val="none" w:sz="0" w:space="0" w:color="auto"/>
        <w:bottom w:val="none" w:sz="0" w:space="0" w:color="auto"/>
        <w:right w:val="none" w:sz="0" w:space="0" w:color="auto"/>
      </w:divBdr>
    </w:div>
    <w:div w:id="1389302421">
      <w:bodyDiv w:val="1"/>
      <w:marLeft w:val="0"/>
      <w:marRight w:val="0"/>
      <w:marTop w:val="0"/>
      <w:marBottom w:val="0"/>
      <w:divBdr>
        <w:top w:val="none" w:sz="0" w:space="0" w:color="auto"/>
        <w:left w:val="none" w:sz="0" w:space="0" w:color="auto"/>
        <w:bottom w:val="none" w:sz="0" w:space="0" w:color="auto"/>
        <w:right w:val="none" w:sz="0" w:space="0" w:color="auto"/>
      </w:divBdr>
    </w:div>
    <w:div w:id="1447503513">
      <w:bodyDiv w:val="1"/>
      <w:marLeft w:val="0"/>
      <w:marRight w:val="0"/>
      <w:marTop w:val="0"/>
      <w:marBottom w:val="0"/>
      <w:divBdr>
        <w:top w:val="none" w:sz="0" w:space="0" w:color="auto"/>
        <w:left w:val="none" w:sz="0" w:space="0" w:color="auto"/>
        <w:bottom w:val="none" w:sz="0" w:space="0" w:color="auto"/>
        <w:right w:val="none" w:sz="0" w:space="0" w:color="auto"/>
      </w:divBdr>
    </w:div>
    <w:div w:id="1462071256">
      <w:bodyDiv w:val="1"/>
      <w:marLeft w:val="0"/>
      <w:marRight w:val="0"/>
      <w:marTop w:val="0"/>
      <w:marBottom w:val="0"/>
      <w:divBdr>
        <w:top w:val="none" w:sz="0" w:space="0" w:color="auto"/>
        <w:left w:val="none" w:sz="0" w:space="0" w:color="auto"/>
        <w:bottom w:val="none" w:sz="0" w:space="0" w:color="auto"/>
        <w:right w:val="none" w:sz="0" w:space="0" w:color="auto"/>
      </w:divBdr>
    </w:div>
    <w:div w:id="1465539893">
      <w:bodyDiv w:val="1"/>
      <w:marLeft w:val="0"/>
      <w:marRight w:val="0"/>
      <w:marTop w:val="0"/>
      <w:marBottom w:val="0"/>
      <w:divBdr>
        <w:top w:val="none" w:sz="0" w:space="0" w:color="auto"/>
        <w:left w:val="none" w:sz="0" w:space="0" w:color="auto"/>
        <w:bottom w:val="none" w:sz="0" w:space="0" w:color="auto"/>
        <w:right w:val="none" w:sz="0" w:space="0" w:color="auto"/>
      </w:divBdr>
    </w:div>
    <w:div w:id="1469934788">
      <w:bodyDiv w:val="1"/>
      <w:marLeft w:val="0"/>
      <w:marRight w:val="0"/>
      <w:marTop w:val="0"/>
      <w:marBottom w:val="0"/>
      <w:divBdr>
        <w:top w:val="none" w:sz="0" w:space="0" w:color="auto"/>
        <w:left w:val="none" w:sz="0" w:space="0" w:color="auto"/>
        <w:bottom w:val="none" w:sz="0" w:space="0" w:color="auto"/>
        <w:right w:val="none" w:sz="0" w:space="0" w:color="auto"/>
      </w:divBdr>
    </w:div>
    <w:div w:id="1474714626">
      <w:bodyDiv w:val="1"/>
      <w:marLeft w:val="0"/>
      <w:marRight w:val="0"/>
      <w:marTop w:val="0"/>
      <w:marBottom w:val="0"/>
      <w:divBdr>
        <w:top w:val="none" w:sz="0" w:space="0" w:color="auto"/>
        <w:left w:val="none" w:sz="0" w:space="0" w:color="auto"/>
        <w:bottom w:val="none" w:sz="0" w:space="0" w:color="auto"/>
        <w:right w:val="none" w:sz="0" w:space="0" w:color="auto"/>
      </w:divBdr>
    </w:div>
    <w:div w:id="1480883126">
      <w:bodyDiv w:val="1"/>
      <w:marLeft w:val="0"/>
      <w:marRight w:val="0"/>
      <w:marTop w:val="0"/>
      <w:marBottom w:val="0"/>
      <w:divBdr>
        <w:top w:val="none" w:sz="0" w:space="0" w:color="auto"/>
        <w:left w:val="none" w:sz="0" w:space="0" w:color="auto"/>
        <w:bottom w:val="none" w:sz="0" w:space="0" w:color="auto"/>
        <w:right w:val="none" w:sz="0" w:space="0" w:color="auto"/>
      </w:divBdr>
    </w:div>
    <w:div w:id="1490096775">
      <w:bodyDiv w:val="1"/>
      <w:marLeft w:val="0"/>
      <w:marRight w:val="0"/>
      <w:marTop w:val="0"/>
      <w:marBottom w:val="0"/>
      <w:divBdr>
        <w:top w:val="none" w:sz="0" w:space="0" w:color="auto"/>
        <w:left w:val="none" w:sz="0" w:space="0" w:color="auto"/>
        <w:bottom w:val="none" w:sz="0" w:space="0" w:color="auto"/>
        <w:right w:val="none" w:sz="0" w:space="0" w:color="auto"/>
      </w:divBdr>
    </w:div>
    <w:div w:id="1502544873">
      <w:bodyDiv w:val="1"/>
      <w:marLeft w:val="0"/>
      <w:marRight w:val="0"/>
      <w:marTop w:val="0"/>
      <w:marBottom w:val="0"/>
      <w:divBdr>
        <w:top w:val="none" w:sz="0" w:space="0" w:color="auto"/>
        <w:left w:val="none" w:sz="0" w:space="0" w:color="auto"/>
        <w:bottom w:val="none" w:sz="0" w:space="0" w:color="auto"/>
        <w:right w:val="none" w:sz="0" w:space="0" w:color="auto"/>
      </w:divBdr>
    </w:div>
    <w:div w:id="1517890644">
      <w:bodyDiv w:val="1"/>
      <w:marLeft w:val="0"/>
      <w:marRight w:val="0"/>
      <w:marTop w:val="0"/>
      <w:marBottom w:val="0"/>
      <w:divBdr>
        <w:top w:val="none" w:sz="0" w:space="0" w:color="auto"/>
        <w:left w:val="none" w:sz="0" w:space="0" w:color="auto"/>
        <w:bottom w:val="none" w:sz="0" w:space="0" w:color="auto"/>
        <w:right w:val="none" w:sz="0" w:space="0" w:color="auto"/>
      </w:divBdr>
    </w:div>
    <w:div w:id="1519468700">
      <w:bodyDiv w:val="1"/>
      <w:marLeft w:val="0"/>
      <w:marRight w:val="0"/>
      <w:marTop w:val="0"/>
      <w:marBottom w:val="0"/>
      <w:divBdr>
        <w:top w:val="none" w:sz="0" w:space="0" w:color="auto"/>
        <w:left w:val="none" w:sz="0" w:space="0" w:color="auto"/>
        <w:bottom w:val="none" w:sz="0" w:space="0" w:color="auto"/>
        <w:right w:val="none" w:sz="0" w:space="0" w:color="auto"/>
      </w:divBdr>
    </w:div>
    <w:div w:id="1531189036">
      <w:bodyDiv w:val="1"/>
      <w:marLeft w:val="0"/>
      <w:marRight w:val="0"/>
      <w:marTop w:val="0"/>
      <w:marBottom w:val="0"/>
      <w:divBdr>
        <w:top w:val="none" w:sz="0" w:space="0" w:color="auto"/>
        <w:left w:val="none" w:sz="0" w:space="0" w:color="auto"/>
        <w:bottom w:val="none" w:sz="0" w:space="0" w:color="auto"/>
        <w:right w:val="none" w:sz="0" w:space="0" w:color="auto"/>
      </w:divBdr>
    </w:div>
    <w:div w:id="1539703484">
      <w:bodyDiv w:val="1"/>
      <w:marLeft w:val="0"/>
      <w:marRight w:val="0"/>
      <w:marTop w:val="0"/>
      <w:marBottom w:val="0"/>
      <w:divBdr>
        <w:top w:val="none" w:sz="0" w:space="0" w:color="auto"/>
        <w:left w:val="none" w:sz="0" w:space="0" w:color="auto"/>
        <w:bottom w:val="none" w:sz="0" w:space="0" w:color="auto"/>
        <w:right w:val="none" w:sz="0" w:space="0" w:color="auto"/>
      </w:divBdr>
    </w:div>
    <w:div w:id="1540313600">
      <w:bodyDiv w:val="1"/>
      <w:marLeft w:val="0"/>
      <w:marRight w:val="0"/>
      <w:marTop w:val="0"/>
      <w:marBottom w:val="0"/>
      <w:divBdr>
        <w:top w:val="none" w:sz="0" w:space="0" w:color="auto"/>
        <w:left w:val="none" w:sz="0" w:space="0" w:color="auto"/>
        <w:bottom w:val="none" w:sz="0" w:space="0" w:color="auto"/>
        <w:right w:val="none" w:sz="0" w:space="0" w:color="auto"/>
      </w:divBdr>
    </w:div>
    <w:div w:id="1559321125">
      <w:bodyDiv w:val="1"/>
      <w:marLeft w:val="0"/>
      <w:marRight w:val="0"/>
      <w:marTop w:val="0"/>
      <w:marBottom w:val="0"/>
      <w:divBdr>
        <w:top w:val="none" w:sz="0" w:space="0" w:color="auto"/>
        <w:left w:val="none" w:sz="0" w:space="0" w:color="auto"/>
        <w:bottom w:val="none" w:sz="0" w:space="0" w:color="auto"/>
        <w:right w:val="none" w:sz="0" w:space="0" w:color="auto"/>
      </w:divBdr>
    </w:div>
    <w:div w:id="1563105018">
      <w:bodyDiv w:val="1"/>
      <w:marLeft w:val="0"/>
      <w:marRight w:val="0"/>
      <w:marTop w:val="0"/>
      <w:marBottom w:val="0"/>
      <w:divBdr>
        <w:top w:val="none" w:sz="0" w:space="0" w:color="auto"/>
        <w:left w:val="none" w:sz="0" w:space="0" w:color="auto"/>
        <w:bottom w:val="none" w:sz="0" w:space="0" w:color="auto"/>
        <w:right w:val="none" w:sz="0" w:space="0" w:color="auto"/>
      </w:divBdr>
    </w:div>
    <w:div w:id="1567186723">
      <w:bodyDiv w:val="1"/>
      <w:marLeft w:val="0"/>
      <w:marRight w:val="0"/>
      <w:marTop w:val="0"/>
      <w:marBottom w:val="0"/>
      <w:divBdr>
        <w:top w:val="none" w:sz="0" w:space="0" w:color="auto"/>
        <w:left w:val="none" w:sz="0" w:space="0" w:color="auto"/>
        <w:bottom w:val="none" w:sz="0" w:space="0" w:color="auto"/>
        <w:right w:val="none" w:sz="0" w:space="0" w:color="auto"/>
      </w:divBdr>
    </w:div>
    <w:div w:id="1581140716">
      <w:bodyDiv w:val="1"/>
      <w:marLeft w:val="0"/>
      <w:marRight w:val="0"/>
      <w:marTop w:val="0"/>
      <w:marBottom w:val="0"/>
      <w:divBdr>
        <w:top w:val="none" w:sz="0" w:space="0" w:color="auto"/>
        <w:left w:val="none" w:sz="0" w:space="0" w:color="auto"/>
        <w:bottom w:val="none" w:sz="0" w:space="0" w:color="auto"/>
        <w:right w:val="none" w:sz="0" w:space="0" w:color="auto"/>
      </w:divBdr>
    </w:div>
    <w:div w:id="1584947900">
      <w:bodyDiv w:val="1"/>
      <w:marLeft w:val="0"/>
      <w:marRight w:val="0"/>
      <w:marTop w:val="0"/>
      <w:marBottom w:val="0"/>
      <w:divBdr>
        <w:top w:val="none" w:sz="0" w:space="0" w:color="auto"/>
        <w:left w:val="none" w:sz="0" w:space="0" w:color="auto"/>
        <w:bottom w:val="none" w:sz="0" w:space="0" w:color="auto"/>
        <w:right w:val="none" w:sz="0" w:space="0" w:color="auto"/>
      </w:divBdr>
    </w:div>
    <w:div w:id="1590306340">
      <w:bodyDiv w:val="1"/>
      <w:marLeft w:val="0"/>
      <w:marRight w:val="0"/>
      <w:marTop w:val="0"/>
      <w:marBottom w:val="0"/>
      <w:divBdr>
        <w:top w:val="none" w:sz="0" w:space="0" w:color="auto"/>
        <w:left w:val="none" w:sz="0" w:space="0" w:color="auto"/>
        <w:bottom w:val="none" w:sz="0" w:space="0" w:color="auto"/>
        <w:right w:val="none" w:sz="0" w:space="0" w:color="auto"/>
      </w:divBdr>
    </w:div>
    <w:div w:id="1599288495">
      <w:bodyDiv w:val="1"/>
      <w:marLeft w:val="0"/>
      <w:marRight w:val="0"/>
      <w:marTop w:val="0"/>
      <w:marBottom w:val="0"/>
      <w:divBdr>
        <w:top w:val="none" w:sz="0" w:space="0" w:color="auto"/>
        <w:left w:val="none" w:sz="0" w:space="0" w:color="auto"/>
        <w:bottom w:val="none" w:sz="0" w:space="0" w:color="auto"/>
        <w:right w:val="none" w:sz="0" w:space="0" w:color="auto"/>
      </w:divBdr>
    </w:div>
    <w:div w:id="1601522863">
      <w:bodyDiv w:val="1"/>
      <w:marLeft w:val="0"/>
      <w:marRight w:val="0"/>
      <w:marTop w:val="0"/>
      <w:marBottom w:val="0"/>
      <w:divBdr>
        <w:top w:val="none" w:sz="0" w:space="0" w:color="auto"/>
        <w:left w:val="none" w:sz="0" w:space="0" w:color="auto"/>
        <w:bottom w:val="none" w:sz="0" w:space="0" w:color="auto"/>
        <w:right w:val="none" w:sz="0" w:space="0" w:color="auto"/>
      </w:divBdr>
    </w:div>
    <w:div w:id="1603881965">
      <w:bodyDiv w:val="1"/>
      <w:marLeft w:val="0"/>
      <w:marRight w:val="0"/>
      <w:marTop w:val="0"/>
      <w:marBottom w:val="0"/>
      <w:divBdr>
        <w:top w:val="none" w:sz="0" w:space="0" w:color="auto"/>
        <w:left w:val="none" w:sz="0" w:space="0" w:color="auto"/>
        <w:bottom w:val="none" w:sz="0" w:space="0" w:color="auto"/>
        <w:right w:val="none" w:sz="0" w:space="0" w:color="auto"/>
      </w:divBdr>
    </w:div>
    <w:div w:id="1611006261">
      <w:bodyDiv w:val="1"/>
      <w:marLeft w:val="0"/>
      <w:marRight w:val="0"/>
      <w:marTop w:val="0"/>
      <w:marBottom w:val="0"/>
      <w:divBdr>
        <w:top w:val="none" w:sz="0" w:space="0" w:color="auto"/>
        <w:left w:val="none" w:sz="0" w:space="0" w:color="auto"/>
        <w:bottom w:val="none" w:sz="0" w:space="0" w:color="auto"/>
        <w:right w:val="none" w:sz="0" w:space="0" w:color="auto"/>
      </w:divBdr>
    </w:div>
    <w:div w:id="1613122338">
      <w:bodyDiv w:val="1"/>
      <w:marLeft w:val="0"/>
      <w:marRight w:val="0"/>
      <w:marTop w:val="0"/>
      <w:marBottom w:val="0"/>
      <w:divBdr>
        <w:top w:val="none" w:sz="0" w:space="0" w:color="auto"/>
        <w:left w:val="none" w:sz="0" w:space="0" w:color="auto"/>
        <w:bottom w:val="none" w:sz="0" w:space="0" w:color="auto"/>
        <w:right w:val="none" w:sz="0" w:space="0" w:color="auto"/>
      </w:divBdr>
    </w:div>
    <w:div w:id="1629239473">
      <w:bodyDiv w:val="1"/>
      <w:marLeft w:val="0"/>
      <w:marRight w:val="0"/>
      <w:marTop w:val="0"/>
      <w:marBottom w:val="0"/>
      <w:divBdr>
        <w:top w:val="none" w:sz="0" w:space="0" w:color="auto"/>
        <w:left w:val="none" w:sz="0" w:space="0" w:color="auto"/>
        <w:bottom w:val="none" w:sz="0" w:space="0" w:color="auto"/>
        <w:right w:val="none" w:sz="0" w:space="0" w:color="auto"/>
      </w:divBdr>
    </w:div>
    <w:div w:id="1641184205">
      <w:bodyDiv w:val="1"/>
      <w:marLeft w:val="0"/>
      <w:marRight w:val="0"/>
      <w:marTop w:val="0"/>
      <w:marBottom w:val="0"/>
      <w:divBdr>
        <w:top w:val="none" w:sz="0" w:space="0" w:color="auto"/>
        <w:left w:val="none" w:sz="0" w:space="0" w:color="auto"/>
        <w:bottom w:val="none" w:sz="0" w:space="0" w:color="auto"/>
        <w:right w:val="none" w:sz="0" w:space="0" w:color="auto"/>
      </w:divBdr>
    </w:div>
    <w:div w:id="1643001087">
      <w:bodyDiv w:val="1"/>
      <w:marLeft w:val="0"/>
      <w:marRight w:val="0"/>
      <w:marTop w:val="0"/>
      <w:marBottom w:val="0"/>
      <w:divBdr>
        <w:top w:val="none" w:sz="0" w:space="0" w:color="auto"/>
        <w:left w:val="none" w:sz="0" w:space="0" w:color="auto"/>
        <w:bottom w:val="none" w:sz="0" w:space="0" w:color="auto"/>
        <w:right w:val="none" w:sz="0" w:space="0" w:color="auto"/>
      </w:divBdr>
    </w:div>
    <w:div w:id="1644002756">
      <w:bodyDiv w:val="1"/>
      <w:marLeft w:val="0"/>
      <w:marRight w:val="0"/>
      <w:marTop w:val="0"/>
      <w:marBottom w:val="0"/>
      <w:divBdr>
        <w:top w:val="none" w:sz="0" w:space="0" w:color="auto"/>
        <w:left w:val="none" w:sz="0" w:space="0" w:color="auto"/>
        <w:bottom w:val="none" w:sz="0" w:space="0" w:color="auto"/>
        <w:right w:val="none" w:sz="0" w:space="0" w:color="auto"/>
      </w:divBdr>
    </w:div>
    <w:div w:id="1650859782">
      <w:bodyDiv w:val="1"/>
      <w:marLeft w:val="0"/>
      <w:marRight w:val="0"/>
      <w:marTop w:val="0"/>
      <w:marBottom w:val="0"/>
      <w:divBdr>
        <w:top w:val="none" w:sz="0" w:space="0" w:color="auto"/>
        <w:left w:val="none" w:sz="0" w:space="0" w:color="auto"/>
        <w:bottom w:val="none" w:sz="0" w:space="0" w:color="auto"/>
        <w:right w:val="none" w:sz="0" w:space="0" w:color="auto"/>
      </w:divBdr>
    </w:div>
    <w:div w:id="1657220257">
      <w:bodyDiv w:val="1"/>
      <w:marLeft w:val="0"/>
      <w:marRight w:val="0"/>
      <w:marTop w:val="0"/>
      <w:marBottom w:val="0"/>
      <w:divBdr>
        <w:top w:val="none" w:sz="0" w:space="0" w:color="auto"/>
        <w:left w:val="none" w:sz="0" w:space="0" w:color="auto"/>
        <w:bottom w:val="none" w:sz="0" w:space="0" w:color="auto"/>
        <w:right w:val="none" w:sz="0" w:space="0" w:color="auto"/>
      </w:divBdr>
    </w:div>
    <w:div w:id="1696492934">
      <w:bodyDiv w:val="1"/>
      <w:marLeft w:val="0"/>
      <w:marRight w:val="0"/>
      <w:marTop w:val="0"/>
      <w:marBottom w:val="0"/>
      <w:divBdr>
        <w:top w:val="none" w:sz="0" w:space="0" w:color="auto"/>
        <w:left w:val="none" w:sz="0" w:space="0" w:color="auto"/>
        <w:bottom w:val="none" w:sz="0" w:space="0" w:color="auto"/>
        <w:right w:val="none" w:sz="0" w:space="0" w:color="auto"/>
      </w:divBdr>
    </w:div>
    <w:div w:id="1717777180">
      <w:bodyDiv w:val="1"/>
      <w:marLeft w:val="0"/>
      <w:marRight w:val="0"/>
      <w:marTop w:val="0"/>
      <w:marBottom w:val="0"/>
      <w:divBdr>
        <w:top w:val="none" w:sz="0" w:space="0" w:color="auto"/>
        <w:left w:val="none" w:sz="0" w:space="0" w:color="auto"/>
        <w:bottom w:val="none" w:sz="0" w:space="0" w:color="auto"/>
        <w:right w:val="none" w:sz="0" w:space="0" w:color="auto"/>
      </w:divBdr>
    </w:div>
    <w:div w:id="1720589696">
      <w:bodyDiv w:val="1"/>
      <w:marLeft w:val="0"/>
      <w:marRight w:val="0"/>
      <w:marTop w:val="0"/>
      <w:marBottom w:val="0"/>
      <w:divBdr>
        <w:top w:val="none" w:sz="0" w:space="0" w:color="auto"/>
        <w:left w:val="none" w:sz="0" w:space="0" w:color="auto"/>
        <w:bottom w:val="none" w:sz="0" w:space="0" w:color="auto"/>
        <w:right w:val="none" w:sz="0" w:space="0" w:color="auto"/>
      </w:divBdr>
    </w:div>
    <w:div w:id="1726757597">
      <w:bodyDiv w:val="1"/>
      <w:marLeft w:val="0"/>
      <w:marRight w:val="0"/>
      <w:marTop w:val="0"/>
      <w:marBottom w:val="0"/>
      <w:divBdr>
        <w:top w:val="none" w:sz="0" w:space="0" w:color="auto"/>
        <w:left w:val="none" w:sz="0" w:space="0" w:color="auto"/>
        <w:bottom w:val="none" w:sz="0" w:space="0" w:color="auto"/>
        <w:right w:val="none" w:sz="0" w:space="0" w:color="auto"/>
      </w:divBdr>
    </w:div>
    <w:div w:id="1727753186">
      <w:bodyDiv w:val="1"/>
      <w:marLeft w:val="0"/>
      <w:marRight w:val="0"/>
      <w:marTop w:val="0"/>
      <w:marBottom w:val="0"/>
      <w:divBdr>
        <w:top w:val="none" w:sz="0" w:space="0" w:color="auto"/>
        <w:left w:val="none" w:sz="0" w:space="0" w:color="auto"/>
        <w:bottom w:val="none" w:sz="0" w:space="0" w:color="auto"/>
        <w:right w:val="none" w:sz="0" w:space="0" w:color="auto"/>
      </w:divBdr>
    </w:div>
    <w:div w:id="1734624556">
      <w:bodyDiv w:val="1"/>
      <w:marLeft w:val="0"/>
      <w:marRight w:val="0"/>
      <w:marTop w:val="0"/>
      <w:marBottom w:val="0"/>
      <w:divBdr>
        <w:top w:val="none" w:sz="0" w:space="0" w:color="auto"/>
        <w:left w:val="none" w:sz="0" w:space="0" w:color="auto"/>
        <w:bottom w:val="none" w:sz="0" w:space="0" w:color="auto"/>
        <w:right w:val="none" w:sz="0" w:space="0" w:color="auto"/>
      </w:divBdr>
    </w:div>
    <w:div w:id="1737898895">
      <w:bodyDiv w:val="1"/>
      <w:marLeft w:val="0"/>
      <w:marRight w:val="0"/>
      <w:marTop w:val="0"/>
      <w:marBottom w:val="0"/>
      <w:divBdr>
        <w:top w:val="none" w:sz="0" w:space="0" w:color="auto"/>
        <w:left w:val="none" w:sz="0" w:space="0" w:color="auto"/>
        <w:bottom w:val="none" w:sz="0" w:space="0" w:color="auto"/>
        <w:right w:val="none" w:sz="0" w:space="0" w:color="auto"/>
      </w:divBdr>
    </w:div>
    <w:div w:id="1765571660">
      <w:bodyDiv w:val="1"/>
      <w:marLeft w:val="0"/>
      <w:marRight w:val="0"/>
      <w:marTop w:val="0"/>
      <w:marBottom w:val="0"/>
      <w:divBdr>
        <w:top w:val="none" w:sz="0" w:space="0" w:color="auto"/>
        <w:left w:val="none" w:sz="0" w:space="0" w:color="auto"/>
        <w:bottom w:val="none" w:sz="0" w:space="0" w:color="auto"/>
        <w:right w:val="none" w:sz="0" w:space="0" w:color="auto"/>
      </w:divBdr>
    </w:div>
    <w:div w:id="1766342745">
      <w:bodyDiv w:val="1"/>
      <w:marLeft w:val="0"/>
      <w:marRight w:val="0"/>
      <w:marTop w:val="0"/>
      <w:marBottom w:val="0"/>
      <w:divBdr>
        <w:top w:val="none" w:sz="0" w:space="0" w:color="auto"/>
        <w:left w:val="none" w:sz="0" w:space="0" w:color="auto"/>
        <w:bottom w:val="none" w:sz="0" w:space="0" w:color="auto"/>
        <w:right w:val="none" w:sz="0" w:space="0" w:color="auto"/>
      </w:divBdr>
    </w:div>
    <w:div w:id="1768848967">
      <w:bodyDiv w:val="1"/>
      <w:marLeft w:val="0"/>
      <w:marRight w:val="0"/>
      <w:marTop w:val="0"/>
      <w:marBottom w:val="0"/>
      <w:divBdr>
        <w:top w:val="none" w:sz="0" w:space="0" w:color="auto"/>
        <w:left w:val="none" w:sz="0" w:space="0" w:color="auto"/>
        <w:bottom w:val="none" w:sz="0" w:space="0" w:color="auto"/>
        <w:right w:val="none" w:sz="0" w:space="0" w:color="auto"/>
      </w:divBdr>
    </w:div>
    <w:div w:id="1771657618">
      <w:bodyDiv w:val="1"/>
      <w:marLeft w:val="0"/>
      <w:marRight w:val="0"/>
      <w:marTop w:val="0"/>
      <w:marBottom w:val="0"/>
      <w:divBdr>
        <w:top w:val="none" w:sz="0" w:space="0" w:color="auto"/>
        <w:left w:val="none" w:sz="0" w:space="0" w:color="auto"/>
        <w:bottom w:val="none" w:sz="0" w:space="0" w:color="auto"/>
        <w:right w:val="none" w:sz="0" w:space="0" w:color="auto"/>
      </w:divBdr>
    </w:div>
    <w:div w:id="1772703831">
      <w:bodyDiv w:val="1"/>
      <w:marLeft w:val="0"/>
      <w:marRight w:val="0"/>
      <w:marTop w:val="0"/>
      <w:marBottom w:val="0"/>
      <w:divBdr>
        <w:top w:val="none" w:sz="0" w:space="0" w:color="auto"/>
        <w:left w:val="none" w:sz="0" w:space="0" w:color="auto"/>
        <w:bottom w:val="none" w:sz="0" w:space="0" w:color="auto"/>
        <w:right w:val="none" w:sz="0" w:space="0" w:color="auto"/>
      </w:divBdr>
    </w:div>
    <w:div w:id="1774281346">
      <w:bodyDiv w:val="1"/>
      <w:marLeft w:val="0"/>
      <w:marRight w:val="0"/>
      <w:marTop w:val="0"/>
      <w:marBottom w:val="0"/>
      <w:divBdr>
        <w:top w:val="none" w:sz="0" w:space="0" w:color="auto"/>
        <w:left w:val="none" w:sz="0" w:space="0" w:color="auto"/>
        <w:bottom w:val="none" w:sz="0" w:space="0" w:color="auto"/>
        <w:right w:val="none" w:sz="0" w:space="0" w:color="auto"/>
      </w:divBdr>
    </w:div>
    <w:div w:id="1782383572">
      <w:bodyDiv w:val="1"/>
      <w:marLeft w:val="0"/>
      <w:marRight w:val="0"/>
      <w:marTop w:val="0"/>
      <w:marBottom w:val="0"/>
      <w:divBdr>
        <w:top w:val="none" w:sz="0" w:space="0" w:color="auto"/>
        <w:left w:val="none" w:sz="0" w:space="0" w:color="auto"/>
        <w:bottom w:val="none" w:sz="0" w:space="0" w:color="auto"/>
        <w:right w:val="none" w:sz="0" w:space="0" w:color="auto"/>
      </w:divBdr>
    </w:div>
    <w:div w:id="1784111536">
      <w:bodyDiv w:val="1"/>
      <w:marLeft w:val="0"/>
      <w:marRight w:val="0"/>
      <w:marTop w:val="0"/>
      <w:marBottom w:val="0"/>
      <w:divBdr>
        <w:top w:val="none" w:sz="0" w:space="0" w:color="auto"/>
        <w:left w:val="none" w:sz="0" w:space="0" w:color="auto"/>
        <w:bottom w:val="none" w:sz="0" w:space="0" w:color="auto"/>
        <w:right w:val="none" w:sz="0" w:space="0" w:color="auto"/>
      </w:divBdr>
    </w:div>
    <w:div w:id="1784959877">
      <w:bodyDiv w:val="1"/>
      <w:marLeft w:val="0"/>
      <w:marRight w:val="0"/>
      <w:marTop w:val="0"/>
      <w:marBottom w:val="0"/>
      <w:divBdr>
        <w:top w:val="none" w:sz="0" w:space="0" w:color="auto"/>
        <w:left w:val="none" w:sz="0" w:space="0" w:color="auto"/>
        <w:bottom w:val="none" w:sz="0" w:space="0" w:color="auto"/>
        <w:right w:val="none" w:sz="0" w:space="0" w:color="auto"/>
      </w:divBdr>
    </w:div>
    <w:div w:id="1787456976">
      <w:bodyDiv w:val="1"/>
      <w:marLeft w:val="0"/>
      <w:marRight w:val="0"/>
      <w:marTop w:val="0"/>
      <w:marBottom w:val="0"/>
      <w:divBdr>
        <w:top w:val="none" w:sz="0" w:space="0" w:color="auto"/>
        <w:left w:val="none" w:sz="0" w:space="0" w:color="auto"/>
        <w:bottom w:val="none" w:sz="0" w:space="0" w:color="auto"/>
        <w:right w:val="none" w:sz="0" w:space="0" w:color="auto"/>
      </w:divBdr>
    </w:div>
    <w:div w:id="1798258622">
      <w:bodyDiv w:val="1"/>
      <w:marLeft w:val="0"/>
      <w:marRight w:val="0"/>
      <w:marTop w:val="0"/>
      <w:marBottom w:val="0"/>
      <w:divBdr>
        <w:top w:val="none" w:sz="0" w:space="0" w:color="auto"/>
        <w:left w:val="none" w:sz="0" w:space="0" w:color="auto"/>
        <w:bottom w:val="none" w:sz="0" w:space="0" w:color="auto"/>
        <w:right w:val="none" w:sz="0" w:space="0" w:color="auto"/>
      </w:divBdr>
    </w:div>
    <w:div w:id="1798913576">
      <w:bodyDiv w:val="1"/>
      <w:marLeft w:val="0"/>
      <w:marRight w:val="0"/>
      <w:marTop w:val="0"/>
      <w:marBottom w:val="0"/>
      <w:divBdr>
        <w:top w:val="none" w:sz="0" w:space="0" w:color="auto"/>
        <w:left w:val="none" w:sz="0" w:space="0" w:color="auto"/>
        <w:bottom w:val="none" w:sz="0" w:space="0" w:color="auto"/>
        <w:right w:val="none" w:sz="0" w:space="0" w:color="auto"/>
      </w:divBdr>
    </w:div>
    <w:div w:id="1814828401">
      <w:bodyDiv w:val="1"/>
      <w:marLeft w:val="0"/>
      <w:marRight w:val="0"/>
      <w:marTop w:val="0"/>
      <w:marBottom w:val="0"/>
      <w:divBdr>
        <w:top w:val="none" w:sz="0" w:space="0" w:color="auto"/>
        <w:left w:val="none" w:sz="0" w:space="0" w:color="auto"/>
        <w:bottom w:val="none" w:sz="0" w:space="0" w:color="auto"/>
        <w:right w:val="none" w:sz="0" w:space="0" w:color="auto"/>
      </w:divBdr>
    </w:div>
    <w:div w:id="1820268794">
      <w:bodyDiv w:val="1"/>
      <w:marLeft w:val="0"/>
      <w:marRight w:val="0"/>
      <w:marTop w:val="0"/>
      <w:marBottom w:val="0"/>
      <w:divBdr>
        <w:top w:val="none" w:sz="0" w:space="0" w:color="auto"/>
        <w:left w:val="none" w:sz="0" w:space="0" w:color="auto"/>
        <w:bottom w:val="none" w:sz="0" w:space="0" w:color="auto"/>
        <w:right w:val="none" w:sz="0" w:space="0" w:color="auto"/>
      </w:divBdr>
    </w:div>
    <w:div w:id="1831560772">
      <w:bodyDiv w:val="1"/>
      <w:marLeft w:val="0"/>
      <w:marRight w:val="0"/>
      <w:marTop w:val="0"/>
      <w:marBottom w:val="0"/>
      <w:divBdr>
        <w:top w:val="none" w:sz="0" w:space="0" w:color="auto"/>
        <w:left w:val="none" w:sz="0" w:space="0" w:color="auto"/>
        <w:bottom w:val="none" w:sz="0" w:space="0" w:color="auto"/>
        <w:right w:val="none" w:sz="0" w:space="0" w:color="auto"/>
      </w:divBdr>
    </w:div>
    <w:div w:id="1853176542">
      <w:bodyDiv w:val="1"/>
      <w:marLeft w:val="0"/>
      <w:marRight w:val="0"/>
      <w:marTop w:val="0"/>
      <w:marBottom w:val="0"/>
      <w:divBdr>
        <w:top w:val="none" w:sz="0" w:space="0" w:color="auto"/>
        <w:left w:val="none" w:sz="0" w:space="0" w:color="auto"/>
        <w:bottom w:val="none" w:sz="0" w:space="0" w:color="auto"/>
        <w:right w:val="none" w:sz="0" w:space="0" w:color="auto"/>
      </w:divBdr>
    </w:div>
    <w:div w:id="1857844525">
      <w:bodyDiv w:val="1"/>
      <w:marLeft w:val="0"/>
      <w:marRight w:val="0"/>
      <w:marTop w:val="0"/>
      <w:marBottom w:val="0"/>
      <w:divBdr>
        <w:top w:val="none" w:sz="0" w:space="0" w:color="auto"/>
        <w:left w:val="none" w:sz="0" w:space="0" w:color="auto"/>
        <w:bottom w:val="none" w:sz="0" w:space="0" w:color="auto"/>
        <w:right w:val="none" w:sz="0" w:space="0" w:color="auto"/>
      </w:divBdr>
    </w:div>
    <w:div w:id="1861888924">
      <w:bodyDiv w:val="1"/>
      <w:marLeft w:val="0"/>
      <w:marRight w:val="0"/>
      <w:marTop w:val="0"/>
      <w:marBottom w:val="0"/>
      <w:divBdr>
        <w:top w:val="none" w:sz="0" w:space="0" w:color="auto"/>
        <w:left w:val="none" w:sz="0" w:space="0" w:color="auto"/>
        <w:bottom w:val="none" w:sz="0" w:space="0" w:color="auto"/>
        <w:right w:val="none" w:sz="0" w:space="0" w:color="auto"/>
      </w:divBdr>
    </w:div>
    <w:div w:id="1862356200">
      <w:bodyDiv w:val="1"/>
      <w:marLeft w:val="0"/>
      <w:marRight w:val="0"/>
      <w:marTop w:val="0"/>
      <w:marBottom w:val="0"/>
      <w:divBdr>
        <w:top w:val="none" w:sz="0" w:space="0" w:color="auto"/>
        <w:left w:val="none" w:sz="0" w:space="0" w:color="auto"/>
        <w:bottom w:val="none" w:sz="0" w:space="0" w:color="auto"/>
        <w:right w:val="none" w:sz="0" w:space="0" w:color="auto"/>
      </w:divBdr>
    </w:div>
    <w:div w:id="1867988268">
      <w:bodyDiv w:val="1"/>
      <w:marLeft w:val="0"/>
      <w:marRight w:val="0"/>
      <w:marTop w:val="0"/>
      <w:marBottom w:val="0"/>
      <w:divBdr>
        <w:top w:val="none" w:sz="0" w:space="0" w:color="auto"/>
        <w:left w:val="none" w:sz="0" w:space="0" w:color="auto"/>
        <w:bottom w:val="none" w:sz="0" w:space="0" w:color="auto"/>
        <w:right w:val="none" w:sz="0" w:space="0" w:color="auto"/>
      </w:divBdr>
    </w:div>
    <w:div w:id="1871915344">
      <w:bodyDiv w:val="1"/>
      <w:marLeft w:val="0"/>
      <w:marRight w:val="0"/>
      <w:marTop w:val="0"/>
      <w:marBottom w:val="0"/>
      <w:divBdr>
        <w:top w:val="none" w:sz="0" w:space="0" w:color="auto"/>
        <w:left w:val="none" w:sz="0" w:space="0" w:color="auto"/>
        <w:bottom w:val="none" w:sz="0" w:space="0" w:color="auto"/>
        <w:right w:val="none" w:sz="0" w:space="0" w:color="auto"/>
      </w:divBdr>
    </w:div>
    <w:div w:id="1878813885">
      <w:bodyDiv w:val="1"/>
      <w:marLeft w:val="0"/>
      <w:marRight w:val="0"/>
      <w:marTop w:val="0"/>
      <w:marBottom w:val="0"/>
      <w:divBdr>
        <w:top w:val="none" w:sz="0" w:space="0" w:color="auto"/>
        <w:left w:val="none" w:sz="0" w:space="0" w:color="auto"/>
        <w:bottom w:val="none" w:sz="0" w:space="0" w:color="auto"/>
        <w:right w:val="none" w:sz="0" w:space="0" w:color="auto"/>
      </w:divBdr>
    </w:div>
    <w:div w:id="1885020414">
      <w:bodyDiv w:val="1"/>
      <w:marLeft w:val="0"/>
      <w:marRight w:val="0"/>
      <w:marTop w:val="0"/>
      <w:marBottom w:val="0"/>
      <w:divBdr>
        <w:top w:val="none" w:sz="0" w:space="0" w:color="auto"/>
        <w:left w:val="none" w:sz="0" w:space="0" w:color="auto"/>
        <w:bottom w:val="none" w:sz="0" w:space="0" w:color="auto"/>
        <w:right w:val="none" w:sz="0" w:space="0" w:color="auto"/>
      </w:divBdr>
    </w:div>
    <w:div w:id="1885483566">
      <w:bodyDiv w:val="1"/>
      <w:marLeft w:val="0"/>
      <w:marRight w:val="0"/>
      <w:marTop w:val="0"/>
      <w:marBottom w:val="0"/>
      <w:divBdr>
        <w:top w:val="none" w:sz="0" w:space="0" w:color="auto"/>
        <w:left w:val="none" w:sz="0" w:space="0" w:color="auto"/>
        <w:bottom w:val="none" w:sz="0" w:space="0" w:color="auto"/>
        <w:right w:val="none" w:sz="0" w:space="0" w:color="auto"/>
      </w:divBdr>
    </w:div>
    <w:div w:id="1915357298">
      <w:bodyDiv w:val="1"/>
      <w:marLeft w:val="0"/>
      <w:marRight w:val="0"/>
      <w:marTop w:val="0"/>
      <w:marBottom w:val="0"/>
      <w:divBdr>
        <w:top w:val="none" w:sz="0" w:space="0" w:color="auto"/>
        <w:left w:val="none" w:sz="0" w:space="0" w:color="auto"/>
        <w:bottom w:val="none" w:sz="0" w:space="0" w:color="auto"/>
        <w:right w:val="none" w:sz="0" w:space="0" w:color="auto"/>
      </w:divBdr>
    </w:div>
    <w:div w:id="1917550582">
      <w:bodyDiv w:val="1"/>
      <w:marLeft w:val="0"/>
      <w:marRight w:val="0"/>
      <w:marTop w:val="0"/>
      <w:marBottom w:val="0"/>
      <w:divBdr>
        <w:top w:val="none" w:sz="0" w:space="0" w:color="auto"/>
        <w:left w:val="none" w:sz="0" w:space="0" w:color="auto"/>
        <w:bottom w:val="none" w:sz="0" w:space="0" w:color="auto"/>
        <w:right w:val="none" w:sz="0" w:space="0" w:color="auto"/>
      </w:divBdr>
    </w:div>
    <w:div w:id="1917784521">
      <w:bodyDiv w:val="1"/>
      <w:marLeft w:val="0"/>
      <w:marRight w:val="0"/>
      <w:marTop w:val="0"/>
      <w:marBottom w:val="0"/>
      <w:divBdr>
        <w:top w:val="none" w:sz="0" w:space="0" w:color="auto"/>
        <w:left w:val="none" w:sz="0" w:space="0" w:color="auto"/>
        <w:bottom w:val="none" w:sz="0" w:space="0" w:color="auto"/>
        <w:right w:val="none" w:sz="0" w:space="0" w:color="auto"/>
      </w:divBdr>
    </w:div>
    <w:div w:id="1923104157">
      <w:bodyDiv w:val="1"/>
      <w:marLeft w:val="0"/>
      <w:marRight w:val="0"/>
      <w:marTop w:val="0"/>
      <w:marBottom w:val="0"/>
      <w:divBdr>
        <w:top w:val="none" w:sz="0" w:space="0" w:color="auto"/>
        <w:left w:val="none" w:sz="0" w:space="0" w:color="auto"/>
        <w:bottom w:val="none" w:sz="0" w:space="0" w:color="auto"/>
        <w:right w:val="none" w:sz="0" w:space="0" w:color="auto"/>
      </w:divBdr>
    </w:div>
    <w:div w:id="1924336611">
      <w:bodyDiv w:val="1"/>
      <w:marLeft w:val="0"/>
      <w:marRight w:val="0"/>
      <w:marTop w:val="0"/>
      <w:marBottom w:val="0"/>
      <w:divBdr>
        <w:top w:val="none" w:sz="0" w:space="0" w:color="auto"/>
        <w:left w:val="none" w:sz="0" w:space="0" w:color="auto"/>
        <w:bottom w:val="none" w:sz="0" w:space="0" w:color="auto"/>
        <w:right w:val="none" w:sz="0" w:space="0" w:color="auto"/>
      </w:divBdr>
    </w:div>
    <w:div w:id="1945261696">
      <w:bodyDiv w:val="1"/>
      <w:marLeft w:val="0"/>
      <w:marRight w:val="0"/>
      <w:marTop w:val="0"/>
      <w:marBottom w:val="0"/>
      <w:divBdr>
        <w:top w:val="none" w:sz="0" w:space="0" w:color="auto"/>
        <w:left w:val="none" w:sz="0" w:space="0" w:color="auto"/>
        <w:bottom w:val="none" w:sz="0" w:space="0" w:color="auto"/>
        <w:right w:val="none" w:sz="0" w:space="0" w:color="auto"/>
      </w:divBdr>
    </w:div>
    <w:div w:id="1947348472">
      <w:bodyDiv w:val="1"/>
      <w:marLeft w:val="0"/>
      <w:marRight w:val="0"/>
      <w:marTop w:val="0"/>
      <w:marBottom w:val="0"/>
      <w:divBdr>
        <w:top w:val="none" w:sz="0" w:space="0" w:color="auto"/>
        <w:left w:val="none" w:sz="0" w:space="0" w:color="auto"/>
        <w:bottom w:val="none" w:sz="0" w:space="0" w:color="auto"/>
        <w:right w:val="none" w:sz="0" w:space="0" w:color="auto"/>
      </w:divBdr>
    </w:div>
    <w:div w:id="1956055764">
      <w:bodyDiv w:val="1"/>
      <w:marLeft w:val="0"/>
      <w:marRight w:val="0"/>
      <w:marTop w:val="0"/>
      <w:marBottom w:val="0"/>
      <w:divBdr>
        <w:top w:val="none" w:sz="0" w:space="0" w:color="auto"/>
        <w:left w:val="none" w:sz="0" w:space="0" w:color="auto"/>
        <w:bottom w:val="none" w:sz="0" w:space="0" w:color="auto"/>
        <w:right w:val="none" w:sz="0" w:space="0" w:color="auto"/>
      </w:divBdr>
    </w:div>
    <w:div w:id="1958175133">
      <w:bodyDiv w:val="1"/>
      <w:marLeft w:val="0"/>
      <w:marRight w:val="0"/>
      <w:marTop w:val="0"/>
      <w:marBottom w:val="0"/>
      <w:divBdr>
        <w:top w:val="none" w:sz="0" w:space="0" w:color="auto"/>
        <w:left w:val="none" w:sz="0" w:space="0" w:color="auto"/>
        <w:bottom w:val="none" w:sz="0" w:space="0" w:color="auto"/>
        <w:right w:val="none" w:sz="0" w:space="0" w:color="auto"/>
      </w:divBdr>
    </w:div>
    <w:div w:id="1962682821">
      <w:bodyDiv w:val="1"/>
      <w:marLeft w:val="0"/>
      <w:marRight w:val="0"/>
      <w:marTop w:val="0"/>
      <w:marBottom w:val="0"/>
      <w:divBdr>
        <w:top w:val="none" w:sz="0" w:space="0" w:color="auto"/>
        <w:left w:val="none" w:sz="0" w:space="0" w:color="auto"/>
        <w:bottom w:val="none" w:sz="0" w:space="0" w:color="auto"/>
        <w:right w:val="none" w:sz="0" w:space="0" w:color="auto"/>
      </w:divBdr>
    </w:div>
    <w:div w:id="1967542674">
      <w:bodyDiv w:val="1"/>
      <w:marLeft w:val="0"/>
      <w:marRight w:val="0"/>
      <w:marTop w:val="0"/>
      <w:marBottom w:val="0"/>
      <w:divBdr>
        <w:top w:val="none" w:sz="0" w:space="0" w:color="auto"/>
        <w:left w:val="none" w:sz="0" w:space="0" w:color="auto"/>
        <w:bottom w:val="none" w:sz="0" w:space="0" w:color="auto"/>
        <w:right w:val="none" w:sz="0" w:space="0" w:color="auto"/>
      </w:divBdr>
    </w:div>
    <w:div w:id="1977374301">
      <w:bodyDiv w:val="1"/>
      <w:marLeft w:val="0"/>
      <w:marRight w:val="0"/>
      <w:marTop w:val="0"/>
      <w:marBottom w:val="0"/>
      <w:divBdr>
        <w:top w:val="none" w:sz="0" w:space="0" w:color="auto"/>
        <w:left w:val="none" w:sz="0" w:space="0" w:color="auto"/>
        <w:bottom w:val="none" w:sz="0" w:space="0" w:color="auto"/>
        <w:right w:val="none" w:sz="0" w:space="0" w:color="auto"/>
      </w:divBdr>
    </w:div>
    <w:div w:id="1979719912">
      <w:bodyDiv w:val="1"/>
      <w:marLeft w:val="0"/>
      <w:marRight w:val="0"/>
      <w:marTop w:val="0"/>
      <w:marBottom w:val="0"/>
      <w:divBdr>
        <w:top w:val="none" w:sz="0" w:space="0" w:color="auto"/>
        <w:left w:val="none" w:sz="0" w:space="0" w:color="auto"/>
        <w:bottom w:val="none" w:sz="0" w:space="0" w:color="auto"/>
        <w:right w:val="none" w:sz="0" w:space="0" w:color="auto"/>
      </w:divBdr>
    </w:div>
    <w:div w:id="1990595030">
      <w:bodyDiv w:val="1"/>
      <w:marLeft w:val="0"/>
      <w:marRight w:val="0"/>
      <w:marTop w:val="0"/>
      <w:marBottom w:val="0"/>
      <w:divBdr>
        <w:top w:val="none" w:sz="0" w:space="0" w:color="auto"/>
        <w:left w:val="none" w:sz="0" w:space="0" w:color="auto"/>
        <w:bottom w:val="none" w:sz="0" w:space="0" w:color="auto"/>
        <w:right w:val="none" w:sz="0" w:space="0" w:color="auto"/>
      </w:divBdr>
    </w:div>
    <w:div w:id="1994526185">
      <w:bodyDiv w:val="1"/>
      <w:marLeft w:val="0"/>
      <w:marRight w:val="0"/>
      <w:marTop w:val="0"/>
      <w:marBottom w:val="0"/>
      <w:divBdr>
        <w:top w:val="none" w:sz="0" w:space="0" w:color="auto"/>
        <w:left w:val="none" w:sz="0" w:space="0" w:color="auto"/>
        <w:bottom w:val="none" w:sz="0" w:space="0" w:color="auto"/>
        <w:right w:val="none" w:sz="0" w:space="0" w:color="auto"/>
      </w:divBdr>
    </w:div>
    <w:div w:id="1997298619">
      <w:bodyDiv w:val="1"/>
      <w:marLeft w:val="0"/>
      <w:marRight w:val="0"/>
      <w:marTop w:val="0"/>
      <w:marBottom w:val="0"/>
      <w:divBdr>
        <w:top w:val="none" w:sz="0" w:space="0" w:color="auto"/>
        <w:left w:val="none" w:sz="0" w:space="0" w:color="auto"/>
        <w:bottom w:val="none" w:sz="0" w:space="0" w:color="auto"/>
        <w:right w:val="none" w:sz="0" w:space="0" w:color="auto"/>
      </w:divBdr>
    </w:div>
    <w:div w:id="1999843275">
      <w:bodyDiv w:val="1"/>
      <w:marLeft w:val="0"/>
      <w:marRight w:val="0"/>
      <w:marTop w:val="0"/>
      <w:marBottom w:val="0"/>
      <w:divBdr>
        <w:top w:val="none" w:sz="0" w:space="0" w:color="auto"/>
        <w:left w:val="none" w:sz="0" w:space="0" w:color="auto"/>
        <w:bottom w:val="none" w:sz="0" w:space="0" w:color="auto"/>
        <w:right w:val="none" w:sz="0" w:space="0" w:color="auto"/>
      </w:divBdr>
    </w:div>
    <w:div w:id="2006739814">
      <w:bodyDiv w:val="1"/>
      <w:marLeft w:val="0"/>
      <w:marRight w:val="0"/>
      <w:marTop w:val="0"/>
      <w:marBottom w:val="0"/>
      <w:divBdr>
        <w:top w:val="none" w:sz="0" w:space="0" w:color="auto"/>
        <w:left w:val="none" w:sz="0" w:space="0" w:color="auto"/>
        <w:bottom w:val="none" w:sz="0" w:space="0" w:color="auto"/>
        <w:right w:val="none" w:sz="0" w:space="0" w:color="auto"/>
      </w:divBdr>
    </w:div>
    <w:div w:id="2010324590">
      <w:bodyDiv w:val="1"/>
      <w:marLeft w:val="0"/>
      <w:marRight w:val="0"/>
      <w:marTop w:val="0"/>
      <w:marBottom w:val="0"/>
      <w:divBdr>
        <w:top w:val="none" w:sz="0" w:space="0" w:color="auto"/>
        <w:left w:val="none" w:sz="0" w:space="0" w:color="auto"/>
        <w:bottom w:val="none" w:sz="0" w:space="0" w:color="auto"/>
        <w:right w:val="none" w:sz="0" w:space="0" w:color="auto"/>
      </w:divBdr>
    </w:div>
    <w:div w:id="2017608194">
      <w:bodyDiv w:val="1"/>
      <w:marLeft w:val="0"/>
      <w:marRight w:val="0"/>
      <w:marTop w:val="0"/>
      <w:marBottom w:val="0"/>
      <w:divBdr>
        <w:top w:val="none" w:sz="0" w:space="0" w:color="auto"/>
        <w:left w:val="none" w:sz="0" w:space="0" w:color="auto"/>
        <w:bottom w:val="none" w:sz="0" w:space="0" w:color="auto"/>
        <w:right w:val="none" w:sz="0" w:space="0" w:color="auto"/>
      </w:divBdr>
    </w:div>
    <w:div w:id="2031027058">
      <w:bodyDiv w:val="1"/>
      <w:marLeft w:val="0"/>
      <w:marRight w:val="0"/>
      <w:marTop w:val="0"/>
      <w:marBottom w:val="0"/>
      <w:divBdr>
        <w:top w:val="none" w:sz="0" w:space="0" w:color="auto"/>
        <w:left w:val="none" w:sz="0" w:space="0" w:color="auto"/>
        <w:bottom w:val="none" w:sz="0" w:space="0" w:color="auto"/>
        <w:right w:val="none" w:sz="0" w:space="0" w:color="auto"/>
      </w:divBdr>
    </w:div>
    <w:div w:id="2038966589">
      <w:bodyDiv w:val="1"/>
      <w:marLeft w:val="0"/>
      <w:marRight w:val="0"/>
      <w:marTop w:val="0"/>
      <w:marBottom w:val="0"/>
      <w:divBdr>
        <w:top w:val="none" w:sz="0" w:space="0" w:color="auto"/>
        <w:left w:val="none" w:sz="0" w:space="0" w:color="auto"/>
        <w:bottom w:val="none" w:sz="0" w:space="0" w:color="auto"/>
        <w:right w:val="none" w:sz="0" w:space="0" w:color="auto"/>
      </w:divBdr>
    </w:div>
    <w:div w:id="2050639511">
      <w:bodyDiv w:val="1"/>
      <w:marLeft w:val="0"/>
      <w:marRight w:val="0"/>
      <w:marTop w:val="0"/>
      <w:marBottom w:val="0"/>
      <w:divBdr>
        <w:top w:val="none" w:sz="0" w:space="0" w:color="auto"/>
        <w:left w:val="none" w:sz="0" w:space="0" w:color="auto"/>
        <w:bottom w:val="none" w:sz="0" w:space="0" w:color="auto"/>
        <w:right w:val="none" w:sz="0" w:space="0" w:color="auto"/>
      </w:divBdr>
    </w:div>
    <w:div w:id="2052220577">
      <w:bodyDiv w:val="1"/>
      <w:marLeft w:val="0"/>
      <w:marRight w:val="0"/>
      <w:marTop w:val="0"/>
      <w:marBottom w:val="0"/>
      <w:divBdr>
        <w:top w:val="none" w:sz="0" w:space="0" w:color="auto"/>
        <w:left w:val="none" w:sz="0" w:space="0" w:color="auto"/>
        <w:bottom w:val="none" w:sz="0" w:space="0" w:color="auto"/>
        <w:right w:val="none" w:sz="0" w:space="0" w:color="auto"/>
      </w:divBdr>
    </w:div>
    <w:div w:id="2055999163">
      <w:bodyDiv w:val="1"/>
      <w:marLeft w:val="0"/>
      <w:marRight w:val="0"/>
      <w:marTop w:val="0"/>
      <w:marBottom w:val="0"/>
      <w:divBdr>
        <w:top w:val="none" w:sz="0" w:space="0" w:color="auto"/>
        <w:left w:val="none" w:sz="0" w:space="0" w:color="auto"/>
        <w:bottom w:val="none" w:sz="0" w:space="0" w:color="auto"/>
        <w:right w:val="none" w:sz="0" w:space="0" w:color="auto"/>
      </w:divBdr>
    </w:div>
    <w:div w:id="2057655583">
      <w:bodyDiv w:val="1"/>
      <w:marLeft w:val="0"/>
      <w:marRight w:val="0"/>
      <w:marTop w:val="0"/>
      <w:marBottom w:val="0"/>
      <w:divBdr>
        <w:top w:val="none" w:sz="0" w:space="0" w:color="auto"/>
        <w:left w:val="none" w:sz="0" w:space="0" w:color="auto"/>
        <w:bottom w:val="none" w:sz="0" w:space="0" w:color="auto"/>
        <w:right w:val="none" w:sz="0" w:space="0" w:color="auto"/>
      </w:divBdr>
    </w:div>
    <w:div w:id="2059281350">
      <w:bodyDiv w:val="1"/>
      <w:marLeft w:val="0"/>
      <w:marRight w:val="0"/>
      <w:marTop w:val="0"/>
      <w:marBottom w:val="0"/>
      <w:divBdr>
        <w:top w:val="none" w:sz="0" w:space="0" w:color="auto"/>
        <w:left w:val="none" w:sz="0" w:space="0" w:color="auto"/>
        <w:bottom w:val="none" w:sz="0" w:space="0" w:color="auto"/>
        <w:right w:val="none" w:sz="0" w:space="0" w:color="auto"/>
      </w:divBdr>
    </w:div>
    <w:div w:id="2067606982">
      <w:bodyDiv w:val="1"/>
      <w:marLeft w:val="0"/>
      <w:marRight w:val="0"/>
      <w:marTop w:val="0"/>
      <w:marBottom w:val="0"/>
      <w:divBdr>
        <w:top w:val="none" w:sz="0" w:space="0" w:color="auto"/>
        <w:left w:val="none" w:sz="0" w:space="0" w:color="auto"/>
        <w:bottom w:val="none" w:sz="0" w:space="0" w:color="auto"/>
        <w:right w:val="none" w:sz="0" w:space="0" w:color="auto"/>
      </w:divBdr>
    </w:div>
    <w:div w:id="2080783810">
      <w:bodyDiv w:val="1"/>
      <w:marLeft w:val="0"/>
      <w:marRight w:val="0"/>
      <w:marTop w:val="0"/>
      <w:marBottom w:val="0"/>
      <w:divBdr>
        <w:top w:val="none" w:sz="0" w:space="0" w:color="auto"/>
        <w:left w:val="none" w:sz="0" w:space="0" w:color="auto"/>
        <w:bottom w:val="none" w:sz="0" w:space="0" w:color="auto"/>
        <w:right w:val="none" w:sz="0" w:space="0" w:color="auto"/>
      </w:divBdr>
    </w:div>
    <w:div w:id="2082411999">
      <w:bodyDiv w:val="1"/>
      <w:marLeft w:val="0"/>
      <w:marRight w:val="0"/>
      <w:marTop w:val="0"/>
      <w:marBottom w:val="0"/>
      <w:divBdr>
        <w:top w:val="none" w:sz="0" w:space="0" w:color="auto"/>
        <w:left w:val="none" w:sz="0" w:space="0" w:color="auto"/>
        <w:bottom w:val="none" w:sz="0" w:space="0" w:color="auto"/>
        <w:right w:val="none" w:sz="0" w:space="0" w:color="auto"/>
      </w:divBdr>
    </w:div>
    <w:div w:id="2086492417">
      <w:bodyDiv w:val="1"/>
      <w:marLeft w:val="0"/>
      <w:marRight w:val="0"/>
      <w:marTop w:val="0"/>
      <w:marBottom w:val="0"/>
      <w:divBdr>
        <w:top w:val="none" w:sz="0" w:space="0" w:color="auto"/>
        <w:left w:val="none" w:sz="0" w:space="0" w:color="auto"/>
        <w:bottom w:val="none" w:sz="0" w:space="0" w:color="auto"/>
        <w:right w:val="none" w:sz="0" w:space="0" w:color="auto"/>
      </w:divBdr>
    </w:div>
    <w:div w:id="2088841750">
      <w:bodyDiv w:val="1"/>
      <w:marLeft w:val="0"/>
      <w:marRight w:val="0"/>
      <w:marTop w:val="0"/>
      <w:marBottom w:val="0"/>
      <w:divBdr>
        <w:top w:val="none" w:sz="0" w:space="0" w:color="auto"/>
        <w:left w:val="none" w:sz="0" w:space="0" w:color="auto"/>
        <w:bottom w:val="none" w:sz="0" w:space="0" w:color="auto"/>
        <w:right w:val="none" w:sz="0" w:space="0" w:color="auto"/>
      </w:divBdr>
    </w:div>
    <w:div w:id="2096396545">
      <w:bodyDiv w:val="1"/>
      <w:marLeft w:val="0"/>
      <w:marRight w:val="0"/>
      <w:marTop w:val="0"/>
      <w:marBottom w:val="0"/>
      <w:divBdr>
        <w:top w:val="none" w:sz="0" w:space="0" w:color="auto"/>
        <w:left w:val="none" w:sz="0" w:space="0" w:color="auto"/>
        <w:bottom w:val="none" w:sz="0" w:space="0" w:color="auto"/>
        <w:right w:val="none" w:sz="0" w:space="0" w:color="auto"/>
      </w:divBdr>
    </w:div>
    <w:div w:id="2104178475">
      <w:bodyDiv w:val="1"/>
      <w:marLeft w:val="0"/>
      <w:marRight w:val="0"/>
      <w:marTop w:val="0"/>
      <w:marBottom w:val="0"/>
      <w:divBdr>
        <w:top w:val="none" w:sz="0" w:space="0" w:color="auto"/>
        <w:left w:val="none" w:sz="0" w:space="0" w:color="auto"/>
        <w:bottom w:val="none" w:sz="0" w:space="0" w:color="auto"/>
        <w:right w:val="none" w:sz="0" w:space="0" w:color="auto"/>
      </w:divBdr>
    </w:div>
    <w:div w:id="2104762024">
      <w:bodyDiv w:val="1"/>
      <w:marLeft w:val="0"/>
      <w:marRight w:val="0"/>
      <w:marTop w:val="0"/>
      <w:marBottom w:val="0"/>
      <w:divBdr>
        <w:top w:val="none" w:sz="0" w:space="0" w:color="auto"/>
        <w:left w:val="none" w:sz="0" w:space="0" w:color="auto"/>
        <w:bottom w:val="none" w:sz="0" w:space="0" w:color="auto"/>
        <w:right w:val="none" w:sz="0" w:space="0" w:color="auto"/>
      </w:divBdr>
    </w:div>
    <w:div w:id="2110079980">
      <w:bodyDiv w:val="1"/>
      <w:marLeft w:val="0"/>
      <w:marRight w:val="0"/>
      <w:marTop w:val="0"/>
      <w:marBottom w:val="0"/>
      <w:divBdr>
        <w:top w:val="none" w:sz="0" w:space="0" w:color="auto"/>
        <w:left w:val="none" w:sz="0" w:space="0" w:color="auto"/>
        <w:bottom w:val="none" w:sz="0" w:space="0" w:color="auto"/>
        <w:right w:val="none" w:sz="0" w:space="0" w:color="auto"/>
      </w:divBdr>
    </w:div>
    <w:div w:id="2115515904">
      <w:bodyDiv w:val="1"/>
      <w:marLeft w:val="0"/>
      <w:marRight w:val="0"/>
      <w:marTop w:val="0"/>
      <w:marBottom w:val="0"/>
      <w:divBdr>
        <w:top w:val="none" w:sz="0" w:space="0" w:color="auto"/>
        <w:left w:val="none" w:sz="0" w:space="0" w:color="auto"/>
        <w:bottom w:val="none" w:sz="0" w:space="0" w:color="auto"/>
        <w:right w:val="none" w:sz="0" w:space="0" w:color="auto"/>
      </w:divBdr>
    </w:div>
    <w:div w:id="2118744467">
      <w:bodyDiv w:val="1"/>
      <w:marLeft w:val="0"/>
      <w:marRight w:val="0"/>
      <w:marTop w:val="0"/>
      <w:marBottom w:val="0"/>
      <w:divBdr>
        <w:top w:val="none" w:sz="0" w:space="0" w:color="auto"/>
        <w:left w:val="none" w:sz="0" w:space="0" w:color="auto"/>
        <w:bottom w:val="none" w:sz="0" w:space="0" w:color="auto"/>
        <w:right w:val="none" w:sz="0" w:space="0" w:color="auto"/>
      </w:divBdr>
    </w:div>
    <w:div w:id="213852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emf"/><Relationship Id="rId21" Type="http://schemas.openxmlformats.org/officeDocument/2006/relationships/image" Target="media/image6.png"/><Relationship Id="rId42" Type="http://schemas.openxmlformats.org/officeDocument/2006/relationships/image" Target="media/image27.emf"/><Relationship Id="rId63" Type="http://schemas.openxmlformats.org/officeDocument/2006/relationships/image" Target="media/image48.emf"/><Relationship Id="rId84" Type="http://schemas.openxmlformats.org/officeDocument/2006/relationships/image" Target="media/image69.emf"/><Relationship Id="rId138" Type="http://schemas.openxmlformats.org/officeDocument/2006/relationships/image" Target="media/image121.emf"/><Relationship Id="rId159" Type="http://schemas.openxmlformats.org/officeDocument/2006/relationships/image" Target="media/image142.emf"/><Relationship Id="rId170" Type="http://schemas.openxmlformats.org/officeDocument/2006/relationships/image" Target="media/image153.emf"/><Relationship Id="rId107" Type="http://schemas.openxmlformats.org/officeDocument/2006/relationships/image" Target="media/image91.emf"/><Relationship Id="rId11" Type="http://schemas.openxmlformats.org/officeDocument/2006/relationships/header" Target="header1.xml"/><Relationship Id="rId32" Type="http://schemas.openxmlformats.org/officeDocument/2006/relationships/image" Target="media/image17.emf"/><Relationship Id="rId53" Type="http://schemas.openxmlformats.org/officeDocument/2006/relationships/image" Target="media/image38.emf"/><Relationship Id="rId74" Type="http://schemas.openxmlformats.org/officeDocument/2006/relationships/image" Target="media/image59.emf"/><Relationship Id="rId128" Type="http://schemas.openxmlformats.org/officeDocument/2006/relationships/image" Target="media/image111.emf"/><Relationship Id="rId149" Type="http://schemas.openxmlformats.org/officeDocument/2006/relationships/image" Target="media/image132.emf"/><Relationship Id="rId5" Type="http://schemas.openxmlformats.org/officeDocument/2006/relationships/webSettings" Target="webSettings.xml"/><Relationship Id="rId95" Type="http://schemas.openxmlformats.org/officeDocument/2006/relationships/image" Target="media/image80.emf"/><Relationship Id="rId160" Type="http://schemas.openxmlformats.org/officeDocument/2006/relationships/image" Target="media/image143.emf"/><Relationship Id="rId22" Type="http://schemas.openxmlformats.org/officeDocument/2006/relationships/image" Target="media/image7.emf"/><Relationship Id="rId43" Type="http://schemas.openxmlformats.org/officeDocument/2006/relationships/image" Target="media/image28.emf"/><Relationship Id="rId64" Type="http://schemas.openxmlformats.org/officeDocument/2006/relationships/image" Target="media/image49.emf"/><Relationship Id="rId118" Type="http://schemas.openxmlformats.org/officeDocument/2006/relationships/image" Target="media/image101.emf"/><Relationship Id="rId139" Type="http://schemas.openxmlformats.org/officeDocument/2006/relationships/image" Target="media/image122.emf"/><Relationship Id="rId85" Type="http://schemas.openxmlformats.org/officeDocument/2006/relationships/image" Target="media/image70.emf"/><Relationship Id="rId150" Type="http://schemas.openxmlformats.org/officeDocument/2006/relationships/image" Target="media/image133.emf"/><Relationship Id="rId171" Type="http://schemas.openxmlformats.org/officeDocument/2006/relationships/image" Target="media/image154.emf"/><Relationship Id="rId12" Type="http://schemas.openxmlformats.org/officeDocument/2006/relationships/footer" Target="footer3.xml"/><Relationship Id="rId33" Type="http://schemas.openxmlformats.org/officeDocument/2006/relationships/image" Target="media/image18.emf"/><Relationship Id="rId108" Type="http://schemas.openxmlformats.org/officeDocument/2006/relationships/image" Target="media/image92.emf"/><Relationship Id="rId129" Type="http://schemas.openxmlformats.org/officeDocument/2006/relationships/image" Target="media/image112.emf"/><Relationship Id="rId54" Type="http://schemas.openxmlformats.org/officeDocument/2006/relationships/image" Target="media/image39.emf"/><Relationship Id="rId75" Type="http://schemas.openxmlformats.org/officeDocument/2006/relationships/image" Target="media/image60.emf"/><Relationship Id="rId96" Type="http://schemas.openxmlformats.org/officeDocument/2006/relationships/image" Target="media/image81.emf"/><Relationship Id="rId140" Type="http://schemas.openxmlformats.org/officeDocument/2006/relationships/image" Target="media/image123.emf"/><Relationship Id="rId161" Type="http://schemas.openxmlformats.org/officeDocument/2006/relationships/image" Target="media/image144.emf"/><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image" Target="media/image34.emf"/><Relationship Id="rId114" Type="http://schemas.openxmlformats.org/officeDocument/2006/relationships/image" Target="media/image97.emf"/><Relationship Id="rId119" Type="http://schemas.openxmlformats.org/officeDocument/2006/relationships/image" Target="media/image102.emf"/><Relationship Id="rId44" Type="http://schemas.openxmlformats.org/officeDocument/2006/relationships/image" Target="media/image29.emf"/><Relationship Id="rId60" Type="http://schemas.openxmlformats.org/officeDocument/2006/relationships/image" Target="media/image45.png"/><Relationship Id="rId65" Type="http://schemas.openxmlformats.org/officeDocument/2006/relationships/image" Target="media/image50.emf"/><Relationship Id="rId81" Type="http://schemas.openxmlformats.org/officeDocument/2006/relationships/image" Target="media/image66.emf"/><Relationship Id="rId86" Type="http://schemas.openxmlformats.org/officeDocument/2006/relationships/image" Target="media/image71.emf"/><Relationship Id="rId130" Type="http://schemas.openxmlformats.org/officeDocument/2006/relationships/image" Target="media/image113.emf"/><Relationship Id="rId135" Type="http://schemas.openxmlformats.org/officeDocument/2006/relationships/image" Target="media/image118.emf"/><Relationship Id="rId151" Type="http://schemas.openxmlformats.org/officeDocument/2006/relationships/image" Target="media/image134.emf"/><Relationship Id="rId156" Type="http://schemas.openxmlformats.org/officeDocument/2006/relationships/image" Target="media/image139.emf"/><Relationship Id="rId177" Type="http://schemas.openxmlformats.org/officeDocument/2006/relationships/fontTable" Target="fontTable.xml"/><Relationship Id="rId172" Type="http://schemas.openxmlformats.org/officeDocument/2006/relationships/image" Target="media/image155.emf"/><Relationship Id="rId13" Type="http://schemas.openxmlformats.org/officeDocument/2006/relationships/hyperlink" Target="https://www.greatermanchester-ca.gov.uk/what-we-do/economy/greater-manchesters-local-industrial-strategy/" TargetMode="Externa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93.emf"/><Relationship Id="rId34" Type="http://schemas.openxmlformats.org/officeDocument/2006/relationships/image" Target="media/image19.png"/><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8.emf"/><Relationship Id="rId120" Type="http://schemas.openxmlformats.org/officeDocument/2006/relationships/image" Target="media/image103.emf"/><Relationship Id="rId125" Type="http://schemas.openxmlformats.org/officeDocument/2006/relationships/image" Target="media/image108.emf"/><Relationship Id="rId141" Type="http://schemas.openxmlformats.org/officeDocument/2006/relationships/image" Target="media/image124.emf"/><Relationship Id="rId146" Type="http://schemas.openxmlformats.org/officeDocument/2006/relationships/image" Target="media/image129.emf"/><Relationship Id="rId167" Type="http://schemas.openxmlformats.org/officeDocument/2006/relationships/image" Target="media/image150.emf"/><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emf"/><Relationship Id="rId162" Type="http://schemas.openxmlformats.org/officeDocument/2006/relationships/image" Target="media/image145.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4.emf"/><Relationship Id="rId115" Type="http://schemas.openxmlformats.org/officeDocument/2006/relationships/image" Target="media/image98.emf"/><Relationship Id="rId131" Type="http://schemas.openxmlformats.org/officeDocument/2006/relationships/image" Target="media/image114.emf"/><Relationship Id="rId136" Type="http://schemas.openxmlformats.org/officeDocument/2006/relationships/image" Target="media/image119.emf"/><Relationship Id="rId157" Type="http://schemas.openxmlformats.org/officeDocument/2006/relationships/image" Target="media/image140.emf"/><Relationship Id="rId178" Type="http://schemas.openxmlformats.org/officeDocument/2006/relationships/theme" Target="theme/theme1.xml"/><Relationship Id="rId61" Type="http://schemas.openxmlformats.org/officeDocument/2006/relationships/image" Target="media/image46.emf"/><Relationship Id="rId82" Type="http://schemas.openxmlformats.org/officeDocument/2006/relationships/image" Target="media/image67.emf"/><Relationship Id="rId152" Type="http://schemas.openxmlformats.org/officeDocument/2006/relationships/image" Target="media/image135.emf"/><Relationship Id="rId173" Type="http://schemas.openxmlformats.org/officeDocument/2006/relationships/image" Target="media/image156.emf"/><Relationship Id="rId19" Type="http://schemas.openxmlformats.org/officeDocument/2006/relationships/image" Target="media/image4.emf"/><Relationship Id="rId14" Type="http://schemas.openxmlformats.org/officeDocument/2006/relationships/hyperlink" Target="https://www.greatermanchester-ca.gov.uk/ourpeopleourplace/" TargetMode="Externa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image" Target="media/image89.emf"/><Relationship Id="rId126" Type="http://schemas.openxmlformats.org/officeDocument/2006/relationships/image" Target="media/image109.emf"/><Relationship Id="rId147" Type="http://schemas.openxmlformats.org/officeDocument/2006/relationships/image" Target="media/image130.emf"/><Relationship Id="rId168" Type="http://schemas.openxmlformats.org/officeDocument/2006/relationships/image" Target="media/image151.emf"/><Relationship Id="rId8" Type="http://schemas.openxmlformats.org/officeDocument/2006/relationships/image" Target="media/image1.png"/><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image" Target="media/image83.emf"/><Relationship Id="rId121" Type="http://schemas.openxmlformats.org/officeDocument/2006/relationships/image" Target="media/image104.emf"/><Relationship Id="rId142" Type="http://schemas.openxmlformats.org/officeDocument/2006/relationships/image" Target="media/image125.emf"/><Relationship Id="rId163" Type="http://schemas.openxmlformats.org/officeDocument/2006/relationships/image" Target="media/image146.emf"/><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52.emf"/><Relationship Id="rId116" Type="http://schemas.openxmlformats.org/officeDocument/2006/relationships/image" Target="media/image99.emf"/><Relationship Id="rId137" Type="http://schemas.openxmlformats.org/officeDocument/2006/relationships/image" Target="media/image120.emf"/><Relationship Id="rId158" Type="http://schemas.openxmlformats.org/officeDocument/2006/relationships/image" Target="media/image141.emf"/><Relationship Id="rId20" Type="http://schemas.openxmlformats.org/officeDocument/2006/relationships/image" Target="media/image5.emf"/><Relationship Id="rId41" Type="http://schemas.openxmlformats.org/officeDocument/2006/relationships/image" Target="media/image26.emf"/><Relationship Id="rId62" Type="http://schemas.openxmlformats.org/officeDocument/2006/relationships/image" Target="media/image47.emf"/><Relationship Id="rId83" Type="http://schemas.openxmlformats.org/officeDocument/2006/relationships/image" Target="media/image68.emf"/><Relationship Id="rId88" Type="http://schemas.openxmlformats.org/officeDocument/2006/relationships/image" Target="media/image73.emf"/><Relationship Id="rId111" Type="http://schemas.openxmlformats.org/officeDocument/2006/relationships/image" Target="media/image95.emf"/><Relationship Id="rId132" Type="http://schemas.openxmlformats.org/officeDocument/2006/relationships/image" Target="media/image115.emf"/><Relationship Id="rId153" Type="http://schemas.openxmlformats.org/officeDocument/2006/relationships/image" Target="media/image136.emf"/><Relationship Id="rId174" Type="http://schemas.openxmlformats.org/officeDocument/2006/relationships/image" Target="media/image157.emf"/><Relationship Id="rId15" Type="http://schemas.openxmlformats.org/officeDocument/2006/relationships/hyperlink" Target="https://www.greatermanchester-ca.gov.uk/what-we-do/work-and-skills/age-friendly-employer-toolkit/" TargetMode="External"/><Relationship Id="rId36" Type="http://schemas.openxmlformats.org/officeDocument/2006/relationships/image" Target="media/image21.emf"/><Relationship Id="rId57" Type="http://schemas.openxmlformats.org/officeDocument/2006/relationships/image" Target="media/image42.emf"/><Relationship Id="rId106" Type="http://schemas.openxmlformats.org/officeDocument/2006/relationships/image" Target="media/image90.emf"/><Relationship Id="rId127" Type="http://schemas.openxmlformats.org/officeDocument/2006/relationships/image" Target="media/image110.emf"/><Relationship Id="rId10" Type="http://schemas.openxmlformats.org/officeDocument/2006/relationships/footer" Target="footer2.xml"/><Relationship Id="rId31" Type="http://schemas.openxmlformats.org/officeDocument/2006/relationships/image" Target="media/image16.emf"/><Relationship Id="rId52" Type="http://schemas.openxmlformats.org/officeDocument/2006/relationships/image" Target="media/image37.emf"/><Relationship Id="rId73" Type="http://schemas.openxmlformats.org/officeDocument/2006/relationships/image" Target="media/image58.emf"/><Relationship Id="rId78" Type="http://schemas.openxmlformats.org/officeDocument/2006/relationships/image" Target="media/image63.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5.emf"/><Relationship Id="rId143" Type="http://schemas.openxmlformats.org/officeDocument/2006/relationships/image" Target="media/image126.emf"/><Relationship Id="rId148" Type="http://schemas.openxmlformats.org/officeDocument/2006/relationships/image" Target="media/image131.emf"/><Relationship Id="rId164" Type="http://schemas.openxmlformats.org/officeDocument/2006/relationships/image" Target="media/image147.emf"/><Relationship Id="rId169" Type="http://schemas.openxmlformats.org/officeDocument/2006/relationships/image" Target="media/image152.e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1.emf"/><Relationship Id="rId47" Type="http://schemas.openxmlformats.org/officeDocument/2006/relationships/image" Target="media/image32.emf"/><Relationship Id="rId68" Type="http://schemas.openxmlformats.org/officeDocument/2006/relationships/image" Target="media/image53.emf"/><Relationship Id="rId89" Type="http://schemas.openxmlformats.org/officeDocument/2006/relationships/image" Target="media/image74.emf"/><Relationship Id="rId112" Type="http://schemas.openxmlformats.org/officeDocument/2006/relationships/header" Target="header4.xml"/><Relationship Id="rId133" Type="http://schemas.openxmlformats.org/officeDocument/2006/relationships/image" Target="media/image116.emf"/><Relationship Id="rId154" Type="http://schemas.openxmlformats.org/officeDocument/2006/relationships/image" Target="media/image137.emf"/><Relationship Id="rId175" Type="http://schemas.openxmlformats.org/officeDocument/2006/relationships/image" Target="media/image158.emf"/><Relationship Id="rId16" Type="http://schemas.openxmlformats.org/officeDocument/2006/relationships/image" Target="media/image2.png"/><Relationship Id="rId37" Type="http://schemas.openxmlformats.org/officeDocument/2006/relationships/image" Target="media/image22.emf"/><Relationship Id="rId58" Type="http://schemas.openxmlformats.org/officeDocument/2006/relationships/image" Target="media/image43.emf"/><Relationship Id="rId79" Type="http://schemas.openxmlformats.org/officeDocument/2006/relationships/image" Target="media/image64.emf"/><Relationship Id="rId102" Type="http://schemas.openxmlformats.org/officeDocument/2006/relationships/image" Target="media/image87.emf"/><Relationship Id="rId123" Type="http://schemas.openxmlformats.org/officeDocument/2006/relationships/image" Target="media/image106.emf"/><Relationship Id="rId144" Type="http://schemas.openxmlformats.org/officeDocument/2006/relationships/image" Target="media/image127.emf"/><Relationship Id="rId90" Type="http://schemas.openxmlformats.org/officeDocument/2006/relationships/image" Target="media/image75.emf"/><Relationship Id="rId165" Type="http://schemas.openxmlformats.org/officeDocument/2006/relationships/image" Target="media/image148.emf"/><Relationship Id="rId27" Type="http://schemas.openxmlformats.org/officeDocument/2006/relationships/image" Target="media/image12.emf"/><Relationship Id="rId48" Type="http://schemas.openxmlformats.org/officeDocument/2006/relationships/image" Target="media/image33.emf"/><Relationship Id="rId69" Type="http://schemas.openxmlformats.org/officeDocument/2006/relationships/image" Target="media/image54.png"/><Relationship Id="rId113" Type="http://schemas.openxmlformats.org/officeDocument/2006/relationships/image" Target="media/image96.emf"/><Relationship Id="rId134" Type="http://schemas.openxmlformats.org/officeDocument/2006/relationships/image" Target="media/image117.emf"/><Relationship Id="rId80" Type="http://schemas.openxmlformats.org/officeDocument/2006/relationships/image" Target="media/image65.emf"/><Relationship Id="rId155" Type="http://schemas.openxmlformats.org/officeDocument/2006/relationships/image" Target="media/image138.emf"/><Relationship Id="rId176" Type="http://schemas.openxmlformats.org/officeDocument/2006/relationships/image" Target="media/image159.emf"/><Relationship Id="rId17" Type="http://schemas.openxmlformats.org/officeDocument/2006/relationships/header" Target="header2.xml"/><Relationship Id="rId38" Type="http://schemas.openxmlformats.org/officeDocument/2006/relationships/image" Target="media/image23.emf"/><Relationship Id="rId59" Type="http://schemas.openxmlformats.org/officeDocument/2006/relationships/image" Target="media/image44.emf"/><Relationship Id="rId103" Type="http://schemas.openxmlformats.org/officeDocument/2006/relationships/header" Target="header3.xml"/><Relationship Id="rId124" Type="http://schemas.openxmlformats.org/officeDocument/2006/relationships/image" Target="media/image107.emf"/><Relationship Id="rId70" Type="http://schemas.openxmlformats.org/officeDocument/2006/relationships/image" Target="media/image55.png"/><Relationship Id="rId91" Type="http://schemas.openxmlformats.org/officeDocument/2006/relationships/image" Target="media/image76.emf"/><Relationship Id="rId145" Type="http://schemas.openxmlformats.org/officeDocument/2006/relationships/image" Target="media/image128.emf"/><Relationship Id="rId166" Type="http://schemas.openxmlformats.org/officeDocument/2006/relationships/image" Target="media/image149.emf"/><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E2110-BDCC-47C2-85E2-9336450A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201</Pages>
  <Words>50035</Words>
  <Characters>275961</Characters>
  <Application>Microsoft Office Word</Application>
  <DocSecurity>0</DocSecurity>
  <Lines>2299</Lines>
  <Paragraphs>650</Paragraphs>
  <ScaleCrop>false</ScaleCrop>
  <HeadingPairs>
    <vt:vector size="2" baseType="variant">
      <vt:variant>
        <vt:lpstr>Title</vt:lpstr>
      </vt:variant>
      <vt:variant>
        <vt:i4>1</vt:i4>
      </vt:variant>
    </vt:vector>
  </HeadingPairs>
  <TitlesOfParts>
    <vt:vector size="1" baseType="lpstr">
      <vt:lpstr>The Greater Manchester Combined Authority</vt:lpstr>
    </vt:vector>
  </TitlesOfParts>
  <Company>Manchester City Council</Company>
  <LinksUpToDate>false</LinksUpToDate>
  <CharactersWithSpaces>325346</CharactersWithSpaces>
  <SharedDoc>false</SharedDoc>
  <HLinks>
    <vt:vector size="24" baseType="variant">
      <vt:variant>
        <vt:i4>5570586</vt:i4>
      </vt:variant>
      <vt:variant>
        <vt:i4>9</vt:i4>
      </vt:variant>
      <vt:variant>
        <vt:i4>0</vt:i4>
      </vt:variant>
      <vt:variant>
        <vt:i4>5</vt:i4>
      </vt:variant>
      <vt:variant>
        <vt:lpwstr>http://www.tfgmc.com/</vt:lpwstr>
      </vt:variant>
      <vt:variant>
        <vt:lpwstr/>
      </vt:variant>
      <vt:variant>
        <vt:i4>2687091</vt:i4>
      </vt:variant>
      <vt:variant>
        <vt:i4>6</vt:i4>
      </vt:variant>
      <vt:variant>
        <vt:i4>0</vt:i4>
      </vt:variant>
      <vt:variant>
        <vt:i4>5</vt:i4>
      </vt:variant>
      <vt:variant>
        <vt:lpwstr>http://www.greatermanchester-ca.gov.uk/</vt:lpwstr>
      </vt:variant>
      <vt:variant>
        <vt:lpwstr/>
      </vt:variant>
      <vt:variant>
        <vt:i4>8060984</vt:i4>
      </vt:variant>
      <vt:variant>
        <vt:i4>3</vt:i4>
      </vt:variant>
      <vt:variant>
        <vt:i4>0</vt:i4>
      </vt:variant>
      <vt:variant>
        <vt:i4>5</vt:i4>
      </vt:variant>
      <vt:variant>
        <vt:lpwstr>http://www.transformationinformation.co.uk/transformation/2nd-city-crossing</vt:lpwstr>
      </vt:variant>
      <vt:variant>
        <vt:lpwstr/>
      </vt:variant>
      <vt:variant>
        <vt:i4>6160478</vt:i4>
      </vt:variant>
      <vt:variant>
        <vt:i4>0</vt:i4>
      </vt:variant>
      <vt:variant>
        <vt:i4>0</vt:i4>
      </vt:variant>
      <vt:variant>
        <vt:i4>5</vt:i4>
      </vt:variant>
      <vt:variant>
        <vt:lpwstr>http://www.tfgm.com/GMLES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Greater Manchester Combined Authority</dc:title>
  <dc:subject/>
  <dc:creator>foxa</dc:creator>
  <cp:keywords/>
  <dc:description/>
  <cp:lastModifiedBy>Fountain, Helen</cp:lastModifiedBy>
  <cp:revision>4</cp:revision>
  <cp:lastPrinted>2023-03-07T14:42:00Z</cp:lastPrinted>
  <dcterms:created xsi:type="dcterms:W3CDTF">2023-11-09T09:44:00Z</dcterms:created>
  <dcterms:modified xsi:type="dcterms:W3CDTF">2023-11-09T13:37:00Z</dcterms:modified>
</cp:coreProperties>
</file>