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0A44FB" w14:textId="1EEF9873" w:rsidR="000D108F" w:rsidRPr="00BD71FD" w:rsidRDefault="000D108F" w:rsidP="00A34546">
      <w:pPr>
        <w:pStyle w:val="Heading1"/>
      </w:pPr>
      <w:bookmarkStart w:id="0" w:name="_Toc61984578"/>
      <w:bookmarkStart w:id="1" w:name="_Toc61984580"/>
      <w:bookmarkStart w:id="2" w:name="_Toc61294764"/>
      <w:r w:rsidRPr="00BD71FD">
        <w:t xml:space="preserve">Census 2021 </w:t>
      </w:r>
      <w:r w:rsidR="002D6CD1">
        <w:t>b</w:t>
      </w:r>
      <w:r w:rsidRPr="00BD71FD">
        <w:t>riefin</w:t>
      </w:r>
      <w:r w:rsidR="002276E1" w:rsidRPr="00BD71FD">
        <w:t xml:space="preserve">g </w:t>
      </w:r>
    </w:p>
    <w:p w14:paraId="2A27E15B" w14:textId="56FD176E" w:rsidR="0042458F" w:rsidRDefault="0042458F" w:rsidP="0042458F"/>
    <w:p w14:paraId="4678B9B7" w14:textId="20798AC2" w:rsidR="0042458F" w:rsidRDefault="0042458F" w:rsidP="0042458F"/>
    <w:p w14:paraId="71CCEFD1" w14:textId="33EC3859" w:rsidR="0042458F" w:rsidRPr="00BD71FD" w:rsidRDefault="005C1E64" w:rsidP="00A34546">
      <w:pPr>
        <w:pStyle w:val="Heading1"/>
      </w:pPr>
      <w:r>
        <w:t xml:space="preserve">Children </w:t>
      </w:r>
      <w:r w:rsidR="004D4F8D">
        <w:t>and</w:t>
      </w:r>
      <w:r>
        <w:t xml:space="preserve"> </w:t>
      </w:r>
      <w:r w:rsidR="00434391">
        <w:t>y</w:t>
      </w:r>
      <w:r>
        <w:t xml:space="preserve">oung </w:t>
      </w:r>
      <w:r w:rsidR="00434391">
        <w:t>p</w:t>
      </w:r>
      <w:r>
        <w:t>eople</w:t>
      </w:r>
    </w:p>
    <w:p w14:paraId="04054387" w14:textId="77777777" w:rsidR="00320BDD" w:rsidRPr="00BD71FD" w:rsidRDefault="000D108F" w:rsidP="00153D20">
      <w:pPr>
        <w:pStyle w:val="Frontpagesub-title"/>
      </w:pPr>
      <w:r w:rsidRPr="00BD71FD">
        <w:rPr>
          <w:noProof/>
        </w:rPr>
        <w:drawing>
          <wp:anchor distT="0" distB="0" distL="114300" distR="114300" simplePos="0" relativeHeight="251658240" behindDoc="1" locked="1" layoutInCell="1" allowOverlap="0" wp14:anchorId="5627137D" wp14:editId="1F16C8AE">
            <wp:simplePos x="0" y="0"/>
            <wp:positionH relativeFrom="page">
              <wp:posOffset>0</wp:posOffset>
            </wp:positionH>
            <wp:positionV relativeFrom="page">
              <wp:posOffset>-31750</wp:posOffset>
            </wp:positionV>
            <wp:extent cx="7665720" cy="1084453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5720" cy="10844530"/>
                    </a:xfrm>
                    <a:prstGeom prst="rect">
                      <a:avLst/>
                    </a:prstGeom>
                  </pic:spPr>
                </pic:pic>
              </a:graphicData>
            </a:graphic>
            <wp14:sizeRelH relativeFrom="margin">
              <wp14:pctWidth>0</wp14:pctWidth>
            </wp14:sizeRelH>
            <wp14:sizeRelV relativeFrom="margin">
              <wp14:pctHeight>0</wp14:pctHeight>
            </wp14:sizeRelV>
          </wp:anchor>
        </w:drawing>
      </w:r>
      <w:bookmarkEnd w:id="0"/>
    </w:p>
    <w:sdt>
      <w:sdtPr>
        <w:id w:val="-1571263057"/>
        <w:docPartObj>
          <w:docPartGallery w:val="Cover Pages"/>
          <w:docPartUnique/>
        </w:docPartObj>
      </w:sdtPr>
      <w:sdtEndPr>
        <w:rPr>
          <w:highlight w:val="yellow"/>
        </w:rPr>
      </w:sdtEndPr>
      <w:sdtContent>
        <w:p w14:paraId="58FC4CB6" w14:textId="77777777" w:rsidR="00F16596" w:rsidRPr="00BD71FD" w:rsidRDefault="000D108F" w:rsidP="00153D20">
          <w:pPr>
            <w:pStyle w:val="Frontpagesub-title"/>
            <w:rPr>
              <w:rStyle w:val="Frontpagesub-titleChar"/>
              <w:rFonts w:ascii="Arial" w:hAnsi="Arial" w:cs="Arial"/>
              <w:b/>
              <w:bCs/>
            </w:rPr>
          </w:pPr>
          <w:r w:rsidRPr="00BD71FD">
            <w:rPr>
              <w:rStyle w:val="Frontpagesub-titleChar"/>
              <w:rFonts w:ascii="Arial" w:hAnsi="Arial" w:cs="Arial"/>
              <w:b/>
              <w:bCs/>
            </w:rPr>
            <w:t>GMCA</w:t>
          </w:r>
          <w:r w:rsidRPr="00BD71FD">
            <w:rPr>
              <w:rStyle w:val="Frontpagesub-titleChar"/>
              <w:rFonts w:ascii="Arial" w:hAnsi="Arial" w:cs="Arial"/>
            </w:rPr>
            <w:t xml:space="preserve"> </w:t>
          </w:r>
          <w:r w:rsidRPr="00BD71FD">
            <w:rPr>
              <w:rStyle w:val="Frontpagesub-titleChar"/>
              <w:rFonts w:ascii="Arial" w:hAnsi="Arial" w:cs="Arial"/>
              <w:b/>
              <w:bCs/>
            </w:rPr>
            <w:t>Research</w:t>
          </w:r>
        </w:p>
        <w:p w14:paraId="44DD08CE" w14:textId="503149D2" w:rsidR="00E873A0" w:rsidRPr="00BD71FD" w:rsidRDefault="00A84237" w:rsidP="00153D20">
          <w:pPr>
            <w:pStyle w:val="Frontpagesub-title"/>
          </w:pPr>
          <w:r>
            <w:rPr>
              <w:rStyle w:val="Frontpagesub-titleChar"/>
              <w:rFonts w:ascii="Arial" w:hAnsi="Arial" w:cs="Arial"/>
            </w:rPr>
            <w:t>December</w:t>
          </w:r>
          <w:r w:rsidRPr="00BD71FD">
            <w:rPr>
              <w:rStyle w:val="Frontpagesub-titleChar"/>
              <w:rFonts w:ascii="Arial" w:hAnsi="Arial" w:cs="Arial"/>
            </w:rPr>
            <w:t xml:space="preserve"> </w:t>
          </w:r>
          <w:r w:rsidR="0042458F" w:rsidRPr="00BD71FD">
            <w:rPr>
              <w:rStyle w:val="Frontpagesub-titleChar"/>
              <w:rFonts w:ascii="Arial" w:hAnsi="Arial" w:cs="Arial"/>
            </w:rPr>
            <w:t>2023</w:t>
          </w:r>
        </w:p>
      </w:sdtContent>
    </w:sdt>
    <w:bookmarkEnd w:id="2" w:displacedByCustomXml="prev"/>
    <w:bookmarkEnd w:id="1" w:displacedByCustomXml="prev"/>
    <w:p w14:paraId="6EA792A9" w14:textId="7A9E1B01" w:rsidR="00EF6937" w:rsidRDefault="000D108F" w:rsidP="000D108F">
      <w:pPr>
        <w:rPr>
          <w:color w:val="FFFFFF" w:themeColor="background1"/>
          <w:sz w:val="36"/>
          <w:szCs w:val="36"/>
        </w:rPr>
      </w:pPr>
      <w:r>
        <w:rPr>
          <w:noProof/>
        </w:rPr>
        <w:lastRenderedPageBreak/>
        <mc:AlternateContent>
          <mc:Choice Requires="wps">
            <w:drawing>
              <wp:inline distT="0" distB="0" distL="0" distR="0" wp14:anchorId="52849C59" wp14:editId="13FC46B9">
                <wp:extent cx="6096000" cy="4969075"/>
                <wp:effectExtent l="0" t="0" r="19050" b="1714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969075"/>
                        </a:xfrm>
                        <a:prstGeom prst="rect">
                          <a:avLst/>
                        </a:prstGeom>
                        <a:solidFill>
                          <a:schemeClr val="accent1"/>
                        </a:solidFill>
                        <a:ln w="19050">
                          <a:solidFill>
                            <a:schemeClr val="accent1"/>
                          </a:solidFill>
                          <a:miter lim="800000"/>
                          <a:headEnd/>
                          <a:tailEnd/>
                        </a:ln>
                      </wps:spPr>
                      <wps:txbx>
                        <w:txbxContent>
                          <w:p w14:paraId="62E5A11A" w14:textId="05C62E78" w:rsidR="000D108F" w:rsidRDefault="003D366D" w:rsidP="0042458F">
                            <w:pPr>
                              <w:rPr>
                                <w:rStyle w:val="Hyperlink"/>
                                <w:rFonts w:cs="Arial"/>
                                <w:color w:val="FFFFFF" w:themeColor="background1"/>
                                <w:szCs w:val="28"/>
                              </w:rPr>
                            </w:pPr>
                            <w:r w:rsidRPr="003D366D">
                              <w:rPr>
                                <w:rFonts w:ascii="Arial" w:hAnsi="Arial" w:cs="Arial"/>
                                <w:b/>
                                <w:bCs/>
                                <w:color w:val="FFFFFF" w:themeColor="background1"/>
                                <w:szCs w:val="28"/>
                              </w:rPr>
                              <w:t xml:space="preserve">Datalink: </w:t>
                            </w:r>
                            <w:r>
                              <w:rPr>
                                <w:rFonts w:ascii="Arial" w:hAnsi="Arial" w:cs="Arial"/>
                                <w:color w:val="FFFFFF" w:themeColor="background1"/>
                                <w:szCs w:val="28"/>
                              </w:rPr>
                              <w:t xml:space="preserve">The data used in this briefing can be found at </w:t>
                            </w:r>
                            <w:hyperlink r:id="rId12" w:history="1">
                              <w:r w:rsidRPr="00A70060">
                                <w:rPr>
                                  <w:rStyle w:val="Hyperlink"/>
                                  <w:rFonts w:cs="Arial"/>
                                  <w:color w:val="FFFFFF" w:themeColor="background1"/>
                                  <w:szCs w:val="28"/>
                                </w:rPr>
                                <w:t>Census – Office for National Statistics (ons.gov.uk)</w:t>
                              </w:r>
                            </w:hyperlink>
                          </w:p>
                          <w:p w14:paraId="008B208B" w14:textId="0E5E2620" w:rsidR="0013387F" w:rsidRPr="0086209F" w:rsidRDefault="000A5B90" w:rsidP="001708D8">
                            <w:pPr>
                              <w:rPr>
                                <w:rStyle w:val="Hyperlink"/>
                                <w:rFonts w:cs="Arial"/>
                                <w:b w:val="0"/>
                                <w:color w:val="FFFFFF" w:themeColor="background1"/>
                                <w:szCs w:val="28"/>
                                <w:u w:val="none"/>
                              </w:rPr>
                            </w:pPr>
                            <w:r>
                              <w:rPr>
                                <w:rFonts w:ascii="Arial" w:hAnsi="Arial" w:cs="Arial"/>
                                <w:b/>
                                <w:bCs/>
                                <w:color w:val="FFFFFF" w:themeColor="background1"/>
                                <w:szCs w:val="28"/>
                              </w:rPr>
                              <w:t xml:space="preserve">Definition: </w:t>
                            </w:r>
                            <w:r w:rsidR="00B341C4">
                              <w:rPr>
                                <w:rFonts w:ascii="Arial" w:hAnsi="Arial" w:cs="Arial"/>
                                <w:color w:val="FFFFFF" w:themeColor="background1"/>
                                <w:szCs w:val="28"/>
                              </w:rPr>
                              <w:t>This report combines cross-cutting census release data that relate to the thematic area of children and young people</w:t>
                            </w:r>
                            <w:r w:rsidR="00181756">
                              <w:rPr>
                                <w:rFonts w:ascii="Arial" w:hAnsi="Arial" w:cs="Arial"/>
                                <w:color w:val="FFFFFF" w:themeColor="background1"/>
                                <w:szCs w:val="28"/>
                              </w:rPr>
                              <w:t xml:space="preserve">, </w:t>
                            </w:r>
                            <w:r w:rsidR="0013387F" w:rsidRPr="0013387F">
                              <w:rPr>
                                <w:rStyle w:val="Hyperlink"/>
                                <w:rFonts w:cs="Arial"/>
                                <w:b w:val="0"/>
                                <w:bCs/>
                                <w:color w:val="FFFFFF" w:themeColor="background1"/>
                                <w:szCs w:val="28"/>
                                <w:u w:val="none"/>
                              </w:rPr>
                              <w:t>focus</w:t>
                            </w:r>
                            <w:r w:rsidR="00181756">
                              <w:rPr>
                                <w:rStyle w:val="Hyperlink"/>
                                <w:rFonts w:cs="Arial"/>
                                <w:b w:val="0"/>
                                <w:bCs/>
                                <w:color w:val="FFFFFF" w:themeColor="background1"/>
                                <w:szCs w:val="28"/>
                                <w:u w:val="none"/>
                              </w:rPr>
                              <w:t>ing</w:t>
                            </w:r>
                            <w:r w:rsidR="0013387F">
                              <w:rPr>
                                <w:rStyle w:val="Hyperlink"/>
                                <w:rFonts w:cs="Arial"/>
                                <w:b w:val="0"/>
                                <w:bCs/>
                                <w:color w:val="FFFFFF" w:themeColor="background1"/>
                                <w:szCs w:val="28"/>
                                <w:u w:val="none"/>
                              </w:rPr>
                              <w:t xml:space="preserve"> on individuals aged 0 to 24 years. </w:t>
                            </w:r>
                            <w:r w:rsidR="001708D8">
                              <w:rPr>
                                <w:rStyle w:val="Hyperlink"/>
                                <w:rFonts w:cs="Arial"/>
                                <w:b w:val="0"/>
                                <w:bCs/>
                                <w:color w:val="FFFFFF" w:themeColor="background1"/>
                                <w:szCs w:val="28"/>
                                <w:u w:val="none"/>
                              </w:rPr>
                              <w:t xml:space="preserve">It </w:t>
                            </w:r>
                            <w:r w:rsidR="0013387F">
                              <w:rPr>
                                <w:rStyle w:val="Hyperlink"/>
                                <w:rFonts w:cs="Arial"/>
                                <w:b w:val="0"/>
                                <w:bCs/>
                                <w:color w:val="FFFFFF" w:themeColor="background1"/>
                                <w:szCs w:val="28"/>
                                <w:u w:val="none"/>
                              </w:rPr>
                              <w:t xml:space="preserve">segments </w:t>
                            </w:r>
                            <w:r w:rsidR="001708D8">
                              <w:rPr>
                                <w:rStyle w:val="Hyperlink"/>
                                <w:rFonts w:cs="Arial"/>
                                <w:b w:val="0"/>
                                <w:bCs/>
                                <w:color w:val="FFFFFF" w:themeColor="background1"/>
                                <w:szCs w:val="28"/>
                                <w:u w:val="none"/>
                              </w:rPr>
                              <w:t xml:space="preserve">these </w:t>
                            </w:r>
                            <w:r w:rsidR="0013387F">
                              <w:rPr>
                                <w:rStyle w:val="Hyperlink"/>
                                <w:rFonts w:cs="Arial"/>
                                <w:b w:val="0"/>
                                <w:bCs/>
                                <w:color w:val="FFFFFF" w:themeColor="background1"/>
                                <w:szCs w:val="28"/>
                                <w:u w:val="none"/>
                              </w:rPr>
                              <w:t>residents</w:t>
                            </w:r>
                            <w:r w:rsidR="001708D8">
                              <w:rPr>
                                <w:rStyle w:val="Hyperlink"/>
                                <w:rFonts w:cs="Arial"/>
                                <w:b w:val="0"/>
                                <w:bCs/>
                                <w:color w:val="FFFFFF" w:themeColor="background1"/>
                                <w:szCs w:val="28"/>
                                <w:u w:val="none"/>
                              </w:rPr>
                              <w:t xml:space="preserve"> into</w:t>
                            </w:r>
                            <w:r w:rsidR="0013387F">
                              <w:rPr>
                                <w:rStyle w:val="Hyperlink"/>
                                <w:rFonts w:cs="Arial"/>
                                <w:b w:val="0"/>
                                <w:bCs/>
                                <w:color w:val="FFFFFF" w:themeColor="background1"/>
                                <w:szCs w:val="28"/>
                                <w:u w:val="none"/>
                              </w:rPr>
                              <w:t xml:space="preserve"> three groups</w:t>
                            </w:r>
                            <w:r w:rsidR="000217AC">
                              <w:rPr>
                                <w:rStyle w:val="Hyperlink"/>
                                <w:rFonts w:cs="Arial"/>
                                <w:b w:val="0"/>
                                <w:bCs/>
                                <w:color w:val="FFFFFF" w:themeColor="background1"/>
                                <w:szCs w:val="28"/>
                                <w:u w:val="none"/>
                              </w:rPr>
                              <w:t xml:space="preserve"> based on their alignment with UK social policy</w:t>
                            </w:r>
                            <w:r w:rsidR="00874BE9">
                              <w:rPr>
                                <w:rStyle w:val="Hyperlink"/>
                                <w:rFonts w:cs="Arial"/>
                                <w:b w:val="0"/>
                                <w:bCs/>
                                <w:color w:val="FFFFFF" w:themeColor="background1"/>
                                <w:szCs w:val="28"/>
                                <w:u w:val="none"/>
                              </w:rPr>
                              <w:t>. Firstly</w:t>
                            </w:r>
                            <w:r w:rsidR="0013387F">
                              <w:rPr>
                                <w:rStyle w:val="Hyperlink"/>
                                <w:rFonts w:cs="Arial"/>
                                <w:b w:val="0"/>
                                <w:bCs/>
                                <w:color w:val="FFFFFF" w:themeColor="background1"/>
                                <w:szCs w:val="28"/>
                                <w:u w:val="none"/>
                              </w:rPr>
                              <w:t xml:space="preserve"> 0 to 4 years,</w:t>
                            </w:r>
                            <w:r w:rsidR="003F4D47">
                              <w:rPr>
                                <w:rStyle w:val="Hyperlink"/>
                                <w:rFonts w:cs="Arial"/>
                                <w:b w:val="0"/>
                                <w:bCs/>
                                <w:color w:val="FFFFFF" w:themeColor="background1"/>
                                <w:szCs w:val="28"/>
                                <w:u w:val="none"/>
                              </w:rPr>
                              <w:t xml:space="preserve"> which is the Early Years Foundation Stage. Secondly</w:t>
                            </w:r>
                            <w:r w:rsidR="0013387F">
                              <w:rPr>
                                <w:rStyle w:val="Hyperlink"/>
                                <w:rFonts w:cs="Arial"/>
                                <w:b w:val="0"/>
                                <w:bCs/>
                                <w:color w:val="FFFFFF" w:themeColor="background1"/>
                                <w:szCs w:val="28"/>
                                <w:u w:val="none"/>
                              </w:rPr>
                              <w:t xml:space="preserve"> 5 to 17 years</w:t>
                            </w:r>
                            <w:r w:rsidR="003F4D47">
                              <w:rPr>
                                <w:rStyle w:val="Hyperlink"/>
                                <w:rFonts w:cs="Arial"/>
                                <w:b w:val="0"/>
                                <w:bCs/>
                                <w:color w:val="FFFFFF" w:themeColor="background1"/>
                                <w:szCs w:val="28"/>
                                <w:u w:val="none"/>
                              </w:rPr>
                              <w:t>, which is the compulsory school-age population</w:t>
                            </w:r>
                            <w:r w:rsidR="00CE53CC">
                              <w:rPr>
                                <w:rStyle w:val="Hyperlink"/>
                                <w:rFonts w:cs="Arial"/>
                                <w:b w:val="0"/>
                                <w:bCs/>
                                <w:color w:val="FFFFFF" w:themeColor="background1"/>
                                <w:szCs w:val="28"/>
                                <w:u w:val="none"/>
                              </w:rPr>
                              <w:t xml:space="preserve">. Thirdly </w:t>
                            </w:r>
                            <w:r w:rsidR="00223C81">
                              <w:rPr>
                                <w:rStyle w:val="Hyperlink"/>
                                <w:rFonts w:cs="Arial"/>
                                <w:b w:val="0"/>
                                <w:bCs/>
                                <w:color w:val="FFFFFF" w:themeColor="background1"/>
                                <w:szCs w:val="28"/>
                                <w:u w:val="none"/>
                              </w:rPr>
                              <w:t xml:space="preserve">ages </w:t>
                            </w:r>
                            <w:r w:rsidR="0013387F">
                              <w:rPr>
                                <w:rStyle w:val="Hyperlink"/>
                                <w:rFonts w:cs="Arial"/>
                                <w:b w:val="0"/>
                                <w:bCs/>
                                <w:color w:val="FFFFFF" w:themeColor="background1"/>
                                <w:szCs w:val="28"/>
                                <w:u w:val="none"/>
                              </w:rPr>
                              <w:t>18 to 24 years</w:t>
                            </w:r>
                            <w:r w:rsidR="00CE53CC">
                              <w:rPr>
                                <w:rStyle w:val="Hyperlink"/>
                                <w:rFonts w:cs="Arial"/>
                                <w:b w:val="0"/>
                                <w:bCs/>
                                <w:color w:val="FFFFFF" w:themeColor="background1"/>
                                <w:szCs w:val="28"/>
                                <w:u w:val="none"/>
                              </w:rPr>
                              <w:t xml:space="preserve">, </w:t>
                            </w:r>
                            <w:r w:rsidR="00DC2CF6">
                              <w:rPr>
                                <w:rStyle w:val="Hyperlink"/>
                                <w:rFonts w:cs="Arial"/>
                                <w:b w:val="0"/>
                                <w:bCs/>
                                <w:color w:val="FFFFFF" w:themeColor="background1"/>
                                <w:szCs w:val="28"/>
                                <w:u w:val="none"/>
                              </w:rPr>
                              <w:t>an age group post-</w:t>
                            </w:r>
                            <w:r w:rsidR="00CE53CC">
                              <w:rPr>
                                <w:rStyle w:val="Hyperlink"/>
                                <w:rFonts w:cs="Arial"/>
                                <w:b w:val="0"/>
                                <w:bCs/>
                                <w:color w:val="FFFFFF" w:themeColor="background1"/>
                                <w:szCs w:val="28"/>
                                <w:u w:val="none"/>
                              </w:rPr>
                              <w:t xml:space="preserve">compulsory education but </w:t>
                            </w:r>
                            <w:r w:rsidR="00DC2CF6">
                              <w:rPr>
                                <w:rStyle w:val="Hyperlink"/>
                                <w:rFonts w:cs="Arial"/>
                                <w:b w:val="0"/>
                                <w:bCs/>
                                <w:color w:val="FFFFFF" w:themeColor="background1"/>
                                <w:szCs w:val="28"/>
                                <w:u w:val="none"/>
                              </w:rPr>
                              <w:t xml:space="preserve">which </w:t>
                            </w:r>
                            <w:r w:rsidR="00995B9C">
                              <w:rPr>
                                <w:rStyle w:val="Hyperlink"/>
                                <w:rFonts w:cs="Arial"/>
                                <w:b w:val="0"/>
                                <w:bCs/>
                                <w:color w:val="FFFFFF" w:themeColor="background1"/>
                                <w:szCs w:val="28"/>
                                <w:u w:val="none"/>
                              </w:rPr>
                              <w:t xml:space="preserve">is </w:t>
                            </w:r>
                            <w:r w:rsidR="00293D0C">
                              <w:rPr>
                                <w:rStyle w:val="Hyperlink"/>
                                <w:rFonts w:cs="Arial"/>
                                <w:b w:val="0"/>
                                <w:bCs/>
                                <w:color w:val="FFFFFF" w:themeColor="background1"/>
                                <w:szCs w:val="28"/>
                                <w:u w:val="none"/>
                              </w:rPr>
                              <w:t>typically</w:t>
                            </w:r>
                            <w:r w:rsidR="00995B9C">
                              <w:rPr>
                                <w:rStyle w:val="Hyperlink"/>
                                <w:rFonts w:cs="Arial"/>
                                <w:b w:val="0"/>
                                <w:bCs/>
                                <w:color w:val="FFFFFF" w:themeColor="background1"/>
                                <w:szCs w:val="28"/>
                                <w:u w:val="none"/>
                              </w:rPr>
                              <w:t xml:space="preserve"> understood as </w:t>
                            </w:r>
                            <w:r w:rsidR="00EB4298">
                              <w:rPr>
                                <w:rStyle w:val="Hyperlink"/>
                                <w:rFonts w:cs="Arial"/>
                                <w:b w:val="0"/>
                                <w:bCs/>
                                <w:color w:val="FFFFFF" w:themeColor="background1"/>
                                <w:szCs w:val="28"/>
                                <w:u w:val="none"/>
                              </w:rPr>
                              <w:t xml:space="preserve">being within adolescence and which </w:t>
                            </w:r>
                            <w:r w:rsidR="00DC2CF6">
                              <w:rPr>
                                <w:rStyle w:val="Hyperlink"/>
                                <w:rFonts w:cs="Arial"/>
                                <w:b w:val="0"/>
                                <w:bCs/>
                                <w:color w:val="FFFFFF" w:themeColor="background1"/>
                                <w:szCs w:val="28"/>
                                <w:u w:val="none"/>
                              </w:rPr>
                              <w:t>remains</w:t>
                            </w:r>
                            <w:r w:rsidR="00CE53CC">
                              <w:rPr>
                                <w:rStyle w:val="Hyperlink"/>
                                <w:rFonts w:cs="Arial"/>
                                <w:b w:val="0"/>
                                <w:bCs/>
                                <w:color w:val="FFFFFF" w:themeColor="background1"/>
                                <w:szCs w:val="28"/>
                                <w:u w:val="none"/>
                              </w:rPr>
                              <w:t xml:space="preserve"> subject to extended statutory provisions in England, such as social care for care leavers and children with special educational needs. </w:t>
                            </w:r>
                            <w:r w:rsidR="0086209F">
                              <w:rPr>
                                <w:rFonts w:ascii="Arial" w:hAnsi="Arial" w:cs="Arial"/>
                                <w:color w:val="FFFFFF" w:themeColor="background1"/>
                                <w:szCs w:val="28"/>
                              </w:rPr>
                              <w:t xml:space="preserve">When the term ‘children and young people’ is used without reference to ages, this refers to </w:t>
                            </w:r>
                            <w:proofErr w:type="gramStart"/>
                            <w:r w:rsidR="0066621B">
                              <w:rPr>
                                <w:rFonts w:ascii="Arial" w:hAnsi="Arial" w:cs="Arial"/>
                                <w:color w:val="FFFFFF" w:themeColor="background1"/>
                                <w:szCs w:val="28"/>
                              </w:rPr>
                              <w:t>0 to 24</w:t>
                            </w:r>
                            <w:r w:rsidR="003D1255">
                              <w:rPr>
                                <w:rFonts w:ascii="Arial" w:hAnsi="Arial" w:cs="Arial"/>
                                <w:color w:val="FFFFFF" w:themeColor="background1"/>
                                <w:szCs w:val="28"/>
                              </w:rPr>
                              <w:t xml:space="preserve"> </w:t>
                            </w:r>
                            <w:r w:rsidR="0066621B">
                              <w:rPr>
                                <w:rFonts w:ascii="Arial" w:hAnsi="Arial" w:cs="Arial"/>
                                <w:color w:val="FFFFFF" w:themeColor="background1"/>
                                <w:szCs w:val="28"/>
                              </w:rPr>
                              <w:t>year-olds</w:t>
                            </w:r>
                            <w:proofErr w:type="gramEnd"/>
                            <w:r w:rsidR="0086209F">
                              <w:rPr>
                                <w:rFonts w:ascii="Arial" w:hAnsi="Arial" w:cs="Arial"/>
                                <w:color w:val="FFFFFF" w:themeColor="background1"/>
                                <w:szCs w:val="28"/>
                              </w:rPr>
                              <w:t>.</w:t>
                            </w:r>
                          </w:p>
                          <w:p w14:paraId="716185F0" w14:textId="10D782C9" w:rsidR="000E1CC2" w:rsidRPr="005B321B" w:rsidRDefault="005B321B" w:rsidP="008D29C6">
                            <w:pPr>
                              <w:rPr>
                                <w:rFonts w:ascii="Arial" w:hAnsi="Arial" w:cs="Arial"/>
                                <w:color w:val="FFFFFF" w:themeColor="background1"/>
                                <w:szCs w:val="28"/>
                              </w:rPr>
                            </w:pPr>
                            <w:r w:rsidRPr="005B321B">
                              <w:rPr>
                                <w:rFonts w:ascii="Arial" w:hAnsi="Arial" w:cs="Arial"/>
                                <w:b/>
                                <w:bCs/>
                                <w:color w:val="FFFFFF" w:themeColor="background1"/>
                                <w:szCs w:val="28"/>
                              </w:rPr>
                              <w:t xml:space="preserve">Census day: </w:t>
                            </w:r>
                            <w:r>
                              <w:rPr>
                                <w:rFonts w:ascii="Arial" w:hAnsi="Arial" w:cs="Arial"/>
                                <w:color w:val="FFFFFF" w:themeColor="background1"/>
                                <w:szCs w:val="28"/>
                              </w:rPr>
                              <w:t xml:space="preserve">The 2021 census was held in England and Wales on 21 March 2021. Census 2021 was undertaken during the COVID-19 pandemic so may not show normal population and household patterns due to temporary changes in living circumstances during the pandemic for some households. </w:t>
                            </w:r>
                          </w:p>
                        </w:txbxContent>
                      </wps:txbx>
                      <wps:bodyPr rot="0" vert="horz" wrap="square" lIns="216000" tIns="216000" rIns="216000" bIns="216000" anchor="t" anchorCtr="0">
                        <a:spAutoFit/>
                      </wps:bodyPr>
                    </wps:wsp>
                  </a:graphicData>
                </a:graphic>
              </wp:inline>
            </w:drawing>
          </mc:Choice>
          <mc:Fallback>
            <w:pict>
              <v:shapetype w14:anchorId="52849C59" id="_x0000_t202" coordsize="21600,21600" o:spt="202" path="m,l,21600r21600,l21600,xe">
                <v:stroke joinstyle="miter"/>
                <v:path gradientshapeok="t" o:connecttype="rect"/>
              </v:shapetype>
              <v:shape id="Text Box 2" o:spid="_x0000_s1026" type="#_x0000_t202" style="width:480pt;height:3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" fillcolor="#2c5060 [3204]" strokecolor="#2c5060 [3204]" strokeweight="1.5pt">
                <v:textbox style="mso-fit-shape-to-text:t" inset="6mm,6mm,6mm,6mm">
                  <w:txbxContent>
                    <w:p w14:paraId="62E5A11A" w14:textId="05C62E78" w:rsidR="000D108F" w:rsidRDefault="003D366D" w:rsidP="0042458F">
                      <w:pPr>
                        <w:rPr>
                          <w:rStyle w:val="Hyperlink"/>
                          <w:rFonts w:cs="Arial"/>
                          <w:color w:val="FFFFFF" w:themeColor="background1"/>
                          <w:szCs w:val="28"/>
                        </w:rPr>
                      </w:pPr>
                      <w:r w:rsidRPr="003D366D">
                        <w:rPr>
                          <w:rFonts w:ascii="Arial" w:hAnsi="Arial" w:cs="Arial"/>
                          <w:b/>
                          <w:bCs/>
                          <w:color w:val="FFFFFF" w:themeColor="background1"/>
                          <w:szCs w:val="28"/>
                        </w:rPr>
                        <w:t xml:space="preserve">Datalink: </w:t>
                      </w:r>
                      <w:r>
                        <w:rPr>
                          <w:rFonts w:ascii="Arial" w:hAnsi="Arial" w:cs="Arial"/>
                          <w:color w:val="FFFFFF" w:themeColor="background1"/>
                          <w:szCs w:val="28"/>
                        </w:rPr>
                        <w:t xml:space="preserve">The data used in this briefing can be found at </w:t>
                      </w:r>
                      <w:hyperlink r:id="rId13" w:history="1">
                        <w:r w:rsidRPr="00A70060">
                          <w:rPr>
                            <w:rStyle w:val="Hyperlink"/>
                            <w:rFonts w:cs="Arial"/>
                            <w:color w:val="FFFFFF" w:themeColor="background1"/>
                            <w:szCs w:val="28"/>
                          </w:rPr>
                          <w:t>Census – Office for National Statistics (ons.gov.uk)</w:t>
                        </w:r>
                      </w:hyperlink>
                    </w:p>
                    <w:p w14:paraId="008B208B" w14:textId="0E5E2620" w:rsidR="0013387F" w:rsidRPr="0086209F" w:rsidRDefault="000A5B90" w:rsidP="001708D8">
                      <w:pPr>
                        <w:rPr>
                          <w:rStyle w:val="Hyperlink"/>
                          <w:rFonts w:cs="Arial"/>
                          <w:b w:val="0"/>
                          <w:color w:val="FFFFFF" w:themeColor="background1"/>
                          <w:szCs w:val="28"/>
                          <w:u w:val="none"/>
                        </w:rPr>
                      </w:pPr>
                      <w:r>
                        <w:rPr>
                          <w:rFonts w:ascii="Arial" w:hAnsi="Arial" w:cs="Arial"/>
                          <w:b/>
                          <w:bCs/>
                          <w:color w:val="FFFFFF" w:themeColor="background1"/>
                          <w:szCs w:val="28"/>
                        </w:rPr>
                        <w:t xml:space="preserve">Definition: </w:t>
                      </w:r>
                      <w:r w:rsidR="00B341C4">
                        <w:rPr>
                          <w:rFonts w:ascii="Arial" w:hAnsi="Arial" w:cs="Arial"/>
                          <w:color w:val="FFFFFF" w:themeColor="background1"/>
                          <w:szCs w:val="28"/>
                        </w:rPr>
                        <w:t>This report combines cross-cutting census release data that relate to the thematic area of children and young people</w:t>
                      </w:r>
                      <w:r w:rsidR="00181756">
                        <w:rPr>
                          <w:rFonts w:ascii="Arial" w:hAnsi="Arial" w:cs="Arial"/>
                          <w:color w:val="FFFFFF" w:themeColor="background1"/>
                          <w:szCs w:val="28"/>
                        </w:rPr>
                        <w:t xml:space="preserve">, </w:t>
                      </w:r>
                      <w:r w:rsidR="0013387F" w:rsidRPr="0013387F">
                        <w:rPr>
                          <w:rStyle w:val="Hyperlink"/>
                          <w:rFonts w:cs="Arial"/>
                          <w:b w:val="0"/>
                          <w:bCs/>
                          <w:color w:val="FFFFFF" w:themeColor="background1"/>
                          <w:szCs w:val="28"/>
                          <w:u w:val="none"/>
                        </w:rPr>
                        <w:t>focus</w:t>
                      </w:r>
                      <w:r w:rsidR="00181756">
                        <w:rPr>
                          <w:rStyle w:val="Hyperlink"/>
                          <w:rFonts w:cs="Arial"/>
                          <w:b w:val="0"/>
                          <w:bCs/>
                          <w:color w:val="FFFFFF" w:themeColor="background1"/>
                          <w:szCs w:val="28"/>
                          <w:u w:val="none"/>
                        </w:rPr>
                        <w:t>ing</w:t>
                      </w:r>
                      <w:r w:rsidR="0013387F">
                        <w:rPr>
                          <w:rStyle w:val="Hyperlink"/>
                          <w:rFonts w:cs="Arial"/>
                          <w:b w:val="0"/>
                          <w:bCs/>
                          <w:color w:val="FFFFFF" w:themeColor="background1"/>
                          <w:szCs w:val="28"/>
                          <w:u w:val="none"/>
                        </w:rPr>
                        <w:t xml:space="preserve"> on individuals aged 0 to 24 years. </w:t>
                      </w:r>
                      <w:r w:rsidR="001708D8">
                        <w:rPr>
                          <w:rStyle w:val="Hyperlink"/>
                          <w:rFonts w:cs="Arial"/>
                          <w:b w:val="0"/>
                          <w:bCs/>
                          <w:color w:val="FFFFFF" w:themeColor="background1"/>
                          <w:szCs w:val="28"/>
                          <w:u w:val="none"/>
                        </w:rPr>
                        <w:t xml:space="preserve">It </w:t>
                      </w:r>
                      <w:r w:rsidR="0013387F">
                        <w:rPr>
                          <w:rStyle w:val="Hyperlink"/>
                          <w:rFonts w:cs="Arial"/>
                          <w:b w:val="0"/>
                          <w:bCs/>
                          <w:color w:val="FFFFFF" w:themeColor="background1"/>
                          <w:szCs w:val="28"/>
                          <w:u w:val="none"/>
                        </w:rPr>
                        <w:t xml:space="preserve">segments </w:t>
                      </w:r>
                      <w:r w:rsidR="001708D8">
                        <w:rPr>
                          <w:rStyle w:val="Hyperlink"/>
                          <w:rFonts w:cs="Arial"/>
                          <w:b w:val="0"/>
                          <w:bCs/>
                          <w:color w:val="FFFFFF" w:themeColor="background1"/>
                          <w:szCs w:val="28"/>
                          <w:u w:val="none"/>
                        </w:rPr>
                        <w:t xml:space="preserve">these </w:t>
                      </w:r>
                      <w:r w:rsidR="0013387F">
                        <w:rPr>
                          <w:rStyle w:val="Hyperlink"/>
                          <w:rFonts w:cs="Arial"/>
                          <w:b w:val="0"/>
                          <w:bCs/>
                          <w:color w:val="FFFFFF" w:themeColor="background1"/>
                          <w:szCs w:val="28"/>
                          <w:u w:val="none"/>
                        </w:rPr>
                        <w:t>residents</w:t>
                      </w:r>
                      <w:r w:rsidR="001708D8">
                        <w:rPr>
                          <w:rStyle w:val="Hyperlink"/>
                          <w:rFonts w:cs="Arial"/>
                          <w:b w:val="0"/>
                          <w:bCs/>
                          <w:color w:val="FFFFFF" w:themeColor="background1"/>
                          <w:szCs w:val="28"/>
                          <w:u w:val="none"/>
                        </w:rPr>
                        <w:t xml:space="preserve"> into</w:t>
                      </w:r>
                      <w:r w:rsidR="0013387F">
                        <w:rPr>
                          <w:rStyle w:val="Hyperlink"/>
                          <w:rFonts w:cs="Arial"/>
                          <w:b w:val="0"/>
                          <w:bCs/>
                          <w:color w:val="FFFFFF" w:themeColor="background1"/>
                          <w:szCs w:val="28"/>
                          <w:u w:val="none"/>
                        </w:rPr>
                        <w:t xml:space="preserve"> three groups</w:t>
                      </w:r>
                      <w:r w:rsidR="000217AC">
                        <w:rPr>
                          <w:rStyle w:val="Hyperlink"/>
                          <w:rFonts w:cs="Arial"/>
                          <w:b w:val="0"/>
                          <w:bCs/>
                          <w:color w:val="FFFFFF" w:themeColor="background1"/>
                          <w:szCs w:val="28"/>
                          <w:u w:val="none"/>
                        </w:rPr>
                        <w:t xml:space="preserve"> based on their alignment with UK social policy</w:t>
                      </w:r>
                      <w:r w:rsidR="00874BE9">
                        <w:rPr>
                          <w:rStyle w:val="Hyperlink"/>
                          <w:rFonts w:cs="Arial"/>
                          <w:b w:val="0"/>
                          <w:bCs/>
                          <w:color w:val="FFFFFF" w:themeColor="background1"/>
                          <w:szCs w:val="28"/>
                          <w:u w:val="none"/>
                        </w:rPr>
                        <w:t>. Firstly</w:t>
                      </w:r>
                      <w:r w:rsidR="0013387F">
                        <w:rPr>
                          <w:rStyle w:val="Hyperlink"/>
                          <w:rFonts w:cs="Arial"/>
                          <w:b w:val="0"/>
                          <w:bCs/>
                          <w:color w:val="FFFFFF" w:themeColor="background1"/>
                          <w:szCs w:val="28"/>
                          <w:u w:val="none"/>
                        </w:rPr>
                        <w:t xml:space="preserve"> 0 to 4 years,</w:t>
                      </w:r>
                      <w:r w:rsidR="003F4D47">
                        <w:rPr>
                          <w:rStyle w:val="Hyperlink"/>
                          <w:rFonts w:cs="Arial"/>
                          <w:b w:val="0"/>
                          <w:bCs/>
                          <w:color w:val="FFFFFF" w:themeColor="background1"/>
                          <w:szCs w:val="28"/>
                          <w:u w:val="none"/>
                        </w:rPr>
                        <w:t xml:space="preserve"> which is the Early Years Foundation Stage. Secondly</w:t>
                      </w:r>
                      <w:r w:rsidR="0013387F">
                        <w:rPr>
                          <w:rStyle w:val="Hyperlink"/>
                          <w:rFonts w:cs="Arial"/>
                          <w:b w:val="0"/>
                          <w:bCs/>
                          <w:color w:val="FFFFFF" w:themeColor="background1"/>
                          <w:szCs w:val="28"/>
                          <w:u w:val="none"/>
                        </w:rPr>
                        <w:t xml:space="preserve"> 5 to 17 years</w:t>
                      </w:r>
                      <w:r w:rsidR="003F4D47">
                        <w:rPr>
                          <w:rStyle w:val="Hyperlink"/>
                          <w:rFonts w:cs="Arial"/>
                          <w:b w:val="0"/>
                          <w:bCs/>
                          <w:color w:val="FFFFFF" w:themeColor="background1"/>
                          <w:szCs w:val="28"/>
                          <w:u w:val="none"/>
                        </w:rPr>
                        <w:t>, which is the compulsory school-age population</w:t>
                      </w:r>
                      <w:r w:rsidR="00CE53CC">
                        <w:rPr>
                          <w:rStyle w:val="Hyperlink"/>
                          <w:rFonts w:cs="Arial"/>
                          <w:b w:val="0"/>
                          <w:bCs/>
                          <w:color w:val="FFFFFF" w:themeColor="background1"/>
                          <w:szCs w:val="28"/>
                          <w:u w:val="none"/>
                        </w:rPr>
                        <w:t xml:space="preserve">. Thirdly </w:t>
                      </w:r>
                      <w:r w:rsidR="00223C81">
                        <w:rPr>
                          <w:rStyle w:val="Hyperlink"/>
                          <w:rFonts w:cs="Arial"/>
                          <w:b w:val="0"/>
                          <w:bCs/>
                          <w:color w:val="FFFFFF" w:themeColor="background1"/>
                          <w:szCs w:val="28"/>
                          <w:u w:val="none"/>
                        </w:rPr>
                        <w:t xml:space="preserve">ages </w:t>
                      </w:r>
                      <w:r w:rsidR="0013387F">
                        <w:rPr>
                          <w:rStyle w:val="Hyperlink"/>
                          <w:rFonts w:cs="Arial"/>
                          <w:b w:val="0"/>
                          <w:bCs/>
                          <w:color w:val="FFFFFF" w:themeColor="background1"/>
                          <w:szCs w:val="28"/>
                          <w:u w:val="none"/>
                        </w:rPr>
                        <w:t>18 to 24 years</w:t>
                      </w:r>
                      <w:r w:rsidR="00CE53CC">
                        <w:rPr>
                          <w:rStyle w:val="Hyperlink"/>
                          <w:rFonts w:cs="Arial"/>
                          <w:b w:val="0"/>
                          <w:bCs/>
                          <w:color w:val="FFFFFF" w:themeColor="background1"/>
                          <w:szCs w:val="28"/>
                          <w:u w:val="none"/>
                        </w:rPr>
                        <w:t xml:space="preserve">, </w:t>
                      </w:r>
                      <w:r w:rsidR="00DC2CF6">
                        <w:rPr>
                          <w:rStyle w:val="Hyperlink"/>
                          <w:rFonts w:cs="Arial"/>
                          <w:b w:val="0"/>
                          <w:bCs/>
                          <w:color w:val="FFFFFF" w:themeColor="background1"/>
                          <w:szCs w:val="28"/>
                          <w:u w:val="none"/>
                        </w:rPr>
                        <w:t>an age group post-</w:t>
                      </w:r>
                      <w:r w:rsidR="00CE53CC">
                        <w:rPr>
                          <w:rStyle w:val="Hyperlink"/>
                          <w:rFonts w:cs="Arial"/>
                          <w:b w:val="0"/>
                          <w:bCs/>
                          <w:color w:val="FFFFFF" w:themeColor="background1"/>
                          <w:szCs w:val="28"/>
                          <w:u w:val="none"/>
                        </w:rPr>
                        <w:t xml:space="preserve">compulsory education but </w:t>
                      </w:r>
                      <w:r w:rsidR="00DC2CF6">
                        <w:rPr>
                          <w:rStyle w:val="Hyperlink"/>
                          <w:rFonts w:cs="Arial"/>
                          <w:b w:val="0"/>
                          <w:bCs/>
                          <w:color w:val="FFFFFF" w:themeColor="background1"/>
                          <w:szCs w:val="28"/>
                          <w:u w:val="none"/>
                        </w:rPr>
                        <w:t xml:space="preserve">which </w:t>
                      </w:r>
                      <w:r w:rsidR="00995B9C">
                        <w:rPr>
                          <w:rStyle w:val="Hyperlink"/>
                          <w:rFonts w:cs="Arial"/>
                          <w:b w:val="0"/>
                          <w:bCs/>
                          <w:color w:val="FFFFFF" w:themeColor="background1"/>
                          <w:szCs w:val="28"/>
                          <w:u w:val="none"/>
                        </w:rPr>
                        <w:t xml:space="preserve">is </w:t>
                      </w:r>
                      <w:r w:rsidR="00293D0C">
                        <w:rPr>
                          <w:rStyle w:val="Hyperlink"/>
                          <w:rFonts w:cs="Arial"/>
                          <w:b w:val="0"/>
                          <w:bCs/>
                          <w:color w:val="FFFFFF" w:themeColor="background1"/>
                          <w:szCs w:val="28"/>
                          <w:u w:val="none"/>
                        </w:rPr>
                        <w:t>typically</w:t>
                      </w:r>
                      <w:r w:rsidR="00995B9C">
                        <w:rPr>
                          <w:rStyle w:val="Hyperlink"/>
                          <w:rFonts w:cs="Arial"/>
                          <w:b w:val="0"/>
                          <w:bCs/>
                          <w:color w:val="FFFFFF" w:themeColor="background1"/>
                          <w:szCs w:val="28"/>
                          <w:u w:val="none"/>
                        </w:rPr>
                        <w:t xml:space="preserve"> understood as </w:t>
                      </w:r>
                      <w:r w:rsidR="00EB4298">
                        <w:rPr>
                          <w:rStyle w:val="Hyperlink"/>
                          <w:rFonts w:cs="Arial"/>
                          <w:b w:val="0"/>
                          <w:bCs/>
                          <w:color w:val="FFFFFF" w:themeColor="background1"/>
                          <w:szCs w:val="28"/>
                          <w:u w:val="none"/>
                        </w:rPr>
                        <w:t xml:space="preserve">being within adolescence and which </w:t>
                      </w:r>
                      <w:r w:rsidR="00DC2CF6">
                        <w:rPr>
                          <w:rStyle w:val="Hyperlink"/>
                          <w:rFonts w:cs="Arial"/>
                          <w:b w:val="0"/>
                          <w:bCs/>
                          <w:color w:val="FFFFFF" w:themeColor="background1"/>
                          <w:szCs w:val="28"/>
                          <w:u w:val="none"/>
                        </w:rPr>
                        <w:t>remains</w:t>
                      </w:r>
                      <w:r w:rsidR="00CE53CC">
                        <w:rPr>
                          <w:rStyle w:val="Hyperlink"/>
                          <w:rFonts w:cs="Arial"/>
                          <w:b w:val="0"/>
                          <w:bCs/>
                          <w:color w:val="FFFFFF" w:themeColor="background1"/>
                          <w:szCs w:val="28"/>
                          <w:u w:val="none"/>
                        </w:rPr>
                        <w:t xml:space="preserve"> subject to extended statutory provisions in England, such as social care for care leavers and children with special educational needs. </w:t>
                      </w:r>
                      <w:r w:rsidR="0086209F">
                        <w:rPr>
                          <w:rFonts w:ascii="Arial" w:hAnsi="Arial" w:cs="Arial"/>
                          <w:color w:val="FFFFFF" w:themeColor="background1"/>
                          <w:szCs w:val="28"/>
                        </w:rPr>
                        <w:t xml:space="preserve">When the term ‘children and young people’ is used without reference to ages, this refers to </w:t>
                      </w:r>
                      <w:proofErr w:type="gramStart"/>
                      <w:r w:rsidR="0066621B">
                        <w:rPr>
                          <w:rFonts w:ascii="Arial" w:hAnsi="Arial" w:cs="Arial"/>
                          <w:color w:val="FFFFFF" w:themeColor="background1"/>
                          <w:szCs w:val="28"/>
                        </w:rPr>
                        <w:t>0 to 24</w:t>
                      </w:r>
                      <w:r w:rsidR="003D1255">
                        <w:rPr>
                          <w:rFonts w:ascii="Arial" w:hAnsi="Arial" w:cs="Arial"/>
                          <w:color w:val="FFFFFF" w:themeColor="background1"/>
                          <w:szCs w:val="28"/>
                        </w:rPr>
                        <w:t xml:space="preserve"> </w:t>
                      </w:r>
                      <w:r w:rsidR="0066621B">
                        <w:rPr>
                          <w:rFonts w:ascii="Arial" w:hAnsi="Arial" w:cs="Arial"/>
                          <w:color w:val="FFFFFF" w:themeColor="background1"/>
                          <w:szCs w:val="28"/>
                        </w:rPr>
                        <w:t>year-olds</w:t>
                      </w:r>
                      <w:proofErr w:type="gramEnd"/>
                      <w:r w:rsidR="0086209F">
                        <w:rPr>
                          <w:rFonts w:ascii="Arial" w:hAnsi="Arial" w:cs="Arial"/>
                          <w:color w:val="FFFFFF" w:themeColor="background1"/>
                          <w:szCs w:val="28"/>
                        </w:rPr>
                        <w:t>.</w:t>
                      </w:r>
                    </w:p>
                    <w:p w14:paraId="716185F0" w14:textId="10D782C9" w:rsidR="000E1CC2" w:rsidRPr="005B321B" w:rsidRDefault="005B321B" w:rsidP="008D29C6">
                      <w:pPr>
                        <w:rPr>
                          <w:rFonts w:ascii="Arial" w:hAnsi="Arial" w:cs="Arial"/>
                          <w:color w:val="FFFFFF" w:themeColor="background1"/>
                          <w:szCs w:val="28"/>
                        </w:rPr>
                      </w:pPr>
                      <w:r w:rsidRPr="005B321B">
                        <w:rPr>
                          <w:rFonts w:ascii="Arial" w:hAnsi="Arial" w:cs="Arial"/>
                          <w:b/>
                          <w:bCs/>
                          <w:color w:val="FFFFFF" w:themeColor="background1"/>
                          <w:szCs w:val="28"/>
                        </w:rPr>
                        <w:t xml:space="preserve">Census day: </w:t>
                      </w:r>
                      <w:r>
                        <w:rPr>
                          <w:rFonts w:ascii="Arial" w:hAnsi="Arial" w:cs="Arial"/>
                          <w:color w:val="FFFFFF" w:themeColor="background1"/>
                          <w:szCs w:val="28"/>
                        </w:rPr>
                        <w:t xml:space="preserve">The 2021 census was held in England and Wales on 21 March 2021. Census 2021 was undertaken during the COVID-19 pandemic so may not show normal population and household patterns due to temporary changes in living circumstances during the pandemic for some households. </w:t>
                      </w:r>
                    </w:p>
                  </w:txbxContent>
                </v:textbox>
                <w10:anchorlock/>
              </v:shape>
            </w:pict>
          </mc:Fallback>
        </mc:AlternateContent>
      </w:r>
    </w:p>
    <w:p w14:paraId="011186C8" w14:textId="77777777" w:rsidR="00565867" w:rsidRPr="00113D94" w:rsidRDefault="00565867" w:rsidP="0091568B">
      <w:pPr>
        <w:pStyle w:val="Heading2"/>
        <w:rPr>
          <w:color w:val="auto"/>
        </w:rPr>
      </w:pPr>
      <w:r w:rsidRPr="00113D94">
        <w:rPr>
          <w:color w:val="auto"/>
        </w:rPr>
        <w:t xml:space="preserve">Key points </w:t>
      </w:r>
    </w:p>
    <w:p w14:paraId="26C76D70" w14:textId="2EB54C40" w:rsidR="00113D94" w:rsidRDefault="009C0489" w:rsidP="00113D94">
      <w:pPr>
        <w:pStyle w:val="ListParagraph"/>
        <w:rPr>
          <w:color w:val="auto"/>
        </w:rPr>
      </w:pPr>
      <w:r w:rsidRPr="00C55C5D">
        <w:rPr>
          <w:color w:val="000000" w:themeColor="text1"/>
        </w:rPr>
        <w:t>914,36</w:t>
      </w:r>
      <w:r>
        <w:rPr>
          <w:color w:val="000000" w:themeColor="text1"/>
        </w:rPr>
        <w:t>9 c</w:t>
      </w:r>
      <w:r w:rsidR="00565867" w:rsidRPr="00113D94">
        <w:rPr>
          <w:color w:val="auto"/>
        </w:rPr>
        <w:t xml:space="preserve">hildren and young people (aged 0 to 24) </w:t>
      </w:r>
      <w:r w:rsidR="0066621B" w:rsidRPr="00113D94">
        <w:rPr>
          <w:color w:val="auto"/>
        </w:rPr>
        <w:t>constituted</w:t>
      </w:r>
      <w:r w:rsidR="00565867" w:rsidRPr="00113D94">
        <w:rPr>
          <w:color w:val="auto"/>
        </w:rPr>
        <w:t xml:space="preserve"> 31.9% of </w:t>
      </w:r>
      <w:r w:rsidR="0066621B" w:rsidRPr="00113D94">
        <w:rPr>
          <w:color w:val="auto"/>
        </w:rPr>
        <w:t>Greater Manchester’s total population in 2021, down 0.9 percentage points compared to 2011.</w:t>
      </w:r>
      <w:r w:rsidR="00565867" w:rsidRPr="00113D94">
        <w:rPr>
          <w:color w:val="auto"/>
        </w:rPr>
        <w:t xml:space="preserve"> </w:t>
      </w:r>
    </w:p>
    <w:p w14:paraId="198A4A1D" w14:textId="46DCFC4A" w:rsidR="00565867" w:rsidRPr="00113D94" w:rsidRDefault="00565867" w:rsidP="00113D94">
      <w:pPr>
        <w:pStyle w:val="ListParagraph"/>
        <w:rPr>
          <w:color w:val="auto"/>
        </w:rPr>
      </w:pPr>
      <w:r w:rsidRPr="00113D94">
        <w:rPr>
          <w:color w:val="auto"/>
        </w:rPr>
        <w:t xml:space="preserve">Between 2011 and 2021, the number of children and young people in Greater Manchester </w:t>
      </w:r>
      <w:r w:rsidR="00066AE4" w:rsidRPr="00113D94">
        <w:rPr>
          <w:color w:val="auto"/>
        </w:rPr>
        <w:t>increased</w:t>
      </w:r>
      <w:r w:rsidRPr="00113D94">
        <w:rPr>
          <w:color w:val="auto"/>
        </w:rPr>
        <w:t xml:space="preserve"> by 34,0</w:t>
      </w:r>
      <w:r w:rsidR="006538F0" w:rsidRPr="00113D94">
        <w:rPr>
          <w:color w:val="auto"/>
        </w:rPr>
        <w:t>87</w:t>
      </w:r>
      <w:r w:rsidR="0036667D" w:rsidRPr="00113D94">
        <w:rPr>
          <w:color w:val="auto"/>
        </w:rPr>
        <w:t xml:space="preserve"> (up 3.9%)</w:t>
      </w:r>
      <w:r w:rsidR="0025364B" w:rsidRPr="00113D94">
        <w:rPr>
          <w:color w:val="auto"/>
        </w:rPr>
        <w:t xml:space="preserve"> to a total of 914,369</w:t>
      </w:r>
      <w:r w:rsidR="0036667D" w:rsidRPr="00113D94">
        <w:rPr>
          <w:color w:val="auto"/>
        </w:rPr>
        <w:t>.</w:t>
      </w:r>
    </w:p>
    <w:p w14:paraId="6949F128" w14:textId="1BE00CFB" w:rsidR="00565867" w:rsidRPr="00113D94" w:rsidRDefault="009C0489" w:rsidP="00113D94">
      <w:pPr>
        <w:pStyle w:val="ListParagraph"/>
        <w:rPr>
          <w:color w:val="auto"/>
        </w:rPr>
      </w:pPr>
      <w:r>
        <w:rPr>
          <w:color w:val="auto"/>
        </w:rPr>
        <w:t xml:space="preserve">There was a decrease in number of 0-4 years olds (-4.3%) and 18 – </w:t>
      </w:r>
      <w:proofErr w:type="gramStart"/>
      <w:r>
        <w:rPr>
          <w:color w:val="auto"/>
        </w:rPr>
        <w:t>24 year olds</w:t>
      </w:r>
      <w:proofErr w:type="gramEnd"/>
      <w:r>
        <w:rPr>
          <w:color w:val="auto"/>
        </w:rPr>
        <w:t xml:space="preserve"> (-6.6%) between 2011 and 2021, while the number of school age children increased (14.4%), with the majority growth in those aged 6-13.</w:t>
      </w:r>
    </w:p>
    <w:p w14:paraId="748EC017" w14:textId="77777777" w:rsidR="003F2C83" w:rsidRDefault="00565867" w:rsidP="00113D94">
      <w:pPr>
        <w:pStyle w:val="ListParagraph"/>
        <w:rPr>
          <w:color w:val="auto"/>
        </w:rPr>
      </w:pPr>
      <w:r w:rsidRPr="00113D94">
        <w:rPr>
          <w:color w:val="auto"/>
        </w:rPr>
        <w:t xml:space="preserve">Children and young people in Greater Manchester </w:t>
      </w:r>
      <w:r w:rsidR="003F2C83" w:rsidRPr="00113D94">
        <w:rPr>
          <w:color w:val="auto"/>
        </w:rPr>
        <w:t>were more</w:t>
      </w:r>
      <w:r w:rsidRPr="00113D94">
        <w:rPr>
          <w:color w:val="auto"/>
        </w:rPr>
        <w:t xml:space="preserve"> divers</w:t>
      </w:r>
      <w:r w:rsidR="003F2C83" w:rsidRPr="00113D94">
        <w:rPr>
          <w:color w:val="auto"/>
        </w:rPr>
        <w:t>e</w:t>
      </w:r>
      <w:r w:rsidRPr="00113D94">
        <w:rPr>
          <w:color w:val="auto"/>
        </w:rPr>
        <w:t xml:space="preserve"> than the all-age population in 2021. The ethnic minority population </w:t>
      </w:r>
      <w:r w:rsidR="0066621B" w:rsidRPr="00113D94">
        <w:rPr>
          <w:color w:val="auto"/>
        </w:rPr>
        <w:t>constituted</w:t>
      </w:r>
      <w:r w:rsidRPr="00113D94">
        <w:rPr>
          <w:color w:val="auto"/>
        </w:rPr>
        <w:t xml:space="preserve"> 34.0% of this age group, </w:t>
      </w:r>
      <w:r w:rsidR="003F2C83" w:rsidRPr="00113D94">
        <w:rPr>
          <w:color w:val="auto"/>
        </w:rPr>
        <w:t>compared to 23.6% of the all-age population.</w:t>
      </w:r>
    </w:p>
    <w:p w14:paraId="5E8F6B66" w14:textId="712D2647" w:rsidR="003F2C83" w:rsidRPr="00113D94" w:rsidRDefault="003F2C83" w:rsidP="00113D94">
      <w:pPr>
        <w:pStyle w:val="ListParagraph"/>
        <w:rPr>
          <w:color w:val="auto"/>
        </w:rPr>
      </w:pPr>
      <w:r w:rsidRPr="00113D94">
        <w:rPr>
          <w:color w:val="auto"/>
        </w:rPr>
        <w:t xml:space="preserve">58.3% </w:t>
      </w:r>
      <w:r w:rsidR="000A2D76">
        <w:rPr>
          <w:color w:val="auto"/>
        </w:rPr>
        <w:t xml:space="preserve">of the children and young people in Greater Manchester </w:t>
      </w:r>
      <w:r w:rsidRPr="00113D94">
        <w:rPr>
          <w:color w:val="auto"/>
        </w:rPr>
        <w:t>lived in the 30% most deprived</w:t>
      </w:r>
      <w:r w:rsidR="000A2D76" w:rsidRPr="00113D94">
        <w:rPr>
          <w:rStyle w:val="FootnoteReference"/>
          <w:color w:val="auto"/>
        </w:rPr>
        <w:footnoteReference w:id="2"/>
      </w:r>
      <w:r w:rsidRPr="00113D94">
        <w:rPr>
          <w:color w:val="auto"/>
        </w:rPr>
        <w:t xml:space="preserve"> Lower Super Output Areas (LSOAs) nationally</w:t>
      </w:r>
      <w:r w:rsidR="0036667D" w:rsidRPr="00113D94">
        <w:rPr>
          <w:color w:val="auto"/>
        </w:rPr>
        <w:t>, an increase on 2011 (up 5.3%).</w:t>
      </w:r>
    </w:p>
    <w:p w14:paraId="519CF14F" w14:textId="42899149" w:rsidR="00565867" w:rsidRDefault="00CD48C2" w:rsidP="0091568B">
      <w:pPr>
        <w:pStyle w:val="Heading2"/>
      </w:pPr>
      <w:r>
        <w:t>Analysis</w:t>
      </w:r>
    </w:p>
    <w:p w14:paraId="5FE4FAD7" w14:textId="68295E2B" w:rsidR="00113D94" w:rsidRPr="00455A41" w:rsidRDefault="00113D94" w:rsidP="00113D94">
      <w:pPr>
        <w:rPr>
          <w:rFonts w:ascii="Arial" w:hAnsi="Arial" w:cs="Arial"/>
        </w:rPr>
      </w:pPr>
      <w:r w:rsidRPr="00455A41">
        <w:rPr>
          <w:rFonts w:ascii="Arial" w:hAnsi="Arial" w:cs="Arial"/>
        </w:rPr>
        <w:t xml:space="preserve">This briefing is concerned with Greater Manchester’s younger population. People between the ages of 0-24 are, of course, hardly a homogenous group. It includes new-born babies, </w:t>
      </w:r>
      <w:r w:rsidRPr="00455A41">
        <w:rPr>
          <w:rFonts w:ascii="Arial" w:hAnsi="Arial" w:cs="Arial"/>
        </w:rPr>
        <w:lastRenderedPageBreak/>
        <w:t xml:space="preserve">toddlers, children, teenagers, and young adults; some of the latter group will be parents themselves. Although there is a case for analysing the issues they face separately, we have opted here to treat ‘children and young people’ together for brevity. The age range is split into three broad groupings of 0-4, 5-17 and 18-24. These ranges can be seen for policy purposes as Early Years Foundation Stage, compulsory school age and young adulthood. When the term ‘children and young people’ is used without reference to an age range in what follows, it refers to </w:t>
      </w:r>
      <w:proofErr w:type="gramStart"/>
      <w:r w:rsidRPr="00455A41">
        <w:rPr>
          <w:rFonts w:ascii="Arial" w:hAnsi="Arial" w:cs="Arial"/>
        </w:rPr>
        <w:t>0-24-year-olds as a whole</w:t>
      </w:r>
      <w:proofErr w:type="gramEnd"/>
      <w:r w:rsidRPr="00455A41">
        <w:rPr>
          <w:rFonts w:ascii="Arial" w:hAnsi="Arial" w:cs="Arial"/>
        </w:rPr>
        <w:t xml:space="preserve">. </w:t>
      </w:r>
    </w:p>
    <w:p w14:paraId="0CE23AB2" w14:textId="1BB8E667" w:rsidR="00565867" w:rsidRPr="00D5126C" w:rsidRDefault="00565867" w:rsidP="007A469B">
      <w:pPr>
        <w:pStyle w:val="Heading3"/>
      </w:pPr>
      <w:r>
        <w:t xml:space="preserve">Age and </w:t>
      </w:r>
      <w:r w:rsidR="00CD48C2">
        <w:t>p</w:t>
      </w:r>
      <w:r>
        <w:t xml:space="preserve">opulation </w:t>
      </w:r>
      <w:r w:rsidR="00CD48C2">
        <w:t>c</w:t>
      </w:r>
      <w:r>
        <w:t>hange</w:t>
      </w:r>
    </w:p>
    <w:p w14:paraId="0EBCC3EF" w14:textId="7C0DC15D" w:rsidR="0036521C" w:rsidRDefault="00322829" w:rsidP="00565867">
      <w:pPr>
        <w:rPr>
          <w:rFonts w:ascii="Arial" w:hAnsi="Arial" w:cs="Arial"/>
          <w:color w:val="000000" w:themeColor="text1"/>
        </w:rPr>
      </w:pPr>
      <w:r>
        <w:rPr>
          <w:rFonts w:ascii="Arial" w:hAnsi="Arial" w:cs="Arial"/>
          <w:color w:val="000000" w:themeColor="text1"/>
        </w:rPr>
        <w:t>B</w:t>
      </w:r>
      <w:r w:rsidR="001A450D">
        <w:rPr>
          <w:rFonts w:ascii="Arial" w:hAnsi="Arial" w:cs="Arial"/>
          <w:color w:val="000000" w:themeColor="text1"/>
        </w:rPr>
        <w:t>oth in G</w:t>
      </w:r>
      <w:r w:rsidR="0091568B">
        <w:rPr>
          <w:rFonts w:ascii="Arial" w:hAnsi="Arial" w:cs="Arial"/>
          <w:color w:val="000000" w:themeColor="text1"/>
        </w:rPr>
        <w:t xml:space="preserve">reater </w:t>
      </w:r>
      <w:r w:rsidR="001A450D">
        <w:rPr>
          <w:rFonts w:ascii="Arial" w:hAnsi="Arial" w:cs="Arial"/>
          <w:color w:val="000000" w:themeColor="text1"/>
        </w:rPr>
        <w:t>M</w:t>
      </w:r>
      <w:r w:rsidR="0091568B">
        <w:rPr>
          <w:rFonts w:ascii="Arial" w:hAnsi="Arial" w:cs="Arial"/>
          <w:color w:val="000000" w:themeColor="text1"/>
        </w:rPr>
        <w:t>anchester</w:t>
      </w:r>
      <w:r w:rsidR="001A450D">
        <w:rPr>
          <w:rFonts w:ascii="Arial" w:hAnsi="Arial" w:cs="Arial"/>
          <w:color w:val="000000" w:themeColor="text1"/>
        </w:rPr>
        <w:t xml:space="preserve"> and </w:t>
      </w:r>
      <w:r w:rsidR="00F43E41">
        <w:rPr>
          <w:rFonts w:ascii="Arial" w:hAnsi="Arial" w:cs="Arial"/>
          <w:color w:val="000000" w:themeColor="text1"/>
        </w:rPr>
        <w:t>England</w:t>
      </w:r>
      <w:r>
        <w:rPr>
          <w:rFonts w:ascii="Arial" w:hAnsi="Arial" w:cs="Arial"/>
          <w:color w:val="000000" w:themeColor="text1"/>
        </w:rPr>
        <w:t>,</w:t>
      </w:r>
      <w:r w:rsidR="001A450D">
        <w:rPr>
          <w:rFonts w:ascii="Arial" w:hAnsi="Arial" w:cs="Arial"/>
          <w:color w:val="000000" w:themeColor="text1"/>
        </w:rPr>
        <w:t xml:space="preserve"> children and young people </w:t>
      </w:r>
      <w:r w:rsidR="00EA6547">
        <w:rPr>
          <w:rFonts w:ascii="Arial" w:hAnsi="Arial" w:cs="Arial"/>
          <w:color w:val="000000" w:themeColor="text1"/>
        </w:rPr>
        <w:t>made up</w:t>
      </w:r>
      <w:r w:rsidR="001A450D">
        <w:rPr>
          <w:rFonts w:ascii="Arial" w:hAnsi="Arial" w:cs="Arial"/>
          <w:color w:val="000000" w:themeColor="text1"/>
        </w:rPr>
        <w:t xml:space="preserve"> a </w:t>
      </w:r>
      <w:r w:rsidR="00EA6547">
        <w:rPr>
          <w:rFonts w:ascii="Arial" w:hAnsi="Arial" w:cs="Arial"/>
          <w:color w:val="000000" w:themeColor="text1"/>
        </w:rPr>
        <w:t>smaller</w:t>
      </w:r>
      <w:r w:rsidR="001A450D">
        <w:rPr>
          <w:rFonts w:ascii="Arial" w:hAnsi="Arial" w:cs="Arial"/>
          <w:color w:val="000000" w:themeColor="text1"/>
        </w:rPr>
        <w:t xml:space="preserve"> proportion of the total population in 2021 compared to 2011.</w:t>
      </w:r>
      <w:r w:rsidR="0036521C">
        <w:rPr>
          <w:rFonts w:ascii="Arial" w:hAnsi="Arial" w:cs="Arial"/>
          <w:color w:val="000000" w:themeColor="text1"/>
        </w:rPr>
        <w:t xml:space="preserve"> </w:t>
      </w:r>
      <w:r w:rsidR="00565867" w:rsidRPr="00C55C5D">
        <w:rPr>
          <w:rFonts w:ascii="Arial" w:hAnsi="Arial" w:cs="Arial"/>
          <w:color w:val="000000" w:themeColor="text1"/>
        </w:rPr>
        <w:t>Children and young people accounted for 31.9% of the total Greater Manchester population in 2021,</w:t>
      </w:r>
      <w:r w:rsidR="00554E5B">
        <w:rPr>
          <w:rFonts w:ascii="Arial" w:hAnsi="Arial" w:cs="Arial"/>
          <w:color w:val="000000" w:themeColor="text1"/>
        </w:rPr>
        <w:t xml:space="preserve"> </w:t>
      </w:r>
      <w:r w:rsidR="00565867" w:rsidRPr="00C55C5D">
        <w:rPr>
          <w:rFonts w:ascii="Arial" w:hAnsi="Arial" w:cs="Arial"/>
          <w:color w:val="000000" w:themeColor="text1"/>
        </w:rPr>
        <w:t xml:space="preserve">a decrease of 0.9 percentage points </w:t>
      </w:r>
      <w:r w:rsidR="00066AE4">
        <w:rPr>
          <w:rFonts w:ascii="Arial" w:hAnsi="Arial" w:cs="Arial"/>
          <w:color w:val="000000" w:themeColor="text1"/>
        </w:rPr>
        <w:t>since 2011</w:t>
      </w:r>
      <w:r w:rsidR="00565867" w:rsidRPr="00C55C5D">
        <w:rPr>
          <w:rFonts w:ascii="Arial" w:hAnsi="Arial" w:cs="Arial"/>
          <w:color w:val="000000" w:themeColor="text1"/>
        </w:rPr>
        <w:t xml:space="preserve">. </w:t>
      </w:r>
      <w:r w:rsidR="00F43E41">
        <w:rPr>
          <w:rFonts w:ascii="Arial" w:hAnsi="Arial" w:cs="Arial"/>
          <w:color w:val="000000" w:themeColor="text1"/>
        </w:rPr>
        <w:t>While in England</w:t>
      </w:r>
      <w:r w:rsidR="00565867" w:rsidRPr="00C55C5D">
        <w:rPr>
          <w:rFonts w:ascii="Arial" w:hAnsi="Arial" w:cs="Arial"/>
          <w:color w:val="000000" w:themeColor="text1"/>
        </w:rPr>
        <w:t>, children and young people constituted</w:t>
      </w:r>
      <w:r w:rsidR="00C95E30">
        <w:rPr>
          <w:rFonts w:ascii="Arial" w:hAnsi="Arial" w:cs="Arial"/>
          <w:color w:val="000000" w:themeColor="text1"/>
        </w:rPr>
        <w:t xml:space="preserve"> a smaller proportion of</w:t>
      </w:r>
      <w:r w:rsidR="00565867" w:rsidRPr="00C55C5D">
        <w:rPr>
          <w:rFonts w:ascii="Arial" w:hAnsi="Arial" w:cs="Arial"/>
          <w:color w:val="000000" w:themeColor="text1"/>
        </w:rPr>
        <w:t xml:space="preserve"> the total population, </w:t>
      </w:r>
      <w:r w:rsidR="00CD48C2">
        <w:rPr>
          <w:rFonts w:ascii="Arial" w:hAnsi="Arial" w:cs="Arial"/>
          <w:color w:val="000000" w:themeColor="text1"/>
        </w:rPr>
        <w:t>falling</w:t>
      </w:r>
      <w:r w:rsidR="00A43CA7">
        <w:rPr>
          <w:rFonts w:ascii="Arial" w:hAnsi="Arial" w:cs="Arial"/>
          <w:color w:val="000000" w:themeColor="text1"/>
        </w:rPr>
        <w:t xml:space="preserve"> by 1.6 percentage points</w:t>
      </w:r>
      <w:r w:rsidR="00CD48C2" w:rsidRPr="00C55C5D">
        <w:rPr>
          <w:rFonts w:ascii="Arial" w:hAnsi="Arial" w:cs="Arial"/>
          <w:color w:val="000000" w:themeColor="text1"/>
        </w:rPr>
        <w:t xml:space="preserve"> </w:t>
      </w:r>
      <w:r w:rsidR="00565867" w:rsidRPr="00C55C5D">
        <w:rPr>
          <w:rFonts w:ascii="Arial" w:hAnsi="Arial" w:cs="Arial"/>
          <w:color w:val="000000" w:themeColor="text1"/>
        </w:rPr>
        <w:t>from 30.8% to 29.2%.</w:t>
      </w:r>
    </w:p>
    <w:p w14:paraId="55845957" w14:textId="03D00964" w:rsidR="00C55C5D" w:rsidRDefault="0091568B" w:rsidP="00565867">
      <w:pPr>
        <w:rPr>
          <w:rFonts w:ascii="Arial" w:hAnsi="Arial" w:cs="Arial"/>
          <w:color w:val="000000" w:themeColor="text1"/>
        </w:rPr>
      </w:pPr>
      <w:r>
        <w:rPr>
          <w:rFonts w:ascii="Arial" w:hAnsi="Arial" w:cs="Arial"/>
          <w:color w:val="000000" w:themeColor="text1"/>
        </w:rPr>
        <w:t>T</w:t>
      </w:r>
      <w:r w:rsidR="00D06E10">
        <w:rPr>
          <w:rFonts w:ascii="Arial" w:hAnsi="Arial" w:cs="Arial"/>
          <w:color w:val="000000" w:themeColor="text1"/>
        </w:rPr>
        <w:t xml:space="preserve">he children and young people population </w:t>
      </w:r>
      <w:proofErr w:type="gramStart"/>
      <w:r w:rsidR="00D06E10">
        <w:rPr>
          <w:rFonts w:ascii="Arial" w:hAnsi="Arial" w:cs="Arial"/>
          <w:color w:val="000000" w:themeColor="text1"/>
        </w:rPr>
        <w:t>grew in size</w:t>
      </w:r>
      <w:proofErr w:type="gramEnd"/>
      <w:r w:rsidR="00D06E10">
        <w:rPr>
          <w:rFonts w:ascii="Arial" w:hAnsi="Arial" w:cs="Arial"/>
          <w:color w:val="000000" w:themeColor="text1"/>
        </w:rPr>
        <w:t xml:space="preserve"> both in Greater Manchester</w:t>
      </w:r>
      <w:r>
        <w:rPr>
          <w:rFonts w:ascii="Arial" w:hAnsi="Arial" w:cs="Arial"/>
          <w:color w:val="000000" w:themeColor="text1"/>
        </w:rPr>
        <w:t xml:space="preserve"> and England</w:t>
      </w:r>
      <w:r w:rsidR="00D06E10">
        <w:rPr>
          <w:rFonts w:ascii="Arial" w:hAnsi="Arial" w:cs="Arial"/>
          <w:color w:val="000000" w:themeColor="text1"/>
        </w:rPr>
        <w:t xml:space="preserve">. </w:t>
      </w:r>
      <w:r w:rsidR="00565867" w:rsidRPr="00C55C5D">
        <w:rPr>
          <w:rFonts w:ascii="Arial" w:hAnsi="Arial" w:cs="Arial"/>
          <w:color w:val="000000" w:themeColor="text1"/>
        </w:rPr>
        <w:t xml:space="preserve">The 2021 census recorded </w:t>
      </w:r>
      <w:bookmarkStart w:id="3" w:name="_Hlk152665334"/>
      <w:r w:rsidR="00565867" w:rsidRPr="00C55C5D">
        <w:rPr>
          <w:rFonts w:ascii="Arial" w:hAnsi="Arial" w:cs="Arial"/>
          <w:color w:val="000000" w:themeColor="text1"/>
        </w:rPr>
        <w:t>914,</w:t>
      </w:r>
      <w:r w:rsidR="00BC393A" w:rsidRPr="00C55C5D">
        <w:rPr>
          <w:rFonts w:ascii="Arial" w:hAnsi="Arial" w:cs="Arial"/>
          <w:color w:val="000000" w:themeColor="text1"/>
        </w:rPr>
        <w:t>36</w:t>
      </w:r>
      <w:r w:rsidR="00BC393A">
        <w:rPr>
          <w:rFonts w:ascii="Arial" w:hAnsi="Arial" w:cs="Arial"/>
          <w:color w:val="000000" w:themeColor="text1"/>
        </w:rPr>
        <w:t>9</w:t>
      </w:r>
      <w:r w:rsidR="00BC393A" w:rsidRPr="00C55C5D">
        <w:rPr>
          <w:rFonts w:ascii="Arial" w:hAnsi="Arial" w:cs="Arial"/>
          <w:color w:val="000000" w:themeColor="text1"/>
        </w:rPr>
        <w:t xml:space="preserve"> </w:t>
      </w:r>
      <w:bookmarkEnd w:id="3"/>
      <w:r w:rsidR="00565867" w:rsidRPr="00C55C5D">
        <w:rPr>
          <w:rFonts w:ascii="Arial" w:hAnsi="Arial" w:cs="Arial"/>
          <w:color w:val="000000" w:themeColor="text1"/>
        </w:rPr>
        <w:t xml:space="preserve">Greater Manchester residents aged between 0 to 24 years, </w:t>
      </w:r>
      <w:r w:rsidR="0036667D">
        <w:rPr>
          <w:rFonts w:ascii="Arial" w:hAnsi="Arial" w:cs="Arial"/>
          <w:color w:val="000000" w:themeColor="text1"/>
        </w:rPr>
        <w:t xml:space="preserve">up </w:t>
      </w:r>
      <w:r w:rsidR="00565867" w:rsidRPr="00C55C5D">
        <w:rPr>
          <w:rFonts w:ascii="Arial" w:hAnsi="Arial" w:cs="Arial"/>
          <w:color w:val="000000" w:themeColor="text1"/>
        </w:rPr>
        <w:t>34,</w:t>
      </w:r>
      <w:r w:rsidR="00BC393A" w:rsidRPr="00C55C5D">
        <w:rPr>
          <w:rFonts w:ascii="Arial" w:hAnsi="Arial" w:cs="Arial"/>
          <w:color w:val="000000" w:themeColor="text1"/>
        </w:rPr>
        <w:t>08</w:t>
      </w:r>
      <w:r w:rsidR="00BC393A">
        <w:rPr>
          <w:rFonts w:ascii="Arial" w:hAnsi="Arial" w:cs="Arial"/>
          <w:color w:val="000000" w:themeColor="text1"/>
        </w:rPr>
        <w:t>7</w:t>
      </w:r>
      <w:r w:rsidR="00BC393A" w:rsidRPr="00C55C5D">
        <w:rPr>
          <w:rFonts w:ascii="Arial" w:hAnsi="Arial" w:cs="Arial"/>
          <w:color w:val="000000" w:themeColor="text1"/>
        </w:rPr>
        <w:t xml:space="preserve"> </w:t>
      </w:r>
      <w:r w:rsidR="0036667D">
        <w:rPr>
          <w:rFonts w:ascii="Arial" w:hAnsi="Arial" w:cs="Arial"/>
          <w:color w:val="000000" w:themeColor="text1"/>
        </w:rPr>
        <w:t>on</w:t>
      </w:r>
      <w:r w:rsidR="00565867" w:rsidRPr="00C55C5D">
        <w:rPr>
          <w:rFonts w:ascii="Arial" w:hAnsi="Arial" w:cs="Arial"/>
          <w:color w:val="000000" w:themeColor="text1"/>
        </w:rPr>
        <w:t xml:space="preserve"> 2011</w:t>
      </w:r>
      <w:r w:rsidR="000E14CB">
        <w:rPr>
          <w:rFonts w:ascii="Arial" w:hAnsi="Arial" w:cs="Arial"/>
          <w:color w:val="000000" w:themeColor="text1"/>
        </w:rPr>
        <w:t xml:space="preserve"> </w:t>
      </w:r>
      <w:r w:rsidR="00650BF2">
        <w:rPr>
          <w:rFonts w:ascii="Arial" w:hAnsi="Arial" w:cs="Arial"/>
          <w:color w:val="000000" w:themeColor="text1"/>
        </w:rPr>
        <w:t>(</w:t>
      </w:r>
      <w:r w:rsidR="00652389">
        <w:rPr>
          <w:rFonts w:ascii="Arial" w:hAnsi="Arial" w:cs="Arial"/>
          <w:color w:val="000000" w:themeColor="text1"/>
        </w:rPr>
        <w:t xml:space="preserve">up </w:t>
      </w:r>
      <w:r w:rsidR="00BC393A">
        <w:rPr>
          <w:rFonts w:ascii="Arial" w:hAnsi="Arial" w:cs="Arial"/>
          <w:color w:val="000000" w:themeColor="text1"/>
        </w:rPr>
        <w:t>3.9</w:t>
      </w:r>
      <w:r w:rsidR="00652389">
        <w:rPr>
          <w:rFonts w:ascii="Arial" w:hAnsi="Arial" w:cs="Arial"/>
          <w:color w:val="000000" w:themeColor="text1"/>
        </w:rPr>
        <w:t xml:space="preserve">%) </w:t>
      </w:r>
      <w:r w:rsidR="000E14CB">
        <w:rPr>
          <w:rFonts w:ascii="Arial" w:hAnsi="Arial" w:cs="Arial"/>
          <w:color w:val="000000" w:themeColor="text1"/>
        </w:rPr>
        <w:t>compared to a</w:t>
      </w:r>
      <w:r w:rsidR="00652389">
        <w:rPr>
          <w:rFonts w:ascii="Arial" w:hAnsi="Arial" w:cs="Arial"/>
          <w:color w:val="000000" w:themeColor="text1"/>
        </w:rPr>
        <w:t xml:space="preserve"> </w:t>
      </w:r>
      <w:r w:rsidR="00D06E10">
        <w:rPr>
          <w:rFonts w:ascii="Arial" w:hAnsi="Arial" w:cs="Arial"/>
          <w:color w:val="000000" w:themeColor="text1"/>
        </w:rPr>
        <w:t xml:space="preserve">1.0% increase </w:t>
      </w:r>
      <w:r w:rsidR="00650BF2">
        <w:rPr>
          <w:rFonts w:ascii="Arial" w:hAnsi="Arial" w:cs="Arial"/>
          <w:color w:val="000000" w:themeColor="text1"/>
        </w:rPr>
        <w:t>in England</w:t>
      </w:r>
      <w:r w:rsidR="00565867" w:rsidRPr="00C55C5D">
        <w:rPr>
          <w:rFonts w:ascii="Arial" w:hAnsi="Arial" w:cs="Arial"/>
          <w:color w:val="000000" w:themeColor="text1"/>
        </w:rPr>
        <w:t>.</w:t>
      </w:r>
    </w:p>
    <w:p w14:paraId="36D7199D" w14:textId="4B388BC5" w:rsidR="00517DD0" w:rsidRPr="00C55C5D" w:rsidRDefault="00517DD0" w:rsidP="00565867">
      <w:pPr>
        <w:rPr>
          <w:rFonts w:ascii="Arial" w:hAnsi="Arial" w:cs="Arial"/>
          <w:color w:val="000000" w:themeColor="text1"/>
        </w:rPr>
      </w:pPr>
      <w:r>
        <w:rPr>
          <w:rFonts w:ascii="Arial" w:hAnsi="Arial" w:cs="Arial"/>
          <w:color w:val="000000" w:themeColor="text1"/>
        </w:rPr>
        <w:t>The population increase</w:t>
      </w:r>
      <w:r w:rsidR="0091568B">
        <w:rPr>
          <w:rFonts w:ascii="Arial" w:hAnsi="Arial" w:cs="Arial"/>
          <w:color w:val="000000" w:themeColor="text1"/>
        </w:rPr>
        <w:t xml:space="preserve"> in </w:t>
      </w:r>
      <w:r w:rsidR="00F809CF">
        <w:rPr>
          <w:rFonts w:ascii="Arial" w:hAnsi="Arial" w:cs="Arial"/>
          <w:color w:val="000000" w:themeColor="text1"/>
        </w:rPr>
        <w:t xml:space="preserve">children and young people in </w:t>
      </w:r>
      <w:r w:rsidR="0091568B">
        <w:rPr>
          <w:rFonts w:ascii="Arial" w:hAnsi="Arial" w:cs="Arial"/>
          <w:color w:val="000000" w:themeColor="text1"/>
        </w:rPr>
        <w:t>Greater Manchester</w:t>
      </w:r>
      <w:r>
        <w:rPr>
          <w:rFonts w:ascii="Arial" w:hAnsi="Arial" w:cs="Arial"/>
          <w:color w:val="000000" w:themeColor="text1"/>
        </w:rPr>
        <w:t xml:space="preserve"> was underpinned by a substantial increase in t</w:t>
      </w:r>
      <w:r w:rsidRPr="00C55C5D">
        <w:rPr>
          <w:rFonts w:ascii="Arial" w:hAnsi="Arial" w:cs="Arial"/>
          <w:color w:val="000000" w:themeColor="text1"/>
        </w:rPr>
        <w:t xml:space="preserve">he </w:t>
      </w:r>
      <w:r>
        <w:rPr>
          <w:rFonts w:ascii="Arial" w:hAnsi="Arial" w:cs="Arial"/>
          <w:color w:val="000000" w:themeColor="text1"/>
        </w:rPr>
        <w:t>school age</w:t>
      </w:r>
      <w:r w:rsidRPr="00C55C5D">
        <w:rPr>
          <w:rFonts w:ascii="Arial" w:hAnsi="Arial" w:cs="Arial"/>
          <w:color w:val="000000" w:themeColor="text1"/>
        </w:rPr>
        <w:t xml:space="preserve"> population</w:t>
      </w:r>
      <w:r w:rsidR="00F809CF">
        <w:rPr>
          <w:rFonts w:ascii="Arial" w:hAnsi="Arial" w:cs="Arial"/>
          <w:color w:val="000000" w:themeColor="text1"/>
        </w:rPr>
        <w:t xml:space="preserve">, with </w:t>
      </w:r>
      <w:proofErr w:type="gramStart"/>
      <w:r w:rsidR="00F809CF">
        <w:rPr>
          <w:rFonts w:ascii="Arial" w:hAnsi="Arial" w:cs="Arial"/>
          <w:color w:val="000000" w:themeColor="text1"/>
        </w:rPr>
        <w:t>the majority of</w:t>
      </w:r>
      <w:proofErr w:type="gramEnd"/>
      <w:r w:rsidR="00F809CF">
        <w:rPr>
          <w:rFonts w:ascii="Arial" w:hAnsi="Arial" w:cs="Arial"/>
          <w:color w:val="000000" w:themeColor="text1"/>
        </w:rPr>
        <w:t xml:space="preserve"> growth in ages 6 – 13 with all groups seeing a growth of over 10%</w:t>
      </w:r>
      <w:r>
        <w:rPr>
          <w:rFonts w:ascii="Arial" w:hAnsi="Arial" w:cs="Arial"/>
          <w:color w:val="000000" w:themeColor="text1"/>
        </w:rPr>
        <w:t xml:space="preserve">. </w:t>
      </w:r>
      <w:r w:rsidRPr="00C55C5D">
        <w:rPr>
          <w:rFonts w:ascii="Arial" w:hAnsi="Arial" w:cs="Arial"/>
          <w:color w:val="000000" w:themeColor="text1"/>
        </w:rPr>
        <w:t xml:space="preserve">In Greater Manchester, an additional 60,328 </w:t>
      </w:r>
      <w:r w:rsidR="00F809CF">
        <w:rPr>
          <w:rFonts w:ascii="Arial" w:hAnsi="Arial" w:cs="Arial"/>
          <w:color w:val="000000" w:themeColor="text1"/>
        </w:rPr>
        <w:t>school age</w:t>
      </w:r>
      <w:r w:rsidR="003E1573">
        <w:rPr>
          <w:rFonts w:ascii="Arial" w:hAnsi="Arial" w:cs="Arial"/>
          <w:color w:val="000000" w:themeColor="text1"/>
        </w:rPr>
        <w:t xml:space="preserve"> (5 – 17)</w:t>
      </w:r>
      <w:r w:rsidR="00F809CF">
        <w:rPr>
          <w:rFonts w:ascii="Arial" w:hAnsi="Arial" w:cs="Arial"/>
          <w:color w:val="000000" w:themeColor="text1"/>
        </w:rPr>
        <w:t xml:space="preserve"> </w:t>
      </w:r>
      <w:r w:rsidRPr="00C55C5D">
        <w:rPr>
          <w:rFonts w:ascii="Arial" w:hAnsi="Arial" w:cs="Arial"/>
          <w:color w:val="000000" w:themeColor="text1"/>
        </w:rPr>
        <w:t>individuals were reported</w:t>
      </w:r>
      <w:r>
        <w:rPr>
          <w:rFonts w:ascii="Arial" w:hAnsi="Arial" w:cs="Arial"/>
          <w:color w:val="000000" w:themeColor="text1"/>
        </w:rPr>
        <w:t xml:space="preserve"> (up </w:t>
      </w:r>
      <w:r w:rsidRPr="00C55C5D">
        <w:rPr>
          <w:rFonts w:ascii="Arial" w:hAnsi="Arial" w:cs="Arial"/>
          <w:color w:val="000000" w:themeColor="text1"/>
        </w:rPr>
        <w:t>14.4%</w:t>
      </w:r>
      <w:r>
        <w:rPr>
          <w:rFonts w:ascii="Arial" w:hAnsi="Arial" w:cs="Arial"/>
          <w:color w:val="000000" w:themeColor="text1"/>
        </w:rPr>
        <w:t>)</w:t>
      </w:r>
      <w:r w:rsidRPr="00C55C5D">
        <w:rPr>
          <w:rFonts w:ascii="Arial" w:hAnsi="Arial" w:cs="Arial"/>
          <w:color w:val="000000" w:themeColor="text1"/>
        </w:rPr>
        <w:t>. Again, this pattern</w:t>
      </w:r>
      <w:r w:rsidR="0091568B">
        <w:rPr>
          <w:rFonts w:ascii="Arial" w:hAnsi="Arial" w:cs="Arial"/>
          <w:color w:val="000000" w:themeColor="text1"/>
        </w:rPr>
        <w:t xml:space="preserve"> is similar </w:t>
      </w:r>
      <w:r w:rsidRPr="00C55C5D">
        <w:rPr>
          <w:rFonts w:ascii="Arial" w:hAnsi="Arial" w:cs="Arial"/>
          <w:color w:val="000000" w:themeColor="text1"/>
        </w:rPr>
        <w:t>nationally</w:t>
      </w:r>
      <w:r>
        <w:rPr>
          <w:rFonts w:ascii="Arial" w:hAnsi="Arial" w:cs="Arial"/>
          <w:color w:val="000000" w:themeColor="text1"/>
        </w:rPr>
        <w:t xml:space="preserve"> where </w:t>
      </w:r>
      <w:r w:rsidR="00321F76" w:rsidRPr="00C55C5D">
        <w:rPr>
          <w:rFonts w:ascii="Arial" w:hAnsi="Arial" w:cs="Arial"/>
          <w:color w:val="000000" w:themeColor="text1"/>
        </w:rPr>
        <w:t>an</w:t>
      </w:r>
      <w:r>
        <w:rPr>
          <w:rFonts w:ascii="Arial" w:hAnsi="Arial" w:cs="Arial"/>
          <w:color w:val="000000" w:themeColor="text1"/>
        </w:rPr>
        <w:t xml:space="preserve"> </w:t>
      </w:r>
      <w:r w:rsidRPr="00C55C5D">
        <w:rPr>
          <w:rFonts w:ascii="Arial" w:hAnsi="Arial" w:cs="Arial"/>
          <w:color w:val="000000" w:themeColor="text1"/>
        </w:rPr>
        <w:t>8.</w:t>
      </w:r>
      <w:r>
        <w:rPr>
          <w:rFonts w:ascii="Arial" w:hAnsi="Arial" w:cs="Arial"/>
          <w:color w:val="000000" w:themeColor="text1"/>
        </w:rPr>
        <w:t>5</w:t>
      </w:r>
      <w:r w:rsidRPr="00C55C5D">
        <w:rPr>
          <w:rFonts w:ascii="Arial" w:hAnsi="Arial" w:cs="Arial"/>
          <w:color w:val="000000" w:themeColor="text1"/>
        </w:rPr>
        <w:t>%</w:t>
      </w:r>
      <w:r>
        <w:rPr>
          <w:rFonts w:ascii="Arial" w:hAnsi="Arial" w:cs="Arial"/>
          <w:color w:val="000000" w:themeColor="text1"/>
        </w:rPr>
        <w:t xml:space="preserve"> increase was observed.</w:t>
      </w:r>
    </w:p>
    <w:p w14:paraId="3145F67C" w14:textId="7CDBEEB1" w:rsidR="00BF2DA1" w:rsidRDefault="00517DD0" w:rsidP="00C55C5D">
      <w:pPr>
        <w:rPr>
          <w:rFonts w:ascii="Arial" w:hAnsi="Arial" w:cs="Arial"/>
          <w:color w:val="000000" w:themeColor="text1"/>
        </w:rPr>
      </w:pPr>
      <w:r>
        <w:rPr>
          <w:rFonts w:ascii="Arial" w:hAnsi="Arial" w:cs="Arial"/>
          <w:color w:val="000000" w:themeColor="text1"/>
        </w:rPr>
        <w:t xml:space="preserve">Conversely, the early years </w:t>
      </w:r>
      <w:r w:rsidR="0091568B">
        <w:rPr>
          <w:rFonts w:ascii="Arial" w:hAnsi="Arial" w:cs="Arial"/>
          <w:color w:val="000000" w:themeColor="text1"/>
        </w:rPr>
        <w:t xml:space="preserve">(0-4) </w:t>
      </w:r>
      <w:r>
        <w:rPr>
          <w:rFonts w:ascii="Arial" w:hAnsi="Arial" w:cs="Arial"/>
          <w:color w:val="000000" w:themeColor="text1"/>
        </w:rPr>
        <w:t xml:space="preserve">and young adult populations </w:t>
      </w:r>
      <w:r w:rsidR="0091568B">
        <w:rPr>
          <w:rFonts w:ascii="Arial" w:hAnsi="Arial" w:cs="Arial"/>
          <w:color w:val="000000" w:themeColor="text1"/>
        </w:rPr>
        <w:t>(18-24</w:t>
      </w:r>
      <w:r w:rsidR="00F43E41">
        <w:rPr>
          <w:rFonts w:ascii="Arial" w:hAnsi="Arial" w:cs="Arial"/>
          <w:color w:val="000000" w:themeColor="text1"/>
        </w:rPr>
        <w:t>)</w:t>
      </w:r>
      <w:r w:rsidR="0091568B">
        <w:rPr>
          <w:rFonts w:ascii="Arial" w:hAnsi="Arial" w:cs="Arial"/>
          <w:color w:val="000000" w:themeColor="text1"/>
        </w:rPr>
        <w:t xml:space="preserve"> </w:t>
      </w:r>
      <w:r>
        <w:rPr>
          <w:rFonts w:ascii="Arial" w:hAnsi="Arial" w:cs="Arial"/>
          <w:color w:val="000000" w:themeColor="text1"/>
        </w:rPr>
        <w:t>have fallen.</w:t>
      </w:r>
      <w:r w:rsidR="001E67C4">
        <w:rPr>
          <w:rFonts w:ascii="Arial" w:hAnsi="Arial" w:cs="Arial"/>
          <w:color w:val="000000" w:themeColor="text1"/>
        </w:rPr>
        <w:t xml:space="preserve"> </w:t>
      </w:r>
      <w:r w:rsidR="00C55C5D" w:rsidRPr="00C55C5D">
        <w:rPr>
          <w:rFonts w:ascii="Arial" w:hAnsi="Arial" w:cs="Arial"/>
          <w:color w:val="000000" w:themeColor="text1"/>
        </w:rPr>
        <w:t xml:space="preserve">The number of Greater Manchester </w:t>
      </w:r>
      <w:r w:rsidR="00F809CF">
        <w:rPr>
          <w:rFonts w:ascii="Arial" w:hAnsi="Arial" w:cs="Arial"/>
          <w:color w:val="000000" w:themeColor="text1"/>
        </w:rPr>
        <w:t xml:space="preserve">0-4 </w:t>
      </w:r>
      <w:r w:rsidR="00C55C5D" w:rsidRPr="00C55C5D">
        <w:rPr>
          <w:rFonts w:ascii="Arial" w:hAnsi="Arial" w:cs="Arial"/>
          <w:color w:val="000000" w:themeColor="text1"/>
        </w:rPr>
        <w:t>residents fell by 7,8</w:t>
      </w:r>
      <w:r w:rsidR="00321F76">
        <w:rPr>
          <w:rFonts w:ascii="Arial" w:hAnsi="Arial" w:cs="Arial"/>
          <w:color w:val="000000" w:themeColor="text1"/>
        </w:rPr>
        <w:t>64</w:t>
      </w:r>
      <w:r w:rsidR="00C55C5D" w:rsidRPr="00C55C5D">
        <w:rPr>
          <w:rFonts w:ascii="Arial" w:hAnsi="Arial" w:cs="Arial"/>
          <w:color w:val="000000" w:themeColor="text1"/>
        </w:rPr>
        <w:t xml:space="preserve"> </w:t>
      </w:r>
      <w:r w:rsidR="0036667D">
        <w:rPr>
          <w:rFonts w:ascii="Arial" w:hAnsi="Arial" w:cs="Arial"/>
          <w:color w:val="000000" w:themeColor="text1"/>
        </w:rPr>
        <w:t>(down 4.3%)</w:t>
      </w:r>
      <w:r w:rsidR="00F809CF">
        <w:rPr>
          <w:rFonts w:ascii="Arial" w:hAnsi="Arial" w:cs="Arial"/>
          <w:color w:val="000000" w:themeColor="text1"/>
        </w:rPr>
        <w:t>. However, Salford saw a 6.2% increase in residents aged 0-4</w:t>
      </w:r>
      <w:r w:rsidR="00C55C5D" w:rsidRPr="00C55C5D">
        <w:rPr>
          <w:rFonts w:ascii="Arial" w:hAnsi="Arial" w:cs="Arial"/>
          <w:color w:val="000000" w:themeColor="text1"/>
        </w:rPr>
        <w:t xml:space="preserve">. Nationally, a decrease was </w:t>
      </w:r>
      <w:r w:rsidR="003D1255">
        <w:rPr>
          <w:rFonts w:ascii="Arial" w:hAnsi="Arial" w:cs="Arial"/>
          <w:color w:val="000000" w:themeColor="text1"/>
        </w:rPr>
        <w:t xml:space="preserve">similarly </w:t>
      </w:r>
      <w:r w:rsidR="00C55C5D" w:rsidRPr="00C55C5D">
        <w:rPr>
          <w:rFonts w:ascii="Arial" w:hAnsi="Arial" w:cs="Arial"/>
          <w:color w:val="000000" w:themeColor="text1"/>
        </w:rPr>
        <w:t>observed</w:t>
      </w:r>
      <w:r w:rsidR="0036667D">
        <w:rPr>
          <w:rFonts w:ascii="Arial" w:hAnsi="Arial" w:cs="Arial"/>
          <w:color w:val="000000" w:themeColor="text1"/>
        </w:rPr>
        <w:t xml:space="preserve"> (down </w:t>
      </w:r>
      <w:r w:rsidR="0036667D" w:rsidRPr="00C55C5D">
        <w:rPr>
          <w:rFonts w:ascii="Arial" w:hAnsi="Arial" w:cs="Arial"/>
          <w:color w:val="000000" w:themeColor="text1"/>
        </w:rPr>
        <w:t>7.</w:t>
      </w:r>
      <w:r w:rsidR="0011607C">
        <w:rPr>
          <w:rFonts w:ascii="Arial" w:hAnsi="Arial" w:cs="Arial"/>
          <w:color w:val="000000" w:themeColor="text1"/>
        </w:rPr>
        <w:t>3</w:t>
      </w:r>
      <w:r w:rsidR="0036667D" w:rsidRPr="00C55C5D">
        <w:rPr>
          <w:rFonts w:ascii="Arial" w:hAnsi="Arial" w:cs="Arial"/>
          <w:color w:val="000000" w:themeColor="text1"/>
        </w:rPr>
        <w:t>%</w:t>
      </w:r>
      <w:r w:rsidR="0036667D">
        <w:rPr>
          <w:rFonts w:ascii="Arial" w:hAnsi="Arial" w:cs="Arial"/>
          <w:color w:val="000000" w:themeColor="text1"/>
        </w:rPr>
        <w:t>)</w:t>
      </w:r>
      <w:r w:rsidR="00C55C5D" w:rsidRPr="00C55C5D">
        <w:rPr>
          <w:rFonts w:ascii="Arial" w:hAnsi="Arial" w:cs="Arial"/>
          <w:color w:val="000000" w:themeColor="text1"/>
        </w:rPr>
        <w:t xml:space="preserve">. </w:t>
      </w:r>
      <w:r w:rsidR="001E67C4">
        <w:rPr>
          <w:rFonts w:ascii="Arial" w:hAnsi="Arial" w:cs="Arial"/>
          <w:color w:val="000000" w:themeColor="text1"/>
        </w:rPr>
        <w:t xml:space="preserve">Among </w:t>
      </w:r>
      <w:r w:rsidR="00F809CF">
        <w:rPr>
          <w:rFonts w:ascii="Arial" w:hAnsi="Arial" w:cs="Arial"/>
          <w:color w:val="000000" w:themeColor="text1"/>
        </w:rPr>
        <w:t>those aged 18-24</w:t>
      </w:r>
      <w:r w:rsidR="001E67C4">
        <w:rPr>
          <w:rFonts w:ascii="Arial" w:hAnsi="Arial" w:cs="Arial"/>
          <w:color w:val="000000" w:themeColor="text1"/>
        </w:rPr>
        <w:t>, the population</w:t>
      </w:r>
      <w:r w:rsidR="001E67C4" w:rsidRPr="00C55C5D">
        <w:rPr>
          <w:rFonts w:ascii="Arial" w:hAnsi="Arial" w:cs="Arial"/>
          <w:color w:val="000000" w:themeColor="text1"/>
        </w:rPr>
        <w:t xml:space="preserve"> </w:t>
      </w:r>
      <w:r w:rsidR="001E67C4">
        <w:rPr>
          <w:rFonts w:ascii="Arial" w:hAnsi="Arial" w:cs="Arial"/>
          <w:color w:val="000000" w:themeColor="text1"/>
        </w:rPr>
        <w:t>fell</w:t>
      </w:r>
      <w:r w:rsidR="001E67C4" w:rsidRPr="00C55C5D">
        <w:rPr>
          <w:rFonts w:ascii="Arial" w:hAnsi="Arial" w:cs="Arial"/>
          <w:color w:val="000000" w:themeColor="text1"/>
        </w:rPr>
        <w:t xml:space="preserve"> in Greater Manchester by 18,3</w:t>
      </w:r>
      <w:r w:rsidR="00EA6976">
        <w:rPr>
          <w:rFonts w:ascii="Arial" w:hAnsi="Arial" w:cs="Arial"/>
          <w:color w:val="000000" w:themeColor="text1"/>
        </w:rPr>
        <w:t>74</w:t>
      </w:r>
      <w:r w:rsidR="001E67C4" w:rsidRPr="00C55C5D">
        <w:rPr>
          <w:rFonts w:ascii="Arial" w:hAnsi="Arial" w:cs="Arial"/>
          <w:color w:val="000000" w:themeColor="text1"/>
        </w:rPr>
        <w:t xml:space="preserve"> </w:t>
      </w:r>
      <w:r w:rsidR="001E67C4">
        <w:rPr>
          <w:rFonts w:ascii="Arial" w:hAnsi="Arial" w:cs="Arial"/>
          <w:color w:val="000000" w:themeColor="text1"/>
        </w:rPr>
        <w:t>(down</w:t>
      </w:r>
      <w:r w:rsidR="001E67C4" w:rsidRPr="00C55C5D">
        <w:rPr>
          <w:rFonts w:ascii="Arial" w:hAnsi="Arial" w:cs="Arial"/>
          <w:color w:val="000000" w:themeColor="text1"/>
        </w:rPr>
        <w:t xml:space="preserve"> 6.6%</w:t>
      </w:r>
      <w:r w:rsidR="001E67C4">
        <w:rPr>
          <w:rFonts w:ascii="Arial" w:hAnsi="Arial" w:cs="Arial"/>
          <w:color w:val="000000" w:themeColor="text1"/>
        </w:rPr>
        <w:t>)</w:t>
      </w:r>
      <w:r w:rsidR="001E67C4" w:rsidRPr="00C55C5D">
        <w:rPr>
          <w:rFonts w:ascii="Arial" w:hAnsi="Arial" w:cs="Arial"/>
          <w:color w:val="000000" w:themeColor="text1"/>
        </w:rPr>
        <w:t>. Th</w:t>
      </w:r>
      <w:r w:rsidR="001E67C4">
        <w:rPr>
          <w:rFonts w:ascii="Arial" w:hAnsi="Arial" w:cs="Arial"/>
          <w:color w:val="000000" w:themeColor="text1"/>
        </w:rPr>
        <w:t>is</w:t>
      </w:r>
      <w:r w:rsidR="001E67C4" w:rsidRPr="00C55C5D">
        <w:rPr>
          <w:rFonts w:ascii="Arial" w:hAnsi="Arial" w:cs="Arial"/>
          <w:color w:val="000000" w:themeColor="text1"/>
        </w:rPr>
        <w:t xml:space="preserve"> </w:t>
      </w:r>
      <w:r w:rsidR="00D06E10">
        <w:rPr>
          <w:rFonts w:ascii="Arial" w:hAnsi="Arial" w:cs="Arial"/>
          <w:color w:val="000000" w:themeColor="text1"/>
        </w:rPr>
        <w:t>is in line with nationally, where there was a 5.5% reduction.</w:t>
      </w:r>
      <w:r w:rsidR="00D06E10" w:rsidDel="00D06E10">
        <w:rPr>
          <w:rFonts w:ascii="Arial" w:hAnsi="Arial" w:cs="Arial"/>
          <w:color w:val="000000" w:themeColor="text1"/>
        </w:rPr>
        <w:t xml:space="preserve"> </w:t>
      </w:r>
    </w:p>
    <w:p w14:paraId="1C60E5A7" w14:textId="77777777" w:rsidR="00BF2DA1" w:rsidRDefault="00BF2DA1">
      <w:pPr>
        <w:rPr>
          <w:rFonts w:ascii="Arial" w:hAnsi="Arial" w:cs="Arial"/>
          <w:color w:val="000000" w:themeColor="text1"/>
        </w:rPr>
      </w:pPr>
      <w:r>
        <w:rPr>
          <w:rFonts w:ascii="Arial" w:hAnsi="Arial" w:cs="Arial"/>
          <w:color w:val="000000" w:themeColor="text1"/>
        </w:rPr>
        <w:br w:type="page"/>
      </w:r>
    </w:p>
    <w:p w14:paraId="42FE02C0" w14:textId="77777777" w:rsidR="00BF2DA1" w:rsidRDefault="00BF2DA1" w:rsidP="00B03CEA">
      <w:pPr>
        <w:rPr>
          <w:rFonts w:eastAsia="Times New Roman" w:cs="Arial"/>
          <w:b/>
          <w:bCs/>
          <w:color w:val="000000"/>
          <w:lang w:eastAsia="en-GB"/>
        </w:rPr>
        <w:sectPr w:rsidR="00BF2DA1" w:rsidSect="00113D94">
          <w:headerReference w:type="default" r:id="rId14"/>
          <w:footerReference w:type="default" r:id="rId15"/>
          <w:footerReference w:type="first" r:id="rId16"/>
          <w:pgSz w:w="11906" w:h="16838" w:code="9"/>
          <w:pgMar w:top="1440" w:right="1440" w:bottom="1440" w:left="1440" w:header="709" w:footer="939"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B03CEA" w:rsidRPr="00BC6819" w14:paraId="04FA6AD5" w14:textId="77777777" w:rsidTr="00BF2DA1">
        <w:trPr>
          <w:trHeight w:val="294"/>
        </w:trPr>
        <w:tc>
          <w:tcPr>
            <w:tcW w:w="9026" w:type="dxa"/>
          </w:tcPr>
          <w:tbl>
            <w:tblPr>
              <w:tblStyle w:val="TableGrid"/>
              <w:tblW w:w="13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9"/>
            </w:tblGrid>
            <w:tr w:rsidR="00527AD8" w:rsidRPr="00BC6819" w14:paraId="577620EE" w14:textId="77777777" w:rsidTr="00472A81">
              <w:trPr>
                <w:trHeight w:val="270"/>
              </w:trPr>
              <w:tc>
                <w:tcPr>
                  <w:tcW w:w="13749" w:type="dxa"/>
                </w:tcPr>
                <w:p w14:paraId="59EF96B9" w14:textId="16AE0FFD" w:rsidR="00527AD8" w:rsidRPr="00BC6819" w:rsidRDefault="00527AD8" w:rsidP="00B03CEA">
                  <w:pPr>
                    <w:rPr>
                      <w:rFonts w:eastAsia="Times New Roman" w:cs="Arial"/>
                      <w:b/>
                      <w:bCs/>
                      <w:color w:val="000000"/>
                      <w:lang w:eastAsia="en-GB"/>
                    </w:rPr>
                  </w:pPr>
                  <w:r w:rsidRPr="00BC6819">
                    <w:rPr>
                      <w:rFonts w:eastAsia="Times New Roman" w:cs="Arial"/>
                      <w:b/>
                      <w:bCs/>
                      <w:color w:val="000000"/>
                      <w:lang w:eastAsia="en-GB"/>
                    </w:rPr>
                    <w:lastRenderedPageBreak/>
                    <w:t xml:space="preserve">Population change, by age group and </w:t>
                  </w:r>
                  <w:r w:rsidR="002A522B" w:rsidRPr="00BC6819">
                    <w:rPr>
                      <w:rFonts w:eastAsia="Times New Roman" w:cs="Arial"/>
                      <w:b/>
                      <w:bCs/>
                      <w:color w:val="000000"/>
                      <w:lang w:eastAsia="en-GB"/>
                    </w:rPr>
                    <w:t>district</w:t>
                  </w:r>
                  <w:r w:rsidRPr="00BC6819">
                    <w:rPr>
                      <w:rFonts w:eastAsia="Times New Roman" w:cs="Arial"/>
                      <w:b/>
                      <w:bCs/>
                      <w:color w:val="000000"/>
                      <w:lang w:eastAsia="en-GB"/>
                    </w:rPr>
                    <w:t>, between 2011 and 2021</w:t>
                  </w:r>
                </w:p>
              </w:tc>
            </w:tr>
            <w:tr w:rsidR="00527AD8" w:rsidRPr="00BC6819" w14:paraId="72617C1D" w14:textId="77777777" w:rsidTr="00472A81">
              <w:trPr>
                <w:trHeight w:val="3819"/>
              </w:trPr>
              <w:tc>
                <w:tcPr>
                  <w:tcW w:w="13749" w:type="dxa"/>
                </w:tcPr>
                <w:tbl>
                  <w:tblPr>
                    <w:tblpPr w:leftFromText="180" w:rightFromText="180" w:vertAnchor="text" w:horzAnchor="margin" w:tblpY="-198"/>
                    <w:tblOverlap w:val="never"/>
                    <w:tblW w:w="13505" w:type="dxa"/>
                    <w:tblLook w:val="04A0" w:firstRow="1" w:lastRow="0" w:firstColumn="1" w:lastColumn="0" w:noHBand="0" w:noVBand="1"/>
                  </w:tblPr>
                  <w:tblGrid>
                    <w:gridCol w:w="2573"/>
                    <w:gridCol w:w="1347"/>
                    <w:gridCol w:w="1347"/>
                    <w:gridCol w:w="891"/>
                    <w:gridCol w:w="1333"/>
                    <w:gridCol w:w="1346"/>
                    <w:gridCol w:w="946"/>
                    <w:gridCol w:w="1346"/>
                    <w:gridCol w:w="1346"/>
                    <w:gridCol w:w="1030"/>
                  </w:tblGrid>
                  <w:tr w:rsidR="00BC6819" w:rsidRPr="00BC6819" w14:paraId="66C1CC66" w14:textId="77777777" w:rsidTr="00472A81">
                    <w:trPr>
                      <w:trHeight w:val="23"/>
                    </w:trPr>
                    <w:tc>
                      <w:tcPr>
                        <w:tcW w:w="0" w:type="auto"/>
                        <w:tcBorders>
                          <w:top w:val="single" w:sz="8" w:space="0" w:color="FFFFFF"/>
                          <w:left w:val="single" w:sz="8" w:space="0" w:color="FFFFFF"/>
                          <w:bottom w:val="single" w:sz="8" w:space="0" w:color="FFFFFF"/>
                          <w:right w:val="nil"/>
                        </w:tcBorders>
                        <w:shd w:val="clear" w:color="000000" w:fill="2C5060"/>
                        <w:noWrap/>
                        <w:hideMark/>
                      </w:tcPr>
                      <w:p w14:paraId="2384F6C4" w14:textId="558A5283" w:rsidR="00527AD8" w:rsidRPr="005C0166" w:rsidRDefault="00527AD8" w:rsidP="00527AD8">
                        <w:pPr>
                          <w:spacing w:after="0" w:line="240" w:lineRule="auto"/>
                          <w:rPr>
                            <w:rFonts w:ascii="Arial" w:eastAsia="Times New Roman" w:hAnsi="Arial" w:cs="Arial"/>
                            <w:color w:val="000000"/>
                            <w:lang w:eastAsia="en-GB"/>
                          </w:rPr>
                        </w:pPr>
                        <w:r w:rsidRPr="005C0166">
                          <w:rPr>
                            <w:rFonts w:ascii="Arial" w:eastAsia="Times New Roman" w:hAnsi="Arial" w:cs="Arial"/>
                            <w:color w:val="000000"/>
                            <w:lang w:eastAsia="en-GB"/>
                          </w:rPr>
                          <w:t> </w:t>
                        </w:r>
                      </w:p>
                    </w:tc>
                    <w:tc>
                      <w:tcPr>
                        <w:tcW w:w="0" w:type="auto"/>
                        <w:gridSpan w:val="3"/>
                        <w:tcBorders>
                          <w:top w:val="single" w:sz="8" w:space="0" w:color="FFFFFF"/>
                          <w:left w:val="nil"/>
                          <w:bottom w:val="single" w:sz="8" w:space="0" w:color="FFFFFF"/>
                          <w:right w:val="nil"/>
                        </w:tcBorders>
                        <w:shd w:val="clear" w:color="000000" w:fill="2C5060"/>
                        <w:noWrap/>
                        <w:vAlign w:val="center"/>
                        <w:hideMark/>
                      </w:tcPr>
                      <w:p w14:paraId="3EFB7B8B"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Aged 0 to 4</w:t>
                        </w:r>
                      </w:p>
                    </w:tc>
                    <w:tc>
                      <w:tcPr>
                        <w:tcW w:w="0" w:type="auto"/>
                        <w:gridSpan w:val="3"/>
                        <w:tcBorders>
                          <w:top w:val="single" w:sz="8" w:space="0" w:color="FFFFFF"/>
                          <w:left w:val="nil"/>
                          <w:bottom w:val="single" w:sz="8" w:space="0" w:color="FFFFFF"/>
                          <w:right w:val="nil"/>
                        </w:tcBorders>
                        <w:shd w:val="clear" w:color="000000" w:fill="2C5060"/>
                        <w:noWrap/>
                        <w:vAlign w:val="center"/>
                        <w:hideMark/>
                      </w:tcPr>
                      <w:p w14:paraId="50BF6221"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Aged 5 to 17</w:t>
                        </w:r>
                      </w:p>
                    </w:tc>
                    <w:tc>
                      <w:tcPr>
                        <w:tcW w:w="0" w:type="auto"/>
                        <w:gridSpan w:val="3"/>
                        <w:tcBorders>
                          <w:top w:val="single" w:sz="8" w:space="0" w:color="FFFFFF"/>
                          <w:left w:val="nil"/>
                          <w:bottom w:val="single" w:sz="8" w:space="0" w:color="FFFFFF"/>
                          <w:right w:val="single" w:sz="8" w:space="0" w:color="FFFFFF"/>
                        </w:tcBorders>
                        <w:shd w:val="clear" w:color="000000" w:fill="2C5060"/>
                        <w:noWrap/>
                        <w:vAlign w:val="center"/>
                        <w:hideMark/>
                      </w:tcPr>
                      <w:p w14:paraId="592475A3"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Aged 18 to 24</w:t>
                        </w:r>
                      </w:p>
                    </w:tc>
                  </w:tr>
                  <w:tr w:rsidR="00BC6819" w:rsidRPr="00BC6819" w14:paraId="56C3D3C6" w14:textId="77777777" w:rsidTr="00472A81">
                    <w:trPr>
                      <w:trHeight w:val="23"/>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33CB4B42" w14:textId="5706CA1C" w:rsidR="00527AD8" w:rsidRPr="00BC6819" w:rsidRDefault="00353475"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D</w:t>
                        </w:r>
                        <w:r w:rsidR="00547C0C" w:rsidRPr="00BC6819">
                          <w:rPr>
                            <w:rFonts w:ascii="Arial" w:eastAsia="Times New Roman" w:hAnsi="Arial" w:cs="Arial"/>
                            <w:b/>
                            <w:bCs/>
                            <w:color w:val="FFFFFF"/>
                            <w:lang w:eastAsia="en-GB"/>
                          </w:rPr>
                          <w:t>istrict</w:t>
                        </w:r>
                      </w:p>
                    </w:tc>
                    <w:tc>
                      <w:tcPr>
                        <w:tcW w:w="0" w:type="auto"/>
                        <w:tcBorders>
                          <w:top w:val="nil"/>
                          <w:left w:val="nil"/>
                          <w:bottom w:val="single" w:sz="8" w:space="0" w:color="FFFFFF"/>
                          <w:right w:val="single" w:sz="8" w:space="0" w:color="FFFFFF"/>
                        </w:tcBorders>
                        <w:shd w:val="clear" w:color="000000" w:fill="99BFD0"/>
                        <w:noWrap/>
                        <w:vAlign w:val="center"/>
                        <w:hideMark/>
                      </w:tcPr>
                      <w:p w14:paraId="1912F387"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2011</w:t>
                        </w:r>
                      </w:p>
                    </w:tc>
                    <w:tc>
                      <w:tcPr>
                        <w:tcW w:w="0" w:type="auto"/>
                        <w:tcBorders>
                          <w:top w:val="nil"/>
                          <w:left w:val="nil"/>
                          <w:bottom w:val="single" w:sz="8" w:space="0" w:color="FFFFFF"/>
                          <w:right w:val="single" w:sz="8" w:space="0" w:color="FFFFFF"/>
                        </w:tcBorders>
                        <w:shd w:val="clear" w:color="000000" w:fill="99BFD0"/>
                        <w:noWrap/>
                        <w:vAlign w:val="center"/>
                        <w:hideMark/>
                      </w:tcPr>
                      <w:p w14:paraId="07153FA3"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2021</w:t>
                        </w:r>
                      </w:p>
                    </w:tc>
                    <w:tc>
                      <w:tcPr>
                        <w:tcW w:w="0" w:type="auto"/>
                        <w:tcBorders>
                          <w:top w:val="nil"/>
                          <w:left w:val="nil"/>
                          <w:bottom w:val="single" w:sz="8" w:space="0" w:color="FFFFFF"/>
                          <w:right w:val="single" w:sz="8" w:space="0" w:color="FFFFFF"/>
                        </w:tcBorders>
                        <w:shd w:val="clear" w:color="000000" w:fill="99BFD0"/>
                        <w:noWrap/>
                        <w:vAlign w:val="center"/>
                        <w:hideMark/>
                      </w:tcPr>
                      <w:p w14:paraId="55370F87"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w:t>
                        </w:r>
                      </w:p>
                    </w:tc>
                    <w:tc>
                      <w:tcPr>
                        <w:tcW w:w="0" w:type="auto"/>
                        <w:tcBorders>
                          <w:top w:val="nil"/>
                          <w:left w:val="nil"/>
                          <w:bottom w:val="single" w:sz="8" w:space="0" w:color="FFFFFF"/>
                          <w:right w:val="single" w:sz="8" w:space="0" w:color="FFFFFF"/>
                        </w:tcBorders>
                        <w:shd w:val="clear" w:color="000000" w:fill="99BFD0"/>
                        <w:noWrap/>
                        <w:vAlign w:val="center"/>
                        <w:hideMark/>
                      </w:tcPr>
                      <w:p w14:paraId="3C5B9A8A"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2011</w:t>
                        </w:r>
                      </w:p>
                    </w:tc>
                    <w:tc>
                      <w:tcPr>
                        <w:tcW w:w="0" w:type="auto"/>
                        <w:tcBorders>
                          <w:top w:val="nil"/>
                          <w:left w:val="nil"/>
                          <w:bottom w:val="single" w:sz="8" w:space="0" w:color="FFFFFF"/>
                          <w:right w:val="single" w:sz="8" w:space="0" w:color="FFFFFF"/>
                        </w:tcBorders>
                        <w:shd w:val="clear" w:color="000000" w:fill="99BFD0"/>
                        <w:noWrap/>
                        <w:vAlign w:val="center"/>
                        <w:hideMark/>
                      </w:tcPr>
                      <w:p w14:paraId="21447A93"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2021</w:t>
                        </w:r>
                      </w:p>
                    </w:tc>
                    <w:tc>
                      <w:tcPr>
                        <w:tcW w:w="0" w:type="auto"/>
                        <w:tcBorders>
                          <w:top w:val="nil"/>
                          <w:left w:val="nil"/>
                          <w:bottom w:val="single" w:sz="8" w:space="0" w:color="FFFFFF"/>
                          <w:right w:val="single" w:sz="8" w:space="0" w:color="FFFFFF"/>
                        </w:tcBorders>
                        <w:shd w:val="clear" w:color="000000" w:fill="99BFD0"/>
                        <w:noWrap/>
                        <w:vAlign w:val="center"/>
                        <w:hideMark/>
                      </w:tcPr>
                      <w:p w14:paraId="5B1F1618"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w:t>
                        </w:r>
                      </w:p>
                    </w:tc>
                    <w:tc>
                      <w:tcPr>
                        <w:tcW w:w="0" w:type="auto"/>
                        <w:tcBorders>
                          <w:top w:val="nil"/>
                          <w:left w:val="nil"/>
                          <w:bottom w:val="single" w:sz="8" w:space="0" w:color="FFFFFF"/>
                          <w:right w:val="single" w:sz="8" w:space="0" w:color="FFFFFF"/>
                        </w:tcBorders>
                        <w:shd w:val="clear" w:color="000000" w:fill="99BFD0"/>
                        <w:noWrap/>
                        <w:vAlign w:val="center"/>
                        <w:hideMark/>
                      </w:tcPr>
                      <w:p w14:paraId="529F7581"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2011</w:t>
                        </w:r>
                      </w:p>
                    </w:tc>
                    <w:tc>
                      <w:tcPr>
                        <w:tcW w:w="0" w:type="auto"/>
                        <w:tcBorders>
                          <w:top w:val="nil"/>
                          <w:left w:val="nil"/>
                          <w:bottom w:val="single" w:sz="8" w:space="0" w:color="FFFFFF"/>
                          <w:right w:val="single" w:sz="8" w:space="0" w:color="FFFFFF"/>
                        </w:tcBorders>
                        <w:shd w:val="clear" w:color="000000" w:fill="99BFD0"/>
                        <w:noWrap/>
                        <w:vAlign w:val="center"/>
                        <w:hideMark/>
                      </w:tcPr>
                      <w:p w14:paraId="4A6BA716"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2021</w:t>
                        </w:r>
                      </w:p>
                    </w:tc>
                    <w:tc>
                      <w:tcPr>
                        <w:tcW w:w="0" w:type="auto"/>
                        <w:tcBorders>
                          <w:top w:val="nil"/>
                          <w:left w:val="nil"/>
                          <w:bottom w:val="single" w:sz="8" w:space="0" w:color="FFFFFF"/>
                          <w:right w:val="single" w:sz="8" w:space="0" w:color="FFFFFF"/>
                        </w:tcBorders>
                        <w:shd w:val="clear" w:color="000000" w:fill="99BFD0"/>
                        <w:noWrap/>
                        <w:vAlign w:val="center"/>
                        <w:hideMark/>
                      </w:tcPr>
                      <w:p w14:paraId="1EF5CCF0"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w:t>
                        </w:r>
                      </w:p>
                    </w:tc>
                  </w:tr>
                  <w:tr w:rsidR="00BC6819" w:rsidRPr="00BC6819" w14:paraId="78359BCC" w14:textId="77777777" w:rsidTr="00472A81">
                    <w:trPr>
                      <w:trHeight w:val="20"/>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31A042CC"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Bolton</w:t>
                        </w:r>
                      </w:p>
                    </w:tc>
                    <w:tc>
                      <w:tcPr>
                        <w:tcW w:w="0" w:type="auto"/>
                        <w:tcBorders>
                          <w:top w:val="nil"/>
                          <w:left w:val="nil"/>
                          <w:bottom w:val="single" w:sz="8" w:space="0" w:color="FFFFFF"/>
                          <w:right w:val="single" w:sz="8" w:space="0" w:color="FFFFFF"/>
                        </w:tcBorders>
                        <w:shd w:val="clear" w:color="000000" w:fill="CCDFE7"/>
                        <w:noWrap/>
                        <w:vAlign w:val="center"/>
                        <w:hideMark/>
                      </w:tcPr>
                      <w:p w14:paraId="6C2F6D37"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18,765</w:t>
                        </w:r>
                      </w:p>
                    </w:tc>
                    <w:tc>
                      <w:tcPr>
                        <w:tcW w:w="0" w:type="auto"/>
                        <w:tcBorders>
                          <w:top w:val="nil"/>
                          <w:left w:val="nil"/>
                          <w:bottom w:val="single" w:sz="8" w:space="0" w:color="FFFFFF"/>
                          <w:right w:val="single" w:sz="8" w:space="0" w:color="FFFFFF"/>
                        </w:tcBorders>
                        <w:shd w:val="clear" w:color="000000" w:fill="CCDFE7"/>
                        <w:noWrap/>
                        <w:vAlign w:val="center"/>
                        <w:hideMark/>
                      </w:tcPr>
                      <w:p w14:paraId="727DC067"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18,456</w:t>
                        </w:r>
                      </w:p>
                    </w:tc>
                    <w:tc>
                      <w:tcPr>
                        <w:tcW w:w="0" w:type="auto"/>
                        <w:tcBorders>
                          <w:top w:val="nil"/>
                          <w:left w:val="nil"/>
                          <w:bottom w:val="single" w:sz="8" w:space="0" w:color="FFFFFF"/>
                          <w:right w:val="single" w:sz="8" w:space="0" w:color="FFFFFF"/>
                        </w:tcBorders>
                        <w:shd w:val="clear" w:color="000000" w:fill="CCDFE7"/>
                        <w:noWrap/>
                        <w:vAlign w:val="center"/>
                        <w:hideMark/>
                      </w:tcPr>
                      <w:p w14:paraId="5D4B1F22"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w:t>
                        </w:r>
                      </w:p>
                    </w:tc>
                    <w:tc>
                      <w:tcPr>
                        <w:tcW w:w="0" w:type="auto"/>
                        <w:tcBorders>
                          <w:top w:val="nil"/>
                          <w:left w:val="nil"/>
                          <w:bottom w:val="single" w:sz="8" w:space="0" w:color="FFFFFF"/>
                          <w:right w:val="single" w:sz="8" w:space="0" w:color="FFFFFF"/>
                        </w:tcBorders>
                        <w:shd w:val="clear" w:color="000000" w:fill="CCDFE7"/>
                        <w:noWrap/>
                        <w:vAlign w:val="center"/>
                        <w:hideMark/>
                      </w:tcPr>
                      <w:p w14:paraId="25F654F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45,794</w:t>
                        </w:r>
                      </w:p>
                    </w:tc>
                    <w:tc>
                      <w:tcPr>
                        <w:tcW w:w="0" w:type="auto"/>
                        <w:tcBorders>
                          <w:top w:val="nil"/>
                          <w:left w:val="nil"/>
                          <w:bottom w:val="single" w:sz="8" w:space="0" w:color="FFFFFF"/>
                          <w:right w:val="single" w:sz="8" w:space="0" w:color="FFFFFF"/>
                        </w:tcBorders>
                        <w:shd w:val="clear" w:color="000000" w:fill="CCDFE7"/>
                        <w:noWrap/>
                        <w:vAlign w:val="center"/>
                        <w:hideMark/>
                      </w:tcPr>
                      <w:p w14:paraId="762633A3"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53,016</w:t>
                        </w:r>
                      </w:p>
                    </w:tc>
                    <w:tc>
                      <w:tcPr>
                        <w:tcW w:w="0" w:type="auto"/>
                        <w:tcBorders>
                          <w:top w:val="nil"/>
                          <w:left w:val="nil"/>
                          <w:bottom w:val="single" w:sz="8" w:space="0" w:color="FFFFFF"/>
                          <w:right w:val="single" w:sz="8" w:space="0" w:color="FFFFFF"/>
                        </w:tcBorders>
                        <w:shd w:val="clear" w:color="000000" w:fill="CCDFE7"/>
                        <w:noWrap/>
                        <w:vAlign w:val="center"/>
                        <w:hideMark/>
                      </w:tcPr>
                      <w:p w14:paraId="3297DEFD"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15.8%</w:t>
                        </w:r>
                      </w:p>
                    </w:tc>
                    <w:tc>
                      <w:tcPr>
                        <w:tcW w:w="0" w:type="auto"/>
                        <w:tcBorders>
                          <w:top w:val="nil"/>
                          <w:left w:val="nil"/>
                          <w:bottom w:val="single" w:sz="8" w:space="0" w:color="FFFFFF"/>
                          <w:right w:val="single" w:sz="8" w:space="0" w:color="FFFFFF"/>
                        </w:tcBorders>
                        <w:shd w:val="clear" w:color="000000" w:fill="CCDFE7"/>
                        <w:noWrap/>
                        <w:vAlign w:val="center"/>
                        <w:hideMark/>
                      </w:tcPr>
                      <w:p w14:paraId="0752639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24,870</w:t>
                        </w:r>
                      </w:p>
                    </w:tc>
                    <w:tc>
                      <w:tcPr>
                        <w:tcW w:w="0" w:type="auto"/>
                        <w:tcBorders>
                          <w:top w:val="nil"/>
                          <w:left w:val="nil"/>
                          <w:bottom w:val="single" w:sz="8" w:space="0" w:color="FFFFFF"/>
                          <w:right w:val="single" w:sz="8" w:space="0" w:color="FFFFFF"/>
                        </w:tcBorders>
                        <w:shd w:val="clear" w:color="000000" w:fill="CCDFE7"/>
                        <w:noWrap/>
                        <w:vAlign w:val="center"/>
                        <w:hideMark/>
                      </w:tcPr>
                      <w:p w14:paraId="7EC4070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23,192</w:t>
                        </w:r>
                      </w:p>
                    </w:tc>
                    <w:tc>
                      <w:tcPr>
                        <w:tcW w:w="0" w:type="auto"/>
                        <w:tcBorders>
                          <w:top w:val="nil"/>
                          <w:left w:val="nil"/>
                          <w:bottom w:val="single" w:sz="8" w:space="0" w:color="FFFFFF"/>
                          <w:right w:val="single" w:sz="8" w:space="0" w:color="FFFFFF"/>
                        </w:tcBorders>
                        <w:shd w:val="clear" w:color="000000" w:fill="CCDFE7"/>
                        <w:noWrap/>
                        <w:vAlign w:val="center"/>
                        <w:hideMark/>
                      </w:tcPr>
                      <w:p w14:paraId="414E6997"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-6.7%</w:t>
                        </w:r>
                      </w:p>
                    </w:tc>
                  </w:tr>
                  <w:tr w:rsidR="00BC6819" w:rsidRPr="00BC6819" w14:paraId="4EDA7C6C"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3BA6C810"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Bury</w:t>
                        </w:r>
                      </w:p>
                    </w:tc>
                    <w:tc>
                      <w:tcPr>
                        <w:tcW w:w="0" w:type="auto"/>
                        <w:tcBorders>
                          <w:top w:val="nil"/>
                          <w:left w:val="nil"/>
                          <w:bottom w:val="single" w:sz="8" w:space="0" w:color="FFFFFF"/>
                          <w:right w:val="single" w:sz="8" w:space="0" w:color="FFFFFF"/>
                        </w:tcBorders>
                        <w:shd w:val="clear" w:color="000000" w:fill="99BFD0"/>
                        <w:noWrap/>
                        <w:vAlign w:val="center"/>
                        <w:hideMark/>
                      </w:tcPr>
                      <w:p w14:paraId="0855D77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12,235</w:t>
                        </w:r>
                      </w:p>
                    </w:tc>
                    <w:tc>
                      <w:tcPr>
                        <w:tcW w:w="0" w:type="auto"/>
                        <w:tcBorders>
                          <w:top w:val="nil"/>
                          <w:left w:val="nil"/>
                          <w:bottom w:val="single" w:sz="8" w:space="0" w:color="FFFFFF"/>
                          <w:right w:val="single" w:sz="8" w:space="0" w:color="FFFFFF"/>
                        </w:tcBorders>
                        <w:shd w:val="clear" w:color="000000" w:fill="99BFD0"/>
                        <w:noWrap/>
                        <w:vAlign w:val="center"/>
                        <w:hideMark/>
                      </w:tcPr>
                      <w:p w14:paraId="6037DF4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11,157</w:t>
                        </w:r>
                      </w:p>
                    </w:tc>
                    <w:tc>
                      <w:tcPr>
                        <w:tcW w:w="0" w:type="auto"/>
                        <w:tcBorders>
                          <w:top w:val="nil"/>
                          <w:left w:val="nil"/>
                          <w:bottom w:val="single" w:sz="8" w:space="0" w:color="FFFFFF"/>
                          <w:right w:val="single" w:sz="8" w:space="0" w:color="FFFFFF"/>
                        </w:tcBorders>
                        <w:shd w:val="clear" w:color="000000" w:fill="99BFD0"/>
                        <w:noWrap/>
                        <w:vAlign w:val="center"/>
                        <w:hideMark/>
                      </w:tcPr>
                      <w:p w14:paraId="5A7D619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-8.8%</w:t>
                        </w:r>
                      </w:p>
                    </w:tc>
                    <w:tc>
                      <w:tcPr>
                        <w:tcW w:w="0" w:type="auto"/>
                        <w:tcBorders>
                          <w:top w:val="nil"/>
                          <w:left w:val="nil"/>
                          <w:bottom w:val="single" w:sz="8" w:space="0" w:color="FFFFFF"/>
                          <w:right w:val="single" w:sz="8" w:space="0" w:color="FFFFFF"/>
                        </w:tcBorders>
                        <w:shd w:val="clear" w:color="000000" w:fill="99BFD0"/>
                        <w:noWrap/>
                        <w:vAlign w:val="center"/>
                        <w:hideMark/>
                      </w:tcPr>
                      <w:p w14:paraId="17168E11"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29,717</w:t>
                        </w:r>
                      </w:p>
                    </w:tc>
                    <w:tc>
                      <w:tcPr>
                        <w:tcW w:w="0" w:type="auto"/>
                        <w:tcBorders>
                          <w:top w:val="nil"/>
                          <w:left w:val="nil"/>
                          <w:bottom w:val="single" w:sz="8" w:space="0" w:color="FFFFFF"/>
                          <w:right w:val="single" w:sz="8" w:space="0" w:color="FFFFFF"/>
                        </w:tcBorders>
                        <w:shd w:val="clear" w:color="000000" w:fill="99BFD0"/>
                        <w:noWrap/>
                        <w:vAlign w:val="center"/>
                        <w:hideMark/>
                      </w:tcPr>
                      <w:p w14:paraId="5754E755"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32,719</w:t>
                        </w:r>
                      </w:p>
                    </w:tc>
                    <w:tc>
                      <w:tcPr>
                        <w:tcW w:w="0" w:type="auto"/>
                        <w:tcBorders>
                          <w:top w:val="nil"/>
                          <w:left w:val="nil"/>
                          <w:bottom w:val="single" w:sz="8" w:space="0" w:color="FFFFFF"/>
                          <w:right w:val="single" w:sz="8" w:space="0" w:color="FFFFFF"/>
                        </w:tcBorders>
                        <w:shd w:val="clear" w:color="000000" w:fill="99BFD0"/>
                        <w:noWrap/>
                        <w:vAlign w:val="center"/>
                        <w:hideMark/>
                      </w:tcPr>
                      <w:p w14:paraId="6F3B9AD1"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10.1%</w:t>
                        </w:r>
                      </w:p>
                    </w:tc>
                    <w:tc>
                      <w:tcPr>
                        <w:tcW w:w="0" w:type="auto"/>
                        <w:tcBorders>
                          <w:top w:val="nil"/>
                          <w:left w:val="nil"/>
                          <w:bottom w:val="single" w:sz="8" w:space="0" w:color="FFFFFF"/>
                          <w:right w:val="single" w:sz="8" w:space="0" w:color="FFFFFF"/>
                        </w:tcBorders>
                        <w:shd w:val="clear" w:color="000000" w:fill="99BFD0"/>
                        <w:noWrap/>
                        <w:vAlign w:val="center"/>
                        <w:hideMark/>
                      </w:tcPr>
                      <w:p w14:paraId="5CAF3631"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14,985</w:t>
                        </w:r>
                      </w:p>
                    </w:tc>
                    <w:tc>
                      <w:tcPr>
                        <w:tcW w:w="0" w:type="auto"/>
                        <w:tcBorders>
                          <w:top w:val="nil"/>
                          <w:left w:val="nil"/>
                          <w:bottom w:val="single" w:sz="8" w:space="0" w:color="FFFFFF"/>
                          <w:right w:val="single" w:sz="8" w:space="0" w:color="FFFFFF"/>
                        </w:tcBorders>
                        <w:shd w:val="clear" w:color="000000" w:fill="99BFD0"/>
                        <w:noWrap/>
                        <w:vAlign w:val="center"/>
                        <w:hideMark/>
                      </w:tcPr>
                      <w:p w14:paraId="48BECFCA"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13,402</w:t>
                        </w:r>
                      </w:p>
                    </w:tc>
                    <w:tc>
                      <w:tcPr>
                        <w:tcW w:w="0" w:type="auto"/>
                        <w:tcBorders>
                          <w:top w:val="nil"/>
                          <w:left w:val="nil"/>
                          <w:bottom w:val="single" w:sz="8" w:space="0" w:color="FFFFFF"/>
                          <w:right w:val="single" w:sz="8" w:space="0" w:color="FFFFFF"/>
                        </w:tcBorders>
                        <w:shd w:val="clear" w:color="000000" w:fill="99BFD0"/>
                        <w:noWrap/>
                        <w:vAlign w:val="center"/>
                        <w:hideMark/>
                      </w:tcPr>
                      <w:p w14:paraId="5B3657FD"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-10.6%</w:t>
                        </w:r>
                      </w:p>
                    </w:tc>
                  </w:tr>
                  <w:tr w:rsidR="00BC6819" w:rsidRPr="00BC6819" w14:paraId="6AA9F8A1"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2EE40A36"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Manchester</w:t>
                        </w:r>
                      </w:p>
                    </w:tc>
                    <w:tc>
                      <w:tcPr>
                        <w:tcW w:w="0" w:type="auto"/>
                        <w:tcBorders>
                          <w:top w:val="nil"/>
                          <w:left w:val="nil"/>
                          <w:bottom w:val="single" w:sz="8" w:space="0" w:color="FFFFFF"/>
                          <w:right w:val="single" w:sz="8" w:space="0" w:color="FFFFFF"/>
                        </w:tcBorders>
                        <w:shd w:val="clear" w:color="000000" w:fill="CCDFE7"/>
                        <w:noWrap/>
                        <w:vAlign w:val="center"/>
                        <w:hideMark/>
                      </w:tcPr>
                      <w:p w14:paraId="7D687E53"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36,413</w:t>
                        </w:r>
                      </w:p>
                    </w:tc>
                    <w:tc>
                      <w:tcPr>
                        <w:tcW w:w="0" w:type="auto"/>
                        <w:tcBorders>
                          <w:top w:val="nil"/>
                          <w:left w:val="nil"/>
                          <w:bottom w:val="single" w:sz="8" w:space="0" w:color="FFFFFF"/>
                          <w:right w:val="single" w:sz="8" w:space="0" w:color="FFFFFF"/>
                        </w:tcBorders>
                        <w:shd w:val="clear" w:color="000000" w:fill="CCDFE7"/>
                        <w:noWrap/>
                        <w:vAlign w:val="center"/>
                        <w:hideMark/>
                      </w:tcPr>
                      <w:p w14:paraId="2CC325A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34,378</w:t>
                        </w:r>
                      </w:p>
                    </w:tc>
                    <w:tc>
                      <w:tcPr>
                        <w:tcW w:w="0" w:type="auto"/>
                        <w:tcBorders>
                          <w:top w:val="nil"/>
                          <w:left w:val="nil"/>
                          <w:bottom w:val="single" w:sz="8" w:space="0" w:color="FFFFFF"/>
                          <w:right w:val="single" w:sz="8" w:space="0" w:color="FFFFFF"/>
                        </w:tcBorders>
                        <w:shd w:val="clear" w:color="000000" w:fill="CCDFE7"/>
                        <w:noWrap/>
                        <w:vAlign w:val="center"/>
                        <w:hideMark/>
                      </w:tcPr>
                      <w:p w14:paraId="55880F92"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-5.6%</w:t>
                        </w:r>
                      </w:p>
                    </w:tc>
                    <w:tc>
                      <w:tcPr>
                        <w:tcW w:w="0" w:type="auto"/>
                        <w:tcBorders>
                          <w:top w:val="nil"/>
                          <w:left w:val="nil"/>
                          <w:bottom w:val="single" w:sz="8" w:space="0" w:color="FFFFFF"/>
                          <w:right w:val="single" w:sz="8" w:space="0" w:color="FFFFFF"/>
                        </w:tcBorders>
                        <w:shd w:val="clear" w:color="000000" w:fill="CCDFE7"/>
                        <w:noWrap/>
                        <w:vAlign w:val="center"/>
                        <w:hideMark/>
                      </w:tcPr>
                      <w:p w14:paraId="5FCA2BB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71,739</w:t>
                        </w:r>
                      </w:p>
                    </w:tc>
                    <w:tc>
                      <w:tcPr>
                        <w:tcW w:w="0" w:type="auto"/>
                        <w:tcBorders>
                          <w:top w:val="nil"/>
                          <w:left w:val="nil"/>
                          <w:bottom w:val="single" w:sz="8" w:space="0" w:color="FFFFFF"/>
                          <w:right w:val="single" w:sz="8" w:space="0" w:color="FFFFFF"/>
                        </w:tcBorders>
                        <w:shd w:val="clear" w:color="000000" w:fill="CCDFE7"/>
                        <w:noWrap/>
                        <w:vAlign w:val="center"/>
                        <w:hideMark/>
                      </w:tcPr>
                      <w:p w14:paraId="69FB862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92,574</w:t>
                        </w:r>
                      </w:p>
                    </w:tc>
                    <w:tc>
                      <w:tcPr>
                        <w:tcW w:w="0" w:type="auto"/>
                        <w:tcBorders>
                          <w:top w:val="nil"/>
                          <w:left w:val="nil"/>
                          <w:bottom w:val="single" w:sz="8" w:space="0" w:color="FFFFFF"/>
                          <w:right w:val="single" w:sz="8" w:space="0" w:color="FFFFFF"/>
                        </w:tcBorders>
                        <w:shd w:val="clear" w:color="000000" w:fill="CCDFE7"/>
                        <w:noWrap/>
                        <w:vAlign w:val="center"/>
                        <w:hideMark/>
                      </w:tcPr>
                      <w:p w14:paraId="7156B0B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29.0%</w:t>
                        </w:r>
                      </w:p>
                    </w:tc>
                    <w:tc>
                      <w:tcPr>
                        <w:tcW w:w="0" w:type="auto"/>
                        <w:tcBorders>
                          <w:top w:val="nil"/>
                          <w:left w:val="nil"/>
                          <w:bottom w:val="single" w:sz="8" w:space="0" w:color="FFFFFF"/>
                          <w:right w:val="single" w:sz="8" w:space="0" w:color="FFFFFF"/>
                        </w:tcBorders>
                        <w:shd w:val="clear" w:color="000000" w:fill="CCDFE7"/>
                        <w:noWrap/>
                        <w:vAlign w:val="center"/>
                        <w:hideMark/>
                      </w:tcPr>
                      <w:p w14:paraId="25C5D31E"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88,963</w:t>
                        </w:r>
                      </w:p>
                    </w:tc>
                    <w:tc>
                      <w:tcPr>
                        <w:tcW w:w="0" w:type="auto"/>
                        <w:tcBorders>
                          <w:top w:val="nil"/>
                          <w:left w:val="nil"/>
                          <w:bottom w:val="single" w:sz="8" w:space="0" w:color="FFFFFF"/>
                          <w:right w:val="single" w:sz="8" w:space="0" w:color="FFFFFF"/>
                        </w:tcBorders>
                        <w:shd w:val="clear" w:color="000000" w:fill="CCDFE7"/>
                        <w:noWrap/>
                        <w:vAlign w:val="center"/>
                        <w:hideMark/>
                      </w:tcPr>
                      <w:p w14:paraId="3140E4C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84,642</w:t>
                        </w:r>
                      </w:p>
                    </w:tc>
                    <w:tc>
                      <w:tcPr>
                        <w:tcW w:w="0" w:type="auto"/>
                        <w:tcBorders>
                          <w:top w:val="nil"/>
                          <w:left w:val="nil"/>
                          <w:bottom w:val="single" w:sz="8" w:space="0" w:color="FFFFFF"/>
                          <w:right w:val="single" w:sz="8" w:space="0" w:color="FFFFFF"/>
                        </w:tcBorders>
                        <w:shd w:val="clear" w:color="000000" w:fill="CCDFE7"/>
                        <w:noWrap/>
                        <w:vAlign w:val="center"/>
                        <w:hideMark/>
                      </w:tcPr>
                      <w:p w14:paraId="2194F5E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-4.9%</w:t>
                        </w:r>
                      </w:p>
                    </w:tc>
                  </w:tr>
                  <w:tr w:rsidR="00BC6819" w:rsidRPr="00BC6819" w14:paraId="5C6BE0DC"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15B4194C"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Oldham</w:t>
                        </w:r>
                      </w:p>
                    </w:tc>
                    <w:tc>
                      <w:tcPr>
                        <w:tcW w:w="0" w:type="auto"/>
                        <w:tcBorders>
                          <w:top w:val="nil"/>
                          <w:left w:val="nil"/>
                          <w:bottom w:val="single" w:sz="8" w:space="0" w:color="FFFFFF"/>
                          <w:right w:val="single" w:sz="8" w:space="0" w:color="FFFFFF"/>
                        </w:tcBorders>
                        <w:shd w:val="clear" w:color="000000" w:fill="99BFD0"/>
                        <w:noWrap/>
                        <w:vAlign w:val="center"/>
                        <w:hideMark/>
                      </w:tcPr>
                      <w:p w14:paraId="393B462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16,491</w:t>
                        </w:r>
                      </w:p>
                    </w:tc>
                    <w:tc>
                      <w:tcPr>
                        <w:tcW w:w="0" w:type="auto"/>
                        <w:tcBorders>
                          <w:top w:val="nil"/>
                          <w:left w:val="nil"/>
                          <w:bottom w:val="single" w:sz="8" w:space="0" w:color="FFFFFF"/>
                          <w:right w:val="single" w:sz="8" w:space="0" w:color="FFFFFF"/>
                        </w:tcBorders>
                        <w:shd w:val="clear" w:color="000000" w:fill="99BFD0"/>
                        <w:noWrap/>
                        <w:vAlign w:val="center"/>
                        <w:hideMark/>
                      </w:tcPr>
                      <w:p w14:paraId="31FF6CA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16,005</w:t>
                        </w:r>
                      </w:p>
                    </w:tc>
                    <w:tc>
                      <w:tcPr>
                        <w:tcW w:w="0" w:type="auto"/>
                        <w:tcBorders>
                          <w:top w:val="nil"/>
                          <w:left w:val="nil"/>
                          <w:bottom w:val="single" w:sz="8" w:space="0" w:color="FFFFFF"/>
                          <w:right w:val="single" w:sz="8" w:space="0" w:color="FFFFFF"/>
                        </w:tcBorders>
                        <w:shd w:val="clear" w:color="000000" w:fill="99BFD0"/>
                        <w:noWrap/>
                        <w:vAlign w:val="center"/>
                        <w:hideMark/>
                      </w:tcPr>
                      <w:p w14:paraId="2EF85A1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-2.9%</w:t>
                        </w:r>
                      </w:p>
                    </w:tc>
                    <w:tc>
                      <w:tcPr>
                        <w:tcW w:w="0" w:type="auto"/>
                        <w:tcBorders>
                          <w:top w:val="nil"/>
                          <w:left w:val="nil"/>
                          <w:bottom w:val="single" w:sz="8" w:space="0" w:color="FFFFFF"/>
                          <w:right w:val="single" w:sz="8" w:space="0" w:color="FFFFFF"/>
                        </w:tcBorders>
                        <w:shd w:val="clear" w:color="000000" w:fill="99BFD0"/>
                        <w:noWrap/>
                        <w:vAlign w:val="center"/>
                        <w:hideMark/>
                      </w:tcPr>
                      <w:p w14:paraId="08A54E9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40,066</w:t>
                        </w:r>
                      </w:p>
                    </w:tc>
                    <w:tc>
                      <w:tcPr>
                        <w:tcW w:w="0" w:type="auto"/>
                        <w:tcBorders>
                          <w:top w:val="nil"/>
                          <w:left w:val="nil"/>
                          <w:bottom w:val="single" w:sz="8" w:space="0" w:color="FFFFFF"/>
                          <w:right w:val="single" w:sz="8" w:space="0" w:color="FFFFFF"/>
                        </w:tcBorders>
                        <w:shd w:val="clear" w:color="000000" w:fill="99BFD0"/>
                        <w:noWrap/>
                        <w:vAlign w:val="center"/>
                        <w:hideMark/>
                      </w:tcPr>
                      <w:p w14:paraId="48C4EB12"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45,960</w:t>
                        </w:r>
                      </w:p>
                    </w:tc>
                    <w:tc>
                      <w:tcPr>
                        <w:tcW w:w="0" w:type="auto"/>
                        <w:tcBorders>
                          <w:top w:val="nil"/>
                          <w:left w:val="nil"/>
                          <w:bottom w:val="single" w:sz="8" w:space="0" w:color="FFFFFF"/>
                          <w:right w:val="single" w:sz="8" w:space="0" w:color="FFFFFF"/>
                        </w:tcBorders>
                        <w:shd w:val="clear" w:color="000000" w:fill="99BFD0"/>
                        <w:noWrap/>
                        <w:vAlign w:val="center"/>
                        <w:hideMark/>
                      </w:tcPr>
                      <w:p w14:paraId="457AE0D0"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14.7%</w:t>
                        </w:r>
                      </w:p>
                    </w:tc>
                    <w:tc>
                      <w:tcPr>
                        <w:tcW w:w="0" w:type="auto"/>
                        <w:tcBorders>
                          <w:top w:val="nil"/>
                          <w:left w:val="nil"/>
                          <w:bottom w:val="single" w:sz="8" w:space="0" w:color="FFFFFF"/>
                          <w:right w:val="single" w:sz="8" w:space="0" w:color="FFFFFF"/>
                        </w:tcBorders>
                        <w:shd w:val="clear" w:color="000000" w:fill="99BFD0"/>
                        <w:noWrap/>
                        <w:vAlign w:val="center"/>
                        <w:hideMark/>
                      </w:tcPr>
                      <w:p w14:paraId="160F6C2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20,335</w:t>
                        </w:r>
                      </w:p>
                    </w:tc>
                    <w:tc>
                      <w:tcPr>
                        <w:tcW w:w="0" w:type="auto"/>
                        <w:tcBorders>
                          <w:top w:val="nil"/>
                          <w:left w:val="nil"/>
                          <w:bottom w:val="single" w:sz="8" w:space="0" w:color="FFFFFF"/>
                          <w:right w:val="single" w:sz="8" w:space="0" w:color="FFFFFF"/>
                        </w:tcBorders>
                        <w:shd w:val="clear" w:color="000000" w:fill="99BFD0"/>
                        <w:noWrap/>
                        <w:vAlign w:val="center"/>
                        <w:hideMark/>
                      </w:tcPr>
                      <w:p w14:paraId="68B4A673"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19,940</w:t>
                        </w:r>
                      </w:p>
                    </w:tc>
                    <w:tc>
                      <w:tcPr>
                        <w:tcW w:w="0" w:type="auto"/>
                        <w:tcBorders>
                          <w:top w:val="nil"/>
                          <w:left w:val="nil"/>
                          <w:bottom w:val="single" w:sz="8" w:space="0" w:color="FFFFFF"/>
                          <w:right w:val="single" w:sz="8" w:space="0" w:color="FFFFFF"/>
                        </w:tcBorders>
                        <w:shd w:val="clear" w:color="000000" w:fill="99BFD0"/>
                        <w:noWrap/>
                        <w:vAlign w:val="center"/>
                        <w:hideMark/>
                      </w:tcPr>
                      <w:p w14:paraId="75626FE7"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-1.9%</w:t>
                        </w:r>
                      </w:p>
                    </w:tc>
                  </w:tr>
                  <w:tr w:rsidR="00BC6819" w:rsidRPr="00BC6819" w14:paraId="370C8DFF"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319E4026"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Rochdale</w:t>
                        </w:r>
                      </w:p>
                    </w:tc>
                    <w:tc>
                      <w:tcPr>
                        <w:tcW w:w="0" w:type="auto"/>
                        <w:tcBorders>
                          <w:top w:val="nil"/>
                          <w:left w:val="nil"/>
                          <w:bottom w:val="single" w:sz="8" w:space="0" w:color="FFFFFF"/>
                          <w:right w:val="single" w:sz="8" w:space="0" w:color="FFFFFF"/>
                        </w:tcBorders>
                        <w:shd w:val="clear" w:color="000000" w:fill="CCDFE7"/>
                        <w:noWrap/>
                        <w:vAlign w:val="center"/>
                        <w:hideMark/>
                      </w:tcPr>
                      <w:p w14:paraId="1F0FBEAF"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14,754</w:t>
                        </w:r>
                      </w:p>
                    </w:tc>
                    <w:tc>
                      <w:tcPr>
                        <w:tcW w:w="0" w:type="auto"/>
                        <w:tcBorders>
                          <w:top w:val="nil"/>
                          <w:left w:val="nil"/>
                          <w:bottom w:val="single" w:sz="8" w:space="0" w:color="FFFFFF"/>
                          <w:right w:val="single" w:sz="8" w:space="0" w:color="FFFFFF"/>
                        </w:tcBorders>
                        <w:shd w:val="clear" w:color="000000" w:fill="CCDFE7"/>
                        <w:noWrap/>
                        <w:vAlign w:val="center"/>
                        <w:hideMark/>
                      </w:tcPr>
                      <w:p w14:paraId="3A1300FD"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14,639</w:t>
                        </w:r>
                      </w:p>
                    </w:tc>
                    <w:tc>
                      <w:tcPr>
                        <w:tcW w:w="0" w:type="auto"/>
                        <w:tcBorders>
                          <w:top w:val="nil"/>
                          <w:left w:val="nil"/>
                          <w:bottom w:val="single" w:sz="8" w:space="0" w:color="FFFFFF"/>
                          <w:right w:val="single" w:sz="8" w:space="0" w:color="FFFFFF"/>
                        </w:tcBorders>
                        <w:shd w:val="clear" w:color="000000" w:fill="CCDFE7"/>
                        <w:noWrap/>
                        <w:vAlign w:val="center"/>
                        <w:hideMark/>
                      </w:tcPr>
                      <w:p w14:paraId="0619B358"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-0.8%</w:t>
                        </w:r>
                      </w:p>
                    </w:tc>
                    <w:tc>
                      <w:tcPr>
                        <w:tcW w:w="0" w:type="auto"/>
                        <w:tcBorders>
                          <w:top w:val="nil"/>
                          <w:left w:val="nil"/>
                          <w:bottom w:val="single" w:sz="8" w:space="0" w:color="FFFFFF"/>
                          <w:right w:val="single" w:sz="8" w:space="0" w:color="FFFFFF"/>
                        </w:tcBorders>
                        <w:shd w:val="clear" w:color="000000" w:fill="CCDFE7"/>
                        <w:noWrap/>
                        <w:vAlign w:val="center"/>
                        <w:hideMark/>
                      </w:tcPr>
                      <w:p w14:paraId="2301EABF"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36,018</w:t>
                        </w:r>
                      </w:p>
                    </w:tc>
                    <w:tc>
                      <w:tcPr>
                        <w:tcW w:w="0" w:type="auto"/>
                        <w:tcBorders>
                          <w:top w:val="nil"/>
                          <w:left w:val="nil"/>
                          <w:bottom w:val="single" w:sz="8" w:space="0" w:color="FFFFFF"/>
                          <w:right w:val="single" w:sz="8" w:space="0" w:color="FFFFFF"/>
                        </w:tcBorders>
                        <w:shd w:val="clear" w:color="000000" w:fill="CCDFE7"/>
                        <w:noWrap/>
                        <w:vAlign w:val="center"/>
                        <w:hideMark/>
                      </w:tcPr>
                      <w:p w14:paraId="1B976892"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39,986</w:t>
                        </w:r>
                      </w:p>
                    </w:tc>
                    <w:tc>
                      <w:tcPr>
                        <w:tcW w:w="0" w:type="auto"/>
                        <w:tcBorders>
                          <w:top w:val="nil"/>
                          <w:left w:val="nil"/>
                          <w:bottom w:val="single" w:sz="8" w:space="0" w:color="FFFFFF"/>
                          <w:right w:val="single" w:sz="8" w:space="0" w:color="FFFFFF"/>
                        </w:tcBorders>
                        <w:shd w:val="clear" w:color="000000" w:fill="CCDFE7"/>
                        <w:noWrap/>
                        <w:vAlign w:val="center"/>
                        <w:hideMark/>
                      </w:tcPr>
                      <w:p w14:paraId="1A9371F2"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11.0%</w:t>
                        </w:r>
                      </w:p>
                    </w:tc>
                    <w:tc>
                      <w:tcPr>
                        <w:tcW w:w="0" w:type="auto"/>
                        <w:tcBorders>
                          <w:top w:val="nil"/>
                          <w:left w:val="nil"/>
                          <w:bottom w:val="single" w:sz="8" w:space="0" w:color="FFFFFF"/>
                          <w:right w:val="single" w:sz="8" w:space="0" w:color="FFFFFF"/>
                        </w:tcBorders>
                        <w:shd w:val="clear" w:color="000000" w:fill="CCDFE7"/>
                        <w:noWrap/>
                        <w:vAlign w:val="center"/>
                        <w:hideMark/>
                      </w:tcPr>
                      <w:p w14:paraId="258720A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19,485</w:t>
                        </w:r>
                      </w:p>
                    </w:tc>
                    <w:tc>
                      <w:tcPr>
                        <w:tcW w:w="0" w:type="auto"/>
                        <w:tcBorders>
                          <w:top w:val="nil"/>
                          <w:left w:val="nil"/>
                          <w:bottom w:val="single" w:sz="8" w:space="0" w:color="FFFFFF"/>
                          <w:right w:val="single" w:sz="8" w:space="0" w:color="FFFFFF"/>
                        </w:tcBorders>
                        <w:shd w:val="clear" w:color="000000" w:fill="CCDFE7"/>
                        <w:noWrap/>
                        <w:vAlign w:val="center"/>
                        <w:hideMark/>
                      </w:tcPr>
                      <w:p w14:paraId="4BFBF13E"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16,877</w:t>
                        </w:r>
                      </w:p>
                    </w:tc>
                    <w:tc>
                      <w:tcPr>
                        <w:tcW w:w="0" w:type="auto"/>
                        <w:tcBorders>
                          <w:top w:val="nil"/>
                          <w:left w:val="nil"/>
                          <w:bottom w:val="single" w:sz="8" w:space="0" w:color="FFFFFF"/>
                          <w:right w:val="single" w:sz="8" w:space="0" w:color="FFFFFF"/>
                        </w:tcBorders>
                        <w:shd w:val="clear" w:color="000000" w:fill="CCDFE7"/>
                        <w:noWrap/>
                        <w:vAlign w:val="center"/>
                        <w:hideMark/>
                      </w:tcPr>
                      <w:p w14:paraId="1B62C42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-13.4%</w:t>
                        </w:r>
                      </w:p>
                    </w:tc>
                  </w:tr>
                  <w:tr w:rsidR="00BC6819" w:rsidRPr="00BC6819" w14:paraId="361B86B3"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77B04A72"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Salford</w:t>
                        </w:r>
                      </w:p>
                    </w:tc>
                    <w:tc>
                      <w:tcPr>
                        <w:tcW w:w="0" w:type="auto"/>
                        <w:tcBorders>
                          <w:top w:val="nil"/>
                          <w:left w:val="nil"/>
                          <w:bottom w:val="single" w:sz="8" w:space="0" w:color="FFFFFF"/>
                          <w:right w:val="single" w:sz="8" w:space="0" w:color="FFFFFF"/>
                        </w:tcBorders>
                        <w:shd w:val="clear" w:color="000000" w:fill="99BFD0"/>
                        <w:noWrap/>
                        <w:vAlign w:val="center"/>
                        <w:hideMark/>
                      </w:tcPr>
                      <w:p w14:paraId="4124FD50"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16,255</w:t>
                        </w:r>
                      </w:p>
                    </w:tc>
                    <w:tc>
                      <w:tcPr>
                        <w:tcW w:w="0" w:type="auto"/>
                        <w:tcBorders>
                          <w:top w:val="nil"/>
                          <w:left w:val="nil"/>
                          <w:bottom w:val="single" w:sz="8" w:space="0" w:color="FFFFFF"/>
                          <w:right w:val="single" w:sz="8" w:space="0" w:color="FFFFFF"/>
                        </w:tcBorders>
                        <w:shd w:val="clear" w:color="000000" w:fill="99BFD0"/>
                        <w:noWrap/>
                        <w:vAlign w:val="center"/>
                        <w:hideMark/>
                      </w:tcPr>
                      <w:p w14:paraId="4316B051"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17,257</w:t>
                        </w:r>
                      </w:p>
                    </w:tc>
                    <w:tc>
                      <w:tcPr>
                        <w:tcW w:w="0" w:type="auto"/>
                        <w:tcBorders>
                          <w:top w:val="nil"/>
                          <w:left w:val="nil"/>
                          <w:bottom w:val="single" w:sz="8" w:space="0" w:color="FFFFFF"/>
                          <w:right w:val="single" w:sz="8" w:space="0" w:color="FFFFFF"/>
                        </w:tcBorders>
                        <w:shd w:val="clear" w:color="000000" w:fill="99BFD0"/>
                        <w:noWrap/>
                        <w:vAlign w:val="center"/>
                        <w:hideMark/>
                      </w:tcPr>
                      <w:p w14:paraId="5876ED7D"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6.2%</w:t>
                        </w:r>
                      </w:p>
                    </w:tc>
                    <w:tc>
                      <w:tcPr>
                        <w:tcW w:w="0" w:type="auto"/>
                        <w:tcBorders>
                          <w:top w:val="nil"/>
                          <w:left w:val="nil"/>
                          <w:bottom w:val="single" w:sz="8" w:space="0" w:color="FFFFFF"/>
                          <w:right w:val="single" w:sz="8" w:space="0" w:color="FFFFFF"/>
                        </w:tcBorders>
                        <w:shd w:val="clear" w:color="000000" w:fill="99BFD0"/>
                        <w:noWrap/>
                        <w:vAlign w:val="center"/>
                        <w:hideMark/>
                      </w:tcPr>
                      <w:p w14:paraId="6581BAF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34,441</w:t>
                        </w:r>
                      </w:p>
                    </w:tc>
                    <w:tc>
                      <w:tcPr>
                        <w:tcW w:w="0" w:type="auto"/>
                        <w:tcBorders>
                          <w:top w:val="nil"/>
                          <w:left w:val="nil"/>
                          <w:bottom w:val="single" w:sz="8" w:space="0" w:color="FFFFFF"/>
                          <w:right w:val="single" w:sz="8" w:space="0" w:color="FFFFFF"/>
                        </w:tcBorders>
                        <w:shd w:val="clear" w:color="000000" w:fill="99BFD0"/>
                        <w:noWrap/>
                        <w:vAlign w:val="center"/>
                        <w:hideMark/>
                      </w:tcPr>
                      <w:p w14:paraId="3CEF48F0"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41,387</w:t>
                        </w:r>
                      </w:p>
                    </w:tc>
                    <w:tc>
                      <w:tcPr>
                        <w:tcW w:w="0" w:type="auto"/>
                        <w:tcBorders>
                          <w:top w:val="nil"/>
                          <w:left w:val="nil"/>
                          <w:bottom w:val="single" w:sz="8" w:space="0" w:color="FFFFFF"/>
                          <w:right w:val="single" w:sz="8" w:space="0" w:color="FFFFFF"/>
                        </w:tcBorders>
                        <w:shd w:val="clear" w:color="000000" w:fill="99BFD0"/>
                        <w:noWrap/>
                        <w:vAlign w:val="center"/>
                        <w:hideMark/>
                      </w:tcPr>
                      <w:p w14:paraId="42CDEE8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20.2%</w:t>
                        </w:r>
                      </w:p>
                    </w:tc>
                    <w:tc>
                      <w:tcPr>
                        <w:tcW w:w="0" w:type="auto"/>
                        <w:tcBorders>
                          <w:top w:val="nil"/>
                          <w:left w:val="nil"/>
                          <w:bottom w:val="single" w:sz="8" w:space="0" w:color="FFFFFF"/>
                          <w:right w:val="single" w:sz="8" w:space="0" w:color="FFFFFF"/>
                        </w:tcBorders>
                        <w:shd w:val="clear" w:color="000000" w:fill="99BFD0"/>
                        <w:noWrap/>
                        <w:vAlign w:val="center"/>
                        <w:hideMark/>
                      </w:tcPr>
                      <w:p w14:paraId="7144E551"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26,179</w:t>
                        </w:r>
                      </w:p>
                    </w:tc>
                    <w:tc>
                      <w:tcPr>
                        <w:tcW w:w="0" w:type="auto"/>
                        <w:tcBorders>
                          <w:top w:val="nil"/>
                          <w:left w:val="nil"/>
                          <w:bottom w:val="single" w:sz="8" w:space="0" w:color="FFFFFF"/>
                          <w:right w:val="single" w:sz="8" w:space="0" w:color="FFFFFF"/>
                        </w:tcBorders>
                        <w:shd w:val="clear" w:color="000000" w:fill="99BFD0"/>
                        <w:noWrap/>
                        <w:vAlign w:val="center"/>
                        <w:hideMark/>
                      </w:tcPr>
                      <w:p w14:paraId="7B1E55A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29,537</w:t>
                        </w:r>
                      </w:p>
                    </w:tc>
                    <w:tc>
                      <w:tcPr>
                        <w:tcW w:w="0" w:type="auto"/>
                        <w:tcBorders>
                          <w:top w:val="nil"/>
                          <w:left w:val="nil"/>
                          <w:bottom w:val="single" w:sz="8" w:space="0" w:color="FFFFFF"/>
                          <w:right w:val="single" w:sz="8" w:space="0" w:color="FFFFFF"/>
                        </w:tcBorders>
                        <w:shd w:val="clear" w:color="000000" w:fill="99BFD0"/>
                        <w:noWrap/>
                        <w:vAlign w:val="center"/>
                        <w:hideMark/>
                      </w:tcPr>
                      <w:p w14:paraId="55C9B46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12.8%</w:t>
                        </w:r>
                      </w:p>
                    </w:tc>
                  </w:tr>
                  <w:tr w:rsidR="00BC6819" w:rsidRPr="00BC6819" w14:paraId="23879303"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590B5758"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Stockport</w:t>
                        </w:r>
                      </w:p>
                    </w:tc>
                    <w:tc>
                      <w:tcPr>
                        <w:tcW w:w="0" w:type="auto"/>
                        <w:tcBorders>
                          <w:top w:val="nil"/>
                          <w:left w:val="nil"/>
                          <w:bottom w:val="single" w:sz="8" w:space="0" w:color="FFFFFF"/>
                          <w:right w:val="single" w:sz="8" w:space="0" w:color="FFFFFF"/>
                        </w:tcBorders>
                        <w:shd w:val="clear" w:color="000000" w:fill="CCDFE7"/>
                        <w:noWrap/>
                        <w:vAlign w:val="center"/>
                        <w:hideMark/>
                      </w:tcPr>
                      <w:p w14:paraId="2322AE67"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17,342</w:t>
                        </w:r>
                      </w:p>
                    </w:tc>
                    <w:tc>
                      <w:tcPr>
                        <w:tcW w:w="0" w:type="auto"/>
                        <w:tcBorders>
                          <w:top w:val="nil"/>
                          <w:left w:val="nil"/>
                          <w:bottom w:val="single" w:sz="8" w:space="0" w:color="FFFFFF"/>
                          <w:right w:val="single" w:sz="8" w:space="0" w:color="FFFFFF"/>
                        </w:tcBorders>
                        <w:shd w:val="clear" w:color="000000" w:fill="CCDFE7"/>
                        <w:noWrap/>
                        <w:vAlign w:val="center"/>
                        <w:hideMark/>
                      </w:tcPr>
                      <w:p w14:paraId="04895A52"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16,575</w:t>
                        </w:r>
                      </w:p>
                    </w:tc>
                    <w:tc>
                      <w:tcPr>
                        <w:tcW w:w="0" w:type="auto"/>
                        <w:tcBorders>
                          <w:top w:val="nil"/>
                          <w:left w:val="nil"/>
                          <w:bottom w:val="single" w:sz="8" w:space="0" w:color="FFFFFF"/>
                          <w:right w:val="single" w:sz="8" w:space="0" w:color="FFFFFF"/>
                        </w:tcBorders>
                        <w:shd w:val="clear" w:color="000000" w:fill="CCDFE7"/>
                        <w:noWrap/>
                        <w:vAlign w:val="center"/>
                        <w:hideMark/>
                      </w:tcPr>
                      <w:p w14:paraId="245AB868"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-4.4%</w:t>
                        </w:r>
                      </w:p>
                    </w:tc>
                    <w:tc>
                      <w:tcPr>
                        <w:tcW w:w="0" w:type="auto"/>
                        <w:tcBorders>
                          <w:top w:val="nil"/>
                          <w:left w:val="nil"/>
                          <w:bottom w:val="single" w:sz="8" w:space="0" w:color="FFFFFF"/>
                          <w:right w:val="single" w:sz="8" w:space="0" w:color="FFFFFF"/>
                        </w:tcBorders>
                        <w:shd w:val="clear" w:color="000000" w:fill="CCDFE7"/>
                        <w:noWrap/>
                        <w:vAlign w:val="center"/>
                        <w:hideMark/>
                      </w:tcPr>
                      <w:p w14:paraId="47614599"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43,280</w:t>
                        </w:r>
                      </w:p>
                    </w:tc>
                    <w:tc>
                      <w:tcPr>
                        <w:tcW w:w="0" w:type="auto"/>
                        <w:tcBorders>
                          <w:top w:val="nil"/>
                          <w:left w:val="nil"/>
                          <w:bottom w:val="single" w:sz="8" w:space="0" w:color="FFFFFF"/>
                          <w:right w:val="single" w:sz="8" w:space="0" w:color="FFFFFF"/>
                        </w:tcBorders>
                        <w:shd w:val="clear" w:color="000000" w:fill="CCDFE7"/>
                        <w:noWrap/>
                        <w:vAlign w:val="center"/>
                        <w:hideMark/>
                      </w:tcPr>
                      <w:p w14:paraId="79B7D3E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45,857</w:t>
                        </w:r>
                      </w:p>
                    </w:tc>
                    <w:tc>
                      <w:tcPr>
                        <w:tcW w:w="0" w:type="auto"/>
                        <w:tcBorders>
                          <w:top w:val="nil"/>
                          <w:left w:val="nil"/>
                          <w:bottom w:val="single" w:sz="8" w:space="0" w:color="FFFFFF"/>
                          <w:right w:val="single" w:sz="8" w:space="0" w:color="FFFFFF"/>
                        </w:tcBorders>
                        <w:shd w:val="clear" w:color="000000" w:fill="CCDFE7"/>
                        <w:noWrap/>
                        <w:vAlign w:val="center"/>
                        <w:hideMark/>
                      </w:tcPr>
                      <w:p w14:paraId="1C4A00AB"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6.0%</w:t>
                        </w:r>
                      </w:p>
                    </w:tc>
                    <w:tc>
                      <w:tcPr>
                        <w:tcW w:w="0" w:type="auto"/>
                        <w:tcBorders>
                          <w:top w:val="nil"/>
                          <w:left w:val="nil"/>
                          <w:bottom w:val="single" w:sz="8" w:space="0" w:color="FFFFFF"/>
                          <w:right w:val="single" w:sz="8" w:space="0" w:color="FFFFFF"/>
                        </w:tcBorders>
                        <w:shd w:val="clear" w:color="000000" w:fill="CCDFE7"/>
                        <w:noWrap/>
                        <w:vAlign w:val="center"/>
                        <w:hideMark/>
                      </w:tcPr>
                      <w:p w14:paraId="5E086461"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21,346</w:t>
                        </w:r>
                      </w:p>
                    </w:tc>
                    <w:tc>
                      <w:tcPr>
                        <w:tcW w:w="0" w:type="auto"/>
                        <w:tcBorders>
                          <w:top w:val="nil"/>
                          <w:left w:val="nil"/>
                          <w:bottom w:val="single" w:sz="8" w:space="0" w:color="FFFFFF"/>
                          <w:right w:val="single" w:sz="8" w:space="0" w:color="FFFFFF"/>
                        </w:tcBorders>
                        <w:shd w:val="clear" w:color="000000" w:fill="CCDFE7"/>
                        <w:noWrap/>
                        <w:vAlign w:val="center"/>
                        <w:hideMark/>
                      </w:tcPr>
                      <w:p w14:paraId="02FFC94A"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18,251</w:t>
                        </w:r>
                      </w:p>
                    </w:tc>
                    <w:tc>
                      <w:tcPr>
                        <w:tcW w:w="0" w:type="auto"/>
                        <w:tcBorders>
                          <w:top w:val="nil"/>
                          <w:left w:val="nil"/>
                          <w:bottom w:val="single" w:sz="8" w:space="0" w:color="FFFFFF"/>
                          <w:right w:val="single" w:sz="8" w:space="0" w:color="FFFFFF"/>
                        </w:tcBorders>
                        <w:shd w:val="clear" w:color="000000" w:fill="CCDFE7"/>
                        <w:noWrap/>
                        <w:vAlign w:val="center"/>
                        <w:hideMark/>
                      </w:tcPr>
                      <w:p w14:paraId="29D9CC83"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-14.5%</w:t>
                        </w:r>
                      </w:p>
                    </w:tc>
                  </w:tr>
                  <w:tr w:rsidR="00BC6819" w:rsidRPr="00BC6819" w14:paraId="797A16EE"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231FA745"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Tameside</w:t>
                        </w:r>
                      </w:p>
                    </w:tc>
                    <w:tc>
                      <w:tcPr>
                        <w:tcW w:w="0" w:type="auto"/>
                        <w:tcBorders>
                          <w:top w:val="nil"/>
                          <w:left w:val="nil"/>
                          <w:bottom w:val="single" w:sz="8" w:space="0" w:color="FFFFFF"/>
                          <w:right w:val="single" w:sz="8" w:space="0" w:color="FFFFFF"/>
                        </w:tcBorders>
                        <w:shd w:val="clear" w:color="000000" w:fill="99BFD0"/>
                        <w:noWrap/>
                        <w:vAlign w:val="center"/>
                        <w:hideMark/>
                      </w:tcPr>
                      <w:p w14:paraId="1060B8FE"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14,439</w:t>
                        </w:r>
                      </w:p>
                    </w:tc>
                    <w:tc>
                      <w:tcPr>
                        <w:tcW w:w="0" w:type="auto"/>
                        <w:tcBorders>
                          <w:top w:val="nil"/>
                          <w:left w:val="nil"/>
                          <w:bottom w:val="single" w:sz="8" w:space="0" w:color="FFFFFF"/>
                          <w:right w:val="single" w:sz="8" w:space="0" w:color="FFFFFF"/>
                        </w:tcBorders>
                        <w:shd w:val="clear" w:color="000000" w:fill="99BFD0"/>
                        <w:noWrap/>
                        <w:vAlign w:val="center"/>
                        <w:hideMark/>
                      </w:tcPr>
                      <w:p w14:paraId="69A5A137"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13,670</w:t>
                        </w:r>
                      </w:p>
                    </w:tc>
                    <w:tc>
                      <w:tcPr>
                        <w:tcW w:w="0" w:type="auto"/>
                        <w:tcBorders>
                          <w:top w:val="nil"/>
                          <w:left w:val="nil"/>
                          <w:bottom w:val="single" w:sz="8" w:space="0" w:color="FFFFFF"/>
                          <w:right w:val="single" w:sz="8" w:space="0" w:color="FFFFFF"/>
                        </w:tcBorders>
                        <w:shd w:val="clear" w:color="000000" w:fill="99BFD0"/>
                        <w:noWrap/>
                        <w:vAlign w:val="center"/>
                        <w:hideMark/>
                      </w:tcPr>
                      <w:p w14:paraId="1226BCFC"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-5.3%</w:t>
                        </w:r>
                      </w:p>
                    </w:tc>
                    <w:tc>
                      <w:tcPr>
                        <w:tcW w:w="0" w:type="auto"/>
                        <w:tcBorders>
                          <w:top w:val="nil"/>
                          <w:left w:val="nil"/>
                          <w:bottom w:val="single" w:sz="8" w:space="0" w:color="FFFFFF"/>
                          <w:right w:val="single" w:sz="8" w:space="0" w:color="FFFFFF"/>
                        </w:tcBorders>
                        <w:shd w:val="clear" w:color="000000" w:fill="99BFD0"/>
                        <w:noWrap/>
                        <w:vAlign w:val="center"/>
                        <w:hideMark/>
                      </w:tcPr>
                      <w:p w14:paraId="732CC8A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34,056</w:t>
                        </w:r>
                      </w:p>
                    </w:tc>
                    <w:tc>
                      <w:tcPr>
                        <w:tcW w:w="0" w:type="auto"/>
                        <w:tcBorders>
                          <w:top w:val="nil"/>
                          <w:left w:val="nil"/>
                          <w:bottom w:val="single" w:sz="8" w:space="0" w:color="FFFFFF"/>
                          <w:right w:val="single" w:sz="8" w:space="0" w:color="FFFFFF"/>
                        </w:tcBorders>
                        <w:shd w:val="clear" w:color="000000" w:fill="99BFD0"/>
                        <w:noWrap/>
                        <w:vAlign w:val="center"/>
                        <w:hideMark/>
                      </w:tcPr>
                      <w:p w14:paraId="181A2528"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37,529</w:t>
                        </w:r>
                      </w:p>
                    </w:tc>
                    <w:tc>
                      <w:tcPr>
                        <w:tcW w:w="0" w:type="auto"/>
                        <w:tcBorders>
                          <w:top w:val="nil"/>
                          <w:left w:val="nil"/>
                          <w:bottom w:val="single" w:sz="8" w:space="0" w:color="FFFFFF"/>
                          <w:right w:val="single" w:sz="8" w:space="0" w:color="FFFFFF"/>
                        </w:tcBorders>
                        <w:shd w:val="clear" w:color="000000" w:fill="99BFD0"/>
                        <w:noWrap/>
                        <w:vAlign w:val="center"/>
                        <w:hideMark/>
                      </w:tcPr>
                      <w:p w14:paraId="3E10207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10.2%</w:t>
                        </w:r>
                      </w:p>
                    </w:tc>
                    <w:tc>
                      <w:tcPr>
                        <w:tcW w:w="0" w:type="auto"/>
                        <w:tcBorders>
                          <w:top w:val="nil"/>
                          <w:left w:val="nil"/>
                          <w:bottom w:val="single" w:sz="8" w:space="0" w:color="FFFFFF"/>
                          <w:right w:val="single" w:sz="8" w:space="0" w:color="FFFFFF"/>
                        </w:tcBorders>
                        <w:shd w:val="clear" w:color="000000" w:fill="99BFD0"/>
                        <w:noWrap/>
                        <w:vAlign w:val="center"/>
                        <w:hideMark/>
                      </w:tcPr>
                      <w:p w14:paraId="0BBA19CD"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19,159</w:t>
                        </w:r>
                      </w:p>
                    </w:tc>
                    <w:tc>
                      <w:tcPr>
                        <w:tcW w:w="0" w:type="auto"/>
                        <w:tcBorders>
                          <w:top w:val="nil"/>
                          <w:left w:val="nil"/>
                          <w:bottom w:val="single" w:sz="8" w:space="0" w:color="FFFFFF"/>
                          <w:right w:val="single" w:sz="8" w:space="0" w:color="FFFFFF"/>
                        </w:tcBorders>
                        <w:shd w:val="clear" w:color="000000" w:fill="99BFD0"/>
                        <w:noWrap/>
                        <w:vAlign w:val="center"/>
                        <w:hideMark/>
                      </w:tcPr>
                      <w:p w14:paraId="7D7C7328"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16,405</w:t>
                        </w:r>
                      </w:p>
                    </w:tc>
                    <w:tc>
                      <w:tcPr>
                        <w:tcW w:w="0" w:type="auto"/>
                        <w:tcBorders>
                          <w:top w:val="nil"/>
                          <w:left w:val="nil"/>
                          <w:bottom w:val="single" w:sz="8" w:space="0" w:color="FFFFFF"/>
                          <w:right w:val="single" w:sz="8" w:space="0" w:color="FFFFFF"/>
                        </w:tcBorders>
                        <w:shd w:val="clear" w:color="000000" w:fill="99BFD0"/>
                        <w:noWrap/>
                        <w:vAlign w:val="center"/>
                        <w:hideMark/>
                      </w:tcPr>
                      <w:p w14:paraId="2A5AD3BF"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-14.4%</w:t>
                        </w:r>
                      </w:p>
                    </w:tc>
                  </w:tr>
                  <w:tr w:rsidR="00BC6819" w:rsidRPr="00BC6819" w14:paraId="4D3B5F58" w14:textId="77777777" w:rsidTr="00472A81">
                    <w:trPr>
                      <w:trHeight w:val="227"/>
                    </w:trPr>
                    <w:tc>
                      <w:tcPr>
                        <w:tcW w:w="0" w:type="auto"/>
                        <w:tcBorders>
                          <w:top w:val="nil"/>
                          <w:left w:val="single" w:sz="8" w:space="0" w:color="FFFFFF"/>
                          <w:bottom w:val="single" w:sz="8" w:space="0" w:color="FFFFFF"/>
                          <w:right w:val="single" w:sz="8" w:space="0" w:color="FFFFFF"/>
                        </w:tcBorders>
                        <w:shd w:val="clear" w:color="000000" w:fill="2C5060"/>
                        <w:noWrap/>
                        <w:vAlign w:val="center"/>
                        <w:hideMark/>
                      </w:tcPr>
                      <w:p w14:paraId="5BCEB2C7"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Trafford</w:t>
                        </w:r>
                      </w:p>
                    </w:tc>
                    <w:tc>
                      <w:tcPr>
                        <w:tcW w:w="0" w:type="auto"/>
                        <w:tcBorders>
                          <w:top w:val="nil"/>
                          <w:left w:val="nil"/>
                          <w:bottom w:val="single" w:sz="8" w:space="0" w:color="FFFFFF"/>
                          <w:right w:val="single" w:sz="8" w:space="0" w:color="FFFFFF"/>
                        </w:tcBorders>
                        <w:shd w:val="clear" w:color="000000" w:fill="CCDFE7"/>
                        <w:noWrap/>
                        <w:vAlign w:val="center"/>
                        <w:hideMark/>
                      </w:tcPr>
                      <w:p w14:paraId="23AD621F"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14,870</w:t>
                        </w:r>
                      </w:p>
                    </w:tc>
                    <w:tc>
                      <w:tcPr>
                        <w:tcW w:w="0" w:type="auto"/>
                        <w:tcBorders>
                          <w:top w:val="nil"/>
                          <w:left w:val="nil"/>
                          <w:bottom w:val="single" w:sz="8" w:space="0" w:color="FFFFFF"/>
                          <w:right w:val="single" w:sz="8" w:space="0" w:color="FFFFFF"/>
                        </w:tcBorders>
                        <w:shd w:val="clear" w:color="000000" w:fill="CCDFE7"/>
                        <w:noWrap/>
                        <w:vAlign w:val="center"/>
                        <w:hideMark/>
                      </w:tcPr>
                      <w:p w14:paraId="4D9A1355"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13,462</w:t>
                        </w:r>
                      </w:p>
                    </w:tc>
                    <w:tc>
                      <w:tcPr>
                        <w:tcW w:w="0" w:type="auto"/>
                        <w:tcBorders>
                          <w:top w:val="nil"/>
                          <w:left w:val="nil"/>
                          <w:bottom w:val="single" w:sz="8" w:space="0" w:color="FFFFFF"/>
                          <w:right w:val="single" w:sz="8" w:space="0" w:color="FFFFFF"/>
                        </w:tcBorders>
                        <w:shd w:val="clear" w:color="000000" w:fill="CCDFE7"/>
                        <w:noWrap/>
                        <w:vAlign w:val="center"/>
                        <w:hideMark/>
                      </w:tcPr>
                      <w:p w14:paraId="2AE4761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-9.5%</w:t>
                        </w:r>
                      </w:p>
                    </w:tc>
                    <w:tc>
                      <w:tcPr>
                        <w:tcW w:w="0" w:type="auto"/>
                        <w:tcBorders>
                          <w:top w:val="nil"/>
                          <w:left w:val="nil"/>
                          <w:bottom w:val="single" w:sz="8" w:space="0" w:color="FFFFFF"/>
                          <w:right w:val="single" w:sz="8" w:space="0" w:color="FFFFFF"/>
                        </w:tcBorders>
                        <w:shd w:val="clear" w:color="000000" w:fill="CCDFE7"/>
                        <w:noWrap/>
                        <w:vAlign w:val="center"/>
                        <w:hideMark/>
                      </w:tcPr>
                      <w:p w14:paraId="19929AB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36,861</w:t>
                        </w:r>
                      </w:p>
                    </w:tc>
                    <w:tc>
                      <w:tcPr>
                        <w:tcW w:w="0" w:type="auto"/>
                        <w:tcBorders>
                          <w:top w:val="nil"/>
                          <w:left w:val="nil"/>
                          <w:bottom w:val="single" w:sz="8" w:space="0" w:color="FFFFFF"/>
                          <w:right w:val="single" w:sz="8" w:space="0" w:color="FFFFFF"/>
                        </w:tcBorders>
                        <w:shd w:val="clear" w:color="000000" w:fill="CCDFE7"/>
                        <w:noWrap/>
                        <w:vAlign w:val="center"/>
                        <w:hideMark/>
                      </w:tcPr>
                      <w:p w14:paraId="2845E97F"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41,334</w:t>
                        </w:r>
                      </w:p>
                    </w:tc>
                    <w:tc>
                      <w:tcPr>
                        <w:tcW w:w="0" w:type="auto"/>
                        <w:tcBorders>
                          <w:top w:val="nil"/>
                          <w:left w:val="nil"/>
                          <w:bottom w:val="single" w:sz="8" w:space="0" w:color="FFFFFF"/>
                          <w:right w:val="single" w:sz="8" w:space="0" w:color="FFFFFF"/>
                        </w:tcBorders>
                        <w:shd w:val="clear" w:color="000000" w:fill="CCDFE7"/>
                        <w:noWrap/>
                        <w:vAlign w:val="center"/>
                        <w:hideMark/>
                      </w:tcPr>
                      <w:p w14:paraId="1D1B7B8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12.1%</w:t>
                        </w:r>
                      </w:p>
                    </w:tc>
                    <w:tc>
                      <w:tcPr>
                        <w:tcW w:w="0" w:type="auto"/>
                        <w:tcBorders>
                          <w:top w:val="nil"/>
                          <w:left w:val="nil"/>
                          <w:bottom w:val="single" w:sz="8" w:space="0" w:color="FFFFFF"/>
                          <w:right w:val="single" w:sz="8" w:space="0" w:color="FFFFFF"/>
                        </w:tcBorders>
                        <w:shd w:val="clear" w:color="000000" w:fill="CCDFE7"/>
                        <w:noWrap/>
                        <w:vAlign w:val="center"/>
                        <w:hideMark/>
                      </w:tcPr>
                      <w:p w14:paraId="425E2A47"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16,549</w:t>
                        </w:r>
                      </w:p>
                    </w:tc>
                    <w:tc>
                      <w:tcPr>
                        <w:tcW w:w="0" w:type="auto"/>
                        <w:tcBorders>
                          <w:top w:val="nil"/>
                          <w:left w:val="nil"/>
                          <w:bottom w:val="single" w:sz="8" w:space="0" w:color="FFFFFF"/>
                          <w:right w:val="single" w:sz="8" w:space="0" w:color="FFFFFF"/>
                        </w:tcBorders>
                        <w:shd w:val="clear" w:color="000000" w:fill="CCDFE7"/>
                        <w:noWrap/>
                        <w:vAlign w:val="center"/>
                        <w:hideMark/>
                      </w:tcPr>
                      <w:p w14:paraId="3188CFE5"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14,846</w:t>
                        </w:r>
                      </w:p>
                    </w:tc>
                    <w:tc>
                      <w:tcPr>
                        <w:tcW w:w="0" w:type="auto"/>
                        <w:tcBorders>
                          <w:top w:val="nil"/>
                          <w:left w:val="nil"/>
                          <w:bottom w:val="single" w:sz="8" w:space="0" w:color="FFFFFF"/>
                          <w:right w:val="single" w:sz="8" w:space="0" w:color="FFFFFF"/>
                        </w:tcBorders>
                        <w:shd w:val="clear" w:color="000000" w:fill="CCDFE7"/>
                        <w:noWrap/>
                        <w:vAlign w:val="center"/>
                        <w:hideMark/>
                      </w:tcPr>
                      <w:p w14:paraId="689C3F75"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-10.3%</w:t>
                        </w:r>
                      </w:p>
                    </w:tc>
                  </w:tr>
                  <w:tr w:rsidR="00BC6819" w:rsidRPr="00BC6819" w14:paraId="69423313" w14:textId="77777777" w:rsidTr="00D11C8D">
                    <w:trPr>
                      <w:trHeight w:val="227"/>
                    </w:trPr>
                    <w:tc>
                      <w:tcPr>
                        <w:tcW w:w="0" w:type="auto"/>
                        <w:tcBorders>
                          <w:top w:val="nil"/>
                          <w:left w:val="single" w:sz="8" w:space="0" w:color="FFFFFF"/>
                          <w:bottom w:val="single" w:sz="2" w:space="0" w:color="FFFFFF" w:themeColor="background1"/>
                          <w:right w:val="single" w:sz="8" w:space="0" w:color="FFFFFF"/>
                        </w:tcBorders>
                        <w:shd w:val="clear" w:color="000000" w:fill="2C5060"/>
                        <w:noWrap/>
                        <w:vAlign w:val="center"/>
                        <w:hideMark/>
                      </w:tcPr>
                      <w:p w14:paraId="79C585C3"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Wigan</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29A97F08"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19,681</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667B0CAD"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17,782</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19A2409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-9.6%</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00947803"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48,407</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5ACCC36F"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50,342</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7C7269F0"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4.0%</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4C57281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26,787</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46A965E6"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23,192</w:t>
                        </w:r>
                      </w:p>
                    </w:tc>
                    <w:tc>
                      <w:tcPr>
                        <w:tcW w:w="0" w:type="auto"/>
                        <w:tcBorders>
                          <w:top w:val="nil"/>
                          <w:left w:val="nil"/>
                          <w:bottom w:val="single" w:sz="2" w:space="0" w:color="FFFFFF" w:themeColor="background1"/>
                          <w:right w:val="single" w:sz="8" w:space="0" w:color="FFFFFF"/>
                        </w:tcBorders>
                        <w:shd w:val="clear" w:color="000000" w:fill="99BFD0"/>
                        <w:noWrap/>
                        <w:vAlign w:val="center"/>
                        <w:hideMark/>
                      </w:tcPr>
                      <w:p w14:paraId="6BB71234" w14:textId="77777777" w:rsidR="00527AD8" w:rsidRPr="00BC6819" w:rsidRDefault="00527AD8" w:rsidP="00527AD8">
                        <w:pPr>
                          <w:spacing w:after="0" w:line="240" w:lineRule="auto"/>
                          <w:jc w:val="center"/>
                          <w:rPr>
                            <w:rFonts w:ascii="Arial" w:eastAsia="Times New Roman" w:hAnsi="Arial" w:cs="Arial"/>
                            <w:color w:val="000000"/>
                            <w:lang w:eastAsia="en-GB"/>
                          </w:rPr>
                        </w:pPr>
                        <w:r w:rsidRPr="00BC6819">
                          <w:rPr>
                            <w:rFonts w:ascii="Arial" w:eastAsia="Times New Roman" w:hAnsi="Arial" w:cs="Arial"/>
                            <w:color w:val="000000"/>
                            <w:lang w:eastAsia="en-GB"/>
                          </w:rPr>
                          <w:t>-13.4%</w:t>
                        </w:r>
                      </w:p>
                    </w:tc>
                  </w:tr>
                  <w:tr w:rsidR="00BC6819" w:rsidRPr="00BC6819" w14:paraId="766A4DB0" w14:textId="77777777" w:rsidTr="00D11C8D">
                    <w:trPr>
                      <w:trHeight w:val="227"/>
                    </w:trPr>
                    <w:tc>
                      <w:tcPr>
                        <w:tcW w:w="0" w:type="auto"/>
                        <w:tcBorders>
                          <w:top w:val="single" w:sz="2" w:space="0" w:color="FFFFFF" w:themeColor="background1"/>
                          <w:left w:val="single" w:sz="8" w:space="0" w:color="FFFFFF"/>
                          <w:bottom w:val="single" w:sz="2" w:space="0" w:color="FFFFFF" w:themeColor="background1"/>
                          <w:right w:val="single" w:sz="8" w:space="0" w:color="FFFFFF"/>
                        </w:tcBorders>
                        <w:shd w:val="clear" w:color="000000" w:fill="2C5060"/>
                        <w:noWrap/>
                        <w:vAlign w:val="center"/>
                        <w:hideMark/>
                      </w:tcPr>
                      <w:p w14:paraId="2BAE462E" w14:textId="77777777" w:rsidR="00527AD8" w:rsidRPr="00BC6819" w:rsidRDefault="00527AD8"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Greater Manchester</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57C72A3A"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181,245</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0EABD2E8"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173,381</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70C6CDF8"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-4.3%</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15D88C12"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420,379</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2F825473"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480,704</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35EE8550"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14.4%</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1A7D171F"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278,658</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4BECB78F"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260,284</w:t>
                        </w:r>
                      </w:p>
                    </w:tc>
                    <w:tc>
                      <w:tcPr>
                        <w:tcW w:w="0" w:type="auto"/>
                        <w:tcBorders>
                          <w:top w:val="single" w:sz="2" w:space="0" w:color="FFFFFF" w:themeColor="background1"/>
                          <w:left w:val="nil"/>
                          <w:bottom w:val="single" w:sz="2" w:space="0" w:color="FFFFFF" w:themeColor="background1"/>
                          <w:right w:val="single" w:sz="8" w:space="0" w:color="FFFFFF"/>
                        </w:tcBorders>
                        <w:shd w:val="clear" w:color="000000" w:fill="CCDFE7"/>
                        <w:noWrap/>
                        <w:vAlign w:val="center"/>
                        <w:hideMark/>
                      </w:tcPr>
                      <w:p w14:paraId="534AC4BC" w14:textId="77777777" w:rsidR="00527AD8" w:rsidRPr="00BC6819" w:rsidRDefault="00527AD8"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-6.6%</w:t>
                        </w:r>
                      </w:p>
                    </w:tc>
                  </w:tr>
                  <w:tr w:rsidR="00BC6819" w:rsidRPr="00BC6819" w14:paraId="6C89A0D9" w14:textId="77777777" w:rsidTr="00D11C8D">
                    <w:trPr>
                      <w:trHeight w:val="227"/>
                    </w:trPr>
                    <w:tc>
                      <w:tcPr>
                        <w:tcW w:w="0" w:type="auto"/>
                        <w:tcBorders>
                          <w:top w:val="single" w:sz="2" w:space="0" w:color="FFFFFF" w:themeColor="background1"/>
                          <w:left w:val="single" w:sz="8" w:space="0" w:color="FFFFFF"/>
                          <w:bottom w:val="single" w:sz="8" w:space="0" w:color="FFFFFF"/>
                          <w:right w:val="single" w:sz="8" w:space="0" w:color="FFFFFF"/>
                        </w:tcBorders>
                        <w:shd w:val="clear" w:color="000000" w:fill="2C5060"/>
                        <w:noWrap/>
                        <w:vAlign w:val="center"/>
                      </w:tcPr>
                      <w:p w14:paraId="6E1BB02B" w14:textId="5A0DE0BA" w:rsidR="00D11C8D" w:rsidRPr="00BC6819" w:rsidRDefault="00D11C8D" w:rsidP="00527AD8">
                        <w:pPr>
                          <w:spacing w:after="0" w:line="240" w:lineRule="auto"/>
                          <w:jc w:val="center"/>
                          <w:rPr>
                            <w:rFonts w:ascii="Arial" w:eastAsia="Times New Roman" w:hAnsi="Arial" w:cs="Arial"/>
                            <w:b/>
                            <w:bCs/>
                            <w:color w:val="FFFFFF"/>
                            <w:lang w:eastAsia="en-GB"/>
                          </w:rPr>
                        </w:pPr>
                        <w:r w:rsidRPr="00BC6819">
                          <w:rPr>
                            <w:rFonts w:ascii="Arial" w:eastAsia="Times New Roman" w:hAnsi="Arial" w:cs="Arial"/>
                            <w:b/>
                            <w:bCs/>
                            <w:color w:val="FFFFFF"/>
                            <w:lang w:eastAsia="en-GB"/>
                          </w:rPr>
                          <w:t>England</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37424AE5" w14:textId="1F59CD79" w:rsidR="00D11C8D" w:rsidRPr="00BC6819" w:rsidRDefault="00D11C8D"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3,318,449</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054014FA" w14:textId="5A496D91" w:rsidR="00D11C8D" w:rsidRPr="00BC6819" w:rsidRDefault="00BC6819"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3,076,949</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06716FE0" w14:textId="6CA8014F" w:rsidR="00D11C8D" w:rsidRPr="00BC6819" w:rsidRDefault="00D11C8D"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w:t>
                        </w:r>
                        <w:r w:rsidR="00BC6819" w:rsidRPr="00BC6819">
                          <w:rPr>
                            <w:rFonts w:ascii="Arial" w:eastAsia="Times New Roman" w:hAnsi="Arial" w:cs="Arial"/>
                            <w:b/>
                            <w:bCs/>
                            <w:color w:val="000000"/>
                            <w:lang w:eastAsia="en-GB"/>
                          </w:rPr>
                          <w:t>7.3</w:t>
                        </w:r>
                        <w:r w:rsidRPr="00BC6819">
                          <w:rPr>
                            <w:rFonts w:ascii="Arial" w:eastAsia="Times New Roman" w:hAnsi="Arial" w:cs="Arial"/>
                            <w:b/>
                            <w:bCs/>
                            <w:color w:val="000000"/>
                            <w:lang w:eastAsia="en-GB"/>
                          </w:rPr>
                          <w:t>%</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48DD8891" w14:textId="0B01767B" w:rsidR="00D11C8D" w:rsidRPr="00BC6819" w:rsidRDefault="00D11C8D"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8,018,511</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75CCF23F" w14:textId="4D28125C" w:rsidR="00D11C8D" w:rsidRPr="00BC6819" w:rsidRDefault="00D11C8D"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8,</w:t>
                        </w:r>
                        <w:r w:rsidR="00BC6819" w:rsidRPr="00BC6819">
                          <w:rPr>
                            <w:rFonts w:ascii="Arial" w:eastAsia="Times New Roman" w:hAnsi="Arial" w:cs="Arial"/>
                            <w:b/>
                            <w:bCs/>
                            <w:color w:val="000000"/>
                            <w:lang w:eastAsia="en-GB"/>
                          </w:rPr>
                          <w:t>697,649</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52765758" w14:textId="28ABEC95" w:rsidR="00D11C8D" w:rsidRPr="00BC6819" w:rsidRDefault="00BC6819"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8</w:t>
                        </w:r>
                        <w:r w:rsidR="00D11C8D" w:rsidRPr="00BC6819">
                          <w:rPr>
                            <w:rFonts w:ascii="Arial" w:eastAsia="Times New Roman" w:hAnsi="Arial" w:cs="Arial"/>
                            <w:b/>
                            <w:bCs/>
                            <w:color w:val="000000"/>
                            <w:lang w:eastAsia="en-GB"/>
                          </w:rPr>
                          <w:t>.5%</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21019992" w14:textId="73BE9EA0" w:rsidR="00D11C8D" w:rsidRPr="00BC6819" w:rsidRDefault="00D11C8D"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4,970,636</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556D3E45" w14:textId="607C6C9E" w:rsidR="00D11C8D" w:rsidRPr="00BC6819" w:rsidRDefault="00D11C8D"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4</w:t>
                        </w:r>
                        <w:r w:rsidR="00BC6819" w:rsidRPr="00BC6819">
                          <w:rPr>
                            <w:rFonts w:ascii="Arial" w:eastAsia="Times New Roman" w:hAnsi="Arial" w:cs="Arial"/>
                            <w:b/>
                            <w:bCs/>
                            <w:color w:val="000000"/>
                            <w:lang w:eastAsia="en-GB"/>
                          </w:rPr>
                          <w:t>,697,724</w:t>
                        </w:r>
                      </w:p>
                    </w:tc>
                    <w:tc>
                      <w:tcPr>
                        <w:tcW w:w="0" w:type="auto"/>
                        <w:tcBorders>
                          <w:top w:val="single" w:sz="2" w:space="0" w:color="FFFFFF" w:themeColor="background1"/>
                          <w:left w:val="nil"/>
                          <w:bottom w:val="single" w:sz="8" w:space="0" w:color="FFFFFF"/>
                          <w:right w:val="single" w:sz="8" w:space="0" w:color="FFFFFF"/>
                        </w:tcBorders>
                        <w:shd w:val="clear" w:color="000000" w:fill="CCDFE7"/>
                        <w:noWrap/>
                        <w:vAlign w:val="center"/>
                      </w:tcPr>
                      <w:p w14:paraId="5AFABACD" w14:textId="51942E7F" w:rsidR="00D11C8D" w:rsidRPr="00BC6819" w:rsidRDefault="00D11C8D" w:rsidP="00527AD8">
                        <w:pPr>
                          <w:spacing w:after="0" w:line="240" w:lineRule="auto"/>
                          <w:jc w:val="center"/>
                          <w:rPr>
                            <w:rFonts w:ascii="Arial" w:eastAsia="Times New Roman" w:hAnsi="Arial" w:cs="Arial"/>
                            <w:b/>
                            <w:bCs/>
                            <w:color w:val="000000"/>
                            <w:lang w:eastAsia="en-GB"/>
                          </w:rPr>
                        </w:pPr>
                        <w:r w:rsidRPr="00BC6819">
                          <w:rPr>
                            <w:rFonts w:ascii="Arial" w:eastAsia="Times New Roman" w:hAnsi="Arial" w:cs="Arial"/>
                            <w:b/>
                            <w:bCs/>
                            <w:color w:val="000000"/>
                            <w:lang w:eastAsia="en-GB"/>
                          </w:rPr>
                          <w:t>-</w:t>
                        </w:r>
                        <w:r w:rsidR="00BC6819" w:rsidRPr="00BC6819">
                          <w:rPr>
                            <w:rFonts w:ascii="Arial" w:eastAsia="Times New Roman" w:hAnsi="Arial" w:cs="Arial"/>
                            <w:b/>
                            <w:bCs/>
                            <w:color w:val="000000"/>
                            <w:lang w:eastAsia="en-GB"/>
                          </w:rPr>
                          <w:t>5.5</w:t>
                        </w:r>
                        <w:r w:rsidRPr="00BC6819">
                          <w:rPr>
                            <w:rFonts w:ascii="Arial" w:eastAsia="Times New Roman" w:hAnsi="Arial" w:cs="Arial"/>
                            <w:b/>
                            <w:bCs/>
                            <w:color w:val="000000"/>
                            <w:lang w:eastAsia="en-GB"/>
                          </w:rPr>
                          <w:t>%</w:t>
                        </w:r>
                      </w:p>
                    </w:tc>
                  </w:tr>
                </w:tbl>
                <w:p w14:paraId="69DA2F9D" w14:textId="77777777" w:rsidR="00527AD8" w:rsidRPr="00BC6819" w:rsidRDefault="00527AD8" w:rsidP="00B03CEA">
                  <w:pPr>
                    <w:rPr>
                      <w:rFonts w:cs="Arial"/>
                      <w:b/>
                      <w:bCs/>
                    </w:rPr>
                  </w:pPr>
                </w:p>
              </w:tc>
            </w:tr>
            <w:tr w:rsidR="00527AD8" w:rsidRPr="00BC6819" w14:paraId="4D4667B9" w14:textId="77777777" w:rsidTr="00472A81">
              <w:trPr>
                <w:trHeight w:val="270"/>
              </w:trPr>
              <w:tc>
                <w:tcPr>
                  <w:tcW w:w="13749" w:type="dxa"/>
                </w:tcPr>
                <w:p w14:paraId="14AAF293" w14:textId="77777777" w:rsidR="00527AD8" w:rsidRPr="00BC6819" w:rsidRDefault="00527AD8" w:rsidP="00B03CEA">
                  <w:pPr>
                    <w:rPr>
                      <w:rStyle w:val="Hyperlink"/>
                      <w:rFonts w:cs="Arial"/>
                      <w:i/>
                      <w:iCs/>
                      <w:color w:val="000000" w:themeColor="text1"/>
                    </w:rPr>
                  </w:pPr>
                  <w:r w:rsidRPr="00BC6819">
                    <w:rPr>
                      <w:rFonts w:cs="Arial"/>
                      <w:color w:val="000000" w:themeColor="text1"/>
                    </w:rPr>
                    <w:t>Source</w:t>
                  </w:r>
                  <w:r w:rsidRPr="00BC6819">
                    <w:rPr>
                      <w:rFonts w:cs="Arial"/>
                      <w:i/>
                      <w:iCs/>
                      <w:color w:val="000000" w:themeColor="text1"/>
                    </w:rPr>
                    <w:t xml:space="preserve">: </w:t>
                  </w:r>
                  <w:hyperlink r:id="rId17" w:history="1">
                    <w:r w:rsidRPr="00BC6819">
                      <w:rPr>
                        <w:rStyle w:val="Hyperlink"/>
                        <w:rFonts w:cs="Arial"/>
                        <w:i/>
                        <w:iCs/>
                        <w:color w:val="000000" w:themeColor="text1"/>
                      </w:rPr>
                      <w:t>ONS</w:t>
                    </w:r>
                  </w:hyperlink>
                  <w:r w:rsidRPr="00BC6819">
                    <w:rPr>
                      <w:rFonts w:cs="Arial"/>
                      <w:i/>
                      <w:iCs/>
                      <w:color w:val="000000" w:themeColor="text1"/>
                    </w:rPr>
                    <w:t xml:space="preserve">, </w:t>
                  </w:r>
                  <w:hyperlink r:id="rId18" w:history="1">
                    <w:r w:rsidRPr="00BC6819">
                      <w:rPr>
                        <w:rStyle w:val="Hyperlink"/>
                        <w:rFonts w:cs="Arial"/>
                        <w:i/>
                        <w:iCs/>
                        <w:color w:val="000000" w:themeColor="text1"/>
                      </w:rPr>
                      <w:t>Nomis – 2021 Census</w:t>
                    </w:r>
                  </w:hyperlink>
                </w:p>
                <w:p w14:paraId="54AB0E69" w14:textId="77777777" w:rsidR="00C55C5D" w:rsidRDefault="00C55C5D" w:rsidP="00C55C5D">
                  <w:pPr>
                    <w:rPr>
                      <w:rFonts w:cs="Arial"/>
                      <w:b/>
                      <w:bCs/>
                    </w:rPr>
                  </w:pPr>
                </w:p>
                <w:p w14:paraId="20E35BD3" w14:textId="3ABE0231" w:rsidR="000A2D76" w:rsidRPr="00BC6819" w:rsidRDefault="000A2D76" w:rsidP="00C55C5D">
                  <w:pPr>
                    <w:rPr>
                      <w:rFonts w:cs="Arial"/>
                      <w:b/>
                      <w:bCs/>
                    </w:rPr>
                  </w:pPr>
                </w:p>
              </w:tc>
            </w:tr>
          </w:tbl>
          <w:p w14:paraId="527C489C" w14:textId="33767143" w:rsidR="00527AD8" w:rsidRPr="00BC6819" w:rsidRDefault="00527AD8" w:rsidP="00B03CEA">
            <w:pPr>
              <w:rPr>
                <w:rFonts w:cs="Arial"/>
                <w:b/>
                <w:bCs/>
              </w:rPr>
            </w:pPr>
          </w:p>
        </w:tc>
      </w:tr>
    </w:tbl>
    <w:p w14:paraId="4A4DC88E" w14:textId="77777777" w:rsidR="00237CF6" w:rsidRPr="00237CF6" w:rsidRDefault="00237CF6" w:rsidP="00237CF6">
      <w:pPr>
        <w:sectPr w:rsidR="00237CF6" w:rsidRPr="00237CF6" w:rsidSect="00BF2DA1">
          <w:pgSz w:w="16838" w:h="11906" w:orient="landscape" w:code="9"/>
          <w:pgMar w:top="1440" w:right="1440" w:bottom="1440" w:left="1440" w:header="709" w:footer="941" w:gutter="0"/>
          <w:cols w:space="708"/>
          <w:titlePg/>
          <w:docGrid w:linePitch="360"/>
        </w:sectPr>
      </w:pPr>
    </w:p>
    <w:p w14:paraId="6A74A3B4" w14:textId="260748C2" w:rsidR="00EC4419" w:rsidRPr="00EC4419" w:rsidRDefault="006C157E" w:rsidP="007A469B">
      <w:pPr>
        <w:pStyle w:val="Heading3"/>
      </w:pPr>
      <w:r>
        <w:lastRenderedPageBreak/>
        <w:t>Ethnicity</w:t>
      </w:r>
    </w:p>
    <w:p w14:paraId="30247AF9" w14:textId="35601893" w:rsidR="002B7327" w:rsidRDefault="00AD3CBE" w:rsidP="00F42E38">
      <w:pPr>
        <w:rPr>
          <w:rFonts w:ascii="Arial" w:hAnsi="Arial" w:cs="Arial"/>
        </w:rPr>
      </w:pPr>
      <w:r>
        <w:rPr>
          <w:rFonts w:ascii="Arial" w:hAnsi="Arial" w:cs="Arial"/>
        </w:rPr>
        <w:t>The population of children and young people in Greater Manchester show</w:t>
      </w:r>
      <w:r w:rsidR="002B7327">
        <w:rPr>
          <w:rFonts w:ascii="Arial" w:hAnsi="Arial" w:cs="Arial"/>
        </w:rPr>
        <w:t>ed</w:t>
      </w:r>
      <w:r>
        <w:rPr>
          <w:rFonts w:ascii="Arial" w:hAnsi="Arial" w:cs="Arial"/>
        </w:rPr>
        <w:t xml:space="preserve"> greater diversity compared to the all-age population. In 2021, </w:t>
      </w:r>
      <w:r w:rsidR="003F1F07">
        <w:rPr>
          <w:rFonts w:ascii="Arial" w:hAnsi="Arial" w:cs="Arial"/>
        </w:rPr>
        <w:t>3</w:t>
      </w:r>
      <w:r>
        <w:rPr>
          <w:rFonts w:ascii="Arial" w:hAnsi="Arial" w:cs="Arial"/>
        </w:rPr>
        <w:t xml:space="preserve">4.0% of individuals aged 0 to 24 </w:t>
      </w:r>
      <w:r w:rsidR="00962C6F">
        <w:rPr>
          <w:rFonts w:ascii="Arial" w:hAnsi="Arial" w:cs="Arial"/>
        </w:rPr>
        <w:t xml:space="preserve">were of </w:t>
      </w:r>
      <w:r w:rsidR="002B7327">
        <w:rPr>
          <w:rFonts w:ascii="Arial" w:hAnsi="Arial" w:cs="Arial"/>
        </w:rPr>
        <w:t xml:space="preserve">an </w:t>
      </w:r>
      <w:r w:rsidR="00962C6F">
        <w:rPr>
          <w:rFonts w:ascii="Arial" w:hAnsi="Arial" w:cs="Arial"/>
        </w:rPr>
        <w:t>ethnic minority</w:t>
      </w:r>
      <w:r>
        <w:rPr>
          <w:rFonts w:ascii="Arial" w:hAnsi="Arial" w:cs="Arial"/>
        </w:rPr>
        <w:t xml:space="preserve"> </w:t>
      </w:r>
      <w:r w:rsidR="00962C6F">
        <w:rPr>
          <w:rFonts w:ascii="Arial" w:hAnsi="Arial" w:cs="Arial"/>
        </w:rPr>
        <w:t>population</w:t>
      </w:r>
      <w:r w:rsidR="00046C4B">
        <w:rPr>
          <w:rFonts w:ascii="Arial" w:hAnsi="Arial" w:cs="Arial"/>
        </w:rPr>
        <w:t>, with over 30% of those 18 and under being of an ethnic minority population</w:t>
      </w:r>
      <w:r w:rsidR="002B7327">
        <w:rPr>
          <w:rFonts w:ascii="Arial" w:hAnsi="Arial" w:cs="Arial"/>
        </w:rPr>
        <w:t>. This was a</w:t>
      </w:r>
      <w:r w:rsidRPr="00AD3CBE">
        <w:rPr>
          <w:rFonts w:ascii="Arial" w:hAnsi="Arial" w:cs="Arial"/>
        </w:rPr>
        <w:t xml:space="preserve"> </w:t>
      </w:r>
      <w:r w:rsidR="002B7327" w:rsidRPr="00AD3CBE">
        <w:rPr>
          <w:rFonts w:ascii="Arial" w:hAnsi="Arial" w:cs="Arial"/>
        </w:rPr>
        <w:t>s</w:t>
      </w:r>
      <w:r w:rsidR="002B7327">
        <w:rPr>
          <w:rFonts w:ascii="Arial" w:hAnsi="Arial" w:cs="Arial"/>
        </w:rPr>
        <w:t>ubstantially</w:t>
      </w:r>
      <w:r w:rsidR="002B7327" w:rsidRPr="00AD3CBE">
        <w:rPr>
          <w:rFonts w:ascii="Arial" w:hAnsi="Arial" w:cs="Arial"/>
        </w:rPr>
        <w:t xml:space="preserve"> </w:t>
      </w:r>
      <w:r w:rsidRPr="00AD3CBE">
        <w:rPr>
          <w:rFonts w:ascii="Arial" w:hAnsi="Arial" w:cs="Arial"/>
        </w:rPr>
        <w:t xml:space="preserve">higher </w:t>
      </w:r>
      <w:r w:rsidR="002B7327" w:rsidRPr="00AD3CBE">
        <w:rPr>
          <w:rFonts w:ascii="Arial" w:hAnsi="Arial" w:cs="Arial"/>
        </w:rPr>
        <w:t>p</w:t>
      </w:r>
      <w:r w:rsidR="002B7327">
        <w:rPr>
          <w:rFonts w:ascii="Arial" w:hAnsi="Arial" w:cs="Arial"/>
        </w:rPr>
        <w:t>roportion</w:t>
      </w:r>
      <w:r w:rsidR="002B7327" w:rsidRPr="00AD3CBE">
        <w:rPr>
          <w:rFonts w:ascii="Arial" w:hAnsi="Arial" w:cs="Arial"/>
        </w:rPr>
        <w:t xml:space="preserve"> </w:t>
      </w:r>
      <w:r w:rsidRPr="00AD3CBE">
        <w:rPr>
          <w:rFonts w:ascii="Arial" w:hAnsi="Arial" w:cs="Arial"/>
        </w:rPr>
        <w:t xml:space="preserve">compared to the </w:t>
      </w:r>
      <w:r>
        <w:rPr>
          <w:rFonts w:ascii="Arial" w:hAnsi="Arial" w:cs="Arial"/>
        </w:rPr>
        <w:t>all-age</w:t>
      </w:r>
      <w:r w:rsidRPr="00AD3CBE">
        <w:rPr>
          <w:rFonts w:ascii="Arial" w:hAnsi="Arial" w:cs="Arial"/>
        </w:rPr>
        <w:t xml:space="preserve"> population</w:t>
      </w:r>
      <w:r w:rsidRPr="00B33C72">
        <w:rPr>
          <w:rFonts w:ascii="Arial" w:hAnsi="Arial" w:cs="Arial"/>
        </w:rPr>
        <w:t>, which stood at 23.6%.</w:t>
      </w:r>
    </w:p>
    <w:p w14:paraId="67978FFB" w14:textId="680175F8" w:rsidR="00AD3CBE" w:rsidRDefault="00AD3CBE" w:rsidP="00F42E38">
      <w:pPr>
        <w:rPr>
          <w:rFonts w:ascii="Arial" w:hAnsi="Arial" w:cs="Arial"/>
        </w:rPr>
      </w:pPr>
      <w:r>
        <w:rPr>
          <w:rFonts w:ascii="Arial" w:hAnsi="Arial" w:cs="Arial"/>
        </w:rPr>
        <w:t xml:space="preserve">Additionally, Greater Manchester’s </w:t>
      </w:r>
      <w:r w:rsidR="002B7327">
        <w:rPr>
          <w:rFonts w:ascii="Arial" w:hAnsi="Arial" w:cs="Arial"/>
        </w:rPr>
        <w:t>children and young people</w:t>
      </w:r>
      <w:r>
        <w:rPr>
          <w:rFonts w:ascii="Arial" w:hAnsi="Arial" w:cs="Arial"/>
        </w:rPr>
        <w:t xml:space="preserve"> population</w:t>
      </w:r>
      <w:r w:rsidR="002B7327">
        <w:rPr>
          <w:rFonts w:ascii="Arial" w:hAnsi="Arial" w:cs="Arial"/>
        </w:rPr>
        <w:t xml:space="preserve"> was</w:t>
      </w:r>
      <w:r>
        <w:rPr>
          <w:rFonts w:ascii="Arial" w:hAnsi="Arial" w:cs="Arial"/>
        </w:rPr>
        <w:t xml:space="preserve"> more diverse</w:t>
      </w:r>
      <w:r w:rsidR="003F1F07">
        <w:rPr>
          <w:rFonts w:ascii="Arial" w:hAnsi="Arial" w:cs="Arial"/>
        </w:rPr>
        <w:t xml:space="preserve"> than</w:t>
      </w:r>
      <w:r>
        <w:rPr>
          <w:rFonts w:ascii="Arial" w:hAnsi="Arial" w:cs="Arial"/>
        </w:rPr>
        <w:t xml:space="preserve"> </w:t>
      </w:r>
      <w:r w:rsidR="0091568B">
        <w:rPr>
          <w:rFonts w:ascii="Arial" w:hAnsi="Arial" w:cs="Arial"/>
        </w:rPr>
        <w:t>England</w:t>
      </w:r>
      <w:r>
        <w:rPr>
          <w:rFonts w:ascii="Arial" w:hAnsi="Arial" w:cs="Arial"/>
        </w:rPr>
        <w:t xml:space="preserve">, where 25.9% </w:t>
      </w:r>
      <w:r w:rsidR="002B7327">
        <w:rPr>
          <w:rFonts w:ascii="Arial" w:hAnsi="Arial" w:cs="Arial"/>
        </w:rPr>
        <w:t>were</w:t>
      </w:r>
      <w:r w:rsidR="00962C6F">
        <w:rPr>
          <w:rFonts w:ascii="Arial" w:hAnsi="Arial" w:cs="Arial"/>
        </w:rPr>
        <w:t xml:space="preserve"> from an ethnic minority group.</w:t>
      </w:r>
      <w:r>
        <w:rPr>
          <w:rFonts w:ascii="Arial" w:hAnsi="Arial" w:cs="Arial"/>
        </w:rPr>
        <w:t xml:space="preserve"> </w:t>
      </w:r>
    </w:p>
    <w:p w14:paraId="242E3F82" w14:textId="57354EE1" w:rsidR="004C3D8C" w:rsidRDefault="00AD3CBE" w:rsidP="00E257C7">
      <w:pPr>
        <w:rPr>
          <w:rFonts w:ascii="Arial" w:hAnsi="Arial" w:cs="Arial"/>
        </w:rPr>
      </w:pPr>
      <w:r w:rsidRPr="00AD3CBE">
        <w:rPr>
          <w:rFonts w:ascii="Arial" w:hAnsi="Arial" w:cs="Arial"/>
        </w:rPr>
        <w:t xml:space="preserve">The number of </w:t>
      </w:r>
      <w:r w:rsidR="002B7327">
        <w:rPr>
          <w:rFonts w:ascii="Arial" w:hAnsi="Arial" w:cs="Arial"/>
        </w:rPr>
        <w:t>children and young people</w:t>
      </w:r>
      <w:r w:rsidRPr="00AD3CBE">
        <w:rPr>
          <w:rFonts w:ascii="Arial" w:hAnsi="Arial" w:cs="Arial"/>
        </w:rPr>
        <w:t xml:space="preserve"> increased among all </w:t>
      </w:r>
      <w:r w:rsidR="00962C6F">
        <w:rPr>
          <w:rFonts w:ascii="Arial" w:hAnsi="Arial" w:cs="Arial"/>
        </w:rPr>
        <w:t>ethnic minority</w:t>
      </w:r>
      <w:r w:rsidRPr="00AD3CBE">
        <w:rPr>
          <w:rFonts w:ascii="Arial" w:hAnsi="Arial" w:cs="Arial"/>
        </w:rPr>
        <w:t xml:space="preserve"> groups</w:t>
      </w:r>
      <w:r w:rsidR="00962C6F">
        <w:rPr>
          <w:rFonts w:ascii="Arial" w:hAnsi="Arial" w:cs="Arial"/>
        </w:rPr>
        <w:t xml:space="preserve"> </w:t>
      </w:r>
      <w:r w:rsidRPr="00AD3CBE">
        <w:rPr>
          <w:rFonts w:ascii="Arial" w:hAnsi="Arial" w:cs="Arial"/>
        </w:rPr>
        <w:t xml:space="preserve">between 2011 and 2021. The biggest population increase was seen among those in the Black population, rising by </w:t>
      </w:r>
      <w:r w:rsidR="00C831F5">
        <w:rPr>
          <w:rFonts w:ascii="Arial" w:hAnsi="Arial" w:cs="Arial"/>
        </w:rPr>
        <w:t>29,652</w:t>
      </w:r>
      <w:r w:rsidRPr="00AD3CBE">
        <w:rPr>
          <w:rFonts w:ascii="Arial" w:hAnsi="Arial" w:cs="Arial"/>
        </w:rPr>
        <w:t xml:space="preserve"> (up 95.4%). Conversely, the White population reduced in size </w:t>
      </w:r>
      <w:r w:rsidR="00C831F5">
        <w:rPr>
          <w:rFonts w:ascii="Arial" w:hAnsi="Arial" w:cs="Arial"/>
        </w:rPr>
        <w:t xml:space="preserve">by 68,448 (down 10.2%). The all-age trend between 2011 and 2021 mirrors the same pattern, although the percentage decrease in residents from the White population was less pronounced. </w:t>
      </w:r>
    </w:p>
    <w:tbl>
      <w:tblPr>
        <w:tblStyle w:val="TableGridLight"/>
        <w:tblW w:w="0" w:type="auto"/>
        <w:tblLook w:val="04A0" w:firstRow="1" w:lastRow="0" w:firstColumn="1" w:lastColumn="0" w:noHBand="0" w:noVBand="1"/>
      </w:tblPr>
      <w:tblGrid>
        <w:gridCol w:w="9016"/>
      </w:tblGrid>
      <w:tr w:rsidR="006F2574" w14:paraId="10551392" w14:textId="77777777" w:rsidTr="00EF1F1D">
        <w:tc>
          <w:tcPr>
            <w:tcW w:w="9016" w:type="dxa"/>
            <w:tcBorders>
              <w:top w:val="nil"/>
              <w:left w:val="nil"/>
              <w:right w:val="nil"/>
            </w:tcBorders>
            <w:vAlign w:val="center"/>
          </w:tcPr>
          <w:p w14:paraId="32F8DD78" w14:textId="52802F24" w:rsidR="006F2574" w:rsidRPr="00EF1F1D" w:rsidRDefault="00E257C7" w:rsidP="00EF1F1D">
            <w:pPr>
              <w:rPr>
                <w:rFonts w:ascii="Arial" w:hAnsi="Arial" w:cs="Arial"/>
                <w:b/>
                <w:bCs/>
              </w:rPr>
            </w:pPr>
            <w:r>
              <w:rPr>
                <w:rFonts w:ascii="Arial" w:hAnsi="Arial" w:cs="Arial"/>
                <w:b/>
                <w:bCs/>
              </w:rPr>
              <w:t>Percentage of residents aged 0 to 24 in each of the five high level ethnic groups captured in the census, comparing 2011 and 2021.</w:t>
            </w:r>
          </w:p>
        </w:tc>
      </w:tr>
      <w:tr w:rsidR="006F2574" w14:paraId="6A106AE1" w14:textId="77777777" w:rsidTr="00B15BD6">
        <w:trPr>
          <w:trHeight w:val="4960"/>
        </w:trPr>
        <w:tc>
          <w:tcPr>
            <w:tcW w:w="9016" w:type="dxa"/>
            <w:tcBorders>
              <w:bottom w:val="single" w:sz="4" w:space="0" w:color="BFBFBF" w:themeColor="background1" w:themeShade="BF"/>
            </w:tcBorders>
            <w:vAlign w:val="center"/>
          </w:tcPr>
          <w:p w14:paraId="2ADC8CC0" w14:textId="4EF3C92B" w:rsidR="006F2574" w:rsidRDefault="00F652F5" w:rsidP="009F43F4">
            <w:pPr>
              <w:jc w:val="center"/>
              <w:rPr>
                <w:rFonts w:ascii="Arial" w:hAnsi="Arial" w:cs="Arial"/>
              </w:rPr>
            </w:pPr>
            <w:r w:rsidRPr="00F652F5">
              <w:rPr>
                <w:noProof/>
              </w:rPr>
              <w:drawing>
                <wp:inline distT="0" distB="0" distL="0" distR="0" wp14:anchorId="7979437F" wp14:editId="1B12587F">
                  <wp:extent cx="5572961" cy="3476625"/>
                  <wp:effectExtent l="0" t="0" r="8890" b="0"/>
                  <wp:docPr id="495137552" name="Graphic 1" descr="This chart visualises the percentage change in high level ethnic group populations in Greater Manchester, displaying 2011 and 2021 figures for comparative purposes. This is shown for the 0 to 24 years old age group of children and young people. The graph conveys that there have been increases in the percentage of residents aged 0 to 24 years that identify as being Asian, Black, Mixed, or Other ethnicities, and decreases in those who identify a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7552" name="Graphic 1" descr="This chart visualises the percentage change in high level ethnic group populations in Greater Manchester, displaying 2011 and 2021 figures for comparative purposes. This is shown for the 0 to 24 years old age group of children and young people. The graph conveys that there have been increases in the percentage of residents aged 0 to 24 years that identify as being Asian, Black, Mixed, or Other ethnicities, and decreases in those who identify as White."/>
                          <pic:cNvPicPr/>
                        </pic:nvPicPr>
                        <pic:blipFill>
                          <a:blip r:embed="rId19">
                            <a:extLst>
                              <a:ext uri="{96DAC541-7B7A-43D3-8B79-37D633B846F1}">
                                <asvg:svgBlip xmlns:asvg="http://schemas.microsoft.com/office/drawing/2016/SVG/main" r:embed="rId20"/>
                              </a:ext>
                            </a:extLst>
                          </a:blip>
                          <a:stretch>
                            <a:fillRect/>
                          </a:stretch>
                        </pic:blipFill>
                        <pic:spPr>
                          <a:xfrm>
                            <a:off x="0" y="0"/>
                            <a:ext cx="5599052" cy="3492902"/>
                          </a:xfrm>
                          <a:prstGeom prst="rect">
                            <a:avLst/>
                          </a:prstGeom>
                        </pic:spPr>
                      </pic:pic>
                    </a:graphicData>
                  </a:graphic>
                </wp:inline>
              </w:drawing>
            </w:r>
          </w:p>
        </w:tc>
      </w:tr>
      <w:tr w:rsidR="00EC6E88" w14:paraId="6156D3D0" w14:textId="77777777" w:rsidTr="00EF1F1D">
        <w:trPr>
          <w:trHeight w:val="300"/>
        </w:trPr>
        <w:tc>
          <w:tcPr>
            <w:tcW w:w="9016" w:type="dxa"/>
            <w:tcBorders>
              <w:left w:val="nil"/>
              <w:bottom w:val="nil"/>
              <w:right w:val="nil"/>
            </w:tcBorders>
          </w:tcPr>
          <w:p w14:paraId="12E11E5F" w14:textId="188CEAF2" w:rsidR="00EC6E88" w:rsidRPr="00EC6E88" w:rsidRDefault="00EC6E88" w:rsidP="00EC6E88">
            <w:pPr>
              <w:rPr>
                <w:rFonts w:ascii="Arial" w:hAnsi="Arial" w:cs="Arial"/>
                <w:i/>
                <w:iCs/>
              </w:rPr>
            </w:pPr>
            <w:r w:rsidRPr="00C0335B">
              <w:rPr>
                <w:rFonts w:ascii="Arial" w:hAnsi="Arial" w:cs="Arial"/>
                <w:color w:val="000000" w:themeColor="text1"/>
              </w:rPr>
              <w:t>Source:</w:t>
            </w:r>
            <w:r w:rsidRPr="00EC6E88">
              <w:rPr>
                <w:rFonts w:ascii="Arial" w:hAnsi="Arial" w:cs="Arial"/>
                <w:i/>
                <w:iCs/>
                <w:color w:val="000000" w:themeColor="text1"/>
              </w:rPr>
              <w:t xml:space="preserve"> </w:t>
            </w:r>
            <w:hyperlink r:id="rId21" w:history="1">
              <w:r w:rsidRPr="00EC6E88">
                <w:rPr>
                  <w:rStyle w:val="Hyperlink"/>
                  <w:rFonts w:cs="Arial"/>
                  <w:i/>
                  <w:iCs/>
                  <w:color w:val="000000" w:themeColor="text1"/>
                </w:rPr>
                <w:t>ONS</w:t>
              </w:r>
            </w:hyperlink>
            <w:r w:rsidRPr="00EC6E88">
              <w:rPr>
                <w:rFonts w:ascii="Arial" w:hAnsi="Arial" w:cs="Arial"/>
                <w:i/>
                <w:iCs/>
                <w:color w:val="000000" w:themeColor="text1"/>
              </w:rPr>
              <w:t xml:space="preserve">, </w:t>
            </w:r>
            <w:hyperlink r:id="rId22" w:history="1">
              <w:r w:rsidRPr="00EC6E88">
                <w:rPr>
                  <w:rStyle w:val="Hyperlink"/>
                  <w:rFonts w:cs="Arial"/>
                  <w:i/>
                  <w:iCs/>
                  <w:color w:val="000000" w:themeColor="text1"/>
                </w:rPr>
                <w:t>Nomis – 2021 Census</w:t>
              </w:r>
            </w:hyperlink>
          </w:p>
        </w:tc>
      </w:tr>
    </w:tbl>
    <w:p w14:paraId="3BCE20ED" w14:textId="3747FF5F" w:rsidR="00861432" w:rsidRDefault="00861432">
      <w:pPr>
        <w:rPr>
          <w:rFonts w:ascii="Arial" w:hAnsi="Arial" w:cs="Arial"/>
        </w:rPr>
      </w:pPr>
    </w:p>
    <w:p w14:paraId="6B235D81" w14:textId="77777777" w:rsidR="00113D94" w:rsidRDefault="00113D94">
      <w:pPr>
        <w:rPr>
          <w:rFonts w:ascii="Arial" w:hAnsi="Arial" w:cs="Arial"/>
        </w:rPr>
      </w:pPr>
    </w:p>
    <w:p w14:paraId="5B83B5D7" w14:textId="77777777" w:rsidR="00113D94" w:rsidRDefault="00113D94">
      <w:pPr>
        <w:rPr>
          <w:rFonts w:ascii="Arial" w:hAnsi="Arial" w:cs="Arial"/>
        </w:rPr>
      </w:pPr>
    </w:p>
    <w:p w14:paraId="61AC8B7C" w14:textId="28F5F02D" w:rsidR="00122A89" w:rsidRPr="00491541" w:rsidRDefault="006C157E" w:rsidP="007A469B">
      <w:pPr>
        <w:pStyle w:val="Heading3"/>
      </w:pPr>
      <w:r>
        <w:t>Location of residence</w:t>
      </w:r>
    </w:p>
    <w:p w14:paraId="6F1B4EFF" w14:textId="0631477C" w:rsidR="007D00A4" w:rsidRDefault="00962C6F" w:rsidP="00241EBD">
      <w:pPr>
        <w:rPr>
          <w:rFonts w:ascii="Arial" w:hAnsi="Arial" w:cs="Arial"/>
        </w:rPr>
      </w:pPr>
      <w:r>
        <w:rPr>
          <w:rFonts w:ascii="Arial" w:hAnsi="Arial" w:cs="Arial"/>
        </w:rPr>
        <w:t>High</w:t>
      </w:r>
      <w:r w:rsidR="0077471A">
        <w:rPr>
          <w:rFonts w:ascii="Arial" w:hAnsi="Arial" w:cs="Arial"/>
        </w:rPr>
        <w:t xml:space="preserve"> concentrations of young people reside in</w:t>
      </w:r>
      <w:r>
        <w:rPr>
          <w:rFonts w:ascii="Arial" w:hAnsi="Arial" w:cs="Arial"/>
        </w:rPr>
        <w:t xml:space="preserve"> Greater Manchester</w:t>
      </w:r>
      <w:r w:rsidR="002B7327">
        <w:rPr>
          <w:rFonts w:ascii="Arial" w:hAnsi="Arial" w:cs="Arial"/>
        </w:rPr>
        <w:t>’s</w:t>
      </w:r>
      <w:r w:rsidR="0077471A">
        <w:rPr>
          <w:rFonts w:ascii="Arial" w:hAnsi="Arial" w:cs="Arial"/>
        </w:rPr>
        <w:t xml:space="preserve"> </w:t>
      </w:r>
      <w:r w:rsidR="002B7327">
        <w:rPr>
          <w:rFonts w:ascii="Arial" w:hAnsi="Arial" w:cs="Arial"/>
        </w:rPr>
        <w:t>inner city</w:t>
      </w:r>
      <w:r w:rsidR="0077471A">
        <w:rPr>
          <w:rFonts w:ascii="Arial" w:hAnsi="Arial" w:cs="Arial"/>
        </w:rPr>
        <w:t xml:space="preserve"> and nearby suburbs, while </w:t>
      </w:r>
      <w:r w:rsidR="00DF1E8A">
        <w:rPr>
          <w:rFonts w:ascii="Arial" w:hAnsi="Arial" w:cs="Arial"/>
        </w:rPr>
        <w:t>the ageing population</w:t>
      </w:r>
      <w:r w:rsidR="0077471A">
        <w:rPr>
          <w:rFonts w:ascii="Arial" w:hAnsi="Arial" w:cs="Arial"/>
        </w:rPr>
        <w:t xml:space="preserve"> tend</w:t>
      </w:r>
      <w:r w:rsidR="00DF1E8A">
        <w:rPr>
          <w:rFonts w:ascii="Arial" w:hAnsi="Arial" w:cs="Arial"/>
        </w:rPr>
        <w:t xml:space="preserve">s </w:t>
      </w:r>
      <w:r w:rsidR="0077471A">
        <w:rPr>
          <w:rFonts w:ascii="Arial" w:hAnsi="Arial" w:cs="Arial"/>
        </w:rPr>
        <w:t xml:space="preserve">to reside in outer suburbs </w:t>
      </w:r>
      <w:r w:rsidR="002B7327">
        <w:rPr>
          <w:rFonts w:ascii="Arial" w:hAnsi="Arial" w:cs="Arial"/>
        </w:rPr>
        <w:t xml:space="preserve">of </w:t>
      </w:r>
      <w:r w:rsidR="0077471A">
        <w:rPr>
          <w:rFonts w:ascii="Arial" w:hAnsi="Arial" w:cs="Arial"/>
        </w:rPr>
        <w:t>the conurbation.</w:t>
      </w:r>
    </w:p>
    <w:p w14:paraId="7F0FA056" w14:textId="76106DDB" w:rsidR="00B23CAB" w:rsidRDefault="006C4F7B" w:rsidP="00241EBD">
      <w:pPr>
        <w:rPr>
          <w:rFonts w:ascii="Arial" w:hAnsi="Arial" w:cs="Arial"/>
        </w:rPr>
      </w:pPr>
      <w:r>
        <w:rPr>
          <w:rFonts w:ascii="Arial" w:hAnsi="Arial" w:cs="Arial"/>
        </w:rPr>
        <w:lastRenderedPageBreak/>
        <w:t xml:space="preserve">The distribution of children and young people by area of residence follows a broadly similar profile across </w:t>
      </w:r>
      <w:r w:rsidR="00A84237">
        <w:rPr>
          <w:rFonts w:ascii="Arial" w:hAnsi="Arial" w:cs="Arial"/>
        </w:rPr>
        <w:t>ages</w:t>
      </w:r>
      <w:r>
        <w:rPr>
          <w:rFonts w:ascii="Arial" w:hAnsi="Arial" w:cs="Arial"/>
        </w:rPr>
        <w:t xml:space="preserve">, although to varying degrees. </w:t>
      </w:r>
      <w:r w:rsidR="00A84237">
        <w:rPr>
          <w:rFonts w:ascii="Arial" w:hAnsi="Arial" w:cs="Arial"/>
        </w:rPr>
        <w:t>Two</w:t>
      </w:r>
      <w:r>
        <w:rPr>
          <w:rFonts w:ascii="Arial" w:hAnsi="Arial" w:cs="Arial"/>
        </w:rPr>
        <w:t xml:space="preserve"> </w:t>
      </w:r>
      <w:r w:rsidR="00A84237">
        <w:rPr>
          <w:rFonts w:ascii="Arial" w:hAnsi="Arial" w:cs="Arial"/>
        </w:rPr>
        <w:t xml:space="preserve">aspects are </w:t>
      </w:r>
      <w:r>
        <w:rPr>
          <w:rFonts w:ascii="Arial" w:hAnsi="Arial" w:cs="Arial"/>
        </w:rPr>
        <w:t xml:space="preserve">of </w:t>
      </w:r>
      <w:r w:rsidR="003F1F07">
        <w:rPr>
          <w:rFonts w:ascii="Arial" w:hAnsi="Arial" w:cs="Arial"/>
        </w:rPr>
        <w:t>note</w:t>
      </w:r>
      <w:r>
        <w:rPr>
          <w:rFonts w:ascii="Arial" w:hAnsi="Arial" w:cs="Arial"/>
        </w:rPr>
        <w:t>.</w:t>
      </w:r>
      <w:r w:rsidR="00A84237">
        <w:rPr>
          <w:rFonts w:ascii="Arial" w:hAnsi="Arial" w:cs="Arial"/>
        </w:rPr>
        <w:t xml:space="preserve"> </w:t>
      </w:r>
      <w:r>
        <w:rPr>
          <w:rFonts w:ascii="Arial" w:hAnsi="Arial" w:cs="Arial"/>
        </w:rPr>
        <w:t>Firstly</w:t>
      </w:r>
      <w:r w:rsidR="0077471A">
        <w:rPr>
          <w:rFonts w:ascii="Arial" w:hAnsi="Arial" w:cs="Arial"/>
        </w:rPr>
        <w:t xml:space="preserve">, a substantial increase in </w:t>
      </w:r>
      <w:r w:rsidR="00BE1E87">
        <w:rPr>
          <w:rFonts w:ascii="Arial" w:hAnsi="Arial" w:cs="Arial"/>
        </w:rPr>
        <w:t>y</w:t>
      </w:r>
      <w:r w:rsidR="0077471A">
        <w:rPr>
          <w:rFonts w:ascii="Arial" w:hAnsi="Arial" w:cs="Arial"/>
        </w:rPr>
        <w:t xml:space="preserve">oung </w:t>
      </w:r>
      <w:r w:rsidR="00BE1E87">
        <w:rPr>
          <w:rFonts w:ascii="Arial" w:hAnsi="Arial" w:cs="Arial"/>
        </w:rPr>
        <w:t>a</w:t>
      </w:r>
      <w:r w:rsidR="0077471A">
        <w:rPr>
          <w:rFonts w:ascii="Arial" w:hAnsi="Arial" w:cs="Arial"/>
        </w:rPr>
        <w:t xml:space="preserve">dults residing in the city centre and its immediate suburbs has </w:t>
      </w:r>
      <w:r w:rsidR="00A84237">
        <w:rPr>
          <w:rFonts w:ascii="Arial" w:hAnsi="Arial" w:cs="Arial"/>
        </w:rPr>
        <w:t>occurred</w:t>
      </w:r>
      <w:r w:rsidR="0077471A">
        <w:rPr>
          <w:rFonts w:ascii="Arial" w:hAnsi="Arial" w:cs="Arial"/>
        </w:rPr>
        <w:t xml:space="preserve"> since 2011. This does not appear to be counterbalanced by a decrease in </w:t>
      </w:r>
      <w:r w:rsidR="00387BD4">
        <w:rPr>
          <w:rFonts w:ascii="Arial" w:hAnsi="Arial" w:cs="Arial"/>
        </w:rPr>
        <w:t>this</w:t>
      </w:r>
      <w:r w:rsidR="0077471A">
        <w:rPr>
          <w:rFonts w:ascii="Arial" w:hAnsi="Arial" w:cs="Arial"/>
        </w:rPr>
        <w:t xml:space="preserve"> population elsewhere across Greater Manchester</w:t>
      </w:r>
      <w:r w:rsidR="00DF1E8A">
        <w:rPr>
          <w:rFonts w:ascii="Arial" w:hAnsi="Arial" w:cs="Arial"/>
        </w:rPr>
        <w:t xml:space="preserve">, </w:t>
      </w:r>
      <w:r w:rsidR="0077471A">
        <w:rPr>
          <w:rFonts w:ascii="Arial" w:hAnsi="Arial" w:cs="Arial"/>
        </w:rPr>
        <w:t>suggest</w:t>
      </w:r>
      <w:r w:rsidR="00DF1E8A">
        <w:rPr>
          <w:rFonts w:ascii="Arial" w:hAnsi="Arial" w:cs="Arial"/>
        </w:rPr>
        <w:t>ing</w:t>
      </w:r>
      <w:r w:rsidR="0077471A">
        <w:rPr>
          <w:rFonts w:ascii="Arial" w:hAnsi="Arial" w:cs="Arial"/>
        </w:rPr>
        <w:t xml:space="preserve"> that </w:t>
      </w:r>
      <w:r w:rsidR="007D00A4">
        <w:rPr>
          <w:rFonts w:ascii="Arial" w:hAnsi="Arial" w:cs="Arial"/>
        </w:rPr>
        <w:t>these increases</w:t>
      </w:r>
      <w:r w:rsidR="0077471A">
        <w:rPr>
          <w:rFonts w:ascii="Arial" w:hAnsi="Arial" w:cs="Arial"/>
        </w:rPr>
        <w:t xml:space="preserve"> might not stem</w:t>
      </w:r>
      <w:r w:rsidR="00387BD4">
        <w:rPr>
          <w:rFonts w:ascii="Arial" w:hAnsi="Arial" w:cs="Arial"/>
        </w:rPr>
        <w:t xml:space="preserve"> solely</w:t>
      </w:r>
      <w:r w:rsidR="0077471A">
        <w:rPr>
          <w:rFonts w:ascii="Arial" w:hAnsi="Arial" w:cs="Arial"/>
        </w:rPr>
        <w:t xml:space="preserve"> from internal migration within the </w:t>
      </w:r>
      <w:r w:rsidR="007D00A4">
        <w:rPr>
          <w:rFonts w:ascii="Arial" w:hAnsi="Arial" w:cs="Arial"/>
        </w:rPr>
        <w:t>city region.</w:t>
      </w:r>
    </w:p>
    <w:p w14:paraId="25453628" w14:textId="70B25F87" w:rsidR="00C8313E" w:rsidRDefault="006C4F7B" w:rsidP="00861432">
      <w:pPr>
        <w:rPr>
          <w:rFonts w:ascii="Arial" w:hAnsi="Arial" w:cs="Arial"/>
        </w:rPr>
      </w:pPr>
      <w:r>
        <w:rPr>
          <w:rFonts w:ascii="Arial" w:hAnsi="Arial" w:cs="Arial"/>
        </w:rPr>
        <w:t>Moreover, t</w:t>
      </w:r>
      <w:r w:rsidR="001D5B96">
        <w:rPr>
          <w:rFonts w:ascii="Arial" w:hAnsi="Arial" w:cs="Arial"/>
        </w:rPr>
        <w:t>he student population</w:t>
      </w:r>
      <w:r w:rsidR="00E569E6">
        <w:rPr>
          <w:rFonts w:ascii="Arial" w:hAnsi="Arial" w:cs="Arial"/>
        </w:rPr>
        <w:t xml:space="preserve"> can</w:t>
      </w:r>
      <w:r w:rsidR="001D5B96">
        <w:rPr>
          <w:rFonts w:ascii="Arial" w:hAnsi="Arial" w:cs="Arial"/>
        </w:rPr>
        <w:t xml:space="preserve"> significantly </w:t>
      </w:r>
      <w:r w:rsidR="00E569E6">
        <w:rPr>
          <w:rFonts w:ascii="Arial" w:hAnsi="Arial" w:cs="Arial"/>
        </w:rPr>
        <w:t>affect</w:t>
      </w:r>
      <w:r w:rsidR="001D5B96">
        <w:rPr>
          <w:rFonts w:ascii="Arial" w:hAnsi="Arial" w:cs="Arial"/>
        </w:rPr>
        <w:t xml:space="preserve"> residency rates </w:t>
      </w:r>
      <w:r w:rsidR="00AA69C3">
        <w:rPr>
          <w:rFonts w:ascii="Arial" w:hAnsi="Arial" w:cs="Arial"/>
        </w:rPr>
        <w:t>in local areas</w:t>
      </w:r>
      <w:r w:rsidR="001D5B96">
        <w:rPr>
          <w:rFonts w:ascii="Arial" w:hAnsi="Arial" w:cs="Arial"/>
        </w:rPr>
        <w:t xml:space="preserve">. In areas like Fallowfield, Old Moat, and Withington, 2021 figures showed that residents aged 0 to 24 comprised as much as 89.1% of the all-age population. This </w:t>
      </w:r>
      <w:r w:rsidR="00E80F17">
        <w:rPr>
          <w:rFonts w:ascii="Arial" w:hAnsi="Arial" w:cs="Arial"/>
        </w:rPr>
        <w:t xml:space="preserve">can be </w:t>
      </w:r>
      <w:r w:rsidR="001D5B96">
        <w:rPr>
          <w:rFonts w:ascii="Arial" w:hAnsi="Arial" w:cs="Arial"/>
        </w:rPr>
        <w:t xml:space="preserve">attributed to the high density of student housing and houses of multiple occupation in these areas. When only </w:t>
      </w:r>
      <w:r w:rsidR="000B0320">
        <w:rPr>
          <w:rFonts w:ascii="Arial" w:hAnsi="Arial" w:cs="Arial"/>
        </w:rPr>
        <w:t>0- to 17-year-olds</w:t>
      </w:r>
      <w:r w:rsidR="001D5B96">
        <w:rPr>
          <w:rFonts w:ascii="Arial" w:hAnsi="Arial" w:cs="Arial"/>
        </w:rPr>
        <w:t xml:space="preserve"> </w:t>
      </w:r>
      <w:r w:rsidR="003F2945">
        <w:rPr>
          <w:rFonts w:ascii="Arial" w:hAnsi="Arial" w:cs="Arial"/>
        </w:rPr>
        <w:t xml:space="preserve">are </w:t>
      </w:r>
      <w:r w:rsidR="001D5B96">
        <w:rPr>
          <w:rFonts w:ascii="Arial" w:hAnsi="Arial" w:cs="Arial"/>
        </w:rPr>
        <w:t>considered, the highest concentration of these ages in any one LSOA was 57.8% in Broughton, Salford.</w:t>
      </w:r>
      <w:r w:rsidR="006B1641">
        <w:rPr>
          <w:rFonts w:ascii="Arial" w:hAnsi="Arial" w:cs="Arial"/>
        </w:rPr>
        <w:t xml:space="preserve"> </w:t>
      </w:r>
    </w:p>
    <w:tbl>
      <w:tblPr>
        <w:tblStyle w:val="TableGridLight"/>
        <w:tblW w:w="0" w:type="auto"/>
        <w:tblLook w:val="04A0" w:firstRow="1" w:lastRow="0" w:firstColumn="1" w:lastColumn="0" w:noHBand="0" w:noVBand="1"/>
      </w:tblPr>
      <w:tblGrid>
        <w:gridCol w:w="9006"/>
      </w:tblGrid>
      <w:tr w:rsidR="006611BC" w:rsidRPr="00B26934" w14:paraId="3E540F3C" w14:textId="77777777" w:rsidTr="008E0446">
        <w:tc>
          <w:tcPr>
            <w:tcW w:w="8505" w:type="dxa"/>
            <w:tcBorders>
              <w:top w:val="nil"/>
              <w:left w:val="nil"/>
              <w:bottom w:val="nil"/>
              <w:right w:val="nil"/>
            </w:tcBorders>
            <w:vAlign w:val="center"/>
          </w:tcPr>
          <w:p w14:paraId="4B5CB337" w14:textId="74C4D728" w:rsidR="006611BC" w:rsidRPr="00B26934" w:rsidRDefault="006611BC" w:rsidP="00DF7888">
            <w:pPr>
              <w:rPr>
                <w:rFonts w:ascii="Arial" w:hAnsi="Arial" w:cs="Arial"/>
                <w:b/>
                <w:bCs/>
              </w:rPr>
            </w:pPr>
            <w:r w:rsidRPr="00B26934">
              <w:rPr>
                <w:rFonts w:ascii="Arial" w:hAnsi="Arial" w:cs="Arial"/>
                <w:b/>
                <w:bCs/>
              </w:rPr>
              <w:t xml:space="preserve">Residents aged 0 to </w:t>
            </w:r>
            <w:r w:rsidR="00397DFA">
              <w:rPr>
                <w:rFonts w:ascii="Arial" w:hAnsi="Arial" w:cs="Arial"/>
                <w:b/>
                <w:bCs/>
              </w:rPr>
              <w:t>24</w:t>
            </w:r>
            <w:r w:rsidRPr="00B26934">
              <w:rPr>
                <w:rFonts w:ascii="Arial" w:hAnsi="Arial" w:cs="Arial"/>
                <w:b/>
                <w:bCs/>
              </w:rPr>
              <w:t xml:space="preserve"> as a percentage of the total all</w:t>
            </w:r>
            <w:r w:rsidR="00B77B5B">
              <w:rPr>
                <w:rFonts w:ascii="Arial" w:hAnsi="Arial" w:cs="Arial"/>
                <w:b/>
                <w:bCs/>
              </w:rPr>
              <w:t xml:space="preserve"> </w:t>
            </w:r>
            <w:r w:rsidRPr="00B26934">
              <w:rPr>
                <w:rFonts w:ascii="Arial" w:hAnsi="Arial" w:cs="Arial"/>
                <w:b/>
                <w:bCs/>
              </w:rPr>
              <w:t>age LSOA population, 2021</w:t>
            </w:r>
          </w:p>
        </w:tc>
      </w:tr>
      <w:tr w:rsidR="006611BC" w14:paraId="6019C07F" w14:textId="77777777" w:rsidTr="008E0446">
        <w:trPr>
          <w:trHeight w:val="4772"/>
        </w:trPr>
        <w:tc>
          <w:tcPr>
            <w:tcW w:w="8505" w:type="dxa"/>
            <w:tcBorders>
              <w:top w:val="nil"/>
              <w:left w:val="nil"/>
              <w:bottom w:val="nil"/>
              <w:right w:val="nil"/>
            </w:tcBorders>
            <w:vAlign w:val="center"/>
          </w:tcPr>
          <w:p w14:paraId="39D94ADD" w14:textId="544D763E" w:rsidR="006611BC" w:rsidRDefault="008E0446" w:rsidP="00397DFA">
            <w:pPr>
              <w:jc w:val="center"/>
              <w:rPr>
                <w:rFonts w:ascii="Arial" w:hAnsi="Arial" w:cs="Arial"/>
              </w:rPr>
            </w:pPr>
            <w:r>
              <w:rPr>
                <w:noProof/>
              </w:rPr>
              <w:drawing>
                <wp:inline distT="0" distB="0" distL="0" distR="0" wp14:anchorId="3ABE1911" wp14:editId="28079D42">
                  <wp:extent cx="5534950" cy="3933825"/>
                  <wp:effectExtent l="19050" t="19050" r="27940" b="9525"/>
                  <wp:docPr id="958558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58919"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543198" cy="3939687"/>
                          </a:xfrm>
                          <a:prstGeom prst="rect">
                            <a:avLst/>
                          </a:prstGeom>
                          <a:ln>
                            <a:solidFill>
                              <a:schemeClr val="accent1"/>
                            </a:solidFill>
                          </a:ln>
                        </pic:spPr>
                      </pic:pic>
                    </a:graphicData>
                  </a:graphic>
                </wp:inline>
              </w:drawing>
            </w:r>
          </w:p>
        </w:tc>
      </w:tr>
      <w:tr w:rsidR="006611BC" w:rsidRPr="00EC6E88" w14:paraId="6BF8F964" w14:textId="77777777" w:rsidTr="008E0446">
        <w:trPr>
          <w:trHeight w:val="300"/>
        </w:trPr>
        <w:tc>
          <w:tcPr>
            <w:tcW w:w="8505" w:type="dxa"/>
            <w:tcBorders>
              <w:top w:val="nil"/>
              <w:left w:val="nil"/>
              <w:bottom w:val="nil"/>
              <w:right w:val="nil"/>
            </w:tcBorders>
          </w:tcPr>
          <w:p w14:paraId="56FABB86" w14:textId="77777777" w:rsidR="006611BC" w:rsidRPr="00EC6E88" w:rsidRDefault="006611BC" w:rsidP="00DF7888">
            <w:pPr>
              <w:rPr>
                <w:rFonts w:ascii="Arial" w:hAnsi="Arial" w:cs="Arial"/>
                <w:i/>
                <w:iCs/>
              </w:rPr>
            </w:pPr>
            <w:r w:rsidRPr="00C0335B">
              <w:rPr>
                <w:rFonts w:ascii="Arial" w:hAnsi="Arial" w:cs="Arial"/>
                <w:color w:val="000000" w:themeColor="text1"/>
              </w:rPr>
              <w:t>Source:</w:t>
            </w:r>
            <w:r w:rsidRPr="00EC6E88">
              <w:rPr>
                <w:rFonts w:ascii="Arial" w:hAnsi="Arial" w:cs="Arial"/>
                <w:i/>
                <w:iCs/>
                <w:color w:val="000000" w:themeColor="text1"/>
              </w:rPr>
              <w:t xml:space="preserve"> </w:t>
            </w:r>
            <w:hyperlink r:id="rId24" w:history="1">
              <w:r w:rsidRPr="00EC6E88">
                <w:rPr>
                  <w:rStyle w:val="Hyperlink"/>
                  <w:rFonts w:cs="Arial"/>
                  <w:i/>
                  <w:iCs/>
                  <w:color w:val="000000" w:themeColor="text1"/>
                </w:rPr>
                <w:t>ONS</w:t>
              </w:r>
            </w:hyperlink>
            <w:r w:rsidRPr="00EC6E88">
              <w:rPr>
                <w:rFonts w:ascii="Arial" w:hAnsi="Arial" w:cs="Arial"/>
                <w:i/>
                <w:iCs/>
                <w:color w:val="000000" w:themeColor="text1"/>
              </w:rPr>
              <w:t xml:space="preserve">, </w:t>
            </w:r>
            <w:hyperlink r:id="rId25" w:history="1">
              <w:r w:rsidRPr="00EC6E88">
                <w:rPr>
                  <w:rStyle w:val="Hyperlink"/>
                  <w:rFonts w:cs="Arial"/>
                  <w:i/>
                  <w:iCs/>
                  <w:color w:val="000000" w:themeColor="text1"/>
                </w:rPr>
                <w:t>Nomis – 2021 Census</w:t>
              </w:r>
            </w:hyperlink>
          </w:p>
        </w:tc>
      </w:tr>
    </w:tbl>
    <w:p w14:paraId="773B81F7" w14:textId="77777777" w:rsidR="00E34E03" w:rsidRDefault="00E34E03" w:rsidP="00EA6976"/>
    <w:p w14:paraId="68918EA2" w14:textId="3A26A2AC" w:rsidR="00BE1E87" w:rsidRDefault="00BE1E87" w:rsidP="007A469B">
      <w:pPr>
        <w:pStyle w:val="Heading3"/>
      </w:pPr>
      <w:r>
        <w:t>Deprivation</w:t>
      </w:r>
    </w:p>
    <w:p w14:paraId="09EB1E8A" w14:textId="22F4D296" w:rsidR="001B7DAD" w:rsidRDefault="005D3BF7" w:rsidP="00BE1E87">
      <w:pPr>
        <w:rPr>
          <w:rFonts w:ascii="Arial" w:hAnsi="Arial" w:cs="Arial"/>
        </w:rPr>
      </w:pPr>
      <w:r>
        <w:rPr>
          <w:rFonts w:ascii="Arial" w:hAnsi="Arial" w:cs="Arial"/>
        </w:rPr>
        <w:t>In 2021</w:t>
      </w:r>
      <w:r w:rsidRPr="00595E4A">
        <w:rPr>
          <w:rFonts w:ascii="Arial" w:hAnsi="Arial" w:cs="Arial"/>
        </w:rPr>
        <w:t xml:space="preserve">, 58.3% of </w:t>
      </w:r>
      <w:r>
        <w:rPr>
          <w:rFonts w:ascii="Arial" w:hAnsi="Arial" w:cs="Arial"/>
        </w:rPr>
        <w:t>children and young people in Greater Manchester</w:t>
      </w:r>
      <w:r w:rsidRPr="00595E4A">
        <w:rPr>
          <w:rFonts w:ascii="Arial" w:hAnsi="Arial" w:cs="Arial"/>
        </w:rPr>
        <w:t xml:space="preserve"> live</w:t>
      </w:r>
      <w:r>
        <w:rPr>
          <w:rFonts w:ascii="Arial" w:hAnsi="Arial" w:cs="Arial"/>
        </w:rPr>
        <w:t>d</w:t>
      </w:r>
      <w:r w:rsidRPr="00595E4A">
        <w:rPr>
          <w:rFonts w:ascii="Arial" w:hAnsi="Arial" w:cs="Arial"/>
        </w:rPr>
        <w:t xml:space="preserve"> in </w:t>
      </w:r>
      <w:r>
        <w:rPr>
          <w:rFonts w:ascii="Arial" w:hAnsi="Arial" w:cs="Arial"/>
        </w:rPr>
        <w:t xml:space="preserve">the 30% most deprived LSOAs nationally. This </w:t>
      </w:r>
      <w:r w:rsidR="00E079E3">
        <w:rPr>
          <w:rFonts w:ascii="Arial" w:hAnsi="Arial" w:cs="Arial"/>
        </w:rPr>
        <w:t xml:space="preserve">has </w:t>
      </w:r>
      <w:r>
        <w:rPr>
          <w:rFonts w:ascii="Arial" w:hAnsi="Arial" w:cs="Arial"/>
        </w:rPr>
        <w:t>increased by</w:t>
      </w:r>
      <w:r w:rsidRPr="00595E4A">
        <w:rPr>
          <w:rFonts w:ascii="Arial" w:hAnsi="Arial" w:cs="Arial"/>
        </w:rPr>
        <w:t xml:space="preserve"> 5.3 percentage point</w:t>
      </w:r>
      <w:r>
        <w:rPr>
          <w:rFonts w:ascii="Arial" w:hAnsi="Arial" w:cs="Arial"/>
        </w:rPr>
        <w:t>s</w:t>
      </w:r>
      <w:r w:rsidRPr="00595E4A">
        <w:rPr>
          <w:rFonts w:ascii="Arial" w:hAnsi="Arial" w:cs="Arial"/>
        </w:rPr>
        <w:t xml:space="preserve"> </w:t>
      </w:r>
      <w:r>
        <w:rPr>
          <w:rFonts w:ascii="Arial" w:hAnsi="Arial" w:cs="Arial"/>
        </w:rPr>
        <w:t xml:space="preserve">since </w:t>
      </w:r>
      <w:r w:rsidR="00A44BB3">
        <w:rPr>
          <w:rFonts w:ascii="Arial" w:hAnsi="Arial" w:cs="Arial"/>
        </w:rPr>
        <w:t>2011 and</w:t>
      </w:r>
      <w:r w:rsidR="00EA6976">
        <w:rPr>
          <w:rFonts w:ascii="Arial" w:hAnsi="Arial" w:cs="Arial"/>
        </w:rPr>
        <w:t xml:space="preserve"> </w:t>
      </w:r>
      <w:r w:rsidR="00A44BB3">
        <w:rPr>
          <w:rFonts w:ascii="Arial" w:hAnsi="Arial" w:cs="Arial"/>
        </w:rPr>
        <w:t xml:space="preserve">means that 43,061 more children and young people in the city region are growing up and living in some of the most deprived areas nationally. </w:t>
      </w:r>
    </w:p>
    <w:p w14:paraId="20C23707" w14:textId="37F33346" w:rsidR="001B7DAD" w:rsidRDefault="005D3BF7" w:rsidP="00BE1E87">
      <w:pPr>
        <w:rPr>
          <w:rFonts w:ascii="Arial" w:hAnsi="Arial" w:cs="Arial"/>
        </w:rPr>
      </w:pPr>
      <w:r>
        <w:rPr>
          <w:rFonts w:ascii="Arial" w:hAnsi="Arial" w:cs="Arial"/>
        </w:rPr>
        <w:t>C</w:t>
      </w:r>
      <w:r w:rsidR="001B7DAD" w:rsidRPr="00595E4A">
        <w:rPr>
          <w:rFonts w:ascii="Arial" w:hAnsi="Arial" w:cs="Arial"/>
        </w:rPr>
        <w:t xml:space="preserve">hildren and young </w:t>
      </w:r>
      <w:r w:rsidR="001B7DAD">
        <w:rPr>
          <w:rFonts w:ascii="Arial" w:hAnsi="Arial" w:cs="Arial"/>
        </w:rPr>
        <w:t>people</w:t>
      </w:r>
      <w:r>
        <w:rPr>
          <w:rFonts w:ascii="Arial" w:hAnsi="Arial" w:cs="Arial"/>
        </w:rPr>
        <w:t xml:space="preserve"> living in areas of deprivation</w:t>
      </w:r>
      <w:r w:rsidR="001B7DAD" w:rsidRPr="00595E4A">
        <w:rPr>
          <w:rFonts w:ascii="Arial" w:hAnsi="Arial" w:cs="Arial"/>
        </w:rPr>
        <w:t xml:space="preserve"> in Greater Manchester </w:t>
      </w:r>
      <w:r w:rsidR="001B7DAD">
        <w:rPr>
          <w:rFonts w:ascii="Arial" w:hAnsi="Arial" w:cs="Arial"/>
        </w:rPr>
        <w:t>substantially</w:t>
      </w:r>
      <w:r w:rsidR="001B7DAD" w:rsidRPr="00595E4A">
        <w:rPr>
          <w:rFonts w:ascii="Arial" w:hAnsi="Arial" w:cs="Arial"/>
        </w:rPr>
        <w:t xml:space="preserve"> surpasses the national average. </w:t>
      </w:r>
      <w:r>
        <w:rPr>
          <w:rFonts w:ascii="Arial" w:hAnsi="Arial" w:cs="Arial"/>
        </w:rPr>
        <w:t>Nationally, i</w:t>
      </w:r>
      <w:r w:rsidR="001B7DAD">
        <w:rPr>
          <w:rFonts w:ascii="Arial" w:hAnsi="Arial" w:cs="Arial"/>
        </w:rPr>
        <w:t>n</w:t>
      </w:r>
      <w:r w:rsidR="001B7DAD" w:rsidRPr="00595E4A">
        <w:rPr>
          <w:rFonts w:ascii="Arial" w:hAnsi="Arial" w:cs="Arial"/>
        </w:rPr>
        <w:t xml:space="preserve"> 2021, 35.0% </w:t>
      </w:r>
      <w:r>
        <w:rPr>
          <w:rFonts w:ascii="Arial" w:hAnsi="Arial" w:cs="Arial"/>
        </w:rPr>
        <w:t>children and young people</w:t>
      </w:r>
      <w:r w:rsidR="001B7DAD" w:rsidRPr="00595E4A">
        <w:rPr>
          <w:rFonts w:ascii="Arial" w:hAnsi="Arial" w:cs="Arial"/>
        </w:rPr>
        <w:t xml:space="preserve"> lived in the 30% most deprived LSOAs nationally</w:t>
      </w:r>
      <w:r w:rsidR="00FC5002">
        <w:rPr>
          <w:rFonts w:ascii="Arial" w:hAnsi="Arial" w:cs="Arial"/>
        </w:rPr>
        <w:t>,</w:t>
      </w:r>
      <w:r w:rsidR="001B7DAD">
        <w:rPr>
          <w:rFonts w:ascii="Arial" w:hAnsi="Arial" w:cs="Arial"/>
        </w:rPr>
        <w:t xml:space="preserve"> </w:t>
      </w:r>
      <w:r w:rsidR="001B7DAD" w:rsidRPr="00595E4A">
        <w:rPr>
          <w:rFonts w:ascii="Arial" w:hAnsi="Arial" w:cs="Arial"/>
        </w:rPr>
        <w:t>a</w:t>
      </w:r>
      <w:r w:rsidR="001B7DAD">
        <w:rPr>
          <w:rFonts w:ascii="Arial" w:hAnsi="Arial" w:cs="Arial"/>
        </w:rPr>
        <w:t xml:space="preserve"> </w:t>
      </w:r>
      <w:r w:rsidR="001B7DAD" w:rsidRPr="00595E4A">
        <w:rPr>
          <w:rFonts w:ascii="Arial" w:hAnsi="Arial" w:cs="Arial"/>
        </w:rPr>
        <w:t xml:space="preserve">considerable 23.3 percentage points lower than </w:t>
      </w:r>
      <w:r w:rsidR="00E079E3">
        <w:rPr>
          <w:rFonts w:ascii="Arial" w:hAnsi="Arial" w:cs="Arial"/>
        </w:rPr>
        <w:t xml:space="preserve">the 58.3% </w:t>
      </w:r>
      <w:r w:rsidR="001B7DAD">
        <w:rPr>
          <w:rFonts w:ascii="Arial" w:hAnsi="Arial" w:cs="Arial"/>
        </w:rPr>
        <w:t>in</w:t>
      </w:r>
      <w:r w:rsidR="001B7DAD" w:rsidRPr="00595E4A">
        <w:rPr>
          <w:rFonts w:ascii="Arial" w:hAnsi="Arial" w:cs="Arial"/>
        </w:rPr>
        <w:t xml:space="preserve"> Greater Manchester.</w:t>
      </w:r>
    </w:p>
    <w:p w14:paraId="3319BD49" w14:textId="50C957AC" w:rsidR="00BE1E87" w:rsidRDefault="001B7DAD" w:rsidP="00BE1E87">
      <w:pPr>
        <w:rPr>
          <w:rFonts w:ascii="Arial" w:hAnsi="Arial" w:cs="Arial"/>
        </w:rPr>
      </w:pPr>
      <w:bookmarkStart w:id="4" w:name="_Hlk152580199"/>
      <w:r>
        <w:rPr>
          <w:rFonts w:ascii="Arial" w:hAnsi="Arial" w:cs="Arial"/>
        </w:rPr>
        <w:lastRenderedPageBreak/>
        <w:t>Even within Greater Manchester itself, there are age-based disparities in deprivation by area of residence. A</w:t>
      </w:r>
      <w:r w:rsidR="00BE1E87" w:rsidRPr="00595E4A">
        <w:rPr>
          <w:rFonts w:ascii="Arial" w:hAnsi="Arial" w:cs="Arial"/>
        </w:rPr>
        <w:t xml:space="preserve"> notably larger proportion of children and young </w:t>
      </w:r>
      <w:r w:rsidR="00BE1E87">
        <w:rPr>
          <w:rFonts w:ascii="Arial" w:hAnsi="Arial" w:cs="Arial"/>
        </w:rPr>
        <w:t>people in Greater Manchester</w:t>
      </w:r>
      <w:r w:rsidR="00BE1E87" w:rsidRPr="00595E4A">
        <w:rPr>
          <w:rFonts w:ascii="Arial" w:hAnsi="Arial" w:cs="Arial"/>
        </w:rPr>
        <w:t xml:space="preserve"> reside in the 30% most deprived LSOAs </w:t>
      </w:r>
      <w:r w:rsidR="00B71CC2">
        <w:rPr>
          <w:rFonts w:ascii="Arial" w:hAnsi="Arial" w:cs="Arial"/>
        </w:rPr>
        <w:t xml:space="preserve">nationally </w:t>
      </w:r>
      <w:r w:rsidR="00BE1E87" w:rsidRPr="00595E4A">
        <w:rPr>
          <w:rFonts w:ascii="Arial" w:hAnsi="Arial" w:cs="Arial"/>
        </w:rPr>
        <w:t xml:space="preserve">compared to the working-age and </w:t>
      </w:r>
      <w:r w:rsidR="00BE1E87">
        <w:rPr>
          <w:rFonts w:ascii="Arial" w:hAnsi="Arial" w:cs="Arial"/>
        </w:rPr>
        <w:t>ageing</w:t>
      </w:r>
      <w:r w:rsidR="00BE1E87" w:rsidRPr="00595E4A">
        <w:rPr>
          <w:rFonts w:ascii="Arial" w:hAnsi="Arial" w:cs="Arial"/>
        </w:rPr>
        <w:t xml:space="preserve"> population.</w:t>
      </w:r>
      <w:r w:rsidR="00F322F6">
        <w:rPr>
          <w:rStyle w:val="FootnoteReference"/>
          <w:rFonts w:cs="Arial"/>
        </w:rPr>
        <w:footnoteReference w:id="3"/>
      </w:r>
      <w:r w:rsidR="00BE1E87" w:rsidRPr="00595E4A">
        <w:rPr>
          <w:rFonts w:ascii="Arial" w:hAnsi="Arial" w:cs="Arial"/>
        </w:rPr>
        <w:t xml:space="preserve"> </w:t>
      </w:r>
      <w:r w:rsidR="005C0166">
        <w:rPr>
          <w:rFonts w:ascii="Arial" w:hAnsi="Arial" w:cs="Arial"/>
        </w:rPr>
        <w:t>These disparities highlight concerning variations in deprivation</w:t>
      </w:r>
      <w:r w:rsidR="0025364B">
        <w:rPr>
          <w:rFonts w:ascii="Arial" w:hAnsi="Arial" w:cs="Arial"/>
        </w:rPr>
        <w:t xml:space="preserve"> of residence between age groups</w:t>
      </w:r>
      <w:r w:rsidR="005C0166">
        <w:rPr>
          <w:rFonts w:ascii="Arial" w:hAnsi="Arial" w:cs="Arial"/>
        </w:rPr>
        <w:t xml:space="preserve"> within the city region.</w:t>
      </w:r>
    </w:p>
    <w:bookmarkEnd w:id="4"/>
    <w:p w14:paraId="210286C5" w14:textId="09B34105" w:rsidR="007D512D" w:rsidRDefault="007D512D" w:rsidP="007A469B">
      <w:pPr>
        <w:pStyle w:val="Heading3"/>
      </w:pPr>
      <w:r w:rsidRPr="005C34FA">
        <w:t>Reflections</w:t>
      </w:r>
    </w:p>
    <w:p w14:paraId="0B3CCC33" w14:textId="4E021C36" w:rsidR="00B33C72" w:rsidRPr="009C0489" w:rsidRDefault="00B33C72" w:rsidP="00113D94">
      <w:pPr>
        <w:pStyle w:val="ListParagraph"/>
        <w:rPr>
          <w:color w:val="auto"/>
        </w:rPr>
      </w:pPr>
      <w:r w:rsidRPr="009C0489">
        <w:rPr>
          <w:color w:val="auto"/>
        </w:rPr>
        <w:t>Greater Manchester is a relatively ‘young city region’. Its population of young people has grown over the decade between censuses, especially within inner city and urban areas. This has consequences for the general culture of the city – the way of life. And it also means that any policy targeted at, or affecting, babies, young children, schools, universities, families and so on, will have a greater impact locally than elsewhere in the country.</w:t>
      </w:r>
    </w:p>
    <w:p w14:paraId="367270B5" w14:textId="77777777" w:rsidR="00B33C72" w:rsidRPr="009C0489" w:rsidRDefault="00B33C72" w:rsidP="00113D94">
      <w:pPr>
        <w:pStyle w:val="ListParagraph"/>
        <w:rPr>
          <w:color w:val="auto"/>
        </w:rPr>
      </w:pPr>
      <w:r w:rsidRPr="009C0489">
        <w:rPr>
          <w:color w:val="auto"/>
        </w:rPr>
        <w:t xml:space="preserve">Children and young people are disproportionately impacted by deprivation. They tend to live in areas that experience high levels of poverty. Well over a third of Greater Manchester’s young people are growing up in the most deprived parts of the city. Furthermore, the census shows clearly that deprivation has increased. </w:t>
      </w:r>
    </w:p>
    <w:p w14:paraId="32FB2B79" w14:textId="704AF2FA" w:rsidR="00B33C72" w:rsidRPr="009C0489" w:rsidRDefault="00B33C72" w:rsidP="00113D94">
      <w:pPr>
        <w:pStyle w:val="ListParagraph"/>
        <w:rPr>
          <w:color w:val="auto"/>
        </w:rPr>
      </w:pPr>
      <w:r w:rsidRPr="009C0489">
        <w:rPr>
          <w:color w:val="auto"/>
        </w:rPr>
        <w:t xml:space="preserve">The population of Greater Manchester will be increasingly diverse in the future. We know this because children and young people are far more ethnically </w:t>
      </w:r>
      <w:r w:rsidR="0007220B">
        <w:rPr>
          <w:color w:val="auto"/>
        </w:rPr>
        <w:t>diverse</w:t>
      </w:r>
      <w:r w:rsidRPr="009C0489">
        <w:rPr>
          <w:color w:val="auto"/>
        </w:rPr>
        <w:t xml:space="preserve"> than the all-age population. In 2021, 34% of people aged 24</w:t>
      </w:r>
      <w:r w:rsidR="0007220B">
        <w:rPr>
          <w:color w:val="auto"/>
        </w:rPr>
        <w:t xml:space="preserve"> </w:t>
      </w:r>
      <w:r w:rsidRPr="009C0489">
        <w:rPr>
          <w:color w:val="auto"/>
        </w:rPr>
        <w:t xml:space="preserve">and below were from an ethnic minority background in Greater Manchester. This is well above the proportion across all age groups: 23.6%. </w:t>
      </w:r>
    </w:p>
    <w:p w14:paraId="68BF7EB2" w14:textId="349774E5" w:rsidR="00B33C72" w:rsidRPr="009C0489" w:rsidRDefault="00B33C72" w:rsidP="00113D94">
      <w:pPr>
        <w:pStyle w:val="ListParagraph"/>
        <w:rPr>
          <w:color w:val="auto"/>
        </w:rPr>
      </w:pPr>
      <w:r w:rsidRPr="009C0489">
        <w:rPr>
          <w:color w:val="auto"/>
        </w:rPr>
        <w:t xml:space="preserve">Higher education is </w:t>
      </w:r>
      <w:r w:rsidR="0007220B">
        <w:rPr>
          <w:color w:val="auto"/>
        </w:rPr>
        <w:t xml:space="preserve">a key </w:t>
      </w:r>
      <w:r w:rsidRPr="009C0489">
        <w:rPr>
          <w:color w:val="auto"/>
        </w:rPr>
        <w:t>industr</w:t>
      </w:r>
      <w:r w:rsidR="0007220B">
        <w:rPr>
          <w:color w:val="auto"/>
        </w:rPr>
        <w:t>y</w:t>
      </w:r>
      <w:r w:rsidRPr="009C0489">
        <w:rPr>
          <w:color w:val="auto"/>
        </w:rPr>
        <w:t xml:space="preserve"> in</w:t>
      </w:r>
      <w:r w:rsidR="0007220B">
        <w:rPr>
          <w:color w:val="auto"/>
        </w:rPr>
        <w:t xml:space="preserve"> Greater</w:t>
      </w:r>
      <w:r w:rsidRPr="009C0489">
        <w:rPr>
          <w:color w:val="auto"/>
        </w:rPr>
        <w:t xml:space="preserve"> Manchester. The timing of the census during the Covid pandemic means that insights into the student population of the city need to be qualified. Even so, the census suggests students are transforming some wards: strikingly, almost 90% of the population of areas such as Fallowfield and Withington are aged below 24. </w:t>
      </w:r>
    </w:p>
    <w:p w14:paraId="5CEB9235" w14:textId="77777777" w:rsidR="00B33C72" w:rsidRPr="00E41863" w:rsidRDefault="00B33C72" w:rsidP="00113D94">
      <w:pPr>
        <w:ind w:left="720"/>
      </w:pPr>
    </w:p>
    <w:sectPr w:rsidR="00B33C72" w:rsidRPr="00E41863" w:rsidSect="00852DD3">
      <w:pgSz w:w="11906" w:h="16838" w:code="9"/>
      <w:pgMar w:top="1440" w:right="1440" w:bottom="1440" w:left="1440" w:header="709" w:footer="9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09654" w14:textId="77777777" w:rsidR="006A384D" w:rsidRDefault="006A384D">
      <w:pPr>
        <w:spacing w:after="0" w:line="240" w:lineRule="auto"/>
      </w:pPr>
      <w:r>
        <w:separator/>
      </w:r>
    </w:p>
  </w:endnote>
  <w:endnote w:type="continuationSeparator" w:id="0">
    <w:p w14:paraId="679FA426" w14:textId="77777777" w:rsidR="006A384D" w:rsidRDefault="006A384D">
      <w:pPr>
        <w:spacing w:after="0" w:line="240" w:lineRule="auto"/>
      </w:pPr>
      <w:r>
        <w:continuationSeparator/>
      </w:r>
    </w:p>
  </w:endnote>
  <w:endnote w:type="continuationNotice" w:id="1">
    <w:p w14:paraId="49E3A117" w14:textId="77777777" w:rsidR="00931CDB" w:rsidRDefault="00931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1117909"/>
      <w:docPartObj>
        <w:docPartGallery w:val="Page Numbers (Bottom of Page)"/>
        <w:docPartUnique/>
      </w:docPartObj>
    </w:sdtPr>
    <w:sdtEndPr/>
    <w:sdtContent>
      <w:p w14:paraId="5D5BCE77" w14:textId="77777777" w:rsidR="00FF3DBE" w:rsidRPr="00D31BB7" w:rsidRDefault="002F4BA4" w:rsidP="00915B8A">
        <w:pPr>
          <w:pStyle w:val="PageNumber1"/>
        </w:pPr>
        <w:r w:rsidRPr="00783EF6">
          <w:fldChar w:fldCharType="begin"/>
        </w:r>
        <w:r w:rsidRPr="00783EF6">
          <w:instrText xml:space="preserve"> PAGE   \* MERGEFORMAT </w:instrText>
        </w:r>
        <w:r w:rsidRPr="00783EF6">
          <w:fldChar w:fldCharType="separate"/>
        </w:r>
        <w:r w:rsidRPr="00783EF6">
          <w:t>2</w:t>
        </w:r>
        <w:r w:rsidRPr="00783E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0737260"/>
      <w:docPartObj>
        <w:docPartGallery w:val="Page Numbers (Bottom of Page)"/>
        <w:docPartUnique/>
      </w:docPartObj>
    </w:sdtPr>
    <w:sdtEndPr>
      <w:rPr>
        <w:rStyle w:val="PagenumberChar"/>
        <w:rFonts w:ascii="Arial" w:hAnsi="Arial"/>
        <w:b/>
        <w:color w:val="2C5060" w:themeColor="accent1"/>
        <w:sz w:val="28"/>
        <w:szCs w:val="24"/>
      </w:rPr>
    </w:sdtEndPr>
    <w:sdtContent>
      <w:p w14:paraId="494B75DB" w14:textId="77777777" w:rsidR="00B7462D" w:rsidRPr="00B7462D" w:rsidRDefault="00B7462D">
        <w:pPr>
          <w:pStyle w:val="Footer"/>
          <w:jc w:val="right"/>
          <w:rPr>
            <w:rStyle w:val="PagenumberChar"/>
          </w:rPr>
        </w:pPr>
        <w:r w:rsidRPr="00B7462D">
          <w:rPr>
            <w:rStyle w:val="PagenumberChar"/>
          </w:rPr>
          <w:fldChar w:fldCharType="begin"/>
        </w:r>
        <w:r w:rsidRPr="00B7462D">
          <w:rPr>
            <w:rStyle w:val="PagenumberChar"/>
          </w:rPr>
          <w:instrText xml:space="preserve"> PAGE   \* MERGEFORMAT </w:instrText>
        </w:r>
        <w:r w:rsidRPr="00B7462D">
          <w:rPr>
            <w:rStyle w:val="PagenumberChar"/>
          </w:rPr>
          <w:fldChar w:fldCharType="separate"/>
        </w:r>
        <w:r w:rsidRPr="00B7462D">
          <w:rPr>
            <w:rStyle w:val="PagenumberChar"/>
          </w:rPr>
          <w:t>2</w:t>
        </w:r>
        <w:r w:rsidRPr="00B7462D">
          <w:rPr>
            <w:rStyle w:val="PagenumberChar"/>
          </w:rPr>
          <w:fldChar w:fldCharType="end"/>
        </w:r>
      </w:p>
    </w:sdtContent>
  </w:sdt>
  <w:p w14:paraId="6EF5408D" w14:textId="77777777" w:rsidR="00B7462D" w:rsidRDefault="00B74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1D877" w14:textId="77777777" w:rsidR="006A384D" w:rsidRDefault="006A384D">
      <w:pPr>
        <w:spacing w:after="0" w:line="240" w:lineRule="auto"/>
      </w:pPr>
      <w:r>
        <w:separator/>
      </w:r>
    </w:p>
  </w:footnote>
  <w:footnote w:type="continuationSeparator" w:id="0">
    <w:p w14:paraId="1773793F" w14:textId="77777777" w:rsidR="006A384D" w:rsidRDefault="006A384D">
      <w:pPr>
        <w:spacing w:after="0" w:line="240" w:lineRule="auto"/>
      </w:pPr>
      <w:r>
        <w:continuationSeparator/>
      </w:r>
    </w:p>
  </w:footnote>
  <w:footnote w:type="continuationNotice" w:id="1">
    <w:p w14:paraId="2F5CB55A" w14:textId="77777777" w:rsidR="00931CDB" w:rsidRDefault="00931CDB">
      <w:pPr>
        <w:spacing w:after="0" w:line="240" w:lineRule="auto"/>
      </w:pPr>
    </w:p>
  </w:footnote>
  <w:footnote w:id="2">
    <w:p w14:paraId="4E3264DA" w14:textId="77777777" w:rsidR="000A2D76" w:rsidRPr="005C0166" w:rsidRDefault="000A2D76" w:rsidP="000A2D76">
      <w:pPr>
        <w:pStyle w:val="FootnoteText"/>
        <w:rPr>
          <w:sz w:val="24"/>
          <w:szCs w:val="24"/>
        </w:rPr>
      </w:pPr>
      <w:r w:rsidRPr="00CD48C2">
        <w:rPr>
          <w:rStyle w:val="FootnoteReference"/>
          <w:szCs w:val="24"/>
        </w:rPr>
        <w:footnoteRef/>
      </w:r>
      <w:r w:rsidRPr="005C0166">
        <w:rPr>
          <w:sz w:val="24"/>
          <w:szCs w:val="24"/>
        </w:rPr>
        <w:t xml:space="preserve"> </w:t>
      </w:r>
      <w:r w:rsidRPr="00BF2DA1">
        <w:rPr>
          <w:rFonts w:ascii="Arial" w:hAnsi="Arial" w:cs="Arial"/>
          <w:sz w:val="22"/>
          <w:szCs w:val="22"/>
        </w:rPr>
        <w:t>According to the Index of Multiple Deprivation (IMD), a measure of relative deprivation at small local area levels (LSOAs) across England. It is important to note that IMD deciles do not reflect an individual’s personal level of deprivation but rather indicate the deprivation level of the area where they reside.</w:t>
      </w:r>
    </w:p>
  </w:footnote>
  <w:footnote w:id="3">
    <w:p w14:paraId="35418195" w14:textId="39171AEB" w:rsidR="00F322F6" w:rsidRDefault="00F322F6" w:rsidP="00F322F6">
      <w:pPr>
        <w:pStyle w:val="FootnoteText"/>
      </w:pPr>
      <w:r w:rsidRPr="00EA1ECB">
        <w:rPr>
          <w:rStyle w:val="FootnoteReference"/>
          <w:szCs w:val="24"/>
        </w:rPr>
        <w:footnoteRef/>
      </w:r>
      <w:r w:rsidRPr="005C0166">
        <w:rPr>
          <w:sz w:val="24"/>
          <w:szCs w:val="24"/>
        </w:rPr>
        <w:t xml:space="preserve"> </w:t>
      </w:r>
      <w:r w:rsidRPr="005C0166">
        <w:rPr>
          <w:rFonts w:ascii="Arial" w:hAnsi="Arial" w:cs="Arial"/>
          <w:sz w:val="24"/>
          <w:szCs w:val="24"/>
        </w:rPr>
        <w:t>Deprivation figures for 2021 in Greater Manchester are likely an underestimate due to missing LSOAs</w:t>
      </w:r>
      <w:r w:rsidR="00C66D70">
        <w:rPr>
          <w:rFonts w:ascii="Arial" w:hAnsi="Arial" w:cs="Arial"/>
          <w:sz w:val="24"/>
          <w:szCs w:val="24"/>
        </w:rPr>
        <w:t xml:space="preserve">. </w:t>
      </w:r>
      <w:r w:rsidR="005C0166">
        <w:rPr>
          <w:rFonts w:ascii="Arial" w:hAnsi="Arial" w:cs="Arial"/>
          <w:sz w:val="24"/>
          <w:szCs w:val="24"/>
        </w:rPr>
        <w:t>A total of 66</w:t>
      </w:r>
      <w:r w:rsidR="00C66D70">
        <w:rPr>
          <w:rFonts w:ascii="Arial" w:hAnsi="Arial" w:cs="Arial"/>
          <w:sz w:val="24"/>
          <w:szCs w:val="24"/>
        </w:rPr>
        <w:t xml:space="preserve"> LSOA</w:t>
      </w:r>
      <w:r w:rsidR="005C0166">
        <w:rPr>
          <w:rFonts w:ascii="Arial" w:hAnsi="Arial" w:cs="Arial"/>
          <w:sz w:val="24"/>
          <w:szCs w:val="24"/>
        </w:rPr>
        <w:t>s</w:t>
      </w:r>
      <w:r w:rsidR="00C66D70">
        <w:rPr>
          <w:rFonts w:ascii="Arial" w:hAnsi="Arial" w:cs="Arial"/>
          <w:sz w:val="24"/>
          <w:szCs w:val="24"/>
        </w:rPr>
        <w:t xml:space="preserve"> do not feature in the deprivation analysis as they were created following boundary changes after the time of the 2019 IMD.</w:t>
      </w:r>
      <w:r w:rsidRPr="005C0166">
        <w:rPr>
          <w:rFonts w:ascii="Arial" w:hAnsi="Arial" w:cs="Arial"/>
          <w:sz w:val="24"/>
          <w:szCs w:val="24"/>
        </w:rPr>
        <w:t xml:space="preserve"> Specifically, many missing LSOAs are situated in urban inner-city regions, typically characterised by higher levels of socioeconomic deprivation. For instance, a large proportion are found on the Salford-Manchester border. Consequently, the actual count of children and young people within the most deprived IMD deciles is likely higher than what is reflected in the reported figures.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08BFD" w14:textId="77777777" w:rsidR="00FF3DBE" w:rsidRDefault="00FF3DBE" w:rsidP="00380C6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519"/>
    <w:multiLevelType w:val="hybridMultilevel"/>
    <w:tmpl w:val="739CAF64"/>
    <w:lvl w:ilvl="0" w:tplc="10F26BD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14DE2"/>
    <w:multiLevelType w:val="hybridMultilevel"/>
    <w:tmpl w:val="C742B3B0"/>
    <w:lvl w:ilvl="0" w:tplc="0E66AFD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672C9"/>
    <w:multiLevelType w:val="hybridMultilevel"/>
    <w:tmpl w:val="F372F184"/>
    <w:lvl w:ilvl="0" w:tplc="E41EFC92">
      <w:start w:val="1"/>
      <w:numFmt w:val="bullet"/>
      <w:pStyle w:val="ListParagraph"/>
      <w:lvlText w:val=""/>
      <w:lvlJc w:val="left"/>
      <w:pPr>
        <w:ind w:left="-108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3" w15:restartNumberingAfterBreak="0">
    <w:nsid w:val="16307721"/>
    <w:multiLevelType w:val="hybridMultilevel"/>
    <w:tmpl w:val="C9CE6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63482F"/>
    <w:multiLevelType w:val="hybridMultilevel"/>
    <w:tmpl w:val="B792E226"/>
    <w:lvl w:ilvl="0" w:tplc="7AB4E9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F729E7"/>
    <w:multiLevelType w:val="hybridMultilevel"/>
    <w:tmpl w:val="72CEB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9D1B1A"/>
    <w:multiLevelType w:val="hybridMultilevel"/>
    <w:tmpl w:val="F822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109A6"/>
    <w:multiLevelType w:val="hybridMultilevel"/>
    <w:tmpl w:val="D5608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EB1617"/>
    <w:multiLevelType w:val="hybridMultilevel"/>
    <w:tmpl w:val="12361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0384A"/>
    <w:multiLevelType w:val="multilevel"/>
    <w:tmpl w:val="A1D6F89C"/>
    <w:lvl w:ilvl="0">
      <w:start w:val="4"/>
      <w:numFmt w:val="decimal"/>
      <w:lvlText w:val="%1"/>
      <w:lvlJc w:val="left"/>
      <w:pPr>
        <w:ind w:left="1530" w:hanging="851"/>
      </w:pPr>
      <w:rPr>
        <w:rFonts w:hint="default"/>
        <w:lang w:val="en-US" w:eastAsia="en-US" w:bidi="ar-SA"/>
      </w:rPr>
    </w:lvl>
    <w:lvl w:ilvl="1">
      <w:start w:val="1"/>
      <w:numFmt w:val="decimal"/>
      <w:lvlText w:val="%1.%2"/>
      <w:lvlJc w:val="left"/>
      <w:pPr>
        <w:ind w:left="1530" w:hanging="851"/>
        <w:jc w:val="right"/>
      </w:pPr>
      <w:rPr>
        <w:rFonts w:ascii="Arial" w:eastAsia="Arial" w:hAnsi="Arial" w:cs="Arial" w:hint="default"/>
        <w:b/>
        <w:bCs/>
        <w:color w:val="565555"/>
        <w:spacing w:val="-1"/>
        <w:w w:val="100"/>
        <w:sz w:val="24"/>
        <w:szCs w:val="24"/>
        <w:lang w:val="en-US" w:eastAsia="en-US" w:bidi="ar-SA"/>
      </w:rPr>
    </w:lvl>
    <w:lvl w:ilvl="2">
      <w:start w:val="1"/>
      <w:numFmt w:val="upperLetter"/>
      <w:lvlText w:val="%3."/>
      <w:lvlJc w:val="left"/>
      <w:pPr>
        <w:ind w:left="1387" w:hanging="480"/>
      </w:pPr>
      <w:rPr>
        <w:rFonts w:ascii="Arial" w:eastAsia="Arial" w:hAnsi="Arial" w:cs="Arial" w:hint="default"/>
        <w:w w:val="100"/>
        <w:sz w:val="24"/>
        <w:szCs w:val="24"/>
        <w:lang w:val="en-US" w:eastAsia="en-US" w:bidi="ar-SA"/>
      </w:rPr>
    </w:lvl>
    <w:lvl w:ilvl="3">
      <w:start w:val="1"/>
      <w:numFmt w:val="decimal"/>
      <w:lvlText w:val="%4."/>
      <w:lvlJc w:val="left"/>
      <w:pPr>
        <w:ind w:left="1387" w:hanging="480"/>
      </w:pPr>
      <w:rPr>
        <w:rFonts w:ascii="Arial" w:eastAsia="Arial" w:hAnsi="Arial" w:cs="Arial" w:hint="default"/>
        <w:spacing w:val="-1"/>
        <w:w w:val="100"/>
        <w:sz w:val="24"/>
        <w:szCs w:val="24"/>
        <w:lang w:val="en-US" w:eastAsia="en-US" w:bidi="ar-SA"/>
      </w:rPr>
    </w:lvl>
    <w:lvl w:ilvl="4">
      <w:numFmt w:val="bullet"/>
      <w:lvlText w:val="•"/>
      <w:lvlJc w:val="left"/>
      <w:pPr>
        <w:ind w:left="4768" w:hanging="480"/>
      </w:pPr>
      <w:rPr>
        <w:rFonts w:hint="default"/>
        <w:lang w:val="en-US" w:eastAsia="en-US" w:bidi="ar-SA"/>
      </w:rPr>
    </w:lvl>
    <w:lvl w:ilvl="5">
      <w:numFmt w:val="bullet"/>
      <w:lvlText w:val="•"/>
      <w:lvlJc w:val="left"/>
      <w:pPr>
        <w:ind w:left="5844" w:hanging="480"/>
      </w:pPr>
      <w:rPr>
        <w:rFonts w:hint="default"/>
        <w:lang w:val="en-US" w:eastAsia="en-US" w:bidi="ar-SA"/>
      </w:rPr>
    </w:lvl>
    <w:lvl w:ilvl="6">
      <w:numFmt w:val="bullet"/>
      <w:lvlText w:val="•"/>
      <w:lvlJc w:val="left"/>
      <w:pPr>
        <w:ind w:left="6920" w:hanging="480"/>
      </w:pPr>
      <w:rPr>
        <w:rFonts w:hint="default"/>
        <w:lang w:val="en-US" w:eastAsia="en-US" w:bidi="ar-SA"/>
      </w:rPr>
    </w:lvl>
    <w:lvl w:ilvl="7">
      <w:numFmt w:val="bullet"/>
      <w:lvlText w:val="•"/>
      <w:lvlJc w:val="left"/>
      <w:pPr>
        <w:ind w:left="7997" w:hanging="480"/>
      </w:pPr>
      <w:rPr>
        <w:rFonts w:hint="default"/>
        <w:lang w:val="en-US" w:eastAsia="en-US" w:bidi="ar-SA"/>
      </w:rPr>
    </w:lvl>
    <w:lvl w:ilvl="8">
      <w:numFmt w:val="bullet"/>
      <w:lvlText w:val="•"/>
      <w:lvlJc w:val="left"/>
      <w:pPr>
        <w:ind w:left="9073" w:hanging="480"/>
      </w:pPr>
      <w:rPr>
        <w:rFonts w:hint="default"/>
        <w:lang w:val="en-US" w:eastAsia="en-US" w:bidi="ar-SA"/>
      </w:rPr>
    </w:lvl>
  </w:abstractNum>
  <w:abstractNum w:abstractNumId="10" w15:restartNumberingAfterBreak="0">
    <w:nsid w:val="3D9B2B84"/>
    <w:multiLevelType w:val="hybridMultilevel"/>
    <w:tmpl w:val="995A9C6C"/>
    <w:lvl w:ilvl="0" w:tplc="345C37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5B4633"/>
    <w:multiLevelType w:val="hybridMultilevel"/>
    <w:tmpl w:val="8EFE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FE5656"/>
    <w:multiLevelType w:val="hybridMultilevel"/>
    <w:tmpl w:val="D56085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E187EC8"/>
    <w:multiLevelType w:val="hybridMultilevel"/>
    <w:tmpl w:val="691E0020"/>
    <w:lvl w:ilvl="0" w:tplc="47A056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1F0070"/>
    <w:multiLevelType w:val="hybridMultilevel"/>
    <w:tmpl w:val="008EC902"/>
    <w:lvl w:ilvl="0" w:tplc="C5249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90661"/>
    <w:multiLevelType w:val="hybridMultilevel"/>
    <w:tmpl w:val="3B20A776"/>
    <w:lvl w:ilvl="0" w:tplc="D57A47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E800FA"/>
    <w:multiLevelType w:val="hybridMultilevel"/>
    <w:tmpl w:val="BDF28BE8"/>
    <w:lvl w:ilvl="0" w:tplc="E8744B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82603D"/>
    <w:multiLevelType w:val="hybridMultilevel"/>
    <w:tmpl w:val="C9CE68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86B02D9"/>
    <w:multiLevelType w:val="multilevel"/>
    <w:tmpl w:val="C8F607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65302846">
    <w:abstractNumId w:val="16"/>
  </w:num>
  <w:num w:numId="2" w16cid:durableId="181867866">
    <w:abstractNumId w:val="11"/>
  </w:num>
  <w:num w:numId="3" w16cid:durableId="1455128242">
    <w:abstractNumId w:val="5"/>
  </w:num>
  <w:num w:numId="4" w16cid:durableId="1173253089">
    <w:abstractNumId w:val="14"/>
  </w:num>
  <w:num w:numId="5" w16cid:durableId="349530051">
    <w:abstractNumId w:val="3"/>
  </w:num>
  <w:num w:numId="6" w16cid:durableId="1827822742">
    <w:abstractNumId w:val="14"/>
  </w:num>
  <w:num w:numId="7" w16cid:durableId="1105419359">
    <w:abstractNumId w:val="18"/>
  </w:num>
  <w:num w:numId="8" w16cid:durableId="188371055">
    <w:abstractNumId w:val="7"/>
  </w:num>
  <w:num w:numId="9" w16cid:durableId="1150514636">
    <w:abstractNumId w:val="14"/>
  </w:num>
  <w:num w:numId="10" w16cid:durableId="1445811392">
    <w:abstractNumId w:val="14"/>
  </w:num>
  <w:num w:numId="11" w16cid:durableId="2079933146">
    <w:abstractNumId w:val="14"/>
  </w:num>
  <w:num w:numId="12" w16cid:durableId="1609311781">
    <w:abstractNumId w:val="12"/>
  </w:num>
  <w:num w:numId="13" w16cid:durableId="768698567">
    <w:abstractNumId w:val="14"/>
  </w:num>
  <w:num w:numId="14" w16cid:durableId="226310108">
    <w:abstractNumId w:val="14"/>
  </w:num>
  <w:num w:numId="15" w16cid:durableId="2010253138">
    <w:abstractNumId w:val="8"/>
  </w:num>
  <w:num w:numId="16" w16cid:durableId="488135360">
    <w:abstractNumId w:val="14"/>
  </w:num>
  <w:num w:numId="17" w16cid:durableId="2040425884">
    <w:abstractNumId w:val="14"/>
  </w:num>
  <w:num w:numId="18" w16cid:durableId="1144783836">
    <w:abstractNumId w:val="14"/>
  </w:num>
  <w:num w:numId="19" w16cid:durableId="746268739">
    <w:abstractNumId w:val="14"/>
  </w:num>
  <w:num w:numId="20" w16cid:durableId="1200343">
    <w:abstractNumId w:val="9"/>
  </w:num>
  <w:num w:numId="21" w16cid:durableId="532772013">
    <w:abstractNumId w:val="10"/>
  </w:num>
  <w:num w:numId="22" w16cid:durableId="1549301583">
    <w:abstractNumId w:val="17"/>
  </w:num>
  <w:num w:numId="23" w16cid:durableId="1910068747">
    <w:abstractNumId w:val="19"/>
  </w:num>
  <w:num w:numId="24" w16cid:durableId="1965844683">
    <w:abstractNumId w:val="10"/>
  </w:num>
  <w:num w:numId="25" w16cid:durableId="812794020">
    <w:abstractNumId w:val="10"/>
  </w:num>
  <w:num w:numId="26" w16cid:durableId="847519569">
    <w:abstractNumId w:val="15"/>
  </w:num>
  <w:num w:numId="27" w16cid:durableId="633221714">
    <w:abstractNumId w:val="4"/>
  </w:num>
  <w:num w:numId="28" w16cid:durableId="357631274">
    <w:abstractNumId w:val="13"/>
  </w:num>
  <w:num w:numId="29" w16cid:durableId="1655987506">
    <w:abstractNumId w:val="1"/>
  </w:num>
  <w:num w:numId="30" w16cid:durableId="1217542677">
    <w:abstractNumId w:val="0"/>
  </w:num>
  <w:num w:numId="31" w16cid:durableId="1727532659">
    <w:abstractNumId w:val="2"/>
  </w:num>
  <w:num w:numId="32" w16cid:durableId="11970390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E1"/>
    <w:rsid w:val="00004C90"/>
    <w:rsid w:val="000057C5"/>
    <w:rsid w:val="000078A3"/>
    <w:rsid w:val="00010B7B"/>
    <w:rsid w:val="000115E2"/>
    <w:rsid w:val="000118CF"/>
    <w:rsid w:val="00012ED5"/>
    <w:rsid w:val="000155F0"/>
    <w:rsid w:val="000156DC"/>
    <w:rsid w:val="000173F6"/>
    <w:rsid w:val="000201A9"/>
    <w:rsid w:val="000217AC"/>
    <w:rsid w:val="00022378"/>
    <w:rsid w:val="00022F18"/>
    <w:rsid w:val="00023AD8"/>
    <w:rsid w:val="00026B0B"/>
    <w:rsid w:val="0002779E"/>
    <w:rsid w:val="00031A36"/>
    <w:rsid w:val="000324A7"/>
    <w:rsid w:val="00034203"/>
    <w:rsid w:val="0003466A"/>
    <w:rsid w:val="0003580F"/>
    <w:rsid w:val="00036BF9"/>
    <w:rsid w:val="00036DCE"/>
    <w:rsid w:val="00041A10"/>
    <w:rsid w:val="00042803"/>
    <w:rsid w:val="00042E78"/>
    <w:rsid w:val="00043426"/>
    <w:rsid w:val="00044108"/>
    <w:rsid w:val="00046C4B"/>
    <w:rsid w:val="000473A5"/>
    <w:rsid w:val="00054A00"/>
    <w:rsid w:val="00054A2A"/>
    <w:rsid w:val="00054B1E"/>
    <w:rsid w:val="00054E46"/>
    <w:rsid w:val="00054FAA"/>
    <w:rsid w:val="00056D2F"/>
    <w:rsid w:val="00062B56"/>
    <w:rsid w:val="0006429D"/>
    <w:rsid w:val="00066AE4"/>
    <w:rsid w:val="0006725C"/>
    <w:rsid w:val="000713EA"/>
    <w:rsid w:val="00071CC6"/>
    <w:rsid w:val="0007220B"/>
    <w:rsid w:val="000729BA"/>
    <w:rsid w:val="00073A0B"/>
    <w:rsid w:val="0007473F"/>
    <w:rsid w:val="00075293"/>
    <w:rsid w:val="0007686B"/>
    <w:rsid w:val="00081107"/>
    <w:rsid w:val="0008700A"/>
    <w:rsid w:val="00087E35"/>
    <w:rsid w:val="00095D00"/>
    <w:rsid w:val="000A2501"/>
    <w:rsid w:val="000A2D76"/>
    <w:rsid w:val="000A4AC1"/>
    <w:rsid w:val="000A513D"/>
    <w:rsid w:val="000A5B90"/>
    <w:rsid w:val="000A5EE7"/>
    <w:rsid w:val="000A5F95"/>
    <w:rsid w:val="000B0320"/>
    <w:rsid w:val="000B0DA5"/>
    <w:rsid w:val="000B3869"/>
    <w:rsid w:val="000B48E0"/>
    <w:rsid w:val="000B4CCB"/>
    <w:rsid w:val="000C0447"/>
    <w:rsid w:val="000C1EBB"/>
    <w:rsid w:val="000C20FA"/>
    <w:rsid w:val="000C3F44"/>
    <w:rsid w:val="000D04B5"/>
    <w:rsid w:val="000D09AB"/>
    <w:rsid w:val="000D0CBC"/>
    <w:rsid w:val="000D108F"/>
    <w:rsid w:val="000D252D"/>
    <w:rsid w:val="000D2A5A"/>
    <w:rsid w:val="000D2BF0"/>
    <w:rsid w:val="000D2EB0"/>
    <w:rsid w:val="000D4C5D"/>
    <w:rsid w:val="000D5C1B"/>
    <w:rsid w:val="000D698C"/>
    <w:rsid w:val="000E14CB"/>
    <w:rsid w:val="000E1CC2"/>
    <w:rsid w:val="000E3633"/>
    <w:rsid w:val="000E3CF4"/>
    <w:rsid w:val="000E3CF8"/>
    <w:rsid w:val="000E4A23"/>
    <w:rsid w:val="000E4B38"/>
    <w:rsid w:val="000F347C"/>
    <w:rsid w:val="000F4084"/>
    <w:rsid w:val="0010225E"/>
    <w:rsid w:val="00103A21"/>
    <w:rsid w:val="001051B1"/>
    <w:rsid w:val="00106ADE"/>
    <w:rsid w:val="0010746C"/>
    <w:rsid w:val="00112D81"/>
    <w:rsid w:val="001139AB"/>
    <w:rsid w:val="00113D94"/>
    <w:rsid w:val="0011607C"/>
    <w:rsid w:val="00116E49"/>
    <w:rsid w:val="00116E75"/>
    <w:rsid w:val="00121395"/>
    <w:rsid w:val="001219BF"/>
    <w:rsid w:val="00122295"/>
    <w:rsid w:val="00122A89"/>
    <w:rsid w:val="00123306"/>
    <w:rsid w:val="00124189"/>
    <w:rsid w:val="001260CE"/>
    <w:rsid w:val="00127A65"/>
    <w:rsid w:val="00131D4C"/>
    <w:rsid w:val="0013387F"/>
    <w:rsid w:val="00133CCE"/>
    <w:rsid w:val="00135E44"/>
    <w:rsid w:val="00136029"/>
    <w:rsid w:val="00136AE7"/>
    <w:rsid w:val="0014448E"/>
    <w:rsid w:val="001459BD"/>
    <w:rsid w:val="00146E16"/>
    <w:rsid w:val="001530CB"/>
    <w:rsid w:val="00153C30"/>
    <w:rsid w:val="00153D20"/>
    <w:rsid w:val="00153ED2"/>
    <w:rsid w:val="0015415A"/>
    <w:rsid w:val="00161173"/>
    <w:rsid w:val="001639D1"/>
    <w:rsid w:val="00164414"/>
    <w:rsid w:val="001645E4"/>
    <w:rsid w:val="00165D7A"/>
    <w:rsid w:val="0016613B"/>
    <w:rsid w:val="001708D8"/>
    <w:rsid w:val="001718C0"/>
    <w:rsid w:val="00171EC7"/>
    <w:rsid w:val="00171FB5"/>
    <w:rsid w:val="001726AE"/>
    <w:rsid w:val="0017449D"/>
    <w:rsid w:val="00174588"/>
    <w:rsid w:val="00175458"/>
    <w:rsid w:val="0017701F"/>
    <w:rsid w:val="00177120"/>
    <w:rsid w:val="00180974"/>
    <w:rsid w:val="00181756"/>
    <w:rsid w:val="00181D5E"/>
    <w:rsid w:val="00183F03"/>
    <w:rsid w:val="00184E99"/>
    <w:rsid w:val="00186BC2"/>
    <w:rsid w:val="00187EC9"/>
    <w:rsid w:val="00187F03"/>
    <w:rsid w:val="0019011D"/>
    <w:rsid w:val="00191F70"/>
    <w:rsid w:val="001922B2"/>
    <w:rsid w:val="0019553D"/>
    <w:rsid w:val="00195EC6"/>
    <w:rsid w:val="001971B9"/>
    <w:rsid w:val="001A024B"/>
    <w:rsid w:val="001A163D"/>
    <w:rsid w:val="001A1F50"/>
    <w:rsid w:val="001A44AD"/>
    <w:rsid w:val="001A450D"/>
    <w:rsid w:val="001A4832"/>
    <w:rsid w:val="001A4D37"/>
    <w:rsid w:val="001A4DE6"/>
    <w:rsid w:val="001A73D5"/>
    <w:rsid w:val="001A7A03"/>
    <w:rsid w:val="001A7C43"/>
    <w:rsid w:val="001B164B"/>
    <w:rsid w:val="001B39B2"/>
    <w:rsid w:val="001B3AEF"/>
    <w:rsid w:val="001B44B0"/>
    <w:rsid w:val="001B746E"/>
    <w:rsid w:val="001B7DAD"/>
    <w:rsid w:val="001C138A"/>
    <w:rsid w:val="001C1649"/>
    <w:rsid w:val="001C6D7B"/>
    <w:rsid w:val="001C7617"/>
    <w:rsid w:val="001D045A"/>
    <w:rsid w:val="001D0535"/>
    <w:rsid w:val="001D159E"/>
    <w:rsid w:val="001D3A8A"/>
    <w:rsid w:val="001D5079"/>
    <w:rsid w:val="001D5B96"/>
    <w:rsid w:val="001E2B16"/>
    <w:rsid w:val="001E4DB3"/>
    <w:rsid w:val="001E67C4"/>
    <w:rsid w:val="001E6C77"/>
    <w:rsid w:val="001E7C21"/>
    <w:rsid w:val="001F00DE"/>
    <w:rsid w:val="001F016F"/>
    <w:rsid w:val="001F0EF4"/>
    <w:rsid w:val="001F16A4"/>
    <w:rsid w:val="001F22B4"/>
    <w:rsid w:val="001F59BF"/>
    <w:rsid w:val="001F63B7"/>
    <w:rsid w:val="00203027"/>
    <w:rsid w:val="00207897"/>
    <w:rsid w:val="00207A50"/>
    <w:rsid w:val="00212336"/>
    <w:rsid w:val="00215242"/>
    <w:rsid w:val="00215F59"/>
    <w:rsid w:val="00222065"/>
    <w:rsid w:val="00223C81"/>
    <w:rsid w:val="00224063"/>
    <w:rsid w:val="00224535"/>
    <w:rsid w:val="002260A4"/>
    <w:rsid w:val="00226784"/>
    <w:rsid w:val="002276E1"/>
    <w:rsid w:val="00231DD8"/>
    <w:rsid w:val="00232B11"/>
    <w:rsid w:val="002342BC"/>
    <w:rsid w:val="00235215"/>
    <w:rsid w:val="00235D45"/>
    <w:rsid w:val="0023613D"/>
    <w:rsid w:val="0023768D"/>
    <w:rsid w:val="00237CF6"/>
    <w:rsid w:val="00241059"/>
    <w:rsid w:val="00241EBD"/>
    <w:rsid w:val="0024326E"/>
    <w:rsid w:val="00244A7F"/>
    <w:rsid w:val="0025364B"/>
    <w:rsid w:val="0025388D"/>
    <w:rsid w:val="002546C0"/>
    <w:rsid w:val="00255307"/>
    <w:rsid w:val="00260F0C"/>
    <w:rsid w:val="002613BC"/>
    <w:rsid w:val="00261600"/>
    <w:rsid w:val="00261E62"/>
    <w:rsid w:val="002645F0"/>
    <w:rsid w:val="00266DBF"/>
    <w:rsid w:val="00272478"/>
    <w:rsid w:val="00273FBB"/>
    <w:rsid w:val="002769A0"/>
    <w:rsid w:val="00276E3B"/>
    <w:rsid w:val="002804A6"/>
    <w:rsid w:val="00281E7D"/>
    <w:rsid w:val="002820F8"/>
    <w:rsid w:val="002823D4"/>
    <w:rsid w:val="00284731"/>
    <w:rsid w:val="00286653"/>
    <w:rsid w:val="002866C8"/>
    <w:rsid w:val="002905F3"/>
    <w:rsid w:val="00293D0C"/>
    <w:rsid w:val="002A49DA"/>
    <w:rsid w:val="002A522B"/>
    <w:rsid w:val="002A71B7"/>
    <w:rsid w:val="002B21C3"/>
    <w:rsid w:val="002B4C4B"/>
    <w:rsid w:val="002B5BE7"/>
    <w:rsid w:val="002B7327"/>
    <w:rsid w:val="002C16B8"/>
    <w:rsid w:val="002C40B6"/>
    <w:rsid w:val="002C4D2F"/>
    <w:rsid w:val="002C5D7F"/>
    <w:rsid w:val="002C5DA8"/>
    <w:rsid w:val="002C644A"/>
    <w:rsid w:val="002C6FB9"/>
    <w:rsid w:val="002D02A8"/>
    <w:rsid w:val="002D236C"/>
    <w:rsid w:val="002D2F05"/>
    <w:rsid w:val="002D4916"/>
    <w:rsid w:val="002D6CD1"/>
    <w:rsid w:val="002D7A60"/>
    <w:rsid w:val="002E0087"/>
    <w:rsid w:val="002E2129"/>
    <w:rsid w:val="002E29D8"/>
    <w:rsid w:val="002E4AA4"/>
    <w:rsid w:val="002E67A9"/>
    <w:rsid w:val="002F1DBD"/>
    <w:rsid w:val="002F343B"/>
    <w:rsid w:val="002F36CF"/>
    <w:rsid w:val="002F3B33"/>
    <w:rsid w:val="002F487B"/>
    <w:rsid w:val="002F4BA4"/>
    <w:rsid w:val="0030100E"/>
    <w:rsid w:val="0030109C"/>
    <w:rsid w:val="00301730"/>
    <w:rsid w:val="00302442"/>
    <w:rsid w:val="0030267E"/>
    <w:rsid w:val="00312BEF"/>
    <w:rsid w:val="003145EB"/>
    <w:rsid w:val="003148C2"/>
    <w:rsid w:val="00316B7E"/>
    <w:rsid w:val="00316DDE"/>
    <w:rsid w:val="00320BDD"/>
    <w:rsid w:val="00321F76"/>
    <w:rsid w:val="00322829"/>
    <w:rsid w:val="003239EA"/>
    <w:rsid w:val="00324634"/>
    <w:rsid w:val="00325C96"/>
    <w:rsid w:val="0032645E"/>
    <w:rsid w:val="003268D6"/>
    <w:rsid w:val="00331753"/>
    <w:rsid w:val="00331E30"/>
    <w:rsid w:val="003323AE"/>
    <w:rsid w:val="00337C52"/>
    <w:rsid w:val="003400F1"/>
    <w:rsid w:val="00342BC6"/>
    <w:rsid w:val="003443EF"/>
    <w:rsid w:val="00344591"/>
    <w:rsid w:val="00344A10"/>
    <w:rsid w:val="003458DC"/>
    <w:rsid w:val="003459E9"/>
    <w:rsid w:val="00345E94"/>
    <w:rsid w:val="00346FBB"/>
    <w:rsid w:val="00350D68"/>
    <w:rsid w:val="0035195C"/>
    <w:rsid w:val="00351CF6"/>
    <w:rsid w:val="00353475"/>
    <w:rsid w:val="0035469B"/>
    <w:rsid w:val="00356C58"/>
    <w:rsid w:val="00360E33"/>
    <w:rsid w:val="00362892"/>
    <w:rsid w:val="0036521C"/>
    <w:rsid w:val="0036569F"/>
    <w:rsid w:val="00366480"/>
    <w:rsid w:val="0036667D"/>
    <w:rsid w:val="00367470"/>
    <w:rsid w:val="003706C5"/>
    <w:rsid w:val="00371085"/>
    <w:rsid w:val="003735DE"/>
    <w:rsid w:val="00374F40"/>
    <w:rsid w:val="00380A3D"/>
    <w:rsid w:val="00380C64"/>
    <w:rsid w:val="00383656"/>
    <w:rsid w:val="00387BD4"/>
    <w:rsid w:val="00391B6F"/>
    <w:rsid w:val="0039279F"/>
    <w:rsid w:val="00394405"/>
    <w:rsid w:val="0039512B"/>
    <w:rsid w:val="003951DD"/>
    <w:rsid w:val="00397DFA"/>
    <w:rsid w:val="003A2501"/>
    <w:rsid w:val="003A41A1"/>
    <w:rsid w:val="003A713B"/>
    <w:rsid w:val="003A77BC"/>
    <w:rsid w:val="003B11EE"/>
    <w:rsid w:val="003B23CC"/>
    <w:rsid w:val="003B2607"/>
    <w:rsid w:val="003B4CA3"/>
    <w:rsid w:val="003C1A1C"/>
    <w:rsid w:val="003C1AB3"/>
    <w:rsid w:val="003C1AC9"/>
    <w:rsid w:val="003C2F2A"/>
    <w:rsid w:val="003C41DE"/>
    <w:rsid w:val="003C6E65"/>
    <w:rsid w:val="003C73FD"/>
    <w:rsid w:val="003C7781"/>
    <w:rsid w:val="003D01DD"/>
    <w:rsid w:val="003D1255"/>
    <w:rsid w:val="003D366D"/>
    <w:rsid w:val="003D6708"/>
    <w:rsid w:val="003E1573"/>
    <w:rsid w:val="003E1CA3"/>
    <w:rsid w:val="003E1F5E"/>
    <w:rsid w:val="003E4876"/>
    <w:rsid w:val="003E55CF"/>
    <w:rsid w:val="003E7292"/>
    <w:rsid w:val="003E7F21"/>
    <w:rsid w:val="003F0075"/>
    <w:rsid w:val="003F19BC"/>
    <w:rsid w:val="003F1F07"/>
    <w:rsid w:val="003F2945"/>
    <w:rsid w:val="003F2989"/>
    <w:rsid w:val="003F2C83"/>
    <w:rsid w:val="003F2DF0"/>
    <w:rsid w:val="003F36E2"/>
    <w:rsid w:val="003F3F07"/>
    <w:rsid w:val="003F4D47"/>
    <w:rsid w:val="003F5515"/>
    <w:rsid w:val="003F628C"/>
    <w:rsid w:val="004008F2"/>
    <w:rsid w:val="00401AD7"/>
    <w:rsid w:val="00401F52"/>
    <w:rsid w:val="00407693"/>
    <w:rsid w:val="004112DA"/>
    <w:rsid w:val="00412B17"/>
    <w:rsid w:val="00413AC0"/>
    <w:rsid w:val="0041454A"/>
    <w:rsid w:val="00417896"/>
    <w:rsid w:val="00420DDF"/>
    <w:rsid w:val="00422CBB"/>
    <w:rsid w:val="0042458F"/>
    <w:rsid w:val="00427084"/>
    <w:rsid w:val="00430E18"/>
    <w:rsid w:val="00431ED8"/>
    <w:rsid w:val="00432BDD"/>
    <w:rsid w:val="00433548"/>
    <w:rsid w:val="00434391"/>
    <w:rsid w:val="00435F12"/>
    <w:rsid w:val="004366E5"/>
    <w:rsid w:val="004369C4"/>
    <w:rsid w:val="00437D78"/>
    <w:rsid w:val="00442F0F"/>
    <w:rsid w:val="00443796"/>
    <w:rsid w:val="00444D39"/>
    <w:rsid w:val="004475AC"/>
    <w:rsid w:val="004519A2"/>
    <w:rsid w:val="004519E0"/>
    <w:rsid w:val="004520C4"/>
    <w:rsid w:val="00452172"/>
    <w:rsid w:val="00452CE3"/>
    <w:rsid w:val="00452E4D"/>
    <w:rsid w:val="00453DE7"/>
    <w:rsid w:val="00461B14"/>
    <w:rsid w:val="00462700"/>
    <w:rsid w:val="0046487E"/>
    <w:rsid w:val="00464C5C"/>
    <w:rsid w:val="00465180"/>
    <w:rsid w:val="00465432"/>
    <w:rsid w:val="00472165"/>
    <w:rsid w:val="004726A8"/>
    <w:rsid w:val="00472A81"/>
    <w:rsid w:val="00473084"/>
    <w:rsid w:val="00476456"/>
    <w:rsid w:val="00481543"/>
    <w:rsid w:val="004824FB"/>
    <w:rsid w:val="004831E1"/>
    <w:rsid w:val="004845D8"/>
    <w:rsid w:val="0048474E"/>
    <w:rsid w:val="004855A5"/>
    <w:rsid w:val="00485A40"/>
    <w:rsid w:val="00485C81"/>
    <w:rsid w:val="00487FEE"/>
    <w:rsid w:val="0049072C"/>
    <w:rsid w:val="00490B47"/>
    <w:rsid w:val="0049153F"/>
    <w:rsid w:val="00491541"/>
    <w:rsid w:val="00493351"/>
    <w:rsid w:val="00493C57"/>
    <w:rsid w:val="004A00A9"/>
    <w:rsid w:val="004A3612"/>
    <w:rsid w:val="004A49EC"/>
    <w:rsid w:val="004B13EC"/>
    <w:rsid w:val="004B3293"/>
    <w:rsid w:val="004B364F"/>
    <w:rsid w:val="004B57FA"/>
    <w:rsid w:val="004B5CA1"/>
    <w:rsid w:val="004B5CBB"/>
    <w:rsid w:val="004B7704"/>
    <w:rsid w:val="004B77DB"/>
    <w:rsid w:val="004C2C43"/>
    <w:rsid w:val="004C2FF5"/>
    <w:rsid w:val="004C3A97"/>
    <w:rsid w:val="004C3D8C"/>
    <w:rsid w:val="004C43D4"/>
    <w:rsid w:val="004C5FE1"/>
    <w:rsid w:val="004C5FFA"/>
    <w:rsid w:val="004C6544"/>
    <w:rsid w:val="004C70B5"/>
    <w:rsid w:val="004D0F9A"/>
    <w:rsid w:val="004D3619"/>
    <w:rsid w:val="004D438C"/>
    <w:rsid w:val="004D4691"/>
    <w:rsid w:val="004D4F8D"/>
    <w:rsid w:val="004D7C7A"/>
    <w:rsid w:val="004E0BB4"/>
    <w:rsid w:val="004E2D6B"/>
    <w:rsid w:val="004E33BC"/>
    <w:rsid w:val="004F121A"/>
    <w:rsid w:val="004F1584"/>
    <w:rsid w:val="004F314D"/>
    <w:rsid w:val="004F5EBA"/>
    <w:rsid w:val="004F61AE"/>
    <w:rsid w:val="004F65FE"/>
    <w:rsid w:val="004F734E"/>
    <w:rsid w:val="00500784"/>
    <w:rsid w:val="005026A6"/>
    <w:rsid w:val="00503A32"/>
    <w:rsid w:val="00504609"/>
    <w:rsid w:val="005116C2"/>
    <w:rsid w:val="00511DDD"/>
    <w:rsid w:val="00511E5B"/>
    <w:rsid w:val="00517DD0"/>
    <w:rsid w:val="00521127"/>
    <w:rsid w:val="0052512D"/>
    <w:rsid w:val="005252AA"/>
    <w:rsid w:val="00525A29"/>
    <w:rsid w:val="00527AD8"/>
    <w:rsid w:val="005310E5"/>
    <w:rsid w:val="00535DF7"/>
    <w:rsid w:val="005405C7"/>
    <w:rsid w:val="0054392E"/>
    <w:rsid w:val="0054459F"/>
    <w:rsid w:val="00544699"/>
    <w:rsid w:val="005468FD"/>
    <w:rsid w:val="00546D67"/>
    <w:rsid w:val="00547C0C"/>
    <w:rsid w:val="00547C35"/>
    <w:rsid w:val="00552B43"/>
    <w:rsid w:val="00553BDC"/>
    <w:rsid w:val="00554E5B"/>
    <w:rsid w:val="005558AD"/>
    <w:rsid w:val="005600B4"/>
    <w:rsid w:val="005609D2"/>
    <w:rsid w:val="0056192A"/>
    <w:rsid w:val="005619E5"/>
    <w:rsid w:val="005655B5"/>
    <w:rsid w:val="00565867"/>
    <w:rsid w:val="0056653E"/>
    <w:rsid w:val="00574524"/>
    <w:rsid w:val="00575157"/>
    <w:rsid w:val="00577987"/>
    <w:rsid w:val="00581EC0"/>
    <w:rsid w:val="005826E5"/>
    <w:rsid w:val="00585CA7"/>
    <w:rsid w:val="005863C2"/>
    <w:rsid w:val="00586F3E"/>
    <w:rsid w:val="00590C62"/>
    <w:rsid w:val="00591769"/>
    <w:rsid w:val="00591869"/>
    <w:rsid w:val="00592489"/>
    <w:rsid w:val="00594C00"/>
    <w:rsid w:val="00595E4A"/>
    <w:rsid w:val="005A22E1"/>
    <w:rsid w:val="005A4C20"/>
    <w:rsid w:val="005A5F97"/>
    <w:rsid w:val="005B1071"/>
    <w:rsid w:val="005B1F27"/>
    <w:rsid w:val="005B22D2"/>
    <w:rsid w:val="005B28D8"/>
    <w:rsid w:val="005B321B"/>
    <w:rsid w:val="005B341C"/>
    <w:rsid w:val="005C0166"/>
    <w:rsid w:val="005C1907"/>
    <w:rsid w:val="005C1E64"/>
    <w:rsid w:val="005C2585"/>
    <w:rsid w:val="005C26A3"/>
    <w:rsid w:val="005C34FA"/>
    <w:rsid w:val="005C4010"/>
    <w:rsid w:val="005C5D0D"/>
    <w:rsid w:val="005C7CDF"/>
    <w:rsid w:val="005D02A8"/>
    <w:rsid w:val="005D0F86"/>
    <w:rsid w:val="005D1B04"/>
    <w:rsid w:val="005D27DE"/>
    <w:rsid w:val="005D3BF7"/>
    <w:rsid w:val="005D3D27"/>
    <w:rsid w:val="005D50ED"/>
    <w:rsid w:val="005D6CC5"/>
    <w:rsid w:val="005E075F"/>
    <w:rsid w:val="005E1E10"/>
    <w:rsid w:val="005E2B5C"/>
    <w:rsid w:val="005E41F5"/>
    <w:rsid w:val="005E56E7"/>
    <w:rsid w:val="005E5D53"/>
    <w:rsid w:val="005F1228"/>
    <w:rsid w:val="005F21AD"/>
    <w:rsid w:val="005F52A4"/>
    <w:rsid w:val="005F63CB"/>
    <w:rsid w:val="0060231A"/>
    <w:rsid w:val="00605083"/>
    <w:rsid w:val="0060638F"/>
    <w:rsid w:val="006068D6"/>
    <w:rsid w:val="00606C0F"/>
    <w:rsid w:val="006070C7"/>
    <w:rsid w:val="00610AE3"/>
    <w:rsid w:val="00610D1B"/>
    <w:rsid w:val="00611B8A"/>
    <w:rsid w:val="0061292E"/>
    <w:rsid w:val="00613A1C"/>
    <w:rsid w:val="0061439F"/>
    <w:rsid w:val="00614A04"/>
    <w:rsid w:val="00620F73"/>
    <w:rsid w:val="0062112A"/>
    <w:rsid w:val="006226C4"/>
    <w:rsid w:val="006250A2"/>
    <w:rsid w:val="006250C0"/>
    <w:rsid w:val="00630485"/>
    <w:rsid w:val="00631489"/>
    <w:rsid w:val="00636C47"/>
    <w:rsid w:val="006401FB"/>
    <w:rsid w:val="00640431"/>
    <w:rsid w:val="00640624"/>
    <w:rsid w:val="00641849"/>
    <w:rsid w:val="00642316"/>
    <w:rsid w:val="0064251D"/>
    <w:rsid w:val="00643849"/>
    <w:rsid w:val="00650BF2"/>
    <w:rsid w:val="00650DCA"/>
    <w:rsid w:val="0065133D"/>
    <w:rsid w:val="00651CC5"/>
    <w:rsid w:val="00651F79"/>
    <w:rsid w:val="00652197"/>
    <w:rsid w:val="00652389"/>
    <w:rsid w:val="006538F0"/>
    <w:rsid w:val="00654EA8"/>
    <w:rsid w:val="00655D43"/>
    <w:rsid w:val="0065693A"/>
    <w:rsid w:val="006600CB"/>
    <w:rsid w:val="006600EA"/>
    <w:rsid w:val="00660828"/>
    <w:rsid w:val="006611BC"/>
    <w:rsid w:val="00663BCA"/>
    <w:rsid w:val="0066570D"/>
    <w:rsid w:val="0066621B"/>
    <w:rsid w:val="00671301"/>
    <w:rsid w:val="00671F55"/>
    <w:rsid w:val="006732D8"/>
    <w:rsid w:val="006737E9"/>
    <w:rsid w:val="00673951"/>
    <w:rsid w:val="00682DE7"/>
    <w:rsid w:val="006837B0"/>
    <w:rsid w:val="0068507D"/>
    <w:rsid w:val="006856CD"/>
    <w:rsid w:val="00687953"/>
    <w:rsid w:val="00687D93"/>
    <w:rsid w:val="00687DE3"/>
    <w:rsid w:val="00691DD3"/>
    <w:rsid w:val="00696D12"/>
    <w:rsid w:val="006A06D4"/>
    <w:rsid w:val="006A1356"/>
    <w:rsid w:val="006A3101"/>
    <w:rsid w:val="006A3180"/>
    <w:rsid w:val="006A384D"/>
    <w:rsid w:val="006A3924"/>
    <w:rsid w:val="006A42AE"/>
    <w:rsid w:val="006A540C"/>
    <w:rsid w:val="006A5FF1"/>
    <w:rsid w:val="006A693B"/>
    <w:rsid w:val="006A750D"/>
    <w:rsid w:val="006B1298"/>
    <w:rsid w:val="006B1641"/>
    <w:rsid w:val="006B7754"/>
    <w:rsid w:val="006C157E"/>
    <w:rsid w:val="006C4CF5"/>
    <w:rsid w:val="006C4F7B"/>
    <w:rsid w:val="006C6820"/>
    <w:rsid w:val="006D19D0"/>
    <w:rsid w:val="006D2F18"/>
    <w:rsid w:val="006D2F82"/>
    <w:rsid w:val="006D3394"/>
    <w:rsid w:val="006D43A9"/>
    <w:rsid w:val="006D4B65"/>
    <w:rsid w:val="006D683E"/>
    <w:rsid w:val="006E0B3F"/>
    <w:rsid w:val="006E2878"/>
    <w:rsid w:val="006E580F"/>
    <w:rsid w:val="006E5FDA"/>
    <w:rsid w:val="006E69FC"/>
    <w:rsid w:val="006F2574"/>
    <w:rsid w:val="006F437D"/>
    <w:rsid w:val="006F5BBD"/>
    <w:rsid w:val="006F6A8B"/>
    <w:rsid w:val="00703C04"/>
    <w:rsid w:val="007069E7"/>
    <w:rsid w:val="0071000C"/>
    <w:rsid w:val="00710F4D"/>
    <w:rsid w:val="007152ED"/>
    <w:rsid w:val="00715838"/>
    <w:rsid w:val="00720A71"/>
    <w:rsid w:val="007217CF"/>
    <w:rsid w:val="00721F84"/>
    <w:rsid w:val="007221EF"/>
    <w:rsid w:val="00723046"/>
    <w:rsid w:val="0072360B"/>
    <w:rsid w:val="00724B8B"/>
    <w:rsid w:val="00725DA5"/>
    <w:rsid w:val="007264F1"/>
    <w:rsid w:val="00731904"/>
    <w:rsid w:val="00732A38"/>
    <w:rsid w:val="00735548"/>
    <w:rsid w:val="0074222F"/>
    <w:rsid w:val="00743320"/>
    <w:rsid w:val="00746835"/>
    <w:rsid w:val="00750564"/>
    <w:rsid w:val="007518C4"/>
    <w:rsid w:val="007533F9"/>
    <w:rsid w:val="00756601"/>
    <w:rsid w:val="00757411"/>
    <w:rsid w:val="0076034D"/>
    <w:rsid w:val="00762C65"/>
    <w:rsid w:val="007640C4"/>
    <w:rsid w:val="007652C7"/>
    <w:rsid w:val="00765C96"/>
    <w:rsid w:val="00766AEA"/>
    <w:rsid w:val="00770145"/>
    <w:rsid w:val="0077185F"/>
    <w:rsid w:val="00773D2B"/>
    <w:rsid w:val="0077426C"/>
    <w:rsid w:val="00774557"/>
    <w:rsid w:val="0077471A"/>
    <w:rsid w:val="00775540"/>
    <w:rsid w:val="0077676B"/>
    <w:rsid w:val="00777285"/>
    <w:rsid w:val="00777F54"/>
    <w:rsid w:val="00782B00"/>
    <w:rsid w:val="00784404"/>
    <w:rsid w:val="00786AE3"/>
    <w:rsid w:val="0078771F"/>
    <w:rsid w:val="0079015A"/>
    <w:rsid w:val="00790C8D"/>
    <w:rsid w:val="00794B54"/>
    <w:rsid w:val="00796432"/>
    <w:rsid w:val="007973A4"/>
    <w:rsid w:val="007A38AF"/>
    <w:rsid w:val="007A3EEA"/>
    <w:rsid w:val="007A469B"/>
    <w:rsid w:val="007A6CA0"/>
    <w:rsid w:val="007B0B6D"/>
    <w:rsid w:val="007B24D6"/>
    <w:rsid w:val="007B3E37"/>
    <w:rsid w:val="007B49F6"/>
    <w:rsid w:val="007C0194"/>
    <w:rsid w:val="007C0BD7"/>
    <w:rsid w:val="007C1A0C"/>
    <w:rsid w:val="007C6645"/>
    <w:rsid w:val="007D00A4"/>
    <w:rsid w:val="007D01A8"/>
    <w:rsid w:val="007D0540"/>
    <w:rsid w:val="007D0D6E"/>
    <w:rsid w:val="007D1263"/>
    <w:rsid w:val="007D35B3"/>
    <w:rsid w:val="007D512D"/>
    <w:rsid w:val="007D6B0F"/>
    <w:rsid w:val="007E05BD"/>
    <w:rsid w:val="007E1DDA"/>
    <w:rsid w:val="007E25EB"/>
    <w:rsid w:val="007E2B3C"/>
    <w:rsid w:val="007E34EB"/>
    <w:rsid w:val="007E37EE"/>
    <w:rsid w:val="007E515A"/>
    <w:rsid w:val="007F2B33"/>
    <w:rsid w:val="007F2C2C"/>
    <w:rsid w:val="007F5802"/>
    <w:rsid w:val="00804309"/>
    <w:rsid w:val="00807259"/>
    <w:rsid w:val="00810113"/>
    <w:rsid w:val="00810FC7"/>
    <w:rsid w:val="00814654"/>
    <w:rsid w:val="00815478"/>
    <w:rsid w:val="00815A95"/>
    <w:rsid w:val="00815F93"/>
    <w:rsid w:val="00820A62"/>
    <w:rsid w:val="00821EC4"/>
    <w:rsid w:val="008236A1"/>
    <w:rsid w:val="00823B7F"/>
    <w:rsid w:val="0082729D"/>
    <w:rsid w:val="00831018"/>
    <w:rsid w:val="00831C5E"/>
    <w:rsid w:val="008323D0"/>
    <w:rsid w:val="00833AEE"/>
    <w:rsid w:val="00833BF5"/>
    <w:rsid w:val="00833DDE"/>
    <w:rsid w:val="0083492F"/>
    <w:rsid w:val="00837F11"/>
    <w:rsid w:val="008405C5"/>
    <w:rsid w:val="008408A7"/>
    <w:rsid w:val="00842E7B"/>
    <w:rsid w:val="008469E1"/>
    <w:rsid w:val="00850D33"/>
    <w:rsid w:val="008518CE"/>
    <w:rsid w:val="00851DDD"/>
    <w:rsid w:val="008521A0"/>
    <w:rsid w:val="00852DD3"/>
    <w:rsid w:val="00853F69"/>
    <w:rsid w:val="008550C4"/>
    <w:rsid w:val="00855E09"/>
    <w:rsid w:val="00861432"/>
    <w:rsid w:val="00861BF8"/>
    <w:rsid w:val="0086209F"/>
    <w:rsid w:val="00862CFB"/>
    <w:rsid w:val="00865ECA"/>
    <w:rsid w:val="00867F94"/>
    <w:rsid w:val="008724AF"/>
    <w:rsid w:val="00872AF9"/>
    <w:rsid w:val="00872CAC"/>
    <w:rsid w:val="00874BE9"/>
    <w:rsid w:val="00875C6C"/>
    <w:rsid w:val="008770B3"/>
    <w:rsid w:val="008812A0"/>
    <w:rsid w:val="00881506"/>
    <w:rsid w:val="00881BB7"/>
    <w:rsid w:val="0088225A"/>
    <w:rsid w:val="00884DE8"/>
    <w:rsid w:val="008873A6"/>
    <w:rsid w:val="0089385A"/>
    <w:rsid w:val="00896BCC"/>
    <w:rsid w:val="00897C71"/>
    <w:rsid w:val="008A076F"/>
    <w:rsid w:val="008A4257"/>
    <w:rsid w:val="008B113D"/>
    <w:rsid w:val="008B1914"/>
    <w:rsid w:val="008B2F5D"/>
    <w:rsid w:val="008B4414"/>
    <w:rsid w:val="008B49E6"/>
    <w:rsid w:val="008B6A97"/>
    <w:rsid w:val="008C1BF8"/>
    <w:rsid w:val="008C33AF"/>
    <w:rsid w:val="008C3BE0"/>
    <w:rsid w:val="008C3CFB"/>
    <w:rsid w:val="008C5942"/>
    <w:rsid w:val="008C5BC4"/>
    <w:rsid w:val="008C7D1D"/>
    <w:rsid w:val="008D29C6"/>
    <w:rsid w:val="008D5EC6"/>
    <w:rsid w:val="008D600B"/>
    <w:rsid w:val="008D7939"/>
    <w:rsid w:val="008E0446"/>
    <w:rsid w:val="008E526C"/>
    <w:rsid w:val="008E6A4F"/>
    <w:rsid w:val="008E7C74"/>
    <w:rsid w:val="008F0C38"/>
    <w:rsid w:val="008F12F3"/>
    <w:rsid w:val="008F1C6D"/>
    <w:rsid w:val="008F2BF9"/>
    <w:rsid w:val="008F6134"/>
    <w:rsid w:val="008F7573"/>
    <w:rsid w:val="00903C59"/>
    <w:rsid w:val="00904A5D"/>
    <w:rsid w:val="00905038"/>
    <w:rsid w:val="00905F63"/>
    <w:rsid w:val="0090656C"/>
    <w:rsid w:val="00907B02"/>
    <w:rsid w:val="00910946"/>
    <w:rsid w:val="00910987"/>
    <w:rsid w:val="009133D8"/>
    <w:rsid w:val="00915093"/>
    <w:rsid w:val="0091568B"/>
    <w:rsid w:val="00916C48"/>
    <w:rsid w:val="00917A22"/>
    <w:rsid w:val="00920E83"/>
    <w:rsid w:val="009232EC"/>
    <w:rsid w:val="0092389D"/>
    <w:rsid w:val="009245E1"/>
    <w:rsid w:val="00924BFF"/>
    <w:rsid w:val="00925487"/>
    <w:rsid w:val="00925E44"/>
    <w:rsid w:val="00926128"/>
    <w:rsid w:val="00926A7F"/>
    <w:rsid w:val="00926AF6"/>
    <w:rsid w:val="00930031"/>
    <w:rsid w:val="00930CB2"/>
    <w:rsid w:val="00931CDB"/>
    <w:rsid w:val="00931F6B"/>
    <w:rsid w:val="009334B1"/>
    <w:rsid w:val="00933C23"/>
    <w:rsid w:val="0093420C"/>
    <w:rsid w:val="00934502"/>
    <w:rsid w:val="00935936"/>
    <w:rsid w:val="0093627E"/>
    <w:rsid w:val="00936B32"/>
    <w:rsid w:val="00937405"/>
    <w:rsid w:val="00940E28"/>
    <w:rsid w:val="00944554"/>
    <w:rsid w:val="009446EA"/>
    <w:rsid w:val="00945054"/>
    <w:rsid w:val="009454DA"/>
    <w:rsid w:val="0094608D"/>
    <w:rsid w:val="00950326"/>
    <w:rsid w:val="009505D3"/>
    <w:rsid w:val="0095283D"/>
    <w:rsid w:val="0095304C"/>
    <w:rsid w:val="0095395C"/>
    <w:rsid w:val="00954814"/>
    <w:rsid w:val="00957160"/>
    <w:rsid w:val="00960DD7"/>
    <w:rsid w:val="00962C6F"/>
    <w:rsid w:val="009649A8"/>
    <w:rsid w:val="009652AD"/>
    <w:rsid w:val="009652F3"/>
    <w:rsid w:val="00965A47"/>
    <w:rsid w:val="009667E8"/>
    <w:rsid w:val="00970C0D"/>
    <w:rsid w:val="0097287E"/>
    <w:rsid w:val="00972AB8"/>
    <w:rsid w:val="00974BB5"/>
    <w:rsid w:val="0097795D"/>
    <w:rsid w:val="00982D63"/>
    <w:rsid w:val="00983EB3"/>
    <w:rsid w:val="0098499A"/>
    <w:rsid w:val="00990C9E"/>
    <w:rsid w:val="00995B9C"/>
    <w:rsid w:val="00995FEF"/>
    <w:rsid w:val="009971C9"/>
    <w:rsid w:val="009A06EB"/>
    <w:rsid w:val="009A070E"/>
    <w:rsid w:val="009A098A"/>
    <w:rsid w:val="009A5D53"/>
    <w:rsid w:val="009A7184"/>
    <w:rsid w:val="009A7E3D"/>
    <w:rsid w:val="009B233E"/>
    <w:rsid w:val="009B24A6"/>
    <w:rsid w:val="009B44DF"/>
    <w:rsid w:val="009B542B"/>
    <w:rsid w:val="009B6C76"/>
    <w:rsid w:val="009B6FA3"/>
    <w:rsid w:val="009C0489"/>
    <w:rsid w:val="009C14D5"/>
    <w:rsid w:val="009C312C"/>
    <w:rsid w:val="009C38E9"/>
    <w:rsid w:val="009C566C"/>
    <w:rsid w:val="009C575A"/>
    <w:rsid w:val="009C5D0D"/>
    <w:rsid w:val="009C74DA"/>
    <w:rsid w:val="009D0F2F"/>
    <w:rsid w:val="009D1E95"/>
    <w:rsid w:val="009D38A8"/>
    <w:rsid w:val="009D399D"/>
    <w:rsid w:val="009D41B0"/>
    <w:rsid w:val="009D6636"/>
    <w:rsid w:val="009E0B6E"/>
    <w:rsid w:val="009E1C50"/>
    <w:rsid w:val="009E1EA4"/>
    <w:rsid w:val="009E2B41"/>
    <w:rsid w:val="009E5B1A"/>
    <w:rsid w:val="009E5D2E"/>
    <w:rsid w:val="009E5F1C"/>
    <w:rsid w:val="009E5F27"/>
    <w:rsid w:val="009F0BF4"/>
    <w:rsid w:val="009F2BF7"/>
    <w:rsid w:val="009F43F4"/>
    <w:rsid w:val="009F5E1F"/>
    <w:rsid w:val="009F6582"/>
    <w:rsid w:val="009F7686"/>
    <w:rsid w:val="009F7705"/>
    <w:rsid w:val="00A0352C"/>
    <w:rsid w:val="00A0371C"/>
    <w:rsid w:val="00A03D3B"/>
    <w:rsid w:val="00A04F4C"/>
    <w:rsid w:val="00A0605B"/>
    <w:rsid w:val="00A07C73"/>
    <w:rsid w:val="00A11A4E"/>
    <w:rsid w:val="00A12CC3"/>
    <w:rsid w:val="00A13B79"/>
    <w:rsid w:val="00A141B6"/>
    <w:rsid w:val="00A1508D"/>
    <w:rsid w:val="00A15DC8"/>
    <w:rsid w:val="00A16485"/>
    <w:rsid w:val="00A21687"/>
    <w:rsid w:val="00A2452B"/>
    <w:rsid w:val="00A24647"/>
    <w:rsid w:val="00A26223"/>
    <w:rsid w:val="00A266F0"/>
    <w:rsid w:val="00A26773"/>
    <w:rsid w:val="00A26BBE"/>
    <w:rsid w:val="00A31CA8"/>
    <w:rsid w:val="00A32079"/>
    <w:rsid w:val="00A32349"/>
    <w:rsid w:val="00A33532"/>
    <w:rsid w:val="00A3406B"/>
    <w:rsid w:val="00A34546"/>
    <w:rsid w:val="00A34D64"/>
    <w:rsid w:val="00A3602A"/>
    <w:rsid w:val="00A36997"/>
    <w:rsid w:val="00A40674"/>
    <w:rsid w:val="00A4115C"/>
    <w:rsid w:val="00A423BE"/>
    <w:rsid w:val="00A42AD6"/>
    <w:rsid w:val="00A43CA7"/>
    <w:rsid w:val="00A449FD"/>
    <w:rsid w:val="00A44BB3"/>
    <w:rsid w:val="00A46CB9"/>
    <w:rsid w:val="00A53ACD"/>
    <w:rsid w:val="00A5577C"/>
    <w:rsid w:val="00A5734D"/>
    <w:rsid w:val="00A578CE"/>
    <w:rsid w:val="00A604E3"/>
    <w:rsid w:val="00A6241A"/>
    <w:rsid w:val="00A637E1"/>
    <w:rsid w:val="00A65281"/>
    <w:rsid w:val="00A65DAD"/>
    <w:rsid w:val="00A6671E"/>
    <w:rsid w:val="00A673E3"/>
    <w:rsid w:val="00A67A81"/>
    <w:rsid w:val="00A70060"/>
    <w:rsid w:val="00A70D1C"/>
    <w:rsid w:val="00A729F6"/>
    <w:rsid w:val="00A733C4"/>
    <w:rsid w:val="00A758AA"/>
    <w:rsid w:val="00A77738"/>
    <w:rsid w:val="00A8296F"/>
    <w:rsid w:val="00A84237"/>
    <w:rsid w:val="00A8426B"/>
    <w:rsid w:val="00A85F9D"/>
    <w:rsid w:val="00A86E04"/>
    <w:rsid w:val="00A87297"/>
    <w:rsid w:val="00A907E8"/>
    <w:rsid w:val="00A9145E"/>
    <w:rsid w:val="00A935DB"/>
    <w:rsid w:val="00A93CE0"/>
    <w:rsid w:val="00A94467"/>
    <w:rsid w:val="00AA25A6"/>
    <w:rsid w:val="00AA25FF"/>
    <w:rsid w:val="00AA3125"/>
    <w:rsid w:val="00AA3649"/>
    <w:rsid w:val="00AA3A2D"/>
    <w:rsid w:val="00AA3DCE"/>
    <w:rsid w:val="00AA4E4D"/>
    <w:rsid w:val="00AA69C3"/>
    <w:rsid w:val="00AA7D00"/>
    <w:rsid w:val="00AA7FF9"/>
    <w:rsid w:val="00AB0B17"/>
    <w:rsid w:val="00AB39E4"/>
    <w:rsid w:val="00AB3EF0"/>
    <w:rsid w:val="00AB3FD1"/>
    <w:rsid w:val="00AB7C18"/>
    <w:rsid w:val="00AC1DE8"/>
    <w:rsid w:val="00AC3C72"/>
    <w:rsid w:val="00AC4143"/>
    <w:rsid w:val="00AC5013"/>
    <w:rsid w:val="00AC7C02"/>
    <w:rsid w:val="00AD0FEC"/>
    <w:rsid w:val="00AD1065"/>
    <w:rsid w:val="00AD1B60"/>
    <w:rsid w:val="00AD1E2F"/>
    <w:rsid w:val="00AD3CBE"/>
    <w:rsid w:val="00AD3FAE"/>
    <w:rsid w:val="00AD7DAD"/>
    <w:rsid w:val="00AE2DAF"/>
    <w:rsid w:val="00AF02FB"/>
    <w:rsid w:val="00AF043D"/>
    <w:rsid w:val="00AF211A"/>
    <w:rsid w:val="00AF480B"/>
    <w:rsid w:val="00AF5891"/>
    <w:rsid w:val="00AF62BF"/>
    <w:rsid w:val="00B03557"/>
    <w:rsid w:val="00B03CEA"/>
    <w:rsid w:val="00B051A8"/>
    <w:rsid w:val="00B06CBF"/>
    <w:rsid w:val="00B1054F"/>
    <w:rsid w:val="00B12736"/>
    <w:rsid w:val="00B15BD6"/>
    <w:rsid w:val="00B165CC"/>
    <w:rsid w:val="00B17200"/>
    <w:rsid w:val="00B21E36"/>
    <w:rsid w:val="00B23CAB"/>
    <w:rsid w:val="00B23CCF"/>
    <w:rsid w:val="00B26318"/>
    <w:rsid w:val="00B26934"/>
    <w:rsid w:val="00B32F17"/>
    <w:rsid w:val="00B33C72"/>
    <w:rsid w:val="00B341C4"/>
    <w:rsid w:val="00B351E1"/>
    <w:rsid w:val="00B368C8"/>
    <w:rsid w:val="00B37DC1"/>
    <w:rsid w:val="00B415A0"/>
    <w:rsid w:val="00B439E5"/>
    <w:rsid w:val="00B43B52"/>
    <w:rsid w:val="00B4412F"/>
    <w:rsid w:val="00B44B5F"/>
    <w:rsid w:val="00B450E6"/>
    <w:rsid w:val="00B45BCF"/>
    <w:rsid w:val="00B46585"/>
    <w:rsid w:val="00B47B8C"/>
    <w:rsid w:val="00B52883"/>
    <w:rsid w:val="00B54059"/>
    <w:rsid w:val="00B543DC"/>
    <w:rsid w:val="00B54CD0"/>
    <w:rsid w:val="00B55DBB"/>
    <w:rsid w:val="00B56BAC"/>
    <w:rsid w:val="00B6095A"/>
    <w:rsid w:val="00B6485D"/>
    <w:rsid w:val="00B64DB0"/>
    <w:rsid w:val="00B65370"/>
    <w:rsid w:val="00B657BD"/>
    <w:rsid w:val="00B66C64"/>
    <w:rsid w:val="00B67EDC"/>
    <w:rsid w:val="00B706D2"/>
    <w:rsid w:val="00B70800"/>
    <w:rsid w:val="00B71CC2"/>
    <w:rsid w:val="00B71DFF"/>
    <w:rsid w:val="00B72DF8"/>
    <w:rsid w:val="00B73C81"/>
    <w:rsid w:val="00B7462D"/>
    <w:rsid w:val="00B746C2"/>
    <w:rsid w:val="00B76265"/>
    <w:rsid w:val="00B76A83"/>
    <w:rsid w:val="00B77B5B"/>
    <w:rsid w:val="00B85B2F"/>
    <w:rsid w:val="00B869A4"/>
    <w:rsid w:val="00B91B8A"/>
    <w:rsid w:val="00B929F8"/>
    <w:rsid w:val="00B951A4"/>
    <w:rsid w:val="00B962B2"/>
    <w:rsid w:val="00B974AF"/>
    <w:rsid w:val="00BA02B8"/>
    <w:rsid w:val="00BA2D24"/>
    <w:rsid w:val="00BA3E3B"/>
    <w:rsid w:val="00BA412A"/>
    <w:rsid w:val="00BA74BA"/>
    <w:rsid w:val="00BB47F5"/>
    <w:rsid w:val="00BB4943"/>
    <w:rsid w:val="00BB4954"/>
    <w:rsid w:val="00BB4C8B"/>
    <w:rsid w:val="00BB63E8"/>
    <w:rsid w:val="00BC179F"/>
    <w:rsid w:val="00BC21F6"/>
    <w:rsid w:val="00BC2202"/>
    <w:rsid w:val="00BC2B9A"/>
    <w:rsid w:val="00BC393A"/>
    <w:rsid w:val="00BC4CCF"/>
    <w:rsid w:val="00BC61A8"/>
    <w:rsid w:val="00BC621E"/>
    <w:rsid w:val="00BC6819"/>
    <w:rsid w:val="00BC70C8"/>
    <w:rsid w:val="00BD13AC"/>
    <w:rsid w:val="00BD1519"/>
    <w:rsid w:val="00BD56A8"/>
    <w:rsid w:val="00BD71FD"/>
    <w:rsid w:val="00BE0BBC"/>
    <w:rsid w:val="00BE0C27"/>
    <w:rsid w:val="00BE1E87"/>
    <w:rsid w:val="00BE2A44"/>
    <w:rsid w:val="00BE38A3"/>
    <w:rsid w:val="00BE43C0"/>
    <w:rsid w:val="00BE5F77"/>
    <w:rsid w:val="00BE7B53"/>
    <w:rsid w:val="00BF28DA"/>
    <w:rsid w:val="00BF2D26"/>
    <w:rsid w:val="00BF2DA1"/>
    <w:rsid w:val="00BF55D1"/>
    <w:rsid w:val="00BF5BE4"/>
    <w:rsid w:val="00C032D5"/>
    <w:rsid w:val="00C0335B"/>
    <w:rsid w:val="00C0356A"/>
    <w:rsid w:val="00C11B2F"/>
    <w:rsid w:val="00C12CEC"/>
    <w:rsid w:val="00C131BE"/>
    <w:rsid w:val="00C135AB"/>
    <w:rsid w:val="00C14FF8"/>
    <w:rsid w:val="00C15EDB"/>
    <w:rsid w:val="00C1636F"/>
    <w:rsid w:val="00C17608"/>
    <w:rsid w:val="00C20A97"/>
    <w:rsid w:val="00C20BE4"/>
    <w:rsid w:val="00C20DEA"/>
    <w:rsid w:val="00C21B88"/>
    <w:rsid w:val="00C25DA9"/>
    <w:rsid w:val="00C30392"/>
    <w:rsid w:val="00C30662"/>
    <w:rsid w:val="00C33E45"/>
    <w:rsid w:val="00C34073"/>
    <w:rsid w:val="00C34B53"/>
    <w:rsid w:val="00C35693"/>
    <w:rsid w:val="00C42E6A"/>
    <w:rsid w:val="00C46C0E"/>
    <w:rsid w:val="00C5085F"/>
    <w:rsid w:val="00C53B29"/>
    <w:rsid w:val="00C55C5D"/>
    <w:rsid w:val="00C60616"/>
    <w:rsid w:val="00C631B1"/>
    <w:rsid w:val="00C6485D"/>
    <w:rsid w:val="00C65EBE"/>
    <w:rsid w:val="00C66D70"/>
    <w:rsid w:val="00C67B45"/>
    <w:rsid w:val="00C707B9"/>
    <w:rsid w:val="00C71B11"/>
    <w:rsid w:val="00C77423"/>
    <w:rsid w:val="00C81B56"/>
    <w:rsid w:val="00C8313E"/>
    <w:rsid w:val="00C831F5"/>
    <w:rsid w:val="00C83612"/>
    <w:rsid w:val="00C85BC4"/>
    <w:rsid w:val="00C92AA9"/>
    <w:rsid w:val="00C9363C"/>
    <w:rsid w:val="00C95A52"/>
    <w:rsid w:val="00C95E30"/>
    <w:rsid w:val="00C968E9"/>
    <w:rsid w:val="00C97644"/>
    <w:rsid w:val="00CA0993"/>
    <w:rsid w:val="00CA2EDA"/>
    <w:rsid w:val="00CA5ABD"/>
    <w:rsid w:val="00CA7C2A"/>
    <w:rsid w:val="00CB069F"/>
    <w:rsid w:val="00CB492C"/>
    <w:rsid w:val="00CB5132"/>
    <w:rsid w:val="00CB5CBD"/>
    <w:rsid w:val="00CB5F20"/>
    <w:rsid w:val="00CB617E"/>
    <w:rsid w:val="00CC03E8"/>
    <w:rsid w:val="00CC13AA"/>
    <w:rsid w:val="00CC1FC3"/>
    <w:rsid w:val="00CC59A3"/>
    <w:rsid w:val="00CD0023"/>
    <w:rsid w:val="00CD0B5E"/>
    <w:rsid w:val="00CD1ADF"/>
    <w:rsid w:val="00CD2E8D"/>
    <w:rsid w:val="00CD41A8"/>
    <w:rsid w:val="00CD4727"/>
    <w:rsid w:val="00CD48C2"/>
    <w:rsid w:val="00CD4F7C"/>
    <w:rsid w:val="00CD6480"/>
    <w:rsid w:val="00CD712B"/>
    <w:rsid w:val="00CD7423"/>
    <w:rsid w:val="00CD7ED1"/>
    <w:rsid w:val="00CD7F16"/>
    <w:rsid w:val="00CE028E"/>
    <w:rsid w:val="00CE393E"/>
    <w:rsid w:val="00CE40CF"/>
    <w:rsid w:val="00CE536B"/>
    <w:rsid w:val="00CE53CC"/>
    <w:rsid w:val="00CE5A1D"/>
    <w:rsid w:val="00CF110D"/>
    <w:rsid w:val="00CF1132"/>
    <w:rsid w:val="00CF190B"/>
    <w:rsid w:val="00CF1EF3"/>
    <w:rsid w:val="00CF3835"/>
    <w:rsid w:val="00CF47CB"/>
    <w:rsid w:val="00CF58CE"/>
    <w:rsid w:val="00CF6AC3"/>
    <w:rsid w:val="00CF6B52"/>
    <w:rsid w:val="00D002FC"/>
    <w:rsid w:val="00D00921"/>
    <w:rsid w:val="00D013DA"/>
    <w:rsid w:val="00D02DC3"/>
    <w:rsid w:val="00D045F0"/>
    <w:rsid w:val="00D06A46"/>
    <w:rsid w:val="00D06E10"/>
    <w:rsid w:val="00D06E83"/>
    <w:rsid w:val="00D076FD"/>
    <w:rsid w:val="00D116DC"/>
    <w:rsid w:val="00D11C8D"/>
    <w:rsid w:val="00D2051C"/>
    <w:rsid w:val="00D22380"/>
    <w:rsid w:val="00D2344A"/>
    <w:rsid w:val="00D23BFA"/>
    <w:rsid w:val="00D25EE5"/>
    <w:rsid w:val="00D27CD8"/>
    <w:rsid w:val="00D27F68"/>
    <w:rsid w:val="00D31FD5"/>
    <w:rsid w:val="00D331AA"/>
    <w:rsid w:val="00D33F10"/>
    <w:rsid w:val="00D377E3"/>
    <w:rsid w:val="00D440C0"/>
    <w:rsid w:val="00D441CC"/>
    <w:rsid w:val="00D4473D"/>
    <w:rsid w:val="00D44941"/>
    <w:rsid w:val="00D455C1"/>
    <w:rsid w:val="00D47A88"/>
    <w:rsid w:val="00D47C8D"/>
    <w:rsid w:val="00D47E1F"/>
    <w:rsid w:val="00D50EFE"/>
    <w:rsid w:val="00D5126C"/>
    <w:rsid w:val="00D5285A"/>
    <w:rsid w:val="00D558B7"/>
    <w:rsid w:val="00D603F5"/>
    <w:rsid w:val="00D61EF7"/>
    <w:rsid w:val="00D627C9"/>
    <w:rsid w:val="00D64E90"/>
    <w:rsid w:val="00D65EFD"/>
    <w:rsid w:val="00D70945"/>
    <w:rsid w:val="00D713D5"/>
    <w:rsid w:val="00D71B8F"/>
    <w:rsid w:val="00D72936"/>
    <w:rsid w:val="00D7324F"/>
    <w:rsid w:val="00D739B6"/>
    <w:rsid w:val="00D74870"/>
    <w:rsid w:val="00D75395"/>
    <w:rsid w:val="00D77631"/>
    <w:rsid w:val="00D777A5"/>
    <w:rsid w:val="00D80EFC"/>
    <w:rsid w:val="00D83C6B"/>
    <w:rsid w:val="00D84820"/>
    <w:rsid w:val="00D8494A"/>
    <w:rsid w:val="00D866C9"/>
    <w:rsid w:val="00D86B49"/>
    <w:rsid w:val="00D86BE3"/>
    <w:rsid w:val="00D87B99"/>
    <w:rsid w:val="00D87B9B"/>
    <w:rsid w:val="00D87E8B"/>
    <w:rsid w:val="00D90428"/>
    <w:rsid w:val="00D94347"/>
    <w:rsid w:val="00D9571B"/>
    <w:rsid w:val="00D96202"/>
    <w:rsid w:val="00DA12D1"/>
    <w:rsid w:val="00DA147D"/>
    <w:rsid w:val="00DA1A93"/>
    <w:rsid w:val="00DA33FE"/>
    <w:rsid w:val="00DB108F"/>
    <w:rsid w:val="00DB63F9"/>
    <w:rsid w:val="00DC2436"/>
    <w:rsid w:val="00DC2CF6"/>
    <w:rsid w:val="00DC3B8E"/>
    <w:rsid w:val="00DC452C"/>
    <w:rsid w:val="00DC4CE1"/>
    <w:rsid w:val="00DC6561"/>
    <w:rsid w:val="00DD3F82"/>
    <w:rsid w:val="00DD5ADA"/>
    <w:rsid w:val="00DE2041"/>
    <w:rsid w:val="00DE37BF"/>
    <w:rsid w:val="00DE4AD8"/>
    <w:rsid w:val="00DF16C9"/>
    <w:rsid w:val="00DF1837"/>
    <w:rsid w:val="00DF1E8A"/>
    <w:rsid w:val="00DF2714"/>
    <w:rsid w:val="00DF47FE"/>
    <w:rsid w:val="00DF5BEC"/>
    <w:rsid w:val="00E05032"/>
    <w:rsid w:val="00E05A61"/>
    <w:rsid w:val="00E079E3"/>
    <w:rsid w:val="00E12139"/>
    <w:rsid w:val="00E133E7"/>
    <w:rsid w:val="00E15CCE"/>
    <w:rsid w:val="00E16CDC"/>
    <w:rsid w:val="00E17313"/>
    <w:rsid w:val="00E214ED"/>
    <w:rsid w:val="00E22EC4"/>
    <w:rsid w:val="00E23428"/>
    <w:rsid w:val="00E2359C"/>
    <w:rsid w:val="00E23E64"/>
    <w:rsid w:val="00E248C9"/>
    <w:rsid w:val="00E24C33"/>
    <w:rsid w:val="00E257C7"/>
    <w:rsid w:val="00E279FC"/>
    <w:rsid w:val="00E316C3"/>
    <w:rsid w:val="00E31A0D"/>
    <w:rsid w:val="00E3485A"/>
    <w:rsid w:val="00E34E03"/>
    <w:rsid w:val="00E41863"/>
    <w:rsid w:val="00E41BA4"/>
    <w:rsid w:val="00E41C70"/>
    <w:rsid w:val="00E41FB5"/>
    <w:rsid w:val="00E43658"/>
    <w:rsid w:val="00E45BAE"/>
    <w:rsid w:val="00E464B9"/>
    <w:rsid w:val="00E5200D"/>
    <w:rsid w:val="00E520D6"/>
    <w:rsid w:val="00E52F17"/>
    <w:rsid w:val="00E53AB3"/>
    <w:rsid w:val="00E55D68"/>
    <w:rsid w:val="00E5653A"/>
    <w:rsid w:val="00E569E6"/>
    <w:rsid w:val="00E57B27"/>
    <w:rsid w:val="00E57BB6"/>
    <w:rsid w:val="00E57DB9"/>
    <w:rsid w:val="00E605A3"/>
    <w:rsid w:val="00E60B3F"/>
    <w:rsid w:val="00E60D9B"/>
    <w:rsid w:val="00E65E0E"/>
    <w:rsid w:val="00E70B16"/>
    <w:rsid w:val="00E70B35"/>
    <w:rsid w:val="00E71936"/>
    <w:rsid w:val="00E723F7"/>
    <w:rsid w:val="00E76A31"/>
    <w:rsid w:val="00E77EFF"/>
    <w:rsid w:val="00E80F17"/>
    <w:rsid w:val="00E82BDE"/>
    <w:rsid w:val="00E851FB"/>
    <w:rsid w:val="00E873A0"/>
    <w:rsid w:val="00E9014F"/>
    <w:rsid w:val="00E90A90"/>
    <w:rsid w:val="00E92531"/>
    <w:rsid w:val="00E97A2D"/>
    <w:rsid w:val="00E97EB4"/>
    <w:rsid w:val="00EA0DA2"/>
    <w:rsid w:val="00EA1ECB"/>
    <w:rsid w:val="00EA250E"/>
    <w:rsid w:val="00EA3E9F"/>
    <w:rsid w:val="00EA55F9"/>
    <w:rsid w:val="00EA5CC3"/>
    <w:rsid w:val="00EA6547"/>
    <w:rsid w:val="00EA6976"/>
    <w:rsid w:val="00EB04C3"/>
    <w:rsid w:val="00EB0B97"/>
    <w:rsid w:val="00EB2849"/>
    <w:rsid w:val="00EB4298"/>
    <w:rsid w:val="00EB5025"/>
    <w:rsid w:val="00EC04D5"/>
    <w:rsid w:val="00EC153C"/>
    <w:rsid w:val="00EC3D73"/>
    <w:rsid w:val="00EC4419"/>
    <w:rsid w:val="00EC6E88"/>
    <w:rsid w:val="00EC7BB2"/>
    <w:rsid w:val="00ED1E69"/>
    <w:rsid w:val="00ED22A0"/>
    <w:rsid w:val="00ED2DC4"/>
    <w:rsid w:val="00ED2E58"/>
    <w:rsid w:val="00ED472C"/>
    <w:rsid w:val="00ED6AFA"/>
    <w:rsid w:val="00EE5508"/>
    <w:rsid w:val="00EE70F1"/>
    <w:rsid w:val="00EF1F1D"/>
    <w:rsid w:val="00EF2251"/>
    <w:rsid w:val="00EF6937"/>
    <w:rsid w:val="00EF7216"/>
    <w:rsid w:val="00F03CC6"/>
    <w:rsid w:val="00F03EF4"/>
    <w:rsid w:val="00F0441A"/>
    <w:rsid w:val="00F1100A"/>
    <w:rsid w:val="00F11FE7"/>
    <w:rsid w:val="00F12139"/>
    <w:rsid w:val="00F132DA"/>
    <w:rsid w:val="00F14951"/>
    <w:rsid w:val="00F16596"/>
    <w:rsid w:val="00F17391"/>
    <w:rsid w:val="00F23662"/>
    <w:rsid w:val="00F2536D"/>
    <w:rsid w:val="00F2658B"/>
    <w:rsid w:val="00F267AC"/>
    <w:rsid w:val="00F3021D"/>
    <w:rsid w:val="00F3030D"/>
    <w:rsid w:val="00F322F6"/>
    <w:rsid w:val="00F3330A"/>
    <w:rsid w:val="00F34DDA"/>
    <w:rsid w:val="00F4052A"/>
    <w:rsid w:val="00F414C6"/>
    <w:rsid w:val="00F42E38"/>
    <w:rsid w:val="00F431BD"/>
    <w:rsid w:val="00F43675"/>
    <w:rsid w:val="00F43E41"/>
    <w:rsid w:val="00F47546"/>
    <w:rsid w:val="00F47DA3"/>
    <w:rsid w:val="00F50CF2"/>
    <w:rsid w:val="00F523C4"/>
    <w:rsid w:val="00F52A33"/>
    <w:rsid w:val="00F5476E"/>
    <w:rsid w:val="00F55087"/>
    <w:rsid w:val="00F554C1"/>
    <w:rsid w:val="00F60125"/>
    <w:rsid w:val="00F60149"/>
    <w:rsid w:val="00F605E1"/>
    <w:rsid w:val="00F63E52"/>
    <w:rsid w:val="00F64B63"/>
    <w:rsid w:val="00F652F5"/>
    <w:rsid w:val="00F71600"/>
    <w:rsid w:val="00F744F2"/>
    <w:rsid w:val="00F809CF"/>
    <w:rsid w:val="00F81F78"/>
    <w:rsid w:val="00F84141"/>
    <w:rsid w:val="00F90A70"/>
    <w:rsid w:val="00F91896"/>
    <w:rsid w:val="00F92755"/>
    <w:rsid w:val="00F94C90"/>
    <w:rsid w:val="00F9611B"/>
    <w:rsid w:val="00F96651"/>
    <w:rsid w:val="00FA0524"/>
    <w:rsid w:val="00FA2A87"/>
    <w:rsid w:val="00FA2B4E"/>
    <w:rsid w:val="00FA5213"/>
    <w:rsid w:val="00FA6664"/>
    <w:rsid w:val="00FA6BE5"/>
    <w:rsid w:val="00FB013C"/>
    <w:rsid w:val="00FB0654"/>
    <w:rsid w:val="00FB1BA1"/>
    <w:rsid w:val="00FB2868"/>
    <w:rsid w:val="00FB2E80"/>
    <w:rsid w:val="00FB2F06"/>
    <w:rsid w:val="00FB5823"/>
    <w:rsid w:val="00FB59D2"/>
    <w:rsid w:val="00FB5DE6"/>
    <w:rsid w:val="00FB6281"/>
    <w:rsid w:val="00FB73F4"/>
    <w:rsid w:val="00FC08B4"/>
    <w:rsid w:val="00FC39A6"/>
    <w:rsid w:val="00FC3D4F"/>
    <w:rsid w:val="00FC5002"/>
    <w:rsid w:val="00FD5D59"/>
    <w:rsid w:val="00FE0CB1"/>
    <w:rsid w:val="00FE1E25"/>
    <w:rsid w:val="00FE3D2E"/>
    <w:rsid w:val="00FE44A2"/>
    <w:rsid w:val="00FF02EF"/>
    <w:rsid w:val="00FF278F"/>
    <w:rsid w:val="00FF3923"/>
    <w:rsid w:val="00FF3DBE"/>
    <w:rsid w:val="00FF435A"/>
    <w:rsid w:val="00FF558C"/>
    <w:rsid w:val="00FF6670"/>
    <w:rsid w:val="00FF6B9E"/>
    <w:rsid w:val="00FF7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39F2"/>
  <w15:chartTrackingRefBased/>
  <w15:docId w15:val="{709031E1-063B-444E-9FAA-36E984554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CDB"/>
    <w:rPr>
      <w:kern w:val="2"/>
      <w14:ligatures w14:val="standardContextual"/>
    </w:rPr>
  </w:style>
  <w:style w:type="paragraph" w:styleId="Heading1">
    <w:name w:val="heading 1"/>
    <w:basedOn w:val="Normal"/>
    <w:next w:val="Normal"/>
    <w:link w:val="Heading1Char"/>
    <w:autoRedefine/>
    <w:uiPriority w:val="9"/>
    <w:qFormat/>
    <w:rsid w:val="00A34546"/>
    <w:pPr>
      <w:keepNext/>
      <w:keepLines/>
      <w:spacing w:before="3000" w:after="0" w:line="240" w:lineRule="auto"/>
      <w:outlineLvl w:val="0"/>
    </w:pPr>
    <w:rPr>
      <w:rFonts w:ascii="Arial" w:eastAsiaTheme="majorEastAsia" w:hAnsi="Arial"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91568B"/>
    <w:pPr>
      <w:spacing w:before="240" w:after="240" w:line="240" w:lineRule="auto"/>
      <w:outlineLvl w:val="1"/>
    </w:pPr>
    <w:rPr>
      <w:rFonts w:ascii="Arial" w:hAnsi="Arial" w:cs="Arial"/>
      <w:b/>
      <w:bCs/>
      <w:color w:val="2C5060" w:themeColor="accent1"/>
      <w:kern w:val="0"/>
      <w:sz w:val="52"/>
      <w:szCs w:val="40"/>
      <w14:ligatures w14:val="none"/>
    </w:rPr>
  </w:style>
  <w:style w:type="paragraph" w:styleId="Heading3">
    <w:name w:val="heading 3"/>
    <w:basedOn w:val="Normal"/>
    <w:next w:val="Normal"/>
    <w:link w:val="Heading3Char"/>
    <w:autoRedefine/>
    <w:uiPriority w:val="9"/>
    <w:unhideWhenUsed/>
    <w:qFormat/>
    <w:rsid w:val="007A469B"/>
    <w:pPr>
      <w:spacing w:after="240" w:line="240" w:lineRule="auto"/>
      <w:outlineLvl w:val="2"/>
    </w:pPr>
    <w:rPr>
      <w:rFonts w:ascii="Arial" w:hAnsi="Arial" w:cs="Arial"/>
      <w:sz w:val="36"/>
      <w:szCs w:val="28"/>
    </w:rPr>
  </w:style>
  <w:style w:type="paragraph" w:styleId="Heading4">
    <w:name w:val="heading 4"/>
    <w:basedOn w:val="Normal"/>
    <w:next w:val="Normal"/>
    <w:link w:val="Heading4Char"/>
    <w:autoRedefine/>
    <w:uiPriority w:val="9"/>
    <w:unhideWhenUsed/>
    <w:qFormat/>
    <w:rsid w:val="009A070E"/>
    <w:pPr>
      <w:spacing w:after="240" w:line="240" w:lineRule="auto"/>
      <w:outlineLvl w:val="3"/>
    </w:pPr>
    <w:rPr>
      <w:rFonts w:cstheme="minorHAnsi"/>
      <w:b/>
      <w:color w:val="5C5B5A"/>
      <w:sz w:val="28"/>
    </w:rPr>
  </w:style>
  <w:style w:type="paragraph" w:styleId="Heading5">
    <w:name w:val="heading 5"/>
    <w:basedOn w:val="Normal"/>
    <w:next w:val="Normal"/>
    <w:link w:val="Heading5Char"/>
    <w:autoRedefine/>
    <w:uiPriority w:val="9"/>
    <w:unhideWhenUsed/>
    <w:qFormat/>
    <w:rsid w:val="009A070E"/>
    <w:pPr>
      <w:outlineLvl w:val="4"/>
    </w:pPr>
    <w:rPr>
      <w:rFonts w:cs="Arial"/>
      <w:b/>
      <w:bCs/>
      <w:color w:val="5C5B5A"/>
    </w:rPr>
  </w:style>
  <w:style w:type="character" w:default="1" w:styleId="DefaultParagraphFont">
    <w:name w:val="Default Paragraph Font"/>
    <w:uiPriority w:val="1"/>
    <w:semiHidden/>
    <w:unhideWhenUsed/>
    <w:rsid w:val="00931C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31CDB"/>
  </w:style>
  <w:style w:type="character" w:customStyle="1" w:styleId="Heading1Char">
    <w:name w:val="Heading 1 Char"/>
    <w:basedOn w:val="DefaultParagraphFont"/>
    <w:link w:val="Heading1"/>
    <w:uiPriority w:val="9"/>
    <w:rsid w:val="00A34546"/>
    <w:rPr>
      <w:rFonts w:ascii="Arial" w:eastAsiaTheme="majorEastAsia" w:hAnsi="Arial" w:cs="Arial"/>
      <w:b/>
      <w:bCs/>
      <w:noProof/>
      <w:color w:val="FFFFFF" w:themeColor="background1"/>
      <w:kern w:val="2"/>
      <w:sz w:val="72"/>
      <w:szCs w:val="40"/>
      <w14:ligatures w14:val="standardContextual"/>
    </w:rPr>
  </w:style>
  <w:style w:type="table" w:styleId="TableGrid">
    <w:name w:val="Table Grid"/>
    <w:aliases w:val="Kate table"/>
    <w:basedOn w:val="TableNormal"/>
    <w:uiPriority w:val="39"/>
    <w:rsid w:val="009A070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113D94"/>
    <w:pPr>
      <w:numPr>
        <w:numId w:val="31"/>
      </w:numPr>
      <w:ind w:left="720"/>
    </w:pPr>
    <w:rPr>
      <w:rFonts w:ascii="Arial" w:hAnsi="Arial" w:cs="Arial"/>
      <w:color w:val="2C5060" w:themeColor="accent1"/>
      <w:kern w:val="0"/>
      <w14:ligatures w14:val="none"/>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113D94"/>
    <w:rPr>
      <w:rFonts w:ascii="Arial" w:hAnsi="Arial" w:cs="Arial"/>
      <w:color w:val="2C5060" w:themeColor="accent1"/>
      <w:sz w:val="24"/>
      <w:szCs w:val="24"/>
    </w:rPr>
  </w:style>
  <w:style w:type="character" w:styleId="CommentReference">
    <w:name w:val="annotation reference"/>
    <w:basedOn w:val="DefaultParagraphFont"/>
    <w:uiPriority w:val="99"/>
    <w:semiHidden/>
    <w:unhideWhenUsed/>
    <w:rsid w:val="009A070E"/>
    <w:rPr>
      <w:sz w:val="16"/>
      <w:szCs w:val="16"/>
    </w:rPr>
  </w:style>
  <w:style w:type="paragraph" w:styleId="CommentText">
    <w:name w:val="annotation text"/>
    <w:basedOn w:val="Normal"/>
    <w:link w:val="CommentTextChar"/>
    <w:uiPriority w:val="99"/>
    <w:unhideWhenUsed/>
    <w:rsid w:val="009A070E"/>
    <w:pPr>
      <w:spacing w:line="240" w:lineRule="auto"/>
    </w:pPr>
    <w:rPr>
      <w:sz w:val="20"/>
      <w:szCs w:val="20"/>
    </w:rPr>
  </w:style>
  <w:style w:type="character" w:customStyle="1" w:styleId="CommentTextChar">
    <w:name w:val="Comment Text Char"/>
    <w:basedOn w:val="DefaultParagraphFont"/>
    <w:link w:val="CommentText"/>
    <w:uiPriority w:val="99"/>
    <w:rsid w:val="009A070E"/>
    <w:rPr>
      <w:rFonts w:ascii="Arial" w:hAnsi="Arial"/>
      <w:sz w:val="20"/>
      <w:szCs w:val="20"/>
    </w:rPr>
  </w:style>
  <w:style w:type="paragraph" w:styleId="Header">
    <w:name w:val="header"/>
    <w:basedOn w:val="Normal"/>
    <w:link w:val="HeaderChar"/>
    <w:uiPriority w:val="99"/>
    <w:unhideWhenUsed/>
    <w:rsid w:val="009A0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70E"/>
    <w:rPr>
      <w:rFonts w:ascii="Arial" w:hAnsi="Arial"/>
      <w:sz w:val="24"/>
      <w:szCs w:val="24"/>
    </w:rPr>
  </w:style>
  <w:style w:type="character" w:styleId="Hyperlink">
    <w:name w:val="Hyperlink"/>
    <w:basedOn w:val="DefaultParagraphFont"/>
    <w:uiPriority w:val="99"/>
    <w:unhideWhenUsed/>
    <w:qFormat/>
    <w:rsid w:val="009A070E"/>
    <w:rPr>
      <w:rFonts w:ascii="Arial" w:hAnsi="Arial"/>
      <w:b/>
      <w:color w:val="D5573B" w:themeColor="accent2"/>
      <w:u w:val="single"/>
    </w:rPr>
  </w:style>
  <w:style w:type="paragraph" w:customStyle="1" w:styleId="PageNumber1">
    <w:name w:val="Page Number1"/>
    <w:basedOn w:val="Footer"/>
    <w:link w:val="PagenumberChar"/>
    <w:qFormat/>
    <w:rsid w:val="009A070E"/>
    <w:pPr>
      <w:jc w:val="right"/>
    </w:pPr>
    <w:rPr>
      <w:b/>
      <w:color w:val="2C5060" w:themeColor="accent1"/>
      <w:sz w:val="28"/>
    </w:rPr>
  </w:style>
  <w:style w:type="character" w:customStyle="1" w:styleId="PagenumberChar">
    <w:name w:val="Page number Char"/>
    <w:basedOn w:val="FooterChar"/>
    <w:link w:val="PageNumber1"/>
    <w:rsid w:val="009A070E"/>
    <w:rPr>
      <w:rFonts w:ascii="Arial" w:hAnsi="Arial"/>
      <w:b/>
      <w:color w:val="2C5060" w:themeColor="accent1"/>
      <w:sz w:val="28"/>
      <w:szCs w:val="24"/>
    </w:rPr>
  </w:style>
  <w:style w:type="paragraph" w:styleId="Footer">
    <w:name w:val="footer"/>
    <w:basedOn w:val="Normal"/>
    <w:link w:val="FooterChar"/>
    <w:autoRedefine/>
    <w:uiPriority w:val="99"/>
    <w:unhideWhenUsed/>
    <w:qFormat/>
    <w:rsid w:val="009A070E"/>
    <w:pPr>
      <w:tabs>
        <w:tab w:val="center" w:pos="4513"/>
        <w:tab w:val="right" w:pos="9026"/>
      </w:tabs>
      <w:spacing w:before="120" w:after="0" w:line="240" w:lineRule="auto"/>
    </w:pPr>
    <w:rPr>
      <w:color w:val="D5573B" w:themeColor="accent2"/>
    </w:rPr>
  </w:style>
  <w:style w:type="character" w:customStyle="1" w:styleId="FooterChar">
    <w:name w:val="Footer Char"/>
    <w:basedOn w:val="DefaultParagraphFont"/>
    <w:link w:val="Footer"/>
    <w:uiPriority w:val="99"/>
    <w:rsid w:val="009A070E"/>
    <w:rPr>
      <w:rFonts w:ascii="Arial" w:hAnsi="Arial"/>
      <w:color w:val="D5573B" w:themeColor="accent2"/>
      <w:sz w:val="24"/>
      <w:szCs w:val="24"/>
    </w:rPr>
  </w:style>
  <w:style w:type="paragraph" w:styleId="Revision">
    <w:name w:val="Revision"/>
    <w:hidden/>
    <w:uiPriority w:val="99"/>
    <w:semiHidden/>
    <w:rsid w:val="009A070E"/>
    <w:pPr>
      <w:spacing w:after="0" w:line="240" w:lineRule="auto"/>
    </w:pPr>
    <w:rPr>
      <w:rFonts w:ascii="Arial" w:hAnsi="Arial"/>
      <w:color w:val="000000" w:themeColor="text1"/>
      <w:sz w:val="24"/>
    </w:rPr>
  </w:style>
  <w:style w:type="character" w:styleId="FollowedHyperlink">
    <w:name w:val="FollowedHyperlink"/>
    <w:basedOn w:val="DefaultParagraphFont"/>
    <w:uiPriority w:val="99"/>
    <w:semiHidden/>
    <w:unhideWhenUsed/>
    <w:qFormat/>
    <w:rsid w:val="009A070E"/>
    <w:rPr>
      <w:b/>
      <w:color w:val="323E4F" w:themeColor="text2" w:themeShade="BF"/>
      <w:u w:val="single"/>
    </w:rPr>
  </w:style>
  <w:style w:type="paragraph" w:styleId="CommentSubject">
    <w:name w:val="annotation subject"/>
    <w:basedOn w:val="CommentText"/>
    <w:next w:val="CommentText"/>
    <w:link w:val="CommentSubjectChar"/>
    <w:uiPriority w:val="99"/>
    <w:semiHidden/>
    <w:unhideWhenUsed/>
    <w:rsid w:val="009A070E"/>
    <w:rPr>
      <w:b/>
      <w:bCs/>
    </w:rPr>
  </w:style>
  <w:style w:type="character" w:customStyle="1" w:styleId="CommentSubjectChar">
    <w:name w:val="Comment Subject Char"/>
    <w:basedOn w:val="CommentTextChar"/>
    <w:link w:val="CommentSubject"/>
    <w:uiPriority w:val="99"/>
    <w:semiHidden/>
    <w:rsid w:val="009A070E"/>
    <w:rPr>
      <w:rFonts w:ascii="Arial" w:hAnsi="Arial"/>
      <w:b/>
      <w:bCs/>
      <w:sz w:val="20"/>
      <w:szCs w:val="20"/>
    </w:rPr>
  </w:style>
  <w:style w:type="character" w:customStyle="1" w:styleId="Heading2Char">
    <w:name w:val="Heading 2 Char"/>
    <w:basedOn w:val="DefaultParagraphFont"/>
    <w:link w:val="Heading2"/>
    <w:uiPriority w:val="9"/>
    <w:rsid w:val="0091568B"/>
    <w:rPr>
      <w:rFonts w:ascii="Arial" w:hAnsi="Arial" w:cs="Arial"/>
      <w:b/>
      <w:bCs/>
      <w:color w:val="2C5060" w:themeColor="accent1"/>
      <w:sz w:val="52"/>
      <w:szCs w:val="40"/>
    </w:rPr>
  </w:style>
  <w:style w:type="character" w:customStyle="1" w:styleId="Heading3Char">
    <w:name w:val="Heading 3 Char"/>
    <w:basedOn w:val="DefaultParagraphFont"/>
    <w:link w:val="Heading3"/>
    <w:uiPriority w:val="9"/>
    <w:rsid w:val="007A469B"/>
    <w:rPr>
      <w:rFonts w:ascii="Arial" w:hAnsi="Arial" w:cs="Arial"/>
      <w:kern w:val="2"/>
      <w:sz w:val="36"/>
      <w:szCs w:val="28"/>
      <w14:ligatures w14:val="standardContextual"/>
    </w:rPr>
  </w:style>
  <w:style w:type="character" w:customStyle="1" w:styleId="Heading4Char">
    <w:name w:val="Heading 4 Char"/>
    <w:basedOn w:val="DefaultParagraphFont"/>
    <w:link w:val="Heading4"/>
    <w:uiPriority w:val="9"/>
    <w:rsid w:val="009A070E"/>
    <w:rPr>
      <w:rFonts w:ascii="Arial" w:hAnsi="Arial" w:cstheme="minorHAnsi"/>
      <w:b/>
      <w:color w:val="5C5B5A"/>
      <w:sz w:val="28"/>
      <w:szCs w:val="24"/>
    </w:rPr>
  </w:style>
  <w:style w:type="character" w:customStyle="1" w:styleId="Heading5Char">
    <w:name w:val="Heading 5 Char"/>
    <w:basedOn w:val="DefaultParagraphFont"/>
    <w:link w:val="Heading5"/>
    <w:uiPriority w:val="9"/>
    <w:rsid w:val="009A070E"/>
    <w:rPr>
      <w:rFonts w:ascii="Arial" w:hAnsi="Arial" w:cs="Arial"/>
      <w:b/>
      <w:bCs/>
      <w:color w:val="5C5B5A"/>
      <w:sz w:val="24"/>
      <w:szCs w:val="24"/>
    </w:rPr>
  </w:style>
  <w:style w:type="paragraph" w:styleId="NoSpacing">
    <w:name w:val="No Spacing"/>
    <w:link w:val="NoSpacingChar"/>
    <w:autoRedefine/>
    <w:uiPriority w:val="1"/>
    <w:qFormat/>
    <w:rsid w:val="009A070E"/>
    <w:pPr>
      <w:spacing w:after="0" w:line="240" w:lineRule="auto"/>
    </w:pPr>
    <w:rPr>
      <w:rFonts w:ascii="Arial" w:hAnsi="Arial"/>
      <w:color w:val="262626" w:themeColor="text1" w:themeTint="D9"/>
      <w:sz w:val="24"/>
      <w:szCs w:val="24"/>
    </w:rPr>
  </w:style>
  <w:style w:type="paragraph" w:styleId="Title">
    <w:name w:val="Title"/>
    <w:basedOn w:val="Normal"/>
    <w:next w:val="Normal"/>
    <w:link w:val="TitleChar"/>
    <w:uiPriority w:val="10"/>
    <w:qFormat/>
    <w:rsid w:val="009A070E"/>
    <w:pPr>
      <w:spacing w:after="280" w:line="780" w:lineRule="exact"/>
    </w:pPr>
    <w:rPr>
      <w:color w:val="FFFFFF" w:themeColor="background1"/>
      <w:sz w:val="65"/>
      <w:szCs w:val="65"/>
    </w:rPr>
  </w:style>
  <w:style w:type="character" w:customStyle="1" w:styleId="TitleChar">
    <w:name w:val="Title Char"/>
    <w:basedOn w:val="DefaultParagraphFont"/>
    <w:link w:val="Title"/>
    <w:uiPriority w:val="10"/>
    <w:rsid w:val="009A070E"/>
    <w:rPr>
      <w:color w:val="FFFFFF" w:themeColor="background1"/>
      <w:sz w:val="65"/>
      <w:szCs w:val="65"/>
    </w:rPr>
  </w:style>
  <w:style w:type="paragraph" w:customStyle="1" w:styleId="Whitecoverelement">
    <w:name w:val="White cover element"/>
    <w:basedOn w:val="Normal"/>
    <w:link w:val="WhitecoverelementChar"/>
    <w:autoRedefine/>
    <w:rsid w:val="009A070E"/>
    <w:rPr>
      <w:b/>
      <w:color w:val="FFFFFF" w:themeColor="background1"/>
      <w:sz w:val="36"/>
    </w:rPr>
  </w:style>
  <w:style w:type="character" w:customStyle="1" w:styleId="WhitecoverelementChar">
    <w:name w:val="White cover element Char"/>
    <w:basedOn w:val="DefaultParagraphFont"/>
    <w:link w:val="Whitecoverelement"/>
    <w:rsid w:val="009A070E"/>
    <w:rPr>
      <w:rFonts w:ascii="Arial" w:hAnsi="Arial"/>
      <w:b/>
      <w:color w:val="FFFFFF" w:themeColor="background1"/>
      <w:sz w:val="36"/>
      <w:szCs w:val="24"/>
    </w:rPr>
  </w:style>
  <w:style w:type="paragraph" w:customStyle="1" w:styleId="Whitesmall">
    <w:name w:val="White small"/>
    <w:basedOn w:val="Normal"/>
    <w:link w:val="WhitesmallChar"/>
    <w:autoRedefine/>
    <w:rsid w:val="009A070E"/>
    <w:rPr>
      <w:color w:val="FFFFFF" w:themeColor="background1"/>
      <w:sz w:val="32"/>
    </w:rPr>
  </w:style>
  <w:style w:type="character" w:customStyle="1" w:styleId="WhitesmallChar">
    <w:name w:val="White small Char"/>
    <w:basedOn w:val="DefaultParagraphFont"/>
    <w:link w:val="Whitesmall"/>
    <w:rsid w:val="009A070E"/>
    <w:rPr>
      <w:rFonts w:ascii="Arial" w:hAnsi="Arial"/>
      <w:color w:val="FFFFFF" w:themeColor="background1"/>
      <w:sz w:val="32"/>
      <w:szCs w:val="24"/>
    </w:rPr>
  </w:style>
  <w:style w:type="character" w:styleId="FootnoteReference">
    <w:name w:val="footnote reference"/>
    <w:basedOn w:val="DefaultParagraphFont"/>
    <w:uiPriority w:val="99"/>
    <w:unhideWhenUsed/>
    <w:qFormat/>
    <w:rsid w:val="009A070E"/>
    <w:rPr>
      <w:rFonts w:ascii="Arial" w:hAnsi="Arial"/>
      <w:sz w:val="24"/>
      <w:bdr w:val="none" w:sz="0" w:space="0" w:color="auto"/>
      <w:vertAlign w:val="superscript"/>
    </w:rPr>
  </w:style>
  <w:style w:type="paragraph" w:styleId="BalloonText">
    <w:name w:val="Balloon Text"/>
    <w:basedOn w:val="Normal"/>
    <w:link w:val="BalloonTextChar"/>
    <w:uiPriority w:val="99"/>
    <w:semiHidden/>
    <w:unhideWhenUsed/>
    <w:rsid w:val="009A0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70E"/>
    <w:rPr>
      <w:rFonts w:ascii="Segoe UI" w:hAnsi="Segoe UI" w:cs="Segoe UI"/>
      <w:sz w:val="18"/>
      <w:szCs w:val="18"/>
    </w:rPr>
  </w:style>
  <w:style w:type="paragraph" w:customStyle="1" w:styleId="Default">
    <w:name w:val="Default"/>
    <w:rsid w:val="009A070E"/>
    <w:pPr>
      <w:autoSpaceDE w:val="0"/>
      <w:autoSpaceDN w:val="0"/>
      <w:adjustRightInd w:val="0"/>
      <w:spacing w:after="0" w:line="240" w:lineRule="auto"/>
    </w:pPr>
    <w:rPr>
      <w:rFonts w:ascii="FGAZL W+ Colfax" w:hAnsi="FGAZL W+ Colfax" w:cs="FGAZL W+ Colfax"/>
      <w:color w:val="000000"/>
      <w:sz w:val="24"/>
      <w:szCs w:val="24"/>
    </w:rPr>
  </w:style>
  <w:style w:type="character" w:styleId="EndnoteReference">
    <w:name w:val="endnote reference"/>
    <w:basedOn w:val="DefaultParagraphFont"/>
    <w:uiPriority w:val="99"/>
    <w:semiHidden/>
    <w:unhideWhenUsed/>
    <w:rsid w:val="009A070E"/>
    <w:rPr>
      <w:vertAlign w:val="superscript"/>
    </w:rPr>
  </w:style>
  <w:style w:type="paragraph" w:styleId="EndnoteText">
    <w:name w:val="endnote text"/>
    <w:basedOn w:val="Normal"/>
    <w:link w:val="EndnoteTextChar"/>
    <w:uiPriority w:val="99"/>
    <w:semiHidden/>
    <w:unhideWhenUsed/>
    <w:rsid w:val="009A07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070E"/>
    <w:rPr>
      <w:rFonts w:ascii="Arial" w:hAnsi="Arial"/>
      <w:sz w:val="20"/>
      <w:szCs w:val="20"/>
    </w:rPr>
  </w:style>
  <w:style w:type="character" w:customStyle="1" w:styleId="eop">
    <w:name w:val="eop"/>
    <w:basedOn w:val="DefaultParagraphFont"/>
    <w:rsid w:val="009A070E"/>
  </w:style>
  <w:style w:type="paragraph" w:styleId="FootnoteText">
    <w:name w:val="footnote text"/>
    <w:basedOn w:val="Normal"/>
    <w:link w:val="FootnoteTextChar"/>
    <w:uiPriority w:val="99"/>
    <w:unhideWhenUsed/>
    <w:rsid w:val="009A070E"/>
    <w:pPr>
      <w:spacing w:after="0" w:line="240" w:lineRule="auto"/>
    </w:pPr>
    <w:rPr>
      <w:sz w:val="20"/>
      <w:szCs w:val="20"/>
    </w:rPr>
  </w:style>
  <w:style w:type="character" w:customStyle="1" w:styleId="FootnoteTextChar">
    <w:name w:val="Footnote Text Char"/>
    <w:basedOn w:val="DefaultParagraphFont"/>
    <w:link w:val="FootnoteText"/>
    <w:uiPriority w:val="99"/>
    <w:rsid w:val="009A070E"/>
    <w:rPr>
      <w:rFonts w:ascii="Arial" w:hAnsi="Arial"/>
      <w:sz w:val="20"/>
      <w:szCs w:val="20"/>
    </w:rPr>
  </w:style>
  <w:style w:type="paragraph" w:styleId="NormalWeb">
    <w:name w:val="Normal (Web)"/>
    <w:aliases w:val="Numbered paragraphs"/>
    <w:basedOn w:val="Normal"/>
    <w:autoRedefine/>
    <w:uiPriority w:val="99"/>
    <w:unhideWhenUsed/>
    <w:rsid w:val="009A070E"/>
    <w:pPr>
      <w:numPr>
        <w:numId w:val="22"/>
      </w:numPr>
      <w:shd w:val="clear" w:color="auto" w:fill="FFFFFF"/>
      <w:spacing w:after="225"/>
    </w:pPr>
    <w:rPr>
      <w:rFonts w:eastAsia="Times New Roman"/>
      <w:lang w:eastAsia="en-GB"/>
    </w:rPr>
  </w:style>
  <w:style w:type="character" w:customStyle="1" w:styleId="normaltextrun">
    <w:name w:val="normaltextrun"/>
    <w:basedOn w:val="DefaultParagraphFont"/>
    <w:rsid w:val="009A070E"/>
  </w:style>
  <w:style w:type="paragraph" w:customStyle="1" w:styleId="paragraph">
    <w:name w:val="paragraph"/>
    <w:basedOn w:val="Normal"/>
    <w:rsid w:val="009A070E"/>
    <w:pPr>
      <w:spacing w:before="100" w:beforeAutospacing="1" w:after="100" w:afterAutospacing="1" w:line="240" w:lineRule="auto"/>
    </w:pPr>
    <w:rPr>
      <w:rFonts w:ascii="Times New Roman" w:eastAsia="Times New Roman" w:hAnsi="Times New Roman"/>
      <w:lang w:eastAsia="en-GB"/>
    </w:rPr>
  </w:style>
  <w:style w:type="table" w:styleId="PlainTable1">
    <w:name w:val="Plain Table 1"/>
    <w:basedOn w:val="TableNormal"/>
    <w:uiPriority w:val="41"/>
    <w:rsid w:val="009A070E"/>
    <w:pPr>
      <w:spacing w:after="0" w:line="240" w:lineRule="auto"/>
    </w:pPr>
    <w:rPr>
      <w:rFonts w:ascii="Arial" w:hAnsi="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rsid w:val="009A070E"/>
    <w:rPr>
      <w:b/>
      <w:bCs/>
    </w:rPr>
  </w:style>
  <w:style w:type="paragraph" w:styleId="Subtitle">
    <w:name w:val="Subtitle"/>
    <w:basedOn w:val="Normal"/>
    <w:next w:val="Normal"/>
    <w:link w:val="SubtitleChar"/>
    <w:uiPriority w:val="11"/>
    <w:qFormat/>
    <w:rsid w:val="009A070E"/>
    <w:rPr>
      <w:b/>
      <w:bCs/>
      <w:color w:val="FFFFFF" w:themeColor="background1"/>
      <w:sz w:val="32"/>
      <w:szCs w:val="28"/>
    </w:rPr>
  </w:style>
  <w:style w:type="character" w:customStyle="1" w:styleId="SubtitleChar">
    <w:name w:val="Subtitle Char"/>
    <w:basedOn w:val="DefaultParagraphFont"/>
    <w:link w:val="Subtitle"/>
    <w:uiPriority w:val="11"/>
    <w:rsid w:val="009A070E"/>
    <w:rPr>
      <w:rFonts w:ascii="Arial" w:hAnsi="Arial"/>
      <w:b/>
      <w:bCs/>
      <w:color w:val="FFFFFF" w:themeColor="background1"/>
      <w:sz w:val="32"/>
      <w:szCs w:val="28"/>
    </w:rPr>
  </w:style>
  <w:style w:type="paragraph" w:styleId="TOC1">
    <w:name w:val="toc 1"/>
    <w:basedOn w:val="Normal"/>
    <w:next w:val="Normal"/>
    <w:autoRedefine/>
    <w:uiPriority w:val="39"/>
    <w:unhideWhenUsed/>
    <w:rsid w:val="009A070E"/>
    <w:pPr>
      <w:tabs>
        <w:tab w:val="right" w:leader="dot" w:pos="9016"/>
      </w:tabs>
      <w:spacing w:after="100"/>
    </w:pPr>
    <w:rPr>
      <w:rFonts w:eastAsiaTheme="minorEastAsia"/>
      <w:bCs/>
      <w:noProof/>
      <w:lang w:val="en-US"/>
    </w:rPr>
  </w:style>
  <w:style w:type="paragraph" w:styleId="TOC2">
    <w:name w:val="toc 2"/>
    <w:basedOn w:val="Normal"/>
    <w:next w:val="Normal"/>
    <w:autoRedefine/>
    <w:uiPriority w:val="39"/>
    <w:unhideWhenUsed/>
    <w:rsid w:val="009A070E"/>
    <w:pPr>
      <w:spacing w:after="100"/>
    </w:pPr>
    <w:rPr>
      <w:rFonts w:eastAsiaTheme="minorEastAsia"/>
      <w:lang w:val="en-US"/>
    </w:rPr>
  </w:style>
  <w:style w:type="paragraph" w:styleId="TOC3">
    <w:name w:val="toc 3"/>
    <w:basedOn w:val="Normal"/>
    <w:next w:val="Normal"/>
    <w:autoRedefine/>
    <w:uiPriority w:val="39"/>
    <w:unhideWhenUsed/>
    <w:rsid w:val="009A070E"/>
    <w:pPr>
      <w:spacing w:after="100"/>
    </w:pPr>
    <w:rPr>
      <w:rFonts w:eastAsiaTheme="minorEastAsia"/>
      <w:lang w:val="en-US"/>
    </w:rPr>
  </w:style>
  <w:style w:type="paragraph" w:styleId="TOCHeading">
    <w:name w:val="TOC Heading"/>
    <w:basedOn w:val="Heading1"/>
    <w:next w:val="Normal"/>
    <w:uiPriority w:val="39"/>
    <w:unhideWhenUsed/>
    <w:rsid w:val="009A070E"/>
    <w:pPr>
      <w:outlineLvl w:val="9"/>
    </w:pPr>
    <w:rPr>
      <w:rFonts w:asciiTheme="majorHAnsi" w:hAnsiTheme="majorHAnsi" w:cstheme="majorBidi"/>
      <w:b w:val="0"/>
      <w:bCs w:val="0"/>
      <w:noProof w:val="0"/>
      <w:color w:val="213B47" w:themeColor="accent1" w:themeShade="BF"/>
      <w:sz w:val="32"/>
      <w:lang w:val="en-US"/>
    </w:rPr>
  </w:style>
  <w:style w:type="character" w:styleId="UnresolvedMention">
    <w:name w:val="Unresolved Mention"/>
    <w:basedOn w:val="DefaultParagraphFont"/>
    <w:uiPriority w:val="99"/>
    <w:semiHidden/>
    <w:unhideWhenUsed/>
    <w:rsid w:val="009A070E"/>
    <w:rPr>
      <w:color w:val="605E5C"/>
      <w:shd w:val="clear" w:color="auto" w:fill="E1DFDD"/>
    </w:rPr>
  </w:style>
  <w:style w:type="table" w:customStyle="1" w:styleId="Katestable">
    <w:name w:val="Kate's table"/>
    <w:basedOn w:val="TableNormal"/>
    <w:uiPriority w:val="99"/>
    <w:rsid w:val="009A070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lineimageindent">
    <w:name w:val="Inline image indent"/>
    <w:basedOn w:val="Normal"/>
    <w:link w:val="InlineimageindentChar"/>
    <w:autoRedefine/>
    <w:rsid w:val="009A070E"/>
    <w:pPr>
      <w:ind w:left="709"/>
    </w:pPr>
    <w:rPr>
      <w:rFonts w:cs="Arial"/>
    </w:rPr>
  </w:style>
  <w:style w:type="character" w:customStyle="1" w:styleId="InlineimageindentChar">
    <w:name w:val="Inline image indent Char"/>
    <w:basedOn w:val="DefaultParagraphFont"/>
    <w:link w:val="Inlineimageindent"/>
    <w:rsid w:val="009A070E"/>
    <w:rPr>
      <w:rFonts w:ascii="Arial" w:hAnsi="Arial" w:cs="Arial"/>
      <w:sz w:val="24"/>
      <w:szCs w:val="24"/>
    </w:rPr>
  </w:style>
  <w:style w:type="paragraph" w:styleId="BodyText">
    <w:name w:val="Body Text"/>
    <w:basedOn w:val="Normal"/>
    <w:link w:val="BodyTextChar"/>
    <w:uiPriority w:val="99"/>
    <w:semiHidden/>
    <w:unhideWhenUsed/>
    <w:rsid w:val="009A070E"/>
    <w:pPr>
      <w:spacing w:after="120"/>
    </w:pPr>
  </w:style>
  <w:style w:type="character" w:customStyle="1" w:styleId="BodyTextChar">
    <w:name w:val="Body Text Char"/>
    <w:basedOn w:val="DefaultParagraphFont"/>
    <w:link w:val="BodyText"/>
    <w:uiPriority w:val="99"/>
    <w:semiHidden/>
    <w:rsid w:val="009A070E"/>
    <w:rPr>
      <w:rFonts w:ascii="Arial" w:hAnsi="Arial"/>
      <w:sz w:val="24"/>
      <w:szCs w:val="24"/>
    </w:rPr>
  </w:style>
  <w:style w:type="character" w:customStyle="1" w:styleId="NoSpacingChar">
    <w:name w:val="No Spacing Char"/>
    <w:basedOn w:val="DefaultParagraphFont"/>
    <w:link w:val="NoSpacing"/>
    <w:uiPriority w:val="1"/>
    <w:rsid w:val="009A070E"/>
    <w:rPr>
      <w:rFonts w:ascii="Arial" w:hAnsi="Arial"/>
      <w:color w:val="262626" w:themeColor="text1" w:themeTint="D9"/>
      <w:sz w:val="24"/>
      <w:szCs w:val="24"/>
    </w:rPr>
  </w:style>
  <w:style w:type="table" w:customStyle="1" w:styleId="KL-table">
    <w:name w:val="KL-table"/>
    <w:basedOn w:val="TableNormal"/>
    <w:uiPriority w:val="99"/>
    <w:rsid w:val="009A070E"/>
    <w:pPr>
      <w:spacing w:after="0" w:line="240" w:lineRule="auto"/>
    </w:pPr>
    <w:rPr>
      <w:rFonts w:ascii="Arial" w:hAnsi="Arial"/>
      <w:sz w:val="24"/>
      <w:szCs w:val="24"/>
    </w:rPr>
    <w:tblPr/>
  </w:style>
  <w:style w:type="table" w:styleId="GridTable5Dark-Accent1">
    <w:name w:val="Grid Table 5 Dark Accent 1"/>
    <w:basedOn w:val="TableNormal"/>
    <w:uiPriority w:val="50"/>
    <w:rsid w:val="009A07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0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0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0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060" w:themeFill="accent1"/>
      </w:tcPr>
    </w:tblStylePr>
    <w:tblStylePr w:type="band1Vert">
      <w:tblPr/>
      <w:tcPr>
        <w:shd w:val="clear" w:color="auto" w:fill="99BFD0" w:themeFill="accent1" w:themeFillTint="66"/>
      </w:tcPr>
    </w:tblStylePr>
    <w:tblStylePr w:type="band1Horz">
      <w:tblPr/>
      <w:tcPr>
        <w:shd w:val="clear" w:color="auto" w:fill="99BFD0" w:themeFill="accent1" w:themeFillTint="66"/>
      </w:tcPr>
    </w:tblStylePr>
  </w:style>
  <w:style w:type="paragraph" w:customStyle="1" w:styleId="Frontpagesub-title">
    <w:name w:val="Front page sub-title"/>
    <w:basedOn w:val="Normal"/>
    <w:link w:val="Frontpagesub-titleChar"/>
    <w:autoRedefine/>
    <w:qFormat/>
    <w:rsid w:val="00153D20"/>
    <w:pPr>
      <w:spacing w:before="1200" w:line="240" w:lineRule="auto"/>
      <w:contextualSpacing/>
    </w:pPr>
    <w:rPr>
      <w:color w:val="FFFFFF" w:themeColor="background1"/>
      <w:sz w:val="36"/>
      <w:szCs w:val="32"/>
    </w:rPr>
  </w:style>
  <w:style w:type="character" w:customStyle="1" w:styleId="Frontpagesub-titleChar">
    <w:name w:val="Front page sub-title Char"/>
    <w:basedOn w:val="DefaultParagraphFont"/>
    <w:link w:val="Frontpagesub-title"/>
    <w:rsid w:val="00153D20"/>
    <w:rPr>
      <w:color w:val="FFFFFF" w:themeColor="background1"/>
      <w:kern w:val="2"/>
      <w:sz w:val="36"/>
      <w:szCs w:val="32"/>
      <w14:ligatures w14:val="standardContextual"/>
    </w:rPr>
  </w:style>
  <w:style w:type="paragraph" w:customStyle="1" w:styleId="pf0">
    <w:name w:val="pf0"/>
    <w:basedOn w:val="Normal"/>
    <w:rsid w:val="00DC4CE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DC4CE1"/>
    <w:rPr>
      <w:rFonts w:ascii="Segoe UI" w:hAnsi="Segoe UI" w:cs="Segoe UI" w:hint="default"/>
      <w:sz w:val="18"/>
      <w:szCs w:val="18"/>
    </w:rPr>
  </w:style>
  <w:style w:type="table" w:styleId="GridTable2-Accent1">
    <w:name w:val="Grid Table 2 Accent 1"/>
    <w:basedOn w:val="TableNormal"/>
    <w:uiPriority w:val="47"/>
    <w:rsid w:val="008518CE"/>
    <w:pPr>
      <w:spacing w:after="0" w:line="240" w:lineRule="auto"/>
    </w:pPr>
    <w:tblPr>
      <w:tblStyleRowBandSize w:val="1"/>
      <w:tblStyleColBandSize w:val="1"/>
      <w:tblBorders>
        <w:top w:val="single" w:sz="2" w:space="0" w:color="669FB9" w:themeColor="accent1" w:themeTint="99"/>
        <w:bottom w:val="single" w:sz="2" w:space="0" w:color="669FB9" w:themeColor="accent1" w:themeTint="99"/>
        <w:insideH w:val="single" w:sz="2" w:space="0" w:color="669FB9" w:themeColor="accent1" w:themeTint="99"/>
        <w:insideV w:val="single" w:sz="2" w:space="0" w:color="669FB9" w:themeColor="accent1" w:themeTint="99"/>
      </w:tblBorders>
    </w:tblPr>
    <w:tblStylePr w:type="firstRow">
      <w:rPr>
        <w:b/>
        <w:bCs/>
      </w:rPr>
      <w:tblPr/>
      <w:tcPr>
        <w:tcBorders>
          <w:top w:val="nil"/>
          <w:bottom w:val="single" w:sz="12" w:space="0" w:color="669FB9" w:themeColor="accent1" w:themeTint="99"/>
          <w:insideH w:val="nil"/>
          <w:insideV w:val="nil"/>
        </w:tcBorders>
        <w:shd w:val="clear" w:color="auto" w:fill="FFFFFF" w:themeFill="background1"/>
      </w:tcPr>
    </w:tblStylePr>
    <w:tblStylePr w:type="lastRow">
      <w:rPr>
        <w:b/>
        <w:bCs/>
      </w:rPr>
      <w:tblPr/>
      <w:tcPr>
        <w:tcBorders>
          <w:top w:val="double" w:sz="2" w:space="0" w:color="669F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TableGridLight">
    <w:name w:val="Grid Table Light"/>
    <w:basedOn w:val="TableNormal"/>
    <w:uiPriority w:val="40"/>
    <w:rsid w:val="00EF1F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55935">
      <w:bodyDiv w:val="1"/>
      <w:marLeft w:val="0"/>
      <w:marRight w:val="0"/>
      <w:marTop w:val="0"/>
      <w:marBottom w:val="0"/>
      <w:divBdr>
        <w:top w:val="none" w:sz="0" w:space="0" w:color="auto"/>
        <w:left w:val="none" w:sz="0" w:space="0" w:color="auto"/>
        <w:bottom w:val="none" w:sz="0" w:space="0" w:color="auto"/>
        <w:right w:val="none" w:sz="0" w:space="0" w:color="auto"/>
      </w:divBdr>
    </w:div>
    <w:div w:id="158231116">
      <w:bodyDiv w:val="1"/>
      <w:marLeft w:val="0"/>
      <w:marRight w:val="0"/>
      <w:marTop w:val="0"/>
      <w:marBottom w:val="0"/>
      <w:divBdr>
        <w:top w:val="none" w:sz="0" w:space="0" w:color="auto"/>
        <w:left w:val="none" w:sz="0" w:space="0" w:color="auto"/>
        <w:bottom w:val="none" w:sz="0" w:space="0" w:color="auto"/>
        <w:right w:val="none" w:sz="0" w:space="0" w:color="auto"/>
      </w:divBdr>
    </w:div>
    <w:div w:id="394863332">
      <w:bodyDiv w:val="1"/>
      <w:marLeft w:val="0"/>
      <w:marRight w:val="0"/>
      <w:marTop w:val="0"/>
      <w:marBottom w:val="0"/>
      <w:divBdr>
        <w:top w:val="none" w:sz="0" w:space="0" w:color="auto"/>
        <w:left w:val="none" w:sz="0" w:space="0" w:color="auto"/>
        <w:bottom w:val="none" w:sz="0" w:space="0" w:color="auto"/>
        <w:right w:val="none" w:sz="0" w:space="0" w:color="auto"/>
      </w:divBdr>
    </w:div>
    <w:div w:id="419102792">
      <w:bodyDiv w:val="1"/>
      <w:marLeft w:val="0"/>
      <w:marRight w:val="0"/>
      <w:marTop w:val="0"/>
      <w:marBottom w:val="0"/>
      <w:divBdr>
        <w:top w:val="none" w:sz="0" w:space="0" w:color="auto"/>
        <w:left w:val="none" w:sz="0" w:space="0" w:color="auto"/>
        <w:bottom w:val="none" w:sz="0" w:space="0" w:color="auto"/>
        <w:right w:val="none" w:sz="0" w:space="0" w:color="auto"/>
      </w:divBdr>
    </w:div>
    <w:div w:id="881136778">
      <w:bodyDiv w:val="1"/>
      <w:marLeft w:val="0"/>
      <w:marRight w:val="0"/>
      <w:marTop w:val="0"/>
      <w:marBottom w:val="0"/>
      <w:divBdr>
        <w:top w:val="none" w:sz="0" w:space="0" w:color="auto"/>
        <w:left w:val="none" w:sz="0" w:space="0" w:color="auto"/>
        <w:bottom w:val="none" w:sz="0" w:space="0" w:color="auto"/>
        <w:right w:val="none" w:sz="0" w:space="0" w:color="auto"/>
      </w:divBdr>
    </w:div>
    <w:div w:id="1295402730">
      <w:bodyDiv w:val="1"/>
      <w:marLeft w:val="0"/>
      <w:marRight w:val="0"/>
      <w:marTop w:val="0"/>
      <w:marBottom w:val="0"/>
      <w:divBdr>
        <w:top w:val="none" w:sz="0" w:space="0" w:color="auto"/>
        <w:left w:val="none" w:sz="0" w:space="0" w:color="auto"/>
        <w:bottom w:val="none" w:sz="0" w:space="0" w:color="auto"/>
        <w:right w:val="none" w:sz="0" w:space="0" w:color="auto"/>
      </w:divBdr>
    </w:div>
    <w:div w:id="1507746599">
      <w:bodyDiv w:val="1"/>
      <w:marLeft w:val="0"/>
      <w:marRight w:val="0"/>
      <w:marTop w:val="0"/>
      <w:marBottom w:val="0"/>
      <w:divBdr>
        <w:top w:val="none" w:sz="0" w:space="0" w:color="auto"/>
        <w:left w:val="none" w:sz="0" w:space="0" w:color="auto"/>
        <w:bottom w:val="none" w:sz="0" w:space="0" w:color="auto"/>
        <w:right w:val="none" w:sz="0" w:space="0" w:color="auto"/>
      </w:divBdr>
    </w:div>
    <w:div w:id="1536235186">
      <w:bodyDiv w:val="1"/>
      <w:marLeft w:val="0"/>
      <w:marRight w:val="0"/>
      <w:marTop w:val="0"/>
      <w:marBottom w:val="0"/>
      <w:divBdr>
        <w:top w:val="none" w:sz="0" w:space="0" w:color="auto"/>
        <w:left w:val="none" w:sz="0" w:space="0" w:color="auto"/>
        <w:bottom w:val="none" w:sz="0" w:space="0" w:color="auto"/>
        <w:right w:val="none" w:sz="0" w:space="0" w:color="auto"/>
      </w:divBdr>
    </w:div>
    <w:div w:id="1689409758">
      <w:bodyDiv w:val="1"/>
      <w:marLeft w:val="0"/>
      <w:marRight w:val="0"/>
      <w:marTop w:val="0"/>
      <w:marBottom w:val="0"/>
      <w:divBdr>
        <w:top w:val="none" w:sz="0" w:space="0" w:color="auto"/>
        <w:left w:val="none" w:sz="0" w:space="0" w:color="auto"/>
        <w:bottom w:val="none" w:sz="0" w:space="0" w:color="auto"/>
        <w:right w:val="none" w:sz="0" w:space="0" w:color="auto"/>
      </w:divBdr>
    </w:div>
    <w:div w:id="171881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ns.gov.uk/releases/housingcensus2021inenglandandwales" TargetMode="External"/><Relationship Id="rId18" Type="http://schemas.openxmlformats.org/officeDocument/2006/relationships/hyperlink" Target="https://www.nomisweb.co.uk/sources/census_202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ons.gov.uk/datasets/RM200/editions/2021/versions/1" TargetMode="External"/><Relationship Id="rId7" Type="http://schemas.openxmlformats.org/officeDocument/2006/relationships/settings" Target="settings.xml"/><Relationship Id="rId12" Type="http://schemas.openxmlformats.org/officeDocument/2006/relationships/hyperlink" Target="https://www.ons.gov.uk/releases/housingcensus2021inenglandandwales" TargetMode="External"/><Relationship Id="rId17" Type="http://schemas.openxmlformats.org/officeDocument/2006/relationships/hyperlink" Target="https://www.ons.gov.uk/datasets/RM200/editions/2021/versions/1" TargetMode="External"/><Relationship Id="rId25" Type="http://schemas.openxmlformats.org/officeDocument/2006/relationships/hyperlink" Target="https://www.nomisweb.co.uk/sources/census_202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ns.gov.uk/datasets/RM200/editions/2021/versions/1"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nomisweb.co.uk/sources/census_202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orporate Colours - GMCA">
      <a:dk1>
        <a:sysClr val="windowText" lastClr="000000"/>
      </a:dk1>
      <a:lt1>
        <a:sysClr val="window" lastClr="FFFFFF"/>
      </a:lt1>
      <a:dk2>
        <a:srgbClr val="44546A"/>
      </a:dk2>
      <a:lt2>
        <a:srgbClr val="E7E6E6"/>
      </a:lt2>
      <a:accent1>
        <a:srgbClr val="2C5060"/>
      </a:accent1>
      <a:accent2>
        <a:srgbClr val="D5573B"/>
      </a:accent2>
      <a:accent3>
        <a:srgbClr val="8D9293"/>
      </a:accent3>
      <a:accent4>
        <a:srgbClr val="95A17E"/>
      </a:accent4>
      <a:accent5>
        <a:srgbClr val="D5C5C8"/>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6e983a-f1d7-4d3c-91db-252f29f3e159">
      <Terms xmlns="http://schemas.microsoft.com/office/infopath/2007/PartnerControls"/>
    </lcf76f155ced4ddcb4097134ff3c332f>
    <_ip_UnifiedCompliancePolicyUIAction xmlns="http://schemas.microsoft.com/sharepoint/v3" xsi:nil="true"/>
    <TaxCatchAll xmlns="2e35a3c0-6932-4795-bc29-a2b24e509738"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18" ma:contentTypeDescription="Create a new document." ma:contentTypeScope="" ma:versionID="e7330d75805c6de7540ed961e9006a17">
  <xsd:schema xmlns:xsd="http://www.w3.org/2001/XMLSchema" xmlns:xs="http://www.w3.org/2001/XMLSchema" xmlns:p="http://schemas.microsoft.com/office/2006/metadata/properties" xmlns:ns1="http://schemas.microsoft.com/sharepoint/v3" xmlns:ns2="066e983a-f1d7-4d3c-91db-252f29f3e159" xmlns:ns3="2e35a3c0-6932-4795-bc29-a2b24e509738" targetNamespace="http://schemas.microsoft.com/office/2006/metadata/properties" ma:root="true" ma:fieldsID="7ef6cc727cb884e4b2fe2387fab48d28" ns1:_="" ns2:_="" ns3:_="">
    <xsd:import namespace="http://schemas.microsoft.com/sharepoint/v3"/>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1f7bd27-d9e4-4e62-be6c-eaf418590226}"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987E2-D33B-44BA-98B0-5EF3668E9A72}">
  <ds:schemaRefs>
    <ds:schemaRef ds:uri="http://schemas.microsoft.com/sharepoint/v3/contenttype/forms"/>
  </ds:schemaRefs>
</ds:datastoreItem>
</file>

<file path=customXml/itemProps2.xml><?xml version="1.0" encoding="utf-8"?>
<ds:datastoreItem xmlns:ds="http://schemas.openxmlformats.org/officeDocument/2006/customXml" ds:itemID="{081F4DF2-493F-49D8-95B0-ACA97CAD4612}">
  <ds:schemaRefs>
    <ds:schemaRef ds:uri="http://schemas.microsoft.com/office/2006/metadata/properties"/>
    <ds:schemaRef ds:uri="http://schemas.microsoft.com/office/infopath/2007/PartnerControls"/>
    <ds:schemaRef ds:uri="066e983a-f1d7-4d3c-91db-252f29f3e159"/>
    <ds:schemaRef ds:uri="http://schemas.microsoft.com/sharepoint/v3"/>
    <ds:schemaRef ds:uri="2e35a3c0-6932-4795-bc29-a2b24e509738"/>
  </ds:schemaRefs>
</ds:datastoreItem>
</file>

<file path=customXml/itemProps3.xml><?xml version="1.0" encoding="utf-8"?>
<ds:datastoreItem xmlns:ds="http://schemas.openxmlformats.org/officeDocument/2006/customXml" ds:itemID="{268EF0EE-AFE3-4CE6-820D-B22B949A5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D1B3CA-8735-4730-992F-778E94FC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1473</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CharactersWithSpaces>
  <SharedDoc>false</SharedDoc>
  <HLinks>
    <vt:vector size="42" baseType="variant">
      <vt:variant>
        <vt:i4>5046396</vt:i4>
      </vt:variant>
      <vt:variant>
        <vt:i4>15</vt:i4>
      </vt:variant>
      <vt:variant>
        <vt:i4>0</vt:i4>
      </vt:variant>
      <vt:variant>
        <vt:i4>5</vt:i4>
      </vt:variant>
      <vt:variant>
        <vt:lpwstr>https://www.nomisweb.co.uk/sources/census_2021</vt:lpwstr>
      </vt:variant>
      <vt:variant>
        <vt:lpwstr/>
      </vt:variant>
      <vt:variant>
        <vt:i4>7340152</vt:i4>
      </vt:variant>
      <vt:variant>
        <vt:i4>12</vt:i4>
      </vt:variant>
      <vt:variant>
        <vt:i4>0</vt:i4>
      </vt:variant>
      <vt:variant>
        <vt:i4>5</vt:i4>
      </vt:variant>
      <vt:variant>
        <vt:lpwstr>https://www.ons.gov.uk/datasets/RM200/editions/2021/versions/1</vt:lpwstr>
      </vt:variant>
      <vt:variant>
        <vt:lpwstr/>
      </vt:variant>
      <vt:variant>
        <vt:i4>5046396</vt:i4>
      </vt:variant>
      <vt:variant>
        <vt:i4>9</vt:i4>
      </vt:variant>
      <vt:variant>
        <vt:i4>0</vt:i4>
      </vt:variant>
      <vt:variant>
        <vt:i4>5</vt:i4>
      </vt:variant>
      <vt:variant>
        <vt:lpwstr>https://www.nomisweb.co.uk/sources/census_2021</vt:lpwstr>
      </vt:variant>
      <vt:variant>
        <vt:lpwstr/>
      </vt:variant>
      <vt:variant>
        <vt:i4>7340152</vt:i4>
      </vt:variant>
      <vt:variant>
        <vt:i4>6</vt:i4>
      </vt:variant>
      <vt:variant>
        <vt:i4>0</vt:i4>
      </vt:variant>
      <vt:variant>
        <vt:i4>5</vt:i4>
      </vt:variant>
      <vt:variant>
        <vt:lpwstr>https://www.ons.gov.uk/datasets/RM200/editions/2021/versions/1</vt:lpwstr>
      </vt:variant>
      <vt:variant>
        <vt:lpwstr/>
      </vt:variant>
      <vt:variant>
        <vt:i4>5046396</vt:i4>
      </vt:variant>
      <vt:variant>
        <vt:i4>3</vt:i4>
      </vt:variant>
      <vt:variant>
        <vt:i4>0</vt:i4>
      </vt:variant>
      <vt:variant>
        <vt:i4>5</vt:i4>
      </vt:variant>
      <vt:variant>
        <vt:lpwstr>https://www.nomisweb.co.uk/sources/census_2021</vt:lpwstr>
      </vt:variant>
      <vt:variant>
        <vt:lpwstr/>
      </vt:variant>
      <vt:variant>
        <vt:i4>7340152</vt:i4>
      </vt:variant>
      <vt:variant>
        <vt:i4>0</vt:i4>
      </vt:variant>
      <vt:variant>
        <vt:i4>0</vt:i4>
      </vt:variant>
      <vt:variant>
        <vt:i4>5</vt:i4>
      </vt:variant>
      <vt:variant>
        <vt:lpwstr>https://www.ons.gov.uk/datasets/RM200/editions/2021/versions/1</vt:lpwstr>
      </vt:variant>
      <vt:variant>
        <vt:lpwstr/>
      </vt:variant>
      <vt:variant>
        <vt:i4>7667811</vt:i4>
      </vt:variant>
      <vt:variant>
        <vt:i4>0</vt:i4>
      </vt:variant>
      <vt:variant>
        <vt:i4>0</vt:i4>
      </vt:variant>
      <vt:variant>
        <vt:i4>5</vt:i4>
      </vt:variant>
      <vt:variant>
        <vt:lpwstr>https://www.ons.gov.uk/releases/housingcensus2021inenglandandwales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Ottiwell, David</dc:creator>
  <cp:keywords/>
  <dc:description/>
  <cp:lastModifiedBy>Allen, Thomas</cp:lastModifiedBy>
  <cp:revision>2</cp:revision>
  <cp:lastPrinted>2023-10-09T17:08:00Z</cp:lastPrinted>
  <dcterms:created xsi:type="dcterms:W3CDTF">2024-07-11T13:04:00Z</dcterms:created>
  <dcterms:modified xsi:type="dcterms:W3CDTF">2024-07-11T13:04:00Z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