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9CF3" w14:textId="56C0C3B8" w:rsidR="004948D5" w:rsidRPr="0007572B" w:rsidRDefault="00FE3698" w:rsidP="006F1659">
      <w:pPr>
        <w:pStyle w:val="BodyText"/>
        <w:spacing w:line="360" w:lineRule="auto"/>
        <w:rPr>
          <w:sz w:val="48"/>
          <w:szCs w:val="48"/>
        </w:rPr>
      </w:pPr>
      <w:r w:rsidRPr="0007572B">
        <w:rPr>
          <w:sz w:val="48"/>
          <w:szCs w:val="48"/>
        </w:rPr>
        <w:t xml:space="preserve"> </w:t>
      </w:r>
    </w:p>
    <w:p w14:paraId="761CFB49" w14:textId="77777777" w:rsidR="00D64FA5" w:rsidRPr="0007572B" w:rsidRDefault="00D64FA5" w:rsidP="006F1659">
      <w:pPr>
        <w:pStyle w:val="BodyText"/>
        <w:spacing w:line="360" w:lineRule="auto"/>
        <w:jc w:val="center"/>
        <w:rPr>
          <w:sz w:val="48"/>
          <w:szCs w:val="48"/>
        </w:rPr>
      </w:pPr>
    </w:p>
    <w:p w14:paraId="50E10BF1" w14:textId="77777777" w:rsidR="00D64FA5" w:rsidRPr="0007572B" w:rsidRDefault="00D64FA5" w:rsidP="006F1659">
      <w:pPr>
        <w:pStyle w:val="BodyText"/>
        <w:spacing w:line="360" w:lineRule="auto"/>
        <w:jc w:val="center"/>
        <w:rPr>
          <w:sz w:val="48"/>
          <w:szCs w:val="48"/>
        </w:rPr>
      </w:pPr>
      <w:r w:rsidRPr="0007572B">
        <w:rPr>
          <w:noProof/>
          <w:sz w:val="48"/>
          <w:szCs w:val="48"/>
          <w:lang w:eastAsia="en-GB"/>
        </w:rPr>
        <w:drawing>
          <wp:inline distT="0" distB="0" distL="0" distR="0" wp14:anchorId="7552A856" wp14:editId="088FC370">
            <wp:extent cx="3378835" cy="1082675"/>
            <wp:effectExtent l="0" t="0" r="0" b="3175"/>
            <wp:docPr id="26" name="Picture 26"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CA Black logo expand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835" cy="1082675"/>
                    </a:xfrm>
                    <a:prstGeom prst="rect">
                      <a:avLst/>
                    </a:prstGeom>
                    <a:noFill/>
                  </pic:spPr>
                </pic:pic>
              </a:graphicData>
            </a:graphic>
          </wp:inline>
        </w:drawing>
      </w:r>
    </w:p>
    <w:p w14:paraId="6493F018" w14:textId="77777777" w:rsidR="00D64FA5" w:rsidRPr="0007572B" w:rsidRDefault="00D64FA5" w:rsidP="006F1659">
      <w:pPr>
        <w:pStyle w:val="BodyText"/>
        <w:spacing w:line="360" w:lineRule="auto"/>
        <w:jc w:val="center"/>
        <w:rPr>
          <w:sz w:val="48"/>
          <w:szCs w:val="48"/>
        </w:rPr>
      </w:pPr>
    </w:p>
    <w:p w14:paraId="1A6EB6DE" w14:textId="4AEC723D" w:rsidR="00D64FA5" w:rsidRDefault="00D64FA5" w:rsidP="006F1659">
      <w:pPr>
        <w:pStyle w:val="BodyText"/>
        <w:spacing w:line="360" w:lineRule="auto"/>
        <w:jc w:val="center"/>
        <w:rPr>
          <w:sz w:val="48"/>
          <w:szCs w:val="48"/>
        </w:rPr>
      </w:pPr>
    </w:p>
    <w:p w14:paraId="6BE77363" w14:textId="77777777" w:rsidR="0049058A" w:rsidRPr="0007572B" w:rsidRDefault="0049058A" w:rsidP="006F1659">
      <w:pPr>
        <w:pStyle w:val="BodyText"/>
        <w:spacing w:line="360" w:lineRule="auto"/>
        <w:jc w:val="center"/>
        <w:rPr>
          <w:sz w:val="48"/>
          <w:szCs w:val="48"/>
        </w:rPr>
      </w:pPr>
    </w:p>
    <w:p w14:paraId="39F21254" w14:textId="16B5EFF2" w:rsidR="008A40F2" w:rsidRPr="0007572B" w:rsidRDefault="008A40F2" w:rsidP="006F1659">
      <w:pPr>
        <w:spacing w:line="360" w:lineRule="auto"/>
        <w:rPr>
          <w:rFonts w:ascii="Arial" w:hAnsi="Arial" w:cs="Arial"/>
        </w:rPr>
      </w:pPr>
    </w:p>
    <w:p w14:paraId="5CC2C42B" w14:textId="36EC9ABC" w:rsidR="008A40F2" w:rsidRPr="0007572B" w:rsidRDefault="008A40F2" w:rsidP="006F1659">
      <w:pPr>
        <w:spacing w:line="360" w:lineRule="auto"/>
        <w:rPr>
          <w:rFonts w:ascii="Arial" w:hAnsi="Arial" w:cs="Arial"/>
        </w:rPr>
      </w:pPr>
    </w:p>
    <w:p w14:paraId="2DF8F477" w14:textId="42C74EB9" w:rsidR="008A40F2" w:rsidRPr="0007572B" w:rsidRDefault="008A40F2" w:rsidP="006F1659">
      <w:pPr>
        <w:spacing w:line="360" w:lineRule="auto"/>
        <w:rPr>
          <w:rFonts w:ascii="Arial" w:hAnsi="Arial" w:cs="Arial"/>
        </w:rPr>
      </w:pPr>
    </w:p>
    <w:p w14:paraId="7323F2B6" w14:textId="77777777" w:rsidR="008A40F2" w:rsidRPr="0007572B" w:rsidRDefault="008A40F2" w:rsidP="006F1659">
      <w:pPr>
        <w:spacing w:line="360" w:lineRule="auto"/>
        <w:rPr>
          <w:rFonts w:ascii="Arial" w:hAnsi="Arial" w:cs="Arial"/>
        </w:rPr>
      </w:pPr>
    </w:p>
    <w:p w14:paraId="76FC0757" w14:textId="77777777" w:rsidR="00D64FA5" w:rsidRPr="0007572B" w:rsidRDefault="00D64FA5" w:rsidP="006F1659">
      <w:pPr>
        <w:spacing w:line="360" w:lineRule="auto"/>
        <w:rPr>
          <w:rFonts w:ascii="Arial" w:hAnsi="Arial" w:cs="Arial"/>
        </w:rPr>
      </w:pPr>
    </w:p>
    <w:p w14:paraId="6470906C" w14:textId="37824C24" w:rsidR="00F21EA7" w:rsidRDefault="00EE520C" w:rsidP="006F1659">
      <w:pPr>
        <w:pStyle w:val="Heading1"/>
        <w:spacing w:line="360" w:lineRule="auto"/>
        <w:jc w:val="center"/>
      </w:pPr>
      <w:bookmarkStart w:id="0" w:name="_Toc92895135"/>
      <w:bookmarkStart w:id="1" w:name="_Toc109160253"/>
      <w:r>
        <w:t>AUDITED</w:t>
      </w:r>
    </w:p>
    <w:p w14:paraId="5F1F507E" w14:textId="77777777" w:rsidR="00F21EA7" w:rsidRDefault="00F21EA7" w:rsidP="006F1659">
      <w:pPr>
        <w:pStyle w:val="Heading1"/>
        <w:spacing w:line="360" w:lineRule="auto"/>
        <w:jc w:val="center"/>
      </w:pPr>
    </w:p>
    <w:p w14:paraId="3DB28B71" w14:textId="2F154C5D" w:rsidR="00D64FA5" w:rsidRPr="0007572B" w:rsidRDefault="00D64FA5" w:rsidP="006F1659">
      <w:pPr>
        <w:pStyle w:val="Heading1"/>
        <w:spacing w:line="360" w:lineRule="auto"/>
        <w:jc w:val="center"/>
      </w:pPr>
      <w:bookmarkStart w:id="2" w:name="_Toc109922574"/>
      <w:r w:rsidRPr="0007572B">
        <w:t xml:space="preserve">Annual Statement </w:t>
      </w:r>
      <w:r w:rsidR="00A136CF">
        <w:br/>
      </w:r>
      <w:r w:rsidRPr="0007572B">
        <w:t>of Accounts</w:t>
      </w:r>
      <w:bookmarkEnd w:id="0"/>
      <w:bookmarkEnd w:id="1"/>
      <w:bookmarkEnd w:id="2"/>
      <w:r w:rsidR="00B86CD5">
        <w:br/>
      </w:r>
    </w:p>
    <w:p w14:paraId="57FD41CF" w14:textId="1857F72C" w:rsidR="00D64FA5" w:rsidRDefault="00D64FA5" w:rsidP="006F1659">
      <w:pPr>
        <w:pStyle w:val="Heading1"/>
        <w:spacing w:line="360" w:lineRule="auto"/>
        <w:jc w:val="center"/>
      </w:pPr>
      <w:bookmarkStart w:id="3" w:name="_Toc92895136"/>
      <w:bookmarkStart w:id="4" w:name="_Toc109160254"/>
      <w:bookmarkStart w:id="5" w:name="_Toc109922575"/>
      <w:r w:rsidRPr="0007572B">
        <w:t>Year ended 31 March 202</w:t>
      </w:r>
      <w:bookmarkEnd w:id="3"/>
      <w:bookmarkEnd w:id="4"/>
      <w:bookmarkEnd w:id="5"/>
      <w:r w:rsidR="00EE520C">
        <w:t>3</w:t>
      </w:r>
    </w:p>
    <w:p w14:paraId="27833190" w14:textId="77777777" w:rsidR="008E544B" w:rsidRPr="008E544B" w:rsidRDefault="008E544B" w:rsidP="006F1659">
      <w:pPr>
        <w:spacing w:line="360" w:lineRule="auto"/>
      </w:pPr>
    </w:p>
    <w:p w14:paraId="29D28615" w14:textId="77777777" w:rsidR="00D64FA5" w:rsidRPr="0007572B" w:rsidRDefault="00D64FA5" w:rsidP="006F1659">
      <w:pPr>
        <w:spacing w:line="360" w:lineRule="auto"/>
        <w:jc w:val="center"/>
        <w:rPr>
          <w:rFonts w:ascii="Arial" w:hAnsi="Arial" w:cs="Arial"/>
          <w:sz w:val="48"/>
          <w:szCs w:val="48"/>
        </w:rPr>
      </w:pPr>
    </w:p>
    <w:p w14:paraId="66A327B9" w14:textId="55052341" w:rsidR="00932C40" w:rsidRPr="0007572B" w:rsidRDefault="00932C40" w:rsidP="006F1659">
      <w:pPr>
        <w:pStyle w:val="BodyText2"/>
        <w:spacing w:line="360" w:lineRule="auto"/>
        <w:rPr>
          <w:rFonts w:ascii="Arial" w:hAnsi="Arial" w:cs="Arial"/>
          <w:sz w:val="22"/>
          <w:szCs w:val="22"/>
        </w:rPr>
        <w:sectPr w:rsidR="00932C40" w:rsidRPr="0007572B" w:rsidSect="004833A2">
          <w:footerReference w:type="even" r:id="rId9"/>
          <w:footerReference w:type="default" r:id="rId10"/>
          <w:pgSz w:w="11906" w:h="16838" w:code="9"/>
          <w:pgMar w:top="851" w:right="1286" w:bottom="1021" w:left="1440" w:header="709" w:footer="567" w:gutter="0"/>
          <w:pgNumType w:start="1"/>
          <w:cols w:space="708"/>
          <w:docGrid w:linePitch="360"/>
        </w:sectPr>
      </w:pPr>
    </w:p>
    <w:p w14:paraId="0616F38F" w14:textId="5E2FC645" w:rsidR="005F371A" w:rsidRPr="005F371A" w:rsidRDefault="005F371A" w:rsidP="006F1659">
      <w:pPr>
        <w:pStyle w:val="Heading2green"/>
        <w:spacing w:line="360" w:lineRule="auto"/>
      </w:pPr>
      <w:bookmarkStart w:id="6" w:name="_Toc92895137"/>
      <w:bookmarkStart w:id="7" w:name="_Toc109160255"/>
      <w:bookmarkStart w:id="8" w:name="_Toc109922576"/>
      <w:r w:rsidRPr="005F371A">
        <w:lastRenderedPageBreak/>
        <w:t>Contents Page</w:t>
      </w:r>
      <w:bookmarkEnd w:id="6"/>
      <w:bookmarkEnd w:id="7"/>
      <w:bookmarkEnd w:id="8"/>
    </w:p>
    <w:sdt>
      <w:sdtPr>
        <w:id w:val="-2081669147"/>
        <w:docPartObj>
          <w:docPartGallery w:val="Table of Contents"/>
          <w:docPartUnique/>
        </w:docPartObj>
      </w:sdtPr>
      <w:sdtEndPr>
        <w:rPr>
          <w:b/>
          <w:bCs/>
          <w:noProof/>
        </w:rPr>
      </w:sdtEndPr>
      <w:sdtContent>
        <w:p w14:paraId="21B2B7A5" w14:textId="77777777" w:rsidR="009E4264" w:rsidRPr="003B46BF" w:rsidRDefault="009E4264" w:rsidP="006F1659">
          <w:pPr>
            <w:pStyle w:val="TOC1"/>
            <w:tabs>
              <w:tab w:val="right" w:leader="dot" w:pos="9016"/>
            </w:tabs>
            <w:spacing w:line="360" w:lineRule="auto"/>
          </w:pPr>
        </w:p>
        <w:p w14:paraId="68C3B52B" w14:textId="3DD504AB" w:rsidR="00A16F1A" w:rsidRPr="00760B46" w:rsidRDefault="0074597D" w:rsidP="006F1659">
          <w:pPr>
            <w:pStyle w:val="TOC1"/>
            <w:tabs>
              <w:tab w:val="right" w:leader="dot" w:pos="9016"/>
            </w:tabs>
            <w:spacing w:line="360" w:lineRule="auto"/>
            <w:rPr>
              <w:rFonts w:ascii="Arial" w:hAnsi="Arial" w:cs="Arial"/>
              <w:noProof/>
            </w:rPr>
          </w:pPr>
          <w:r w:rsidRPr="00760B46">
            <w:rPr>
              <w:rFonts w:ascii="Arial" w:eastAsiaTheme="majorEastAsia" w:hAnsi="Arial" w:cs="Arial"/>
              <w:color w:val="2E74B5" w:themeColor="accent1" w:themeShade="BF"/>
              <w:lang w:val="en-US"/>
            </w:rPr>
            <w:fldChar w:fldCharType="begin"/>
          </w:r>
          <w:r w:rsidRPr="00760B46">
            <w:rPr>
              <w:rFonts w:ascii="Arial" w:hAnsi="Arial" w:cs="Arial"/>
            </w:rPr>
            <w:instrText xml:space="preserve"> TOC \o "1-3" \h \z \u </w:instrText>
          </w:r>
          <w:r w:rsidRPr="00760B46">
            <w:rPr>
              <w:rFonts w:ascii="Arial" w:eastAsiaTheme="majorEastAsia" w:hAnsi="Arial" w:cs="Arial"/>
              <w:color w:val="2E74B5" w:themeColor="accent1" w:themeShade="BF"/>
              <w:lang w:val="en-US"/>
            </w:rPr>
            <w:fldChar w:fldCharType="separate"/>
          </w:r>
          <w:hyperlink w:anchor="_Toc109922577" w:history="1">
            <w:r w:rsidR="005764D1" w:rsidRPr="00760B46">
              <w:rPr>
                <w:rStyle w:val="Hyperlink"/>
                <w:rFonts w:ascii="Arial" w:hAnsi="Arial" w:cs="Arial"/>
                <w:noProof/>
              </w:rPr>
              <w:t>Narrative Report by the Authority Treasurer</w:t>
            </w:r>
            <w:r w:rsidR="005764D1" w:rsidRPr="00760B46">
              <w:rPr>
                <w:rFonts w:ascii="Arial" w:hAnsi="Arial" w:cs="Arial"/>
                <w:noProof/>
                <w:webHidden/>
              </w:rPr>
              <w:tab/>
            </w:r>
            <w:r w:rsidR="00A16F1A" w:rsidRPr="00760B46">
              <w:rPr>
                <w:rFonts w:ascii="Arial" w:hAnsi="Arial" w:cs="Arial"/>
                <w:noProof/>
                <w:webHidden/>
              </w:rPr>
              <w:t>3</w:t>
            </w:r>
          </w:hyperlink>
        </w:p>
        <w:p w14:paraId="604C0D2A" w14:textId="7775E925" w:rsidR="005764D1" w:rsidRPr="00CE16DE" w:rsidRDefault="005764D1" w:rsidP="00396F57">
          <w:pPr>
            <w:pStyle w:val="TOC2"/>
            <w:rPr>
              <w:rFonts w:ascii="Arial" w:eastAsiaTheme="minorEastAsia" w:hAnsi="Arial" w:cs="Arial"/>
              <w:noProof/>
              <w:szCs w:val="22"/>
              <w:lang w:eastAsia="en-GB"/>
            </w:rPr>
          </w:pPr>
          <w:hyperlink w:anchor="_Toc109922596" w:history="1">
            <w:r w:rsidRPr="00760B46">
              <w:rPr>
                <w:rStyle w:val="Hyperlink"/>
                <w:rFonts w:ascii="Arial" w:hAnsi="Arial" w:cs="Arial"/>
                <w:noProof/>
              </w:rPr>
              <w:t>Statement of Responsibilities for the Statement of Accounts</w:t>
            </w:r>
            <w:r w:rsidRPr="00CE16DE">
              <w:rPr>
                <w:rFonts w:ascii="Arial" w:hAnsi="Arial" w:cs="Arial"/>
                <w:noProof/>
                <w:webHidden/>
              </w:rPr>
              <w:tab/>
            </w:r>
            <w:r w:rsidR="008C5F76" w:rsidRPr="00CE16DE">
              <w:rPr>
                <w:rFonts w:ascii="Arial" w:hAnsi="Arial" w:cs="Arial"/>
                <w:noProof/>
                <w:webHidden/>
              </w:rPr>
              <w:t>3</w:t>
            </w:r>
          </w:hyperlink>
          <w:r w:rsidR="00A16F1A" w:rsidRPr="00CE16DE">
            <w:rPr>
              <w:rFonts w:ascii="Arial" w:hAnsi="Arial" w:cs="Arial"/>
              <w:noProof/>
            </w:rPr>
            <w:t>6</w:t>
          </w:r>
        </w:p>
        <w:p w14:paraId="7DC84A54" w14:textId="5E2BDD92" w:rsidR="005764D1" w:rsidRPr="00760B46" w:rsidRDefault="005764D1" w:rsidP="006F1659">
          <w:pPr>
            <w:pStyle w:val="TOC1"/>
            <w:tabs>
              <w:tab w:val="right" w:leader="dot" w:pos="9016"/>
            </w:tabs>
            <w:spacing w:line="360" w:lineRule="auto"/>
            <w:rPr>
              <w:rFonts w:ascii="Arial" w:eastAsiaTheme="minorEastAsia" w:hAnsi="Arial" w:cs="Arial"/>
              <w:noProof/>
              <w:szCs w:val="22"/>
              <w:lang w:eastAsia="en-GB"/>
            </w:rPr>
          </w:pPr>
          <w:hyperlink w:anchor="_Toc109922602" w:history="1">
            <w:r w:rsidRPr="00760B46">
              <w:rPr>
                <w:rStyle w:val="Hyperlink"/>
                <w:rFonts w:ascii="Arial" w:hAnsi="Arial" w:cs="Arial"/>
                <w:noProof/>
              </w:rPr>
              <w:t>Greater Manchester Combined Authority Single Entity Accounts</w:t>
            </w:r>
            <w:r w:rsidRPr="00760B46">
              <w:rPr>
                <w:rFonts w:ascii="Arial" w:hAnsi="Arial" w:cs="Arial"/>
                <w:noProof/>
                <w:webHidden/>
              </w:rPr>
              <w:tab/>
            </w:r>
          </w:hyperlink>
          <w:r w:rsidR="00A16F1A" w:rsidRPr="00760B46">
            <w:rPr>
              <w:rFonts w:ascii="Arial" w:hAnsi="Arial" w:cs="Arial"/>
              <w:noProof/>
            </w:rPr>
            <w:t>38</w:t>
          </w:r>
        </w:p>
        <w:p w14:paraId="07D866AA" w14:textId="55D0770D" w:rsidR="005764D1" w:rsidRPr="00760B46" w:rsidRDefault="005764D1">
          <w:pPr>
            <w:pStyle w:val="TOC2"/>
            <w:rPr>
              <w:rFonts w:ascii="Arial" w:eastAsiaTheme="minorEastAsia" w:hAnsi="Arial" w:cs="Arial"/>
              <w:noProof/>
              <w:szCs w:val="22"/>
              <w:lang w:eastAsia="en-GB"/>
            </w:rPr>
          </w:pPr>
          <w:hyperlink w:anchor="_Toc109922603" w:history="1">
            <w:r w:rsidRPr="00760B46">
              <w:rPr>
                <w:rStyle w:val="Hyperlink"/>
                <w:rFonts w:ascii="Arial" w:hAnsi="Arial" w:cs="Arial"/>
                <w:noProof/>
              </w:rPr>
              <w:t>Financial Statements</w:t>
            </w:r>
            <w:r w:rsidRPr="00760B46">
              <w:rPr>
                <w:rFonts w:ascii="Arial" w:hAnsi="Arial" w:cs="Arial"/>
                <w:noProof/>
                <w:webHidden/>
              </w:rPr>
              <w:tab/>
            </w:r>
          </w:hyperlink>
          <w:r w:rsidR="00A16F1A" w:rsidRPr="00760B46">
            <w:rPr>
              <w:rFonts w:ascii="Arial" w:hAnsi="Arial" w:cs="Arial"/>
              <w:noProof/>
            </w:rPr>
            <w:t>38</w:t>
          </w:r>
        </w:p>
        <w:p w14:paraId="13E73BD6" w14:textId="361BD0EA" w:rsidR="005764D1" w:rsidRPr="00CE16DE" w:rsidRDefault="005764D1">
          <w:pPr>
            <w:pStyle w:val="TOC2"/>
            <w:rPr>
              <w:rFonts w:ascii="Arial" w:eastAsiaTheme="minorEastAsia" w:hAnsi="Arial" w:cs="Arial"/>
              <w:noProof/>
              <w:szCs w:val="22"/>
              <w:lang w:eastAsia="en-GB"/>
            </w:rPr>
          </w:pPr>
          <w:hyperlink w:anchor="_Toc109922604" w:history="1">
            <w:r w:rsidRPr="00760B46">
              <w:rPr>
                <w:rStyle w:val="Hyperlink"/>
                <w:rFonts w:ascii="Arial" w:hAnsi="Arial" w:cs="Arial"/>
                <w:noProof/>
              </w:rPr>
              <w:t>Comprehensive Income and Expenditure Statement</w:t>
            </w:r>
            <w:r w:rsidRPr="00CE16DE">
              <w:rPr>
                <w:rFonts w:ascii="Arial" w:hAnsi="Arial" w:cs="Arial"/>
                <w:noProof/>
                <w:webHidden/>
              </w:rPr>
              <w:tab/>
            </w:r>
          </w:hyperlink>
          <w:r w:rsidR="00A16F1A" w:rsidRPr="00CE16DE">
            <w:rPr>
              <w:rFonts w:ascii="Arial" w:hAnsi="Arial" w:cs="Arial"/>
              <w:noProof/>
            </w:rPr>
            <w:t>39</w:t>
          </w:r>
        </w:p>
        <w:p w14:paraId="28EF3D70" w14:textId="48F793B3" w:rsidR="005764D1" w:rsidRPr="00CE16DE" w:rsidRDefault="005764D1">
          <w:pPr>
            <w:pStyle w:val="TOC2"/>
            <w:rPr>
              <w:rFonts w:ascii="Arial" w:eastAsiaTheme="minorEastAsia" w:hAnsi="Arial" w:cs="Arial"/>
              <w:noProof/>
              <w:szCs w:val="22"/>
              <w:lang w:eastAsia="en-GB"/>
            </w:rPr>
          </w:pPr>
          <w:hyperlink w:anchor="_Toc109922605" w:history="1">
            <w:r w:rsidRPr="00760B46">
              <w:rPr>
                <w:rStyle w:val="Hyperlink"/>
                <w:rFonts w:ascii="Arial" w:hAnsi="Arial" w:cs="Arial"/>
                <w:noProof/>
              </w:rPr>
              <w:t>Movement in Reserves Statement</w:t>
            </w:r>
            <w:r w:rsidRPr="00CE16DE">
              <w:rPr>
                <w:rFonts w:ascii="Arial" w:hAnsi="Arial" w:cs="Arial"/>
                <w:noProof/>
                <w:webHidden/>
              </w:rPr>
              <w:tab/>
            </w:r>
          </w:hyperlink>
          <w:r w:rsidR="00A16F1A" w:rsidRPr="00CE16DE">
            <w:rPr>
              <w:rFonts w:ascii="Arial" w:hAnsi="Arial" w:cs="Arial"/>
              <w:noProof/>
            </w:rPr>
            <w:t>40</w:t>
          </w:r>
        </w:p>
        <w:p w14:paraId="7D14AA1B" w14:textId="1A45861E" w:rsidR="005764D1" w:rsidRPr="00760B46" w:rsidRDefault="005764D1">
          <w:pPr>
            <w:pStyle w:val="TOC2"/>
            <w:rPr>
              <w:rFonts w:ascii="Arial" w:eastAsiaTheme="minorEastAsia" w:hAnsi="Arial" w:cs="Arial"/>
              <w:noProof/>
              <w:szCs w:val="22"/>
              <w:lang w:eastAsia="en-GB"/>
            </w:rPr>
          </w:pPr>
          <w:hyperlink w:anchor="_Toc109922606" w:history="1">
            <w:r w:rsidRPr="00760B46">
              <w:rPr>
                <w:rStyle w:val="Hyperlink"/>
                <w:rFonts w:ascii="Arial" w:hAnsi="Arial" w:cs="Arial"/>
                <w:noProof/>
              </w:rPr>
              <w:t>Balance Sheet</w:t>
            </w:r>
            <w:r w:rsidRPr="00760B46">
              <w:rPr>
                <w:rFonts w:ascii="Arial" w:hAnsi="Arial" w:cs="Arial"/>
                <w:noProof/>
                <w:webHidden/>
              </w:rPr>
              <w:tab/>
            </w:r>
          </w:hyperlink>
          <w:r w:rsidR="00A16F1A" w:rsidRPr="00760B46">
            <w:rPr>
              <w:rFonts w:ascii="Arial" w:hAnsi="Arial" w:cs="Arial"/>
              <w:noProof/>
            </w:rPr>
            <w:t>41</w:t>
          </w:r>
        </w:p>
        <w:p w14:paraId="1CCEC566" w14:textId="6DF9C125" w:rsidR="005764D1" w:rsidRPr="00760B46" w:rsidRDefault="005764D1">
          <w:pPr>
            <w:pStyle w:val="TOC2"/>
            <w:rPr>
              <w:rFonts w:ascii="Arial" w:eastAsiaTheme="minorEastAsia" w:hAnsi="Arial" w:cs="Arial"/>
              <w:noProof/>
              <w:szCs w:val="22"/>
              <w:lang w:eastAsia="en-GB"/>
            </w:rPr>
          </w:pPr>
          <w:hyperlink w:anchor="_Toc109922607" w:history="1">
            <w:r w:rsidRPr="00760B46">
              <w:rPr>
                <w:rStyle w:val="Hyperlink"/>
                <w:rFonts w:ascii="Arial" w:hAnsi="Arial" w:cs="Arial"/>
                <w:noProof/>
              </w:rPr>
              <w:t>Cash Flow Statement</w:t>
            </w:r>
            <w:r w:rsidRPr="00760B46">
              <w:rPr>
                <w:rFonts w:ascii="Arial" w:hAnsi="Arial" w:cs="Arial"/>
                <w:noProof/>
                <w:webHidden/>
              </w:rPr>
              <w:tab/>
            </w:r>
          </w:hyperlink>
          <w:r w:rsidR="00A16F1A" w:rsidRPr="00760B46">
            <w:rPr>
              <w:rFonts w:ascii="Arial" w:hAnsi="Arial" w:cs="Arial"/>
              <w:noProof/>
            </w:rPr>
            <w:t>42</w:t>
          </w:r>
        </w:p>
        <w:p w14:paraId="5BE7F2CD" w14:textId="6C619BF6" w:rsidR="005764D1" w:rsidRPr="00CE16DE" w:rsidRDefault="005764D1">
          <w:pPr>
            <w:pStyle w:val="TOC2"/>
            <w:rPr>
              <w:rFonts w:ascii="Arial" w:eastAsiaTheme="minorEastAsia" w:hAnsi="Arial" w:cs="Arial"/>
              <w:noProof/>
              <w:szCs w:val="22"/>
              <w:lang w:eastAsia="en-GB"/>
            </w:rPr>
          </w:pPr>
          <w:hyperlink w:anchor="_Toc109922609" w:history="1">
            <w:r w:rsidRPr="00760B46">
              <w:rPr>
                <w:rStyle w:val="Hyperlink"/>
                <w:rFonts w:ascii="Arial" w:hAnsi="Arial" w:cs="Arial"/>
                <w:noProof/>
              </w:rPr>
              <w:t>Notes to the Financial Statements</w:t>
            </w:r>
            <w:r w:rsidRPr="00CE16DE">
              <w:rPr>
                <w:rFonts w:ascii="Arial" w:hAnsi="Arial" w:cs="Arial"/>
                <w:noProof/>
                <w:webHidden/>
              </w:rPr>
              <w:tab/>
            </w:r>
          </w:hyperlink>
          <w:r w:rsidR="00A16F1A" w:rsidRPr="00CE16DE">
            <w:rPr>
              <w:rFonts w:ascii="Arial" w:hAnsi="Arial" w:cs="Arial"/>
              <w:noProof/>
            </w:rPr>
            <w:t>43</w:t>
          </w:r>
        </w:p>
        <w:p w14:paraId="2771E174" w14:textId="140E12C5" w:rsidR="005764D1" w:rsidRPr="00CE16DE" w:rsidRDefault="005764D1">
          <w:pPr>
            <w:pStyle w:val="TOC2"/>
            <w:rPr>
              <w:rFonts w:ascii="Arial" w:eastAsiaTheme="minorEastAsia" w:hAnsi="Arial" w:cs="Arial"/>
              <w:noProof/>
              <w:szCs w:val="22"/>
              <w:lang w:eastAsia="en-GB"/>
            </w:rPr>
          </w:pPr>
          <w:hyperlink w:anchor="_Toc109922649" w:history="1">
            <w:r w:rsidRPr="00760B46">
              <w:rPr>
                <w:rStyle w:val="Hyperlink"/>
                <w:rFonts w:ascii="Arial" w:hAnsi="Arial" w:cs="Arial"/>
                <w:noProof/>
              </w:rPr>
              <w:t>Firefighters’ Pension Fund</w:t>
            </w:r>
            <w:r w:rsidRPr="00CE16DE">
              <w:rPr>
                <w:rFonts w:ascii="Arial" w:hAnsi="Arial" w:cs="Arial"/>
                <w:noProof/>
                <w:webHidden/>
              </w:rPr>
              <w:tab/>
            </w:r>
            <w:r w:rsidRPr="00CE16DE">
              <w:rPr>
                <w:rFonts w:ascii="Arial" w:hAnsi="Arial" w:cs="Arial"/>
                <w:noProof/>
                <w:webHidden/>
              </w:rPr>
              <w:fldChar w:fldCharType="begin"/>
            </w:r>
            <w:r w:rsidRPr="00CE16DE">
              <w:rPr>
                <w:rFonts w:ascii="Arial" w:hAnsi="Arial" w:cs="Arial"/>
                <w:noProof/>
                <w:webHidden/>
              </w:rPr>
              <w:instrText xml:space="preserve"> PAGEREF _Toc109922649 \h </w:instrText>
            </w:r>
            <w:r w:rsidRPr="00CE16DE">
              <w:rPr>
                <w:rFonts w:ascii="Arial" w:hAnsi="Arial" w:cs="Arial"/>
                <w:noProof/>
                <w:webHidden/>
              </w:rPr>
            </w:r>
            <w:r w:rsidRPr="00CE16DE">
              <w:rPr>
                <w:rFonts w:ascii="Arial" w:hAnsi="Arial" w:cs="Arial"/>
                <w:noProof/>
                <w:webHidden/>
              </w:rPr>
              <w:fldChar w:fldCharType="separate"/>
            </w:r>
            <w:r w:rsidR="001F7874">
              <w:rPr>
                <w:rFonts w:ascii="Arial" w:hAnsi="Arial" w:cs="Arial"/>
                <w:noProof/>
                <w:webHidden/>
              </w:rPr>
              <w:t>192</w:t>
            </w:r>
            <w:r w:rsidRPr="00CE16DE">
              <w:rPr>
                <w:rFonts w:ascii="Arial" w:hAnsi="Arial" w:cs="Arial"/>
                <w:noProof/>
                <w:webHidden/>
              </w:rPr>
              <w:fldChar w:fldCharType="end"/>
            </w:r>
          </w:hyperlink>
        </w:p>
        <w:p w14:paraId="646E682B" w14:textId="078A2FD5" w:rsidR="005764D1" w:rsidRPr="00760B46" w:rsidRDefault="005764D1" w:rsidP="006F1659">
          <w:pPr>
            <w:pStyle w:val="TOC1"/>
            <w:tabs>
              <w:tab w:val="right" w:leader="dot" w:pos="9016"/>
            </w:tabs>
            <w:spacing w:line="360" w:lineRule="auto"/>
            <w:rPr>
              <w:rFonts w:ascii="Arial" w:eastAsiaTheme="minorEastAsia" w:hAnsi="Arial" w:cs="Arial"/>
              <w:noProof/>
              <w:szCs w:val="22"/>
              <w:lang w:eastAsia="en-GB"/>
            </w:rPr>
          </w:pPr>
          <w:hyperlink w:anchor="_Toc109922652" w:history="1">
            <w:r w:rsidRPr="00760B46">
              <w:rPr>
                <w:rStyle w:val="Hyperlink"/>
                <w:rFonts w:ascii="Arial" w:hAnsi="Arial" w:cs="Arial"/>
                <w:noProof/>
              </w:rPr>
              <w:t>Greater Manchester Combined Authority - Group Accounts</w:t>
            </w:r>
            <w:r w:rsidRPr="00760B46">
              <w:rPr>
                <w:rFonts w:ascii="Arial" w:hAnsi="Arial" w:cs="Arial"/>
                <w:noProof/>
                <w:webHidden/>
              </w:rPr>
              <w:tab/>
            </w:r>
            <w:r w:rsidRPr="00760B46">
              <w:rPr>
                <w:rFonts w:ascii="Arial" w:hAnsi="Arial" w:cs="Arial"/>
                <w:noProof/>
                <w:webHidden/>
              </w:rPr>
              <w:fldChar w:fldCharType="begin"/>
            </w:r>
            <w:r w:rsidRPr="00760B46">
              <w:rPr>
                <w:rFonts w:ascii="Arial" w:hAnsi="Arial" w:cs="Arial"/>
                <w:noProof/>
                <w:webHidden/>
              </w:rPr>
              <w:instrText xml:space="preserve"> PAGEREF _Toc109922652 \h </w:instrText>
            </w:r>
            <w:r w:rsidRPr="00760B46">
              <w:rPr>
                <w:rFonts w:ascii="Arial" w:hAnsi="Arial" w:cs="Arial"/>
                <w:noProof/>
                <w:webHidden/>
              </w:rPr>
            </w:r>
            <w:r w:rsidRPr="00760B46">
              <w:rPr>
                <w:rFonts w:ascii="Arial" w:hAnsi="Arial" w:cs="Arial"/>
                <w:noProof/>
                <w:webHidden/>
              </w:rPr>
              <w:fldChar w:fldCharType="separate"/>
            </w:r>
            <w:r w:rsidR="001F7874">
              <w:rPr>
                <w:rFonts w:ascii="Arial" w:hAnsi="Arial" w:cs="Arial"/>
                <w:noProof/>
                <w:webHidden/>
              </w:rPr>
              <w:t>194</w:t>
            </w:r>
            <w:r w:rsidRPr="00760B46">
              <w:rPr>
                <w:rFonts w:ascii="Arial" w:hAnsi="Arial" w:cs="Arial"/>
                <w:noProof/>
                <w:webHidden/>
              </w:rPr>
              <w:fldChar w:fldCharType="end"/>
            </w:r>
          </w:hyperlink>
        </w:p>
        <w:p w14:paraId="6F617EBD" w14:textId="40BB27A5" w:rsidR="005764D1" w:rsidRPr="00760B46" w:rsidRDefault="005764D1" w:rsidP="006F1659">
          <w:pPr>
            <w:pStyle w:val="TOC1"/>
            <w:tabs>
              <w:tab w:val="right" w:leader="dot" w:pos="9016"/>
            </w:tabs>
            <w:spacing w:line="360" w:lineRule="auto"/>
            <w:rPr>
              <w:rFonts w:ascii="Arial" w:eastAsiaTheme="minorEastAsia" w:hAnsi="Arial" w:cs="Arial"/>
              <w:noProof/>
              <w:szCs w:val="22"/>
              <w:lang w:eastAsia="en-GB"/>
            </w:rPr>
          </w:pPr>
          <w:hyperlink w:anchor="_Toc109922659" w:history="1">
            <w:r w:rsidRPr="00760B46">
              <w:rPr>
                <w:rStyle w:val="Hyperlink"/>
                <w:rFonts w:ascii="Arial" w:hAnsi="Arial" w:cs="Arial"/>
                <w:noProof/>
              </w:rPr>
              <w:t>Greater Manchester Combined Authority – Group Financial Statements</w:t>
            </w:r>
            <w:r w:rsidRPr="00760B46">
              <w:rPr>
                <w:rFonts w:ascii="Arial" w:hAnsi="Arial" w:cs="Arial"/>
                <w:noProof/>
                <w:webHidden/>
              </w:rPr>
              <w:tab/>
            </w:r>
            <w:r w:rsidRPr="00760B46">
              <w:rPr>
                <w:rFonts w:ascii="Arial" w:hAnsi="Arial" w:cs="Arial"/>
                <w:noProof/>
                <w:webHidden/>
              </w:rPr>
              <w:fldChar w:fldCharType="begin"/>
            </w:r>
            <w:r w:rsidRPr="00760B46">
              <w:rPr>
                <w:rFonts w:ascii="Arial" w:hAnsi="Arial" w:cs="Arial"/>
                <w:noProof/>
                <w:webHidden/>
              </w:rPr>
              <w:instrText xml:space="preserve"> PAGEREF _Toc109922659 \h </w:instrText>
            </w:r>
            <w:r w:rsidRPr="00760B46">
              <w:rPr>
                <w:rFonts w:ascii="Arial" w:hAnsi="Arial" w:cs="Arial"/>
                <w:noProof/>
                <w:webHidden/>
              </w:rPr>
            </w:r>
            <w:r w:rsidRPr="00760B46">
              <w:rPr>
                <w:rFonts w:ascii="Arial" w:hAnsi="Arial" w:cs="Arial"/>
                <w:noProof/>
                <w:webHidden/>
              </w:rPr>
              <w:fldChar w:fldCharType="separate"/>
            </w:r>
            <w:r w:rsidR="001F7874">
              <w:rPr>
                <w:rFonts w:ascii="Arial" w:hAnsi="Arial" w:cs="Arial"/>
                <w:noProof/>
                <w:webHidden/>
              </w:rPr>
              <w:t>199</w:t>
            </w:r>
            <w:r w:rsidRPr="00760B46">
              <w:rPr>
                <w:rFonts w:ascii="Arial" w:hAnsi="Arial" w:cs="Arial"/>
                <w:noProof/>
                <w:webHidden/>
              </w:rPr>
              <w:fldChar w:fldCharType="end"/>
            </w:r>
          </w:hyperlink>
        </w:p>
        <w:p w14:paraId="0A481D49" w14:textId="3AC38339" w:rsidR="005764D1" w:rsidRPr="00CE16DE" w:rsidRDefault="005764D1">
          <w:pPr>
            <w:pStyle w:val="TOC2"/>
            <w:rPr>
              <w:rFonts w:ascii="Arial" w:eastAsiaTheme="minorEastAsia" w:hAnsi="Arial" w:cs="Arial"/>
              <w:noProof/>
              <w:szCs w:val="22"/>
              <w:lang w:eastAsia="en-GB"/>
            </w:rPr>
          </w:pPr>
          <w:hyperlink w:anchor="_Toc109922660" w:history="1">
            <w:r w:rsidRPr="00760B46">
              <w:rPr>
                <w:rStyle w:val="Hyperlink"/>
                <w:rFonts w:ascii="Arial" w:hAnsi="Arial" w:cs="Arial"/>
                <w:noProof/>
              </w:rPr>
              <w:t>Group Comprehensive Income and Expenditure Statement</w:t>
            </w:r>
            <w:r w:rsidRPr="00CE16DE">
              <w:rPr>
                <w:rFonts w:ascii="Arial" w:hAnsi="Arial" w:cs="Arial"/>
                <w:noProof/>
                <w:webHidden/>
              </w:rPr>
              <w:tab/>
            </w:r>
            <w:r w:rsidRPr="00CE16DE">
              <w:rPr>
                <w:rFonts w:ascii="Arial" w:hAnsi="Arial" w:cs="Arial"/>
                <w:noProof/>
                <w:webHidden/>
              </w:rPr>
              <w:fldChar w:fldCharType="begin"/>
            </w:r>
            <w:r w:rsidRPr="00CE16DE">
              <w:rPr>
                <w:rFonts w:ascii="Arial" w:hAnsi="Arial" w:cs="Arial"/>
                <w:noProof/>
                <w:webHidden/>
              </w:rPr>
              <w:instrText xml:space="preserve"> PAGEREF _Toc109922660 \h </w:instrText>
            </w:r>
            <w:r w:rsidRPr="00CE16DE">
              <w:rPr>
                <w:rFonts w:ascii="Arial" w:hAnsi="Arial" w:cs="Arial"/>
                <w:noProof/>
                <w:webHidden/>
              </w:rPr>
            </w:r>
            <w:r w:rsidRPr="00CE16DE">
              <w:rPr>
                <w:rFonts w:ascii="Arial" w:hAnsi="Arial" w:cs="Arial"/>
                <w:noProof/>
                <w:webHidden/>
              </w:rPr>
              <w:fldChar w:fldCharType="separate"/>
            </w:r>
            <w:r w:rsidR="001F7874">
              <w:rPr>
                <w:rFonts w:ascii="Arial" w:hAnsi="Arial" w:cs="Arial"/>
                <w:noProof/>
                <w:webHidden/>
              </w:rPr>
              <w:t>200</w:t>
            </w:r>
            <w:r w:rsidRPr="00CE16DE">
              <w:rPr>
                <w:rFonts w:ascii="Arial" w:hAnsi="Arial" w:cs="Arial"/>
                <w:noProof/>
                <w:webHidden/>
              </w:rPr>
              <w:fldChar w:fldCharType="end"/>
            </w:r>
          </w:hyperlink>
        </w:p>
        <w:p w14:paraId="0B98407B" w14:textId="0F11C6A1" w:rsidR="005764D1" w:rsidRPr="00CE16DE" w:rsidRDefault="005764D1">
          <w:pPr>
            <w:pStyle w:val="TOC2"/>
            <w:rPr>
              <w:rFonts w:ascii="Arial" w:eastAsiaTheme="minorEastAsia" w:hAnsi="Arial" w:cs="Arial"/>
              <w:noProof/>
              <w:szCs w:val="22"/>
              <w:lang w:eastAsia="en-GB"/>
            </w:rPr>
          </w:pPr>
          <w:hyperlink w:anchor="_Toc109922661" w:history="1">
            <w:r w:rsidRPr="00760B46">
              <w:rPr>
                <w:rStyle w:val="Hyperlink"/>
                <w:rFonts w:ascii="Arial" w:hAnsi="Arial" w:cs="Arial"/>
                <w:noProof/>
              </w:rPr>
              <w:t>Group Movement in Reserves Statement</w:t>
            </w:r>
            <w:r w:rsidRPr="00CE16DE">
              <w:rPr>
                <w:rFonts w:ascii="Arial" w:hAnsi="Arial" w:cs="Arial"/>
                <w:noProof/>
                <w:webHidden/>
              </w:rPr>
              <w:tab/>
            </w:r>
            <w:r w:rsidRPr="00CE16DE">
              <w:rPr>
                <w:rFonts w:ascii="Arial" w:hAnsi="Arial" w:cs="Arial"/>
                <w:noProof/>
                <w:webHidden/>
              </w:rPr>
              <w:fldChar w:fldCharType="begin"/>
            </w:r>
            <w:r w:rsidRPr="00CE16DE">
              <w:rPr>
                <w:rFonts w:ascii="Arial" w:hAnsi="Arial" w:cs="Arial"/>
                <w:noProof/>
                <w:webHidden/>
              </w:rPr>
              <w:instrText xml:space="preserve"> PAGEREF _Toc109922661 \h </w:instrText>
            </w:r>
            <w:r w:rsidRPr="00CE16DE">
              <w:rPr>
                <w:rFonts w:ascii="Arial" w:hAnsi="Arial" w:cs="Arial"/>
                <w:noProof/>
                <w:webHidden/>
              </w:rPr>
            </w:r>
            <w:r w:rsidRPr="00CE16DE">
              <w:rPr>
                <w:rFonts w:ascii="Arial" w:hAnsi="Arial" w:cs="Arial"/>
                <w:noProof/>
                <w:webHidden/>
              </w:rPr>
              <w:fldChar w:fldCharType="separate"/>
            </w:r>
            <w:r w:rsidR="001F7874">
              <w:rPr>
                <w:rFonts w:ascii="Arial" w:hAnsi="Arial" w:cs="Arial"/>
                <w:noProof/>
                <w:webHidden/>
              </w:rPr>
              <w:t>201</w:t>
            </w:r>
            <w:r w:rsidRPr="00CE16DE">
              <w:rPr>
                <w:rFonts w:ascii="Arial" w:hAnsi="Arial" w:cs="Arial"/>
                <w:noProof/>
                <w:webHidden/>
              </w:rPr>
              <w:fldChar w:fldCharType="end"/>
            </w:r>
          </w:hyperlink>
        </w:p>
        <w:p w14:paraId="6AEE62AE" w14:textId="17267D64" w:rsidR="005764D1" w:rsidRPr="00CE16DE" w:rsidRDefault="005764D1">
          <w:pPr>
            <w:pStyle w:val="TOC2"/>
            <w:rPr>
              <w:rFonts w:ascii="Arial" w:eastAsiaTheme="minorEastAsia" w:hAnsi="Arial" w:cs="Arial"/>
              <w:noProof/>
              <w:szCs w:val="22"/>
              <w:lang w:eastAsia="en-GB"/>
            </w:rPr>
          </w:pPr>
          <w:hyperlink w:anchor="_Toc109922662" w:history="1">
            <w:r w:rsidRPr="00760B46">
              <w:rPr>
                <w:rStyle w:val="Hyperlink"/>
                <w:rFonts w:ascii="Arial" w:hAnsi="Arial" w:cs="Arial"/>
                <w:noProof/>
              </w:rPr>
              <w:t>Group Balance Sheet</w:t>
            </w:r>
            <w:r w:rsidRPr="00CE16DE">
              <w:rPr>
                <w:rFonts w:ascii="Arial" w:hAnsi="Arial" w:cs="Arial"/>
                <w:noProof/>
                <w:webHidden/>
              </w:rPr>
              <w:tab/>
            </w:r>
            <w:r w:rsidRPr="00CE16DE">
              <w:rPr>
                <w:rFonts w:ascii="Arial" w:hAnsi="Arial" w:cs="Arial"/>
                <w:noProof/>
                <w:webHidden/>
              </w:rPr>
              <w:fldChar w:fldCharType="begin"/>
            </w:r>
            <w:r w:rsidRPr="00CE16DE">
              <w:rPr>
                <w:rFonts w:ascii="Arial" w:hAnsi="Arial" w:cs="Arial"/>
                <w:noProof/>
                <w:webHidden/>
              </w:rPr>
              <w:instrText xml:space="preserve"> PAGEREF _Toc109922662 \h </w:instrText>
            </w:r>
            <w:r w:rsidRPr="00CE16DE">
              <w:rPr>
                <w:rFonts w:ascii="Arial" w:hAnsi="Arial" w:cs="Arial"/>
                <w:noProof/>
                <w:webHidden/>
              </w:rPr>
            </w:r>
            <w:r w:rsidRPr="00CE16DE">
              <w:rPr>
                <w:rFonts w:ascii="Arial" w:hAnsi="Arial" w:cs="Arial"/>
                <w:noProof/>
                <w:webHidden/>
              </w:rPr>
              <w:fldChar w:fldCharType="separate"/>
            </w:r>
            <w:r w:rsidR="001F7874">
              <w:rPr>
                <w:rFonts w:ascii="Arial" w:hAnsi="Arial" w:cs="Arial"/>
                <w:noProof/>
                <w:webHidden/>
              </w:rPr>
              <w:t>202</w:t>
            </w:r>
            <w:r w:rsidRPr="00CE16DE">
              <w:rPr>
                <w:rFonts w:ascii="Arial" w:hAnsi="Arial" w:cs="Arial"/>
                <w:noProof/>
                <w:webHidden/>
              </w:rPr>
              <w:fldChar w:fldCharType="end"/>
            </w:r>
          </w:hyperlink>
        </w:p>
        <w:p w14:paraId="564CAFA9" w14:textId="776F95E4" w:rsidR="005764D1" w:rsidRPr="00CE16DE" w:rsidRDefault="005764D1">
          <w:pPr>
            <w:pStyle w:val="TOC2"/>
            <w:rPr>
              <w:rFonts w:ascii="Arial" w:eastAsiaTheme="minorEastAsia" w:hAnsi="Arial" w:cs="Arial"/>
              <w:noProof/>
              <w:szCs w:val="22"/>
              <w:lang w:eastAsia="en-GB"/>
            </w:rPr>
          </w:pPr>
          <w:hyperlink w:anchor="_Toc109922663" w:history="1">
            <w:r w:rsidRPr="00760B46">
              <w:rPr>
                <w:rStyle w:val="Hyperlink"/>
                <w:rFonts w:ascii="Arial" w:hAnsi="Arial" w:cs="Arial"/>
                <w:noProof/>
              </w:rPr>
              <w:t>Group Cash Flow Statement</w:t>
            </w:r>
            <w:r w:rsidRPr="00CE16DE">
              <w:rPr>
                <w:rFonts w:ascii="Arial" w:hAnsi="Arial" w:cs="Arial"/>
                <w:noProof/>
                <w:webHidden/>
              </w:rPr>
              <w:tab/>
            </w:r>
            <w:r w:rsidRPr="00CE16DE">
              <w:rPr>
                <w:rFonts w:ascii="Arial" w:hAnsi="Arial" w:cs="Arial"/>
                <w:noProof/>
                <w:webHidden/>
              </w:rPr>
              <w:fldChar w:fldCharType="begin"/>
            </w:r>
            <w:r w:rsidRPr="00CE16DE">
              <w:rPr>
                <w:rFonts w:ascii="Arial" w:hAnsi="Arial" w:cs="Arial"/>
                <w:noProof/>
                <w:webHidden/>
              </w:rPr>
              <w:instrText xml:space="preserve"> PAGEREF _Toc109922663 \h </w:instrText>
            </w:r>
            <w:r w:rsidRPr="00CE16DE">
              <w:rPr>
                <w:rFonts w:ascii="Arial" w:hAnsi="Arial" w:cs="Arial"/>
                <w:noProof/>
                <w:webHidden/>
              </w:rPr>
            </w:r>
            <w:r w:rsidRPr="00CE16DE">
              <w:rPr>
                <w:rFonts w:ascii="Arial" w:hAnsi="Arial" w:cs="Arial"/>
                <w:noProof/>
                <w:webHidden/>
              </w:rPr>
              <w:fldChar w:fldCharType="separate"/>
            </w:r>
            <w:r w:rsidR="001F7874">
              <w:rPr>
                <w:rFonts w:ascii="Arial" w:hAnsi="Arial" w:cs="Arial"/>
                <w:noProof/>
                <w:webHidden/>
              </w:rPr>
              <w:t>203</w:t>
            </w:r>
            <w:r w:rsidRPr="00CE16DE">
              <w:rPr>
                <w:rFonts w:ascii="Arial" w:hAnsi="Arial" w:cs="Arial"/>
                <w:noProof/>
                <w:webHidden/>
              </w:rPr>
              <w:fldChar w:fldCharType="end"/>
            </w:r>
          </w:hyperlink>
        </w:p>
        <w:p w14:paraId="56FBC960" w14:textId="7F9FA261" w:rsidR="005764D1" w:rsidRPr="00760B46" w:rsidRDefault="005764D1" w:rsidP="006F1659">
          <w:pPr>
            <w:pStyle w:val="TOC1"/>
            <w:tabs>
              <w:tab w:val="right" w:leader="dot" w:pos="9016"/>
            </w:tabs>
            <w:spacing w:line="360" w:lineRule="auto"/>
            <w:rPr>
              <w:rFonts w:ascii="Arial" w:eastAsiaTheme="minorEastAsia" w:hAnsi="Arial" w:cs="Arial"/>
              <w:noProof/>
              <w:szCs w:val="22"/>
              <w:lang w:eastAsia="en-GB"/>
            </w:rPr>
          </w:pPr>
          <w:hyperlink w:anchor="_Toc109922664" w:history="1">
            <w:r w:rsidRPr="00760B46">
              <w:rPr>
                <w:rStyle w:val="Hyperlink"/>
                <w:rFonts w:ascii="Arial" w:hAnsi="Arial" w:cs="Arial"/>
                <w:noProof/>
              </w:rPr>
              <w:t>Notes to the Group Financial Statements</w:t>
            </w:r>
            <w:r w:rsidRPr="00760B46">
              <w:rPr>
                <w:rFonts w:ascii="Arial" w:hAnsi="Arial" w:cs="Arial"/>
                <w:noProof/>
                <w:webHidden/>
              </w:rPr>
              <w:tab/>
            </w:r>
            <w:r w:rsidRPr="00760B46">
              <w:rPr>
                <w:rFonts w:ascii="Arial" w:hAnsi="Arial" w:cs="Arial"/>
                <w:noProof/>
                <w:webHidden/>
              </w:rPr>
              <w:fldChar w:fldCharType="begin"/>
            </w:r>
            <w:r w:rsidRPr="00760B46">
              <w:rPr>
                <w:rFonts w:ascii="Arial" w:hAnsi="Arial" w:cs="Arial"/>
                <w:noProof/>
                <w:webHidden/>
              </w:rPr>
              <w:instrText xml:space="preserve"> PAGEREF _Toc109922664 \h </w:instrText>
            </w:r>
            <w:r w:rsidRPr="00760B46">
              <w:rPr>
                <w:rFonts w:ascii="Arial" w:hAnsi="Arial" w:cs="Arial"/>
                <w:noProof/>
                <w:webHidden/>
              </w:rPr>
            </w:r>
            <w:r w:rsidRPr="00760B46">
              <w:rPr>
                <w:rFonts w:ascii="Arial" w:hAnsi="Arial" w:cs="Arial"/>
                <w:noProof/>
                <w:webHidden/>
              </w:rPr>
              <w:fldChar w:fldCharType="separate"/>
            </w:r>
            <w:r w:rsidR="001F7874">
              <w:rPr>
                <w:rFonts w:ascii="Arial" w:hAnsi="Arial" w:cs="Arial"/>
                <w:noProof/>
                <w:webHidden/>
              </w:rPr>
              <w:t>204</w:t>
            </w:r>
            <w:r w:rsidRPr="00760B46">
              <w:rPr>
                <w:rFonts w:ascii="Arial" w:hAnsi="Arial" w:cs="Arial"/>
                <w:noProof/>
                <w:webHidden/>
              </w:rPr>
              <w:fldChar w:fldCharType="end"/>
            </w:r>
          </w:hyperlink>
        </w:p>
        <w:p w14:paraId="7E64CD42" w14:textId="7EF4E25B" w:rsidR="005764D1" w:rsidRPr="00CE16DE" w:rsidRDefault="005764D1">
          <w:pPr>
            <w:pStyle w:val="TOC2"/>
            <w:rPr>
              <w:rFonts w:ascii="Arial" w:eastAsiaTheme="minorEastAsia" w:hAnsi="Arial" w:cs="Arial"/>
              <w:noProof/>
              <w:szCs w:val="22"/>
              <w:lang w:eastAsia="en-GB"/>
            </w:rPr>
          </w:pPr>
          <w:hyperlink w:anchor="_Toc109922695" w:history="1">
            <w:r w:rsidRPr="00760B46">
              <w:rPr>
                <w:rStyle w:val="Hyperlink"/>
                <w:rFonts w:ascii="Arial" w:hAnsi="Arial" w:cs="Arial"/>
                <w:noProof/>
              </w:rPr>
              <w:t>Police Pension Fund</w:t>
            </w:r>
            <w:r w:rsidRPr="00CE16DE">
              <w:rPr>
                <w:rFonts w:ascii="Arial" w:hAnsi="Arial" w:cs="Arial"/>
                <w:noProof/>
                <w:webHidden/>
              </w:rPr>
              <w:tab/>
            </w:r>
            <w:r w:rsidRPr="00CE16DE">
              <w:rPr>
                <w:rFonts w:ascii="Arial" w:hAnsi="Arial" w:cs="Arial"/>
                <w:noProof/>
                <w:webHidden/>
              </w:rPr>
              <w:fldChar w:fldCharType="begin"/>
            </w:r>
            <w:r w:rsidRPr="00CE16DE">
              <w:rPr>
                <w:rFonts w:ascii="Arial" w:hAnsi="Arial" w:cs="Arial"/>
                <w:noProof/>
                <w:webHidden/>
              </w:rPr>
              <w:instrText xml:space="preserve"> PAGEREF _Toc109922695 \h </w:instrText>
            </w:r>
            <w:r w:rsidRPr="00CE16DE">
              <w:rPr>
                <w:rFonts w:ascii="Arial" w:hAnsi="Arial" w:cs="Arial"/>
                <w:noProof/>
                <w:webHidden/>
              </w:rPr>
            </w:r>
            <w:r w:rsidRPr="00CE16DE">
              <w:rPr>
                <w:rFonts w:ascii="Arial" w:hAnsi="Arial" w:cs="Arial"/>
                <w:noProof/>
                <w:webHidden/>
              </w:rPr>
              <w:fldChar w:fldCharType="separate"/>
            </w:r>
            <w:r w:rsidR="001F7874">
              <w:rPr>
                <w:rFonts w:ascii="Arial" w:hAnsi="Arial" w:cs="Arial"/>
                <w:noProof/>
                <w:webHidden/>
              </w:rPr>
              <w:t>256</w:t>
            </w:r>
            <w:r w:rsidRPr="00CE16DE">
              <w:rPr>
                <w:rFonts w:ascii="Arial" w:hAnsi="Arial" w:cs="Arial"/>
                <w:noProof/>
                <w:webHidden/>
              </w:rPr>
              <w:fldChar w:fldCharType="end"/>
            </w:r>
          </w:hyperlink>
        </w:p>
        <w:p w14:paraId="7438D0EA" w14:textId="17E0A933" w:rsidR="005764D1" w:rsidRPr="00CE16DE" w:rsidRDefault="005764D1" w:rsidP="00396F57">
          <w:pPr>
            <w:pStyle w:val="TOC2"/>
            <w:rPr>
              <w:rFonts w:ascii="Arial" w:eastAsiaTheme="minorEastAsia" w:hAnsi="Arial" w:cs="Arial"/>
              <w:noProof/>
              <w:sz w:val="22"/>
              <w:szCs w:val="22"/>
              <w:lang w:eastAsia="en-GB"/>
            </w:rPr>
          </w:pPr>
          <w:hyperlink w:anchor="_Toc109922700" w:history="1">
            <w:r w:rsidRPr="00760B46">
              <w:rPr>
                <w:rStyle w:val="Hyperlink"/>
                <w:rFonts w:ascii="Arial" w:hAnsi="Arial" w:cs="Arial"/>
                <w:noProof/>
              </w:rPr>
              <w:t>Glossary of Financial Terms</w:t>
            </w:r>
            <w:r w:rsidRPr="00CE16DE">
              <w:rPr>
                <w:rFonts w:ascii="Arial" w:hAnsi="Arial" w:cs="Arial"/>
                <w:noProof/>
                <w:webHidden/>
              </w:rPr>
              <w:tab/>
            </w:r>
            <w:r w:rsidRPr="00CE16DE">
              <w:rPr>
                <w:rFonts w:ascii="Arial" w:hAnsi="Arial" w:cs="Arial"/>
                <w:noProof/>
                <w:webHidden/>
              </w:rPr>
              <w:fldChar w:fldCharType="begin"/>
            </w:r>
            <w:r w:rsidRPr="00CE16DE">
              <w:rPr>
                <w:rFonts w:ascii="Arial" w:hAnsi="Arial" w:cs="Arial"/>
                <w:noProof/>
                <w:webHidden/>
              </w:rPr>
              <w:instrText xml:space="preserve"> PAGEREF _Toc109922700 \h </w:instrText>
            </w:r>
            <w:r w:rsidRPr="00CE16DE">
              <w:rPr>
                <w:rFonts w:ascii="Arial" w:hAnsi="Arial" w:cs="Arial"/>
                <w:noProof/>
                <w:webHidden/>
              </w:rPr>
            </w:r>
            <w:r w:rsidRPr="00CE16DE">
              <w:rPr>
                <w:rFonts w:ascii="Arial" w:hAnsi="Arial" w:cs="Arial"/>
                <w:noProof/>
                <w:webHidden/>
              </w:rPr>
              <w:fldChar w:fldCharType="separate"/>
            </w:r>
            <w:r w:rsidR="001F7874">
              <w:rPr>
                <w:rFonts w:ascii="Arial" w:hAnsi="Arial" w:cs="Arial"/>
                <w:noProof/>
                <w:webHidden/>
              </w:rPr>
              <w:t>259</w:t>
            </w:r>
            <w:r w:rsidRPr="00CE16DE">
              <w:rPr>
                <w:rFonts w:ascii="Arial" w:hAnsi="Arial" w:cs="Arial"/>
                <w:noProof/>
                <w:webHidden/>
              </w:rPr>
              <w:fldChar w:fldCharType="end"/>
            </w:r>
          </w:hyperlink>
        </w:p>
        <w:p w14:paraId="451A6560" w14:textId="0C7B7182" w:rsidR="0074597D" w:rsidRPr="003B46BF" w:rsidRDefault="0074597D" w:rsidP="006F1659">
          <w:pPr>
            <w:spacing w:line="360" w:lineRule="auto"/>
          </w:pPr>
          <w:r w:rsidRPr="00760B46">
            <w:rPr>
              <w:rFonts w:ascii="Arial" w:hAnsi="Arial" w:cs="Arial"/>
              <w:b/>
              <w:bCs/>
              <w:noProof/>
            </w:rPr>
            <w:fldChar w:fldCharType="end"/>
          </w:r>
        </w:p>
      </w:sdtContent>
    </w:sdt>
    <w:p w14:paraId="69D61D41" w14:textId="562D3ECC" w:rsidR="005F371A" w:rsidRPr="003B46BF" w:rsidRDefault="005F371A" w:rsidP="006F1659">
      <w:pPr>
        <w:tabs>
          <w:tab w:val="center" w:pos="8640"/>
        </w:tabs>
        <w:spacing w:line="360" w:lineRule="auto"/>
        <w:rPr>
          <w:rFonts w:ascii="Arial" w:hAnsi="Arial" w:cs="Arial"/>
          <w:b/>
          <w:sz w:val="22"/>
          <w:szCs w:val="22"/>
        </w:rPr>
      </w:pPr>
    </w:p>
    <w:p w14:paraId="21BB5D47" w14:textId="77777777" w:rsidR="00D64FA5" w:rsidRPr="00BE35F9" w:rsidRDefault="00D64FA5" w:rsidP="006F1659">
      <w:pPr>
        <w:tabs>
          <w:tab w:val="center" w:pos="8460"/>
        </w:tabs>
        <w:spacing w:after="240" w:line="360" w:lineRule="auto"/>
        <w:rPr>
          <w:rFonts w:ascii="Arial" w:hAnsi="Arial" w:cs="Arial"/>
          <w:sz w:val="22"/>
          <w:szCs w:val="22"/>
          <w:highlight w:val="yellow"/>
        </w:rPr>
      </w:pPr>
    </w:p>
    <w:p w14:paraId="2BF636C0" w14:textId="77777777" w:rsidR="00D64FA5" w:rsidRPr="00BE35F9" w:rsidRDefault="00D64FA5" w:rsidP="006F1659">
      <w:pPr>
        <w:tabs>
          <w:tab w:val="center" w:pos="9000"/>
        </w:tabs>
        <w:spacing w:after="240" w:line="360" w:lineRule="auto"/>
        <w:rPr>
          <w:rFonts w:ascii="Arial" w:hAnsi="Arial" w:cs="Arial"/>
          <w:sz w:val="22"/>
          <w:szCs w:val="22"/>
          <w:highlight w:val="yellow"/>
        </w:rPr>
      </w:pPr>
    </w:p>
    <w:p w14:paraId="1F9F21F1" w14:textId="77777777" w:rsidR="00D64FA5" w:rsidRPr="00BE35F9" w:rsidRDefault="00D64FA5" w:rsidP="006F1659">
      <w:pPr>
        <w:spacing w:line="360" w:lineRule="auto"/>
        <w:rPr>
          <w:rFonts w:ascii="Arial" w:hAnsi="Arial" w:cs="Arial"/>
          <w:sz w:val="22"/>
          <w:szCs w:val="22"/>
          <w:highlight w:val="yellow"/>
        </w:rPr>
        <w:sectPr w:rsidR="00D64FA5" w:rsidRPr="00BE35F9" w:rsidSect="004833A2">
          <w:headerReference w:type="default" r:id="rId11"/>
          <w:footerReference w:type="default" r:id="rId12"/>
          <w:pgSz w:w="11906" w:h="16838"/>
          <w:pgMar w:top="946" w:right="1800" w:bottom="1440" w:left="1080" w:header="708" w:footer="708" w:gutter="0"/>
          <w:cols w:space="708"/>
          <w:docGrid w:linePitch="360"/>
        </w:sectPr>
      </w:pPr>
    </w:p>
    <w:p w14:paraId="36CEDCD9" w14:textId="066EA957" w:rsidR="00AD2D07" w:rsidRPr="00BE35F9" w:rsidRDefault="00D64FA5" w:rsidP="006F1659">
      <w:pPr>
        <w:pStyle w:val="Heading2green"/>
        <w:spacing w:line="360" w:lineRule="auto"/>
        <w:rPr>
          <w:sz w:val="28"/>
          <w:szCs w:val="28"/>
        </w:rPr>
      </w:pPr>
      <w:bookmarkStart w:id="9" w:name="_Toc109922577"/>
      <w:r w:rsidRPr="00BE35F9">
        <w:lastRenderedPageBreak/>
        <w:t>Narrative Report by the Authority Treasurer</w:t>
      </w:r>
      <w:bookmarkEnd w:id="9"/>
    </w:p>
    <w:p w14:paraId="5D625F52" w14:textId="77777777" w:rsidR="006E1394" w:rsidRPr="00192EC4" w:rsidRDefault="006E1394" w:rsidP="006F1659">
      <w:pPr>
        <w:pStyle w:val="StyleNormalAccessible"/>
        <w:spacing w:after="160"/>
        <w:rPr>
          <w:rFonts w:cs="Arial"/>
        </w:rPr>
      </w:pPr>
      <w:bookmarkStart w:id="10" w:name="_Toc92895161"/>
      <w:bookmarkStart w:id="11" w:name="_Toc109160257"/>
    </w:p>
    <w:bookmarkEnd w:id="10"/>
    <w:bookmarkEnd w:id="11"/>
    <w:p w14:paraId="1FD8BF64" w14:textId="77777777" w:rsidR="00BE35F9" w:rsidRPr="00192EC4" w:rsidRDefault="00BE35F9" w:rsidP="006F1659">
      <w:pPr>
        <w:pStyle w:val="StyleNormalAccessible"/>
        <w:spacing w:after="160"/>
        <w:rPr>
          <w:rFonts w:cs="Arial"/>
          <w:szCs w:val="24"/>
        </w:rPr>
      </w:pPr>
      <w:r w:rsidRPr="00192EC4">
        <w:rPr>
          <w:rFonts w:cs="Arial"/>
          <w:szCs w:val="24"/>
        </w:rPr>
        <w:t>Welcome to the Greater Manchester Combined Authority’s (the Authority) Annual Statement of Accounts for 2022/23. The statements have been prepared in accordance with the requirements of the Accounting Code of Practice issued by the Chartered Institute of Public Finance and Accountancy (CIPFA).</w:t>
      </w:r>
    </w:p>
    <w:p w14:paraId="59332B9B" w14:textId="77777777" w:rsidR="00BE35F9" w:rsidRPr="00192EC4"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This narrative report aims to provide information so that members of the public, Councillors, partners, stakeholders and other interested parties are able to have:</w:t>
      </w:r>
    </w:p>
    <w:p w14:paraId="1B1CAFB4" w14:textId="77777777"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A full and understandable explanation of the overarching financial position of the Authority and the financial performance for the year 2022/23;</w:t>
      </w:r>
    </w:p>
    <w:p w14:paraId="368D506D" w14:textId="77777777"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Confidence that the public money with which the Authority has been entrusted has been used and accounted for in an appropriate manner;</w:t>
      </w:r>
    </w:p>
    <w:p w14:paraId="66533CBD" w14:textId="77777777"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Assurance that the financial position of the Authority is sound and secure.</w:t>
      </w:r>
    </w:p>
    <w:p w14:paraId="224E0204" w14:textId="77777777" w:rsidR="00BE35F9" w:rsidRPr="00192EC4"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This narrative report provides information about the Authority, including the key issues affecting the Authority and its accounts. It also provides a summary of the financial position at 31 March 2023 and is structured as below:</w:t>
      </w:r>
    </w:p>
    <w:p w14:paraId="25B027C0"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How the Authority Performed in 2022/23</w:t>
      </w:r>
    </w:p>
    <w:p w14:paraId="71F1B17C"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The Authority’s Group of Companies</w:t>
      </w:r>
    </w:p>
    <w:p w14:paraId="6032DFDA"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Revenue Budget and Financial Performance 2022/23</w:t>
      </w:r>
    </w:p>
    <w:p w14:paraId="1AC28723"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Capital Programme and Financing 2022/23</w:t>
      </w:r>
    </w:p>
    <w:p w14:paraId="33C7147F"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Treasury Management Performance in 2022/23</w:t>
      </w:r>
    </w:p>
    <w:p w14:paraId="776A0A40"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Forward Look – Financial Landscape</w:t>
      </w:r>
    </w:p>
    <w:p w14:paraId="3A182958"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Core Financial Statements</w:t>
      </w:r>
      <w:r w:rsidRPr="00192EC4">
        <w:rPr>
          <w:rFonts w:ascii="Arial" w:hAnsi="Arial" w:cs="Arial"/>
          <w:b/>
          <w:sz w:val="24"/>
          <w:szCs w:val="24"/>
        </w:rPr>
        <w:br w:type="page"/>
      </w:r>
    </w:p>
    <w:p w14:paraId="4BF6E49E" w14:textId="77777777" w:rsidR="00BE35F9" w:rsidRPr="00192EC4" w:rsidRDefault="00BE35F9" w:rsidP="006F1659">
      <w:pPr>
        <w:spacing w:line="360" w:lineRule="auto"/>
        <w:rPr>
          <w:rFonts w:ascii="Arial" w:hAnsi="Arial" w:cs="Arial"/>
          <w:b/>
          <w:bCs/>
        </w:rPr>
      </w:pPr>
    </w:p>
    <w:p w14:paraId="59AD5E75" w14:textId="77777777" w:rsidR="00BE35F9" w:rsidRPr="00192EC4" w:rsidRDefault="00BE35F9" w:rsidP="006F1659">
      <w:pPr>
        <w:spacing w:line="360" w:lineRule="auto"/>
        <w:rPr>
          <w:rFonts w:ascii="Arial" w:hAnsi="Arial" w:cs="Arial"/>
          <w:b/>
          <w:bCs/>
          <w:u w:val="single"/>
        </w:rPr>
      </w:pPr>
      <w:r w:rsidRPr="00192EC4">
        <w:rPr>
          <w:rFonts w:ascii="Arial" w:hAnsi="Arial" w:cs="Arial"/>
          <w:b/>
          <w:bCs/>
          <w:u w:val="single"/>
        </w:rPr>
        <w:t>Introduction to the Greater Manchester Combined Authority</w:t>
      </w:r>
    </w:p>
    <w:p w14:paraId="6B0D9F45" w14:textId="77777777" w:rsidR="00BE35F9" w:rsidRPr="00192EC4" w:rsidRDefault="00BE35F9" w:rsidP="006F1659">
      <w:pPr>
        <w:spacing w:line="360" w:lineRule="auto"/>
        <w:rPr>
          <w:rFonts w:ascii="Arial" w:hAnsi="Arial" w:cs="Arial"/>
          <w:b/>
          <w:bCs/>
          <w:u w:val="single"/>
        </w:rPr>
      </w:pPr>
    </w:p>
    <w:p w14:paraId="04A40212" w14:textId="77777777" w:rsidR="00BE35F9" w:rsidRPr="00192EC4" w:rsidRDefault="00BE35F9" w:rsidP="006F1659">
      <w:pPr>
        <w:spacing w:line="360" w:lineRule="auto"/>
        <w:rPr>
          <w:rFonts w:ascii="Arial" w:hAnsi="Arial" w:cs="Arial"/>
          <w:b/>
          <w:bCs/>
        </w:rPr>
      </w:pPr>
      <w:r w:rsidRPr="00192EC4">
        <w:rPr>
          <w:rFonts w:ascii="Arial" w:hAnsi="Arial" w:cs="Arial"/>
          <w:b/>
          <w:bCs/>
        </w:rPr>
        <w:t>Background</w:t>
      </w:r>
    </w:p>
    <w:p w14:paraId="22F02483" w14:textId="77777777" w:rsidR="00BE35F9" w:rsidRPr="00192EC4" w:rsidRDefault="00BE35F9" w:rsidP="006F1659">
      <w:pPr>
        <w:spacing w:line="360" w:lineRule="auto"/>
        <w:rPr>
          <w:rFonts w:ascii="Arial" w:hAnsi="Arial" w:cs="Arial"/>
        </w:rPr>
      </w:pPr>
    </w:p>
    <w:p w14:paraId="71B5835D" w14:textId="01112E4D" w:rsidR="00BE35F9" w:rsidRPr="00192EC4" w:rsidRDefault="00BE35F9" w:rsidP="006F1659">
      <w:pPr>
        <w:shd w:val="clear" w:color="auto" w:fill="FFFFFF"/>
        <w:spacing w:after="100" w:afterAutospacing="1" w:line="360" w:lineRule="auto"/>
        <w:rPr>
          <w:rFonts w:ascii="Arial" w:hAnsi="Arial" w:cs="Arial"/>
          <w:color w:val="212529"/>
          <w:lang w:eastAsia="en-GB"/>
        </w:rPr>
      </w:pPr>
      <w:r w:rsidRPr="00192EC4">
        <w:rPr>
          <w:rFonts w:ascii="Arial" w:hAnsi="Arial" w:cs="Arial"/>
          <w:color w:val="212529"/>
          <w:lang w:eastAsia="en-GB"/>
        </w:rPr>
        <w:t>Greater Manchester is home to more than 2.8</w:t>
      </w:r>
      <w:r w:rsidR="006B2563">
        <w:rPr>
          <w:rFonts w:ascii="Arial" w:hAnsi="Arial" w:cs="Arial"/>
          <w:color w:val="212529"/>
          <w:lang w:eastAsia="en-GB"/>
        </w:rPr>
        <w:t xml:space="preserve"> </w:t>
      </w:r>
      <w:r w:rsidRPr="00192EC4">
        <w:rPr>
          <w:rFonts w:ascii="Arial" w:hAnsi="Arial" w:cs="Arial"/>
          <w:color w:val="212529"/>
          <w:lang w:eastAsia="en-GB"/>
        </w:rPr>
        <w:t>m</w:t>
      </w:r>
      <w:r w:rsidR="006B2563">
        <w:rPr>
          <w:rFonts w:ascii="Arial" w:hAnsi="Arial" w:cs="Arial"/>
          <w:color w:val="212529"/>
          <w:lang w:eastAsia="en-GB"/>
        </w:rPr>
        <w:t>illion(m)</w:t>
      </w:r>
      <w:r w:rsidRPr="00192EC4">
        <w:rPr>
          <w:rFonts w:ascii="Arial" w:hAnsi="Arial" w:cs="Arial"/>
          <w:color w:val="212529"/>
          <w:lang w:eastAsia="en-GB"/>
        </w:rPr>
        <w:t xml:space="preserve"> people with the largest city region economy outside of London, bigger than that of Wales or Northern Ireland. The Greater Manchester vision is to make the city region one of the best places in the world to grow up, get on and grow old, through a combination of economic growth and the reform of public services.</w:t>
      </w:r>
    </w:p>
    <w:p w14:paraId="5B7D7574" w14:textId="6DE0B79E" w:rsidR="00BE35F9" w:rsidRPr="00192EC4" w:rsidRDefault="00BE35F9" w:rsidP="006F1659">
      <w:pPr>
        <w:pStyle w:val="Normal0"/>
        <w:spacing w:after="160" w:line="360" w:lineRule="auto"/>
        <w:rPr>
          <w:rFonts w:ascii="Arial" w:hAnsi="Arial" w:cs="Arial"/>
          <w:sz w:val="24"/>
          <w:szCs w:val="24"/>
        </w:rPr>
      </w:pPr>
      <w:r w:rsidRPr="00192EC4">
        <w:rPr>
          <w:rFonts w:ascii="Arial" w:hAnsi="Arial" w:cs="Arial"/>
          <w:sz w:val="24"/>
          <w:szCs w:val="24"/>
        </w:rPr>
        <w:t xml:space="preserve">The ten Greater Manchester councils (Bolton, Bury, Manchester, Oldham, Rochdale, Salford, Stockport, Tameside, Trafford and Wigan) have worked together voluntarily for many years on issues that affect everyone in the region, like transport, regeneration, and attracting investment. </w:t>
      </w:r>
      <w:r w:rsidRPr="00192EC4">
        <w:rPr>
          <w:rFonts w:ascii="Arial" w:hAnsi="Arial" w:cs="Arial"/>
          <w:sz w:val="24"/>
          <w:szCs w:val="24"/>
          <w:shd w:val="clear" w:color="auto" w:fill="FFFFFF"/>
        </w:rPr>
        <w:t xml:space="preserve">The GMCA was established on 1 April 2011 by the Greater Manchester Combined Authority Order 2011. In 2014 a devolution of powers to Greater Manchester was agreed, together with the creation of the first directly elected metro-mayor. Andy Burnham </w:t>
      </w:r>
      <w:r w:rsidR="00252539" w:rsidRPr="00192EC4">
        <w:rPr>
          <w:rFonts w:ascii="Arial" w:hAnsi="Arial" w:cs="Arial"/>
          <w:sz w:val="24"/>
          <w:szCs w:val="24"/>
          <w:shd w:val="clear" w:color="auto" w:fill="FFFFFF"/>
        </w:rPr>
        <w:t xml:space="preserve">was </w:t>
      </w:r>
      <w:r w:rsidRPr="00192EC4">
        <w:rPr>
          <w:rFonts w:ascii="Arial" w:hAnsi="Arial" w:cs="Arial"/>
          <w:sz w:val="24"/>
          <w:szCs w:val="24"/>
          <w:shd w:val="clear" w:color="auto" w:fill="FFFFFF"/>
        </w:rPr>
        <w:t xml:space="preserve">elected as </w:t>
      </w:r>
      <w:r w:rsidRPr="00192EC4">
        <w:rPr>
          <w:rFonts w:ascii="Arial" w:hAnsi="Arial" w:cs="Arial"/>
          <w:sz w:val="24"/>
          <w:szCs w:val="24"/>
        </w:rPr>
        <w:t xml:space="preserve">Greater Manchester </w:t>
      </w:r>
      <w:r w:rsidRPr="00192EC4">
        <w:rPr>
          <w:rFonts w:ascii="Arial" w:hAnsi="Arial" w:cs="Arial"/>
          <w:sz w:val="24"/>
          <w:szCs w:val="24"/>
          <w:shd w:val="clear" w:color="auto" w:fill="FFFFFF"/>
        </w:rPr>
        <w:t xml:space="preserve">Mayor in 2017 </w:t>
      </w:r>
      <w:r w:rsidRPr="00192EC4">
        <w:rPr>
          <w:rFonts w:ascii="Arial" w:hAnsi="Arial" w:cs="Arial"/>
          <w:sz w:val="24"/>
          <w:szCs w:val="24"/>
        </w:rPr>
        <w:t xml:space="preserve">and re-elected in 2021.  </w:t>
      </w:r>
    </w:p>
    <w:p w14:paraId="770FC7EB" w14:textId="4E1AD994" w:rsidR="00BE35F9" w:rsidRPr="00192EC4" w:rsidRDefault="00BE35F9" w:rsidP="006F1659">
      <w:pPr>
        <w:shd w:val="clear" w:color="auto" w:fill="FFFFFF"/>
        <w:spacing w:after="100" w:afterAutospacing="1" w:line="360" w:lineRule="auto"/>
        <w:rPr>
          <w:rFonts w:ascii="Arial" w:hAnsi="Arial" w:cs="Arial"/>
        </w:rPr>
      </w:pPr>
      <w:r w:rsidRPr="00192EC4">
        <w:rPr>
          <w:rFonts w:ascii="Arial" w:hAnsi="Arial" w:cs="Arial"/>
        </w:rPr>
        <w:t xml:space="preserve">The political body of the Greater Manchester Combined Authority (GMCA) is led jointly by the leaders of the ten Greater Manchester local authorities and the Mayor, who work with other local services, businesses, communities and other partners to improve the city region. The Mayor is Chair of the </w:t>
      </w:r>
      <w:r w:rsidR="006B2563">
        <w:rPr>
          <w:rFonts w:ascii="Arial" w:hAnsi="Arial" w:cs="Arial"/>
        </w:rPr>
        <w:t xml:space="preserve">GMCA </w:t>
      </w:r>
      <w:r w:rsidRPr="00192EC4">
        <w:rPr>
          <w:rFonts w:ascii="Arial" w:hAnsi="Arial" w:cs="Arial"/>
        </w:rPr>
        <w:t xml:space="preserve">and its eleventh member. He is supported by Deputy Mayor Kate Green who leads on Police, Crime, Criminal Justice and Fire and Deputy Mayor Paul Dennett who leads on Housing and Homelessness. </w:t>
      </w:r>
    </w:p>
    <w:p w14:paraId="337567FA" w14:textId="578B592A" w:rsidR="00BE35F9" w:rsidRPr="00192EC4" w:rsidRDefault="00BE35F9" w:rsidP="006F1659">
      <w:pPr>
        <w:shd w:val="clear" w:color="auto" w:fill="FFFFFF"/>
        <w:spacing w:after="100" w:afterAutospacing="1" w:line="360" w:lineRule="auto"/>
        <w:rPr>
          <w:rFonts w:ascii="Arial" w:hAnsi="Arial" w:cs="Arial"/>
        </w:rPr>
      </w:pPr>
      <w:r w:rsidRPr="00192EC4">
        <w:rPr>
          <w:rFonts w:ascii="Arial" w:hAnsi="Arial" w:cs="Arial"/>
        </w:rPr>
        <w:t xml:space="preserve">The GMCA political body is distinct to that of the </w:t>
      </w:r>
      <w:r w:rsidR="006B2563">
        <w:rPr>
          <w:rFonts w:ascii="Arial" w:hAnsi="Arial" w:cs="Arial"/>
        </w:rPr>
        <w:t xml:space="preserve">GMCA </w:t>
      </w:r>
      <w:r w:rsidRPr="00192EC4">
        <w:rPr>
          <w:rFonts w:ascii="Arial" w:hAnsi="Arial" w:cs="Arial"/>
        </w:rPr>
        <w:t>organisation. The political GMCA provides the political direction, governance and oversight of the activities undertaken across Greater Manchester for those areas of responsibility which are jointly owned at Greater Manchester level or those issues where voluntary pan-G</w:t>
      </w:r>
      <w:r w:rsidR="006B2563">
        <w:rPr>
          <w:rFonts w:ascii="Arial" w:hAnsi="Arial" w:cs="Arial"/>
        </w:rPr>
        <w:t xml:space="preserve">reater </w:t>
      </w:r>
      <w:r w:rsidRPr="00192EC4">
        <w:rPr>
          <w:rFonts w:ascii="Arial" w:hAnsi="Arial" w:cs="Arial"/>
        </w:rPr>
        <w:t>M</w:t>
      </w:r>
      <w:r w:rsidR="006B2563">
        <w:rPr>
          <w:rFonts w:ascii="Arial" w:hAnsi="Arial" w:cs="Arial"/>
        </w:rPr>
        <w:t>anchester</w:t>
      </w:r>
      <w:r w:rsidRPr="00192EC4">
        <w:rPr>
          <w:rFonts w:ascii="Arial" w:hAnsi="Arial" w:cs="Arial"/>
        </w:rPr>
        <w:t xml:space="preserve"> collaboration has been agreed. GMCA organisation translates that political direction into action and provides capacity for new and furthering activities. This is achieved through added value </w:t>
      </w:r>
      <w:r w:rsidR="00252539" w:rsidRPr="00192EC4">
        <w:rPr>
          <w:rFonts w:ascii="Arial" w:hAnsi="Arial" w:cs="Arial"/>
        </w:rPr>
        <w:t>in</w:t>
      </w:r>
      <w:r w:rsidRPr="00192EC4">
        <w:rPr>
          <w:rFonts w:ascii="Arial" w:hAnsi="Arial" w:cs="Arial"/>
        </w:rPr>
        <w:t xml:space="preserve"> bringing together </w:t>
      </w:r>
      <w:r w:rsidR="00252539" w:rsidRPr="00192EC4">
        <w:rPr>
          <w:rFonts w:ascii="Arial" w:hAnsi="Arial" w:cs="Arial"/>
        </w:rPr>
        <w:t xml:space="preserve">the </w:t>
      </w:r>
      <w:r w:rsidRPr="00192EC4">
        <w:rPr>
          <w:rFonts w:ascii="Arial" w:hAnsi="Arial" w:cs="Arial"/>
        </w:rPr>
        <w:t xml:space="preserve">activities at Greater Manchester level, enabling the city region to speak with a single voice, convening the system on </w:t>
      </w:r>
      <w:r w:rsidRPr="00192EC4">
        <w:rPr>
          <w:rFonts w:ascii="Arial" w:hAnsi="Arial" w:cs="Arial"/>
        </w:rPr>
        <w:lastRenderedPageBreak/>
        <w:t xml:space="preserve">behalf of all partners and providing a clear and consistent conduit to </w:t>
      </w:r>
      <w:r w:rsidR="00EC49BA" w:rsidRPr="00192EC4">
        <w:rPr>
          <w:rFonts w:ascii="Arial" w:hAnsi="Arial" w:cs="Arial"/>
        </w:rPr>
        <w:t>g</w:t>
      </w:r>
      <w:r w:rsidRPr="00192EC4">
        <w:rPr>
          <w:rFonts w:ascii="Arial" w:hAnsi="Arial" w:cs="Arial"/>
        </w:rPr>
        <w:t>overnment where Greater Manchester chooses to speak and act as one.</w:t>
      </w:r>
    </w:p>
    <w:p w14:paraId="3A22A0FC" w14:textId="77777777" w:rsidR="00BE35F9" w:rsidRPr="00192EC4" w:rsidRDefault="00BE35F9" w:rsidP="006F1659">
      <w:pPr>
        <w:pStyle w:val="Normal0"/>
        <w:spacing w:after="160" w:line="360" w:lineRule="auto"/>
        <w:rPr>
          <w:rFonts w:ascii="Arial" w:hAnsi="Arial" w:cs="Arial"/>
          <w:b/>
          <w:bCs/>
          <w:sz w:val="24"/>
          <w:szCs w:val="24"/>
        </w:rPr>
      </w:pPr>
      <w:r w:rsidRPr="00192EC4">
        <w:rPr>
          <w:rFonts w:ascii="Arial" w:hAnsi="Arial" w:cs="Arial"/>
          <w:b/>
          <w:bCs/>
          <w:sz w:val="24"/>
          <w:szCs w:val="24"/>
        </w:rPr>
        <w:t>Devolution</w:t>
      </w:r>
    </w:p>
    <w:p w14:paraId="5D86C21B" w14:textId="489E5D85" w:rsidR="00BE35F9" w:rsidRPr="00192EC4" w:rsidRDefault="00BE35F9" w:rsidP="006F1659">
      <w:pPr>
        <w:pStyle w:val="Normal0"/>
        <w:spacing w:line="360" w:lineRule="auto"/>
        <w:rPr>
          <w:rFonts w:ascii="Arial" w:hAnsi="Arial" w:cs="Arial"/>
          <w:sz w:val="24"/>
          <w:szCs w:val="24"/>
        </w:rPr>
      </w:pPr>
      <w:r w:rsidRPr="00192EC4">
        <w:rPr>
          <w:rFonts w:ascii="Arial" w:hAnsi="Arial" w:cs="Arial"/>
          <w:sz w:val="24"/>
          <w:szCs w:val="24"/>
        </w:rPr>
        <w:t>Devolution is critical to the success of the Greater Manchester ambition</w:t>
      </w:r>
      <w:r w:rsidR="00252539" w:rsidRPr="00192EC4">
        <w:rPr>
          <w:rFonts w:ascii="Arial" w:hAnsi="Arial" w:cs="Arial"/>
          <w:sz w:val="24"/>
          <w:szCs w:val="24"/>
        </w:rPr>
        <w:t>.</w:t>
      </w:r>
      <w:r w:rsidRPr="00192EC4">
        <w:rPr>
          <w:rFonts w:ascii="Arial" w:hAnsi="Arial" w:cs="Arial"/>
          <w:sz w:val="24"/>
          <w:szCs w:val="24"/>
        </w:rPr>
        <w:t xml:space="preserve"> </w:t>
      </w:r>
      <w:r w:rsidR="00252539" w:rsidRPr="00192EC4">
        <w:rPr>
          <w:rFonts w:ascii="Arial" w:hAnsi="Arial" w:cs="Arial"/>
          <w:sz w:val="24"/>
          <w:szCs w:val="24"/>
        </w:rPr>
        <w:t>T</w:t>
      </w:r>
      <w:r w:rsidRPr="00192EC4">
        <w:rPr>
          <w:rFonts w:ascii="Arial" w:hAnsi="Arial" w:cs="Arial"/>
          <w:sz w:val="24"/>
          <w:szCs w:val="24"/>
        </w:rPr>
        <w:t xml:space="preserve">he devolution deals signed with </w:t>
      </w:r>
      <w:r w:rsidR="00EC49BA" w:rsidRPr="00192EC4">
        <w:rPr>
          <w:rFonts w:ascii="Arial" w:hAnsi="Arial" w:cs="Arial"/>
          <w:sz w:val="24"/>
          <w:szCs w:val="24"/>
        </w:rPr>
        <w:t>g</w:t>
      </w:r>
      <w:r w:rsidRPr="00192EC4">
        <w:rPr>
          <w:rFonts w:ascii="Arial" w:hAnsi="Arial" w:cs="Arial"/>
          <w:sz w:val="24"/>
          <w:szCs w:val="24"/>
        </w:rPr>
        <w:t>overnment means that the region has a much greater control of its future and more say over the decisions that can improve the lives of all residents. The city</w:t>
      </w:r>
      <w:r w:rsidR="00252539" w:rsidRPr="00192EC4">
        <w:rPr>
          <w:rFonts w:ascii="Arial" w:hAnsi="Arial" w:cs="Arial"/>
          <w:sz w:val="24"/>
          <w:szCs w:val="24"/>
        </w:rPr>
        <w:t xml:space="preserve"> </w:t>
      </w:r>
      <w:r w:rsidRPr="00192EC4">
        <w:rPr>
          <w:rFonts w:ascii="Arial" w:hAnsi="Arial" w:cs="Arial"/>
          <w:sz w:val="24"/>
          <w:szCs w:val="24"/>
        </w:rPr>
        <w:t xml:space="preserve">region built upon its innovative 2014 Devolution Agreement with an initial £6 billion </w:t>
      </w:r>
      <w:r w:rsidR="006B2563">
        <w:rPr>
          <w:rFonts w:ascii="Arial" w:hAnsi="Arial" w:cs="Arial"/>
          <w:sz w:val="24"/>
          <w:szCs w:val="24"/>
        </w:rPr>
        <w:t xml:space="preserve">(bn) </w:t>
      </w:r>
      <w:r w:rsidRPr="00192EC4">
        <w:rPr>
          <w:rFonts w:ascii="Arial" w:hAnsi="Arial" w:cs="Arial"/>
          <w:sz w:val="24"/>
          <w:szCs w:val="24"/>
        </w:rPr>
        <w:t xml:space="preserve">health and social care devolution deal in February 2015. Since then, there have been five further deals. The appointment of an elected Mayor in 2017 provided additional accountability to this process and through these devolution agreements, the region has more powers and control over budgets, including: </w:t>
      </w:r>
    </w:p>
    <w:p w14:paraId="15D1687E" w14:textId="74806928" w:rsidR="00BE35F9" w:rsidRPr="00192EC4" w:rsidRDefault="00BE35F9" w:rsidP="006F1659">
      <w:pPr>
        <w:pStyle w:val="ListParagraph"/>
        <w:numPr>
          <w:ilvl w:val="0"/>
          <w:numId w:val="66"/>
        </w:numPr>
        <w:spacing w:after="0" w:line="360" w:lineRule="auto"/>
        <w:rPr>
          <w:rFonts w:ascii="Arial" w:hAnsi="Arial" w:cs="Arial"/>
          <w:sz w:val="24"/>
          <w:szCs w:val="24"/>
        </w:rPr>
      </w:pPr>
      <w:r w:rsidRPr="00192EC4">
        <w:rPr>
          <w:rFonts w:ascii="Arial" w:hAnsi="Arial" w:cs="Arial"/>
          <w:sz w:val="24"/>
          <w:szCs w:val="24"/>
        </w:rPr>
        <w:t>More control of local transport, with a long</w:t>
      </w:r>
      <w:r w:rsidR="006B2563">
        <w:rPr>
          <w:rFonts w:ascii="Arial" w:hAnsi="Arial" w:cs="Arial"/>
          <w:sz w:val="24"/>
          <w:szCs w:val="24"/>
        </w:rPr>
        <w:t>-</w:t>
      </w:r>
      <w:r w:rsidRPr="00192EC4">
        <w:rPr>
          <w:rFonts w:ascii="Arial" w:hAnsi="Arial" w:cs="Arial"/>
          <w:sz w:val="24"/>
          <w:szCs w:val="24"/>
        </w:rPr>
        <w:t>term government budget to help plan a more modern, better connected network.</w:t>
      </w:r>
    </w:p>
    <w:p w14:paraId="1DA265B8" w14:textId="77777777" w:rsidR="00BE35F9" w:rsidRPr="00192EC4" w:rsidRDefault="00BE35F9" w:rsidP="006F1659">
      <w:pPr>
        <w:pStyle w:val="ListParagraph"/>
        <w:numPr>
          <w:ilvl w:val="0"/>
          <w:numId w:val="66"/>
        </w:numPr>
        <w:spacing w:after="0" w:line="360" w:lineRule="auto"/>
        <w:rPr>
          <w:rFonts w:ascii="Arial" w:hAnsi="Arial" w:cs="Arial"/>
          <w:sz w:val="24"/>
          <w:szCs w:val="24"/>
        </w:rPr>
      </w:pPr>
      <w:r w:rsidRPr="00192EC4">
        <w:rPr>
          <w:rFonts w:ascii="Arial" w:hAnsi="Arial" w:cs="Arial"/>
          <w:sz w:val="24"/>
          <w:szCs w:val="24"/>
        </w:rPr>
        <w:t>100% retention of business rates, to fund projects / activity that supports economic growth.</w:t>
      </w:r>
    </w:p>
    <w:p w14:paraId="7A25034E" w14:textId="5FCA38AA" w:rsidR="00BE35F9" w:rsidRPr="00192EC4" w:rsidRDefault="00BE35F9" w:rsidP="006F1659">
      <w:pPr>
        <w:pStyle w:val="ListParagraph"/>
        <w:numPr>
          <w:ilvl w:val="0"/>
          <w:numId w:val="66"/>
        </w:numPr>
        <w:spacing w:after="0" w:line="360" w:lineRule="auto"/>
        <w:rPr>
          <w:rFonts w:ascii="Arial" w:hAnsi="Arial" w:cs="Arial"/>
          <w:sz w:val="24"/>
          <w:szCs w:val="24"/>
        </w:rPr>
      </w:pPr>
      <w:r w:rsidRPr="00192EC4">
        <w:rPr>
          <w:rFonts w:ascii="Arial" w:hAnsi="Arial" w:cs="Arial"/>
          <w:sz w:val="24"/>
          <w:szCs w:val="24"/>
        </w:rPr>
        <w:t>Planning powers to encourage regeneration and development</w:t>
      </w:r>
      <w:r w:rsidR="006B2563">
        <w:rPr>
          <w:rFonts w:ascii="Arial" w:hAnsi="Arial" w:cs="Arial"/>
          <w:sz w:val="24"/>
          <w:szCs w:val="24"/>
        </w:rPr>
        <w:t>.</w:t>
      </w:r>
    </w:p>
    <w:p w14:paraId="78FCC1C4" w14:textId="7288525A" w:rsidR="00BE35F9" w:rsidRPr="00192EC4" w:rsidRDefault="00BE35F9" w:rsidP="006F1659">
      <w:pPr>
        <w:pStyle w:val="ListParagraph"/>
        <w:numPr>
          <w:ilvl w:val="0"/>
          <w:numId w:val="66"/>
        </w:numPr>
        <w:spacing w:after="0" w:line="360" w:lineRule="auto"/>
        <w:rPr>
          <w:rFonts w:ascii="Arial" w:hAnsi="Arial" w:cs="Arial"/>
          <w:sz w:val="24"/>
          <w:szCs w:val="24"/>
        </w:rPr>
      </w:pPr>
      <w:r w:rsidRPr="00192EC4">
        <w:rPr>
          <w:rFonts w:ascii="Arial" w:hAnsi="Arial" w:cs="Arial"/>
          <w:sz w:val="24"/>
          <w:szCs w:val="24"/>
        </w:rPr>
        <w:t>A £300m fund for housing, enough for an extra 15,000 new homes over ten years</w:t>
      </w:r>
      <w:r w:rsidR="006B2563">
        <w:rPr>
          <w:rFonts w:ascii="Arial" w:hAnsi="Arial" w:cs="Arial"/>
          <w:sz w:val="24"/>
          <w:szCs w:val="24"/>
        </w:rPr>
        <w:t>.</w:t>
      </w:r>
    </w:p>
    <w:p w14:paraId="13A274EA" w14:textId="77777777" w:rsidR="00BE35F9" w:rsidRPr="00192EC4" w:rsidRDefault="00BE35F9" w:rsidP="006F1659">
      <w:pPr>
        <w:pStyle w:val="ListParagraph"/>
        <w:numPr>
          <w:ilvl w:val="0"/>
          <w:numId w:val="66"/>
        </w:numPr>
        <w:spacing w:after="0" w:line="360" w:lineRule="auto"/>
        <w:rPr>
          <w:rFonts w:ascii="Arial" w:hAnsi="Arial" w:cs="Arial"/>
          <w:sz w:val="24"/>
          <w:szCs w:val="24"/>
        </w:rPr>
      </w:pPr>
      <w:r w:rsidRPr="00192EC4">
        <w:rPr>
          <w:rFonts w:ascii="Arial" w:hAnsi="Arial" w:cs="Arial"/>
          <w:sz w:val="24"/>
          <w:szCs w:val="24"/>
        </w:rPr>
        <w:t>Extra funding to get up to 50,000 people back into work.</w:t>
      </w:r>
    </w:p>
    <w:p w14:paraId="5A6C0076" w14:textId="77777777" w:rsidR="00BE35F9" w:rsidRPr="00192EC4" w:rsidRDefault="00BE35F9" w:rsidP="006F1659">
      <w:pPr>
        <w:pStyle w:val="ListParagraph"/>
        <w:numPr>
          <w:ilvl w:val="0"/>
          <w:numId w:val="66"/>
        </w:numPr>
        <w:spacing w:after="0" w:line="360" w:lineRule="auto"/>
        <w:rPr>
          <w:rFonts w:ascii="Arial" w:hAnsi="Arial" w:cs="Arial"/>
          <w:sz w:val="24"/>
          <w:szCs w:val="24"/>
        </w:rPr>
      </w:pPr>
      <w:r w:rsidRPr="00192EC4">
        <w:rPr>
          <w:rFonts w:ascii="Arial" w:hAnsi="Arial" w:cs="Arial"/>
          <w:sz w:val="24"/>
          <w:szCs w:val="24"/>
        </w:rPr>
        <w:t>Local control over adult skills funding to work with skills providers to develop more work-related training.</w:t>
      </w:r>
    </w:p>
    <w:p w14:paraId="7C5A8555" w14:textId="77777777" w:rsidR="00BE35F9" w:rsidRPr="00192EC4" w:rsidRDefault="00BE35F9" w:rsidP="006F1659">
      <w:pPr>
        <w:pStyle w:val="ListParagraph"/>
        <w:numPr>
          <w:ilvl w:val="0"/>
          <w:numId w:val="66"/>
        </w:numPr>
        <w:spacing w:after="0" w:line="360" w:lineRule="auto"/>
        <w:rPr>
          <w:rFonts w:ascii="Arial" w:hAnsi="Arial" w:cs="Arial"/>
          <w:sz w:val="24"/>
          <w:szCs w:val="24"/>
        </w:rPr>
      </w:pPr>
      <w:r w:rsidRPr="00192EC4">
        <w:rPr>
          <w:rFonts w:ascii="Arial" w:hAnsi="Arial" w:cs="Arial"/>
          <w:sz w:val="24"/>
          <w:szCs w:val="24"/>
        </w:rPr>
        <w:t xml:space="preserve">Control of investment through a new ‘earn back’ funding arrangement which gives extra money for the region’s infrastructure to support economic growth. </w:t>
      </w:r>
    </w:p>
    <w:p w14:paraId="37B9FF3F" w14:textId="77777777" w:rsidR="00BE35F9" w:rsidRPr="00192EC4" w:rsidRDefault="00BE35F9" w:rsidP="006F1659">
      <w:pPr>
        <w:spacing w:line="360" w:lineRule="auto"/>
        <w:rPr>
          <w:rFonts w:ascii="Arial" w:hAnsi="Arial" w:cs="Arial"/>
        </w:rPr>
      </w:pPr>
    </w:p>
    <w:p w14:paraId="7581E6FB" w14:textId="2A27DE32" w:rsidR="00BE35F9" w:rsidRPr="00192EC4" w:rsidRDefault="00BE35F9" w:rsidP="006F1659">
      <w:pPr>
        <w:spacing w:line="360" w:lineRule="auto"/>
        <w:rPr>
          <w:rFonts w:ascii="Arial" w:hAnsi="Arial" w:cs="Arial"/>
        </w:rPr>
      </w:pPr>
      <w:r w:rsidRPr="00192EC4">
        <w:rPr>
          <w:rFonts w:ascii="Arial" w:hAnsi="Arial" w:cs="Arial"/>
        </w:rPr>
        <w:t xml:space="preserve">The elected Mayor is also responsible for the Greater Manchester Fire and Rescue </w:t>
      </w:r>
      <w:r w:rsidR="00252539" w:rsidRPr="00192EC4">
        <w:rPr>
          <w:rFonts w:ascii="Arial" w:hAnsi="Arial" w:cs="Arial"/>
        </w:rPr>
        <w:t>S</w:t>
      </w:r>
      <w:r w:rsidRPr="00192EC4">
        <w:rPr>
          <w:rFonts w:ascii="Arial" w:hAnsi="Arial" w:cs="Arial"/>
        </w:rPr>
        <w:t xml:space="preserve">ervice </w:t>
      </w:r>
      <w:r w:rsidR="006B2563">
        <w:rPr>
          <w:rFonts w:ascii="Arial" w:hAnsi="Arial" w:cs="Arial"/>
        </w:rPr>
        <w:t xml:space="preserve">(GMFRS) </w:t>
      </w:r>
      <w:r w:rsidRPr="00192EC4">
        <w:rPr>
          <w:rFonts w:ascii="Arial" w:hAnsi="Arial" w:cs="Arial"/>
        </w:rPr>
        <w:t>and holds the role of Police and Crime Commissioner</w:t>
      </w:r>
      <w:r w:rsidR="006B2563">
        <w:rPr>
          <w:rFonts w:ascii="Arial" w:hAnsi="Arial" w:cs="Arial"/>
        </w:rPr>
        <w:t xml:space="preserve"> (PCC)</w:t>
      </w:r>
      <w:r w:rsidRPr="00192EC4">
        <w:rPr>
          <w:rFonts w:ascii="Arial" w:hAnsi="Arial" w:cs="Arial"/>
        </w:rPr>
        <w:t xml:space="preserve">. The Deputy Mayor for Policing, Crime, Criminal Justice and Fire sets the priorities and strategy, and holds the Chief Constable and Chief Fire Officer to account for the effective and efficient delivery of services. </w:t>
      </w:r>
    </w:p>
    <w:p w14:paraId="138715E2" w14:textId="77777777" w:rsidR="00BE35F9" w:rsidRPr="00192EC4" w:rsidRDefault="00BE35F9" w:rsidP="006F1659">
      <w:pPr>
        <w:spacing w:line="360" w:lineRule="auto"/>
        <w:rPr>
          <w:rFonts w:ascii="Arial" w:hAnsi="Arial" w:cs="Arial"/>
        </w:rPr>
      </w:pPr>
    </w:p>
    <w:p w14:paraId="405F4BC1" w14:textId="2E9EAD0B" w:rsidR="00BE35F9" w:rsidRPr="00192EC4" w:rsidRDefault="00BE35F9" w:rsidP="006F1659">
      <w:pPr>
        <w:spacing w:line="360" w:lineRule="auto"/>
        <w:rPr>
          <w:rFonts w:ascii="Arial" w:hAnsi="Arial" w:cs="Arial"/>
        </w:rPr>
      </w:pPr>
      <w:r w:rsidRPr="00192EC4">
        <w:rPr>
          <w:rFonts w:ascii="Arial" w:hAnsi="Arial" w:cs="Arial"/>
        </w:rPr>
        <w:t xml:space="preserve">Greater Manchester’s ambitious plans for future devolution will enable </w:t>
      </w:r>
      <w:r w:rsidR="006B2563">
        <w:rPr>
          <w:rFonts w:ascii="Arial" w:hAnsi="Arial" w:cs="Arial"/>
        </w:rPr>
        <w:t xml:space="preserve">the region </w:t>
      </w:r>
      <w:r w:rsidRPr="00192EC4">
        <w:rPr>
          <w:rFonts w:ascii="Arial" w:hAnsi="Arial" w:cs="Arial"/>
        </w:rPr>
        <w:t xml:space="preserve">to continue to support and develop opportunities for the people, places and businesses across the city region. GMCA through the strategic partnerships with the Health and </w:t>
      </w:r>
      <w:r w:rsidRPr="00192EC4">
        <w:rPr>
          <w:rFonts w:ascii="Arial" w:hAnsi="Arial" w:cs="Arial"/>
        </w:rPr>
        <w:lastRenderedPageBreak/>
        <w:t>Care System and Transport for Greater Manchester (TfGM), ensures alignment and coordination of activities across these operations, enabling all parts of the Greater Manchester system to work together to meet the shared ambitions in the Greater Manchester Strategy.</w:t>
      </w:r>
    </w:p>
    <w:p w14:paraId="22E9FDFC" w14:textId="77777777" w:rsidR="00BE35F9" w:rsidRPr="00192EC4" w:rsidRDefault="00BE35F9" w:rsidP="006F1659">
      <w:pPr>
        <w:spacing w:line="360" w:lineRule="auto"/>
        <w:rPr>
          <w:rFonts w:ascii="Arial" w:hAnsi="Arial" w:cs="Arial"/>
        </w:rPr>
      </w:pPr>
    </w:p>
    <w:p w14:paraId="05C18258" w14:textId="1C3C3F42" w:rsidR="00BE35F9" w:rsidRPr="00192EC4" w:rsidRDefault="00BE35F9" w:rsidP="006F1659">
      <w:pPr>
        <w:spacing w:line="360" w:lineRule="auto"/>
        <w:rPr>
          <w:rFonts w:ascii="Arial" w:hAnsi="Arial" w:cs="Arial"/>
        </w:rPr>
      </w:pPr>
      <w:r w:rsidRPr="00192EC4">
        <w:rPr>
          <w:rFonts w:ascii="Arial" w:hAnsi="Arial" w:cs="Arial"/>
          <w:color w:val="212529"/>
          <w:shd w:val="clear" w:color="auto" w:fill="FFFFFF"/>
        </w:rPr>
        <w:t xml:space="preserve">At the end of March 2023, the </w:t>
      </w:r>
      <w:r w:rsidRPr="00192EC4">
        <w:rPr>
          <w:rFonts w:ascii="Arial" w:hAnsi="Arial" w:cs="Arial"/>
          <w:color w:val="212529"/>
          <w:lang w:eastAsia="en-GB"/>
        </w:rPr>
        <w:t xml:space="preserve">Mayor of Greater Manchester and the </w:t>
      </w:r>
      <w:r w:rsidRPr="00192EC4">
        <w:rPr>
          <w:rFonts w:ascii="Arial" w:hAnsi="Arial" w:cs="Arial"/>
          <w:color w:val="212529"/>
        </w:rPr>
        <w:t xml:space="preserve">ten Greater Manchester Council </w:t>
      </w:r>
      <w:r w:rsidRPr="00192EC4">
        <w:rPr>
          <w:rFonts w:ascii="Arial" w:hAnsi="Arial" w:cs="Arial"/>
          <w:color w:val="212529"/>
          <w:lang w:eastAsia="en-GB"/>
        </w:rPr>
        <w:t>Leaders were joined by Minister of State for Levelling Up to add their signatures to a new</w:t>
      </w:r>
      <w:r w:rsidR="00923EED">
        <w:rPr>
          <w:rFonts w:ascii="Arial" w:hAnsi="Arial" w:cs="Arial"/>
          <w:color w:val="212529"/>
          <w:lang w:eastAsia="en-GB"/>
        </w:rPr>
        <w:t xml:space="preserve"> </w:t>
      </w:r>
      <w:r w:rsidR="00923EED">
        <w:rPr>
          <w:rFonts w:ascii="Arial" w:hAnsi="Arial" w:cs="Arial"/>
        </w:rPr>
        <w:t>‘Trailblazer Devolution Deal’</w:t>
      </w:r>
      <w:r w:rsidR="00923EED">
        <w:rPr>
          <w:rFonts w:ascii="Arial" w:hAnsi="Arial" w:cs="Arial"/>
          <w:color w:val="212529"/>
          <w:lang w:eastAsia="en-GB"/>
        </w:rPr>
        <w:t xml:space="preserve">. </w:t>
      </w:r>
      <w:r w:rsidRPr="00192EC4">
        <w:rPr>
          <w:rFonts w:ascii="Arial" w:hAnsi="Arial" w:cs="Arial"/>
          <w:color w:val="212529"/>
          <w:lang w:eastAsia="en-GB"/>
        </w:rPr>
        <w:t xml:space="preserve"> The new deal </w:t>
      </w:r>
      <w:r w:rsidRPr="00192EC4">
        <w:rPr>
          <w:rFonts w:ascii="Arial" w:hAnsi="Arial" w:cs="Arial"/>
          <w:color w:val="212529"/>
        </w:rPr>
        <w:t xml:space="preserve">will act as blueprint for other areas to follow. </w:t>
      </w:r>
      <w:r w:rsidRPr="00192EC4">
        <w:rPr>
          <w:rFonts w:ascii="Arial" w:hAnsi="Arial" w:cs="Arial"/>
          <w:color w:val="212529"/>
          <w:lang w:eastAsia="en-GB"/>
        </w:rPr>
        <w:t>It further embeds the role of local decision-making through additional powers and responsibilities over post-16 technical education, transport, housing, and regeneration, as well as new financial freedoms and new accountability arrangements</w:t>
      </w:r>
      <w:r w:rsidRPr="00192EC4">
        <w:rPr>
          <w:rFonts w:ascii="Arial" w:hAnsi="Arial" w:cs="Arial"/>
          <w:color w:val="212529"/>
        </w:rPr>
        <w:t xml:space="preserve">. </w:t>
      </w:r>
    </w:p>
    <w:p w14:paraId="6BB21C9E" w14:textId="77777777" w:rsidR="00BE35F9" w:rsidRPr="00192EC4" w:rsidRDefault="00BE35F9" w:rsidP="006F1659">
      <w:pPr>
        <w:spacing w:line="360" w:lineRule="auto"/>
        <w:rPr>
          <w:rFonts w:ascii="Arial" w:hAnsi="Arial" w:cs="Arial"/>
        </w:rPr>
      </w:pPr>
    </w:p>
    <w:p w14:paraId="2B00D183" w14:textId="77777777" w:rsidR="00BE35F9" w:rsidRPr="00192EC4" w:rsidRDefault="00BE35F9" w:rsidP="006F1659">
      <w:pPr>
        <w:spacing w:line="360" w:lineRule="auto"/>
        <w:rPr>
          <w:rFonts w:ascii="Arial" w:hAnsi="Arial" w:cs="Arial"/>
          <w:b/>
          <w:bCs/>
        </w:rPr>
      </w:pPr>
      <w:r w:rsidRPr="00192EC4">
        <w:rPr>
          <w:rFonts w:ascii="Arial" w:hAnsi="Arial" w:cs="Arial"/>
          <w:b/>
          <w:bCs/>
        </w:rPr>
        <w:t>The Greater Manchester Strategy</w:t>
      </w:r>
    </w:p>
    <w:p w14:paraId="597248A8" w14:textId="77777777" w:rsidR="00BE35F9" w:rsidRPr="00192EC4" w:rsidRDefault="00BE35F9" w:rsidP="006F1659">
      <w:pPr>
        <w:spacing w:line="360" w:lineRule="auto"/>
        <w:rPr>
          <w:rFonts w:ascii="Arial" w:hAnsi="Arial" w:cs="Arial"/>
          <w:b/>
          <w:bCs/>
        </w:rPr>
      </w:pPr>
    </w:p>
    <w:p w14:paraId="105A4C78" w14:textId="77777777" w:rsidR="00BE35F9" w:rsidRPr="00192EC4" w:rsidRDefault="00BE35F9" w:rsidP="006F1659">
      <w:pPr>
        <w:pStyle w:val="Normal0"/>
        <w:spacing w:after="160" w:line="360" w:lineRule="auto"/>
        <w:rPr>
          <w:rFonts w:ascii="Arial" w:hAnsi="Arial" w:cs="Arial"/>
          <w:sz w:val="24"/>
          <w:szCs w:val="24"/>
        </w:rPr>
      </w:pPr>
      <w:r w:rsidRPr="00192EC4">
        <w:rPr>
          <w:rFonts w:ascii="Arial" w:hAnsi="Arial" w:cs="Arial"/>
          <w:sz w:val="24"/>
          <w:szCs w:val="24"/>
          <w:lang w:val="en-GB"/>
        </w:rPr>
        <w:t xml:space="preserve">Greater Manchester has a vision </w:t>
      </w:r>
      <w:r w:rsidRPr="00192EC4">
        <w:rPr>
          <w:rFonts w:ascii="Arial" w:hAnsi="Arial" w:cs="Arial"/>
          <w:sz w:val="24"/>
          <w:szCs w:val="24"/>
        </w:rPr>
        <w:t xml:space="preserve">to be a place where everyone can live a good life, growing up, getting on and growing old in a greener, fairer, more prosperous city region. </w:t>
      </w:r>
      <w:r w:rsidRPr="00192EC4">
        <w:rPr>
          <w:rFonts w:ascii="Arial" w:hAnsi="Arial" w:cs="Arial"/>
          <w:bCs/>
          <w:sz w:val="24"/>
          <w:szCs w:val="24"/>
        </w:rPr>
        <w:t xml:space="preserve">The fourth Greater Manchester Strategy (GMS) was developed and subsequently adopted in 2021 </w:t>
      </w:r>
      <w:r w:rsidRPr="00192EC4">
        <w:rPr>
          <w:rFonts w:ascii="Arial" w:hAnsi="Arial" w:cs="Arial"/>
          <w:sz w:val="24"/>
          <w:szCs w:val="24"/>
        </w:rPr>
        <w:t>building from the 2017 strategy and the one year Living with COVID-19 Resilience Plan and it is the systemwide response to the Independent Inequalities’ Commission and Build Back Fairer reports.</w:t>
      </w:r>
    </w:p>
    <w:p w14:paraId="73345F99" w14:textId="3B664B94" w:rsidR="00BE35F9" w:rsidRPr="00192EC4" w:rsidRDefault="00BE35F9" w:rsidP="006F1659">
      <w:pPr>
        <w:pStyle w:val="Normal0"/>
        <w:spacing w:after="160" w:line="360" w:lineRule="auto"/>
        <w:rPr>
          <w:rFonts w:ascii="Arial" w:hAnsi="Arial" w:cs="Arial"/>
          <w:bCs/>
          <w:sz w:val="24"/>
          <w:szCs w:val="24"/>
        </w:rPr>
      </w:pPr>
      <w:r w:rsidRPr="00192EC4">
        <w:rPr>
          <w:rFonts w:ascii="Arial" w:hAnsi="Arial" w:cs="Arial"/>
          <w:bCs/>
          <w:sz w:val="24"/>
          <w:szCs w:val="24"/>
        </w:rPr>
        <w:t>The strategy sets out</w:t>
      </w:r>
      <w:r w:rsidRPr="00192EC4">
        <w:rPr>
          <w:rFonts w:ascii="Arial" w:hAnsi="Arial" w:cs="Arial"/>
          <w:sz w:val="24"/>
          <w:szCs w:val="24"/>
        </w:rPr>
        <w:t xml:space="preserve"> the city region’s vision of</w:t>
      </w:r>
      <w:r w:rsidRPr="00192EC4">
        <w:rPr>
          <w:rFonts w:ascii="Arial" w:hAnsi="Arial" w:cs="Arial"/>
          <w:b/>
          <w:bCs/>
          <w:sz w:val="24"/>
          <w:szCs w:val="24"/>
        </w:rPr>
        <w:t xml:space="preserve"> </w:t>
      </w:r>
      <w:r w:rsidRPr="00192EC4">
        <w:rPr>
          <w:rFonts w:ascii="Arial" w:hAnsi="Arial" w:cs="Arial"/>
          <w:i/>
          <w:iCs/>
          <w:sz w:val="24"/>
          <w:szCs w:val="24"/>
        </w:rPr>
        <w:t>Good Lives for All</w:t>
      </w:r>
      <w:r w:rsidRPr="00192EC4">
        <w:rPr>
          <w:rFonts w:ascii="Arial" w:hAnsi="Arial" w:cs="Arial"/>
          <w:sz w:val="24"/>
          <w:szCs w:val="24"/>
        </w:rPr>
        <w:t xml:space="preserve">: that </w:t>
      </w:r>
      <w:r w:rsidRPr="00192EC4">
        <w:rPr>
          <w:rFonts w:ascii="Arial" w:hAnsi="Arial" w:cs="Arial"/>
          <w:i/>
          <w:iCs/>
          <w:sz w:val="24"/>
          <w:szCs w:val="24"/>
        </w:rPr>
        <w:t xml:space="preserve">Greater Manchester is a great place to grow up, get on and grow old; a great place to invest, do business, visit and study. </w:t>
      </w:r>
      <w:r w:rsidRPr="00192EC4">
        <w:rPr>
          <w:rFonts w:ascii="Arial" w:hAnsi="Arial" w:cs="Arial"/>
          <w:sz w:val="24"/>
          <w:szCs w:val="24"/>
        </w:rPr>
        <w:t>It</w:t>
      </w:r>
      <w:r w:rsidRPr="00192EC4">
        <w:rPr>
          <w:rFonts w:ascii="Arial" w:hAnsi="Arial" w:cs="Arial"/>
          <w:bCs/>
          <w:sz w:val="24"/>
          <w:szCs w:val="24"/>
        </w:rPr>
        <w:t xml:space="preserve"> is Greater Manchester’s plan for recovery and renewal following the pandemic and puts responding to the interconnected challenges of inequality and climate change at its heart, providing</w:t>
      </w:r>
      <w:r w:rsidRPr="00192EC4">
        <w:rPr>
          <w:rFonts w:ascii="Arial" w:hAnsi="Arial" w:cs="Arial"/>
          <w:sz w:val="24"/>
          <w:szCs w:val="24"/>
        </w:rPr>
        <w:t xml:space="preserve"> the lenses through which Greater Manchester activity should be framed and challenging where policy or delivery is contrary to equalities and climate ambitions.</w:t>
      </w:r>
      <w:r w:rsidRPr="00192EC4">
        <w:rPr>
          <w:rFonts w:ascii="Arial" w:hAnsi="Arial" w:cs="Arial"/>
          <w:bCs/>
          <w:sz w:val="24"/>
          <w:szCs w:val="24"/>
        </w:rPr>
        <w:t xml:space="preserve"> It provides a clear direction of travel for the city</w:t>
      </w:r>
      <w:r w:rsidR="00252539" w:rsidRPr="00192EC4">
        <w:rPr>
          <w:rFonts w:ascii="Arial" w:hAnsi="Arial" w:cs="Arial"/>
          <w:bCs/>
          <w:sz w:val="24"/>
          <w:szCs w:val="24"/>
        </w:rPr>
        <w:t xml:space="preserve"> </w:t>
      </w:r>
      <w:r w:rsidRPr="00192EC4">
        <w:rPr>
          <w:rFonts w:ascii="Arial" w:hAnsi="Arial" w:cs="Arial"/>
          <w:bCs/>
          <w:sz w:val="24"/>
          <w:szCs w:val="24"/>
        </w:rPr>
        <w:t>region, focused on those areas where all parts of the conurbation need to work together to achieve our shared vision.</w:t>
      </w:r>
    </w:p>
    <w:p w14:paraId="3B445FC7" w14:textId="77777777" w:rsidR="00BE35F9" w:rsidRPr="00192EC4" w:rsidRDefault="00BE35F9" w:rsidP="006F1659">
      <w:pPr>
        <w:pStyle w:val="Normal0"/>
        <w:spacing w:after="160" w:line="360" w:lineRule="auto"/>
        <w:rPr>
          <w:rFonts w:ascii="Arial" w:hAnsi="Arial" w:cs="Arial"/>
          <w:sz w:val="24"/>
          <w:szCs w:val="24"/>
        </w:rPr>
      </w:pPr>
      <w:r w:rsidRPr="00192EC4">
        <w:rPr>
          <w:rFonts w:ascii="Arial" w:hAnsi="Arial" w:cs="Arial"/>
          <w:sz w:val="24"/>
          <w:szCs w:val="24"/>
        </w:rPr>
        <w:t xml:space="preserve">The Strategy sets out a series of shared outcomes (the Greater Manchester we want to see) and 15 shared commitments (the things we are going to do), with whole system activity required to deliver against these. It is underpinned by a performance framework </w:t>
      </w:r>
      <w:r w:rsidRPr="00192EC4">
        <w:rPr>
          <w:rFonts w:ascii="Arial" w:hAnsi="Arial" w:cs="Arial"/>
          <w:sz w:val="24"/>
          <w:szCs w:val="24"/>
        </w:rPr>
        <w:lastRenderedPageBreak/>
        <w:t xml:space="preserve">with metrics to monitor, some of which are targeted, and web-based data dashboards to inform future activity. This includes three </w:t>
      </w:r>
      <w:r w:rsidRPr="00192EC4">
        <w:rPr>
          <w:rFonts w:ascii="Arial" w:hAnsi="Arial" w:cs="Arial"/>
          <w:sz w:val="24"/>
          <w:szCs w:val="24"/>
          <w:lang w:val="en-GB"/>
        </w:rPr>
        <w:t>neighbourhood</w:t>
      </w:r>
      <w:r w:rsidRPr="00192EC4">
        <w:rPr>
          <w:rFonts w:ascii="Arial" w:hAnsi="Arial" w:cs="Arial"/>
          <w:sz w:val="24"/>
          <w:szCs w:val="24"/>
        </w:rPr>
        <w:t xml:space="preserve"> floor targets, which set minimum standards against core indicators, the intention being to highlight variance and inequality at the local levels, and to trigger collective targeted activity in response.</w:t>
      </w:r>
    </w:p>
    <w:p w14:paraId="491B1E0C" w14:textId="77777777" w:rsidR="00BE35F9" w:rsidRPr="00192EC4" w:rsidRDefault="00BE35F9" w:rsidP="006F1659">
      <w:pPr>
        <w:pStyle w:val="Normal0"/>
        <w:spacing w:after="160" w:line="360" w:lineRule="auto"/>
        <w:rPr>
          <w:rFonts w:ascii="Arial" w:hAnsi="Arial" w:cs="Arial"/>
          <w:sz w:val="24"/>
          <w:szCs w:val="24"/>
        </w:rPr>
      </w:pPr>
      <w:r w:rsidRPr="00192EC4">
        <w:rPr>
          <w:rFonts w:ascii="Arial" w:hAnsi="Arial" w:cs="Arial"/>
          <w:sz w:val="24"/>
          <w:szCs w:val="24"/>
        </w:rPr>
        <w:t xml:space="preserve">All this is underpinned by a strong foundation formed from agreed ways of working. Greater Manchester is adopting practices which will enable a consistent approach across systems, institutions and communities to come together. </w:t>
      </w:r>
      <w:bookmarkStart w:id="12" w:name="_Hlk108774439"/>
    </w:p>
    <w:p w14:paraId="305C9A83" w14:textId="77777777" w:rsidR="00BE35F9" w:rsidRPr="00192EC4" w:rsidRDefault="00BE35F9" w:rsidP="006F1659">
      <w:pPr>
        <w:spacing w:line="360" w:lineRule="auto"/>
        <w:textAlignment w:val="baseline"/>
        <w:rPr>
          <w:rFonts w:ascii="Arial" w:hAnsi="Arial" w:cs="Arial"/>
          <w:lang w:eastAsia="en-GB"/>
        </w:rPr>
      </w:pPr>
    </w:p>
    <w:p w14:paraId="6BA0597F" w14:textId="77777777" w:rsidR="00BE35F9" w:rsidRPr="00192EC4" w:rsidRDefault="00BE35F9" w:rsidP="006F1659">
      <w:pPr>
        <w:pStyle w:val="Normal0"/>
        <w:spacing w:after="160" w:line="360" w:lineRule="auto"/>
        <w:rPr>
          <w:rFonts w:ascii="Arial" w:hAnsi="Arial" w:cs="Arial"/>
          <w:b/>
          <w:sz w:val="24"/>
          <w:szCs w:val="24"/>
        </w:rPr>
      </w:pPr>
      <w:r w:rsidRPr="00192EC4">
        <w:rPr>
          <w:rFonts w:ascii="Arial" w:hAnsi="Arial" w:cs="Arial"/>
          <w:b/>
          <w:sz w:val="24"/>
          <w:szCs w:val="24"/>
        </w:rPr>
        <w:t>Overview of the GMCA organisation</w:t>
      </w:r>
    </w:p>
    <w:p w14:paraId="0196490A" w14:textId="77777777" w:rsidR="00BE35F9" w:rsidRPr="00192EC4" w:rsidRDefault="00BE35F9" w:rsidP="006F1659">
      <w:pPr>
        <w:pStyle w:val="Normal0"/>
        <w:spacing w:after="160" w:line="360" w:lineRule="auto"/>
        <w:rPr>
          <w:rFonts w:ascii="Arial" w:hAnsi="Arial" w:cs="Arial"/>
          <w:sz w:val="24"/>
          <w:szCs w:val="24"/>
        </w:rPr>
      </w:pPr>
      <w:r w:rsidRPr="00192EC4">
        <w:rPr>
          <w:rFonts w:ascii="Arial" w:hAnsi="Arial" w:cs="Arial"/>
          <w:color w:val="212529"/>
          <w:sz w:val="24"/>
          <w:szCs w:val="24"/>
          <w:shd w:val="clear" w:color="auto" w:fill="FFFFFF"/>
        </w:rPr>
        <w:t xml:space="preserve">The Chief Executive of the Greater Manchester Combined Authority, Eamonn Boylan, chairs the Greater Manchester Wider Leadership Team and has responsibility for policy and strategy and a wide range of Greater Manchester services including Fire and Rescue, Waste, Transport, Economic Development and Planning. </w:t>
      </w:r>
      <w:r w:rsidRPr="00192EC4">
        <w:rPr>
          <w:rFonts w:ascii="Arial" w:hAnsi="Arial" w:cs="Arial"/>
          <w:sz w:val="24"/>
          <w:szCs w:val="24"/>
        </w:rPr>
        <w:t>The Chief Executive is supported by the Corporate Executive Management Team (CEMT) made up of:</w:t>
      </w:r>
    </w:p>
    <w:p w14:paraId="7D7CA752" w14:textId="7DAD7652" w:rsidR="00BE35F9" w:rsidRPr="00192EC4" w:rsidRDefault="00BE35F9" w:rsidP="006F1659">
      <w:pPr>
        <w:spacing w:line="360" w:lineRule="auto"/>
        <w:rPr>
          <w:rFonts w:ascii="Arial" w:hAnsi="Arial" w:cs="Arial"/>
        </w:rPr>
      </w:pPr>
      <w:r w:rsidRPr="00192EC4">
        <w:rPr>
          <w:rFonts w:ascii="Arial" w:hAnsi="Arial" w:cs="Arial"/>
        </w:rPr>
        <w:t xml:space="preserve">Chief Executive </w:t>
      </w:r>
      <w:r w:rsidRPr="00192EC4">
        <w:rPr>
          <w:rFonts w:ascii="Arial" w:hAnsi="Arial" w:cs="Arial"/>
        </w:rPr>
        <w:tab/>
      </w:r>
      <w:r w:rsidRPr="00192EC4">
        <w:rPr>
          <w:rFonts w:ascii="Arial" w:hAnsi="Arial" w:cs="Arial"/>
        </w:rPr>
        <w:tab/>
      </w:r>
      <w:r w:rsidRPr="00192EC4">
        <w:rPr>
          <w:rFonts w:ascii="Arial" w:hAnsi="Arial" w:cs="Arial"/>
        </w:rPr>
        <w:tab/>
      </w:r>
      <w:r w:rsidRPr="00192EC4">
        <w:rPr>
          <w:rFonts w:ascii="Arial" w:hAnsi="Arial" w:cs="Arial"/>
        </w:rPr>
        <w:tab/>
        <w:t>Eamon</w:t>
      </w:r>
      <w:r w:rsidR="006B2563">
        <w:rPr>
          <w:rFonts w:ascii="Arial" w:hAnsi="Arial" w:cs="Arial"/>
        </w:rPr>
        <w:t xml:space="preserve">n </w:t>
      </w:r>
      <w:r w:rsidRPr="00192EC4">
        <w:rPr>
          <w:rFonts w:ascii="Arial" w:hAnsi="Arial" w:cs="Arial"/>
        </w:rPr>
        <w:t>Boylan</w:t>
      </w:r>
    </w:p>
    <w:p w14:paraId="322BF8D1" w14:textId="77777777" w:rsidR="00BE35F9" w:rsidRPr="00192EC4" w:rsidRDefault="00BE35F9" w:rsidP="006F1659">
      <w:pPr>
        <w:spacing w:line="360" w:lineRule="auto"/>
        <w:rPr>
          <w:rFonts w:ascii="Arial" w:hAnsi="Arial" w:cs="Arial"/>
        </w:rPr>
      </w:pPr>
      <w:r w:rsidRPr="00192EC4">
        <w:rPr>
          <w:rFonts w:ascii="Arial" w:hAnsi="Arial" w:cs="Arial"/>
        </w:rPr>
        <w:t xml:space="preserve">Deputy Chief Executive </w:t>
      </w:r>
      <w:r w:rsidRPr="00192EC4">
        <w:rPr>
          <w:rFonts w:ascii="Arial" w:hAnsi="Arial" w:cs="Arial"/>
        </w:rPr>
        <w:tab/>
      </w:r>
      <w:r w:rsidRPr="00192EC4">
        <w:rPr>
          <w:rFonts w:ascii="Arial" w:hAnsi="Arial" w:cs="Arial"/>
        </w:rPr>
        <w:tab/>
      </w:r>
      <w:r w:rsidRPr="00192EC4">
        <w:rPr>
          <w:rFonts w:ascii="Arial" w:hAnsi="Arial" w:cs="Arial"/>
        </w:rPr>
        <w:tab/>
        <w:t>Andrew Lightfoot</w:t>
      </w:r>
    </w:p>
    <w:p w14:paraId="5BF52AE3" w14:textId="77777777" w:rsidR="00BE35F9" w:rsidRPr="00192EC4" w:rsidRDefault="00BE35F9" w:rsidP="006F1659">
      <w:pPr>
        <w:spacing w:line="360" w:lineRule="auto"/>
        <w:rPr>
          <w:rFonts w:ascii="Arial" w:hAnsi="Arial" w:cs="Arial"/>
        </w:rPr>
      </w:pPr>
      <w:r w:rsidRPr="00192EC4">
        <w:rPr>
          <w:rFonts w:ascii="Arial" w:hAnsi="Arial" w:cs="Arial"/>
        </w:rPr>
        <w:t>Chief Fire Officer</w:t>
      </w:r>
      <w:r w:rsidRPr="00192EC4">
        <w:rPr>
          <w:rFonts w:ascii="Arial" w:hAnsi="Arial" w:cs="Arial"/>
        </w:rPr>
        <w:tab/>
      </w:r>
      <w:r w:rsidRPr="00192EC4">
        <w:rPr>
          <w:rFonts w:ascii="Arial" w:hAnsi="Arial" w:cs="Arial"/>
        </w:rPr>
        <w:tab/>
      </w:r>
      <w:r w:rsidRPr="00192EC4">
        <w:rPr>
          <w:rFonts w:ascii="Arial" w:hAnsi="Arial" w:cs="Arial"/>
        </w:rPr>
        <w:tab/>
      </w:r>
      <w:r w:rsidRPr="00192EC4">
        <w:rPr>
          <w:rFonts w:ascii="Arial" w:hAnsi="Arial" w:cs="Arial"/>
        </w:rPr>
        <w:tab/>
        <w:t>Dave Russel</w:t>
      </w:r>
    </w:p>
    <w:p w14:paraId="677B32CF" w14:textId="77777777" w:rsidR="00BE35F9" w:rsidRPr="00192EC4" w:rsidRDefault="00BE35F9" w:rsidP="006F1659">
      <w:pPr>
        <w:spacing w:line="360" w:lineRule="auto"/>
        <w:rPr>
          <w:rFonts w:ascii="Arial" w:hAnsi="Arial" w:cs="Arial"/>
        </w:rPr>
      </w:pPr>
      <w:r w:rsidRPr="00192EC4">
        <w:rPr>
          <w:rFonts w:ascii="Arial" w:hAnsi="Arial" w:cs="Arial"/>
        </w:rPr>
        <w:t>Treasurer</w:t>
      </w:r>
      <w:r w:rsidRPr="00192EC4">
        <w:rPr>
          <w:rFonts w:ascii="Arial" w:hAnsi="Arial" w:cs="Arial"/>
        </w:rPr>
        <w:tab/>
      </w:r>
      <w:r w:rsidRPr="00192EC4">
        <w:rPr>
          <w:rFonts w:ascii="Arial" w:hAnsi="Arial" w:cs="Arial"/>
        </w:rPr>
        <w:tab/>
      </w:r>
      <w:r w:rsidRPr="00192EC4">
        <w:rPr>
          <w:rFonts w:ascii="Arial" w:hAnsi="Arial" w:cs="Arial"/>
        </w:rPr>
        <w:tab/>
      </w:r>
      <w:r w:rsidRPr="00192EC4">
        <w:rPr>
          <w:rFonts w:ascii="Arial" w:hAnsi="Arial" w:cs="Arial"/>
        </w:rPr>
        <w:tab/>
      </w:r>
      <w:r w:rsidRPr="00192EC4">
        <w:rPr>
          <w:rFonts w:ascii="Arial" w:hAnsi="Arial" w:cs="Arial"/>
        </w:rPr>
        <w:tab/>
        <w:t>Steve Wilson</w:t>
      </w:r>
    </w:p>
    <w:p w14:paraId="7C592210" w14:textId="77777777" w:rsidR="00BE35F9" w:rsidRPr="00192EC4" w:rsidRDefault="00BE35F9" w:rsidP="006F1659">
      <w:pPr>
        <w:spacing w:line="360" w:lineRule="auto"/>
        <w:rPr>
          <w:rFonts w:ascii="Arial" w:hAnsi="Arial" w:cs="Arial"/>
        </w:rPr>
      </w:pPr>
      <w:r w:rsidRPr="00192EC4">
        <w:rPr>
          <w:rFonts w:ascii="Arial" w:hAnsi="Arial" w:cs="Arial"/>
        </w:rPr>
        <w:t>Monitoring Officer</w:t>
      </w:r>
      <w:r w:rsidRPr="00192EC4">
        <w:rPr>
          <w:rFonts w:ascii="Arial" w:hAnsi="Arial" w:cs="Arial"/>
        </w:rPr>
        <w:tab/>
      </w:r>
      <w:r w:rsidRPr="00192EC4">
        <w:rPr>
          <w:rFonts w:ascii="Arial" w:hAnsi="Arial" w:cs="Arial"/>
        </w:rPr>
        <w:tab/>
      </w:r>
      <w:r w:rsidRPr="00192EC4">
        <w:rPr>
          <w:rFonts w:ascii="Arial" w:hAnsi="Arial" w:cs="Arial"/>
        </w:rPr>
        <w:tab/>
      </w:r>
      <w:r w:rsidRPr="00192EC4">
        <w:rPr>
          <w:rFonts w:ascii="Arial" w:hAnsi="Arial" w:cs="Arial"/>
        </w:rPr>
        <w:tab/>
        <w:t>Gillian Duckworth</w:t>
      </w:r>
    </w:p>
    <w:p w14:paraId="027CAB1D" w14:textId="77777777" w:rsidR="00BE35F9" w:rsidRPr="00192EC4" w:rsidRDefault="00BE35F9" w:rsidP="006F1659">
      <w:pPr>
        <w:spacing w:line="360" w:lineRule="auto"/>
        <w:rPr>
          <w:rFonts w:ascii="Arial" w:hAnsi="Arial" w:cs="Arial"/>
        </w:rPr>
      </w:pPr>
      <w:r w:rsidRPr="00192EC4">
        <w:rPr>
          <w:rFonts w:ascii="Arial" w:hAnsi="Arial" w:cs="Arial"/>
        </w:rPr>
        <w:t>Executive Director Policy &amp; Strategy</w:t>
      </w:r>
      <w:r w:rsidRPr="00192EC4">
        <w:rPr>
          <w:rFonts w:ascii="Arial" w:hAnsi="Arial" w:cs="Arial"/>
        </w:rPr>
        <w:tab/>
        <w:t>Simon Nokes</w:t>
      </w:r>
    </w:p>
    <w:p w14:paraId="03BD2F36" w14:textId="77777777" w:rsidR="00BE35F9" w:rsidRPr="00192EC4" w:rsidRDefault="00BE35F9" w:rsidP="006F1659">
      <w:pPr>
        <w:spacing w:line="360" w:lineRule="auto"/>
        <w:rPr>
          <w:rFonts w:ascii="Arial" w:hAnsi="Arial" w:cs="Arial"/>
        </w:rPr>
      </w:pPr>
    </w:p>
    <w:p w14:paraId="0BC8DC86" w14:textId="77777777" w:rsidR="00BE35F9" w:rsidRPr="00192EC4" w:rsidRDefault="00BE35F9" w:rsidP="006F1659">
      <w:pPr>
        <w:spacing w:line="360" w:lineRule="auto"/>
        <w:rPr>
          <w:rFonts w:ascii="Arial" w:hAnsi="Arial" w:cs="Arial"/>
        </w:rPr>
      </w:pPr>
      <w:r w:rsidRPr="00192EC4">
        <w:rPr>
          <w:rFonts w:ascii="Arial" w:hAnsi="Arial" w:cs="Arial"/>
        </w:rPr>
        <w:t xml:space="preserve">The Senior Leadership Team (SLT) of the organisation comprises CEMT plus Directors and Corporate function leads. The Chief Executive and SLT are accountable to the Mayor and political leaders of Greater Manchester collectively. The SLT oversee a series of Directorates, which have been created to bring greater clarity and focus on the delivery activities of GMCA. These directorates are:  </w:t>
      </w:r>
    </w:p>
    <w:p w14:paraId="33C0CA1A" w14:textId="77777777" w:rsidR="00BE35F9" w:rsidRPr="00192EC4" w:rsidRDefault="00BE35F9" w:rsidP="006F1659">
      <w:pPr>
        <w:spacing w:line="360" w:lineRule="auto"/>
        <w:rPr>
          <w:rFonts w:ascii="Arial" w:hAnsi="Arial" w:cs="Arial"/>
        </w:rPr>
      </w:pPr>
    </w:p>
    <w:p w14:paraId="06161255"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t xml:space="preserve">Digital </w:t>
      </w:r>
    </w:p>
    <w:p w14:paraId="17C9ED05"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t xml:space="preserve">Education, work and skills </w:t>
      </w:r>
    </w:p>
    <w:p w14:paraId="38969DC0"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t xml:space="preserve">Economy </w:t>
      </w:r>
    </w:p>
    <w:p w14:paraId="052EACCA"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t xml:space="preserve">Environment </w:t>
      </w:r>
    </w:p>
    <w:p w14:paraId="6AA77348"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t xml:space="preserve">Place making </w:t>
      </w:r>
    </w:p>
    <w:p w14:paraId="34FE9050"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lastRenderedPageBreak/>
        <w:t xml:space="preserve">Public service reform </w:t>
      </w:r>
    </w:p>
    <w:p w14:paraId="24F309E8"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t xml:space="preserve">Police, crime, criminal justice and fire </w:t>
      </w:r>
    </w:p>
    <w:p w14:paraId="1ACFCFA4" w14:textId="77777777" w:rsidR="00BE35F9" w:rsidRPr="00192EC4" w:rsidRDefault="00BE35F9" w:rsidP="006F1659">
      <w:pPr>
        <w:pStyle w:val="ListParagraph"/>
        <w:numPr>
          <w:ilvl w:val="0"/>
          <w:numId w:val="67"/>
        </w:numPr>
        <w:spacing w:after="0" w:line="360" w:lineRule="auto"/>
        <w:rPr>
          <w:rFonts w:ascii="Arial" w:hAnsi="Arial" w:cs="Arial"/>
          <w:sz w:val="24"/>
          <w:szCs w:val="24"/>
        </w:rPr>
      </w:pPr>
      <w:r w:rsidRPr="00192EC4">
        <w:rPr>
          <w:rFonts w:ascii="Arial" w:hAnsi="Arial" w:cs="Arial"/>
          <w:sz w:val="24"/>
          <w:szCs w:val="24"/>
        </w:rPr>
        <w:t>Corporate functions</w:t>
      </w:r>
    </w:p>
    <w:p w14:paraId="315D8F8F" w14:textId="77777777" w:rsidR="00BE35F9" w:rsidRPr="00192EC4" w:rsidRDefault="00BE35F9" w:rsidP="006F1659">
      <w:pPr>
        <w:spacing w:line="360" w:lineRule="auto"/>
        <w:rPr>
          <w:rFonts w:ascii="Arial" w:hAnsi="Arial" w:cs="Arial"/>
        </w:rPr>
      </w:pPr>
    </w:p>
    <w:p w14:paraId="6D5937A4" w14:textId="1FEE64A1" w:rsidR="00BE35F9" w:rsidRPr="00192EC4" w:rsidRDefault="00BE35F9" w:rsidP="006F1659">
      <w:pPr>
        <w:spacing w:line="360" w:lineRule="auto"/>
        <w:rPr>
          <w:rFonts w:ascii="Arial" w:hAnsi="Arial" w:cs="Arial"/>
        </w:rPr>
      </w:pPr>
      <w:r w:rsidRPr="00192EC4">
        <w:rPr>
          <w:rFonts w:ascii="Arial" w:hAnsi="Arial" w:cs="Arial"/>
        </w:rPr>
        <w:t xml:space="preserve">The SLT has responsibility for managing the delivery and strategy of GMCA, and works collaboratively, enabling cross departmental teams to work effectively together, delivering efficiently and achieving the greatest possible impact from actions across GMCA and working with wider partners. </w:t>
      </w:r>
      <w:r w:rsidR="00BC0D7C" w:rsidRPr="00192EC4">
        <w:rPr>
          <w:rFonts w:ascii="Arial" w:hAnsi="Arial" w:cs="Arial"/>
        </w:rPr>
        <w:t>D</w:t>
      </w:r>
      <w:r w:rsidRPr="00192EC4">
        <w:rPr>
          <w:rFonts w:ascii="Arial" w:hAnsi="Arial" w:cs="Arial"/>
        </w:rPr>
        <w:t xml:space="preserve">uring 2022/23 a new performance management framework has been implemented with corporate indicators reported to SLT on a quarterly basis that give an overarching view of delivery across the range of programmes.  </w:t>
      </w:r>
    </w:p>
    <w:p w14:paraId="12B86E7D" w14:textId="77777777" w:rsidR="00BE35F9" w:rsidRPr="00192EC4" w:rsidRDefault="00BE35F9" w:rsidP="006F1659">
      <w:pPr>
        <w:spacing w:line="360" w:lineRule="auto"/>
        <w:rPr>
          <w:rFonts w:ascii="Arial" w:hAnsi="Arial" w:cs="Arial"/>
        </w:rPr>
      </w:pPr>
    </w:p>
    <w:p w14:paraId="48737811" w14:textId="17972A97" w:rsidR="00BE35F9" w:rsidRPr="00192EC4" w:rsidRDefault="00BE35F9" w:rsidP="006F1659">
      <w:pPr>
        <w:spacing w:line="360" w:lineRule="auto"/>
        <w:rPr>
          <w:rFonts w:ascii="Arial" w:hAnsi="Arial" w:cs="Arial"/>
        </w:rPr>
      </w:pPr>
      <w:r w:rsidRPr="00192EC4">
        <w:rPr>
          <w:rFonts w:ascii="Arial" w:hAnsi="Arial" w:cs="Arial"/>
        </w:rPr>
        <w:t xml:space="preserve">Alongside SLT, the effective management and distributive leadership approaches of the organisation is led, developed and supported more widely by the Extended Leadership Network (ELN). The ELN supports the GMCA in its commitment to diversify the workforce, recognising the significant benefits to be gained from a diverse and inclusive staff team and providing opportunities for all.  </w:t>
      </w:r>
    </w:p>
    <w:p w14:paraId="10D20908" w14:textId="77777777" w:rsidR="00BE35F9" w:rsidRPr="00192EC4" w:rsidRDefault="00BE35F9" w:rsidP="006F1659">
      <w:pPr>
        <w:spacing w:line="360" w:lineRule="auto"/>
        <w:rPr>
          <w:rFonts w:ascii="Arial" w:hAnsi="Arial" w:cs="Arial"/>
        </w:rPr>
      </w:pPr>
    </w:p>
    <w:p w14:paraId="64B13E1D" w14:textId="1D499BE1" w:rsidR="00BE35F9" w:rsidRPr="00192EC4" w:rsidRDefault="00BE35F9" w:rsidP="006F1659">
      <w:pPr>
        <w:spacing w:line="360" w:lineRule="auto"/>
        <w:rPr>
          <w:rFonts w:ascii="Arial" w:hAnsi="Arial" w:cs="Arial"/>
        </w:rPr>
      </w:pPr>
      <w:r w:rsidRPr="00192EC4">
        <w:rPr>
          <w:rFonts w:ascii="Arial" w:hAnsi="Arial" w:cs="Arial"/>
        </w:rPr>
        <w:t xml:space="preserve">The GMCA organisation (excluding TfGM and GMP) employs approximately 2,235 full time equivalent staff (March 2023). During 2022/23 the organisation has continued to evolve and develop and strive for greater outcomes and improvement, shaped by ongoing feedback via the annual b-Heard surveys. ‘Our People Strategy’ is a key part of the commitment to this change and sets out the approach to how the organisation manages and develops people </w:t>
      </w:r>
      <w:r w:rsidR="00252539" w:rsidRPr="00192EC4">
        <w:rPr>
          <w:rFonts w:ascii="Arial" w:hAnsi="Arial" w:cs="Arial"/>
        </w:rPr>
        <w:t>to</w:t>
      </w:r>
      <w:r w:rsidRPr="00192EC4">
        <w:rPr>
          <w:rFonts w:ascii="Arial" w:hAnsi="Arial" w:cs="Arial"/>
        </w:rPr>
        <w:t xml:space="preserve"> achieve a vision of being ‘a greater place to work’. </w:t>
      </w:r>
    </w:p>
    <w:p w14:paraId="7EA8BFF0" w14:textId="77777777" w:rsidR="00BE35F9" w:rsidRPr="00192EC4" w:rsidRDefault="00BE35F9" w:rsidP="006F1659">
      <w:pPr>
        <w:spacing w:line="360" w:lineRule="auto"/>
        <w:rPr>
          <w:rFonts w:ascii="Arial" w:hAnsi="Arial" w:cs="Arial"/>
        </w:rPr>
      </w:pPr>
    </w:p>
    <w:p w14:paraId="2AD85F7D" w14:textId="5B5DF285" w:rsidR="00BE35F9" w:rsidRPr="00192EC4" w:rsidRDefault="00BE35F9" w:rsidP="006F1659">
      <w:pPr>
        <w:spacing w:line="360" w:lineRule="auto"/>
        <w:rPr>
          <w:rFonts w:ascii="Arial" w:hAnsi="Arial" w:cs="Arial"/>
          <w:b/>
          <w:bCs/>
          <w:sz w:val="32"/>
          <w:szCs w:val="32"/>
        </w:rPr>
      </w:pPr>
      <w:r w:rsidRPr="00192EC4">
        <w:rPr>
          <w:rFonts w:ascii="Arial" w:hAnsi="Arial" w:cs="Arial"/>
        </w:rPr>
        <w:t xml:space="preserve">During 2022/23 the organisation’s mission statement has been refreshed to be more reflective of the ambition as an organisation and an employer. The new mission </w:t>
      </w:r>
      <w:r w:rsidRPr="00192EC4">
        <w:rPr>
          <w:rFonts w:ascii="Arial" w:hAnsi="Arial" w:cs="Arial"/>
          <w:b/>
          <w:bCs/>
        </w:rPr>
        <w:t>‘</w:t>
      </w:r>
      <w:r w:rsidRPr="00192EC4">
        <w:rPr>
          <w:rFonts w:ascii="Arial" w:hAnsi="Arial" w:cs="Arial"/>
          <w:i/>
          <w:iCs/>
        </w:rPr>
        <w:t>Making Greater Manchester a better place for all’</w:t>
      </w:r>
      <w:r w:rsidRPr="00192EC4">
        <w:rPr>
          <w:rFonts w:ascii="Arial" w:hAnsi="Arial" w:cs="Arial"/>
        </w:rPr>
        <w:t xml:space="preserve"> has been created following consultation with staff, merging the key concepts frequently raised during team-level discussions and which most people said they felt affinity to. Part of the work to refresh the mission, also refined the organisational values to provide clearer, simpler supporting statements that better reflect what GMCA does.</w:t>
      </w:r>
    </w:p>
    <w:p w14:paraId="49D3F748" w14:textId="77777777" w:rsidR="00BE35F9" w:rsidRPr="00192EC4" w:rsidRDefault="00BE35F9" w:rsidP="006F1659">
      <w:pPr>
        <w:spacing w:line="360" w:lineRule="auto"/>
        <w:rPr>
          <w:rFonts w:ascii="Arial" w:hAnsi="Arial" w:cs="Arial"/>
        </w:rPr>
      </w:pPr>
    </w:p>
    <w:p w14:paraId="63C259D3" w14:textId="3E2DC244" w:rsidR="00BE35F9" w:rsidRPr="00192EC4" w:rsidRDefault="00BE35F9" w:rsidP="006F1659">
      <w:pPr>
        <w:spacing w:line="360" w:lineRule="auto"/>
        <w:rPr>
          <w:rFonts w:ascii="Arial" w:hAnsi="Arial" w:cs="Arial"/>
        </w:rPr>
      </w:pPr>
      <w:r w:rsidRPr="00192EC4">
        <w:rPr>
          <w:rFonts w:ascii="Arial" w:hAnsi="Arial" w:cs="Arial"/>
        </w:rPr>
        <w:lastRenderedPageBreak/>
        <w:t xml:space="preserve">The Local Government Association (LGA) Corporate Peer Challenge took place in autumn 2022 and was an opportunity to reflect on the last few years and the future plans and ambitions of the organisation. GMCA was the country’s first combined authority to go through the LGA corporate peer challenge process. As part of the peer challenge process, GMCA prepared a </w:t>
      </w:r>
      <w:hyperlink r:id="rId13" w:history="1">
        <w:r w:rsidRPr="00192EC4">
          <w:rPr>
            <w:rStyle w:val="Hyperlink"/>
            <w:rFonts w:ascii="Arial" w:hAnsi="Arial" w:cs="Arial"/>
            <w:color w:val="auto"/>
            <w:u w:val="none"/>
          </w:rPr>
          <w:t>self-assessment</w:t>
        </w:r>
      </w:hyperlink>
      <w:r w:rsidRPr="00192EC4">
        <w:rPr>
          <w:rStyle w:val="CommentReference"/>
          <w:rFonts w:ascii="Arial" w:hAnsi="Arial" w:cs="Arial"/>
        </w:rPr>
        <w:t>,</w:t>
      </w:r>
      <w:r w:rsidRPr="00192EC4">
        <w:rPr>
          <w:rFonts w:ascii="Arial" w:hAnsi="Arial" w:cs="Arial"/>
        </w:rPr>
        <w:t xml:space="preserve"> which set out in detail priorities as an organisation, ambitions for the future and case studies to highlight some of the key successes. </w:t>
      </w:r>
    </w:p>
    <w:p w14:paraId="31FCD73C" w14:textId="77777777" w:rsidR="00BE35F9" w:rsidRPr="00192EC4" w:rsidRDefault="00BE35F9" w:rsidP="006F1659">
      <w:pPr>
        <w:spacing w:line="360" w:lineRule="auto"/>
        <w:rPr>
          <w:rFonts w:ascii="Arial" w:hAnsi="Arial" w:cs="Arial"/>
        </w:rPr>
      </w:pPr>
    </w:p>
    <w:p w14:paraId="4BD9DBA2" w14:textId="62A25A72" w:rsidR="00BE35F9" w:rsidRPr="00192EC4" w:rsidRDefault="00BE35F9" w:rsidP="006F1659">
      <w:pPr>
        <w:spacing w:line="360" w:lineRule="auto"/>
        <w:rPr>
          <w:rFonts w:ascii="Arial" w:hAnsi="Arial" w:cs="Arial"/>
          <w:shd w:val="clear" w:color="auto" w:fill="FFFFFF"/>
        </w:rPr>
      </w:pPr>
      <w:r w:rsidRPr="00192EC4">
        <w:rPr>
          <w:rFonts w:ascii="Arial" w:hAnsi="Arial" w:cs="Arial"/>
        </w:rPr>
        <w:t>The LGA peer review team, made up of senior leaders from public sector and other partners from UK and Europe, spoke to a wide range of senior representatives from G</w:t>
      </w:r>
      <w:r w:rsidR="006B2563">
        <w:rPr>
          <w:rFonts w:ascii="Arial" w:hAnsi="Arial" w:cs="Arial"/>
        </w:rPr>
        <w:t xml:space="preserve">reater </w:t>
      </w:r>
      <w:r w:rsidRPr="00192EC4">
        <w:rPr>
          <w:rFonts w:ascii="Arial" w:hAnsi="Arial" w:cs="Arial"/>
        </w:rPr>
        <w:t>M</w:t>
      </w:r>
      <w:r w:rsidR="006B2563">
        <w:rPr>
          <w:rFonts w:ascii="Arial" w:hAnsi="Arial" w:cs="Arial"/>
        </w:rPr>
        <w:t>anchester</w:t>
      </w:r>
      <w:r w:rsidRPr="00192EC4">
        <w:rPr>
          <w:rFonts w:ascii="Arial" w:hAnsi="Arial" w:cs="Arial"/>
        </w:rPr>
        <w:t xml:space="preserve"> local authorities, the public sector, business and voluntary and community partners. They found a resounding sense of positivity and enthusiasm for the work GMCA does and plan to do in the future.</w:t>
      </w:r>
      <w:r w:rsidRPr="00192EC4">
        <w:rPr>
          <w:rFonts w:ascii="Arial" w:hAnsi="Arial" w:cs="Arial"/>
          <w:shd w:val="clear" w:color="auto" w:fill="FFFFFF"/>
        </w:rPr>
        <w:t xml:space="preserve"> </w:t>
      </w:r>
      <w:r w:rsidRPr="00192EC4">
        <w:rPr>
          <w:rFonts w:ascii="Arial" w:hAnsi="Arial" w:cs="Arial"/>
        </w:rPr>
        <w:t>The findings, recommendations and insight gained from the peer challenge process have been embedded in the 2023/24 GMCA Business Plan.</w:t>
      </w:r>
    </w:p>
    <w:p w14:paraId="7FCBB096" w14:textId="77777777" w:rsidR="00BE35F9" w:rsidRPr="00192EC4" w:rsidRDefault="00BE35F9" w:rsidP="006F1659">
      <w:pPr>
        <w:spacing w:line="360" w:lineRule="auto"/>
        <w:rPr>
          <w:rFonts w:ascii="Arial" w:hAnsi="Arial" w:cs="Arial"/>
        </w:rPr>
      </w:pPr>
    </w:p>
    <w:p w14:paraId="4442696C" w14:textId="77777777" w:rsidR="00BE35F9" w:rsidRPr="00192EC4" w:rsidRDefault="00BE35F9" w:rsidP="006F1659">
      <w:pPr>
        <w:keepNext/>
        <w:spacing w:line="360" w:lineRule="auto"/>
        <w:rPr>
          <w:rFonts w:ascii="Arial" w:hAnsi="Arial" w:cs="Arial"/>
          <w:b/>
        </w:rPr>
      </w:pPr>
      <w:r w:rsidRPr="00192EC4">
        <w:rPr>
          <w:rFonts w:ascii="Arial" w:hAnsi="Arial" w:cs="Arial"/>
          <w:b/>
        </w:rPr>
        <w:t>Overview of GMCA Resources</w:t>
      </w:r>
    </w:p>
    <w:p w14:paraId="42D322AF" w14:textId="77777777" w:rsidR="00BE35F9" w:rsidRPr="00192EC4" w:rsidRDefault="00BE35F9" w:rsidP="006F1659">
      <w:pPr>
        <w:pStyle w:val="ListParagraph"/>
        <w:spacing w:line="360" w:lineRule="auto"/>
        <w:ind w:left="0"/>
        <w:rPr>
          <w:rFonts w:ascii="Arial" w:hAnsi="Arial" w:cs="Arial"/>
          <w:sz w:val="24"/>
          <w:szCs w:val="24"/>
        </w:rPr>
      </w:pPr>
    </w:p>
    <w:p w14:paraId="38E6743C" w14:textId="6ECE4E95" w:rsidR="00BE35F9" w:rsidRPr="00192EC4" w:rsidRDefault="00BE35F9" w:rsidP="006F1659">
      <w:pPr>
        <w:pStyle w:val="ListParagraph"/>
        <w:spacing w:line="360" w:lineRule="auto"/>
        <w:ind w:left="0"/>
        <w:rPr>
          <w:rFonts w:ascii="Arial" w:hAnsi="Arial" w:cs="Arial"/>
          <w:snapToGrid w:val="0"/>
          <w:sz w:val="24"/>
          <w:szCs w:val="24"/>
        </w:rPr>
      </w:pPr>
      <w:r w:rsidRPr="00192EC4">
        <w:rPr>
          <w:rFonts w:ascii="Arial" w:hAnsi="Arial" w:cs="Arial"/>
          <w:sz w:val="24"/>
          <w:szCs w:val="24"/>
        </w:rPr>
        <w:t xml:space="preserve">The overall GMCA budgets are made up of a variety of both historic budgets and new budgets relating to the functions provided by the Mayor and the GMCA as a whole. </w:t>
      </w:r>
      <w:r w:rsidRPr="00192EC4">
        <w:rPr>
          <w:rFonts w:ascii="Arial" w:hAnsi="Arial" w:cs="Arial"/>
          <w:snapToGrid w:val="0"/>
          <w:sz w:val="24"/>
          <w:szCs w:val="24"/>
        </w:rPr>
        <w:t>The majority of funding the GMCA receives is from government grants, levies and transport statutory charge to G</w:t>
      </w:r>
      <w:r w:rsidR="006B2563">
        <w:rPr>
          <w:rFonts w:ascii="Arial" w:hAnsi="Arial" w:cs="Arial"/>
          <w:snapToGrid w:val="0"/>
          <w:sz w:val="24"/>
          <w:szCs w:val="24"/>
        </w:rPr>
        <w:t xml:space="preserve">reater </w:t>
      </w:r>
      <w:r w:rsidRPr="00192EC4">
        <w:rPr>
          <w:rFonts w:ascii="Arial" w:hAnsi="Arial" w:cs="Arial"/>
          <w:snapToGrid w:val="0"/>
          <w:sz w:val="24"/>
          <w:szCs w:val="24"/>
        </w:rPr>
        <w:t>M</w:t>
      </w:r>
      <w:r w:rsidR="006B2563">
        <w:rPr>
          <w:rFonts w:ascii="Arial" w:hAnsi="Arial" w:cs="Arial"/>
          <w:snapToGrid w:val="0"/>
          <w:sz w:val="24"/>
          <w:szCs w:val="24"/>
        </w:rPr>
        <w:t>anchester</w:t>
      </w:r>
      <w:r w:rsidRPr="00192EC4">
        <w:rPr>
          <w:rFonts w:ascii="Arial" w:hAnsi="Arial" w:cs="Arial"/>
          <w:snapToGrid w:val="0"/>
          <w:sz w:val="24"/>
          <w:szCs w:val="24"/>
        </w:rPr>
        <w:t xml:space="preserve"> local authorities and council tax (precept) largely ringfenced for the delivery of Police and Crime, Fire and Rescue and Transport functions. The Authority also receives specific government grant funding to deliver key programmes of work, supported by funding from retained business rates growth, reserves and external income.  </w:t>
      </w:r>
    </w:p>
    <w:p w14:paraId="67410B79" w14:textId="77777777" w:rsidR="00B7710C" w:rsidRDefault="00B7710C" w:rsidP="006F1659">
      <w:pPr>
        <w:pStyle w:val="ListParagraph"/>
        <w:spacing w:line="360" w:lineRule="auto"/>
        <w:ind w:left="0"/>
        <w:rPr>
          <w:rFonts w:ascii="Arial" w:hAnsi="Arial" w:cs="Arial"/>
          <w:snapToGrid w:val="0"/>
          <w:sz w:val="24"/>
          <w:szCs w:val="24"/>
          <w:u w:val="single"/>
        </w:rPr>
      </w:pPr>
    </w:p>
    <w:p w14:paraId="08A55B28" w14:textId="6146769B" w:rsidR="00BE35F9" w:rsidRPr="00192EC4" w:rsidRDefault="00BE35F9" w:rsidP="006F1659">
      <w:pPr>
        <w:pStyle w:val="ListParagraph"/>
        <w:spacing w:line="360" w:lineRule="auto"/>
        <w:ind w:left="0"/>
        <w:rPr>
          <w:rFonts w:ascii="Arial" w:hAnsi="Arial" w:cs="Arial"/>
          <w:snapToGrid w:val="0"/>
          <w:sz w:val="24"/>
          <w:szCs w:val="24"/>
          <w:u w:val="single"/>
        </w:rPr>
      </w:pPr>
      <w:r w:rsidRPr="00192EC4">
        <w:rPr>
          <w:rFonts w:ascii="Arial" w:hAnsi="Arial" w:cs="Arial"/>
          <w:snapToGrid w:val="0"/>
          <w:sz w:val="24"/>
          <w:szCs w:val="24"/>
          <w:u w:val="single"/>
        </w:rPr>
        <w:t>Revenue budgets</w:t>
      </w:r>
    </w:p>
    <w:p w14:paraId="4AA6B11F" w14:textId="77777777" w:rsidR="00BE35F9" w:rsidRPr="00192EC4" w:rsidRDefault="00BE35F9" w:rsidP="006F1659">
      <w:pPr>
        <w:pStyle w:val="ListParagraph"/>
        <w:spacing w:line="360" w:lineRule="auto"/>
        <w:ind w:left="0"/>
        <w:rPr>
          <w:rFonts w:ascii="Arial" w:hAnsi="Arial" w:cs="Arial"/>
          <w:snapToGrid w:val="0"/>
          <w:sz w:val="24"/>
          <w:szCs w:val="24"/>
        </w:rPr>
      </w:pPr>
    </w:p>
    <w:p w14:paraId="77E5D6D0" w14:textId="77777777" w:rsidR="00BE35F9" w:rsidRPr="00192EC4" w:rsidRDefault="00BE35F9" w:rsidP="006F1659">
      <w:pPr>
        <w:pStyle w:val="ListParagraph"/>
        <w:spacing w:line="360" w:lineRule="auto"/>
        <w:ind w:left="0"/>
        <w:rPr>
          <w:rFonts w:ascii="Arial" w:hAnsi="Arial" w:cs="Arial"/>
          <w:sz w:val="24"/>
          <w:szCs w:val="24"/>
        </w:rPr>
      </w:pPr>
      <w:r w:rsidRPr="00192EC4">
        <w:rPr>
          <w:rFonts w:ascii="Arial" w:hAnsi="Arial" w:cs="Arial"/>
          <w:sz w:val="24"/>
          <w:szCs w:val="24"/>
        </w:rPr>
        <w:t>The various orders under which these functions are provided, determine how revenue budgets are funded such that:</w:t>
      </w:r>
    </w:p>
    <w:p w14:paraId="476EE0A0" w14:textId="77777777" w:rsidR="00BE35F9" w:rsidRPr="00192EC4" w:rsidRDefault="00BE35F9" w:rsidP="006F1659">
      <w:pPr>
        <w:pStyle w:val="ListParagraph"/>
        <w:spacing w:line="360" w:lineRule="auto"/>
        <w:ind w:left="0"/>
        <w:rPr>
          <w:rFonts w:ascii="Arial" w:hAnsi="Arial" w:cs="Arial"/>
          <w:snapToGrid w:val="0"/>
          <w:sz w:val="24"/>
          <w:szCs w:val="24"/>
        </w:rPr>
      </w:pPr>
    </w:p>
    <w:p w14:paraId="03AC25BB" w14:textId="6FE1C556" w:rsidR="00BE35F9" w:rsidRPr="00192EC4" w:rsidRDefault="00BE35F9" w:rsidP="006F1659">
      <w:pPr>
        <w:pStyle w:val="ListParagraph"/>
        <w:numPr>
          <w:ilvl w:val="0"/>
          <w:numId w:val="65"/>
        </w:numPr>
        <w:spacing w:after="0" w:line="360" w:lineRule="auto"/>
        <w:rPr>
          <w:rFonts w:ascii="Arial" w:hAnsi="Arial" w:cs="Arial"/>
          <w:sz w:val="24"/>
          <w:szCs w:val="24"/>
        </w:rPr>
      </w:pPr>
      <w:r w:rsidRPr="00192EC4">
        <w:rPr>
          <w:rFonts w:ascii="Arial" w:hAnsi="Arial" w:cs="Arial"/>
          <w:bCs/>
          <w:sz w:val="24"/>
          <w:szCs w:val="24"/>
        </w:rPr>
        <w:t>GMCA General Budget –</w:t>
      </w:r>
      <w:r w:rsidRPr="00192EC4">
        <w:rPr>
          <w:rFonts w:ascii="Arial" w:hAnsi="Arial" w:cs="Arial"/>
          <w:sz w:val="24"/>
          <w:szCs w:val="24"/>
        </w:rPr>
        <w:t xml:space="preserve"> This includes corporate functions and </w:t>
      </w:r>
      <w:r w:rsidRPr="00192EC4">
        <w:rPr>
          <w:rFonts w:ascii="Arial" w:hAnsi="Arial" w:cs="Arial"/>
          <w:bCs/>
          <w:sz w:val="24"/>
          <w:szCs w:val="24"/>
        </w:rPr>
        <w:t xml:space="preserve">economic, development and regeneration </w:t>
      </w:r>
      <w:r w:rsidRPr="00192EC4">
        <w:rPr>
          <w:rFonts w:ascii="Arial" w:hAnsi="Arial" w:cs="Arial"/>
          <w:sz w:val="24"/>
          <w:szCs w:val="24"/>
        </w:rPr>
        <w:t xml:space="preserve">activities of the GMCA. The budget is made up of </w:t>
      </w:r>
      <w:r w:rsidRPr="00192EC4">
        <w:rPr>
          <w:rFonts w:ascii="Arial" w:hAnsi="Arial" w:cs="Arial"/>
          <w:sz w:val="24"/>
          <w:szCs w:val="24"/>
        </w:rPr>
        <w:lastRenderedPageBreak/>
        <w:t>a number of specific government grants, including the Adult Education Budget, retained business rates, G</w:t>
      </w:r>
      <w:r w:rsidR="006B2563">
        <w:rPr>
          <w:rFonts w:ascii="Arial" w:hAnsi="Arial" w:cs="Arial"/>
          <w:sz w:val="24"/>
          <w:szCs w:val="24"/>
        </w:rPr>
        <w:t xml:space="preserve">reater </w:t>
      </w:r>
      <w:r w:rsidRPr="00192EC4">
        <w:rPr>
          <w:rFonts w:ascii="Arial" w:hAnsi="Arial" w:cs="Arial"/>
          <w:sz w:val="24"/>
          <w:szCs w:val="24"/>
        </w:rPr>
        <w:t>M</w:t>
      </w:r>
      <w:r w:rsidR="006B2563">
        <w:rPr>
          <w:rFonts w:ascii="Arial" w:hAnsi="Arial" w:cs="Arial"/>
          <w:sz w:val="24"/>
          <w:szCs w:val="24"/>
        </w:rPr>
        <w:t>anchester</w:t>
      </w:r>
      <w:r w:rsidRPr="00192EC4">
        <w:rPr>
          <w:rFonts w:ascii="Arial" w:hAnsi="Arial" w:cs="Arial"/>
          <w:sz w:val="24"/>
          <w:szCs w:val="24"/>
        </w:rPr>
        <w:t xml:space="preserve"> local authority contributions, earmarked reserves, internal recharges to other GMCA budgets and external income.  </w:t>
      </w:r>
    </w:p>
    <w:p w14:paraId="7E3034F9" w14:textId="77777777" w:rsidR="00BE35F9" w:rsidRPr="00192EC4" w:rsidRDefault="00BE35F9" w:rsidP="006F1659">
      <w:pPr>
        <w:pStyle w:val="ListParagraph"/>
        <w:spacing w:after="0" w:line="360" w:lineRule="auto"/>
        <w:ind w:left="0"/>
        <w:jc w:val="both"/>
        <w:rPr>
          <w:rFonts w:ascii="Arial" w:hAnsi="Arial" w:cs="Arial"/>
          <w:snapToGrid w:val="0"/>
          <w:sz w:val="24"/>
          <w:szCs w:val="24"/>
        </w:rPr>
      </w:pPr>
    </w:p>
    <w:p w14:paraId="1A6D1D96" w14:textId="7CDC8C0A" w:rsidR="00BE35F9" w:rsidRPr="00192EC4" w:rsidRDefault="00BE35F9" w:rsidP="006F1659">
      <w:pPr>
        <w:pStyle w:val="ListParagraph"/>
        <w:numPr>
          <w:ilvl w:val="0"/>
          <w:numId w:val="65"/>
        </w:numPr>
        <w:spacing w:after="0" w:line="360" w:lineRule="auto"/>
        <w:rPr>
          <w:rFonts w:ascii="Arial" w:hAnsi="Arial" w:cs="Arial"/>
          <w:sz w:val="24"/>
          <w:szCs w:val="24"/>
        </w:rPr>
      </w:pPr>
      <w:r w:rsidRPr="00192EC4">
        <w:rPr>
          <w:rFonts w:ascii="Arial" w:hAnsi="Arial" w:cs="Arial"/>
          <w:bCs/>
          <w:sz w:val="24"/>
          <w:szCs w:val="24"/>
        </w:rPr>
        <w:t>Mayoral General Budget</w:t>
      </w:r>
      <w:r w:rsidRPr="00192EC4">
        <w:rPr>
          <w:rFonts w:ascii="Arial" w:hAnsi="Arial" w:cs="Arial"/>
          <w:sz w:val="24"/>
          <w:szCs w:val="24"/>
        </w:rPr>
        <w:t xml:space="preserve"> – </w:t>
      </w:r>
      <w:r w:rsidR="006B2563">
        <w:rPr>
          <w:rFonts w:ascii="Arial" w:hAnsi="Arial" w:cs="Arial"/>
          <w:sz w:val="24"/>
          <w:szCs w:val="24"/>
        </w:rPr>
        <w:t>This is f</w:t>
      </w:r>
      <w:r w:rsidRPr="00192EC4">
        <w:rPr>
          <w:rFonts w:ascii="Arial" w:hAnsi="Arial" w:cs="Arial"/>
          <w:sz w:val="24"/>
          <w:szCs w:val="24"/>
        </w:rPr>
        <w:t xml:space="preserve">unded from the </w:t>
      </w:r>
      <w:r w:rsidR="002E1DEA" w:rsidRPr="00192EC4">
        <w:rPr>
          <w:rFonts w:ascii="Arial" w:hAnsi="Arial" w:cs="Arial"/>
          <w:sz w:val="24"/>
          <w:szCs w:val="24"/>
        </w:rPr>
        <w:t>M</w:t>
      </w:r>
      <w:r w:rsidRPr="00192EC4">
        <w:rPr>
          <w:rFonts w:ascii="Arial" w:hAnsi="Arial" w:cs="Arial"/>
          <w:sz w:val="24"/>
          <w:szCs w:val="24"/>
        </w:rPr>
        <w:t xml:space="preserve">ayoral </w:t>
      </w:r>
      <w:r w:rsidR="002E1DEA" w:rsidRPr="00192EC4">
        <w:rPr>
          <w:rFonts w:ascii="Arial" w:hAnsi="Arial" w:cs="Arial"/>
          <w:sz w:val="24"/>
          <w:szCs w:val="24"/>
        </w:rPr>
        <w:t>P</w:t>
      </w:r>
      <w:r w:rsidRPr="00192EC4">
        <w:rPr>
          <w:rFonts w:ascii="Arial" w:hAnsi="Arial" w:cs="Arial"/>
          <w:sz w:val="24"/>
          <w:szCs w:val="24"/>
        </w:rPr>
        <w:t xml:space="preserve">recept, transport statutory charge on Greater Manchester local authorities and government grants. The Greater Manchester Fire and Rescue </w:t>
      </w:r>
      <w:r w:rsidR="002E1DEA" w:rsidRPr="00192EC4">
        <w:rPr>
          <w:rFonts w:ascii="Arial" w:hAnsi="Arial" w:cs="Arial"/>
          <w:sz w:val="24"/>
          <w:szCs w:val="24"/>
        </w:rPr>
        <w:t xml:space="preserve">Service </w:t>
      </w:r>
      <w:r w:rsidRPr="00192EC4">
        <w:rPr>
          <w:rFonts w:ascii="Arial" w:hAnsi="Arial" w:cs="Arial"/>
          <w:sz w:val="24"/>
          <w:szCs w:val="24"/>
        </w:rPr>
        <w:t xml:space="preserve">(GMFRS) is part of the </w:t>
      </w:r>
      <w:r w:rsidR="002E1DEA" w:rsidRPr="00192EC4">
        <w:rPr>
          <w:rFonts w:ascii="Arial" w:hAnsi="Arial" w:cs="Arial"/>
          <w:sz w:val="24"/>
          <w:szCs w:val="24"/>
        </w:rPr>
        <w:t>M</w:t>
      </w:r>
      <w:r w:rsidRPr="00192EC4">
        <w:rPr>
          <w:rFonts w:ascii="Arial" w:hAnsi="Arial" w:cs="Arial"/>
          <w:sz w:val="24"/>
          <w:szCs w:val="24"/>
        </w:rPr>
        <w:t>ayoral</w:t>
      </w:r>
      <w:r w:rsidR="002E1DEA" w:rsidRPr="00192EC4">
        <w:rPr>
          <w:rFonts w:ascii="Arial" w:hAnsi="Arial" w:cs="Arial"/>
          <w:sz w:val="24"/>
          <w:szCs w:val="24"/>
        </w:rPr>
        <w:t xml:space="preserve"> P</w:t>
      </w:r>
      <w:r w:rsidRPr="00192EC4">
        <w:rPr>
          <w:rFonts w:ascii="Arial" w:hAnsi="Arial" w:cs="Arial"/>
          <w:sz w:val="24"/>
          <w:szCs w:val="24"/>
        </w:rPr>
        <w:t>recept but also receives a revenue support grant, business rates income and a top up grant.</w:t>
      </w:r>
    </w:p>
    <w:p w14:paraId="6714B0F9" w14:textId="77777777" w:rsidR="00BE35F9" w:rsidRPr="00192EC4" w:rsidRDefault="00BE35F9" w:rsidP="006F1659">
      <w:pPr>
        <w:spacing w:line="360" w:lineRule="auto"/>
        <w:ind w:left="360"/>
        <w:rPr>
          <w:rFonts w:ascii="Arial" w:hAnsi="Arial" w:cs="Arial"/>
        </w:rPr>
      </w:pPr>
      <w:r w:rsidRPr="00192EC4">
        <w:rPr>
          <w:rFonts w:ascii="Arial" w:hAnsi="Arial" w:cs="Arial"/>
        </w:rPr>
        <w:t xml:space="preserve"> </w:t>
      </w:r>
    </w:p>
    <w:p w14:paraId="1FD6241D" w14:textId="77777777" w:rsidR="00BE35F9" w:rsidRPr="00192EC4" w:rsidRDefault="00BE35F9" w:rsidP="006F1659">
      <w:pPr>
        <w:pStyle w:val="ListParagraph"/>
        <w:numPr>
          <w:ilvl w:val="0"/>
          <w:numId w:val="65"/>
        </w:numPr>
        <w:spacing w:after="0" w:line="360" w:lineRule="auto"/>
        <w:rPr>
          <w:rFonts w:ascii="Arial" w:hAnsi="Arial" w:cs="Arial"/>
          <w:sz w:val="24"/>
          <w:szCs w:val="24"/>
        </w:rPr>
      </w:pPr>
      <w:r w:rsidRPr="00192EC4">
        <w:rPr>
          <w:rFonts w:ascii="Arial" w:hAnsi="Arial" w:cs="Arial"/>
          <w:bCs/>
          <w:sz w:val="24"/>
          <w:szCs w:val="24"/>
        </w:rPr>
        <w:t>Greater Manchester Waste and Resources</w:t>
      </w:r>
      <w:r w:rsidRPr="00192EC4">
        <w:rPr>
          <w:rFonts w:ascii="Arial" w:hAnsi="Arial" w:cs="Arial"/>
          <w:b/>
          <w:sz w:val="24"/>
          <w:szCs w:val="24"/>
        </w:rPr>
        <w:t xml:space="preserve"> </w:t>
      </w:r>
      <w:r w:rsidRPr="00192EC4">
        <w:rPr>
          <w:rFonts w:ascii="Arial" w:hAnsi="Arial" w:cs="Arial"/>
          <w:bCs/>
          <w:sz w:val="24"/>
          <w:szCs w:val="24"/>
        </w:rPr>
        <w:t>–</w:t>
      </w:r>
      <w:r w:rsidRPr="00192EC4">
        <w:rPr>
          <w:rFonts w:ascii="Arial" w:hAnsi="Arial" w:cs="Arial"/>
          <w:b/>
          <w:sz w:val="24"/>
          <w:szCs w:val="24"/>
        </w:rPr>
        <w:t xml:space="preserve"> </w:t>
      </w:r>
      <w:r w:rsidRPr="00192EC4">
        <w:rPr>
          <w:rFonts w:ascii="Arial" w:hAnsi="Arial" w:cs="Arial"/>
          <w:sz w:val="24"/>
          <w:szCs w:val="24"/>
        </w:rPr>
        <w:t>This is funded from a levy to nine Greater Manchester local authorities (excluding Wigan) that participate in the Greater Manchester waste service with contributions on the basis of an agreed funding mechanism.</w:t>
      </w:r>
    </w:p>
    <w:p w14:paraId="75343656" w14:textId="77777777" w:rsidR="00BE35F9" w:rsidRPr="00192EC4" w:rsidRDefault="00BE35F9" w:rsidP="006F1659">
      <w:pPr>
        <w:spacing w:line="360" w:lineRule="auto"/>
        <w:rPr>
          <w:rFonts w:ascii="Arial" w:hAnsi="Arial" w:cs="Arial"/>
        </w:rPr>
      </w:pPr>
    </w:p>
    <w:p w14:paraId="6F157E38" w14:textId="3CA1A472" w:rsidR="00BE35F9" w:rsidRPr="00192EC4" w:rsidRDefault="00BE35F9" w:rsidP="006F1659">
      <w:pPr>
        <w:pStyle w:val="ListParagraph"/>
        <w:numPr>
          <w:ilvl w:val="0"/>
          <w:numId w:val="65"/>
        </w:numPr>
        <w:spacing w:after="0" w:line="360" w:lineRule="auto"/>
        <w:rPr>
          <w:rFonts w:ascii="Arial" w:hAnsi="Arial" w:cs="Arial"/>
          <w:sz w:val="24"/>
          <w:szCs w:val="24"/>
        </w:rPr>
      </w:pPr>
      <w:r w:rsidRPr="00192EC4">
        <w:rPr>
          <w:rFonts w:ascii="Arial" w:hAnsi="Arial" w:cs="Arial"/>
          <w:bCs/>
          <w:sz w:val="24"/>
          <w:szCs w:val="24"/>
        </w:rPr>
        <w:t>GMCA Transport Revenue Budget –</w:t>
      </w:r>
      <w:r w:rsidRPr="00192EC4">
        <w:rPr>
          <w:rFonts w:ascii="Arial" w:hAnsi="Arial" w:cs="Arial"/>
          <w:b/>
          <w:sz w:val="24"/>
          <w:szCs w:val="24"/>
        </w:rPr>
        <w:t xml:space="preserve"> </w:t>
      </w:r>
      <w:r w:rsidR="006B2563">
        <w:rPr>
          <w:rFonts w:ascii="Arial" w:hAnsi="Arial" w:cs="Arial"/>
          <w:sz w:val="24"/>
          <w:szCs w:val="24"/>
        </w:rPr>
        <w:t>This is f</w:t>
      </w:r>
      <w:r w:rsidRPr="00192EC4">
        <w:rPr>
          <w:rFonts w:ascii="Arial" w:hAnsi="Arial" w:cs="Arial"/>
          <w:sz w:val="24"/>
          <w:szCs w:val="24"/>
        </w:rPr>
        <w:t xml:space="preserve">unded from a contribution from the </w:t>
      </w:r>
      <w:r w:rsidR="006B2563">
        <w:rPr>
          <w:rFonts w:ascii="Arial" w:hAnsi="Arial" w:cs="Arial"/>
          <w:sz w:val="24"/>
          <w:szCs w:val="24"/>
        </w:rPr>
        <w:t>M</w:t>
      </w:r>
      <w:r w:rsidRPr="00192EC4">
        <w:rPr>
          <w:rFonts w:ascii="Arial" w:hAnsi="Arial" w:cs="Arial"/>
          <w:sz w:val="24"/>
          <w:szCs w:val="24"/>
        </w:rPr>
        <w:t xml:space="preserve">ayoral budget for statutory </w:t>
      </w:r>
      <w:r w:rsidR="000D4E4E">
        <w:rPr>
          <w:rFonts w:ascii="Arial" w:hAnsi="Arial" w:cs="Arial"/>
          <w:sz w:val="24"/>
          <w:szCs w:val="24"/>
        </w:rPr>
        <w:t>M</w:t>
      </w:r>
      <w:r w:rsidRPr="00192EC4">
        <w:rPr>
          <w:rFonts w:ascii="Arial" w:hAnsi="Arial" w:cs="Arial"/>
          <w:sz w:val="24"/>
          <w:szCs w:val="24"/>
        </w:rPr>
        <w:t>ayoral functions including bus services and from a levy on local authorities for non-</w:t>
      </w:r>
      <w:r w:rsidR="000D4E4E">
        <w:rPr>
          <w:rFonts w:ascii="Arial" w:hAnsi="Arial" w:cs="Arial"/>
          <w:sz w:val="24"/>
          <w:szCs w:val="24"/>
        </w:rPr>
        <w:t>M</w:t>
      </w:r>
      <w:r w:rsidRPr="00192EC4">
        <w:rPr>
          <w:rFonts w:ascii="Arial" w:hAnsi="Arial" w:cs="Arial"/>
          <w:sz w:val="24"/>
          <w:szCs w:val="24"/>
        </w:rPr>
        <w:t xml:space="preserve">ayoral functions in relation to public transport and a contribution to Metrolink financing costs. The budget also includes a number of other grants received in relation to specific activities. </w:t>
      </w:r>
    </w:p>
    <w:p w14:paraId="269829A6" w14:textId="77777777" w:rsidR="00BE35F9" w:rsidRPr="00192EC4" w:rsidRDefault="00BE35F9" w:rsidP="006F1659">
      <w:pPr>
        <w:pStyle w:val="ListParagraph"/>
        <w:spacing w:after="0" w:line="360" w:lineRule="auto"/>
        <w:rPr>
          <w:rFonts w:ascii="Arial" w:hAnsi="Arial" w:cs="Arial"/>
          <w:bCs/>
          <w:sz w:val="24"/>
          <w:szCs w:val="24"/>
        </w:rPr>
      </w:pPr>
    </w:p>
    <w:p w14:paraId="36829029" w14:textId="0FCAC1F5" w:rsidR="00BE35F9" w:rsidRPr="00192EC4" w:rsidRDefault="00BE35F9" w:rsidP="006F1659">
      <w:pPr>
        <w:pStyle w:val="ListParagraph"/>
        <w:numPr>
          <w:ilvl w:val="0"/>
          <w:numId w:val="65"/>
        </w:numPr>
        <w:spacing w:after="0" w:line="360" w:lineRule="auto"/>
        <w:rPr>
          <w:rFonts w:ascii="Arial" w:hAnsi="Arial" w:cs="Arial"/>
          <w:sz w:val="24"/>
          <w:szCs w:val="24"/>
        </w:rPr>
      </w:pPr>
      <w:r w:rsidRPr="00192EC4">
        <w:rPr>
          <w:rFonts w:ascii="Arial" w:hAnsi="Arial" w:cs="Arial"/>
          <w:bCs/>
          <w:sz w:val="24"/>
          <w:szCs w:val="24"/>
        </w:rPr>
        <w:t xml:space="preserve">Greater Manchester Police Fund is made up of government grant and the policing precept agreed with the Police, Fire and Crime Panel, following a public consultation. The majority of the Police Fund is delegated to the Chief Constable of Greater Manchester Police. </w:t>
      </w:r>
    </w:p>
    <w:p w14:paraId="49E139FA" w14:textId="77777777" w:rsidR="00BE35F9" w:rsidRPr="00192EC4" w:rsidRDefault="00BE35F9" w:rsidP="006F1659">
      <w:pPr>
        <w:pStyle w:val="ListParagraph"/>
        <w:spacing w:line="360" w:lineRule="auto"/>
        <w:ind w:left="0"/>
        <w:rPr>
          <w:rFonts w:ascii="Arial" w:hAnsi="Arial" w:cs="Arial"/>
          <w:snapToGrid w:val="0"/>
          <w:sz w:val="24"/>
          <w:szCs w:val="24"/>
          <w:u w:val="single"/>
        </w:rPr>
      </w:pPr>
    </w:p>
    <w:p w14:paraId="632B4670" w14:textId="77777777" w:rsidR="00201027" w:rsidRDefault="00201027">
      <w:pPr>
        <w:rPr>
          <w:rFonts w:ascii="Arial" w:hAnsi="Arial" w:cs="Arial"/>
          <w:snapToGrid w:val="0"/>
          <w:lang w:eastAsia="en-GB"/>
        </w:rPr>
      </w:pPr>
      <w:r>
        <w:rPr>
          <w:rFonts w:ascii="Arial" w:hAnsi="Arial" w:cs="Arial"/>
          <w:snapToGrid w:val="0"/>
        </w:rPr>
        <w:br w:type="page"/>
      </w:r>
    </w:p>
    <w:p w14:paraId="607A17CA" w14:textId="7D633D15" w:rsidR="00BE35F9" w:rsidRPr="00192EC4" w:rsidRDefault="00BE35F9" w:rsidP="006F1659">
      <w:pPr>
        <w:pStyle w:val="ListParagraph"/>
        <w:spacing w:line="360" w:lineRule="auto"/>
        <w:ind w:left="0"/>
        <w:rPr>
          <w:rFonts w:ascii="Arial" w:hAnsi="Arial" w:cs="Arial"/>
          <w:snapToGrid w:val="0"/>
          <w:sz w:val="24"/>
          <w:szCs w:val="24"/>
        </w:rPr>
      </w:pPr>
      <w:r w:rsidRPr="00192EC4">
        <w:rPr>
          <w:rFonts w:ascii="Arial" w:hAnsi="Arial" w:cs="Arial"/>
          <w:snapToGrid w:val="0"/>
          <w:sz w:val="24"/>
          <w:szCs w:val="24"/>
        </w:rPr>
        <w:lastRenderedPageBreak/>
        <w:t>The table below shows the budgets and provisional outturn position for each of the GMCA budgets in 2022/23:</w:t>
      </w:r>
    </w:p>
    <w:tbl>
      <w:tblPr>
        <w:tblW w:w="9480" w:type="dxa"/>
        <w:tblLook w:val="04A0" w:firstRow="1" w:lastRow="0" w:firstColumn="1" w:lastColumn="0" w:noHBand="0" w:noVBand="1"/>
      </w:tblPr>
      <w:tblGrid>
        <w:gridCol w:w="2400"/>
        <w:gridCol w:w="1128"/>
        <w:gridCol w:w="1232"/>
        <w:gridCol w:w="1128"/>
        <w:gridCol w:w="1232"/>
        <w:gridCol w:w="1157"/>
        <w:gridCol w:w="1203"/>
      </w:tblGrid>
      <w:tr w:rsidR="00AE6B10" w14:paraId="414EB4AA" w14:textId="77777777" w:rsidTr="00AE6B10">
        <w:trPr>
          <w:trHeight w:val="290"/>
        </w:trPr>
        <w:tc>
          <w:tcPr>
            <w:tcW w:w="2400" w:type="dxa"/>
            <w:tcBorders>
              <w:top w:val="single" w:sz="8" w:space="0" w:color="auto"/>
              <w:left w:val="single" w:sz="8" w:space="0" w:color="auto"/>
              <w:bottom w:val="nil"/>
              <w:right w:val="nil"/>
            </w:tcBorders>
            <w:shd w:val="clear" w:color="000000" w:fill="BFBFBF"/>
            <w:vAlign w:val="center"/>
            <w:hideMark/>
          </w:tcPr>
          <w:p w14:paraId="6517B1E9" w14:textId="77777777" w:rsidR="00AE6B10" w:rsidRDefault="00AE6B10" w:rsidP="006F1659">
            <w:pPr>
              <w:spacing w:line="360" w:lineRule="auto"/>
              <w:rPr>
                <w:rFonts w:ascii="Arial" w:hAnsi="Arial" w:cs="Arial"/>
                <w:b/>
                <w:bCs/>
                <w:color w:val="000000"/>
                <w:sz w:val="20"/>
                <w:szCs w:val="20"/>
                <w:lang w:eastAsia="en-GB"/>
              </w:rPr>
            </w:pPr>
            <w:r>
              <w:rPr>
                <w:rFonts w:ascii="Arial" w:hAnsi="Arial" w:cs="Arial"/>
                <w:b/>
                <w:bCs/>
                <w:color w:val="000000"/>
                <w:sz w:val="20"/>
                <w:szCs w:val="20"/>
              </w:rPr>
              <w:t>Summary 2022/23</w:t>
            </w:r>
          </w:p>
        </w:tc>
        <w:tc>
          <w:tcPr>
            <w:tcW w:w="2360" w:type="dxa"/>
            <w:gridSpan w:val="2"/>
            <w:tcBorders>
              <w:top w:val="single" w:sz="8" w:space="0" w:color="auto"/>
              <w:left w:val="single" w:sz="4" w:space="0" w:color="auto"/>
              <w:bottom w:val="nil"/>
              <w:right w:val="single" w:sz="4" w:space="0" w:color="000000"/>
            </w:tcBorders>
            <w:shd w:val="clear" w:color="000000" w:fill="BFBFBF"/>
            <w:noWrap/>
            <w:vAlign w:val="center"/>
            <w:hideMark/>
          </w:tcPr>
          <w:p w14:paraId="59111800"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Approved Budget</w:t>
            </w:r>
          </w:p>
        </w:tc>
        <w:tc>
          <w:tcPr>
            <w:tcW w:w="2360" w:type="dxa"/>
            <w:gridSpan w:val="2"/>
            <w:tcBorders>
              <w:top w:val="single" w:sz="8" w:space="0" w:color="auto"/>
              <w:left w:val="nil"/>
              <w:bottom w:val="nil"/>
              <w:right w:val="nil"/>
            </w:tcBorders>
            <w:shd w:val="clear" w:color="000000" w:fill="BFBFBF"/>
            <w:noWrap/>
            <w:vAlign w:val="center"/>
            <w:hideMark/>
          </w:tcPr>
          <w:p w14:paraId="7FD2A877"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Provisional Outturn</w:t>
            </w:r>
          </w:p>
        </w:tc>
        <w:tc>
          <w:tcPr>
            <w:tcW w:w="2360" w:type="dxa"/>
            <w:gridSpan w:val="2"/>
            <w:tcBorders>
              <w:top w:val="single" w:sz="8" w:space="0" w:color="auto"/>
              <w:left w:val="single" w:sz="4" w:space="0" w:color="auto"/>
              <w:bottom w:val="nil"/>
              <w:right w:val="single" w:sz="8" w:space="0" w:color="000000"/>
            </w:tcBorders>
            <w:shd w:val="clear" w:color="000000" w:fill="BFBFBF"/>
            <w:noWrap/>
            <w:vAlign w:val="center"/>
            <w:hideMark/>
          </w:tcPr>
          <w:p w14:paraId="4F95CFB8"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Provisional Variance</w:t>
            </w:r>
          </w:p>
        </w:tc>
      </w:tr>
      <w:tr w:rsidR="00AE6B10" w14:paraId="34F78127" w14:textId="77777777" w:rsidTr="00AE6B10">
        <w:trPr>
          <w:trHeight w:val="290"/>
        </w:trPr>
        <w:tc>
          <w:tcPr>
            <w:tcW w:w="2400" w:type="dxa"/>
            <w:tcBorders>
              <w:top w:val="nil"/>
              <w:left w:val="single" w:sz="8" w:space="0" w:color="auto"/>
              <w:bottom w:val="single" w:sz="4" w:space="0" w:color="auto"/>
              <w:right w:val="nil"/>
            </w:tcBorders>
            <w:shd w:val="clear" w:color="000000" w:fill="BFBFBF"/>
            <w:vAlign w:val="center"/>
            <w:hideMark/>
          </w:tcPr>
          <w:p w14:paraId="0375AA0A" w14:textId="77777777" w:rsidR="00AE6B10" w:rsidRDefault="00AE6B10" w:rsidP="006F1659">
            <w:pPr>
              <w:spacing w:line="360" w:lineRule="auto"/>
              <w:rPr>
                <w:rFonts w:ascii="Arial" w:hAnsi="Arial" w:cs="Arial"/>
                <w:b/>
                <w:bCs/>
                <w:color w:val="000000"/>
                <w:sz w:val="20"/>
                <w:szCs w:val="20"/>
              </w:rPr>
            </w:pPr>
            <w:r>
              <w:rPr>
                <w:rFonts w:ascii="Arial" w:hAnsi="Arial" w:cs="Arial"/>
                <w:b/>
                <w:bCs/>
                <w:color w:val="000000"/>
                <w:sz w:val="20"/>
                <w:szCs w:val="20"/>
              </w:rPr>
              <w:t>Provisional Outturn</w:t>
            </w:r>
          </w:p>
        </w:tc>
        <w:tc>
          <w:tcPr>
            <w:tcW w:w="1128" w:type="dxa"/>
            <w:tcBorders>
              <w:top w:val="nil"/>
              <w:left w:val="single" w:sz="4" w:space="0" w:color="auto"/>
              <w:bottom w:val="single" w:sz="4" w:space="0" w:color="auto"/>
              <w:right w:val="nil"/>
            </w:tcBorders>
            <w:shd w:val="clear" w:color="000000" w:fill="BFBFBF"/>
            <w:noWrap/>
            <w:vAlign w:val="center"/>
            <w:hideMark/>
          </w:tcPr>
          <w:p w14:paraId="5408F1A9"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Exp</w:t>
            </w:r>
          </w:p>
        </w:tc>
        <w:tc>
          <w:tcPr>
            <w:tcW w:w="1232" w:type="dxa"/>
            <w:tcBorders>
              <w:top w:val="nil"/>
              <w:left w:val="nil"/>
              <w:bottom w:val="single" w:sz="4" w:space="0" w:color="auto"/>
              <w:right w:val="single" w:sz="4" w:space="0" w:color="auto"/>
            </w:tcBorders>
            <w:shd w:val="clear" w:color="000000" w:fill="BFBFBF"/>
            <w:noWrap/>
            <w:vAlign w:val="center"/>
            <w:hideMark/>
          </w:tcPr>
          <w:p w14:paraId="762BCACA"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Income </w:t>
            </w:r>
          </w:p>
        </w:tc>
        <w:tc>
          <w:tcPr>
            <w:tcW w:w="1128" w:type="dxa"/>
            <w:tcBorders>
              <w:top w:val="nil"/>
              <w:left w:val="nil"/>
              <w:bottom w:val="single" w:sz="4" w:space="0" w:color="auto"/>
              <w:right w:val="nil"/>
            </w:tcBorders>
            <w:shd w:val="clear" w:color="000000" w:fill="BFBFBF"/>
            <w:noWrap/>
            <w:vAlign w:val="center"/>
            <w:hideMark/>
          </w:tcPr>
          <w:p w14:paraId="090FA4E4"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Exp</w:t>
            </w:r>
          </w:p>
        </w:tc>
        <w:tc>
          <w:tcPr>
            <w:tcW w:w="1232" w:type="dxa"/>
            <w:tcBorders>
              <w:top w:val="nil"/>
              <w:left w:val="nil"/>
              <w:bottom w:val="single" w:sz="4" w:space="0" w:color="auto"/>
              <w:right w:val="nil"/>
            </w:tcBorders>
            <w:shd w:val="clear" w:color="000000" w:fill="BFBFBF"/>
            <w:noWrap/>
            <w:vAlign w:val="center"/>
            <w:hideMark/>
          </w:tcPr>
          <w:p w14:paraId="38357BE5"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Income </w:t>
            </w:r>
          </w:p>
        </w:tc>
        <w:tc>
          <w:tcPr>
            <w:tcW w:w="1157" w:type="dxa"/>
            <w:tcBorders>
              <w:top w:val="nil"/>
              <w:left w:val="single" w:sz="4" w:space="0" w:color="auto"/>
              <w:bottom w:val="single" w:sz="4" w:space="0" w:color="auto"/>
              <w:right w:val="nil"/>
            </w:tcBorders>
            <w:shd w:val="clear" w:color="000000" w:fill="BFBFBF"/>
            <w:noWrap/>
            <w:vAlign w:val="center"/>
            <w:hideMark/>
          </w:tcPr>
          <w:p w14:paraId="76DEDB73"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Exp</w:t>
            </w:r>
          </w:p>
        </w:tc>
        <w:tc>
          <w:tcPr>
            <w:tcW w:w="1203" w:type="dxa"/>
            <w:tcBorders>
              <w:top w:val="nil"/>
              <w:left w:val="nil"/>
              <w:bottom w:val="single" w:sz="4" w:space="0" w:color="auto"/>
              <w:right w:val="single" w:sz="8" w:space="0" w:color="auto"/>
            </w:tcBorders>
            <w:shd w:val="clear" w:color="000000" w:fill="BFBFBF"/>
            <w:noWrap/>
            <w:vAlign w:val="center"/>
            <w:hideMark/>
          </w:tcPr>
          <w:p w14:paraId="5E95D41F"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Income </w:t>
            </w:r>
          </w:p>
        </w:tc>
      </w:tr>
      <w:tr w:rsidR="00AE6B10" w14:paraId="54ECD108" w14:textId="77777777" w:rsidTr="00AE6B10">
        <w:trPr>
          <w:trHeight w:val="290"/>
        </w:trPr>
        <w:tc>
          <w:tcPr>
            <w:tcW w:w="2400" w:type="dxa"/>
            <w:tcBorders>
              <w:top w:val="nil"/>
              <w:left w:val="single" w:sz="8" w:space="0" w:color="auto"/>
              <w:bottom w:val="nil"/>
              <w:right w:val="nil"/>
            </w:tcBorders>
            <w:shd w:val="clear" w:color="auto" w:fill="auto"/>
            <w:noWrap/>
            <w:vAlign w:val="center"/>
            <w:hideMark/>
          </w:tcPr>
          <w:p w14:paraId="1622917C" w14:textId="77777777" w:rsidR="00AE6B10" w:rsidRDefault="00AE6B10" w:rsidP="006F1659">
            <w:pPr>
              <w:spacing w:line="360" w:lineRule="auto"/>
              <w:rPr>
                <w:rFonts w:ascii="Arial" w:hAnsi="Arial" w:cs="Arial"/>
                <w:color w:val="000000"/>
                <w:sz w:val="20"/>
                <w:szCs w:val="20"/>
              </w:rPr>
            </w:pPr>
            <w:r>
              <w:rPr>
                <w:rFonts w:ascii="Arial" w:hAnsi="Arial" w:cs="Arial"/>
                <w:color w:val="000000"/>
                <w:sz w:val="20"/>
                <w:szCs w:val="20"/>
              </w:rPr>
              <w:t> </w:t>
            </w:r>
          </w:p>
        </w:tc>
        <w:tc>
          <w:tcPr>
            <w:tcW w:w="1128" w:type="dxa"/>
            <w:tcBorders>
              <w:top w:val="nil"/>
              <w:left w:val="single" w:sz="4" w:space="0" w:color="auto"/>
              <w:bottom w:val="nil"/>
              <w:right w:val="nil"/>
            </w:tcBorders>
            <w:shd w:val="clear" w:color="auto" w:fill="auto"/>
            <w:noWrap/>
            <w:vAlign w:val="center"/>
            <w:hideMark/>
          </w:tcPr>
          <w:p w14:paraId="4733ED21"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£000</w:t>
            </w:r>
          </w:p>
        </w:tc>
        <w:tc>
          <w:tcPr>
            <w:tcW w:w="1232" w:type="dxa"/>
            <w:tcBorders>
              <w:top w:val="nil"/>
              <w:left w:val="nil"/>
              <w:bottom w:val="nil"/>
              <w:right w:val="single" w:sz="4" w:space="0" w:color="auto"/>
            </w:tcBorders>
            <w:shd w:val="clear" w:color="auto" w:fill="auto"/>
            <w:noWrap/>
            <w:vAlign w:val="center"/>
            <w:hideMark/>
          </w:tcPr>
          <w:p w14:paraId="2E1CF5D6"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£000</w:t>
            </w:r>
          </w:p>
        </w:tc>
        <w:tc>
          <w:tcPr>
            <w:tcW w:w="1128" w:type="dxa"/>
            <w:tcBorders>
              <w:top w:val="nil"/>
              <w:left w:val="nil"/>
              <w:bottom w:val="nil"/>
              <w:right w:val="nil"/>
            </w:tcBorders>
            <w:shd w:val="clear" w:color="auto" w:fill="auto"/>
            <w:noWrap/>
            <w:vAlign w:val="center"/>
            <w:hideMark/>
          </w:tcPr>
          <w:p w14:paraId="280FED55"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£000</w:t>
            </w:r>
          </w:p>
        </w:tc>
        <w:tc>
          <w:tcPr>
            <w:tcW w:w="1232" w:type="dxa"/>
            <w:tcBorders>
              <w:top w:val="nil"/>
              <w:left w:val="nil"/>
              <w:bottom w:val="nil"/>
              <w:right w:val="nil"/>
            </w:tcBorders>
            <w:shd w:val="clear" w:color="auto" w:fill="auto"/>
            <w:noWrap/>
            <w:vAlign w:val="center"/>
            <w:hideMark/>
          </w:tcPr>
          <w:p w14:paraId="0610A083"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£000</w:t>
            </w:r>
          </w:p>
        </w:tc>
        <w:tc>
          <w:tcPr>
            <w:tcW w:w="1157" w:type="dxa"/>
            <w:tcBorders>
              <w:top w:val="nil"/>
              <w:left w:val="single" w:sz="4" w:space="0" w:color="auto"/>
              <w:bottom w:val="nil"/>
              <w:right w:val="nil"/>
            </w:tcBorders>
            <w:shd w:val="clear" w:color="auto" w:fill="auto"/>
            <w:noWrap/>
            <w:vAlign w:val="center"/>
            <w:hideMark/>
          </w:tcPr>
          <w:p w14:paraId="46EA71C5"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£000</w:t>
            </w:r>
          </w:p>
        </w:tc>
        <w:tc>
          <w:tcPr>
            <w:tcW w:w="1203" w:type="dxa"/>
            <w:tcBorders>
              <w:top w:val="nil"/>
              <w:left w:val="nil"/>
              <w:bottom w:val="nil"/>
              <w:right w:val="single" w:sz="8" w:space="0" w:color="auto"/>
            </w:tcBorders>
            <w:shd w:val="clear" w:color="auto" w:fill="auto"/>
            <w:noWrap/>
            <w:vAlign w:val="center"/>
            <w:hideMark/>
          </w:tcPr>
          <w:p w14:paraId="2B1B648A" w14:textId="77777777" w:rsidR="00AE6B10" w:rsidRDefault="00AE6B10"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£000</w:t>
            </w:r>
          </w:p>
        </w:tc>
      </w:tr>
      <w:tr w:rsidR="00AE6B10" w14:paraId="7972D446" w14:textId="77777777" w:rsidTr="00AE6B10">
        <w:trPr>
          <w:trHeight w:val="290"/>
        </w:trPr>
        <w:tc>
          <w:tcPr>
            <w:tcW w:w="2400" w:type="dxa"/>
            <w:tcBorders>
              <w:top w:val="nil"/>
              <w:left w:val="single" w:sz="8" w:space="0" w:color="auto"/>
              <w:bottom w:val="nil"/>
              <w:right w:val="nil"/>
            </w:tcBorders>
            <w:shd w:val="clear" w:color="auto" w:fill="auto"/>
            <w:noWrap/>
            <w:vAlign w:val="center"/>
            <w:hideMark/>
          </w:tcPr>
          <w:p w14:paraId="1C1C0403" w14:textId="77777777" w:rsidR="00AE6B10" w:rsidRDefault="00AE6B10" w:rsidP="006F1659">
            <w:pPr>
              <w:spacing w:line="360" w:lineRule="auto"/>
              <w:rPr>
                <w:rFonts w:ascii="Arial" w:hAnsi="Arial" w:cs="Arial"/>
                <w:color w:val="000000"/>
                <w:sz w:val="20"/>
                <w:szCs w:val="20"/>
              </w:rPr>
            </w:pPr>
            <w:r>
              <w:rPr>
                <w:rFonts w:ascii="Arial" w:hAnsi="Arial" w:cs="Arial"/>
                <w:color w:val="000000"/>
                <w:sz w:val="20"/>
                <w:szCs w:val="20"/>
              </w:rPr>
              <w:t>GMCA General</w:t>
            </w:r>
          </w:p>
        </w:tc>
        <w:tc>
          <w:tcPr>
            <w:tcW w:w="1128" w:type="dxa"/>
            <w:tcBorders>
              <w:top w:val="nil"/>
              <w:left w:val="single" w:sz="4" w:space="0" w:color="auto"/>
              <w:bottom w:val="nil"/>
              <w:right w:val="nil"/>
            </w:tcBorders>
            <w:shd w:val="clear" w:color="auto" w:fill="auto"/>
            <w:noWrap/>
            <w:vAlign w:val="center"/>
            <w:hideMark/>
          </w:tcPr>
          <w:p w14:paraId="79D2B456"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242,620</w:t>
            </w:r>
          </w:p>
        </w:tc>
        <w:tc>
          <w:tcPr>
            <w:tcW w:w="1232" w:type="dxa"/>
            <w:tcBorders>
              <w:top w:val="nil"/>
              <w:left w:val="nil"/>
              <w:bottom w:val="nil"/>
              <w:right w:val="single" w:sz="4" w:space="0" w:color="auto"/>
            </w:tcBorders>
            <w:shd w:val="clear" w:color="auto" w:fill="auto"/>
            <w:noWrap/>
            <w:vAlign w:val="center"/>
            <w:hideMark/>
          </w:tcPr>
          <w:p w14:paraId="235D51DD"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-242,620</w:t>
            </w:r>
          </w:p>
        </w:tc>
        <w:tc>
          <w:tcPr>
            <w:tcW w:w="1128" w:type="dxa"/>
            <w:tcBorders>
              <w:top w:val="nil"/>
              <w:left w:val="nil"/>
              <w:bottom w:val="nil"/>
              <w:right w:val="nil"/>
            </w:tcBorders>
            <w:shd w:val="clear" w:color="auto" w:fill="auto"/>
            <w:noWrap/>
            <w:vAlign w:val="center"/>
            <w:hideMark/>
          </w:tcPr>
          <w:p w14:paraId="4E1A4042"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270,091</w:t>
            </w:r>
          </w:p>
        </w:tc>
        <w:tc>
          <w:tcPr>
            <w:tcW w:w="1232" w:type="dxa"/>
            <w:tcBorders>
              <w:top w:val="nil"/>
              <w:left w:val="nil"/>
              <w:bottom w:val="nil"/>
              <w:right w:val="nil"/>
            </w:tcBorders>
            <w:shd w:val="clear" w:color="auto" w:fill="auto"/>
            <w:noWrap/>
            <w:vAlign w:val="center"/>
            <w:hideMark/>
          </w:tcPr>
          <w:p w14:paraId="60200DEC"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-270,091</w:t>
            </w:r>
          </w:p>
        </w:tc>
        <w:tc>
          <w:tcPr>
            <w:tcW w:w="1157" w:type="dxa"/>
            <w:tcBorders>
              <w:top w:val="nil"/>
              <w:left w:val="single" w:sz="4" w:space="0" w:color="auto"/>
              <w:bottom w:val="nil"/>
              <w:right w:val="nil"/>
            </w:tcBorders>
            <w:shd w:val="clear" w:color="auto" w:fill="auto"/>
            <w:noWrap/>
            <w:vAlign w:val="center"/>
            <w:hideMark/>
          </w:tcPr>
          <w:p w14:paraId="48C310CB"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27,471</w:t>
            </w:r>
          </w:p>
        </w:tc>
        <w:tc>
          <w:tcPr>
            <w:tcW w:w="1203" w:type="dxa"/>
            <w:tcBorders>
              <w:top w:val="nil"/>
              <w:left w:val="nil"/>
              <w:bottom w:val="nil"/>
              <w:right w:val="single" w:sz="8" w:space="0" w:color="auto"/>
            </w:tcBorders>
            <w:shd w:val="clear" w:color="auto" w:fill="auto"/>
            <w:noWrap/>
            <w:vAlign w:val="center"/>
            <w:hideMark/>
          </w:tcPr>
          <w:p w14:paraId="7E681176"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-27,471</w:t>
            </w:r>
          </w:p>
        </w:tc>
      </w:tr>
      <w:tr w:rsidR="00AE6B10" w14:paraId="49A24DB8" w14:textId="77777777" w:rsidTr="00AE6B10">
        <w:trPr>
          <w:trHeight w:val="290"/>
        </w:trPr>
        <w:tc>
          <w:tcPr>
            <w:tcW w:w="2400" w:type="dxa"/>
            <w:tcBorders>
              <w:top w:val="nil"/>
              <w:left w:val="single" w:sz="8" w:space="0" w:color="auto"/>
              <w:bottom w:val="nil"/>
              <w:right w:val="nil"/>
            </w:tcBorders>
            <w:shd w:val="clear" w:color="auto" w:fill="auto"/>
            <w:noWrap/>
            <w:vAlign w:val="center"/>
            <w:hideMark/>
          </w:tcPr>
          <w:p w14:paraId="45467DBC" w14:textId="77777777" w:rsidR="00AE6B10" w:rsidRDefault="00AE6B10" w:rsidP="006F1659">
            <w:pPr>
              <w:spacing w:line="360" w:lineRule="auto"/>
              <w:rPr>
                <w:rFonts w:ascii="Arial" w:hAnsi="Arial" w:cs="Arial"/>
                <w:color w:val="000000"/>
                <w:sz w:val="20"/>
                <w:szCs w:val="20"/>
              </w:rPr>
            </w:pPr>
            <w:r>
              <w:rPr>
                <w:rFonts w:ascii="Arial" w:hAnsi="Arial" w:cs="Arial"/>
                <w:color w:val="000000"/>
                <w:sz w:val="20"/>
                <w:szCs w:val="20"/>
              </w:rPr>
              <w:t>Mayoral</w:t>
            </w:r>
          </w:p>
        </w:tc>
        <w:tc>
          <w:tcPr>
            <w:tcW w:w="1128" w:type="dxa"/>
            <w:tcBorders>
              <w:top w:val="nil"/>
              <w:left w:val="single" w:sz="4" w:space="0" w:color="auto"/>
              <w:bottom w:val="nil"/>
              <w:right w:val="nil"/>
            </w:tcBorders>
            <w:shd w:val="clear" w:color="auto" w:fill="auto"/>
            <w:noWrap/>
            <w:vAlign w:val="center"/>
            <w:hideMark/>
          </w:tcPr>
          <w:p w14:paraId="3C527C53"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139,020</w:t>
            </w:r>
          </w:p>
        </w:tc>
        <w:tc>
          <w:tcPr>
            <w:tcW w:w="1232" w:type="dxa"/>
            <w:tcBorders>
              <w:top w:val="nil"/>
              <w:left w:val="nil"/>
              <w:bottom w:val="nil"/>
              <w:right w:val="single" w:sz="4" w:space="0" w:color="auto"/>
            </w:tcBorders>
            <w:shd w:val="clear" w:color="auto" w:fill="auto"/>
            <w:noWrap/>
            <w:vAlign w:val="center"/>
            <w:hideMark/>
          </w:tcPr>
          <w:p w14:paraId="43784CA0"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-139,020</w:t>
            </w:r>
          </w:p>
        </w:tc>
        <w:tc>
          <w:tcPr>
            <w:tcW w:w="1128" w:type="dxa"/>
            <w:tcBorders>
              <w:top w:val="nil"/>
              <w:left w:val="nil"/>
              <w:bottom w:val="nil"/>
              <w:right w:val="nil"/>
            </w:tcBorders>
            <w:shd w:val="clear" w:color="auto" w:fill="auto"/>
            <w:noWrap/>
            <w:vAlign w:val="center"/>
            <w:hideMark/>
          </w:tcPr>
          <w:p w14:paraId="7920731C"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127,850</w:t>
            </w:r>
          </w:p>
        </w:tc>
        <w:tc>
          <w:tcPr>
            <w:tcW w:w="1232" w:type="dxa"/>
            <w:tcBorders>
              <w:top w:val="nil"/>
              <w:left w:val="nil"/>
              <w:bottom w:val="nil"/>
              <w:right w:val="nil"/>
            </w:tcBorders>
            <w:shd w:val="clear" w:color="auto" w:fill="auto"/>
            <w:noWrap/>
            <w:vAlign w:val="center"/>
            <w:hideMark/>
          </w:tcPr>
          <w:p w14:paraId="6CECE2F8"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-127,850</w:t>
            </w:r>
          </w:p>
        </w:tc>
        <w:tc>
          <w:tcPr>
            <w:tcW w:w="1157" w:type="dxa"/>
            <w:tcBorders>
              <w:top w:val="nil"/>
              <w:left w:val="single" w:sz="4" w:space="0" w:color="auto"/>
              <w:bottom w:val="nil"/>
              <w:right w:val="nil"/>
            </w:tcBorders>
            <w:shd w:val="clear" w:color="auto" w:fill="auto"/>
            <w:noWrap/>
            <w:vAlign w:val="center"/>
            <w:hideMark/>
          </w:tcPr>
          <w:p w14:paraId="56CC3037"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-11,170</w:t>
            </w:r>
          </w:p>
        </w:tc>
        <w:tc>
          <w:tcPr>
            <w:tcW w:w="1203" w:type="dxa"/>
            <w:tcBorders>
              <w:top w:val="nil"/>
              <w:left w:val="nil"/>
              <w:bottom w:val="nil"/>
              <w:right w:val="single" w:sz="8" w:space="0" w:color="auto"/>
            </w:tcBorders>
            <w:shd w:val="clear" w:color="auto" w:fill="auto"/>
            <w:noWrap/>
            <w:vAlign w:val="center"/>
            <w:hideMark/>
          </w:tcPr>
          <w:p w14:paraId="72628C03"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11,170</w:t>
            </w:r>
          </w:p>
        </w:tc>
      </w:tr>
      <w:tr w:rsidR="00AE6B10" w14:paraId="7D65F07E" w14:textId="77777777" w:rsidTr="00AE6B10">
        <w:trPr>
          <w:trHeight w:val="290"/>
        </w:trPr>
        <w:tc>
          <w:tcPr>
            <w:tcW w:w="2400" w:type="dxa"/>
            <w:tcBorders>
              <w:top w:val="nil"/>
              <w:left w:val="single" w:sz="8" w:space="0" w:color="auto"/>
              <w:bottom w:val="nil"/>
              <w:right w:val="nil"/>
            </w:tcBorders>
            <w:shd w:val="clear" w:color="auto" w:fill="auto"/>
            <w:noWrap/>
            <w:vAlign w:val="center"/>
            <w:hideMark/>
          </w:tcPr>
          <w:p w14:paraId="728C64C8" w14:textId="77777777" w:rsidR="00AE6B10" w:rsidRDefault="00AE6B10" w:rsidP="006F1659">
            <w:pPr>
              <w:spacing w:line="360" w:lineRule="auto"/>
              <w:rPr>
                <w:rFonts w:ascii="Arial" w:hAnsi="Arial" w:cs="Arial"/>
                <w:color w:val="000000"/>
                <w:sz w:val="20"/>
                <w:szCs w:val="20"/>
              </w:rPr>
            </w:pPr>
            <w:r>
              <w:rPr>
                <w:rFonts w:ascii="Arial" w:hAnsi="Arial" w:cs="Arial"/>
                <w:color w:val="000000"/>
                <w:sz w:val="20"/>
                <w:szCs w:val="20"/>
              </w:rPr>
              <w:t>GMFRS</w:t>
            </w:r>
          </w:p>
        </w:tc>
        <w:tc>
          <w:tcPr>
            <w:tcW w:w="1128" w:type="dxa"/>
            <w:tcBorders>
              <w:top w:val="nil"/>
              <w:left w:val="single" w:sz="4" w:space="0" w:color="auto"/>
              <w:bottom w:val="nil"/>
              <w:right w:val="nil"/>
            </w:tcBorders>
            <w:shd w:val="clear" w:color="auto" w:fill="auto"/>
            <w:noWrap/>
            <w:vAlign w:val="center"/>
            <w:hideMark/>
          </w:tcPr>
          <w:p w14:paraId="0F033DCD"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119,543</w:t>
            </w:r>
          </w:p>
        </w:tc>
        <w:tc>
          <w:tcPr>
            <w:tcW w:w="1232" w:type="dxa"/>
            <w:tcBorders>
              <w:top w:val="nil"/>
              <w:left w:val="nil"/>
              <w:bottom w:val="nil"/>
              <w:right w:val="single" w:sz="4" w:space="0" w:color="auto"/>
            </w:tcBorders>
            <w:shd w:val="clear" w:color="auto" w:fill="auto"/>
            <w:noWrap/>
            <w:vAlign w:val="center"/>
            <w:hideMark/>
          </w:tcPr>
          <w:p w14:paraId="0A669FBE"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-119,543</w:t>
            </w:r>
          </w:p>
        </w:tc>
        <w:tc>
          <w:tcPr>
            <w:tcW w:w="1128" w:type="dxa"/>
            <w:tcBorders>
              <w:top w:val="nil"/>
              <w:left w:val="nil"/>
              <w:bottom w:val="nil"/>
              <w:right w:val="nil"/>
            </w:tcBorders>
            <w:shd w:val="clear" w:color="auto" w:fill="auto"/>
            <w:noWrap/>
            <w:vAlign w:val="center"/>
            <w:hideMark/>
          </w:tcPr>
          <w:p w14:paraId="1E0AED54"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120,679</w:t>
            </w:r>
          </w:p>
        </w:tc>
        <w:tc>
          <w:tcPr>
            <w:tcW w:w="1232" w:type="dxa"/>
            <w:tcBorders>
              <w:top w:val="nil"/>
              <w:left w:val="nil"/>
              <w:bottom w:val="nil"/>
              <w:right w:val="nil"/>
            </w:tcBorders>
            <w:shd w:val="clear" w:color="auto" w:fill="auto"/>
            <w:noWrap/>
            <w:vAlign w:val="center"/>
            <w:hideMark/>
          </w:tcPr>
          <w:p w14:paraId="243F76ED"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-120,679</w:t>
            </w:r>
          </w:p>
        </w:tc>
        <w:tc>
          <w:tcPr>
            <w:tcW w:w="1157" w:type="dxa"/>
            <w:tcBorders>
              <w:top w:val="nil"/>
              <w:left w:val="single" w:sz="4" w:space="0" w:color="auto"/>
              <w:bottom w:val="nil"/>
              <w:right w:val="nil"/>
            </w:tcBorders>
            <w:shd w:val="clear" w:color="auto" w:fill="auto"/>
            <w:noWrap/>
            <w:vAlign w:val="center"/>
            <w:hideMark/>
          </w:tcPr>
          <w:p w14:paraId="31C2198C"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1,136</w:t>
            </w:r>
          </w:p>
        </w:tc>
        <w:tc>
          <w:tcPr>
            <w:tcW w:w="1203" w:type="dxa"/>
            <w:tcBorders>
              <w:top w:val="nil"/>
              <w:left w:val="nil"/>
              <w:bottom w:val="nil"/>
              <w:right w:val="single" w:sz="8" w:space="0" w:color="auto"/>
            </w:tcBorders>
            <w:shd w:val="clear" w:color="auto" w:fill="auto"/>
            <w:noWrap/>
            <w:vAlign w:val="center"/>
            <w:hideMark/>
          </w:tcPr>
          <w:p w14:paraId="7E5AD337"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-1,136</w:t>
            </w:r>
          </w:p>
        </w:tc>
      </w:tr>
      <w:tr w:rsidR="00AE6B10" w14:paraId="238A5B7E" w14:textId="77777777" w:rsidTr="00AE6B10">
        <w:trPr>
          <w:trHeight w:val="290"/>
        </w:trPr>
        <w:tc>
          <w:tcPr>
            <w:tcW w:w="2400" w:type="dxa"/>
            <w:tcBorders>
              <w:top w:val="nil"/>
              <w:left w:val="single" w:sz="8" w:space="0" w:color="auto"/>
              <w:bottom w:val="nil"/>
              <w:right w:val="nil"/>
            </w:tcBorders>
            <w:shd w:val="clear" w:color="auto" w:fill="auto"/>
            <w:noWrap/>
            <w:vAlign w:val="center"/>
            <w:hideMark/>
          </w:tcPr>
          <w:p w14:paraId="4AC81A5E" w14:textId="77777777" w:rsidR="00AE6B10" w:rsidRDefault="00AE6B10" w:rsidP="006F1659">
            <w:pPr>
              <w:spacing w:line="360" w:lineRule="auto"/>
              <w:rPr>
                <w:rFonts w:ascii="Arial" w:hAnsi="Arial" w:cs="Arial"/>
                <w:color w:val="000000"/>
                <w:sz w:val="20"/>
                <w:szCs w:val="20"/>
              </w:rPr>
            </w:pPr>
            <w:r>
              <w:rPr>
                <w:rFonts w:ascii="Arial" w:hAnsi="Arial" w:cs="Arial"/>
                <w:color w:val="000000"/>
                <w:sz w:val="20"/>
                <w:szCs w:val="20"/>
              </w:rPr>
              <w:t>Waste</w:t>
            </w:r>
          </w:p>
        </w:tc>
        <w:tc>
          <w:tcPr>
            <w:tcW w:w="1128" w:type="dxa"/>
            <w:tcBorders>
              <w:top w:val="nil"/>
              <w:left w:val="single" w:sz="4" w:space="0" w:color="auto"/>
              <w:bottom w:val="nil"/>
              <w:right w:val="nil"/>
            </w:tcBorders>
            <w:shd w:val="clear" w:color="auto" w:fill="auto"/>
            <w:noWrap/>
            <w:vAlign w:val="center"/>
            <w:hideMark/>
          </w:tcPr>
          <w:p w14:paraId="79A86714"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164,840</w:t>
            </w:r>
          </w:p>
        </w:tc>
        <w:tc>
          <w:tcPr>
            <w:tcW w:w="1232" w:type="dxa"/>
            <w:tcBorders>
              <w:top w:val="nil"/>
              <w:left w:val="nil"/>
              <w:bottom w:val="nil"/>
              <w:right w:val="single" w:sz="4" w:space="0" w:color="auto"/>
            </w:tcBorders>
            <w:shd w:val="clear" w:color="auto" w:fill="auto"/>
            <w:noWrap/>
            <w:vAlign w:val="center"/>
            <w:hideMark/>
          </w:tcPr>
          <w:p w14:paraId="4C876FCA"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-164,840</w:t>
            </w:r>
          </w:p>
        </w:tc>
        <w:tc>
          <w:tcPr>
            <w:tcW w:w="1128" w:type="dxa"/>
            <w:tcBorders>
              <w:top w:val="nil"/>
              <w:left w:val="nil"/>
              <w:bottom w:val="nil"/>
              <w:right w:val="nil"/>
            </w:tcBorders>
            <w:shd w:val="clear" w:color="auto" w:fill="auto"/>
            <w:noWrap/>
            <w:vAlign w:val="center"/>
            <w:hideMark/>
          </w:tcPr>
          <w:p w14:paraId="02D8663D"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119,457</w:t>
            </w:r>
          </w:p>
        </w:tc>
        <w:tc>
          <w:tcPr>
            <w:tcW w:w="1232" w:type="dxa"/>
            <w:tcBorders>
              <w:top w:val="nil"/>
              <w:left w:val="nil"/>
              <w:bottom w:val="nil"/>
              <w:right w:val="nil"/>
            </w:tcBorders>
            <w:shd w:val="clear" w:color="auto" w:fill="auto"/>
            <w:noWrap/>
            <w:vAlign w:val="center"/>
            <w:hideMark/>
          </w:tcPr>
          <w:p w14:paraId="42D6DB12"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-119,457</w:t>
            </w:r>
          </w:p>
        </w:tc>
        <w:tc>
          <w:tcPr>
            <w:tcW w:w="1157" w:type="dxa"/>
            <w:tcBorders>
              <w:top w:val="nil"/>
              <w:left w:val="single" w:sz="4" w:space="0" w:color="auto"/>
              <w:bottom w:val="nil"/>
              <w:right w:val="nil"/>
            </w:tcBorders>
            <w:shd w:val="clear" w:color="auto" w:fill="auto"/>
            <w:noWrap/>
            <w:vAlign w:val="center"/>
            <w:hideMark/>
          </w:tcPr>
          <w:p w14:paraId="479F2220"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-45,383</w:t>
            </w:r>
          </w:p>
        </w:tc>
        <w:tc>
          <w:tcPr>
            <w:tcW w:w="1203" w:type="dxa"/>
            <w:tcBorders>
              <w:top w:val="nil"/>
              <w:left w:val="nil"/>
              <w:bottom w:val="nil"/>
              <w:right w:val="single" w:sz="8" w:space="0" w:color="auto"/>
            </w:tcBorders>
            <w:shd w:val="clear" w:color="auto" w:fill="auto"/>
            <w:noWrap/>
            <w:vAlign w:val="center"/>
            <w:hideMark/>
          </w:tcPr>
          <w:p w14:paraId="3EECF546"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45,383</w:t>
            </w:r>
          </w:p>
        </w:tc>
      </w:tr>
      <w:tr w:rsidR="00AE6B10" w14:paraId="251E1921" w14:textId="77777777" w:rsidTr="00AE6B10">
        <w:trPr>
          <w:trHeight w:val="290"/>
        </w:trPr>
        <w:tc>
          <w:tcPr>
            <w:tcW w:w="2400" w:type="dxa"/>
            <w:tcBorders>
              <w:top w:val="nil"/>
              <w:left w:val="single" w:sz="8" w:space="0" w:color="auto"/>
              <w:bottom w:val="nil"/>
              <w:right w:val="nil"/>
            </w:tcBorders>
            <w:shd w:val="clear" w:color="auto" w:fill="auto"/>
            <w:noWrap/>
            <w:vAlign w:val="center"/>
            <w:hideMark/>
          </w:tcPr>
          <w:p w14:paraId="0DE4BB2E" w14:textId="77777777" w:rsidR="00AE6B10" w:rsidRDefault="00AE6B10" w:rsidP="006F1659">
            <w:pPr>
              <w:spacing w:line="360" w:lineRule="auto"/>
              <w:rPr>
                <w:rFonts w:ascii="Arial" w:hAnsi="Arial" w:cs="Arial"/>
                <w:color w:val="000000"/>
                <w:sz w:val="20"/>
                <w:szCs w:val="20"/>
              </w:rPr>
            </w:pPr>
            <w:r>
              <w:rPr>
                <w:rFonts w:ascii="Arial" w:hAnsi="Arial" w:cs="Arial"/>
                <w:color w:val="000000"/>
                <w:sz w:val="20"/>
                <w:szCs w:val="20"/>
              </w:rPr>
              <w:t>Transport (inc TfGM)</w:t>
            </w:r>
          </w:p>
        </w:tc>
        <w:tc>
          <w:tcPr>
            <w:tcW w:w="1128" w:type="dxa"/>
            <w:tcBorders>
              <w:top w:val="nil"/>
              <w:left w:val="single" w:sz="4" w:space="0" w:color="auto"/>
              <w:bottom w:val="nil"/>
              <w:right w:val="nil"/>
            </w:tcBorders>
            <w:shd w:val="clear" w:color="auto" w:fill="auto"/>
            <w:noWrap/>
            <w:vAlign w:val="center"/>
            <w:hideMark/>
          </w:tcPr>
          <w:p w14:paraId="1AED955A"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282,412</w:t>
            </w:r>
          </w:p>
        </w:tc>
        <w:tc>
          <w:tcPr>
            <w:tcW w:w="1232" w:type="dxa"/>
            <w:tcBorders>
              <w:top w:val="nil"/>
              <w:left w:val="nil"/>
              <w:bottom w:val="nil"/>
              <w:right w:val="single" w:sz="4" w:space="0" w:color="auto"/>
            </w:tcBorders>
            <w:shd w:val="clear" w:color="auto" w:fill="auto"/>
            <w:noWrap/>
            <w:vAlign w:val="center"/>
            <w:hideMark/>
          </w:tcPr>
          <w:p w14:paraId="278755AB"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-282,412</w:t>
            </w:r>
          </w:p>
        </w:tc>
        <w:tc>
          <w:tcPr>
            <w:tcW w:w="1128" w:type="dxa"/>
            <w:tcBorders>
              <w:top w:val="nil"/>
              <w:left w:val="nil"/>
              <w:bottom w:val="nil"/>
              <w:right w:val="nil"/>
            </w:tcBorders>
            <w:shd w:val="clear" w:color="auto" w:fill="auto"/>
            <w:noWrap/>
            <w:vAlign w:val="center"/>
            <w:hideMark/>
          </w:tcPr>
          <w:p w14:paraId="0DEE4EE6"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337,734</w:t>
            </w:r>
          </w:p>
        </w:tc>
        <w:tc>
          <w:tcPr>
            <w:tcW w:w="1232" w:type="dxa"/>
            <w:tcBorders>
              <w:top w:val="nil"/>
              <w:left w:val="nil"/>
              <w:bottom w:val="nil"/>
              <w:right w:val="nil"/>
            </w:tcBorders>
            <w:shd w:val="clear" w:color="auto" w:fill="auto"/>
            <w:noWrap/>
            <w:vAlign w:val="center"/>
            <w:hideMark/>
          </w:tcPr>
          <w:p w14:paraId="0A5595DD"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-337,734</w:t>
            </w:r>
          </w:p>
        </w:tc>
        <w:tc>
          <w:tcPr>
            <w:tcW w:w="1157" w:type="dxa"/>
            <w:tcBorders>
              <w:top w:val="nil"/>
              <w:left w:val="single" w:sz="4" w:space="0" w:color="auto"/>
              <w:bottom w:val="nil"/>
              <w:right w:val="nil"/>
            </w:tcBorders>
            <w:shd w:val="clear" w:color="auto" w:fill="auto"/>
            <w:noWrap/>
            <w:vAlign w:val="center"/>
            <w:hideMark/>
          </w:tcPr>
          <w:p w14:paraId="1062FDA1"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55,322</w:t>
            </w:r>
          </w:p>
        </w:tc>
        <w:tc>
          <w:tcPr>
            <w:tcW w:w="1203" w:type="dxa"/>
            <w:tcBorders>
              <w:top w:val="nil"/>
              <w:left w:val="nil"/>
              <w:bottom w:val="nil"/>
              <w:right w:val="single" w:sz="8" w:space="0" w:color="auto"/>
            </w:tcBorders>
            <w:shd w:val="clear" w:color="auto" w:fill="auto"/>
            <w:noWrap/>
            <w:vAlign w:val="center"/>
            <w:hideMark/>
          </w:tcPr>
          <w:p w14:paraId="40A8C1C2"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-55,322</w:t>
            </w:r>
          </w:p>
        </w:tc>
      </w:tr>
      <w:tr w:rsidR="00AE6B10" w14:paraId="3E855FB5" w14:textId="77777777" w:rsidTr="00AE6B10">
        <w:trPr>
          <w:trHeight w:val="300"/>
        </w:trPr>
        <w:tc>
          <w:tcPr>
            <w:tcW w:w="2400" w:type="dxa"/>
            <w:tcBorders>
              <w:top w:val="nil"/>
              <w:left w:val="single" w:sz="8" w:space="0" w:color="auto"/>
              <w:bottom w:val="single" w:sz="8" w:space="0" w:color="auto"/>
              <w:right w:val="nil"/>
            </w:tcBorders>
            <w:shd w:val="clear" w:color="auto" w:fill="auto"/>
            <w:noWrap/>
            <w:vAlign w:val="center"/>
            <w:hideMark/>
          </w:tcPr>
          <w:p w14:paraId="0EB6BED0" w14:textId="77777777" w:rsidR="00AE6B10" w:rsidRDefault="00AE6B10" w:rsidP="006F1659">
            <w:pPr>
              <w:spacing w:line="360" w:lineRule="auto"/>
              <w:rPr>
                <w:rFonts w:ascii="Arial" w:hAnsi="Arial" w:cs="Arial"/>
                <w:color w:val="000000"/>
                <w:sz w:val="20"/>
                <w:szCs w:val="20"/>
              </w:rPr>
            </w:pPr>
            <w:r>
              <w:rPr>
                <w:rFonts w:ascii="Arial" w:hAnsi="Arial" w:cs="Arial"/>
                <w:color w:val="000000"/>
                <w:sz w:val="20"/>
                <w:szCs w:val="20"/>
              </w:rPr>
              <w:t>Police Fund (inc GMP)</w:t>
            </w:r>
          </w:p>
        </w:tc>
        <w:tc>
          <w:tcPr>
            <w:tcW w:w="1128" w:type="dxa"/>
            <w:tcBorders>
              <w:top w:val="nil"/>
              <w:left w:val="single" w:sz="4" w:space="0" w:color="auto"/>
              <w:bottom w:val="single" w:sz="8" w:space="0" w:color="auto"/>
              <w:right w:val="nil"/>
            </w:tcBorders>
            <w:shd w:val="clear" w:color="auto" w:fill="auto"/>
            <w:noWrap/>
            <w:vAlign w:val="center"/>
            <w:hideMark/>
          </w:tcPr>
          <w:p w14:paraId="13C2F168"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718,600</w:t>
            </w:r>
          </w:p>
        </w:tc>
        <w:tc>
          <w:tcPr>
            <w:tcW w:w="1232" w:type="dxa"/>
            <w:tcBorders>
              <w:top w:val="nil"/>
              <w:left w:val="nil"/>
              <w:bottom w:val="single" w:sz="8" w:space="0" w:color="auto"/>
              <w:right w:val="single" w:sz="4" w:space="0" w:color="auto"/>
            </w:tcBorders>
            <w:shd w:val="clear" w:color="auto" w:fill="auto"/>
            <w:noWrap/>
            <w:vAlign w:val="center"/>
            <w:hideMark/>
          </w:tcPr>
          <w:p w14:paraId="38B3CCF7"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-718,600</w:t>
            </w:r>
          </w:p>
        </w:tc>
        <w:tc>
          <w:tcPr>
            <w:tcW w:w="1128" w:type="dxa"/>
            <w:tcBorders>
              <w:top w:val="nil"/>
              <w:left w:val="nil"/>
              <w:bottom w:val="single" w:sz="8" w:space="0" w:color="auto"/>
              <w:right w:val="nil"/>
            </w:tcBorders>
            <w:shd w:val="clear" w:color="auto" w:fill="auto"/>
            <w:noWrap/>
            <w:vAlign w:val="center"/>
            <w:hideMark/>
          </w:tcPr>
          <w:p w14:paraId="64CB03AF"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718,600</w:t>
            </w:r>
          </w:p>
        </w:tc>
        <w:tc>
          <w:tcPr>
            <w:tcW w:w="1232" w:type="dxa"/>
            <w:tcBorders>
              <w:top w:val="nil"/>
              <w:left w:val="nil"/>
              <w:bottom w:val="single" w:sz="8" w:space="0" w:color="auto"/>
              <w:right w:val="nil"/>
            </w:tcBorders>
            <w:shd w:val="clear" w:color="auto" w:fill="auto"/>
            <w:noWrap/>
            <w:vAlign w:val="center"/>
            <w:hideMark/>
          </w:tcPr>
          <w:p w14:paraId="5B593640"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-718,600</w:t>
            </w:r>
          </w:p>
        </w:tc>
        <w:tc>
          <w:tcPr>
            <w:tcW w:w="1157" w:type="dxa"/>
            <w:tcBorders>
              <w:top w:val="nil"/>
              <w:left w:val="single" w:sz="4" w:space="0" w:color="auto"/>
              <w:bottom w:val="single" w:sz="8" w:space="0" w:color="auto"/>
              <w:right w:val="nil"/>
            </w:tcBorders>
            <w:shd w:val="clear" w:color="auto" w:fill="auto"/>
            <w:noWrap/>
            <w:vAlign w:val="center"/>
            <w:hideMark/>
          </w:tcPr>
          <w:p w14:paraId="088321C0"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0</w:t>
            </w:r>
          </w:p>
        </w:tc>
        <w:tc>
          <w:tcPr>
            <w:tcW w:w="1203" w:type="dxa"/>
            <w:tcBorders>
              <w:top w:val="nil"/>
              <w:left w:val="nil"/>
              <w:bottom w:val="single" w:sz="8" w:space="0" w:color="auto"/>
              <w:right w:val="single" w:sz="8" w:space="0" w:color="auto"/>
            </w:tcBorders>
            <w:shd w:val="clear" w:color="auto" w:fill="auto"/>
            <w:noWrap/>
            <w:vAlign w:val="center"/>
            <w:hideMark/>
          </w:tcPr>
          <w:p w14:paraId="29B276D4" w14:textId="77777777" w:rsidR="00AE6B10" w:rsidRDefault="00AE6B10" w:rsidP="006F1659">
            <w:pPr>
              <w:spacing w:line="360" w:lineRule="auto"/>
              <w:jc w:val="right"/>
              <w:rPr>
                <w:rFonts w:ascii="Arial" w:hAnsi="Arial" w:cs="Arial"/>
                <w:color w:val="000000"/>
                <w:sz w:val="20"/>
                <w:szCs w:val="20"/>
              </w:rPr>
            </w:pPr>
            <w:r>
              <w:rPr>
                <w:rFonts w:ascii="Arial" w:hAnsi="Arial" w:cs="Arial"/>
                <w:color w:val="000000"/>
                <w:sz w:val="20"/>
                <w:szCs w:val="20"/>
              </w:rPr>
              <w:t>0</w:t>
            </w:r>
          </w:p>
        </w:tc>
      </w:tr>
    </w:tbl>
    <w:p w14:paraId="67283F3A" w14:textId="77777777" w:rsidR="00201027" w:rsidRDefault="00201027" w:rsidP="006F1659">
      <w:pPr>
        <w:spacing w:line="360" w:lineRule="auto"/>
        <w:rPr>
          <w:rFonts w:ascii="Arial" w:hAnsi="Arial" w:cs="Arial"/>
          <w:u w:val="single"/>
        </w:rPr>
      </w:pPr>
    </w:p>
    <w:p w14:paraId="72744583" w14:textId="7928608F" w:rsidR="00BE35F9" w:rsidRPr="00192EC4" w:rsidRDefault="00BE35F9" w:rsidP="006F1659">
      <w:pPr>
        <w:spacing w:line="360" w:lineRule="auto"/>
        <w:rPr>
          <w:rFonts w:ascii="Arial" w:hAnsi="Arial" w:cs="Arial"/>
          <w:u w:val="single"/>
        </w:rPr>
      </w:pPr>
      <w:r w:rsidRPr="00192EC4">
        <w:rPr>
          <w:rFonts w:ascii="Arial" w:hAnsi="Arial" w:cs="Arial"/>
          <w:u w:val="single"/>
        </w:rPr>
        <w:t>Capital budgets</w:t>
      </w:r>
    </w:p>
    <w:p w14:paraId="719BAE85" w14:textId="77777777" w:rsidR="00BE35F9" w:rsidRPr="00192EC4" w:rsidRDefault="00BE35F9" w:rsidP="006F1659">
      <w:pPr>
        <w:spacing w:line="360" w:lineRule="auto"/>
        <w:rPr>
          <w:rFonts w:ascii="Arial" w:hAnsi="Arial" w:cs="Arial"/>
          <w:u w:val="single"/>
        </w:rPr>
      </w:pPr>
    </w:p>
    <w:p w14:paraId="7C830EF0" w14:textId="31D4AD7A" w:rsidR="00BE35F9" w:rsidRPr="00192EC4" w:rsidRDefault="00BE35F9" w:rsidP="006F1659">
      <w:pPr>
        <w:pStyle w:val="NormalNumbered"/>
        <w:spacing w:before="0" w:after="0"/>
        <w:ind w:left="0" w:firstLine="0"/>
      </w:pPr>
      <w:r w:rsidRPr="00192EC4">
        <w:t xml:space="preserve">GMCA’s capital programme includes GMFRS, Economic Development and Regeneration programmes, Waste and Resources Service and the continuation of the programme of activity currently being delivered by GMCA, </w:t>
      </w:r>
      <w:r w:rsidRPr="00192EC4">
        <w:rPr>
          <w:rFonts w:cs="Arial"/>
        </w:rPr>
        <w:t>TfGM and</w:t>
      </w:r>
      <w:r w:rsidR="000D4E4E">
        <w:rPr>
          <w:rFonts w:cs="Arial"/>
        </w:rPr>
        <w:t xml:space="preserve"> Greater Manchester</w:t>
      </w:r>
      <w:r w:rsidRPr="00192EC4">
        <w:rPr>
          <w:rFonts w:cs="Arial"/>
        </w:rPr>
        <w:t xml:space="preserve"> </w:t>
      </w:r>
      <w:r w:rsidR="000D4E4E">
        <w:rPr>
          <w:rFonts w:cs="Arial"/>
        </w:rPr>
        <w:t>l</w:t>
      </w:r>
      <w:r w:rsidRPr="00192EC4">
        <w:rPr>
          <w:rFonts w:cs="Arial"/>
        </w:rPr>
        <w:t xml:space="preserve">ocal </w:t>
      </w:r>
      <w:r w:rsidR="000D4E4E">
        <w:rPr>
          <w:rFonts w:cs="Arial"/>
        </w:rPr>
        <w:t>a</w:t>
      </w:r>
      <w:r w:rsidRPr="00192EC4">
        <w:rPr>
          <w:rFonts w:cs="Arial"/>
        </w:rPr>
        <w:t>uthorities</w:t>
      </w:r>
      <w:r w:rsidRPr="00192EC4">
        <w:t xml:space="preserve">.  </w:t>
      </w:r>
    </w:p>
    <w:p w14:paraId="4AE0F94F" w14:textId="77777777" w:rsidR="00BE35F9" w:rsidRPr="00192EC4" w:rsidRDefault="00BE35F9" w:rsidP="006F1659">
      <w:pPr>
        <w:pStyle w:val="NormalNumbered"/>
        <w:spacing w:before="0" w:after="0"/>
        <w:ind w:left="0" w:firstLine="0"/>
      </w:pPr>
    </w:p>
    <w:p w14:paraId="33C929BC" w14:textId="63FA8B17" w:rsidR="00BE35F9" w:rsidRPr="00192EC4" w:rsidRDefault="00BE35F9" w:rsidP="006F1659">
      <w:pPr>
        <w:pStyle w:val="NormalNumbered"/>
        <w:spacing w:before="0" w:after="0"/>
        <w:ind w:left="0" w:firstLine="0"/>
      </w:pPr>
      <w:r w:rsidRPr="00192EC4">
        <w:t>The most significant new element of the capital programme in 2022/23 related to t</w:t>
      </w:r>
      <w:r w:rsidRPr="00192EC4">
        <w:rPr>
          <w:rFonts w:cs="Arial"/>
        </w:rPr>
        <w:t xml:space="preserve">he City Region Sustainable Transport Settlement (CRSTS). The CRSTS of £1.07 billion over five years was awarded to GMCA in July 2022 based on a delivery plan developed by Greater Manchester and approved by The Secretary of State for Transport. The GMCA approved the 2022/23 budget allocation of £105.7m in July 2022, including local and match contribution, which is subject to the GM Local Growth Assurance Framework. Subsequently schemes have been developed in line with government guidance known as the ‘The Green Book’ (issued by HM Treasury), which provides guidance on how to appraise policies, programmes and projects and brought forward to the GMCA for approval before being included in the GMCA capital programme. CRSTS capital provisional capital expenditure in 2022/23 was £77.6m.  </w:t>
      </w:r>
    </w:p>
    <w:p w14:paraId="4752E990" w14:textId="77777777" w:rsidR="00BE35F9" w:rsidRPr="00192EC4" w:rsidRDefault="00BE35F9" w:rsidP="006F1659">
      <w:pPr>
        <w:pStyle w:val="NormalNumbered"/>
        <w:spacing w:before="0" w:after="0"/>
        <w:ind w:left="0" w:firstLine="0"/>
      </w:pPr>
    </w:p>
    <w:p w14:paraId="52D7121A" w14:textId="0DB15462" w:rsidR="00BE35F9" w:rsidRPr="00192EC4" w:rsidRDefault="00BE35F9" w:rsidP="006F1659">
      <w:pPr>
        <w:spacing w:line="360" w:lineRule="auto"/>
        <w:rPr>
          <w:rFonts w:ascii="Arial" w:hAnsi="Arial" w:cs="Arial"/>
        </w:rPr>
      </w:pPr>
      <w:r w:rsidRPr="00192EC4">
        <w:rPr>
          <w:rFonts w:ascii="Arial" w:hAnsi="Arial" w:cs="Arial"/>
          <w:lang w:eastAsia="en-GB"/>
        </w:rPr>
        <w:t>The provisional capital expenditure for 2022/23 was £442.6m compared to revised budget of £462.1m. The Police Fund GMP capital programme was a further £27.6m of spend in 2022/23 compared to budget of £38.8m</w:t>
      </w:r>
      <w:r w:rsidRPr="00192EC4">
        <w:rPr>
          <w:rFonts w:ascii="Arial" w:hAnsi="Arial" w:cs="Arial"/>
        </w:rPr>
        <w:t xml:space="preserve">. The tables below provide a </w:t>
      </w:r>
      <w:r w:rsidRPr="00192EC4">
        <w:rPr>
          <w:rFonts w:ascii="Arial" w:hAnsi="Arial" w:cs="Arial"/>
        </w:rPr>
        <w:lastRenderedPageBreak/>
        <w:t>breakdown of provisional capital expenditure by GMCA function and capital financing for 2022/23:</w:t>
      </w:r>
    </w:p>
    <w:p w14:paraId="1FDE52A7" w14:textId="77777777" w:rsidR="00BE35F9" w:rsidRPr="00192EC4" w:rsidRDefault="00BE35F9" w:rsidP="006F1659">
      <w:pPr>
        <w:spacing w:line="360" w:lineRule="auto"/>
        <w:rPr>
          <w:rFonts w:ascii="Arial" w:hAnsi="Arial" w:cs="Arial"/>
        </w:rPr>
      </w:pPr>
    </w:p>
    <w:tbl>
      <w:tblPr>
        <w:tblW w:w="9147" w:type="dxa"/>
        <w:tblLook w:val="04A0" w:firstRow="1" w:lastRow="0" w:firstColumn="1" w:lastColumn="0" w:noHBand="0" w:noVBand="1"/>
      </w:tblPr>
      <w:tblGrid>
        <w:gridCol w:w="4734"/>
        <w:gridCol w:w="1378"/>
        <w:gridCol w:w="1558"/>
        <w:gridCol w:w="1477"/>
      </w:tblGrid>
      <w:tr w:rsidR="00BE35F9" w:rsidRPr="00192EC4" w14:paraId="4E8414E4" w14:textId="77777777" w:rsidTr="00B13566">
        <w:trPr>
          <w:trHeight w:val="400"/>
        </w:trPr>
        <w:tc>
          <w:tcPr>
            <w:tcW w:w="4734" w:type="dxa"/>
            <w:tcBorders>
              <w:top w:val="single" w:sz="4" w:space="0" w:color="auto"/>
              <w:left w:val="single" w:sz="4" w:space="0" w:color="auto"/>
              <w:right w:val="single" w:sz="4" w:space="0" w:color="auto"/>
            </w:tcBorders>
            <w:shd w:val="clear" w:color="auto" w:fill="auto"/>
            <w:hideMark/>
          </w:tcPr>
          <w:p w14:paraId="2F159707" w14:textId="77777777" w:rsidR="00BE35F9" w:rsidRPr="00192EC4" w:rsidRDefault="00BE35F9" w:rsidP="006F1659">
            <w:pPr>
              <w:spacing w:line="360" w:lineRule="auto"/>
              <w:rPr>
                <w:rFonts w:ascii="Arial" w:hAnsi="Arial" w:cs="Arial"/>
                <w:b/>
                <w:bCs/>
                <w:color w:val="262626"/>
                <w:sz w:val="20"/>
                <w:szCs w:val="20"/>
                <w:lang w:eastAsia="en-GB"/>
              </w:rPr>
            </w:pPr>
            <w:r w:rsidRPr="00192EC4">
              <w:rPr>
                <w:rFonts w:ascii="Arial" w:hAnsi="Arial" w:cs="Arial"/>
                <w:b/>
                <w:bCs/>
                <w:color w:val="262626"/>
                <w:sz w:val="20"/>
                <w:szCs w:val="20"/>
              </w:rPr>
              <w:t>Capital Programme Provisional Outturn 2022/23</w:t>
            </w:r>
          </w:p>
        </w:tc>
        <w:tc>
          <w:tcPr>
            <w:tcW w:w="1378" w:type="dxa"/>
            <w:tcBorders>
              <w:top w:val="single" w:sz="4" w:space="0" w:color="auto"/>
              <w:left w:val="nil"/>
              <w:right w:val="single" w:sz="4" w:space="0" w:color="auto"/>
            </w:tcBorders>
            <w:shd w:val="clear" w:color="auto" w:fill="auto"/>
            <w:hideMark/>
          </w:tcPr>
          <w:p w14:paraId="6A4FB085" w14:textId="77777777"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Approved Budget</w:t>
            </w:r>
          </w:p>
        </w:tc>
        <w:tc>
          <w:tcPr>
            <w:tcW w:w="1558" w:type="dxa"/>
            <w:tcBorders>
              <w:top w:val="single" w:sz="4" w:space="0" w:color="auto"/>
              <w:left w:val="nil"/>
              <w:right w:val="single" w:sz="4" w:space="0" w:color="auto"/>
            </w:tcBorders>
            <w:shd w:val="clear" w:color="auto" w:fill="auto"/>
            <w:hideMark/>
          </w:tcPr>
          <w:p w14:paraId="0E33DB60" w14:textId="77777777"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 xml:space="preserve">Provisional Outturn </w:t>
            </w:r>
          </w:p>
        </w:tc>
        <w:tc>
          <w:tcPr>
            <w:tcW w:w="1477" w:type="dxa"/>
            <w:tcBorders>
              <w:top w:val="single" w:sz="4" w:space="0" w:color="auto"/>
              <w:left w:val="nil"/>
              <w:right w:val="single" w:sz="4" w:space="0" w:color="auto"/>
            </w:tcBorders>
            <w:shd w:val="clear" w:color="auto" w:fill="auto"/>
            <w:hideMark/>
          </w:tcPr>
          <w:p w14:paraId="7673AB6B" w14:textId="77777777"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 xml:space="preserve"> Provisional Variance</w:t>
            </w:r>
          </w:p>
        </w:tc>
      </w:tr>
      <w:tr w:rsidR="00BE35F9" w:rsidRPr="00192EC4" w14:paraId="4B6AF1EA" w14:textId="77777777" w:rsidTr="00B13566">
        <w:trPr>
          <w:trHeight w:val="256"/>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3C2253C2" w14:textId="77777777" w:rsidR="00BE35F9" w:rsidRPr="00192EC4" w:rsidRDefault="00BE35F9" w:rsidP="006F1659">
            <w:pPr>
              <w:spacing w:line="360" w:lineRule="auto"/>
              <w:rPr>
                <w:rFonts w:ascii="Calibri" w:hAnsi="Calibri" w:cs="Calibri"/>
                <w:color w:val="000000"/>
                <w:sz w:val="20"/>
                <w:szCs w:val="20"/>
              </w:rPr>
            </w:pPr>
            <w:r w:rsidRPr="00192EC4">
              <w:rPr>
                <w:rFonts w:ascii="Calibri" w:hAnsi="Calibri" w:cs="Calibri"/>
                <w:color w:val="000000"/>
                <w:sz w:val="20"/>
                <w:szCs w:val="20"/>
              </w:rPr>
              <w:t> </w:t>
            </w:r>
          </w:p>
        </w:tc>
        <w:tc>
          <w:tcPr>
            <w:tcW w:w="1378" w:type="dxa"/>
            <w:tcBorders>
              <w:top w:val="nil"/>
              <w:left w:val="single" w:sz="4" w:space="0" w:color="auto"/>
              <w:bottom w:val="single" w:sz="4" w:space="0" w:color="auto"/>
              <w:right w:val="single" w:sz="4" w:space="0" w:color="auto"/>
            </w:tcBorders>
            <w:shd w:val="clear" w:color="auto" w:fill="auto"/>
            <w:vAlign w:val="bottom"/>
            <w:hideMark/>
          </w:tcPr>
          <w:p w14:paraId="0BF406A8" w14:textId="0DD3B9D6"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£000</w:t>
            </w:r>
            <w:r w:rsidR="00B13566">
              <w:rPr>
                <w:rFonts w:ascii="Arial" w:hAnsi="Arial" w:cs="Arial"/>
                <w:b/>
                <w:bCs/>
                <w:color w:val="262626"/>
                <w:sz w:val="20"/>
                <w:szCs w:val="20"/>
              </w:rPr>
              <w:t>s</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14:paraId="2BB011F5" w14:textId="5AB28636"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£000</w:t>
            </w:r>
            <w:r w:rsidR="00B13566">
              <w:rPr>
                <w:rFonts w:ascii="Arial" w:hAnsi="Arial" w:cs="Arial"/>
                <w:b/>
                <w:bCs/>
                <w:color w:val="262626"/>
                <w:sz w:val="20"/>
                <w:szCs w:val="20"/>
              </w:rPr>
              <w:t>s</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14:paraId="1CAD9CF4" w14:textId="6B37E755"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£000</w:t>
            </w:r>
            <w:r w:rsidR="00B13566">
              <w:rPr>
                <w:rFonts w:ascii="Arial" w:hAnsi="Arial" w:cs="Arial"/>
                <w:b/>
                <w:bCs/>
                <w:color w:val="262626"/>
                <w:sz w:val="20"/>
                <w:szCs w:val="20"/>
              </w:rPr>
              <w:t>s</w:t>
            </w:r>
          </w:p>
        </w:tc>
      </w:tr>
      <w:tr w:rsidR="00BE35F9" w:rsidRPr="00192EC4" w14:paraId="53AC8E9B" w14:textId="77777777" w:rsidTr="00B13566">
        <w:trPr>
          <w:trHeight w:val="256"/>
        </w:trPr>
        <w:tc>
          <w:tcPr>
            <w:tcW w:w="4734" w:type="dxa"/>
            <w:tcBorders>
              <w:top w:val="single" w:sz="4" w:space="0" w:color="auto"/>
              <w:left w:val="single" w:sz="4" w:space="0" w:color="auto"/>
              <w:right w:val="single" w:sz="4" w:space="0" w:color="auto"/>
            </w:tcBorders>
            <w:shd w:val="clear" w:color="auto" w:fill="auto"/>
            <w:noWrap/>
            <w:vAlign w:val="center"/>
            <w:hideMark/>
          </w:tcPr>
          <w:p w14:paraId="60CF7D77"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Transport</w:t>
            </w:r>
          </w:p>
        </w:tc>
        <w:tc>
          <w:tcPr>
            <w:tcW w:w="1378" w:type="dxa"/>
            <w:tcBorders>
              <w:top w:val="single" w:sz="4" w:space="0" w:color="auto"/>
              <w:left w:val="single" w:sz="4" w:space="0" w:color="auto"/>
              <w:right w:val="single" w:sz="4" w:space="0" w:color="auto"/>
            </w:tcBorders>
            <w:shd w:val="clear" w:color="auto" w:fill="auto"/>
            <w:vAlign w:val="center"/>
            <w:hideMark/>
          </w:tcPr>
          <w:p w14:paraId="130D27CF"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260,451</w:t>
            </w:r>
          </w:p>
        </w:tc>
        <w:tc>
          <w:tcPr>
            <w:tcW w:w="1558" w:type="dxa"/>
            <w:tcBorders>
              <w:top w:val="single" w:sz="4" w:space="0" w:color="auto"/>
              <w:left w:val="single" w:sz="4" w:space="0" w:color="auto"/>
              <w:right w:val="single" w:sz="4" w:space="0" w:color="auto"/>
            </w:tcBorders>
            <w:shd w:val="clear" w:color="auto" w:fill="auto"/>
            <w:vAlign w:val="center"/>
            <w:hideMark/>
          </w:tcPr>
          <w:p w14:paraId="7ABCE10D"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249,456</w:t>
            </w:r>
          </w:p>
        </w:tc>
        <w:tc>
          <w:tcPr>
            <w:tcW w:w="1477" w:type="dxa"/>
            <w:tcBorders>
              <w:top w:val="single" w:sz="4" w:space="0" w:color="auto"/>
              <w:left w:val="single" w:sz="4" w:space="0" w:color="auto"/>
              <w:right w:val="single" w:sz="4" w:space="0" w:color="auto"/>
            </w:tcBorders>
            <w:shd w:val="clear" w:color="auto" w:fill="auto"/>
            <w:vAlign w:val="center"/>
            <w:hideMark/>
          </w:tcPr>
          <w:p w14:paraId="3B129A0C" w14:textId="339D2DCE" w:rsidR="00BE35F9" w:rsidRPr="00192EC4" w:rsidRDefault="00B57678" w:rsidP="006F1659">
            <w:pPr>
              <w:spacing w:line="360" w:lineRule="auto"/>
              <w:jc w:val="right"/>
              <w:rPr>
                <w:rFonts w:ascii="Arial" w:hAnsi="Arial" w:cs="Arial"/>
                <w:color w:val="262626"/>
                <w:sz w:val="20"/>
                <w:szCs w:val="20"/>
              </w:rPr>
            </w:pPr>
            <w:r>
              <w:rPr>
                <w:rFonts w:ascii="Arial" w:hAnsi="Arial" w:cs="Arial"/>
                <w:color w:val="262626"/>
                <w:sz w:val="20"/>
                <w:szCs w:val="20"/>
              </w:rPr>
              <w:t>(</w:t>
            </w:r>
            <w:r w:rsidR="00BE35F9" w:rsidRPr="00192EC4">
              <w:rPr>
                <w:rFonts w:ascii="Arial" w:hAnsi="Arial" w:cs="Arial"/>
                <w:color w:val="262626"/>
                <w:sz w:val="20"/>
                <w:szCs w:val="20"/>
              </w:rPr>
              <w:t>10,995</w:t>
            </w:r>
            <w:r>
              <w:rPr>
                <w:rFonts w:ascii="Arial" w:hAnsi="Arial" w:cs="Arial"/>
                <w:color w:val="262626"/>
                <w:sz w:val="20"/>
                <w:szCs w:val="20"/>
              </w:rPr>
              <w:t>)</w:t>
            </w:r>
          </w:p>
        </w:tc>
      </w:tr>
      <w:tr w:rsidR="00BE35F9" w:rsidRPr="00192EC4" w14:paraId="4672DC45" w14:textId="77777777" w:rsidTr="00B13566">
        <w:trPr>
          <w:trHeight w:val="256"/>
        </w:trPr>
        <w:tc>
          <w:tcPr>
            <w:tcW w:w="4734" w:type="dxa"/>
            <w:tcBorders>
              <w:top w:val="nil"/>
              <w:left w:val="single" w:sz="4" w:space="0" w:color="auto"/>
              <w:right w:val="single" w:sz="4" w:space="0" w:color="auto"/>
            </w:tcBorders>
            <w:shd w:val="clear" w:color="auto" w:fill="auto"/>
            <w:noWrap/>
            <w:vAlign w:val="center"/>
            <w:hideMark/>
          </w:tcPr>
          <w:p w14:paraId="1DE7BEC1"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Economic Development and Regeneration</w:t>
            </w:r>
          </w:p>
        </w:tc>
        <w:tc>
          <w:tcPr>
            <w:tcW w:w="1378" w:type="dxa"/>
            <w:tcBorders>
              <w:top w:val="nil"/>
              <w:left w:val="single" w:sz="4" w:space="0" w:color="auto"/>
              <w:right w:val="single" w:sz="4" w:space="0" w:color="auto"/>
            </w:tcBorders>
            <w:shd w:val="clear" w:color="auto" w:fill="auto"/>
            <w:vAlign w:val="center"/>
            <w:hideMark/>
          </w:tcPr>
          <w:p w14:paraId="5E8DC1E9"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173,290</w:t>
            </w:r>
          </w:p>
        </w:tc>
        <w:tc>
          <w:tcPr>
            <w:tcW w:w="1558" w:type="dxa"/>
            <w:tcBorders>
              <w:top w:val="nil"/>
              <w:left w:val="single" w:sz="4" w:space="0" w:color="auto"/>
              <w:right w:val="single" w:sz="4" w:space="0" w:color="auto"/>
            </w:tcBorders>
            <w:shd w:val="clear" w:color="auto" w:fill="auto"/>
            <w:vAlign w:val="center"/>
            <w:hideMark/>
          </w:tcPr>
          <w:p w14:paraId="7F54F2A3"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174,236</w:t>
            </w:r>
          </w:p>
        </w:tc>
        <w:tc>
          <w:tcPr>
            <w:tcW w:w="1477" w:type="dxa"/>
            <w:tcBorders>
              <w:top w:val="nil"/>
              <w:left w:val="single" w:sz="4" w:space="0" w:color="auto"/>
              <w:right w:val="single" w:sz="4" w:space="0" w:color="auto"/>
            </w:tcBorders>
            <w:shd w:val="clear" w:color="auto" w:fill="auto"/>
            <w:vAlign w:val="center"/>
            <w:hideMark/>
          </w:tcPr>
          <w:p w14:paraId="78ED661A"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946</w:t>
            </w:r>
          </w:p>
        </w:tc>
      </w:tr>
      <w:tr w:rsidR="00BE35F9" w:rsidRPr="00192EC4" w14:paraId="0B88BA3F" w14:textId="77777777" w:rsidTr="00B13566">
        <w:trPr>
          <w:trHeight w:val="256"/>
        </w:trPr>
        <w:tc>
          <w:tcPr>
            <w:tcW w:w="4734" w:type="dxa"/>
            <w:tcBorders>
              <w:top w:val="nil"/>
              <w:left w:val="single" w:sz="4" w:space="0" w:color="auto"/>
              <w:right w:val="single" w:sz="4" w:space="0" w:color="auto"/>
            </w:tcBorders>
            <w:shd w:val="clear" w:color="auto" w:fill="auto"/>
            <w:noWrap/>
            <w:vAlign w:val="center"/>
            <w:hideMark/>
          </w:tcPr>
          <w:p w14:paraId="3F792167"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Fire &amp; Rescue Service</w:t>
            </w:r>
          </w:p>
        </w:tc>
        <w:tc>
          <w:tcPr>
            <w:tcW w:w="1378" w:type="dxa"/>
            <w:tcBorders>
              <w:top w:val="nil"/>
              <w:left w:val="single" w:sz="4" w:space="0" w:color="auto"/>
              <w:right w:val="single" w:sz="4" w:space="0" w:color="auto"/>
            </w:tcBorders>
            <w:shd w:val="clear" w:color="auto" w:fill="auto"/>
            <w:vAlign w:val="center"/>
            <w:hideMark/>
          </w:tcPr>
          <w:p w14:paraId="25033A32"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13,375</w:t>
            </w:r>
          </w:p>
        </w:tc>
        <w:tc>
          <w:tcPr>
            <w:tcW w:w="1558" w:type="dxa"/>
            <w:tcBorders>
              <w:top w:val="nil"/>
              <w:left w:val="single" w:sz="4" w:space="0" w:color="auto"/>
              <w:right w:val="single" w:sz="4" w:space="0" w:color="auto"/>
            </w:tcBorders>
            <w:shd w:val="clear" w:color="auto" w:fill="auto"/>
            <w:vAlign w:val="center"/>
            <w:hideMark/>
          </w:tcPr>
          <w:p w14:paraId="07DC5879"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9,711</w:t>
            </w:r>
          </w:p>
        </w:tc>
        <w:tc>
          <w:tcPr>
            <w:tcW w:w="1477" w:type="dxa"/>
            <w:tcBorders>
              <w:top w:val="nil"/>
              <w:left w:val="single" w:sz="4" w:space="0" w:color="auto"/>
              <w:right w:val="single" w:sz="4" w:space="0" w:color="auto"/>
            </w:tcBorders>
            <w:shd w:val="clear" w:color="auto" w:fill="auto"/>
            <w:vAlign w:val="center"/>
            <w:hideMark/>
          </w:tcPr>
          <w:p w14:paraId="2B3AD84D" w14:textId="1B07C744" w:rsidR="00BE35F9" w:rsidRPr="00192EC4" w:rsidRDefault="00B57678" w:rsidP="006F1659">
            <w:pPr>
              <w:spacing w:line="360" w:lineRule="auto"/>
              <w:jc w:val="right"/>
              <w:rPr>
                <w:rFonts w:ascii="Arial" w:hAnsi="Arial" w:cs="Arial"/>
                <w:color w:val="262626"/>
                <w:sz w:val="20"/>
                <w:szCs w:val="20"/>
              </w:rPr>
            </w:pPr>
            <w:r>
              <w:rPr>
                <w:rFonts w:ascii="Arial" w:hAnsi="Arial" w:cs="Arial"/>
                <w:color w:val="262626"/>
                <w:sz w:val="20"/>
                <w:szCs w:val="20"/>
              </w:rPr>
              <w:t>(</w:t>
            </w:r>
            <w:r w:rsidR="00BE35F9" w:rsidRPr="00192EC4">
              <w:rPr>
                <w:rFonts w:ascii="Arial" w:hAnsi="Arial" w:cs="Arial"/>
                <w:color w:val="262626"/>
                <w:sz w:val="20"/>
                <w:szCs w:val="20"/>
              </w:rPr>
              <w:t>3,664</w:t>
            </w:r>
            <w:r>
              <w:rPr>
                <w:rFonts w:ascii="Arial" w:hAnsi="Arial" w:cs="Arial"/>
                <w:color w:val="262626"/>
                <w:sz w:val="20"/>
                <w:szCs w:val="20"/>
              </w:rPr>
              <w:t>)</w:t>
            </w:r>
          </w:p>
        </w:tc>
      </w:tr>
      <w:tr w:rsidR="00BE35F9" w:rsidRPr="00192EC4" w14:paraId="10E71E7C" w14:textId="77777777" w:rsidTr="00B13566">
        <w:trPr>
          <w:trHeight w:val="256"/>
        </w:trPr>
        <w:tc>
          <w:tcPr>
            <w:tcW w:w="4734" w:type="dxa"/>
            <w:tcBorders>
              <w:top w:val="nil"/>
              <w:left w:val="single" w:sz="4" w:space="0" w:color="auto"/>
              <w:right w:val="single" w:sz="4" w:space="0" w:color="auto"/>
            </w:tcBorders>
            <w:shd w:val="clear" w:color="auto" w:fill="auto"/>
            <w:noWrap/>
            <w:vAlign w:val="center"/>
            <w:hideMark/>
          </w:tcPr>
          <w:p w14:paraId="175DC62D"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Waste &amp; Resources Service</w:t>
            </w:r>
          </w:p>
        </w:tc>
        <w:tc>
          <w:tcPr>
            <w:tcW w:w="1378" w:type="dxa"/>
            <w:tcBorders>
              <w:top w:val="nil"/>
              <w:left w:val="single" w:sz="4" w:space="0" w:color="auto"/>
              <w:right w:val="single" w:sz="4" w:space="0" w:color="auto"/>
            </w:tcBorders>
            <w:shd w:val="clear" w:color="auto" w:fill="auto"/>
            <w:vAlign w:val="center"/>
            <w:hideMark/>
          </w:tcPr>
          <w:p w14:paraId="0388642C"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14,935</w:t>
            </w:r>
          </w:p>
        </w:tc>
        <w:tc>
          <w:tcPr>
            <w:tcW w:w="1558" w:type="dxa"/>
            <w:tcBorders>
              <w:top w:val="nil"/>
              <w:left w:val="single" w:sz="4" w:space="0" w:color="auto"/>
              <w:right w:val="single" w:sz="4" w:space="0" w:color="auto"/>
            </w:tcBorders>
            <w:shd w:val="clear" w:color="auto" w:fill="auto"/>
            <w:vAlign w:val="center"/>
            <w:hideMark/>
          </w:tcPr>
          <w:p w14:paraId="2277ABD3"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9,007</w:t>
            </w:r>
          </w:p>
        </w:tc>
        <w:tc>
          <w:tcPr>
            <w:tcW w:w="1477" w:type="dxa"/>
            <w:tcBorders>
              <w:top w:val="nil"/>
              <w:left w:val="single" w:sz="4" w:space="0" w:color="auto"/>
              <w:right w:val="single" w:sz="4" w:space="0" w:color="auto"/>
            </w:tcBorders>
            <w:shd w:val="clear" w:color="auto" w:fill="auto"/>
            <w:vAlign w:val="center"/>
            <w:hideMark/>
          </w:tcPr>
          <w:p w14:paraId="64078E33" w14:textId="0B96DF98" w:rsidR="00BE35F9" w:rsidRPr="00192EC4" w:rsidRDefault="00B57678" w:rsidP="006F1659">
            <w:pPr>
              <w:spacing w:line="360" w:lineRule="auto"/>
              <w:jc w:val="right"/>
              <w:rPr>
                <w:rFonts w:ascii="Arial" w:hAnsi="Arial" w:cs="Arial"/>
                <w:color w:val="262626"/>
                <w:sz w:val="20"/>
                <w:szCs w:val="20"/>
              </w:rPr>
            </w:pPr>
            <w:r>
              <w:rPr>
                <w:rFonts w:ascii="Arial" w:hAnsi="Arial" w:cs="Arial"/>
                <w:color w:val="262626"/>
                <w:sz w:val="20"/>
                <w:szCs w:val="20"/>
              </w:rPr>
              <w:t>(</w:t>
            </w:r>
            <w:r w:rsidR="00BE35F9" w:rsidRPr="00192EC4">
              <w:rPr>
                <w:rFonts w:ascii="Arial" w:hAnsi="Arial" w:cs="Arial"/>
                <w:color w:val="262626"/>
                <w:sz w:val="20"/>
                <w:szCs w:val="20"/>
              </w:rPr>
              <w:t>5,928</w:t>
            </w:r>
            <w:r>
              <w:rPr>
                <w:rFonts w:ascii="Arial" w:hAnsi="Arial" w:cs="Arial"/>
                <w:color w:val="262626"/>
                <w:sz w:val="20"/>
                <w:szCs w:val="20"/>
              </w:rPr>
              <w:t>)</w:t>
            </w:r>
          </w:p>
        </w:tc>
      </w:tr>
      <w:tr w:rsidR="00BE35F9" w:rsidRPr="00192EC4" w14:paraId="1A102066" w14:textId="77777777" w:rsidTr="00B13566">
        <w:trPr>
          <w:trHeight w:val="256"/>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0D893A5D"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Police Fund - PCC</w:t>
            </w:r>
          </w:p>
        </w:tc>
        <w:tc>
          <w:tcPr>
            <w:tcW w:w="1378" w:type="dxa"/>
            <w:tcBorders>
              <w:top w:val="nil"/>
              <w:left w:val="single" w:sz="4" w:space="0" w:color="auto"/>
              <w:bottom w:val="single" w:sz="4" w:space="0" w:color="auto"/>
              <w:right w:val="single" w:sz="4" w:space="0" w:color="auto"/>
            </w:tcBorders>
            <w:shd w:val="clear" w:color="auto" w:fill="auto"/>
            <w:vAlign w:val="center"/>
            <w:hideMark/>
          </w:tcPr>
          <w:p w14:paraId="6490C7EB"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0</w:t>
            </w:r>
          </w:p>
        </w:tc>
        <w:tc>
          <w:tcPr>
            <w:tcW w:w="1558" w:type="dxa"/>
            <w:tcBorders>
              <w:top w:val="nil"/>
              <w:left w:val="single" w:sz="4" w:space="0" w:color="auto"/>
              <w:bottom w:val="single" w:sz="4" w:space="0" w:color="auto"/>
              <w:right w:val="single" w:sz="4" w:space="0" w:color="auto"/>
            </w:tcBorders>
            <w:shd w:val="clear" w:color="auto" w:fill="auto"/>
            <w:vAlign w:val="center"/>
            <w:hideMark/>
          </w:tcPr>
          <w:p w14:paraId="21525CD0"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197</w:t>
            </w:r>
          </w:p>
        </w:tc>
        <w:tc>
          <w:tcPr>
            <w:tcW w:w="1477" w:type="dxa"/>
            <w:tcBorders>
              <w:top w:val="nil"/>
              <w:left w:val="single" w:sz="4" w:space="0" w:color="auto"/>
              <w:bottom w:val="single" w:sz="4" w:space="0" w:color="auto"/>
              <w:right w:val="single" w:sz="4" w:space="0" w:color="auto"/>
            </w:tcBorders>
            <w:shd w:val="clear" w:color="auto" w:fill="auto"/>
            <w:vAlign w:val="center"/>
            <w:hideMark/>
          </w:tcPr>
          <w:p w14:paraId="6FBF5440"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197</w:t>
            </w:r>
          </w:p>
        </w:tc>
      </w:tr>
      <w:tr w:rsidR="00BE35F9" w:rsidRPr="00192EC4" w14:paraId="2044A697" w14:textId="77777777" w:rsidTr="00B13566">
        <w:trPr>
          <w:trHeight w:val="256"/>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BA59" w14:textId="77777777" w:rsidR="00BE35F9" w:rsidRPr="00192EC4" w:rsidRDefault="00BE35F9" w:rsidP="006F1659">
            <w:pPr>
              <w:spacing w:line="360" w:lineRule="auto"/>
              <w:rPr>
                <w:rFonts w:ascii="Arial" w:hAnsi="Arial" w:cs="Arial"/>
                <w:b/>
                <w:bCs/>
                <w:color w:val="262626"/>
                <w:sz w:val="20"/>
                <w:szCs w:val="20"/>
              </w:rPr>
            </w:pPr>
            <w:r w:rsidRPr="00192EC4">
              <w:rPr>
                <w:rFonts w:ascii="Arial" w:hAnsi="Arial" w:cs="Arial"/>
                <w:b/>
                <w:bCs/>
                <w:color w:val="262626"/>
                <w:sz w:val="20"/>
                <w:szCs w:val="20"/>
              </w:rPr>
              <w:t>Total Exc Greater Manchester Police</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5E74EB9B" w14:textId="77777777" w:rsidR="00BE35F9" w:rsidRPr="00192EC4" w:rsidRDefault="00BE35F9" w:rsidP="006F1659">
            <w:pPr>
              <w:spacing w:line="360" w:lineRule="auto"/>
              <w:jc w:val="right"/>
              <w:rPr>
                <w:rFonts w:ascii="Arial" w:hAnsi="Arial" w:cs="Arial"/>
                <w:b/>
                <w:bCs/>
                <w:color w:val="262626"/>
                <w:sz w:val="20"/>
                <w:szCs w:val="20"/>
              </w:rPr>
            </w:pPr>
            <w:r w:rsidRPr="00192EC4">
              <w:rPr>
                <w:rFonts w:ascii="Arial" w:hAnsi="Arial" w:cs="Arial"/>
                <w:b/>
                <w:bCs/>
                <w:color w:val="262626"/>
                <w:sz w:val="20"/>
                <w:szCs w:val="20"/>
              </w:rPr>
              <w:t>462,051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67F7C24" w14:textId="77777777" w:rsidR="00BE35F9" w:rsidRPr="00192EC4" w:rsidRDefault="00BE35F9" w:rsidP="006F1659">
            <w:pPr>
              <w:spacing w:line="360" w:lineRule="auto"/>
              <w:jc w:val="right"/>
              <w:rPr>
                <w:rFonts w:ascii="Arial" w:hAnsi="Arial" w:cs="Arial"/>
                <w:b/>
                <w:bCs/>
                <w:color w:val="262626"/>
                <w:sz w:val="20"/>
                <w:szCs w:val="20"/>
              </w:rPr>
            </w:pPr>
            <w:r w:rsidRPr="00192EC4">
              <w:rPr>
                <w:rFonts w:ascii="Arial" w:hAnsi="Arial" w:cs="Arial"/>
                <w:b/>
                <w:bCs/>
                <w:color w:val="262626"/>
                <w:sz w:val="20"/>
                <w:szCs w:val="20"/>
              </w:rPr>
              <w:t>442,607</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3CA3AF6" w14:textId="722A2E87" w:rsidR="00BE35F9" w:rsidRPr="00192EC4" w:rsidRDefault="00B57678" w:rsidP="006F1659">
            <w:pPr>
              <w:spacing w:line="360" w:lineRule="auto"/>
              <w:jc w:val="right"/>
              <w:rPr>
                <w:rFonts w:ascii="Arial" w:hAnsi="Arial" w:cs="Arial"/>
                <w:b/>
                <w:bCs/>
                <w:color w:val="262626"/>
                <w:sz w:val="20"/>
                <w:szCs w:val="20"/>
              </w:rPr>
            </w:pPr>
            <w:r>
              <w:rPr>
                <w:rFonts w:ascii="Arial" w:hAnsi="Arial" w:cs="Arial"/>
                <w:b/>
                <w:bCs/>
                <w:color w:val="262626"/>
                <w:sz w:val="20"/>
                <w:szCs w:val="20"/>
              </w:rPr>
              <w:t>(</w:t>
            </w:r>
            <w:r w:rsidR="00BE35F9" w:rsidRPr="00192EC4">
              <w:rPr>
                <w:rFonts w:ascii="Arial" w:hAnsi="Arial" w:cs="Arial"/>
                <w:b/>
                <w:bCs/>
                <w:color w:val="262626"/>
                <w:sz w:val="20"/>
                <w:szCs w:val="20"/>
              </w:rPr>
              <w:t>19,444</w:t>
            </w:r>
            <w:r>
              <w:rPr>
                <w:rFonts w:ascii="Arial" w:hAnsi="Arial" w:cs="Arial"/>
                <w:b/>
                <w:bCs/>
                <w:color w:val="262626"/>
                <w:sz w:val="20"/>
                <w:szCs w:val="20"/>
              </w:rPr>
              <w:t>)</w:t>
            </w:r>
          </w:p>
        </w:tc>
      </w:tr>
      <w:tr w:rsidR="00BE35F9" w:rsidRPr="00192EC4" w14:paraId="4F46684B" w14:textId="77777777" w:rsidTr="00161E00">
        <w:trPr>
          <w:trHeight w:val="256"/>
        </w:trPr>
        <w:tc>
          <w:tcPr>
            <w:tcW w:w="4734" w:type="dxa"/>
            <w:tcBorders>
              <w:top w:val="nil"/>
              <w:left w:val="single" w:sz="8" w:space="0" w:color="auto"/>
              <w:bottom w:val="single" w:sz="4" w:space="0" w:color="auto"/>
              <w:right w:val="single" w:sz="4" w:space="0" w:color="auto"/>
            </w:tcBorders>
            <w:shd w:val="clear" w:color="auto" w:fill="auto"/>
            <w:noWrap/>
            <w:vAlign w:val="center"/>
            <w:hideMark/>
          </w:tcPr>
          <w:p w14:paraId="04B7C3AE"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Police Fund - GMP</w:t>
            </w:r>
          </w:p>
        </w:tc>
        <w:tc>
          <w:tcPr>
            <w:tcW w:w="1378" w:type="dxa"/>
            <w:tcBorders>
              <w:top w:val="nil"/>
              <w:left w:val="nil"/>
              <w:bottom w:val="single" w:sz="4" w:space="0" w:color="auto"/>
              <w:right w:val="single" w:sz="4" w:space="0" w:color="auto"/>
            </w:tcBorders>
            <w:shd w:val="clear" w:color="auto" w:fill="auto"/>
            <w:vAlign w:val="center"/>
            <w:hideMark/>
          </w:tcPr>
          <w:p w14:paraId="18DA8F01"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38,833</w:t>
            </w:r>
          </w:p>
        </w:tc>
        <w:tc>
          <w:tcPr>
            <w:tcW w:w="1558" w:type="dxa"/>
            <w:tcBorders>
              <w:top w:val="nil"/>
              <w:left w:val="nil"/>
              <w:bottom w:val="single" w:sz="4" w:space="0" w:color="auto"/>
              <w:right w:val="single" w:sz="4" w:space="0" w:color="auto"/>
            </w:tcBorders>
            <w:shd w:val="clear" w:color="auto" w:fill="auto"/>
            <w:vAlign w:val="center"/>
            <w:hideMark/>
          </w:tcPr>
          <w:p w14:paraId="13ACD3F6"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27,641</w:t>
            </w:r>
          </w:p>
        </w:tc>
        <w:tc>
          <w:tcPr>
            <w:tcW w:w="1477" w:type="dxa"/>
            <w:tcBorders>
              <w:top w:val="nil"/>
              <w:left w:val="nil"/>
              <w:bottom w:val="single" w:sz="4" w:space="0" w:color="auto"/>
              <w:right w:val="single" w:sz="8" w:space="0" w:color="auto"/>
            </w:tcBorders>
            <w:shd w:val="clear" w:color="auto" w:fill="auto"/>
            <w:vAlign w:val="center"/>
            <w:hideMark/>
          </w:tcPr>
          <w:p w14:paraId="684C397D" w14:textId="264F8AE4" w:rsidR="00BE35F9" w:rsidRPr="00192EC4" w:rsidRDefault="00B57678" w:rsidP="006F1659">
            <w:pPr>
              <w:spacing w:line="360" w:lineRule="auto"/>
              <w:jc w:val="right"/>
              <w:rPr>
                <w:rFonts w:ascii="Arial" w:hAnsi="Arial" w:cs="Arial"/>
                <w:color w:val="262626"/>
                <w:sz w:val="20"/>
                <w:szCs w:val="20"/>
              </w:rPr>
            </w:pPr>
            <w:r>
              <w:rPr>
                <w:rFonts w:ascii="Arial" w:hAnsi="Arial" w:cs="Arial"/>
                <w:color w:val="262626"/>
                <w:sz w:val="20"/>
                <w:szCs w:val="20"/>
              </w:rPr>
              <w:t>(</w:t>
            </w:r>
            <w:r w:rsidR="00BE35F9" w:rsidRPr="00192EC4">
              <w:rPr>
                <w:rFonts w:ascii="Arial" w:hAnsi="Arial" w:cs="Arial"/>
                <w:color w:val="262626"/>
                <w:sz w:val="20"/>
                <w:szCs w:val="20"/>
              </w:rPr>
              <w:t>11,192</w:t>
            </w:r>
            <w:r>
              <w:rPr>
                <w:rFonts w:ascii="Arial" w:hAnsi="Arial" w:cs="Arial"/>
                <w:color w:val="262626"/>
                <w:sz w:val="20"/>
                <w:szCs w:val="20"/>
              </w:rPr>
              <w:t>)</w:t>
            </w:r>
          </w:p>
        </w:tc>
      </w:tr>
      <w:tr w:rsidR="00BE35F9" w:rsidRPr="00192EC4" w14:paraId="7FA47FBC" w14:textId="77777777" w:rsidTr="00161E00">
        <w:trPr>
          <w:trHeight w:val="265"/>
        </w:trPr>
        <w:tc>
          <w:tcPr>
            <w:tcW w:w="4734" w:type="dxa"/>
            <w:tcBorders>
              <w:top w:val="nil"/>
              <w:left w:val="single" w:sz="8" w:space="0" w:color="auto"/>
              <w:bottom w:val="single" w:sz="8" w:space="0" w:color="auto"/>
              <w:right w:val="single" w:sz="4" w:space="0" w:color="auto"/>
            </w:tcBorders>
            <w:shd w:val="clear" w:color="auto" w:fill="auto"/>
            <w:noWrap/>
            <w:vAlign w:val="center"/>
            <w:hideMark/>
          </w:tcPr>
          <w:p w14:paraId="5B1BF710" w14:textId="77777777" w:rsidR="00BE35F9" w:rsidRPr="00192EC4" w:rsidRDefault="00BE35F9" w:rsidP="006F1659">
            <w:pPr>
              <w:spacing w:line="360" w:lineRule="auto"/>
              <w:rPr>
                <w:rFonts w:ascii="Arial" w:hAnsi="Arial" w:cs="Arial"/>
                <w:b/>
                <w:bCs/>
                <w:color w:val="262626"/>
                <w:sz w:val="20"/>
                <w:szCs w:val="20"/>
              </w:rPr>
            </w:pPr>
            <w:r w:rsidRPr="00192EC4">
              <w:rPr>
                <w:rFonts w:ascii="Arial" w:hAnsi="Arial" w:cs="Arial"/>
                <w:b/>
                <w:bCs/>
                <w:color w:val="262626"/>
                <w:sz w:val="20"/>
                <w:szCs w:val="20"/>
              </w:rPr>
              <w:t>Total Capital</w:t>
            </w:r>
          </w:p>
        </w:tc>
        <w:tc>
          <w:tcPr>
            <w:tcW w:w="1378" w:type="dxa"/>
            <w:tcBorders>
              <w:top w:val="nil"/>
              <w:left w:val="nil"/>
              <w:bottom w:val="single" w:sz="8" w:space="0" w:color="auto"/>
              <w:right w:val="single" w:sz="4" w:space="0" w:color="auto"/>
            </w:tcBorders>
            <w:shd w:val="clear" w:color="auto" w:fill="auto"/>
            <w:vAlign w:val="center"/>
            <w:hideMark/>
          </w:tcPr>
          <w:p w14:paraId="5AE1F747" w14:textId="77777777" w:rsidR="00BE35F9" w:rsidRPr="00192EC4" w:rsidRDefault="00BE35F9" w:rsidP="006F1659">
            <w:pPr>
              <w:spacing w:line="360" w:lineRule="auto"/>
              <w:jc w:val="right"/>
              <w:rPr>
                <w:rFonts w:ascii="Arial" w:hAnsi="Arial" w:cs="Arial"/>
                <w:b/>
                <w:bCs/>
                <w:color w:val="262626"/>
                <w:sz w:val="20"/>
                <w:szCs w:val="20"/>
              </w:rPr>
            </w:pPr>
            <w:r w:rsidRPr="00192EC4">
              <w:rPr>
                <w:rFonts w:ascii="Arial" w:hAnsi="Arial" w:cs="Arial"/>
                <w:b/>
                <w:bCs/>
                <w:color w:val="262626"/>
                <w:sz w:val="20"/>
                <w:szCs w:val="20"/>
              </w:rPr>
              <w:t>500,884</w:t>
            </w:r>
          </w:p>
        </w:tc>
        <w:tc>
          <w:tcPr>
            <w:tcW w:w="1558" w:type="dxa"/>
            <w:tcBorders>
              <w:top w:val="nil"/>
              <w:left w:val="nil"/>
              <w:bottom w:val="single" w:sz="8" w:space="0" w:color="auto"/>
              <w:right w:val="single" w:sz="4" w:space="0" w:color="auto"/>
            </w:tcBorders>
            <w:shd w:val="clear" w:color="auto" w:fill="auto"/>
            <w:vAlign w:val="center"/>
            <w:hideMark/>
          </w:tcPr>
          <w:p w14:paraId="29D85029" w14:textId="77777777" w:rsidR="00BE35F9" w:rsidRPr="00192EC4" w:rsidRDefault="00BE35F9" w:rsidP="006F1659">
            <w:pPr>
              <w:spacing w:line="360" w:lineRule="auto"/>
              <w:jc w:val="right"/>
              <w:rPr>
                <w:rFonts w:ascii="Arial" w:hAnsi="Arial" w:cs="Arial"/>
                <w:b/>
                <w:bCs/>
                <w:color w:val="262626"/>
                <w:sz w:val="20"/>
                <w:szCs w:val="20"/>
              </w:rPr>
            </w:pPr>
            <w:r w:rsidRPr="00192EC4">
              <w:rPr>
                <w:rFonts w:ascii="Arial" w:hAnsi="Arial" w:cs="Arial"/>
                <w:b/>
                <w:bCs/>
                <w:color w:val="262626"/>
                <w:sz w:val="20"/>
                <w:szCs w:val="20"/>
              </w:rPr>
              <w:t>470,248</w:t>
            </w:r>
          </w:p>
        </w:tc>
        <w:tc>
          <w:tcPr>
            <w:tcW w:w="1477" w:type="dxa"/>
            <w:tcBorders>
              <w:top w:val="nil"/>
              <w:left w:val="nil"/>
              <w:bottom w:val="single" w:sz="8" w:space="0" w:color="auto"/>
              <w:right w:val="single" w:sz="8" w:space="0" w:color="auto"/>
            </w:tcBorders>
            <w:shd w:val="clear" w:color="auto" w:fill="auto"/>
            <w:vAlign w:val="center"/>
            <w:hideMark/>
          </w:tcPr>
          <w:p w14:paraId="6A8807EA" w14:textId="2D61732A" w:rsidR="00BE35F9" w:rsidRPr="00192EC4" w:rsidRDefault="00B57678" w:rsidP="006F1659">
            <w:pPr>
              <w:spacing w:line="360" w:lineRule="auto"/>
              <w:jc w:val="right"/>
              <w:rPr>
                <w:rFonts w:ascii="Arial" w:hAnsi="Arial" w:cs="Arial"/>
                <w:b/>
                <w:bCs/>
                <w:color w:val="262626"/>
                <w:sz w:val="20"/>
                <w:szCs w:val="20"/>
              </w:rPr>
            </w:pPr>
            <w:r>
              <w:rPr>
                <w:rFonts w:ascii="Arial" w:hAnsi="Arial" w:cs="Arial"/>
                <w:b/>
                <w:bCs/>
                <w:color w:val="262626"/>
                <w:sz w:val="20"/>
                <w:szCs w:val="20"/>
              </w:rPr>
              <w:t>(</w:t>
            </w:r>
            <w:r w:rsidR="00BE35F9" w:rsidRPr="00192EC4">
              <w:rPr>
                <w:rFonts w:ascii="Arial" w:hAnsi="Arial" w:cs="Arial"/>
                <w:b/>
                <w:bCs/>
                <w:color w:val="262626"/>
                <w:sz w:val="20"/>
                <w:szCs w:val="20"/>
              </w:rPr>
              <w:t>30,636</w:t>
            </w:r>
            <w:r>
              <w:rPr>
                <w:rFonts w:ascii="Arial" w:hAnsi="Arial" w:cs="Arial"/>
                <w:b/>
                <w:bCs/>
                <w:color w:val="262626"/>
                <w:sz w:val="20"/>
                <w:szCs w:val="20"/>
              </w:rPr>
              <w:t>)</w:t>
            </w:r>
          </w:p>
        </w:tc>
      </w:tr>
    </w:tbl>
    <w:p w14:paraId="64C5466E" w14:textId="77777777" w:rsidR="00BE35F9" w:rsidRPr="00192EC4" w:rsidRDefault="00BE35F9" w:rsidP="006F1659">
      <w:pPr>
        <w:spacing w:line="360" w:lineRule="auto"/>
        <w:rPr>
          <w:rFonts w:ascii="Arial" w:hAnsi="Arial" w:cs="Arial"/>
        </w:rPr>
      </w:pPr>
    </w:p>
    <w:tbl>
      <w:tblPr>
        <w:tblW w:w="9186" w:type="dxa"/>
        <w:tblLook w:val="04A0" w:firstRow="1" w:lastRow="0" w:firstColumn="1" w:lastColumn="0" w:noHBand="0" w:noVBand="1"/>
      </w:tblPr>
      <w:tblGrid>
        <w:gridCol w:w="4755"/>
        <w:gridCol w:w="1383"/>
        <w:gridCol w:w="1564"/>
        <w:gridCol w:w="1484"/>
      </w:tblGrid>
      <w:tr w:rsidR="00BE35F9" w:rsidRPr="00192EC4" w14:paraId="48E17158" w14:textId="77777777" w:rsidTr="00B13566">
        <w:trPr>
          <w:trHeight w:val="254"/>
        </w:trPr>
        <w:tc>
          <w:tcPr>
            <w:tcW w:w="4755" w:type="dxa"/>
            <w:tcBorders>
              <w:top w:val="single" w:sz="4" w:space="0" w:color="auto"/>
              <w:left w:val="single" w:sz="4" w:space="0" w:color="auto"/>
              <w:right w:val="single" w:sz="4" w:space="0" w:color="auto"/>
            </w:tcBorders>
            <w:shd w:val="clear" w:color="auto" w:fill="auto"/>
            <w:noWrap/>
            <w:vAlign w:val="bottom"/>
            <w:hideMark/>
          </w:tcPr>
          <w:p w14:paraId="7F2BE2F7"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rPr>
              <w:t>Capital Financing 2022/23</w:t>
            </w:r>
          </w:p>
        </w:tc>
        <w:tc>
          <w:tcPr>
            <w:tcW w:w="1383" w:type="dxa"/>
            <w:tcBorders>
              <w:top w:val="single" w:sz="4" w:space="0" w:color="auto"/>
              <w:left w:val="nil"/>
              <w:right w:val="single" w:sz="4" w:space="0" w:color="auto"/>
            </w:tcBorders>
            <w:shd w:val="clear" w:color="auto" w:fill="auto"/>
            <w:noWrap/>
            <w:vAlign w:val="bottom"/>
            <w:hideMark/>
          </w:tcPr>
          <w:p w14:paraId="51AF2B58" w14:textId="77777777" w:rsidR="00BE35F9" w:rsidRPr="00192EC4" w:rsidRDefault="00BE35F9" w:rsidP="006F1659">
            <w:pPr>
              <w:spacing w:line="360" w:lineRule="auto"/>
              <w:jc w:val="center"/>
              <w:rPr>
                <w:rFonts w:ascii="Arial" w:hAnsi="Arial" w:cs="Arial"/>
                <w:b/>
                <w:bCs/>
                <w:color w:val="000000"/>
                <w:sz w:val="20"/>
                <w:szCs w:val="20"/>
              </w:rPr>
            </w:pPr>
            <w:r w:rsidRPr="00192EC4">
              <w:rPr>
                <w:rFonts w:ascii="Arial" w:hAnsi="Arial" w:cs="Arial"/>
                <w:b/>
                <w:bCs/>
                <w:color w:val="000000"/>
                <w:sz w:val="20"/>
                <w:szCs w:val="20"/>
              </w:rPr>
              <w:t>GMCA</w:t>
            </w:r>
          </w:p>
        </w:tc>
        <w:tc>
          <w:tcPr>
            <w:tcW w:w="1564" w:type="dxa"/>
            <w:tcBorders>
              <w:top w:val="single" w:sz="4" w:space="0" w:color="auto"/>
              <w:left w:val="nil"/>
              <w:right w:val="single" w:sz="4" w:space="0" w:color="auto"/>
            </w:tcBorders>
            <w:shd w:val="clear" w:color="auto" w:fill="auto"/>
            <w:noWrap/>
            <w:vAlign w:val="bottom"/>
            <w:hideMark/>
          </w:tcPr>
          <w:p w14:paraId="481EB47F" w14:textId="77777777" w:rsidR="00BE35F9" w:rsidRPr="00192EC4" w:rsidRDefault="00BE35F9" w:rsidP="006F1659">
            <w:pPr>
              <w:spacing w:line="360" w:lineRule="auto"/>
              <w:jc w:val="center"/>
              <w:rPr>
                <w:rFonts w:ascii="Arial" w:hAnsi="Arial" w:cs="Arial"/>
                <w:b/>
                <w:bCs/>
                <w:color w:val="000000"/>
                <w:sz w:val="20"/>
                <w:szCs w:val="20"/>
              </w:rPr>
            </w:pPr>
            <w:r w:rsidRPr="00192EC4">
              <w:rPr>
                <w:rFonts w:ascii="Arial" w:hAnsi="Arial" w:cs="Arial"/>
                <w:b/>
                <w:bCs/>
                <w:color w:val="000000"/>
                <w:sz w:val="20"/>
                <w:szCs w:val="20"/>
              </w:rPr>
              <w:t>GMP</w:t>
            </w:r>
          </w:p>
        </w:tc>
        <w:tc>
          <w:tcPr>
            <w:tcW w:w="1484" w:type="dxa"/>
            <w:tcBorders>
              <w:top w:val="single" w:sz="4" w:space="0" w:color="auto"/>
              <w:left w:val="nil"/>
              <w:right w:val="single" w:sz="4" w:space="0" w:color="auto"/>
            </w:tcBorders>
            <w:shd w:val="clear" w:color="auto" w:fill="auto"/>
            <w:noWrap/>
            <w:vAlign w:val="bottom"/>
            <w:hideMark/>
          </w:tcPr>
          <w:p w14:paraId="5CFF4AB2" w14:textId="77777777" w:rsidR="00BE35F9" w:rsidRPr="00192EC4" w:rsidRDefault="00BE35F9" w:rsidP="006F1659">
            <w:pPr>
              <w:spacing w:line="360" w:lineRule="auto"/>
              <w:jc w:val="center"/>
              <w:rPr>
                <w:rFonts w:ascii="Arial" w:hAnsi="Arial" w:cs="Arial"/>
                <w:b/>
                <w:bCs/>
                <w:color w:val="000000"/>
                <w:sz w:val="20"/>
                <w:szCs w:val="20"/>
              </w:rPr>
            </w:pPr>
            <w:r w:rsidRPr="00192EC4">
              <w:rPr>
                <w:rFonts w:ascii="Arial" w:hAnsi="Arial" w:cs="Arial"/>
                <w:b/>
                <w:bCs/>
                <w:color w:val="000000"/>
                <w:sz w:val="20"/>
                <w:szCs w:val="20"/>
              </w:rPr>
              <w:t>Total</w:t>
            </w:r>
          </w:p>
        </w:tc>
      </w:tr>
      <w:tr w:rsidR="00BE35F9" w:rsidRPr="00192EC4" w14:paraId="06994765" w14:textId="77777777" w:rsidTr="00B13566">
        <w:trPr>
          <w:trHeight w:val="254"/>
        </w:trPr>
        <w:tc>
          <w:tcPr>
            <w:tcW w:w="4755" w:type="dxa"/>
            <w:tcBorders>
              <w:top w:val="nil"/>
              <w:left w:val="single" w:sz="4" w:space="0" w:color="auto"/>
              <w:bottom w:val="single" w:sz="4" w:space="0" w:color="auto"/>
              <w:right w:val="single" w:sz="4" w:space="0" w:color="auto"/>
            </w:tcBorders>
            <w:shd w:val="clear" w:color="auto" w:fill="auto"/>
            <w:noWrap/>
            <w:vAlign w:val="center"/>
            <w:hideMark/>
          </w:tcPr>
          <w:p w14:paraId="0BC61F47" w14:textId="77777777" w:rsidR="00BE35F9" w:rsidRPr="00192EC4" w:rsidRDefault="00BE35F9" w:rsidP="006F1659">
            <w:pPr>
              <w:spacing w:line="360" w:lineRule="auto"/>
              <w:rPr>
                <w:rFonts w:ascii="Arial" w:hAnsi="Arial" w:cs="Arial"/>
                <w:b/>
                <w:bCs/>
                <w:color w:val="262626"/>
                <w:sz w:val="20"/>
                <w:szCs w:val="20"/>
              </w:rPr>
            </w:pPr>
            <w:r w:rsidRPr="00192EC4">
              <w:rPr>
                <w:rFonts w:ascii="Arial" w:hAnsi="Arial" w:cs="Arial"/>
                <w:b/>
                <w:bCs/>
                <w:color w:val="262626"/>
                <w:sz w:val="20"/>
                <w:szCs w:val="20"/>
              </w:rPr>
              <w:t> </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4AAAA642" w14:textId="52318C12"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£000</w:t>
            </w:r>
            <w:r w:rsidR="00B13566">
              <w:rPr>
                <w:rFonts w:ascii="Arial" w:hAnsi="Arial" w:cs="Arial"/>
                <w:b/>
                <w:bCs/>
                <w:color w:val="262626"/>
                <w:sz w:val="20"/>
                <w:szCs w:val="20"/>
              </w:rPr>
              <w:t>s</w:t>
            </w:r>
          </w:p>
        </w:tc>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FB9060D" w14:textId="51D76B99"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£000</w:t>
            </w:r>
            <w:r w:rsidR="00B13566">
              <w:rPr>
                <w:rFonts w:ascii="Arial" w:hAnsi="Arial" w:cs="Arial"/>
                <w:b/>
                <w:bCs/>
                <w:color w:val="262626"/>
                <w:sz w:val="20"/>
                <w:szCs w:val="20"/>
              </w:rPr>
              <w:t>s</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14:paraId="4829CC8E" w14:textId="5047BD59" w:rsidR="00BE35F9" w:rsidRPr="00192EC4" w:rsidRDefault="00BE35F9" w:rsidP="006F1659">
            <w:pPr>
              <w:spacing w:line="360" w:lineRule="auto"/>
              <w:jc w:val="center"/>
              <w:rPr>
                <w:rFonts w:ascii="Arial" w:hAnsi="Arial" w:cs="Arial"/>
                <w:b/>
                <w:bCs/>
                <w:color w:val="262626"/>
                <w:sz w:val="20"/>
                <w:szCs w:val="20"/>
              </w:rPr>
            </w:pPr>
            <w:r w:rsidRPr="00192EC4">
              <w:rPr>
                <w:rFonts w:ascii="Arial" w:hAnsi="Arial" w:cs="Arial"/>
                <w:b/>
                <w:bCs/>
                <w:color w:val="262626"/>
                <w:sz w:val="20"/>
                <w:szCs w:val="20"/>
              </w:rPr>
              <w:t>£000</w:t>
            </w:r>
            <w:r w:rsidR="00B13566">
              <w:rPr>
                <w:rFonts w:ascii="Arial" w:hAnsi="Arial" w:cs="Arial"/>
                <w:b/>
                <w:bCs/>
                <w:color w:val="262626"/>
                <w:sz w:val="20"/>
                <w:szCs w:val="20"/>
              </w:rPr>
              <w:t>s</w:t>
            </w:r>
          </w:p>
        </w:tc>
      </w:tr>
      <w:tr w:rsidR="00BE35F9" w:rsidRPr="00192EC4" w14:paraId="0C8CA17A" w14:textId="77777777" w:rsidTr="00B13566">
        <w:trPr>
          <w:trHeight w:val="254"/>
        </w:trPr>
        <w:tc>
          <w:tcPr>
            <w:tcW w:w="4755" w:type="dxa"/>
            <w:tcBorders>
              <w:top w:val="single" w:sz="4" w:space="0" w:color="auto"/>
              <w:left w:val="single" w:sz="4" w:space="0" w:color="auto"/>
              <w:right w:val="single" w:sz="4" w:space="0" w:color="auto"/>
            </w:tcBorders>
            <w:shd w:val="clear" w:color="auto" w:fill="auto"/>
            <w:noWrap/>
            <w:vAlign w:val="center"/>
            <w:hideMark/>
          </w:tcPr>
          <w:p w14:paraId="41549F12"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Borrowing</w:t>
            </w:r>
          </w:p>
        </w:tc>
        <w:tc>
          <w:tcPr>
            <w:tcW w:w="1383" w:type="dxa"/>
            <w:tcBorders>
              <w:top w:val="single" w:sz="4" w:space="0" w:color="auto"/>
              <w:left w:val="single" w:sz="4" w:space="0" w:color="auto"/>
              <w:right w:val="single" w:sz="4" w:space="0" w:color="auto"/>
            </w:tcBorders>
            <w:shd w:val="clear" w:color="auto" w:fill="auto"/>
            <w:noWrap/>
            <w:vAlign w:val="center"/>
            <w:hideMark/>
          </w:tcPr>
          <w:p w14:paraId="666743E9"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50,032</w:t>
            </w:r>
          </w:p>
        </w:tc>
        <w:tc>
          <w:tcPr>
            <w:tcW w:w="1564" w:type="dxa"/>
            <w:tcBorders>
              <w:top w:val="single" w:sz="4" w:space="0" w:color="auto"/>
              <w:left w:val="single" w:sz="4" w:space="0" w:color="auto"/>
              <w:right w:val="single" w:sz="4" w:space="0" w:color="auto"/>
            </w:tcBorders>
            <w:shd w:val="clear" w:color="auto" w:fill="auto"/>
            <w:noWrap/>
            <w:vAlign w:val="bottom"/>
            <w:hideMark/>
          </w:tcPr>
          <w:p w14:paraId="22A541B3"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24,616</w:t>
            </w:r>
          </w:p>
        </w:tc>
        <w:tc>
          <w:tcPr>
            <w:tcW w:w="1484" w:type="dxa"/>
            <w:tcBorders>
              <w:top w:val="single" w:sz="4" w:space="0" w:color="auto"/>
              <w:left w:val="single" w:sz="4" w:space="0" w:color="auto"/>
              <w:right w:val="single" w:sz="4" w:space="0" w:color="auto"/>
            </w:tcBorders>
            <w:shd w:val="clear" w:color="auto" w:fill="auto"/>
            <w:noWrap/>
            <w:vAlign w:val="bottom"/>
            <w:hideMark/>
          </w:tcPr>
          <w:p w14:paraId="38D633C3"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74,648</w:t>
            </w:r>
          </w:p>
        </w:tc>
      </w:tr>
      <w:tr w:rsidR="00BE35F9" w:rsidRPr="00192EC4" w14:paraId="4831315C" w14:textId="77777777" w:rsidTr="00B13566">
        <w:trPr>
          <w:trHeight w:val="254"/>
        </w:trPr>
        <w:tc>
          <w:tcPr>
            <w:tcW w:w="4755" w:type="dxa"/>
            <w:tcBorders>
              <w:top w:val="nil"/>
              <w:left w:val="single" w:sz="4" w:space="0" w:color="auto"/>
              <w:right w:val="single" w:sz="4" w:space="0" w:color="auto"/>
            </w:tcBorders>
            <w:shd w:val="clear" w:color="auto" w:fill="auto"/>
            <w:noWrap/>
            <w:vAlign w:val="center"/>
            <w:hideMark/>
          </w:tcPr>
          <w:p w14:paraId="0A1B6C70"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Capital Grants</w:t>
            </w:r>
          </w:p>
        </w:tc>
        <w:tc>
          <w:tcPr>
            <w:tcW w:w="1383" w:type="dxa"/>
            <w:tcBorders>
              <w:top w:val="nil"/>
              <w:left w:val="single" w:sz="4" w:space="0" w:color="auto"/>
              <w:right w:val="single" w:sz="4" w:space="0" w:color="auto"/>
            </w:tcBorders>
            <w:shd w:val="clear" w:color="auto" w:fill="auto"/>
            <w:noWrap/>
            <w:vAlign w:val="center"/>
            <w:hideMark/>
          </w:tcPr>
          <w:p w14:paraId="591BB11E"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307,363</w:t>
            </w:r>
          </w:p>
        </w:tc>
        <w:tc>
          <w:tcPr>
            <w:tcW w:w="1564" w:type="dxa"/>
            <w:tcBorders>
              <w:top w:val="nil"/>
              <w:left w:val="single" w:sz="4" w:space="0" w:color="auto"/>
              <w:right w:val="single" w:sz="4" w:space="0" w:color="auto"/>
            </w:tcBorders>
            <w:shd w:val="clear" w:color="auto" w:fill="auto"/>
            <w:noWrap/>
            <w:vAlign w:val="bottom"/>
            <w:hideMark/>
          </w:tcPr>
          <w:p w14:paraId="1666C117"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613</w:t>
            </w:r>
          </w:p>
        </w:tc>
        <w:tc>
          <w:tcPr>
            <w:tcW w:w="1484" w:type="dxa"/>
            <w:tcBorders>
              <w:top w:val="nil"/>
              <w:left w:val="single" w:sz="4" w:space="0" w:color="auto"/>
              <w:right w:val="single" w:sz="4" w:space="0" w:color="auto"/>
            </w:tcBorders>
            <w:shd w:val="clear" w:color="auto" w:fill="auto"/>
            <w:noWrap/>
            <w:vAlign w:val="bottom"/>
            <w:hideMark/>
          </w:tcPr>
          <w:p w14:paraId="7F0A4620"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307,976</w:t>
            </w:r>
          </w:p>
        </w:tc>
      </w:tr>
      <w:tr w:rsidR="00BE35F9" w:rsidRPr="00192EC4" w14:paraId="139F3474" w14:textId="77777777" w:rsidTr="00B13566">
        <w:trPr>
          <w:trHeight w:val="254"/>
        </w:trPr>
        <w:tc>
          <w:tcPr>
            <w:tcW w:w="4755" w:type="dxa"/>
            <w:tcBorders>
              <w:top w:val="nil"/>
              <w:left w:val="single" w:sz="4" w:space="0" w:color="auto"/>
              <w:right w:val="single" w:sz="4" w:space="0" w:color="auto"/>
            </w:tcBorders>
            <w:shd w:val="clear" w:color="auto" w:fill="auto"/>
            <w:noWrap/>
            <w:vAlign w:val="center"/>
            <w:hideMark/>
          </w:tcPr>
          <w:p w14:paraId="223F7A74"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Revenue Contribution to Capital Outlay</w:t>
            </w:r>
          </w:p>
        </w:tc>
        <w:tc>
          <w:tcPr>
            <w:tcW w:w="1383" w:type="dxa"/>
            <w:tcBorders>
              <w:top w:val="nil"/>
              <w:left w:val="single" w:sz="4" w:space="0" w:color="auto"/>
              <w:right w:val="single" w:sz="4" w:space="0" w:color="auto"/>
            </w:tcBorders>
            <w:shd w:val="clear" w:color="auto" w:fill="auto"/>
            <w:noWrap/>
            <w:vAlign w:val="center"/>
            <w:hideMark/>
          </w:tcPr>
          <w:p w14:paraId="78497A6C"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1,074</w:t>
            </w:r>
          </w:p>
        </w:tc>
        <w:tc>
          <w:tcPr>
            <w:tcW w:w="1564" w:type="dxa"/>
            <w:tcBorders>
              <w:top w:val="nil"/>
              <w:left w:val="single" w:sz="4" w:space="0" w:color="auto"/>
              <w:right w:val="single" w:sz="4" w:space="0" w:color="auto"/>
            </w:tcBorders>
            <w:shd w:val="clear" w:color="auto" w:fill="auto"/>
            <w:noWrap/>
            <w:vAlign w:val="bottom"/>
            <w:hideMark/>
          </w:tcPr>
          <w:p w14:paraId="35EA699C"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1,417</w:t>
            </w:r>
          </w:p>
        </w:tc>
        <w:tc>
          <w:tcPr>
            <w:tcW w:w="1484" w:type="dxa"/>
            <w:tcBorders>
              <w:top w:val="nil"/>
              <w:left w:val="single" w:sz="4" w:space="0" w:color="auto"/>
              <w:right w:val="single" w:sz="4" w:space="0" w:color="auto"/>
            </w:tcBorders>
            <w:shd w:val="clear" w:color="auto" w:fill="auto"/>
            <w:noWrap/>
            <w:vAlign w:val="bottom"/>
            <w:hideMark/>
          </w:tcPr>
          <w:p w14:paraId="7CE2608E"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2,491</w:t>
            </w:r>
          </w:p>
        </w:tc>
      </w:tr>
      <w:tr w:rsidR="00BE35F9" w:rsidRPr="00192EC4" w14:paraId="09BA4E35" w14:textId="77777777" w:rsidTr="00B13566">
        <w:trPr>
          <w:trHeight w:val="254"/>
        </w:trPr>
        <w:tc>
          <w:tcPr>
            <w:tcW w:w="4755" w:type="dxa"/>
            <w:tcBorders>
              <w:top w:val="nil"/>
              <w:left w:val="single" w:sz="4" w:space="0" w:color="auto"/>
              <w:right w:val="single" w:sz="4" w:space="0" w:color="auto"/>
            </w:tcBorders>
            <w:shd w:val="clear" w:color="auto" w:fill="auto"/>
            <w:noWrap/>
            <w:vAlign w:val="center"/>
            <w:hideMark/>
          </w:tcPr>
          <w:p w14:paraId="5DAC0C32"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Capital Receipts</w:t>
            </w:r>
          </w:p>
        </w:tc>
        <w:tc>
          <w:tcPr>
            <w:tcW w:w="1383" w:type="dxa"/>
            <w:tcBorders>
              <w:top w:val="nil"/>
              <w:left w:val="single" w:sz="4" w:space="0" w:color="auto"/>
              <w:right w:val="single" w:sz="4" w:space="0" w:color="auto"/>
            </w:tcBorders>
            <w:shd w:val="clear" w:color="auto" w:fill="auto"/>
            <w:noWrap/>
            <w:vAlign w:val="center"/>
            <w:hideMark/>
          </w:tcPr>
          <w:p w14:paraId="2C5CD400"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45,852</w:t>
            </w:r>
          </w:p>
        </w:tc>
        <w:tc>
          <w:tcPr>
            <w:tcW w:w="1564" w:type="dxa"/>
            <w:tcBorders>
              <w:top w:val="nil"/>
              <w:left w:val="single" w:sz="4" w:space="0" w:color="auto"/>
              <w:right w:val="single" w:sz="4" w:space="0" w:color="auto"/>
            </w:tcBorders>
            <w:shd w:val="clear" w:color="auto" w:fill="auto"/>
            <w:noWrap/>
            <w:vAlign w:val="bottom"/>
            <w:hideMark/>
          </w:tcPr>
          <w:p w14:paraId="003DC4D1"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995</w:t>
            </w:r>
          </w:p>
        </w:tc>
        <w:tc>
          <w:tcPr>
            <w:tcW w:w="1484" w:type="dxa"/>
            <w:tcBorders>
              <w:top w:val="nil"/>
              <w:left w:val="single" w:sz="4" w:space="0" w:color="auto"/>
              <w:right w:val="single" w:sz="4" w:space="0" w:color="auto"/>
            </w:tcBorders>
            <w:shd w:val="clear" w:color="auto" w:fill="auto"/>
            <w:noWrap/>
            <w:vAlign w:val="bottom"/>
            <w:hideMark/>
          </w:tcPr>
          <w:p w14:paraId="5CB43DF9"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46,847</w:t>
            </w:r>
          </w:p>
        </w:tc>
      </w:tr>
      <w:tr w:rsidR="00BE35F9" w:rsidRPr="00192EC4" w14:paraId="5B26A392" w14:textId="77777777" w:rsidTr="00B13566">
        <w:trPr>
          <w:trHeight w:val="254"/>
        </w:trPr>
        <w:tc>
          <w:tcPr>
            <w:tcW w:w="4755" w:type="dxa"/>
            <w:tcBorders>
              <w:top w:val="nil"/>
              <w:left w:val="single" w:sz="4" w:space="0" w:color="auto"/>
              <w:right w:val="single" w:sz="4" w:space="0" w:color="auto"/>
            </w:tcBorders>
            <w:shd w:val="clear" w:color="auto" w:fill="auto"/>
            <w:noWrap/>
            <w:vAlign w:val="center"/>
            <w:hideMark/>
          </w:tcPr>
          <w:p w14:paraId="4B56F376"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External Contributions</w:t>
            </w:r>
          </w:p>
        </w:tc>
        <w:tc>
          <w:tcPr>
            <w:tcW w:w="1383" w:type="dxa"/>
            <w:tcBorders>
              <w:top w:val="nil"/>
              <w:left w:val="single" w:sz="4" w:space="0" w:color="auto"/>
              <w:right w:val="single" w:sz="4" w:space="0" w:color="auto"/>
            </w:tcBorders>
            <w:shd w:val="clear" w:color="auto" w:fill="auto"/>
            <w:noWrap/>
            <w:vAlign w:val="center"/>
            <w:hideMark/>
          </w:tcPr>
          <w:p w14:paraId="61C6D626"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3,319</w:t>
            </w:r>
          </w:p>
        </w:tc>
        <w:tc>
          <w:tcPr>
            <w:tcW w:w="1564" w:type="dxa"/>
            <w:tcBorders>
              <w:top w:val="nil"/>
              <w:left w:val="single" w:sz="4" w:space="0" w:color="auto"/>
              <w:right w:val="single" w:sz="4" w:space="0" w:color="auto"/>
            </w:tcBorders>
            <w:shd w:val="clear" w:color="auto" w:fill="auto"/>
            <w:noWrap/>
            <w:vAlign w:val="bottom"/>
            <w:hideMark/>
          </w:tcPr>
          <w:p w14:paraId="2412594E"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1484" w:type="dxa"/>
            <w:tcBorders>
              <w:top w:val="nil"/>
              <w:left w:val="single" w:sz="4" w:space="0" w:color="auto"/>
              <w:right w:val="single" w:sz="4" w:space="0" w:color="auto"/>
            </w:tcBorders>
            <w:shd w:val="clear" w:color="auto" w:fill="auto"/>
            <w:noWrap/>
            <w:vAlign w:val="bottom"/>
            <w:hideMark/>
          </w:tcPr>
          <w:p w14:paraId="6EF8D595"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3,319</w:t>
            </w:r>
          </w:p>
        </w:tc>
      </w:tr>
      <w:tr w:rsidR="00BE35F9" w:rsidRPr="00192EC4" w14:paraId="6544D263" w14:textId="77777777" w:rsidTr="00B13566">
        <w:trPr>
          <w:trHeight w:val="254"/>
        </w:trPr>
        <w:tc>
          <w:tcPr>
            <w:tcW w:w="4755" w:type="dxa"/>
            <w:tcBorders>
              <w:top w:val="nil"/>
              <w:left w:val="single" w:sz="4" w:space="0" w:color="auto"/>
              <w:bottom w:val="single" w:sz="4" w:space="0" w:color="auto"/>
              <w:right w:val="single" w:sz="4" w:space="0" w:color="auto"/>
            </w:tcBorders>
            <w:shd w:val="clear" w:color="auto" w:fill="auto"/>
            <w:noWrap/>
            <w:vAlign w:val="center"/>
            <w:hideMark/>
          </w:tcPr>
          <w:p w14:paraId="745E0E59" w14:textId="77777777" w:rsidR="00BE35F9" w:rsidRPr="00192EC4" w:rsidRDefault="00BE35F9" w:rsidP="006F1659">
            <w:pPr>
              <w:spacing w:line="360" w:lineRule="auto"/>
              <w:rPr>
                <w:rFonts w:ascii="Arial" w:hAnsi="Arial" w:cs="Arial"/>
                <w:color w:val="262626"/>
                <w:sz w:val="20"/>
                <w:szCs w:val="20"/>
              </w:rPr>
            </w:pPr>
            <w:r w:rsidRPr="00192EC4">
              <w:rPr>
                <w:rFonts w:ascii="Arial" w:hAnsi="Arial" w:cs="Arial"/>
                <w:color w:val="262626"/>
                <w:sz w:val="20"/>
                <w:szCs w:val="20"/>
              </w:rPr>
              <w:t>External Contributions TfGM</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7596544" w14:textId="77777777" w:rsidR="00BE35F9" w:rsidRPr="00192EC4" w:rsidRDefault="00BE35F9" w:rsidP="006F1659">
            <w:pPr>
              <w:spacing w:line="360" w:lineRule="auto"/>
              <w:jc w:val="right"/>
              <w:rPr>
                <w:rFonts w:ascii="Arial" w:hAnsi="Arial" w:cs="Arial"/>
                <w:color w:val="262626"/>
                <w:sz w:val="20"/>
                <w:szCs w:val="20"/>
              </w:rPr>
            </w:pPr>
            <w:r w:rsidRPr="00192EC4">
              <w:rPr>
                <w:rFonts w:ascii="Arial" w:hAnsi="Arial" w:cs="Arial"/>
                <w:color w:val="262626"/>
                <w:sz w:val="20"/>
                <w:szCs w:val="20"/>
              </w:rPr>
              <w:t>34,967</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1B8EC223"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14:paraId="4EBA89C9"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34,967</w:t>
            </w:r>
          </w:p>
        </w:tc>
      </w:tr>
      <w:tr w:rsidR="00BE35F9" w:rsidRPr="00192EC4" w14:paraId="7E68E60A" w14:textId="77777777" w:rsidTr="00B13566">
        <w:trPr>
          <w:trHeight w:val="262"/>
        </w:trPr>
        <w:tc>
          <w:tcPr>
            <w:tcW w:w="475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480F29" w14:textId="77777777" w:rsidR="00BE35F9" w:rsidRPr="00192EC4" w:rsidRDefault="00BE35F9" w:rsidP="006F1659">
            <w:pPr>
              <w:spacing w:line="360" w:lineRule="auto"/>
              <w:rPr>
                <w:rFonts w:ascii="Arial" w:hAnsi="Arial" w:cs="Arial"/>
                <w:b/>
                <w:bCs/>
                <w:color w:val="262626"/>
                <w:sz w:val="20"/>
                <w:szCs w:val="20"/>
              </w:rPr>
            </w:pPr>
            <w:r w:rsidRPr="00192EC4">
              <w:rPr>
                <w:rFonts w:ascii="Arial" w:hAnsi="Arial" w:cs="Arial"/>
                <w:b/>
                <w:bCs/>
                <w:color w:val="262626"/>
                <w:sz w:val="20"/>
                <w:szCs w:val="20"/>
              </w:rPr>
              <w:t>Total Funding</w:t>
            </w:r>
          </w:p>
        </w:tc>
        <w:tc>
          <w:tcPr>
            <w:tcW w:w="1383" w:type="dxa"/>
            <w:tcBorders>
              <w:top w:val="single" w:sz="4" w:space="0" w:color="auto"/>
              <w:left w:val="nil"/>
              <w:bottom w:val="single" w:sz="8" w:space="0" w:color="auto"/>
              <w:right w:val="single" w:sz="4" w:space="0" w:color="auto"/>
            </w:tcBorders>
            <w:shd w:val="clear" w:color="auto" w:fill="auto"/>
            <w:noWrap/>
            <w:vAlign w:val="center"/>
            <w:hideMark/>
          </w:tcPr>
          <w:p w14:paraId="137A60A7" w14:textId="77777777" w:rsidR="00BE35F9" w:rsidRPr="00192EC4" w:rsidRDefault="00BE35F9" w:rsidP="006F1659">
            <w:pPr>
              <w:spacing w:line="360" w:lineRule="auto"/>
              <w:jc w:val="right"/>
              <w:rPr>
                <w:rFonts w:ascii="Arial" w:hAnsi="Arial" w:cs="Arial"/>
                <w:b/>
                <w:bCs/>
                <w:color w:val="262626"/>
                <w:sz w:val="20"/>
                <w:szCs w:val="20"/>
              </w:rPr>
            </w:pPr>
            <w:r w:rsidRPr="00192EC4">
              <w:rPr>
                <w:rFonts w:ascii="Arial" w:hAnsi="Arial" w:cs="Arial"/>
                <w:b/>
                <w:bCs/>
                <w:color w:val="262626"/>
                <w:sz w:val="20"/>
                <w:szCs w:val="20"/>
              </w:rPr>
              <w:t>442,607</w:t>
            </w:r>
          </w:p>
        </w:tc>
        <w:tc>
          <w:tcPr>
            <w:tcW w:w="1564" w:type="dxa"/>
            <w:tcBorders>
              <w:top w:val="single" w:sz="4" w:space="0" w:color="auto"/>
              <w:left w:val="nil"/>
              <w:bottom w:val="single" w:sz="8" w:space="0" w:color="auto"/>
              <w:right w:val="single" w:sz="4" w:space="0" w:color="auto"/>
            </w:tcBorders>
            <w:shd w:val="clear" w:color="auto" w:fill="auto"/>
            <w:noWrap/>
            <w:vAlign w:val="bottom"/>
            <w:hideMark/>
          </w:tcPr>
          <w:p w14:paraId="58DAA874" w14:textId="77777777" w:rsidR="00BE35F9" w:rsidRPr="00192EC4" w:rsidRDefault="00BE35F9" w:rsidP="006F1659">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27,641</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577D5669" w14:textId="77777777" w:rsidR="00BE35F9" w:rsidRPr="00192EC4" w:rsidRDefault="00BE35F9" w:rsidP="006F1659">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470,248</w:t>
            </w:r>
          </w:p>
        </w:tc>
      </w:tr>
    </w:tbl>
    <w:p w14:paraId="5D757477" w14:textId="77777777" w:rsidR="00201027" w:rsidRPr="00192EC4" w:rsidRDefault="00201027" w:rsidP="006F1659">
      <w:pPr>
        <w:pStyle w:val="ListParagraph"/>
        <w:spacing w:line="360" w:lineRule="auto"/>
        <w:ind w:left="0"/>
        <w:jc w:val="both"/>
        <w:rPr>
          <w:rFonts w:cs="Arial"/>
          <w:snapToGrid w:val="0"/>
          <w:sz w:val="24"/>
        </w:rPr>
      </w:pPr>
    </w:p>
    <w:p w14:paraId="5FF1B975" w14:textId="77777777" w:rsidR="00BE35F9" w:rsidRPr="00192EC4" w:rsidRDefault="00BE35F9" w:rsidP="006F1659">
      <w:pPr>
        <w:pStyle w:val="ListParagraph"/>
        <w:spacing w:after="0" w:line="360" w:lineRule="auto"/>
        <w:ind w:left="0"/>
        <w:jc w:val="both"/>
        <w:rPr>
          <w:rFonts w:ascii="Arial" w:hAnsi="Arial" w:cs="Arial"/>
          <w:snapToGrid w:val="0"/>
          <w:sz w:val="24"/>
          <w:u w:val="single"/>
        </w:rPr>
      </w:pPr>
      <w:bookmarkStart w:id="13" w:name="_Hlk140011029"/>
      <w:r w:rsidRPr="00192EC4">
        <w:rPr>
          <w:rFonts w:ascii="Arial" w:hAnsi="Arial" w:cs="Arial"/>
          <w:snapToGrid w:val="0"/>
          <w:sz w:val="24"/>
          <w:u w:val="single"/>
        </w:rPr>
        <w:t>Greater Manchester Investment Strategy</w:t>
      </w:r>
    </w:p>
    <w:p w14:paraId="5764A042" w14:textId="77777777" w:rsidR="00BE35F9" w:rsidRPr="00192EC4" w:rsidRDefault="00BE35F9" w:rsidP="006F1659">
      <w:pPr>
        <w:pStyle w:val="ListParagraph"/>
        <w:spacing w:after="0" w:line="360" w:lineRule="auto"/>
        <w:ind w:left="0"/>
        <w:jc w:val="both"/>
        <w:rPr>
          <w:rFonts w:ascii="Arial" w:hAnsi="Arial" w:cs="Arial"/>
          <w:snapToGrid w:val="0"/>
          <w:sz w:val="24"/>
          <w:szCs w:val="24"/>
          <w:u w:val="single"/>
        </w:rPr>
      </w:pPr>
    </w:p>
    <w:p w14:paraId="4A64ED40" w14:textId="66FEF7B6" w:rsidR="00BE35F9" w:rsidRPr="00192EC4" w:rsidRDefault="00BE35F9" w:rsidP="006F1659">
      <w:pPr>
        <w:keepNext/>
        <w:spacing w:line="360" w:lineRule="auto"/>
        <w:rPr>
          <w:rFonts w:ascii="Arial" w:hAnsi="Arial" w:cs="Arial"/>
          <w:b/>
          <w:bCs/>
        </w:rPr>
      </w:pPr>
      <w:r w:rsidRPr="00192EC4">
        <w:rPr>
          <w:rFonts w:ascii="Arial" w:hAnsi="Arial" w:cs="Arial"/>
        </w:rPr>
        <w:t>In 2022/23 the Greater Manchester Investment Strategy continued to support regeneration and job creation in the region through targeted investment that reflects the strengths and opportunities in the local economy. The investment strategy was based on sustainably generating returns that can be recycled and reinvested so as existing loans and investments are repaid, they can be reinvested in new projects.</w:t>
      </w:r>
      <w:r w:rsidRPr="00192EC4">
        <w:rPr>
          <w:rFonts w:ascii="Arial" w:hAnsi="Arial" w:cs="Arial"/>
          <w:b/>
          <w:bCs/>
        </w:rPr>
        <w:t xml:space="preserve"> </w:t>
      </w:r>
      <w:r w:rsidRPr="00192EC4">
        <w:rPr>
          <w:rFonts w:ascii="Arial" w:hAnsi="Arial" w:cs="Arial"/>
          <w:bdr w:val="none" w:sz="0" w:space="0" w:color="auto" w:frame="1"/>
          <w:lang w:eastAsia="en-GB"/>
        </w:rPr>
        <w:t>Investment funds are used as a lever to deliver the strategy and focus on our strategic priorities in business, housing and commercial property. The main elements of the funds are:</w:t>
      </w:r>
    </w:p>
    <w:p w14:paraId="1CEE91F5" w14:textId="77777777" w:rsidR="00BE35F9" w:rsidRPr="00192EC4" w:rsidRDefault="00BE35F9" w:rsidP="006F1659">
      <w:pPr>
        <w:spacing w:line="360" w:lineRule="auto"/>
      </w:pPr>
    </w:p>
    <w:p w14:paraId="07623874" w14:textId="77777777" w:rsidR="00BE35F9" w:rsidRPr="00192EC4" w:rsidRDefault="00BE35F9" w:rsidP="006F1659">
      <w:pPr>
        <w:pStyle w:val="ListParagraph"/>
        <w:numPr>
          <w:ilvl w:val="0"/>
          <w:numId w:val="81"/>
        </w:numPr>
        <w:spacing w:after="0" w:line="360" w:lineRule="auto"/>
        <w:ind w:left="426" w:hanging="426"/>
        <w:textAlignment w:val="baseline"/>
        <w:rPr>
          <w:rFonts w:cs="Calibri"/>
          <w:i/>
          <w:iCs/>
          <w:sz w:val="24"/>
          <w:szCs w:val="24"/>
        </w:rPr>
      </w:pPr>
      <w:r w:rsidRPr="00192EC4">
        <w:rPr>
          <w:rFonts w:ascii="Arial" w:hAnsi="Arial" w:cs="Arial"/>
          <w:i/>
          <w:iCs/>
          <w:sz w:val="24"/>
          <w:szCs w:val="24"/>
        </w:rPr>
        <w:t xml:space="preserve">The Greater Manchester Housing Investment Loans Fund (HILF): </w:t>
      </w:r>
    </w:p>
    <w:p w14:paraId="5E1C6273" w14:textId="77777777" w:rsidR="00BE35F9" w:rsidRPr="00192EC4" w:rsidRDefault="00BE35F9" w:rsidP="006F1659">
      <w:pPr>
        <w:pStyle w:val="ListParagraph"/>
        <w:spacing w:after="0" w:line="360" w:lineRule="auto"/>
        <w:ind w:left="426"/>
        <w:textAlignment w:val="baseline"/>
        <w:rPr>
          <w:rFonts w:ascii="Arial" w:hAnsi="Arial" w:cs="Arial"/>
          <w:sz w:val="24"/>
          <w:szCs w:val="24"/>
        </w:rPr>
      </w:pPr>
      <w:r w:rsidRPr="00192EC4">
        <w:rPr>
          <w:rFonts w:ascii="Arial" w:hAnsi="Arial" w:cs="Arial"/>
          <w:sz w:val="24"/>
          <w:szCs w:val="24"/>
        </w:rPr>
        <w:lastRenderedPageBreak/>
        <w:t>HILF aims to unlock the delivery of at least 10,000 homes over the 10-year life of the fund providing the high quality housing offer needed to support the region’s economic growth. In 2018/19 HIF novated from Manchester City Council to the GMCA. As existing investments made by the Fund are repaid the monies are available for reinvestment by the Fund and at the time of writing there have been no defaults.</w:t>
      </w:r>
    </w:p>
    <w:p w14:paraId="01F9CB58" w14:textId="77777777" w:rsidR="00BE35F9" w:rsidRPr="00192EC4" w:rsidRDefault="00BE35F9" w:rsidP="006F1659">
      <w:pPr>
        <w:pStyle w:val="ListParagraph"/>
        <w:spacing w:after="0" w:line="360" w:lineRule="auto"/>
        <w:ind w:left="426" w:hanging="568"/>
        <w:textAlignment w:val="baseline"/>
        <w:rPr>
          <w:rFonts w:ascii="Arial" w:hAnsi="Arial" w:cs="Arial"/>
          <w:sz w:val="24"/>
          <w:szCs w:val="24"/>
        </w:rPr>
      </w:pPr>
    </w:p>
    <w:p w14:paraId="66FAA238" w14:textId="77777777" w:rsidR="00BE35F9" w:rsidRPr="00192EC4" w:rsidRDefault="00BE35F9" w:rsidP="006F1659">
      <w:pPr>
        <w:pStyle w:val="ListParagraph"/>
        <w:numPr>
          <w:ilvl w:val="0"/>
          <w:numId w:val="81"/>
        </w:numPr>
        <w:spacing w:after="0" w:line="360" w:lineRule="auto"/>
        <w:ind w:left="426" w:hanging="426"/>
        <w:textAlignment w:val="baseline"/>
        <w:rPr>
          <w:rFonts w:cs="Calibri"/>
          <w:i/>
          <w:iCs/>
          <w:sz w:val="24"/>
          <w:szCs w:val="24"/>
        </w:rPr>
      </w:pPr>
      <w:r w:rsidRPr="00192EC4">
        <w:rPr>
          <w:rFonts w:ascii="Arial" w:hAnsi="Arial" w:cs="Arial"/>
          <w:i/>
          <w:iCs/>
          <w:sz w:val="24"/>
          <w:szCs w:val="24"/>
        </w:rPr>
        <w:t xml:space="preserve">City Deal Receipts: </w:t>
      </w:r>
    </w:p>
    <w:p w14:paraId="382E217A" w14:textId="77777777" w:rsidR="00BE35F9" w:rsidRPr="00192EC4" w:rsidRDefault="00BE35F9" w:rsidP="006F1659">
      <w:pPr>
        <w:pStyle w:val="ListParagraph"/>
        <w:spacing w:after="0" w:line="360" w:lineRule="auto"/>
        <w:ind w:left="426"/>
        <w:textAlignment w:val="baseline"/>
        <w:rPr>
          <w:rFonts w:ascii="Arial" w:hAnsi="Arial" w:cs="Arial"/>
          <w:sz w:val="24"/>
          <w:szCs w:val="24"/>
        </w:rPr>
      </w:pPr>
      <w:r w:rsidRPr="00192EC4">
        <w:rPr>
          <w:rFonts w:ascii="Arial" w:hAnsi="Arial" w:cs="Arial"/>
          <w:sz w:val="24"/>
          <w:szCs w:val="24"/>
        </w:rPr>
        <w:t>In 2015 it was agreed that receipts realised by Homes England from the disposal of its land and property within Greater Manchester would be provided to GMCA to invest in support of the housing and regeneration objectives set out in the 2012 Greater Manchester City Deal.</w:t>
      </w:r>
    </w:p>
    <w:p w14:paraId="5CC71BB6" w14:textId="77777777" w:rsidR="00BE35F9" w:rsidRPr="00192EC4" w:rsidRDefault="00BE35F9" w:rsidP="006F1659">
      <w:pPr>
        <w:pStyle w:val="ListParagraph"/>
        <w:spacing w:after="0" w:line="360" w:lineRule="auto"/>
        <w:ind w:left="426"/>
        <w:textAlignment w:val="baseline"/>
        <w:rPr>
          <w:rFonts w:ascii="Arial" w:hAnsi="Arial" w:cs="Arial"/>
          <w:sz w:val="24"/>
          <w:szCs w:val="24"/>
        </w:rPr>
      </w:pPr>
    </w:p>
    <w:p w14:paraId="5D7EFF84" w14:textId="77777777" w:rsidR="00BE35F9" w:rsidRPr="00192EC4" w:rsidRDefault="00BE35F9" w:rsidP="006F1659">
      <w:pPr>
        <w:pStyle w:val="ListParagraph"/>
        <w:numPr>
          <w:ilvl w:val="0"/>
          <w:numId w:val="81"/>
        </w:numPr>
        <w:spacing w:after="0" w:line="360" w:lineRule="auto"/>
        <w:ind w:left="426" w:hanging="426"/>
        <w:textAlignment w:val="baseline"/>
        <w:rPr>
          <w:rFonts w:cs="Calibri"/>
          <w:i/>
          <w:iCs/>
          <w:sz w:val="24"/>
          <w:szCs w:val="24"/>
        </w:rPr>
      </w:pPr>
      <w:r w:rsidRPr="00192EC4">
        <w:rPr>
          <w:rFonts w:ascii="Arial" w:hAnsi="Arial" w:cs="Arial"/>
          <w:i/>
          <w:iCs/>
          <w:sz w:val="24"/>
          <w:szCs w:val="24"/>
        </w:rPr>
        <w:t xml:space="preserve">The Core Recycled Funds: </w:t>
      </w:r>
    </w:p>
    <w:p w14:paraId="6C1D4218" w14:textId="105DDEEC" w:rsidR="00BE35F9" w:rsidRPr="00192EC4" w:rsidRDefault="00BE35F9" w:rsidP="006F1659">
      <w:pPr>
        <w:spacing w:line="360" w:lineRule="auto"/>
        <w:ind w:left="426"/>
        <w:textAlignment w:val="baseline"/>
        <w:rPr>
          <w:rFonts w:ascii="Arial" w:hAnsi="Arial" w:cs="Arial"/>
        </w:rPr>
      </w:pPr>
      <w:r w:rsidRPr="00192EC4">
        <w:rPr>
          <w:rFonts w:ascii="Arial" w:hAnsi="Arial" w:cs="Arial"/>
        </w:rPr>
        <w:t xml:space="preserve">The Core Recycled Funds originated from Regional Growth Fund (RGF) and Growing Places Fund (GPF) monies which have been recycled and are now reinvested into businesses and commercial property. As part of this overarching programme, the funds offered investments at commercial rates to businesses and organisations to fund schemes that boost local employment, improve skills and contribute to the region's economic growth. </w:t>
      </w:r>
      <w:r w:rsidRPr="00192EC4">
        <w:rPr>
          <w:rFonts w:ascii="Arial" w:hAnsi="Arial" w:cs="Arial"/>
          <w:lang w:eastAsia="en-GB"/>
        </w:rPr>
        <w:t xml:space="preserve">Funds that have been provided to businesses have been used to support a market gap for finance and therefore, given the nature of the portfolio, defaults are expected. Provisions have been made to estimate the risk, in accordance with International Financial Reporting Standards - IFRS 9. </w:t>
      </w:r>
    </w:p>
    <w:p w14:paraId="397D7613" w14:textId="77777777" w:rsidR="00BE35F9" w:rsidRPr="00192EC4" w:rsidRDefault="00BE35F9" w:rsidP="006F1659">
      <w:pPr>
        <w:spacing w:line="360" w:lineRule="auto"/>
        <w:ind w:left="426"/>
        <w:textAlignment w:val="baseline"/>
        <w:rPr>
          <w:lang w:eastAsia="en-GB"/>
        </w:rPr>
      </w:pPr>
    </w:p>
    <w:p w14:paraId="1D278B59" w14:textId="77777777" w:rsidR="00BE35F9" w:rsidRPr="00192EC4" w:rsidRDefault="00BE35F9" w:rsidP="006F1659">
      <w:pPr>
        <w:pStyle w:val="ListParagraph"/>
        <w:numPr>
          <w:ilvl w:val="0"/>
          <w:numId w:val="81"/>
        </w:numPr>
        <w:spacing w:after="0" w:line="360" w:lineRule="auto"/>
        <w:ind w:left="426" w:hanging="426"/>
        <w:textAlignment w:val="baseline"/>
        <w:rPr>
          <w:rFonts w:ascii="Times New Roman" w:hAnsi="Times New Roman"/>
          <w:sz w:val="24"/>
          <w:szCs w:val="24"/>
        </w:rPr>
      </w:pPr>
      <w:r w:rsidRPr="00192EC4">
        <w:rPr>
          <w:rFonts w:ascii="Arial" w:hAnsi="Arial" w:cs="Arial"/>
          <w:i/>
          <w:iCs/>
          <w:sz w:val="24"/>
          <w:szCs w:val="24"/>
        </w:rPr>
        <w:t>Commercial property funds:</w:t>
      </w:r>
      <w:r w:rsidRPr="00192EC4">
        <w:rPr>
          <w:rFonts w:ascii="Arial" w:hAnsi="Arial" w:cs="Arial"/>
          <w:sz w:val="24"/>
          <w:szCs w:val="24"/>
        </w:rPr>
        <w:t xml:space="preserve"> </w:t>
      </w:r>
    </w:p>
    <w:p w14:paraId="1119A403" w14:textId="77777777" w:rsidR="00BE35F9" w:rsidRPr="00192EC4" w:rsidRDefault="00BE35F9" w:rsidP="006F1659">
      <w:pPr>
        <w:spacing w:line="360" w:lineRule="auto"/>
        <w:ind w:left="426"/>
        <w:textAlignment w:val="baseline"/>
        <w:rPr>
          <w:rFonts w:ascii="Arial" w:hAnsi="Arial" w:cs="Arial"/>
          <w:lang w:eastAsia="en-GB"/>
        </w:rPr>
      </w:pPr>
      <w:r w:rsidRPr="00192EC4">
        <w:rPr>
          <w:rFonts w:ascii="Arial" w:hAnsi="Arial" w:cs="Arial"/>
          <w:lang w:eastAsia="en-GB"/>
        </w:rPr>
        <w:t xml:space="preserve">The dedicated commercial property funds are managed by CBRE Ltd on behalf of the Authority and have supported the development of commercial floor space and the redevelopment of Brownfield land. </w:t>
      </w:r>
    </w:p>
    <w:p w14:paraId="1FB5AFEE" w14:textId="77777777" w:rsidR="00BE35F9" w:rsidRPr="00192EC4" w:rsidRDefault="00BE35F9" w:rsidP="006F1659">
      <w:pPr>
        <w:spacing w:line="360" w:lineRule="auto"/>
        <w:ind w:left="426"/>
        <w:textAlignment w:val="baseline"/>
        <w:rPr>
          <w:lang w:eastAsia="en-GB"/>
        </w:rPr>
      </w:pPr>
    </w:p>
    <w:p w14:paraId="182AF0B7" w14:textId="77777777" w:rsidR="00BE35F9" w:rsidRPr="00192EC4" w:rsidRDefault="00BE35F9" w:rsidP="006F1659">
      <w:pPr>
        <w:pStyle w:val="ListParagraph"/>
        <w:numPr>
          <w:ilvl w:val="0"/>
          <w:numId w:val="81"/>
        </w:numPr>
        <w:spacing w:after="0" w:line="360" w:lineRule="auto"/>
        <w:ind w:left="426" w:hanging="426"/>
        <w:textAlignment w:val="baseline"/>
        <w:rPr>
          <w:rFonts w:ascii="Arial" w:hAnsi="Arial" w:cs="Arial"/>
          <w:sz w:val="24"/>
          <w:szCs w:val="24"/>
        </w:rPr>
      </w:pPr>
      <w:r w:rsidRPr="00192EC4">
        <w:rPr>
          <w:rFonts w:ascii="Arial" w:hAnsi="Arial" w:cs="Arial"/>
          <w:i/>
          <w:iCs/>
          <w:sz w:val="24"/>
          <w:szCs w:val="24"/>
        </w:rPr>
        <w:t>Life Sciences Fund</w:t>
      </w:r>
      <w:r w:rsidRPr="00192EC4">
        <w:rPr>
          <w:rFonts w:ascii="Arial" w:hAnsi="Arial" w:cs="Arial"/>
          <w:sz w:val="24"/>
          <w:szCs w:val="24"/>
        </w:rPr>
        <w:t xml:space="preserve">: </w:t>
      </w:r>
    </w:p>
    <w:p w14:paraId="4261593F" w14:textId="3C5051FA" w:rsidR="00BE35F9" w:rsidRPr="00192EC4" w:rsidRDefault="00BE35F9" w:rsidP="006F1659">
      <w:pPr>
        <w:spacing w:line="360" w:lineRule="auto"/>
        <w:ind w:left="426"/>
        <w:textAlignment w:val="baseline"/>
        <w:rPr>
          <w:rFonts w:ascii="Arial" w:hAnsi="Arial" w:cs="Arial"/>
          <w:lang w:eastAsia="en-GB"/>
        </w:rPr>
      </w:pPr>
      <w:r w:rsidRPr="00192EC4">
        <w:rPr>
          <w:rFonts w:ascii="Arial" w:hAnsi="Arial" w:cs="Arial"/>
          <w:lang w:eastAsia="en-GB"/>
        </w:rPr>
        <w:t xml:space="preserve">The first £30m Life Sciences Fund was established in 2016 in partnership with Cheshire East Council, Cheshire and Warrington Local Enterprise Partnership (LEP) and Bruntwood to further develop the Alderley Park site and support life sciences </w:t>
      </w:r>
      <w:r w:rsidRPr="00192EC4">
        <w:rPr>
          <w:rFonts w:ascii="Arial" w:hAnsi="Arial" w:cs="Arial"/>
          <w:lang w:eastAsia="en-GB"/>
        </w:rPr>
        <w:lastRenderedPageBreak/>
        <w:t>businesses across the city region. The first fund is managed by Catapult Ventures. A second £20m fund was established in 2022 in partnership with Cheshire and Warrington LEP and Bruntwood, this fund is managed by Praetura Ventures.</w:t>
      </w:r>
    </w:p>
    <w:p w14:paraId="2BA9ABA4" w14:textId="77777777" w:rsidR="00BE35F9" w:rsidRPr="00192EC4" w:rsidRDefault="00BE35F9" w:rsidP="006F1659">
      <w:pPr>
        <w:spacing w:line="360" w:lineRule="auto"/>
        <w:ind w:left="426"/>
        <w:textAlignment w:val="baseline"/>
        <w:rPr>
          <w:rFonts w:ascii="Arial" w:hAnsi="Arial" w:cs="Arial"/>
          <w:lang w:eastAsia="en-GB"/>
        </w:rPr>
      </w:pPr>
    </w:p>
    <w:p w14:paraId="272A7FAE" w14:textId="77777777" w:rsidR="00BE35F9" w:rsidRPr="00192EC4" w:rsidRDefault="00BE35F9" w:rsidP="006F1659">
      <w:pPr>
        <w:pStyle w:val="ListParagraph"/>
        <w:numPr>
          <w:ilvl w:val="0"/>
          <w:numId w:val="81"/>
        </w:numPr>
        <w:spacing w:after="0" w:line="360" w:lineRule="auto"/>
        <w:ind w:left="426" w:hanging="426"/>
        <w:textAlignment w:val="baseline"/>
        <w:rPr>
          <w:rFonts w:ascii="Arial" w:hAnsi="Arial" w:cs="Arial"/>
          <w:sz w:val="24"/>
          <w:szCs w:val="24"/>
        </w:rPr>
      </w:pPr>
      <w:r w:rsidRPr="00192EC4">
        <w:rPr>
          <w:rFonts w:ascii="Arial" w:hAnsi="Arial" w:cs="Arial"/>
          <w:i/>
          <w:iCs/>
          <w:sz w:val="24"/>
          <w:szCs w:val="24"/>
        </w:rPr>
        <w:t>Low Carbon Fund:</w:t>
      </w:r>
      <w:r w:rsidRPr="00192EC4">
        <w:rPr>
          <w:rFonts w:ascii="Arial" w:hAnsi="Arial" w:cs="Arial"/>
          <w:sz w:val="24"/>
          <w:szCs w:val="24"/>
        </w:rPr>
        <w:t xml:space="preserve"> The £15m Low Carbon Fund is managed by CBRE Ltd on behalf of the GMCA. The Fund was established to promote the production and distribution of energy derived from renewable resources in the region.</w:t>
      </w:r>
    </w:p>
    <w:p w14:paraId="24710C88" w14:textId="77777777" w:rsidR="00BE35F9" w:rsidRPr="00192EC4" w:rsidRDefault="00BE35F9" w:rsidP="006F1659">
      <w:pPr>
        <w:pStyle w:val="ListParagraph"/>
        <w:spacing w:after="0" w:line="360" w:lineRule="auto"/>
        <w:ind w:left="0"/>
        <w:jc w:val="both"/>
        <w:rPr>
          <w:rFonts w:cs="Arial"/>
          <w:snapToGrid w:val="0"/>
          <w:sz w:val="24"/>
        </w:rPr>
      </w:pPr>
    </w:p>
    <w:bookmarkEnd w:id="13"/>
    <w:p w14:paraId="67394F38" w14:textId="7F565A45" w:rsidR="00BE35F9" w:rsidRPr="00192EC4" w:rsidRDefault="00BE35F9" w:rsidP="00201027">
      <w:pPr>
        <w:spacing w:line="360" w:lineRule="auto"/>
        <w:rPr>
          <w:rFonts w:ascii="Arial" w:hAnsi="Arial" w:cs="Arial"/>
          <w:b/>
          <w:bCs/>
        </w:rPr>
      </w:pPr>
      <w:r w:rsidRPr="00192EC4">
        <w:rPr>
          <w:rFonts w:ascii="Arial" w:hAnsi="Arial" w:cs="Arial"/>
          <w:b/>
          <w:bCs/>
        </w:rPr>
        <w:t xml:space="preserve">GMCA General </w:t>
      </w:r>
      <w:r w:rsidR="000E36EC">
        <w:rPr>
          <w:rFonts w:ascii="Arial" w:hAnsi="Arial" w:cs="Arial"/>
          <w:b/>
          <w:bCs/>
        </w:rPr>
        <w:t>–</w:t>
      </w:r>
      <w:r w:rsidRPr="00192EC4">
        <w:rPr>
          <w:rFonts w:ascii="Arial" w:hAnsi="Arial" w:cs="Arial"/>
          <w:b/>
          <w:bCs/>
        </w:rPr>
        <w:t xml:space="preserve"> Economic</w:t>
      </w:r>
      <w:r w:rsidR="000E36EC">
        <w:rPr>
          <w:rFonts w:ascii="Arial" w:hAnsi="Arial" w:cs="Arial"/>
          <w:b/>
          <w:bCs/>
        </w:rPr>
        <w:t>,</w:t>
      </w:r>
      <w:r w:rsidRPr="00192EC4">
        <w:rPr>
          <w:rFonts w:ascii="Arial" w:hAnsi="Arial" w:cs="Arial"/>
          <w:b/>
          <w:bCs/>
        </w:rPr>
        <w:t xml:space="preserve"> Development and Regeneration</w:t>
      </w:r>
    </w:p>
    <w:p w14:paraId="1CA0FA54" w14:textId="77777777" w:rsidR="00BE35F9" w:rsidRPr="00192EC4" w:rsidRDefault="00BE35F9" w:rsidP="006F1659">
      <w:pPr>
        <w:spacing w:line="360" w:lineRule="auto"/>
        <w:jc w:val="both"/>
        <w:rPr>
          <w:rFonts w:ascii="Arial" w:hAnsi="Arial" w:cs="Arial"/>
          <w:b/>
          <w:bCs/>
        </w:rPr>
      </w:pPr>
    </w:p>
    <w:p w14:paraId="66B019F7" w14:textId="6F2CF854" w:rsidR="00BE35F9" w:rsidRPr="00192EC4" w:rsidRDefault="00BE35F9" w:rsidP="006F1659">
      <w:pPr>
        <w:tabs>
          <w:tab w:val="left" w:pos="142"/>
        </w:tabs>
        <w:spacing w:line="360" w:lineRule="auto"/>
        <w:rPr>
          <w:rFonts w:ascii="Arial" w:hAnsi="Arial" w:cs="Arial"/>
          <w:snapToGrid w:val="0"/>
        </w:rPr>
      </w:pPr>
      <w:r w:rsidRPr="000E36EC">
        <w:rPr>
          <w:rFonts w:ascii="Arial" w:hAnsi="Arial" w:cs="Arial"/>
          <w:snapToGrid w:val="0"/>
        </w:rPr>
        <w:t>The GMCA General</w:t>
      </w:r>
      <w:r w:rsidR="000E36EC" w:rsidRPr="000E36EC">
        <w:rPr>
          <w:rFonts w:ascii="Arial" w:hAnsi="Arial" w:cs="Arial"/>
          <w:snapToGrid w:val="0"/>
        </w:rPr>
        <w:t xml:space="preserve"> budget includes</w:t>
      </w:r>
      <w:r w:rsidR="000E36EC">
        <w:rPr>
          <w:rFonts w:ascii="Arial" w:hAnsi="Arial" w:cs="Arial"/>
          <w:snapToGrid w:val="0"/>
        </w:rPr>
        <w:t xml:space="preserve"> corporate services and</w:t>
      </w:r>
      <w:r w:rsidR="000E36EC" w:rsidRPr="000E36EC">
        <w:rPr>
          <w:rFonts w:ascii="Arial" w:hAnsi="Arial" w:cs="Arial"/>
          <w:snapToGrid w:val="0"/>
        </w:rPr>
        <w:t xml:space="preserve"> </w:t>
      </w:r>
      <w:r w:rsidR="000E36EC">
        <w:rPr>
          <w:rFonts w:ascii="Arial" w:hAnsi="Arial" w:cs="Arial"/>
        </w:rPr>
        <w:t>e</w:t>
      </w:r>
      <w:r w:rsidR="000E36EC" w:rsidRPr="000E36EC">
        <w:rPr>
          <w:rFonts w:ascii="Arial" w:hAnsi="Arial" w:cs="Arial"/>
        </w:rPr>
        <w:t xml:space="preserve">conomic, </w:t>
      </w:r>
      <w:r w:rsidR="000E36EC">
        <w:rPr>
          <w:rFonts w:ascii="Arial" w:hAnsi="Arial" w:cs="Arial"/>
        </w:rPr>
        <w:t>d</w:t>
      </w:r>
      <w:r w:rsidR="000E36EC" w:rsidRPr="000E36EC">
        <w:rPr>
          <w:rFonts w:ascii="Arial" w:hAnsi="Arial" w:cs="Arial"/>
        </w:rPr>
        <w:t xml:space="preserve">evelopment and </w:t>
      </w:r>
      <w:r w:rsidR="000E36EC">
        <w:rPr>
          <w:rFonts w:ascii="Arial" w:hAnsi="Arial" w:cs="Arial"/>
        </w:rPr>
        <w:t>r</w:t>
      </w:r>
      <w:r w:rsidR="000E36EC" w:rsidRPr="000E36EC">
        <w:rPr>
          <w:rFonts w:ascii="Arial" w:hAnsi="Arial" w:cs="Arial"/>
        </w:rPr>
        <w:t>egeneration</w:t>
      </w:r>
      <w:r w:rsidR="000E36EC" w:rsidRPr="000E36EC">
        <w:rPr>
          <w:rFonts w:ascii="Arial" w:hAnsi="Arial" w:cs="Arial"/>
          <w:snapToGrid w:val="0"/>
        </w:rPr>
        <w:t xml:space="preserve"> functions.  The original budget </w:t>
      </w:r>
      <w:r w:rsidRPr="000E36EC">
        <w:rPr>
          <w:rFonts w:ascii="Arial" w:hAnsi="Arial" w:cs="Arial"/>
          <w:snapToGrid w:val="0"/>
        </w:rPr>
        <w:t>approved in February 2022 was £242.6m.</w:t>
      </w:r>
      <w:r w:rsidRPr="00192EC4">
        <w:rPr>
          <w:rFonts w:ascii="Arial" w:hAnsi="Arial" w:cs="Arial"/>
          <w:snapToGrid w:val="0"/>
        </w:rPr>
        <w:t xml:space="preserve"> Throughout the financial year as part of the quarterly update reports the budget has been revised to reflect changes in funding leading to an increase in funding of £27.5m by the end of the financial year. </w:t>
      </w:r>
    </w:p>
    <w:p w14:paraId="0CE11471" w14:textId="77777777" w:rsidR="00BE35F9" w:rsidRPr="00192EC4" w:rsidRDefault="00BE35F9" w:rsidP="006F1659">
      <w:pPr>
        <w:tabs>
          <w:tab w:val="left" w:pos="142"/>
        </w:tabs>
        <w:spacing w:line="360" w:lineRule="auto"/>
        <w:rPr>
          <w:rFonts w:ascii="Arial" w:hAnsi="Arial" w:cs="Arial"/>
          <w:snapToGrid w:val="0"/>
        </w:rPr>
      </w:pPr>
    </w:p>
    <w:tbl>
      <w:tblPr>
        <w:tblW w:w="7718" w:type="dxa"/>
        <w:tblLook w:val="04A0" w:firstRow="1" w:lastRow="0" w:firstColumn="1" w:lastColumn="0" w:noHBand="0" w:noVBand="1"/>
      </w:tblPr>
      <w:tblGrid>
        <w:gridCol w:w="3425"/>
        <w:gridCol w:w="1236"/>
        <w:gridCol w:w="1408"/>
        <w:gridCol w:w="1408"/>
        <w:gridCol w:w="241"/>
      </w:tblGrid>
      <w:tr w:rsidR="00837502" w14:paraId="52F87E4B" w14:textId="77777777" w:rsidTr="006E0BF0">
        <w:trPr>
          <w:gridAfter w:val="1"/>
          <w:wAfter w:w="241" w:type="dxa"/>
          <w:trHeight w:val="345"/>
        </w:trPr>
        <w:tc>
          <w:tcPr>
            <w:tcW w:w="3425" w:type="dxa"/>
            <w:vMerge w:val="restart"/>
            <w:tcBorders>
              <w:top w:val="single" w:sz="8" w:space="0" w:color="auto"/>
              <w:left w:val="single" w:sz="8" w:space="0" w:color="auto"/>
              <w:bottom w:val="single" w:sz="4" w:space="0" w:color="000000"/>
              <w:right w:val="single" w:sz="4" w:space="0" w:color="auto"/>
            </w:tcBorders>
            <w:shd w:val="clear" w:color="000000" w:fill="BFBFBF"/>
            <w:hideMark/>
          </w:tcPr>
          <w:p w14:paraId="008479B8" w14:textId="77777777" w:rsidR="00837502" w:rsidRDefault="00837502" w:rsidP="006F1659">
            <w:pPr>
              <w:spacing w:line="360" w:lineRule="auto"/>
              <w:rPr>
                <w:rFonts w:ascii="Arial" w:hAnsi="Arial" w:cs="Arial"/>
                <w:b/>
                <w:bCs/>
                <w:sz w:val="20"/>
                <w:szCs w:val="20"/>
                <w:lang w:eastAsia="en-GB"/>
              </w:rPr>
            </w:pPr>
            <w:r>
              <w:rPr>
                <w:rFonts w:ascii="Arial" w:hAnsi="Arial" w:cs="Arial"/>
                <w:b/>
                <w:bCs/>
                <w:sz w:val="20"/>
                <w:szCs w:val="20"/>
              </w:rPr>
              <w:t>GMCA Revenue General Budget 2022/23 Provisional Outturn</w:t>
            </w:r>
          </w:p>
        </w:tc>
        <w:tc>
          <w:tcPr>
            <w:tcW w:w="1236" w:type="dxa"/>
            <w:vMerge w:val="restart"/>
            <w:tcBorders>
              <w:top w:val="single" w:sz="8" w:space="0" w:color="auto"/>
              <w:left w:val="single" w:sz="4" w:space="0" w:color="auto"/>
              <w:bottom w:val="single" w:sz="4" w:space="0" w:color="000000"/>
              <w:right w:val="single" w:sz="4" w:space="0" w:color="auto"/>
            </w:tcBorders>
            <w:shd w:val="clear" w:color="000000" w:fill="BFBFBF"/>
            <w:hideMark/>
          </w:tcPr>
          <w:p w14:paraId="753E2EBB"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xml:space="preserve"> Original Budget </w:t>
            </w:r>
          </w:p>
        </w:tc>
        <w:tc>
          <w:tcPr>
            <w:tcW w:w="1408" w:type="dxa"/>
            <w:vMerge w:val="restart"/>
            <w:tcBorders>
              <w:top w:val="single" w:sz="8" w:space="0" w:color="auto"/>
              <w:left w:val="single" w:sz="4" w:space="0" w:color="auto"/>
              <w:bottom w:val="single" w:sz="4" w:space="0" w:color="000000"/>
              <w:right w:val="single" w:sz="4" w:space="0" w:color="auto"/>
            </w:tcBorders>
            <w:shd w:val="clear" w:color="000000" w:fill="BFBFBF"/>
            <w:hideMark/>
          </w:tcPr>
          <w:p w14:paraId="6D93A030"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xml:space="preserve"> Provisional Outturn </w:t>
            </w:r>
          </w:p>
        </w:tc>
        <w:tc>
          <w:tcPr>
            <w:tcW w:w="1408" w:type="dxa"/>
            <w:vMerge w:val="restart"/>
            <w:tcBorders>
              <w:top w:val="single" w:sz="8" w:space="0" w:color="auto"/>
              <w:left w:val="single" w:sz="4" w:space="0" w:color="auto"/>
              <w:bottom w:val="single" w:sz="4" w:space="0" w:color="000000"/>
              <w:right w:val="single" w:sz="8" w:space="0" w:color="auto"/>
            </w:tcBorders>
            <w:shd w:val="clear" w:color="000000" w:fill="BFBFBF"/>
            <w:hideMark/>
          </w:tcPr>
          <w:p w14:paraId="5375382A"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xml:space="preserve"> Provisional Variance </w:t>
            </w:r>
          </w:p>
        </w:tc>
      </w:tr>
      <w:tr w:rsidR="00837502" w14:paraId="47049228" w14:textId="77777777" w:rsidTr="006E0BF0">
        <w:trPr>
          <w:trHeight w:val="279"/>
        </w:trPr>
        <w:tc>
          <w:tcPr>
            <w:tcW w:w="3425" w:type="dxa"/>
            <w:vMerge/>
            <w:tcBorders>
              <w:top w:val="single" w:sz="8" w:space="0" w:color="auto"/>
              <w:left w:val="single" w:sz="8" w:space="0" w:color="auto"/>
              <w:bottom w:val="single" w:sz="4" w:space="0" w:color="000000"/>
              <w:right w:val="single" w:sz="4" w:space="0" w:color="auto"/>
            </w:tcBorders>
            <w:vAlign w:val="center"/>
            <w:hideMark/>
          </w:tcPr>
          <w:p w14:paraId="2211F7B0" w14:textId="77777777" w:rsidR="00837502" w:rsidRDefault="00837502" w:rsidP="006F1659">
            <w:pPr>
              <w:spacing w:line="360" w:lineRule="auto"/>
              <w:rPr>
                <w:rFonts w:ascii="Arial" w:hAnsi="Arial" w:cs="Arial"/>
                <w:b/>
                <w:bCs/>
                <w:sz w:val="20"/>
                <w:szCs w:val="20"/>
              </w:rPr>
            </w:pPr>
          </w:p>
        </w:tc>
        <w:tc>
          <w:tcPr>
            <w:tcW w:w="1236" w:type="dxa"/>
            <w:vMerge/>
            <w:tcBorders>
              <w:top w:val="single" w:sz="8" w:space="0" w:color="auto"/>
              <w:left w:val="single" w:sz="4" w:space="0" w:color="auto"/>
              <w:bottom w:val="single" w:sz="4" w:space="0" w:color="000000"/>
              <w:right w:val="single" w:sz="4" w:space="0" w:color="auto"/>
            </w:tcBorders>
            <w:vAlign w:val="center"/>
            <w:hideMark/>
          </w:tcPr>
          <w:p w14:paraId="2657D8C1" w14:textId="77777777" w:rsidR="00837502" w:rsidRDefault="00837502" w:rsidP="006F1659">
            <w:pPr>
              <w:spacing w:line="360" w:lineRule="auto"/>
              <w:rPr>
                <w:rFonts w:ascii="Arial" w:hAnsi="Arial" w:cs="Arial"/>
                <w:b/>
                <w:bCs/>
                <w:sz w:val="20"/>
                <w:szCs w:val="20"/>
              </w:rPr>
            </w:pPr>
          </w:p>
        </w:tc>
        <w:tc>
          <w:tcPr>
            <w:tcW w:w="1408" w:type="dxa"/>
            <w:vMerge/>
            <w:tcBorders>
              <w:top w:val="single" w:sz="8" w:space="0" w:color="auto"/>
              <w:left w:val="single" w:sz="4" w:space="0" w:color="auto"/>
              <w:bottom w:val="single" w:sz="4" w:space="0" w:color="000000"/>
              <w:right w:val="single" w:sz="4" w:space="0" w:color="auto"/>
            </w:tcBorders>
            <w:vAlign w:val="center"/>
            <w:hideMark/>
          </w:tcPr>
          <w:p w14:paraId="13233856" w14:textId="77777777" w:rsidR="00837502" w:rsidRDefault="00837502" w:rsidP="006F1659">
            <w:pPr>
              <w:spacing w:line="360" w:lineRule="auto"/>
              <w:rPr>
                <w:rFonts w:ascii="Arial" w:hAnsi="Arial" w:cs="Arial"/>
                <w:b/>
                <w:bCs/>
                <w:sz w:val="20"/>
                <w:szCs w:val="20"/>
              </w:rPr>
            </w:pPr>
          </w:p>
        </w:tc>
        <w:tc>
          <w:tcPr>
            <w:tcW w:w="1408" w:type="dxa"/>
            <w:vMerge/>
            <w:tcBorders>
              <w:top w:val="single" w:sz="8" w:space="0" w:color="auto"/>
              <w:left w:val="single" w:sz="4" w:space="0" w:color="auto"/>
              <w:bottom w:val="single" w:sz="4" w:space="0" w:color="000000"/>
              <w:right w:val="single" w:sz="8" w:space="0" w:color="auto"/>
            </w:tcBorders>
            <w:vAlign w:val="center"/>
            <w:hideMark/>
          </w:tcPr>
          <w:p w14:paraId="4934F503" w14:textId="77777777" w:rsidR="00837502" w:rsidRDefault="00837502" w:rsidP="006F1659">
            <w:pPr>
              <w:spacing w:line="360" w:lineRule="auto"/>
              <w:rPr>
                <w:rFonts w:ascii="Arial" w:hAnsi="Arial" w:cs="Arial"/>
                <w:b/>
                <w:bCs/>
                <w:sz w:val="20"/>
                <w:szCs w:val="20"/>
              </w:rPr>
            </w:pPr>
          </w:p>
        </w:tc>
        <w:tc>
          <w:tcPr>
            <w:tcW w:w="241" w:type="dxa"/>
            <w:tcBorders>
              <w:top w:val="nil"/>
              <w:left w:val="nil"/>
              <w:bottom w:val="nil"/>
              <w:right w:val="nil"/>
            </w:tcBorders>
            <w:shd w:val="clear" w:color="auto" w:fill="auto"/>
            <w:noWrap/>
            <w:vAlign w:val="bottom"/>
            <w:hideMark/>
          </w:tcPr>
          <w:p w14:paraId="0FA84FA8" w14:textId="77777777" w:rsidR="00837502" w:rsidRDefault="00837502" w:rsidP="006F1659">
            <w:pPr>
              <w:spacing w:line="360" w:lineRule="auto"/>
              <w:jc w:val="center"/>
              <w:rPr>
                <w:rFonts w:ascii="Arial" w:hAnsi="Arial" w:cs="Arial"/>
                <w:b/>
                <w:bCs/>
                <w:sz w:val="20"/>
                <w:szCs w:val="20"/>
              </w:rPr>
            </w:pPr>
          </w:p>
        </w:tc>
      </w:tr>
      <w:tr w:rsidR="00837502" w14:paraId="66338D29" w14:textId="77777777" w:rsidTr="006E0BF0">
        <w:trPr>
          <w:trHeight w:val="279"/>
        </w:trPr>
        <w:tc>
          <w:tcPr>
            <w:tcW w:w="3425" w:type="dxa"/>
            <w:tcBorders>
              <w:top w:val="nil"/>
              <w:left w:val="single" w:sz="8" w:space="0" w:color="auto"/>
              <w:bottom w:val="nil"/>
              <w:right w:val="nil"/>
            </w:tcBorders>
            <w:shd w:val="clear" w:color="auto" w:fill="auto"/>
            <w:noWrap/>
            <w:vAlign w:val="bottom"/>
            <w:hideMark/>
          </w:tcPr>
          <w:p w14:paraId="1567F63B" w14:textId="77777777" w:rsidR="00837502" w:rsidRDefault="00837502" w:rsidP="006F1659">
            <w:pPr>
              <w:spacing w:line="360" w:lineRule="auto"/>
              <w:rPr>
                <w:rFonts w:ascii="Arial" w:hAnsi="Arial" w:cs="Arial"/>
                <w:sz w:val="20"/>
                <w:szCs w:val="20"/>
              </w:rPr>
            </w:pPr>
            <w:r>
              <w:rPr>
                <w:rFonts w:ascii="Arial" w:hAnsi="Arial" w:cs="Arial"/>
                <w:sz w:val="20"/>
                <w:szCs w:val="20"/>
              </w:rPr>
              <w:t> </w:t>
            </w:r>
          </w:p>
        </w:tc>
        <w:tc>
          <w:tcPr>
            <w:tcW w:w="1236" w:type="dxa"/>
            <w:tcBorders>
              <w:top w:val="nil"/>
              <w:left w:val="single" w:sz="4" w:space="0" w:color="auto"/>
              <w:bottom w:val="nil"/>
              <w:right w:val="single" w:sz="4" w:space="0" w:color="auto"/>
            </w:tcBorders>
            <w:shd w:val="clear" w:color="auto" w:fill="auto"/>
            <w:noWrap/>
            <w:vAlign w:val="bottom"/>
            <w:hideMark/>
          </w:tcPr>
          <w:p w14:paraId="505DE5E9"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xml:space="preserve"> £000 </w:t>
            </w:r>
          </w:p>
        </w:tc>
        <w:tc>
          <w:tcPr>
            <w:tcW w:w="1408" w:type="dxa"/>
            <w:tcBorders>
              <w:top w:val="nil"/>
              <w:left w:val="nil"/>
              <w:bottom w:val="nil"/>
              <w:right w:val="single" w:sz="4" w:space="0" w:color="auto"/>
            </w:tcBorders>
            <w:shd w:val="clear" w:color="auto" w:fill="auto"/>
            <w:noWrap/>
            <w:vAlign w:val="bottom"/>
            <w:hideMark/>
          </w:tcPr>
          <w:p w14:paraId="3D4A097D"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xml:space="preserve"> £000 </w:t>
            </w:r>
          </w:p>
        </w:tc>
        <w:tc>
          <w:tcPr>
            <w:tcW w:w="1408" w:type="dxa"/>
            <w:tcBorders>
              <w:top w:val="nil"/>
              <w:left w:val="nil"/>
              <w:bottom w:val="nil"/>
              <w:right w:val="single" w:sz="8" w:space="0" w:color="auto"/>
            </w:tcBorders>
            <w:shd w:val="clear" w:color="auto" w:fill="auto"/>
            <w:noWrap/>
            <w:vAlign w:val="bottom"/>
            <w:hideMark/>
          </w:tcPr>
          <w:p w14:paraId="5C5AE530"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xml:space="preserve"> £000 </w:t>
            </w:r>
          </w:p>
        </w:tc>
        <w:tc>
          <w:tcPr>
            <w:tcW w:w="241" w:type="dxa"/>
            <w:vAlign w:val="center"/>
            <w:hideMark/>
          </w:tcPr>
          <w:p w14:paraId="2617480B" w14:textId="77777777" w:rsidR="00837502" w:rsidRDefault="00837502" w:rsidP="006F1659">
            <w:pPr>
              <w:spacing w:line="360" w:lineRule="auto"/>
              <w:rPr>
                <w:sz w:val="20"/>
                <w:szCs w:val="20"/>
              </w:rPr>
            </w:pPr>
          </w:p>
        </w:tc>
      </w:tr>
      <w:tr w:rsidR="00837502" w14:paraId="3091F507" w14:textId="77777777" w:rsidTr="006E0BF0">
        <w:trPr>
          <w:trHeight w:val="279"/>
        </w:trPr>
        <w:tc>
          <w:tcPr>
            <w:tcW w:w="3425" w:type="dxa"/>
            <w:tcBorders>
              <w:top w:val="nil"/>
              <w:left w:val="single" w:sz="8" w:space="0" w:color="auto"/>
              <w:bottom w:val="nil"/>
              <w:right w:val="nil"/>
            </w:tcBorders>
            <w:shd w:val="clear" w:color="auto" w:fill="auto"/>
            <w:noWrap/>
            <w:vAlign w:val="bottom"/>
            <w:hideMark/>
          </w:tcPr>
          <w:p w14:paraId="62BB3C74" w14:textId="77777777" w:rsidR="00837502" w:rsidRDefault="00837502" w:rsidP="006F1659">
            <w:pPr>
              <w:spacing w:line="360" w:lineRule="auto"/>
              <w:rPr>
                <w:rFonts w:ascii="Arial" w:hAnsi="Arial" w:cs="Arial"/>
                <w:b/>
                <w:bCs/>
                <w:sz w:val="20"/>
                <w:szCs w:val="20"/>
              </w:rPr>
            </w:pPr>
            <w:r>
              <w:rPr>
                <w:rFonts w:ascii="Arial" w:hAnsi="Arial" w:cs="Arial"/>
                <w:b/>
                <w:bCs/>
                <w:sz w:val="20"/>
                <w:szCs w:val="20"/>
              </w:rPr>
              <w:t>Expenditure:</w:t>
            </w:r>
          </w:p>
        </w:tc>
        <w:tc>
          <w:tcPr>
            <w:tcW w:w="1236" w:type="dxa"/>
            <w:tcBorders>
              <w:top w:val="nil"/>
              <w:left w:val="single" w:sz="4" w:space="0" w:color="auto"/>
              <w:bottom w:val="nil"/>
              <w:right w:val="single" w:sz="4" w:space="0" w:color="auto"/>
            </w:tcBorders>
            <w:shd w:val="clear" w:color="auto" w:fill="auto"/>
            <w:noWrap/>
            <w:vAlign w:val="bottom"/>
            <w:hideMark/>
          </w:tcPr>
          <w:p w14:paraId="440B10D2"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w:t>
            </w:r>
          </w:p>
        </w:tc>
        <w:tc>
          <w:tcPr>
            <w:tcW w:w="1408" w:type="dxa"/>
            <w:tcBorders>
              <w:top w:val="nil"/>
              <w:left w:val="nil"/>
              <w:bottom w:val="nil"/>
              <w:right w:val="single" w:sz="4" w:space="0" w:color="auto"/>
            </w:tcBorders>
            <w:shd w:val="clear" w:color="auto" w:fill="auto"/>
            <w:noWrap/>
            <w:vAlign w:val="bottom"/>
            <w:hideMark/>
          </w:tcPr>
          <w:p w14:paraId="77912A98"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w:t>
            </w:r>
          </w:p>
        </w:tc>
        <w:tc>
          <w:tcPr>
            <w:tcW w:w="1408" w:type="dxa"/>
            <w:tcBorders>
              <w:top w:val="nil"/>
              <w:left w:val="nil"/>
              <w:bottom w:val="nil"/>
              <w:right w:val="single" w:sz="8" w:space="0" w:color="auto"/>
            </w:tcBorders>
            <w:shd w:val="clear" w:color="auto" w:fill="auto"/>
            <w:noWrap/>
            <w:vAlign w:val="bottom"/>
            <w:hideMark/>
          </w:tcPr>
          <w:p w14:paraId="171BEF0D" w14:textId="77777777" w:rsidR="00837502" w:rsidRDefault="00837502" w:rsidP="006F1659">
            <w:pPr>
              <w:spacing w:line="360" w:lineRule="auto"/>
              <w:jc w:val="center"/>
              <w:rPr>
                <w:rFonts w:ascii="Arial" w:hAnsi="Arial" w:cs="Arial"/>
                <w:b/>
                <w:bCs/>
                <w:sz w:val="20"/>
                <w:szCs w:val="20"/>
              </w:rPr>
            </w:pPr>
            <w:r>
              <w:rPr>
                <w:rFonts w:ascii="Arial" w:hAnsi="Arial" w:cs="Arial"/>
                <w:b/>
                <w:bCs/>
                <w:sz w:val="20"/>
                <w:szCs w:val="20"/>
              </w:rPr>
              <w:t> </w:t>
            </w:r>
          </w:p>
        </w:tc>
        <w:tc>
          <w:tcPr>
            <w:tcW w:w="241" w:type="dxa"/>
            <w:vAlign w:val="center"/>
            <w:hideMark/>
          </w:tcPr>
          <w:p w14:paraId="25AE7381" w14:textId="77777777" w:rsidR="00837502" w:rsidRDefault="00837502" w:rsidP="006F1659">
            <w:pPr>
              <w:spacing w:line="360" w:lineRule="auto"/>
              <w:rPr>
                <w:sz w:val="20"/>
                <w:szCs w:val="20"/>
              </w:rPr>
            </w:pPr>
          </w:p>
        </w:tc>
      </w:tr>
      <w:tr w:rsidR="00837502" w14:paraId="447F856F" w14:textId="77777777" w:rsidTr="006E0BF0">
        <w:trPr>
          <w:trHeight w:val="279"/>
        </w:trPr>
        <w:tc>
          <w:tcPr>
            <w:tcW w:w="3425" w:type="dxa"/>
            <w:tcBorders>
              <w:top w:val="nil"/>
              <w:left w:val="single" w:sz="8" w:space="0" w:color="auto"/>
              <w:bottom w:val="nil"/>
              <w:right w:val="nil"/>
            </w:tcBorders>
            <w:shd w:val="clear" w:color="auto" w:fill="auto"/>
            <w:noWrap/>
            <w:hideMark/>
          </w:tcPr>
          <w:p w14:paraId="6A71ED39" w14:textId="77777777" w:rsidR="00837502" w:rsidRDefault="00837502" w:rsidP="006F1659">
            <w:pPr>
              <w:spacing w:line="360" w:lineRule="auto"/>
              <w:rPr>
                <w:rFonts w:ascii="Arial" w:hAnsi="Arial" w:cs="Arial"/>
                <w:sz w:val="20"/>
                <w:szCs w:val="20"/>
              </w:rPr>
            </w:pPr>
            <w:r>
              <w:rPr>
                <w:rFonts w:ascii="Arial" w:hAnsi="Arial" w:cs="Arial"/>
                <w:sz w:val="20"/>
                <w:szCs w:val="20"/>
              </w:rPr>
              <w:t>GMCA Corporate</w:t>
            </w:r>
          </w:p>
        </w:tc>
        <w:tc>
          <w:tcPr>
            <w:tcW w:w="1236" w:type="dxa"/>
            <w:tcBorders>
              <w:top w:val="nil"/>
              <w:left w:val="single" w:sz="4" w:space="0" w:color="auto"/>
              <w:bottom w:val="nil"/>
              <w:right w:val="single" w:sz="4" w:space="0" w:color="auto"/>
            </w:tcBorders>
            <w:shd w:val="clear" w:color="auto" w:fill="auto"/>
            <w:hideMark/>
          </w:tcPr>
          <w:p w14:paraId="2FA6A230"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20,965</w:t>
            </w:r>
          </w:p>
        </w:tc>
        <w:tc>
          <w:tcPr>
            <w:tcW w:w="1408" w:type="dxa"/>
            <w:tcBorders>
              <w:top w:val="nil"/>
              <w:left w:val="nil"/>
              <w:bottom w:val="nil"/>
              <w:right w:val="nil"/>
            </w:tcBorders>
            <w:shd w:val="clear" w:color="auto" w:fill="auto"/>
            <w:noWrap/>
            <w:hideMark/>
          </w:tcPr>
          <w:p w14:paraId="26A8D64B"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22,952</w:t>
            </w:r>
          </w:p>
        </w:tc>
        <w:tc>
          <w:tcPr>
            <w:tcW w:w="1408" w:type="dxa"/>
            <w:tcBorders>
              <w:top w:val="nil"/>
              <w:left w:val="single" w:sz="4" w:space="0" w:color="auto"/>
              <w:bottom w:val="nil"/>
              <w:right w:val="single" w:sz="8" w:space="0" w:color="auto"/>
            </w:tcBorders>
            <w:shd w:val="clear" w:color="auto" w:fill="auto"/>
            <w:hideMark/>
          </w:tcPr>
          <w:p w14:paraId="3631C055"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1,987</w:t>
            </w:r>
          </w:p>
        </w:tc>
        <w:tc>
          <w:tcPr>
            <w:tcW w:w="241" w:type="dxa"/>
            <w:vAlign w:val="center"/>
            <w:hideMark/>
          </w:tcPr>
          <w:p w14:paraId="2DAC427D" w14:textId="77777777" w:rsidR="00837502" w:rsidRDefault="00837502" w:rsidP="006F1659">
            <w:pPr>
              <w:spacing w:line="360" w:lineRule="auto"/>
              <w:rPr>
                <w:sz w:val="20"/>
                <w:szCs w:val="20"/>
              </w:rPr>
            </w:pPr>
          </w:p>
        </w:tc>
      </w:tr>
      <w:tr w:rsidR="00837502" w14:paraId="662CBB8F" w14:textId="77777777" w:rsidTr="006E0BF0">
        <w:trPr>
          <w:trHeight w:val="279"/>
        </w:trPr>
        <w:tc>
          <w:tcPr>
            <w:tcW w:w="3425" w:type="dxa"/>
            <w:tcBorders>
              <w:top w:val="nil"/>
              <w:left w:val="single" w:sz="8" w:space="0" w:color="auto"/>
              <w:bottom w:val="nil"/>
              <w:right w:val="nil"/>
            </w:tcBorders>
            <w:shd w:val="clear" w:color="auto" w:fill="auto"/>
            <w:noWrap/>
            <w:hideMark/>
          </w:tcPr>
          <w:p w14:paraId="6B2ECCDC" w14:textId="77777777" w:rsidR="00837502" w:rsidRDefault="00837502" w:rsidP="006F1659">
            <w:pPr>
              <w:spacing w:line="360" w:lineRule="auto"/>
              <w:rPr>
                <w:rFonts w:ascii="Arial" w:hAnsi="Arial" w:cs="Arial"/>
                <w:sz w:val="20"/>
                <w:szCs w:val="20"/>
              </w:rPr>
            </w:pPr>
            <w:r>
              <w:rPr>
                <w:rFonts w:ascii="Arial" w:hAnsi="Arial" w:cs="Arial"/>
                <w:sz w:val="20"/>
                <w:szCs w:val="20"/>
              </w:rPr>
              <w:t>Core Investment Team</w:t>
            </w:r>
          </w:p>
        </w:tc>
        <w:tc>
          <w:tcPr>
            <w:tcW w:w="1236" w:type="dxa"/>
            <w:tcBorders>
              <w:top w:val="nil"/>
              <w:left w:val="single" w:sz="4" w:space="0" w:color="auto"/>
              <w:bottom w:val="nil"/>
              <w:right w:val="single" w:sz="4" w:space="0" w:color="auto"/>
            </w:tcBorders>
            <w:shd w:val="clear" w:color="auto" w:fill="auto"/>
            <w:hideMark/>
          </w:tcPr>
          <w:p w14:paraId="7D761672"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6,355</w:t>
            </w:r>
          </w:p>
        </w:tc>
        <w:tc>
          <w:tcPr>
            <w:tcW w:w="1408" w:type="dxa"/>
            <w:tcBorders>
              <w:top w:val="nil"/>
              <w:left w:val="nil"/>
              <w:bottom w:val="nil"/>
              <w:right w:val="nil"/>
            </w:tcBorders>
            <w:shd w:val="clear" w:color="auto" w:fill="auto"/>
            <w:noWrap/>
            <w:hideMark/>
          </w:tcPr>
          <w:p w14:paraId="3647FD70"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10,364</w:t>
            </w:r>
          </w:p>
        </w:tc>
        <w:tc>
          <w:tcPr>
            <w:tcW w:w="1408" w:type="dxa"/>
            <w:tcBorders>
              <w:top w:val="nil"/>
              <w:left w:val="single" w:sz="4" w:space="0" w:color="auto"/>
              <w:bottom w:val="nil"/>
              <w:right w:val="single" w:sz="8" w:space="0" w:color="auto"/>
            </w:tcBorders>
            <w:shd w:val="clear" w:color="auto" w:fill="auto"/>
            <w:hideMark/>
          </w:tcPr>
          <w:p w14:paraId="02D28C6E"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4,009</w:t>
            </w:r>
          </w:p>
        </w:tc>
        <w:tc>
          <w:tcPr>
            <w:tcW w:w="241" w:type="dxa"/>
            <w:vAlign w:val="center"/>
            <w:hideMark/>
          </w:tcPr>
          <w:p w14:paraId="62620A29" w14:textId="77777777" w:rsidR="00837502" w:rsidRDefault="00837502" w:rsidP="006F1659">
            <w:pPr>
              <w:spacing w:line="360" w:lineRule="auto"/>
              <w:rPr>
                <w:sz w:val="20"/>
                <w:szCs w:val="20"/>
              </w:rPr>
            </w:pPr>
          </w:p>
        </w:tc>
      </w:tr>
      <w:tr w:rsidR="00837502" w14:paraId="2C1A6E2E" w14:textId="77777777" w:rsidTr="006E0BF0">
        <w:trPr>
          <w:trHeight w:val="279"/>
        </w:trPr>
        <w:tc>
          <w:tcPr>
            <w:tcW w:w="3425" w:type="dxa"/>
            <w:tcBorders>
              <w:top w:val="nil"/>
              <w:left w:val="single" w:sz="8" w:space="0" w:color="auto"/>
              <w:bottom w:val="nil"/>
              <w:right w:val="nil"/>
            </w:tcBorders>
            <w:shd w:val="clear" w:color="auto" w:fill="auto"/>
            <w:noWrap/>
            <w:hideMark/>
          </w:tcPr>
          <w:p w14:paraId="5D2446AC" w14:textId="77777777" w:rsidR="00837502" w:rsidRDefault="00837502" w:rsidP="006F1659">
            <w:pPr>
              <w:spacing w:line="360" w:lineRule="auto"/>
              <w:rPr>
                <w:rFonts w:ascii="Arial" w:hAnsi="Arial" w:cs="Arial"/>
                <w:sz w:val="20"/>
                <w:szCs w:val="20"/>
              </w:rPr>
            </w:pPr>
            <w:r>
              <w:rPr>
                <w:rFonts w:ascii="Arial" w:hAnsi="Arial" w:cs="Arial"/>
                <w:sz w:val="20"/>
                <w:szCs w:val="20"/>
              </w:rPr>
              <w:t>Digital</w:t>
            </w:r>
          </w:p>
        </w:tc>
        <w:tc>
          <w:tcPr>
            <w:tcW w:w="1236" w:type="dxa"/>
            <w:tcBorders>
              <w:top w:val="nil"/>
              <w:left w:val="single" w:sz="4" w:space="0" w:color="auto"/>
              <w:bottom w:val="nil"/>
              <w:right w:val="single" w:sz="4" w:space="0" w:color="auto"/>
            </w:tcBorders>
            <w:shd w:val="clear" w:color="auto" w:fill="auto"/>
            <w:hideMark/>
          </w:tcPr>
          <w:p w14:paraId="53B819A3"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2,597</w:t>
            </w:r>
          </w:p>
        </w:tc>
        <w:tc>
          <w:tcPr>
            <w:tcW w:w="1408" w:type="dxa"/>
            <w:tcBorders>
              <w:top w:val="nil"/>
              <w:left w:val="nil"/>
              <w:bottom w:val="nil"/>
              <w:right w:val="nil"/>
            </w:tcBorders>
            <w:shd w:val="clear" w:color="auto" w:fill="auto"/>
            <w:noWrap/>
            <w:hideMark/>
          </w:tcPr>
          <w:p w14:paraId="58BC644B"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3,172</w:t>
            </w:r>
          </w:p>
        </w:tc>
        <w:tc>
          <w:tcPr>
            <w:tcW w:w="1408" w:type="dxa"/>
            <w:tcBorders>
              <w:top w:val="nil"/>
              <w:left w:val="single" w:sz="4" w:space="0" w:color="auto"/>
              <w:bottom w:val="nil"/>
              <w:right w:val="single" w:sz="8" w:space="0" w:color="auto"/>
            </w:tcBorders>
            <w:shd w:val="clear" w:color="auto" w:fill="auto"/>
            <w:hideMark/>
          </w:tcPr>
          <w:p w14:paraId="4E608888"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575</w:t>
            </w:r>
          </w:p>
        </w:tc>
        <w:tc>
          <w:tcPr>
            <w:tcW w:w="241" w:type="dxa"/>
            <w:vAlign w:val="center"/>
            <w:hideMark/>
          </w:tcPr>
          <w:p w14:paraId="6862A9D6" w14:textId="77777777" w:rsidR="00837502" w:rsidRDefault="00837502" w:rsidP="006F1659">
            <w:pPr>
              <w:spacing w:line="360" w:lineRule="auto"/>
              <w:rPr>
                <w:sz w:val="20"/>
                <w:szCs w:val="20"/>
              </w:rPr>
            </w:pPr>
          </w:p>
        </w:tc>
      </w:tr>
      <w:tr w:rsidR="00837502" w14:paraId="5E4B73CE" w14:textId="77777777" w:rsidTr="006E0BF0">
        <w:trPr>
          <w:trHeight w:val="279"/>
        </w:trPr>
        <w:tc>
          <w:tcPr>
            <w:tcW w:w="3425" w:type="dxa"/>
            <w:tcBorders>
              <w:top w:val="nil"/>
              <w:left w:val="single" w:sz="8" w:space="0" w:color="auto"/>
              <w:bottom w:val="nil"/>
              <w:right w:val="nil"/>
            </w:tcBorders>
            <w:shd w:val="clear" w:color="auto" w:fill="auto"/>
            <w:noWrap/>
            <w:hideMark/>
          </w:tcPr>
          <w:p w14:paraId="0D01A2B8" w14:textId="77777777" w:rsidR="00837502" w:rsidRDefault="00837502" w:rsidP="006F1659">
            <w:pPr>
              <w:spacing w:line="360" w:lineRule="auto"/>
              <w:rPr>
                <w:rFonts w:ascii="Arial" w:hAnsi="Arial" w:cs="Arial"/>
                <w:sz w:val="20"/>
                <w:szCs w:val="20"/>
              </w:rPr>
            </w:pPr>
            <w:r>
              <w:rPr>
                <w:rFonts w:ascii="Arial" w:hAnsi="Arial" w:cs="Arial"/>
                <w:sz w:val="20"/>
                <w:szCs w:val="20"/>
              </w:rPr>
              <w:t>Economy</w:t>
            </w:r>
          </w:p>
        </w:tc>
        <w:tc>
          <w:tcPr>
            <w:tcW w:w="1236" w:type="dxa"/>
            <w:tcBorders>
              <w:top w:val="nil"/>
              <w:left w:val="single" w:sz="4" w:space="0" w:color="auto"/>
              <w:bottom w:val="nil"/>
              <w:right w:val="single" w:sz="4" w:space="0" w:color="auto"/>
            </w:tcBorders>
            <w:shd w:val="clear" w:color="auto" w:fill="auto"/>
            <w:hideMark/>
          </w:tcPr>
          <w:p w14:paraId="12CC35AD"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18,499</w:t>
            </w:r>
          </w:p>
        </w:tc>
        <w:tc>
          <w:tcPr>
            <w:tcW w:w="1408" w:type="dxa"/>
            <w:tcBorders>
              <w:top w:val="nil"/>
              <w:left w:val="nil"/>
              <w:bottom w:val="nil"/>
              <w:right w:val="nil"/>
            </w:tcBorders>
            <w:shd w:val="clear" w:color="auto" w:fill="auto"/>
            <w:noWrap/>
            <w:hideMark/>
          </w:tcPr>
          <w:p w14:paraId="3F33F69A"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15,450</w:t>
            </w:r>
          </w:p>
        </w:tc>
        <w:tc>
          <w:tcPr>
            <w:tcW w:w="1408" w:type="dxa"/>
            <w:tcBorders>
              <w:top w:val="nil"/>
              <w:left w:val="single" w:sz="4" w:space="0" w:color="auto"/>
              <w:bottom w:val="nil"/>
              <w:right w:val="single" w:sz="8" w:space="0" w:color="auto"/>
            </w:tcBorders>
            <w:shd w:val="clear" w:color="auto" w:fill="auto"/>
            <w:hideMark/>
          </w:tcPr>
          <w:p w14:paraId="47885A18"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-3,049</w:t>
            </w:r>
          </w:p>
        </w:tc>
        <w:tc>
          <w:tcPr>
            <w:tcW w:w="241" w:type="dxa"/>
            <w:vAlign w:val="center"/>
            <w:hideMark/>
          </w:tcPr>
          <w:p w14:paraId="54F536FD" w14:textId="77777777" w:rsidR="00837502" w:rsidRDefault="00837502" w:rsidP="006F1659">
            <w:pPr>
              <w:spacing w:line="360" w:lineRule="auto"/>
              <w:rPr>
                <w:sz w:val="20"/>
                <w:szCs w:val="20"/>
              </w:rPr>
            </w:pPr>
          </w:p>
        </w:tc>
      </w:tr>
      <w:tr w:rsidR="00837502" w14:paraId="47E47938" w14:textId="77777777" w:rsidTr="006E0BF0">
        <w:trPr>
          <w:trHeight w:val="279"/>
        </w:trPr>
        <w:tc>
          <w:tcPr>
            <w:tcW w:w="3425" w:type="dxa"/>
            <w:tcBorders>
              <w:top w:val="nil"/>
              <w:left w:val="single" w:sz="8" w:space="0" w:color="auto"/>
              <w:bottom w:val="nil"/>
              <w:right w:val="nil"/>
            </w:tcBorders>
            <w:shd w:val="clear" w:color="auto" w:fill="auto"/>
            <w:noWrap/>
            <w:hideMark/>
          </w:tcPr>
          <w:p w14:paraId="0FA69542" w14:textId="77777777" w:rsidR="00837502" w:rsidRDefault="00837502" w:rsidP="006F1659">
            <w:pPr>
              <w:spacing w:line="360" w:lineRule="auto"/>
              <w:rPr>
                <w:rFonts w:ascii="Arial" w:hAnsi="Arial" w:cs="Arial"/>
                <w:sz w:val="20"/>
                <w:szCs w:val="20"/>
              </w:rPr>
            </w:pPr>
            <w:r>
              <w:rPr>
                <w:rFonts w:ascii="Arial" w:hAnsi="Arial" w:cs="Arial"/>
                <w:sz w:val="20"/>
                <w:szCs w:val="20"/>
              </w:rPr>
              <w:t>Environment</w:t>
            </w:r>
          </w:p>
        </w:tc>
        <w:tc>
          <w:tcPr>
            <w:tcW w:w="1236" w:type="dxa"/>
            <w:tcBorders>
              <w:top w:val="nil"/>
              <w:left w:val="single" w:sz="4" w:space="0" w:color="auto"/>
              <w:bottom w:val="nil"/>
              <w:right w:val="single" w:sz="4" w:space="0" w:color="auto"/>
            </w:tcBorders>
            <w:shd w:val="clear" w:color="auto" w:fill="auto"/>
            <w:hideMark/>
          </w:tcPr>
          <w:p w14:paraId="04B8BC47"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758</w:t>
            </w:r>
          </w:p>
        </w:tc>
        <w:tc>
          <w:tcPr>
            <w:tcW w:w="1408" w:type="dxa"/>
            <w:tcBorders>
              <w:top w:val="nil"/>
              <w:left w:val="nil"/>
              <w:bottom w:val="nil"/>
              <w:right w:val="nil"/>
            </w:tcBorders>
            <w:shd w:val="clear" w:color="auto" w:fill="auto"/>
            <w:noWrap/>
            <w:hideMark/>
          </w:tcPr>
          <w:p w14:paraId="3E1BA538"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4,038</w:t>
            </w:r>
          </w:p>
        </w:tc>
        <w:tc>
          <w:tcPr>
            <w:tcW w:w="1408" w:type="dxa"/>
            <w:tcBorders>
              <w:top w:val="nil"/>
              <w:left w:val="single" w:sz="4" w:space="0" w:color="auto"/>
              <w:bottom w:val="nil"/>
              <w:right w:val="single" w:sz="8" w:space="0" w:color="auto"/>
            </w:tcBorders>
            <w:shd w:val="clear" w:color="auto" w:fill="auto"/>
            <w:hideMark/>
          </w:tcPr>
          <w:p w14:paraId="459E1C60"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3,280</w:t>
            </w:r>
          </w:p>
        </w:tc>
        <w:tc>
          <w:tcPr>
            <w:tcW w:w="241" w:type="dxa"/>
            <w:vAlign w:val="center"/>
            <w:hideMark/>
          </w:tcPr>
          <w:p w14:paraId="5DB37035" w14:textId="77777777" w:rsidR="00837502" w:rsidRDefault="00837502" w:rsidP="006F1659">
            <w:pPr>
              <w:spacing w:line="360" w:lineRule="auto"/>
              <w:rPr>
                <w:sz w:val="20"/>
                <w:szCs w:val="20"/>
              </w:rPr>
            </w:pPr>
          </w:p>
        </w:tc>
      </w:tr>
      <w:tr w:rsidR="00837502" w14:paraId="6550F1C2" w14:textId="77777777" w:rsidTr="006E0BF0">
        <w:trPr>
          <w:trHeight w:val="279"/>
        </w:trPr>
        <w:tc>
          <w:tcPr>
            <w:tcW w:w="3425" w:type="dxa"/>
            <w:tcBorders>
              <w:top w:val="nil"/>
              <w:left w:val="single" w:sz="8" w:space="0" w:color="auto"/>
              <w:bottom w:val="nil"/>
              <w:right w:val="nil"/>
            </w:tcBorders>
            <w:shd w:val="clear" w:color="auto" w:fill="auto"/>
            <w:noWrap/>
            <w:hideMark/>
          </w:tcPr>
          <w:p w14:paraId="230B3CA0" w14:textId="77777777" w:rsidR="00837502" w:rsidRDefault="00837502" w:rsidP="006F1659">
            <w:pPr>
              <w:spacing w:line="360" w:lineRule="auto"/>
              <w:rPr>
                <w:rFonts w:ascii="Arial" w:hAnsi="Arial" w:cs="Arial"/>
                <w:sz w:val="20"/>
                <w:szCs w:val="20"/>
              </w:rPr>
            </w:pPr>
            <w:r>
              <w:rPr>
                <w:rFonts w:ascii="Arial" w:hAnsi="Arial" w:cs="Arial"/>
                <w:sz w:val="20"/>
                <w:szCs w:val="20"/>
              </w:rPr>
              <w:t>Place</w:t>
            </w:r>
          </w:p>
        </w:tc>
        <w:tc>
          <w:tcPr>
            <w:tcW w:w="1236" w:type="dxa"/>
            <w:tcBorders>
              <w:top w:val="nil"/>
              <w:left w:val="single" w:sz="4" w:space="0" w:color="auto"/>
              <w:bottom w:val="nil"/>
              <w:right w:val="single" w:sz="4" w:space="0" w:color="auto"/>
            </w:tcBorders>
            <w:shd w:val="clear" w:color="auto" w:fill="auto"/>
            <w:hideMark/>
          </w:tcPr>
          <w:p w14:paraId="01219375"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6,707</w:t>
            </w:r>
          </w:p>
        </w:tc>
        <w:tc>
          <w:tcPr>
            <w:tcW w:w="1408" w:type="dxa"/>
            <w:tcBorders>
              <w:top w:val="nil"/>
              <w:left w:val="nil"/>
              <w:bottom w:val="nil"/>
              <w:right w:val="nil"/>
            </w:tcBorders>
            <w:shd w:val="clear" w:color="auto" w:fill="auto"/>
            <w:noWrap/>
            <w:hideMark/>
          </w:tcPr>
          <w:p w14:paraId="00228E01"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18,922</w:t>
            </w:r>
          </w:p>
        </w:tc>
        <w:tc>
          <w:tcPr>
            <w:tcW w:w="1408" w:type="dxa"/>
            <w:tcBorders>
              <w:top w:val="nil"/>
              <w:left w:val="single" w:sz="4" w:space="0" w:color="auto"/>
              <w:bottom w:val="nil"/>
              <w:right w:val="single" w:sz="8" w:space="0" w:color="auto"/>
            </w:tcBorders>
            <w:shd w:val="clear" w:color="auto" w:fill="auto"/>
            <w:hideMark/>
          </w:tcPr>
          <w:p w14:paraId="48AE6D11"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12,215</w:t>
            </w:r>
          </w:p>
        </w:tc>
        <w:tc>
          <w:tcPr>
            <w:tcW w:w="241" w:type="dxa"/>
            <w:vAlign w:val="center"/>
            <w:hideMark/>
          </w:tcPr>
          <w:p w14:paraId="669B0D0F" w14:textId="77777777" w:rsidR="00837502" w:rsidRDefault="00837502" w:rsidP="006F1659">
            <w:pPr>
              <w:spacing w:line="360" w:lineRule="auto"/>
              <w:rPr>
                <w:sz w:val="20"/>
                <w:szCs w:val="20"/>
              </w:rPr>
            </w:pPr>
          </w:p>
        </w:tc>
      </w:tr>
      <w:tr w:rsidR="00837502" w14:paraId="655D428C" w14:textId="77777777" w:rsidTr="006E0BF0">
        <w:trPr>
          <w:trHeight w:val="279"/>
        </w:trPr>
        <w:tc>
          <w:tcPr>
            <w:tcW w:w="3425" w:type="dxa"/>
            <w:tcBorders>
              <w:top w:val="nil"/>
              <w:left w:val="single" w:sz="8" w:space="0" w:color="auto"/>
              <w:bottom w:val="nil"/>
              <w:right w:val="nil"/>
            </w:tcBorders>
            <w:shd w:val="clear" w:color="auto" w:fill="auto"/>
            <w:noWrap/>
            <w:hideMark/>
          </w:tcPr>
          <w:p w14:paraId="6D577C3C" w14:textId="77777777" w:rsidR="00837502" w:rsidRDefault="00837502" w:rsidP="006F1659">
            <w:pPr>
              <w:spacing w:line="360" w:lineRule="auto"/>
              <w:rPr>
                <w:rFonts w:ascii="Arial" w:hAnsi="Arial" w:cs="Arial"/>
                <w:sz w:val="20"/>
                <w:szCs w:val="20"/>
              </w:rPr>
            </w:pPr>
            <w:r>
              <w:rPr>
                <w:rFonts w:ascii="Arial" w:hAnsi="Arial" w:cs="Arial"/>
                <w:sz w:val="20"/>
                <w:szCs w:val="20"/>
              </w:rPr>
              <w:t xml:space="preserve">Public Service Reform </w:t>
            </w:r>
          </w:p>
        </w:tc>
        <w:tc>
          <w:tcPr>
            <w:tcW w:w="1236" w:type="dxa"/>
            <w:tcBorders>
              <w:top w:val="nil"/>
              <w:left w:val="single" w:sz="4" w:space="0" w:color="auto"/>
              <w:bottom w:val="nil"/>
              <w:right w:val="single" w:sz="4" w:space="0" w:color="auto"/>
            </w:tcBorders>
            <w:shd w:val="clear" w:color="auto" w:fill="auto"/>
            <w:hideMark/>
          </w:tcPr>
          <w:p w14:paraId="5046050E"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30,960</w:t>
            </w:r>
          </w:p>
        </w:tc>
        <w:tc>
          <w:tcPr>
            <w:tcW w:w="1408" w:type="dxa"/>
            <w:tcBorders>
              <w:top w:val="nil"/>
              <w:left w:val="nil"/>
              <w:bottom w:val="nil"/>
              <w:right w:val="nil"/>
            </w:tcBorders>
            <w:shd w:val="clear" w:color="auto" w:fill="auto"/>
            <w:noWrap/>
            <w:hideMark/>
          </w:tcPr>
          <w:p w14:paraId="293CBC49"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39,799</w:t>
            </w:r>
          </w:p>
        </w:tc>
        <w:tc>
          <w:tcPr>
            <w:tcW w:w="1408" w:type="dxa"/>
            <w:tcBorders>
              <w:top w:val="nil"/>
              <w:left w:val="single" w:sz="4" w:space="0" w:color="auto"/>
              <w:bottom w:val="nil"/>
              <w:right w:val="single" w:sz="8" w:space="0" w:color="auto"/>
            </w:tcBorders>
            <w:shd w:val="clear" w:color="auto" w:fill="auto"/>
            <w:hideMark/>
          </w:tcPr>
          <w:p w14:paraId="1A0FF9F7"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8,839</w:t>
            </w:r>
          </w:p>
        </w:tc>
        <w:tc>
          <w:tcPr>
            <w:tcW w:w="241" w:type="dxa"/>
            <w:vAlign w:val="center"/>
            <w:hideMark/>
          </w:tcPr>
          <w:p w14:paraId="71F52A1B" w14:textId="77777777" w:rsidR="00837502" w:rsidRDefault="00837502" w:rsidP="006F1659">
            <w:pPr>
              <w:spacing w:line="360" w:lineRule="auto"/>
              <w:rPr>
                <w:sz w:val="20"/>
                <w:szCs w:val="20"/>
              </w:rPr>
            </w:pPr>
          </w:p>
        </w:tc>
      </w:tr>
      <w:tr w:rsidR="00837502" w14:paraId="4E46C4B8" w14:textId="77777777" w:rsidTr="006E0BF0">
        <w:trPr>
          <w:trHeight w:val="279"/>
        </w:trPr>
        <w:tc>
          <w:tcPr>
            <w:tcW w:w="3425" w:type="dxa"/>
            <w:tcBorders>
              <w:top w:val="nil"/>
              <w:left w:val="single" w:sz="8" w:space="0" w:color="auto"/>
              <w:bottom w:val="nil"/>
              <w:right w:val="nil"/>
            </w:tcBorders>
            <w:shd w:val="clear" w:color="auto" w:fill="auto"/>
            <w:noWrap/>
            <w:hideMark/>
          </w:tcPr>
          <w:p w14:paraId="45CECEB3" w14:textId="77777777" w:rsidR="00837502" w:rsidRDefault="00837502" w:rsidP="006F1659">
            <w:pPr>
              <w:spacing w:line="360" w:lineRule="auto"/>
              <w:rPr>
                <w:rFonts w:ascii="Arial" w:hAnsi="Arial" w:cs="Arial"/>
                <w:sz w:val="20"/>
                <w:szCs w:val="20"/>
              </w:rPr>
            </w:pPr>
            <w:r>
              <w:rPr>
                <w:rFonts w:ascii="Arial" w:hAnsi="Arial" w:cs="Arial"/>
                <w:sz w:val="20"/>
                <w:szCs w:val="20"/>
              </w:rPr>
              <w:t>Work and Skills</w:t>
            </w:r>
          </w:p>
        </w:tc>
        <w:tc>
          <w:tcPr>
            <w:tcW w:w="1236" w:type="dxa"/>
            <w:tcBorders>
              <w:top w:val="nil"/>
              <w:left w:val="single" w:sz="4" w:space="0" w:color="auto"/>
              <w:bottom w:val="nil"/>
              <w:right w:val="single" w:sz="4" w:space="0" w:color="auto"/>
            </w:tcBorders>
            <w:shd w:val="clear" w:color="auto" w:fill="auto"/>
            <w:hideMark/>
          </w:tcPr>
          <w:p w14:paraId="29DC7AB3"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155,779</w:t>
            </w:r>
          </w:p>
        </w:tc>
        <w:tc>
          <w:tcPr>
            <w:tcW w:w="1408" w:type="dxa"/>
            <w:tcBorders>
              <w:top w:val="nil"/>
              <w:left w:val="nil"/>
              <w:bottom w:val="nil"/>
              <w:right w:val="nil"/>
            </w:tcBorders>
            <w:shd w:val="clear" w:color="auto" w:fill="auto"/>
            <w:noWrap/>
            <w:hideMark/>
          </w:tcPr>
          <w:p w14:paraId="0A5BFE6C" w14:textId="77777777" w:rsidR="00837502" w:rsidRDefault="00837502" w:rsidP="006F1659">
            <w:pPr>
              <w:spacing w:line="360" w:lineRule="auto"/>
              <w:jc w:val="right"/>
              <w:rPr>
                <w:rFonts w:ascii="Arial" w:hAnsi="Arial" w:cs="Arial"/>
                <w:color w:val="000000"/>
                <w:sz w:val="20"/>
                <w:szCs w:val="20"/>
              </w:rPr>
            </w:pPr>
            <w:r>
              <w:rPr>
                <w:rFonts w:ascii="Arial" w:hAnsi="Arial" w:cs="Arial"/>
                <w:color w:val="000000"/>
                <w:sz w:val="20"/>
                <w:szCs w:val="20"/>
              </w:rPr>
              <w:t>155,394</w:t>
            </w:r>
          </w:p>
        </w:tc>
        <w:tc>
          <w:tcPr>
            <w:tcW w:w="1408" w:type="dxa"/>
            <w:tcBorders>
              <w:top w:val="nil"/>
              <w:left w:val="single" w:sz="4" w:space="0" w:color="auto"/>
              <w:bottom w:val="nil"/>
              <w:right w:val="single" w:sz="8" w:space="0" w:color="auto"/>
            </w:tcBorders>
            <w:shd w:val="clear" w:color="auto" w:fill="auto"/>
            <w:hideMark/>
          </w:tcPr>
          <w:p w14:paraId="063C1D1A"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-385</w:t>
            </w:r>
          </w:p>
        </w:tc>
        <w:tc>
          <w:tcPr>
            <w:tcW w:w="241" w:type="dxa"/>
            <w:vAlign w:val="center"/>
            <w:hideMark/>
          </w:tcPr>
          <w:p w14:paraId="4B3513D6" w14:textId="77777777" w:rsidR="00837502" w:rsidRDefault="00837502" w:rsidP="006F1659">
            <w:pPr>
              <w:spacing w:line="360" w:lineRule="auto"/>
              <w:rPr>
                <w:sz w:val="20"/>
                <w:szCs w:val="20"/>
              </w:rPr>
            </w:pPr>
          </w:p>
        </w:tc>
      </w:tr>
      <w:tr w:rsidR="00837502" w14:paraId="0D40CC3A" w14:textId="77777777" w:rsidTr="006E0BF0">
        <w:trPr>
          <w:trHeight w:val="279"/>
        </w:trPr>
        <w:tc>
          <w:tcPr>
            <w:tcW w:w="3425" w:type="dxa"/>
            <w:tcBorders>
              <w:top w:val="single" w:sz="4" w:space="0" w:color="auto"/>
              <w:left w:val="single" w:sz="8" w:space="0" w:color="auto"/>
              <w:bottom w:val="single" w:sz="4" w:space="0" w:color="auto"/>
              <w:right w:val="nil"/>
            </w:tcBorders>
            <w:shd w:val="clear" w:color="000000" w:fill="BFBFBF"/>
            <w:noWrap/>
            <w:hideMark/>
          </w:tcPr>
          <w:p w14:paraId="0BF5A7BB" w14:textId="2EDD796F" w:rsidR="00837502" w:rsidRDefault="006E0BF0" w:rsidP="006F1659">
            <w:pPr>
              <w:spacing w:line="360" w:lineRule="auto"/>
              <w:rPr>
                <w:rFonts w:ascii="Arial" w:hAnsi="Arial" w:cs="Arial"/>
                <w:b/>
                <w:bCs/>
                <w:sz w:val="20"/>
                <w:szCs w:val="20"/>
              </w:rPr>
            </w:pPr>
            <w:r>
              <w:rPr>
                <w:rFonts w:ascii="Arial" w:hAnsi="Arial" w:cs="Arial"/>
                <w:b/>
                <w:bCs/>
                <w:sz w:val="20"/>
                <w:szCs w:val="20"/>
              </w:rPr>
              <w:t xml:space="preserve">Total </w:t>
            </w:r>
            <w:r w:rsidR="00837502">
              <w:rPr>
                <w:rFonts w:ascii="Arial" w:hAnsi="Arial" w:cs="Arial"/>
                <w:b/>
                <w:bCs/>
                <w:sz w:val="20"/>
                <w:szCs w:val="20"/>
              </w:rPr>
              <w:t>Expenditure</w:t>
            </w:r>
          </w:p>
        </w:tc>
        <w:tc>
          <w:tcPr>
            <w:tcW w:w="1236" w:type="dxa"/>
            <w:tcBorders>
              <w:top w:val="single" w:sz="4" w:space="0" w:color="auto"/>
              <w:left w:val="single" w:sz="4" w:space="0" w:color="auto"/>
              <w:bottom w:val="single" w:sz="4" w:space="0" w:color="auto"/>
              <w:right w:val="single" w:sz="4" w:space="0" w:color="auto"/>
            </w:tcBorders>
            <w:shd w:val="clear" w:color="000000" w:fill="BFBFBF"/>
            <w:noWrap/>
            <w:hideMark/>
          </w:tcPr>
          <w:p w14:paraId="6A305F16"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242,620</w:t>
            </w:r>
          </w:p>
        </w:tc>
        <w:tc>
          <w:tcPr>
            <w:tcW w:w="1408" w:type="dxa"/>
            <w:tcBorders>
              <w:top w:val="single" w:sz="4" w:space="0" w:color="auto"/>
              <w:left w:val="nil"/>
              <w:bottom w:val="single" w:sz="4" w:space="0" w:color="auto"/>
              <w:right w:val="single" w:sz="4" w:space="0" w:color="auto"/>
            </w:tcBorders>
            <w:shd w:val="clear" w:color="000000" w:fill="BFBFBF"/>
            <w:noWrap/>
            <w:hideMark/>
          </w:tcPr>
          <w:p w14:paraId="5CBCCAFF"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270,091</w:t>
            </w:r>
          </w:p>
        </w:tc>
        <w:tc>
          <w:tcPr>
            <w:tcW w:w="1408" w:type="dxa"/>
            <w:tcBorders>
              <w:top w:val="single" w:sz="4" w:space="0" w:color="auto"/>
              <w:left w:val="nil"/>
              <w:bottom w:val="single" w:sz="4" w:space="0" w:color="auto"/>
              <w:right w:val="single" w:sz="8" w:space="0" w:color="auto"/>
            </w:tcBorders>
            <w:shd w:val="clear" w:color="000000" w:fill="BFBFBF"/>
            <w:noWrap/>
            <w:hideMark/>
          </w:tcPr>
          <w:p w14:paraId="51C48A14"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27,471</w:t>
            </w:r>
          </w:p>
        </w:tc>
        <w:tc>
          <w:tcPr>
            <w:tcW w:w="241" w:type="dxa"/>
            <w:vAlign w:val="center"/>
            <w:hideMark/>
          </w:tcPr>
          <w:p w14:paraId="7BF1FB40" w14:textId="77777777" w:rsidR="00837502" w:rsidRDefault="00837502" w:rsidP="006F1659">
            <w:pPr>
              <w:spacing w:line="360" w:lineRule="auto"/>
              <w:rPr>
                <w:sz w:val="20"/>
                <w:szCs w:val="20"/>
              </w:rPr>
            </w:pPr>
          </w:p>
        </w:tc>
      </w:tr>
      <w:tr w:rsidR="00837502" w14:paraId="27E67578" w14:textId="77777777" w:rsidTr="006E0BF0">
        <w:trPr>
          <w:trHeight w:val="279"/>
        </w:trPr>
        <w:tc>
          <w:tcPr>
            <w:tcW w:w="3425" w:type="dxa"/>
            <w:tcBorders>
              <w:top w:val="nil"/>
              <w:left w:val="single" w:sz="8" w:space="0" w:color="auto"/>
              <w:bottom w:val="nil"/>
              <w:right w:val="nil"/>
            </w:tcBorders>
            <w:shd w:val="clear" w:color="auto" w:fill="auto"/>
            <w:noWrap/>
            <w:vAlign w:val="bottom"/>
            <w:hideMark/>
          </w:tcPr>
          <w:p w14:paraId="09E777DC" w14:textId="77777777" w:rsidR="00837502" w:rsidRDefault="00837502" w:rsidP="006F1659">
            <w:pPr>
              <w:spacing w:line="360" w:lineRule="auto"/>
              <w:rPr>
                <w:rFonts w:ascii="Arial" w:hAnsi="Arial" w:cs="Arial"/>
                <w:b/>
                <w:bCs/>
                <w:sz w:val="20"/>
                <w:szCs w:val="20"/>
              </w:rPr>
            </w:pPr>
            <w:r>
              <w:rPr>
                <w:rFonts w:ascii="Arial" w:hAnsi="Arial" w:cs="Arial"/>
                <w:b/>
                <w:bCs/>
                <w:sz w:val="20"/>
                <w:szCs w:val="20"/>
              </w:rPr>
              <w:t> </w:t>
            </w:r>
          </w:p>
        </w:tc>
        <w:tc>
          <w:tcPr>
            <w:tcW w:w="1236" w:type="dxa"/>
            <w:tcBorders>
              <w:top w:val="nil"/>
              <w:left w:val="single" w:sz="4" w:space="0" w:color="auto"/>
              <w:bottom w:val="nil"/>
              <w:right w:val="single" w:sz="4" w:space="0" w:color="auto"/>
            </w:tcBorders>
            <w:shd w:val="clear" w:color="auto" w:fill="auto"/>
            <w:noWrap/>
            <w:vAlign w:val="bottom"/>
            <w:hideMark/>
          </w:tcPr>
          <w:p w14:paraId="0FEDDB89"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 </w:t>
            </w:r>
          </w:p>
        </w:tc>
        <w:tc>
          <w:tcPr>
            <w:tcW w:w="1408" w:type="dxa"/>
            <w:tcBorders>
              <w:top w:val="nil"/>
              <w:left w:val="nil"/>
              <w:bottom w:val="nil"/>
              <w:right w:val="single" w:sz="4" w:space="0" w:color="auto"/>
            </w:tcBorders>
            <w:shd w:val="clear" w:color="auto" w:fill="auto"/>
            <w:noWrap/>
            <w:vAlign w:val="bottom"/>
            <w:hideMark/>
          </w:tcPr>
          <w:p w14:paraId="330BDB7B"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 </w:t>
            </w:r>
          </w:p>
        </w:tc>
        <w:tc>
          <w:tcPr>
            <w:tcW w:w="1408" w:type="dxa"/>
            <w:tcBorders>
              <w:top w:val="nil"/>
              <w:left w:val="nil"/>
              <w:bottom w:val="nil"/>
              <w:right w:val="single" w:sz="8" w:space="0" w:color="auto"/>
            </w:tcBorders>
            <w:shd w:val="clear" w:color="auto" w:fill="auto"/>
            <w:noWrap/>
            <w:vAlign w:val="bottom"/>
            <w:hideMark/>
          </w:tcPr>
          <w:p w14:paraId="68EFC6D0"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 </w:t>
            </w:r>
          </w:p>
        </w:tc>
        <w:tc>
          <w:tcPr>
            <w:tcW w:w="241" w:type="dxa"/>
            <w:vAlign w:val="center"/>
            <w:hideMark/>
          </w:tcPr>
          <w:p w14:paraId="51AAFE31" w14:textId="77777777" w:rsidR="00837502" w:rsidRDefault="00837502" w:rsidP="006F1659">
            <w:pPr>
              <w:spacing w:line="360" w:lineRule="auto"/>
              <w:rPr>
                <w:sz w:val="20"/>
                <w:szCs w:val="20"/>
              </w:rPr>
            </w:pPr>
          </w:p>
        </w:tc>
      </w:tr>
      <w:tr w:rsidR="00837502" w14:paraId="396432C8" w14:textId="77777777" w:rsidTr="006E0BF0">
        <w:trPr>
          <w:trHeight w:val="279"/>
        </w:trPr>
        <w:tc>
          <w:tcPr>
            <w:tcW w:w="3425" w:type="dxa"/>
            <w:tcBorders>
              <w:top w:val="nil"/>
              <w:left w:val="single" w:sz="8" w:space="0" w:color="auto"/>
              <w:bottom w:val="nil"/>
              <w:right w:val="nil"/>
            </w:tcBorders>
            <w:shd w:val="clear" w:color="auto" w:fill="auto"/>
            <w:noWrap/>
            <w:vAlign w:val="center"/>
            <w:hideMark/>
          </w:tcPr>
          <w:p w14:paraId="4F354400" w14:textId="77777777" w:rsidR="00837502" w:rsidRDefault="00837502" w:rsidP="006F1659">
            <w:pPr>
              <w:spacing w:line="360" w:lineRule="auto"/>
              <w:rPr>
                <w:rFonts w:ascii="Arial" w:hAnsi="Arial" w:cs="Arial"/>
                <w:b/>
                <w:bCs/>
                <w:color w:val="000000"/>
                <w:sz w:val="20"/>
                <w:szCs w:val="20"/>
              </w:rPr>
            </w:pPr>
            <w:r>
              <w:rPr>
                <w:rFonts w:ascii="Arial" w:hAnsi="Arial" w:cs="Arial"/>
                <w:b/>
                <w:bCs/>
                <w:color w:val="000000"/>
                <w:sz w:val="20"/>
                <w:szCs w:val="20"/>
              </w:rPr>
              <w:t>Funded by:</w:t>
            </w:r>
          </w:p>
        </w:tc>
        <w:tc>
          <w:tcPr>
            <w:tcW w:w="1236" w:type="dxa"/>
            <w:tcBorders>
              <w:top w:val="nil"/>
              <w:left w:val="single" w:sz="4" w:space="0" w:color="auto"/>
              <w:bottom w:val="nil"/>
              <w:right w:val="single" w:sz="4" w:space="0" w:color="auto"/>
            </w:tcBorders>
            <w:shd w:val="clear" w:color="auto" w:fill="auto"/>
            <w:noWrap/>
            <w:vAlign w:val="bottom"/>
            <w:hideMark/>
          </w:tcPr>
          <w:p w14:paraId="497E91CF"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 </w:t>
            </w:r>
          </w:p>
        </w:tc>
        <w:tc>
          <w:tcPr>
            <w:tcW w:w="1408" w:type="dxa"/>
            <w:tcBorders>
              <w:top w:val="nil"/>
              <w:left w:val="nil"/>
              <w:bottom w:val="nil"/>
              <w:right w:val="single" w:sz="4" w:space="0" w:color="auto"/>
            </w:tcBorders>
            <w:shd w:val="clear" w:color="auto" w:fill="auto"/>
            <w:noWrap/>
            <w:vAlign w:val="bottom"/>
            <w:hideMark/>
          </w:tcPr>
          <w:p w14:paraId="17AC9BED"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 </w:t>
            </w:r>
          </w:p>
        </w:tc>
        <w:tc>
          <w:tcPr>
            <w:tcW w:w="1408" w:type="dxa"/>
            <w:tcBorders>
              <w:top w:val="nil"/>
              <w:left w:val="nil"/>
              <w:bottom w:val="nil"/>
              <w:right w:val="single" w:sz="8" w:space="0" w:color="auto"/>
            </w:tcBorders>
            <w:shd w:val="clear" w:color="auto" w:fill="auto"/>
            <w:noWrap/>
            <w:vAlign w:val="bottom"/>
            <w:hideMark/>
          </w:tcPr>
          <w:p w14:paraId="53E691E3"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 </w:t>
            </w:r>
          </w:p>
        </w:tc>
        <w:tc>
          <w:tcPr>
            <w:tcW w:w="241" w:type="dxa"/>
            <w:vAlign w:val="center"/>
            <w:hideMark/>
          </w:tcPr>
          <w:p w14:paraId="4F77938C" w14:textId="77777777" w:rsidR="00837502" w:rsidRDefault="00837502" w:rsidP="006F1659">
            <w:pPr>
              <w:spacing w:line="360" w:lineRule="auto"/>
              <w:rPr>
                <w:sz w:val="20"/>
                <w:szCs w:val="20"/>
              </w:rPr>
            </w:pPr>
          </w:p>
        </w:tc>
      </w:tr>
      <w:tr w:rsidR="00837502" w14:paraId="2877FA59" w14:textId="77777777" w:rsidTr="006E0BF0">
        <w:trPr>
          <w:trHeight w:val="279"/>
        </w:trPr>
        <w:tc>
          <w:tcPr>
            <w:tcW w:w="3425" w:type="dxa"/>
            <w:tcBorders>
              <w:top w:val="nil"/>
              <w:left w:val="single" w:sz="8" w:space="0" w:color="auto"/>
              <w:bottom w:val="nil"/>
              <w:right w:val="nil"/>
            </w:tcBorders>
            <w:shd w:val="clear" w:color="auto" w:fill="auto"/>
            <w:noWrap/>
            <w:vAlign w:val="center"/>
            <w:hideMark/>
          </w:tcPr>
          <w:p w14:paraId="53FD0317" w14:textId="77777777" w:rsidR="00837502" w:rsidRDefault="00837502" w:rsidP="006F1659">
            <w:pPr>
              <w:spacing w:line="360" w:lineRule="auto"/>
              <w:rPr>
                <w:rFonts w:ascii="Arial" w:hAnsi="Arial" w:cs="Arial"/>
                <w:color w:val="000000"/>
                <w:sz w:val="20"/>
                <w:szCs w:val="20"/>
              </w:rPr>
            </w:pPr>
            <w:r>
              <w:rPr>
                <w:rFonts w:ascii="Arial" w:hAnsi="Arial" w:cs="Arial"/>
                <w:color w:val="000000"/>
                <w:sz w:val="20"/>
                <w:szCs w:val="20"/>
              </w:rPr>
              <w:t>Government Grants</w:t>
            </w:r>
          </w:p>
        </w:tc>
        <w:tc>
          <w:tcPr>
            <w:tcW w:w="1236" w:type="dxa"/>
            <w:tcBorders>
              <w:top w:val="nil"/>
              <w:left w:val="single" w:sz="4" w:space="0" w:color="auto"/>
              <w:bottom w:val="nil"/>
              <w:right w:val="single" w:sz="4" w:space="0" w:color="auto"/>
            </w:tcBorders>
            <w:shd w:val="clear" w:color="auto" w:fill="auto"/>
            <w:noWrap/>
            <w:vAlign w:val="center"/>
            <w:hideMark/>
          </w:tcPr>
          <w:p w14:paraId="2C6C5A6E"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-180,133</w:t>
            </w:r>
          </w:p>
        </w:tc>
        <w:tc>
          <w:tcPr>
            <w:tcW w:w="1408" w:type="dxa"/>
            <w:tcBorders>
              <w:top w:val="nil"/>
              <w:left w:val="nil"/>
              <w:bottom w:val="nil"/>
              <w:right w:val="single" w:sz="4" w:space="0" w:color="auto"/>
            </w:tcBorders>
            <w:shd w:val="clear" w:color="auto" w:fill="auto"/>
            <w:noWrap/>
            <w:vAlign w:val="center"/>
            <w:hideMark/>
          </w:tcPr>
          <w:p w14:paraId="53D5F5F7"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-191,594</w:t>
            </w:r>
          </w:p>
        </w:tc>
        <w:tc>
          <w:tcPr>
            <w:tcW w:w="1408" w:type="dxa"/>
            <w:tcBorders>
              <w:top w:val="nil"/>
              <w:left w:val="nil"/>
              <w:bottom w:val="nil"/>
              <w:right w:val="single" w:sz="8" w:space="0" w:color="auto"/>
            </w:tcBorders>
            <w:shd w:val="clear" w:color="auto" w:fill="auto"/>
            <w:vAlign w:val="center"/>
            <w:hideMark/>
          </w:tcPr>
          <w:p w14:paraId="5249F3EC"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-11,461</w:t>
            </w:r>
          </w:p>
        </w:tc>
        <w:tc>
          <w:tcPr>
            <w:tcW w:w="241" w:type="dxa"/>
            <w:vAlign w:val="center"/>
            <w:hideMark/>
          </w:tcPr>
          <w:p w14:paraId="7A1F93DA" w14:textId="77777777" w:rsidR="00837502" w:rsidRDefault="00837502" w:rsidP="006F1659">
            <w:pPr>
              <w:spacing w:line="360" w:lineRule="auto"/>
              <w:rPr>
                <w:sz w:val="20"/>
                <w:szCs w:val="20"/>
              </w:rPr>
            </w:pPr>
          </w:p>
        </w:tc>
      </w:tr>
      <w:tr w:rsidR="00837502" w14:paraId="41454870" w14:textId="77777777" w:rsidTr="006E0BF0">
        <w:trPr>
          <w:trHeight w:val="279"/>
        </w:trPr>
        <w:tc>
          <w:tcPr>
            <w:tcW w:w="3425" w:type="dxa"/>
            <w:tcBorders>
              <w:top w:val="nil"/>
              <w:left w:val="single" w:sz="8" w:space="0" w:color="auto"/>
              <w:bottom w:val="nil"/>
              <w:right w:val="nil"/>
            </w:tcBorders>
            <w:shd w:val="clear" w:color="auto" w:fill="auto"/>
            <w:noWrap/>
            <w:vAlign w:val="center"/>
            <w:hideMark/>
          </w:tcPr>
          <w:p w14:paraId="1DCBEE64" w14:textId="77777777" w:rsidR="00837502" w:rsidRDefault="00837502" w:rsidP="006F1659">
            <w:pPr>
              <w:spacing w:line="360" w:lineRule="auto"/>
              <w:rPr>
                <w:rFonts w:ascii="Arial" w:hAnsi="Arial" w:cs="Arial"/>
                <w:color w:val="000000"/>
                <w:sz w:val="20"/>
                <w:szCs w:val="20"/>
              </w:rPr>
            </w:pPr>
            <w:r>
              <w:rPr>
                <w:rFonts w:ascii="Arial" w:hAnsi="Arial" w:cs="Arial"/>
                <w:color w:val="000000"/>
                <w:sz w:val="20"/>
                <w:szCs w:val="20"/>
              </w:rPr>
              <w:t>District Contributions</w:t>
            </w:r>
          </w:p>
        </w:tc>
        <w:tc>
          <w:tcPr>
            <w:tcW w:w="1236" w:type="dxa"/>
            <w:tcBorders>
              <w:top w:val="nil"/>
              <w:left w:val="single" w:sz="4" w:space="0" w:color="auto"/>
              <w:bottom w:val="nil"/>
              <w:right w:val="single" w:sz="4" w:space="0" w:color="auto"/>
            </w:tcBorders>
            <w:shd w:val="clear" w:color="auto" w:fill="auto"/>
            <w:noWrap/>
            <w:vAlign w:val="center"/>
            <w:hideMark/>
          </w:tcPr>
          <w:p w14:paraId="338545CD"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-8,603</w:t>
            </w:r>
          </w:p>
        </w:tc>
        <w:tc>
          <w:tcPr>
            <w:tcW w:w="1408" w:type="dxa"/>
            <w:tcBorders>
              <w:top w:val="nil"/>
              <w:left w:val="nil"/>
              <w:bottom w:val="nil"/>
              <w:right w:val="single" w:sz="4" w:space="0" w:color="auto"/>
            </w:tcBorders>
            <w:shd w:val="clear" w:color="auto" w:fill="auto"/>
            <w:noWrap/>
            <w:vAlign w:val="center"/>
            <w:hideMark/>
          </w:tcPr>
          <w:p w14:paraId="1AD38A4A"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-8,603</w:t>
            </w:r>
          </w:p>
        </w:tc>
        <w:tc>
          <w:tcPr>
            <w:tcW w:w="1408" w:type="dxa"/>
            <w:tcBorders>
              <w:top w:val="nil"/>
              <w:left w:val="nil"/>
              <w:bottom w:val="nil"/>
              <w:right w:val="single" w:sz="8" w:space="0" w:color="auto"/>
            </w:tcBorders>
            <w:shd w:val="clear" w:color="auto" w:fill="auto"/>
            <w:vAlign w:val="center"/>
            <w:hideMark/>
          </w:tcPr>
          <w:p w14:paraId="406CF0EE"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0</w:t>
            </w:r>
          </w:p>
        </w:tc>
        <w:tc>
          <w:tcPr>
            <w:tcW w:w="241" w:type="dxa"/>
            <w:vAlign w:val="center"/>
            <w:hideMark/>
          </w:tcPr>
          <w:p w14:paraId="2E63AF35" w14:textId="77777777" w:rsidR="00837502" w:rsidRDefault="00837502" w:rsidP="006F1659">
            <w:pPr>
              <w:spacing w:line="360" w:lineRule="auto"/>
              <w:rPr>
                <w:sz w:val="20"/>
                <w:szCs w:val="20"/>
              </w:rPr>
            </w:pPr>
          </w:p>
        </w:tc>
      </w:tr>
      <w:tr w:rsidR="00837502" w14:paraId="665E35D7" w14:textId="77777777" w:rsidTr="006E0BF0">
        <w:trPr>
          <w:trHeight w:val="279"/>
        </w:trPr>
        <w:tc>
          <w:tcPr>
            <w:tcW w:w="3425" w:type="dxa"/>
            <w:tcBorders>
              <w:top w:val="nil"/>
              <w:left w:val="single" w:sz="8" w:space="0" w:color="auto"/>
              <w:bottom w:val="nil"/>
              <w:right w:val="nil"/>
            </w:tcBorders>
            <w:shd w:val="clear" w:color="auto" w:fill="auto"/>
            <w:noWrap/>
            <w:vAlign w:val="center"/>
            <w:hideMark/>
          </w:tcPr>
          <w:p w14:paraId="19F8D5C5" w14:textId="77777777" w:rsidR="00837502" w:rsidRDefault="00837502" w:rsidP="006F1659">
            <w:pPr>
              <w:spacing w:line="360" w:lineRule="auto"/>
              <w:rPr>
                <w:rFonts w:ascii="Arial" w:hAnsi="Arial" w:cs="Arial"/>
                <w:color w:val="000000"/>
                <w:sz w:val="20"/>
                <w:szCs w:val="20"/>
              </w:rPr>
            </w:pPr>
            <w:r>
              <w:rPr>
                <w:rFonts w:ascii="Arial" w:hAnsi="Arial" w:cs="Arial"/>
                <w:color w:val="000000"/>
                <w:sz w:val="20"/>
                <w:szCs w:val="20"/>
              </w:rPr>
              <w:t>Internal Recharges</w:t>
            </w:r>
          </w:p>
        </w:tc>
        <w:tc>
          <w:tcPr>
            <w:tcW w:w="1236" w:type="dxa"/>
            <w:tcBorders>
              <w:top w:val="nil"/>
              <w:left w:val="single" w:sz="4" w:space="0" w:color="auto"/>
              <w:bottom w:val="nil"/>
              <w:right w:val="single" w:sz="4" w:space="0" w:color="auto"/>
            </w:tcBorders>
            <w:shd w:val="clear" w:color="auto" w:fill="auto"/>
            <w:noWrap/>
            <w:vAlign w:val="center"/>
            <w:hideMark/>
          </w:tcPr>
          <w:p w14:paraId="7A2D9B50"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-18,995</w:t>
            </w:r>
          </w:p>
        </w:tc>
        <w:tc>
          <w:tcPr>
            <w:tcW w:w="1408" w:type="dxa"/>
            <w:tcBorders>
              <w:top w:val="nil"/>
              <w:left w:val="nil"/>
              <w:bottom w:val="nil"/>
              <w:right w:val="single" w:sz="4" w:space="0" w:color="auto"/>
            </w:tcBorders>
            <w:shd w:val="clear" w:color="auto" w:fill="auto"/>
            <w:noWrap/>
            <w:vAlign w:val="bottom"/>
            <w:hideMark/>
          </w:tcPr>
          <w:p w14:paraId="42AC4778"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-22,497</w:t>
            </w:r>
          </w:p>
        </w:tc>
        <w:tc>
          <w:tcPr>
            <w:tcW w:w="1408" w:type="dxa"/>
            <w:tcBorders>
              <w:top w:val="nil"/>
              <w:left w:val="nil"/>
              <w:bottom w:val="nil"/>
              <w:right w:val="single" w:sz="8" w:space="0" w:color="auto"/>
            </w:tcBorders>
            <w:shd w:val="clear" w:color="auto" w:fill="auto"/>
            <w:vAlign w:val="center"/>
            <w:hideMark/>
          </w:tcPr>
          <w:p w14:paraId="663EA6BA"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-3,502</w:t>
            </w:r>
          </w:p>
        </w:tc>
        <w:tc>
          <w:tcPr>
            <w:tcW w:w="241" w:type="dxa"/>
            <w:vAlign w:val="center"/>
            <w:hideMark/>
          </w:tcPr>
          <w:p w14:paraId="0C8F0923" w14:textId="77777777" w:rsidR="00837502" w:rsidRDefault="00837502" w:rsidP="006F1659">
            <w:pPr>
              <w:spacing w:line="360" w:lineRule="auto"/>
              <w:rPr>
                <w:sz w:val="20"/>
                <w:szCs w:val="20"/>
              </w:rPr>
            </w:pPr>
          </w:p>
        </w:tc>
      </w:tr>
      <w:tr w:rsidR="00837502" w14:paraId="48E0991F" w14:textId="77777777" w:rsidTr="006E0BF0">
        <w:trPr>
          <w:trHeight w:val="279"/>
        </w:trPr>
        <w:tc>
          <w:tcPr>
            <w:tcW w:w="3425" w:type="dxa"/>
            <w:tcBorders>
              <w:top w:val="nil"/>
              <w:left w:val="single" w:sz="8" w:space="0" w:color="auto"/>
              <w:bottom w:val="nil"/>
              <w:right w:val="nil"/>
            </w:tcBorders>
            <w:shd w:val="clear" w:color="auto" w:fill="auto"/>
            <w:noWrap/>
            <w:vAlign w:val="center"/>
            <w:hideMark/>
          </w:tcPr>
          <w:p w14:paraId="474466CD" w14:textId="77777777" w:rsidR="00837502" w:rsidRDefault="00837502" w:rsidP="006F1659">
            <w:pPr>
              <w:spacing w:line="360" w:lineRule="auto"/>
              <w:rPr>
                <w:rFonts w:ascii="Arial" w:hAnsi="Arial" w:cs="Arial"/>
                <w:color w:val="000000"/>
                <w:sz w:val="20"/>
                <w:szCs w:val="20"/>
              </w:rPr>
            </w:pPr>
            <w:r>
              <w:rPr>
                <w:rFonts w:ascii="Arial" w:hAnsi="Arial" w:cs="Arial"/>
                <w:color w:val="000000"/>
                <w:sz w:val="20"/>
                <w:szCs w:val="20"/>
              </w:rPr>
              <w:t>Earmarked Reserves</w:t>
            </w:r>
          </w:p>
        </w:tc>
        <w:tc>
          <w:tcPr>
            <w:tcW w:w="1236" w:type="dxa"/>
            <w:tcBorders>
              <w:top w:val="nil"/>
              <w:left w:val="single" w:sz="4" w:space="0" w:color="auto"/>
              <w:bottom w:val="nil"/>
              <w:right w:val="single" w:sz="4" w:space="0" w:color="auto"/>
            </w:tcBorders>
            <w:shd w:val="clear" w:color="auto" w:fill="auto"/>
            <w:noWrap/>
            <w:vAlign w:val="center"/>
            <w:hideMark/>
          </w:tcPr>
          <w:p w14:paraId="26289D51"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-20,010</w:t>
            </w:r>
          </w:p>
        </w:tc>
        <w:tc>
          <w:tcPr>
            <w:tcW w:w="1408" w:type="dxa"/>
            <w:tcBorders>
              <w:top w:val="nil"/>
              <w:left w:val="nil"/>
              <w:bottom w:val="nil"/>
              <w:right w:val="single" w:sz="4" w:space="0" w:color="auto"/>
            </w:tcBorders>
            <w:shd w:val="clear" w:color="auto" w:fill="auto"/>
            <w:noWrap/>
            <w:vAlign w:val="center"/>
            <w:hideMark/>
          </w:tcPr>
          <w:p w14:paraId="7F27F3E7"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-21,481</w:t>
            </w:r>
          </w:p>
        </w:tc>
        <w:tc>
          <w:tcPr>
            <w:tcW w:w="1408" w:type="dxa"/>
            <w:tcBorders>
              <w:top w:val="nil"/>
              <w:left w:val="nil"/>
              <w:bottom w:val="nil"/>
              <w:right w:val="single" w:sz="8" w:space="0" w:color="auto"/>
            </w:tcBorders>
            <w:shd w:val="clear" w:color="auto" w:fill="auto"/>
            <w:vAlign w:val="center"/>
            <w:hideMark/>
          </w:tcPr>
          <w:p w14:paraId="3AC4F00F"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-1,471</w:t>
            </w:r>
          </w:p>
        </w:tc>
        <w:tc>
          <w:tcPr>
            <w:tcW w:w="241" w:type="dxa"/>
            <w:vAlign w:val="center"/>
            <w:hideMark/>
          </w:tcPr>
          <w:p w14:paraId="303A5521" w14:textId="77777777" w:rsidR="00837502" w:rsidRDefault="00837502" w:rsidP="006F1659">
            <w:pPr>
              <w:spacing w:line="360" w:lineRule="auto"/>
              <w:rPr>
                <w:sz w:val="20"/>
                <w:szCs w:val="20"/>
              </w:rPr>
            </w:pPr>
          </w:p>
        </w:tc>
      </w:tr>
      <w:tr w:rsidR="00837502" w14:paraId="249B60BC" w14:textId="77777777" w:rsidTr="006E0BF0">
        <w:trPr>
          <w:trHeight w:val="279"/>
        </w:trPr>
        <w:tc>
          <w:tcPr>
            <w:tcW w:w="3425" w:type="dxa"/>
            <w:tcBorders>
              <w:top w:val="nil"/>
              <w:left w:val="single" w:sz="8" w:space="0" w:color="auto"/>
              <w:bottom w:val="nil"/>
              <w:right w:val="nil"/>
            </w:tcBorders>
            <w:shd w:val="clear" w:color="auto" w:fill="auto"/>
            <w:noWrap/>
            <w:vAlign w:val="center"/>
            <w:hideMark/>
          </w:tcPr>
          <w:p w14:paraId="6B5F14B3" w14:textId="77777777" w:rsidR="00837502" w:rsidRDefault="00837502" w:rsidP="006F1659">
            <w:pPr>
              <w:spacing w:line="360" w:lineRule="auto"/>
              <w:rPr>
                <w:rFonts w:ascii="Arial" w:hAnsi="Arial" w:cs="Arial"/>
                <w:color w:val="000000"/>
                <w:sz w:val="20"/>
                <w:szCs w:val="20"/>
              </w:rPr>
            </w:pPr>
            <w:r>
              <w:rPr>
                <w:rFonts w:ascii="Arial" w:hAnsi="Arial" w:cs="Arial"/>
                <w:color w:val="000000"/>
                <w:sz w:val="20"/>
                <w:szCs w:val="20"/>
              </w:rPr>
              <w:t>Other Income</w:t>
            </w:r>
          </w:p>
        </w:tc>
        <w:tc>
          <w:tcPr>
            <w:tcW w:w="1236" w:type="dxa"/>
            <w:tcBorders>
              <w:top w:val="nil"/>
              <w:left w:val="single" w:sz="4" w:space="0" w:color="auto"/>
              <w:bottom w:val="nil"/>
              <w:right w:val="single" w:sz="4" w:space="0" w:color="auto"/>
            </w:tcBorders>
            <w:shd w:val="clear" w:color="auto" w:fill="auto"/>
            <w:noWrap/>
            <w:vAlign w:val="center"/>
            <w:hideMark/>
          </w:tcPr>
          <w:p w14:paraId="39A9FA15"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-14,879</w:t>
            </w:r>
          </w:p>
        </w:tc>
        <w:tc>
          <w:tcPr>
            <w:tcW w:w="1408" w:type="dxa"/>
            <w:tcBorders>
              <w:top w:val="nil"/>
              <w:left w:val="nil"/>
              <w:bottom w:val="nil"/>
              <w:right w:val="single" w:sz="4" w:space="0" w:color="auto"/>
            </w:tcBorders>
            <w:shd w:val="clear" w:color="auto" w:fill="auto"/>
            <w:noWrap/>
            <w:vAlign w:val="center"/>
            <w:hideMark/>
          </w:tcPr>
          <w:p w14:paraId="48EBD690"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-25,916</w:t>
            </w:r>
          </w:p>
        </w:tc>
        <w:tc>
          <w:tcPr>
            <w:tcW w:w="1408" w:type="dxa"/>
            <w:tcBorders>
              <w:top w:val="nil"/>
              <w:left w:val="nil"/>
              <w:bottom w:val="nil"/>
              <w:right w:val="single" w:sz="8" w:space="0" w:color="auto"/>
            </w:tcBorders>
            <w:shd w:val="clear" w:color="auto" w:fill="auto"/>
            <w:vAlign w:val="center"/>
            <w:hideMark/>
          </w:tcPr>
          <w:p w14:paraId="1A933179" w14:textId="77777777" w:rsidR="00837502" w:rsidRDefault="00837502" w:rsidP="006F1659">
            <w:pPr>
              <w:spacing w:line="360" w:lineRule="auto"/>
              <w:jc w:val="right"/>
              <w:rPr>
                <w:rFonts w:ascii="Arial" w:hAnsi="Arial" w:cs="Arial"/>
                <w:sz w:val="20"/>
                <w:szCs w:val="20"/>
              </w:rPr>
            </w:pPr>
            <w:r>
              <w:rPr>
                <w:rFonts w:ascii="Arial" w:hAnsi="Arial" w:cs="Arial"/>
                <w:sz w:val="20"/>
                <w:szCs w:val="20"/>
              </w:rPr>
              <w:t>-11,037</w:t>
            </w:r>
          </w:p>
        </w:tc>
        <w:tc>
          <w:tcPr>
            <w:tcW w:w="241" w:type="dxa"/>
            <w:vAlign w:val="center"/>
            <w:hideMark/>
          </w:tcPr>
          <w:p w14:paraId="1BDDBCA9" w14:textId="77777777" w:rsidR="00837502" w:rsidRDefault="00837502" w:rsidP="006F1659">
            <w:pPr>
              <w:spacing w:line="360" w:lineRule="auto"/>
              <w:rPr>
                <w:sz w:val="20"/>
                <w:szCs w:val="20"/>
              </w:rPr>
            </w:pPr>
          </w:p>
        </w:tc>
      </w:tr>
      <w:tr w:rsidR="00837502" w14:paraId="2CC5CD14" w14:textId="77777777" w:rsidTr="006E0BF0">
        <w:trPr>
          <w:trHeight w:val="289"/>
        </w:trPr>
        <w:tc>
          <w:tcPr>
            <w:tcW w:w="3425" w:type="dxa"/>
            <w:tcBorders>
              <w:top w:val="single" w:sz="4" w:space="0" w:color="auto"/>
              <w:left w:val="single" w:sz="8" w:space="0" w:color="auto"/>
              <w:bottom w:val="single" w:sz="8" w:space="0" w:color="auto"/>
              <w:right w:val="nil"/>
            </w:tcBorders>
            <w:shd w:val="clear" w:color="000000" w:fill="BFBFBF"/>
            <w:noWrap/>
            <w:vAlign w:val="center"/>
            <w:hideMark/>
          </w:tcPr>
          <w:p w14:paraId="77DACEC1" w14:textId="7F0FFB36" w:rsidR="00837502" w:rsidRDefault="006E0BF0" w:rsidP="006F1659">
            <w:pPr>
              <w:spacing w:line="360" w:lineRule="auto"/>
              <w:rPr>
                <w:rFonts w:ascii="Arial" w:hAnsi="Arial" w:cs="Arial"/>
                <w:b/>
                <w:bCs/>
                <w:color w:val="000000"/>
                <w:sz w:val="20"/>
                <w:szCs w:val="20"/>
              </w:rPr>
            </w:pPr>
            <w:r>
              <w:rPr>
                <w:rFonts w:ascii="Arial" w:hAnsi="Arial" w:cs="Arial"/>
                <w:b/>
                <w:bCs/>
                <w:color w:val="000000"/>
                <w:sz w:val="20"/>
                <w:szCs w:val="20"/>
              </w:rPr>
              <w:t xml:space="preserve">Total </w:t>
            </w:r>
            <w:r w:rsidR="00837502">
              <w:rPr>
                <w:rFonts w:ascii="Arial" w:hAnsi="Arial" w:cs="Arial"/>
                <w:b/>
                <w:bCs/>
                <w:color w:val="000000"/>
                <w:sz w:val="20"/>
                <w:szCs w:val="20"/>
              </w:rPr>
              <w:t>Funding</w:t>
            </w:r>
          </w:p>
        </w:tc>
        <w:tc>
          <w:tcPr>
            <w:tcW w:w="1236"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14:paraId="203AC6BD"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-242,620</w:t>
            </w:r>
          </w:p>
        </w:tc>
        <w:tc>
          <w:tcPr>
            <w:tcW w:w="1408" w:type="dxa"/>
            <w:tcBorders>
              <w:top w:val="single" w:sz="4" w:space="0" w:color="auto"/>
              <w:left w:val="nil"/>
              <w:bottom w:val="single" w:sz="8" w:space="0" w:color="auto"/>
              <w:right w:val="single" w:sz="4" w:space="0" w:color="auto"/>
            </w:tcBorders>
            <w:shd w:val="clear" w:color="000000" w:fill="BFBFBF"/>
            <w:noWrap/>
            <w:vAlign w:val="center"/>
            <w:hideMark/>
          </w:tcPr>
          <w:p w14:paraId="09E7079F"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-270,091</w:t>
            </w:r>
          </w:p>
        </w:tc>
        <w:tc>
          <w:tcPr>
            <w:tcW w:w="1408" w:type="dxa"/>
            <w:tcBorders>
              <w:top w:val="single" w:sz="4" w:space="0" w:color="auto"/>
              <w:left w:val="nil"/>
              <w:bottom w:val="single" w:sz="8" w:space="0" w:color="auto"/>
              <w:right w:val="single" w:sz="8" w:space="0" w:color="auto"/>
            </w:tcBorders>
            <w:shd w:val="clear" w:color="000000" w:fill="BFBFBF"/>
            <w:noWrap/>
            <w:vAlign w:val="center"/>
            <w:hideMark/>
          </w:tcPr>
          <w:p w14:paraId="7F1C12C2" w14:textId="77777777" w:rsidR="00837502" w:rsidRDefault="00837502" w:rsidP="006F1659">
            <w:pPr>
              <w:spacing w:line="360" w:lineRule="auto"/>
              <w:jc w:val="right"/>
              <w:rPr>
                <w:rFonts w:ascii="Arial" w:hAnsi="Arial" w:cs="Arial"/>
                <w:b/>
                <w:bCs/>
                <w:sz w:val="20"/>
                <w:szCs w:val="20"/>
              </w:rPr>
            </w:pPr>
            <w:r>
              <w:rPr>
                <w:rFonts w:ascii="Arial" w:hAnsi="Arial" w:cs="Arial"/>
                <w:b/>
                <w:bCs/>
                <w:sz w:val="20"/>
                <w:szCs w:val="20"/>
              </w:rPr>
              <w:t>-27,471</w:t>
            </w:r>
          </w:p>
        </w:tc>
        <w:tc>
          <w:tcPr>
            <w:tcW w:w="241" w:type="dxa"/>
            <w:vAlign w:val="center"/>
            <w:hideMark/>
          </w:tcPr>
          <w:p w14:paraId="73089EED" w14:textId="77777777" w:rsidR="00837502" w:rsidRDefault="00837502" w:rsidP="006F1659">
            <w:pPr>
              <w:spacing w:line="360" w:lineRule="auto"/>
              <w:rPr>
                <w:sz w:val="20"/>
                <w:szCs w:val="20"/>
              </w:rPr>
            </w:pPr>
          </w:p>
        </w:tc>
      </w:tr>
    </w:tbl>
    <w:p w14:paraId="1F487207" w14:textId="77777777" w:rsidR="00BE35F9" w:rsidRPr="00192EC4" w:rsidRDefault="00BE35F9" w:rsidP="006F1659">
      <w:pPr>
        <w:tabs>
          <w:tab w:val="left" w:pos="142"/>
        </w:tabs>
        <w:spacing w:line="360" w:lineRule="auto"/>
        <w:rPr>
          <w:rFonts w:ascii="Arial" w:eastAsia="Arial" w:hAnsi="Arial" w:cs="Arial"/>
        </w:rPr>
      </w:pPr>
    </w:p>
    <w:p w14:paraId="394B4512" w14:textId="77777777" w:rsidR="00BE35F9" w:rsidRPr="00192EC4" w:rsidRDefault="00BE35F9" w:rsidP="006F1659">
      <w:pPr>
        <w:tabs>
          <w:tab w:val="left" w:pos="142"/>
        </w:tabs>
        <w:spacing w:line="360" w:lineRule="auto"/>
        <w:rPr>
          <w:rFonts w:ascii="Arial" w:eastAsia="Arial" w:hAnsi="Arial" w:cs="Arial"/>
        </w:rPr>
      </w:pPr>
    </w:p>
    <w:p w14:paraId="17A584CE" w14:textId="77777777" w:rsidR="00BE35F9" w:rsidRPr="00192EC4" w:rsidRDefault="00BE35F9" w:rsidP="006F1659">
      <w:pPr>
        <w:spacing w:line="360" w:lineRule="auto"/>
        <w:rPr>
          <w:rFonts w:ascii="Arial" w:hAnsi="Arial" w:cs="Arial"/>
          <w:snapToGrid w:val="0"/>
          <w:u w:val="single"/>
        </w:rPr>
      </w:pPr>
      <w:r w:rsidRPr="00192EC4">
        <w:rPr>
          <w:rFonts w:ascii="Arial" w:hAnsi="Arial" w:cs="Arial"/>
          <w:snapToGrid w:val="0"/>
          <w:u w:val="single"/>
        </w:rPr>
        <w:t>Corporate Services</w:t>
      </w:r>
    </w:p>
    <w:p w14:paraId="43E48E54" w14:textId="77777777" w:rsidR="00BE35F9" w:rsidRPr="00192EC4" w:rsidRDefault="00BE35F9" w:rsidP="006F1659">
      <w:pPr>
        <w:spacing w:line="360" w:lineRule="auto"/>
        <w:rPr>
          <w:rFonts w:ascii="Arial" w:hAnsi="Arial" w:cs="Arial"/>
          <w:snapToGrid w:val="0"/>
        </w:rPr>
      </w:pPr>
    </w:p>
    <w:p w14:paraId="0767E0DD" w14:textId="054D26D5" w:rsidR="00BE35F9" w:rsidRPr="00192EC4" w:rsidRDefault="00BE35F9" w:rsidP="006F1659">
      <w:pPr>
        <w:spacing w:line="360" w:lineRule="auto"/>
        <w:rPr>
          <w:rFonts w:ascii="Arial" w:hAnsi="Arial" w:cs="Arial"/>
          <w:snapToGrid w:val="0"/>
        </w:rPr>
      </w:pPr>
      <w:r w:rsidRPr="00192EC4">
        <w:rPr>
          <w:rFonts w:ascii="Arial" w:hAnsi="Arial" w:cs="Arial"/>
          <w:snapToGrid w:val="0"/>
        </w:rPr>
        <w:t>The Corporate Services Directorate provide support for the whole of GMCA including GMFRS, OPCC,</w:t>
      </w:r>
      <w:r w:rsidR="006E0BF0">
        <w:rPr>
          <w:rFonts w:ascii="Arial" w:hAnsi="Arial" w:cs="Arial"/>
          <w:snapToGrid w:val="0"/>
        </w:rPr>
        <w:t xml:space="preserve"> </w:t>
      </w:r>
      <w:r w:rsidRPr="00192EC4">
        <w:rPr>
          <w:rFonts w:ascii="Arial" w:hAnsi="Arial" w:cs="Arial"/>
          <w:snapToGrid w:val="0"/>
        </w:rPr>
        <w:t xml:space="preserve">Waste and Resources and elements of Transport functions. The </w:t>
      </w:r>
      <w:r w:rsidR="006E0BF0">
        <w:rPr>
          <w:rFonts w:ascii="Arial" w:hAnsi="Arial" w:cs="Arial"/>
          <w:snapToGrid w:val="0"/>
        </w:rPr>
        <w:t>c</w:t>
      </w:r>
      <w:r w:rsidRPr="00192EC4">
        <w:rPr>
          <w:rFonts w:ascii="Arial" w:hAnsi="Arial" w:cs="Arial"/>
          <w:snapToGrid w:val="0"/>
        </w:rPr>
        <w:t>orporate functions include services such as Strategy, Research, I</w:t>
      </w:r>
      <w:r w:rsidR="006E0BF0">
        <w:rPr>
          <w:rFonts w:ascii="Arial" w:hAnsi="Arial" w:cs="Arial"/>
          <w:snapToGrid w:val="0"/>
        </w:rPr>
        <w:t xml:space="preserve">nformation and </w:t>
      </w:r>
      <w:r w:rsidRPr="00192EC4">
        <w:rPr>
          <w:rFonts w:ascii="Arial" w:hAnsi="Arial" w:cs="Arial"/>
          <w:snapToGrid w:val="0"/>
        </w:rPr>
        <w:t>C</w:t>
      </w:r>
      <w:r w:rsidR="006E0BF0">
        <w:rPr>
          <w:rFonts w:ascii="Arial" w:hAnsi="Arial" w:cs="Arial"/>
          <w:snapToGrid w:val="0"/>
        </w:rPr>
        <w:t xml:space="preserve">ommunication </w:t>
      </w:r>
      <w:r w:rsidRPr="00192EC4">
        <w:rPr>
          <w:rFonts w:ascii="Arial" w:hAnsi="Arial" w:cs="Arial"/>
          <w:snapToGrid w:val="0"/>
        </w:rPr>
        <w:t>T</w:t>
      </w:r>
      <w:r w:rsidR="006E0BF0">
        <w:rPr>
          <w:rFonts w:ascii="Arial" w:hAnsi="Arial" w:cs="Arial"/>
          <w:snapToGrid w:val="0"/>
        </w:rPr>
        <w:t>echnology (ICT)</w:t>
      </w:r>
      <w:r w:rsidRPr="00192EC4">
        <w:rPr>
          <w:rFonts w:ascii="Arial" w:hAnsi="Arial" w:cs="Arial"/>
          <w:snapToGrid w:val="0"/>
        </w:rPr>
        <w:t xml:space="preserve">, Human Resources, Organisational Development, Finance, Internal Audit and Risk, Commercial Services, Legal and Governance. Funding of GMCA corporate functions is predominantly from recharges within the GMCA and to grants, external funding and </w:t>
      </w:r>
      <w:r w:rsidR="002E1DEA" w:rsidRPr="00192EC4">
        <w:rPr>
          <w:rFonts w:ascii="Arial" w:hAnsi="Arial" w:cs="Arial"/>
          <w:snapToGrid w:val="0"/>
        </w:rPr>
        <w:t>d</w:t>
      </w:r>
      <w:r w:rsidRPr="00192EC4">
        <w:rPr>
          <w:rFonts w:ascii="Arial" w:hAnsi="Arial" w:cs="Arial"/>
          <w:snapToGrid w:val="0"/>
        </w:rPr>
        <w:t>istrict contributions. The original approved budget for 2022/23 was £21m and the 2022/23 gross expenditure was £23m. The increase of £2m relates to expenditure on new activity funded by additional external income of £0.8m and budget pressures of £1.2m.</w:t>
      </w:r>
    </w:p>
    <w:p w14:paraId="372A2A7E" w14:textId="29D63F1F" w:rsidR="00BE35F9" w:rsidRPr="00192EC4" w:rsidRDefault="00BE35F9" w:rsidP="006F1659">
      <w:pPr>
        <w:spacing w:line="360" w:lineRule="auto"/>
        <w:rPr>
          <w:rFonts w:ascii="Arial" w:hAnsi="Arial" w:cs="Arial"/>
          <w:snapToGrid w:val="0"/>
        </w:rPr>
      </w:pPr>
    </w:p>
    <w:p w14:paraId="67AD040E" w14:textId="77777777" w:rsidR="00BE35F9" w:rsidRPr="00192EC4" w:rsidRDefault="00BE35F9" w:rsidP="006F1659">
      <w:pPr>
        <w:pStyle w:val="paragraph"/>
        <w:spacing w:before="0" w:beforeAutospacing="0" w:after="0" w:afterAutospacing="0" w:line="360" w:lineRule="auto"/>
        <w:ind w:left="709" w:hanging="709"/>
        <w:textAlignment w:val="baseline"/>
        <w:rPr>
          <w:rStyle w:val="normaltextrun"/>
          <w:rFonts w:ascii="Arial" w:hAnsi="Arial" w:cs="Arial"/>
          <w:u w:val="single"/>
        </w:rPr>
      </w:pPr>
      <w:r w:rsidRPr="00192EC4">
        <w:rPr>
          <w:rStyle w:val="normaltextrun"/>
          <w:rFonts w:ascii="Arial" w:hAnsi="Arial" w:cs="Arial"/>
          <w:u w:val="single"/>
        </w:rPr>
        <w:t>Core Investment Team</w:t>
      </w:r>
    </w:p>
    <w:p w14:paraId="73817695" w14:textId="77777777" w:rsidR="00BE35F9" w:rsidRPr="00192EC4" w:rsidRDefault="00BE35F9" w:rsidP="006F1659">
      <w:pPr>
        <w:pStyle w:val="paragraph"/>
        <w:spacing w:before="0" w:beforeAutospacing="0" w:after="0" w:afterAutospacing="0" w:line="360" w:lineRule="auto"/>
        <w:ind w:left="709" w:hanging="709"/>
        <w:textAlignment w:val="baseline"/>
        <w:rPr>
          <w:rStyle w:val="normaltextrun"/>
          <w:rFonts w:ascii="Arial" w:hAnsi="Arial" w:cs="Arial"/>
          <w:u w:val="single"/>
        </w:rPr>
      </w:pPr>
    </w:p>
    <w:p w14:paraId="523921A6" w14:textId="22FBF3F2" w:rsidR="006E0BF0" w:rsidRDefault="006E0BF0" w:rsidP="006F1659">
      <w:pPr>
        <w:pStyle w:val="paragraph"/>
        <w:spacing w:before="0" w:beforeAutospacing="0" w:after="0" w:afterAutospacing="0" w:line="360" w:lineRule="auto"/>
        <w:textAlignment w:val="baseline"/>
        <w:rPr>
          <w:rFonts w:ascii="Arial" w:hAnsi="Arial" w:cs="Arial"/>
          <w:snapToGrid w:val="0"/>
        </w:rPr>
      </w:pPr>
      <w:r>
        <w:rPr>
          <w:rFonts w:ascii="Arial" w:hAnsi="Arial" w:cs="Arial"/>
          <w:snapToGrid w:val="0"/>
        </w:rPr>
        <w:t xml:space="preserve">The Core Investment Team is responsible for managing funding provided through the Greater Manchester (GM) Investment Framework and the GM Housing Investment Loans Fund (HLIF) described above.  </w:t>
      </w:r>
    </w:p>
    <w:p w14:paraId="6C3BFC61" w14:textId="77777777" w:rsidR="006E0BF0" w:rsidRDefault="006E0BF0" w:rsidP="006F1659">
      <w:pPr>
        <w:pStyle w:val="paragraph"/>
        <w:spacing w:before="0" w:beforeAutospacing="0" w:after="0" w:afterAutospacing="0" w:line="360" w:lineRule="auto"/>
        <w:textAlignment w:val="baseline"/>
        <w:rPr>
          <w:rFonts w:ascii="Arial" w:hAnsi="Arial" w:cs="Arial"/>
          <w:snapToGrid w:val="0"/>
        </w:rPr>
      </w:pPr>
    </w:p>
    <w:p w14:paraId="48AF28BD" w14:textId="74CCB4AB" w:rsidR="00BE35F9" w:rsidRPr="00192EC4" w:rsidRDefault="00BE35F9" w:rsidP="006F1659">
      <w:pPr>
        <w:pStyle w:val="paragraph"/>
        <w:spacing w:before="0" w:beforeAutospacing="0" w:after="0" w:afterAutospacing="0" w:line="360" w:lineRule="auto"/>
        <w:textAlignment w:val="baseline"/>
        <w:rPr>
          <w:rStyle w:val="normaltextrun"/>
          <w:rFonts w:ascii="Arial" w:hAnsi="Arial" w:cs="Arial"/>
          <w:u w:val="single"/>
        </w:rPr>
      </w:pPr>
      <w:r w:rsidRPr="00192EC4">
        <w:rPr>
          <w:rFonts w:ascii="Arial" w:hAnsi="Arial" w:cs="Arial"/>
          <w:snapToGrid w:val="0"/>
        </w:rPr>
        <w:t xml:space="preserve">The outturn position on the Core Investment Team shows an increase of £4m compared to the original budget, however this does not impact the revenue outturn position for GMCA. Expenditure will vary due to investments agreed during the financial year fully funded from returns from investment activity with surpluses/deficits transferred to earmarked reserves.  </w:t>
      </w:r>
    </w:p>
    <w:p w14:paraId="02BAC92F" w14:textId="77777777" w:rsidR="00BE35F9" w:rsidRPr="00192EC4" w:rsidRDefault="00BE35F9" w:rsidP="006F1659">
      <w:pPr>
        <w:pStyle w:val="paragraph"/>
        <w:spacing w:before="0" w:beforeAutospacing="0" w:after="0" w:afterAutospacing="0" w:line="360" w:lineRule="auto"/>
        <w:ind w:left="709" w:hanging="709"/>
        <w:textAlignment w:val="baseline"/>
        <w:rPr>
          <w:rStyle w:val="normaltextrun"/>
          <w:rFonts w:ascii="Arial" w:hAnsi="Arial" w:cs="Arial"/>
          <w:u w:val="single"/>
        </w:rPr>
      </w:pPr>
    </w:p>
    <w:p w14:paraId="52C4C07A" w14:textId="77777777" w:rsidR="00BE35F9" w:rsidRPr="00192EC4" w:rsidRDefault="00BE35F9" w:rsidP="006F1659">
      <w:pPr>
        <w:pStyle w:val="paragraph"/>
        <w:spacing w:before="0" w:beforeAutospacing="0" w:after="0" w:afterAutospacing="0" w:line="360" w:lineRule="auto"/>
        <w:ind w:left="709" w:hanging="709"/>
        <w:textAlignment w:val="baseline"/>
        <w:rPr>
          <w:rStyle w:val="normaltextrun"/>
          <w:rFonts w:ascii="Arial" w:hAnsi="Arial" w:cs="Arial"/>
          <w:u w:val="single"/>
        </w:rPr>
      </w:pPr>
      <w:r w:rsidRPr="00192EC4">
        <w:rPr>
          <w:rStyle w:val="normaltextrun"/>
          <w:rFonts w:ascii="Arial" w:hAnsi="Arial" w:cs="Arial"/>
          <w:u w:val="single"/>
        </w:rPr>
        <w:t>Digital</w:t>
      </w:r>
    </w:p>
    <w:p w14:paraId="6118EF33" w14:textId="77777777" w:rsidR="00BE35F9" w:rsidRPr="00192EC4" w:rsidRDefault="00BE35F9" w:rsidP="006F1659">
      <w:pPr>
        <w:pStyle w:val="paragraph"/>
        <w:spacing w:before="0" w:beforeAutospacing="0" w:after="0" w:afterAutospacing="0" w:line="360" w:lineRule="auto"/>
        <w:ind w:left="709" w:hanging="709"/>
        <w:textAlignment w:val="baseline"/>
        <w:rPr>
          <w:rStyle w:val="normaltextrun"/>
          <w:rFonts w:ascii="Arial" w:hAnsi="Arial" w:cs="Arial"/>
        </w:rPr>
      </w:pPr>
    </w:p>
    <w:p w14:paraId="149D5112" w14:textId="77777777" w:rsidR="00BE35F9" w:rsidRPr="00192EC4" w:rsidRDefault="00BE35F9" w:rsidP="006F1659">
      <w:pPr>
        <w:pStyle w:val="paragraph"/>
        <w:spacing w:before="0" w:beforeAutospacing="0" w:after="0" w:afterAutospacing="0" w:line="360" w:lineRule="auto"/>
        <w:textAlignment w:val="baseline"/>
        <w:rPr>
          <w:rStyle w:val="eop"/>
          <w:rFonts w:ascii="Arial" w:hAnsi="Arial" w:cs="Arial"/>
          <w:color w:val="000000"/>
          <w:shd w:val="clear" w:color="auto" w:fill="FFFFFF"/>
        </w:rPr>
      </w:pPr>
      <w:r w:rsidRPr="00192EC4">
        <w:rPr>
          <w:rStyle w:val="normaltextrun"/>
          <w:rFonts w:ascii="Arial" w:hAnsi="Arial" w:cs="Arial"/>
        </w:rPr>
        <w:t xml:space="preserve">The Digital Directorate is committed to delivering on the GM Digital Strategy through a three year approach set out in the GM Digital Blueprint. </w:t>
      </w:r>
      <w:r w:rsidRPr="00192EC4">
        <w:rPr>
          <w:rFonts w:ascii="Arial" w:hAnsi="Arial" w:cs="Arial"/>
          <w:iCs/>
        </w:rPr>
        <w:t xml:space="preserve">GM Digital collaborates across the GM digital system which includes industry, universities, health, Voluntary, Community and Social Enterprise (VCSE) sector to create opportunities, maximise outcomes and generate inward investment. </w:t>
      </w:r>
    </w:p>
    <w:p w14:paraId="723BD556" w14:textId="77777777" w:rsidR="00BE35F9" w:rsidRPr="00192EC4" w:rsidRDefault="00BE35F9" w:rsidP="006F1659">
      <w:pPr>
        <w:pStyle w:val="paragraph"/>
        <w:spacing w:before="0" w:beforeAutospacing="0" w:after="0" w:afterAutospacing="0" w:line="360" w:lineRule="auto"/>
        <w:ind w:left="720" w:hanging="720"/>
        <w:textAlignment w:val="baseline"/>
        <w:rPr>
          <w:rStyle w:val="eop"/>
          <w:rFonts w:ascii="Arial" w:hAnsi="Arial" w:cs="Arial"/>
          <w:color w:val="000000"/>
          <w:shd w:val="clear" w:color="auto" w:fill="FFFFFF"/>
        </w:rPr>
      </w:pPr>
    </w:p>
    <w:p w14:paraId="7C742E1D" w14:textId="07966583" w:rsidR="00BE35F9" w:rsidRPr="00192EC4" w:rsidRDefault="00BE35F9" w:rsidP="006F1659">
      <w:pPr>
        <w:pStyle w:val="paragraph"/>
        <w:spacing w:before="0" w:beforeAutospacing="0" w:after="0" w:afterAutospacing="0" w:line="360" w:lineRule="auto"/>
        <w:textAlignment w:val="baseline"/>
        <w:rPr>
          <w:rFonts w:ascii="Arial" w:hAnsi="Arial" w:cs="Arial"/>
          <w:snapToGrid w:val="0"/>
        </w:rPr>
      </w:pPr>
      <w:r w:rsidRPr="00192EC4">
        <w:rPr>
          <w:rFonts w:ascii="Arial" w:hAnsi="Arial" w:cs="Arial"/>
          <w:snapToGrid w:val="0"/>
        </w:rPr>
        <w:t xml:space="preserve">The 2022/23 original budget for Digital was £2.6m, which included the key programmes of GM Connect, GM Digital Strategy and </w:t>
      </w:r>
      <w:r w:rsidRPr="00192EC4">
        <w:rPr>
          <w:rFonts w:ascii="Arial" w:hAnsi="Arial" w:cs="Arial"/>
          <w:iCs/>
        </w:rPr>
        <w:t xml:space="preserve">Smart Residents Data Exchange Platform, </w:t>
      </w:r>
      <w:r w:rsidRPr="00192EC4">
        <w:rPr>
          <w:rFonts w:ascii="Arial" w:hAnsi="Arial" w:cs="Arial"/>
          <w:snapToGrid w:val="0"/>
        </w:rPr>
        <w:t xml:space="preserve">Local Full Fibre Network and GM One Network. The outturn position is expenditure of £3.2m with a £0.5m relating to expenditure on the implementation of the GM One Network with a collaboration agreement with partners to commence in September 2023, £1.4m from previously agreed retained business rates growth and £1.3m from grants and reserves. </w:t>
      </w:r>
    </w:p>
    <w:p w14:paraId="101A01B4" w14:textId="77777777" w:rsidR="00BE35F9" w:rsidRPr="00192EC4" w:rsidRDefault="00BE35F9" w:rsidP="006F1659">
      <w:pPr>
        <w:pStyle w:val="paragraph"/>
        <w:spacing w:before="0" w:beforeAutospacing="0" w:after="0" w:afterAutospacing="0" w:line="360" w:lineRule="auto"/>
        <w:textAlignment w:val="baseline"/>
        <w:rPr>
          <w:rFonts w:ascii="Arial" w:hAnsi="Arial" w:cs="Arial"/>
          <w:snapToGrid w:val="0"/>
        </w:rPr>
      </w:pPr>
    </w:p>
    <w:p w14:paraId="50C010E9" w14:textId="77777777" w:rsidR="00BE35F9" w:rsidRPr="00192EC4" w:rsidRDefault="00BE35F9" w:rsidP="006F1659">
      <w:pPr>
        <w:tabs>
          <w:tab w:val="left" w:pos="709"/>
        </w:tabs>
        <w:spacing w:line="360" w:lineRule="auto"/>
        <w:jc w:val="both"/>
        <w:rPr>
          <w:rFonts w:ascii="Arial" w:hAnsi="Arial" w:cs="Arial"/>
        </w:rPr>
      </w:pPr>
      <w:r w:rsidRPr="00192EC4">
        <w:rPr>
          <w:rFonts w:ascii="Arial" w:hAnsi="Arial" w:cs="Arial"/>
          <w:snapToGrid w:val="0"/>
          <w:u w:val="single"/>
        </w:rPr>
        <w:t>Economy</w:t>
      </w:r>
      <w:r w:rsidRPr="00192EC4">
        <w:rPr>
          <w:rFonts w:ascii="Arial" w:hAnsi="Arial" w:cs="Arial"/>
        </w:rPr>
        <w:t xml:space="preserve"> </w:t>
      </w:r>
    </w:p>
    <w:p w14:paraId="73558F29" w14:textId="77777777" w:rsidR="00BE35F9" w:rsidRPr="00192EC4" w:rsidRDefault="00BE35F9" w:rsidP="006F1659">
      <w:pPr>
        <w:tabs>
          <w:tab w:val="left" w:pos="709"/>
        </w:tabs>
        <w:spacing w:line="360" w:lineRule="auto"/>
        <w:jc w:val="both"/>
        <w:rPr>
          <w:rFonts w:ascii="Arial" w:hAnsi="Arial" w:cs="Arial"/>
          <w:b/>
          <w:snapToGrid w:val="0"/>
        </w:rPr>
      </w:pPr>
    </w:p>
    <w:p w14:paraId="346213E7" w14:textId="708C2DEA" w:rsidR="00BE35F9" w:rsidRPr="00192EC4" w:rsidRDefault="00BE35F9" w:rsidP="006F1659">
      <w:pPr>
        <w:spacing w:line="360" w:lineRule="auto"/>
        <w:rPr>
          <w:rFonts w:ascii="Arial" w:hAnsi="Arial" w:cs="Arial"/>
          <w:snapToGrid w:val="0"/>
        </w:rPr>
      </w:pPr>
      <w:r w:rsidRPr="00192EC4">
        <w:rPr>
          <w:rFonts w:ascii="Arial" w:hAnsi="Arial" w:cs="Arial"/>
        </w:rPr>
        <w:t xml:space="preserve">The Economy Directorate leads key groups including the Growth Board, Local Industrial Strategy Programme Delivery Executive, GM Economic Resilience Group and GM Local Enterprise Partnership (LEP). </w:t>
      </w:r>
      <w:r w:rsidRPr="00192EC4">
        <w:rPr>
          <w:rFonts w:ascii="Arial" w:hAnsi="Arial" w:cs="Arial"/>
          <w:snapToGrid w:val="0"/>
        </w:rPr>
        <w:t>The 2022/23 approved budget for Economy was £18.5m</w:t>
      </w:r>
      <w:r w:rsidR="00EC49BA" w:rsidRPr="00192EC4">
        <w:rPr>
          <w:rFonts w:ascii="Arial" w:hAnsi="Arial" w:cs="Arial"/>
          <w:snapToGrid w:val="0"/>
        </w:rPr>
        <w:t xml:space="preserve"> </w:t>
      </w:r>
      <w:r w:rsidRPr="00192EC4">
        <w:rPr>
          <w:rFonts w:ascii="Arial" w:hAnsi="Arial" w:cs="Arial"/>
          <w:snapToGrid w:val="0"/>
        </w:rPr>
        <w:t>with actual expenditure for 2022/23 being £15.5m relating to:</w:t>
      </w:r>
    </w:p>
    <w:p w14:paraId="1ADF1FFC" w14:textId="77777777" w:rsidR="00EC49BA" w:rsidRPr="00192EC4" w:rsidRDefault="00EC49BA" w:rsidP="006F1659">
      <w:pPr>
        <w:spacing w:line="360" w:lineRule="auto"/>
        <w:rPr>
          <w:rFonts w:ascii="Arial" w:hAnsi="Arial" w:cs="Arial"/>
        </w:rPr>
      </w:pPr>
    </w:p>
    <w:p w14:paraId="31A25012" w14:textId="77777777" w:rsidR="00BE35F9" w:rsidRPr="00192EC4" w:rsidRDefault="00BE35F9" w:rsidP="006F1659">
      <w:pPr>
        <w:pStyle w:val="ListParagraph"/>
        <w:numPr>
          <w:ilvl w:val="0"/>
          <w:numId w:val="74"/>
        </w:numPr>
        <w:spacing w:after="0" w:line="360" w:lineRule="auto"/>
        <w:ind w:left="426" w:hanging="426"/>
        <w:rPr>
          <w:rFonts w:ascii="Arial" w:hAnsi="Arial" w:cs="Arial"/>
          <w:snapToGrid w:val="0"/>
          <w:sz w:val="24"/>
          <w:szCs w:val="24"/>
        </w:rPr>
      </w:pPr>
      <w:r w:rsidRPr="00192EC4">
        <w:rPr>
          <w:rFonts w:ascii="Arial" w:hAnsi="Arial" w:cs="Arial"/>
          <w:snapToGrid w:val="0"/>
          <w:sz w:val="24"/>
          <w:szCs w:val="24"/>
        </w:rPr>
        <w:t>GM Productivity Programme expenditure of £6.1m and GM Local Industrial Strategy (LIS) expenditure of £1.6m both funded from retained business rates.</w:t>
      </w:r>
    </w:p>
    <w:p w14:paraId="3AE6A37F" w14:textId="15B212A6" w:rsidR="00BE35F9" w:rsidRPr="00192EC4" w:rsidRDefault="00BE35F9" w:rsidP="006F1659">
      <w:pPr>
        <w:pStyle w:val="ListParagraph"/>
        <w:numPr>
          <w:ilvl w:val="0"/>
          <w:numId w:val="74"/>
        </w:numPr>
        <w:spacing w:after="0" w:line="360" w:lineRule="auto"/>
        <w:ind w:left="426" w:hanging="426"/>
        <w:rPr>
          <w:rFonts w:ascii="Arial" w:hAnsi="Arial" w:cs="Arial"/>
          <w:snapToGrid w:val="0"/>
          <w:sz w:val="24"/>
          <w:szCs w:val="24"/>
        </w:rPr>
      </w:pPr>
      <w:r w:rsidRPr="00192EC4">
        <w:rPr>
          <w:rFonts w:ascii="Arial" w:hAnsi="Arial" w:cs="Arial"/>
          <w:snapToGrid w:val="0"/>
          <w:sz w:val="24"/>
          <w:szCs w:val="24"/>
        </w:rPr>
        <w:t xml:space="preserve">Marketing Manchester and MIDAS expenditure of £2.150m funded from </w:t>
      </w:r>
      <w:r w:rsidR="00EC49BA" w:rsidRPr="00192EC4">
        <w:rPr>
          <w:rFonts w:ascii="Arial" w:hAnsi="Arial" w:cs="Arial"/>
          <w:snapToGrid w:val="0"/>
          <w:sz w:val="24"/>
          <w:szCs w:val="24"/>
        </w:rPr>
        <w:t>d</w:t>
      </w:r>
      <w:r w:rsidRPr="00192EC4">
        <w:rPr>
          <w:rFonts w:ascii="Arial" w:hAnsi="Arial" w:cs="Arial"/>
          <w:snapToGrid w:val="0"/>
          <w:sz w:val="24"/>
          <w:szCs w:val="24"/>
        </w:rPr>
        <w:t xml:space="preserve">istrict </w:t>
      </w:r>
      <w:r w:rsidR="00EC49BA" w:rsidRPr="00192EC4">
        <w:rPr>
          <w:rFonts w:ascii="Arial" w:hAnsi="Arial" w:cs="Arial"/>
          <w:snapToGrid w:val="0"/>
          <w:sz w:val="24"/>
          <w:szCs w:val="24"/>
        </w:rPr>
        <w:t>c</w:t>
      </w:r>
      <w:r w:rsidRPr="00192EC4">
        <w:rPr>
          <w:rFonts w:ascii="Arial" w:hAnsi="Arial" w:cs="Arial"/>
          <w:snapToGrid w:val="0"/>
          <w:sz w:val="24"/>
          <w:szCs w:val="24"/>
        </w:rPr>
        <w:t xml:space="preserve">ontributions of £1.4m and £0.75m from retained business rates.  </w:t>
      </w:r>
    </w:p>
    <w:p w14:paraId="3D1B1AA0" w14:textId="7CF08E78" w:rsidR="00BE35F9" w:rsidRPr="00192EC4" w:rsidRDefault="00BE35F9" w:rsidP="006F1659">
      <w:pPr>
        <w:pStyle w:val="ListParagraph"/>
        <w:numPr>
          <w:ilvl w:val="0"/>
          <w:numId w:val="74"/>
        </w:numPr>
        <w:spacing w:after="0" w:line="360" w:lineRule="auto"/>
        <w:ind w:left="426" w:hanging="426"/>
        <w:rPr>
          <w:rFonts w:ascii="Arial" w:hAnsi="Arial" w:cs="Arial"/>
          <w:snapToGrid w:val="0"/>
          <w:sz w:val="24"/>
          <w:szCs w:val="24"/>
        </w:rPr>
      </w:pPr>
      <w:r w:rsidRPr="00192EC4">
        <w:rPr>
          <w:rFonts w:ascii="Arial" w:hAnsi="Arial" w:cs="Arial"/>
          <w:snapToGrid w:val="0"/>
          <w:sz w:val="24"/>
          <w:szCs w:val="24"/>
        </w:rPr>
        <w:t xml:space="preserve">Made Smarter Adoption North West programme of £2.8m fully funded from </w:t>
      </w:r>
      <w:r w:rsidR="00EC49BA" w:rsidRPr="00192EC4">
        <w:rPr>
          <w:rFonts w:ascii="Arial" w:hAnsi="Arial" w:cs="Arial"/>
          <w:snapToGrid w:val="0"/>
          <w:sz w:val="24"/>
          <w:szCs w:val="24"/>
        </w:rPr>
        <w:t>g</w:t>
      </w:r>
      <w:r w:rsidRPr="00192EC4">
        <w:rPr>
          <w:rFonts w:ascii="Arial" w:hAnsi="Arial" w:cs="Arial"/>
          <w:snapToGrid w:val="0"/>
          <w:sz w:val="24"/>
          <w:szCs w:val="24"/>
        </w:rPr>
        <w:t xml:space="preserve">overnment grant.  </w:t>
      </w:r>
    </w:p>
    <w:p w14:paraId="53D93DA5" w14:textId="77777777" w:rsidR="00BE35F9" w:rsidRPr="00192EC4" w:rsidRDefault="00BE35F9" w:rsidP="006F1659">
      <w:pPr>
        <w:pStyle w:val="ListParagraph"/>
        <w:numPr>
          <w:ilvl w:val="0"/>
          <w:numId w:val="74"/>
        </w:numPr>
        <w:spacing w:after="0" w:line="360" w:lineRule="auto"/>
        <w:ind w:left="426" w:hanging="426"/>
        <w:rPr>
          <w:rFonts w:ascii="Arial" w:hAnsi="Arial" w:cs="Arial"/>
          <w:snapToGrid w:val="0"/>
          <w:sz w:val="24"/>
          <w:szCs w:val="24"/>
        </w:rPr>
      </w:pPr>
      <w:r w:rsidRPr="00192EC4">
        <w:rPr>
          <w:rFonts w:ascii="Arial" w:hAnsi="Arial" w:cs="Arial"/>
          <w:snapToGrid w:val="0"/>
          <w:sz w:val="24"/>
          <w:szCs w:val="24"/>
        </w:rPr>
        <w:t>Economy team expenditure of £1.1m funded from a combination of internal recharges, grants and previously and retained business rates.</w:t>
      </w:r>
    </w:p>
    <w:p w14:paraId="501ED4C2" w14:textId="77777777" w:rsidR="00BE35F9" w:rsidRPr="00192EC4" w:rsidRDefault="00BE35F9" w:rsidP="006F1659">
      <w:pPr>
        <w:pStyle w:val="ListParagraph"/>
        <w:numPr>
          <w:ilvl w:val="0"/>
          <w:numId w:val="74"/>
        </w:numPr>
        <w:spacing w:after="0" w:line="360" w:lineRule="auto"/>
        <w:ind w:left="426" w:hanging="426"/>
        <w:rPr>
          <w:rFonts w:ascii="Arial" w:hAnsi="Arial" w:cs="Arial"/>
          <w:snapToGrid w:val="0"/>
          <w:sz w:val="24"/>
          <w:szCs w:val="24"/>
        </w:rPr>
      </w:pPr>
      <w:r w:rsidRPr="00192EC4">
        <w:rPr>
          <w:rFonts w:ascii="Arial" w:hAnsi="Arial" w:cs="Arial"/>
          <w:snapToGrid w:val="0"/>
          <w:sz w:val="24"/>
          <w:szCs w:val="24"/>
        </w:rPr>
        <w:t xml:space="preserve">Other expenditure totalling £1.1m against government grants confirmed during the financial year: </w:t>
      </w:r>
    </w:p>
    <w:p w14:paraId="49D4ECF2" w14:textId="77777777" w:rsidR="00BE35F9" w:rsidRPr="00192EC4" w:rsidRDefault="00BE35F9" w:rsidP="006F1659">
      <w:pPr>
        <w:pStyle w:val="ListParagraph"/>
        <w:numPr>
          <w:ilvl w:val="1"/>
          <w:numId w:val="74"/>
        </w:numPr>
        <w:spacing w:after="0" w:line="360" w:lineRule="auto"/>
        <w:ind w:left="709" w:hanging="283"/>
        <w:rPr>
          <w:rFonts w:ascii="Arial" w:hAnsi="Arial" w:cs="Arial"/>
          <w:snapToGrid w:val="0"/>
          <w:sz w:val="24"/>
          <w:szCs w:val="24"/>
        </w:rPr>
      </w:pPr>
      <w:r w:rsidRPr="00192EC4">
        <w:rPr>
          <w:rFonts w:ascii="Arial" w:hAnsi="Arial" w:cs="Arial"/>
          <w:snapToGrid w:val="0"/>
          <w:sz w:val="24"/>
          <w:szCs w:val="24"/>
        </w:rPr>
        <w:t>Local Enterprise Partnership core funding of £0.4m from Department Levelling Up Housing and Communities (DLUHC);</w:t>
      </w:r>
    </w:p>
    <w:p w14:paraId="0892CAEC" w14:textId="77777777" w:rsidR="00BE35F9" w:rsidRPr="00192EC4" w:rsidRDefault="00BE35F9" w:rsidP="006F1659">
      <w:pPr>
        <w:pStyle w:val="ListParagraph"/>
        <w:numPr>
          <w:ilvl w:val="1"/>
          <w:numId w:val="74"/>
        </w:numPr>
        <w:spacing w:after="0" w:line="360" w:lineRule="auto"/>
        <w:ind w:left="709" w:hanging="283"/>
        <w:rPr>
          <w:rFonts w:ascii="Arial" w:hAnsi="Arial" w:cs="Arial"/>
          <w:snapToGrid w:val="0"/>
          <w:sz w:val="24"/>
          <w:szCs w:val="24"/>
        </w:rPr>
      </w:pPr>
      <w:r w:rsidRPr="00192EC4">
        <w:rPr>
          <w:rFonts w:ascii="Arial" w:hAnsi="Arial" w:cs="Arial"/>
          <w:snapToGrid w:val="0"/>
          <w:sz w:val="24"/>
          <w:szCs w:val="24"/>
        </w:rPr>
        <w:t>Innovation Accelerator seed corn funding of £0.3m from Department for Science, Innovation and Technology (DSIT) to support research in key growth opportunities identified in the GM LIS;</w:t>
      </w:r>
    </w:p>
    <w:p w14:paraId="027F6C65" w14:textId="77777777" w:rsidR="00BE35F9" w:rsidRPr="00192EC4" w:rsidRDefault="00BE35F9" w:rsidP="006F1659">
      <w:pPr>
        <w:pStyle w:val="ListParagraph"/>
        <w:numPr>
          <w:ilvl w:val="1"/>
          <w:numId w:val="74"/>
        </w:numPr>
        <w:spacing w:after="0" w:line="360" w:lineRule="auto"/>
        <w:ind w:left="709" w:hanging="283"/>
        <w:rPr>
          <w:rFonts w:ascii="Arial" w:hAnsi="Arial" w:cs="Arial"/>
          <w:snapToGrid w:val="0"/>
          <w:sz w:val="24"/>
          <w:szCs w:val="24"/>
        </w:rPr>
      </w:pPr>
      <w:r w:rsidRPr="00192EC4">
        <w:rPr>
          <w:rFonts w:ascii="Arial" w:hAnsi="Arial" w:cs="Arial"/>
          <w:snapToGrid w:val="0"/>
          <w:sz w:val="24"/>
          <w:szCs w:val="24"/>
        </w:rPr>
        <w:t>Department for Business, Energy and Industrial Strategy (BEIS) funding for National Cluster Co-ordination undertaken by the Business Growth Hub of £0.4m.</w:t>
      </w:r>
    </w:p>
    <w:p w14:paraId="1E1365DD" w14:textId="539BB44A" w:rsidR="00B7710C" w:rsidRPr="00201027" w:rsidRDefault="00BE35F9" w:rsidP="00201027">
      <w:pPr>
        <w:pStyle w:val="ListParagraph"/>
        <w:numPr>
          <w:ilvl w:val="1"/>
          <w:numId w:val="74"/>
        </w:numPr>
        <w:spacing w:after="0" w:line="360" w:lineRule="auto"/>
        <w:ind w:left="709" w:hanging="283"/>
        <w:rPr>
          <w:rFonts w:ascii="Arial" w:hAnsi="Arial" w:cs="Arial"/>
          <w:snapToGrid w:val="0"/>
          <w:sz w:val="24"/>
          <w:szCs w:val="24"/>
        </w:rPr>
      </w:pPr>
      <w:r w:rsidRPr="00192EC4">
        <w:rPr>
          <w:rFonts w:ascii="Arial" w:hAnsi="Arial" w:cs="Arial"/>
          <w:snapToGrid w:val="0"/>
          <w:sz w:val="24"/>
          <w:szCs w:val="24"/>
        </w:rPr>
        <w:lastRenderedPageBreak/>
        <w:t xml:space="preserve">Other projects funded from retained business rates growth such as Cricket Strategy. </w:t>
      </w:r>
    </w:p>
    <w:p w14:paraId="11C882B4" w14:textId="77777777" w:rsidR="00B7710C" w:rsidRDefault="00B7710C" w:rsidP="006F1659">
      <w:pPr>
        <w:spacing w:line="360" w:lineRule="auto"/>
        <w:jc w:val="both"/>
        <w:rPr>
          <w:rFonts w:ascii="Arial" w:hAnsi="Arial" w:cs="Arial"/>
          <w:snapToGrid w:val="0"/>
          <w:u w:val="single"/>
        </w:rPr>
      </w:pPr>
    </w:p>
    <w:p w14:paraId="460E4048" w14:textId="693783CF" w:rsidR="00BE35F9" w:rsidRPr="00192EC4" w:rsidRDefault="00BE35F9" w:rsidP="006F1659">
      <w:pPr>
        <w:spacing w:line="360" w:lineRule="auto"/>
        <w:jc w:val="both"/>
        <w:rPr>
          <w:rFonts w:ascii="Arial" w:hAnsi="Arial" w:cs="Arial"/>
          <w:snapToGrid w:val="0"/>
          <w:u w:val="single"/>
        </w:rPr>
      </w:pPr>
      <w:r w:rsidRPr="00192EC4">
        <w:rPr>
          <w:rFonts w:ascii="Arial" w:hAnsi="Arial" w:cs="Arial"/>
          <w:snapToGrid w:val="0"/>
          <w:u w:val="single"/>
        </w:rPr>
        <w:t>Environment</w:t>
      </w:r>
    </w:p>
    <w:p w14:paraId="2BC4E160" w14:textId="77777777" w:rsidR="00BE35F9" w:rsidRPr="00192EC4" w:rsidRDefault="00BE35F9" w:rsidP="006F1659">
      <w:pPr>
        <w:spacing w:line="360" w:lineRule="auto"/>
        <w:jc w:val="both"/>
        <w:rPr>
          <w:rFonts w:ascii="Arial" w:hAnsi="Arial" w:cs="Arial"/>
          <w:snapToGrid w:val="0"/>
          <w:u w:val="single"/>
        </w:rPr>
      </w:pPr>
    </w:p>
    <w:p w14:paraId="3B06E3D6" w14:textId="77777777" w:rsidR="00BE35F9" w:rsidRPr="00192EC4" w:rsidRDefault="00BE35F9" w:rsidP="006F1659">
      <w:pPr>
        <w:spacing w:line="360" w:lineRule="auto"/>
        <w:rPr>
          <w:rFonts w:ascii="Arial" w:hAnsi="Arial" w:cs="Arial"/>
          <w:color w:val="000000" w:themeColor="text1"/>
        </w:rPr>
      </w:pPr>
      <w:r w:rsidRPr="00192EC4">
        <w:rPr>
          <w:rFonts w:ascii="Arial" w:hAnsi="Arial" w:cs="Arial"/>
        </w:rPr>
        <w:t xml:space="preserve">Environment Directorate is the lead for the implementation of the GM Five Year Environment Plan and delivering housing and public retrofit programmes as part of green economic recovery and progressing the environment plan </w:t>
      </w:r>
      <w:r w:rsidRPr="00192EC4">
        <w:rPr>
          <w:rFonts w:ascii="Arial" w:hAnsi="Arial" w:cs="Arial"/>
          <w:color w:val="000000" w:themeColor="text1"/>
        </w:rPr>
        <w:t xml:space="preserve">to continue to reduce carbon emissions and create an improved, more resilient natural environment for socially distanced recreation. </w:t>
      </w:r>
    </w:p>
    <w:p w14:paraId="125F58EB" w14:textId="77777777" w:rsidR="00BE35F9" w:rsidRPr="00192EC4" w:rsidRDefault="00BE35F9" w:rsidP="006F1659">
      <w:pPr>
        <w:spacing w:line="360" w:lineRule="auto"/>
        <w:ind w:left="720" w:hanging="720"/>
        <w:rPr>
          <w:rFonts w:ascii="Arial" w:hAnsi="Arial" w:cs="Arial"/>
          <w:snapToGrid w:val="0"/>
        </w:rPr>
      </w:pPr>
    </w:p>
    <w:p w14:paraId="6EE2F07B" w14:textId="2ECC3A3E" w:rsidR="00BE35F9" w:rsidRPr="00192EC4" w:rsidRDefault="00BE35F9" w:rsidP="006F1659">
      <w:pPr>
        <w:spacing w:line="360" w:lineRule="auto"/>
        <w:rPr>
          <w:rFonts w:ascii="Arial" w:hAnsi="Arial" w:cs="Arial"/>
          <w:snapToGrid w:val="0"/>
        </w:rPr>
      </w:pPr>
      <w:r w:rsidRPr="00192EC4">
        <w:rPr>
          <w:rFonts w:ascii="Arial" w:hAnsi="Arial" w:cs="Arial"/>
          <w:snapToGrid w:val="0"/>
        </w:rPr>
        <w:t>The 2022/23 original approved budget for Environment was £0.8m with actual expenditure for 2022/23 being £4m. The increase relates to new investment from retained business rates growth agreed in July 2022 for ‘Greener’ schemes totalling £3.2m. Expenditure in 2022/23 relates to:</w:t>
      </w:r>
    </w:p>
    <w:p w14:paraId="133098F8" w14:textId="040B9D98" w:rsidR="00BE35F9" w:rsidRPr="00192EC4" w:rsidRDefault="00BE35F9" w:rsidP="006F1659">
      <w:pPr>
        <w:pStyle w:val="ListParagraph"/>
        <w:numPr>
          <w:ilvl w:val="0"/>
          <w:numId w:val="72"/>
        </w:numPr>
        <w:spacing w:after="0" w:line="360" w:lineRule="auto"/>
        <w:ind w:left="426" w:hanging="426"/>
        <w:rPr>
          <w:rFonts w:ascii="Arial" w:hAnsi="Arial" w:cs="Arial"/>
          <w:snapToGrid w:val="0"/>
          <w:sz w:val="24"/>
          <w:szCs w:val="24"/>
        </w:rPr>
      </w:pPr>
      <w:r w:rsidRPr="00192EC4">
        <w:rPr>
          <w:rFonts w:ascii="Arial" w:hAnsi="Arial" w:cs="Arial"/>
          <w:sz w:val="24"/>
          <w:szCs w:val="24"/>
        </w:rPr>
        <w:t xml:space="preserve">Environment and Low Carbon programme – expenditure of £1.7m to support </w:t>
      </w:r>
      <w:r w:rsidR="00EC49BA" w:rsidRPr="00192EC4">
        <w:rPr>
          <w:rFonts w:ascii="Arial" w:hAnsi="Arial" w:cs="Arial"/>
          <w:sz w:val="24"/>
          <w:szCs w:val="24"/>
        </w:rPr>
        <w:t>d</w:t>
      </w:r>
      <w:r w:rsidRPr="00192EC4">
        <w:rPr>
          <w:rFonts w:ascii="Arial" w:hAnsi="Arial" w:cs="Arial"/>
          <w:sz w:val="24"/>
          <w:szCs w:val="24"/>
        </w:rPr>
        <w:t>istricts to deliver their Climate Emergency Declarations through upscaling the delivery of conurbation wide carbon reduction programmes</w:t>
      </w:r>
    </w:p>
    <w:p w14:paraId="4A69265A" w14:textId="77777777" w:rsidR="00BE35F9" w:rsidRPr="00192EC4" w:rsidRDefault="00BE35F9" w:rsidP="006F1659">
      <w:pPr>
        <w:pStyle w:val="ListParagraph"/>
        <w:numPr>
          <w:ilvl w:val="0"/>
          <w:numId w:val="72"/>
        </w:numPr>
        <w:spacing w:after="0" w:line="360" w:lineRule="auto"/>
        <w:ind w:left="426" w:hanging="426"/>
        <w:rPr>
          <w:rFonts w:ascii="Arial" w:hAnsi="Arial" w:cs="Arial"/>
          <w:snapToGrid w:val="0"/>
          <w:sz w:val="24"/>
          <w:szCs w:val="24"/>
        </w:rPr>
      </w:pPr>
      <w:r w:rsidRPr="00192EC4">
        <w:rPr>
          <w:rFonts w:ascii="Arial" w:hAnsi="Arial" w:cs="Arial"/>
          <w:snapToGrid w:val="0"/>
          <w:sz w:val="24"/>
          <w:szCs w:val="24"/>
        </w:rPr>
        <w:t xml:space="preserve">Five Year Environment Plan - expenditure of £1m to </w:t>
      </w:r>
      <w:r w:rsidRPr="00192EC4">
        <w:rPr>
          <w:rFonts w:ascii="Arial" w:hAnsi="Arial" w:cs="Arial"/>
          <w:sz w:val="24"/>
          <w:szCs w:val="24"/>
        </w:rPr>
        <w:t xml:space="preserve">provide capacity to bid for capital and revenue funds, undertake research, communication, training, convene and co-ordinate delivery of the plan. </w:t>
      </w:r>
    </w:p>
    <w:p w14:paraId="3EF136BE" w14:textId="77777777" w:rsidR="00BE35F9" w:rsidRPr="00192EC4" w:rsidRDefault="00BE35F9" w:rsidP="006F1659">
      <w:pPr>
        <w:pStyle w:val="ListParagraph"/>
        <w:numPr>
          <w:ilvl w:val="0"/>
          <w:numId w:val="72"/>
        </w:numPr>
        <w:spacing w:after="0" w:line="360" w:lineRule="auto"/>
        <w:ind w:left="426" w:hanging="426"/>
        <w:rPr>
          <w:rFonts w:ascii="Arial" w:hAnsi="Arial" w:cs="Arial"/>
          <w:snapToGrid w:val="0"/>
          <w:sz w:val="24"/>
          <w:szCs w:val="24"/>
        </w:rPr>
      </w:pPr>
      <w:r w:rsidRPr="00192EC4">
        <w:rPr>
          <w:rFonts w:ascii="Arial" w:hAnsi="Arial" w:cs="Arial"/>
          <w:sz w:val="24"/>
          <w:szCs w:val="24"/>
        </w:rPr>
        <w:t xml:space="preserve">IGNITION project – grant funded expenditure of £0.4m to develop innovative financing solutions for investment in GM’s natural environment, to help increase the city regions resilience against the increasingly extreme impacts of climate change. </w:t>
      </w:r>
    </w:p>
    <w:p w14:paraId="46CDEE04" w14:textId="5465264D" w:rsidR="00BE35F9" w:rsidRPr="00192EC4" w:rsidRDefault="00BE35F9" w:rsidP="006F1659">
      <w:pPr>
        <w:pStyle w:val="ListParagraph"/>
        <w:numPr>
          <w:ilvl w:val="0"/>
          <w:numId w:val="72"/>
        </w:numPr>
        <w:spacing w:after="0" w:line="360" w:lineRule="auto"/>
        <w:ind w:left="426" w:hanging="426"/>
        <w:rPr>
          <w:rFonts w:ascii="Arial" w:hAnsi="Arial" w:cs="Arial"/>
          <w:snapToGrid w:val="0"/>
          <w:sz w:val="24"/>
          <w:szCs w:val="24"/>
        </w:rPr>
      </w:pPr>
      <w:r w:rsidRPr="00192EC4">
        <w:rPr>
          <w:rFonts w:ascii="Arial" w:hAnsi="Arial" w:cs="Arial"/>
          <w:sz w:val="24"/>
          <w:szCs w:val="24"/>
        </w:rPr>
        <w:t xml:space="preserve">GM Local Energy Markets project - grant funded expenditure of £0.3m in relation to planning and collaboration with the </w:t>
      </w:r>
      <w:r w:rsidR="006A7A2D" w:rsidRPr="00192EC4">
        <w:rPr>
          <w:rFonts w:ascii="Arial" w:hAnsi="Arial" w:cs="Arial"/>
          <w:sz w:val="24"/>
          <w:szCs w:val="24"/>
        </w:rPr>
        <w:t>ten</w:t>
      </w:r>
      <w:r w:rsidRPr="00192EC4">
        <w:rPr>
          <w:rFonts w:ascii="Arial" w:hAnsi="Arial" w:cs="Arial"/>
          <w:sz w:val="24"/>
          <w:szCs w:val="24"/>
        </w:rPr>
        <w:t xml:space="preserve"> local authorities to increase energy efficiency and pave the way for the installation of new technologies to create a low-carbon infrastructure for the future.  </w:t>
      </w:r>
    </w:p>
    <w:p w14:paraId="6530E4DF" w14:textId="77777777" w:rsidR="00BE35F9" w:rsidRPr="00192EC4" w:rsidRDefault="00BE35F9" w:rsidP="006F1659">
      <w:pPr>
        <w:pStyle w:val="ListParagraph"/>
        <w:numPr>
          <w:ilvl w:val="0"/>
          <w:numId w:val="72"/>
        </w:numPr>
        <w:spacing w:after="0" w:line="360" w:lineRule="auto"/>
        <w:ind w:left="426" w:hanging="426"/>
        <w:rPr>
          <w:rFonts w:ascii="Arial" w:hAnsi="Arial" w:cs="Arial"/>
          <w:snapToGrid w:val="0"/>
          <w:sz w:val="24"/>
          <w:szCs w:val="24"/>
        </w:rPr>
      </w:pPr>
      <w:r w:rsidRPr="00192EC4">
        <w:rPr>
          <w:rFonts w:ascii="Arial" w:hAnsi="Arial" w:cs="Arial"/>
          <w:sz w:val="24"/>
          <w:szCs w:val="24"/>
        </w:rPr>
        <w:t xml:space="preserve">Natural Course – expenditure of £0.3m relating to an EU-funded LIFE Integrated Project to improve and protect the water quality of the North West over a ten year period.  </w:t>
      </w:r>
    </w:p>
    <w:p w14:paraId="1FC91B8D" w14:textId="77777777" w:rsidR="00BE35F9" w:rsidRPr="00192EC4" w:rsidRDefault="00BE35F9" w:rsidP="006F1659">
      <w:pPr>
        <w:pStyle w:val="ListParagraph"/>
        <w:numPr>
          <w:ilvl w:val="0"/>
          <w:numId w:val="72"/>
        </w:numPr>
        <w:spacing w:after="0" w:line="360" w:lineRule="auto"/>
        <w:ind w:left="426" w:hanging="426"/>
        <w:rPr>
          <w:rFonts w:ascii="Arial" w:hAnsi="Arial" w:cs="Arial"/>
          <w:snapToGrid w:val="0"/>
          <w:sz w:val="24"/>
          <w:szCs w:val="24"/>
        </w:rPr>
      </w:pPr>
      <w:r w:rsidRPr="00192EC4">
        <w:rPr>
          <w:rFonts w:ascii="Arial" w:hAnsi="Arial" w:cs="Arial"/>
          <w:sz w:val="24"/>
          <w:szCs w:val="24"/>
        </w:rPr>
        <w:t xml:space="preserve">Other Environment projects with expenditure of £0.3m such as Great Places, Green Homes Grant and Energy Innovation Agency.  </w:t>
      </w:r>
    </w:p>
    <w:p w14:paraId="0132B037" w14:textId="77777777" w:rsidR="00BE35F9" w:rsidRPr="00192EC4" w:rsidRDefault="00BE35F9" w:rsidP="006F1659">
      <w:pPr>
        <w:spacing w:line="360" w:lineRule="auto"/>
        <w:rPr>
          <w:rFonts w:ascii="Arial" w:hAnsi="Arial" w:cs="Arial"/>
          <w:color w:val="000000" w:themeColor="text1"/>
        </w:rPr>
      </w:pPr>
    </w:p>
    <w:p w14:paraId="109EE61B" w14:textId="77777777" w:rsidR="00BE35F9" w:rsidRPr="00192EC4" w:rsidRDefault="00BE35F9" w:rsidP="006F1659">
      <w:pPr>
        <w:spacing w:line="360" w:lineRule="auto"/>
        <w:jc w:val="both"/>
        <w:rPr>
          <w:rFonts w:ascii="Arial" w:hAnsi="Arial" w:cs="Arial"/>
          <w:snapToGrid w:val="0"/>
          <w:u w:val="single"/>
        </w:rPr>
      </w:pPr>
      <w:r w:rsidRPr="00192EC4">
        <w:rPr>
          <w:rFonts w:ascii="Arial" w:hAnsi="Arial" w:cs="Arial"/>
          <w:snapToGrid w:val="0"/>
          <w:u w:val="single"/>
        </w:rPr>
        <w:lastRenderedPageBreak/>
        <w:t>Place</w:t>
      </w:r>
    </w:p>
    <w:p w14:paraId="3AEE4F29" w14:textId="77777777" w:rsidR="00BE35F9" w:rsidRPr="00192EC4" w:rsidRDefault="00BE35F9" w:rsidP="006F1659">
      <w:pPr>
        <w:spacing w:line="360" w:lineRule="auto"/>
        <w:rPr>
          <w:rFonts w:ascii="Arial" w:hAnsi="Arial" w:cs="Arial"/>
        </w:rPr>
      </w:pPr>
    </w:p>
    <w:p w14:paraId="635FA375" w14:textId="77777777" w:rsidR="00BE35F9" w:rsidRPr="00192EC4" w:rsidRDefault="00BE35F9" w:rsidP="006F1659">
      <w:pPr>
        <w:spacing w:line="360" w:lineRule="auto"/>
        <w:rPr>
          <w:rFonts w:ascii="Arial" w:hAnsi="Arial" w:cs="Arial"/>
        </w:rPr>
      </w:pPr>
      <w:r w:rsidRPr="00192EC4">
        <w:rPr>
          <w:rFonts w:ascii="Arial" w:hAnsi="Arial" w:cs="Arial"/>
        </w:rPr>
        <w:t xml:space="preserve">Place Directorate focuses on the development of individual places and all the elements that support prosperous and vibrant places in which GM residents can grow up, live and grow old. This has brought together Housing and Planning, Land and Property, Culture, Delivery and Infrastructure teams, each of which has a vital role to play in place development. </w:t>
      </w:r>
    </w:p>
    <w:p w14:paraId="670EB3A4" w14:textId="77777777" w:rsidR="00BE35F9" w:rsidRPr="00192EC4" w:rsidRDefault="00BE35F9" w:rsidP="006F1659">
      <w:pPr>
        <w:spacing w:line="360" w:lineRule="auto"/>
        <w:rPr>
          <w:rFonts w:ascii="Arial" w:hAnsi="Arial" w:cs="Arial"/>
        </w:rPr>
      </w:pPr>
    </w:p>
    <w:p w14:paraId="3A0E893F" w14:textId="0745BD76" w:rsidR="00BE35F9" w:rsidRPr="00192EC4" w:rsidRDefault="00BE35F9" w:rsidP="006F1659">
      <w:pPr>
        <w:spacing w:line="360" w:lineRule="auto"/>
        <w:rPr>
          <w:rFonts w:ascii="Arial" w:hAnsi="Arial" w:cs="Arial"/>
        </w:rPr>
      </w:pPr>
      <w:r w:rsidRPr="00192EC4">
        <w:rPr>
          <w:rFonts w:ascii="Arial" w:hAnsi="Arial" w:cs="Arial"/>
        </w:rPr>
        <w:t xml:space="preserve">In 2022/23 the </w:t>
      </w:r>
      <w:r w:rsidR="00EC49BA" w:rsidRPr="00192EC4">
        <w:rPr>
          <w:rFonts w:ascii="Arial" w:hAnsi="Arial" w:cs="Arial"/>
        </w:rPr>
        <w:t>g</w:t>
      </w:r>
      <w:r w:rsidRPr="00192EC4">
        <w:rPr>
          <w:rFonts w:ascii="Arial" w:hAnsi="Arial" w:cs="Arial"/>
        </w:rPr>
        <w:t>overnment announced local allocations for the UK Shared Prosperity Fund (UKSPF) as part of delivering the mission to ‘Level Up’ the UK by 2030.  The G</w:t>
      </w:r>
      <w:r w:rsidR="006E0BF0">
        <w:rPr>
          <w:rFonts w:ascii="Arial" w:hAnsi="Arial" w:cs="Arial"/>
        </w:rPr>
        <w:t xml:space="preserve">reater </w:t>
      </w:r>
      <w:r w:rsidRPr="00192EC4">
        <w:rPr>
          <w:rFonts w:ascii="Arial" w:hAnsi="Arial" w:cs="Arial"/>
        </w:rPr>
        <w:t>M</w:t>
      </w:r>
      <w:r w:rsidR="006E0BF0">
        <w:rPr>
          <w:rFonts w:ascii="Arial" w:hAnsi="Arial" w:cs="Arial"/>
        </w:rPr>
        <w:t>anchester</w:t>
      </w:r>
      <w:r w:rsidRPr="00192EC4">
        <w:rPr>
          <w:rFonts w:ascii="Arial" w:hAnsi="Arial" w:cs="Arial"/>
        </w:rPr>
        <w:t xml:space="preserve"> allocation for the three-year period 2022/23 – 2024/25 is £98m which will support the delivery of UKSPF priorities which align with priorities in the</w:t>
      </w:r>
      <w:r w:rsidR="006E0BF0">
        <w:rPr>
          <w:rFonts w:ascii="Arial" w:hAnsi="Arial" w:cs="Arial"/>
        </w:rPr>
        <w:t xml:space="preserve"> GMS</w:t>
      </w:r>
      <w:r w:rsidRPr="00192EC4">
        <w:rPr>
          <w:rFonts w:ascii="Arial" w:hAnsi="Arial" w:cs="Arial"/>
        </w:rPr>
        <w:t xml:space="preserve">. </w:t>
      </w:r>
      <w:r w:rsidRPr="00192EC4">
        <w:rPr>
          <w:rFonts w:ascii="Arial" w:eastAsiaTheme="minorEastAsia" w:hAnsi="Arial" w:cs="Arial"/>
          <w:color w:val="000000"/>
          <w:kern w:val="24"/>
          <w:lang w:eastAsia="en-GB"/>
        </w:rPr>
        <w:t xml:space="preserve">GMCA has been assigned by government as lead authority for the fund in Greater Manchester and is receiving the area’s allocation to manage. GMCA will have overall accountability for the funding and how it operates, working closely with </w:t>
      </w:r>
      <w:r w:rsidR="006E0BF0">
        <w:rPr>
          <w:rFonts w:ascii="Arial" w:eastAsiaTheme="minorEastAsia" w:hAnsi="Arial" w:cs="Arial"/>
          <w:color w:val="000000"/>
          <w:kern w:val="24"/>
          <w:lang w:eastAsia="en-GB"/>
        </w:rPr>
        <w:t>l</w:t>
      </w:r>
      <w:r w:rsidRPr="00192EC4">
        <w:rPr>
          <w:rFonts w:ascii="Arial" w:eastAsiaTheme="minorEastAsia" w:hAnsi="Arial" w:cs="Arial"/>
          <w:color w:val="000000"/>
          <w:kern w:val="24"/>
          <w:lang w:eastAsia="en-GB"/>
        </w:rPr>
        <w:t xml:space="preserve">ocal </w:t>
      </w:r>
      <w:r w:rsidR="006E0BF0">
        <w:rPr>
          <w:rFonts w:ascii="Arial" w:eastAsiaTheme="minorEastAsia" w:hAnsi="Arial" w:cs="Arial"/>
          <w:color w:val="000000"/>
          <w:kern w:val="24"/>
          <w:lang w:eastAsia="en-GB"/>
        </w:rPr>
        <w:t>a</w:t>
      </w:r>
      <w:r w:rsidRPr="00192EC4">
        <w:rPr>
          <w:rFonts w:ascii="Arial" w:eastAsiaTheme="minorEastAsia" w:hAnsi="Arial" w:cs="Arial"/>
          <w:color w:val="000000"/>
          <w:kern w:val="24"/>
          <w:lang w:eastAsia="en-GB"/>
        </w:rPr>
        <w:t>uthorities and key stakeholders in this role. </w:t>
      </w:r>
    </w:p>
    <w:p w14:paraId="5AB41A97" w14:textId="77777777" w:rsidR="00BE35F9" w:rsidRPr="00192EC4" w:rsidRDefault="00BE35F9" w:rsidP="006F1659">
      <w:pPr>
        <w:spacing w:line="360" w:lineRule="auto"/>
        <w:ind w:left="720" w:hanging="720"/>
        <w:rPr>
          <w:rFonts w:ascii="Arial" w:hAnsi="Arial" w:cs="Arial"/>
        </w:rPr>
      </w:pPr>
    </w:p>
    <w:p w14:paraId="4A6CF17D" w14:textId="3399D7E7" w:rsidR="00BE35F9" w:rsidRPr="00192EC4" w:rsidRDefault="00BE35F9" w:rsidP="006F1659">
      <w:pPr>
        <w:spacing w:line="360" w:lineRule="auto"/>
        <w:rPr>
          <w:rFonts w:ascii="Arial" w:hAnsi="Arial" w:cs="Arial"/>
        </w:rPr>
      </w:pPr>
      <w:r w:rsidRPr="00192EC4">
        <w:rPr>
          <w:rFonts w:ascii="Arial" w:hAnsi="Arial" w:cs="Arial"/>
          <w:snapToGrid w:val="0"/>
        </w:rPr>
        <w:t xml:space="preserve">The 2022/23 original approved budget for Place was £6.7m with actual expenditure for 2022/23 being £18.9m. The majority of the increase relates to the </w:t>
      </w:r>
      <w:r w:rsidR="006E0BF0">
        <w:rPr>
          <w:rFonts w:ascii="Arial" w:hAnsi="Arial" w:cs="Arial"/>
          <w:snapToGrid w:val="0"/>
        </w:rPr>
        <w:t>UKSPF</w:t>
      </w:r>
      <w:r w:rsidRPr="00192EC4">
        <w:rPr>
          <w:rFonts w:ascii="Arial" w:hAnsi="Arial" w:cs="Arial"/>
          <w:snapToGrid w:val="0"/>
        </w:rPr>
        <w:t xml:space="preserve"> core programme. Expenditure in 2022/23 relates to:</w:t>
      </w:r>
    </w:p>
    <w:p w14:paraId="5079320F" w14:textId="77777777" w:rsidR="00BE35F9" w:rsidRPr="00192EC4" w:rsidRDefault="00BE35F9" w:rsidP="006F1659">
      <w:pPr>
        <w:pStyle w:val="ListParagraph"/>
        <w:numPr>
          <w:ilvl w:val="0"/>
          <w:numId w:val="73"/>
        </w:numPr>
        <w:spacing w:after="0" w:line="360" w:lineRule="auto"/>
        <w:ind w:left="426" w:hanging="426"/>
        <w:rPr>
          <w:rFonts w:ascii="Arial" w:hAnsi="Arial" w:cs="Arial"/>
          <w:sz w:val="24"/>
          <w:szCs w:val="24"/>
        </w:rPr>
      </w:pPr>
      <w:r w:rsidRPr="00192EC4">
        <w:rPr>
          <w:rFonts w:ascii="Arial" w:hAnsi="Arial" w:cs="Arial"/>
          <w:snapToGrid w:val="0"/>
          <w:sz w:val="24"/>
          <w:szCs w:val="24"/>
        </w:rPr>
        <w:t xml:space="preserve">UKSPF expenditure of £8.2m for the first year of the core programme focusing on investment in ‘Communities and Place’ and ‘Local Business’ interventions to boost pride in place. </w:t>
      </w:r>
    </w:p>
    <w:p w14:paraId="548247A2" w14:textId="5606F242" w:rsidR="00BE35F9" w:rsidRPr="00192EC4" w:rsidRDefault="00BE35F9" w:rsidP="006F1659">
      <w:pPr>
        <w:pStyle w:val="ListParagraph"/>
        <w:numPr>
          <w:ilvl w:val="0"/>
          <w:numId w:val="73"/>
        </w:numPr>
        <w:spacing w:after="0" w:line="360" w:lineRule="auto"/>
        <w:ind w:left="426" w:hanging="426"/>
        <w:rPr>
          <w:rFonts w:ascii="Arial" w:hAnsi="Arial" w:cs="Arial"/>
          <w:sz w:val="24"/>
          <w:szCs w:val="24"/>
        </w:rPr>
      </w:pPr>
      <w:r w:rsidRPr="00192EC4">
        <w:rPr>
          <w:rFonts w:ascii="Arial" w:hAnsi="Arial" w:cs="Arial"/>
          <w:snapToGrid w:val="0"/>
          <w:sz w:val="24"/>
          <w:szCs w:val="24"/>
        </w:rPr>
        <w:t xml:space="preserve">Cultural and Social Impact Fund of £4.6m the majority of which was funded from a GM local authorities contribution and supported by retained business rates growth.  </w:t>
      </w:r>
    </w:p>
    <w:p w14:paraId="2502F80E" w14:textId="13D73D07" w:rsidR="00BE35F9" w:rsidRPr="00192EC4" w:rsidRDefault="00BE35F9" w:rsidP="006F1659">
      <w:pPr>
        <w:pStyle w:val="ListParagraph"/>
        <w:numPr>
          <w:ilvl w:val="0"/>
          <w:numId w:val="73"/>
        </w:numPr>
        <w:spacing w:after="0" w:line="360" w:lineRule="auto"/>
        <w:ind w:left="426" w:hanging="426"/>
        <w:rPr>
          <w:rFonts w:ascii="Arial" w:hAnsi="Arial" w:cs="Arial"/>
          <w:sz w:val="24"/>
          <w:szCs w:val="24"/>
        </w:rPr>
      </w:pPr>
      <w:r w:rsidRPr="00192EC4">
        <w:rPr>
          <w:rFonts w:ascii="Arial" w:hAnsi="Arial" w:cs="Arial"/>
          <w:snapToGrid w:val="0"/>
          <w:sz w:val="24"/>
          <w:szCs w:val="24"/>
        </w:rPr>
        <w:t>Places for Everyone is a joint development plan of the nine GM local authorities for jobs, new homes and sustainable growth, maximizing the use of brownfield land and urban spaces. During 2022/23 actual expenditure of £1.5m from retained business rates growth focused on the public examination of the submitted plan.</w:t>
      </w:r>
    </w:p>
    <w:p w14:paraId="7DF301A1" w14:textId="4FDBE5E1" w:rsidR="00BE35F9" w:rsidRPr="00192EC4" w:rsidRDefault="00BE35F9" w:rsidP="006F1659">
      <w:pPr>
        <w:pStyle w:val="ListParagraph"/>
        <w:numPr>
          <w:ilvl w:val="0"/>
          <w:numId w:val="73"/>
        </w:numPr>
        <w:spacing w:after="0" w:line="360" w:lineRule="auto"/>
        <w:ind w:left="426" w:hanging="426"/>
        <w:rPr>
          <w:rFonts w:ascii="Arial" w:hAnsi="Arial" w:cs="Arial"/>
          <w:sz w:val="24"/>
          <w:szCs w:val="24"/>
        </w:rPr>
      </w:pPr>
      <w:r w:rsidRPr="00192EC4">
        <w:rPr>
          <w:rFonts w:ascii="Arial" w:hAnsi="Arial" w:cs="Arial"/>
          <w:snapToGrid w:val="0"/>
          <w:sz w:val="24"/>
          <w:szCs w:val="24"/>
        </w:rPr>
        <w:t xml:space="preserve">The GM Delivery Team supports the delivery of GM’s housing delivery objectives and priorities </w:t>
      </w:r>
      <w:r w:rsidR="006A7A2D" w:rsidRPr="00192EC4">
        <w:rPr>
          <w:rFonts w:ascii="Arial" w:hAnsi="Arial" w:cs="Arial"/>
          <w:snapToGrid w:val="0"/>
          <w:sz w:val="24"/>
          <w:szCs w:val="24"/>
        </w:rPr>
        <w:t>at</w:t>
      </w:r>
      <w:r w:rsidRPr="00192EC4">
        <w:rPr>
          <w:rFonts w:ascii="Arial" w:hAnsi="Arial" w:cs="Arial"/>
          <w:snapToGrid w:val="0"/>
          <w:sz w:val="24"/>
          <w:szCs w:val="24"/>
        </w:rPr>
        <w:t xml:space="preserve"> a cost of £1.6m funded from earmarked reserves.</w:t>
      </w:r>
    </w:p>
    <w:p w14:paraId="6E9287CE" w14:textId="77777777" w:rsidR="00BE35F9" w:rsidRPr="00192EC4" w:rsidRDefault="00BE35F9" w:rsidP="006F1659">
      <w:pPr>
        <w:pStyle w:val="ListParagraph"/>
        <w:numPr>
          <w:ilvl w:val="0"/>
          <w:numId w:val="73"/>
        </w:numPr>
        <w:spacing w:after="0" w:line="360" w:lineRule="auto"/>
        <w:ind w:left="426" w:hanging="426"/>
        <w:rPr>
          <w:rFonts w:ascii="Arial" w:hAnsi="Arial" w:cs="Arial"/>
          <w:sz w:val="24"/>
          <w:szCs w:val="24"/>
        </w:rPr>
      </w:pPr>
      <w:r w:rsidRPr="00192EC4">
        <w:rPr>
          <w:rFonts w:ascii="Arial" w:hAnsi="Arial" w:cs="Arial"/>
          <w:sz w:val="24"/>
          <w:szCs w:val="24"/>
        </w:rPr>
        <w:t xml:space="preserve">Create Growth programme funded by Department of Culture, Media and Sport (DCMS) of £0.4m to support creative organisations in the region with a bespoke </w:t>
      </w:r>
      <w:r w:rsidRPr="00192EC4">
        <w:rPr>
          <w:rFonts w:ascii="Arial" w:hAnsi="Arial" w:cs="Arial"/>
          <w:sz w:val="24"/>
          <w:szCs w:val="24"/>
        </w:rPr>
        <w:lastRenderedPageBreak/>
        <w:t xml:space="preserve">business support programme to attract investment to grow their business sustainably. </w:t>
      </w:r>
    </w:p>
    <w:p w14:paraId="0670CFAB" w14:textId="77777777" w:rsidR="00BE35F9" w:rsidRPr="00192EC4" w:rsidRDefault="00BE35F9" w:rsidP="006F1659">
      <w:pPr>
        <w:pStyle w:val="ListParagraph"/>
        <w:numPr>
          <w:ilvl w:val="0"/>
          <w:numId w:val="73"/>
        </w:numPr>
        <w:spacing w:after="0" w:line="360" w:lineRule="auto"/>
        <w:ind w:left="426" w:hanging="426"/>
        <w:rPr>
          <w:rFonts w:ascii="Arial" w:hAnsi="Arial" w:cs="Arial"/>
          <w:sz w:val="24"/>
          <w:szCs w:val="24"/>
        </w:rPr>
      </w:pPr>
      <w:r w:rsidRPr="00192EC4">
        <w:rPr>
          <w:rFonts w:ascii="Arial" w:hAnsi="Arial" w:cs="Arial"/>
          <w:snapToGrid w:val="0"/>
          <w:sz w:val="24"/>
          <w:szCs w:val="24"/>
        </w:rPr>
        <w:t xml:space="preserve">Other Place Directorate expenditure totalling £2.6m in relation to the Planning and Housing team and Business, Innovation and Enterprise policy funded from a combination of local authority contributions, grant funding and internal recharges.  </w:t>
      </w:r>
    </w:p>
    <w:p w14:paraId="30DB80E7" w14:textId="77777777" w:rsidR="00BE35F9" w:rsidRPr="00192EC4" w:rsidRDefault="00BE35F9" w:rsidP="006F1659">
      <w:pPr>
        <w:spacing w:line="360" w:lineRule="auto"/>
        <w:jc w:val="both"/>
        <w:rPr>
          <w:rFonts w:ascii="Arial" w:hAnsi="Arial" w:cs="Arial"/>
          <w:snapToGrid w:val="0"/>
          <w:u w:val="single"/>
        </w:rPr>
      </w:pPr>
    </w:p>
    <w:p w14:paraId="6FECF714" w14:textId="77777777" w:rsidR="00BE35F9" w:rsidRPr="00192EC4" w:rsidRDefault="00BE35F9" w:rsidP="006F1659">
      <w:pPr>
        <w:spacing w:line="360" w:lineRule="auto"/>
        <w:jc w:val="both"/>
        <w:rPr>
          <w:rFonts w:ascii="Arial" w:hAnsi="Arial" w:cs="Arial"/>
          <w:snapToGrid w:val="0"/>
          <w:u w:val="single"/>
        </w:rPr>
      </w:pPr>
      <w:r w:rsidRPr="00192EC4">
        <w:rPr>
          <w:rFonts w:ascii="Arial" w:hAnsi="Arial" w:cs="Arial"/>
          <w:snapToGrid w:val="0"/>
          <w:u w:val="single"/>
        </w:rPr>
        <w:t>Public Service Reform</w:t>
      </w:r>
    </w:p>
    <w:p w14:paraId="70CFC04F" w14:textId="77777777" w:rsidR="00BE35F9" w:rsidRPr="00192EC4" w:rsidRDefault="00BE35F9" w:rsidP="006F1659">
      <w:pPr>
        <w:spacing w:line="360" w:lineRule="auto"/>
        <w:rPr>
          <w:rFonts w:ascii="Arial" w:hAnsi="Arial" w:cs="Arial"/>
          <w:snapToGrid w:val="0"/>
          <w:u w:val="single"/>
        </w:rPr>
      </w:pPr>
    </w:p>
    <w:p w14:paraId="6D119540" w14:textId="472C1EDC" w:rsidR="00BE35F9" w:rsidRPr="00192EC4" w:rsidRDefault="00BE35F9" w:rsidP="006F1659">
      <w:pPr>
        <w:spacing w:line="360" w:lineRule="auto"/>
        <w:rPr>
          <w:rFonts w:ascii="Arial" w:hAnsi="Arial" w:cs="Arial"/>
          <w:snapToGrid w:val="0"/>
          <w:u w:val="single"/>
        </w:rPr>
      </w:pPr>
      <w:r w:rsidRPr="00192EC4">
        <w:rPr>
          <w:rFonts w:ascii="Arial" w:hAnsi="Arial" w:cs="Arial"/>
        </w:rPr>
        <w:t>Public Service Reform (PSR) supports reform, innovation and social policy development across G</w:t>
      </w:r>
      <w:r w:rsidR="001558C1">
        <w:rPr>
          <w:rFonts w:ascii="Arial" w:hAnsi="Arial" w:cs="Arial"/>
        </w:rPr>
        <w:t xml:space="preserve">reater </w:t>
      </w:r>
      <w:r w:rsidRPr="00192EC4">
        <w:rPr>
          <w:rFonts w:ascii="Arial" w:hAnsi="Arial" w:cs="Arial"/>
        </w:rPr>
        <w:t>M</w:t>
      </w:r>
      <w:r w:rsidR="001558C1">
        <w:rPr>
          <w:rFonts w:ascii="Arial" w:hAnsi="Arial" w:cs="Arial"/>
        </w:rPr>
        <w:t>anchester</w:t>
      </w:r>
      <w:r w:rsidRPr="00192EC4">
        <w:rPr>
          <w:rFonts w:ascii="Arial" w:hAnsi="Arial" w:cs="Arial"/>
        </w:rPr>
        <w:t xml:space="preserve"> with the overarching objective of addressing inequality and improving outcomes for all residents across the city</w:t>
      </w:r>
      <w:r w:rsidR="00252539" w:rsidRPr="00192EC4">
        <w:rPr>
          <w:rFonts w:ascii="Arial" w:hAnsi="Arial" w:cs="Arial"/>
        </w:rPr>
        <w:t xml:space="preserve"> </w:t>
      </w:r>
      <w:r w:rsidRPr="00192EC4">
        <w:rPr>
          <w:rFonts w:ascii="Arial" w:hAnsi="Arial" w:cs="Arial"/>
        </w:rPr>
        <w:t>region</w:t>
      </w:r>
      <w:r w:rsidRPr="00192EC4">
        <w:rPr>
          <w:rFonts w:ascii="Arial" w:hAnsi="Arial" w:cs="Arial"/>
          <w:i/>
          <w:iCs/>
        </w:rPr>
        <w:t>.</w:t>
      </w:r>
      <w:r w:rsidRPr="00192EC4">
        <w:rPr>
          <w:rFonts w:ascii="Arial" w:hAnsi="Arial" w:cs="Arial"/>
        </w:rPr>
        <w:t xml:space="preserve"> It is made up of a number of thematic strands with lead responsibilities that include Early Years, Children and Young People, Troubled Families, Homelessness and Rough Sleeping, Asylum and Refugees, Armed Forces and Veterans, Gambling Harm Reduction and the GM Ageing Hub. The service performs a cross-cutting role across </w:t>
      </w:r>
      <w:r w:rsidR="00507AE3">
        <w:rPr>
          <w:rFonts w:ascii="Arial" w:hAnsi="Arial" w:cs="Arial"/>
        </w:rPr>
        <w:t>Greater Manchester</w:t>
      </w:r>
      <w:r w:rsidR="00507AE3" w:rsidRPr="00192EC4">
        <w:rPr>
          <w:rFonts w:ascii="Arial" w:hAnsi="Arial" w:cs="Arial"/>
        </w:rPr>
        <w:t xml:space="preserve"> </w:t>
      </w:r>
      <w:r w:rsidRPr="00192EC4">
        <w:rPr>
          <w:rFonts w:ascii="Arial" w:hAnsi="Arial" w:cs="Arial"/>
        </w:rPr>
        <w:t xml:space="preserve">in collaboration with localities, other public service organisations and the VCSE sector to drive the implementation of unified public services for the people of Greater Manchester.  </w:t>
      </w:r>
    </w:p>
    <w:p w14:paraId="5697B082" w14:textId="77777777" w:rsidR="00BE35F9" w:rsidRPr="00192EC4" w:rsidRDefault="00BE35F9" w:rsidP="006F1659">
      <w:pPr>
        <w:spacing w:line="360" w:lineRule="auto"/>
        <w:rPr>
          <w:rFonts w:ascii="Arial" w:hAnsi="Arial" w:cs="Arial"/>
          <w:snapToGrid w:val="0"/>
        </w:rPr>
      </w:pPr>
    </w:p>
    <w:p w14:paraId="145B5999" w14:textId="6F9F63C2" w:rsidR="00BE35F9" w:rsidRPr="00192EC4" w:rsidRDefault="00BE35F9" w:rsidP="006F1659">
      <w:pPr>
        <w:spacing w:line="360" w:lineRule="auto"/>
        <w:rPr>
          <w:rFonts w:ascii="Arial" w:hAnsi="Arial" w:cs="Arial"/>
          <w:snapToGrid w:val="0"/>
        </w:rPr>
      </w:pPr>
      <w:r w:rsidRPr="00192EC4">
        <w:rPr>
          <w:rFonts w:ascii="Arial" w:hAnsi="Arial" w:cs="Arial"/>
          <w:snapToGrid w:val="0"/>
        </w:rPr>
        <w:t>The 2022/23 original approved budget for PSR was £30.9m with actual expenditure for 2022/23 being £39.8m. The majority of the increase relates to additional funding for the Supporting Families Programme and the Homelessness Prevention Strategy.</w:t>
      </w:r>
      <w:r w:rsidR="001558C1">
        <w:rPr>
          <w:rFonts w:ascii="Arial" w:hAnsi="Arial" w:cs="Arial"/>
          <w:snapToGrid w:val="0"/>
        </w:rPr>
        <w:t xml:space="preserve"> </w:t>
      </w:r>
      <w:r w:rsidRPr="00192EC4">
        <w:rPr>
          <w:rFonts w:ascii="Arial" w:hAnsi="Arial" w:cs="Arial"/>
          <w:snapToGrid w:val="0"/>
        </w:rPr>
        <w:t>Expenditure in 2022/23 relates to:</w:t>
      </w:r>
    </w:p>
    <w:p w14:paraId="7BACBB86" w14:textId="77777777" w:rsidR="00F730CC" w:rsidRPr="00192EC4" w:rsidRDefault="00F730CC" w:rsidP="006F1659">
      <w:pPr>
        <w:spacing w:line="360" w:lineRule="auto"/>
        <w:rPr>
          <w:rFonts w:ascii="Arial" w:hAnsi="Arial" w:cs="Arial"/>
          <w:snapToGrid w:val="0"/>
          <w:u w:val="single"/>
        </w:rPr>
      </w:pPr>
    </w:p>
    <w:p w14:paraId="0F890B6A" w14:textId="1587C5CF" w:rsidR="00BE35F9" w:rsidRPr="00192EC4" w:rsidRDefault="00BE35F9" w:rsidP="006F1659">
      <w:pPr>
        <w:pStyle w:val="ListParagraph"/>
        <w:numPr>
          <w:ilvl w:val="0"/>
          <w:numId w:val="71"/>
        </w:numPr>
        <w:tabs>
          <w:tab w:val="left" w:pos="426"/>
        </w:tabs>
        <w:spacing w:after="0" w:line="360" w:lineRule="auto"/>
        <w:ind w:left="426" w:hanging="426"/>
        <w:rPr>
          <w:rFonts w:ascii="Arial" w:hAnsi="Arial" w:cs="Arial"/>
          <w:b/>
          <w:snapToGrid w:val="0"/>
          <w:sz w:val="24"/>
          <w:szCs w:val="24"/>
        </w:rPr>
      </w:pPr>
      <w:r w:rsidRPr="00192EC4">
        <w:rPr>
          <w:rFonts w:ascii="Arial" w:hAnsi="Arial" w:cs="Arial"/>
          <w:sz w:val="24"/>
          <w:szCs w:val="24"/>
        </w:rPr>
        <w:t>Supporting Families programme of £14.7m continuation of the programme funded from DLUHC grant.</w:t>
      </w:r>
    </w:p>
    <w:p w14:paraId="1787AA44" w14:textId="77777777" w:rsidR="00BE35F9" w:rsidRPr="00192EC4" w:rsidRDefault="00BE35F9" w:rsidP="006F1659">
      <w:pPr>
        <w:pStyle w:val="ListParagraph"/>
        <w:numPr>
          <w:ilvl w:val="0"/>
          <w:numId w:val="71"/>
        </w:numPr>
        <w:spacing w:after="0" w:line="360" w:lineRule="auto"/>
        <w:ind w:left="426" w:hanging="426"/>
        <w:rPr>
          <w:rFonts w:ascii="Arial" w:hAnsi="Arial" w:cs="Arial"/>
          <w:b/>
          <w:snapToGrid w:val="0"/>
          <w:sz w:val="24"/>
          <w:szCs w:val="24"/>
        </w:rPr>
      </w:pPr>
      <w:r w:rsidRPr="00192EC4">
        <w:rPr>
          <w:rFonts w:ascii="Arial" w:hAnsi="Arial" w:cs="Arial"/>
          <w:sz w:val="24"/>
          <w:szCs w:val="24"/>
        </w:rPr>
        <w:t>Homelessness and Rough Sleeping including:</w:t>
      </w:r>
    </w:p>
    <w:p w14:paraId="4A9BB47D" w14:textId="39D70F16" w:rsidR="00BE35F9" w:rsidRPr="00192EC4" w:rsidRDefault="00BE35F9" w:rsidP="006F1659">
      <w:pPr>
        <w:pStyle w:val="ListParagraph"/>
        <w:numPr>
          <w:ilvl w:val="1"/>
          <w:numId w:val="71"/>
        </w:numPr>
        <w:spacing w:after="0" w:line="360" w:lineRule="auto"/>
        <w:ind w:left="851" w:hanging="425"/>
        <w:rPr>
          <w:rFonts w:ascii="Arial" w:hAnsi="Arial" w:cs="Arial"/>
          <w:b/>
          <w:snapToGrid w:val="0"/>
          <w:sz w:val="24"/>
          <w:szCs w:val="24"/>
        </w:rPr>
      </w:pPr>
      <w:r w:rsidRPr="00192EC4">
        <w:rPr>
          <w:rFonts w:ascii="Arial" w:hAnsi="Arial" w:cs="Arial"/>
          <w:snapToGrid w:val="0"/>
          <w:sz w:val="24"/>
          <w:szCs w:val="24"/>
        </w:rPr>
        <w:t xml:space="preserve">A Bed Every Night </w:t>
      </w:r>
      <w:r w:rsidRPr="00192EC4">
        <w:rPr>
          <w:rFonts w:ascii="Arial" w:hAnsi="Arial" w:cs="Arial"/>
          <w:sz w:val="24"/>
          <w:szCs w:val="24"/>
        </w:rPr>
        <w:t xml:space="preserve">(ABEN) </w:t>
      </w:r>
      <w:r w:rsidRPr="00192EC4">
        <w:rPr>
          <w:rFonts w:ascii="Arial" w:hAnsi="Arial" w:cs="Arial"/>
          <w:snapToGrid w:val="0"/>
          <w:sz w:val="24"/>
          <w:szCs w:val="24"/>
        </w:rPr>
        <w:t xml:space="preserve">of £6.4m expenditure funded from </w:t>
      </w:r>
      <w:r w:rsidR="002E1DEA" w:rsidRPr="00192EC4">
        <w:rPr>
          <w:rFonts w:ascii="Arial" w:hAnsi="Arial" w:cs="Arial"/>
          <w:snapToGrid w:val="0"/>
          <w:sz w:val="24"/>
          <w:szCs w:val="24"/>
        </w:rPr>
        <w:t>M</w:t>
      </w:r>
      <w:r w:rsidRPr="00192EC4">
        <w:rPr>
          <w:rFonts w:ascii="Arial" w:hAnsi="Arial" w:cs="Arial"/>
          <w:snapToGrid w:val="0"/>
          <w:sz w:val="24"/>
          <w:szCs w:val="24"/>
        </w:rPr>
        <w:t xml:space="preserve">ayoral Precept, partner contributions and </w:t>
      </w:r>
      <w:r w:rsidR="00EC49BA" w:rsidRPr="00192EC4">
        <w:rPr>
          <w:rFonts w:ascii="Arial" w:hAnsi="Arial" w:cs="Arial"/>
          <w:snapToGrid w:val="0"/>
          <w:sz w:val="24"/>
          <w:szCs w:val="24"/>
        </w:rPr>
        <w:t>g</w:t>
      </w:r>
      <w:r w:rsidRPr="00192EC4">
        <w:rPr>
          <w:rFonts w:ascii="Arial" w:hAnsi="Arial" w:cs="Arial"/>
          <w:snapToGrid w:val="0"/>
          <w:sz w:val="24"/>
          <w:szCs w:val="24"/>
        </w:rPr>
        <w:t>overnment grant.</w:t>
      </w:r>
    </w:p>
    <w:p w14:paraId="52680BAE" w14:textId="7FB6BE6E" w:rsidR="00BE35F9" w:rsidRPr="00192EC4" w:rsidRDefault="00BE35F9" w:rsidP="006F1659">
      <w:pPr>
        <w:pStyle w:val="ListParagraph"/>
        <w:numPr>
          <w:ilvl w:val="1"/>
          <w:numId w:val="71"/>
        </w:numPr>
        <w:spacing w:after="0" w:line="360" w:lineRule="auto"/>
        <w:ind w:left="851" w:hanging="425"/>
        <w:rPr>
          <w:rFonts w:ascii="Arial" w:hAnsi="Arial" w:cs="Arial"/>
          <w:b/>
          <w:snapToGrid w:val="0"/>
          <w:sz w:val="24"/>
          <w:szCs w:val="24"/>
        </w:rPr>
      </w:pPr>
      <w:r w:rsidRPr="00192EC4">
        <w:rPr>
          <w:rFonts w:ascii="Arial" w:hAnsi="Arial" w:cs="Arial"/>
          <w:sz w:val="24"/>
          <w:szCs w:val="24"/>
        </w:rPr>
        <w:t xml:space="preserve">Housing First programme expenditure of £3.3m funded from </w:t>
      </w:r>
      <w:r w:rsidR="00EC49BA" w:rsidRPr="00192EC4">
        <w:rPr>
          <w:rFonts w:ascii="Arial" w:hAnsi="Arial" w:cs="Arial"/>
          <w:sz w:val="24"/>
          <w:szCs w:val="24"/>
        </w:rPr>
        <w:t>g</w:t>
      </w:r>
      <w:r w:rsidRPr="00192EC4">
        <w:rPr>
          <w:rFonts w:ascii="Arial" w:hAnsi="Arial" w:cs="Arial"/>
          <w:sz w:val="24"/>
          <w:szCs w:val="24"/>
        </w:rPr>
        <w:t>overnment grant</w:t>
      </w:r>
      <w:r w:rsidR="00F730CC" w:rsidRPr="00192EC4">
        <w:rPr>
          <w:rFonts w:ascii="Arial" w:hAnsi="Arial" w:cs="Arial"/>
          <w:sz w:val="24"/>
          <w:szCs w:val="24"/>
        </w:rPr>
        <w:t>.</w:t>
      </w:r>
      <w:r w:rsidRPr="00192EC4">
        <w:rPr>
          <w:rFonts w:ascii="Arial" w:hAnsi="Arial" w:cs="Arial"/>
          <w:sz w:val="24"/>
          <w:szCs w:val="24"/>
        </w:rPr>
        <w:t xml:space="preserve"> </w:t>
      </w:r>
    </w:p>
    <w:p w14:paraId="7C94FE1B" w14:textId="472C0001" w:rsidR="00BE35F9" w:rsidRPr="00192EC4" w:rsidRDefault="00BE35F9" w:rsidP="006F1659">
      <w:pPr>
        <w:pStyle w:val="ListParagraph"/>
        <w:numPr>
          <w:ilvl w:val="1"/>
          <w:numId w:val="71"/>
        </w:numPr>
        <w:spacing w:after="0" w:line="360" w:lineRule="auto"/>
        <w:ind w:left="851" w:hanging="425"/>
        <w:rPr>
          <w:rFonts w:ascii="Arial" w:hAnsi="Arial" w:cs="Arial"/>
          <w:b/>
          <w:snapToGrid w:val="0"/>
          <w:sz w:val="24"/>
          <w:szCs w:val="24"/>
        </w:rPr>
      </w:pPr>
      <w:r w:rsidRPr="00192EC4">
        <w:rPr>
          <w:rFonts w:ascii="Arial" w:hAnsi="Arial" w:cs="Arial"/>
          <w:sz w:val="24"/>
          <w:szCs w:val="24"/>
        </w:rPr>
        <w:t xml:space="preserve">Rough Sleeper Initiative, Rough Sleeper Accommodation and Community Accommodation programmes with </w:t>
      </w:r>
      <w:r w:rsidR="00EC49BA" w:rsidRPr="00192EC4">
        <w:rPr>
          <w:rFonts w:ascii="Arial" w:hAnsi="Arial" w:cs="Arial"/>
          <w:sz w:val="24"/>
          <w:szCs w:val="24"/>
        </w:rPr>
        <w:t>g</w:t>
      </w:r>
      <w:r w:rsidRPr="00192EC4">
        <w:rPr>
          <w:rFonts w:ascii="Arial" w:hAnsi="Arial" w:cs="Arial"/>
          <w:sz w:val="24"/>
          <w:szCs w:val="24"/>
        </w:rPr>
        <w:t>overnment grant funding totalling £5.2m, which is an increase of £2m compared to the original budget</w:t>
      </w:r>
      <w:r w:rsidR="00F730CC" w:rsidRPr="00192EC4">
        <w:rPr>
          <w:rFonts w:ascii="Arial" w:hAnsi="Arial" w:cs="Arial"/>
          <w:sz w:val="24"/>
          <w:szCs w:val="24"/>
        </w:rPr>
        <w:t>.</w:t>
      </w:r>
    </w:p>
    <w:p w14:paraId="7AE54139" w14:textId="16B82E40" w:rsidR="00BE35F9" w:rsidRPr="00192EC4" w:rsidRDefault="00BE35F9" w:rsidP="006F1659">
      <w:pPr>
        <w:pStyle w:val="ListParagraph"/>
        <w:numPr>
          <w:ilvl w:val="0"/>
          <w:numId w:val="71"/>
        </w:numPr>
        <w:spacing w:after="0" w:line="360" w:lineRule="auto"/>
        <w:ind w:left="426" w:hanging="426"/>
        <w:rPr>
          <w:rFonts w:ascii="Arial" w:hAnsi="Arial" w:cs="Arial"/>
          <w:b/>
          <w:snapToGrid w:val="0"/>
          <w:sz w:val="24"/>
          <w:szCs w:val="24"/>
        </w:rPr>
      </w:pPr>
      <w:r w:rsidRPr="00192EC4">
        <w:rPr>
          <w:rFonts w:ascii="Arial" w:hAnsi="Arial" w:cs="Arial"/>
          <w:sz w:val="24"/>
          <w:szCs w:val="24"/>
        </w:rPr>
        <w:lastRenderedPageBreak/>
        <w:t>Changing Futures funding of £1.4m for 2022/23 which is the second year of a three year programme to improve outcomes for adults experiencing multiple disadvantage</w:t>
      </w:r>
      <w:r w:rsidR="00463AF0">
        <w:rPr>
          <w:rFonts w:ascii="Arial" w:hAnsi="Arial" w:cs="Arial"/>
          <w:sz w:val="24"/>
          <w:szCs w:val="24"/>
        </w:rPr>
        <w:t>s</w:t>
      </w:r>
      <w:r w:rsidRPr="00192EC4">
        <w:rPr>
          <w:rFonts w:ascii="Arial" w:hAnsi="Arial" w:cs="Arial"/>
          <w:sz w:val="24"/>
          <w:szCs w:val="24"/>
        </w:rPr>
        <w:t>.</w:t>
      </w:r>
    </w:p>
    <w:p w14:paraId="48042BCE" w14:textId="7B900D01" w:rsidR="00BE35F9" w:rsidRPr="00192EC4" w:rsidRDefault="00BE35F9" w:rsidP="006F1659">
      <w:pPr>
        <w:pStyle w:val="ListParagraph"/>
        <w:numPr>
          <w:ilvl w:val="0"/>
          <w:numId w:val="71"/>
        </w:numPr>
        <w:spacing w:after="0" w:line="360" w:lineRule="auto"/>
        <w:ind w:left="426" w:hanging="426"/>
        <w:rPr>
          <w:rFonts w:ascii="Arial" w:hAnsi="Arial" w:cs="Arial"/>
          <w:b/>
          <w:snapToGrid w:val="0"/>
          <w:sz w:val="24"/>
          <w:szCs w:val="24"/>
        </w:rPr>
      </w:pPr>
      <w:r w:rsidRPr="00192EC4">
        <w:rPr>
          <w:rFonts w:ascii="Arial" w:hAnsi="Arial" w:cs="Arial"/>
          <w:sz w:val="24"/>
          <w:szCs w:val="24"/>
        </w:rPr>
        <w:t>PSR Directorate and other delivery resources for the overall programme of £2.8m</w:t>
      </w:r>
      <w:r w:rsidR="00F730CC" w:rsidRPr="00192EC4">
        <w:rPr>
          <w:rFonts w:ascii="Arial" w:hAnsi="Arial" w:cs="Arial"/>
          <w:sz w:val="24"/>
          <w:szCs w:val="24"/>
        </w:rPr>
        <w:t>.</w:t>
      </w:r>
    </w:p>
    <w:p w14:paraId="631160AA" w14:textId="77777777" w:rsidR="00BE35F9" w:rsidRPr="00192EC4" w:rsidRDefault="00BE35F9" w:rsidP="006F1659">
      <w:pPr>
        <w:pStyle w:val="ListParagraph"/>
        <w:numPr>
          <w:ilvl w:val="0"/>
          <w:numId w:val="71"/>
        </w:numPr>
        <w:spacing w:after="0" w:line="360" w:lineRule="auto"/>
        <w:ind w:left="426" w:hanging="426"/>
        <w:rPr>
          <w:rFonts w:ascii="Arial" w:hAnsi="Arial" w:cs="Arial"/>
          <w:b/>
          <w:snapToGrid w:val="0"/>
          <w:sz w:val="24"/>
          <w:szCs w:val="24"/>
        </w:rPr>
      </w:pPr>
      <w:r w:rsidRPr="00192EC4">
        <w:rPr>
          <w:rFonts w:ascii="Arial" w:hAnsi="Arial" w:cs="Arial"/>
          <w:sz w:val="24"/>
          <w:szCs w:val="24"/>
        </w:rPr>
        <w:t>Other programmes including Children and Young People Plan, School Readiness, Population Health, Youth Pathfinder, GM Gambling, Armed Forces plan with expenditure totalling £6m.</w:t>
      </w:r>
    </w:p>
    <w:p w14:paraId="3CAA4A6C" w14:textId="77777777" w:rsidR="00463AF0" w:rsidRPr="00192EC4" w:rsidRDefault="00463AF0" w:rsidP="006F1659">
      <w:pPr>
        <w:pStyle w:val="ListParagraph"/>
        <w:spacing w:after="0" w:line="360" w:lineRule="auto"/>
        <w:rPr>
          <w:rFonts w:ascii="Arial" w:hAnsi="Arial" w:cs="Arial"/>
          <w:sz w:val="24"/>
          <w:szCs w:val="24"/>
        </w:rPr>
      </w:pPr>
    </w:p>
    <w:p w14:paraId="6841BF95" w14:textId="77777777" w:rsidR="00BE35F9" w:rsidRPr="00192EC4" w:rsidRDefault="00BE35F9" w:rsidP="006F1659">
      <w:pPr>
        <w:spacing w:line="360" w:lineRule="auto"/>
        <w:rPr>
          <w:rFonts w:ascii="Arial" w:hAnsi="Arial" w:cs="Arial"/>
          <w:u w:val="single"/>
        </w:rPr>
      </w:pPr>
      <w:r w:rsidRPr="00192EC4">
        <w:rPr>
          <w:rFonts w:ascii="Arial" w:hAnsi="Arial" w:cs="Arial"/>
          <w:u w:val="single"/>
        </w:rPr>
        <w:t>Education, Work and Skills</w:t>
      </w:r>
    </w:p>
    <w:p w14:paraId="3D5FB250" w14:textId="77777777" w:rsidR="00BE35F9" w:rsidRPr="00192EC4" w:rsidRDefault="00BE35F9" w:rsidP="006F1659">
      <w:pPr>
        <w:spacing w:line="360" w:lineRule="auto"/>
        <w:rPr>
          <w:rFonts w:ascii="Arial" w:hAnsi="Arial" w:cs="Arial"/>
          <w:u w:val="single"/>
        </w:rPr>
      </w:pPr>
    </w:p>
    <w:p w14:paraId="1B487238" w14:textId="55ED775C" w:rsidR="00BE35F9" w:rsidRPr="00192EC4" w:rsidRDefault="00BE35F9" w:rsidP="006F1659">
      <w:pPr>
        <w:spacing w:line="360" w:lineRule="auto"/>
        <w:rPr>
          <w:rFonts w:ascii="Arial" w:hAnsi="Arial" w:cs="Arial"/>
        </w:rPr>
      </w:pPr>
      <w:r w:rsidRPr="00192EC4">
        <w:rPr>
          <w:rFonts w:ascii="Arial" w:hAnsi="Arial" w:cs="Arial"/>
        </w:rPr>
        <w:t xml:space="preserve">Education, Skills </w:t>
      </w:r>
      <w:r w:rsidR="000D3910">
        <w:rPr>
          <w:rFonts w:ascii="Arial" w:hAnsi="Arial" w:cs="Arial"/>
        </w:rPr>
        <w:t>and</w:t>
      </w:r>
      <w:r w:rsidRPr="00192EC4">
        <w:rPr>
          <w:rFonts w:ascii="Arial" w:hAnsi="Arial" w:cs="Arial"/>
        </w:rPr>
        <w:t xml:space="preserve"> Work works in partnership with local authorities, partners and businesses to deliver and performance manage programmes that support people to enter, progress and remain in work. The original 2022/23 budget was £155.8m with actual expenditure for 2022/23 being £155.4m supporting the following programmes: </w:t>
      </w:r>
    </w:p>
    <w:p w14:paraId="71830364" w14:textId="77777777" w:rsidR="00F730CC" w:rsidRPr="00192EC4" w:rsidRDefault="00F730CC" w:rsidP="006F1659">
      <w:pPr>
        <w:spacing w:line="360" w:lineRule="auto"/>
        <w:rPr>
          <w:rFonts w:ascii="Arial" w:hAnsi="Arial" w:cs="Arial"/>
        </w:rPr>
      </w:pPr>
    </w:p>
    <w:p w14:paraId="455288F0" w14:textId="244B2A1B"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The Adult Education Budget (AEB) of £100.2m devolved to GM to support the city</w:t>
      </w:r>
      <w:r w:rsidR="00252539" w:rsidRPr="00192EC4">
        <w:rPr>
          <w:rFonts w:ascii="Arial" w:hAnsi="Arial" w:cs="Arial"/>
          <w:sz w:val="24"/>
          <w:szCs w:val="24"/>
        </w:rPr>
        <w:t xml:space="preserve"> </w:t>
      </w:r>
      <w:r w:rsidRPr="00192EC4">
        <w:rPr>
          <w:rFonts w:ascii="Arial" w:hAnsi="Arial" w:cs="Arial"/>
          <w:sz w:val="24"/>
          <w:szCs w:val="24"/>
        </w:rPr>
        <w:t xml:space="preserve">region’s residents to develop skills needed for life and work, plus an additional £2.2m for the AEB National Skills Fund Adult Level 3 programme. </w:t>
      </w:r>
    </w:p>
    <w:p w14:paraId="0A5C3AAE" w14:textId="77777777"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European Social Fund (ESF) Skills for Growth Programme of £12.9m, with 2022/23 being the final of three years of funding to support business growth and deliver an integrated approach to employment and skills.</w:t>
      </w:r>
    </w:p>
    <w:p w14:paraId="0F43D05F" w14:textId="4E0D7BAA"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Working Well services to support people experiencing or at risk of long</w:t>
      </w:r>
      <w:r w:rsidR="00F3496D" w:rsidRPr="00192EC4">
        <w:rPr>
          <w:rFonts w:ascii="Arial" w:hAnsi="Arial" w:cs="Arial"/>
          <w:sz w:val="24"/>
          <w:szCs w:val="24"/>
        </w:rPr>
        <w:t xml:space="preserve"> </w:t>
      </w:r>
      <w:r w:rsidRPr="00192EC4">
        <w:rPr>
          <w:rFonts w:ascii="Arial" w:hAnsi="Arial" w:cs="Arial"/>
          <w:sz w:val="24"/>
          <w:szCs w:val="24"/>
        </w:rPr>
        <w:t xml:space="preserve">term unemployment, including the Work and Health Programme of £7.7m, Job Entry Targeted Support (JETS) programme of £6.9m and Working Well Specialist Employment of £3m. </w:t>
      </w:r>
    </w:p>
    <w:p w14:paraId="379D97F7" w14:textId="77777777"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 xml:space="preserve">European Social Fund (ESF) Not in Employment, Education or Training (NEET) prevention/reduction and youth employment programme of £5.7m. </w:t>
      </w:r>
    </w:p>
    <w:p w14:paraId="33DBB533" w14:textId="3490C64F"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Department for Education Skills Bootcamp - £2.8m</w:t>
      </w:r>
      <w:r w:rsidR="00F730CC" w:rsidRPr="00192EC4">
        <w:rPr>
          <w:rFonts w:ascii="Arial" w:hAnsi="Arial" w:cs="Arial"/>
          <w:sz w:val="24"/>
          <w:szCs w:val="24"/>
        </w:rPr>
        <w:t>.</w:t>
      </w:r>
    </w:p>
    <w:p w14:paraId="0EC33089" w14:textId="5C8BCDF2"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Future Workforce Fund of £1.5m to focus on supporting the most disadvantaged young people, providing a targeted, flexible and personali</w:t>
      </w:r>
      <w:r w:rsidR="006A7A2D" w:rsidRPr="00192EC4">
        <w:rPr>
          <w:rFonts w:ascii="Arial" w:hAnsi="Arial" w:cs="Arial"/>
          <w:sz w:val="24"/>
          <w:szCs w:val="24"/>
        </w:rPr>
        <w:t>s</w:t>
      </w:r>
      <w:r w:rsidRPr="00192EC4">
        <w:rPr>
          <w:rFonts w:ascii="Arial" w:hAnsi="Arial" w:cs="Arial"/>
          <w:sz w:val="24"/>
          <w:szCs w:val="24"/>
        </w:rPr>
        <w:t>ed pathway.</w:t>
      </w:r>
    </w:p>
    <w:p w14:paraId="7129A46D" w14:textId="15B9D23D"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Self-Employment Pilot of £1.4m to support GM self-employed residents to sustain and grow their business.</w:t>
      </w:r>
    </w:p>
    <w:p w14:paraId="6595CD53" w14:textId="2018F5AF"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 xml:space="preserve">UK Community Renewal Fund of £1.7m projects following bids approved by </w:t>
      </w:r>
      <w:r w:rsidR="00EC49BA" w:rsidRPr="00192EC4">
        <w:rPr>
          <w:rFonts w:ascii="Arial" w:hAnsi="Arial" w:cs="Arial"/>
          <w:sz w:val="24"/>
          <w:szCs w:val="24"/>
        </w:rPr>
        <w:t>g</w:t>
      </w:r>
      <w:r w:rsidRPr="00192EC4">
        <w:rPr>
          <w:rFonts w:ascii="Arial" w:hAnsi="Arial" w:cs="Arial"/>
          <w:sz w:val="24"/>
          <w:szCs w:val="24"/>
        </w:rPr>
        <w:t>overnment in November 2021.</w:t>
      </w:r>
    </w:p>
    <w:p w14:paraId="3EF2E05D" w14:textId="77777777"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lastRenderedPageBreak/>
        <w:t>UK Shared Prosperity Fund Adults’ Multiply programme with expenditure of £0.9m on year one of the £14.4m allocation over three years.</w:t>
      </w:r>
    </w:p>
    <w:p w14:paraId="06962941" w14:textId="506D539A"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Work and Skills Directorate delivery resources for the overall programme had a cost of £4.8m</w:t>
      </w:r>
      <w:r w:rsidR="00F730CC" w:rsidRPr="00192EC4">
        <w:rPr>
          <w:rFonts w:ascii="Arial" w:hAnsi="Arial" w:cs="Arial"/>
          <w:sz w:val="24"/>
          <w:szCs w:val="24"/>
        </w:rPr>
        <w:t>.</w:t>
      </w:r>
      <w:r w:rsidRPr="00192EC4">
        <w:rPr>
          <w:rFonts w:ascii="Arial" w:hAnsi="Arial" w:cs="Arial"/>
          <w:sz w:val="24"/>
          <w:szCs w:val="24"/>
        </w:rPr>
        <w:t xml:space="preserve"> </w:t>
      </w:r>
    </w:p>
    <w:p w14:paraId="49B95171" w14:textId="77777777" w:rsidR="00BE35F9" w:rsidRPr="00192EC4" w:rsidRDefault="00BE35F9" w:rsidP="006F1659">
      <w:pPr>
        <w:pStyle w:val="ListParagraph"/>
        <w:numPr>
          <w:ilvl w:val="0"/>
          <w:numId w:val="70"/>
        </w:numPr>
        <w:spacing w:after="0" w:line="360" w:lineRule="auto"/>
        <w:ind w:left="426" w:hanging="426"/>
        <w:rPr>
          <w:rFonts w:ascii="Arial" w:hAnsi="Arial" w:cs="Arial"/>
          <w:sz w:val="24"/>
          <w:szCs w:val="24"/>
        </w:rPr>
      </w:pPr>
      <w:r w:rsidRPr="00192EC4">
        <w:rPr>
          <w:rFonts w:ascii="Arial" w:hAnsi="Arial" w:cs="Arial"/>
          <w:sz w:val="24"/>
          <w:szCs w:val="24"/>
        </w:rPr>
        <w:t>Other programmes including Greater Manchester Apprenticeship &amp; Careers Service, Young Person’s Guarantee, GM Careers Hub and Digital Skills with expenditure totalling £3.7m.</w:t>
      </w:r>
    </w:p>
    <w:p w14:paraId="65764A0B" w14:textId="77777777" w:rsidR="00BE35F9" w:rsidRPr="00192EC4" w:rsidRDefault="00BE35F9" w:rsidP="006F1659">
      <w:pPr>
        <w:spacing w:line="360" w:lineRule="auto"/>
        <w:rPr>
          <w:rFonts w:ascii="Arial" w:hAnsi="Arial" w:cs="Arial"/>
        </w:rPr>
      </w:pPr>
    </w:p>
    <w:p w14:paraId="06037AB7" w14:textId="77777777" w:rsidR="00BE35F9" w:rsidRPr="00192EC4" w:rsidRDefault="00BE35F9" w:rsidP="006F1659">
      <w:pPr>
        <w:pStyle w:val="paragraph"/>
        <w:spacing w:before="0" w:beforeAutospacing="0" w:after="0" w:afterAutospacing="0" w:line="360" w:lineRule="auto"/>
        <w:textAlignment w:val="baseline"/>
        <w:rPr>
          <w:rStyle w:val="normaltextrun"/>
          <w:rFonts w:ascii="Arial" w:hAnsi="Arial" w:cs="Arial"/>
          <w:u w:val="single"/>
        </w:rPr>
      </w:pPr>
      <w:r w:rsidRPr="00192EC4">
        <w:rPr>
          <w:rStyle w:val="normaltextrun"/>
          <w:rFonts w:ascii="Arial" w:hAnsi="Arial" w:cs="Arial"/>
          <w:u w:val="single"/>
        </w:rPr>
        <w:t>Business Rates Growth Retention Pilot</w:t>
      </w:r>
    </w:p>
    <w:p w14:paraId="4E87757A" w14:textId="77777777" w:rsidR="00BE35F9" w:rsidRPr="00192EC4" w:rsidRDefault="00BE35F9" w:rsidP="006F1659">
      <w:pPr>
        <w:spacing w:line="360" w:lineRule="auto"/>
        <w:rPr>
          <w:rFonts w:ascii="Arial" w:hAnsi="Arial" w:cs="Arial"/>
        </w:rPr>
      </w:pPr>
    </w:p>
    <w:p w14:paraId="3DB2AF99" w14:textId="77777777" w:rsidR="00BE35F9" w:rsidRPr="00192EC4" w:rsidRDefault="00BE35F9" w:rsidP="006F1659">
      <w:pPr>
        <w:spacing w:line="360" w:lineRule="auto"/>
        <w:rPr>
          <w:rFonts w:ascii="Arial" w:hAnsi="Arial" w:cs="Arial"/>
        </w:rPr>
      </w:pPr>
      <w:r w:rsidRPr="00192EC4">
        <w:rPr>
          <w:rFonts w:ascii="Arial" w:hAnsi="Arial" w:cs="Arial"/>
        </w:rPr>
        <w:t xml:space="preserve">The GMCA General budget includes funding from the 100% business rates retention pilot which was introduced in 2017/18 as part of the Greater Manchester Devolution Deal with the stated intention of: </w:t>
      </w:r>
    </w:p>
    <w:p w14:paraId="2FB45228" w14:textId="77777777" w:rsidR="00F730CC" w:rsidRPr="00192EC4" w:rsidRDefault="00F730CC" w:rsidP="006F1659">
      <w:pPr>
        <w:spacing w:line="360" w:lineRule="auto"/>
        <w:rPr>
          <w:rFonts w:ascii="Arial" w:hAnsi="Arial" w:cs="Arial"/>
        </w:rPr>
      </w:pPr>
    </w:p>
    <w:p w14:paraId="0B07581A" w14:textId="77777777" w:rsidR="00BE35F9" w:rsidRPr="00192EC4" w:rsidRDefault="00BE35F9" w:rsidP="006F1659">
      <w:pPr>
        <w:pStyle w:val="ListParagraph"/>
        <w:numPr>
          <w:ilvl w:val="0"/>
          <w:numId w:val="80"/>
        </w:numPr>
        <w:spacing w:after="0" w:line="360" w:lineRule="auto"/>
        <w:rPr>
          <w:rFonts w:ascii="Arial" w:hAnsi="Arial" w:cs="Arial"/>
          <w:sz w:val="24"/>
          <w:szCs w:val="24"/>
        </w:rPr>
      </w:pPr>
      <w:r w:rsidRPr="00192EC4">
        <w:rPr>
          <w:rFonts w:ascii="Arial" w:hAnsi="Arial" w:cs="Arial"/>
          <w:sz w:val="24"/>
          <w:szCs w:val="24"/>
        </w:rPr>
        <w:t xml:space="preserve">Giving Greater Manchester authorities an incentive to grow local tax bases by ensuring they see long term rewards from growth. </w:t>
      </w:r>
    </w:p>
    <w:p w14:paraId="33CB96EB" w14:textId="77777777" w:rsidR="00BE35F9" w:rsidRPr="00192EC4" w:rsidRDefault="00BE35F9" w:rsidP="006F1659">
      <w:pPr>
        <w:pStyle w:val="ListParagraph"/>
        <w:numPr>
          <w:ilvl w:val="0"/>
          <w:numId w:val="80"/>
        </w:numPr>
        <w:spacing w:after="0" w:line="360" w:lineRule="auto"/>
        <w:rPr>
          <w:rFonts w:ascii="Arial" w:hAnsi="Arial" w:cs="Arial"/>
          <w:sz w:val="24"/>
          <w:szCs w:val="24"/>
        </w:rPr>
      </w:pPr>
      <w:r w:rsidRPr="00192EC4">
        <w:rPr>
          <w:rFonts w:ascii="Arial" w:hAnsi="Arial" w:cs="Arial"/>
          <w:sz w:val="24"/>
          <w:szCs w:val="24"/>
        </w:rPr>
        <w:t>Maintaining a predictable income stream against which authorities can take long term investment decisions.</w:t>
      </w:r>
    </w:p>
    <w:p w14:paraId="24697510" w14:textId="77777777" w:rsidR="00BE35F9" w:rsidRPr="00192EC4" w:rsidRDefault="00BE35F9" w:rsidP="006F1659">
      <w:pPr>
        <w:pStyle w:val="ListParagraph"/>
        <w:numPr>
          <w:ilvl w:val="0"/>
          <w:numId w:val="80"/>
        </w:numPr>
        <w:spacing w:after="0" w:line="360" w:lineRule="auto"/>
        <w:rPr>
          <w:rFonts w:ascii="Arial" w:hAnsi="Arial" w:cs="Arial"/>
          <w:sz w:val="24"/>
          <w:szCs w:val="24"/>
        </w:rPr>
      </w:pPr>
      <w:r w:rsidRPr="00192EC4">
        <w:rPr>
          <w:rFonts w:ascii="Arial" w:hAnsi="Arial" w:cs="Arial"/>
          <w:sz w:val="24"/>
          <w:szCs w:val="24"/>
        </w:rPr>
        <w:t>Ensuring that Greater Manchester authorities can continue to provide a full range of local services, whilst recognising that decisions about spending priorities should be made locally by locally elected representatives accountable to local taxpayers.</w:t>
      </w:r>
    </w:p>
    <w:p w14:paraId="7CBCA96C" w14:textId="77777777" w:rsidR="00BE35F9" w:rsidRPr="00192EC4" w:rsidRDefault="00BE35F9" w:rsidP="006F1659">
      <w:pPr>
        <w:pStyle w:val="ListParagraph"/>
        <w:spacing w:after="0" w:line="360" w:lineRule="auto"/>
        <w:rPr>
          <w:rFonts w:ascii="Arial" w:hAnsi="Arial" w:cs="Arial"/>
          <w:sz w:val="24"/>
          <w:szCs w:val="24"/>
        </w:rPr>
      </w:pPr>
      <w:r w:rsidRPr="00192EC4">
        <w:rPr>
          <w:rFonts w:ascii="Arial" w:hAnsi="Arial" w:cs="Arial"/>
          <w:sz w:val="24"/>
          <w:szCs w:val="24"/>
        </w:rPr>
        <w:t xml:space="preserve"> </w:t>
      </w:r>
    </w:p>
    <w:p w14:paraId="6CBC806E" w14:textId="14BC531E" w:rsidR="00BE35F9" w:rsidRPr="00192EC4" w:rsidRDefault="00BE35F9" w:rsidP="006F1659">
      <w:pPr>
        <w:spacing w:line="360" w:lineRule="auto"/>
        <w:rPr>
          <w:rFonts w:ascii="Arial" w:hAnsi="Arial" w:cs="Arial"/>
        </w:rPr>
      </w:pPr>
      <w:r w:rsidRPr="00192EC4">
        <w:rPr>
          <w:rFonts w:ascii="Arial" w:hAnsi="Arial" w:cs="Arial"/>
        </w:rPr>
        <w:t xml:space="preserve">Under the scheme the ten Greater Manchester local authorities retain 100% of business rates growth from the base year. The benefits are calculated applying a ‘no detriment’ formula which ensures Greater Manchester is no worse off financially than it would have been if it were not part of the pilot. The local agreement with local authorities is that the benefits of the scheme, to the extent that there should be any, are shared for investment both at individual local authority level and for Greater Manchester priorities. In 2020/21 during the peak of the financial impact from the pandemic, the full 100% benefit of the pilot was retained by local authorities to support their response.  </w:t>
      </w:r>
    </w:p>
    <w:p w14:paraId="1697E0E4" w14:textId="77777777" w:rsidR="00BE35F9" w:rsidRPr="00192EC4" w:rsidRDefault="00BE35F9" w:rsidP="006F1659">
      <w:pPr>
        <w:spacing w:line="360" w:lineRule="auto"/>
        <w:rPr>
          <w:rFonts w:ascii="Arial" w:hAnsi="Arial" w:cs="Arial"/>
        </w:rPr>
      </w:pPr>
    </w:p>
    <w:p w14:paraId="5B9B5814" w14:textId="288DA599" w:rsidR="00BE35F9" w:rsidRPr="00192EC4" w:rsidRDefault="00BE35F9" w:rsidP="006F1659">
      <w:pPr>
        <w:spacing w:line="360" w:lineRule="auto"/>
        <w:rPr>
          <w:rFonts w:ascii="Arial" w:hAnsi="Arial" w:cs="Arial"/>
        </w:rPr>
      </w:pPr>
      <w:r w:rsidRPr="00192EC4">
        <w:rPr>
          <w:rFonts w:ascii="Arial" w:hAnsi="Arial" w:cs="Arial"/>
        </w:rPr>
        <w:t xml:space="preserve">In 2022/23, utilising the income derived from the 2021/22 financial year, it was agreed that the benefits of the pilot would be split on the basis of 75% retained by local </w:t>
      </w:r>
      <w:r w:rsidRPr="00192EC4">
        <w:rPr>
          <w:rFonts w:ascii="Arial" w:hAnsi="Arial" w:cs="Arial"/>
        </w:rPr>
        <w:lastRenderedPageBreak/>
        <w:t xml:space="preserve">authorities and 25% for Greater Manchester priorities. This was an income of £16.3m for Greater Manchester wide initiatives which was held by GMCA in an earmarked reserve for specific programmes of work agreed by Greater Manchester leaders. In order to manage the risk around the unpredictability of business rates growth, the commitments are made in the year following the confirmed benefit and subsequent share for Greater Manchester priorities. </w:t>
      </w:r>
    </w:p>
    <w:p w14:paraId="718EDB84" w14:textId="77777777" w:rsidR="00BE35F9" w:rsidRPr="00192EC4" w:rsidRDefault="00BE35F9" w:rsidP="006F1659">
      <w:pPr>
        <w:spacing w:line="360" w:lineRule="auto"/>
        <w:rPr>
          <w:rFonts w:ascii="Arial" w:hAnsi="Arial" w:cs="Arial"/>
        </w:rPr>
      </w:pPr>
    </w:p>
    <w:p w14:paraId="10885882" w14:textId="77777777" w:rsidR="00BE35F9" w:rsidRPr="00192EC4" w:rsidRDefault="00BE35F9" w:rsidP="006F1659">
      <w:pPr>
        <w:spacing w:line="360" w:lineRule="auto"/>
        <w:rPr>
          <w:rFonts w:ascii="Arial" w:hAnsi="Arial" w:cs="Arial"/>
          <w:b/>
          <w:bCs/>
        </w:rPr>
      </w:pPr>
      <w:r w:rsidRPr="00192EC4">
        <w:rPr>
          <w:rFonts w:ascii="Arial" w:hAnsi="Arial" w:cs="Arial"/>
          <w:b/>
          <w:bCs/>
        </w:rPr>
        <w:t>Mayoral General Services</w:t>
      </w:r>
    </w:p>
    <w:p w14:paraId="59B828F3" w14:textId="77777777" w:rsidR="00BE35F9" w:rsidRPr="00192EC4" w:rsidRDefault="00BE35F9" w:rsidP="006F1659">
      <w:pPr>
        <w:spacing w:line="360" w:lineRule="auto"/>
        <w:rPr>
          <w:rFonts w:ascii="Arial" w:hAnsi="Arial" w:cs="Arial"/>
        </w:rPr>
      </w:pPr>
    </w:p>
    <w:p w14:paraId="0907D530" w14:textId="27BBB14F" w:rsidR="00BE35F9" w:rsidRPr="00192EC4" w:rsidRDefault="00BE35F9" w:rsidP="006F1659">
      <w:pPr>
        <w:spacing w:line="360" w:lineRule="auto"/>
        <w:rPr>
          <w:rFonts w:ascii="Arial" w:eastAsia="Arial" w:hAnsi="Arial" w:cs="Arial"/>
        </w:rPr>
      </w:pPr>
      <w:r w:rsidRPr="00192EC4">
        <w:rPr>
          <w:rFonts w:ascii="Arial" w:eastAsia="Arial" w:hAnsi="Arial" w:cs="Arial"/>
          <w:spacing w:val="1"/>
        </w:rPr>
        <w:t xml:space="preserve">The </w:t>
      </w:r>
      <w:r w:rsidR="00AE6B10">
        <w:rPr>
          <w:rFonts w:ascii="Arial" w:eastAsia="Arial" w:hAnsi="Arial" w:cs="Arial"/>
          <w:spacing w:val="1"/>
        </w:rPr>
        <w:t>M</w:t>
      </w:r>
      <w:r w:rsidRPr="00192EC4">
        <w:rPr>
          <w:rFonts w:ascii="Arial" w:eastAsia="Arial" w:hAnsi="Arial" w:cs="Arial"/>
          <w:spacing w:val="1"/>
        </w:rPr>
        <w:t xml:space="preserve">ayoral budget includes </w:t>
      </w:r>
      <w:r w:rsidR="00AE6B10">
        <w:rPr>
          <w:rFonts w:ascii="Arial" w:eastAsia="Arial" w:hAnsi="Arial" w:cs="Arial"/>
          <w:spacing w:val="1"/>
        </w:rPr>
        <w:t>M</w:t>
      </w:r>
      <w:r w:rsidRPr="00192EC4">
        <w:rPr>
          <w:rFonts w:ascii="Arial" w:eastAsia="Arial" w:hAnsi="Arial" w:cs="Arial"/>
          <w:spacing w:val="1"/>
        </w:rPr>
        <w:t xml:space="preserve">ayoral </w:t>
      </w:r>
      <w:r w:rsidRPr="00192EC4">
        <w:rPr>
          <w:rFonts w:ascii="Arial" w:eastAsia="Arial" w:hAnsi="Arial" w:cs="Arial"/>
          <w:spacing w:val="-2"/>
        </w:rPr>
        <w:t>g</w:t>
      </w:r>
      <w:r w:rsidRPr="00192EC4">
        <w:rPr>
          <w:rFonts w:ascii="Arial" w:eastAsia="Arial" w:hAnsi="Arial" w:cs="Arial"/>
          <w:spacing w:val="1"/>
        </w:rPr>
        <w:t>ene</w:t>
      </w:r>
      <w:r w:rsidRPr="00192EC4">
        <w:rPr>
          <w:rFonts w:ascii="Arial" w:eastAsia="Arial" w:hAnsi="Arial" w:cs="Arial"/>
        </w:rPr>
        <w:t>r</w:t>
      </w:r>
      <w:r w:rsidRPr="00192EC4">
        <w:rPr>
          <w:rFonts w:ascii="Arial" w:eastAsia="Arial" w:hAnsi="Arial" w:cs="Arial"/>
          <w:spacing w:val="-2"/>
        </w:rPr>
        <w:t>a</w:t>
      </w:r>
      <w:r w:rsidRPr="00192EC4">
        <w:rPr>
          <w:rFonts w:ascii="Arial" w:eastAsia="Arial" w:hAnsi="Arial" w:cs="Arial"/>
        </w:rPr>
        <w:t>l f</w:t>
      </w:r>
      <w:r w:rsidRPr="00192EC4">
        <w:rPr>
          <w:rFonts w:ascii="Arial" w:eastAsia="Arial" w:hAnsi="Arial" w:cs="Arial"/>
          <w:spacing w:val="1"/>
        </w:rPr>
        <w:t>un</w:t>
      </w:r>
      <w:r w:rsidRPr="00192EC4">
        <w:rPr>
          <w:rFonts w:ascii="Arial" w:eastAsia="Arial" w:hAnsi="Arial" w:cs="Arial"/>
        </w:rPr>
        <w:t>cti</w:t>
      </w:r>
      <w:r w:rsidRPr="00192EC4">
        <w:rPr>
          <w:rFonts w:ascii="Arial" w:eastAsia="Arial" w:hAnsi="Arial" w:cs="Arial"/>
          <w:spacing w:val="-1"/>
        </w:rPr>
        <w:t>o</w:t>
      </w:r>
      <w:r w:rsidRPr="00192EC4">
        <w:rPr>
          <w:rFonts w:ascii="Arial" w:eastAsia="Arial" w:hAnsi="Arial" w:cs="Arial"/>
          <w:spacing w:val="1"/>
        </w:rPr>
        <w:t>n</w:t>
      </w:r>
      <w:r w:rsidRPr="00192EC4">
        <w:rPr>
          <w:rFonts w:ascii="Arial" w:eastAsia="Arial" w:hAnsi="Arial" w:cs="Arial"/>
        </w:rPr>
        <w:t xml:space="preserve">s </w:t>
      </w:r>
      <w:r w:rsidRPr="00192EC4">
        <w:rPr>
          <w:rFonts w:ascii="Arial" w:eastAsia="Arial" w:hAnsi="Arial" w:cs="Arial"/>
          <w:spacing w:val="1"/>
        </w:rPr>
        <w:t>a</w:t>
      </w:r>
      <w:r w:rsidRPr="00192EC4">
        <w:rPr>
          <w:rFonts w:ascii="Arial" w:eastAsia="Arial" w:hAnsi="Arial" w:cs="Arial"/>
        </w:rPr>
        <w:t>s follows:</w:t>
      </w:r>
    </w:p>
    <w:p w14:paraId="63C3FF99" w14:textId="77777777" w:rsidR="002E1DEA" w:rsidRPr="00192EC4" w:rsidRDefault="002E1DEA" w:rsidP="006F1659">
      <w:pPr>
        <w:spacing w:line="360" w:lineRule="auto"/>
        <w:rPr>
          <w:rFonts w:ascii="Arial" w:eastAsia="Arial" w:hAnsi="Arial" w:cs="Arial"/>
          <w:b/>
          <w:spacing w:val="1"/>
        </w:rPr>
      </w:pPr>
    </w:p>
    <w:p w14:paraId="0C8A3CED" w14:textId="77777777"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sz w:val="24"/>
          <w:szCs w:val="24"/>
        </w:rPr>
        <w:t>F</w:t>
      </w:r>
      <w:r w:rsidRPr="00192EC4">
        <w:rPr>
          <w:rFonts w:ascii="Arial" w:eastAsia="Arial" w:hAnsi="Arial" w:cs="Arial"/>
          <w:spacing w:val="-1"/>
          <w:sz w:val="24"/>
          <w:szCs w:val="24"/>
        </w:rPr>
        <w:t>i</w:t>
      </w:r>
      <w:r w:rsidRPr="00192EC4">
        <w:rPr>
          <w:rFonts w:ascii="Arial" w:eastAsia="Arial" w:hAnsi="Arial" w:cs="Arial"/>
          <w:sz w:val="24"/>
          <w:szCs w:val="24"/>
        </w:rPr>
        <w:t xml:space="preserve">re </w:t>
      </w:r>
      <w:r w:rsidRPr="00192EC4">
        <w:rPr>
          <w:rFonts w:ascii="Arial" w:eastAsia="Arial" w:hAnsi="Arial" w:cs="Arial"/>
          <w:spacing w:val="1"/>
          <w:sz w:val="24"/>
          <w:szCs w:val="24"/>
        </w:rPr>
        <w:t>an</w:t>
      </w:r>
      <w:r w:rsidRPr="00192EC4">
        <w:rPr>
          <w:rFonts w:ascii="Arial" w:eastAsia="Arial" w:hAnsi="Arial" w:cs="Arial"/>
          <w:sz w:val="24"/>
          <w:szCs w:val="24"/>
        </w:rPr>
        <w:t>d</w:t>
      </w:r>
      <w:r w:rsidRPr="00192EC4">
        <w:rPr>
          <w:rFonts w:ascii="Arial" w:eastAsia="Arial" w:hAnsi="Arial" w:cs="Arial"/>
          <w:spacing w:val="1"/>
          <w:sz w:val="24"/>
          <w:szCs w:val="24"/>
        </w:rPr>
        <w:t xml:space="preserve"> </w:t>
      </w:r>
      <w:r w:rsidRPr="00192EC4">
        <w:rPr>
          <w:rFonts w:ascii="Arial" w:eastAsia="Arial" w:hAnsi="Arial" w:cs="Arial"/>
          <w:sz w:val="24"/>
          <w:szCs w:val="24"/>
        </w:rPr>
        <w:t>R</w:t>
      </w:r>
      <w:r w:rsidRPr="00192EC4">
        <w:rPr>
          <w:rFonts w:ascii="Arial" w:eastAsia="Arial" w:hAnsi="Arial" w:cs="Arial"/>
          <w:spacing w:val="1"/>
          <w:sz w:val="24"/>
          <w:szCs w:val="24"/>
        </w:rPr>
        <w:t>e</w:t>
      </w:r>
      <w:r w:rsidRPr="00192EC4">
        <w:rPr>
          <w:rFonts w:ascii="Arial" w:eastAsia="Arial" w:hAnsi="Arial" w:cs="Arial"/>
          <w:sz w:val="24"/>
          <w:szCs w:val="24"/>
        </w:rPr>
        <w:t>s</w:t>
      </w:r>
      <w:r w:rsidRPr="00192EC4">
        <w:rPr>
          <w:rFonts w:ascii="Arial" w:eastAsia="Arial" w:hAnsi="Arial" w:cs="Arial"/>
          <w:spacing w:val="-2"/>
          <w:sz w:val="24"/>
          <w:szCs w:val="24"/>
        </w:rPr>
        <w:t>c</w:t>
      </w:r>
      <w:r w:rsidRPr="00192EC4">
        <w:rPr>
          <w:rFonts w:ascii="Arial" w:eastAsia="Arial" w:hAnsi="Arial" w:cs="Arial"/>
          <w:spacing w:val="1"/>
          <w:sz w:val="24"/>
          <w:szCs w:val="24"/>
        </w:rPr>
        <w:t>u</w:t>
      </w:r>
      <w:r w:rsidRPr="00192EC4">
        <w:rPr>
          <w:rFonts w:ascii="Arial" w:eastAsia="Arial" w:hAnsi="Arial" w:cs="Arial"/>
          <w:sz w:val="24"/>
          <w:szCs w:val="24"/>
        </w:rPr>
        <w:t>e</w:t>
      </w:r>
    </w:p>
    <w:p w14:paraId="2E500333" w14:textId="49FC6410"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sz w:val="24"/>
          <w:szCs w:val="24"/>
        </w:rPr>
        <w:t>Co</w:t>
      </w:r>
      <w:r w:rsidRPr="00192EC4">
        <w:rPr>
          <w:rFonts w:ascii="Arial" w:eastAsia="Arial" w:hAnsi="Arial" w:cs="Arial"/>
          <w:spacing w:val="2"/>
          <w:sz w:val="24"/>
          <w:szCs w:val="24"/>
        </w:rPr>
        <w:t>m</w:t>
      </w:r>
      <w:r w:rsidRPr="00192EC4">
        <w:rPr>
          <w:rFonts w:ascii="Arial" w:eastAsia="Arial" w:hAnsi="Arial" w:cs="Arial"/>
          <w:spacing w:val="-1"/>
          <w:sz w:val="24"/>
          <w:szCs w:val="24"/>
        </w:rPr>
        <w:t>p</w:t>
      </w:r>
      <w:r w:rsidRPr="00192EC4">
        <w:rPr>
          <w:rFonts w:ascii="Arial" w:eastAsia="Arial" w:hAnsi="Arial" w:cs="Arial"/>
          <w:spacing w:val="1"/>
          <w:sz w:val="24"/>
          <w:szCs w:val="24"/>
        </w:rPr>
        <w:t>u</w:t>
      </w:r>
      <w:r w:rsidRPr="00192EC4">
        <w:rPr>
          <w:rFonts w:ascii="Arial" w:eastAsia="Arial" w:hAnsi="Arial" w:cs="Arial"/>
          <w:sz w:val="24"/>
          <w:szCs w:val="24"/>
        </w:rPr>
        <w:t>lsory</w:t>
      </w:r>
      <w:r w:rsidRPr="00192EC4">
        <w:rPr>
          <w:rFonts w:ascii="Arial" w:eastAsia="Arial" w:hAnsi="Arial" w:cs="Arial"/>
          <w:spacing w:val="-2"/>
          <w:sz w:val="24"/>
          <w:szCs w:val="24"/>
        </w:rPr>
        <w:t xml:space="preserve"> </w:t>
      </w:r>
      <w:r w:rsidR="002E1DEA" w:rsidRPr="00192EC4">
        <w:rPr>
          <w:rFonts w:ascii="Arial" w:eastAsia="Arial" w:hAnsi="Arial" w:cs="Arial"/>
          <w:spacing w:val="-2"/>
          <w:sz w:val="24"/>
          <w:szCs w:val="24"/>
        </w:rPr>
        <w:t>p</w:t>
      </w:r>
      <w:r w:rsidRPr="00192EC4">
        <w:rPr>
          <w:rFonts w:ascii="Arial" w:eastAsia="Arial" w:hAnsi="Arial" w:cs="Arial"/>
          <w:spacing w:val="1"/>
          <w:sz w:val="24"/>
          <w:szCs w:val="24"/>
        </w:rPr>
        <w:t>u</w:t>
      </w:r>
      <w:r w:rsidRPr="00192EC4">
        <w:rPr>
          <w:rFonts w:ascii="Arial" w:eastAsia="Arial" w:hAnsi="Arial" w:cs="Arial"/>
          <w:sz w:val="24"/>
          <w:szCs w:val="24"/>
        </w:rPr>
        <w:t>rch</w:t>
      </w:r>
      <w:r w:rsidRPr="00192EC4">
        <w:rPr>
          <w:rFonts w:ascii="Arial" w:eastAsia="Arial" w:hAnsi="Arial" w:cs="Arial"/>
          <w:spacing w:val="1"/>
          <w:sz w:val="24"/>
          <w:szCs w:val="24"/>
        </w:rPr>
        <w:t>a</w:t>
      </w:r>
      <w:r w:rsidRPr="00192EC4">
        <w:rPr>
          <w:rFonts w:ascii="Arial" w:eastAsia="Arial" w:hAnsi="Arial" w:cs="Arial"/>
          <w:sz w:val="24"/>
          <w:szCs w:val="24"/>
        </w:rPr>
        <w:t>se</w:t>
      </w:r>
      <w:r w:rsidRPr="00192EC4">
        <w:rPr>
          <w:rFonts w:ascii="Arial" w:eastAsia="Arial" w:hAnsi="Arial" w:cs="Arial"/>
          <w:spacing w:val="-1"/>
          <w:sz w:val="24"/>
          <w:szCs w:val="24"/>
        </w:rPr>
        <w:t xml:space="preserve"> o</w:t>
      </w:r>
      <w:r w:rsidRPr="00192EC4">
        <w:rPr>
          <w:rFonts w:ascii="Arial" w:eastAsia="Arial" w:hAnsi="Arial" w:cs="Arial"/>
          <w:sz w:val="24"/>
          <w:szCs w:val="24"/>
        </w:rPr>
        <w:t>f</w:t>
      </w:r>
      <w:r w:rsidRPr="00192EC4">
        <w:rPr>
          <w:rFonts w:ascii="Arial" w:eastAsia="Arial" w:hAnsi="Arial" w:cs="Arial"/>
          <w:spacing w:val="3"/>
          <w:sz w:val="24"/>
          <w:szCs w:val="24"/>
        </w:rPr>
        <w:t xml:space="preserve"> </w:t>
      </w:r>
      <w:r w:rsidR="002E1DEA" w:rsidRPr="00192EC4">
        <w:rPr>
          <w:rFonts w:ascii="Arial" w:eastAsia="Arial" w:hAnsi="Arial" w:cs="Arial"/>
          <w:spacing w:val="3"/>
          <w:sz w:val="24"/>
          <w:szCs w:val="24"/>
        </w:rPr>
        <w:t>l</w:t>
      </w:r>
      <w:r w:rsidRPr="00192EC4">
        <w:rPr>
          <w:rFonts w:ascii="Arial" w:eastAsia="Arial" w:hAnsi="Arial" w:cs="Arial"/>
          <w:spacing w:val="1"/>
          <w:sz w:val="24"/>
          <w:szCs w:val="24"/>
        </w:rPr>
        <w:t>an</w:t>
      </w:r>
      <w:r w:rsidRPr="00192EC4">
        <w:rPr>
          <w:rFonts w:ascii="Arial" w:eastAsia="Arial" w:hAnsi="Arial" w:cs="Arial"/>
          <w:sz w:val="24"/>
          <w:szCs w:val="24"/>
        </w:rPr>
        <w:t>d</w:t>
      </w:r>
    </w:p>
    <w:p w14:paraId="4E9790B8" w14:textId="77777777"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spacing w:val="-1"/>
          <w:sz w:val="24"/>
          <w:szCs w:val="24"/>
        </w:rPr>
        <w:t>M</w:t>
      </w:r>
      <w:r w:rsidRPr="00192EC4">
        <w:rPr>
          <w:rFonts w:ascii="Arial" w:eastAsia="Arial" w:hAnsi="Arial" w:cs="Arial"/>
          <w:spacing w:val="1"/>
          <w:sz w:val="24"/>
          <w:szCs w:val="24"/>
        </w:rPr>
        <w:t>a</w:t>
      </w:r>
      <w:r w:rsidRPr="00192EC4">
        <w:rPr>
          <w:rFonts w:ascii="Arial" w:eastAsia="Arial" w:hAnsi="Arial" w:cs="Arial"/>
          <w:spacing w:val="-2"/>
          <w:sz w:val="24"/>
          <w:szCs w:val="24"/>
        </w:rPr>
        <w:t>y</w:t>
      </w:r>
      <w:r w:rsidRPr="00192EC4">
        <w:rPr>
          <w:rFonts w:ascii="Arial" w:eastAsia="Arial" w:hAnsi="Arial" w:cs="Arial"/>
          <w:spacing w:val="1"/>
          <w:sz w:val="24"/>
          <w:szCs w:val="24"/>
        </w:rPr>
        <w:t>o</w:t>
      </w:r>
      <w:r w:rsidRPr="00192EC4">
        <w:rPr>
          <w:rFonts w:ascii="Arial" w:eastAsia="Arial" w:hAnsi="Arial" w:cs="Arial"/>
          <w:sz w:val="24"/>
          <w:szCs w:val="24"/>
        </w:rPr>
        <w:t xml:space="preserve">ral </w:t>
      </w:r>
      <w:r w:rsidRPr="00192EC4">
        <w:rPr>
          <w:rFonts w:ascii="Arial" w:eastAsia="Arial" w:hAnsi="Arial" w:cs="Arial"/>
          <w:spacing w:val="1"/>
          <w:sz w:val="24"/>
          <w:szCs w:val="24"/>
        </w:rPr>
        <w:t>de</w:t>
      </w:r>
      <w:r w:rsidRPr="00192EC4">
        <w:rPr>
          <w:rFonts w:ascii="Arial" w:eastAsia="Arial" w:hAnsi="Arial" w:cs="Arial"/>
          <w:spacing w:val="-2"/>
          <w:sz w:val="24"/>
          <w:szCs w:val="24"/>
        </w:rPr>
        <w:t>v</w:t>
      </w:r>
      <w:r w:rsidRPr="00192EC4">
        <w:rPr>
          <w:rFonts w:ascii="Arial" w:eastAsia="Arial" w:hAnsi="Arial" w:cs="Arial"/>
          <w:spacing w:val="1"/>
          <w:sz w:val="24"/>
          <w:szCs w:val="24"/>
        </w:rPr>
        <w:t>e</w:t>
      </w:r>
      <w:r w:rsidRPr="00192EC4">
        <w:rPr>
          <w:rFonts w:ascii="Arial" w:eastAsia="Arial" w:hAnsi="Arial" w:cs="Arial"/>
          <w:sz w:val="24"/>
          <w:szCs w:val="24"/>
        </w:rPr>
        <w:t>lo</w:t>
      </w:r>
      <w:r w:rsidRPr="00192EC4">
        <w:rPr>
          <w:rFonts w:ascii="Arial" w:eastAsia="Arial" w:hAnsi="Arial" w:cs="Arial"/>
          <w:spacing w:val="1"/>
          <w:sz w:val="24"/>
          <w:szCs w:val="24"/>
        </w:rPr>
        <w:t>pm</w:t>
      </w:r>
      <w:r w:rsidRPr="00192EC4">
        <w:rPr>
          <w:rFonts w:ascii="Arial" w:eastAsia="Arial" w:hAnsi="Arial" w:cs="Arial"/>
          <w:spacing w:val="-1"/>
          <w:sz w:val="24"/>
          <w:szCs w:val="24"/>
        </w:rPr>
        <w:t>e</w:t>
      </w:r>
      <w:r w:rsidRPr="00192EC4">
        <w:rPr>
          <w:rFonts w:ascii="Arial" w:eastAsia="Arial" w:hAnsi="Arial" w:cs="Arial"/>
          <w:spacing w:val="1"/>
          <w:sz w:val="24"/>
          <w:szCs w:val="24"/>
        </w:rPr>
        <w:t>n</w:t>
      </w:r>
      <w:r w:rsidRPr="00192EC4">
        <w:rPr>
          <w:rFonts w:ascii="Arial" w:eastAsia="Arial" w:hAnsi="Arial" w:cs="Arial"/>
          <w:sz w:val="24"/>
          <w:szCs w:val="24"/>
        </w:rPr>
        <w:t>t</w:t>
      </w:r>
      <w:r w:rsidRPr="00192EC4">
        <w:rPr>
          <w:rFonts w:ascii="Arial" w:eastAsia="Arial" w:hAnsi="Arial" w:cs="Arial"/>
          <w:spacing w:val="-1"/>
          <w:sz w:val="24"/>
          <w:szCs w:val="24"/>
        </w:rPr>
        <w:t xml:space="preserve"> </w:t>
      </w:r>
      <w:r w:rsidRPr="00192EC4">
        <w:rPr>
          <w:rFonts w:ascii="Arial" w:eastAsia="Arial" w:hAnsi="Arial" w:cs="Arial"/>
          <w:sz w:val="24"/>
          <w:szCs w:val="24"/>
        </w:rPr>
        <w:t>c</w:t>
      </w:r>
      <w:r w:rsidRPr="00192EC4">
        <w:rPr>
          <w:rFonts w:ascii="Arial" w:eastAsia="Arial" w:hAnsi="Arial" w:cs="Arial"/>
          <w:spacing w:val="1"/>
          <w:sz w:val="24"/>
          <w:szCs w:val="24"/>
        </w:rPr>
        <w:t>o</w:t>
      </w:r>
      <w:r w:rsidRPr="00192EC4">
        <w:rPr>
          <w:rFonts w:ascii="Arial" w:eastAsia="Arial" w:hAnsi="Arial" w:cs="Arial"/>
          <w:sz w:val="24"/>
          <w:szCs w:val="24"/>
        </w:rPr>
        <w:t>rp</w:t>
      </w:r>
      <w:r w:rsidRPr="00192EC4">
        <w:rPr>
          <w:rFonts w:ascii="Arial" w:eastAsia="Arial" w:hAnsi="Arial" w:cs="Arial"/>
          <w:spacing w:val="1"/>
          <w:sz w:val="24"/>
          <w:szCs w:val="24"/>
        </w:rPr>
        <w:t>o</w:t>
      </w:r>
      <w:r w:rsidRPr="00192EC4">
        <w:rPr>
          <w:rFonts w:ascii="Arial" w:eastAsia="Arial" w:hAnsi="Arial" w:cs="Arial"/>
          <w:sz w:val="24"/>
          <w:szCs w:val="24"/>
        </w:rPr>
        <w:t>rati</w:t>
      </w:r>
      <w:r w:rsidRPr="00192EC4">
        <w:rPr>
          <w:rFonts w:ascii="Arial" w:eastAsia="Arial" w:hAnsi="Arial" w:cs="Arial"/>
          <w:spacing w:val="-1"/>
          <w:sz w:val="24"/>
          <w:szCs w:val="24"/>
        </w:rPr>
        <w:t>o</w:t>
      </w:r>
      <w:r w:rsidRPr="00192EC4">
        <w:rPr>
          <w:rFonts w:ascii="Arial" w:eastAsia="Arial" w:hAnsi="Arial" w:cs="Arial"/>
          <w:spacing w:val="1"/>
          <w:sz w:val="24"/>
          <w:szCs w:val="24"/>
        </w:rPr>
        <w:t>n</w:t>
      </w:r>
      <w:r w:rsidRPr="00192EC4">
        <w:rPr>
          <w:rFonts w:ascii="Arial" w:eastAsia="Arial" w:hAnsi="Arial" w:cs="Arial"/>
          <w:sz w:val="24"/>
          <w:szCs w:val="24"/>
        </w:rPr>
        <w:t>s</w:t>
      </w:r>
    </w:p>
    <w:p w14:paraId="2797D0D7" w14:textId="77777777"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sz w:val="24"/>
          <w:szCs w:val="24"/>
        </w:rPr>
        <w:t>De</w:t>
      </w:r>
      <w:r w:rsidRPr="00192EC4">
        <w:rPr>
          <w:rFonts w:ascii="Arial" w:eastAsia="Arial" w:hAnsi="Arial" w:cs="Arial"/>
          <w:spacing w:val="-2"/>
          <w:sz w:val="24"/>
          <w:szCs w:val="24"/>
        </w:rPr>
        <w:t>v</w:t>
      </w:r>
      <w:r w:rsidRPr="00192EC4">
        <w:rPr>
          <w:rFonts w:ascii="Arial" w:eastAsia="Arial" w:hAnsi="Arial" w:cs="Arial"/>
          <w:spacing w:val="1"/>
          <w:sz w:val="24"/>
          <w:szCs w:val="24"/>
        </w:rPr>
        <w:t>e</w:t>
      </w:r>
      <w:r w:rsidRPr="00192EC4">
        <w:rPr>
          <w:rFonts w:ascii="Arial" w:eastAsia="Arial" w:hAnsi="Arial" w:cs="Arial"/>
          <w:sz w:val="24"/>
          <w:szCs w:val="24"/>
        </w:rPr>
        <w:t>lo</w:t>
      </w:r>
      <w:r w:rsidRPr="00192EC4">
        <w:rPr>
          <w:rFonts w:ascii="Arial" w:eastAsia="Arial" w:hAnsi="Arial" w:cs="Arial"/>
          <w:spacing w:val="1"/>
          <w:sz w:val="24"/>
          <w:szCs w:val="24"/>
        </w:rPr>
        <w:t>pm</w:t>
      </w:r>
      <w:r w:rsidRPr="00192EC4">
        <w:rPr>
          <w:rFonts w:ascii="Arial" w:eastAsia="Arial" w:hAnsi="Arial" w:cs="Arial"/>
          <w:spacing w:val="-1"/>
          <w:sz w:val="24"/>
          <w:szCs w:val="24"/>
        </w:rPr>
        <w:t>e</w:t>
      </w:r>
      <w:r w:rsidRPr="00192EC4">
        <w:rPr>
          <w:rFonts w:ascii="Arial" w:eastAsia="Arial" w:hAnsi="Arial" w:cs="Arial"/>
          <w:spacing w:val="1"/>
          <w:sz w:val="24"/>
          <w:szCs w:val="24"/>
        </w:rPr>
        <w:t>n</w:t>
      </w:r>
      <w:r w:rsidRPr="00192EC4">
        <w:rPr>
          <w:rFonts w:ascii="Arial" w:eastAsia="Arial" w:hAnsi="Arial" w:cs="Arial"/>
          <w:sz w:val="24"/>
          <w:szCs w:val="24"/>
        </w:rPr>
        <w:t>t</w:t>
      </w:r>
      <w:r w:rsidRPr="00192EC4">
        <w:rPr>
          <w:rFonts w:ascii="Arial" w:eastAsia="Arial" w:hAnsi="Arial" w:cs="Arial"/>
          <w:spacing w:val="1"/>
          <w:sz w:val="24"/>
          <w:szCs w:val="24"/>
        </w:rPr>
        <w:t xml:space="preserve"> </w:t>
      </w:r>
      <w:r w:rsidRPr="00192EC4">
        <w:rPr>
          <w:rFonts w:ascii="Arial" w:eastAsia="Arial" w:hAnsi="Arial" w:cs="Arial"/>
          <w:spacing w:val="-1"/>
          <w:sz w:val="24"/>
          <w:szCs w:val="24"/>
        </w:rPr>
        <w:t>o</w:t>
      </w:r>
      <w:r w:rsidRPr="00192EC4">
        <w:rPr>
          <w:rFonts w:ascii="Arial" w:eastAsia="Arial" w:hAnsi="Arial" w:cs="Arial"/>
          <w:sz w:val="24"/>
          <w:szCs w:val="24"/>
        </w:rPr>
        <w:t>f</w:t>
      </w:r>
      <w:r w:rsidRPr="00192EC4">
        <w:rPr>
          <w:rFonts w:ascii="Arial" w:eastAsia="Arial" w:hAnsi="Arial" w:cs="Arial"/>
          <w:spacing w:val="1"/>
          <w:sz w:val="24"/>
          <w:szCs w:val="24"/>
        </w:rPr>
        <w:t xml:space="preserve"> </w:t>
      </w:r>
      <w:r w:rsidRPr="00192EC4">
        <w:rPr>
          <w:rFonts w:ascii="Arial" w:eastAsia="Arial" w:hAnsi="Arial" w:cs="Arial"/>
          <w:sz w:val="24"/>
          <w:szCs w:val="24"/>
        </w:rPr>
        <w:t>tra</w:t>
      </w:r>
      <w:r w:rsidRPr="00192EC4">
        <w:rPr>
          <w:rFonts w:ascii="Arial" w:eastAsia="Arial" w:hAnsi="Arial" w:cs="Arial"/>
          <w:spacing w:val="1"/>
          <w:sz w:val="24"/>
          <w:szCs w:val="24"/>
        </w:rPr>
        <w:t>n</w:t>
      </w:r>
      <w:r w:rsidRPr="00192EC4">
        <w:rPr>
          <w:rFonts w:ascii="Arial" w:eastAsia="Arial" w:hAnsi="Arial" w:cs="Arial"/>
          <w:spacing w:val="-2"/>
          <w:sz w:val="24"/>
          <w:szCs w:val="24"/>
        </w:rPr>
        <w:t>s</w:t>
      </w:r>
      <w:r w:rsidRPr="00192EC4">
        <w:rPr>
          <w:rFonts w:ascii="Arial" w:eastAsia="Arial" w:hAnsi="Arial" w:cs="Arial"/>
          <w:spacing w:val="-1"/>
          <w:sz w:val="24"/>
          <w:szCs w:val="24"/>
        </w:rPr>
        <w:t>p</w:t>
      </w:r>
      <w:r w:rsidRPr="00192EC4">
        <w:rPr>
          <w:rFonts w:ascii="Arial" w:eastAsia="Arial" w:hAnsi="Arial" w:cs="Arial"/>
          <w:spacing w:val="1"/>
          <w:sz w:val="24"/>
          <w:szCs w:val="24"/>
        </w:rPr>
        <w:t>o</w:t>
      </w:r>
      <w:r w:rsidRPr="00192EC4">
        <w:rPr>
          <w:rFonts w:ascii="Arial" w:eastAsia="Arial" w:hAnsi="Arial" w:cs="Arial"/>
          <w:sz w:val="24"/>
          <w:szCs w:val="24"/>
        </w:rPr>
        <w:t xml:space="preserve">rt </w:t>
      </w:r>
      <w:r w:rsidRPr="00192EC4">
        <w:rPr>
          <w:rFonts w:ascii="Arial" w:eastAsia="Arial" w:hAnsi="Arial" w:cs="Arial"/>
          <w:spacing w:val="1"/>
          <w:sz w:val="24"/>
          <w:szCs w:val="24"/>
        </w:rPr>
        <w:t>po</w:t>
      </w:r>
      <w:r w:rsidRPr="00192EC4">
        <w:rPr>
          <w:rFonts w:ascii="Arial" w:eastAsia="Arial" w:hAnsi="Arial" w:cs="Arial"/>
          <w:sz w:val="24"/>
          <w:szCs w:val="24"/>
        </w:rPr>
        <w:t>l</w:t>
      </w:r>
      <w:r w:rsidRPr="00192EC4">
        <w:rPr>
          <w:rFonts w:ascii="Arial" w:eastAsia="Arial" w:hAnsi="Arial" w:cs="Arial"/>
          <w:spacing w:val="-1"/>
          <w:sz w:val="24"/>
          <w:szCs w:val="24"/>
        </w:rPr>
        <w:t>i</w:t>
      </w:r>
      <w:r w:rsidRPr="00192EC4">
        <w:rPr>
          <w:rFonts w:ascii="Arial" w:eastAsia="Arial" w:hAnsi="Arial" w:cs="Arial"/>
          <w:sz w:val="24"/>
          <w:szCs w:val="24"/>
        </w:rPr>
        <w:t>cies</w:t>
      </w:r>
    </w:p>
    <w:p w14:paraId="06339476" w14:textId="77777777"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position w:val="-1"/>
          <w:sz w:val="24"/>
          <w:szCs w:val="24"/>
        </w:rPr>
        <w:t>Pre</w:t>
      </w:r>
      <w:r w:rsidRPr="00192EC4">
        <w:rPr>
          <w:rFonts w:ascii="Arial" w:eastAsia="Arial" w:hAnsi="Arial" w:cs="Arial"/>
          <w:spacing w:val="1"/>
          <w:position w:val="-1"/>
          <w:sz w:val="24"/>
          <w:szCs w:val="24"/>
        </w:rPr>
        <w:t>pa</w:t>
      </w:r>
      <w:r w:rsidRPr="00192EC4">
        <w:rPr>
          <w:rFonts w:ascii="Arial" w:eastAsia="Arial" w:hAnsi="Arial" w:cs="Arial"/>
          <w:position w:val="-1"/>
          <w:sz w:val="24"/>
          <w:szCs w:val="24"/>
        </w:rPr>
        <w:t>rat</w:t>
      </w:r>
      <w:r w:rsidRPr="00192EC4">
        <w:rPr>
          <w:rFonts w:ascii="Arial" w:eastAsia="Arial" w:hAnsi="Arial" w:cs="Arial"/>
          <w:spacing w:val="-2"/>
          <w:position w:val="-1"/>
          <w:sz w:val="24"/>
          <w:szCs w:val="24"/>
        </w:rPr>
        <w:t>i</w:t>
      </w:r>
      <w:r w:rsidRPr="00192EC4">
        <w:rPr>
          <w:rFonts w:ascii="Arial" w:eastAsia="Arial" w:hAnsi="Arial" w:cs="Arial"/>
          <w:spacing w:val="1"/>
          <w:position w:val="-1"/>
          <w:sz w:val="24"/>
          <w:szCs w:val="24"/>
        </w:rPr>
        <w:t>on</w:t>
      </w:r>
      <w:r w:rsidRPr="00192EC4">
        <w:rPr>
          <w:rFonts w:ascii="Arial" w:eastAsia="Arial" w:hAnsi="Arial" w:cs="Arial"/>
          <w:position w:val="-1"/>
          <w:sz w:val="24"/>
          <w:szCs w:val="24"/>
        </w:rPr>
        <w:t>,</w:t>
      </w:r>
      <w:r w:rsidRPr="00192EC4">
        <w:rPr>
          <w:rFonts w:ascii="Arial" w:eastAsia="Arial" w:hAnsi="Arial" w:cs="Arial"/>
          <w:spacing w:val="-1"/>
          <w:position w:val="-1"/>
          <w:sz w:val="24"/>
          <w:szCs w:val="24"/>
        </w:rPr>
        <w:t xml:space="preserve"> </w:t>
      </w:r>
      <w:r w:rsidRPr="00192EC4">
        <w:rPr>
          <w:rFonts w:ascii="Arial" w:eastAsia="Arial" w:hAnsi="Arial" w:cs="Arial"/>
          <w:spacing w:val="1"/>
          <w:position w:val="-1"/>
          <w:sz w:val="24"/>
          <w:szCs w:val="24"/>
        </w:rPr>
        <w:t>a</w:t>
      </w:r>
      <w:r w:rsidRPr="00192EC4">
        <w:rPr>
          <w:rFonts w:ascii="Arial" w:eastAsia="Arial" w:hAnsi="Arial" w:cs="Arial"/>
          <w:position w:val="-1"/>
          <w:sz w:val="24"/>
          <w:szCs w:val="24"/>
        </w:rPr>
        <w:t>lt</w:t>
      </w:r>
      <w:r w:rsidRPr="00192EC4">
        <w:rPr>
          <w:rFonts w:ascii="Arial" w:eastAsia="Arial" w:hAnsi="Arial" w:cs="Arial"/>
          <w:spacing w:val="1"/>
          <w:position w:val="-1"/>
          <w:sz w:val="24"/>
          <w:szCs w:val="24"/>
        </w:rPr>
        <w:t>e</w:t>
      </w:r>
      <w:r w:rsidRPr="00192EC4">
        <w:rPr>
          <w:rFonts w:ascii="Arial" w:eastAsia="Arial" w:hAnsi="Arial" w:cs="Arial"/>
          <w:position w:val="-1"/>
          <w:sz w:val="24"/>
          <w:szCs w:val="24"/>
        </w:rPr>
        <w:t>rat</w:t>
      </w:r>
      <w:r w:rsidRPr="00192EC4">
        <w:rPr>
          <w:rFonts w:ascii="Arial" w:eastAsia="Arial" w:hAnsi="Arial" w:cs="Arial"/>
          <w:spacing w:val="-2"/>
          <w:position w:val="-1"/>
          <w:sz w:val="24"/>
          <w:szCs w:val="24"/>
        </w:rPr>
        <w:t>i</w:t>
      </w:r>
      <w:r w:rsidRPr="00192EC4">
        <w:rPr>
          <w:rFonts w:ascii="Arial" w:eastAsia="Arial" w:hAnsi="Arial" w:cs="Arial"/>
          <w:spacing w:val="1"/>
          <w:position w:val="-1"/>
          <w:sz w:val="24"/>
          <w:szCs w:val="24"/>
        </w:rPr>
        <w:t>o</w:t>
      </w:r>
      <w:r w:rsidRPr="00192EC4">
        <w:rPr>
          <w:rFonts w:ascii="Arial" w:eastAsia="Arial" w:hAnsi="Arial" w:cs="Arial"/>
          <w:position w:val="-1"/>
          <w:sz w:val="24"/>
          <w:szCs w:val="24"/>
        </w:rPr>
        <w:t>n</w:t>
      </w:r>
      <w:r w:rsidRPr="00192EC4">
        <w:rPr>
          <w:rFonts w:ascii="Arial" w:eastAsia="Arial" w:hAnsi="Arial" w:cs="Arial"/>
          <w:spacing w:val="-1"/>
          <w:position w:val="-1"/>
          <w:sz w:val="24"/>
          <w:szCs w:val="24"/>
        </w:rPr>
        <w:t xml:space="preserve"> </w:t>
      </w:r>
      <w:r w:rsidRPr="00192EC4">
        <w:rPr>
          <w:rFonts w:ascii="Arial" w:eastAsia="Arial" w:hAnsi="Arial" w:cs="Arial"/>
          <w:spacing w:val="1"/>
          <w:position w:val="-1"/>
          <w:sz w:val="24"/>
          <w:szCs w:val="24"/>
        </w:rPr>
        <w:t>an</w:t>
      </w:r>
      <w:r w:rsidRPr="00192EC4">
        <w:rPr>
          <w:rFonts w:ascii="Arial" w:eastAsia="Arial" w:hAnsi="Arial" w:cs="Arial"/>
          <w:position w:val="-1"/>
          <w:sz w:val="24"/>
          <w:szCs w:val="24"/>
        </w:rPr>
        <w:t>d</w:t>
      </w:r>
      <w:r w:rsidRPr="00192EC4">
        <w:rPr>
          <w:rFonts w:ascii="Arial" w:eastAsia="Arial" w:hAnsi="Arial" w:cs="Arial"/>
          <w:spacing w:val="1"/>
          <w:position w:val="-1"/>
          <w:sz w:val="24"/>
          <w:szCs w:val="24"/>
        </w:rPr>
        <w:t xml:space="preserve"> </w:t>
      </w:r>
      <w:r w:rsidRPr="00192EC4">
        <w:rPr>
          <w:rFonts w:ascii="Arial" w:eastAsia="Arial" w:hAnsi="Arial" w:cs="Arial"/>
          <w:position w:val="-1"/>
          <w:sz w:val="24"/>
          <w:szCs w:val="24"/>
        </w:rPr>
        <w:t>r</w:t>
      </w:r>
      <w:r w:rsidRPr="00192EC4">
        <w:rPr>
          <w:rFonts w:ascii="Arial" w:eastAsia="Arial" w:hAnsi="Arial" w:cs="Arial"/>
          <w:spacing w:val="-2"/>
          <w:position w:val="-1"/>
          <w:sz w:val="24"/>
          <w:szCs w:val="24"/>
        </w:rPr>
        <w:t>e</w:t>
      </w:r>
      <w:r w:rsidRPr="00192EC4">
        <w:rPr>
          <w:rFonts w:ascii="Arial" w:eastAsia="Arial" w:hAnsi="Arial" w:cs="Arial"/>
          <w:spacing w:val="1"/>
          <w:position w:val="-1"/>
          <w:sz w:val="24"/>
          <w:szCs w:val="24"/>
        </w:rPr>
        <w:t>p</w:t>
      </w:r>
      <w:r w:rsidRPr="00192EC4">
        <w:rPr>
          <w:rFonts w:ascii="Arial" w:eastAsia="Arial" w:hAnsi="Arial" w:cs="Arial"/>
          <w:position w:val="-1"/>
          <w:sz w:val="24"/>
          <w:szCs w:val="24"/>
        </w:rPr>
        <w:t>lac</w:t>
      </w:r>
      <w:r w:rsidRPr="00192EC4">
        <w:rPr>
          <w:rFonts w:ascii="Arial" w:eastAsia="Arial" w:hAnsi="Arial" w:cs="Arial"/>
          <w:spacing w:val="-1"/>
          <w:position w:val="-1"/>
          <w:sz w:val="24"/>
          <w:szCs w:val="24"/>
        </w:rPr>
        <w:t>e</w:t>
      </w:r>
      <w:r w:rsidRPr="00192EC4">
        <w:rPr>
          <w:rFonts w:ascii="Arial" w:eastAsia="Arial" w:hAnsi="Arial" w:cs="Arial"/>
          <w:spacing w:val="1"/>
          <w:position w:val="-1"/>
          <w:sz w:val="24"/>
          <w:szCs w:val="24"/>
        </w:rPr>
        <w:t>m</w:t>
      </w:r>
      <w:r w:rsidRPr="00192EC4">
        <w:rPr>
          <w:rFonts w:ascii="Arial" w:eastAsia="Arial" w:hAnsi="Arial" w:cs="Arial"/>
          <w:spacing w:val="-1"/>
          <w:position w:val="-1"/>
          <w:sz w:val="24"/>
          <w:szCs w:val="24"/>
        </w:rPr>
        <w:t>e</w:t>
      </w:r>
      <w:r w:rsidRPr="00192EC4">
        <w:rPr>
          <w:rFonts w:ascii="Arial" w:eastAsia="Arial" w:hAnsi="Arial" w:cs="Arial"/>
          <w:spacing w:val="1"/>
          <w:position w:val="-1"/>
          <w:sz w:val="24"/>
          <w:szCs w:val="24"/>
        </w:rPr>
        <w:t>n</w:t>
      </w:r>
      <w:r w:rsidRPr="00192EC4">
        <w:rPr>
          <w:rFonts w:ascii="Arial" w:eastAsia="Arial" w:hAnsi="Arial" w:cs="Arial"/>
          <w:position w:val="-1"/>
          <w:sz w:val="24"/>
          <w:szCs w:val="24"/>
        </w:rPr>
        <w:t>t</w:t>
      </w:r>
      <w:r w:rsidRPr="00192EC4">
        <w:rPr>
          <w:rFonts w:ascii="Arial" w:eastAsia="Arial" w:hAnsi="Arial" w:cs="Arial"/>
          <w:spacing w:val="-1"/>
          <w:position w:val="-1"/>
          <w:sz w:val="24"/>
          <w:szCs w:val="24"/>
        </w:rPr>
        <w:t xml:space="preserve"> o</w:t>
      </w:r>
      <w:r w:rsidRPr="00192EC4">
        <w:rPr>
          <w:rFonts w:ascii="Arial" w:eastAsia="Arial" w:hAnsi="Arial" w:cs="Arial"/>
          <w:position w:val="-1"/>
          <w:sz w:val="24"/>
          <w:szCs w:val="24"/>
        </w:rPr>
        <w:t>f</w:t>
      </w:r>
      <w:r w:rsidRPr="00192EC4">
        <w:rPr>
          <w:rFonts w:ascii="Arial" w:eastAsia="Arial" w:hAnsi="Arial" w:cs="Arial"/>
          <w:spacing w:val="3"/>
          <w:position w:val="-1"/>
          <w:sz w:val="24"/>
          <w:szCs w:val="24"/>
        </w:rPr>
        <w:t xml:space="preserve"> </w:t>
      </w:r>
      <w:r w:rsidRPr="00192EC4">
        <w:rPr>
          <w:rFonts w:ascii="Arial" w:eastAsia="Arial" w:hAnsi="Arial" w:cs="Arial"/>
          <w:spacing w:val="-1"/>
          <w:position w:val="-1"/>
          <w:sz w:val="24"/>
          <w:szCs w:val="24"/>
        </w:rPr>
        <w:t>t</w:t>
      </w:r>
      <w:r w:rsidRPr="00192EC4">
        <w:rPr>
          <w:rFonts w:ascii="Arial" w:eastAsia="Arial" w:hAnsi="Arial" w:cs="Arial"/>
          <w:spacing w:val="1"/>
          <w:position w:val="-1"/>
          <w:sz w:val="24"/>
          <w:szCs w:val="24"/>
        </w:rPr>
        <w:t>h</w:t>
      </w:r>
      <w:r w:rsidRPr="00192EC4">
        <w:rPr>
          <w:rFonts w:ascii="Arial" w:eastAsia="Arial" w:hAnsi="Arial" w:cs="Arial"/>
          <w:position w:val="-1"/>
          <w:sz w:val="24"/>
          <w:szCs w:val="24"/>
        </w:rPr>
        <w:t>e</w:t>
      </w:r>
      <w:r w:rsidRPr="00192EC4">
        <w:rPr>
          <w:rFonts w:ascii="Arial" w:eastAsia="Arial" w:hAnsi="Arial" w:cs="Arial"/>
          <w:spacing w:val="-1"/>
          <w:position w:val="-1"/>
          <w:sz w:val="24"/>
          <w:szCs w:val="24"/>
        </w:rPr>
        <w:t xml:space="preserve"> </w:t>
      </w:r>
      <w:r w:rsidRPr="00192EC4">
        <w:rPr>
          <w:rFonts w:ascii="Arial" w:eastAsia="Arial" w:hAnsi="Arial" w:cs="Arial"/>
          <w:spacing w:val="1"/>
          <w:position w:val="-1"/>
          <w:sz w:val="24"/>
          <w:szCs w:val="24"/>
        </w:rPr>
        <w:t>Lo</w:t>
      </w:r>
      <w:r w:rsidRPr="00192EC4">
        <w:rPr>
          <w:rFonts w:ascii="Arial" w:eastAsia="Arial" w:hAnsi="Arial" w:cs="Arial"/>
          <w:position w:val="-1"/>
          <w:sz w:val="24"/>
          <w:szCs w:val="24"/>
        </w:rPr>
        <w:t>c</w:t>
      </w:r>
      <w:r w:rsidRPr="00192EC4">
        <w:rPr>
          <w:rFonts w:ascii="Arial" w:eastAsia="Arial" w:hAnsi="Arial" w:cs="Arial"/>
          <w:spacing w:val="1"/>
          <w:position w:val="-1"/>
          <w:sz w:val="24"/>
          <w:szCs w:val="24"/>
        </w:rPr>
        <w:t>a</w:t>
      </w:r>
      <w:r w:rsidRPr="00192EC4">
        <w:rPr>
          <w:rFonts w:ascii="Arial" w:eastAsia="Arial" w:hAnsi="Arial" w:cs="Arial"/>
          <w:position w:val="-1"/>
          <w:sz w:val="24"/>
          <w:szCs w:val="24"/>
        </w:rPr>
        <w:t>l</w:t>
      </w:r>
      <w:r w:rsidRPr="00192EC4">
        <w:rPr>
          <w:rFonts w:ascii="Arial" w:eastAsia="Arial" w:hAnsi="Arial" w:cs="Arial"/>
          <w:spacing w:val="-2"/>
          <w:position w:val="-1"/>
          <w:sz w:val="24"/>
          <w:szCs w:val="24"/>
        </w:rPr>
        <w:t xml:space="preserve"> </w:t>
      </w:r>
      <w:r w:rsidRPr="00192EC4">
        <w:rPr>
          <w:rFonts w:ascii="Arial" w:eastAsia="Arial" w:hAnsi="Arial" w:cs="Arial"/>
          <w:spacing w:val="2"/>
          <w:position w:val="-1"/>
          <w:sz w:val="24"/>
          <w:szCs w:val="24"/>
        </w:rPr>
        <w:t>T</w:t>
      </w:r>
      <w:r w:rsidRPr="00192EC4">
        <w:rPr>
          <w:rFonts w:ascii="Arial" w:eastAsia="Arial" w:hAnsi="Arial" w:cs="Arial"/>
          <w:position w:val="-1"/>
          <w:sz w:val="24"/>
          <w:szCs w:val="24"/>
        </w:rPr>
        <w:t>r</w:t>
      </w:r>
      <w:r w:rsidRPr="00192EC4">
        <w:rPr>
          <w:rFonts w:ascii="Arial" w:eastAsia="Arial" w:hAnsi="Arial" w:cs="Arial"/>
          <w:spacing w:val="-2"/>
          <w:position w:val="-1"/>
          <w:sz w:val="24"/>
          <w:szCs w:val="24"/>
        </w:rPr>
        <w:t>a</w:t>
      </w:r>
      <w:r w:rsidRPr="00192EC4">
        <w:rPr>
          <w:rFonts w:ascii="Arial" w:eastAsia="Arial" w:hAnsi="Arial" w:cs="Arial"/>
          <w:spacing w:val="1"/>
          <w:position w:val="-1"/>
          <w:sz w:val="24"/>
          <w:szCs w:val="24"/>
        </w:rPr>
        <w:t>n</w:t>
      </w:r>
      <w:r w:rsidRPr="00192EC4">
        <w:rPr>
          <w:rFonts w:ascii="Arial" w:eastAsia="Arial" w:hAnsi="Arial" w:cs="Arial"/>
          <w:position w:val="-1"/>
          <w:sz w:val="24"/>
          <w:szCs w:val="24"/>
        </w:rPr>
        <w:t>s</w:t>
      </w:r>
      <w:r w:rsidRPr="00192EC4">
        <w:rPr>
          <w:rFonts w:ascii="Arial" w:eastAsia="Arial" w:hAnsi="Arial" w:cs="Arial"/>
          <w:spacing w:val="1"/>
          <w:position w:val="-1"/>
          <w:sz w:val="24"/>
          <w:szCs w:val="24"/>
        </w:rPr>
        <w:t>po</w:t>
      </w:r>
      <w:r w:rsidRPr="00192EC4">
        <w:rPr>
          <w:rFonts w:ascii="Arial" w:eastAsia="Arial" w:hAnsi="Arial" w:cs="Arial"/>
          <w:position w:val="-1"/>
          <w:sz w:val="24"/>
          <w:szCs w:val="24"/>
        </w:rPr>
        <w:t>rt</w:t>
      </w:r>
      <w:r w:rsidRPr="00192EC4">
        <w:rPr>
          <w:rFonts w:ascii="Arial" w:eastAsia="Arial" w:hAnsi="Arial" w:cs="Arial"/>
          <w:spacing w:val="-2"/>
          <w:position w:val="-1"/>
          <w:sz w:val="24"/>
          <w:szCs w:val="24"/>
        </w:rPr>
        <w:t xml:space="preserve"> </w:t>
      </w:r>
      <w:r w:rsidRPr="00192EC4">
        <w:rPr>
          <w:rFonts w:ascii="Arial" w:eastAsia="Arial" w:hAnsi="Arial" w:cs="Arial"/>
          <w:spacing w:val="1"/>
          <w:position w:val="-1"/>
          <w:sz w:val="24"/>
          <w:szCs w:val="24"/>
        </w:rPr>
        <w:t>P</w:t>
      </w:r>
      <w:r w:rsidRPr="00192EC4">
        <w:rPr>
          <w:rFonts w:ascii="Arial" w:eastAsia="Arial" w:hAnsi="Arial" w:cs="Arial"/>
          <w:position w:val="-1"/>
          <w:sz w:val="24"/>
          <w:szCs w:val="24"/>
        </w:rPr>
        <w:t>lan</w:t>
      </w:r>
    </w:p>
    <w:p w14:paraId="03D329DE" w14:textId="77777777"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sz w:val="24"/>
          <w:szCs w:val="24"/>
        </w:rPr>
        <w:t>Gra</w:t>
      </w:r>
      <w:r w:rsidRPr="00192EC4">
        <w:rPr>
          <w:rFonts w:ascii="Arial" w:eastAsia="Arial" w:hAnsi="Arial" w:cs="Arial"/>
          <w:spacing w:val="1"/>
          <w:sz w:val="24"/>
          <w:szCs w:val="24"/>
        </w:rPr>
        <w:t>n</w:t>
      </w:r>
      <w:r w:rsidRPr="00192EC4">
        <w:rPr>
          <w:rFonts w:ascii="Arial" w:eastAsia="Arial" w:hAnsi="Arial" w:cs="Arial"/>
          <w:sz w:val="24"/>
          <w:szCs w:val="24"/>
        </w:rPr>
        <w:t>ts</w:t>
      </w:r>
      <w:r w:rsidRPr="00192EC4">
        <w:rPr>
          <w:rFonts w:ascii="Arial" w:eastAsia="Arial" w:hAnsi="Arial" w:cs="Arial"/>
          <w:spacing w:val="1"/>
          <w:sz w:val="24"/>
          <w:szCs w:val="24"/>
        </w:rPr>
        <w:t xml:space="preserve"> </w:t>
      </w:r>
      <w:r w:rsidRPr="00192EC4">
        <w:rPr>
          <w:rFonts w:ascii="Arial" w:eastAsia="Arial" w:hAnsi="Arial" w:cs="Arial"/>
          <w:spacing w:val="-2"/>
          <w:sz w:val="24"/>
          <w:szCs w:val="24"/>
        </w:rPr>
        <w:t>t</w:t>
      </w:r>
      <w:r w:rsidRPr="00192EC4">
        <w:rPr>
          <w:rFonts w:ascii="Arial" w:eastAsia="Arial" w:hAnsi="Arial" w:cs="Arial"/>
          <w:sz w:val="24"/>
          <w:szCs w:val="24"/>
        </w:rPr>
        <w:t>o</w:t>
      </w:r>
      <w:r w:rsidRPr="00192EC4">
        <w:rPr>
          <w:rFonts w:ascii="Arial" w:eastAsia="Arial" w:hAnsi="Arial" w:cs="Arial"/>
          <w:spacing w:val="1"/>
          <w:sz w:val="24"/>
          <w:szCs w:val="24"/>
        </w:rPr>
        <w:t xml:space="preserve"> </w:t>
      </w:r>
      <w:r w:rsidRPr="00192EC4">
        <w:rPr>
          <w:rFonts w:ascii="Arial" w:eastAsia="Arial" w:hAnsi="Arial" w:cs="Arial"/>
          <w:spacing w:val="-1"/>
          <w:sz w:val="24"/>
          <w:szCs w:val="24"/>
        </w:rPr>
        <w:t>b</w:t>
      </w:r>
      <w:r w:rsidRPr="00192EC4">
        <w:rPr>
          <w:rFonts w:ascii="Arial" w:eastAsia="Arial" w:hAnsi="Arial" w:cs="Arial"/>
          <w:spacing w:val="1"/>
          <w:sz w:val="24"/>
          <w:szCs w:val="24"/>
        </w:rPr>
        <w:t>u</w:t>
      </w:r>
      <w:r w:rsidRPr="00192EC4">
        <w:rPr>
          <w:rFonts w:ascii="Arial" w:eastAsia="Arial" w:hAnsi="Arial" w:cs="Arial"/>
          <w:sz w:val="24"/>
          <w:szCs w:val="24"/>
        </w:rPr>
        <w:t>s s</w:t>
      </w:r>
      <w:r w:rsidRPr="00192EC4">
        <w:rPr>
          <w:rFonts w:ascii="Arial" w:eastAsia="Arial" w:hAnsi="Arial" w:cs="Arial"/>
          <w:spacing w:val="1"/>
          <w:sz w:val="24"/>
          <w:szCs w:val="24"/>
        </w:rPr>
        <w:t>e</w:t>
      </w:r>
      <w:r w:rsidRPr="00192EC4">
        <w:rPr>
          <w:rFonts w:ascii="Arial" w:eastAsia="Arial" w:hAnsi="Arial" w:cs="Arial"/>
          <w:sz w:val="24"/>
          <w:szCs w:val="24"/>
        </w:rPr>
        <w:t>r</w:t>
      </w:r>
      <w:r w:rsidRPr="00192EC4">
        <w:rPr>
          <w:rFonts w:ascii="Arial" w:eastAsia="Arial" w:hAnsi="Arial" w:cs="Arial"/>
          <w:spacing w:val="-3"/>
          <w:sz w:val="24"/>
          <w:szCs w:val="24"/>
        </w:rPr>
        <w:t>v</w:t>
      </w:r>
      <w:r w:rsidRPr="00192EC4">
        <w:rPr>
          <w:rFonts w:ascii="Arial" w:eastAsia="Arial" w:hAnsi="Arial" w:cs="Arial"/>
          <w:sz w:val="24"/>
          <w:szCs w:val="24"/>
        </w:rPr>
        <w:t>ice</w:t>
      </w:r>
      <w:r w:rsidRPr="00192EC4">
        <w:rPr>
          <w:rFonts w:ascii="Arial" w:eastAsia="Arial" w:hAnsi="Arial" w:cs="Arial"/>
          <w:spacing w:val="3"/>
          <w:sz w:val="24"/>
          <w:szCs w:val="24"/>
        </w:rPr>
        <w:t xml:space="preserve"> </w:t>
      </w:r>
      <w:r w:rsidRPr="00192EC4">
        <w:rPr>
          <w:rFonts w:ascii="Arial" w:eastAsia="Arial" w:hAnsi="Arial" w:cs="Arial"/>
          <w:spacing w:val="1"/>
          <w:sz w:val="24"/>
          <w:szCs w:val="24"/>
        </w:rPr>
        <w:t>ope</w:t>
      </w:r>
      <w:r w:rsidRPr="00192EC4">
        <w:rPr>
          <w:rFonts w:ascii="Arial" w:eastAsia="Arial" w:hAnsi="Arial" w:cs="Arial"/>
          <w:sz w:val="24"/>
          <w:szCs w:val="24"/>
        </w:rPr>
        <w:t>ra</w:t>
      </w:r>
      <w:r w:rsidRPr="00192EC4">
        <w:rPr>
          <w:rFonts w:ascii="Arial" w:eastAsia="Arial" w:hAnsi="Arial" w:cs="Arial"/>
          <w:spacing w:val="-2"/>
          <w:sz w:val="24"/>
          <w:szCs w:val="24"/>
        </w:rPr>
        <w:t>t</w:t>
      </w:r>
      <w:r w:rsidRPr="00192EC4">
        <w:rPr>
          <w:rFonts w:ascii="Arial" w:eastAsia="Arial" w:hAnsi="Arial" w:cs="Arial"/>
          <w:spacing w:val="1"/>
          <w:sz w:val="24"/>
          <w:szCs w:val="24"/>
        </w:rPr>
        <w:t>o</w:t>
      </w:r>
      <w:r w:rsidRPr="00192EC4">
        <w:rPr>
          <w:rFonts w:ascii="Arial" w:eastAsia="Arial" w:hAnsi="Arial" w:cs="Arial"/>
          <w:sz w:val="24"/>
          <w:szCs w:val="24"/>
        </w:rPr>
        <w:t>rs</w:t>
      </w:r>
    </w:p>
    <w:p w14:paraId="56F9E990" w14:textId="77777777"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sz w:val="24"/>
          <w:szCs w:val="24"/>
        </w:rPr>
        <w:t>Gra</w:t>
      </w:r>
      <w:r w:rsidRPr="00192EC4">
        <w:rPr>
          <w:rFonts w:ascii="Arial" w:eastAsia="Arial" w:hAnsi="Arial" w:cs="Arial"/>
          <w:spacing w:val="1"/>
          <w:sz w:val="24"/>
          <w:szCs w:val="24"/>
        </w:rPr>
        <w:t>n</w:t>
      </w:r>
      <w:r w:rsidRPr="00192EC4">
        <w:rPr>
          <w:rFonts w:ascii="Arial" w:eastAsia="Arial" w:hAnsi="Arial" w:cs="Arial"/>
          <w:sz w:val="24"/>
          <w:szCs w:val="24"/>
        </w:rPr>
        <w:t>ts</w:t>
      </w:r>
      <w:r w:rsidRPr="00192EC4">
        <w:rPr>
          <w:rFonts w:ascii="Arial" w:eastAsia="Arial" w:hAnsi="Arial" w:cs="Arial"/>
          <w:spacing w:val="1"/>
          <w:sz w:val="24"/>
          <w:szCs w:val="24"/>
        </w:rPr>
        <w:t xml:space="preserve"> </w:t>
      </w:r>
      <w:r w:rsidRPr="00192EC4">
        <w:rPr>
          <w:rFonts w:ascii="Arial" w:eastAsia="Arial" w:hAnsi="Arial" w:cs="Arial"/>
          <w:spacing w:val="-2"/>
          <w:sz w:val="24"/>
          <w:szCs w:val="24"/>
        </w:rPr>
        <w:t>t</w:t>
      </w:r>
      <w:r w:rsidRPr="00192EC4">
        <w:rPr>
          <w:rFonts w:ascii="Arial" w:eastAsia="Arial" w:hAnsi="Arial" w:cs="Arial"/>
          <w:sz w:val="24"/>
          <w:szCs w:val="24"/>
        </w:rPr>
        <w:t>o</w:t>
      </w:r>
      <w:r w:rsidRPr="00192EC4">
        <w:rPr>
          <w:rFonts w:ascii="Arial" w:eastAsia="Arial" w:hAnsi="Arial" w:cs="Arial"/>
          <w:spacing w:val="1"/>
          <w:sz w:val="24"/>
          <w:szCs w:val="24"/>
        </w:rPr>
        <w:t xml:space="preserve"> </w:t>
      </w:r>
      <w:r w:rsidRPr="00192EC4">
        <w:rPr>
          <w:rFonts w:ascii="Arial" w:eastAsia="Arial" w:hAnsi="Arial" w:cs="Arial"/>
          <w:sz w:val="24"/>
          <w:szCs w:val="24"/>
        </w:rPr>
        <w:t>c</w:t>
      </w:r>
      <w:r w:rsidRPr="00192EC4">
        <w:rPr>
          <w:rFonts w:ascii="Arial" w:eastAsia="Arial" w:hAnsi="Arial" w:cs="Arial"/>
          <w:spacing w:val="-1"/>
          <w:sz w:val="24"/>
          <w:szCs w:val="24"/>
        </w:rPr>
        <w:t>o</w:t>
      </w:r>
      <w:r w:rsidRPr="00192EC4">
        <w:rPr>
          <w:rFonts w:ascii="Arial" w:eastAsia="Arial" w:hAnsi="Arial" w:cs="Arial"/>
          <w:spacing w:val="1"/>
          <w:sz w:val="24"/>
          <w:szCs w:val="24"/>
        </w:rPr>
        <w:t>n</w:t>
      </w:r>
      <w:r w:rsidRPr="00192EC4">
        <w:rPr>
          <w:rFonts w:ascii="Arial" w:eastAsia="Arial" w:hAnsi="Arial" w:cs="Arial"/>
          <w:sz w:val="24"/>
          <w:szCs w:val="24"/>
        </w:rPr>
        <w:t>stit</w:t>
      </w:r>
      <w:r w:rsidRPr="00192EC4">
        <w:rPr>
          <w:rFonts w:ascii="Arial" w:eastAsia="Arial" w:hAnsi="Arial" w:cs="Arial"/>
          <w:spacing w:val="-1"/>
          <w:sz w:val="24"/>
          <w:szCs w:val="24"/>
        </w:rPr>
        <w:t>u</w:t>
      </w:r>
      <w:r w:rsidRPr="00192EC4">
        <w:rPr>
          <w:rFonts w:ascii="Arial" w:eastAsia="Arial" w:hAnsi="Arial" w:cs="Arial"/>
          <w:spacing w:val="1"/>
          <w:sz w:val="24"/>
          <w:szCs w:val="24"/>
        </w:rPr>
        <w:t>en</w:t>
      </w:r>
      <w:r w:rsidRPr="00192EC4">
        <w:rPr>
          <w:rFonts w:ascii="Arial" w:eastAsia="Arial" w:hAnsi="Arial" w:cs="Arial"/>
          <w:sz w:val="24"/>
          <w:szCs w:val="24"/>
        </w:rPr>
        <w:t>t</w:t>
      </w:r>
      <w:r w:rsidRPr="00192EC4">
        <w:rPr>
          <w:rFonts w:ascii="Arial" w:eastAsia="Arial" w:hAnsi="Arial" w:cs="Arial"/>
          <w:spacing w:val="3"/>
          <w:sz w:val="24"/>
          <w:szCs w:val="24"/>
        </w:rPr>
        <w:t xml:space="preserve"> </w:t>
      </w:r>
      <w:r w:rsidRPr="00192EC4">
        <w:rPr>
          <w:rFonts w:ascii="Arial" w:eastAsia="Arial" w:hAnsi="Arial" w:cs="Arial"/>
          <w:spacing w:val="-2"/>
          <w:sz w:val="24"/>
          <w:szCs w:val="24"/>
        </w:rPr>
        <w:t>c</w:t>
      </w:r>
      <w:r w:rsidRPr="00192EC4">
        <w:rPr>
          <w:rFonts w:ascii="Arial" w:eastAsia="Arial" w:hAnsi="Arial" w:cs="Arial"/>
          <w:spacing w:val="1"/>
          <w:sz w:val="24"/>
          <w:szCs w:val="24"/>
        </w:rPr>
        <w:t>oun</w:t>
      </w:r>
      <w:r w:rsidRPr="00192EC4">
        <w:rPr>
          <w:rFonts w:ascii="Arial" w:eastAsia="Arial" w:hAnsi="Arial" w:cs="Arial"/>
          <w:sz w:val="24"/>
          <w:szCs w:val="24"/>
        </w:rPr>
        <w:t>ci</w:t>
      </w:r>
      <w:r w:rsidRPr="00192EC4">
        <w:rPr>
          <w:rFonts w:ascii="Arial" w:eastAsia="Arial" w:hAnsi="Arial" w:cs="Arial"/>
          <w:spacing w:val="-1"/>
          <w:sz w:val="24"/>
          <w:szCs w:val="24"/>
        </w:rPr>
        <w:t>l</w:t>
      </w:r>
      <w:r w:rsidRPr="00192EC4">
        <w:rPr>
          <w:rFonts w:ascii="Arial" w:eastAsia="Arial" w:hAnsi="Arial" w:cs="Arial"/>
          <w:sz w:val="24"/>
          <w:szCs w:val="24"/>
        </w:rPr>
        <w:t>s</w:t>
      </w:r>
    </w:p>
    <w:p w14:paraId="4C8210D4" w14:textId="77777777" w:rsidR="00BE35F9" w:rsidRPr="00192EC4" w:rsidRDefault="00BE35F9" w:rsidP="006F1659">
      <w:pPr>
        <w:pStyle w:val="ListParagraph"/>
        <w:numPr>
          <w:ilvl w:val="0"/>
          <w:numId w:val="77"/>
        </w:numPr>
        <w:spacing w:after="0" w:line="360" w:lineRule="auto"/>
        <w:ind w:left="567" w:hanging="284"/>
        <w:rPr>
          <w:rFonts w:ascii="Arial" w:eastAsia="Arial" w:hAnsi="Arial" w:cs="Arial"/>
          <w:sz w:val="24"/>
          <w:szCs w:val="24"/>
        </w:rPr>
      </w:pPr>
      <w:r w:rsidRPr="00192EC4">
        <w:rPr>
          <w:rFonts w:ascii="Arial" w:eastAsia="Arial" w:hAnsi="Arial" w:cs="Arial"/>
          <w:sz w:val="24"/>
          <w:szCs w:val="24"/>
        </w:rPr>
        <w:t>D</w:t>
      </w:r>
      <w:r w:rsidRPr="00192EC4">
        <w:rPr>
          <w:rFonts w:ascii="Arial" w:eastAsia="Arial" w:hAnsi="Arial" w:cs="Arial"/>
          <w:spacing w:val="1"/>
          <w:sz w:val="24"/>
          <w:szCs w:val="24"/>
        </w:rPr>
        <w:t>e</w:t>
      </w:r>
      <w:r w:rsidRPr="00192EC4">
        <w:rPr>
          <w:rFonts w:ascii="Arial" w:eastAsia="Arial" w:hAnsi="Arial" w:cs="Arial"/>
          <w:sz w:val="24"/>
          <w:szCs w:val="24"/>
        </w:rPr>
        <w:t>cis</w:t>
      </w:r>
      <w:r w:rsidRPr="00192EC4">
        <w:rPr>
          <w:rFonts w:ascii="Arial" w:eastAsia="Arial" w:hAnsi="Arial" w:cs="Arial"/>
          <w:spacing w:val="-1"/>
          <w:sz w:val="24"/>
          <w:szCs w:val="24"/>
        </w:rPr>
        <w:t>i</w:t>
      </w:r>
      <w:r w:rsidRPr="00192EC4">
        <w:rPr>
          <w:rFonts w:ascii="Arial" w:eastAsia="Arial" w:hAnsi="Arial" w:cs="Arial"/>
          <w:spacing w:val="1"/>
          <w:sz w:val="24"/>
          <w:szCs w:val="24"/>
        </w:rPr>
        <w:t>on</w:t>
      </w:r>
      <w:r w:rsidRPr="00192EC4">
        <w:rPr>
          <w:rFonts w:ascii="Arial" w:eastAsia="Arial" w:hAnsi="Arial" w:cs="Arial"/>
          <w:sz w:val="24"/>
          <w:szCs w:val="24"/>
        </w:rPr>
        <w:t xml:space="preserve">s </w:t>
      </w:r>
      <w:r w:rsidRPr="00192EC4">
        <w:rPr>
          <w:rFonts w:ascii="Arial" w:eastAsia="Arial" w:hAnsi="Arial" w:cs="Arial"/>
          <w:spacing w:val="1"/>
          <w:sz w:val="24"/>
          <w:szCs w:val="24"/>
        </w:rPr>
        <w:t>t</w:t>
      </w:r>
      <w:r w:rsidRPr="00192EC4">
        <w:rPr>
          <w:rFonts w:ascii="Arial" w:eastAsia="Arial" w:hAnsi="Arial" w:cs="Arial"/>
          <w:sz w:val="24"/>
          <w:szCs w:val="24"/>
        </w:rPr>
        <w:t>o</w:t>
      </w:r>
      <w:r w:rsidRPr="00192EC4">
        <w:rPr>
          <w:rFonts w:ascii="Arial" w:eastAsia="Arial" w:hAnsi="Arial" w:cs="Arial"/>
          <w:spacing w:val="-1"/>
          <w:sz w:val="24"/>
          <w:szCs w:val="24"/>
        </w:rPr>
        <w:t xml:space="preserve"> m</w:t>
      </w:r>
      <w:r w:rsidRPr="00192EC4">
        <w:rPr>
          <w:rFonts w:ascii="Arial" w:eastAsia="Arial" w:hAnsi="Arial" w:cs="Arial"/>
          <w:spacing w:val="1"/>
          <w:sz w:val="24"/>
          <w:szCs w:val="24"/>
        </w:rPr>
        <w:t>a</w:t>
      </w:r>
      <w:r w:rsidRPr="00192EC4">
        <w:rPr>
          <w:rFonts w:ascii="Arial" w:eastAsia="Arial" w:hAnsi="Arial" w:cs="Arial"/>
          <w:sz w:val="24"/>
          <w:szCs w:val="24"/>
        </w:rPr>
        <w:t>k</w:t>
      </w:r>
      <w:r w:rsidRPr="00192EC4">
        <w:rPr>
          <w:rFonts w:ascii="Arial" w:eastAsia="Arial" w:hAnsi="Arial" w:cs="Arial"/>
          <w:spacing w:val="1"/>
          <w:sz w:val="24"/>
          <w:szCs w:val="24"/>
        </w:rPr>
        <w:t>e</w:t>
      </w:r>
      <w:r w:rsidRPr="00192EC4">
        <w:rPr>
          <w:rFonts w:ascii="Arial" w:eastAsia="Arial" w:hAnsi="Arial" w:cs="Arial"/>
          <w:sz w:val="24"/>
          <w:szCs w:val="24"/>
        </w:rPr>
        <w:t>,</w:t>
      </w:r>
      <w:r w:rsidRPr="00192EC4">
        <w:rPr>
          <w:rFonts w:ascii="Arial" w:eastAsia="Arial" w:hAnsi="Arial" w:cs="Arial"/>
          <w:spacing w:val="1"/>
          <w:sz w:val="24"/>
          <w:szCs w:val="24"/>
        </w:rPr>
        <w:t xml:space="preserve"> </w:t>
      </w:r>
      <w:r w:rsidRPr="00192EC4">
        <w:rPr>
          <w:rFonts w:ascii="Arial" w:eastAsia="Arial" w:hAnsi="Arial" w:cs="Arial"/>
          <w:spacing w:val="-2"/>
          <w:sz w:val="24"/>
          <w:szCs w:val="24"/>
        </w:rPr>
        <w:t>v</w:t>
      </w:r>
      <w:r w:rsidRPr="00192EC4">
        <w:rPr>
          <w:rFonts w:ascii="Arial" w:eastAsia="Arial" w:hAnsi="Arial" w:cs="Arial"/>
          <w:spacing w:val="1"/>
          <w:sz w:val="24"/>
          <w:szCs w:val="24"/>
        </w:rPr>
        <w:t>a</w:t>
      </w:r>
      <w:r w:rsidRPr="00192EC4">
        <w:rPr>
          <w:rFonts w:ascii="Arial" w:eastAsia="Arial" w:hAnsi="Arial" w:cs="Arial"/>
          <w:sz w:val="24"/>
          <w:szCs w:val="24"/>
        </w:rPr>
        <w:t>ry</w:t>
      </w:r>
      <w:r w:rsidRPr="00192EC4">
        <w:rPr>
          <w:rFonts w:ascii="Arial" w:eastAsia="Arial" w:hAnsi="Arial" w:cs="Arial"/>
          <w:spacing w:val="-3"/>
          <w:sz w:val="24"/>
          <w:szCs w:val="24"/>
        </w:rPr>
        <w:t xml:space="preserve"> </w:t>
      </w:r>
      <w:r w:rsidRPr="00192EC4">
        <w:rPr>
          <w:rFonts w:ascii="Arial" w:eastAsia="Arial" w:hAnsi="Arial" w:cs="Arial"/>
          <w:spacing w:val="1"/>
          <w:sz w:val="24"/>
          <w:szCs w:val="24"/>
        </w:rPr>
        <w:t>o</w:t>
      </w:r>
      <w:r w:rsidRPr="00192EC4">
        <w:rPr>
          <w:rFonts w:ascii="Arial" w:eastAsia="Arial" w:hAnsi="Arial" w:cs="Arial"/>
          <w:sz w:val="24"/>
          <w:szCs w:val="24"/>
        </w:rPr>
        <w:t xml:space="preserve">r </w:t>
      </w:r>
      <w:r w:rsidRPr="00192EC4">
        <w:rPr>
          <w:rFonts w:ascii="Arial" w:eastAsia="Arial" w:hAnsi="Arial" w:cs="Arial"/>
          <w:spacing w:val="-1"/>
          <w:sz w:val="24"/>
          <w:szCs w:val="24"/>
        </w:rPr>
        <w:t>r</w:t>
      </w:r>
      <w:r w:rsidRPr="00192EC4">
        <w:rPr>
          <w:rFonts w:ascii="Arial" w:eastAsia="Arial" w:hAnsi="Arial" w:cs="Arial"/>
          <w:spacing w:val="1"/>
          <w:sz w:val="24"/>
          <w:szCs w:val="24"/>
        </w:rPr>
        <w:t>e</w:t>
      </w:r>
      <w:r w:rsidRPr="00192EC4">
        <w:rPr>
          <w:rFonts w:ascii="Arial" w:eastAsia="Arial" w:hAnsi="Arial" w:cs="Arial"/>
          <w:spacing w:val="-2"/>
          <w:sz w:val="24"/>
          <w:szCs w:val="24"/>
        </w:rPr>
        <w:t>v</w:t>
      </w:r>
      <w:r w:rsidRPr="00192EC4">
        <w:rPr>
          <w:rFonts w:ascii="Arial" w:eastAsia="Arial" w:hAnsi="Arial" w:cs="Arial"/>
          <w:spacing w:val="1"/>
          <w:sz w:val="24"/>
          <w:szCs w:val="24"/>
        </w:rPr>
        <w:t>o</w:t>
      </w:r>
      <w:r w:rsidRPr="00192EC4">
        <w:rPr>
          <w:rFonts w:ascii="Arial" w:eastAsia="Arial" w:hAnsi="Arial" w:cs="Arial"/>
          <w:spacing w:val="4"/>
          <w:sz w:val="24"/>
          <w:szCs w:val="24"/>
        </w:rPr>
        <w:t>k</w:t>
      </w:r>
      <w:r w:rsidRPr="00192EC4">
        <w:rPr>
          <w:rFonts w:ascii="Arial" w:eastAsia="Arial" w:hAnsi="Arial" w:cs="Arial"/>
          <w:sz w:val="24"/>
          <w:szCs w:val="24"/>
        </w:rPr>
        <w:t>e</w:t>
      </w:r>
      <w:r w:rsidRPr="00192EC4">
        <w:rPr>
          <w:rFonts w:ascii="Arial" w:eastAsia="Arial" w:hAnsi="Arial" w:cs="Arial"/>
          <w:spacing w:val="1"/>
          <w:sz w:val="24"/>
          <w:szCs w:val="24"/>
        </w:rPr>
        <w:t xml:space="preserve"> bu</w:t>
      </w:r>
      <w:r w:rsidRPr="00192EC4">
        <w:rPr>
          <w:rFonts w:ascii="Arial" w:eastAsia="Arial" w:hAnsi="Arial" w:cs="Arial"/>
          <w:sz w:val="24"/>
          <w:szCs w:val="24"/>
        </w:rPr>
        <w:t>s</w:t>
      </w:r>
      <w:r w:rsidRPr="00192EC4">
        <w:rPr>
          <w:rFonts w:ascii="Arial" w:eastAsia="Arial" w:hAnsi="Arial" w:cs="Arial"/>
          <w:spacing w:val="-2"/>
          <w:sz w:val="24"/>
          <w:szCs w:val="24"/>
        </w:rPr>
        <w:t xml:space="preserve"> </w:t>
      </w:r>
      <w:r w:rsidRPr="00192EC4">
        <w:rPr>
          <w:rFonts w:ascii="Arial" w:eastAsia="Arial" w:hAnsi="Arial" w:cs="Arial"/>
          <w:spacing w:val="3"/>
          <w:sz w:val="24"/>
          <w:szCs w:val="24"/>
        </w:rPr>
        <w:t>f</w:t>
      </w:r>
      <w:r w:rsidRPr="00192EC4">
        <w:rPr>
          <w:rFonts w:ascii="Arial" w:eastAsia="Arial" w:hAnsi="Arial" w:cs="Arial"/>
          <w:sz w:val="24"/>
          <w:szCs w:val="24"/>
        </w:rPr>
        <w:t>ra</w:t>
      </w:r>
      <w:r w:rsidRPr="00192EC4">
        <w:rPr>
          <w:rFonts w:ascii="Arial" w:eastAsia="Arial" w:hAnsi="Arial" w:cs="Arial"/>
          <w:spacing w:val="1"/>
          <w:sz w:val="24"/>
          <w:szCs w:val="24"/>
        </w:rPr>
        <w:t>n</w:t>
      </w:r>
      <w:r w:rsidRPr="00192EC4">
        <w:rPr>
          <w:rFonts w:ascii="Arial" w:eastAsia="Arial" w:hAnsi="Arial" w:cs="Arial"/>
          <w:spacing w:val="-2"/>
          <w:sz w:val="24"/>
          <w:szCs w:val="24"/>
        </w:rPr>
        <w:t>c</w:t>
      </w:r>
      <w:r w:rsidRPr="00192EC4">
        <w:rPr>
          <w:rFonts w:ascii="Arial" w:eastAsia="Arial" w:hAnsi="Arial" w:cs="Arial"/>
          <w:spacing w:val="1"/>
          <w:sz w:val="24"/>
          <w:szCs w:val="24"/>
        </w:rPr>
        <w:t>h</w:t>
      </w:r>
      <w:r w:rsidRPr="00192EC4">
        <w:rPr>
          <w:rFonts w:ascii="Arial" w:eastAsia="Arial" w:hAnsi="Arial" w:cs="Arial"/>
          <w:sz w:val="24"/>
          <w:szCs w:val="24"/>
        </w:rPr>
        <w:t>is</w:t>
      </w:r>
      <w:r w:rsidRPr="00192EC4">
        <w:rPr>
          <w:rFonts w:ascii="Arial" w:eastAsia="Arial" w:hAnsi="Arial" w:cs="Arial"/>
          <w:spacing w:val="-1"/>
          <w:sz w:val="24"/>
          <w:szCs w:val="24"/>
        </w:rPr>
        <w:t>i</w:t>
      </w:r>
      <w:r w:rsidRPr="00192EC4">
        <w:rPr>
          <w:rFonts w:ascii="Arial" w:eastAsia="Arial" w:hAnsi="Arial" w:cs="Arial"/>
          <w:spacing w:val="1"/>
          <w:sz w:val="24"/>
          <w:szCs w:val="24"/>
        </w:rPr>
        <w:t>n</w:t>
      </w:r>
      <w:r w:rsidRPr="00192EC4">
        <w:rPr>
          <w:rFonts w:ascii="Arial" w:eastAsia="Arial" w:hAnsi="Arial" w:cs="Arial"/>
          <w:sz w:val="24"/>
          <w:szCs w:val="24"/>
        </w:rPr>
        <w:t>g</w:t>
      </w:r>
      <w:r w:rsidRPr="00192EC4">
        <w:rPr>
          <w:rFonts w:ascii="Arial" w:eastAsia="Arial" w:hAnsi="Arial" w:cs="Arial"/>
          <w:spacing w:val="-1"/>
          <w:sz w:val="24"/>
          <w:szCs w:val="24"/>
        </w:rPr>
        <w:t xml:space="preserve"> </w:t>
      </w:r>
      <w:r w:rsidRPr="00192EC4">
        <w:rPr>
          <w:rFonts w:ascii="Arial" w:eastAsia="Arial" w:hAnsi="Arial" w:cs="Arial"/>
          <w:sz w:val="24"/>
          <w:szCs w:val="24"/>
        </w:rPr>
        <w:t>sc</w:t>
      </w:r>
      <w:r w:rsidRPr="00192EC4">
        <w:rPr>
          <w:rFonts w:ascii="Arial" w:eastAsia="Arial" w:hAnsi="Arial" w:cs="Arial"/>
          <w:spacing w:val="1"/>
          <w:sz w:val="24"/>
          <w:szCs w:val="24"/>
        </w:rPr>
        <w:t>he</w:t>
      </w:r>
      <w:r w:rsidRPr="00192EC4">
        <w:rPr>
          <w:rFonts w:ascii="Arial" w:eastAsia="Arial" w:hAnsi="Arial" w:cs="Arial"/>
          <w:spacing w:val="-1"/>
          <w:sz w:val="24"/>
          <w:szCs w:val="24"/>
        </w:rPr>
        <w:t>m</w:t>
      </w:r>
      <w:r w:rsidRPr="00192EC4">
        <w:rPr>
          <w:rFonts w:ascii="Arial" w:eastAsia="Arial" w:hAnsi="Arial" w:cs="Arial"/>
          <w:spacing w:val="1"/>
          <w:sz w:val="24"/>
          <w:szCs w:val="24"/>
        </w:rPr>
        <w:t>e</w:t>
      </w:r>
      <w:r w:rsidRPr="00192EC4">
        <w:rPr>
          <w:rFonts w:ascii="Arial" w:eastAsia="Arial" w:hAnsi="Arial" w:cs="Arial"/>
          <w:sz w:val="24"/>
          <w:szCs w:val="24"/>
        </w:rPr>
        <w:t>s</w:t>
      </w:r>
    </w:p>
    <w:p w14:paraId="34CC74DA" w14:textId="77777777" w:rsidR="00BE35F9" w:rsidRPr="00192EC4" w:rsidRDefault="00BE35F9" w:rsidP="006F1659">
      <w:pPr>
        <w:spacing w:line="360" w:lineRule="auto"/>
        <w:rPr>
          <w:rFonts w:ascii="Arial" w:eastAsia="Arial" w:hAnsi="Arial" w:cs="Arial"/>
          <w:spacing w:val="2"/>
        </w:rPr>
      </w:pPr>
    </w:p>
    <w:p w14:paraId="22AB8EE3" w14:textId="6BC97C67" w:rsidR="00BE35F9" w:rsidRPr="00192EC4" w:rsidRDefault="00BE35F9" w:rsidP="006F1659">
      <w:pPr>
        <w:spacing w:line="360" w:lineRule="auto"/>
        <w:rPr>
          <w:rFonts w:ascii="Arial" w:eastAsia="Arial" w:hAnsi="Arial" w:cs="Arial"/>
          <w:bCs/>
          <w:spacing w:val="1"/>
        </w:rPr>
      </w:pPr>
      <w:r w:rsidRPr="00192EC4">
        <w:rPr>
          <w:rFonts w:ascii="Arial" w:eastAsia="Arial" w:hAnsi="Arial" w:cs="Arial"/>
          <w:spacing w:val="2"/>
        </w:rPr>
        <w:t>T</w:t>
      </w:r>
      <w:r w:rsidRPr="00192EC4">
        <w:rPr>
          <w:rFonts w:ascii="Arial" w:eastAsia="Arial" w:hAnsi="Arial" w:cs="Arial"/>
          <w:spacing w:val="-1"/>
        </w:rPr>
        <w:t>h</w:t>
      </w:r>
      <w:r w:rsidRPr="00192EC4">
        <w:rPr>
          <w:rFonts w:ascii="Arial" w:eastAsia="Arial" w:hAnsi="Arial" w:cs="Arial"/>
        </w:rPr>
        <w:t>e</w:t>
      </w:r>
      <w:r w:rsidRPr="00192EC4">
        <w:rPr>
          <w:rFonts w:ascii="Arial" w:eastAsia="Arial" w:hAnsi="Arial" w:cs="Arial"/>
          <w:spacing w:val="4"/>
        </w:rPr>
        <w:t xml:space="preserve"> </w:t>
      </w:r>
      <w:r w:rsidRPr="00192EC4">
        <w:rPr>
          <w:rFonts w:ascii="Arial" w:eastAsia="Arial" w:hAnsi="Arial" w:cs="Arial"/>
        </w:rPr>
        <w:t>s</w:t>
      </w:r>
      <w:r w:rsidRPr="00192EC4">
        <w:rPr>
          <w:rFonts w:ascii="Arial" w:eastAsia="Arial" w:hAnsi="Arial" w:cs="Arial"/>
          <w:spacing w:val="-1"/>
        </w:rPr>
        <w:t>o</w:t>
      </w:r>
      <w:r w:rsidRPr="00192EC4">
        <w:rPr>
          <w:rFonts w:ascii="Arial" w:eastAsia="Arial" w:hAnsi="Arial" w:cs="Arial"/>
          <w:spacing w:val="1"/>
        </w:rPr>
        <w:t>u</w:t>
      </w:r>
      <w:r w:rsidRPr="00192EC4">
        <w:rPr>
          <w:rFonts w:ascii="Arial" w:eastAsia="Arial" w:hAnsi="Arial" w:cs="Arial"/>
        </w:rPr>
        <w:t>rces</w:t>
      </w:r>
      <w:r w:rsidRPr="00192EC4">
        <w:rPr>
          <w:rFonts w:ascii="Arial" w:eastAsia="Arial" w:hAnsi="Arial" w:cs="Arial"/>
          <w:spacing w:val="1"/>
        </w:rPr>
        <w:t xml:space="preserve"> </w:t>
      </w:r>
      <w:r w:rsidRPr="00192EC4">
        <w:rPr>
          <w:rFonts w:ascii="Arial" w:eastAsia="Arial" w:hAnsi="Arial" w:cs="Arial"/>
          <w:spacing w:val="-1"/>
        </w:rPr>
        <w:t>o</w:t>
      </w:r>
      <w:r w:rsidRPr="00192EC4">
        <w:rPr>
          <w:rFonts w:ascii="Arial" w:eastAsia="Arial" w:hAnsi="Arial" w:cs="Arial"/>
        </w:rPr>
        <w:t>f</w:t>
      </w:r>
      <w:r w:rsidRPr="00192EC4">
        <w:rPr>
          <w:rFonts w:ascii="Arial" w:eastAsia="Arial" w:hAnsi="Arial" w:cs="Arial"/>
          <w:spacing w:val="3"/>
        </w:rPr>
        <w:t xml:space="preserve"> </w:t>
      </w:r>
      <w:r w:rsidRPr="00192EC4">
        <w:rPr>
          <w:rFonts w:ascii="Arial" w:eastAsia="Arial" w:hAnsi="Arial" w:cs="Arial"/>
          <w:spacing w:val="1"/>
        </w:rPr>
        <w:t>fu</w:t>
      </w:r>
      <w:r w:rsidRPr="00192EC4">
        <w:rPr>
          <w:rFonts w:ascii="Arial" w:eastAsia="Arial" w:hAnsi="Arial" w:cs="Arial"/>
          <w:spacing w:val="-1"/>
        </w:rPr>
        <w:t>n</w:t>
      </w:r>
      <w:r w:rsidRPr="00192EC4">
        <w:rPr>
          <w:rFonts w:ascii="Arial" w:eastAsia="Arial" w:hAnsi="Arial" w:cs="Arial"/>
          <w:spacing w:val="1"/>
        </w:rPr>
        <w:t>d</w:t>
      </w:r>
      <w:r w:rsidRPr="00192EC4">
        <w:rPr>
          <w:rFonts w:ascii="Arial" w:eastAsia="Arial" w:hAnsi="Arial" w:cs="Arial"/>
        </w:rPr>
        <w:t>ing</w:t>
      </w:r>
      <w:r w:rsidRPr="00192EC4">
        <w:rPr>
          <w:rFonts w:ascii="Arial" w:eastAsia="Arial" w:hAnsi="Arial" w:cs="Arial"/>
          <w:spacing w:val="-1"/>
        </w:rPr>
        <w:t xml:space="preserve"> </w:t>
      </w:r>
      <w:r w:rsidRPr="00192EC4">
        <w:rPr>
          <w:rFonts w:ascii="Arial" w:eastAsia="Arial" w:hAnsi="Arial" w:cs="Arial"/>
          <w:spacing w:val="3"/>
        </w:rPr>
        <w:t>f</w:t>
      </w:r>
      <w:r w:rsidRPr="00192EC4">
        <w:rPr>
          <w:rFonts w:ascii="Arial" w:eastAsia="Arial" w:hAnsi="Arial" w:cs="Arial"/>
          <w:spacing w:val="1"/>
        </w:rPr>
        <w:t>o</w:t>
      </w:r>
      <w:r w:rsidRPr="00192EC4">
        <w:rPr>
          <w:rFonts w:ascii="Arial" w:eastAsia="Arial" w:hAnsi="Arial" w:cs="Arial"/>
        </w:rPr>
        <w:t>r</w:t>
      </w:r>
      <w:r w:rsidRPr="00192EC4">
        <w:rPr>
          <w:rFonts w:ascii="Arial" w:eastAsia="Arial" w:hAnsi="Arial" w:cs="Arial"/>
          <w:spacing w:val="2"/>
        </w:rPr>
        <w:t xml:space="preserve"> </w:t>
      </w:r>
      <w:r w:rsidR="00AE6B10">
        <w:rPr>
          <w:rFonts w:ascii="Arial" w:eastAsia="Arial" w:hAnsi="Arial" w:cs="Arial"/>
          <w:spacing w:val="-1"/>
        </w:rPr>
        <w:t>M</w:t>
      </w:r>
      <w:r w:rsidRPr="00192EC4">
        <w:rPr>
          <w:rFonts w:ascii="Arial" w:eastAsia="Arial" w:hAnsi="Arial" w:cs="Arial"/>
          <w:spacing w:val="1"/>
        </w:rPr>
        <w:t>a</w:t>
      </w:r>
      <w:r w:rsidRPr="00192EC4">
        <w:rPr>
          <w:rFonts w:ascii="Arial" w:eastAsia="Arial" w:hAnsi="Arial" w:cs="Arial"/>
          <w:spacing w:val="-2"/>
        </w:rPr>
        <w:t>y</w:t>
      </w:r>
      <w:r w:rsidRPr="00192EC4">
        <w:rPr>
          <w:rFonts w:ascii="Arial" w:eastAsia="Arial" w:hAnsi="Arial" w:cs="Arial"/>
          <w:spacing w:val="1"/>
        </w:rPr>
        <w:t>o</w:t>
      </w:r>
      <w:r w:rsidRPr="00192EC4">
        <w:rPr>
          <w:rFonts w:ascii="Arial" w:eastAsia="Arial" w:hAnsi="Arial" w:cs="Arial"/>
        </w:rPr>
        <w:t>ral</w:t>
      </w:r>
      <w:r w:rsidRPr="00192EC4">
        <w:rPr>
          <w:rFonts w:ascii="Arial" w:eastAsia="Arial" w:hAnsi="Arial" w:cs="Arial"/>
          <w:spacing w:val="3"/>
        </w:rPr>
        <w:t xml:space="preserve"> </w:t>
      </w:r>
      <w:r w:rsidRPr="00192EC4">
        <w:rPr>
          <w:rFonts w:ascii="Arial" w:eastAsia="Arial" w:hAnsi="Arial" w:cs="Arial"/>
        </w:rPr>
        <w:t>functions, to</w:t>
      </w:r>
      <w:r w:rsidRPr="00192EC4">
        <w:rPr>
          <w:rFonts w:ascii="Arial" w:eastAsia="Arial" w:hAnsi="Arial" w:cs="Arial"/>
          <w:spacing w:val="2"/>
        </w:rPr>
        <w:t xml:space="preserve"> </w:t>
      </w:r>
      <w:r w:rsidRPr="00192EC4">
        <w:rPr>
          <w:rFonts w:ascii="Arial" w:eastAsia="Arial" w:hAnsi="Arial" w:cs="Arial"/>
          <w:spacing w:val="-2"/>
        </w:rPr>
        <w:t>t</w:t>
      </w:r>
      <w:r w:rsidRPr="00192EC4">
        <w:rPr>
          <w:rFonts w:ascii="Arial" w:eastAsia="Arial" w:hAnsi="Arial" w:cs="Arial"/>
          <w:spacing w:val="1"/>
        </w:rPr>
        <w:t>h</w:t>
      </w:r>
      <w:r w:rsidRPr="00192EC4">
        <w:rPr>
          <w:rFonts w:ascii="Arial" w:eastAsia="Arial" w:hAnsi="Arial" w:cs="Arial"/>
        </w:rPr>
        <w:t>e</w:t>
      </w:r>
      <w:r w:rsidRPr="00192EC4">
        <w:rPr>
          <w:rFonts w:ascii="Arial" w:eastAsia="Arial" w:hAnsi="Arial" w:cs="Arial"/>
          <w:spacing w:val="7"/>
        </w:rPr>
        <w:t xml:space="preserve"> </w:t>
      </w:r>
      <w:r w:rsidRPr="00192EC4">
        <w:rPr>
          <w:rFonts w:ascii="Arial" w:eastAsia="Arial" w:hAnsi="Arial" w:cs="Arial"/>
          <w:spacing w:val="1"/>
        </w:rPr>
        <w:t>e</w:t>
      </w:r>
      <w:r w:rsidRPr="00192EC4">
        <w:rPr>
          <w:rFonts w:ascii="Arial" w:eastAsia="Arial" w:hAnsi="Arial" w:cs="Arial"/>
          <w:spacing w:val="-2"/>
        </w:rPr>
        <w:t>x</w:t>
      </w:r>
      <w:r w:rsidRPr="00192EC4">
        <w:rPr>
          <w:rFonts w:ascii="Arial" w:eastAsia="Arial" w:hAnsi="Arial" w:cs="Arial"/>
        </w:rPr>
        <w:t>t</w:t>
      </w:r>
      <w:r w:rsidRPr="00192EC4">
        <w:rPr>
          <w:rFonts w:ascii="Arial" w:eastAsia="Arial" w:hAnsi="Arial" w:cs="Arial"/>
          <w:spacing w:val="1"/>
        </w:rPr>
        <w:t>en</w:t>
      </w:r>
      <w:r w:rsidRPr="00192EC4">
        <w:rPr>
          <w:rFonts w:ascii="Arial" w:eastAsia="Arial" w:hAnsi="Arial" w:cs="Arial"/>
        </w:rPr>
        <w:t>t</w:t>
      </w:r>
      <w:r w:rsidRPr="00192EC4">
        <w:rPr>
          <w:rFonts w:ascii="Arial" w:eastAsia="Arial" w:hAnsi="Arial" w:cs="Arial"/>
          <w:spacing w:val="3"/>
        </w:rPr>
        <w:t xml:space="preserve"> </w:t>
      </w:r>
      <w:r w:rsidRPr="00192EC4">
        <w:rPr>
          <w:rFonts w:ascii="Arial" w:eastAsia="Arial" w:hAnsi="Arial" w:cs="Arial"/>
          <w:spacing w:val="-2"/>
        </w:rPr>
        <w:t>t</w:t>
      </w:r>
      <w:r w:rsidRPr="00192EC4">
        <w:rPr>
          <w:rFonts w:ascii="Arial" w:eastAsia="Arial" w:hAnsi="Arial" w:cs="Arial"/>
          <w:spacing w:val="1"/>
        </w:rPr>
        <w:t>ha</w:t>
      </w:r>
      <w:r w:rsidRPr="00192EC4">
        <w:rPr>
          <w:rFonts w:ascii="Arial" w:eastAsia="Arial" w:hAnsi="Arial" w:cs="Arial"/>
        </w:rPr>
        <w:t>t</w:t>
      </w:r>
      <w:r w:rsidRPr="00192EC4">
        <w:rPr>
          <w:rFonts w:ascii="Arial" w:eastAsia="Arial" w:hAnsi="Arial" w:cs="Arial"/>
          <w:spacing w:val="1"/>
        </w:rPr>
        <w:t xml:space="preserve"> </w:t>
      </w:r>
      <w:r w:rsidRPr="00192EC4">
        <w:rPr>
          <w:rFonts w:ascii="Arial" w:eastAsia="Arial" w:hAnsi="Arial" w:cs="Arial"/>
        </w:rPr>
        <w:t>t</w:t>
      </w:r>
      <w:r w:rsidRPr="00192EC4">
        <w:rPr>
          <w:rFonts w:ascii="Arial" w:eastAsia="Arial" w:hAnsi="Arial" w:cs="Arial"/>
          <w:spacing w:val="-1"/>
        </w:rPr>
        <w:t>h</w:t>
      </w:r>
      <w:r w:rsidRPr="00192EC4">
        <w:rPr>
          <w:rFonts w:ascii="Arial" w:eastAsia="Arial" w:hAnsi="Arial" w:cs="Arial"/>
          <w:spacing w:val="1"/>
        </w:rPr>
        <w:t>e</w:t>
      </w:r>
      <w:r w:rsidRPr="00192EC4">
        <w:rPr>
          <w:rFonts w:ascii="Arial" w:eastAsia="Arial" w:hAnsi="Arial" w:cs="Arial"/>
        </w:rPr>
        <w:t xml:space="preserve">y </w:t>
      </w:r>
      <w:r w:rsidRPr="00192EC4">
        <w:rPr>
          <w:rFonts w:ascii="Arial" w:eastAsia="Arial" w:hAnsi="Arial" w:cs="Arial"/>
          <w:spacing w:val="1"/>
        </w:rPr>
        <w:t>a</w:t>
      </w:r>
      <w:r w:rsidRPr="00192EC4">
        <w:rPr>
          <w:rFonts w:ascii="Arial" w:eastAsia="Arial" w:hAnsi="Arial" w:cs="Arial"/>
        </w:rPr>
        <w:t>re</w:t>
      </w:r>
      <w:r w:rsidRPr="00192EC4">
        <w:rPr>
          <w:rFonts w:ascii="Arial" w:eastAsia="Arial" w:hAnsi="Arial" w:cs="Arial"/>
          <w:spacing w:val="3"/>
        </w:rPr>
        <w:t xml:space="preserve"> </w:t>
      </w:r>
      <w:r w:rsidRPr="00192EC4">
        <w:rPr>
          <w:rFonts w:ascii="Arial" w:eastAsia="Arial" w:hAnsi="Arial" w:cs="Arial"/>
          <w:spacing w:val="1"/>
        </w:rPr>
        <w:t>no</w:t>
      </w:r>
      <w:r w:rsidRPr="00192EC4">
        <w:rPr>
          <w:rFonts w:ascii="Arial" w:eastAsia="Arial" w:hAnsi="Arial" w:cs="Arial"/>
        </w:rPr>
        <w:t>t</w:t>
      </w:r>
      <w:r w:rsidRPr="00192EC4">
        <w:rPr>
          <w:rFonts w:ascii="Arial" w:eastAsia="Arial" w:hAnsi="Arial" w:cs="Arial"/>
          <w:spacing w:val="-2"/>
        </w:rPr>
        <w:t xml:space="preserve"> </w:t>
      </w:r>
      <w:r w:rsidRPr="00192EC4">
        <w:rPr>
          <w:rFonts w:ascii="Arial" w:eastAsia="Arial" w:hAnsi="Arial" w:cs="Arial"/>
          <w:spacing w:val="3"/>
        </w:rPr>
        <w:t>f</w:t>
      </w:r>
      <w:r w:rsidRPr="00192EC4">
        <w:rPr>
          <w:rFonts w:ascii="Arial" w:eastAsia="Arial" w:hAnsi="Arial" w:cs="Arial"/>
          <w:spacing w:val="-1"/>
        </w:rPr>
        <w:t>u</w:t>
      </w:r>
      <w:r w:rsidRPr="00192EC4">
        <w:rPr>
          <w:rFonts w:ascii="Arial" w:eastAsia="Arial" w:hAnsi="Arial" w:cs="Arial"/>
          <w:spacing w:val="1"/>
        </w:rPr>
        <w:t>nd</w:t>
      </w:r>
      <w:r w:rsidRPr="00192EC4">
        <w:rPr>
          <w:rFonts w:ascii="Arial" w:eastAsia="Arial" w:hAnsi="Arial" w:cs="Arial"/>
          <w:spacing w:val="-1"/>
        </w:rPr>
        <w:t>e</w:t>
      </w:r>
      <w:r w:rsidRPr="00192EC4">
        <w:rPr>
          <w:rFonts w:ascii="Arial" w:eastAsia="Arial" w:hAnsi="Arial" w:cs="Arial"/>
        </w:rPr>
        <w:t>d</w:t>
      </w:r>
      <w:r w:rsidRPr="00192EC4">
        <w:rPr>
          <w:rFonts w:ascii="Arial" w:eastAsia="Arial" w:hAnsi="Arial" w:cs="Arial"/>
          <w:spacing w:val="1"/>
        </w:rPr>
        <w:t xml:space="preserve"> </w:t>
      </w:r>
      <w:r w:rsidRPr="00192EC4">
        <w:rPr>
          <w:rFonts w:ascii="Arial" w:eastAsia="Arial" w:hAnsi="Arial" w:cs="Arial"/>
          <w:spacing w:val="3"/>
        </w:rPr>
        <w:t>f</w:t>
      </w:r>
      <w:r w:rsidRPr="00192EC4">
        <w:rPr>
          <w:rFonts w:ascii="Arial" w:eastAsia="Arial" w:hAnsi="Arial" w:cs="Arial"/>
          <w:spacing w:val="-3"/>
        </w:rPr>
        <w:t>r</w:t>
      </w:r>
      <w:r w:rsidRPr="00192EC4">
        <w:rPr>
          <w:rFonts w:ascii="Arial" w:eastAsia="Arial" w:hAnsi="Arial" w:cs="Arial"/>
          <w:spacing w:val="-1"/>
        </w:rPr>
        <w:t>o</w:t>
      </w:r>
      <w:r w:rsidRPr="00192EC4">
        <w:rPr>
          <w:rFonts w:ascii="Arial" w:eastAsia="Arial" w:hAnsi="Arial" w:cs="Arial"/>
        </w:rPr>
        <w:t xml:space="preserve">m </w:t>
      </w:r>
      <w:r w:rsidRPr="00192EC4">
        <w:rPr>
          <w:rFonts w:ascii="Arial" w:eastAsia="Arial" w:hAnsi="Arial" w:cs="Arial"/>
          <w:spacing w:val="1"/>
        </w:rPr>
        <w:t>o</w:t>
      </w:r>
      <w:r w:rsidRPr="00192EC4">
        <w:rPr>
          <w:rFonts w:ascii="Arial" w:eastAsia="Arial" w:hAnsi="Arial" w:cs="Arial"/>
        </w:rPr>
        <w:t>t</w:t>
      </w:r>
      <w:r w:rsidRPr="00192EC4">
        <w:rPr>
          <w:rFonts w:ascii="Arial" w:eastAsia="Arial" w:hAnsi="Arial" w:cs="Arial"/>
          <w:spacing w:val="1"/>
        </w:rPr>
        <w:t>he</w:t>
      </w:r>
      <w:r w:rsidRPr="00192EC4">
        <w:rPr>
          <w:rFonts w:ascii="Arial" w:eastAsia="Arial" w:hAnsi="Arial" w:cs="Arial"/>
        </w:rPr>
        <w:t>r</w:t>
      </w:r>
      <w:r w:rsidRPr="00192EC4">
        <w:rPr>
          <w:rFonts w:ascii="Arial" w:eastAsia="Arial" w:hAnsi="Arial" w:cs="Arial"/>
          <w:spacing w:val="2"/>
        </w:rPr>
        <w:t xml:space="preserve"> </w:t>
      </w:r>
      <w:r w:rsidRPr="00192EC4">
        <w:rPr>
          <w:rFonts w:ascii="Arial" w:eastAsia="Arial" w:hAnsi="Arial" w:cs="Arial"/>
          <w:spacing w:val="-2"/>
        </w:rPr>
        <w:t>s</w:t>
      </w:r>
      <w:r w:rsidRPr="00192EC4">
        <w:rPr>
          <w:rFonts w:ascii="Arial" w:eastAsia="Arial" w:hAnsi="Arial" w:cs="Arial"/>
          <w:spacing w:val="1"/>
        </w:rPr>
        <w:t>ou</w:t>
      </w:r>
      <w:r w:rsidRPr="00192EC4">
        <w:rPr>
          <w:rFonts w:ascii="Arial" w:eastAsia="Arial" w:hAnsi="Arial" w:cs="Arial"/>
        </w:rPr>
        <w:t>rces,</w:t>
      </w:r>
      <w:r w:rsidRPr="00192EC4">
        <w:rPr>
          <w:rFonts w:ascii="Arial" w:eastAsia="Arial" w:hAnsi="Arial" w:cs="Arial"/>
          <w:spacing w:val="1"/>
        </w:rPr>
        <w:t xml:space="preserve"> a</w:t>
      </w:r>
      <w:r w:rsidRPr="00192EC4">
        <w:rPr>
          <w:rFonts w:ascii="Arial" w:eastAsia="Arial" w:hAnsi="Arial" w:cs="Arial"/>
        </w:rPr>
        <w:t>re</w:t>
      </w:r>
      <w:r w:rsidRPr="00192EC4">
        <w:rPr>
          <w:rFonts w:ascii="Arial" w:eastAsia="Arial" w:hAnsi="Arial" w:cs="Arial"/>
          <w:spacing w:val="3"/>
        </w:rPr>
        <w:t xml:space="preserve"> </w:t>
      </w:r>
      <w:r w:rsidRPr="00192EC4">
        <w:rPr>
          <w:rFonts w:ascii="Arial" w:eastAsia="Arial" w:hAnsi="Arial" w:cs="Arial"/>
        </w:rPr>
        <w:t>a</w:t>
      </w:r>
      <w:r w:rsidRPr="00192EC4">
        <w:rPr>
          <w:rFonts w:ascii="Arial" w:eastAsia="Arial" w:hAnsi="Arial" w:cs="Arial"/>
          <w:spacing w:val="1"/>
        </w:rPr>
        <w:t xml:space="preserve"> </w:t>
      </w:r>
      <w:r w:rsidRPr="00192EC4">
        <w:rPr>
          <w:rFonts w:ascii="Arial" w:eastAsia="Arial" w:hAnsi="Arial" w:cs="Arial"/>
          <w:spacing w:val="2"/>
        </w:rPr>
        <w:t>p</w:t>
      </w:r>
      <w:r w:rsidRPr="00192EC4">
        <w:rPr>
          <w:rFonts w:ascii="Arial" w:eastAsia="Arial" w:hAnsi="Arial" w:cs="Arial"/>
        </w:rPr>
        <w:t>rec</w:t>
      </w:r>
      <w:r w:rsidRPr="00192EC4">
        <w:rPr>
          <w:rFonts w:ascii="Arial" w:eastAsia="Arial" w:hAnsi="Arial" w:cs="Arial"/>
          <w:spacing w:val="1"/>
        </w:rPr>
        <w:t>ep</w:t>
      </w:r>
      <w:r w:rsidRPr="00192EC4">
        <w:rPr>
          <w:rFonts w:ascii="Arial" w:eastAsia="Arial" w:hAnsi="Arial" w:cs="Arial"/>
        </w:rPr>
        <w:t>t</w:t>
      </w:r>
      <w:r w:rsidRPr="00192EC4">
        <w:rPr>
          <w:rFonts w:ascii="Arial" w:eastAsia="Arial" w:hAnsi="Arial" w:cs="Arial"/>
          <w:spacing w:val="1"/>
        </w:rPr>
        <w:t xml:space="preserve"> o</w:t>
      </w:r>
      <w:r w:rsidRPr="00192EC4">
        <w:rPr>
          <w:rFonts w:ascii="Arial" w:eastAsia="Arial" w:hAnsi="Arial" w:cs="Arial"/>
        </w:rPr>
        <w:t>r</w:t>
      </w:r>
      <w:r w:rsidRPr="00192EC4">
        <w:rPr>
          <w:rFonts w:ascii="Arial" w:eastAsia="Arial" w:hAnsi="Arial" w:cs="Arial"/>
          <w:spacing w:val="4"/>
        </w:rPr>
        <w:t xml:space="preserve"> </w:t>
      </w:r>
      <w:r w:rsidRPr="00192EC4">
        <w:rPr>
          <w:rFonts w:ascii="Arial" w:eastAsia="Arial" w:hAnsi="Arial" w:cs="Arial"/>
        </w:rPr>
        <w:t>st</w:t>
      </w:r>
      <w:r w:rsidRPr="00192EC4">
        <w:rPr>
          <w:rFonts w:ascii="Arial" w:eastAsia="Arial" w:hAnsi="Arial" w:cs="Arial"/>
          <w:spacing w:val="1"/>
        </w:rPr>
        <w:t>a</w:t>
      </w:r>
      <w:r w:rsidRPr="00192EC4">
        <w:rPr>
          <w:rFonts w:ascii="Arial" w:eastAsia="Arial" w:hAnsi="Arial" w:cs="Arial"/>
        </w:rPr>
        <w:t>t</w:t>
      </w:r>
      <w:r w:rsidRPr="00192EC4">
        <w:rPr>
          <w:rFonts w:ascii="Arial" w:eastAsia="Arial" w:hAnsi="Arial" w:cs="Arial"/>
          <w:spacing w:val="-1"/>
        </w:rPr>
        <w:t>u</w:t>
      </w:r>
      <w:r w:rsidRPr="00192EC4">
        <w:rPr>
          <w:rFonts w:ascii="Arial" w:eastAsia="Arial" w:hAnsi="Arial" w:cs="Arial"/>
        </w:rPr>
        <w:t>t</w:t>
      </w:r>
      <w:r w:rsidRPr="00192EC4">
        <w:rPr>
          <w:rFonts w:ascii="Arial" w:eastAsia="Arial" w:hAnsi="Arial" w:cs="Arial"/>
          <w:spacing w:val="1"/>
        </w:rPr>
        <w:t>o</w:t>
      </w:r>
      <w:r w:rsidRPr="00192EC4">
        <w:rPr>
          <w:rFonts w:ascii="Arial" w:eastAsia="Arial" w:hAnsi="Arial" w:cs="Arial"/>
        </w:rPr>
        <w:t>ry c</w:t>
      </w:r>
      <w:r w:rsidRPr="00192EC4">
        <w:rPr>
          <w:rFonts w:ascii="Arial" w:eastAsia="Arial" w:hAnsi="Arial" w:cs="Arial"/>
          <w:spacing w:val="1"/>
        </w:rPr>
        <w:t>o</w:t>
      </w:r>
      <w:r w:rsidRPr="00192EC4">
        <w:rPr>
          <w:rFonts w:ascii="Arial" w:eastAsia="Arial" w:hAnsi="Arial" w:cs="Arial"/>
          <w:spacing w:val="-1"/>
        </w:rPr>
        <w:t>n</w:t>
      </w:r>
      <w:r w:rsidRPr="00192EC4">
        <w:rPr>
          <w:rFonts w:ascii="Arial" w:eastAsia="Arial" w:hAnsi="Arial" w:cs="Arial"/>
        </w:rPr>
        <w:t>tr</w:t>
      </w:r>
      <w:r w:rsidRPr="00192EC4">
        <w:rPr>
          <w:rFonts w:ascii="Arial" w:eastAsia="Arial" w:hAnsi="Arial" w:cs="Arial"/>
          <w:spacing w:val="-1"/>
        </w:rPr>
        <w:t>i</w:t>
      </w:r>
      <w:r w:rsidRPr="00192EC4">
        <w:rPr>
          <w:rFonts w:ascii="Arial" w:eastAsia="Arial" w:hAnsi="Arial" w:cs="Arial"/>
          <w:spacing w:val="1"/>
        </w:rPr>
        <w:t>bu</w:t>
      </w:r>
      <w:r w:rsidRPr="00192EC4">
        <w:rPr>
          <w:rFonts w:ascii="Arial" w:eastAsia="Arial" w:hAnsi="Arial" w:cs="Arial"/>
        </w:rPr>
        <w:t>ti</w:t>
      </w:r>
      <w:r w:rsidRPr="00192EC4">
        <w:rPr>
          <w:rFonts w:ascii="Arial" w:eastAsia="Arial" w:hAnsi="Arial" w:cs="Arial"/>
          <w:spacing w:val="1"/>
        </w:rPr>
        <w:t>on</w:t>
      </w:r>
      <w:r w:rsidRPr="00192EC4">
        <w:rPr>
          <w:rFonts w:ascii="Arial" w:eastAsia="Arial" w:hAnsi="Arial" w:cs="Arial"/>
        </w:rPr>
        <w:t>s</w:t>
      </w:r>
      <w:r w:rsidRPr="00192EC4">
        <w:rPr>
          <w:rFonts w:ascii="Arial" w:eastAsia="Arial" w:hAnsi="Arial" w:cs="Arial"/>
          <w:spacing w:val="6"/>
        </w:rPr>
        <w:t xml:space="preserve">. </w:t>
      </w:r>
      <w:r w:rsidRPr="00192EC4">
        <w:rPr>
          <w:rFonts w:ascii="Arial" w:hAnsi="Arial" w:cs="Arial"/>
          <w:color w:val="212529"/>
          <w:lang w:val="en"/>
        </w:rPr>
        <w:t xml:space="preserve">The </w:t>
      </w:r>
      <w:r w:rsidR="002E1DEA" w:rsidRPr="00192EC4">
        <w:rPr>
          <w:rFonts w:ascii="Arial" w:hAnsi="Arial" w:cs="Arial"/>
          <w:color w:val="212529"/>
          <w:lang w:val="en"/>
        </w:rPr>
        <w:t>M</w:t>
      </w:r>
      <w:r w:rsidRPr="00192EC4">
        <w:rPr>
          <w:rFonts w:ascii="Arial" w:hAnsi="Arial" w:cs="Arial"/>
          <w:color w:val="212529"/>
          <w:lang w:val="en"/>
        </w:rPr>
        <w:t xml:space="preserve">ayoral </w:t>
      </w:r>
      <w:r w:rsidR="002E1DEA" w:rsidRPr="00192EC4">
        <w:rPr>
          <w:rFonts w:ascii="Arial" w:hAnsi="Arial" w:cs="Arial"/>
          <w:color w:val="212529"/>
          <w:lang w:val="en"/>
        </w:rPr>
        <w:t>P</w:t>
      </w:r>
      <w:r w:rsidRPr="00192EC4">
        <w:rPr>
          <w:rFonts w:ascii="Arial" w:hAnsi="Arial" w:cs="Arial"/>
          <w:color w:val="212529"/>
          <w:lang w:val="en"/>
        </w:rPr>
        <w:t>recept is part of the overall council tax paid by Greater Manchester residents and used to fund Greater Manchester wide services for which the Mayor is responsible. </w:t>
      </w:r>
      <w:r w:rsidRPr="00192EC4">
        <w:rPr>
          <w:rFonts w:ascii="Arial" w:eastAsia="Arial" w:hAnsi="Arial" w:cs="Arial"/>
          <w:bCs/>
          <w:spacing w:val="1"/>
        </w:rPr>
        <w:t xml:space="preserve">The </w:t>
      </w:r>
      <w:r w:rsidR="002E1DEA" w:rsidRPr="00192EC4">
        <w:rPr>
          <w:rFonts w:ascii="Arial" w:eastAsia="Arial" w:hAnsi="Arial" w:cs="Arial"/>
          <w:bCs/>
          <w:spacing w:val="1"/>
        </w:rPr>
        <w:t>M</w:t>
      </w:r>
      <w:r w:rsidRPr="00192EC4">
        <w:rPr>
          <w:rFonts w:ascii="Arial" w:eastAsia="Arial" w:hAnsi="Arial" w:cs="Arial"/>
          <w:bCs/>
          <w:spacing w:val="1"/>
        </w:rPr>
        <w:t xml:space="preserve">ayoral </w:t>
      </w:r>
      <w:r w:rsidR="002E1DEA" w:rsidRPr="00192EC4">
        <w:rPr>
          <w:rFonts w:ascii="Arial" w:eastAsia="Arial" w:hAnsi="Arial" w:cs="Arial"/>
          <w:bCs/>
          <w:spacing w:val="1"/>
        </w:rPr>
        <w:t>P</w:t>
      </w:r>
      <w:r w:rsidRPr="00192EC4">
        <w:rPr>
          <w:rFonts w:ascii="Arial" w:eastAsia="Arial" w:hAnsi="Arial" w:cs="Arial"/>
          <w:bCs/>
          <w:spacing w:val="1"/>
        </w:rPr>
        <w:t xml:space="preserve">recept for the financial year 2022/23 was £102.95 for a Band D property, with the fire service accounting for £71.20 and £31.75 for non-fire.  </w:t>
      </w:r>
    </w:p>
    <w:p w14:paraId="2A955D14" w14:textId="77777777" w:rsidR="00BE35F9" w:rsidRPr="00192EC4" w:rsidRDefault="00BE35F9" w:rsidP="006F1659">
      <w:pPr>
        <w:spacing w:line="360" w:lineRule="auto"/>
        <w:rPr>
          <w:rFonts w:ascii="Arial" w:eastAsia="Arial" w:hAnsi="Arial" w:cs="Arial"/>
          <w:bCs/>
          <w:spacing w:val="1"/>
        </w:rPr>
      </w:pPr>
    </w:p>
    <w:p w14:paraId="3F208E19" w14:textId="11D3FE8B" w:rsidR="00BE35F9" w:rsidRPr="00192EC4" w:rsidRDefault="00BE35F9" w:rsidP="006F1659">
      <w:pPr>
        <w:spacing w:line="360" w:lineRule="auto"/>
        <w:rPr>
          <w:rFonts w:ascii="Arial" w:eastAsia="Arial" w:hAnsi="Arial" w:cs="Arial"/>
          <w:bCs/>
          <w:spacing w:val="1"/>
        </w:rPr>
      </w:pPr>
      <w:r w:rsidRPr="00192EC4">
        <w:rPr>
          <w:rFonts w:ascii="Arial" w:eastAsia="Arial" w:hAnsi="Arial" w:cs="Arial"/>
          <w:bCs/>
          <w:spacing w:val="1"/>
        </w:rPr>
        <w:t xml:space="preserve">The </w:t>
      </w:r>
      <w:r w:rsidR="00AE6B10">
        <w:rPr>
          <w:rFonts w:ascii="Arial" w:eastAsia="Arial" w:hAnsi="Arial" w:cs="Arial"/>
          <w:bCs/>
          <w:spacing w:val="1"/>
        </w:rPr>
        <w:t>M</w:t>
      </w:r>
      <w:r w:rsidRPr="00192EC4">
        <w:rPr>
          <w:rFonts w:ascii="Arial" w:eastAsia="Arial" w:hAnsi="Arial" w:cs="Arial"/>
          <w:bCs/>
          <w:spacing w:val="1"/>
        </w:rPr>
        <w:t xml:space="preserve">ayoral </w:t>
      </w:r>
      <w:r w:rsidR="002E1DEA" w:rsidRPr="00192EC4">
        <w:rPr>
          <w:rFonts w:ascii="Arial" w:eastAsia="Arial" w:hAnsi="Arial" w:cs="Arial"/>
          <w:bCs/>
          <w:spacing w:val="1"/>
        </w:rPr>
        <w:t>g</w:t>
      </w:r>
      <w:r w:rsidRPr="00192EC4">
        <w:rPr>
          <w:rFonts w:ascii="Arial" w:eastAsia="Arial" w:hAnsi="Arial" w:cs="Arial"/>
          <w:bCs/>
          <w:spacing w:val="1"/>
        </w:rPr>
        <w:t>eneral budget has two parts:</w:t>
      </w:r>
    </w:p>
    <w:p w14:paraId="4C904D87" w14:textId="77777777" w:rsidR="00BC0D7C" w:rsidRPr="00192EC4" w:rsidRDefault="00BC0D7C" w:rsidP="006F1659">
      <w:pPr>
        <w:spacing w:line="360" w:lineRule="auto"/>
        <w:rPr>
          <w:rFonts w:ascii="Arial" w:eastAsia="Arial" w:hAnsi="Arial" w:cs="Arial"/>
        </w:rPr>
      </w:pPr>
    </w:p>
    <w:p w14:paraId="5EF83A02" w14:textId="56FB106E" w:rsidR="00BE35F9" w:rsidRPr="00192EC4" w:rsidRDefault="00BE35F9" w:rsidP="006F1659">
      <w:pPr>
        <w:pStyle w:val="ListParagraph"/>
        <w:numPr>
          <w:ilvl w:val="0"/>
          <w:numId w:val="78"/>
        </w:numPr>
        <w:spacing w:after="0" w:line="360" w:lineRule="auto"/>
        <w:ind w:left="284" w:hanging="284"/>
        <w:rPr>
          <w:rFonts w:ascii="Arial" w:eastAsia="Arial" w:hAnsi="Arial" w:cs="Arial"/>
          <w:bCs/>
          <w:spacing w:val="1"/>
          <w:sz w:val="24"/>
          <w:szCs w:val="24"/>
        </w:rPr>
      </w:pPr>
      <w:r w:rsidRPr="00192EC4">
        <w:rPr>
          <w:rFonts w:ascii="Arial" w:eastAsia="Arial" w:hAnsi="Arial" w:cs="Arial"/>
          <w:bCs/>
          <w:spacing w:val="1"/>
          <w:sz w:val="24"/>
          <w:szCs w:val="24"/>
        </w:rPr>
        <w:t>Mayoral General budget (excluding Fire and Rescue)</w:t>
      </w:r>
      <w:r w:rsidR="00BC0D7C" w:rsidRPr="00192EC4">
        <w:rPr>
          <w:rFonts w:ascii="Arial" w:eastAsia="Arial" w:hAnsi="Arial" w:cs="Arial"/>
          <w:bCs/>
          <w:spacing w:val="1"/>
          <w:sz w:val="24"/>
          <w:szCs w:val="24"/>
        </w:rPr>
        <w:t>.</w:t>
      </w:r>
    </w:p>
    <w:p w14:paraId="73D65243" w14:textId="78B22460" w:rsidR="00BE35F9" w:rsidRPr="00192EC4" w:rsidRDefault="00BE35F9" w:rsidP="006F1659">
      <w:pPr>
        <w:pStyle w:val="ListParagraph"/>
        <w:numPr>
          <w:ilvl w:val="0"/>
          <w:numId w:val="78"/>
        </w:numPr>
        <w:spacing w:after="0" w:line="360" w:lineRule="auto"/>
        <w:ind w:left="284" w:hanging="284"/>
        <w:rPr>
          <w:rFonts w:ascii="Arial" w:eastAsia="Arial" w:hAnsi="Arial" w:cs="Arial"/>
          <w:bCs/>
          <w:spacing w:val="1"/>
          <w:sz w:val="24"/>
          <w:szCs w:val="24"/>
        </w:rPr>
      </w:pPr>
      <w:r w:rsidRPr="00192EC4">
        <w:rPr>
          <w:rFonts w:ascii="Arial" w:eastAsia="Arial" w:hAnsi="Arial" w:cs="Arial"/>
          <w:bCs/>
          <w:spacing w:val="1"/>
          <w:sz w:val="24"/>
          <w:szCs w:val="24"/>
        </w:rPr>
        <w:t>Mayoral Fire and Rescue Service budget</w:t>
      </w:r>
      <w:r w:rsidR="00BC0D7C" w:rsidRPr="00192EC4">
        <w:rPr>
          <w:rFonts w:ascii="Arial" w:eastAsia="Arial" w:hAnsi="Arial" w:cs="Arial"/>
          <w:bCs/>
          <w:spacing w:val="1"/>
          <w:sz w:val="24"/>
          <w:szCs w:val="24"/>
        </w:rPr>
        <w:t>.</w:t>
      </w:r>
      <w:r w:rsidRPr="00192EC4">
        <w:rPr>
          <w:rFonts w:ascii="Arial" w:eastAsia="Arial" w:hAnsi="Arial" w:cs="Arial"/>
          <w:bCs/>
          <w:spacing w:val="1"/>
          <w:sz w:val="24"/>
          <w:szCs w:val="24"/>
        </w:rPr>
        <w:t xml:space="preserve">  </w:t>
      </w:r>
    </w:p>
    <w:p w14:paraId="001ED7FE" w14:textId="77777777" w:rsidR="00BE35F9" w:rsidRPr="00192EC4" w:rsidRDefault="00BE35F9" w:rsidP="006F1659">
      <w:pPr>
        <w:widowControl w:val="0"/>
        <w:spacing w:line="360" w:lineRule="auto"/>
        <w:jc w:val="both"/>
        <w:rPr>
          <w:rFonts w:ascii="Arial" w:hAnsi="Arial" w:cs="Arial"/>
        </w:rPr>
      </w:pPr>
    </w:p>
    <w:p w14:paraId="3A50E44B" w14:textId="77F791DF" w:rsidR="00BE35F9" w:rsidRPr="00192EC4" w:rsidRDefault="00BE35F9" w:rsidP="006F1659">
      <w:pPr>
        <w:widowControl w:val="0"/>
        <w:spacing w:line="360" w:lineRule="auto"/>
        <w:rPr>
          <w:rFonts w:ascii="Arial" w:hAnsi="Arial" w:cs="Arial"/>
        </w:rPr>
      </w:pPr>
      <w:r w:rsidRPr="00192EC4">
        <w:rPr>
          <w:rFonts w:ascii="Arial" w:hAnsi="Arial" w:cs="Arial"/>
        </w:rPr>
        <w:t xml:space="preserve">The provisional outturn in 2022/23 for the </w:t>
      </w:r>
      <w:r w:rsidR="00AE6B10">
        <w:rPr>
          <w:rFonts w:ascii="Arial" w:hAnsi="Arial" w:cs="Arial"/>
        </w:rPr>
        <w:t>M</w:t>
      </w:r>
      <w:r w:rsidRPr="00192EC4">
        <w:rPr>
          <w:rFonts w:ascii="Arial" w:hAnsi="Arial" w:cs="Arial"/>
        </w:rPr>
        <w:t xml:space="preserve">ayoral </w:t>
      </w:r>
      <w:r w:rsidR="002E1DEA" w:rsidRPr="00192EC4">
        <w:rPr>
          <w:rFonts w:ascii="Arial" w:hAnsi="Arial" w:cs="Arial"/>
        </w:rPr>
        <w:t>g</w:t>
      </w:r>
      <w:r w:rsidRPr="00192EC4">
        <w:rPr>
          <w:rFonts w:ascii="Arial" w:hAnsi="Arial" w:cs="Arial"/>
        </w:rPr>
        <w:t xml:space="preserve">eneral budget (excluding Fire and Rescue) was breakeven. The table below sets out the provisional outturn position </w:t>
      </w:r>
      <w:r w:rsidRPr="00192EC4">
        <w:rPr>
          <w:rFonts w:ascii="Arial" w:hAnsi="Arial" w:cs="Arial"/>
        </w:rPr>
        <w:lastRenderedPageBreak/>
        <w:t>against budget:</w:t>
      </w:r>
    </w:p>
    <w:p w14:paraId="4C52F3DA" w14:textId="77777777" w:rsidR="00BE35F9" w:rsidRPr="00192EC4" w:rsidRDefault="00BE35F9" w:rsidP="006F1659">
      <w:pPr>
        <w:widowControl w:val="0"/>
        <w:spacing w:line="360" w:lineRule="auto"/>
        <w:jc w:val="both"/>
        <w:rPr>
          <w:rFonts w:ascii="Arial" w:hAnsi="Arial" w:cs="Arial"/>
        </w:rPr>
      </w:pPr>
    </w:p>
    <w:tbl>
      <w:tblPr>
        <w:tblW w:w="8761" w:type="dxa"/>
        <w:tblInd w:w="644" w:type="dxa"/>
        <w:tblLook w:val="04A0" w:firstRow="1" w:lastRow="0" w:firstColumn="1" w:lastColumn="0" w:noHBand="0" w:noVBand="1"/>
      </w:tblPr>
      <w:tblGrid>
        <w:gridCol w:w="3942"/>
        <w:gridCol w:w="1302"/>
        <w:gridCol w:w="1634"/>
        <w:gridCol w:w="1634"/>
        <w:gridCol w:w="249"/>
      </w:tblGrid>
      <w:tr w:rsidR="00BE35F9" w:rsidRPr="00201027" w14:paraId="620365DE" w14:textId="77777777" w:rsidTr="000D3910">
        <w:trPr>
          <w:gridAfter w:val="1"/>
          <w:wAfter w:w="249" w:type="dxa"/>
          <w:trHeight w:val="288"/>
        </w:trPr>
        <w:tc>
          <w:tcPr>
            <w:tcW w:w="39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61DBEC" w14:textId="77777777" w:rsidR="00BE35F9" w:rsidRPr="00201027" w:rsidRDefault="00BE35F9" w:rsidP="006F1659">
            <w:pPr>
              <w:spacing w:line="360" w:lineRule="auto"/>
              <w:rPr>
                <w:rFonts w:ascii="Arial" w:hAnsi="Arial" w:cs="Arial"/>
                <w:b/>
                <w:bCs/>
                <w:color w:val="000000"/>
                <w:sz w:val="20"/>
                <w:szCs w:val="20"/>
                <w:lang w:eastAsia="en-GB"/>
              </w:rPr>
            </w:pPr>
            <w:r w:rsidRPr="00201027">
              <w:rPr>
                <w:rFonts w:ascii="Arial" w:hAnsi="Arial" w:cs="Arial"/>
                <w:b/>
                <w:bCs/>
                <w:color w:val="000000"/>
                <w:sz w:val="20"/>
                <w:szCs w:val="20"/>
                <w:lang w:eastAsia="en-GB"/>
              </w:rPr>
              <w:t xml:space="preserve">Mayoral General Budget </w:t>
            </w:r>
          </w:p>
          <w:p w14:paraId="1D4715C3" w14:textId="7FFD2083" w:rsidR="00BE35F9" w:rsidRPr="00201027" w:rsidRDefault="00BE35F9" w:rsidP="006F1659">
            <w:pPr>
              <w:spacing w:line="360" w:lineRule="auto"/>
              <w:rPr>
                <w:rFonts w:ascii="Arial" w:hAnsi="Arial" w:cs="Arial"/>
                <w:b/>
                <w:bCs/>
                <w:color w:val="000000"/>
                <w:sz w:val="20"/>
                <w:szCs w:val="20"/>
                <w:lang w:eastAsia="en-GB"/>
              </w:rPr>
            </w:pPr>
            <w:r w:rsidRPr="00201027">
              <w:rPr>
                <w:rFonts w:ascii="Arial" w:hAnsi="Arial" w:cs="Arial"/>
                <w:b/>
                <w:bCs/>
                <w:color w:val="000000"/>
                <w:sz w:val="20"/>
                <w:szCs w:val="20"/>
                <w:lang w:eastAsia="en-GB"/>
              </w:rPr>
              <w:t>(excluding Fire and Rescue)</w:t>
            </w:r>
            <w:r w:rsidR="000D3910" w:rsidRPr="00201027">
              <w:rPr>
                <w:rFonts w:ascii="Arial" w:hAnsi="Arial" w:cs="Arial"/>
                <w:b/>
                <w:bCs/>
                <w:color w:val="000000"/>
                <w:sz w:val="20"/>
                <w:szCs w:val="20"/>
                <w:lang w:eastAsia="en-GB"/>
              </w:rPr>
              <w:t xml:space="preserve"> </w:t>
            </w:r>
            <w:r w:rsidRPr="00201027">
              <w:rPr>
                <w:rFonts w:ascii="Arial" w:hAnsi="Arial" w:cs="Arial"/>
                <w:b/>
                <w:bCs/>
                <w:color w:val="000000"/>
                <w:sz w:val="20"/>
                <w:szCs w:val="20"/>
                <w:lang w:eastAsia="en-GB"/>
              </w:rPr>
              <w:t xml:space="preserve">2022/23 </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28341E" w14:textId="77777777" w:rsidR="00BE35F9" w:rsidRPr="00201027" w:rsidRDefault="00BE35F9" w:rsidP="006F1659">
            <w:pPr>
              <w:spacing w:line="360" w:lineRule="auto"/>
              <w:jc w:val="center"/>
              <w:rPr>
                <w:rFonts w:ascii="Arial" w:hAnsi="Arial" w:cs="Arial"/>
                <w:b/>
                <w:bCs/>
                <w:color w:val="000000"/>
                <w:sz w:val="20"/>
                <w:szCs w:val="20"/>
                <w:lang w:eastAsia="en-GB"/>
              </w:rPr>
            </w:pPr>
            <w:r w:rsidRPr="00201027">
              <w:rPr>
                <w:rFonts w:ascii="Arial" w:hAnsi="Arial" w:cs="Arial"/>
                <w:b/>
                <w:bCs/>
                <w:color w:val="000000"/>
                <w:sz w:val="20"/>
                <w:szCs w:val="20"/>
                <w:lang w:eastAsia="en-GB"/>
              </w:rPr>
              <w:t>Approved Budget</w:t>
            </w:r>
          </w:p>
          <w:p w14:paraId="4B1AAAC3" w14:textId="2CD5361B" w:rsidR="00B13566" w:rsidRPr="00201027" w:rsidRDefault="00B13566" w:rsidP="006F1659">
            <w:pPr>
              <w:spacing w:line="360" w:lineRule="auto"/>
              <w:jc w:val="center"/>
              <w:rPr>
                <w:rFonts w:ascii="Arial" w:hAnsi="Arial" w:cs="Arial"/>
                <w:b/>
                <w:bCs/>
                <w:color w:val="000000"/>
                <w:sz w:val="20"/>
                <w:szCs w:val="20"/>
                <w:lang w:eastAsia="en-GB"/>
              </w:rPr>
            </w:pPr>
            <w:r w:rsidRPr="00201027">
              <w:rPr>
                <w:rFonts w:ascii="Arial" w:hAnsi="Arial" w:cs="Arial"/>
                <w:b/>
                <w:bCs/>
                <w:color w:val="000000"/>
                <w:sz w:val="20"/>
                <w:szCs w:val="20"/>
                <w:lang w:eastAsia="en-GB"/>
              </w:rPr>
              <w:t>£000</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8A55E4" w14:textId="77777777" w:rsidR="00BE35F9" w:rsidRPr="00201027" w:rsidRDefault="00BE35F9" w:rsidP="006F1659">
            <w:pPr>
              <w:spacing w:line="360" w:lineRule="auto"/>
              <w:jc w:val="center"/>
              <w:rPr>
                <w:rFonts w:ascii="Arial" w:hAnsi="Arial" w:cs="Arial"/>
                <w:b/>
                <w:bCs/>
                <w:color w:val="000000"/>
                <w:sz w:val="20"/>
                <w:szCs w:val="20"/>
                <w:lang w:eastAsia="en-GB"/>
              </w:rPr>
            </w:pPr>
            <w:r w:rsidRPr="00201027">
              <w:rPr>
                <w:rFonts w:ascii="Arial" w:hAnsi="Arial" w:cs="Arial"/>
                <w:b/>
                <w:bCs/>
                <w:color w:val="000000"/>
                <w:sz w:val="20"/>
                <w:szCs w:val="20"/>
                <w:lang w:eastAsia="en-GB"/>
              </w:rPr>
              <w:t>Provisional Outturn</w:t>
            </w:r>
          </w:p>
          <w:p w14:paraId="5915DB45" w14:textId="0A896EAC" w:rsidR="00B13566" w:rsidRPr="00201027" w:rsidRDefault="00B13566" w:rsidP="006F1659">
            <w:pPr>
              <w:spacing w:line="360" w:lineRule="auto"/>
              <w:jc w:val="center"/>
              <w:rPr>
                <w:rFonts w:ascii="Arial" w:hAnsi="Arial" w:cs="Arial"/>
                <w:b/>
                <w:bCs/>
                <w:color w:val="000000"/>
                <w:sz w:val="20"/>
                <w:szCs w:val="20"/>
                <w:lang w:eastAsia="en-GB"/>
              </w:rPr>
            </w:pPr>
            <w:r w:rsidRPr="00201027">
              <w:rPr>
                <w:rFonts w:ascii="Arial" w:hAnsi="Arial" w:cs="Arial"/>
                <w:b/>
                <w:bCs/>
                <w:color w:val="000000"/>
                <w:sz w:val="20"/>
                <w:szCs w:val="20"/>
                <w:lang w:eastAsia="en-GB"/>
              </w:rPr>
              <w:t>£000</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9F4485" w14:textId="77777777" w:rsidR="00BE35F9" w:rsidRPr="00201027" w:rsidRDefault="00BE35F9" w:rsidP="006F1659">
            <w:pPr>
              <w:spacing w:line="360" w:lineRule="auto"/>
              <w:jc w:val="center"/>
              <w:rPr>
                <w:rFonts w:ascii="Arial" w:hAnsi="Arial" w:cs="Arial"/>
                <w:b/>
                <w:bCs/>
                <w:color w:val="000000"/>
                <w:sz w:val="20"/>
                <w:szCs w:val="20"/>
                <w:lang w:eastAsia="en-GB"/>
              </w:rPr>
            </w:pPr>
            <w:r w:rsidRPr="00201027">
              <w:rPr>
                <w:rFonts w:ascii="Arial" w:hAnsi="Arial" w:cs="Arial"/>
                <w:b/>
                <w:bCs/>
                <w:color w:val="000000"/>
                <w:sz w:val="20"/>
                <w:szCs w:val="20"/>
                <w:lang w:eastAsia="en-GB"/>
              </w:rPr>
              <w:t>Provisional Variance</w:t>
            </w:r>
          </w:p>
          <w:p w14:paraId="3689DD81" w14:textId="55676D30" w:rsidR="00B13566" w:rsidRPr="00201027" w:rsidRDefault="00B13566" w:rsidP="006F1659">
            <w:pPr>
              <w:spacing w:line="360" w:lineRule="auto"/>
              <w:jc w:val="center"/>
              <w:rPr>
                <w:rFonts w:ascii="Arial" w:hAnsi="Arial" w:cs="Arial"/>
                <w:b/>
                <w:bCs/>
                <w:color w:val="000000"/>
                <w:sz w:val="20"/>
                <w:szCs w:val="20"/>
                <w:lang w:eastAsia="en-GB"/>
              </w:rPr>
            </w:pPr>
            <w:r w:rsidRPr="00201027">
              <w:rPr>
                <w:rFonts w:ascii="Arial" w:hAnsi="Arial" w:cs="Arial"/>
                <w:b/>
                <w:bCs/>
                <w:color w:val="000000"/>
                <w:sz w:val="20"/>
                <w:szCs w:val="20"/>
                <w:lang w:eastAsia="en-GB"/>
              </w:rPr>
              <w:t>£000</w:t>
            </w:r>
          </w:p>
        </w:tc>
      </w:tr>
      <w:tr w:rsidR="00BE35F9" w:rsidRPr="00201027" w14:paraId="42A833EF" w14:textId="77777777" w:rsidTr="000D3910">
        <w:trPr>
          <w:trHeight w:val="580"/>
        </w:trPr>
        <w:tc>
          <w:tcPr>
            <w:tcW w:w="3942" w:type="dxa"/>
            <w:vMerge/>
            <w:tcBorders>
              <w:top w:val="single" w:sz="4" w:space="0" w:color="auto"/>
              <w:left w:val="single" w:sz="4" w:space="0" w:color="auto"/>
              <w:bottom w:val="single" w:sz="4" w:space="0" w:color="000000"/>
              <w:right w:val="single" w:sz="4" w:space="0" w:color="auto"/>
            </w:tcBorders>
            <w:vAlign w:val="center"/>
            <w:hideMark/>
          </w:tcPr>
          <w:p w14:paraId="3767E4D8" w14:textId="77777777" w:rsidR="00BE35F9" w:rsidRPr="00201027" w:rsidRDefault="00BE35F9" w:rsidP="006F1659">
            <w:pPr>
              <w:spacing w:line="360" w:lineRule="auto"/>
              <w:rPr>
                <w:rFonts w:ascii="Arial" w:hAnsi="Arial" w:cs="Arial"/>
                <w:b/>
                <w:bCs/>
                <w:color w:val="000000"/>
                <w:sz w:val="20"/>
                <w:szCs w:val="20"/>
                <w:lang w:eastAsia="en-GB"/>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14:paraId="27C2FB3A" w14:textId="77777777" w:rsidR="00BE35F9" w:rsidRPr="00201027" w:rsidRDefault="00BE35F9" w:rsidP="006F1659">
            <w:pPr>
              <w:spacing w:line="360" w:lineRule="auto"/>
              <w:rPr>
                <w:rFonts w:ascii="Arial" w:hAnsi="Arial" w:cs="Arial"/>
                <w:b/>
                <w:bCs/>
                <w:color w:val="000000"/>
                <w:sz w:val="20"/>
                <w:szCs w:val="20"/>
                <w:lang w:eastAsia="en-GB"/>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7E2CA1DB" w14:textId="77777777" w:rsidR="00BE35F9" w:rsidRPr="00201027" w:rsidRDefault="00BE35F9" w:rsidP="006F1659">
            <w:pPr>
              <w:spacing w:line="360" w:lineRule="auto"/>
              <w:rPr>
                <w:rFonts w:ascii="Arial" w:hAnsi="Arial" w:cs="Arial"/>
                <w:b/>
                <w:bCs/>
                <w:color w:val="000000"/>
                <w:sz w:val="20"/>
                <w:szCs w:val="20"/>
                <w:lang w:eastAsia="en-GB"/>
              </w:rPr>
            </w:pPr>
          </w:p>
        </w:tc>
        <w:tc>
          <w:tcPr>
            <w:tcW w:w="1634" w:type="dxa"/>
            <w:vMerge/>
            <w:tcBorders>
              <w:top w:val="single" w:sz="4" w:space="0" w:color="000000"/>
              <w:left w:val="single" w:sz="4" w:space="0" w:color="auto"/>
              <w:bottom w:val="single" w:sz="4" w:space="0" w:color="000000"/>
              <w:right w:val="single" w:sz="4" w:space="0" w:color="auto"/>
            </w:tcBorders>
            <w:vAlign w:val="center"/>
            <w:hideMark/>
          </w:tcPr>
          <w:p w14:paraId="114A3AD5" w14:textId="77777777" w:rsidR="00BE35F9" w:rsidRPr="00201027" w:rsidRDefault="00BE35F9" w:rsidP="006F1659">
            <w:pPr>
              <w:spacing w:line="360" w:lineRule="auto"/>
              <w:rPr>
                <w:rFonts w:ascii="Arial" w:hAnsi="Arial" w:cs="Arial"/>
                <w:b/>
                <w:bCs/>
                <w:color w:val="000000"/>
                <w:sz w:val="20"/>
                <w:szCs w:val="20"/>
                <w:lang w:eastAsia="en-GB"/>
              </w:rPr>
            </w:pPr>
          </w:p>
        </w:tc>
        <w:tc>
          <w:tcPr>
            <w:tcW w:w="249" w:type="dxa"/>
            <w:tcBorders>
              <w:top w:val="nil"/>
              <w:left w:val="nil"/>
              <w:bottom w:val="nil"/>
              <w:right w:val="nil"/>
            </w:tcBorders>
            <w:shd w:val="clear" w:color="auto" w:fill="auto"/>
            <w:noWrap/>
            <w:vAlign w:val="bottom"/>
            <w:hideMark/>
          </w:tcPr>
          <w:p w14:paraId="67BFC2FC" w14:textId="77777777" w:rsidR="00BE35F9" w:rsidRPr="00201027" w:rsidRDefault="00BE35F9" w:rsidP="006F1659">
            <w:pPr>
              <w:spacing w:line="360" w:lineRule="auto"/>
              <w:jc w:val="center"/>
              <w:rPr>
                <w:rFonts w:ascii="Arial" w:hAnsi="Arial" w:cs="Arial"/>
                <w:b/>
                <w:bCs/>
                <w:color w:val="000000"/>
                <w:szCs w:val="20"/>
                <w:lang w:eastAsia="en-GB"/>
              </w:rPr>
            </w:pPr>
          </w:p>
        </w:tc>
      </w:tr>
      <w:tr w:rsidR="00BE35F9" w:rsidRPr="00201027" w14:paraId="0EAEF047"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60D464F2" w14:textId="378D6B0E" w:rsidR="000D3910" w:rsidRPr="00201027" w:rsidRDefault="000D3910" w:rsidP="006F1659">
            <w:pPr>
              <w:spacing w:line="360" w:lineRule="auto"/>
              <w:rPr>
                <w:rFonts w:ascii="Arial" w:hAnsi="Arial" w:cs="Arial"/>
                <w:b/>
                <w:bCs/>
                <w:color w:val="000000"/>
                <w:sz w:val="20"/>
                <w:szCs w:val="20"/>
                <w:lang w:eastAsia="en-GB"/>
              </w:rPr>
            </w:pPr>
            <w:r w:rsidRPr="00201027">
              <w:rPr>
                <w:rFonts w:ascii="Arial" w:hAnsi="Arial" w:cs="Arial"/>
                <w:b/>
                <w:bCs/>
                <w:color w:val="000000"/>
                <w:sz w:val="20"/>
                <w:szCs w:val="20"/>
                <w:lang w:eastAsia="en-GB"/>
              </w:rPr>
              <w:t>Expenditure:</w:t>
            </w:r>
          </w:p>
          <w:p w14:paraId="73C8E119" w14:textId="0BCD5F79"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Mayor</w:t>
            </w:r>
            <w:r w:rsidR="002E1DEA" w:rsidRPr="00201027">
              <w:rPr>
                <w:rFonts w:ascii="Arial" w:hAnsi="Arial" w:cs="Arial"/>
                <w:color w:val="000000"/>
                <w:sz w:val="20"/>
                <w:szCs w:val="20"/>
                <w:lang w:eastAsia="en-GB"/>
              </w:rPr>
              <w:t>’</w:t>
            </w:r>
            <w:r w:rsidRPr="00201027">
              <w:rPr>
                <w:rFonts w:ascii="Arial" w:hAnsi="Arial" w:cs="Arial"/>
                <w:color w:val="000000"/>
                <w:sz w:val="20"/>
                <w:szCs w:val="20"/>
                <w:lang w:eastAsia="en-GB"/>
              </w:rPr>
              <w:t>s Office</w:t>
            </w:r>
          </w:p>
        </w:tc>
        <w:tc>
          <w:tcPr>
            <w:tcW w:w="1302" w:type="dxa"/>
            <w:tcBorders>
              <w:top w:val="nil"/>
              <w:left w:val="single" w:sz="4" w:space="0" w:color="auto"/>
              <w:bottom w:val="nil"/>
              <w:right w:val="single" w:sz="4" w:space="0" w:color="auto"/>
            </w:tcBorders>
            <w:shd w:val="clear" w:color="auto" w:fill="auto"/>
            <w:noWrap/>
            <w:vAlign w:val="bottom"/>
            <w:hideMark/>
          </w:tcPr>
          <w:p w14:paraId="7C706CB2"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531</w:t>
            </w:r>
          </w:p>
        </w:tc>
        <w:tc>
          <w:tcPr>
            <w:tcW w:w="1634" w:type="dxa"/>
            <w:tcBorders>
              <w:top w:val="nil"/>
              <w:left w:val="single" w:sz="4" w:space="0" w:color="auto"/>
              <w:bottom w:val="nil"/>
              <w:right w:val="single" w:sz="4" w:space="0" w:color="auto"/>
            </w:tcBorders>
            <w:shd w:val="clear" w:color="auto" w:fill="auto"/>
            <w:noWrap/>
            <w:vAlign w:val="bottom"/>
            <w:hideMark/>
          </w:tcPr>
          <w:p w14:paraId="0006E92C"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531</w:t>
            </w:r>
          </w:p>
        </w:tc>
        <w:tc>
          <w:tcPr>
            <w:tcW w:w="1634" w:type="dxa"/>
            <w:tcBorders>
              <w:top w:val="nil"/>
              <w:left w:val="single" w:sz="4" w:space="0" w:color="auto"/>
              <w:bottom w:val="nil"/>
              <w:right w:val="single" w:sz="4" w:space="0" w:color="auto"/>
            </w:tcBorders>
            <w:shd w:val="clear" w:color="auto" w:fill="auto"/>
            <w:noWrap/>
            <w:vAlign w:val="bottom"/>
            <w:hideMark/>
          </w:tcPr>
          <w:p w14:paraId="242BDDE1"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0</w:t>
            </w:r>
          </w:p>
        </w:tc>
        <w:tc>
          <w:tcPr>
            <w:tcW w:w="249" w:type="dxa"/>
            <w:vAlign w:val="center"/>
            <w:hideMark/>
          </w:tcPr>
          <w:p w14:paraId="41EBD09D" w14:textId="77777777" w:rsidR="00BE35F9" w:rsidRPr="00201027" w:rsidRDefault="00BE35F9" w:rsidP="006F1659">
            <w:pPr>
              <w:spacing w:line="360" w:lineRule="auto"/>
              <w:rPr>
                <w:rFonts w:ascii="Arial" w:hAnsi="Arial" w:cs="Arial"/>
                <w:szCs w:val="20"/>
                <w:lang w:eastAsia="en-GB"/>
              </w:rPr>
            </w:pPr>
          </w:p>
        </w:tc>
      </w:tr>
      <w:tr w:rsidR="00BE35F9" w:rsidRPr="00201027" w14:paraId="0A588CE3"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68449414"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Corporate Recharge</w:t>
            </w:r>
          </w:p>
        </w:tc>
        <w:tc>
          <w:tcPr>
            <w:tcW w:w="1302" w:type="dxa"/>
            <w:tcBorders>
              <w:top w:val="nil"/>
              <w:left w:val="single" w:sz="4" w:space="0" w:color="auto"/>
              <w:bottom w:val="nil"/>
              <w:right w:val="single" w:sz="4" w:space="0" w:color="auto"/>
            </w:tcBorders>
            <w:shd w:val="clear" w:color="auto" w:fill="auto"/>
            <w:noWrap/>
            <w:vAlign w:val="bottom"/>
            <w:hideMark/>
          </w:tcPr>
          <w:p w14:paraId="29F1BDA0"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794</w:t>
            </w:r>
          </w:p>
        </w:tc>
        <w:tc>
          <w:tcPr>
            <w:tcW w:w="1634" w:type="dxa"/>
            <w:tcBorders>
              <w:top w:val="nil"/>
              <w:left w:val="single" w:sz="4" w:space="0" w:color="auto"/>
              <w:bottom w:val="nil"/>
              <w:right w:val="single" w:sz="4" w:space="0" w:color="auto"/>
            </w:tcBorders>
            <w:shd w:val="clear" w:color="auto" w:fill="auto"/>
            <w:noWrap/>
            <w:vAlign w:val="bottom"/>
            <w:hideMark/>
          </w:tcPr>
          <w:p w14:paraId="3A046E5B"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794</w:t>
            </w:r>
          </w:p>
        </w:tc>
        <w:tc>
          <w:tcPr>
            <w:tcW w:w="1634" w:type="dxa"/>
            <w:tcBorders>
              <w:top w:val="nil"/>
              <w:left w:val="single" w:sz="4" w:space="0" w:color="auto"/>
              <w:bottom w:val="nil"/>
              <w:right w:val="single" w:sz="4" w:space="0" w:color="auto"/>
            </w:tcBorders>
            <w:shd w:val="clear" w:color="auto" w:fill="auto"/>
            <w:noWrap/>
            <w:vAlign w:val="bottom"/>
            <w:hideMark/>
          </w:tcPr>
          <w:p w14:paraId="570A5A9F"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0</w:t>
            </w:r>
          </w:p>
        </w:tc>
        <w:tc>
          <w:tcPr>
            <w:tcW w:w="249" w:type="dxa"/>
            <w:vAlign w:val="center"/>
            <w:hideMark/>
          </w:tcPr>
          <w:p w14:paraId="43435D21" w14:textId="77777777" w:rsidR="00BE35F9" w:rsidRPr="00201027" w:rsidRDefault="00BE35F9" w:rsidP="006F1659">
            <w:pPr>
              <w:spacing w:line="360" w:lineRule="auto"/>
              <w:rPr>
                <w:rFonts w:ascii="Arial" w:hAnsi="Arial" w:cs="Arial"/>
                <w:szCs w:val="20"/>
                <w:lang w:eastAsia="en-GB"/>
              </w:rPr>
            </w:pPr>
          </w:p>
        </w:tc>
      </w:tr>
      <w:tr w:rsidR="00BE35F9" w:rsidRPr="00201027" w14:paraId="31633D03"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0221A866" w14:textId="0117024D"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Mayoral Priorities</w:t>
            </w:r>
          </w:p>
        </w:tc>
        <w:tc>
          <w:tcPr>
            <w:tcW w:w="1302" w:type="dxa"/>
            <w:tcBorders>
              <w:top w:val="nil"/>
              <w:left w:val="single" w:sz="4" w:space="0" w:color="auto"/>
              <w:bottom w:val="nil"/>
              <w:right w:val="single" w:sz="4" w:space="0" w:color="auto"/>
            </w:tcBorders>
            <w:shd w:val="clear" w:color="auto" w:fill="auto"/>
            <w:noWrap/>
            <w:vAlign w:val="bottom"/>
            <w:hideMark/>
          </w:tcPr>
          <w:p w14:paraId="604612EA"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3,050</w:t>
            </w:r>
          </w:p>
        </w:tc>
        <w:tc>
          <w:tcPr>
            <w:tcW w:w="1634" w:type="dxa"/>
            <w:tcBorders>
              <w:top w:val="nil"/>
              <w:left w:val="single" w:sz="4" w:space="0" w:color="auto"/>
              <w:bottom w:val="nil"/>
              <w:right w:val="single" w:sz="4" w:space="0" w:color="auto"/>
            </w:tcBorders>
            <w:shd w:val="clear" w:color="auto" w:fill="auto"/>
            <w:noWrap/>
            <w:vAlign w:val="bottom"/>
            <w:hideMark/>
          </w:tcPr>
          <w:p w14:paraId="7B508E3F"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3,428</w:t>
            </w:r>
          </w:p>
        </w:tc>
        <w:tc>
          <w:tcPr>
            <w:tcW w:w="1634" w:type="dxa"/>
            <w:tcBorders>
              <w:top w:val="nil"/>
              <w:left w:val="single" w:sz="4" w:space="0" w:color="auto"/>
              <w:bottom w:val="nil"/>
              <w:right w:val="single" w:sz="4" w:space="0" w:color="auto"/>
            </w:tcBorders>
            <w:shd w:val="clear" w:color="auto" w:fill="auto"/>
            <w:noWrap/>
            <w:vAlign w:val="bottom"/>
            <w:hideMark/>
          </w:tcPr>
          <w:p w14:paraId="5C6E05AA"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378</w:t>
            </w:r>
          </w:p>
        </w:tc>
        <w:tc>
          <w:tcPr>
            <w:tcW w:w="249" w:type="dxa"/>
            <w:vAlign w:val="center"/>
            <w:hideMark/>
          </w:tcPr>
          <w:p w14:paraId="03DC317D" w14:textId="77777777" w:rsidR="00BE35F9" w:rsidRPr="00201027" w:rsidRDefault="00BE35F9" w:rsidP="006F1659">
            <w:pPr>
              <w:spacing w:line="360" w:lineRule="auto"/>
              <w:rPr>
                <w:rFonts w:ascii="Arial" w:hAnsi="Arial" w:cs="Arial"/>
                <w:szCs w:val="20"/>
                <w:lang w:eastAsia="en-GB"/>
              </w:rPr>
            </w:pPr>
          </w:p>
        </w:tc>
      </w:tr>
      <w:tr w:rsidR="00BE35F9" w:rsidRPr="00201027" w14:paraId="4498FDC5" w14:textId="77777777" w:rsidTr="000D3910">
        <w:trPr>
          <w:trHeight w:val="284"/>
        </w:trPr>
        <w:tc>
          <w:tcPr>
            <w:tcW w:w="3942" w:type="dxa"/>
            <w:tcBorders>
              <w:top w:val="nil"/>
              <w:left w:val="single" w:sz="4" w:space="0" w:color="auto"/>
              <w:bottom w:val="single" w:sz="4" w:space="0" w:color="auto"/>
              <w:right w:val="nil"/>
            </w:tcBorders>
            <w:shd w:val="clear" w:color="auto" w:fill="auto"/>
            <w:noWrap/>
            <w:vAlign w:val="bottom"/>
            <w:hideMark/>
          </w:tcPr>
          <w:p w14:paraId="47286332"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 xml:space="preserve">Mayoral Transport </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3725D76"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134,645</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14:paraId="05787214"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123,097</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14:paraId="78BD26A1" w14:textId="54B06E3D"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11,548</w:t>
            </w:r>
            <w:r w:rsidRPr="00201027">
              <w:rPr>
                <w:rFonts w:ascii="Arial" w:hAnsi="Arial" w:cs="Arial"/>
                <w:color w:val="000000"/>
                <w:sz w:val="20"/>
                <w:szCs w:val="20"/>
                <w:lang w:eastAsia="en-GB"/>
              </w:rPr>
              <w:t>)</w:t>
            </w:r>
          </w:p>
        </w:tc>
        <w:tc>
          <w:tcPr>
            <w:tcW w:w="249" w:type="dxa"/>
            <w:vAlign w:val="center"/>
            <w:hideMark/>
          </w:tcPr>
          <w:p w14:paraId="0B7FE5A1" w14:textId="77777777" w:rsidR="00BE35F9" w:rsidRPr="00201027" w:rsidRDefault="00BE35F9" w:rsidP="006F1659">
            <w:pPr>
              <w:spacing w:line="360" w:lineRule="auto"/>
              <w:rPr>
                <w:rFonts w:ascii="Arial" w:hAnsi="Arial" w:cs="Arial"/>
                <w:szCs w:val="20"/>
                <w:lang w:eastAsia="en-GB"/>
              </w:rPr>
            </w:pPr>
          </w:p>
        </w:tc>
      </w:tr>
      <w:tr w:rsidR="00BE35F9" w:rsidRPr="00201027" w14:paraId="735825B0" w14:textId="77777777" w:rsidTr="000D3910">
        <w:trPr>
          <w:trHeight w:val="284"/>
        </w:trPr>
        <w:tc>
          <w:tcPr>
            <w:tcW w:w="3942" w:type="dxa"/>
            <w:tcBorders>
              <w:top w:val="single" w:sz="4" w:space="0" w:color="auto"/>
              <w:left w:val="single" w:sz="4" w:space="0" w:color="auto"/>
              <w:bottom w:val="single" w:sz="4" w:space="0" w:color="auto"/>
              <w:right w:val="nil"/>
            </w:tcBorders>
            <w:shd w:val="clear" w:color="auto" w:fill="auto"/>
            <w:noWrap/>
            <w:vAlign w:val="bottom"/>
            <w:hideMark/>
          </w:tcPr>
          <w:p w14:paraId="3C4C55D1" w14:textId="2A54A1BB" w:rsidR="00BE35F9" w:rsidRPr="00201027" w:rsidRDefault="000D3910" w:rsidP="006F1659">
            <w:pPr>
              <w:spacing w:line="360" w:lineRule="auto"/>
              <w:rPr>
                <w:rFonts w:ascii="Arial" w:hAnsi="Arial" w:cs="Arial"/>
                <w:b/>
                <w:bCs/>
                <w:color w:val="000000"/>
                <w:sz w:val="20"/>
                <w:szCs w:val="20"/>
                <w:lang w:eastAsia="en-GB"/>
              </w:rPr>
            </w:pPr>
            <w:r w:rsidRPr="00201027">
              <w:rPr>
                <w:rFonts w:ascii="Arial" w:hAnsi="Arial" w:cs="Arial"/>
                <w:b/>
                <w:bCs/>
                <w:color w:val="000000"/>
                <w:sz w:val="20"/>
                <w:szCs w:val="20"/>
                <w:lang w:eastAsia="en-GB"/>
              </w:rPr>
              <w:t xml:space="preserve">Total </w:t>
            </w:r>
            <w:r w:rsidR="00BE35F9" w:rsidRPr="00201027">
              <w:rPr>
                <w:rFonts w:ascii="Arial" w:hAnsi="Arial" w:cs="Arial"/>
                <w:b/>
                <w:bCs/>
                <w:color w:val="000000"/>
                <w:sz w:val="20"/>
                <w:szCs w:val="20"/>
                <w:lang w:eastAsia="en-GB"/>
              </w:rPr>
              <w:t>Expenditure</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184D" w14:textId="77777777" w:rsidR="00BE35F9" w:rsidRPr="00201027" w:rsidRDefault="00BE35F9" w:rsidP="006F1659">
            <w:pPr>
              <w:spacing w:line="360" w:lineRule="auto"/>
              <w:jc w:val="right"/>
              <w:rPr>
                <w:rFonts w:ascii="Arial" w:hAnsi="Arial" w:cs="Arial"/>
                <w:b/>
                <w:bCs/>
                <w:color w:val="000000"/>
                <w:sz w:val="20"/>
                <w:szCs w:val="20"/>
                <w:lang w:eastAsia="en-GB"/>
              </w:rPr>
            </w:pPr>
            <w:r w:rsidRPr="00201027">
              <w:rPr>
                <w:rFonts w:ascii="Arial" w:hAnsi="Arial" w:cs="Arial"/>
                <w:b/>
                <w:bCs/>
                <w:color w:val="000000"/>
                <w:sz w:val="20"/>
                <w:szCs w:val="20"/>
                <w:lang w:eastAsia="en-GB"/>
              </w:rPr>
              <w:t>139,020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238F6" w14:textId="77777777" w:rsidR="00BE35F9" w:rsidRPr="00201027" w:rsidRDefault="00BE35F9" w:rsidP="006F1659">
            <w:pPr>
              <w:spacing w:line="360" w:lineRule="auto"/>
              <w:jc w:val="right"/>
              <w:rPr>
                <w:rFonts w:ascii="Arial" w:hAnsi="Arial" w:cs="Arial"/>
                <w:b/>
                <w:bCs/>
                <w:color w:val="000000"/>
                <w:sz w:val="20"/>
                <w:szCs w:val="20"/>
                <w:lang w:eastAsia="en-GB"/>
              </w:rPr>
            </w:pPr>
            <w:r w:rsidRPr="00201027">
              <w:rPr>
                <w:rFonts w:ascii="Arial" w:hAnsi="Arial" w:cs="Arial"/>
                <w:b/>
                <w:bCs/>
                <w:color w:val="000000"/>
                <w:sz w:val="20"/>
                <w:szCs w:val="20"/>
                <w:lang w:eastAsia="en-GB"/>
              </w:rPr>
              <w:t>127,850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F9EC" w14:textId="19180D07" w:rsidR="00BE35F9" w:rsidRPr="00201027" w:rsidRDefault="006A7580" w:rsidP="006F1659">
            <w:pPr>
              <w:spacing w:line="360" w:lineRule="auto"/>
              <w:jc w:val="right"/>
              <w:rPr>
                <w:rFonts w:ascii="Arial" w:hAnsi="Arial" w:cs="Arial"/>
                <w:b/>
                <w:bCs/>
                <w:color w:val="000000"/>
                <w:sz w:val="20"/>
                <w:szCs w:val="20"/>
                <w:lang w:eastAsia="en-GB"/>
              </w:rPr>
            </w:pPr>
            <w:r w:rsidRPr="00201027">
              <w:rPr>
                <w:rFonts w:ascii="Arial" w:hAnsi="Arial" w:cs="Arial"/>
                <w:b/>
                <w:bCs/>
                <w:color w:val="000000"/>
                <w:sz w:val="20"/>
                <w:szCs w:val="20"/>
                <w:lang w:eastAsia="en-GB"/>
              </w:rPr>
              <w:t>(</w:t>
            </w:r>
            <w:r w:rsidR="00BE35F9" w:rsidRPr="00201027">
              <w:rPr>
                <w:rFonts w:ascii="Arial" w:hAnsi="Arial" w:cs="Arial"/>
                <w:b/>
                <w:bCs/>
                <w:color w:val="000000"/>
                <w:sz w:val="20"/>
                <w:szCs w:val="20"/>
                <w:lang w:eastAsia="en-GB"/>
              </w:rPr>
              <w:t>11,170</w:t>
            </w:r>
            <w:r w:rsidRPr="00201027">
              <w:rPr>
                <w:rFonts w:ascii="Arial" w:hAnsi="Arial" w:cs="Arial"/>
                <w:b/>
                <w:bCs/>
                <w:color w:val="000000"/>
                <w:sz w:val="20"/>
                <w:szCs w:val="20"/>
                <w:lang w:eastAsia="en-GB"/>
              </w:rPr>
              <w:t>)</w:t>
            </w:r>
          </w:p>
        </w:tc>
        <w:tc>
          <w:tcPr>
            <w:tcW w:w="249" w:type="dxa"/>
            <w:shd w:val="clear" w:color="auto" w:fill="auto"/>
            <w:vAlign w:val="center"/>
            <w:hideMark/>
          </w:tcPr>
          <w:p w14:paraId="2F33DAA8" w14:textId="77777777" w:rsidR="00BE35F9" w:rsidRPr="00201027" w:rsidRDefault="00BE35F9" w:rsidP="006F1659">
            <w:pPr>
              <w:spacing w:line="360" w:lineRule="auto"/>
              <w:rPr>
                <w:rFonts w:ascii="Arial" w:hAnsi="Arial" w:cs="Arial"/>
                <w:szCs w:val="20"/>
                <w:lang w:eastAsia="en-GB"/>
              </w:rPr>
            </w:pPr>
          </w:p>
        </w:tc>
      </w:tr>
      <w:tr w:rsidR="00BE35F9" w:rsidRPr="00201027" w14:paraId="56024D38"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17AAB5CB" w14:textId="77777777" w:rsidR="00BE35F9" w:rsidRPr="00201027" w:rsidRDefault="00BE35F9" w:rsidP="006F1659">
            <w:pPr>
              <w:spacing w:line="360" w:lineRule="auto"/>
              <w:rPr>
                <w:rFonts w:ascii="Arial" w:hAnsi="Arial" w:cs="Arial"/>
                <w:b/>
                <w:bCs/>
                <w:color w:val="000000"/>
                <w:sz w:val="20"/>
                <w:szCs w:val="20"/>
                <w:lang w:eastAsia="en-GB"/>
              </w:rPr>
            </w:pPr>
            <w:r w:rsidRPr="00201027">
              <w:rPr>
                <w:rFonts w:ascii="Arial" w:hAnsi="Arial" w:cs="Arial"/>
                <w:b/>
                <w:bCs/>
                <w:color w:val="000000"/>
                <w:sz w:val="20"/>
                <w:szCs w:val="20"/>
                <w:lang w:eastAsia="en-GB"/>
              </w:rPr>
              <w:t>Funded by:</w:t>
            </w:r>
          </w:p>
        </w:tc>
        <w:tc>
          <w:tcPr>
            <w:tcW w:w="1302" w:type="dxa"/>
            <w:tcBorders>
              <w:top w:val="nil"/>
              <w:left w:val="single" w:sz="4" w:space="0" w:color="auto"/>
              <w:bottom w:val="nil"/>
              <w:right w:val="single" w:sz="4" w:space="0" w:color="auto"/>
            </w:tcBorders>
            <w:shd w:val="clear" w:color="auto" w:fill="auto"/>
            <w:noWrap/>
            <w:vAlign w:val="bottom"/>
            <w:hideMark/>
          </w:tcPr>
          <w:p w14:paraId="0B0CF31B" w14:textId="77777777" w:rsidR="00BE35F9" w:rsidRPr="00201027" w:rsidRDefault="00BE35F9" w:rsidP="006F1659">
            <w:pPr>
              <w:spacing w:line="360" w:lineRule="auto"/>
              <w:rPr>
                <w:rFonts w:ascii="Arial" w:hAnsi="Arial" w:cs="Arial"/>
                <w:b/>
                <w:bCs/>
                <w:color w:val="000000"/>
                <w:sz w:val="20"/>
                <w:szCs w:val="20"/>
                <w:lang w:eastAsia="en-GB"/>
              </w:rPr>
            </w:pPr>
            <w:r w:rsidRPr="00201027">
              <w:rPr>
                <w:rFonts w:ascii="Arial" w:hAnsi="Arial" w:cs="Arial"/>
                <w:b/>
                <w:bCs/>
                <w:color w:val="000000"/>
                <w:sz w:val="20"/>
                <w:szCs w:val="20"/>
                <w:lang w:eastAsia="en-GB"/>
              </w:rPr>
              <w:t> </w:t>
            </w:r>
          </w:p>
        </w:tc>
        <w:tc>
          <w:tcPr>
            <w:tcW w:w="1634" w:type="dxa"/>
            <w:tcBorders>
              <w:top w:val="nil"/>
              <w:left w:val="single" w:sz="4" w:space="0" w:color="auto"/>
              <w:bottom w:val="nil"/>
              <w:right w:val="single" w:sz="4" w:space="0" w:color="auto"/>
            </w:tcBorders>
            <w:shd w:val="clear" w:color="auto" w:fill="auto"/>
            <w:noWrap/>
            <w:vAlign w:val="bottom"/>
            <w:hideMark/>
          </w:tcPr>
          <w:p w14:paraId="0AD71BCB" w14:textId="77777777" w:rsidR="00BE35F9" w:rsidRPr="00201027" w:rsidRDefault="00BE35F9" w:rsidP="006F1659">
            <w:pPr>
              <w:spacing w:line="360" w:lineRule="auto"/>
              <w:rPr>
                <w:rFonts w:ascii="Arial" w:hAnsi="Arial" w:cs="Arial"/>
                <w:sz w:val="20"/>
                <w:szCs w:val="20"/>
                <w:lang w:eastAsia="en-GB"/>
              </w:rPr>
            </w:pPr>
          </w:p>
        </w:tc>
        <w:tc>
          <w:tcPr>
            <w:tcW w:w="1634" w:type="dxa"/>
            <w:tcBorders>
              <w:top w:val="nil"/>
              <w:left w:val="single" w:sz="4" w:space="0" w:color="auto"/>
              <w:bottom w:val="nil"/>
              <w:right w:val="single" w:sz="4" w:space="0" w:color="auto"/>
            </w:tcBorders>
            <w:shd w:val="clear" w:color="auto" w:fill="auto"/>
            <w:noWrap/>
            <w:vAlign w:val="bottom"/>
            <w:hideMark/>
          </w:tcPr>
          <w:p w14:paraId="7951EB12" w14:textId="77777777" w:rsidR="00BE35F9" w:rsidRPr="00201027" w:rsidRDefault="00BE35F9" w:rsidP="006F1659">
            <w:pPr>
              <w:spacing w:line="360" w:lineRule="auto"/>
              <w:rPr>
                <w:rFonts w:ascii="Arial" w:hAnsi="Arial" w:cs="Arial"/>
                <w:b/>
                <w:bCs/>
                <w:color w:val="000000"/>
                <w:sz w:val="20"/>
                <w:szCs w:val="20"/>
                <w:lang w:eastAsia="en-GB"/>
              </w:rPr>
            </w:pPr>
            <w:r w:rsidRPr="00201027">
              <w:rPr>
                <w:rFonts w:ascii="Arial" w:hAnsi="Arial" w:cs="Arial"/>
                <w:b/>
                <w:bCs/>
                <w:color w:val="000000"/>
                <w:sz w:val="20"/>
                <w:szCs w:val="20"/>
                <w:lang w:eastAsia="en-GB"/>
              </w:rPr>
              <w:t> </w:t>
            </w:r>
          </w:p>
        </w:tc>
        <w:tc>
          <w:tcPr>
            <w:tcW w:w="249" w:type="dxa"/>
            <w:vAlign w:val="center"/>
            <w:hideMark/>
          </w:tcPr>
          <w:p w14:paraId="56B417CF" w14:textId="77777777" w:rsidR="00BE35F9" w:rsidRPr="00201027" w:rsidRDefault="00BE35F9" w:rsidP="006F1659">
            <w:pPr>
              <w:spacing w:line="360" w:lineRule="auto"/>
              <w:rPr>
                <w:rFonts w:ascii="Arial" w:hAnsi="Arial" w:cs="Arial"/>
                <w:szCs w:val="20"/>
                <w:lang w:eastAsia="en-GB"/>
              </w:rPr>
            </w:pPr>
          </w:p>
        </w:tc>
      </w:tr>
      <w:tr w:rsidR="00BE35F9" w:rsidRPr="00201027" w14:paraId="1524FAC4"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31594233"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Mayoral Precept</w:t>
            </w:r>
          </w:p>
        </w:tc>
        <w:tc>
          <w:tcPr>
            <w:tcW w:w="1302" w:type="dxa"/>
            <w:tcBorders>
              <w:top w:val="nil"/>
              <w:left w:val="single" w:sz="4" w:space="0" w:color="auto"/>
              <w:bottom w:val="nil"/>
              <w:right w:val="single" w:sz="4" w:space="0" w:color="auto"/>
            </w:tcBorders>
            <w:shd w:val="clear" w:color="auto" w:fill="auto"/>
            <w:noWrap/>
            <w:vAlign w:val="bottom"/>
            <w:hideMark/>
          </w:tcPr>
          <w:p w14:paraId="484D64BC" w14:textId="41D67F04"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24,717</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5C1E61B4" w14:textId="6D661515"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24,717</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14971554"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0</w:t>
            </w:r>
          </w:p>
        </w:tc>
        <w:tc>
          <w:tcPr>
            <w:tcW w:w="249" w:type="dxa"/>
            <w:vAlign w:val="center"/>
            <w:hideMark/>
          </w:tcPr>
          <w:p w14:paraId="0319F051" w14:textId="77777777" w:rsidR="00BE35F9" w:rsidRPr="00201027" w:rsidRDefault="00BE35F9" w:rsidP="006F1659">
            <w:pPr>
              <w:spacing w:line="360" w:lineRule="auto"/>
              <w:rPr>
                <w:rFonts w:ascii="Arial" w:hAnsi="Arial" w:cs="Arial"/>
                <w:szCs w:val="20"/>
                <w:lang w:eastAsia="en-GB"/>
              </w:rPr>
            </w:pPr>
          </w:p>
        </w:tc>
      </w:tr>
      <w:tr w:rsidR="00BE35F9" w:rsidRPr="00201027" w14:paraId="0BD01211"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46B4F28B"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Collection Fund Surplus /-Deficit</w:t>
            </w:r>
          </w:p>
        </w:tc>
        <w:tc>
          <w:tcPr>
            <w:tcW w:w="1302" w:type="dxa"/>
            <w:tcBorders>
              <w:top w:val="nil"/>
              <w:left w:val="single" w:sz="4" w:space="0" w:color="auto"/>
              <w:bottom w:val="nil"/>
              <w:right w:val="single" w:sz="4" w:space="0" w:color="auto"/>
            </w:tcBorders>
            <w:shd w:val="clear" w:color="auto" w:fill="auto"/>
            <w:noWrap/>
            <w:vAlign w:val="bottom"/>
            <w:hideMark/>
          </w:tcPr>
          <w:p w14:paraId="26C997F6" w14:textId="58A80BB8"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1,445</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1ED78D90" w14:textId="5E27D839"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1,445</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4E5E94F2"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0</w:t>
            </w:r>
          </w:p>
        </w:tc>
        <w:tc>
          <w:tcPr>
            <w:tcW w:w="249" w:type="dxa"/>
            <w:vAlign w:val="center"/>
            <w:hideMark/>
          </w:tcPr>
          <w:p w14:paraId="1D84D445" w14:textId="77777777" w:rsidR="00BE35F9" w:rsidRPr="00201027" w:rsidRDefault="00BE35F9" w:rsidP="006F1659">
            <w:pPr>
              <w:spacing w:line="360" w:lineRule="auto"/>
              <w:rPr>
                <w:rFonts w:ascii="Arial" w:hAnsi="Arial" w:cs="Arial"/>
                <w:szCs w:val="20"/>
                <w:lang w:eastAsia="en-GB"/>
              </w:rPr>
            </w:pPr>
          </w:p>
        </w:tc>
      </w:tr>
      <w:tr w:rsidR="00BE35F9" w:rsidRPr="00201027" w14:paraId="49FBAB14"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4851D617"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Bus Support Operators grant</w:t>
            </w:r>
          </w:p>
        </w:tc>
        <w:tc>
          <w:tcPr>
            <w:tcW w:w="1302" w:type="dxa"/>
            <w:tcBorders>
              <w:top w:val="nil"/>
              <w:left w:val="single" w:sz="4" w:space="0" w:color="auto"/>
              <w:bottom w:val="nil"/>
              <w:right w:val="single" w:sz="4" w:space="0" w:color="auto"/>
            </w:tcBorders>
            <w:shd w:val="clear" w:color="auto" w:fill="auto"/>
            <w:noWrap/>
            <w:vAlign w:val="bottom"/>
            <w:hideMark/>
          </w:tcPr>
          <w:p w14:paraId="068F07E0" w14:textId="7F4D6EFE"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13,150</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382DD5D9" w14:textId="6EAC2C2E"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13,151</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5171A585" w14:textId="23490934"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w:t>
            </w:r>
            <w:r w:rsidRPr="00201027">
              <w:rPr>
                <w:rFonts w:ascii="Arial" w:hAnsi="Arial" w:cs="Arial"/>
                <w:color w:val="000000"/>
                <w:sz w:val="20"/>
                <w:szCs w:val="20"/>
                <w:lang w:eastAsia="en-GB"/>
              </w:rPr>
              <w:t>)</w:t>
            </w:r>
          </w:p>
        </w:tc>
        <w:tc>
          <w:tcPr>
            <w:tcW w:w="249" w:type="dxa"/>
            <w:vAlign w:val="center"/>
            <w:hideMark/>
          </w:tcPr>
          <w:p w14:paraId="0FE7C84B" w14:textId="77777777" w:rsidR="00BE35F9" w:rsidRPr="00201027" w:rsidRDefault="00BE35F9" w:rsidP="006F1659">
            <w:pPr>
              <w:spacing w:line="360" w:lineRule="auto"/>
              <w:rPr>
                <w:rFonts w:ascii="Arial" w:hAnsi="Arial" w:cs="Arial"/>
                <w:szCs w:val="20"/>
                <w:lang w:eastAsia="en-GB"/>
              </w:rPr>
            </w:pPr>
          </w:p>
        </w:tc>
      </w:tr>
      <w:tr w:rsidR="00BE35F9" w:rsidRPr="00201027" w14:paraId="60742827"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56DF0331"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Mayoral Capacity grant</w:t>
            </w:r>
          </w:p>
        </w:tc>
        <w:tc>
          <w:tcPr>
            <w:tcW w:w="1302" w:type="dxa"/>
            <w:tcBorders>
              <w:top w:val="nil"/>
              <w:left w:val="single" w:sz="4" w:space="0" w:color="auto"/>
              <w:bottom w:val="nil"/>
              <w:right w:val="single" w:sz="4" w:space="0" w:color="auto"/>
            </w:tcBorders>
            <w:shd w:val="clear" w:color="auto" w:fill="auto"/>
            <w:noWrap/>
            <w:vAlign w:val="bottom"/>
            <w:hideMark/>
          </w:tcPr>
          <w:p w14:paraId="448A6257" w14:textId="590DBE61"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1,000</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0BEB80E5" w14:textId="02C22FB0"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1,000</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64BC8A23"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0</w:t>
            </w:r>
          </w:p>
        </w:tc>
        <w:tc>
          <w:tcPr>
            <w:tcW w:w="249" w:type="dxa"/>
            <w:vAlign w:val="center"/>
            <w:hideMark/>
          </w:tcPr>
          <w:p w14:paraId="300C3C5A" w14:textId="77777777" w:rsidR="00BE35F9" w:rsidRPr="00201027" w:rsidRDefault="00BE35F9" w:rsidP="006F1659">
            <w:pPr>
              <w:spacing w:line="360" w:lineRule="auto"/>
              <w:rPr>
                <w:rFonts w:ascii="Arial" w:hAnsi="Arial" w:cs="Arial"/>
                <w:szCs w:val="20"/>
                <w:lang w:eastAsia="en-GB"/>
              </w:rPr>
            </w:pPr>
          </w:p>
        </w:tc>
      </w:tr>
      <w:tr w:rsidR="00BE35F9" w:rsidRPr="00201027" w14:paraId="1F7B0349"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633549BD"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Earnback revenue grant</w:t>
            </w:r>
          </w:p>
        </w:tc>
        <w:tc>
          <w:tcPr>
            <w:tcW w:w="1302" w:type="dxa"/>
            <w:tcBorders>
              <w:top w:val="nil"/>
              <w:left w:val="single" w:sz="4" w:space="0" w:color="auto"/>
              <w:bottom w:val="nil"/>
              <w:right w:val="single" w:sz="4" w:space="0" w:color="auto"/>
            </w:tcBorders>
            <w:shd w:val="clear" w:color="auto" w:fill="auto"/>
            <w:noWrap/>
            <w:vAlign w:val="bottom"/>
            <w:hideMark/>
          </w:tcPr>
          <w:p w14:paraId="0E5AD53E" w14:textId="0A3CC993"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9,750</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4DB36F7C"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0</w:t>
            </w:r>
          </w:p>
        </w:tc>
        <w:tc>
          <w:tcPr>
            <w:tcW w:w="1634" w:type="dxa"/>
            <w:tcBorders>
              <w:top w:val="nil"/>
              <w:left w:val="single" w:sz="4" w:space="0" w:color="auto"/>
              <w:bottom w:val="nil"/>
              <w:right w:val="single" w:sz="4" w:space="0" w:color="auto"/>
            </w:tcBorders>
            <w:shd w:val="clear" w:color="auto" w:fill="auto"/>
            <w:noWrap/>
            <w:vAlign w:val="bottom"/>
            <w:hideMark/>
          </w:tcPr>
          <w:p w14:paraId="77C8B838"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9,750</w:t>
            </w:r>
          </w:p>
        </w:tc>
        <w:tc>
          <w:tcPr>
            <w:tcW w:w="249" w:type="dxa"/>
            <w:vAlign w:val="center"/>
            <w:hideMark/>
          </w:tcPr>
          <w:p w14:paraId="6A5023D1" w14:textId="77777777" w:rsidR="00BE35F9" w:rsidRPr="00201027" w:rsidRDefault="00BE35F9" w:rsidP="006F1659">
            <w:pPr>
              <w:spacing w:line="360" w:lineRule="auto"/>
              <w:rPr>
                <w:rFonts w:ascii="Arial" w:hAnsi="Arial" w:cs="Arial"/>
                <w:szCs w:val="20"/>
                <w:lang w:eastAsia="en-GB"/>
              </w:rPr>
            </w:pPr>
          </w:p>
        </w:tc>
      </w:tr>
      <w:tr w:rsidR="00BE35F9" w:rsidRPr="00201027" w14:paraId="4014306C"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4D39D2BF"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Statutory charge</w:t>
            </w:r>
          </w:p>
        </w:tc>
        <w:tc>
          <w:tcPr>
            <w:tcW w:w="1302" w:type="dxa"/>
            <w:tcBorders>
              <w:top w:val="nil"/>
              <w:left w:val="single" w:sz="4" w:space="0" w:color="auto"/>
              <w:bottom w:val="nil"/>
              <w:right w:val="single" w:sz="4" w:space="0" w:color="auto"/>
            </w:tcBorders>
            <w:shd w:val="clear" w:color="auto" w:fill="auto"/>
            <w:noWrap/>
            <w:vAlign w:val="bottom"/>
            <w:hideMark/>
          </w:tcPr>
          <w:p w14:paraId="3E56D150" w14:textId="58C4A00C"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86,700</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23A8C16E" w14:textId="52F7AD5A"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86,700</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1C116ADC"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0</w:t>
            </w:r>
          </w:p>
        </w:tc>
        <w:tc>
          <w:tcPr>
            <w:tcW w:w="249" w:type="dxa"/>
            <w:vAlign w:val="center"/>
            <w:hideMark/>
          </w:tcPr>
          <w:p w14:paraId="633D41DA" w14:textId="77777777" w:rsidR="00BE35F9" w:rsidRPr="00201027" w:rsidRDefault="00BE35F9" w:rsidP="006F1659">
            <w:pPr>
              <w:spacing w:line="360" w:lineRule="auto"/>
              <w:rPr>
                <w:rFonts w:ascii="Arial" w:hAnsi="Arial" w:cs="Arial"/>
                <w:szCs w:val="20"/>
                <w:lang w:eastAsia="en-GB"/>
              </w:rPr>
            </w:pPr>
          </w:p>
        </w:tc>
      </w:tr>
      <w:tr w:rsidR="00BE35F9" w:rsidRPr="00201027" w14:paraId="73AEC8C7"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61926C1C"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 xml:space="preserve">Use of Reserves </w:t>
            </w:r>
          </w:p>
        </w:tc>
        <w:tc>
          <w:tcPr>
            <w:tcW w:w="1302" w:type="dxa"/>
            <w:tcBorders>
              <w:top w:val="nil"/>
              <w:left w:val="single" w:sz="4" w:space="0" w:color="auto"/>
              <w:bottom w:val="nil"/>
              <w:right w:val="single" w:sz="4" w:space="0" w:color="auto"/>
            </w:tcBorders>
            <w:shd w:val="clear" w:color="auto" w:fill="auto"/>
            <w:noWrap/>
            <w:vAlign w:val="bottom"/>
            <w:hideMark/>
          </w:tcPr>
          <w:p w14:paraId="494A55F3" w14:textId="41CC617C"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1,408</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43D014B5" w14:textId="5AA6FAFD"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836</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20B73DE5"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572</w:t>
            </w:r>
          </w:p>
        </w:tc>
        <w:tc>
          <w:tcPr>
            <w:tcW w:w="249" w:type="dxa"/>
            <w:vAlign w:val="center"/>
            <w:hideMark/>
          </w:tcPr>
          <w:p w14:paraId="30CE4160" w14:textId="77777777" w:rsidR="00BE35F9" w:rsidRPr="00201027" w:rsidRDefault="00BE35F9" w:rsidP="006F1659">
            <w:pPr>
              <w:spacing w:line="360" w:lineRule="auto"/>
              <w:rPr>
                <w:rFonts w:ascii="Arial" w:hAnsi="Arial" w:cs="Arial"/>
                <w:szCs w:val="20"/>
                <w:lang w:eastAsia="en-GB"/>
              </w:rPr>
            </w:pPr>
          </w:p>
        </w:tc>
      </w:tr>
      <w:tr w:rsidR="00BE35F9" w:rsidRPr="00201027" w14:paraId="508C5835" w14:textId="77777777" w:rsidTr="000D3910">
        <w:trPr>
          <w:trHeight w:val="284"/>
        </w:trPr>
        <w:tc>
          <w:tcPr>
            <w:tcW w:w="3942" w:type="dxa"/>
            <w:tcBorders>
              <w:top w:val="nil"/>
              <w:left w:val="single" w:sz="4" w:space="0" w:color="auto"/>
              <w:bottom w:val="nil"/>
              <w:right w:val="nil"/>
            </w:tcBorders>
            <w:shd w:val="clear" w:color="auto" w:fill="auto"/>
            <w:noWrap/>
            <w:vAlign w:val="bottom"/>
            <w:hideMark/>
          </w:tcPr>
          <w:p w14:paraId="13597062" w14:textId="77777777" w:rsidR="00BE35F9" w:rsidRPr="00201027" w:rsidRDefault="00BE35F9" w:rsidP="006F1659">
            <w:pPr>
              <w:spacing w:line="360" w:lineRule="auto"/>
              <w:rPr>
                <w:rFonts w:ascii="Arial" w:hAnsi="Arial" w:cs="Arial"/>
                <w:color w:val="000000"/>
                <w:sz w:val="20"/>
                <w:szCs w:val="20"/>
                <w:lang w:eastAsia="en-GB"/>
              </w:rPr>
            </w:pPr>
            <w:r w:rsidRPr="00201027">
              <w:rPr>
                <w:rFonts w:ascii="Arial" w:hAnsi="Arial" w:cs="Arial"/>
                <w:color w:val="000000"/>
                <w:sz w:val="20"/>
                <w:szCs w:val="20"/>
                <w:lang w:eastAsia="en-GB"/>
              </w:rPr>
              <w:t xml:space="preserve">External Income </w:t>
            </w:r>
          </w:p>
        </w:tc>
        <w:tc>
          <w:tcPr>
            <w:tcW w:w="1302" w:type="dxa"/>
            <w:tcBorders>
              <w:top w:val="nil"/>
              <w:left w:val="single" w:sz="4" w:space="0" w:color="auto"/>
              <w:bottom w:val="nil"/>
              <w:right w:val="single" w:sz="4" w:space="0" w:color="auto"/>
            </w:tcBorders>
            <w:shd w:val="clear" w:color="auto" w:fill="auto"/>
            <w:noWrap/>
            <w:vAlign w:val="bottom"/>
            <w:hideMark/>
          </w:tcPr>
          <w:p w14:paraId="69391D44" w14:textId="6964242A"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850</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4F24A659" w14:textId="10555FB0" w:rsidR="00BE35F9" w:rsidRPr="00201027" w:rsidRDefault="006A7580"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w:t>
            </w:r>
            <w:r w:rsidR="00BE35F9" w:rsidRPr="00201027">
              <w:rPr>
                <w:rFonts w:ascii="Arial" w:hAnsi="Arial" w:cs="Arial"/>
                <w:color w:val="000000"/>
                <w:sz w:val="20"/>
                <w:szCs w:val="20"/>
                <w:lang w:eastAsia="en-GB"/>
              </w:rPr>
              <w:t>1</w:t>
            </w:r>
            <w:r w:rsidRPr="00201027">
              <w:rPr>
                <w:rFonts w:ascii="Arial" w:hAnsi="Arial" w:cs="Arial"/>
                <w:color w:val="000000"/>
                <w:sz w:val="20"/>
                <w:szCs w:val="20"/>
                <w:lang w:eastAsia="en-GB"/>
              </w:rPr>
              <w:t>)</w:t>
            </w:r>
          </w:p>
        </w:tc>
        <w:tc>
          <w:tcPr>
            <w:tcW w:w="1634" w:type="dxa"/>
            <w:tcBorders>
              <w:top w:val="nil"/>
              <w:left w:val="single" w:sz="4" w:space="0" w:color="auto"/>
              <w:bottom w:val="nil"/>
              <w:right w:val="single" w:sz="4" w:space="0" w:color="auto"/>
            </w:tcBorders>
            <w:shd w:val="clear" w:color="auto" w:fill="auto"/>
            <w:noWrap/>
            <w:vAlign w:val="bottom"/>
            <w:hideMark/>
          </w:tcPr>
          <w:p w14:paraId="4C0E8CB5" w14:textId="77777777" w:rsidR="00BE35F9" w:rsidRPr="00201027" w:rsidRDefault="00BE35F9" w:rsidP="006F1659">
            <w:pPr>
              <w:spacing w:line="360" w:lineRule="auto"/>
              <w:jc w:val="right"/>
              <w:rPr>
                <w:rFonts w:ascii="Arial" w:hAnsi="Arial" w:cs="Arial"/>
                <w:color w:val="000000"/>
                <w:sz w:val="20"/>
                <w:szCs w:val="20"/>
                <w:lang w:eastAsia="en-GB"/>
              </w:rPr>
            </w:pPr>
            <w:r w:rsidRPr="00201027">
              <w:rPr>
                <w:rFonts w:ascii="Arial" w:hAnsi="Arial" w:cs="Arial"/>
                <w:color w:val="000000"/>
                <w:sz w:val="20"/>
                <w:szCs w:val="20"/>
                <w:lang w:eastAsia="en-GB"/>
              </w:rPr>
              <w:t>849</w:t>
            </w:r>
          </w:p>
        </w:tc>
        <w:tc>
          <w:tcPr>
            <w:tcW w:w="249" w:type="dxa"/>
            <w:vAlign w:val="center"/>
            <w:hideMark/>
          </w:tcPr>
          <w:p w14:paraId="6538D691" w14:textId="77777777" w:rsidR="00BE35F9" w:rsidRPr="00201027" w:rsidRDefault="00BE35F9" w:rsidP="006F1659">
            <w:pPr>
              <w:spacing w:line="360" w:lineRule="auto"/>
              <w:rPr>
                <w:rFonts w:ascii="Arial" w:hAnsi="Arial" w:cs="Arial"/>
                <w:szCs w:val="20"/>
                <w:lang w:eastAsia="en-GB"/>
              </w:rPr>
            </w:pPr>
          </w:p>
        </w:tc>
      </w:tr>
      <w:tr w:rsidR="00BE35F9" w:rsidRPr="00201027" w14:paraId="254F62E0" w14:textId="77777777" w:rsidTr="000D3910">
        <w:trPr>
          <w:trHeight w:val="47"/>
        </w:trPr>
        <w:tc>
          <w:tcPr>
            <w:tcW w:w="3942" w:type="dxa"/>
            <w:tcBorders>
              <w:top w:val="single" w:sz="4" w:space="0" w:color="auto"/>
              <w:left w:val="single" w:sz="4" w:space="0" w:color="auto"/>
              <w:bottom w:val="single" w:sz="4" w:space="0" w:color="auto"/>
              <w:right w:val="nil"/>
            </w:tcBorders>
            <w:shd w:val="clear" w:color="auto" w:fill="auto"/>
            <w:noWrap/>
            <w:vAlign w:val="bottom"/>
            <w:hideMark/>
          </w:tcPr>
          <w:p w14:paraId="3320D9CC" w14:textId="77777777" w:rsidR="00BE35F9" w:rsidRPr="00201027" w:rsidRDefault="00BE35F9" w:rsidP="006F1659">
            <w:pPr>
              <w:spacing w:line="360" w:lineRule="auto"/>
              <w:rPr>
                <w:rFonts w:ascii="Arial" w:hAnsi="Arial" w:cs="Arial"/>
                <w:b/>
                <w:bCs/>
                <w:sz w:val="20"/>
                <w:szCs w:val="20"/>
                <w:lang w:eastAsia="en-GB"/>
              </w:rPr>
            </w:pPr>
            <w:r w:rsidRPr="00201027">
              <w:rPr>
                <w:rFonts w:ascii="Arial" w:hAnsi="Arial" w:cs="Arial"/>
                <w:b/>
                <w:bCs/>
                <w:sz w:val="20"/>
                <w:szCs w:val="20"/>
                <w:lang w:eastAsia="en-GB"/>
              </w:rPr>
              <w:t>Total Funding</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03A35" w14:textId="12D0A55A" w:rsidR="00BE35F9" w:rsidRPr="00201027" w:rsidRDefault="006A7580" w:rsidP="006F1659">
            <w:pPr>
              <w:spacing w:line="360" w:lineRule="auto"/>
              <w:jc w:val="right"/>
              <w:rPr>
                <w:rFonts w:ascii="Arial" w:hAnsi="Arial" w:cs="Arial"/>
                <w:b/>
                <w:bCs/>
                <w:color w:val="000000"/>
                <w:sz w:val="20"/>
                <w:szCs w:val="20"/>
                <w:lang w:eastAsia="en-GB"/>
              </w:rPr>
            </w:pPr>
            <w:r w:rsidRPr="00201027">
              <w:rPr>
                <w:rFonts w:ascii="Arial" w:hAnsi="Arial" w:cs="Arial"/>
                <w:b/>
                <w:bCs/>
                <w:color w:val="000000"/>
                <w:sz w:val="20"/>
                <w:szCs w:val="20"/>
                <w:lang w:eastAsia="en-GB"/>
              </w:rPr>
              <w:t>(</w:t>
            </w:r>
            <w:r w:rsidR="00BE35F9" w:rsidRPr="00201027">
              <w:rPr>
                <w:rFonts w:ascii="Arial" w:hAnsi="Arial" w:cs="Arial"/>
                <w:b/>
                <w:bCs/>
                <w:color w:val="000000"/>
                <w:sz w:val="20"/>
                <w:szCs w:val="20"/>
                <w:lang w:eastAsia="en-GB"/>
              </w:rPr>
              <w:t>139,020</w:t>
            </w:r>
            <w:r w:rsidRPr="00201027">
              <w:rPr>
                <w:rFonts w:ascii="Arial" w:hAnsi="Arial" w:cs="Arial"/>
                <w:b/>
                <w:bCs/>
                <w:color w:val="000000"/>
                <w:sz w:val="20"/>
                <w:szCs w:val="20"/>
                <w:lang w:eastAsia="en-GB"/>
              </w:rPr>
              <w:t>)</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C797" w14:textId="1EFC932D" w:rsidR="00BE35F9" w:rsidRPr="00201027" w:rsidRDefault="006A7580" w:rsidP="006F1659">
            <w:pPr>
              <w:spacing w:line="360" w:lineRule="auto"/>
              <w:jc w:val="right"/>
              <w:rPr>
                <w:rFonts w:ascii="Arial" w:hAnsi="Arial" w:cs="Arial"/>
                <w:b/>
                <w:bCs/>
                <w:color w:val="000000"/>
                <w:sz w:val="20"/>
                <w:szCs w:val="20"/>
                <w:lang w:eastAsia="en-GB"/>
              </w:rPr>
            </w:pPr>
            <w:r w:rsidRPr="00201027">
              <w:rPr>
                <w:rFonts w:ascii="Arial" w:hAnsi="Arial" w:cs="Arial"/>
                <w:b/>
                <w:bCs/>
                <w:color w:val="000000"/>
                <w:sz w:val="20"/>
                <w:szCs w:val="20"/>
                <w:lang w:eastAsia="en-GB"/>
              </w:rPr>
              <w:t>(</w:t>
            </w:r>
            <w:r w:rsidR="00BE35F9" w:rsidRPr="00201027">
              <w:rPr>
                <w:rFonts w:ascii="Arial" w:hAnsi="Arial" w:cs="Arial"/>
                <w:b/>
                <w:bCs/>
                <w:color w:val="000000"/>
                <w:sz w:val="20"/>
                <w:szCs w:val="20"/>
                <w:lang w:eastAsia="en-GB"/>
              </w:rPr>
              <w:t>127,850</w:t>
            </w:r>
            <w:r w:rsidRPr="00201027">
              <w:rPr>
                <w:rFonts w:ascii="Arial" w:hAnsi="Arial" w:cs="Arial"/>
                <w:b/>
                <w:bCs/>
                <w:color w:val="000000"/>
                <w:sz w:val="20"/>
                <w:szCs w:val="20"/>
                <w:lang w:eastAsia="en-GB"/>
              </w:rPr>
              <w:t>)</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B882" w14:textId="77777777" w:rsidR="00BE35F9" w:rsidRPr="00201027" w:rsidRDefault="00BE35F9" w:rsidP="006F1659">
            <w:pPr>
              <w:spacing w:line="360" w:lineRule="auto"/>
              <w:jc w:val="right"/>
              <w:rPr>
                <w:rFonts w:ascii="Arial" w:hAnsi="Arial" w:cs="Arial"/>
                <w:b/>
                <w:bCs/>
                <w:color w:val="000000"/>
                <w:sz w:val="20"/>
                <w:szCs w:val="20"/>
                <w:lang w:eastAsia="en-GB"/>
              </w:rPr>
            </w:pPr>
            <w:r w:rsidRPr="00201027">
              <w:rPr>
                <w:rFonts w:ascii="Arial" w:hAnsi="Arial" w:cs="Arial"/>
                <w:b/>
                <w:bCs/>
                <w:color w:val="000000"/>
                <w:sz w:val="20"/>
                <w:szCs w:val="20"/>
                <w:lang w:eastAsia="en-GB"/>
              </w:rPr>
              <w:t>11,170</w:t>
            </w:r>
          </w:p>
        </w:tc>
        <w:tc>
          <w:tcPr>
            <w:tcW w:w="249" w:type="dxa"/>
            <w:shd w:val="clear" w:color="auto" w:fill="auto"/>
            <w:vAlign w:val="center"/>
            <w:hideMark/>
          </w:tcPr>
          <w:p w14:paraId="13F1261A" w14:textId="77777777" w:rsidR="00BE35F9" w:rsidRPr="00201027" w:rsidRDefault="00BE35F9" w:rsidP="006F1659">
            <w:pPr>
              <w:spacing w:line="360" w:lineRule="auto"/>
              <w:rPr>
                <w:rFonts w:ascii="Arial" w:hAnsi="Arial" w:cs="Arial"/>
                <w:szCs w:val="20"/>
                <w:lang w:eastAsia="en-GB"/>
              </w:rPr>
            </w:pPr>
          </w:p>
        </w:tc>
      </w:tr>
    </w:tbl>
    <w:p w14:paraId="71910463" w14:textId="77777777" w:rsidR="00BE35F9" w:rsidRPr="00192EC4" w:rsidRDefault="00BE35F9" w:rsidP="006F1659">
      <w:pPr>
        <w:widowControl w:val="0"/>
        <w:spacing w:line="360" w:lineRule="auto"/>
        <w:jc w:val="both"/>
        <w:rPr>
          <w:rFonts w:ascii="Arial" w:hAnsi="Arial" w:cs="Arial"/>
        </w:rPr>
      </w:pPr>
    </w:p>
    <w:p w14:paraId="63624213" w14:textId="77777777" w:rsidR="00BE35F9" w:rsidRPr="00192EC4" w:rsidRDefault="00BE35F9" w:rsidP="006F1659">
      <w:pPr>
        <w:widowControl w:val="0"/>
        <w:spacing w:line="360" w:lineRule="auto"/>
        <w:rPr>
          <w:rFonts w:ascii="Arial" w:hAnsi="Arial" w:cs="Arial"/>
        </w:rPr>
      </w:pPr>
      <w:r w:rsidRPr="00192EC4">
        <w:rPr>
          <w:rFonts w:ascii="Arial" w:hAnsi="Arial" w:cs="Arial"/>
        </w:rPr>
        <w:t>The most significant variances relate to:</w:t>
      </w:r>
    </w:p>
    <w:p w14:paraId="4B8DB356" w14:textId="77777777" w:rsidR="00BE35F9" w:rsidRPr="00192EC4" w:rsidRDefault="00BE35F9" w:rsidP="006F1659">
      <w:pPr>
        <w:widowControl w:val="0"/>
        <w:spacing w:line="360" w:lineRule="auto"/>
        <w:rPr>
          <w:rFonts w:ascii="Arial" w:hAnsi="Arial" w:cs="Arial"/>
        </w:rPr>
      </w:pPr>
    </w:p>
    <w:p w14:paraId="1625BB51" w14:textId="0C538FE2" w:rsidR="00BE35F9" w:rsidRPr="00192EC4" w:rsidRDefault="00BE35F9" w:rsidP="006F1659">
      <w:pPr>
        <w:pStyle w:val="ListParagraph"/>
        <w:widowControl w:val="0"/>
        <w:numPr>
          <w:ilvl w:val="0"/>
          <w:numId w:val="79"/>
        </w:numPr>
        <w:spacing w:after="0" w:line="360" w:lineRule="auto"/>
        <w:ind w:left="284" w:hanging="284"/>
        <w:rPr>
          <w:rFonts w:ascii="Arial" w:hAnsi="Arial" w:cs="Arial"/>
          <w:sz w:val="24"/>
          <w:szCs w:val="24"/>
        </w:rPr>
      </w:pPr>
      <w:r w:rsidRPr="00192EC4">
        <w:rPr>
          <w:rFonts w:ascii="Arial" w:hAnsi="Arial" w:cs="Arial"/>
          <w:sz w:val="24"/>
          <w:szCs w:val="24"/>
        </w:rPr>
        <w:t xml:space="preserve">Increased expenditure on </w:t>
      </w:r>
      <w:r w:rsidR="000D3910">
        <w:rPr>
          <w:rFonts w:ascii="Arial" w:hAnsi="Arial" w:cs="Arial"/>
          <w:sz w:val="24"/>
          <w:szCs w:val="24"/>
        </w:rPr>
        <w:t>M</w:t>
      </w:r>
      <w:r w:rsidRPr="00192EC4">
        <w:rPr>
          <w:rFonts w:ascii="Arial" w:hAnsi="Arial" w:cs="Arial"/>
          <w:sz w:val="24"/>
          <w:szCs w:val="24"/>
        </w:rPr>
        <w:t>ayoral priorities of £378k due to the cost of the expansion of emergency accommodation provision, A Bed Every Night (ABEN) which has helped prevent more people sleeping on the streets. As a result during the winter months Greater Manchester has recorded a significantly lower increase in rough sleeping compared to other parts of England.</w:t>
      </w:r>
    </w:p>
    <w:p w14:paraId="408FDA6F" w14:textId="2810C512" w:rsidR="00BE35F9" w:rsidRPr="00192EC4" w:rsidRDefault="00BE35F9" w:rsidP="006F1659">
      <w:pPr>
        <w:pStyle w:val="ListParagraph"/>
        <w:widowControl w:val="0"/>
        <w:numPr>
          <w:ilvl w:val="0"/>
          <w:numId w:val="79"/>
        </w:numPr>
        <w:spacing w:after="0" w:line="360" w:lineRule="auto"/>
        <w:ind w:left="284" w:hanging="284"/>
        <w:rPr>
          <w:rFonts w:ascii="Arial" w:hAnsi="Arial" w:cs="Arial"/>
          <w:sz w:val="24"/>
          <w:szCs w:val="24"/>
        </w:rPr>
      </w:pPr>
      <w:r w:rsidRPr="00192EC4">
        <w:rPr>
          <w:rFonts w:ascii="Arial" w:hAnsi="Arial" w:cs="Arial"/>
          <w:sz w:val="24"/>
          <w:szCs w:val="24"/>
        </w:rPr>
        <w:t xml:space="preserve">Underspend on </w:t>
      </w:r>
      <w:r w:rsidR="000D3910">
        <w:rPr>
          <w:rFonts w:ascii="Arial" w:hAnsi="Arial" w:cs="Arial"/>
          <w:sz w:val="24"/>
          <w:szCs w:val="24"/>
        </w:rPr>
        <w:t>M</w:t>
      </w:r>
      <w:r w:rsidRPr="00192EC4">
        <w:rPr>
          <w:rFonts w:ascii="Arial" w:hAnsi="Arial" w:cs="Arial"/>
          <w:sz w:val="24"/>
          <w:szCs w:val="24"/>
        </w:rPr>
        <w:t xml:space="preserve">ayoral transport budget of £11.548m the majority of which relates to Bus Franchising implementation costs which will be held in reserves until required.  </w:t>
      </w:r>
    </w:p>
    <w:p w14:paraId="69BB9D27" w14:textId="77777777" w:rsidR="00BE35F9" w:rsidRPr="00192EC4" w:rsidRDefault="00BE35F9" w:rsidP="006F1659">
      <w:pPr>
        <w:pStyle w:val="ListParagraph"/>
        <w:widowControl w:val="0"/>
        <w:numPr>
          <w:ilvl w:val="0"/>
          <w:numId w:val="79"/>
        </w:numPr>
        <w:spacing w:after="0" w:line="360" w:lineRule="auto"/>
        <w:ind w:left="284" w:hanging="284"/>
        <w:rPr>
          <w:rFonts w:ascii="Arial" w:hAnsi="Arial" w:cs="Arial"/>
          <w:sz w:val="24"/>
          <w:szCs w:val="24"/>
        </w:rPr>
      </w:pPr>
      <w:r w:rsidRPr="00192EC4">
        <w:rPr>
          <w:rFonts w:ascii="Arial" w:hAnsi="Arial" w:cs="Arial"/>
          <w:sz w:val="24"/>
          <w:szCs w:val="24"/>
        </w:rPr>
        <w:t>Transfer of £9.750m of Earnback revenue grant to earmarked reserves to meet implementation of Bus Franchising.</w:t>
      </w:r>
    </w:p>
    <w:p w14:paraId="5D88D049" w14:textId="188CE2DF" w:rsidR="00BE35F9" w:rsidRPr="00192EC4" w:rsidRDefault="00BE35F9" w:rsidP="006F1659">
      <w:pPr>
        <w:pStyle w:val="ListParagraph"/>
        <w:widowControl w:val="0"/>
        <w:numPr>
          <w:ilvl w:val="0"/>
          <w:numId w:val="79"/>
        </w:numPr>
        <w:spacing w:after="0" w:line="360" w:lineRule="auto"/>
        <w:ind w:left="284" w:hanging="284"/>
        <w:rPr>
          <w:rFonts w:ascii="Arial" w:hAnsi="Arial" w:cs="Arial"/>
          <w:sz w:val="24"/>
          <w:szCs w:val="24"/>
        </w:rPr>
      </w:pPr>
      <w:r w:rsidRPr="00192EC4">
        <w:rPr>
          <w:rFonts w:ascii="Arial" w:hAnsi="Arial" w:cs="Arial"/>
          <w:sz w:val="24"/>
          <w:szCs w:val="24"/>
        </w:rPr>
        <w:t xml:space="preserve">A shortfall in income </w:t>
      </w:r>
      <w:r w:rsidR="000D3910" w:rsidRPr="00192EC4">
        <w:rPr>
          <w:rFonts w:ascii="Arial" w:hAnsi="Arial" w:cs="Arial"/>
          <w:sz w:val="24"/>
          <w:szCs w:val="24"/>
        </w:rPr>
        <w:t xml:space="preserve">from colleges </w:t>
      </w:r>
      <w:r w:rsidRPr="00192EC4">
        <w:rPr>
          <w:rFonts w:ascii="Arial" w:hAnsi="Arial" w:cs="Arial"/>
          <w:sz w:val="24"/>
          <w:szCs w:val="24"/>
        </w:rPr>
        <w:t xml:space="preserve">to support the Our Pass </w:t>
      </w:r>
      <w:r w:rsidR="000D3910">
        <w:rPr>
          <w:rFonts w:ascii="Arial" w:hAnsi="Arial" w:cs="Arial"/>
          <w:sz w:val="24"/>
          <w:szCs w:val="24"/>
        </w:rPr>
        <w:t xml:space="preserve">scheme </w:t>
      </w:r>
      <w:r w:rsidRPr="00192EC4">
        <w:rPr>
          <w:rFonts w:ascii="Arial" w:hAnsi="Arial" w:cs="Arial"/>
          <w:sz w:val="24"/>
          <w:szCs w:val="24"/>
        </w:rPr>
        <w:t xml:space="preserve">of £850k.  </w:t>
      </w:r>
    </w:p>
    <w:p w14:paraId="64AB68AB" w14:textId="77777777" w:rsidR="00BE35F9" w:rsidRDefault="00BE35F9" w:rsidP="006F1659">
      <w:pPr>
        <w:spacing w:line="360" w:lineRule="auto"/>
      </w:pPr>
      <w:bookmarkStart w:id="14" w:name="_Toc109922586"/>
      <w:bookmarkStart w:id="15" w:name="_Hlk109049380"/>
      <w:bookmarkStart w:id="16" w:name="_Hlk108780610"/>
      <w:bookmarkEnd w:id="12"/>
    </w:p>
    <w:p w14:paraId="592B3DAB" w14:textId="77777777" w:rsidR="00201027" w:rsidRPr="00192EC4" w:rsidRDefault="00201027" w:rsidP="006F1659">
      <w:pPr>
        <w:spacing w:line="360" w:lineRule="auto"/>
      </w:pPr>
    </w:p>
    <w:p w14:paraId="1EDB5465" w14:textId="77777777" w:rsidR="00BE35F9" w:rsidRPr="00192EC4" w:rsidRDefault="00BE35F9" w:rsidP="006F1659">
      <w:pPr>
        <w:pStyle w:val="Heading3"/>
        <w:spacing w:before="0" w:after="0" w:line="360" w:lineRule="auto"/>
        <w:rPr>
          <w:sz w:val="24"/>
          <w:szCs w:val="24"/>
        </w:rPr>
      </w:pPr>
      <w:r w:rsidRPr="00192EC4">
        <w:rPr>
          <w:sz w:val="24"/>
          <w:szCs w:val="24"/>
        </w:rPr>
        <w:lastRenderedPageBreak/>
        <w:t>Greater Manchester Fire and Rescue Service</w:t>
      </w:r>
      <w:bookmarkEnd w:id="14"/>
    </w:p>
    <w:p w14:paraId="5F416C39" w14:textId="77777777" w:rsidR="00BE35F9" w:rsidRPr="00192EC4" w:rsidRDefault="00BE35F9" w:rsidP="006F1659">
      <w:pPr>
        <w:spacing w:line="360" w:lineRule="auto"/>
        <w:rPr>
          <w:rFonts w:ascii="Arial" w:hAnsi="Arial" w:cs="Arial"/>
        </w:rPr>
      </w:pPr>
    </w:p>
    <w:p w14:paraId="6BE1B61F" w14:textId="77777777" w:rsidR="00BE35F9" w:rsidRPr="00192EC4" w:rsidRDefault="00BE35F9" w:rsidP="006F1659">
      <w:pPr>
        <w:pStyle w:val="Normal0"/>
        <w:spacing w:line="360" w:lineRule="auto"/>
        <w:rPr>
          <w:rFonts w:ascii="Arial" w:hAnsi="Arial" w:cs="Arial"/>
          <w:sz w:val="24"/>
          <w:szCs w:val="24"/>
        </w:rPr>
      </w:pPr>
      <w:r w:rsidRPr="00192EC4">
        <w:rPr>
          <w:rFonts w:ascii="Arial" w:hAnsi="Arial" w:cs="Arial"/>
          <w:sz w:val="24"/>
          <w:szCs w:val="24"/>
        </w:rPr>
        <w:t>GMFRS is one of the largest Fire and Rescue Services outside London with around 1,648 full time equivalent members of staff and 41 fire stations covering an area of approximately 500m</w:t>
      </w:r>
      <w:r w:rsidRPr="00192EC4">
        <w:rPr>
          <w:rFonts w:ascii="Arial" w:hAnsi="Arial" w:cs="Arial"/>
          <w:sz w:val="24"/>
          <w:szCs w:val="24"/>
          <w:vertAlign w:val="superscript"/>
        </w:rPr>
        <w:t>2</w:t>
      </w:r>
      <w:r w:rsidRPr="00192EC4">
        <w:rPr>
          <w:rFonts w:ascii="Arial" w:hAnsi="Arial" w:cs="Arial"/>
          <w:sz w:val="24"/>
          <w:szCs w:val="24"/>
        </w:rPr>
        <w:t>. GMFRS work closely with the local community to make Greater Manchester a safer place to live, work and visit. GMFRS is also responsible for enforcing fire safety legislations.</w:t>
      </w:r>
    </w:p>
    <w:p w14:paraId="4D14C749" w14:textId="77777777" w:rsidR="00BE35F9" w:rsidRPr="00192EC4" w:rsidRDefault="00BE35F9" w:rsidP="006F1659">
      <w:pPr>
        <w:pStyle w:val="Normal0"/>
        <w:spacing w:line="360" w:lineRule="auto"/>
        <w:rPr>
          <w:rFonts w:ascii="Arial" w:hAnsi="Arial" w:cs="Arial"/>
          <w:sz w:val="24"/>
          <w:szCs w:val="24"/>
        </w:rPr>
      </w:pPr>
    </w:p>
    <w:p w14:paraId="312E1775" w14:textId="77777777" w:rsidR="00BE35F9" w:rsidRPr="00192EC4" w:rsidRDefault="00BE35F9" w:rsidP="006F1659">
      <w:pPr>
        <w:pStyle w:val="Normal0"/>
        <w:spacing w:line="360" w:lineRule="auto"/>
        <w:rPr>
          <w:rFonts w:ascii="Arial" w:hAnsi="Arial" w:cs="Arial"/>
          <w:sz w:val="24"/>
          <w:szCs w:val="24"/>
        </w:rPr>
      </w:pPr>
      <w:r w:rsidRPr="00192EC4">
        <w:rPr>
          <w:rFonts w:ascii="Arial" w:hAnsi="Arial" w:cs="Arial"/>
          <w:sz w:val="24"/>
          <w:szCs w:val="24"/>
        </w:rPr>
        <w:t>The second Annual Delivery Plan (2022/23) set out GMFRS’s improvement programme, and is comprised of several improvement programmes and projects, all aligned to the Mayor’s Fire Plan (2021-2025) as the framework to deliver against. The programme focuses on improving and investing in the service, whilst at the same time enabling the organisation to deliver against key elements of the His Majesty’s Inspectorate of Constabulary and Fire and Rescue Services (HMICFRS) improvement action plan. The most recent inspection confirmed GMFRS is an evolving and improving service with inspectors reporting a positive shift in the leadership and culture of the organisation. GMFRS will continue to work with HMICFRS to implement further improvements to deliver statutory core functions extraordinarily well and create an increasingly outward facing fire and rescue service.</w:t>
      </w:r>
    </w:p>
    <w:p w14:paraId="5046B879" w14:textId="77777777" w:rsidR="00BE35F9" w:rsidRPr="00192EC4" w:rsidRDefault="00BE35F9" w:rsidP="006F1659">
      <w:pPr>
        <w:spacing w:line="360" w:lineRule="auto"/>
        <w:rPr>
          <w:rFonts w:ascii="Arial" w:hAnsi="Arial" w:cs="Arial"/>
        </w:rPr>
      </w:pPr>
    </w:p>
    <w:p w14:paraId="441FD30C" w14:textId="77777777" w:rsidR="00BE35F9" w:rsidRPr="00192EC4" w:rsidRDefault="00BE35F9" w:rsidP="006F1659">
      <w:pPr>
        <w:spacing w:line="360" w:lineRule="auto"/>
        <w:rPr>
          <w:rFonts w:ascii="Arial" w:hAnsi="Arial" w:cs="Arial"/>
        </w:rPr>
      </w:pPr>
      <w:r w:rsidRPr="00192EC4">
        <w:rPr>
          <w:rFonts w:ascii="Arial" w:hAnsi="Arial" w:cs="Arial"/>
        </w:rPr>
        <w:t>Over the last year there has been a focus on developing a culture of excellence, equality and inclusivity and significant progress has been made against six strategic priorities:</w:t>
      </w:r>
    </w:p>
    <w:p w14:paraId="13F04C14" w14:textId="77777777" w:rsidR="00BE35F9" w:rsidRPr="00192EC4" w:rsidRDefault="00BE35F9" w:rsidP="006F1659">
      <w:pPr>
        <w:spacing w:line="360" w:lineRule="auto"/>
        <w:rPr>
          <w:rFonts w:ascii="Arial" w:hAnsi="Arial" w:cs="Arial"/>
          <w:lang w:val="en-US"/>
        </w:rPr>
      </w:pPr>
    </w:p>
    <w:p w14:paraId="04A35125" w14:textId="77777777" w:rsidR="00BE35F9" w:rsidRPr="00192EC4" w:rsidRDefault="00BE35F9" w:rsidP="006F1659">
      <w:pPr>
        <w:spacing w:line="360" w:lineRule="auto"/>
        <w:rPr>
          <w:rFonts w:ascii="Arial" w:hAnsi="Arial" w:cs="Arial"/>
          <w:b/>
          <w:bCs/>
        </w:rPr>
      </w:pPr>
      <w:r w:rsidRPr="00192EC4">
        <w:rPr>
          <w:rFonts w:ascii="Arial" w:hAnsi="Arial" w:cs="Arial"/>
          <w:b/>
        </w:rPr>
        <w:t xml:space="preserve">Priority 1: </w:t>
      </w:r>
      <w:r w:rsidRPr="00192EC4">
        <w:rPr>
          <w:rFonts w:ascii="Arial" w:hAnsi="Arial" w:cs="Arial"/>
          <w:b/>
          <w:bCs/>
        </w:rPr>
        <w:t>Provide a fast, safe, and effective response:</w:t>
      </w:r>
    </w:p>
    <w:p w14:paraId="086C9C90"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GMFRS successfully implemented a new terrorist response capability. As a result, the HMICFRS lifted its cause for concern.</w:t>
      </w:r>
    </w:p>
    <w:p w14:paraId="49BEE28E"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 xml:space="preserve">The new Incident ‘Command and Leadership Development Academy’ was completed, providing a fully immersive training experience. </w:t>
      </w:r>
      <w:r w:rsidRPr="00192EC4">
        <w:rPr>
          <w:rFonts w:ascii="Arial" w:eastAsia="Calibri" w:hAnsi="Arial" w:cs="Arial"/>
          <w:color w:val="262626"/>
          <w:sz w:val="24"/>
          <w:szCs w:val="24"/>
        </w:rPr>
        <w:t xml:space="preserve">The facilities are considered one of the best in the country for operational training and community fire safety education. </w:t>
      </w:r>
    </w:p>
    <w:p w14:paraId="3B063BCD"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 xml:space="preserve">The service continued to support the requirements of the Manchester Arena Inquiry, with an ongoing focus to develop the multi-agency approach with partners. </w:t>
      </w:r>
    </w:p>
    <w:p w14:paraId="7930F59F"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 xml:space="preserve">The ‘Wildfire Suppression Burns Team’ went live and is fully operational. </w:t>
      </w:r>
    </w:p>
    <w:p w14:paraId="664BBFE8" w14:textId="23DB01AA"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lastRenderedPageBreak/>
        <w:t>Proposals have been developed following a review of fire cover, based on extensive data and insight. Associated internal and external consultation and engagement activities have gone live.</w:t>
      </w:r>
    </w:p>
    <w:p w14:paraId="030E1DE6"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The service completed a comprehensive strategic review of special appliances, setting out findings and recommendations for the fleet of forty-four special appliances.</w:t>
      </w:r>
    </w:p>
    <w:p w14:paraId="4F9DA246"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 xml:space="preserve">An ‘Accident Reporting System’ was procured and implemented, enhancing performance data reporting and the identification of key themes. </w:t>
      </w:r>
    </w:p>
    <w:p w14:paraId="6D67273A"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Media training was delivered to all officers upskilling them in preparation for any public relations related requests.</w:t>
      </w:r>
    </w:p>
    <w:p w14:paraId="2958DE13" w14:textId="77777777" w:rsidR="00BE35F9" w:rsidRPr="00192EC4" w:rsidRDefault="00BE35F9" w:rsidP="006F1659">
      <w:pPr>
        <w:pStyle w:val="ListParagraph"/>
        <w:numPr>
          <w:ilvl w:val="0"/>
          <w:numId w:val="82"/>
        </w:numPr>
        <w:spacing w:after="0" w:line="360" w:lineRule="auto"/>
        <w:ind w:left="284" w:hanging="284"/>
        <w:rPr>
          <w:rFonts w:ascii="Arial" w:hAnsi="Arial" w:cs="Arial"/>
          <w:sz w:val="24"/>
          <w:szCs w:val="24"/>
        </w:rPr>
      </w:pPr>
      <w:r w:rsidRPr="00192EC4">
        <w:rPr>
          <w:rFonts w:ascii="Arial" w:hAnsi="Arial" w:cs="Arial"/>
          <w:sz w:val="24"/>
          <w:szCs w:val="24"/>
        </w:rPr>
        <w:t>A new ‘Response Strategy 2022-25’ was developed, approved and implemented.</w:t>
      </w:r>
    </w:p>
    <w:p w14:paraId="514C3812" w14:textId="77777777" w:rsidR="00BE35F9" w:rsidRPr="00192EC4" w:rsidRDefault="00BE35F9" w:rsidP="006F1659">
      <w:pPr>
        <w:spacing w:line="360" w:lineRule="auto"/>
        <w:rPr>
          <w:rFonts w:ascii="Arial" w:hAnsi="Arial" w:cs="Arial"/>
          <w:b/>
        </w:rPr>
      </w:pPr>
    </w:p>
    <w:p w14:paraId="740FFB14" w14:textId="77777777" w:rsidR="00BE35F9" w:rsidRPr="00192EC4" w:rsidRDefault="00BE35F9" w:rsidP="006F1659">
      <w:pPr>
        <w:spacing w:line="360" w:lineRule="auto"/>
        <w:rPr>
          <w:rFonts w:ascii="Arial" w:hAnsi="Arial" w:cs="Arial"/>
          <w:b/>
        </w:rPr>
      </w:pPr>
      <w:r w:rsidRPr="00192EC4">
        <w:rPr>
          <w:rFonts w:ascii="Arial" w:hAnsi="Arial" w:cs="Arial"/>
          <w:b/>
        </w:rPr>
        <w:t xml:space="preserve">Priority 2: </w:t>
      </w:r>
      <w:r w:rsidRPr="00192EC4">
        <w:rPr>
          <w:rFonts w:ascii="Arial" w:hAnsi="Arial" w:cs="Arial"/>
          <w:b/>
          <w:bCs/>
        </w:rPr>
        <w:t>Help people reduce the risk of fires and other emergencies:</w:t>
      </w:r>
    </w:p>
    <w:p w14:paraId="242027BA" w14:textId="77777777" w:rsidR="00BE35F9" w:rsidRPr="00192EC4" w:rsidRDefault="00BE35F9" w:rsidP="006F1659">
      <w:pPr>
        <w:pStyle w:val="ListParagraph"/>
        <w:numPr>
          <w:ilvl w:val="0"/>
          <w:numId w:val="83"/>
        </w:numPr>
        <w:spacing w:after="0" w:line="360" w:lineRule="auto"/>
        <w:ind w:left="284" w:hanging="284"/>
        <w:rPr>
          <w:rFonts w:ascii="Arial" w:hAnsi="Arial" w:cs="Arial"/>
          <w:sz w:val="24"/>
          <w:szCs w:val="24"/>
        </w:rPr>
      </w:pPr>
      <w:r w:rsidRPr="00192EC4">
        <w:rPr>
          <w:rFonts w:ascii="Arial" w:hAnsi="Arial" w:cs="Arial"/>
          <w:sz w:val="24"/>
          <w:szCs w:val="24"/>
        </w:rPr>
        <w:t xml:space="preserve">GMFRS launched a fire setters intervention pilot known as ‘The Atlas Programme’, a holistic and therapeutic approach for adults convicted of a fire setting crime. This is the first of its kind nationally and internationally. </w:t>
      </w:r>
    </w:p>
    <w:p w14:paraId="00A0CEFC" w14:textId="77777777" w:rsidR="00BE35F9" w:rsidRPr="00192EC4" w:rsidRDefault="00BE35F9" w:rsidP="006F1659">
      <w:pPr>
        <w:pStyle w:val="ListParagraph"/>
        <w:numPr>
          <w:ilvl w:val="0"/>
          <w:numId w:val="83"/>
        </w:numPr>
        <w:spacing w:after="0" w:line="360" w:lineRule="auto"/>
        <w:ind w:left="284" w:hanging="284"/>
        <w:rPr>
          <w:rFonts w:ascii="Arial" w:hAnsi="Arial" w:cs="Arial"/>
          <w:sz w:val="24"/>
          <w:szCs w:val="24"/>
        </w:rPr>
      </w:pPr>
      <w:r w:rsidRPr="00192EC4">
        <w:rPr>
          <w:rFonts w:ascii="Arial" w:hAnsi="Arial" w:cs="Arial"/>
          <w:sz w:val="24"/>
          <w:szCs w:val="24"/>
        </w:rPr>
        <w:t>Following a feasibility study, GMFRS sought approval to re-introduce a Community Fire Cadets Programme.</w:t>
      </w:r>
    </w:p>
    <w:p w14:paraId="343146CE" w14:textId="77777777" w:rsidR="00BE35F9" w:rsidRPr="00192EC4" w:rsidRDefault="00BE35F9" w:rsidP="006F1659">
      <w:pPr>
        <w:pStyle w:val="ListParagraph"/>
        <w:numPr>
          <w:ilvl w:val="0"/>
          <w:numId w:val="83"/>
        </w:numPr>
        <w:spacing w:after="0" w:line="360" w:lineRule="auto"/>
        <w:ind w:left="284" w:hanging="284"/>
        <w:rPr>
          <w:rFonts w:ascii="Arial" w:hAnsi="Arial" w:cs="Arial"/>
          <w:sz w:val="24"/>
          <w:szCs w:val="24"/>
        </w:rPr>
      </w:pPr>
      <w:r w:rsidRPr="00192EC4">
        <w:rPr>
          <w:rFonts w:ascii="Arial" w:hAnsi="Arial" w:cs="Arial"/>
          <w:sz w:val="24"/>
          <w:szCs w:val="24"/>
        </w:rPr>
        <w:t>Following the launch of a new online home fire safety check tool, 23,889 home fire safety checks were completed.</w:t>
      </w:r>
    </w:p>
    <w:p w14:paraId="61761B96" w14:textId="77777777" w:rsidR="00BE35F9" w:rsidRPr="00192EC4" w:rsidRDefault="00BE35F9" w:rsidP="006F1659">
      <w:pPr>
        <w:pStyle w:val="ListParagraph"/>
        <w:numPr>
          <w:ilvl w:val="0"/>
          <w:numId w:val="83"/>
        </w:numPr>
        <w:spacing w:after="0" w:line="360" w:lineRule="auto"/>
        <w:ind w:left="284" w:hanging="284"/>
        <w:rPr>
          <w:rFonts w:ascii="Arial" w:hAnsi="Arial" w:cs="Arial"/>
          <w:sz w:val="24"/>
          <w:szCs w:val="24"/>
        </w:rPr>
      </w:pPr>
      <w:r w:rsidRPr="00192EC4">
        <w:rPr>
          <w:rFonts w:ascii="Arial" w:hAnsi="Arial" w:cs="Arial"/>
          <w:sz w:val="24"/>
          <w:szCs w:val="24"/>
        </w:rPr>
        <w:t xml:space="preserve">Commitment was made to deliver a team programme in partnership with the Prince’s Trust and delivery of an expanded programme across Greater Manchester. </w:t>
      </w:r>
    </w:p>
    <w:p w14:paraId="0B0D2B2A" w14:textId="77777777" w:rsidR="00BE35F9" w:rsidRPr="00192EC4" w:rsidRDefault="00BE35F9" w:rsidP="006F1659">
      <w:pPr>
        <w:pStyle w:val="ListParagraph"/>
        <w:numPr>
          <w:ilvl w:val="0"/>
          <w:numId w:val="83"/>
        </w:numPr>
        <w:spacing w:after="0" w:line="360" w:lineRule="auto"/>
        <w:ind w:left="284" w:hanging="284"/>
        <w:rPr>
          <w:rFonts w:ascii="Arial" w:hAnsi="Arial" w:cs="Arial"/>
          <w:sz w:val="24"/>
          <w:szCs w:val="24"/>
        </w:rPr>
      </w:pPr>
      <w:r w:rsidRPr="00192EC4">
        <w:rPr>
          <w:rFonts w:ascii="Arial" w:hAnsi="Arial" w:cs="Arial"/>
          <w:sz w:val="24"/>
          <w:szCs w:val="24"/>
        </w:rPr>
        <w:t>The service developed a new range of interactive, web-based resources for fire safety education for schools and the firefighting crews.</w:t>
      </w:r>
    </w:p>
    <w:p w14:paraId="133DA800" w14:textId="77777777" w:rsidR="00BE35F9" w:rsidRPr="00192EC4" w:rsidRDefault="00BE35F9" w:rsidP="006F1659">
      <w:pPr>
        <w:pStyle w:val="ListParagraph"/>
        <w:numPr>
          <w:ilvl w:val="0"/>
          <w:numId w:val="83"/>
        </w:numPr>
        <w:spacing w:after="0" w:line="360" w:lineRule="auto"/>
        <w:ind w:left="284" w:hanging="284"/>
        <w:rPr>
          <w:rFonts w:ascii="Arial" w:hAnsi="Arial" w:cs="Arial"/>
          <w:sz w:val="24"/>
          <w:szCs w:val="24"/>
        </w:rPr>
      </w:pPr>
      <w:r w:rsidRPr="00192EC4">
        <w:rPr>
          <w:rFonts w:ascii="Arial" w:hAnsi="Arial" w:cs="Arial"/>
          <w:sz w:val="24"/>
          <w:szCs w:val="24"/>
        </w:rPr>
        <w:t xml:space="preserve">A ‘Prevention Education Framework’ was developed which outlines the GMFRS offer to deliver prevention education and awareness across Greater Manchester. </w:t>
      </w:r>
    </w:p>
    <w:p w14:paraId="3F62D540" w14:textId="77777777" w:rsidR="00BE35F9" w:rsidRPr="00192EC4" w:rsidRDefault="00BE35F9" w:rsidP="006F1659">
      <w:pPr>
        <w:spacing w:line="360" w:lineRule="auto"/>
        <w:rPr>
          <w:rFonts w:ascii="Arial" w:hAnsi="Arial" w:cs="Arial"/>
          <w:b/>
        </w:rPr>
      </w:pPr>
    </w:p>
    <w:p w14:paraId="4D9BDC81" w14:textId="77777777" w:rsidR="00BE35F9" w:rsidRPr="00192EC4" w:rsidRDefault="00BE35F9" w:rsidP="006F1659">
      <w:pPr>
        <w:spacing w:line="360" w:lineRule="auto"/>
        <w:rPr>
          <w:rFonts w:ascii="Arial" w:hAnsi="Arial" w:cs="Arial"/>
          <w:b/>
        </w:rPr>
      </w:pPr>
      <w:r w:rsidRPr="00192EC4">
        <w:rPr>
          <w:rFonts w:ascii="Arial" w:hAnsi="Arial" w:cs="Arial"/>
          <w:b/>
        </w:rPr>
        <w:t xml:space="preserve">Priority 3: </w:t>
      </w:r>
      <w:r w:rsidRPr="00192EC4">
        <w:rPr>
          <w:rFonts w:ascii="Arial" w:hAnsi="Arial" w:cs="Arial"/>
          <w:b/>
          <w:bCs/>
        </w:rPr>
        <w:t>Help protect the built environment:</w:t>
      </w:r>
    </w:p>
    <w:p w14:paraId="6F671C0C" w14:textId="77777777" w:rsidR="00BE35F9" w:rsidRPr="00192EC4" w:rsidRDefault="00BE35F9" w:rsidP="006F1659">
      <w:pPr>
        <w:pStyle w:val="ListParagraph"/>
        <w:numPr>
          <w:ilvl w:val="0"/>
          <w:numId w:val="84"/>
        </w:numPr>
        <w:spacing w:after="0" w:line="360" w:lineRule="auto"/>
        <w:ind w:left="284" w:hanging="284"/>
        <w:rPr>
          <w:rFonts w:ascii="Arial" w:hAnsi="Arial" w:cs="Arial"/>
          <w:sz w:val="24"/>
          <w:szCs w:val="24"/>
        </w:rPr>
      </w:pPr>
      <w:r w:rsidRPr="00192EC4">
        <w:rPr>
          <w:rFonts w:ascii="Arial" w:hAnsi="Arial" w:cs="Arial"/>
          <w:sz w:val="24"/>
          <w:szCs w:val="24"/>
        </w:rPr>
        <w:t>A new ‘Prevention Strategy 2022-25’ was developed, approved, and implemented.</w:t>
      </w:r>
    </w:p>
    <w:p w14:paraId="61ABFABC" w14:textId="77777777" w:rsidR="00BE35F9" w:rsidRPr="00192EC4" w:rsidRDefault="00BE35F9" w:rsidP="006F1659">
      <w:pPr>
        <w:pStyle w:val="ListParagraph"/>
        <w:numPr>
          <w:ilvl w:val="0"/>
          <w:numId w:val="84"/>
        </w:numPr>
        <w:spacing w:after="0" w:line="360" w:lineRule="auto"/>
        <w:ind w:left="284" w:hanging="284"/>
        <w:rPr>
          <w:rFonts w:ascii="Arial" w:hAnsi="Arial" w:cs="Arial"/>
          <w:sz w:val="24"/>
          <w:szCs w:val="24"/>
        </w:rPr>
      </w:pPr>
      <w:r w:rsidRPr="00192EC4">
        <w:rPr>
          <w:rFonts w:ascii="Arial" w:hAnsi="Arial" w:cs="Arial"/>
          <w:sz w:val="24"/>
          <w:szCs w:val="24"/>
        </w:rPr>
        <w:t>The ‘Built Environment’ programme formally closed.</w:t>
      </w:r>
    </w:p>
    <w:p w14:paraId="1DBEDA3C" w14:textId="77777777" w:rsidR="00BE35F9" w:rsidRPr="00192EC4" w:rsidRDefault="00BE35F9" w:rsidP="006F1659">
      <w:pPr>
        <w:pStyle w:val="ListParagraph"/>
        <w:numPr>
          <w:ilvl w:val="0"/>
          <w:numId w:val="84"/>
        </w:numPr>
        <w:spacing w:after="0" w:line="360" w:lineRule="auto"/>
        <w:ind w:left="284" w:hanging="284"/>
        <w:rPr>
          <w:rFonts w:ascii="Arial" w:hAnsi="Arial" w:cs="Arial"/>
          <w:sz w:val="24"/>
          <w:szCs w:val="24"/>
        </w:rPr>
      </w:pPr>
      <w:r w:rsidRPr="00192EC4">
        <w:rPr>
          <w:rFonts w:ascii="Arial" w:hAnsi="Arial" w:cs="Arial"/>
          <w:sz w:val="24"/>
          <w:szCs w:val="24"/>
        </w:rPr>
        <w:t>A business engagement strategy was drafted and will be presented as a framework of the business engagement offer.</w:t>
      </w:r>
    </w:p>
    <w:p w14:paraId="3DC704C4" w14:textId="77777777" w:rsidR="00BE35F9" w:rsidRPr="00192EC4" w:rsidRDefault="00BE35F9" w:rsidP="006F1659">
      <w:pPr>
        <w:pStyle w:val="ListParagraph"/>
        <w:numPr>
          <w:ilvl w:val="0"/>
          <w:numId w:val="84"/>
        </w:numPr>
        <w:spacing w:after="0" w:line="360" w:lineRule="auto"/>
        <w:ind w:left="284" w:hanging="284"/>
        <w:rPr>
          <w:rFonts w:ascii="Arial" w:hAnsi="Arial" w:cs="Arial"/>
          <w:sz w:val="24"/>
          <w:szCs w:val="24"/>
        </w:rPr>
      </w:pPr>
      <w:r w:rsidRPr="00192EC4">
        <w:rPr>
          <w:rFonts w:ascii="Arial" w:hAnsi="Arial" w:cs="Arial"/>
          <w:sz w:val="24"/>
          <w:szCs w:val="24"/>
        </w:rPr>
        <w:t>A revised protection structure was approved and implemented</w:t>
      </w:r>
    </w:p>
    <w:p w14:paraId="170EAC4C" w14:textId="77777777" w:rsidR="00BE35F9" w:rsidRPr="00192EC4" w:rsidRDefault="00BE35F9" w:rsidP="006F1659">
      <w:pPr>
        <w:pStyle w:val="ListParagraph"/>
        <w:numPr>
          <w:ilvl w:val="0"/>
          <w:numId w:val="84"/>
        </w:numPr>
        <w:spacing w:after="0" w:line="360" w:lineRule="auto"/>
        <w:ind w:left="284" w:hanging="284"/>
        <w:rPr>
          <w:rFonts w:ascii="Arial" w:hAnsi="Arial" w:cs="Arial"/>
          <w:sz w:val="24"/>
          <w:szCs w:val="24"/>
        </w:rPr>
      </w:pPr>
      <w:r w:rsidRPr="00192EC4">
        <w:rPr>
          <w:rFonts w:ascii="Arial" w:hAnsi="Arial" w:cs="Arial"/>
          <w:sz w:val="24"/>
          <w:szCs w:val="24"/>
        </w:rPr>
        <w:t>An operational Intelligence policy launched in August 2022.</w:t>
      </w:r>
    </w:p>
    <w:p w14:paraId="28F491F7" w14:textId="77777777" w:rsidR="00BE35F9" w:rsidRPr="00192EC4" w:rsidRDefault="00BE35F9" w:rsidP="006F1659">
      <w:pPr>
        <w:spacing w:line="360" w:lineRule="auto"/>
        <w:rPr>
          <w:rFonts w:ascii="Arial" w:hAnsi="Arial" w:cs="Arial"/>
          <w:b/>
        </w:rPr>
      </w:pPr>
    </w:p>
    <w:p w14:paraId="4990669B" w14:textId="77777777" w:rsidR="00BE35F9" w:rsidRPr="00192EC4" w:rsidRDefault="00BE35F9" w:rsidP="006F1659">
      <w:pPr>
        <w:spacing w:line="360" w:lineRule="auto"/>
        <w:rPr>
          <w:rFonts w:ascii="Arial" w:hAnsi="Arial" w:cs="Arial"/>
          <w:b/>
        </w:rPr>
      </w:pPr>
      <w:r w:rsidRPr="00192EC4">
        <w:rPr>
          <w:rFonts w:ascii="Arial" w:hAnsi="Arial" w:cs="Arial"/>
          <w:b/>
        </w:rPr>
        <w:t>Priority 4: Use resources sustainably and deliver the most value:</w:t>
      </w:r>
    </w:p>
    <w:p w14:paraId="43BD12CA"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hAnsi="Arial" w:cs="Arial"/>
          <w:sz w:val="24"/>
          <w:szCs w:val="24"/>
        </w:rPr>
        <w:t>Blackley fire station progressed to the planning application stage, continuing plans to provide sustainable accommodation for frontline staff.</w:t>
      </w:r>
    </w:p>
    <w:p w14:paraId="478697FD"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eastAsia="Calibri" w:hAnsi="Arial" w:cs="Arial"/>
          <w:color w:val="262626"/>
          <w:sz w:val="24"/>
          <w:szCs w:val="24"/>
        </w:rPr>
        <w:t xml:space="preserve">The </w:t>
      </w:r>
      <w:bookmarkStart w:id="17" w:name="_Hlk135683355"/>
      <w:r w:rsidRPr="00192EC4">
        <w:rPr>
          <w:rFonts w:ascii="Arial" w:eastAsia="Calibri" w:hAnsi="Arial" w:cs="Arial"/>
          <w:color w:val="262626"/>
          <w:sz w:val="24"/>
          <w:szCs w:val="24"/>
        </w:rPr>
        <w:t xml:space="preserve">Bury Training and Safety Centre </w:t>
      </w:r>
      <w:bookmarkEnd w:id="17"/>
      <w:r w:rsidRPr="00192EC4">
        <w:rPr>
          <w:rFonts w:ascii="Arial" w:eastAsia="Calibri" w:hAnsi="Arial" w:cs="Arial"/>
          <w:color w:val="262626"/>
          <w:sz w:val="24"/>
          <w:szCs w:val="24"/>
        </w:rPr>
        <w:t xml:space="preserve">site was completed, enabling the service to move to one site, providing both financial efficiencies and an improved staff experience. </w:t>
      </w:r>
    </w:p>
    <w:p w14:paraId="11819F21"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hAnsi="Arial" w:cs="Arial"/>
          <w:sz w:val="24"/>
          <w:szCs w:val="24"/>
        </w:rPr>
        <w:t xml:space="preserve">The service successfully achieved planning approval for the £1.3m upgrade of Littleborough Fire Station and work commenced on site. </w:t>
      </w:r>
    </w:p>
    <w:p w14:paraId="34C25CC7"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hAnsi="Arial" w:cs="Arial"/>
          <w:sz w:val="24"/>
          <w:szCs w:val="24"/>
        </w:rPr>
        <w:t xml:space="preserve">The GMCA and GMFRS ‘Sustainability Strategy’ was launched in August 2022. </w:t>
      </w:r>
    </w:p>
    <w:p w14:paraId="1F6E0314"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hAnsi="Arial" w:cs="Arial"/>
          <w:sz w:val="24"/>
          <w:szCs w:val="24"/>
        </w:rPr>
        <w:t>Carbon reduction schemes were delivered as part of a successful bid for £620k of Public Sector Decarbonisation Scheme 1 funding.</w:t>
      </w:r>
    </w:p>
    <w:p w14:paraId="5A78E65D"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hAnsi="Arial" w:cs="Arial"/>
          <w:sz w:val="24"/>
          <w:szCs w:val="24"/>
        </w:rPr>
        <w:t xml:space="preserve">The service tendered for a new electric vehicle charging infrastructure at eighteen sites to support the transition of the part of the fleet towards electric vehicles. </w:t>
      </w:r>
    </w:p>
    <w:p w14:paraId="6B2A5E4A"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hAnsi="Arial" w:cs="Arial"/>
          <w:sz w:val="24"/>
          <w:szCs w:val="24"/>
        </w:rPr>
        <w:t xml:space="preserve">The new ‘Efficiencies and Productivity Plan’ 2022-23 was produced. </w:t>
      </w:r>
    </w:p>
    <w:p w14:paraId="53703B49" w14:textId="77777777" w:rsidR="00BE35F9" w:rsidRPr="00192EC4" w:rsidRDefault="00BE35F9" w:rsidP="006F1659">
      <w:pPr>
        <w:pStyle w:val="ListParagraph"/>
        <w:numPr>
          <w:ilvl w:val="0"/>
          <w:numId w:val="85"/>
        </w:numPr>
        <w:spacing w:after="0" w:line="360" w:lineRule="auto"/>
        <w:ind w:left="284" w:hanging="284"/>
        <w:rPr>
          <w:rFonts w:ascii="Arial" w:hAnsi="Arial" w:cs="Arial"/>
          <w:sz w:val="24"/>
          <w:szCs w:val="24"/>
        </w:rPr>
      </w:pPr>
      <w:r w:rsidRPr="00192EC4">
        <w:rPr>
          <w:rFonts w:ascii="Arial" w:hAnsi="Arial" w:cs="Arial"/>
          <w:sz w:val="24"/>
          <w:szCs w:val="24"/>
        </w:rPr>
        <w:t xml:space="preserve">The service delivered financial efficiencies of £788k. </w:t>
      </w:r>
    </w:p>
    <w:p w14:paraId="139F49D9" w14:textId="77777777" w:rsidR="00BE35F9" w:rsidRPr="00192EC4" w:rsidRDefault="00BE35F9" w:rsidP="006F1659">
      <w:pPr>
        <w:pStyle w:val="NoSpacing"/>
        <w:spacing w:line="360" w:lineRule="auto"/>
        <w:rPr>
          <w:rFonts w:ascii="Arial" w:hAnsi="Arial" w:cs="Arial"/>
          <w:b/>
          <w:sz w:val="24"/>
          <w:szCs w:val="24"/>
        </w:rPr>
      </w:pPr>
    </w:p>
    <w:p w14:paraId="60E0B3A4" w14:textId="77777777" w:rsidR="00BE35F9" w:rsidRPr="00192EC4" w:rsidRDefault="00BE35F9" w:rsidP="006F1659">
      <w:pPr>
        <w:pStyle w:val="NoSpacing"/>
        <w:spacing w:line="360" w:lineRule="auto"/>
        <w:rPr>
          <w:rFonts w:ascii="Arial" w:hAnsi="Arial" w:cs="Arial"/>
          <w:b/>
          <w:sz w:val="24"/>
          <w:szCs w:val="24"/>
        </w:rPr>
      </w:pPr>
      <w:r w:rsidRPr="00192EC4">
        <w:rPr>
          <w:rFonts w:ascii="Arial" w:hAnsi="Arial" w:cs="Arial"/>
          <w:b/>
          <w:sz w:val="24"/>
          <w:szCs w:val="24"/>
        </w:rPr>
        <w:t xml:space="preserve">Priority 5: </w:t>
      </w:r>
      <w:r w:rsidRPr="00192EC4">
        <w:rPr>
          <w:rFonts w:ascii="Arial" w:hAnsi="Arial" w:cs="Arial"/>
          <w:b/>
          <w:bCs/>
          <w:sz w:val="24"/>
          <w:szCs w:val="24"/>
        </w:rPr>
        <w:t>Develop a culture of excellence, equality, and inclusivity:</w:t>
      </w:r>
    </w:p>
    <w:p w14:paraId="2758820E"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t>The service further embedded a leadership development programme across all levels, aligned to the National Fire Chiefs Council (NFCC) Leadership Framework, and set out the leadership development offer for supervisory, middle and strategic management levels.</w:t>
      </w:r>
    </w:p>
    <w:p w14:paraId="09822702"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t>A new promotions pathway was introduced for operational colleagues.</w:t>
      </w:r>
    </w:p>
    <w:p w14:paraId="611F3BFC"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t>The Service Leadership Team undertook anti-racist practice sessions as part of our commitment to continue to nurture a positive and inclusive culture.</w:t>
      </w:r>
    </w:p>
    <w:p w14:paraId="064D1E99"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t>A newly refreshed recognition and rewards framework was launched.</w:t>
      </w:r>
    </w:p>
    <w:p w14:paraId="579B8436"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t>The service continued to embed the NFCC code of ethics across the service, supporting our journey of continuous improvement.</w:t>
      </w:r>
    </w:p>
    <w:p w14:paraId="042BE10A"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t>A ‘Cultural Sounding Panel’ was developed, which will be represented by colleagues across a variety of roles.</w:t>
      </w:r>
    </w:p>
    <w:p w14:paraId="2264F2CF"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t xml:space="preserve">The service continued to engage with staff through the B-Heard Staff Survey and invest in leaders via the Engaged Leaders sessions. </w:t>
      </w:r>
    </w:p>
    <w:p w14:paraId="15C3AF31" w14:textId="77777777" w:rsidR="00BE35F9" w:rsidRPr="00192EC4" w:rsidRDefault="00BE35F9" w:rsidP="006F1659">
      <w:pPr>
        <w:pStyle w:val="ListParagraph"/>
        <w:numPr>
          <w:ilvl w:val="0"/>
          <w:numId w:val="86"/>
        </w:numPr>
        <w:spacing w:after="0" w:line="360" w:lineRule="auto"/>
        <w:ind w:left="284" w:hanging="284"/>
        <w:rPr>
          <w:rFonts w:ascii="Arial" w:hAnsi="Arial" w:cs="Arial"/>
          <w:sz w:val="24"/>
          <w:szCs w:val="24"/>
        </w:rPr>
      </w:pPr>
      <w:r w:rsidRPr="00192EC4">
        <w:rPr>
          <w:rFonts w:ascii="Arial" w:hAnsi="Arial" w:cs="Arial"/>
          <w:sz w:val="24"/>
          <w:szCs w:val="24"/>
        </w:rPr>
        <w:lastRenderedPageBreak/>
        <w:t>A new ‘Equality, Diversity and Inclusion Strategy 2022-2025’ was launched setting out our ambitions and plans to ensure equality, diversity and inclusion are at the heart of service delivery and culture.</w:t>
      </w:r>
    </w:p>
    <w:p w14:paraId="0F24A2ED" w14:textId="77777777" w:rsidR="00BE35F9" w:rsidRPr="00192EC4" w:rsidRDefault="00BE35F9" w:rsidP="006F1659">
      <w:pPr>
        <w:spacing w:line="360" w:lineRule="auto"/>
        <w:rPr>
          <w:rFonts w:ascii="Arial" w:hAnsi="Arial" w:cs="Arial"/>
          <w:b/>
        </w:rPr>
      </w:pPr>
    </w:p>
    <w:p w14:paraId="0B8B1373" w14:textId="77777777" w:rsidR="00BE35F9" w:rsidRPr="00192EC4" w:rsidRDefault="00BE35F9" w:rsidP="006F1659">
      <w:pPr>
        <w:spacing w:line="360" w:lineRule="auto"/>
        <w:rPr>
          <w:rFonts w:ascii="Arial" w:hAnsi="Arial" w:cs="Arial"/>
          <w:b/>
        </w:rPr>
      </w:pPr>
      <w:r w:rsidRPr="00192EC4">
        <w:rPr>
          <w:rFonts w:ascii="Arial" w:hAnsi="Arial" w:cs="Arial"/>
          <w:b/>
        </w:rPr>
        <w:t xml:space="preserve">Priority 6: </w:t>
      </w:r>
      <w:r w:rsidRPr="00192EC4">
        <w:rPr>
          <w:rFonts w:ascii="Arial" w:hAnsi="Arial" w:cs="Arial"/>
          <w:b/>
          <w:bCs/>
        </w:rPr>
        <w:t>Integrate our services in every locality with those of partner agencies:</w:t>
      </w:r>
    </w:p>
    <w:p w14:paraId="7175E2D7" w14:textId="77777777" w:rsidR="00BE35F9" w:rsidRPr="00192EC4" w:rsidRDefault="00BE35F9" w:rsidP="006F1659">
      <w:pPr>
        <w:pStyle w:val="ListParagraph"/>
        <w:numPr>
          <w:ilvl w:val="0"/>
          <w:numId w:val="87"/>
        </w:numPr>
        <w:spacing w:after="0" w:line="360" w:lineRule="auto"/>
        <w:ind w:left="284" w:hanging="284"/>
        <w:rPr>
          <w:rFonts w:ascii="Arial" w:hAnsi="Arial" w:cs="Arial"/>
          <w:sz w:val="24"/>
          <w:szCs w:val="24"/>
        </w:rPr>
      </w:pPr>
      <w:r w:rsidRPr="00192EC4">
        <w:rPr>
          <w:rFonts w:ascii="Arial" w:hAnsi="Arial" w:cs="Arial"/>
          <w:sz w:val="24"/>
          <w:szCs w:val="24"/>
        </w:rPr>
        <w:t>There was continued collaboration with the ‘Safer Roads Greater Manchester’ partnership, which delivers an award-winning performance-based road safety initiative known as ‘Safe Drive, Stay Alive’.</w:t>
      </w:r>
    </w:p>
    <w:p w14:paraId="528C378F" w14:textId="77777777" w:rsidR="00BE35F9" w:rsidRPr="00192EC4" w:rsidRDefault="00BE35F9" w:rsidP="006F1659">
      <w:pPr>
        <w:pStyle w:val="ListParagraph"/>
        <w:numPr>
          <w:ilvl w:val="0"/>
          <w:numId w:val="87"/>
        </w:numPr>
        <w:spacing w:after="0" w:line="360" w:lineRule="auto"/>
        <w:ind w:left="284" w:hanging="284"/>
        <w:rPr>
          <w:rFonts w:ascii="Arial" w:hAnsi="Arial" w:cs="Arial"/>
          <w:sz w:val="24"/>
          <w:szCs w:val="24"/>
        </w:rPr>
      </w:pPr>
      <w:r w:rsidRPr="00192EC4">
        <w:rPr>
          <w:rFonts w:ascii="Arial" w:hAnsi="Arial" w:cs="Arial"/>
          <w:sz w:val="24"/>
          <w:szCs w:val="24"/>
        </w:rPr>
        <w:t>Investment in new immersive virtual reality technology which has a library of road safety videos including equestrian, cycling and motorbike safety.</w:t>
      </w:r>
    </w:p>
    <w:p w14:paraId="683C40B0" w14:textId="77777777" w:rsidR="00BE35F9" w:rsidRPr="00192EC4" w:rsidRDefault="00BE35F9" w:rsidP="006F1659">
      <w:pPr>
        <w:pStyle w:val="ListParagraph"/>
        <w:numPr>
          <w:ilvl w:val="0"/>
          <w:numId w:val="87"/>
        </w:numPr>
        <w:spacing w:after="0" w:line="360" w:lineRule="auto"/>
        <w:ind w:left="284" w:hanging="284"/>
        <w:rPr>
          <w:rFonts w:ascii="Arial" w:hAnsi="Arial" w:cs="Arial"/>
          <w:sz w:val="24"/>
          <w:szCs w:val="24"/>
        </w:rPr>
      </w:pPr>
      <w:r w:rsidRPr="00192EC4">
        <w:rPr>
          <w:rFonts w:ascii="Arial" w:hAnsi="Arial" w:cs="Arial"/>
          <w:sz w:val="24"/>
          <w:szCs w:val="24"/>
        </w:rPr>
        <w:t>The service hosted a ‘Greater Manchester Water Safety Summit’ with partners.</w:t>
      </w:r>
    </w:p>
    <w:p w14:paraId="6A8A94AC" w14:textId="77777777" w:rsidR="00BE35F9" w:rsidRPr="00192EC4" w:rsidRDefault="00BE35F9" w:rsidP="006F1659">
      <w:pPr>
        <w:pStyle w:val="ListParagraph"/>
        <w:numPr>
          <w:ilvl w:val="0"/>
          <w:numId w:val="87"/>
        </w:numPr>
        <w:spacing w:after="0" w:line="360" w:lineRule="auto"/>
        <w:ind w:left="284" w:hanging="284"/>
        <w:rPr>
          <w:rFonts w:ascii="Arial" w:hAnsi="Arial" w:cs="Arial"/>
          <w:sz w:val="24"/>
          <w:szCs w:val="24"/>
        </w:rPr>
      </w:pPr>
      <w:r w:rsidRPr="00192EC4">
        <w:rPr>
          <w:rFonts w:ascii="Arial" w:hAnsi="Arial" w:cs="Arial"/>
          <w:sz w:val="24"/>
          <w:szCs w:val="24"/>
        </w:rPr>
        <w:t xml:space="preserve">A dedicated resource was put in place to continue to enhance the contribution to the Local Resilience Forum.  </w:t>
      </w:r>
    </w:p>
    <w:p w14:paraId="61768A89" w14:textId="77777777" w:rsidR="00BE35F9" w:rsidRPr="00192EC4" w:rsidRDefault="00BE35F9" w:rsidP="006F1659">
      <w:pPr>
        <w:pStyle w:val="ListParagraph"/>
        <w:numPr>
          <w:ilvl w:val="0"/>
          <w:numId w:val="87"/>
        </w:numPr>
        <w:spacing w:after="0" w:line="360" w:lineRule="auto"/>
        <w:ind w:left="284" w:hanging="284"/>
        <w:rPr>
          <w:rFonts w:ascii="Arial" w:hAnsi="Arial" w:cs="Arial"/>
          <w:sz w:val="24"/>
          <w:szCs w:val="24"/>
        </w:rPr>
      </w:pPr>
      <w:r w:rsidRPr="00192EC4">
        <w:rPr>
          <w:rFonts w:ascii="Arial" w:hAnsi="Arial" w:cs="Arial"/>
          <w:sz w:val="24"/>
          <w:szCs w:val="24"/>
        </w:rPr>
        <w:t>The service introduced a ‘Framework for Integrated and Place Based Working 2022-25’, outlining thirty commitments to partners and communities to deliver services in a more integrated way.</w:t>
      </w:r>
    </w:p>
    <w:p w14:paraId="1BAD93DF" w14:textId="77777777" w:rsidR="00BE35F9" w:rsidRPr="00192EC4" w:rsidRDefault="00BE35F9" w:rsidP="006F1659">
      <w:pPr>
        <w:pStyle w:val="ListParagraph"/>
        <w:numPr>
          <w:ilvl w:val="0"/>
          <w:numId w:val="87"/>
        </w:numPr>
        <w:spacing w:after="0" w:line="360" w:lineRule="auto"/>
        <w:ind w:left="284" w:hanging="284"/>
        <w:rPr>
          <w:rFonts w:ascii="Arial" w:hAnsi="Arial" w:cs="Arial"/>
          <w:sz w:val="24"/>
          <w:szCs w:val="24"/>
        </w:rPr>
      </w:pPr>
      <w:r w:rsidRPr="00192EC4">
        <w:rPr>
          <w:rFonts w:ascii="Arial" w:hAnsi="Arial" w:cs="Arial"/>
          <w:sz w:val="24"/>
          <w:szCs w:val="24"/>
        </w:rPr>
        <w:t>GMFRS revamped its website, specifically the ‘Your Area’ pages, now including interactive maps, information about the different fire vehicles and appliances at each station, and defibrillator information.</w:t>
      </w:r>
    </w:p>
    <w:p w14:paraId="6D0E8D47" w14:textId="77777777" w:rsidR="00BE35F9" w:rsidRPr="00192EC4" w:rsidRDefault="00BE35F9" w:rsidP="006F1659">
      <w:pPr>
        <w:spacing w:line="360" w:lineRule="auto"/>
        <w:rPr>
          <w:rFonts w:ascii="Arial" w:hAnsi="Arial" w:cs="Arial"/>
          <w:lang w:val="en-US"/>
        </w:rPr>
      </w:pPr>
    </w:p>
    <w:p w14:paraId="624ED0A1" w14:textId="77777777" w:rsidR="00BE35F9" w:rsidRPr="00192EC4" w:rsidRDefault="00BE35F9" w:rsidP="006F1659">
      <w:pPr>
        <w:spacing w:line="360" w:lineRule="auto"/>
        <w:rPr>
          <w:rFonts w:ascii="Arial" w:hAnsi="Arial" w:cs="Arial"/>
          <w:lang w:val="en-US"/>
        </w:rPr>
      </w:pPr>
      <w:r w:rsidRPr="00192EC4">
        <w:rPr>
          <w:rFonts w:ascii="Arial" w:hAnsi="Arial" w:cs="Arial"/>
          <w:lang w:val="en-US"/>
        </w:rPr>
        <w:t>Alongside this, core activities and statistical information is captured and utilised to help ensure that focus and campaigns are targeted in the right areas. Performance is closely monitored through key performance indicators and governance arrangements to assist in driving service delivery and improvement across the service.</w:t>
      </w:r>
    </w:p>
    <w:p w14:paraId="04A6A9CD" w14:textId="77777777" w:rsidR="00BE35F9" w:rsidRPr="00192EC4" w:rsidRDefault="00BE35F9" w:rsidP="006F1659">
      <w:pPr>
        <w:spacing w:line="360" w:lineRule="auto"/>
        <w:rPr>
          <w:rFonts w:ascii="Arial" w:hAnsi="Arial" w:cs="Arial"/>
        </w:rPr>
      </w:pPr>
    </w:p>
    <w:p w14:paraId="08CCD3E0" w14:textId="77777777" w:rsidR="00BE35F9" w:rsidRPr="00192EC4" w:rsidRDefault="00BE35F9" w:rsidP="006F1659">
      <w:pPr>
        <w:spacing w:line="360" w:lineRule="auto"/>
        <w:rPr>
          <w:rFonts w:ascii="Arial" w:hAnsi="Arial" w:cs="Arial"/>
        </w:rPr>
      </w:pPr>
      <w:r w:rsidRPr="00192EC4">
        <w:rPr>
          <w:rFonts w:ascii="Arial" w:hAnsi="Arial" w:cs="Arial"/>
        </w:rPr>
        <w:t xml:space="preserve">GMFRS attended 32,446 incidents (fires, false alarms and special service calls) during 2022/23, an increase of almost 7% (2,015) when compared with 2021/22. The increase is mainly associated with special service call incident types. The 1st appliance average response time to 'life risk' emergency incidents was 7 minutes 21 seconds in 2022/23 which is 5 seconds quicker than the previous year. Sadly, sixteen people died as a result of fires in 2022/23 compared with ten fire related deaths in 2021/22. Of these, twelve involved males, of which eleven were accidental in nature and one was deliberate. The Home Office reported in September 2022 ‘men had a greater likelihood of dying in a fire than women’.  </w:t>
      </w:r>
    </w:p>
    <w:p w14:paraId="34E8E6E8" w14:textId="77777777" w:rsidR="00BE35F9" w:rsidRPr="00192EC4" w:rsidRDefault="00BE35F9" w:rsidP="006F1659">
      <w:pPr>
        <w:pStyle w:val="NormalWeb"/>
        <w:shd w:val="clear" w:color="auto" w:fill="FFFFFF"/>
        <w:spacing w:before="0" w:beforeAutospacing="0" w:after="0" w:afterAutospacing="0" w:line="360" w:lineRule="auto"/>
        <w:rPr>
          <w:rFonts w:ascii="Arial" w:hAnsi="Arial" w:cs="Arial"/>
          <w:lang w:eastAsia="en-US"/>
        </w:rPr>
      </w:pPr>
    </w:p>
    <w:p w14:paraId="65EF2467" w14:textId="23DBAD9A" w:rsidR="00BE35F9" w:rsidRPr="00192EC4" w:rsidRDefault="00BE35F9" w:rsidP="006F1659">
      <w:pPr>
        <w:pStyle w:val="NormalWeb"/>
        <w:shd w:val="clear" w:color="auto" w:fill="FFFFFF"/>
        <w:spacing w:before="0" w:beforeAutospacing="0" w:after="0" w:afterAutospacing="0" w:line="360" w:lineRule="auto"/>
        <w:rPr>
          <w:rFonts w:ascii="Arial" w:hAnsi="Arial" w:cs="Arial"/>
        </w:rPr>
      </w:pPr>
      <w:r w:rsidRPr="00192EC4">
        <w:rPr>
          <w:rFonts w:ascii="Arial" w:hAnsi="Arial" w:cs="Arial"/>
        </w:rPr>
        <w:t xml:space="preserve">There have been 169 injuries as a result of fires in 2022/23 (136 slight and 33 serious). This compares with 161 injuries during 2021/22, an increase of 4.67% (eight). </w:t>
      </w:r>
      <w:r w:rsidRPr="00192EC4">
        <w:rPr>
          <w:rStyle w:val="normaltextrun"/>
          <w:rFonts w:ascii="Arial" w:hAnsi="Arial" w:cs="Arial"/>
          <w:color w:val="000000"/>
          <w:shd w:val="clear" w:color="auto" w:fill="FFFFFF"/>
        </w:rPr>
        <w:t>The majority of injuries continue to be sustained in accidental dwelling fires, which is a key area of focus for our prevention activities.</w:t>
      </w:r>
      <w:r w:rsidRPr="00192EC4">
        <w:rPr>
          <w:rStyle w:val="eop"/>
          <w:rFonts w:ascii="Arial" w:hAnsi="Arial" w:cs="Arial"/>
          <w:color w:val="000000"/>
          <w:shd w:val="clear" w:color="auto" w:fill="FFFFFF"/>
        </w:rPr>
        <w:t> </w:t>
      </w:r>
      <w:r w:rsidRPr="00192EC4">
        <w:rPr>
          <w:rFonts w:ascii="Arial" w:hAnsi="Arial" w:cs="Arial"/>
        </w:rPr>
        <w:t xml:space="preserve">1,400 accidental dwelling fires were attended in 2022/23, 148 (9.56%) less than 2021/22.  </w:t>
      </w:r>
    </w:p>
    <w:p w14:paraId="22546042" w14:textId="77777777" w:rsidR="00BE35F9" w:rsidRPr="00192EC4" w:rsidRDefault="00BE35F9" w:rsidP="006F1659">
      <w:pPr>
        <w:pStyle w:val="NormalWeb"/>
        <w:shd w:val="clear" w:color="auto" w:fill="FFFFFF"/>
        <w:spacing w:before="0" w:beforeAutospacing="0" w:after="0" w:afterAutospacing="0" w:line="360" w:lineRule="auto"/>
        <w:rPr>
          <w:rFonts w:ascii="Arial" w:hAnsi="Arial" w:cs="Arial"/>
        </w:rPr>
      </w:pPr>
    </w:p>
    <w:p w14:paraId="19FD797A" w14:textId="29879BDA" w:rsidR="00BE35F9" w:rsidRPr="00192EC4" w:rsidRDefault="00BE35F9" w:rsidP="006F1659">
      <w:pPr>
        <w:pStyle w:val="NormalWeb"/>
        <w:shd w:val="clear" w:color="auto" w:fill="FFFFFF"/>
        <w:spacing w:before="0" w:beforeAutospacing="0" w:after="0" w:afterAutospacing="0" w:line="360" w:lineRule="auto"/>
        <w:rPr>
          <w:rFonts w:ascii="Arial" w:hAnsi="Arial" w:cs="Arial"/>
          <w:color w:val="000000"/>
          <w:shd w:val="clear" w:color="auto" w:fill="FFFFFF"/>
        </w:rPr>
      </w:pPr>
      <w:r w:rsidRPr="00192EC4">
        <w:rPr>
          <w:rFonts w:ascii="Arial" w:hAnsi="Arial" w:cs="Arial"/>
        </w:rPr>
        <w:t>In response to the ‘cost of living’ crisis GMFRS aligned with a single Greater Manchester wide ‘cost of living’ information and support campaign. GMFRS created messaging to help residents stay safe from fire during these difficult times. This was informed by insight into specific impacts and challenges experienced in different ways by different parts of the population, obtained through bimonthly surveys undertaken with residents.</w:t>
      </w:r>
    </w:p>
    <w:p w14:paraId="2C2A0B52" w14:textId="77777777" w:rsidR="00BE35F9" w:rsidRPr="00192EC4" w:rsidRDefault="00BE35F9" w:rsidP="006F1659">
      <w:pPr>
        <w:pStyle w:val="NormalWeb"/>
        <w:shd w:val="clear" w:color="auto" w:fill="FFFFFF"/>
        <w:spacing w:before="0" w:beforeAutospacing="0" w:after="0" w:afterAutospacing="0" w:line="360" w:lineRule="auto"/>
        <w:rPr>
          <w:rFonts w:ascii="Arial" w:hAnsi="Arial" w:cs="Arial"/>
        </w:rPr>
      </w:pPr>
    </w:p>
    <w:p w14:paraId="640125FF" w14:textId="77777777" w:rsidR="00BE35F9" w:rsidRPr="00192EC4" w:rsidRDefault="00BE35F9" w:rsidP="006F1659">
      <w:pPr>
        <w:pStyle w:val="paragraph"/>
        <w:spacing w:before="0" w:beforeAutospacing="0" w:after="0" w:afterAutospacing="0" w:line="360" w:lineRule="auto"/>
        <w:textAlignment w:val="baseline"/>
        <w:rPr>
          <w:rFonts w:ascii="Arial" w:hAnsi="Arial" w:cs="Arial"/>
        </w:rPr>
      </w:pPr>
      <w:r w:rsidRPr="00192EC4">
        <w:rPr>
          <w:rFonts w:ascii="Arial" w:hAnsi="Arial" w:cs="Arial"/>
        </w:rPr>
        <w:t xml:space="preserve">The Service created a ‘Cost of Living Response Group’, feeding into a similar overall Greater Manchester wide multi-partner group. It has utilised incident data, local authority fuel poverty data and resident insight to identify and target prevention activities at those groups likely to be at increased risk from unsafe behaviours related to ‘cost of living’ pressures. As well as signposting residents to the different support measures available to our communities, the service created a number of resources providing advice and guidance on saving energy, safely heating the home, cooking, candle and electric fire safety. The service also provided warm spaces for residents unable to heat their homes or looking for company or other support. </w:t>
      </w:r>
    </w:p>
    <w:p w14:paraId="1B1BA658" w14:textId="77777777" w:rsidR="00BE35F9" w:rsidRPr="00192EC4" w:rsidRDefault="00BE35F9" w:rsidP="006F1659">
      <w:pPr>
        <w:pStyle w:val="NormalWeb"/>
        <w:shd w:val="clear" w:color="auto" w:fill="FFFFFF"/>
        <w:spacing w:before="0" w:beforeAutospacing="0" w:after="0" w:afterAutospacing="0" w:line="360" w:lineRule="auto"/>
        <w:rPr>
          <w:rStyle w:val="eop"/>
          <w:rFonts w:ascii="Arial" w:hAnsi="Arial" w:cs="Arial"/>
          <w:color w:val="000000"/>
          <w:shd w:val="clear" w:color="auto" w:fill="FFFFFF"/>
        </w:rPr>
      </w:pPr>
    </w:p>
    <w:p w14:paraId="585DC9DE" w14:textId="3AEE4C10" w:rsidR="00BE35F9" w:rsidRPr="00192EC4" w:rsidRDefault="00BE35F9" w:rsidP="006F1659">
      <w:pPr>
        <w:spacing w:line="360" w:lineRule="auto"/>
        <w:rPr>
          <w:rFonts w:ascii="Arial" w:hAnsi="Arial" w:cs="Arial"/>
        </w:rPr>
      </w:pPr>
      <w:r w:rsidRPr="00192EC4">
        <w:rPr>
          <w:rFonts w:ascii="Arial" w:hAnsi="Arial" w:cs="Arial"/>
        </w:rPr>
        <w:t xml:space="preserve">Positively, because of the focussed prevention activities, GMFRS has not seen the perceived in accidental dwelling fires. </w:t>
      </w:r>
      <w:r w:rsidRPr="00192EC4">
        <w:rPr>
          <w:rFonts w:ascii="Arial" w:eastAsiaTheme="minorHAnsi" w:hAnsi="Arial" w:cs="Arial"/>
          <w:lang w:val="en-US"/>
        </w:rPr>
        <w:t xml:space="preserve">23,889 Home Fire Safety Assessments </w:t>
      </w:r>
      <w:r w:rsidRPr="00192EC4">
        <w:rPr>
          <w:rFonts w:ascii="Arial" w:hAnsi="Arial" w:cs="Arial"/>
        </w:rPr>
        <w:t xml:space="preserve">(HFSA) </w:t>
      </w:r>
      <w:r w:rsidRPr="00192EC4">
        <w:rPr>
          <w:rFonts w:ascii="Arial" w:eastAsiaTheme="minorHAnsi" w:hAnsi="Arial" w:cs="Arial"/>
          <w:lang w:val="en-US"/>
        </w:rPr>
        <w:t>were delivered to homes across Greater Manchester in 2022/23 compared to 7,851 in 2021/22. Following t</w:t>
      </w:r>
      <w:r w:rsidRPr="00192EC4">
        <w:rPr>
          <w:rFonts w:ascii="Arial" w:hAnsi="Arial" w:cs="Arial"/>
        </w:rPr>
        <w:t xml:space="preserve">he launch of the new HFSA in early 2022, the process became more embedded during 2022/23. Additionally, the ‘High Risk Household List’ was launched in July 2022 which is an important element of the blended approach to targeting households at risk.  </w:t>
      </w:r>
    </w:p>
    <w:p w14:paraId="211636BF" w14:textId="77777777" w:rsidR="00BE35F9" w:rsidRPr="00192EC4" w:rsidRDefault="00BE35F9" w:rsidP="006F1659">
      <w:pPr>
        <w:spacing w:line="360" w:lineRule="auto"/>
        <w:rPr>
          <w:rFonts w:ascii="Arial" w:hAnsi="Arial" w:cs="Arial"/>
        </w:rPr>
      </w:pPr>
      <w:r w:rsidRPr="00192EC4">
        <w:rPr>
          <w:rFonts w:ascii="Arial" w:hAnsi="Arial" w:cs="Arial"/>
        </w:rPr>
        <w:t xml:space="preserve">During 2022/23 the service’s Princes Trust programme undertook two annual quality reviews with external partners, The Manchester College and the Prince’s Trust, achieving level 1. This is the highest grade awarded by Prince’s Trust and recognises </w:t>
      </w:r>
      <w:r w:rsidRPr="00192EC4">
        <w:rPr>
          <w:rFonts w:ascii="Arial" w:hAnsi="Arial" w:cs="Arial"/>
        </w:rPr>
        <w:lastRenderedPageBreak/>
        <w:t>the high standards of delivery and administration of the programme. During 2022/23 the Princes Trust team delivered 3,789 hours working in the community.</w:t>
      </w:r>
    </w:p>
    <w:p w14:paraId="6C3F02D8" w14:textId="77777777" w:rsidR="00BE35F9" w:rsidRPr="00192EC4" w:rsidRDefault="00BE35F9" w:rsidP="006F1659">
      <w:pPr>
        <w:spacing w:line="360" w:lineRule="auto"/>
        <w:rPr>
          <w:rFonts w:ascii="Arial" w:hAnsi="Arial" w:cs="Arial"/>
        </w:rPr>
      </w:pPr>
    </w:p>
    <w:p w14:paraId="485D00EB" w14:textId="77777777" w:rsidR="00BE35F9" w:rsidRPr="00192EC4" w:rsidRDefault="00BE35F9" w:rsidP="006F1659">
      <w:pPr>
        <w:spacing w:line="360" w:lineRule="auto"/>
        <w:rPr>
          <w:rFonts w:ascii="Arial" w:hAnsi="Arial" w:cs="Arial"/>
          <w:u w:val="single"/>
        </w:rPr>
      </w:pPr>
      <w:r w:rsidRPr="00192EC4">
        <w:rPr>
          <w:rFonts w:ascii="Arial" w:hAnsi="Arial" w:cs="Arial"/>
          <w:u w:val="single"/>
        </w:rPr>
        <w:t>GMFRS Outturn</w:t>
      </w:r>
    </w:p>
    <w:p w14:paraId="32F9194E" w14:textId="77777777" w:rsidR="00BE35F9" w:rsidRPr="00192EC4" w:rsidRDefault="00BE35F9" w:rsidP="006F1659">
      <w:pPr>
        <w:spacing w:line="360" w:lineRule="auto"/>
        <w:rPr>
          <w:rFonts w:ascii="Arial" w:hAnsi="Arial" w:cs="Arial"/>
        </w:rPr>
      </w:pPr>
    </w:p>
    <w:p w14:paraId="194C8853" w14:textId="14D04CD7" w:rsidR="00BE35F9" w:rsidRPr="00192EC4" w:rsidRDefault="00BE35F9" w:rsidP="006F1659">
      <w:pPr>
        <w:widowControl w:val="0"/>
        <w:spacing w:line="360" w:lineRule="auto"/>
        <w:rPr>
          <w:rFonts w:ascii="Arial" w:hAnsi="Arial" w:cs="Arial"/>
        </w:rPr>
      </w:pPr>
      <w:r w:rsidRPr="00192EC4">
        <w:rPr>
          <w:rFonts w:ascii="Arial" w:hAnsi="Arial" w:cs="Arial"/>
        </w:rPr>
        <w:t>The provisional outturn in 2022/23 for GMFRS was breakeven after a reduction in the planned transfer to reserves from £5.2m to £1.7m, the majority of the change relates to the impact of the pay award. The table below summarises the position:</w:t>
      </w:r>
    </w:p>
    <w:p w14:paraId="28169A77" w14:textId="77777777" w:rsidR="00BE35F9" w:rsidRPr="00192EC4" w:rsidRDefault="00BE35F9" w:rsidP="006F1659">
      <w:pPr>
        <w:spacing w:line="360" w:lineRule="auto"/>
        <w:jc w:val="both"/>
        <w:rPr>
          <w:rFonts w:ascii="Arial" w:hAnsi="Arial" w:cs="Arial"/>
        </w:rPr>
      </w:pPr>
    </w:p>
    <w:tbl>
      <w:tblPr>
        <w:tblW w:w="7352" w:type="dxa"/>
        <w:tblInd w:w="-5" w:type="dxa"/>
        <w:tblLook w:val="04A0" w:firstRow="1" w:lastRow="0" w:firstColumn="1" w:lastColumn="0" w:noHBand="0" w:noVBand="1"/>
      </w:tblPr>
      <w:tblGrid>
        <w:gridCol w:w="3402"/>
        <w:gridCol w:w="1150"/>
        <w:gridCol w:w="1400"/>
        <w:gridCol w:w="1400"/>
      </w:tblGrid>
      <w:tr w:rsidR="00BE35F9" w:rsidRPr="00192EC4" w14:paraId="504B3488" w14:textId="77777777" w:rsidTr="00D37346">
        <w:trPr>
          <w:trHeight w:val="453"/>
        </w:trPr>
        <w:tc>
          <w:tcPr>
            <w:tcW w:w="3402" w:type="dxa"/>
            <w:tcBorders>
              <w:top w:val="single" w:sz="4" w:space="0" w:color="auto"/>
              <w:left w:val="single" w:sz="4" w:space="0" w:color="auto"/>
              <w:bottom w:val="single" w:sz="4" w:space="0" w:color="auto"/>
              <w:right w:val="single" w:sz="4" w:space="0" w:color="auto"/>
            </w:tcBorders>
            <w:shd w:val="clear" w:color="000000" w:fill="auto"/>
            <w:hideMark/>
          </w:tcPr>
          <w:p w14:paraId="0630978F"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lang w:eastAsia="en-GB"/>
              </w:rPr>
              <w:t>GM Fire &amp; Rescue Service      2022/23 Provisional Outturn</w:t>
            </w:r>
          </w:p>
        </w:tc>
        <w:tc>
          <w:tcPr>
            <w:tcW w:w="1150" w:type="dxa"/>
            <w:tcBorders>
              <w:top w:val="single" w:sz="4" w:space="0" w:color="auto"/>
              <w:left w:val="nil"/>
              <w:bottom w:val="single" w:sz="4" w:space="0" w:color="auto"/>
              <w:right w:val="single" w:sz="4" w:space="0" w:color="auto"/>
            </w:tcBorders>
            <w:shd w:val="clear" w:color="000000" w:fill="auto"/>
            <w:hideMark/>
          </w:tcPr>
          <w:p w14:paraId="4D45DD67" w14:textId="77777777" w:rsidR="00BE35F9"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Approved Budget</w:t>
            </w:r>
          </w:p>
          <w:p w14:paraId="1132F1A3" w14:textId="12ABEB19" w:rsidR="00D37346" w:rsidRPr="00192EC4" w:rsidRDefault="00D37346" w:rsidP="006F1659">
            <w:pPr>
              <w:spacing w:line="360" w:lineRule="auto"/>
              <w:jc w:val="center"/>
              <w:rPr>
                <w:rFonts w:ascii="Arial" w:hAnsi="Arial" w:cs="Arial"/>
                <w:b/>
                <w:bCs/>
                <w:color w:val="000000"/>
                <w:sz w:val="20"/>
                <w:szCs w:val="20"/>
                <w:lang w:eastAsia="en-GB"/>
              </w:rPr>
            </w:pPr>
            <w:r>
              <w:rPr>
                <w:rFonts w:ascii="Arial" w:hAnsi="Arial" w:cs="Arial"/>
                <w:b/>
                <w:bCs/>
                <w:color w:val="000000"/>
                <w:sz w:val="20"/>
                <w:szCs w:val="20"/>
                <w:lang w:eastAsia="en-GB"/>
              </w:rPr>
              <w:t>£000s</w:t>
            </w:r>
          </w:p>
        </w:tc>
        <w:tc>
          <w:tcPr>
            <w:tcW w:w="1400" w:type="dxa"/>
            <w:tcBorders>
              <w:top w:val="single" w:sz="4" w:space="0" w:color="auto"/>
              <w:left w:val="nil"/>
              <w:bottom w:val="single" w:sz="4" w:space="0" w:color="auto"/>
              <w:right w:val="single" w:sz="4" w:space="0" w:color="auto"/>
            </w:tcBorders>
            <w:shd w:val="clear" w:color="000000" w:fill="auto"/>
            <w:hideMark/>
          </w:tcPr>
          <w:p w14:paraId="4B76AD23" w14:textId="77777777" w:rsidR="00BE35F9"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Provisional Outturn</w:t>
            </w:r>
          </w:p>
          <w:p w14:paraId="6A6CC5E4" w14:textId="4F19AE98" w:rsidR="00D37346" w:rsidRPr="00192EC4" w:rsidRDefault="00D37346" w:rsidP="006F1659">
            <w:pPr>
              <w:spacing w:line="360" w:lineRule="auto"/>
              <w:jc w:val="center"/>
              <w:rPr>
                <w:rFonts w:ascii="Arial" w:hAnsi="Arial" w:cs="Arial"/>
                <w:b/>
                <w:bCs/>
                <w:color w:val="000000"/>
                <w:sz w:val="20"/>
                <w:szCs w:val="20"/>
                <w:lang w:eastAsia="en-GB"/>
              </w:rPr>
            </w:pPr>
            <w:r>
              <w:rPr>
                <w:rFonts w:ascii="Arial" w:hAnsi="Arial" w:cs="Arial"/>
                <w:b/>
                <w:bCs/>
                <w:color w:val="000000"/>
                <w:sz w:val="20"/>
                <w:szCs w:val="20"/>
                <w:lang w:eastAsia="en-GB"/>
              </w:rPr>
              <w:t>£000s</w:t>
            </w:r>
          </w:p>
        </w:tc>
        <w:tc>
          <w:tcPr>
            <w:tcW w:w="1400" w:type="dxa"/>
            <w:tcBorders>
              <w:top w:val="single" w:sz="4" w:space="0" w:color="auto"/>
              <w:left w:val="nil"/>
              <w:bottom w:val="single" w:sz="4" w:space="0" w:color="auto"/>
              <w:right w:val="single" w:sz="4" w:space="0" w:color="auto"/>
            </w:tcBorders>
            <w:shd w:val="clear" w:color="000000" w:fill="auto"/>
            <w:hideMark/>
          </w:tcPr>
          <w:p w14:paraId="2381DC48" w14:textId="77777777" w:rsidR="00BE35F9"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Provisional Variance</w:t>
            </w:r>
          </w:p>
          <w:p w14:paraId="69F0A733" w14:textId="72EFF706" w:rsidR="00D37346" w:rsidRPr="00192EC4" w:rsidRDefault="00D37346" w:rsidP="006F1659">
            <w:pPr>
              <w:spacing w:line="360" w:lineRule="auto"/>
              <w:jc w:val="center"/>
              <w:rPr>
                <w:rFonts w:ascii="Arial" w:hAnsi="Arial" w:cs="Arial"/>
                <w:b/>
                <w:bCs/>
                <w:color w:val="000000"/>
                <w:sz w:val="20"/>
                <w:szCs w:val="20"/>
                <w:lang w:eastAsia="en-GB"/>
              </w:rPr>
            </w:pPr>
            <w:r>
              <w:rPr>
                <w:rFonts w:ascii="Arial" w:hAnsi="Arial" w:cs="Arial"/>
                <w:b/>
                <w:bCs/>
                <w:color w:val="000000"/>
                <w:sz w:val="20"/>
                <w:szCs w:val="20"/>
                <w:lang w:eastAsia="en-GB"/>
              </w:rPr>
              <w:t>£000s</w:t>
            </w:r>
          </w:p>
        </w:tc>
      </w:tr>
      <w:tr w:rsidR="00BE35F9" w:rsidRPr="00192EC4" w14:paraId="532E7B85"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2448E9EC"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lang w:eastAsia="en-GB"/>
              </w:rPr>
              <w:t>Expenditure:</w:t>
            </w:r>
          </w:p>
        </w:tc>
        <w:tc>
          <w:tcPr>
            <w:tcW w:w="1150" w:type="dxa"/>
            <w:tcBorders>
              <w:top w:val="nil"/>
              <w:left w:val="nil"/>
              <w:bottom w:val="nil"/>
              <w:right w:val="single" w:sz="4" w:space="0" w:color="auto"/>
            </w:tcBorders>
            <w:shd w:val="clear" w:color="auto" w:fill="auto"/>
            <w:noWrap/>
            <w:vAlign w:val="center"/>
            <w:hideMark/>
          </w:tcPr>
          <w:p w14:paraId="1C42C845" w14:textId="77777777" w:rsidR="00BE35F9" w:rsidRPr="00192EC4"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 </w:t>
            </w:r>
          </w:p>
        </w:tc>
        <w:tc>
          <w:tcPr>
            <w:tcW w:w="1400" w:type="dxa"/>
            <w:tcBorders>
              <w:top w:val="nil"/>
              <w:left w:val="nil"/>
              <w:bottom w:val="nil"/>
              <w:right w:val="single" w:sz="4" w:space="0" w:color="auto"/>
            </w:tcBorders>
            <w:shd w:val="clear" w:color="auto" w:fill="auto"/>
            <w:noWrap/>
            <w:vAlign w:val="center"/>
            <w:hideMark/>
          </w:tcPr>
          <w:p w14:paraId="4909C81F" w14:textId="77777777" w:rsidR="00BE35F9" w:rsidRPr="00192EC4"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 </w:t>
            </w:r>
          </w:p>
        </w:tc>
        <w:tc>
          <w:tcPr>
            <w:tcW w:w="1400" w:type="dxa"/>
            <w:tcBorders>
              <w:top w:val="nil"/>
              <w:left w:val="nil"/>
              <w:bottom w:val="nil"/>
              <w:right w:val="single" w:sz="4" w:space="0" w:color="auto"/>
            </w:tcBorders>
            <w:shd w:val="clear" w:color="auto" w:fill="auto"/>
            <w:noWrap/>
            <w:vAlign w:val="center"/>
            <w:hideMark/>
          </w:tcPr>
          <w:p w14:paraId="174F2AED" w14:textId="77777777" w:rsidR="00BE35F9" w:rsidRPr="00192EC4"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 </w:t>
            </w:r>
          </w:p>
        </w:tc>
      </w:tr>
      <w:tr w:rsidR="00BE35F9" w:rsidRPr="00192EC4" w14:paraId="4FF741A9"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39458AB6"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Employees</w:t>
            </w:r>
          </w:p>
        </w:tc>
        <w:tc>
          <w:tcPr>
            <w:tcW w:w="1150" w:type="dxa"/>
            <w:tcBorders>
              <w:top w:val="nil"/>
              <w:left w:val="nil"/>
              <w:bottom w:val="nil"/>
              <w:right w:val="single" w:sz="4" w:space="0" w:color="auto"/>
            </w:tcBorders>
            <w:shd w:val="clear" w:color="auto" w:fill="auto"/>
            <w:noWrap/>
            <w:vAlign w:val="center"/>
            <w:hideMark/>
          </w:tcPr>
          <w:p w14:paraId="3BE74973"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91,215</w:t>
            </w:r>
          </w:p>
        </w:tc>
        <w:tc>
          <w:tcPr>
            <w:tcW w:w="1400" w:type="dxa"/>
            <w:tcBorders>
              <w:top w:val="nil"/>
              <w:left w:val="nil"/>
              <w:bottom w:val="nil"/>
              <w:right w:val="single" w:sz="4" w:space="0" w:color="auto"/>
            </w:tcBorders>
            <w:shd w:val="clear" w:color="auto" w:fill="auto"/>
            <w:noWrap/>
            <w:vAlign w:val="center"/>
            <w:hideMark/>
          </w:tcPr>
          <w:p w14:paraId="32F998BF"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95,523</w:t>
            </w:r>
          </w:p>
        </w:tc>
        <w:tc>
          <w:tcPr>
            <w:tcW w:w="1400" w:type="dxa"/>
            <w:tcBorders>
              <w:top w:val="nil"/>
              <w:left w:val="nil"/>
              <w:bottom w:val="nil"/>
              <w:right w:val="single" w:sz="4" w:space="0" w:color="auto"/>
            </w:tcBorders>
            <w:shd w:val="clear" w:color="auto" w:fill="auto"/>
            <w:noWrap/>
            <w:vAlign w:val="center"/>
            <w:hideMark/>
          </w:tcPr>
          <w:p w14:paraId="2C65944E"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4,308</w:t>
            </w:r>
          </w:p>
        </w:tc>
      </w:tr>
      <w:tr w:rsidR="00BE35F9" w:rsidRPr="00192EC4" w14:paraId="579B9B3C"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5B9EDB9E"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Indirect employees</w:t>
            </w:r>
          </w:p>
        </w:tc>
        <w:tc>
          <w:tcPr>
            <w:tcW w:w="1150" w:type="dxa"/>
            <w:tcBorders>
              <w:top w:val="nil"/>
              <w:left w:val="nil"/>
              <w:bottom w:val="nil"/>
              <w:right w:val="single" w:sz="4" w:space="0" w:color="auto"/>
            </w:tcBorders>
            <w:shd w:val="clear" w:color="auto" w:fill="auto"/>
            <w:noWrap/>
            <w:vAlign w:val="center"/>
            <w:hideMark/>
          </w:tcPr>
          <w:p w14:paraId="785C1376"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1,940</w:t>
            </w:r>
          </w:p>
        </w:tc>
        <w:tc>
          <w:tcPr>
            <w:tcW w:w="1400" w:type="dxa"/>
            <w:tcBorders>
              <w:top w:val="nil"/>
              <w:left w:val="nil"/>
              <w:bottom w:val="nil"/>
              <w:right w:val="single" w:sz="4" w:space="0" w:color="auto"/>
            </w:tcBorders>
            <w:shd w:val="clear" w:color="auto" w:fill="auto"/>
            <w:noWrap/>
            <w:vAlign w:val="center"/>
            <w:hideMark/>
          </w:tcPr>
          <w:p w14:paraId="7F63989D"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1,795</w:t>
            </w:r>
          </w:p>
        </w:tc>
        <w:tc>
          <w:tcPr>
            <w:tcW w:w="1400" w:type="dxa"/>
            <w:tcBorders>
              <w:top w:val="nil"/>
              <w:left w:val="nil"/>
              <w:bottom w:val="nil"/>
              <w:right w:val="single" w:sz="4" w:space="0" w:color="auto"/>
            </w:tcBorders>
            <w:shd w:val="clear" w:color="auto" w:fill="auto"/>
            <w:noWrap/>
            <w:vAlign w:val="center"/>
            <w:hideMark/>
          </w:tcPr>
          <w:p w14:paraId="2AE2BDE4"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-145</w:t>
            </w:r>
          </w:p>
        </w:tc>
      </w:tr>
      <w:tr w:rsidR="00BE35F9" w:rsidRPr="00192EC4" w14:paraId="2EFB13B7"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079F2A9C"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Premises</w:t>
            </w:r>
          </w:p>
        </w:tc>
        <w:tc>
          <w:tcPr>
            <w:tcW w:w="1150" w:type="dxa"/>
            <w:tcBorders>
              <w:top w:val="nil"/>
              <w:left w:val="nil"/>
              <w:bottom w:val="nil"/>
              <w:right w:val="single" w:sz="4" w:space="0" w:color="auto"/>
            </w:tcBorders>
            <w:shd w:val="clear" w:color="auto" w:fill="auto"/>
            <w:noWrap/>
            <w:vAlign w:val="center"/>
            <w:hideMark/>
          </w:tcPr>
          <w:p w14:paraId="00326609"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4,875</w:t>
            </w:r>
          </w:p>
        </w:tc>
        <w:tc>
          <w:tcPr>
            <w:tcW w:w="1400" w:type="dxa"/>
            <w:tcBorders>
              <w:top w:val="nil"/>
              <w:left w:val="nil"/>
              <w:bottom w:val="nil"/>
              <w:right w:val="single" w:sz="4" w:space="0" w:color="auto"/>
            </w:tcBorders>
            <w:shd w:val="clear" w:color="auto" w:fill="auto"/>
            <w:noWrap/>
            <w:vAlign w:val="center"/>
            <w:hideMark/>
          </w:tcPr>
          <w:p w14:paraId="28812610"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6,480</w:t>
            </w:r>
          </w:p>
        </w:tc>
        <w:tc>
          <w:tcPr>
            <w:tcW w:w="1400" w:type="dxa"/>
            <w:tcBorders>
              <w:top w:val="nil"/>
              <w:left w:val="nil"/>
              <w:bottom w:val="nil"/>
              <w:right w:val="single" w:sz="4" w:space="0" w:color="auto"/>
            </w:tcBorders>
            <w:shd w:val="clear" w:color="auto" w:fill="auto"/>
            <w:noWrap/>
            <w:vAlign w:val="center"/>
            <w:hideMark/>
          </w:tcPr>
          <w:p w14:paraId="7D9DEF87"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1,605</w:t>
            </w:r>
          </w:p>
        </w:tc>
      </w:tr>
      <w:tr w:rsidR="00BE35F9" w:rsidRPr="00192EC4" w14:paraId="69C65147"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71302F1D"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Transport</w:t>
            </w:r>
          </w:p>
        </w:tc>
        <w:tc>
          <w:tcPr>
            <w:tcW w:w="1150" w:type="dxa"/>
            <w:tcBorders>
              <w:top w:val="nil"/>
              <w:left w:val="nil"/>
              <w:bottom w:val="nil"/>
              <w:right w:val="single" w:sz="4" w:space="0" w:color="auto"/>
            </w:tcBorders>
            <w:shd w:val="clear" w:color="auto" w:fill="auto"/>
            <w:noWrap/>
            <w:vAlign w:val="center"/>
            <w:hideMark/>
          </w:tcPr>
          <w:p w14:paraId="608C715B"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2,196</w:t>
            </w:r>
          </w:p>
        </w:tc>
        <w:tc>
          <w:tcPr>
            <w:tcW w:w="1400" w:type="dxa"/>
            <w:tcBorders>
              <w:top w:val="nil"/>
              <w:left w:val="nil"/>
              <w:bottom w:val="nil"/>
              <w:right w:val="single" w:sz="4" w:space="0" w:color="auto"/>
            </w:tcBorders>
            <w:shd w:val="clear" w:color="auto" w:fill="auto"/>
            <w:noWrap/>
            <w:vAlign w:val="center"/>
            <w:hideMark/>
          </w:tcPr>
          <w:p w14:paraId="06E599C9"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2,411</w:t>
            </w:r>
          </w:p>
        </w:tc>
        <w:tc>
          <w:tcPr>
            <w:tcW w:w="1400" w:type="dxa"/>
            <w:tcBorders>
              <w:top w:val="nil"/>
              <w:left w:val="nil"/>
              <w:bottom w:val="nil"/>
              <w:right w:val="single" w:sz="4" w:space="0" w:color="auto"/>
            </w:tcBorders>
            <w:shd w:val="clear" w:color="auto" w:fill="auto"/>
            <w:noWrap/>
            <w:vAlign w:val="center"/>
            <w:hideMark/>
          </w:tcPr>
          <w:p w14:paraId="314972D0"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215</w:t>
            </w:r>
          </w:p>
        </w:tc>
      </w:tr>
      <w:tr w:rsidR="00BE35F9" w:rsidRPr="00192EC4" w14:paraId="209414DD"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78290813"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Supplies and services</w:t>
            </w:r>
          </w:p>
        </w:tc>
        <w:tc>
          <w:tcPr>
            <w:tcW w:w="1150" w:type="dxa"/>
            <w:tcBorders>
              <w:top w:val="nil"/>
              <w:left w:val="nil"/>
              <w:bottom w:val="nil"/>
              <w:right w:val="single" w:sz="4" w:space="0" w:color="auto"/>
            </w:tcBorders>
            <w:shd w:val="clear" w:color="auto" w:fill="auto"/>
            <w:noWrap/>
            <w:vAlign w:val="center"/>
            <w:hideMark/>
          </w:tcPr>
          <w:p w14:paraId="5927C7B2"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8,481</w:t>
            </w:r>
          </w:p>
        </w:tc>
        <w:tc>
          <w:tcPr>
            <w:tcW w:w="1400" w:type="dxa"/>
            <w:tcBorders>
              <w:top w:val="nil"/>
              <w:left w:val="nil"/>
              <w:bottom w:val="nil"/>
              <w:right w:val="single" w:sz="4" w:space="0" w:color="auto"/>
            </w:tcBorders>
            <w:shd w:val="clear" w:color="auto" w:fill="auto"/>
            <w:noWrap/>
            <w:vAlign w:val="center"/>
            <w:hideMark/>
          </w:tcPr>
          <w:p w14:paraId="6624EF2C"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8,886</w:t>
            </w:r>
          </w:p>
        </w:tc>
        <w:tc>
          <w:tcPr>
            <w:tcW w:w="1400" w:type="dxa"/>
            <w:tcBorders>
              <w:top w:val="nil"/>
              <w:left w:val="nil"/>
              <w:bottom w:val="nil"/>
              <w:right w:val="single" w:sz="4" w:space="0" w:color="auto"/>
            </w:tcBorders>
            <w:shd w:val="clear" w:color="auto" w:fill="auto"/>
            <w:noWrap/>
            <w:vAlign w:val="center"/>
            <w:hideMark/>
          </w:tcPr>
          <w:p w14:paraId="31F86053"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405</w:t>
            </w:r>
          </w:p>
        </w:tc>
      </w:tr>
      <w:tr w:rsidR="00BE35F9" w:rsidRPr="00192EC4" w14:paraId="0BA2136E"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6BF12B6A"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Support services</w:t>
            </w:r>
          </w:p>
        </w:tc>
        <w:tc>
          <w:tcPr>
            <w:tcW w:w="1150" w:type="dxa"/>
            <w:tcBorders>
              <w:top w:val="nil"/>
              <w:left w:val="nil"/>
              <w:bottom w:val="nil"/>
              <w:right w:val="single" w:sz="4" w:space="0" w:color="auto"/>
            </w:tcBorders>
            <w:shd w:val="clear" w:color="auto" w:fill="auto"/>
            <w:noWrap/>
            <w:vAlign w:val="center"/>
            <w:hideMark/>
          </w:tcPr>
          <w:p w14:paraId="1E1B6624"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7,343</w:t>
            </w:r>
          </w:p>
        </w:tc>
        <w:tc>
          <w:tcPr>
            <w:tcW w:w="1400" w:type="dxa"/>
            <w:tcBorders>
              <w:top w:val="nil"/>
              <w:left w:val="nil"/>
              <w:bottom w:val="nil"/>
              <w:right w:val="single" w:sz="4" w:space="0" w:color="auto"/>
            </w:tcBorders>
            <w:shd w:val="clear" w:color="auto" w:fill="auto"/>
            <w:noWrap/>
            <w:vAlign w:val="center"/>
            <w:hideMark/>
          </w:tcPr>
          <w:p w14:paraId="1C2A2475"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7,850</w:t>
            </w:r>
          </w:p>
        </w:tc>
        <w:tc>
          <w:tcPr>
            <w:tcW w:w="1400" w:type="dxa"/>
            <w:tcBorders>
              <w:top w:val="nil"/>
              <w:left w:val="nil"/>
              <w:bottom w:val="nil"/>
              <w:right w:val="single" w:sz="4" w:space="0" w:color="auto"/>
            </w:tcBorders>
            <w:shd w:val="clear" w:color="auto" w:fill="auto"/>
            <w:noWrap/>
            <w:vAlign w:val="center"/>
            <w:hideMark/>
          </w:tcPr>
          <w:p w14:paraId="17C56AE2"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507</w:t>
            </w:r>
          </w:p>
        </w:tc>
      </w:tr>
      <w:tr w:rsidR="00BE35F9" w:rsidRPr="00192EC4" w14:paraId="7A943F34"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63D026B2"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Government grants</w:t>
            </w:r>
          </w:p>
        </w:tc>
        <w:tc>
          <w:tcPr>
            <w:tcW w:w="1150" w:type="dxa"/>
            <w:tcBorders>
              <w:top w:val="nil"/>
              <w:left w:val="nil"/>
              <w:bottom w:val="nil"/>
              <w:right w:val="single" w:sz="4" w:space="0" w:color="auto"/>
            </w:tcBorders>
            <w:shd w:val="clear" w:color="auto" w:fill="auto"/>
            <w:noWrap/>
            <w:vAlign w:val="center"/>
            <w:hideMark/>
          </w:tcPr>
          <w:p w14:paraId="43695C4C" w14:textId="02901D78"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769</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3C069D16" w14:textId="0AEC106C"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1,262</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64C527C9" w14:textId="236D889D"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493</w:t>
            </w:r>
            <w:r>
              <w:rPr>
                <w:rFonts w:ascii="Arial" w:hAnsi="Arial" w:cs="Arial"/>
                <w:color w:val="000000"/>
                <w:sz w:val="20"/>
                <w:szCs w:val="20"/>
                <w:lang w:eastAsia="en-GB"/>
              </w:rPr>
              <w:t>)</w:t>
            </w:r>
          </w:p>
        </w:tc>
      </w:tr>
      <w:tr w:rsidR="00BE35F9" w:rsidRPr="00192EC4" w14:paraId="1B786CBC"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2449B164"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Transfer to/from provisions</w:t>
            </w:r>
          </w:p>
        </w:tc>
        <w:tc>
          <w:tcPr>
            <w:tcW w:w="1150" w:type="dxa"/>
            <w:tcBorders>
              <w:top w:val="nil"/>
              <w:left w:val="nil"/>
              <w:bottom w:val="nil"/>
              <w:right w:val="single" w:sz="4" w:space="0" w:color="auto"/>
            </w:tcBorders>
            <w:shd w:val="clear" w:color="auto" w:fill="auto"/>
            <w:noWrap/>
            <w:vAlign w:val="center"/>
            <w:hideMark/>
          </w:tcPr>
          <w:p w14:paraId="3A271AC7"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0</w:t>
            </w:r>
          </w:p>
        </w:tc>
        <w:tc>
          <w:tcPr>
            <w:tcW w:w="1400" w:type="dxa"/>
            <w:tcBorders>
              <w:top w:val="nil"/>
              <w:left w:val="nil"/>
              <w:bottom w:val="nil"/>
              <w:right w:val="single" w:sz="4" w:space="0" w:color="auto"/>
            </w:tcBorders>
            <w:shd w:val="clear" w:color="auto" w:fill="auto"/>
            <w:noWrap/>
            <w:vAlign w:val="center"/>
            <w:hideMark/>
          </w:tcPr>
          <w:p w14:paraId="093B08C8" w14:textId="0871A5A3"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2,100</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38CC94E2" w14:textId="1BD4CFE8"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2,100</w:t>
            </w:r>
            <w:r>
              <w:rPr>
                <w:rFonts w:ascii="Arial" w:hAnsi="Arial" w:cs="Arial"/>
                <w:color w:val="000000"/>
                <w:sz w:val="20"/>
                <w:szCs w:val="20"/>
                <w:lang w:eastAsia="en-GB"/>
              </w:rPr>
              <w:t>)</w:t>
            </w:r>
          </w:p>
        </w:tc>
      </w:tr>
      <w:tr w:rsidR="00BE35F9" w:rsidRPr="00192EC4" w14:paraId="292F74E5"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75F01879"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Other grants and contributions</w:t>
            </w:r>
          </w:p>
        </w:tc>
        <w:tc>
          <w:tcPr>
            <w:tcW w:w="1150" w:type="dxa"/>
            <w:tcBorders>
              <w:top w:val="nil"/>
              <w:left w:val="nil"/>
              <w:bottom w:val="nil"/>
              <w:right w:val="single" w:sz="4" w:space="0" w:color="auto"/>
            </w:tcBorders>
            <w:shd w:val="clear" w:color="auto" w:fill="auto"/>
            <w:noWrap/>
            <w:vAlign w:val="center"/>
            <w:hideMark/>
          </w:tcPr>
          <w:p w14:paraId="16E7D24B" w14:textId="1FF39254"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215</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567B564B" w14:textId="65D613DA"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109</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54AA6D49"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106</w:t>
            </w:r>
          </w:p>
        </w:tc>
      </w:tr>
      <w:tr w:rsidR="00BE35F9" w:rsidRPr="00192EC4" w14:paraId="5D33A948"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1CA433D5"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Customer and client receipts</w:t>
            </w:r>
          </w:p>
        </w:tc>
        <w:tc>
          <w:tcPr>
            <w:tcW w:w="1150" w:type="dxa"/>
            <w:tcBorders>
              <w:top w:val="nil"/>
              <w:left w:val="nil"/>
              <w:bottom w:val="nil"/>
              <w:right w:val="single" w:sz="4" w:space="0" w:color="auto"/>
            </w:tcBorders>
            <w:shd w:val="clear" w:color="auto" w:fill="auto"/>
            <w:noWrap/>
            <w:vAlign w:val="center"/>
            <w:hideMark/>
          </w:tcPr>
          <w:p w14:paraId="62654686" w14:textId="791688CC"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2,460</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624F5BD8" w14:textId="665A429C"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1,585</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19834D28"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875</w:t>
            </w:r>
          </w:p>
        </w:tc>
      </w:tr>
      <w:tr w:rsidR="00BE35F9" w:rsidRPr="00192EC4" w14:paraId="53F2BB02"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21F22060"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Capital financing costs</w:t>
            </w:r>
          </w:p>
        </w:tc>
        <w:tc>
          <w:tcPr>
            <w:tcW w:w="1150" w:type="dxa"/>
            <w:tcBorders>
              <w:top w:val="nil"/>
              <w:left w:val="nil"/>
              <w:bottom w:val="nil"/>
              <w:right w:val="single" w:sz="4" w:space="0" w:color="auto"/>
            </w:tcBorders>
            <w:shd w:val="clear" w:color="auto" w:fill="auto"/>
            <w:noWrap/>
            <w:vAlign w:val="center"/>
            <w:hideMark/>
          </w:tcPr>
          <w:p w14:paraId="60D0C7F5"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1,692</w:t>
            </w:r>
          </w:p>
        </w:tc>
        <w:tc>
          <w:tcPr>
            <w:tcW w:w="1400" w:type="dxa"/>
            <w:tcBorders>
              <w:top w:val="nil"/>
              <w:left w:val="nil"/>
              <w:bottom w:val="nil"/>
              <w:right w:val="single" w:sz="4" w:space="0" w:color="auto"/>
            </w:tcBorders>
            <w:shd w:val="clear" w:color="auto" w:fill="auto"/>
            <w:noWrap/>
            <w:vAlign w:val="center"/>
            <w:hideMark/>
          </w:tcPr>
          <w:p w14:paraId="4493EDFA"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1,067</w:t>
            </w:r>
          </w:p>
        </w:tc>
        <w:tc>
          <w:tcPr>
            <w:tcW w:w="1400" w:type="dxa"/>
            <w:tcBorders>
              <w:top w:val="nil"/>
              <w:left w:val="nil"/>
              <w:bottom w:val="nil"/>
              <w:right w:val="single" w:sz="4" w:space="0" w:color="auto"/>
            </w:tcBorders>
            <w:shd w:val="clear" w:color="auto" w:fill="auto"/>
            <w:noWrap/>
            <w:vAlign w:val="center"/>
            <w:hideMark/>
          </w:tcPr>
          <w:p w14:paraId="7A1D5FD7" w14:textId="4D2BC8B0"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625</w:t>
            </w:r>
            <w:r>
              <w:rPr>
                <w:rFonts w:ascii="Arial" w:hAnsi="Arial" w:cs="Arial"/>
                <w:color w:val="000000"/>
                <w:sz w:val="20"/>
                <w:szCs w:val="20"/>
                <w:lang w:eastAsia="en-GB"/>
              </w:rPr>
              <w:t>)</w:t>
            </w:r>
          </w:p>
        </w:tc>
      </w:tr>
      <w:tr w:rsidR="00BE35F9" w:rsidRPr="00192EC4" w14:paraId="1A5B2CE3" w14:textId="77777777" w:rsidTr="00D37346">
        <w:trPr>
          <w:trHeight w:val="26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FD17F7"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Transfer to earmarked reserve</w:t>
            </w:r>
          </w:p>
        </w:tc>
        <w:tc>
          <w:tcPr>
            <w:tcW w:w="1150" w:type="dxa"/>
            <w:tcBorders>
              <w:top w:val="nil"/>
              <w:left w:val="nil"/>
              <w:bottom w:val="single" w:sz="4" w:space="0" w:color="auto"/>
              <w:right w:val="single" w:sz="4" w:space="0" w:color="auto"/>
            </w:tcBorders>
            <w:shd w:val="clear" w:color="auto" w:fill="auto"/>
            <w:noWrap/>
            <w:vAlign w:val="center"/>
            <w:hideMark/>
          </w:tcPr>
          <w:p w14:paraId="058D2937"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5,245</w:t>
            </w:r>
          </w:p>
        </w:tc>
        <w:tc>
          <w:tcPr>
            <w:tcW w:w="1400" w:type="dxa"/>
            <w:tcBorders>
              <w:top w:val="nil"/>
              <w:left w:val="nil"/>
              <w:bottom w:val="single" w:sz="4" w:space="0" w:color="auto"/>
              <w:right w:val="single" w:sz="4" w:space="0" w:color="auto"/>
            </w:tcBorders>
            <w:shd w:val="clear" w:color="auto" w:fill="auto"/>
            <w:noWrap/>
            <w:vAlign w:val="center"/>
            <w:hideMark/>
          </w:tcPr>
          <w:p w14:paraId="1372C53A"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1,723</w:t>
            </w:r>
          </w:p>
        </w:tc>
        <w:tc>
          <w:tcPr>
            <w:tcW w:w="1400" w:type="dxa"/>
            <w:tcBorders>
              <w:top w:val="nil"/>
              <w:left w:val="nil"/>
              <w:bottom w:val="single" w:sz="4" w:space="0" w:color="auto"/>
              <w:right w:val="single" w:sz="4" w:space="0" w:color="auto"/>
            </w:tcBorders>
            <w:shd w:val="clear" w:color="auto" w:fill="auto"/>
            <w:noWrap/>
            <w:vAlign w:val="center"/>
            <w:hideMark/>
          </w:tcPr>
          <w:p w14:paraId="3504F5EC" w14:textId="002CAE6A"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3,522</w:t>
            </w:r>
            <w:r>
              <w:rPr>
                <w:rFonts w:ascii="Arial" w:hAnsi="Arial" w:cs="Arial"/>
                <w:color w:val="000000"/>
                <w:sz w:val="20"/>
                <w:szCs w:val="20"/>
                <w:lang w:eastAsia="en-GB"/>
              </w:rPr>
              <w:t>)</w:t>
            </w:r>
          </w:p>
        </w:tc>
      </w:tr>
      <w:tr w:rsidR="00BE35F9" w:rsidRPr="00192EC4" w14:paraId="69F483B0" w14:textId="77777777" w:rsidTr="00D37346">
        <w:trPr>
          <w:trHeight w:val="269"/>
        </w:trPr>
        <w:tc>
          <w:tcPr>
            <w:tcW w:w="340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6D5C540"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lang w:eastAsia="en-GB"/>
              </w:rPr>
              <w:t>Total Expenditure</w:t>
            </w:r>
          </w:p>
        </w:tc>
        <w:tc>
          <w:tcPr>
            <w:tcW w:w="1150" w:type="dxa"/>
            <w:tcBorders>
              <w:top w:val="single" w:sz="4" w:space="0" w:color="auto"/>
              <w:left w:val="nil"/>
              <w:bottom w:val="single" w:sz="4" w:space="0" w:color="auto"/>
              <w:right w:val="single" w:sz="4" w:space="0" w:color="auto"/>
            </w:tcBorders>
            <w:shd w:val="clear" w:color="000000" w:fill="auto"/>
            <w:noWrap/>
            <w:vAlign w:val="center"/>
            <w:hideMark/>
          </w:tcPr>
          <w:p w14:paraId="41FCF859" w14:textId="77777777" w:rsidR="00BE35F9" w:rsidRPr="00192EC4" w:rsidRDefault="00BE35F9" w:rsidP="006F1659">
            <w:pPr>
              <w:spacing w:line="360" w:lineRule="auto"/>
              <w:jc w:val="right"/>
              <w:rPr>
                <w:rFonts w:ascii="Arial" w:hAnsi="Arial" w:cs="Arial"/>
                <w:b/>
                <w:bCs/>
                <w:color w:val="000000"/>
                <w:sz w:val="20"/>
                <w:szCs w:val="20"/>
                <w:lang w:eastAsia="en-GB"/>
              </w:rPr>
            </w:pPr>
            <w:r w:rsidRPr="00192EC4">
              <w:rPr>
                <w:rFonts w:ascii="Arial" w:hAnsi="Arial" w:cs="Arial"/>
                <w:b/>
                <w:bCs/>
                <w:color w:val="000000"/>
                <w:sz w:val="20"/>
                <w:szCs w:val="20"/>
                <w:lang w:eastAsia="en-GB"/>
              </w:rPr>
              <w:t>119,543</w:t>
            </w:r>
          </w:p>
        </w:tc>
        <w:tc>
          <w:tcPr>
            <w:tcW w:w="1400" w:type="dxa"/>
            <w:tcBorders>
              <w:top w:val="single" w:sz="4" w:space="0" w:color="auto"/>
              <w:left w:val="nil"/>
              <w:bottom w:val="single" w:sz="4" w:space="0" w:color="auto"/>
              <w:right w:val="single" w:sz="4" w:space="0" w:color="auto"/>
            </w:tcBorders>
            <w:shd w:val="clear" w:color="000000" w:fill="auto"/>
            <w:noWrap/>
            <w:vAlign w:val="center"/>
            <w:hideMark/>
          </w:tcPr>
          <w:p w14:paraId="20D04ED8" w14:textId="77777777" w:rsidR="00BE35F9" w:rsidRPr="00192EC4" w:rsidRDefault="00BE35F9" w:rsidP="006F1659">
            <w:pPr>
              <w:spacing w:line="360" w:lineRule="auto"/>
              <w:jc w:val="right"/>
              <w:rPr>
                <w:rFonts w:ascii="Arial" w:hAnsi="Arial" w:cs="Arial"/>
                <w:b/>
                <w:bCs/>
                <w:color w:val="000000"/>
                <w:sz w:val="20"/>
                <w:szCs w:val="20"/>
                <w:lang w:eastAsia="en-GB"/>
              </w:rPr>
            </w:pPr>
            <w:r w:rsidRPr="00192EC4">
              <w:rPr>
                <w:rFonts w:ascii="Arial" w:hAnsi="Arial" w:cs="Arial"/>
                <w:b/>
                <w:bCs/>
                <w:color w:val="000000"/>
                <w:sz w:val="20"/>
                <w:szCs w:val="20"/>
                <w:lang w:eastAsia="en-GB"/>
              </w:rPr>
              <w:t>120,679</w:t>
            </w:r>
          </w:p>
        </w:tc>
        <w:tc>
          <w:tcPr>
            <w:tcW w:w="1400" w:type="dxa"/>
            <w:tcBorders>
              <w:top w:val="single" w:sz="4" w:space="0" w:color="auto"/>
              <w:left w:val="nil"/>
              <w:bottom w:val="single" w:sz="4" w:space="0" w:color="auto"/>
              <w:right w:val="single" w:sz="4" w:space="0" w:color="auto"/>
            </w:tcBorders>
            <w:shd w:val="clear" w:color="000000" w:fill="auto"/>
            <w:noWrap/>
            <w:vAlign w:val="center"/>
            <w:hideMark/>
          </w:tcPr>
          <w:p w14:paraId="726D6625" w14:textId="77777777" w:rsidR="00BE35F9" w:rsidRPr="00192EC4" w:rsidRDefault="00BE35F9" w:rsidP="006F1659">
            <w:pPr>
              <w:spacing w:line="360" w:lineRule="auto"/>
              <w:jc w:val="right"/>
              <w:rPr>
                <w:rFonts w:ascii="Arial" w:hAnsi="Arial" w:cs="Arial"/>
                <w:b/>
                <w:bCs/>
                <w:color w:val="000000"/>
                <w:sz w:val="20"/>
                <w:szCs w:val="20"/>
                <w:lang w:eastAsia="en-GB"/>
              </w:rPr>
            </w:pPr>
            <w:r w:rsidRPr="00192EC4">
              <w:rPr>
                <w:rFonts w:ascii="Arial" w:hAnsi="Arial" w:cs="Arial"/>
                <w:b/>
                <w:bCs/>
                <w:color w:val="000000"/>
                <w:sz w:val="20"/>
                <w:szCs w:val="20"/>
                <w:lang w:eastAsia="en-GB"/>
              </w:rPr>
              <w:t>1,136</w:t>
            </w:r>
          </w:p>
        </w:tc>
      </w:tr>
      <w:tr w:rsidR="00BE35F9" w:rsidRPr="00192EC4" w14:paraId="190079E9"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646CE6A7"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lang w:eastAsia="en-GB"/>
              </w:rPr>
              <w:t>Funded by:</w:t>
            </w:r>
          </w:p>
        </w:tc>
        <w:tc>
          <w:tcPr>
            <w:tcW w:w="1150" w:type="dxa"/>
            <w:tcBorders>
              <w:top w:val="nil"/>
              <w:left w:val="nil"/>
              <w:bottom w:val="nil"/>
              <w:right w:val="single" w:sz="4" w:space="0" w:color="auto"/>
            </w:tcBorders>
            <w:shd w:val="clear" w:color="auto" w:fill="auto"/>
            <w:noWrap/>
            <w:vAlign w:val="center"/>
            <w:hideMark/>
          </w:tcPr>
          <w:p w14:paraId="40D98E34"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 </w:t>
            </w:r>
          </w:p>
        </w:tc>
        <w:tc>
          <w:tcPr>
            <w:tcW w:w="1400" w:type="dxa"/>
            <w:tcBorders>
              <w:top w:val="nil"/>
              <w:left w:val="nil"/>
              <w:bottom w:val="nil"/>
              <w:right w:val="single" w:sz="4" w:space="0" w:color="auto"/>
            </w:tcBorders>
            <w:shd w:val="clear" w:color="auto" w:fill="auto"/>
            <w:noWrap/>
            <w:vAlign w:val="center"/>
            <w:hideMark/>
          </w:tcPr>
          <w:p w14:paraId="75312C31"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 </w:t>
            </w:r>
          </w:p>
        </w:tc>
        <w:tc>
          <w:tcPr>
            <w:tcW w:w="1400" w:type="dxa"/>
            <w:tcBorders>
              <w:top w:val="nil"/>
              <w:left w:val="nil"/>
              <w:bottom w:val="nil"/>
              <w:right w:val="single" w:sz="4" w:space="0" w:color="auto"/>
            </w:tcBorders>
            <w:shd w:val="clear" w:color="auto" w:fill="auto"/>
            <w:noWrap/>
            <w:vAlign w:val="center"/>
            <w:hideMark/>
          </w:tcPr>
          <w:p w14:paraId="7A7942B1"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 </w:t>
            </w:r>
          </w:p>
        </w:tc>
      </w:tr>
      <w:tr w:rsidR="00BE35F9" w:rsidRPr="00192EC4" w14:paraId="1D598009"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4251B1FE"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Localised Business Rates</w:t>
            </w:r>
          </w:p>
        </w:tc>
        <w:tc>
          <w:tcPr>
            <w:tcW w:w="1150" w:type="dxa"/>
            <w:tcBorders>
              <w:top w:val="nil"/>
              <w:left w:val="nil"/>
              <w:bottom w:val="nil"/>
              <w:right w:val="single" w:sz="4" w:space="0" w:color="auto"/>
            </w:tcBorders>
            <w:shd w:val="clear" w:color="auto" w:fill="auto"/>
            <w:noWrap/>
            <w:vAlign w:val="center"/>
            <w:hideMark/>
          </w:tcPr>
          <w:p w14:paraId="532628A7" w14:textId="2A2D22CC"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9,521</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79F25E2A" w14:textId="21A33FE3"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9,521</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621366BE"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0</w:t>
            </w:r>
          </w:p>
        </w:tc>
      </w:tr>
      <w:tr w:rsidR="00BE35F9" w:rsidRPr="00192EC4" w14:paraId="459FA6AE"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0D919A29"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Government grant funding</w:t>
            </w:r>
          </w:p>
        </w:tc>
        <w:tc>
          <w:tcPr>
            <w:tcW w:w="1150" w:type="dxa"/>
            <w:tcBorders>
              <w:top w:val="nil"/>
              <w:left w:val="nil"/>
              <w:bottom w:val="nil"/>
              <w:right w:val="single" w:sz="4" w:space="0" w:color="auto"/>
            </w:tcBorders>
            <w:shd w:val="clear" w:color="auto" w:fill="auto"/>
            <w:noWrap/>
            <w:vAlign w:val="center"/>
            <w:hideMark/>
          </w:tcPr>
          <w:p w14:paraId="25D3D5E9" w14:textId="7DB880AB"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43,131</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4AC21C44" w14:textId="6FB8DA7F"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43,399</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13C347A1" w14:textId="26497083"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268</w:t>
            </w:r>
            <w:r>
              <w:rPr>
                <w:rFonts w:ascii="Arial" w:hAnsi="Arial" w:cs="Arial"/>
                <w:color w:val="000000"/>
                <w:sz w:val="20"/>
                <w:szCs w:val="20"/>
                <w:lang w:eastAsia="en-GB"/>
              </w:rPr>
              <w:t>)</w:t>
            </w:r>
          </w:p>
        </w:tc>
      </w:tr>
      <w:tr w:rsidR="00BE35F9" w:rsidRPr="00192EC4" w14:paraId="6EE66F09"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18CA4E16"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Section 31 - Business Rates</w:t>
            </w:r>
          </w:p>
        </w:tc>
        <w:tc>
          <w:tcPr>
            <w:tcW w:w="1150" w:type="dxa"/>
            <w:tcBorders>
              <w:top w:val="nil"/>
              <w:left w:val="nil"/>
              <w:bottom w:val="nil"/>
              <w:right w:val="single" w:sz="4" w:space="0" w:color="auto"/>
            </w:tcBorders>
            <w:shd w:val="clear" w:color="auto" w:fill="auto"/>
            <w:noWrap/>
            <w:vAlign w:val="center"/>
            <w:hideMark/>
          </w:tcPr>
          <w:p w14:paraId="2422528C" w14:textId="4EC52F68"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5,300</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53C5934F" w14:textId="07B2C193"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5,226</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5DB11E5B"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74</w:t>
            </w:r>
          </w:p>
        </w:tc>
      </w:tr>
      <w:tr w:rsidR="00BE35F9" w:rsidRPr="00192EC4" w14:paraId="2850C2C8"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193E8E47"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Section 31 - Pension Related</w:t>
            </w:r>
          </w:p>
        </w:tc>
        <w:tc>
          <w:tcPr>
            <w:tcW w:w="1150" w:type="dxa"/>
            <w:tcBorders>
              <w:top w:val="nil"/>
              <w:left w:val="nil"/>
              <w:bottom w:val="nil"/>
              <w:right w:val="single" w:sz="4" w:space="0" w:color="auto"/>
            </w:tcBorders>
            <w:shd w:val="clear" w:color="auto" w:fill="auto"/>
            <w:noWrap/>
            <w:vAlign w:val="center"/>
            <w:hideMark/>
          </w:tcPr>
          <w:p w14:paraId="0FE503C0" w14:textId="3F522E40"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5,605</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5FCD9AF0" w14:textId="47C5BB64"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5,605</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6DBDE03F"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0</w:t>
            </w:r>
          </w:p>
        </w:tc>
      </w:tr>
      <w:tr w:rsidR="00BE35F9" w:rsidRPr="00192EC4" w14:paraId="7A10802A"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3D4D29BB"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Precept Income</w:t>
            </w:r>
          </w:p>
        </w:tc>
        <w:tc>
          <w:tcPr>
            <w:tcW w:w="1150" w:type="dxa"/>
            <w:tcBorders>
              <w:top w:val="nil"/>
              <w:left w:val="nil"/>
              <w:bottom w:val="nil"/>
              <w:right w:val="single" w:sz="4" w:space="0" w:color="auto"/>
            </w:tcBorders>
            <w:shd w:val="clear" w:color="auto" w:fill="auto"/>
            <w:noWrap/>
            <w:vAlign w:val="center"/>
            <w:hideMark/>
          </w:tcPr>
          <w:p w14:paraId="5446B1D1" w14:textId="038C7ADD"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55,429</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37207252" w14:textId="3C91FDE3"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55,429</w:t>
            </w:r>
            <w:r>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72CE93FF"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0</w:t>
            </w:r>
          </w:p>
        </w:tc>
      </w:tr>
      <w:tr w:rsidR="00BE35F9" w:rsidRPr="00192EC4" w14:paraId="7D87A1AA" w14:textId="77777777" w:rsidTr="00D37346">
        <w:trPr>
          <w:trHeight w:val="269"/>
        </w:trPr>
        <w:tc>
          <w:tcPr>
            <w:tcW w:w="3402" w:type="dxa"/>
            <w:tcBorders>
              <w:top w:val="nil"/>
              <w:left w:val="single" w:sz="4" w:space="0" w:color="auto"/>
              <w:bottom w:val="nil"/>
              <w:right w:val="single" w:sz="4" w:space="0" w:color="auto"/>
            </w:tcBorders>
            <w:shd w:val="clear" w:color="auto" w:fill="auto"/>
            <w:noWrap/>
            <w:vAlign w:val="center"/>
            <w:hideMark/>
          </w:tcPr>
          <w:p w14:paraId="6611C610"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Collection Fund deficit</w:t>
            </w:r>
          </w:p>
        </w:tc>
        <w:tc>
          <w:tcPr>
            <w:tcW w:w="1150" w:type="dxa"/>
            <w:tcBorders>
              <w:top w:val="nil"/>
              <w:left w:val="nil"/>
              <w:bottom w:val="nil"/>
              <w:right w:val="single" w:sz="4" w:space="0" w:color="auto"/>
            </w:tcBorders>
            <w:shd w:val="clear" w:color="auto" w:fill="auto"/>
            <w:noWrap/>
            <w:vAlign w:val="center"/>
            <w:hideMark/>
          </w:tcPr>
          <w:p w14:paraId="52E848ED"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2,637</w:t>
            </w:r>
          </w:p>
        </w:tc>
        <w:tc>
          <w:tcPr>
            <w:tcW w:w="1400" w:type="dxa"/>
            <w:tcBorders>
              <w:top w:val="nil"/>
              <w:left w:val="nil"/>
              <w:bottom w:val="nil"/>
              <w:right w:val="single" w:sz="4" w:space="0" w:color="auto"/>
            </w:tcBorders>
            <w:shd w:val="clear" w:color="auto" w:fill="auto"/>
            <w:noWrap/>
            <w:vAlign w:val="center"/>
            <w:hideMark/>
          </w:tcPr>
          <w:p w14:paraId="34428244" w14:textId="38E4CCCF"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2,637</w:t>
            </w:r>
            <w:r w:rsidR="006A7580">
              <w:rPr>
                <w:rFonts w:ascii="Arial" w:hAnsi="Arial" w:cs="Arial"/>
                <w:color w:val="000000"/>
                <w:sz w:val="20"/>
                <w:szCs w:val="20"/>
                <w:lang w:eastAsia="en-GB"/>
              </w:rPr>
              <w:t>)</w:t>
            </w:r>
          </w:p>
        </w:tc>
        <w:tc>
          <w:tcPr>
            <w:tcW w:w="1400" w:type="dxa"/>
            <w:tcBorders>
              <w:top w:val="nil"/>
              <w:left w:val="nil"/>
              <w:bottom w:val="nil"/>
              <w:right w:val="single" w:sz="4" w:space="0" w:color="auto"/>
            </w:tcBorders>
            <w:shd w:val="clear" w:color="auto" w:fill="auto"/>
            <w:noWrap/>
            <w:vAlign w:val="center"/>
            <w:hideMark/>
          </w:tcPr>
          <w:p w14:paraId="768C4031" w14:textId="77777777" w:rsidR="00BE35F9" w:rsidRPr="00192EC4" w:rsidRDefault="00BE35F9" w:rsidP="006F1659">
            <w:pPr>
              <w:spacing w:line="360" w:lineRule="auto"/>
              <w:jc w:val="right"/>
              <w:rPr>
                <w:rFonts w:ascii="Arial" w:hAnsi="Arial" w:cs="Arial"/>
                <w:color w:val="000000"/>
                <w:sz w:val="20"/>
                <w:szCs w:val="20"/>
                <w:lang w:eastAsia="en-GB"/>
              </w:rPr>
            </w:pPr>
            <w:r w:rsidRPr="00192EC4">
              <w:rPr>
                <w:rFonts w:ascii="Arial" w:hAnsi="Arial" w:cs="Arial"/>
                <w:color w:val="000000"/>
                <w:sz w:val="20"/>
                <w:szCs w:val="20"/>
                <w:lang w:eastAsia="en-GB"/>
              </w:rPr>
              <w:t>0</w:t>
            </w:r>
          </w:p>
        </w:tc>
      </w:tr>
      <w:tr w:rsidR="00BE35F9" w:rsidRPr="00192EC4" w14:paraId="380C30CE" w14:textId="77777777" w:rsidTr="00D37346">
        <w:trPr>
          <w:trHeight w:val="26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51FF5A" w14:textId="77777777" w:rsidR="00BE35F9" w:rsidRPr="00192EC4" w:rsidRDefault="00BE35F9" w:rsidP="006F1659">
            <w:pPr>
              <w:spacing w:line="360" w:lineRule="auto"/>
              <w:rPr>
                <w:rFonts w:ascii="Arial" w:hAnsi="Arial" w:cs="Arial"/>
                <w:color w:val="000000"/>
                <w:sz w:val="20"/>
                <w:szCs w:val="20"/>
                <w:lang w:eastAsia="en-GB"/>
              </w:rPr>
            </w:pPr>
            <w:r w:rsidRPr="00192EC4">
              <w:rPr>
                <w:rFonts w:ascii="Arial" w:hAnsi="Arial" w:cs="Arial"/>
                <w:color w:val="000000"/>
                <w:sz w:val="20"/>
                <w:szCs w:val="20"/>
                <w:lang w:eastAsia="en-GB"/>
              </w:rPr>
              <w:t>Transfer from earmarked reserves</w:t>
            </w:r>
          </w:p>
        </w:tc>
        <w:tc>
          <w:tcPr>
            <w:tcW w:w="1150" w:type="dxa"/>
            <w:tcBorders>
              <w:top w:val="nil"/>
              <w:left w:val="nil"/>
              <w:bottom w:val="single" w:sz="4" w:space="0" w:color="auto"/>
              <w:right w:val="single" w:sz="4" w:space="0" w:color="auto"/>
            </w:tcBorders>
            <w:shd w:val="clear" w:color="auto" w:fill="auto"/>
            <w:noWrap/>
            <w:vAlign w:val="center"/>
            <w:hideMark/>
          </w:tcPr>
          <w:p w14:paraId="7FBDFEA0" w14:textId="0856C33C"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3,194</w:t>
            </w:r>
            <w:r>
              <w:rPr>
                <w:rFonts w:ascii="Arial" w:hAnsi="Arial" w:cs="Arial"/>
                <w:color w:val="000000"/>
                <w:sz w:val="20"/>
                <w:szCs w:val="20"/>
                <w:lang w:eastAsia="en-GB"/>
              </w:rPr>
              <w:t>)</w:t>
            </w:r>
          </w:p>
        </w:tc>
        <w:tc>
          <w:tcPr>
            <w:tcW w:w="1400" w:type="dxa"/>
            <w:tcBorders>
              <w:top w:val="nil"/>
              <w:left w:val="nil"/>
              <w:bottom w:val="single" w:sz="4" w:space="0" w:color="auto"/>
              <w:right w:val="single" w:sz="4" w:space="0" w:color="auto"/>
            </w:tcBorders>
            <w:shd w:val="clear" w:color="auto" w:fill="auto"/>
            <w:noWrap/>
            <w:vAlign w:val="center"/>
            <w:hideMark/>
          </w:tcPr>
          <w:p w14:paraId="36DE45A6" w14:textId="7E4F07A2"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4,136</w:t>
            </w:r>
            <w:r>
              <w:rPr>
                <w:rFonts w:ascii="Arial" w:hAnsi="Arial" w:cs="Arial"/>
                <w:color w:val="000000"/>
                <w:sz w:val="20"/>
                <w:szCs w:val="20"/>
                <w:lang w:eastAsia="en-GB"/>
              </w:rPr>
              <w:t>)</w:t>
            </w:r>
          </w:p>
        </w:tc>
        <w:tc>
          <w:tcPr>
            <w:tcW w:w="1400" w:type="dxa"/>
            <w:tcBorders>
              <w:top w:val="nil"/>
              <w:left w:val="nil"/>
              <w:bottom w:val="single" w:sz="4" w:space="0" w:color="auto"/>
              <w:right w:val="single" w:sz="4" w:space="0" w:color="auto"/>
            </w:tcBorders>
            <w:shd w:val="clear" w:color="auto" w:fill="auto"/>
            <w:noWrap/>
            <w:vAlign w:val="center"/>
            <w:hideMark/>
          </w:tcPr>
          <w:p w14:paraId="0822BF29" w14:textId="1D587A23" w:rsidR="00BE35F9" w:rsidRPr="00192EC4" w:rsidRDefault="006A7580" w:rsidP="006F1659">
            <w:pPr>
              <w:spacing w:line="360" w:lineRule="auto"/>
              <w:jc w:val="right"/>
              <w:rPr>
                <w:rFonts w:ascii="Arial" w:hAnsi="Arial" w:cs="Arial"/>
                <w:color w:val="000000"/>
                <w:sz w:val="20"/>
                <w:szCs w:val="20"/>
                <w:lang w:eastAsia="en-GB"/>
              </w:rPr>
            </w:pPr>
            <w:r>
              <w:rPr>
                <w:rFonts w:ascii="Arial" w:hAnsi="Arial" w:cs="Arial"/>
                <w:color w:val="000000"/>
                <w:sz w:val="20"/>
                <w:szCs w:val="20"/>
                <w:lang w:eastAsia="en-GB"/>
              </w:rPr>
              <w:t>(</w:t>
            </w:r>
            <w:r w:rsidR="00BE35F9" w:rsidRPr="00192EC4">
              <w:rPr>
                <w:rFonts w:ascii="Arial" w:hAnsi="Arial" w:cs="Arial"/>
                <w:color w:val="000000"/>
                <w:sz w:val="20"/>
                <w:szCs w:val="20"/>
                <w:lang w:eastAsia="en-GB"/>
              </w:rPr>
              <w:t>942</w:t>
            </w:r>
            <w:r>
              <w:rPr>
                <w:rFonts w:ascii="Arial" w:hAnsi="Arial" w:cs="Arial"/>
                <w:color w:val="000000"/>
                <w:sz w:val="20"/>
                <w:szCs w:val="20"/>
                <w:lang w:eastAsia="en-GB"/>
              </w:rPr>
              <w:t>)</w:t>
            </w:r>
          </w:p>
        </w:tc>
      </w:tr>
      <w:tr w:rsidR="00BE35F9" w:rsidRPr="00192EC4" w14:paraId="5587D625" w14:textId="77777777" w:rsidTr="00D37346">
        <w:trPr>
          <w:trHeight w:val="269"/>
        </w:trPr>
        <w:tc>
          <w:tcPr>
            <w:tcW w:w="340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6B92F6B"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lang w:eastAsia="en-GB"/>
              </w:rPr>
              <w:t>Total Funding</w:t>
            </w:r>
          </w:p>
        </w:tc>
        <w:tc>
          <w:tcPr>
            <w:tcW w:w="1150" w:type="dxa"/>
            <w:tcBorders>
              <w:top w:val="single" w:sz="4" w:space="0" w:color="auto"/>
              <w:left w:val="nil"/>
              <w:bottom w:val="single" w:sz="4" w:space="0" w:color="auto"/>
              <w:right w:val="single" w:sz="4" w:space="0" w:color="auto"/>
            </w:tcBorders>
            <w:shd w:val="clear" w:color="000000" w:fill="auto"/>
            <w:noWrap/>
            <w:vAlign w:val="center"/>
            <w:hideMark/>
          </w:tcPr>
          <w:p w14:paraId="495CFAE1" w14:textId="55A3CF5B" w:rsidR="00BE35F9" w:rsidRPr="00192EC4" w:rsidRDefault="006A7580" w:rsidP="006F1659">
            <w:pPr>
              <w:spacing w:line="360"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t>(</w:t>
            </w:r>
            <w:r w:rsidR="00BE35F9" w:rsidRPr="00192EC4">
              <w:rPr>
                <w:rFonts w:ascii="Arial" w:hAnsi="Arial" w:cs="Arial"/>
                <w:b/>
                <w:bCs/>
                <w:color w:val="000000"/>
                <w:sz w:val="20"/>
                <w:szCs w:val="20"/>
                <w:lang w:eastAsia="en-GB"/>
              </w:rPr>
              <w:t>119,543</w:t>
            </w:r>
            <w:r>
              <w:rPr>
                <w:rFonts w:ascii="Arial" w:hAnsi="Arial" w:cs="Arial"/>
                <w:b/>
                <w:bCs/>
                <w:color w:val="000000"/>
                <w:sz w:val="20"/>
                <w:szCs w:val="20"/>
                <w:lang w:eastAsia="en-GB"/>
              </w:rPr>
              <w:t>)</w:t>
            </w:r>
          </w:p>
        </w:tc>
        <w:tc>
          <w:tcPr>
            <w:tcW w:w="1400" w:type="dxa"/>
            <w:tcBorders>
              <w:top w:val="single" w:sz="4" w:space="0" w:color="auto"/>
              <w:left w:val="nil"/>
              <w:bottom w:val="single" w:sz="4" w:space="0" w:color="auto"/>
              <w:right w:val="single" w:sz="4" w:space="0" w:color="auto"/>
            </w:tcBorders>
            <w:shd w:val="clear" w:color="000000" w:fill="auto"/>
            <w:noWrap/>
            <w:vAlign w:val="center"/>
            <w:hideMark/>
          </w:tcPr>
          <w:p w14:paraId="0F116FDE" w14:textId="0FFBF033" w:rsidR="00BE35F9" w:rsidRPr="00192EC4" w:rsidRDefault="006A7580" w:rsidP="006F1659">
            <w:pPr>
              <w:spacing w:line="360"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t>(</w:t>
            </w:r>
            <w:r w:rsidR="00BE35F9" w:rsidRPr="00192EC4">
              <w:rPr>
                <w:rFonts w:ascii="Arial" w:hAnsi="Arial" w:cs="Arial"/>
                <w:b/>
                <w:bCs/>
                <w:color w:val="000000"/>
                <w:sz w:val="20"/>
                <w:szCs w:val="20"/>
                <w:lang w:eastAsia="en-GB"/>
              </w:rPr>
              <w:t>120,679</w:t>
            </w:r>
            <w:r>
              <w:rPr>
                <w:rFonts w:ascii="Arial" w:hAnsi="Arial" w:cs="Arial"/>
                <w:b/>
                <w:bCs/>
                <w:color w:val="000000"/>
                <w:sz w:val="20"/>
                <w:szCs w:val="20"/>
                <w:lang w:eastAsia="en-GB"/>
              </w:rPr>
              <w:t>)</w:t>
            </w:r>
          </w:p>
        </w:tc>
        <w:tc>
          <w:tcPr>
            <w:tcW w:w="1400" w:type="dxa"/>
            <w:tcBorders>
              <w:top w:val="single" w:sz="4" w:space="0" w:color="auto"/>
              <w:left w:val="nil"/>
              <w:bottom w:val="single" w:sz="4" w:space="0" w:color="auto"/>
              <w:right w:val="single" w:sz="4" w:space="0" w:color="auto"/>
            </w:tcBorders>
            <w:shd w:val="clear" w:color="000000" w:fill="auto"/>
            <w:noWrap/>
            <w:vAlign w:val="center"/>
            <w:hideMark/>
          </w:tcPr>
          <w:p w14:paraId="2AFD613B" w14:textId="13C33915" w:rsidR="00BE35F9" w:rsidRPr="00192EC4" w:rsidRDefault="006A7580" w:rsidP="006F1659">
            <w:pPr>
              <w:spacing w:line="360"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t>(</w:t>
            </w:r>
            <w:r w:rsidR="00BE35F9" w:rsidRPr="00192EC4">
              <w:rPr>
                <w:rFonts w:ascii="Arial" w:hAnsi="Arial" w:cs="Arial"/>
                <w:b/>
                <w:bCs/>
                <w:color w:val="000000"/>
                <w:sz w:val="20"/>
                <w:szCs w:val="20"/>
                <w:lang w:eastAsia="en-GB"/>
              </w:rPr>
              <w:t>1,136</w:t>
            </w:r>
            <w:r>
              <w:rPr>
                <w:rFonts w:ascii="Arial" w:hAnsi="Arial" w:cs="Arial"/>
                <w:b/>
                <w:bCs/>
                <w:color w:val="000000"/>
                <w:sz w:val="20"/>
                <w:szCs w:val="20"/>
                <w:lang w:eastAsia="en-GB"/>
              </w:rPr>
              <w:t>)</w:t>
            </w:r>
          </w:p>
        </w:tc>
      </w:tr>
    </w:tbl>
    <w:p w14:paraId="572F2EBE" w14:textId="77777777" w:rsidR="00BE35F9" w:rsidRPr="00192EC4" w:rsidRDefault="00BE35F9" w:rsidP="006F1659">
      <w:pPr>
        <w:spacing w:line="360" w:lineRule="auto"/>
        <w:ind w:left="709"/>
        <w:jc w:val="both"/>
        <w:rPr>
          <w:rFonts w:ascii="Arial" w:hAnsi="Arial" w:cs="Arial"/>
        </w:rPr>
      </w:pPr>
    </w:p>
    <w:p w14:paraId="48211F0B" w14:textId="71151434" w:rsidR="00BE35F9" w:rsidRPr="00192EC4" w:rsidRDefault="00BE35F9" w:rsidP="006F1659">
      <w:pPr>
        <w:spacing w:line="360" w:lineRule="auto"/>
        <w:rPr>
          <w:rFonts w:ascii="Arial" w:hAnsi="Arial" w:cs="Arial"/>
        </w:rPr>
      </w:pPr>
      <w:r w:rsidRPr="00192EC4">
        <w:rPr>
          <w:rFonts w:ascii="Arial" w:hAnsi="Arial" w:cs="Arial"/>
        </w:rPr>
        <w:t xml:space="preserve">The most significant variance related to the employees pay and pensions budget with an overspend of £4.3m. This includes pay award for both uniformed and non-uniformed </w:t>
      </w:r>
      <w:r w:rsidRPr="00192EC4">
        <w:rPr>
          <w:rFonts w:ascii="Arial" w:hAnsi="Arial" w:cs="Arial"/>
        </w:rPr>
        <w:lastRenderedPageBreak/>
        <w:t>employees</w:t>
      </w:r>
      <w:bookmarkStart w:id="18" w:name="_Hlk135922520"/>
      <w:r w:rsidRPr="00192EC4">
        <w:rPr>
          <w:rFonts w:ascii="Arial" w:hAnsi="Arial" w:cs="Arial"/>
        </w:rPr>
        <w:t>. The pay award budget was set at 2% for both staff groups, however, uniformed staff pay award was agreed at 7% and non-uniformed at £1,925 per whole time equivalent</w:t>
      </w:r>
      <w:bookmarkEnd w:id="18"/>
      <w:r w:rsidRPr="00192EC4">
        <w:rPr>
          <w:rFonts w:ascii="Arial" w:hAnsi="Arial" w:cs="Arial"/>
        </w:rPr>
        <w:t xml:space="preserve">. Premises related expenditure also overspent by £1.6m in the areas of utilities and fuel.  </w:t>
      </w:r>
    </w:p>
    <w:p w14:paraId="39B0B1AD" w14:textId="77777777" w:rsidR="00BE35F9" w:rsidRPr="00192EC4" w:rsidRDefault="00BE35F9" w:rsidP="006F1659">
      <w:pPr>
        <w:spacing w:line="360" w:lineRule="auto"/>
        <w:jc w:val="both"/>
        <w:rPr>
          <w:rFonts w:ascii="Arial" w:hAnsi="Arial" w:cs="Arial"/>
          <w:b/>
          <w:bCs/>
        </w:rPr>
      </w:pPr>
      <w:bookmarkStart w:id="19" w:name="_Toc109922585"/>
      <w:bookmarkStart w:id="20" w:name="_Hlk108780347"/>
      <w:bookmarkStart w:id="21" w:name="_Hlk109049412"/>
      <w:bookmarkEnd w:id="15"/>
    </w:p>
    <w:p w14:paraId="4A9D1B08" w14:textId="77777777" w:rsidR="00BE35F9" w:rsidRPr="00192EC4" w:rsidRDefault="00BE35F9" w:rsidP="006F1659">
      <w:pPr>
        <w:spacing w:line="360" w:lineRule="auto"/>
        <w:jc w:val="both"/>
        <w:rPr>
          <w:rFonts w:ascii="Arial" w:hAnsi="Arial" w:cs="Arial"/>
          <w:b/>
          <w:bCs/>
        </w:rPr>
      </w:pPr>
      <w:r w:rsidRPr="00192EC4">
        <w:rPr>
          <w:rFonts w:ascii="Arial" w:hAnsi="Arial" w:cs="Arial"/>
          <w:b/>
          <w:bCs/>
        </w:rPr>
        <w:t>Waste and Resources</w:t>
      </w:r>
    </w:p>
    <w:p w14:paraId="0822CBF0" w14:textId="77777777" w:rsidR="00BE35F9" w:rsidRPr="00192EC4" w:rsidRDefault="00BE35F9" w:rsidP="006F1659">
      <w:pPr>
        <w:spacing w:line="360" w:lineRule="auto"/>
        <w:rPr>
          <w:rFonts w:ascii="Arial" w:hAnsi="Arial" w:cs="Arial"/>
        </w:rPr>
      </w:pPr>
    </w:p>
    <w:p w14:paraId="39F67B59" w14:textId="749A045A" w:rsidR="00BE35F9" w:rsidRPr="00192EC4" w:rsidRDefault="00BE35F9" w:rsidP="006F1659">
      <w:pPr>
        <w:spacing w:line="360" w:lineRule="auto"/>
        <w:rPr>
          <w:rFonts w:ascii="Arial" w:hAnsi="Arial" w:cs="Arial"/>
        </w:rPr>
      </w:pPr>
      <w:r w:rsidRPr="00192EC4">
        <w:rPr>
          <w:rFonts w:ascii="Arial" w:hAnsi="Arial" w:cs="Arial"/>
        </w:rPr>
        <w:t>GMCA is responsible for the management and disposal of municipal waste from Greater Manchester (formerly known as Greater Manchester Waste Disposal Authority). The GMCA Waste and Resources team oversee the operation of the facilities through</w:t>
      </w:r>
      <w:r w:rsidR="00B7710C">
        <w:rPr>
          <w:rFonts w:ascii="Arial" w:hAnsi="Arial" w:cs="Arial"/>
        </w:rPr>
        <w:t xml:space="preserve"> </w:t>
      </w:r>
      <w:r w:rsidRPr="00192EC4">
        <w:rPr>
          <w:rFonts w:ascii="Arial" w:hAnsi="Arial" w:cs="Arial"/>
        </w:rPr>
        <w:t>contract arrangements with Suez Recycling and Recovery UK. This is approximately 1.1</w:t>
      </w:r>
      <w:r w:rsidR="00252539" w:rsidRPr="00192EC4">
        <w:rPr>
          <w:rFonts w:ascii="Arial" w:hAnsi="Arial" w:cs="Arial"/>
        </w:rPr>
        <w:t xml:space="preserve"> million</w:t>
      </w:r>
      <w:r w:rsidRPr="00192EC4">
        <w:rPr>
          <w:rFonts w:ascii="Arial" w:hAnsi="Arial" w:cs="Arial"/>
        </w:rPr>
        <w:t xml:space="preserve"> tonnes of waste and recycling each year from over a million households from the metropolitan areas of Bolton, Bury, Manchester, Oldham, Rochdale, Salford, Stockport, Tameside and Trafford (Wigan operate as a unitary authority and administers its own disposal arrangements). </w:t>
      </w:r>
    </w:p>
    <w:p w14:paraId="3FE6D1E9" w14:textId="77777777" w:rsidR="00BE35F9" w:rsidRPr="00192EC4" w:rsidRDefault="00BE35F9" w:rsidP="006F1659">
      <w:pPr>
        <w:spacing w:line="360" w:lineRule="auto"/>
        <w:rPr>
          <w:rFonts w:ascii="Arial" w:hAnsi="Arial" w:cs="Arial"/>
        </w:rPr>
      </w:pPr>
    </w:p>
    <w:p w14:paraId="150FA38D" w14:textId="02DC6457" w:rsidR="00BE35F9" w:rsidRPr="00192EC4" w:rsidRDefault="00BE35F9" w:rsidP="006F1659">
      <w:pPr>
        <w:spacing w:line="360" w:lineRule="auto"/>
        <w:rPr>
          <w:rFonts w:ascii="Arial" w:hAnsi="Arial" w:cs="Arial"/>
          <w:bCs/>
        </w:rPr>
      </w:pPr>
      <w:r w:rsidRPr="00192EC4">
        <w:rPr>
          <w:rFonts w:ascii="Arial" w:hAnsi="Arial" w:cs="Arial"/>
        </w:rPr>
        <w:t xml:space="preserve">Each of the local authorities are responsible for the collection of household waste. GMCA receives funding from a levy on the nine Greater Manchester local authorities to pay for the processing and disposal of this waste. </w:t>
      </w:r>
      <w:r w:rsidRPr="00192EC4">
        <w:rPr>
          <w:rFonts w:ascii="Arial" w:hAnsi="Arial" w:cs="Arial"/>
          <w:bCs/>
        </w:rPr>
        <w:t>The 2022/23 levy for the Waste and Resources service was set in February 2022 for a total of £164.840m represented by expenditure of £165.314m and a use of reserves of £0.474m. The 2022/23 budget was set using forecast levels of waste amounting to 1,134,175 tonnes of waste from local authorities and Household Waste Recycling Centre</w:t>
      </w:r>
      <w:r w:rsidR="00BC0D7C" w:rsidRPr="00192EC4">
        <w:rPr>
          <w:rFonts w:ascii="Arial" w:hAnsi="Arial" w:cs="Arial"/>
          <w:bCs/>
        </w:rPr>
        <w:t>s</w:t>
      </w:r>
      <w:r w:rsidRPr="00192EC4">
        <w:rPr>
          <w:rFonts w:ascii="Arial" w:hAnsi="Arial" w:cs="Arial"/>
          <w:bCs/>
        </w:rPr>
        <w:t xml:space="preserve"> (HWRC). The forecasting of waste tonnages has continued to be unpredictable following the pandemic and changing work patterns which has affected the volumes of household ‘kerbside’ waste collections.</w:t>
      </w:r>
    </w:p>
    <w:p w14:paraId="14020BC7" w14:textId="77777777" w:rsidR="00BE35F9" w:rsidRPr="00192EC4" w:rsidRDefault="00BE35F9" w:rsidP="006F1659">
      <w:pPr>
        <w:spacing w:line="360" w:lineRule="auto"/>
        <w:rPr>
          <w:rFonts w:ascii="Arial" w:hAnsi="Arial" w:cs="Arial"/>
          <w:bCs/>
        </w:rPr>
      </w:pPr>
    </w:p>
    <w:p w14:paraId="2D8A8392" w14:textId="77777777" w:rsidR="00BE35F9" w:rsidRPr="00192EC4" w:rsidRDefault="00BE35F9" w:rsidP="006F1659">
      <w:pPr>
        <w:spacing w:line="360" w:lineRule="auto"/>
        <w:contextualSpacing/>
        <w:rPr>
          <w:rFonts w:ascii="Arial" w:eastAsia="Calibri" w:hAnsi="Arial" w:cs="Arial"/>
        </w:rPr>
      </w:pPr>
      <w:r w:rsidRPr="00192EC4">
        <w:rPr>
          <w:rFonts w:ascii="Arial" w:eastAsia="Calibri" w:hAnsi="Arial" w:cs="Arial"/>
        </w:rPr>
        <w:t>Annual performance data for waste handled through the Suez contracts is shown below:</w:t>
      </w:r>
    </w:p>
    <w:p w14:paraId="35E64D4F" w14:textId="77777777" w:rsidR="00BE35F9" w:rsidRPr="00192EC4" w:rsidRDefault="00BE35F9" w:rsidP="006F1659">
      <w:pPr>
        <w:spacing w:line="360" w:lineRule="auto"/>
        <w:contextualSpacing/>
        <w:rPr>
          <w:rFonts w:ascii="Arial" w:eastAsia="Calibri" w:hAnsi="Arial" w:cs="Arial"/>
        </w:rPr>
      </w:pPr>
    </w:p>
    <w:tbl>
      <w:tblPr>
        <w:tblStyle w:val="TableGridLight"/>
        <w:tblW w:w="74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89"/>
        <w:gridCol w:w="985"/>
        <w:gridCol w:w="985"/>
      </w:tblGrid>
      <w:tr w:rsidR="00BE35F9" w:rsidRPr="00192EC4" w14:paraId="6F470D03" w14:textId="77777777" w:rsidTr="00161E00">
        <w:trPr>
          <w:trHeight w:val="297"/>
          <w:jc w:val="center"/>
        </w:trPr>
        <w:tc>
          <w:tcPr>
            <w:tcW w:w="0" w:type="auto"/>
            <w:hideMark/>
          </w:tcPr>
          <w:p w14:paraId="5F309E4C"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lang w:eastAsia="en-GB"/>
              </w:rPr>
              <w:t>Annual Performance</w:t>
            </w:r>
          </w:p>
          <w:p w14:paraId="6735B834" w14:textId="77777777" w:rsidR="00BE35F9" w:rsidRPr="00192EC4" w:rsidRDefault="00BE35F9" w:rsidP="006F1659">
            <w:pPr>
              <w:spacing w:line="360" w:lineRule="auto"/>
              <w:rPr>
                <w:rFonts w:ascii="Arial" w:hAnsi="Arial" w:cs="Arial"/>
                <w:sz w:val="20"/>
                <w:szCs w:val="20"/>
                <w:lang w:eastAsia="en-GB"/>
              </w:rPr>
            </w:pPr>
          </w:p>
        </w:tc>
        <w:tc>
          <w:tcPr>
            <w:tcW w:w="0" w:type="auto"/>
            <w:noWrap/>
            <w:hideMark/>
          </w:tcPr>
          <w:p w14:paraId="12E880A1" w14:textId="77777777" w:rsidR="00BE35F9" w:rsidRPr="00192EC4"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2022/23</w:t>
            </w:r>
          </w:p>
        </w:tc>
        <w:tc>
          <w:tcPr>
            <w:tcW w:w="0" w:type="auto"/>
            <w:noWrap/>
            <w:hideMark/>
          </w:tcPr>
          <w:p w14:paraId="7C9B5CE1" w14:textId="77777777" w:rsidR="00BE35F9" w:rsidRPr="00192EC4" w:rsidRDefault="00BE35F9" w:rsidP="006F1659">
            <w:pPr>
              <w:spacing w:line="360" w:lineRule="auto"/>
              <w:jc w:val="center"/>
              <w:rPr>
                <w:rFonts w:ascii="Arial" w:hAnsi="Arial" w:cs="Arial"/>
                <w:b/>
                <w:bCs/>
                <w:color w:val="000000"/>
                <w:sz w:val="20"/>
                <w:szCs w:val="20"/>
                <w:lang w:eastAsia="en-GB"/>
              </w:rPr>
            </w:pPr>
            <w:r w:rsidRPr="00192EC4">
              <w:rPr>
                <w:rFonts w:ascii="Arial" w:hAnsi="Arial" w:cs="Arial"/>
                <w:b/>
                <w:bCs/>
                <w:color w:val="000000"/>
                <w:sz w:val="20"/>
                <w:szCs w:val="20"/>
                <w:lang w:eastAsia="en-GB"/>
              </w:rPr>
              <w:t>2021/22</w:t>
            </w:r>
          </w:p>
        </w:tc>
      </w:tr>
      <w:tr w:rsidR="00BE35F9" w:rsidRPr="00192EC4" w14:paraId="2CCFE8A2" w14:textId="77777777" w:rsidTr="00161E00">
        <w:trPr>
          <w:trHeight w:val="341"/>
          <w:jc w:val="center"/>
        </w:trPr>
        <w:tc>
          <w:tcPr>
            <w:tcW w:w="0" w:type="auto"/>
            <w:noWrap/>
            <w:hideMark/>
          </w:tcPr>
          <w:p w14:paraId="13CB0DE0" w14:textId="77777777" w:rsidR="00BE35F9" w:rsidRPr="00192EC4" w:rsidRDefault="00BE35F9" w:rsidP="006F1659">
            <w:pPr>
              <w:spacing w:line="360" w:lineRule="auto"/>
              <w:jc w:val="both"/>
              <w:rPr>
                <w:rFonts w:ascii="Arial" w:hAnsi="Arial" w:cs="Arial"/>
                <w:color w:val="000000"/>
                <w:sz w:val="20"/>
                <w:szCs w:val="20"/>
                <w:lang w:eastAsia="en-GB"/>
              </w:rPr>
            </w:pPr>
            <w:r w:rsidRPr="00192EC4">
              <w:rPr>
                <w:rFonts w:ascii="Arial" w:hAnsi="Arial" w:cs="Arial"/>
                <w:color w:val="000000"/>
                <w:sz w:val="20"/>
                <w:szCs w:val="20"/>
                <w:lang w:eastAsia="en-GB"/>
              </w:rPr>
              <w:t>Diversion from Landfill Rate</w:t>
            </w:r>
          </w:p>
        </w:tc>
        <w:tc>
          <w:tcPr>
            <w:tcW w:w="0" w:type="auto"/>
            <w:noWrap/>
          </w:tcPr>
          <w:p w14:paraId="6FDFFF7F" w14:textId="77777777" w:rsidR="00BE35F9" w:rsidRPr="00192EC4" w:rsidRDefault="00BE35F9" w:rsidP="006F1659">
            <w:pPr>
              <w:spacing w:line="360" w:lineRule="auto"/>
              <w:jc w:val="center"/>
              <w:rPr>
                <w:rFonts w:ascii="Arial" w:hAnsi="Arial" w:cs="Arial"/>
                <w:color w:val="000000"/>
                <w:sz w:val="20"/>
                <w:szCs w:val="20"/>
                <w:lang w:eastAsia="en-GB"/>
              </w:rPr>
            </w:pPr>
            <w:r w:rsidRPr="00192EC4">
              <w:rPr>
                <w:rFonts w:ascii="Arial" w:hAnsi="Arial" w:cs="Arial"/>
                <w:color w:val="000000"/>
                <w:sz w:val="20"/>
                <w:szCs w:val="20"/>
                <w:lang w:eastAsia="en-GB"/>
              </w:rPr>
              <w:t>99.48%</w:t>
            </w:r>
          </w:p>
        </w:tc>
        <w:tc>
          <w:tcPr>
            <w:tcW w:w="0" w:type="auto"/>
            <w:noWrap/>
          </w:tcPr>
          <w:p w14:paraId="7F59A305" w14:textId="77777777" w:rsidR="00BE35F9" w:rsidRPr="00192EC4" w:rsidRDefault="00BE35F9" w:rsidP="006F1659">
            <w:pPr>
              <w:spacing w:line="360" w:lineRule="auto"/>
              <w:jc w:val="center"/>
              <w:rPr>
                <w:rFonts w:ascii="Arial" w:hAnsi="Arial" w:cs="Arial"/>
                <w:color w:val="000000"/>
                <w:sz w:val="20"/>
                <w:szCs w:val="20"/>
                <w:lang w:eastAsia="en-GB"/>
              </w:rPr>
            </w:pPr>
            <w:r w:rsidRPr="00192EC4">
              <w:rPr>
                <w:rFonts w:ascii="Arial" w:hAnsi="Arial" w:cs="Arial"/>
                <w:color w:val="000000"/>
                <w:sz w:val="20"/>
                <w:szCs w:val="20"/>
                <w:lang w:eastAsia="en-GB"/>
              </w:rPr>
              <w:t>99.14%</w:t>
            </w:r>
          </w:p>
        </w:tc>
      </w:tr>
      <w:tr w:rsidR="00BE35F9" w:rsidRPr="00192EC4" w14:paraId="484AC623" w14:textId="77777777" w:rsidTr="00161E00">
        <w:trPr>
          <w:trHeight w:val="341"/>
          <w:jc w:val="center"/>
        </w:trPr>
        <w:tc>
          <w:tcPr>
            <w:tcW w:w="0" w:type="auto"/>
            <w:noWrap/>
            <w:hideMark/>
          </w:tcPr>
          <w:p w14:paraId="3F1C6565" w14:textId="77777777" w:rsidR="00BE35F9" w:rsidRPr="00192EC4" w:rsidRDefault="00BE35F9" w:rsidP="006F1659">
            <w:pPr>
              <w:tabs>
                <w:tab w:val="right" w:pos="5019"/>
              </w:tabs>
              <w:spacing w:line="360" w:lineRule="auto"/>
              <w:jc w:val="both"/>
              <w:rPr>
                <w:rFonts w:ascii="Arial" w:hAnsi="Arial" w:cs="Arial"/>
                <w:color w:val="000000"/>
                <w:sz w:val="20"/>
                <w:szCs w:val="20"/>
                <w:lang w:eastAsia="en-GB"/>
              </w:rPr>
            </w:pPr>
            <w:r w:rsidRPr="00192EC4">
              <w:rPr>
                <w:rFonts w:ascii="Arial" w:hAnsi="Arial" w:cs="Arial"/>
                <w:color w:val="000000"/>
                <w:sz w:val="20"/>
                <w:szCs w:val="20"/>
                <w:lang w:eastAsia="en-GB"/>
              </w:rPr>
              <w:t>HWRC Recycling Rate</w:t>
            </w:r>
            <w:r w:rsidRPr="00192EC4">
              <w:rPr>
                <w:rFonts w:ascii="Arial" w:hAnsi="Arial" w:cs="Arial"/>
                <w:color w:val="000000"/>
                <w:sz w:val="20"/>
                <w:szCs w:val="20"/>
                <w:lang w:eastAsia="en-GB"/>
              </w:rPr>
              <w:tab/>
            </w:r>
          </w:p>
        </w:tc>
        <w:tc>
          <w:tcPr>
            <w:tcW w:w="0" w:type="auto"/>
            <w:noWrap/>
          </w:tcPr>
          <w:p w14:paraId="3F6AA5AA" w14:textId="77777777" w:rsidR="00BE35F9" w:rsidRPr="00192EC4" w:rsidRDefault="00BE35F9" w:rsidP="006F1659">
            <w:pPr>
              <w:spacing w:line="360" w:lineRule="auto"/>
              <w:jc w:val="center"/>
              <w:rPr>
                <w:rFonts w:ascii="Arial" w:hAnsi="Arial" w:cs="Arial"/>
                <w:color w:val="000000"/>
                <w:sz w:val="20"/>
                <w:szCs w:val="20"/>
                <w:lang w:eastAsia="en-GB"/>
              </w:rPr>
            </w:pPr>
            <w:r w:rsidRPr="00192EC4">
              <w:rPr>
                <w:rFonts w:ascii="Arial" w:hAnsi="Arial" w:cs="Arial"/>
                <w:color w:val="000000"/>
                <w:sz w:val="20"/>
                <w:szCs w:val="20"/>
                <w:lang w:eastAsia="en-GB"/>
              </w:rPr>
              <w:t>51.99%</w:t>
            </w:r>
          </w:p>
        </w:tc>
        <w:tc>
          <w:tcPr>
            <w:tcW w:w="0" w:type="auto"/>
            <w:noWrap/>
          </w:tcPr>
          <w:p w14:paraId="796239A7" w14:textId="77777777" w:rsidR="00BE35F9" w:rsidRPr="00192EC4" w:rsidRDefault="00BE35F9" w:rsidP="006F1659">
            <w:pPr>
              <w:spacing w:line="360" w:lineRule="auto"/>
              <w:jc w:val="center"/>
              <w:rPr>
                <w:rFonts w:ascii="Arial" w:hAnsi="Arial" w:cs="Arial"/>
                <w:color w:val="000000"/>
                <w:sz w:val="20"/>
                <w:szCs w:val="20"/>
                <w:lang w:eastAsia="en-GB"/>
              </w:rPr>
            </w:pPr>
            <w:r w:rsidRPr="00192EC4">
              <w:rPr>
                <w:rFonts w:ascii="Arial" w:hAnsi="Arial" w:cs="Arial"/>
                <w:color w:val="000000"/>
                <w:sz w:val="20"/>
                <w:szCs w:val="20"/>
                <w:lang w:eastAsia="en-GB"/>
              </w:rPr>
              <w:t>49.28%</w:t>
            </w:r>
          </w:p>
        </w:tc>
      </w:tr>
    </w:tbl>
    <w:p w14:paraId="779FF9F6" w14:textId="77777777" w:rsidR="00BE35F9" w:rsidRPr="00192EC4" w:rsidRDefault="00BE35F9" w:rsidP="006F1659">
      <w:pPr>
        <w:spacing w:line="360" w:lineRule="auto"/>
        <w:rPr>
          <w:rFonts w:ascii="Arial" w:hAnsi="Arial" w:cs="Arial"/>
          <w:bCs/>
        </w:rPr>
      </w:pPr>
    </w:p>
    <w:p w14:paraId="4F455CFC" w14:textId="77777777" w:rsidR="00BE35F9" w:rsidRPr="00192EC4" w:rsidRDefault="00BE35F9" w:rsidP="006F1659">
      <w:pPr>
        <w:spacing w:line="360" w:lineRule="auto"/>
        <w:rPr>
          <w:rFonts w:ascii="Arial" w:hAnsi="Arial" w:cs="Arial"/>
          <w:bCs/>
        </w:rPr>
      </w:pPr>
      <w:r w:rsidRPr="00192EC4">
        <w:rPr>
          <w:rFonts w:ascii="Arial" w:hAnsi="Arial" w:cs="Arial"/>
          <w:bCs/>
        </w:rPr>
        <w:t>The table below shows the 2022/23 revenue provisional outturn position against the approved budget for Waste and Resources:</w:t>
      </w:r>
    </w:p>
    <w:p w14:paraId="330D0AE3" w14:textId="77777777" w:rsidR="00BE35F9" w:rsidRPr="00192EC4" w:rsidRDefault="00BE35F9" w:rsidP="006F1659">
      <w:pPr>
        <w:spacing w:line="360" w:lineRule="auto"/>
        <w:rPr>
          <w:rFonts w:ascii="Arial" w:hAnsi="Arial" w:cs="Arial"/>
          <w:bCs/>
        </w:rPr>
      </w:pPr>
    </w:p>
    <w:tbl>
      <w:tblPr>
        <w:tblW w:w="9038" w:type="dxa"/>
        <w:tblLook w:val="04A0" w:firstRow="1" w:lastRow="0" w:firstColumn="1" w:lastColumn="0" w:noHBand="0" w:noVBand="1"/>
      </w:tblPr>
      <w:tblGrid>
        <w:gridCol w:w="4350"/>
        <w:gridCol w:w="1441"/>
        <w:gridCol w:w="1604"/>
        <w:gridCol w:w="1643"/>
      </w:tblGrid>
      <w:tr w:rsidR="00BE35F9" w:rsidRPr="00192EC4" w14:paraId="5F9993C9" w14:textId="77777777" w:rsidTr="00D37346">
        <w:trPr>
          <w:trHeight w:val="761"/>
        </w:trPr>
        <w:tc>
          <w:tcPr>
            <w:tcW w:w="0" w:type="auto"/>
            <w:tcBorders>
              <w:top w:val="single" w:sz="4" w:space="0" w:color="auto"/>
              <w:left w:val="single" w:sz="4" w:space="0" w:color="auto"/>
              <w:bottom w:val="single" w:sz="4" w:space="0" w:color="auto"/>
              <w:right w:val="nil"/>
            </w:tcBorders>
            <w:shd w:val="clear" w:color="000000" w:fill="auto"/>
            <w:hideMark/>
          </w:tcPr>
          <w:p w14:paraId="16676A0E" w14:textId="77777777" w:rsidR="00BE35F9" w:rsidRPr="00192EC4" w:rsidRDefault="00BE35F9" w:rsidP="006F1659">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rPr>
              <w:t>Waste and Resources                          Provisional Outturn 2022/23</w:t>
            </w:r>
          </w:p>
        </w:tc>
        <w:tc>
          <w:tcPr>
            <w:tcW w:w="0" w:type="auto"/>
            <w:tcBorders>
              <w:top w:val="single" w:sz="4" w:space="0" w:color="auto"/>
              <w:left w:val="single" w:sz="4" w:space="0" w:color="auto"/>
              <w:bottom w:val="single" w:sz="4" w:space="0" w:color="auto"/>
              <w:right w:val="single" w:sz="4" w:space="0" w:color="auto"/>
            </w:tcBorders>
            <w:shd w:val="clear" w:color="000000" w:fill="auto"/>
            <w:hideMark/>
          </w:tcPr>
          <w:p w14:paraId="1957DE7B" w14:textId="77777777" w:rsidR="00BE35F9" w:rsidRDefault="00BE35F9" w:rsidP="006F1659">
            <w:pPr>
              <w:spacing w:line="360" w:lineRule="auto"/>
              <w:jc w:val="center"/>
              <w:rPr>
                <w:rFonts w:ascii="Arial" w:hAnsi="Arial" w:cs="Arial"/>
                <w:b/>
                <w:bCs/>
                <w:sz w:val="20"/>
                <w:szCs w:val="20"/>
              </w:rPr>
            </w:pPr>
            <w:r w:rsidRPr="00192EC4">
              <w:rPr>
                <w:rFonts w:ascii="Arial" w:hAnsi="Arial" w:cs="Arial"/>
                <w:b/>
                <w:bCs/>
                <w:sz w:val="20"/>
                <w:szCs w:val="20"/>
              </w:rPr>
              <w:t>Approved Budget</w:t>
            </w:r>
          </w:p>
          <w:p w14:paraId="185C486C" w14:textId="125684F1" w:rsidR="00D37346" w:rsidRPr="00192EC4" w:rsidRDefault="00D37346" w:rsidP="006F1659">
            <w:pPr>
              <w:spacing w:line="360" w:lineRule="auto"/>
              <w:jc w:val="center"/>
              <w:rPr>
                <w:rFonts w:ascii="Arial" w:hAnsi="Arial" w:cs="Arial"/>
                <w:b/>
                <w:bCs/>
                <w:sz w:val="20"/>
                <w:szCs w:val="20"/>
              </w:rPr>
            </w:pPr>
            <w:r>
              <w:rPr>
                <w:rFonts w:ascii="Arial" w:hAnsi="Arial" w:cs="Arial"/>
                <w:b/>
                <w:bCs/>
                <w:sz w:val="20"/>
                <w:szCs w:val="20"/>
              </w:rPr>
              <w:t>£000s</w:t>
            </w:r>
          </w:p>
        </w:tc>
        <w:tc>
          <w:tcPr>
            <w:tcW w:w="0" w:type="auto"/>
            <w:tcBorders>
              <w:top w:val="single" w:sz="4" w:space="0" w:color="auto"/>
              <w:left w:val="nil"/>
              <w:bottom w:val="single" w:sz="4" w:space="0" w:color="auto"/>
              <w:right w:val="single" w:sz="4" w:space="0" w:color="auto"/>
            </w:tcBorders>
            <w:shd w:val="clear" w:color="000000" w:fill="auto"/>
            <w:hideMark/>
          </w:tcPr>
          <w:p w14:paraId="0838B8DA" w14:textId="77777777" w:rsidR="00BE35F9" w:rsidRDefault="00BE35F9" w:rsidP="006F1659">
            <w:pPr>
              <w:spacing w:line="360" w:lineRule="auto"/>
              <w:jc w:val="center"/>
              <w:rPr>
                <w:rFonts w:ascii="Arial" w:hAnsi="Arial" w:cs="Arial"/>
                <w:b/>
                <w:bCs/>
                <w:color w:val="000000"/>
                <w:sz w:val="20"/>
                <w:szCs w:val="20"/>
              </w:rPr>
            </w:pPr>
            <w:r w:rsidRPr="00192EC4">
              <w:rPr>
                <w:rFonts w:ascii="Arial" w:hAnsi="Arial" w:cs="Arial"/>
                <w:b/>
                <w:bCs/>
                <w:color w:val="000000"/>
                <w:sz w:val="20"/>
                <w:szCs w:val="20"/>
              </w:rPr>
              <w:t>Provisional Outturn</w:t>
            </w:r>
          </w:p>
          <w:p w14:paraId="27530697" w14:textId="0E0DEF62" w:rsidR="00D37346" w:rsidRPr="00192EC4" w:rsidRDefault="00D37346" w:rsidP="006F1659">
            <w:pPr>
              <w:spacing w:line="360" w:lineRule="auto"/>
              <w:jc w:val="center"/>
              <w:rPr>
                <w:rFonts w:ascii="Arial" w:hAnsi="Arial" w:cs="Arial"/>
                <w:b/>
                <w:bCs/>
                <w:color w:val="000000"/>
                <w:sz w:val="20"/>
                <w:szCs w:val="20"/>
              </w:rPr>
            </w:pPr>
            <w:r>
              <w:rPr>
                <w:rFonts w:ascii="Arial" w:hAnsi="Arial" w:cs="Arial"/>
                <w:b/>
                <w:bCs/>
                <w:color w:val="000000"/>
                <w:sz w:val="20"/>
                <w:szCs w:val="20"/>
              </w:rPr>
              <w:t>£000s</w:t>
            </w:r>
          </w:p>
        </w:tc>
        <w:tc>
          <w:tcPr>
            <w:tcW w:w="0" w:type="auto"/>
            <w:tcBorders>
              <w:top w:val="single" w:sz="4" w:space="0" w:color="auto"/>
              <w:left w:val="nil"/>
              <w:bottom w:val="single" w:sz="4" w:space="0" w:color="auto"/>
              <w:right w:val="single" w:sz="4" w:space="0" w:color="auto"/>
            </w:tcBorders>
            <w:shd w:val="clear" w:color="000000" w:fill="auto"/>
            <w:hideMark/>
          </w:tcPr>
          <w:p w14:paraId="29885E63" w14:textId="77777777" w:rsidR="00BE35F9" w:rsidRDefault="00BE35F9" w:rsidP="006F1659">
            <w:pPr>
              <w:spacing w:line="360" w:lineRule="auto"/>
              <w:jc w:val="center"/>
              <w:rPr>
                <w:rFonts w:ascii="Arial" w:hAnsi="Arial" w:cs="Arial"/>
                <w:b/>
                <w:bCs/>
                <w:sz w:val="20"/>
                <w:szCs w:val="20"/>
              </w:rPr>
            </w:pPr>
            <w:r w:rsidRPr="00192EC4">
              <w:rPr>
                <w:rFonts w:ascii="Arial" w:hAnsi="Arial" w:cs="Arial"/>
                <w:b/>
                <w:bCs/>
                <w:sz w:val="20"/>
                <w:szCs w:val="20"/>
              </w:rPr>
              <w:t>Provisional Variance</w:t>
            </w:r>
          </w:p>
          <w:p w14:paraId="3730A0E7" w14:textId="79AC83D6" w:rsidR="00D37346" w:rsidRPr="00192EC4" w:rsidRDefault="00D37346" w:rsidP="006F1659">
            <w:pPr>
              <w:spacing w:line="360" w:lineRule="auto"/>
              <w:jc w:val="center"/>
              <w:rPr>
                <w:rFonts w:ascii="Arial" w:hAnsi="Arial" w:cs="Arial"/>
                <w:b/>
                <w:bCs/>
                <w:sz w:val="20"/>
                <w:szCs w:val="20"/>
              </w:rPr>
            </w:pPr>
            <w:r>
              <w:rPr>
                <w:rFonts w:ascii="Arial" w:hAnsi="Arial" w:cs="Arial"/>
                <w:b/>
                <w:bCs/>
                <w:sz w:val="20"/>
                <w:szCs w:val="20"/>
              </w:rPr>
              <w:t>£000s</w:t>
            </w:r>
          </w:p>
        </w:tc>
      </w:tr>
      <w:tr w:rsidR="00BE35F9" w:rsidRPr="00192EC4" w14:paraId="0453023D" w14:textId="77777777" w:rsidTr="00161E00">
        <w:trPr>
          <w:trHeight w:val="245"/>
        </w:trPr>
        <w:tc>
          <w:tcPr>
            <w:tcW w:w="0" w:type="auto"/>
            <w:tcBorders>
              <w:top w:val="nil"/>
              <w:left w:val="single" w:sz="4" w:space="0" w:color="auto"/>
              <w:bottom w:val="nil"/>
              <w:right w:val="nil"/>
            </w:tcBorders>
            <w:shd w:val="clear" w:color="auto" w:fill="auto"/>
            <w:vAlign w:val="center"/>
            <w:hideMark/>
          </w:tcPr>
          <w:p w14:paraId="2FE51BE6" w14:textId="77777777" w:rsidR="00BE35F9" w:rsidRPr="00192EC4" w:rsidRDefault="00BE35F9" w:rsidP="006F1659">
            <w:pPr>
              <w:spacing w:line="360" w:lineRule="auto"/>
              <w:rPr>
                <w:rFonts w:ascii="Arial" w:hAnsi="Arial" w:cs="Arial"/>
                <w:color w:val="000000"/>
                <w:sz w:val="20"/>
                <w:szCs w:val="20"/>
              </w:rPr>
            </w:pPr>
            <w:r w:rsidRPr="00192EC4">
              <w:rPr>
                <w:rFonts w:ascii="Arial" w:hAnsi="Arial" w:cs="Arial"/>
                <w:color w:val="000000"/>
                <w:sz w:val="20"/>
                <w:szCs w:val="20"/>
              </w:rPr>
              <w:t>Operational Costs</w:t>
            </w:r>
          </w:p>
        </w:tc>
        <w:tc>
          <w:tcPr>
            <w:tcW w:w="0" w:type="auto"/>
            <w:tcBorders>
              <w:top w:val="nil"/>
              <w:left w:val="single" w:sz="4" w:space="0" w:color="auto"/>
              <w:bottom w:val="nil"/>
              <w:right w:val="single" w:sz="4" w:space="0" w:color="auto"/>
            </w:tcBorders>
            <w:shd w:val="clear" w:color="auto" w:fill="auto"/>
            <w:noWrap/>
            <w:vAlign w:val="center"/>
            <w:hideMark/>
          </w:tcPr>
          <w:p w14:paraId="036C019A"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107,872</w:t>
            </w:r>
          </w:p>
        </w:tc>
        <w:tc>
          <w:tcPr>
            <w:tcW w:w="0" w:type="auto"/>
            <w:tcBorders>
              <w:top w:val="nil"/>
              <w:left w:val="nil"/>
              <w:bottom w:val="nil"/>
              <w:right w:val="single" w:sz="4" w:space="0" w:color="auto"/>
            </w:tcBorders>
            <w:shd w:val="clear" w:color="auto" w:fill="auto"/>
            <w:noWrap/>
            <w:vAlign w:val="center"/>
            <w:hideMark/>
          </w:tcPr>
          <w:p w14:paraId="61862984"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65,283</w:t>
            </w:r>
          </w:p>
        </w:tc>
        <w:tc>
          <w:tcPr>
            <w:tcW w:w="0" w:type="auto"/>
            <w:tcBorders>
              <w:top w:val="nil"/>
              <w:left w:val="nil"/>
              <w:bottom w:val="nil"/>
              <w:right w:val="single" w:sz="4" w:space="0" w:color="auto"/>
            </w:tcBorders>
            <w:shd w:val="clear" w:color="auto" w:fill="auto"/>
            <w:noWrap/>
            <w:vAlign w:val="center"/>
            <w:hideMark/>
          </w:tcPr>
          <w:p w14:paraId="72F38C1C" w14:textId="614275DC" w:rsidR="00BE35F9" w:rsidRPr="00192EC4" w:rsidRDefault="006A7580" w:rsidP="006F1659">
            <w:pPr>
              <w:spacing w:line="360" w:lineRule="auto"/>
              <w:jc w:val="right"/>
              <w:rPr>
                <w:rFonts w:ascii="Arial" w:hAnsi="Arial" w:cs="Arial"/>
                <w:color w:val="000000"/>
                <w:sz w:val="20"/>
                <w:szCs w:val="20"/>
              </w:rPr>
            </w:pPr>
            <w:r>
              <w:rPr>
                <w:rFonts w:ascii="Arial" w:hAnsi="Arial" w:cs="Arial"/>
                <w:color w:val="000000"/>
                <w:sz w:val="20"/>
                <w:szCs w:val="20"/>
              </w:rPr>
              <w:t>(</w:t>
            </w:r>
            <w:r w:rsidR="00BE35F9" w:rsidRPr="00192EC4">
              <w:rPr>
                <w:rFonts w:ascii="Arial" w:hAnsi="Arial" w:cs="Arial"/>
                <w:color w:val="000000"/>
                <w:sz w:val="20"/>
                <w:szCs w:val="20"/>
              </w:rPr>
              <w:t>42,589</w:t>
            </w:r>
            <w:r>
              <w:rPr>
                <w:rFonts w:ascii="Arial" w:hAnsi="Arial" w:cs="Arial"/>
                <w:color w:val="000000"/>
                <w:sz w:val="20"/>
                <w:szCs w:val="20"/>
              </w:rPr>
              <w:t>)</w:t>
            </w:r>
          </w:p>
        </w:tc>
      </w:tr>
      <w:tr w:rsidR="00BE35F9" w:rsidRPr="00192EC4" w14:paraId="37F94468" w14:textId="77777777" w:rsidTr="00161E00">
        <w:trPr>
          <w:trHeight w:val="245"/>
        </w:trPr>
        <w:tc>
          <w:tcPr>
            <w:tcW w:w="0" w:type="auto"/>
            <w:tcBorders>
              <w:top w:val="nil"/>
              <w:left w:val="single" w:sz="4" w:space="0" w:color="auto"/>
              <w:bottom w:val="nil"/>
              <w:right w:val="nil"/>
            </w:tcBorders>
            <w:shd w:val="clear" w:color="auto" w:fill="auto"/>
            <w:vAlign w:val="center"/>
            <w:hideMark/>
          </w:tcPr>
          <w:p w14:paraId="7F899F92" w14:textId="77777777" w:rsidR="00BE35F9" w:rsidRPr="00192EC4" w:rsidRDefault="00BE35F9" w:rsidP="006F1659">
            <w:pPr>
              <w:spacing w:line="360" w:lineRule="auto"/>
              <w:rPr>
                <w:rFonts w:ascii="Arial" w:hAnsi="Arial" w:cs="Arial"/>
                <w:color w:val="000000"/>
                <w:sz w:val="20"/>
                <w:szCs w:val="20"/>
              </w:rPr>
            </w:pPr>
            <w:r w:rsidRPr="00192EC4">
              <w:rPr>
                <w:rFonts w:ascii="Arial" w:hAnsi="Arial" w:cs="Arial"/>
                <w:color w:val="000000"/>
                <w:sz w:val="20"/>
                <w:szCs w:val="20"/>
              </w:rPr>
              <w:t>Operational Financing</w:t>
            </w:r>
          </w:p>
        </w:tc>
        <w:tc>
          <w:tcPr>
            <w:tcW w:w="0" w:type="auto"/>
            <w:tcBorders>
              <w:top w:val="nil"/>
              <w:left w:val="single" w:sz="4" w:space="0" w:color="auto"/>
              <w:bottom w:val="nil"/>
              <w:right w:val="single" w:sz="4" w:space="0" w:color="auto"/>
            </w:tcBorders>
            <w:shd w:val="clear" w:color="auto" w:fill="auto"/>
            <w:noWrap/>
            <w:vAlign w:val="center"/>
            <w:hideMark/>
          </w:tcPr>
          <w:p w14:paraId="5DBB93D5"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50,614</w:t>
            </w:r>
          </w:p>
        </w:tc>
        <w:tc>
          <w:tcPr>
            <w:tcW w:w="0" w:type="auto"/>
            <w:tcBorders>
              <w:top w:val="nil"/>
              <w:left w:val="nil"/>
              <w:bottom w:val="nil"/>
              <w:right w:val="single" w:sz="4" w:space="0" w:color="auto"/>
            </w:tcBorders>
            <w:shd w:val="clear" w:color="auto" w:fill="auto"/>
            <w:noWrap/>
            <w:vAlign w:val="center"/>
            <w:hideMark/>
          </w:tcPr>
          <w:p w14:paraId="00232C86"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49,797</w:t>
            </w:r>
          </w:p>
        </w:tc>
        <w:tc>
          <w:tcPr>
            <w:tcW w:w="0" w:type="auto"/>
            <w:tcBorders>
              <w:top w:val="nil"/>
              <w:left w:val="nil"/>
              <w:bottom w:val="nil"/>
              <w:right w:val="single" w:sz="4" w:space="0" w:color="auto"/>
            </w:tcBorders>
            <w:shd w:val="clear" w:color="auto" w:fill="auto"/>
            <w:noWrap/>
            <w:vAlign w:val="center"/>
            <w:hideMark/>
          </w:tcPr>
          <w:p w14:paraId="606FB17F" w14:textId="5CDBF213" w:rsidR="00BE35F9" w:rsidRPr="00192EC4" w:rsidRDefault="006A7580" w:rsidP="006F1659">
            <w:pPr>
              <w:spacing w:line="360" w:lineRule="auto"/>
              <w:jc w:val="right"/>
              <w:rPr>
                <w:rFonts w:ascii="Arial" w:hAnsi="Arial" w:cs="Arial"/>
                <w:color w:val="000000"/>
                <w:sz w:val="20"/>
                <w:szCs w:val="20"/>
              </w:rPr>
            </w:pPr>
            <w:r>
              <w:rPr>
                <w:rFonts w:ascii="Arial" w:hAnsi="Arial" w:cs="Arial"/>
                <w:color w:val="000000"/>
                <w:sz w:val="20"/>
                <w:szCs w:val="20"/>
              </w:rPr>
              <w:t>(</w:t>
            </w:r>
            <w:r w:rsidR="00BE35F9" w:rsidRPr="00192EC4">
              <w:rPr>
                <w:rFonts w:ascii="Arial" w:hAnsi="Arial" w:cs="Arial"/>
                <w:color w:val="000000"/>
                <w:sz w:val="20"/>
                <w:szCs w:val="20"/>
              </w:rPr>
              <w:t>817</w:t>
            </w:r>
            <w:r>
              <w:rPr>
                <w:rFonts w:ascii="Arial" w:hAnsi="Arial" w:cs="Arial"/>
                <w:color w:val="000000"/>
                <w:sz w:val="20"/>
                <w:szCs w:val="20"/>
              </w:rPr>
              <w:t>)</w:t>
            </w:r>
          </w:p>
        </w:tc>
      </w:tr>
      <w:tr w:rsidR="00BE35F9" w:rsidRPr="00192EC4" w14:paraId="5E9EBA94" w14:textId="77777777" w:rsidTr="00161E00">
        <w:trPr>
          <w:trHeight w:val="245"/>
        </w:trPr>
        <w:tc>
          <w:tcPr>
            <w:tcW w:w="0" w:type="auto"/>
            <w:tcBorders>
              <w:top w:val="nil"/>
              <w:left w:val="single" w:sz="4" w:space="0" w:color="auto"/>
              <w:bottom w:val="nil"/>
              <w:right w:val="nil"/>
            </w:tcBorders>
            <w:shd w:val="clear" w:color="auto" w:fill="auto"/>
            <w:vAlign w:val="center"/>
            <w:hideMark/>
          </w:tcPr>
          <w:p w14:paraId="70C227E3" w14:textId="77777777" w:rsidR="00BE35F9" w:rsidRPr="00192EC4" w:rsidRDefault="00BE35F9" w:rsidP="006F1659">
            <w:pPr>
              <w:spacing w:line="360" w:lineRule="auto"/>
              <w:rPr>
                <w:rFonts w:ascii="Arial" w:hAnsi="Arial" w:cs="Arial"/>
                <w:color w:val="000000"/>
                <w:sz w:val="20"/>
                <w:szCs w:val="20"/>
              </w:rPr>
            </w:pPr>
            <w:r w:rsidRPr="00192EC4">
              <w:rPr>
                <w:rFonts w:ascii="Arial" w:hAnsi="Arial" w:cs="Arial"/>
                <w:color w:val="000000"/>
                <w:sz w:val="20"/>
                <w:szCs w:val="20"/>
              </w:rPr>
              <w:t>Office Costs</w:t>
            </w:r>
          </w:p>
        </w:tc>
        <w:tc>
          <w:tcPr>
            <w:tcW w:w="0" w:type="auto"/>
            <w:tcBorders>
              <w:top w:val="nil"/>
              <w:left w:val="single" w:sz="4" w:space="0" w:color="auto"/>
              <w:bottom w:val="nil"/>
              <w:right w:val="single" w:sz="4" w:space="0" w:color="auto"/>
            </w:tcBorders>
            <w:shd w:val="clear" w:color="auto" w:fill="auto"/>
            <w:noWrap/>
            <w:vAlign w:val="center"/>
            <w:hideMark/>
          </w:tcPr>
          <w:p w14:paraId="6381350F"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6,318</w:t>
            </w:r>
          </w:p>
        </w:tc>
        <w:tc>
          <w:tcPr>
            <w:tcW w:w="0" w:type="auto"/>
            <w:tcBorders>
              <w:top w:val="nil"/>
              <w:left w:val="nil"/>
              <w:bottom w:val="nil"/>
              <w:right w:val="single" w:sz="4" w:space="0" w:color="auto"/>
            </w:tcBorders>
            <w:shd w:val="clear" w:color="auto" w:fill="auto"/>
            <w:noWrap/>
            <w:vAlign w:val="center"/>
            <w:hideMark/>
          </w:tcPr>
          <w:p w14:paraId="6EDD7B8E"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3,885</w:t>
            </w:r>
          </w:p>
        </w:tc>
        <w:tc>
          <w:tcPr>
            <w:tcW w:w="0" w:type="auto"/>
            <w:tcBorders>
              <w:top w:val="nil"/>
              <w:left w:val="nil"/>
              <w:bottom w:val="nil"/>
              <w:right w:val="single" w:sz="4" w:space="0" w:color="auto"/>
            </w:tcBorders>
            <w:shd w:val="clear" w:color="auto" w:fill="auto"/>
            <w:noWrap/>
            <w:vAlign w:val="center"/>
            <w:hideMark/>
          </w:tcPr>
          <w:p w14:paraId="41D9E122" w14:textId="08B5EC6B" w:rsidR="00BE35F9" w:rsidRPr="00192EC4" w:rsidRDefault="006A7580" w:rsidP="006F1659">
            <w:pPr>
              <w:spacing w:line="360" w:lineRule="auto"/>
              <w:jc w:val="right"/>
              <w:rPr>
                <w:rFonts w:ascii="Arial" w:hAnsi="Arial" w:cs="Arial"/>
                <w:color w:val="000000"/>
                <w:sz w:val="20"/>
                <w:szCs w:val="20"/>
              </w:rPr>
            </w:pPr>
            <w:r>
              <w:rPr>
                <w:rFonts w:ascii="Arial" w:hAnsi="Arial" w:cs="Arial"/>
                <w:color w:val="000000"/>
                <w:sz w:val="20"/>
                <w:szCs w:val="20"/>
              </w:rPr>
              <w:t>(2</w:t>
            </w:r>
            <w:r w:rsidR="00BE35F9" w:rsidRPr="00192EC4">
              <w:rPr>
                <w:rFonts w:ascii="Arial" w:hAnsi="Arial" w:cs="Arial"/>
                <w:color w:val="000000"/>
                <w:sz w:val="20"/>
                <w:szCs w:val="20"/>
              </w:rPr>
              <w:t>,433</w:t>
            </w:r>
            <w:r>
              <w:rPr>
                <w:rFonts w:ascii="Arial" w:hAnsi="Arial" w:cs="Arial"/>
                <w:color w:val="000000"/>
                <w:sz w:val="20"/>
                <w:szCs w:val="20"/>
              </w:rPr>
              <w:t>)</w:t>
            </w:r>
          </w:p>
        </w:tc>
      </w:tr>
      <w:tr w:rsidR="00BE35F9" w:rsidRPr="00192EC4" w14:paraId="7FF1DB25" w14:textId="77777777" w:rsidTr="00D37346">
        <w:trPr>
          <w:trHeight w:val="245"/>
        </w:trPr>
        <w:tc>
          <w:tcPr>
            <w:tcW w:w="0" w:type="auto"/>
            <w:tcBorders>
              <w:top w:val="nil"/>
              <w:left w:val="single" w:sz="4" w:space="0" w:color="auto"/>
              <w:bottom w:val="single" w:sz="4" w:space="0" w:color="auto"/>
              <w:right w:val="nil"/>
            </w:tcBorders>
            <w:shd w:val="clear" w:color="auto" w:fill="auto"/>
            <w:vAlign w:val="center"/>
            <w:hideMark/>
          </w:tcPr>
          <w:p w14:paraId="0A68A8D2" w14:textId="77777777" w:rsidR="00BE35F9" w:rsidRPr="00192EC4" w:rsidRDefault="00BE35F9" w:rsidP="006F1659">
            <w:pPr>
              <w:spacing w:line="360" w:lineRule="auto"/>
              <w:rPr>
                <w:rFonts w:ascii="Arial" w:hAnsi="Arial" w:cs="Arial"/>
                <w:color w:val="000000"/>
                <w:sz w:val="20"/>
                <w:szCs w:val="20"/>
              </w:rPr>
            </w:pPr>
            <w:r w:rsidRPr="00192EC4">
              <w:rPr>
                <w:rFonts w:ascii="Arial" w:hAnsi="Arial" w:cs="Arial"/>
                <w:color w:val="000000"/>
                <w:sz w:val="20"/>
                <w:szCs w:val="20"/>
              </w:rPr>
              <w:t>Non-Operational Financing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126BA"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510</w:t>
            </w:r>
          </w:p>
        </w:tc>
        <w:tc>
          <w:tcPr>
            <w:tcW w:w="0" w:type="auto"/>
            <w:tcBorders>
              <w:top w:val="nil"/>
              <w:left w:val="nil"/>
              <w:bottom w:val="single" w:sz="4" w:space="0" w:color="auto"/>
              <w:right w:val="single" w:sz="4" w:space="0" w:color="auto"/>
            </w:tcBorders>
            <w:shd w:val="clear" w:color="auto" w:fill="auto"/>
            <w:noWrap/>
            <w:vAlign w:val="center"/>
            <w:hideMark/>
          </w:tcPr>
          <w:p w14:paraId="4ED78E61"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492</w:t>
            </w:r>
          </w:p>
        </w:tc>
        <w:tc>
          <w:tcPr>
            <w:tcW w:w="0" w:type="auto"/>
            <w:tcBorders>
              <w:top w:val="nil"/>
              <w:left w:val="nil"/>
              <w:bottom w:val="single" w:sz="4" w:space="0" w:color="auto"/>
              <w:right w:val="single" w:sz="4" w:space="0" w:color="auto"/>
            </w:tcBorders>
            <w:shd w:val="clear" w:color="auto" w:fill="auto"/>
            <w:noWrap/>
            <w:vAlign w:val="center"/>
            <w:hideMark/>
          </w:tcPr>
          <w:p w14:paraId="3E7DECCA" w14:textId="52587D73" w:rsidR="00BE35F9" w:rsidRPr="00192EC4" w:rsidRDefault="006A7580" w:rsidP="006F1659">
            <w:pPr>
              <w:spacing w:line="360" w:lineRule="auto"/>
              <w:jc w:val="right"/>
              <w:rPr>
                <w:rFonts w:ascii="Arial" w:hAnsi="Arial" w:cs="Arial"/>
                <w:color w:val="000000"/>
                <w:sz w:val="20"/>
                <w:szCs w:val="20"/>
              </w:rPr>
            </w:pPr>
            <w:r>
              <w:rPr>
                <w:rFonts w:ascii="Arial" w:hAnsi="Arial" w:cs="Arial"/>
                <w:color w:val="000000"/>
                <w:sz w:val="20"/>
                <w:szCs w:val="20"/>
              </w:rPr>
              <w:t>(</w:t>
            </w:r>
            <w:r w:rsidR="00BE35F9" w:rsidRPr="00192EC4">
              <w:rPr>
                <w:rFonts w:ascii="Arial" w:hAnsi="Arial" w:cs="Arial"/>
                <w:color w:val="000000"/>
                <w:sz w:val="20"/>
                <w:szCs w:val="20"/>
              </w:rPr>
              <w:t>18</w:t>
            </w:r>
            <w:r>
              <w:rPr>
                <w:rFonts w:ascii="Arial" w:hAnsi="Arial" w:cs="Arial"/>
                <w:color w:val="000000"/>
                <w:sz w:val="20"/>
                <w:szCs w:val="20"/>
              </w:rPr>
              <w:t>)</w:t>
            </w:r>
          </w:p>
        </w:tc>
      </w:tr>
      <w:tr w:rsidR="00BE35F9" w:rsidRPr="00192EC4" w14:paraId="102C3BF7" w14:textId="77777777" w:rsidTr="00D37346">
        <w:trPr>
          <w:trHeight w:val="245"/>
        </w:trPr>
        <w:tc>
          <w:tcPr>
            <w:tcW w:w="0" w:type="auto"/>
            <w:tcBorders>
              <w:top w:val="single" w:sz="4" w:space="0" w:color="auto"/>
              <w:left w:val="single" w:sz="4" w:space="0" w:color="auto"/>
              <w:bottom w:val="single" w:sz="4" w:space="0" w:color="auto"/>
              <w:right w:val="nil"/>
            </w:tcBorders>
            <w:shd w:val="clear" w:color="000000" w:fill="auto"/>
            <w:vAlign w:val="center"/>
            <w:hideMark/>
          </w:tcPr>
          <w:p w14:paraId="7C710B81" w14:textId="77777777" w:rsidR="00BE35F9" w:rsidRPr="00192EC4" w:rsidRDefault="00BE35F9" w:rsidP="006F1659">
            <w:pPr>
              <w:spacing w:line="360" w:lineRule="auto"/>
              <w:rPr>
                <w:rFonts w:ascii="Arial" w:hAnsi="Arial" w:cs="Arial"/>
                <w:b/>
                <w:bCs/>
                <w:color w:val="000000"/>
                <w:sz w:val="20"/>
                <w:szCs w:val="20"/>
              </w:rPr>
            </w:pPr>
            <w:r w:rsidRPr="00192EC4">
              <w:rPr>
                <w:rFonts w:ascii="Arial" w:hAnsi="Arial" w:cs="Arial"/>
                <w:b/>
                <w:bCs/>
                <w:color w:val="000000"/>
                <w:sz w:val="20"/>
                <w:szCs w:val="20"/>
              </w:rPr>
              <w:t>Total Expenditure</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7D357D1" w14:textId="77777777" w:rsidR="00BE35F9" w:rsidRPr="00192EC4" w:rsidRDefault="00BE35F9" w:rsidP="006F1659">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165,314</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14:paraId="21DC9B75" w14:textId="77777777" w:rsidR="00BE35F9" w:rsidRPr="00192EC4" w:rsidRDefault="00BE35F9" w:rsidP="006F1659">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119,457</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14:paraId="2744A9A1" w14:textId="0E189832" w:rsidR="00BE35F9" w:rsidRPr="00192EC4" w:rsidRDefault="006A7580" w:rsidP="006F1659">
            <w:pPr>
              <w:spacing w:line="360" w:lineRule="auto"/>
              <w:jc w:val="right"/>
              <w:rPr>
                <w:rFonts w:ascii="Arial" w:hAnsi="Arial" w:cs="Arial"/>
                <w:b/>
                <w:bCs/>
                <w:color w:val="000000"/>
                <w:sz w:val="20"/>
                <w:szCs w:val="20"/>
              </w:rPr>
            </w:pPr>
            <w:r>
              <w:rPr>
                <w:rFonts w:ascii="Arial" w:hAnsi="Arial" w:cs="Arial"/>
                <w:b/>
                <w:bCs/>
                <w:color w:val="000000"/>
                <w:sz w:val="20"/>
                <w:szCs w:val="20"/>
              </w:rPr>
              <w:t>(</w:t>
            </w:r>
            <w:r w:rsidR="00BE35F9" w:rsidRPr="00192EC4">
              <w:rPr>
                <w:rFonts w:ascii="Arial" w:hAnsi="Arial" w:cs="Arial"/>
                <w:b/>
                <w:bCs/>
                <w:color w:val="000000"/>
                <w:sz w:val="20"/>
                <w:szCs w:val="20"/>
              </w:rPr>
              <w:t>45,857</w:t>
            </w:r>
            <w:r>
              <w:rPr>
                <w:rFonts w:ascii="Arial" w:hAnsi="Arial" w:cs="Arial"/>
                <w:b/>
                <w:bCs/>
                <w:color w:val="000000"/>
                <w:sz w:val="20"/>
                <w:szCs w:val="20"/>
              </w:rPr>
              <w:t>)</w:t>
            </w:r>
          </w:p>
        </w:tc>
      </w:tr>
      <w:tr w:rsidR="00BE35F9" w:rsidRPr="00192EC4" w14:paraId="0EFE89EF" w14:textId="77777777" w:rsidTr="00161E00">
        <w:trPr>
          <w:trHeight w:val="245"/>
        </w:trPr>
        <w:tc>
          <w:tcPr>
            <w:tcW w:w="0" w:type="auto"/>
            <w:tcBorders>
              <w:top w:val="nil"/>
              <w:left w:val="single" w:sz="4" w:space="0" w:color="auto"/>
              <w:bottom w:val="nil"/>
              <w:right w:val="nil"/>
            </w:tcBorders>
            <w:shd w:val="clear" w:color="auto" w:fill="auto"/>
            <w:noWrap/>
            <w:vAlign w:val="center"/>
            <w:hideMark/>
          </w:tcPr>
          <w:p w14:paraId="0C05283C" w14:textId="77777777" w:rsidR="00BE35F9" w:rsidRPr="00192EC4" w:rsidRDefault="00BE35F9" w:rsidP="006F1659">
            <w:pPr>
              <w:spacing w:line="360" w:lineRule="auto"/>
              <w:rPr>
                <w:rFonts w:ascii="Arial" w:hAnsi="Arial" w:cs="Arial"/>
                <w:sz w:val="20"/>
                <w:szCs w:val="20"/>
              </w:rPr>
            </w:pPr>
            <w:r w:rsidRPr="00192EC4">
              <w:rPr>
                <w:rFonts w:ascii="Arial" w:hAnsi="Arial" w:cs="Arial"/>
                <w:sz w:val="20"/>
                <w:szCs w:val="20"/>
              </w:rPr>
              <w:t>Levy Adjustment</w:t>
            </w:r>
          </w:p>
        </w:tc>
        <w:tc>
          <w:tcPr>
            <w:tcW w:w="0" w:type="auto"/>
            <w:tcBorders>
              <w:top w:val="nil"/>
              <w:left w:val="single" w:sz="4" w:space="0" w:color="auto"/>
              <w:bottom w:val="nil"/>
              <w:right w:val="single" w:sz="4" w:space="0" w:color="auto"/>
            </w:tcBorders>
            <w:shd w:val="clear" w:color="auto" w:fill="auto"/>
            <w:noWrap/>
            <w:vAlign w:val="center"/>
            <w:hideMark/>
          </w:tcPr>
          <w:p w14:paraId="3CE52D6F"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0" w:type="auto"/>
            <w:tcBorders>
              <w:top w:val="nil"/>
              <w:left w:val="nil"/>
              <w:bottom w:val="nil"/>
              <w:right w:val="single" w:sz="4" w:space="0" w:color="auto"/>
            </w:tcBorders>
            <w:shd w:val="clear" w:color="auto" w:fill="auto"/>
            <w:noWrap/>
            <w:vAlign w:val="center"/>
            <w:hideMark/>
          </w:tcPr>
          <w:p w14:paraId="3F0CD889"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1,571</w:t>
            </w:r>
          </w:p>
        </w:tc>
        <w:tc>
          <w:tcPr>
            <w:tcW w:w="0" w:type="auto"/>
            <w:tcBorders>
              <w:top w:val="nil"/>
              <w:left w:val="nil"/>
              <w:bottom w:val="nil"/>
              <w:right w:val="single" w:sz="4" w:space="0" w:color="auto"/>
            </w:tcBorders>
            <w:shd w:val="clear" w:color="auto" w:fill="auto"/>
            <w:noWrap/>
            <w:vAlign w:val="center"/>
            <w:hideMark/>
          </w:tcPr>
          <w:p w14:paraId="6ADBD81C"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1,571</w:t>
            </w:r>
          </w:p>
        </w:tc>
      </w:tr>
      <w:tr w:rsidR="00BE35F9" w:rsidRPr="00192EC4" w14:paraId="09C8B422" w14:textId="77777777" w:rsidTr="00161E00">
        <w:trPr>
          <w:trHeight w:val="245"/>
        </w:trPr>
        <w:tc>
          <w:tcPr>
            <w:tcW w:w="0" w:type="auto"/>
            <w:tcBorders>
              <w:top w:val="nil"/>
              <w:left w:val="single" w:sz="4" w:space="0" w:color="auto"/>
              <w:bottom w:val="nil"/>
              <w:right w:val="nil"/>
            </w:tcBorders>
            <w:shd w:val="clear" w:color="auto" w:fill="auto"/>
            <w:noWrap/>
            <w:vAlign w:val="center"/>
            <w:hideMark/>
          </w:tcPr>
          <w:p w14:paraId="55FE4EB2" w14:textId="77777777" w:rsidR="00BE35F9" w:rsidRPr="00192EC4" w:rsidRDefault="00BE35F9" w:rsidP="006F1659">
            <w:pPr>
              <w:spacing w:line="360" w:lineRule="auto"/>
              <w:rPr>
                <w:rFonts w:ascii="Arial" w:hAnsi="Arial" w:cs="Arial"/>
                <w:sz w:val="20"/>
                <w:szCs w:val="20"/>
              </w:rPr>
            </w:pPr>
            <w:r w:rsidRPr="00192EC4">
              <w:rPr>
                <w:rFonts w:ascii="Arial" w:hAnsi="Arial" w:cs="Arial"/>
                <w:sz w:val="20"/>
                <w:szCs w:val="20"/>
              </w:rPr>
              <w:t xml:space="preserve">Return to constituent authorities </w:t>
            </w:r>
          </w:p>
        </w:tc>
        <w:tc>
          <w:tcPr>
            <w:tcW w:w="0" w:type="auto"/>
            <w:tcBorders>
              <w:top w:val="nil"/>
              <w:left w:val="single" w:sz="4" w:space="0" w:color="auto"/>
              <w:bottom w:val="nil"/>
              <w:right w:val="single" w:sz="4" w:space="0" w:color="auto"/>
            </w:tcBorders>
            <w:shd w:val="clear" w:color="auto" w:fill="auto"/>
            <w:noWrap/>
            <w:vAlign w:val="center"/>
            <w:hideMark/>
          </w:tcPr>
          <w:p w14:paraId="181DD756"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0" w:type="auto"/>
            <w:tcBorders>
              <w:top w:val="nil"/>
              <w:left w:val="nil"/>
              <w:bottom w:val="nil"/>
              <w:right w:val="single" w:sz="4" w:space="0" w:color="auto"/>
            </w:tcBorders>
            <w:shd w:val="clear" w:color="auto" w:fill="auto"/>
            <w:noWrap/>
            <w:vAlign w:val="center"/>
            <w:hideMark/>
          </w:tcPr>
          <w:p w14:paraId="4BDABB75"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10,000</w:t>
            </w:r>
          </w:p>
        </w:tc>
        <w:tc>
          <w:tcPr>
            <w:tcW w:w="0" w:type="auto"/>
            <w:tcBorders>
              <w:top w:val="nil"/>
              <w:left w:val="nil"/>
              <w:bottom w:val="nil"/>
              <w:right w:val="single" w:sz="4" w:space="0" w:color="auto"/>
            </w:tcBorders>
            <w:shd w:val="clear" w:color="auto" w:fill="auto"/>
            <w:noWrap/>
            <w:vAlign w:val="center"/>
            <w:hideMark/>
          </w:tcPr>
          <w:p w14:paraId="215660B5"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10,000</w:t>
            </w:r>
          </w:p>
        </w:tc>
      </w:tr>
      <w:tr w:rsidR="00BE35F9" w:rsidRPr="00192EC4" w14:paraId="6FF4C364" w14:textId="77777777" w:rsidTr="00D37346">
        <w:trPr>
          <w:trHeight w:val="245"/>
        </w:trPr>
        <w:tc>
          <w:tcPr>
            <w:tcW w:w="0" w:type="auto"/>
            <w:tcBorders>
              <w:top w:val="nil"/>
              <w:left w:val="single" w:sz="4" w:space="0" w:color="auto"/>
              <w:bottom w:val="single" w:sz="4" w:space="0" w:color="auto"/>
              <w:right w:val="nil"/>
            </w:tcBorders>
            <w:shd w:val="clear" w:color="auto" w:fill="auto"/>
            <w:vAlign w:val="center"/>
            <w:hideMark/>
          </w:tcPr>
          <w:p w14:paraId="73B32E8D" w14:textId="77777777" w:rsidR="00BE35F9" w:rsidRPr="00192EC4" w:rsidRDefault="00BE35F9" w:rsidP="006F1659">
            <w:pPr>
              <w:spacing w:line="360" w:lineRule="auto"/>
              <w:rPr>
                <w:rFonts w:ascii="Arial" w:hAnsi="Arial" w:cs="Arial"/>
                <w:color w:val="000000"/>
                <w:sz w:val="20"/>
                <w:szCs w:val="20"/>
              </w:rPr>
            </w:pPr>
            <w:r w:rsidRPr="00192EC4">
              <w:rPr>
                <w:rFonts w:ascii="Arial" w:hAnsi="Arial" w:cs="Arial"/>
                <w:color w:val="000000"/>
                <w:sz w:val="20"/>
                <w:szCs w:val="20"/>
              </w:rPr>
              <w:t>Transfer (from)/to reserves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DCBE3" w14:textId="46E605D8" w:rsidR="00BE35F9" w:rsidRPr="00192EC4" w:rsidRDefault="006A7580" w:rsidP="006F1659">
            <w:pPr>
              <w:spacing w:line="360" w:lineRule="auto"/>
              <w:jc w:val="right"/>
              <w:rPr>
                <w:rFonts w:ascii="Arial" w:hAnsi="Arial" w:cs="Arial"/>
                <w:color w:val="000000"/>
                <w:sz w:val="20"/>
                <w:szCs w:val="20"/>
              </w:rPr>
            </w:pPr>
            <w:r>
              <w:rPr>
                <w:rFonts w:ascii="Arial" w:hAnsi="Arial" w:cs="Arial"/>
                <w:color w:val="000000"/>
                <w:sz w:val="20"/>
                <w:szCs w:val="20"/>
              </w:rPr>
              <w:t>(</w:t>
            </w:r>
            <w:r w:rsidR="00BE35F9" w:rsidRPr="00192EC4">
              <w:rPr>
                <w:rFonts w:ascii="Arial" w:hAnsi="Arial" w:cs="Arial"/>
                <w:color w:val="000000"/>
                <w:sz w:val="20"/>
                <w:szCs w:val="20"/>
              </w:rPr>
              <w:t>474</w:t>
            </w:r>
            <w:r>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78539642"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33,812</w:t>
            </w:r>
          </w:p>
        </w:tc>
        <w:tc>
          <w:tcPr>
            <w:tcW w:w="0" w:type="auto"/>
            <w:tcBorders>
              <w:top w:val="nil"/>
              <w:left w:val="nil"/>
              <w:bottom w:val="single" w:sz="4" w:space="0" w:color="auto"/>
              <w:right w:val="single" w:sz="4" w:space="0" w:color="auto"/>
            </w:tcBorders>
            <w:shd w:val="clear" w:color="auto" w:fill="auto"/>
            <w:noWrap/>
            <w:vAlign w:val="center"/>
            <w:hideMark/>
          </w:tcPr>
          <w:p w14:paraId="39B8572A" w14:textId="77777777" w:rsidR="00BE35F9" w:rsidRPr="00192EC4" w:rsidRDefault="00BE35F9" w:rsidP="006F1659">
            <w:pPr>
              <w:spacing w:line="360" w:lineRule="auto"/>
              <w:jc w:val="right"/>
              <w:rPr>
                <w:rFonts w:ascii="Arial" w:hAnsi="Arial" w:cs="Arial"/>
                <w:color w:val="000000"/>
                <w:sz w:val="20"/>
                <w:szCs w:val="20"/>
              </w:rPr>
            </w:pPr>
            <w:r w:rsidRPr="00192EC4">
              <w:rPr>
                <w:rFonts w:ascii="Arial" w:hAnsi="Arial" w:cs="Arial"/>
                <w:color w:val="000000"/>
                <w:sz w:val="20"/>
                <w:szCs w:val="20"/>
              </w:rPr>
              <w:t>34,286</w:t>
            </w:r>
          </w:p>
        </w:tc>
      </w:tr>
      <w:tr w:rsidR="00BE35F9" w:rsidRPr="00192EC4" w14:paraId="222E4871" w14:textId="77777777" w:rsidTr="00D37346">
        <w:trPr>
          <w:trHeight w:val="245"/>
        </w:trPr>
        <w:tc>
          <w:tcPr>
            <w:tcW w:w="0" w:type="auto"/>
            <w:tcBorders>
              <w:top w:val="single" w:sz="4" w:space="0" w:color="auto"/>
              <w:left w:val="single" w:sz="4" w:space="0" w:color="auto"/>
              <w:bottom w:val="single" w:sz="4" w:space="0" w:color="auto"/>
              <w:right w:val="nil"/>
            </w:tcBorders>
            <w:shd w:val="clear" w:color="000000" w:fill="auto"/>
            <w:vAlign w:val="center"/>
            <w:hideMark/>
          </w:tcPr>
          <w:p w14:paraId="1BF8CB11" w14:textId="6B860A95" w:rsidR="00BE35F9" w:rsidRPr="00192EC4" w:rsidRDefault="005B2B3D" w:rsidP="006F1659">
            <w:pPr>
              <w:spacing w:line="360" w:lineRule="auto"/>
              <w:rPr>
                <w:rFonts w:ascii="Arial" w:hAnsi="Arial" w:cs="Arial"/>
                <w:b/>
                <w:bCs/>
                <w:color w:val="000000"/>
                <w:sz w:val="20"/>
                <w:szCs w:val="20"/>
              </w:rPr>
            </w:pPr>
            <w:r>
              <w:rPr>
                <w:rFonts w:ascii="Arial" w:hAnsi="Arial" w:cs="Arial"/>
                <w:b/>
                <w:bCs/>
                <w:color w:val="000000"/>
                <w:sz w:val="20"/>
                <w:szCs w:val="20"/>
              </w:rPr>
              <w:t>Total Funding (Levy)</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29308D8" w14:textId="77777777" w:rsidR="00BE35F9" w:rsidRPr="00192EC4" w:rsidRDefault="00BE35F9" w:rsidP="006F1659">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164,840</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14:paraId="4DC70CC0" w14:textId="77777777" w:rsidR="00BE35F9" w:rsidRPr="00192EC4" w:rsidRDefault="00BE35F9" w:rsidP="006F1659">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164,840</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14:paraId="68410A1F" w14:textId="77777777" w:rsidR="00BE35F9" w:rsidRPr="00192EC4" w:rsidRDefault="00BE35F9" w:rsidP="006F1659">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0</w:t>
            </w:r>
          </w:p>
        </w:tc>
      </w:tr>
    </w:tbl>
    <w:p w14:paraId="649DD038" w14:textId="77777777" w:rsidR="00BE35F9" w:rsidRPr="00192EC4" w:rsidRDefault="00BE35F9" w:rsidP="006F1659">
      <w:pPr>
        <w:spacing w:line="360" w:lineRule="auto"/>
        <w:rPr>
          <w:rFonts w:ascii="Arial" w:hAnsi="Arial" w:cs="Arial"/>
          <w:bCs/>
        </w:rPr>
      </w:pPr>
    </w:p>
    <w:p w14:paraId="1549E4E4" w14:textId="16B35DD8" w:rsidR="00BE35F9" w:rsidRPr="00192EC4" w:rsidRDefault="00BE35F9" w:rsidP="006F1659">
      <w:pPr>
        <w:spacing w:line="360" w:lineRule="auto"/>
        <w:rPr>
          <w:rFonts w:ascii="Arial" w:hAnsi="Arial" w:cs="Arial"/>
          <w:bCs/>
        </w:rPr>
      </w:pPr>
      <w:r w:rsidRPr="00192EC4">
        <w:rPr>
          <w:rFonts w:ascii="Arial" w:hAnsi="Arial" w:cs="Arial"/>
          <w:bCs/>
        </w:rPr>
        <w:t xml:space="preserve">The HWRC tonnages have also continued to be difficult to predict following the pandemic, as well as being impacted by the success of the implementation of the van permit policy which has been highly successful in driving illegal trade waste out of the sites. The revenue outturn for 2022/23 was operational expenditure of £119.5m with an underspend of £45.9m made up of: </w:t>
      </w:r>
    </w:p>
    <w:p w14:paraId="554230B8" w14:textId="77777777" w:rsidR="00BC0D7C" w:rsidRPr="00192EC4" w:rsidRDefault="00BC0D7C" w:rsidP="006F1659">
      <w:pPr>
        <w:spacing w:line="360" w:lineRule="auto"/>
        <w:rPr>
          <w:rFonts w:ascii="Arial" w:hAnsi="Arial" w:cs="Arial"/>
          <w:bCs/>
          <w:lang w:eastAsia="en-GB"/>
        </w:rPr>
      </w:pPr>
    </w:p>
    <w:p w14:paraId="4EDEAB8F" w14:textId="77777777" w:rsidR="00BE35F9" w:rsidRPr="00192EC4" w:rsidRDefault="00BE35F9" w:rsidP="006F1659">
      <w:pPr>
        <w:pStyle w:val="ListParagraph"/>
        <w:numPr>
          <w:ilvl w:val="0"/>
          <w:numId w:val="68"/>
        </w:numPr>
        <w:tabs>
          <w:tab w:val="left" w:pos="2127"/>
        </w:tabs>
        <w:spacing w:after="0" w:line="360" w:lineRule="auto"/>
        <w:ind w:left="426" w:hanging="426"/>
        <w:rPr>
          <w:rFonts w:ascii="Arial" w:eastAsia="Calibri" w:hAnsi="Arial" w:cs="Arial"/>
          <w:sz w:val="24"/>
          <w:szCs w:val="24"/>
        </w:rPr>
      </w:pPr>
      <w:r w:rsidRPr="00192EC4">
        <w:rPr>
          <w:rFonts w:ascii="Arial" w:eastAsia="Calibri" w:hAnsi="Arial" w:cs="Arial"/>
          <w:sz w:val="24"/>
          <w:szCs w:val="24"/>
        </w:rPr>
        <w:t>Residual Value Contract underspend of £17.5m from an increased share of third party income derived from electricity and steam generation.</w:t>
      </w:r>
    </w:p>
    <w:p w14:paraId="4F6877A6" w14:textId="77777777" w:rsidR="00BE35F9" w:rsidRPr="00192EC4" w:rsidRDefault="00BE35F9" w:rsidP="006F1659">
      <w:pPr>
        <w:pStyle w:val="ListParagraph"/>
        <w:numPr>
          <w:ilvl w:val="0"/>
          <w:numId w:val="68"/>
        </w:numPr>
        <w:tabs>
          <w:tab w:val="left" w:pos="2127"/>
        </w:tabs>
        <w:spacing w:after="0" w:line="360" w:lineRule="auto"/>
        <w:ind w:left="426" w:hanging="426"/>
        <w:rPr>
          <w:rFonts w:ascii="Arial" w:eastAsia="Calibri" w:hAnsi="Arial" w:cs="Arial"/>
          <w:sz w:val="24"/>
          <w:szCs w:val="24"/>
        </w:rPr>
      </w:pPr>
      <w:r w:rsidRPr="00192EC4">
        <w:rPr>
          <w:rFonts w:ascii="Arial" w:eastAsia="Calibri" w:hAnsi="Arial" w:cs="Arial"/>
          <w:sz w:val="24"/>
          <w:szCs w:val="24"/>
        </w:rPr>
        <w:t>Waste and Resources Management Services (WRMS) contract underspend of £19.5m due to an increase in income from the sale of recyclates, savings in expenditure on residual waste treatment and landfill due to lower tonnages of residual waste, and savings on processing of commingled waste due to lower than budget tonnages.</w:t>
      </w:r>
    </w:p>
    <w:p w14:paraId="75C2E7F4" w14:textId="77777777" w:rsidR="00BE35F9" w:rsidRPr="00192EC4" w:rsidRDefault="00BE35F9" w:rsidP="006F1659">
      <w:pPr>
        <w:pStyle w:val="ListParagraph"/>
        <w:numPr>
          <w:ilvl w:val="0"/>
          <w:numId w:val="68"/>
        </w:numPr>
        <w:tabs>
          <w:tab w:val="left" w:pos="2127"/>
        </w:tabs>
        <w:spacing w:after="0" w:line="360" w:lineRule="auto"/>
        <w:ind w:left="426" w:hanging="426"/>
        <w:rPr>
          <w:rFonts w:ascii="Arial" w:eastAsia="Calibri" w:hAnsi="Arial" w:cs="Arial"/>
          <w:sz w:val="24"/>
          <w:szCs w:val="24"/>
        </w:rPr>
      </w:pPr>
      <w:r w:rsidRPr="00192EC4">
        <w:rPr>
          <w:rFonts w:ascii="Arial" w:eastAsia="Calibri" w:hAnsi="Arial" w:cs="Arial"/>
          <w:sz w:val="24"/>
          <w:szCs w:val="24"/>
        </w:rPr>
        <w:t>Household Waste Recycling Centre Management Services (HWRCMS) contract underspend of £2.9m due to lower than budgeted residual waste treatment costs due to lower than budgeted tonnages.</w:t>
      </w:r>
    </w:p>
    <w:p w14:paraId="514974E0" w14:textId="77777777" w:rsidR="00BE35F9" w:rsidRPr="00192EC4" w:rsidRDefault="00BE35F9" w:rsidP="006F1659">
      <w:pPr>
        <w:pStyle w:val="ListParagraph"/>
        <w:numPr>
          <w:ilvl w:val="0"/>
          <w:numId w:val="68"/>
        </w:numPr>
        <w:tabs>
          <w:tab w:val="left" w:pos="2127"/>
        </w:tabs>
        <w:spacing w:after="0" w:line="360" w:lineRule="auto"/>
        <w:ind w:left="426" w:hanging="426"/>
        <w:rPr>
          <w:rFonts w:ascii="Arial" w:eastAsia="Calibri" w:hAnsi="Arial" w:cs="Arial"/>
          <w:sz w:val="24"/>
          <w:szCs w:val="24"/>
        </w:rPr>
      </w:pPr>
      <w:r w:rsidRPr="00192EC4">
        <w:rPr>
          <w:rFonts w:ascii="Arial" w:eastAsia="Calibri" w:hAnsi="Arial" w:cs="Arial"/>
          <w:sz w:val="24"/>
          <w:szCs w:val="24"/>
        </w:rPr>
        <w:t>Biowaste Contracts underspend of £1.5m due to savings resulting from lower than budgeted tonnages.</w:t>
      </w:r>
    </w:p>
    <w:p w14:paraId="0A158B52" w14:textId="77777777" w:rsidR="00BE35F9" w:rsidRPr="00192EC4" w:rsidRDefault="00BE35F9" w:rsidP="006F1659">
      <w:pPr>
        <w:pStyle w:val="ListParagraph"/>
        <w:numPr>
          <w:ilvl w:val="0"/>
          <w:numId w:val="68"/>
        </w:numPr>
        <w:tabs>
          <w:tab w:val="left" w:pos="2127"/>
        </w:tabs>
        <w:spacing w:after="0" w:line="360" w:lineRule="auto"/>
        <w:ind w:left="426" w:hanging="426"/>
        <w:rPr>
          <w:rFonts w:ascii="Arial" w:eastAsia="Calibri" w:hAnsi="Arial" w:cs="Arial"/>
          <w:sz w:val="24"/>
          <w:szCs w:val="24"/>
        </w:rPr>
      </w:pPr>
      <w:r w:rsidRPr="00192EC4">
        <w:rPr>
          <w:rFonts w:ascii="Arial" w:eastAsia="Calibri" w:hAnsi="Arial" w:cs="Arial"/>
          <w:sz w:val="24"/>
          <w:szCs w:val="24"/>
        </w:rPr>
        <w:t>Other contract costs underspend of £1.2m largely a result of an underspend on lifecycle costs.</w:t>
      </w:r>
    </w:p>
    <w:p w14:paraId="778E8960" w14:textId="77777777" w:rsidR="00BE35F9" w:rsidRPr="00192EC4" w:rsidRDefault="00BE35F9" w:rsidP="006F1659">
      <w:pPr>
        <w:pStyle w:val="ListParagraph"/>
        <w:numPr>
          <w:ilvl w:val="0"/>
          <w:numId w:val="68"/>
        </w:numPr>
        <w:tabs>
          <w:tab w:val="left" w:pos="2127"/>
        </w:tabs>
        <w:spacing w:after="0" w:line="360" w:lineRule="auto"/>
        <w:ind w:left="426" w:hanging="426"/>
        <w:rPr>
          <w:rFonts w:ascii="Arial" w:eastAsia="Calibri" w:hAnsi="Arial" w:cs="Arial"/>
          <w:sz w:val="24"/>
          <w:szCs w:val="24"/>
        </w:rPr>
      </w:pPr>
      <w:r w:rsidRPr="00192EC4">
        <w:rPr>
          <w:rFonts w:ascii="Arial" w:hAnsi="Arial" w:cs="Arial"/>
          <w:bCs/>
          <w:sz w:val="24"/>
          <w:szCs w:val="24"/>
        </w:rPr>
        <w:lastRenderedPageBreak/>
        <w:t>Operational financing underspend of £0.8m from lower than anticipated interest costs with rates lower than forecast and some savings on Minimum Revenue Provision (MRP) costs due to capital projects being completed later than anticipated.</w:t>
      </w:r>
    </w:p>
    <w:p w14:paraId="323917BE" w14:textId="77777777" w:rsidR="00BE35F9" w:rsidRPr="00192EC4" w:rsidRDefault="00BE35F9" w:rsidP="006F1659">
      <w:pPr>
        <w:pStyle w:val="ListParagraph"/>
        <w:numPr>
          <w:ilvl w:val="0"/>
          <w:numId w:val="68"/>
        </w:numPr>
        <w:tabs>
          <w:tab w:val="left" w:pos="2127"/>
        </w:tabs>
        <w:spacing w:after="0" w:line="360" w:lineRule="auto"/>
        <w:ind w:left="426" w:hanging="426"/>
        <w:rPr>
          <w:rFonts w:ascii="Arial" w:eastAsia="Calibri" w:hAnsi="Arial" w:cs="Arial"/>
          <w:sz w:val="24"/>
          <w:szCs w:val="24"/>
        </w:rPr>
      </w:pPr>
      <w:r w:rsidRPr="00192EC4">
        <w:rPr>
          <w:rFonts w:ascii="Arial" w:eastAsia="Calibri" w:hAnsi="Arial" w:cs="Arial"/>
          <w:sz w:val="24"/>
          <w:szCs w:val="24"/>
        </w:rPr>
        <w:t xml:space="preserve">Office cost underspend of £2.4m relates to consultancy fees due to works on ‘Extended Producer Responsibility’ and the national ‘Resources and Waste Strategy’ being reprofiled into 2023/24. </w:t>
      </w:r>
    </w:p>
    <w:p w14:paraId="5350B534" w14:textId="77777777" w:rsidR="00BE35F9" w:rsidRPr="00192EC4" w:rsidRDefault="00BE35F9" w:rsidP="006F1659">
      <w:pPr>
        <w:spacing w:line="360" w:lineRule="auto"/>
        <w:contextualSpacing/>
        <w:rPr>
          <w:rFonts w:ascii="Arial" w:eastAsia="Calibri" w:hAnsi="Arial" w:cs="Arial"/>
        </w:rPr>
      </w:pPr>
    </w:p>
    <w:p w14:paraId="2211B28A" w14:textId="28B96DCD" w:rsidR="00201027" w:rsidRDefault="00BE35F9" w:rsidP="006F1659">
      <w:pPr>
        <w:spacing w:line="360" w:lineRule="auto"/>
        <w:contextualSpacing/>
        <w:rPr>
          <w:rFonts w:ascii="Arial" w:hAnsi="Arial" w:cs="Arial"/>
          <w:bCs/>
          <w:lang w:eastAsia="en-GB"/>
        </w:rPr>
      </w:pPr>
      <w:r w:rsidRPr="00192EC4">
        <w:rPr>
          <w:rFonts w:ascii="Arial" w:eastAsia="Calibri" w:hAnsi="Arial" w:cs="Arial"/>
        </w:rPr>
        <w:t xml:space="preserve">The underspend has been applied to provide a </w:t>
      </w:r>
      <w:r w:rsidRPr="00192EC4">
        <w:rPr>
          <w:rFonts w:ascii="Arial" w:hAnsi="Arial" w:cs="Arial"/>
          <w:bCs/>
          <w:lang w:eastAsia="en-GB"/>
        </w:rPr>
        <w:t xml:space="preserve">return of £10m to the nine Greater Manchester local authorities which was approved by GMCA in July 2022, </w:t>
      </w:r>
      <w:r w:rsidRPr="00192EC4">
        <w:rPr>
          <w:rFonts w:ascii="Arial" w:eastAsia="Calibri" w:hAnsi="Arial" w:cs="Arial"/>
        </w:rPr>
        <w:t xml:space="preserve">a levy adjustment which reflects the changes in tonnages being delivered by local authorities and a transfer to reserves of the remaining £34.3m. In February 2023 </w:t>
      </w:r>
      <w:r w:rsidRPr="00192EC4">
        <w:rPr>
          <w:rFonts w:ascii="Arial" w:hAnsi="Arial" w:cs="Arial"/>
          <w:bCs/>
          <w:lang w:eastAsia="en-GB"/>
        </w:rPr>
        <w:t>GMCA approved £27m from 2022/23 reserves to reduce the 2023/24 levy.</w:t>
      </w:r>
    </w:p>
    <w:p w14:paraId="4627C83C" w14:textId="77777777" w:rsidR="00201027" w:rsidRPr="00192EC4" w:rsidRDefault="00201027" w:rsidP="006F1659">
      <w:pPr>
        <w:spacing w:line="360" w:lineRule="auto"/>
        <w:contextualSpacing/>
        <w:rPr>
          <w:rFonts w:ascii="Arial" w:hAnsi="Arial" w:cs="Arial"/>
          <w:bCs/>
          <w:lang w:eastAsia="en-GB"/>
        </w:rPr>
      </w:pPr>
    </w:p>
    <w:p w14:paraId="1060C1AE" w14:textId="77777777" w:rsidR="00BE35F9" w:rsidRPr="00192EC4" w:rsidRDefault="00BE35F9" w:rsidP="006F1659">
      <w:pPr>
        <w:pStyle w:val="Heading3"/>
        <w:spacing w:after="160" w:line="360" w:lineRule="auto"/>
        <w:jc w:val="both"/>
        <w:rPr>
          <w:sz w:val="24"/>
          <w:szCs w:val="24"/>
        </w:rPr>
      </w:pPr>
      <w:r w:rsidRPr="00192EC4">
        <w:rPr>
          <w:sz w:val="24"/>
          <w:szCs w:val="24"/>
        </w:rPr>
        <w:t>Police and Crime - Safer and Stronger Communities</w:t>
      </w:r>
      <w:bookmarkEnd w:id="19"/>
      <w:r w:rsidRPr="00192EC4">
        <w:rPr>
          <w:sz w:val="24"/>
          <w:szCs w:val="24"/>
        </w:rPr>
        <w:t xml:space="preserve"> </w:t>
      </w:r>
    </w:p>
    <w:p w14:paraId="6AF2FCC9" w14:textId="77777777" w:rsidR="00BE35F9" w:rsidRPr="00192EC4" w:rsidRDefault="00BE35F9" w:rsidP="006F1659">
      <w:pPr>
        <w:pStyle w:val="Normal0"/>
        <w:spacing w:after="160" w:line="360" w:lineRule="auto"/>
        <w:rPr>
          <w:rFonts w:ascii="Arial" w:hAnsi="Arial" w:cs="Arial"/>
          <w:sz w:val="24"/>
          <w:szCs w:val="24"/>
        </w:rPr>
      </w:pPr>
      <w:r w:rsidRPr="00192EC4">
        <w:rPr>
          <w:rFonts w:ascii="Arial" w:hAnsi="Arial" w:cs="Arial"/>
          <w:sz w:val="24"/>
          <w:szCs w:val="24"/>
        </w:rPr>
        <w:t>The Mayor is responsible for the formal oversight of Greater Manchester Police (GMP), including provision of all funding, budget-setting, performance scrutiny and strategic policy development. The Mayor is also responsible for holding the Chief Constable to account for ensuring GMP is run efficiently and effectively. These responsibilities are carried out by the Mayor alongside Greater Manchester’s Deputy Mayor for Policing, Crime, Criminal Justice and Fire. Operational decision-making on day-to-day policing matters and the employment of police staff remains the responsibility of the Chief Constable.</w:t>
      </w:r>
    </w:p>
    <w:p w14:paraId="06D89D4A" w14:textId="41F2462A" w:rsidR="00BE35F9" w:rsidRPr="00192EC4" w:rsidRDefault="00BE35F9" w:rsidP="006F1659">
      <w:pPr>
        <w:spacing w:line="360" w:lineRule="auto"/>
        <w:rPr>
          <w:rFonts w:ascii="Arial" w:hAnsi="Arial" w:cs="Arial"/>
          <w:b/>
          <w:bCs/>
          <w:sz w:val="28"/>
          <w:szCs w:val="28"/>
          <w:u w:val="single"/>
        </w:rPr>
      </w:pPr>
      <w:r w:rsidRPr="00192EC4">
        <w:rPr>
          <w:rFonts w:ascii="Arial" w:hAnsi="Arial" w:cs="Arial"/>
        </w:rPr>
        <w:t xml:space="preserve">In 2020, HMICFRS undertook a detailed inspection of GMP and reported that a fifth of reported crimes weren’t being recorded by the police and that victims were being let down. This led to GMP being placed into special measures. The Mayor and former Deputy Mayor found a number of cultural and systemic issues within the force, which prompted the start of </w:t>
      </w:r>
      <w:r w:rsidR="00BC0D7C" w:rsidRPr="00192EC4">
        <w:rPr>
          <w:rFonts w:ascii="Arial" w:hAnsi="Arial" w:cs="Arial"/>
        </w:rPr>
        <w:t xml:space="preserve">a </w:t>
      </w:r>
      <w:r w:rsidRPr="00192EC4">
        <w:rPr>
          <w:rFonts w:ascii="Arial" w:hAnsi="Arial" w:cs="Arial"/>
        </w:rPr>
        <w:t xml:space="preserve">significant improvement journey. This commenced with the appointment of Stephen Watson as Chief Constable in 2021. </w:t>
      </w:r>
    </w:p>
    <w:p w14:paraId="3F16D382" w14:textId="77777777" w:rsidR="00BE35F9" w:rsidRPr="00192EC4" w:rsidRDefault="00BE35F9" w:rsidP="006F1659">
      <w:pPr>
        <w:spacing w:line="360" w:lineRule="auto"/>
        <w:rPr>
          <w:rFonts w:ascii="Arial" w:hAnsi="Arial" w:cs="Arial"/>
        </w:rPr>
      </w:pPr>
    </w:p>
    <w:p w14:paraId="69BD01D5" w14:textId="4F4248AD" w:rsidR="00BE35F9" w:rsidRPr="00192EC4" w:rsidRDefault="00BE35F9" w:rsidP="006F1659">
      <w:pPr>
        <w:spacing w:line="360" w:lineRule="auto"/>
        <w:rPr>
          <w:rFonts w:ascii="Arial" w:hAnsi="Arial" w:cs="Arial"/>
        </w:rPr>
      </w:pPr>
      <w:r w:rsidRPr="00192EC4">
        <w:rPr>
          <w:rFonts w:ascii="Arial" w:hAnsi="Arial" w:cs="Arial"/>
        </w:rPr>
        <w:t xml:space="preserve">There have been significant improvements in the performance of Greater Manchester Police (GMP) in 2022/23 with support from the Mayor, the Deputy Mayor, and the police precept. In October 2022, GMP were taken out of special measures and is considered to be the most improved police force in the country. Crime recording has increased along </w:t>
      </w:r>
      <w:r w:rsidRPr="00192EC4">
        <w:rPr>
          <w:rFonts w:ascii="Arial" w:hAnsi="Arial" w:cs="Arial"/>
        </w:rPr>
        <w:lastRenderedPageBreak/>
        <w:t>with improved standards of investigations and solved outcomes resulting in a much-improved service for victims. Some of the notable improvements include:</w:t>
      </w:r>
    </w:p>
    <w:p w14:paraId="14247115" w14:textId="77777777" w:rsidR="00BC0D7C" w:rsidRPr="00192EC4" w:rsidRDefault="00BC0D7C" w:rsidP="006F1659">
      <w:pPr>
        <w:spacing w:line="360" w:lineRule="auto"/>
        <w:rPr>
          <w:rFonts w:ascii="Arial" w:hAnsi="Arial" w:cs="Arial"/>
        </w:rPr>
      </w:pPr>
    </w:p>
    <w:p w14:paraId="12FC3FE5" w14:textId="5512F2EB" w:rsidR="00BE35F9" w:rsidRPr="00192EC4" w:rsidRDefault="00BE35F9" w:rsidP="006F1659">
      <w:pPr>
        <w:pStyle w:val="ListParagraph"/>
        <w:numPr>
          <w:ilvl w:val="0"/>
          <w:numId w:val="75"/>
        </w:numPr>
        <w:spacing w:after="0" w:line="360" w:lineRule="auto"/>
        <w:rPr>
          <w:rFonts w:ascii="Arial" w:hAnsi="Arial" w:cs="Arial"/>
          <w:sz w:val="24"/>
          <w:szCs w:val="24"/>
        </w:rPr>
      </w:pPr>
      <w:r w:rsidRPr="00192EC4">
        <w:rPr>
          <w:rFonts w:ascii="Arial" w:hAnsi="Arial" w:cs="Arial"/>
          <w:sz w:val="24"/>
          <w:szCs w:val="24"/>
        </w:rPr>
        <w:t>GMP is now 4th out of 43 forces nationally in the Home Office league table for 999 calls for answer</w:t>
      </w:r>
      <w:r w:rsidR="00BC0D7C" w:rsidRPr="00192EC4">
        <w:rPr>
          <w:rFonts w:ascii="Arial" w:hAnsi="Arial" w:cs="Arial"/>
          <w:sz w:val="24"/>
          <w:szCs w:val="24"/>
        </w:rPr>
        <w:t>.</w:t>
      </w:r>
    </w:p>
    <w:p w14:paraId="722BDCCD" w14:textId="52FDF55D" w:rsidR="00BE35F9" w:rsidRPr="00192EC4" w:rsidRDefault="00BE35F9" w:rsidP="006F1659">
      <w:pPr>
        <w:pStyle w:val="ListParagraph"/>
        <w:numPr>
          <w:ilvl w:val="0"/>
          <w:numId w:val="75"/>
        </w:numPr>
        <w:spacing w:after="0" w:line="360" w:lineRule="auto"/>
        <w:rPr>
          <w:rFonts w:ascii="Arial" w:hAnsi="Arial" w:cs="Arial"/>
          <w:sz w:val="24"/>
          <w:szCs w:val="24"/>
        </w:rPr>
      </w:pPr>
      <w:r w:rsidRPr="00192EC4">
        <w:rPr>
          <w:rFonts w:ascii="Arial" w:hAnsi="Arial" w:cs="Arial"/>
          <w:sz w:val="24"/>
          <w:szCs w:val="24"/>
        </w:rPr>
        <w:t>Attending 94% of all burglaries, compared to 70% two years ago and solved rates for burglary have also improved as they have for many other types of crime</w:t>
      </w:r>
      <w:r w:rsidR="00BC0D7C" w:rsidRPr="00192EC4">
        <w:rPr>
          <w:rFonts w:ascii="Arial" w:hAnsi="Arial" w:cs="Arial"/>
          <w:sz w:val="24"/>
          <w:szCs w:val="24"/>
        </w:rPr>
        <w:t>.</w:t>
      </w:r>
    </w:p>
    <w:p w14:paraId="17C28F8C" w14:textId="0ACB3557" w:rsidR="00BE35F9" w:rsidRPr="00192EC4" w:rsidRDefault="00BE35F9" w:rsidP="006F1659">
      <w:pPr>
        <w:pStyle w:val="ListParagraph"/>
        <w:numPr>
          <w:ilvl w:val="0"/>
          <w:numId w:val="75"/>
        </w:numPr>
        <w:spacing w:after="0" w:line="360" w:lineRule="auto"/>
        <w:rPr>
          <w:rFonts w:ascii="Arial" w:hAnsi="Arial" w:cs="Arial"/>
          <w:sz w:val="24"/>
          <w:szCs w:val="24"/>
        </w:rPr>
      </w:pPr>
      <w:r w:rsidRPr="00192EC4">
        <w:rPr>
          <w:rFonts w:ascii="Arial" w:hAnsi="Arial" w:cs="Arial"/>
          <w:sz w:val="24"/>
          <w:szCs w:val="24"/>
        </w:rPr>
        <w:t>Responding to incidents much sooner, attending 82% of emergency incidents within the national target of 15 minutes.</w:t>
      </w:r>
    </w:p>
    <w:p w14:paraId="1E09B711" w14:textId="77777777" w:rsidR="00BE35F9" w:rsidRPr="00192EC4" w:rsidRDefault="00BE35F9" w:rsidP="006F1659">
      <w:pPr>
        <w:pStyle w:val="ListParagraph"/>
        <w:numPr>
          <w:ilvl w:val="0"/>
          <w:numId w:val="75"/>
        </w:numPr>
        <w:spacing w:after="0" w:line="360" w:lineRule="auto"/>
        <w:rPr>
          <w:rFonts w:ascii="Arial" w:hAnsi="Arial" w:cs="Arial"/>
          <w:sz w:val="24"/>
          <w:szCs w:val="24"/>
        </w:rPr>
      </w:pPr>
      <w:r w:rsidRPr="00192EC4">
        <w:rPr>
          <w:rFonts w:ascii="Arial" w:hAnsi="Arial" w:cs="Arial"/>
          <w:sz w:val="24"/>
          <w:szCs w:val="24"/>
        </w:rPr>
        <w:t>Increased arrests for domestic abuse cases and the solved rates has also increased</w:t>
      </w:r>
      <w:bookmarkStart w:id="22" w:name="_Hlk139884446"/>
      <w:r w:rsidRPr="00192EC4">
        <w:rPr>
          <w:rFonts w:ascii="Arial" w:hAnsi="Arial" w:cs="Arial"/>
          <w:sz w:val="24"/>
          <w:szCs w:val="24"/>
        </w:rPr>
        <w:t xml:space="preserve">.  </w:t>
      </w:r>
    </w:p>
    <w:p w14:paraId="75C0CC68" w14:textId="2E323078" w:rsidR="00BE35F9" w:rsidRPr="00192EC4" w:rsidRDefault="00BE35F9" w:rsidP="006F1659">
      <w:pPr>
        <w:pStyle w:val="ListParagraph"/>
        <w:numPr>
          <w:ilvl w:val="0"/>
          <w:numId w:val="75"/>
        </w:numPr>
        <w:spacing w:after="0" w:line="360" w:lineRule="auto"/>
        <w:rPr>
          <w:rFonts w:ascii="Arial" w:hAnsi="Arial" w:cs="Arial"/>
          <w:sz w:val="24"/>
          <w:szCs w:val="24"/>
        </w:rPr>
      </w:pPr>
      <w:r w:rsidRPr="00192EC4">
        <w:rPr>
          <w:rFonts w:ascii="Arial" w:hAnsi="Arial" w:cs="Arial"/>
          <w:sz w:val="24"/>
          <w:szCs w:val="24"/>
        </w:rPr>
        <w:t xml:space="preserve">Stalking and </w:t>
      </w:r>
      <w:r w:rsidR="00BC0D7C" w:rsidRPr="00192EC4">
        <w:rPr>
          <w:rFonts w:ascii="Arial" w:hAnsi="Arial" w:cs="Arial"/>
          <w:sz w:val="24"/>
          <w:szCs w:val="24"/>
        </w:rPr>
        <w:t>h</w:t>
      </w:r>
      <w:r w:rsidRPr="00192EC4">
        <w:rPr>
          <w:rFonts w:ascii="Arial" w:hAnsi="Arial" w:cs="Arial"/>
          <w:sz w:val="24"/>
          <w:szCs w:val="24"/>
        </w:rPr>
        <w:t>arassment arrests have almost doubled in the last 12 months</w:t>
      </w:r>
      <w:bookmarkEnd w:id="22"/>
      <w:r w:rsidRPr="00192EC4">
        <w:rPr>
          <w:rFonts w:ascii="Arial" w:hAnsi="Arial" w:cs="Arial"/>
          <w:sz w:val="24"/>
          <w:szCs w:val="24"/>
        </w:rPr>
        <w:t xml:space="preserve">.  </w:t>
      </w:r>
    </w:p>
    <w:p w14:paraId="006EABB2" w14:textId="638B64CC" w:rsidR="00BE35F9" w:rsidRPr="00192EC4" w:rsidRDefault="00BE35F9" w:rsidP="006F1659">
      <w:pPr>
        <w:pStyle w:val="ListParagraph"/>
        <w:numPr>
          <w:ilvl w:val="0"/>
          <w:numId w:val="75"/>
        </w:numPr>
        <w:spacing w:after="0" w:line="360" w:lineRule="auto"/>
        <w:rPr>
          <w:rFonts w:ascii="Arial" w:hAnsi="Arial" w:cs="Arial"/>
          <w:sz w:val="24"/>
          <w:szCs w:val="24"/>
        </w:rPr>
      </w:pPr>
      <w:r w:rsidRPr="00192EC4">
        <w:rPr>
          <w:rFonts w:ascii="Arial" w:hAnsi="Arial" w:cs="Arial"/>
          <w:sz w:val="24"/>
          <w:szCs w:val="24"/>
        </w:rPr>
        <w:t>Following the launch of the GM Gender Based Violence strategy, GMP launched its plan to tackle Violence Against Women and Girls in 2022.</w:t>
      </w:r>
    </w:p>
    <w:p w14:paraId="30BD6D29" w14:textId="77777777" w:rsidR="00BE35F9" w:rsidRPr="00192EC4" w:rsidRDefault="00BE35F9" w:rsidP="006F1659">
      <w:pPr>
        <w:pStyle w:val="ListParagraph"/>
        <w:numPr>
          <w:ilvl w:val="0"/>
          <w:numId w:val="75"/>
        </w:numPr>
        <w:spacing w:after="0" w:line="360" w:lineRule="auto"/>
        <w:rPr>
          <w:rFonts w:ascii="Arial" w:hAnsi="Arial" w:cs="Arial"/>
          <w:sz w:val="24"/>
          <w:szCs w:val="24"/>
        </w:rPr>
      </w:pPr>
      <w:r w:rsidRPr="00192EC4">
        <w:rPr>
          <w:rFonts w:ascii="Arial" w:hAnsi="Arial" w:cs="Arial"/>
          <w:sz w:val="24"/>
          <w:szCs w:val="24"/>
        </w:rPr>
        <w:t xml:space="preserve">The roads and transport unit has doubled in officer strength this year, and they have stepped up their work on tackling road and transport related offences with partners. </w:t>
      </w:r>
    </w:p>
    <w:p w14:paraId="6E1178C9" w14:textId="77777777" w:rsidR="00BE35F9" w:rsidRPr="00192EC4" w:rsidRDefault="00BE35F9" w:rsidP="006F1659">
      <w:pPr>
        <w:spacing w:line="360" w:lineRule="auto"/>
        <w:rPr>
          <w:rFonts w:ascii="Arial" w:hAnsi="Arial" w:cs="Arial"/>
        </w:rPr>
      </w:pPr>
    </w:p>
    <w:p w14:paraId="3A0EE2E7" w14:textId="470F3DF4" w:rsidR="00BE35F9" w:rsidRDefault="00BE35F9" w:rsidP="00201027">
      <w:pPr>
        <w:spacing w:line="360" w:lineRule="auto"/>
        <w:rPr>
          <w:rFonts w:ascii="Arial" w:hAnsi="Arial" w:cs="Arial"/>
        </w:rPr>
      </w:pPr>
      <w:r w:rsidRPr="00192EC4">
        <w:rPr>
          <w:rFonts w:ascii="Arial" w:hAnsi="Arial" w:cs="Arial"/>
        </w:rPr>
        <w:t>Action against any recommendations made by HMICFRS are monitored by the Deputy Mayor and GMP. In February 2023, GMP received an HMICFRS inspection of Custody services, and this highlighted some causes of concern. This included key concerns over leadership, legal compliance, the use of force, detainee dignity, risk management and medicine management. GMP are working to address these concerns and will be re-inspected by the Autumn of 2023. The Deputy Mayor exercises particular scrutiny through regular papers and data being reported to the Deputy Mayor Executive meetings and OPCC officers being part of in GMP’s Custody Oversight Group, established after the inspection.</w:t>
      </w:r>
    </w:p>
    <w:p w14:paraId="0C9156EF" w14:textId="77777777" w:rsidR="00201027" w:rsidRPr="00201027" w:rsidRDefault="00201027" w:rsidP="00201027">
      <w:pPr>
        <w:spacing w:line="360" w:lineRule="auto"/>
        <w:rPr>
          <w:rFonts w:ascii="Arial" w:hAnsi="Arial" w:cs="Arial"/>
          <w:sz w:val="22"/>
          <w:szCs w:val="22"/>
        </w:rPr>
      </w:pPr>
    </w:p>
    <w:p w14:paraId="68237C8D" w14:textId="1ECF8FED" w:rsidR="00BE35F9" w:rsidRPr="00192EC4" w:rsidRDefault="00BE35F9" w:rsidP="006F1659">
      <w:pPr>
        <w:spacing w:line="360" w:lineRule="auto"/>
        <w:rPr>
          <w:rFonts w:ascii="Arial" w:eastAsiaTheme="minorHAnsi" w:hAnsi="Arial" w:cs="Arial"/>
        </w:rPr>
      </w:pPr>
      <w:r w:rsidRPr="00192EC4">
        <w:rPr>
          <w:rFonts w:ascii="Arial" w:hAnsi="Arial" w:cs="Arial"/>
        </w:rPr>
        <w:t xml:space="preserve">For 2022/23 Greater Manchester received a core grant of £537.3m, which included a ring-fenced Police Uplift grant of £7.8m and pension grant of £6.6m. The Mayor approved an increase of £10 to the policing precept in January 2022, taking the annual precept for a Band D property to £228.30 in 2022/23 which provided </w:t>
      </w:r>
      <w:r w:rsidRPr="00192EC4">
        <w:rPr>
          <w:rFonts w:ascii="Arial" w:eastAsiaTheme="minorHAnsi" w:hAnsi="Arial" w:cs="Arial"/>
        </w:rPr>
        <w:t xml:space="preserve">locally raised precept income of £181.3m. This provided total revenue funding for 2022/23 of £718.6m of which £693.7m was delegated to GMP and a net £24.9m was retained by the OPCC, </w:t>
      </w:r>
      <w:r w:rsidRPr="00192EC4">
        <w:rPr>
          <w:rFonts w:ascii="Arial" w:eastAsiaTheme="minorHAnsi" w:hAnsi="Arial" w:cs="Arial"/>
        </w:rPr>
        <w:lastRenderedPageBreak/>
        <w:t xml:space="preserve">the majority relating to capital financing costs. Both the GMP and OPCC budgets are supplemented by specific grants received during the financial year. </w:t>
      </w:r>
    </w:p>
    <w:p w14:paraId="346E15C0" w14:textId="77777777" w:rsidR="00BE35F9" w:rsidRPr="00192EC4" w:rsidRDefault="00BE35F9" w:rsidP="006F1659">
      <w:pPr>
        <w:spacing w:line="360" w:lineRule="auto"/>
        <w:rPr>
          <w:rFonts w:ascii="Arial" w:eastAsiaTheme="minorHAnsi" w:hAnsi="Arial" w:cs="Arial"/>
        </w:rPr>
      </w:pPr>
    </w:p>
    <w:p w14:paraId="7E452922" w14:textId="44944178" w:rsidR="00BE35F9" w:rsidRPr="00192EC4" w:rsidRDefault="00BE35F9" w:rsidP="006F1659">
      <w:pPr>
        <w:spacing w:line="360" w:lineRule="auto"/>
        <w:ind w:right="-755"/>
        <w:rPr>
          <w:rFonts w:ascii="Arial" w:eastAsiaTheme="minorHAnsi" w:hAnsi="Arial" w:cs="Arial"/>
        </w:rPr>
      </w:pPr>
      <w:r w:rsidRPr="00192EC4">
        <w:rPr>
          <w:rFonts w:ascii="Arial" w:eastAsiaTheme="minorHAnsi" w:hAnsi="Arial" w:cs="Arial"/>
        </w:rPr>
        <w:t>The 2022/23 Police Fund breakeven position is a positive outcome for the financial year end</w:t>
      </w:r>
      <w:r w:rsidR="004641F4">
        <w:rPr>
          <w:rFonts w:ascii="Arial" w:eastAsiaTheme="minorHAnsi" w:hAnsi="Arial" w:cs="Arial"/>
        </w:rPr>
        <w:t xml:space="preserve">, </w:t>
      </w:r>
      <w:r w:rsidRPr="00192EC4">
        <w:rPr>
          <w:rFonts w:ascii="Arial" w:eastAsiaTheme="minorHAnsi" w:hAnsi="Arial" w:cs="Arial"/>
        </w:rPr>
        <w:t xml:space="preserve"> given the scale of improvement that has been delivered during the year. The significant financial challenges in 2022/23 related to police pay award and overtime. Whilst a significant proportion of the additional expenditure on overtime was funded from external income, there were pressures across the service which required measures to be put in place to more effectively control overtime. </w:t>
      </w:r>
      <w:r w:rsidRPr="00192EC4">
        <w:rPr>
          <w:rFonts w:ascii="Arial" w:eastAsiaTheme="minorHAnsi" w:hAnsi="Arial" w:cs="Arial"/>
          <w:bCs/>
        </w:rPr>
        <w:t xml:space="preserve">Energy costs were significantly higher than budget and proved challenging to forecast </w:t>
      </w:r>
      <w:r w:rsidRPr="00192EC4">
        <w:rPr>
          <w:rFonts w:ascii="Arial" w:eastAsiaTheme="minorHAnsi" w:hAnsi="Arial" w:cs="Arial"/>
        </w:rPr>
        <w:t xml:space="preserve">due to the volatility of market, unpredictability of prices and the temperatures during the winter months.  </w:t>
      </w:r>
    </w:p>
    <w:p w14:paraId="3E47FB02" w14:textId="77777777" w:rsidR="00BE35F9" w:rsidRPr="00192EC4" w:rsidRDefault="00BE35F9" w:rsidP="006F1659">
      <w:pPr>
        <w:spacing w:line="360" w:lineRule="auto"/>
        <w:ind w:right="-755"/>
        <w:rPr>
          <w:rFonts w:ascii="Arial" w:eastAsiaTheme="minorHAnsi" w:hAnsi="Arial" w:cs="Arial"/>
        </w:rPr>
      </w:pPr>
    </w:p>
    <w:p w14:paraId="6A7546BA" w14:textId="1DA552A9" w:rsidR="00BE35F9" w:rsidRPr="00192EC4" w:rsidRDefault="00BE35F9" w:rsidP="006F1659">
      <w:pPr>
        <w:spacing w:line="360" w:lineRule="auto"/>
        <w:ind w:right="-613"/>
        <w:contextualSpacing/>
        <w:rPr>
          <w:rFonts w:ascii="Arial" w:eastAsiaTheme="minorHAnsi" w:hAnsi="Arial" w:cs="Arial"/>
        </w:rPr>
      </w:pPr>
      <w:r w:rsidRPr="00192EC4">
        <w:rPr>
          <w:rFonts w:ascii="Arial" w:hAnsi="Arial" w:cs="Arial"/>
        </w:rPr>
        <w:t xml:space="preserve">When the 2023/24 precept was agreed in January 2023 it was recognised that it was critically important to sustain the significant improvements made to date and to continue to strengthen public safety. </w:t>
      </w:r>
      <w:r w:rsidRPr="00192EC4">
        <w:rPr>
          <w:rFonts w:ascii="Arial" w:eastAsiaTheme="minorHAnsi" w:hAnsi="Arial" w:cs="Arial"/>
        </w:rPr>
        <w:t xml:space="preserve">The progress made in managing pressures during 2022/23 has provided some mitigation for risks continuing into 2023/24 which includes efficiencies and use of reserves to support the improvement programme.  </w:t>
      </w:r>
    </w:p>
    <w:p w14:paraId="302746F5" w14:textId="77777777" w:rsidR="00BE35F9" w:rsidRPr="00192EC4" w:rsidRDefault="00BE35F9" w:rsidP="006F1659">
      <w:pPr>
        <w:spacing w:line="360" w:lineRule="auto"/>
        <w:ind w:right="-755"/>
        <w:rPr>
          <w:rFonts w:ascii="Arial" w:eastAsiaTheme="minorHAnsi" w:hAnsi="Arial" w:cs="Arial"/>
        </w:rPr>
      </w:pPr>
    </w:p>
    <w:p w14:paraId="6DD9E25E" w14:textId="3CEAFAD3" w:rsidR="00BE35F9" w:rsidRPr="00192EC4" w:rsidRDefault="00BE35F9" w:rsidP="006F1659">
      <w:pPr>
        <w:spacing w:line="360" w:lineRule="auto"/>
        <w:ind w:right="-755"/>
        <w:rPr>
          <w:rFonts w:ascii="Arial" w:eastAsiaTheme="minorHAnsi" w:hAnsi="Arial" w:cs="Arial"/>
        </w:rPr>
      </w:pPr>
      <w:r w:rsidRPr="00192EC4">
        <w:rPr>
          <w:rFonts w:ascii="Arial" w:eastAsiaTheme="minorHAnsi" w:hAnsi="Arial" w:cs="Arial"/>
        </w:rPr>
        <w:t xml:space="preserve">At the end of the 2022/23 financial year, the provisional expenditure on the capital programme was £27.6m against a revised budget of £38.8m. This has resulted in an underspend of £11.2m with carry forward of £2.8m agreed for capital projects continuing into 2023/24.  </w:t>
      </w:r>
    </w:p>
    <w:p w14:paraId="5ACE2748" w14:textId="77777777" w:rsidR="00BE35F9" w:rsidRPr="00192EC4" w:rsidRDefault="00BE35F9" w:rsidP="006F1659">
      <w:pPr>
        <w:spacing w:line="360" w:lineRule="auto"/>
        <w:rPr>
          <w:rFonts w:ascii="Arial" w:hAnsi="Arial" w:cs="Arial"/>
        </w:rPr>
      </w:pPr>
    </w:p>
    <w:p w14:paraId="31C5EE2B" w14:textId="4230F125" w:rsidR="00BE35F9" w:rsidRPr="00192EC4" w:rsidRDefault="00BE35F9" w:rsidP="006F1659">
      <w:pPr>
        <w:spacing w:line="360" w:lineRule="auto"/>
        <w:rPr>
          <w:rFonts w:ascii="Arial" w:hAnsi="Arial" w:cs="Arial"/>
        </w:rPr>
      </w:pPr>
      <w:r w:rsidRPr="00192EC4">
        <w:rPr>
          <w:rFonts w:ascii="Arial" w:hAnsi="Arial" w:cs="Arial"/>
        </w:rPr>
        <w:t xml:space="preserve">In November 2019 the government announced a plan to recruit an additional 20,000 police officers over three years, this equates to 438 officers in 2022/23 across Greater Manchester (note there </w:t>
      </w:r>
      <w:r w:rsidR="00BC0D7C" w:rsidRPr="00192EC4">
        <w:rPr>
          <w:rFonts w:ascii="Arial" w:hAnsi="Arial" w:cs="Arial"/>
        </w:rPr>
        <w:t>are</w:t>
      </w:r>
      <w:r w:rsidRPr="00192EC4">
        <w:rPr>
          <w:rFonts w:ascii="Arial" w:hAnsi="Arial" w:cs="Arial"/>
        </w:rPr>
        <w:t xml:space="preserve"> further </w:t>
      </w:r>
      <w:r w:rsidR="00BC0D7C" w:rsidRPr="00192EC4">
        <w:rPr>
          <w:rFonts w:ascii="Arial" w:hAnsi="Arial" w:cs="Arial"/>
        </w:rPr>
        <w:t>p</w:t>
      </w:r>
      <w:r w:rsidRPr="00192EC4">
        <w:rPr>
          <w:rFonts w:ascii="Arial" w:hAnsi="Arial" w:cs="Arial"/>
        </w:rPr>
        <w:t xml:space="preserve">olice officers to be recruited nationally to support combating Serious Organised Crime of which GMP’s share is 25 officers). The majority of these additional officers have been in frontline policing roles, which have increased in each of the </w:t>
      </w:r>
      <w:r w:rsidR="006A7A2D" w:rsidRPr="00192EC4">
        <w:rPr>
          <w:rFonts w:ascii="Arial" w:hAnsi="Arial" w:cs="Arial"/>
        </w:rPr>
        <w:t>ten</w:t>
      </w:r>
      <w:r w:rsidRPr="00192EC4">
        <w:rPr>
          <w:rFonts w:ascii="Arial" w:hAnsi="Arial" w:cs="Arial"/>
        </w:rPr>
        <w:t xml:space="preserve"> districts. The budget was supported by the £20m infrastructure funding for the new officers, front-loaded into the 2020/21 settlement. In 2022/23, £5m was drawn from reserves to support the costs of delivery. Over the past year, police officer numbers increased from 7,222 (at the end of March 2022) to 7</w:t>
      </w:r>
      <w:r w:rsidR="00BC0D7C" w:rsidRPr="00192EC4">
        <w:rPr>
          <w:rFonts w:ascii="Arial" w:hAnsi="Arial" w:cs="Arial"/>
        </w:rPr>
        <w:t>,</w:t>
      </w:r>
      <w:r w:rsidRPr="00192EC4">
        <w:rPr>
          <w:rFonts w:ascii="Arial" w:hAnsi="Arial" w:cs="Arial"/>
        </w:rPr>
        <w:t>942, and with agreement of the Home Office recruited a further 125 officers to give a final headcount of 8</w:t>
      </w:r>
      <w:r w:rsidR="00BC0D7C" w:rsidRPr="00192EC4">
        <w:rPr>
          <w:rFonts w:ascii="Arial" w:hAnsi="Arial" w:cs="Arial"/>
        </w:rPr>
        <w:t>,</w:t>
      </w:r>
      <w:r w:rsidRPr="00192EC4">
        <w:rPr>
          <w:rFonts w:ascii="Arial" w:hAnsi="Arial" w:cs="Arial"/>
        </w:rPr>
        <w:t>067 officers at the end of March 2023.</w:t>
      </w:r>
    </w:p>
    <w:p w14:paraId="114EA883" w14:textId="77777777" w:rsidR="00BE35F9" w:rsidRPr="00192EC4" w:rsidRDefault="00BE35F9" w:rsidP="006F1659">
      <w:pPr>
        <w:spacing w:line="360" w:lineRule="auto"/>
        <w:rPr>
          <w:rFonts w:ascii="Arial" w:hAnsi="Arial" w:cs="Arial"/>
        </w:rPr>
      </w:pPr>
    </w:p>
    <w:p w14:paraId="11A3689C" w14:textId="77777777" w:rsidR="00BE35F9" w:rsidRPr="00192EC4" w:rsidRDefault="00BE35F9" w:rsidP="006F1659">
      <w:pPr>
        <w:spacing w:line="360" w:lineRule="auto"/>
        <w:rPr>
          <w:rFonts w:ascii="Arial" w:hAnsi="Arial" w:cs="Arial"/>
        </w:rPr>
      </w:pPr>
      <w:r w:rsidRPr="00192EC4">
        <w:rPr>
          <w:rFonts w:ascii="Arial" w:hAnsi="Arial" w:cs="Arial"/>
        </w:rPr>
        <w:lastRenderedPageBreak/>
        <w:t xml:space="preserve">In 2022/23, the Deputy Mayor delegated a total of over £8.5m to Community Safety Partnerships (CSPs) to support their delivery of the Police and Crime Plan, collectively making communities safer and more resilient. Building on the work of previous years, the Deputy Mayor’s funding means CSPs have been able to continue to work closely on both Greater Manchester and local priorities to support targeted work in neighbourhoods. </w:t>
      </w:r>
    </w:p>
    <w:p w14:paraId="44F0D2EE" w14:textId="77777777" w:rsidR="00BE35F9" w:rsidRPr="00192EC4" w:rsidRDefault="00BE35F9" w:rsidP="006F1659">
      <w:pPr>
        <w:spacing w:line="360" w:lineRule="auto"/>
        <w:rPr>
          <w:rFonts w:ascii="Arial" w:hAnsi="Arial" w:cs="Arial"/>
        </w:rPr>
      </w:pPr>
    </w:p>
    <w:p w14:paraId="65D8DF62" w14:textId="5DE9C724" w:rsidR="00BE35F9" w:rsidRPr="00192EC4" w:rsidRDefault="00BE35F9" w:rsidP="006F1659">
      <w:pPr>
        <w:spacing w:line="360" w:lineRule="auto"/>
        <w:rPr>
          <w:rFonts w:ascii="Arial" w:hAnsi="Arial" w:cs="Arial"/>
        </w:rPr>
      </w:pPr>
      <w:r w:rsidRPr="00192EC4">
        <w:rPr>
          <w:rFonts w:ascii="Arial" w:hAnsi="Arial" w:cs="Arial"/>
        </w:rPr>
        <w:t xml:space="preserve">Almost 49,000 Greater Manchester residents have responded to a quarterly survey on policing and community safety, which was first commissioned by the Deputy Mayor in 2019. This information helps shape how CSPs and GMP work together to tackle crime and anti-social behaviour. 89% of people who responded to the survey said they felt safe in their local area, this was a small improvement on the previous year. </w:t>
      </w:r>
    </w:p>
    <w:p w14:paraId="4BFE9428" w14:textId="77777777" w:rsidR="00BE35F9" w:rsidRPr="00192EC4" w:rsidRDefault="00BE35F9" w:rsidP="006F1659">
      <w:pPr>
        <w:spacing w:line="360" w:lineRule="auto"/>
        <w:rPr>
          <w:rFonts w:ascii="Arial" w:hAnsi="Arial" w:cs="Arial"/>
          <w:b/>
          <w:bCs/>
          <w:sz w:val="28"/>
          <w:szCs w:val="28"/>
          <w:u w:val="single"/>
        </w:rPr>
      </w:pPr>
    </w:p>
    <w:p w14:paraId="0086AF68" w14:textId="77777777" w:rsidR="00BE35F9" w:rsidRPr="00192EC4" w:rsidRDefault="00BE35F9" w:rsidP="006F1659">
      <w:pPr>
        <w:spacing w:line="360" w:lineRule="auto"/>
        <w:rPr>
          <w:rFonts w:ascii="Arial" w:hAnsi="Arial" w:cs="Arial"/>
        </w:rPr>
      </w:pPr>
      <w:r w:rsidRPr="00192EC4">
        <w:rPr>
          <w:rFonts w:ascii="Arial" w:hAnsi="Arial" w:cs="Arial"/>
        </w:rPr>
        <w:t>Further information on Police and Crime is provided in the Chief Constables Statement of Accounts for 2022/23.</w:t>
      </w:r>
    </w:p>
    <w:p w14:paraId="4A03D956" w14:textId="77777777" w:rsidR="00BE35F9" w:rsidRPr="00192EC4" w:rsidRDefault="00BE35F9" w:rsidP="00DF2CD7">
      <w:pPr>
        <w:spacing w:line="360" w:lineRule="auto"/>
      </w:pPr>
      <w:bookmarkStart w:id="23" w:name="_Toc109922587"/>
      <w:bookmarkEnd w:id="20"/>
    </w:p>
    <w:p w14:paraId="1EFD206D" w14:textId="1DD7251B" w:rsidR="00BE35F9" w:rsidRPr="00201027" w:rsidRDefault="00BE35F9" w:rsidP="00201027">
      <w:pPr>
        <w:pStyle w:val="Heading3"/>
        <w:spacing w:after="160" w:line="360" w:lineRule="auto"/>
        <w:jc w:val="both"/>
        <w:rPr>
          <w:sz w:val="24"/>
          <w:szCs w:val="24"/>
        </w:rPr>
      </w:pPr>
      <w:r w:rsidRPr="00192EC4">
        <w:rPr>
          <w:sz w:val="24"/>
          <w:szCs w:val="24"/>
        </w:rPr>
        <w:t>Highways and Transport Services</w:t>
      </w:r>
      <w:bookmarkEnd w:id="23"/>
      <w:r w:rsidRPr="00192EC4">
        <w:rPr>
          <w:sz w:val="24"/>
          <w:szCs w:val="24"/>
        </w:rPr>
        <w:t xml:space="preserve"> </w:t>
      </w:r>
    </w:p>
    <w:p w14:paraId="6FD1AD31" w14:textId="77AB6774"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r w:rsidRPr="00192EC4">
        <w:rPr>
          <w:rFonts w:ascii="Arial" w:hAnsi="Arial"/>
          <w:sz w:val="24"/>
        </w:rPr>
        <w:t xml:space="preserve">The GMCA oversees TfGM, who </w:t>
      </w:r>
      <w:r w:rsidR="004210DB">
        <w:rPr>
          <w:rFonts w:ascii="Arial" w:hAnsi="Arial"/>
          <w:sz w:val="24"/>
        </w:rPr>
        <w:t>are</w:t>
      </w:r>
      <w:r w:rsidRPr="00192EC4">
        <w:rPr>
          <w:rFonts w:ascii="Arial" w:hAnsi="Arial"/>
          <w:sz w:val="24"/>
        </w:rPr>
        <w:t xml:space="preserve"> in turn responsible for management of the network. </w:t>
      </w:r>
      <w:r w:rsidRPr="00192EC4">
        <w:rPr>
          <w:rFonts w:ascii="Arial" w:hAnsi="Arial"/>
          <w:sz w:val="24"/>
          <w:lang w:eastAsia="en-US"/>
        </w:rPr>
        <w:t xml:space="preserve">The Greater Manchester Transport Strategy 2040 was published in 2017 and refreshed with a new Five-Year Transport Delivery Plan published in 2021 for the period up to 2026. The strategy is updated through a series of five-year delivery plans, which set out Greater Manchester’s medium and shorter-term delivery priorities. </w:t>
      </w:r>
    </w:p>
    <w:p w14:paraId="59EE2876" w14:textId="77777777" w:rsidR="00BE35F9" w:rsidRPr="00192EC4" w:rsidRDefault="00BE35F9" w:rsidP="006F1659">
      <w:pPr>
        <w:pStyle w:val="paragraph"/>
        <w:spacing w:line="360" w:lineRule="auto"/>
        <w:textAlignment w:val="baseline"/>
        <w:rPr>
          <w:rFonts w:ascii="Arial" w:eastAsia="Calibri" w:hAnsi="Arial" w:cs="Arial"/>
          <w:color w:val="000000" w:themeColor="text1"/>
        </w:rPr>
      </w:pPr>
      <w:r w:rsidRPr="00192EC4">
        <w:rPr>
          <w:rFonts w:ascii="Arial" w:eastAsia="Poppins Light" w:hAnsi="Arial" w:cs="Arial"/>
        </w:rPr>
        <w:t xml:space="preserve">The Mayor of Greater Manchester has committed to creating the ‘Bee Network’ </w:t>
      </w:r>
      <w:r w:rsidRPr="00192EC4">
        <w:rPr>
          <w:rFonts w:ascii="Arial" w:eastAsia="Calibri" w:hAnsi="Arial" w:cs="Arial"/>
          <w:color w:val="000000" w:themeColor="text1"/>
        </w:rPr>
        <w:t xml:space="preserve">a London-style transport system which includes buses and trams by 2025 and commuter trains by 2030. </w:t>
      </w:r>
      <w:r w:rsidRPr="00192EC4">
        <w:rPr>
          <w:rStyle w:val="normaltextrun"/>
          <w:rFonts w:ascii="Arial" w:hAnsi="Arial" w:cs="Arial"/>
          <w:color w:val="000000" w:themeColor="text1"/>
        </w:rPr>
        <w:t xml:space="preserve">It supports the GMCA ambition to make GM one of the best places in the world to </w:t>
      </w:r>
      <w:r w:rsidRPr="00192EC4">
        <w:rPr>
          <w:rStyle w:val="normaltextrun"/>
          <w:rFonts w:ascii="Arial" w:hAnsi="Arial" w:cs="Arial"/>
          <w:i/>
          <w:color w:val="000000" w:themeColor="text1"/>
        </w:rPr>
        <w:t xml:space="preserve">grow up, get on and grow old </w:t>
      </w:r>
      <w:r w:rsidRPr="00192EC4">
        <w:rPr>
          <w:rStyle w:val="normaltextrun"/>
          <w:rFonts w:ascii="Arial" w:hAnsi="Arial" w:cs="Arial"/>
          <w:color w:val="000000" w:themeColor="text1"/>
        </w:rPr>
        <w:t>- seamlessly connecting our people, places and communities</w:t>
      </w:r>
      <w:r w:rsidRPr="00192EC4">
        <w:rPr>
          <w:rFonts w:ascii="Arial" w:eastAsia="Calibri" w:hAnsi="Arial" w:cs="Arial"/>
          <w:color w:val="000000" w:themeColor="text1"/>
        </w:rPr>
        <w:t>. The Bee Network will also help to contribute to our health, our air quality and to help us achieve our commitment for Greater Manchester to be net zero by 2038.</w:t>
      </w:r>
    </w:p>
    <w:p w14:paraId="209313DB" w14:textId="2050B729" w:rsidR="00BE35F9" w:rsidRPr="00192EC4" w:rsidRDefault="00BE35F9" w:rsidP="006F1659">
      <w:pPr>
        <w:pStyle w:val="8TfGMStandardDocumentText"/>
        <w:spacing w:after="0" w:line="360" w:lineRule="auto"/>
        <w:contextualSpacing/>
        <w:jc w:val="left"/>
        <w:rPr>
          <w:rFonts w:ascii="Arial" w:hAnsi="Arial"/>
          <w:sz w:val="24"/>
          <w:lang w:eastAsia="en-US"/>
        </w:rPr>
      </w:pPr>
      <w:r w:rsidRPr="00192EC4">
        <w:rPr>
          <w:rFonts w:ascii="Arial" w:hAnsi="Arial"/>
          <w:sz w:val="24"/>
          <w:lang w:eastAsia="en-US"/>
        </w:rPr>
        <w:t xml:space="preserve">Most of TfGM’s core operational activities are funded from the Transport Levy and the </w:t>
      </w:r>
      <w:r w:rsidR="002E1DEA" w:rsidRPr="00192EC4">
        <w:rPr>
          <w:rFonts w:ascii="Arial" w:hAnsi="Arial"/>
          <w:sz w:val="24"/>
          <w:lang w:eastAsia="en-US"/>
        </w:rPr>
        <w:t>M</w:t>
      </w:r>
      <w:r w:rsidRPr="00192EC4">
        <w:rPr>
          <w:rFonts w:ascii="Arial" w:hAnsi="Arial"/>
          <w:sz w:val="24"/>
          <w:lang w:eastAsia="en-US"/>
        </w:rPr>
        <w:t xml:space="preserve">ayoral </w:t>
      </w:r>
      <w:r w:rsidR="002E1DEA" w:rsidRPr="00192EC4">
        <w:rPr>
          <w:rFonts w:ascii="Arial" w:hAnsi="Arial"/>
          <w:sz w:val="24"/>
          <w:lang w:eastAsia="en-US"/>
        </w:rPr>
        <w:t>P</w:t>
      </w:r>
      <w:r w:rsidRPr="00192EC4">
        <w:rPr>
          <w:rFonts w:ascii="Arial" w:hAnsi="Arial"/>
          <w:sz w:val="24"/>
          <w:lang w:eastAsia="en-US"/>
        </w:rPr>
        <w:t xml:space="preserve">recept, as far as the latter relates to transport matters. The Transport Levy is provided by the GMCA from funding received from the ten Greater Manchester Local Authorities. The Transport Levy is set annually by the GMCA which approves the </w:t>
      </w:r>
      <w:r w:rsidRPr="00192EC4">
        <w:rPr>
          <w:rFonts w:ascii="Arial" w:hAnsi="Arial"/>
          <w:sz w:val="24"/>
          <w:lang w:eastAsia="en-US"/>
        </w:rPr>
        <w:lastRenderedPageBreak/>
        <w:t xml:space="preserve">transport budget and the amount provided to TfGM. Certain activities which are </w:t>
      </w:r>
      <w:r w:rsidR="00E64CE8">
        <w:rPr>
          <w:rFonts w:ascii="Arial" w:hAnsi="Arial"/>
          <w:sz w:val="24"/>
          <w:lang w:eastAsia="en-US"/>
        </w:rPr>
        <w:t>M</w:t>
      </w:r>
      <w:r w:rsidRPr="00192EC4">
        <w:rPr>
          <w:rFonts w:ascii="Arial" w:hAnsi="Arial"/>
          <w:sz w:val="24"/>
          <w:lang w:eastAsia="en-US"/>
        </w:rPr>
        <w:t xml:space="preserve">ayoral functions are funded from the Mayoral </w:t>
      </w:r>
      <w:r w:rsidR="00E64CE8">
        <w:rPr>
          <w:rFonts w:ascii="Arial" w:hAnsi="Arial"/>
          <w:sz w:val="24"/>
          <w:lang w:eastAsia="en-US"/>
        </w:rPr>
        <w:t>b</w:t>
      </w:r>
      <w:r w:rsidRPr="00192EC4">
        <w:rPr>
          <w:rFonts w:ascii="Arial" w:hAnsi="Arial"/>
          <w:sz w:val="24"/>
          <w:lang w:eastAsia="en-US"/>
        </w:rPr>
        <w:t xml:space="preserve">udget and the Mayoral Precept. This includes the costs associated with developing, updating and delivering the Local Transport Plan. In addition to the policies and activities which are directed by the GMCA transport vision, a number of TfGM activities are determined by government policy or legislation, including the English National Concessionary Travel Scheme. </w:t>
      </w:r>
    </w:p>
    <w:p w14:paraId="456D7BFE" w14:textId="77777777" w:rsidR="00BE35F9" w:rsidRPr="00192EC4" w:rsidRDefault="00BE35F9" w:rsidP="006F1659">
      <w:pPr>
        <w:spacing w:line="360" w:lineRule="auto"/>
        <w:rPr>
          <w:rFonts w:ascii="Arial" w:hAnsi="Arial" w:cs="Arial"/>
          <w:bCs/>
          <w:lang w:eastAsia="en-GB"/>
        </w:rPr>
      </w:pPr>
    </w:p>
    <w:p w14:paraId="143AAB66" w14:textId="7C092DC0" w:rsidR="00BE35F9" w:rsidRPr="00192EC4" w:rsidRDefault="00BE35F9" w:rsidP="006F1659">
      <w:pPr>
        <w:spacing w:line="360" w:lineRule="auto"/>
        <w:rPr>
          <w:rFonts w:ascii="Arial" w:hAnsi="Arial" w:cs="Arial"/>
          <w:bCs/>
          <w:lang w:eastAsia="en-GB"/>
        </w:rPr>
      </w:pPr>
      <w:r w:rsidRPr="00192EC4">
        <w:rPr>
          <w:rFonts w:ascii="Arial" w:hAnsi="Arial" w:cs="Arial"/>
          <w:bCs/>
          <w:lang w:eastAsia="en-GB"/>
        </w:rPr>
        <w:t xml:space="preserve">The Transport revenue budget approved by GMCA was £282m funded from the Transport Levy and Statutory Charge, Mayoral </w:t>
      </w:r>
      <w:r w:rsidR="002E1DEA" w:rsidRPr="00192EC4">
        <w:rPr>
          <w:rFonts w:ascii="Arial" w:hAnsi="Arial" w:cs="Arial"/>
          <w:bCs/>
          <w:lang w:eastAsia="en-GB"/>
        </w:rPr>
        <w:t>P</w:t>
      </w:r>
      <w:r w:rsidRPr="00192EC4">
        <w:rPr>
          <w:rFonts w:ascii="Arial" w:hAnsi="Arial" w:cs="Arial"/>
          <w:bCs/>
          <w:lang w:eastAsia="en-GB"/>
        </w:rPr>
        <w:t>recept, grants and reserves. Transport provisional expenditure for 2022/23 was £338m which is an increase compared to budget of £55m. The majority of the increase related to additional government grant funding provided for light rail and bus recovery and bus service improvement. Transport revenue expenditure of £78m was retained by GMCA for capital financing costs for Metrolink and other programmes and £2</w:t>
      </w:r>
      <w:r w:rsidR="00526973">
        <w:rPr>
          <w:rFonts w:ascii="Arial" w:hAnsi="Arial" w:cs="Arial"/>
          <w:bCs/>
          <w:lang w:eastAsia="en-GB"/>
        </w:rPr>
        <w:t>6</w:t>
      </w:r>
      <w:r w:rsidRPr="00192EC4">
        <w:rPr>
          <w:rFonts w:ascii="Arial" w:hAnsi="Arial" w:cs="Arial"/>
          <w:bCs/>
          <w:lang w:eastAsia="en-GB"/>
        </w:rPr>
        <w:t>0m was provided to TfGM for transport delivery as set out below.</w:t>
      </w:r>
    </w:p>
    <w:p w14:paraId="29CE1FA7" w14:textId="77777777" w:rsidR="00BE35F9" w:rsidRPr="00192EC4" w:rsidRDefault="00BE35F9" w:rsidP="006F1659">
      <w:pPr>
        <w:spacing w:line="360" w:lineRule="auto"/>
        <w:rPr>
          <w:rFonts w:ascii="Arial" w:hAnsi="Arial" w:cs="Arial"/>
          <w:bCs/>
          <w:lang w:eastAsia="en-GB"/>
        </w:rPr>
      </w:pPr>
    </w:p>
    <w:p w14:paraId="369452A4" w14:textId="7F6E6146" w:rsidR="00BE35F9" w:rsidRPr="00192EC4" w:rsidRDefault="00BE35F9" w:rsidP="006F1659">
      <w:pPr>
        <w:pStyle w:val="8TfGMStandardDocumentText"/>
        <w:spacing w:line="360" w:lineRule="auto"/>
        <w:contextualSpacing/>
        <w:jc w:val="left"/>
        <w:rPr>
          <w:rFonts w:ascii="Arial" w:hAnsi="Arial"/>
          <w:sz w:val="24"/>
          <w:u w:val="single"/>
        </w:rPr>
      </w:pPr>
      <w:r w:rsidRPr="00192EC4">
        <w:rPr>
          <w:rFonts w:ascii="Arial" w:hAnsi="Arial"/>
          <w:sz w:val="24"/>
          <w:u w:val="single"/>
        </w:rPr>
        <w:t xml:space="preserve">Highways </w:t>
      </w:r>
    </w:p>
    <w:p w14:paraId="73334068"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Greater Manchester’s ten local authorities are responsible for the roads in their area, such as general maintenance and the planning of the work to deliver it. However TfGM has strategic oversight of the Key Route Network (“KRN”), making up over 650km of Greater Manchester’s busiest roads. While this is just 7% of the total length of the highways network, it carries two-thirds of all peak-time traffic.  </w:t>
      </w:r>
    </w:p>
    <w:p w14:paraId="103AC607"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 </w:t>
      </w:r>
    </w:p>
    <w:p w14:paraId="39CBB1EA" w14:textId="2A397415"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TfGM works closely with local authority partners and Highways England to coordinate day-to-day operations and deal with incidents and events on Greater Manchester’s roads and motorways. This includes work aimed at tackling congestion such as managing signals to improve traffic flow, controlling pedestrian crossings, conducting long</w:t>
      </w:r>
      <w:r w:rsidR="00F3496D" w:rsidRPr="00192EC4">
        <w:rPr>
          <w:rFonts w:ascii="Arial" w:hAnsi="Arial"/>
          <w:sz w:val="24"/>
        </w:rPr>
        <w:t xml:space="preserve"> </w:t>
      </w:r>
      <w:r w:rsidRPr="00192EC4">
        <w:rPr>
          <w:rFonts w:ascii="Arial" w:hAnsi="Arial"/>
          <w:sz w:val="24"/>
        </w:rPr>
        <w:t xml:space="preserve">term planning and modelling and design, and installing and modifying new traffic signal junctions. </w:t>
      </w:r>
    </w:p>
    <w:p w14:paraId="4D2401F5" w14:textId="4896B443" w:rsidR="00201027"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 </w:t>
      </w:r>
    </w:p>
    <w:p w14:paraId="6CBAD43D" w14:textId="6779471A" w:rsidR="00BE35F9" w:rsidRPr="00201027" w:rsidRDefault="00BE35F9" w:rsidP="006F1659">
      <w:pPr>
        <w:pStyle w:val="8TfGMStandardDocumentText"/>
        <w:spacing w:after="100" w:afterAutospacing="1" w:line="360" w:lineRule="auto"/>
        <w:contextualSpacing/>
        <w:jc w:val="left"/>
        <w:rPr>
          <w:rFonts w:ascii="Arial" w:hAnsi="Arial"/>
          <w:sz w:val="24"/>
          <w:u w:val="single"/>
        </w:rPr>
      </w:pPr>
      <w:r w:rsidRPr="00192EC4">
        <w:rPr>
          <w:rFonts w:ascii="Arial" w:hAnsi="Arial"/>
          <w:sz w:val="24"/>
          <w:u w:val="single"/>
        </w:rPr>
        <w:t xml:space="preserve">Metrolink </w:t>
      </w:r>
    </w:p>
    <w:p w14:paraId="566D22F7" w14:textId="420ECB1F"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Metrolink is owned by TfGM and operated and maintained by Keolis</w:t>
      </w:r>
      <w:r w:rsidR="006A7A2D" w:rsidRPr="00192EC4">
        <w:rPr>
          <w:rFonts w:ascii="Arial" w:hAnsi="Arial"/>
          <w:sz w:val="24"/>
        </w:rPr>
        <w:t xml:space="preserve"> </w:t>
      </w:r>
      <w:r w:rsidRPr="00192EC4">
        <w:rPr>
          <w:rFonts w:ascii="Arial" w:hAnsi="Arial"/>
          <w:sz w:val="24"/>
        </w:rPr>
        <w:t xml:space="preserve">Amey Metrolink (KAM) on a seven-year contract (with an option to extend up to 2027) which began in July 2017. While KAM operates and maintains the network, TfGM is responsible for </w:t>
      </w:r>
      <w:r w:rsidRPr="00192EC4">
        <w:rPr>
          <w:rFonts w:ascii="Arial" w:hAnsi="Arial"/>
          <w:sz w:val="24"/>
        </w:rPr>
        <w:lastRenderedPageBreak/>
        <w:t xml:space="preserve">setting the price of tickets, renewing, enhancing and expanding the network and planning future development, as well as overseeing the operations and maintenance contract. </w:t>
      </w:r>
    </w:p>
    <w:p w14:paraId="33E352D8"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 </w:t>
      </w:r>
    </w:p>
    <w:p w14:paraId="32EDFEA3" w14:textId="460985DA"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Metrolink services began operating in 1992 and since then the network has grown extensively and is now the largest light rail network in the UK. The system began to expand in 2010, with a c£2 billion expansion and extension programme; the latest extension being the Trafford Park Line which opened in March 2020. The network now has a total of 99 stops and 103km of track. Metrolink is one of the most accessible forms of transport with step-free access at all stops and level access from the platform to the tram. The system is powered by electricity produced from wind or solar power, making it zero-emission at street level. </w:t>
      </w:r>
    </w:p>
    <w:p w14:paraId="6F4E88B5"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 </w:t>
      </w:r>
    </w:p>
    <w:p w14:paraId="32DF6B43"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As agreed by Association of Greater Manchester Authorities (AGMA)/GMCA, as part of the funding strategy for the Greater Manchester Transport Fund (GMTF) which funded the majority of the investment in the network referred to above, all net revenues generated from Metrolink are ring fenced to fund the financing costs associated with the local borrowings taken out as part of the GMTF. </w:t>
      </w:r>
    </w:p>
    <w:p w14:paraId="4022A535"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0C28C11E" w14:textId="70909AF6"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Patronage and revenues on Metrolink were, and continue to be, significantly impacted by COVID-19. As at March 2023, patronage had reached circa 87% of pre-pandemic levels. This reduction in farebox revenues, allied with severe inflationary pressures on the cost base, means that the network faces significant funding shortfalls over the coming period. DfT support towards these operating deficits originally ceased on 4 October 2022. In June 2023 a further award of funding from DfT for Metrolink and bus services was made for the period to 31 March 2024. Discussions remain ongoing with DfT regarding future funding as part of TfGM’s Financial Sustainability Plan.  </w:t>
      </w:r>
    </w:p>
    <w:p w14:paraId="12854DBB"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 </w:t>
      </w:r>
    </w:p>
    <w:p w14:paraId="6AACA5A7" w14:textId="30EAF8FF" w:rsidR="00BE35F9" w:rsidRPr="00192EC4" w:rsidRDefault="00BE35F9" w:rsidP="006F1659">
      <w:pPr>
        <w:pStyle w:val="8TfGMStandardDocumentText"/>
        <w:spacing w:after="100" w:afterAutospacing="1" w:line="360" w:lineRule="auto"/>
        <w:contextualSpacing/>
        <w:jc w:val="left"/>
        <w:rPr>
          <w:rFonts w:ascii="Arial" w:hAnsi="Arial"/>
          <w:sz w:val="24"/>
          <w:u w:val="single"/>
        </w:rPr>
      </w:pPr>
      <w:r w:rsidRPr="00192EC4">
        <w:rPr>
          <w:rFonts w:ascii="Arial" w:hAnsi="Arial"/>
          <w:sz w:val="24"/>
          <w:u w:val="single"/>
        </w:rPr>
        <w:t xml:space="preserve">Bus </w:t>
      </w:r>
    </w:p>
    <w:p w14:paraId="7C5BE403" w14:textId="407034FA"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Greater Manchester’s bus network plays a key role in keeping the city</w:t>
      </w:r>
      <w:r w:rsidR="00252539" w:rsidRPr="00192EC4">
        <w:rPr>
          <w:rFonts w:ascii="Arial" w:hAnsi="Arial"/>
          <w:sz w:val="24"/>
        </w:rPr>
        <w:t xml:space="preserve"> </w:t>
      </w:r>
      <w:r w:rsidRPr="00192EC4">
        <w:rPr>
          <w:rFonts w:ascii="Arial" w:hAnsi="Arial"/>
          <w:sz w:val="24"/>
        </w:rPr>
        <w:t xml:space="preserve">region moving by helping to reduce car journeys and easing congestion on roads. </w:t>
      </w:r>
    </w:p>
    <w:p w14:paraId="6C4739F4"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 </w:t>
      </w:r>
    </w:p>
    <w:p w14:paraId="03873104" w14:textId="5F57C596"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Bus services were deregulated in 1986 under the Transport Act 1985. Consequently, there are currently two interacting bus markets in Greater Manchester: a commercial </w:t>
      </w:r>
      <w:r w:rsidRPr="00192EC4">
        <w:rPr>
          <w:rFonts w:ascii="Arial" w:hAnsi="Arial"/>
          <w:sz w:val="24"/>
        </w:rPr>
        <w:lastRenderedPageBreak/>
        <w:t xml:space="preserve">(deregulated) market and a subsidised (contracted) market. Over 80% of services are run commercially by bus companies who set the routes, timetables, fares, frequencies and quality standards. The remaining services form the subsidised market, where bus operators compete to win contracts offered by TfGM. These contracts are for services, or parts of services (early morning or evening journeys) that are considered to be socially necessary and are funded by TfGM. </w:t>
      </w:r>
    </w:p>
    <w:p w14:paraId="7470252A"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 </w:t>
      </w:r>
    </w:p>
    <w:p w14:paraId="0D4EBDBD" w14:textId="288AAA3E"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Bus patronage and revenue fell significantly at the start of the pandemic but has recovered to approximately 85% of pre-pandemic levels. Notwithstanding this recovery, bus operators are still facing a challenging trading environment, with lower farebox revenues combining with the impact of high levels of cost inflation from higher fuel, labour costs etc. This has resulted in some operators making commercial service changes across Greater Manchester, including service withdrawals and reductions in frequency. To ensure the stability of the network, TfGM has replaced most of these withdrawn services, largely at current frequencies, to ensure there has been no material impact on network coverage. These interventions will also protect revenue and enable the network to be optimised through better planning, post franchising. The cost of restoring these services has, to</w:t>
      </w:r>
      <w:r w:rsidR="00BC0D7C" w:rsidRPr="00192EC4">
        <w:rPr>
          <w:rFonts w:ascii="Arial" w:hAnsi="Arial"/>
          <w:sz w:val="24"/>
        </w:rPr>
        <w:t xml:space="preserve"> </w:t>
      </w:r>
      <w:r w:rsidRPr="00192EC4">
        <w:rPr>
          <w:rFonts w:ascii="Arial" w:hAnsi="Arial"/>
          <w:sz w:val="24"/>
        </w:rPr>
        <w:t xml:space="preserve">date, been mitigated by </w:t>
      </w:r>
      <w:r w:rsidR="00EC49BA" w:rsidRPr="00192EC4">
        <w:rPr>
          <w:rFonts w:ascii="Arial" w:hAnsi="Arial"/>
          <w:sz w:val="24"/>
        </w:rPr>
        <w:t>g</w:t>
      </w:r>
      <w:r w:rsidRPr="00192EC4">
        <w:rPr>
          <w:rFonts w:ascii="Arial" w:hAnsi="Arial"/>
          <w:sz w:val="24"/>
        </w:rPr>
        <w:t>overnment bus recovery funding and by maintaining local funding of concession payments to bus operators at pre COVID-19 levels. These same funding sources have also, to date, helped to prevent wider-reaching service withdrawals. That bus recovery funding was due to expire at the end of June 2023, however DfT has recently announced an extension, as part of a combined package of funding for Metrolink and bus services, for the period through to 31 March 2024.</w:t>
      </w:r>
    </w:p>
    <w:p w14:paraId="20D1AA58"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2680ABAA"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Whilst patronage is now recovering, reflecting the region’s population growth and our marketing campaigns to offer affordable alternatives to car travel, the lasting impacts of the pandemic and the subsequent exceptional inflationary pressures means that the public transport network will continue to face financial challenges in 2023/24 and beyond.</w:t>
      </w:r>
    </w:p>
    <w:p w14:paraId="31466D5A"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75DDF24E" w14:textId="6AB1E383"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In April 2022, TfGM was informed that it had been successful in being awarded an indicative revenue funding allocation of up to £94.8m to commence delivery of the </w:t>
      </w:r>
      <w:r w:rsidRPr="00192EC4">
        <w:rPr>
          <w:rFonts w:ascii="Arial" w:hAnsi="Arial"/>
          <w:sz w:val="24"/>
        </w:rPr>
        <w:lastRenderedPageBreak/>
        <w:t xml:space="preserve">Greater Manchester Bus Services Improvement Plan (BSIP). This funding is for the period from 2022/23 to 2024/25 </w:t>
      </w:r>
    </w:p>
    <w:p w14:paraId="5EA587A8"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0F521279" w14:textId="0A8A88E5" w:rsidR="00BE35F9" w:rsidRPr="00192EC4" w:rsidRDefault="00BE35F9" w:rsidP="006F1659">
      <w:pPr>
        <w:pStyle w:val="8TfGMStandardDocumentText"/>
        <w:spacing w:after="100" w:afterAutospacing="1" w:line="360" w:lineRule="auto"/>
        <w:contextualSpacing/>
        <w:jc w:val="left"/>
        <w:rPr>
          <w:rFonts w:ascii="Arial" w:hAnsi="Arial"/>
          <w:sz w:val="24"/>
        </w:rPr>
      </w:pPr>
      <w:bookmarkStart w:id="24" w:name="_Hlk140063444"/>
      <w:r w:rsidRPr="00192EC4">
        <w:rPr>
          <w:rFonts w:ascii="Arial" w:hAnsi="Arial"/>
          <w:sz w:val="24"/>
        </w:rPr>
        <w:t>As agreed with GMCA, TfGM has used part of the BSIP funding to introduce capped bus fares. These were introduced in September 2022 (singles and daily fares) and January 2023 (weekly fares). In the report to GMCA in June 2022 on the implementation of the singles and daily fares scheme, it was recommended that these proposals were introduced on an initial one-year basis, from September 2022 to August 2023, with a commitment to review the delivery by summer 2023</w:t>
      </w:r>
      <w:bookmarkStart w:id="25" w:name="_Hlk140063996"/>
      <w:r w:rsidRPr="00192EC4">
        <w:rPr>
          <w:rFonts w:ascii="Arial" w:hAnsi="Arial"/>
          <w:sz w:val="24"/>
        </w:rPr>
        <w:t>. Following this review, in June 2023, GMCA agreed to the continuation of the capped fares scheme subject to a further review in summer 2024.</w:t>
      </w:r>
      <w:bookmarkEnd w:id="25"/>
      <w:r w:rsidRPr="00192EC4">
        <w:rPr>
          <w:rFonts w:ascii="Arial" w:hAnsi="Arial"/>
          <w:sz w:val="24"/>
        </w:rPr>
        <w:t xml:space="preserve"> BSIP funding is also being used to partially support the network stabilisation activities referred to above and to support the operation of smart ticketing on bus services.</w:t>
      </w:r>
    </w:p>
    <w:bookmarkEnd w:id="24"/>
    <w:p w14:paraId="5A9B68A6"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09ED4E95" w14:textId="415F2CAC" w:rsidR="00BE35F9" w:rsidRPr="00201027" w:rsidRDefault="00BE35F9" w:rsidP="006F1659">
      <w:pPr>
        <w:pStyle w:val="8TfGMStandardDocumentText"/>
        <w:spacing w:after="100" w:afterAutospacing="1" w:line="360" w:lineRule="auto"/>
        <w:contextualSpacing/>
        <w:jc w:val="left"/>
        <w:rPr>
          <w:rFonts w:ascii="Arial" w:hAnsi="Arial"/>
          <w:sz w:val="24"/>
          <w:u w:val="single"/>
        </w:rPr>
      </w:pPr>
      <w:r w:rsidRPr="00192EC4">
        <w:rPr>
          <w:rFonts w:ascii="Arial" w:hAnsi="Arial"/>
          <w:sz w:val="24"/>
          <w:u w:val="single"/>
        </w:rPr>
        <w:t>Bus Reform</w:t>
      </w:r>
    </w:p>
    <w:p w14:paraId="6FEC59B5"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In March 2021, the Mayor of Greater Manchester made the decision, to implement bus franchising as part of plans for a joined-up and truly customer-focused transport network.</w:t>
      </w:r>
    </w:p>
    <w:p w14:paraId="593A5BB4"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2EDCF869" w14:textId="3F70628E"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Once implemented Greater Manchester will be the first city</w:t>
      </w:r>
      <w:r w:rsidR="00252539" w:rsidRPr="00192EC4">
        <w:rPr>
          <w:rFonts w:ascii="Arial" w:hAnsi="Arial"/>
          <w:sz w:val="24"/>
        </w:rPr>
        <w:t xml:space="preserve"> </w:t>
      </w:r>
      <w:r w:rsidRPr="00192EC4">
        <w:rPr>
          <w:rFonts w:ascii="Arial" w:hAnsi="Arial"/>
          <w:sz w:val="24"/>
        </w:rPr>
        <w:t>region outside London to have buses that are under local control, allowing local leaders to set routes, frequencies, fares and tickets. This will allow GMCA and TfGM to fully integrate buses with the rest of the transport network, as part of a customer-focused network with easy end-to-end journeys, known as the ‘Bee Network’.</w:t>
      </w:r>
    </w:p>
    <w:p w14:paraId="6E329CD3"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26B72BD6"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Bus franchising will deliver customer benefits, including simpler fares and ticketing, better joined-up planning between bus and tram journeys so customers will be able to change between them quickly and easily. It will also mean a ‘one-stop shop’ for ticketing, travel information and customer support, as well as consistent standards for a high-quality customer experience across the network. </w:t>
      </w:r>
    </w:p>
    <w:p w14:paraId="5C197AD8"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588AA2F5" w14:textId="7FB26279"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 xml:space="preserve">Franchising will also support GMCA’s objectives as set out in the Greater Manchester Strategy to become the best place in the country to </w:t>
      </w:r>
      <w:r w:rsidRPr="00192EC4">
        <w:rPr>
          <w:rFonts w:ascii="Arial" w:hAnsi="Arial"/>
          <w:i/>
          <w:sz w:val="24"/>
        </w:rPr>
        <w:t>grow up, get on and grow old</w:t>
      </w:r>
      <w:r w:rsidRPr="00192EC4">
        <w:rPr>
          <w:rFonts w:ascii="Arial" w:hAnsi="Arial"/>
          <w:sz w:val="24"/>
        </w:rPr>
        <w:t xml:space="preserve">. With buses under local control, the Bee Network will be able to connect people by public </w:t>
      </w:r>
      <w:r w:rsidRPr="00192EC4">
        <w:rPr>
          <w:rFonts w:ascii="Arial" w:hAnsi="Arial"/>
          <w:sz w:val="24"/>
        </w:rPr>
        <w:lastRenderedPageBreak/>
        <w:t>transport to work, home, education, culture and leisure. Bus franchising also means GMCA can set environmental standards for a cleaner, greener bus fleet, helping to meet the city</w:t>
      </w:r>
      <w:r w:rsidR="00252539" w:rsidRPr="00192EC4">
        <w:rPr>
          <w:rFonts w:ascii="Arial" w:hAnsi="Arial"/>
          <w:sz w:val="24"/>
        </w:rPr>
        <w:t xml:space="preserve"> </w:t>
      </w:r>
      <w:r w:rsidRPr="00192EC4">
        <w:rPr>
          <w:rFonts w:ascii="Arial" w:hAnsi="Arial"/>
          <w:sz w:val="24"/>
        </w:rPr>
        <w:t>region’s targets to tackle the climate emergency, reduce harmful emissions and clean up our air.</w:t>
      </w:r>
    </w:p>
    <w:p w14:paraId="599A7FD2"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17268DEF" w14:textId="0DFB172F"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TfGM will be implementing and managing bus franchising on behalf of GMCA (the franchising authority). To ensure a smooth transition, franchising will be introduced in phases. In December 2022 TfGM awarded the first contracts to bus operators to provide franchised bus services with the first franchised buses starting to run in Bolton and Wigan in September 2023. Tranches 2 and 3 will commence in March 2024 and January 2025 respectively.</w:t>
      </w:r>
    </w:p>
    <w:p w14:paraId="3D1FB9DB"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2F4E005D" w14:textId="1EDA908B" w:rsidR="00BE35F9" w:rsidRPr="00201027" w:rsidRDefault="00BE35F9" w:rsidP="006F1659">
      <w:pPr>
        <w:pStyle w:val="8TfGMStandardDocumentText"/>
        <w:spacing w:after="100" w:afterAutospacing="1" w:line="360" w:lineRule="auto"/>
        <w:contextualSpacing/>
        <w:jc w:val="left"/>
        <w:rPr>
          <w:rFonts w:ascii="Arial" w:hAnsi="Arial"/>
          <w:sz w:val="24"/>
          <w:u w:val="single"/>
        </w:rPr>
      </w:pPr>
      <w:r w:rsidRPr="00192EC4">
        <w:rPr>
          <w:rFonts w:ascii="Arial" w:hAnsi="Arial"/>
          <w:sz w:val="24"/>
          <w:u w:val="single"/>
        </w:rPr>
        <w:t xml:space="preserve">Rail </w:t>
      </w:r>
    </w:p>
    <w:p w14:paraId="5E70ACC6"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r w:rsidRPr="00192EC4">
        <w:rPr>
          <w:rFonts w:ascii="Arial" w:hAnsi="Arial"/>
          <w:sz w:val="24"/>
        </w:rPr>
        <w:t>Greater Manchester places transport at the core of its growth agenda. Excellent transport connectivity is fundamental to our people, businesses, and communities, fulfilling their potential at the heart of a globalised and sustainable Northern Powerhouse economy. Our vision for transport in GM as outlined in the 2040 Transport Strategy, is for world class connections that support long term, sustainable economic growth, and access to opportunity for all.</w:t>
      </w:r>
    </w:p>
    <w:p w14:paraId="23A12297" w14:textId="77777777" w:rsidR="00BE35F9" w:rsidRPr="00192EC4" w:rsidRDefault="00BE35F9" w:rsidP="006F1659">
      <w:pPr>
        <w:pStyle w:val="8TfGMStandardDocumentText"/>
        <w:spacing w:after="100" w:afterAutospacing="1" w:line="360" w:lineRule="auto"/>
        <w:contextualSpacing/>
        <w:jc w:val="left"/>
        <w:rPr>
          <w:rFonts w:ascii="Arial" w:hAnsi="Arial"/>
          <w:sz w:val="24"/>
        </w:rPr>
      </w:pPr>
    </w:p>
    <w:p w14:paraId="77B8BB97" w14:textId="77777777" w:rsidR="00BE35F9" w:rsidRPr="00192EC4" w:rsidRDefault="00BE35F9" w:rsidP="006F1659">
      <w:pPr>
        <w:pStyle w:val="8TfGMStandardDocumentText"/>
        <w:spacing w:line="360" w:lineRule="auto"/>
        <w:contextualSpacing/>
        <w:jc w:val="left"/>
        <w:rPr>
          <w:rFonts w:ascii="Arial" w:hAnsi="Arial"/>
          <w:sz w:val="24"/>
        </w:rPr>
      </w:pPr>
      <w:r w:rsidRPr="00192EC4">
        <w:rPr>
          <w:rFonts w:ascii="Arial" w:hAnsi="Arial"/>
          <w:sz w:val="24"/>
        </w:rPr>
        <w:t xml:space="preserve">At the heart of the Strategy is a renewed policy focus on public transport integration. Rail, the missing piece to GM’s integrated transport network (the Bee Network), will need to play its part in achieving this concept and support our ‘Right Mix’ vision and ambitious plans for sustainable growth and economic prosperity. </w:t>
      </w:r>
    </w:p>
    <w:p w14:paraId="05018DAA" w14:textId="77777777" w:rsidR="00BE35F9" w:rsidRPr="00192EC4" w:rsidRDefault="00BE35F9" w:rsidP="006F1659">
      <w:pPr>
        <w:spacing w:line="360" w:lineRule="auto"/>
        <w:rPr>
          <w:rFonts w:ascii="Arial" w:hAnsi="Arial" w:cs="Arial"/>
        </w:rPr>
      </w:pPr>
      <w:r w:rsidRPr="00192EC4">
        <w:rPr>
          <w:rFonts w:ascii="Arial" w:hAnsi="Arial" w:cs="Arial"/>
        </w:rPr>
        <w:t xml:space="preserve">TfGM have been working extensively with the Great British Railways Transition Team (GBRTT), the Department for Transport (DfT) and wider rail industry partners on developing its rail reform plans. </w:t>
      </w:r>
    </w:p>
    <w:p w14:paraId="27A46556" w14:textId="77777777" w:rsidR="00BE35F9" w:rsidRPr="00192EC4" w:rsidRDefault="00BE35F9" w:rsidP="006F1659">
      <w:pPr>
        <w:spacing w:line="360" w:lineRule="auto"/>
        <w:rPr>
          <w:rFonts w:ascii="Arial" w:hAnsi="Arial" w:cs="Arial"/>
        </w:rPr>
      </w:pPr>
    </w:p>
    <w:p w14:paraId="68D05F05" w14:textId="0AE35C76" w:rsidR="00BE35F9" w:rsidRPr="00192EC4" w:rsidRDefault="00E64CE8" w:rsidP="006F1659">
      <w:pPr>
        <w:spacing w:line="360" w:lineRule="auto"/>
        <w:rPr>
          <w:rFonts w:ascii="Arial" w:hAnsi="Arial" w:cs="Arial"/>
        </w:rPr>
      </w:pPr>
      <w:r>
        <w:rPr>
          <w:rFonts w:ascii="Arial" w:hAnsi="Arial" w:cs="Arial"/>
        </w:rPr>
        <w:t>The</w:t>
      </w:r>
      <w:r w:rsidR="00BE35F9" w:rsidRPr="00192EC4">
        <w:rPr>
          <w:rFonts w:ascii="Arial" w:hAnsi="Arial" w:cs="Arial"/>
        </w:rPr>
        <w:t xml:space="preserve"> </w:t>
      </w:r>
      <w:r>
        <w:rPr>
          <w:rFonts w:ascii="Arial" w:hAnsi="Arial" w:cs="Arial"/>
        </w:rPr>
        <w:t xml:space="preserve">new </w:t>
      </w:r>
      <w:r w:rsidR="00923EED">
        <w:rPr>
          <w:rFonts w:ascii="Arial" w:hAnsi="Arial" w:cs="Arial"/>
        </w:rPr>
        <w:t xml:space="preserve">‘Trailblazer Devolution Deal’ </w:t>
      </w:r>
      <w:r>
        <w:rPr>
          <w:rFonts w:ascii="Arial" w:hAnsi="Arial" w:cs="Arial"/>
        </w:rPr>
        <w:t xml:space="preserve">agreed with DLUHC </w:t>
      </w:r>
      <w:r w:rsidR="00BE35F9" w:rsidRPr="00192EC4">
        <w:rPr>
          <w:rFonts w:ascii="Arial" w:hAnsi="Arial" w:cs="Arial"/>
        </w:rPr>
        <w:t xml:space="preserve">included more influence on regional rail services. The </w:t>
      </w:r>
      <w:r>
        <w:rPr>
          <w:rFonts w:ascii="Arial" w:hAnsi="Arial" w:cs="Arial"/>
        </w:rPr>
        <w:t xml:space="preserve">new </w:t>
      </w:r>
      <w:r w:rsidR="00BE35F9" w:rsidRPr="00192EC4">
        <w:rPr>
          <w:rFonts w:ascii="Arial" w:hAnsi="Arial" w:cs="Arial"/>
        </w:rPr>
        <w:t>deal is a major step forward in improving our railways and ensuring socio-economic prosperity is spread across the city region. It commits to fully integrating rail services into the Bee Network by 2030, through the delivery of:</w:t>
      </w:r>
    </w:p>
    <w:p w14:paraId="1CDA274C" w14:textId="77777777" w:rsidR="00BE35F9" w:rsidRPr="00192EC4" w:rsidRDefault="00BE35F9" w:rsidP="006F1659">
      <w:pPr>
        <w:spacing w:line="360" w:lineRule="auto"/>
        <w:rPr>
          <w:rFonts w:ascii="Arial" w:hAnsi="Arial" w:cs="Arial"/>
        </w:rPr>
      </w:pPr>
    </w:p>
    <w:p w14:paraId="78225856" w14:textId="77777777" w:rsidR="00BE35F9" w:rsidRPr="00192EC4" w:rsidRDefault="00BE35F9" w:rsidP="006F1659">
      <w:pPr>
        <w:pStyle w:val="ListParagraph"/>
        <w:numPr>
          <w:ilvl w:val="0"/>
          <w:numId w:val="69"/>
        </w:numPr>
        <w:snapToGrid w:val="0"/>
        <w:spacing w:after="0" w:line="360" w:lineRule="auto"/>
        <w:ind w:left="284" w:hanging="284"/>
        <w:rPr>
          <w:rFonts w:ascii="Arial" w:hAnsi="Arial" w:cs="Arial"/>
          <w:sz w:val="24"/>
          <w:szCs w:val="24"/>
        </w:rPr>
      </w:pPr>
      <w:r w:rsidRPr="00192EC4">
        <w:rPr>
          <w:rFonts w:ascii="Arial" w:hAnsi="Arial" w:cs="Arial"/>
          <w:sz w:val="24"/>
          <w:szCs w:val="24"/>
        </w:rPr>
        <w:lastRenderedPageBreak/>
        <w:t>Full multi modal fares and ticketing integration across bus, Metrolink, rail and cycle hire (including fares simplification and capping) by 2030.</w:t>
      </w:r>
    </w:p>
    <w:p w14:paraId="58A3D141" w14:textId="77777777" w:rsidR="00BE35F9" w:rsidRPr="00192EC4" w:rsidRDefault="00BE35F9" w:rsidP="006F1659">
      <w:pPr>
        <w:pStyle w:val="ListParagraph"/>
        <w:numPr>
          <w:ilvl w:val="0"/>
          <w:numId w:val="69"/>
        </w:numPr>
        <w:snapToGrid w:val="0"/>
        <w:spacing w:after="0" w:line="360" w:lineRule="auto"/>
        <w:ind w:left="284" w:hanging="284"/>
        <w:rPr>
          <w:rFonts w:ascii="Arial" w:hAnsi="Arial" w:cs="Arial"/>
          <w:sz w:val="24"/>
          <w:szCs w:val="24"/>
        </w:rPr>
      </w:pPr>
      <w:r w:rsidRPr="00192EC4">
        <w:rPr>
          <w:rFonts w:ascii="Arial" w:hAnsi="Arial" w:cs="Arial"/>
          <w:sz w:val="24"/>
          <w:szCs w:val="24"/>
        </w:rPr>
        <w:t>Bee Network co-branding across stations, designs, and standards.</w:t>
      </w:r>
    </w:p>
    <w:p w14:paraId="1F9F87C0" w14:textId="77777777" w:rsidR="00BE35F9" w:rsidRPr="00192EC4" w:rsidRDefault="00BE35F9" w:rsidP="006F1659">
      <w:pPr>
        <w:pStyle w:val="ListParagraph"/>
        <w:numPr>
          <w:ilvl w:val="0"/>
          <w:numId w:val="69"/>
        </w:numPr>
        <w:snapToGrid w:val="0"/>
        <w:spacing w:after="0" w:line="360" w:lineRule="auto"/>
        <w:ind w:left="284" w:hanging="284"/>
        <w:rPr>
          <w:rFonts w:ascii="Arial" w:hAnsi="Arial" w:cs="Arial"/>
          <w:sz w:val="24"/>
          <w:szCs w:val="24"/>
        </w:rPr>
      </w:pPr>
      <w:r w:rsidRPr="00192EC4">
        <w:rPr>
          <w:rFonts w:ascii="Arial" w:hAnsi="Arial" w:cs="Arial"/>
          <w:sz w:val="24"/>
          <w:szCs w:val="24"/>
        </w:rPr>
        <w:t>Establishment of a North West Regional Business Unit to help support the management of the current Northern and TransPennine Passenger Service Contracts.</w:t>
      </w:r>
    </w:p>
    <w:p w14:paraId="4627A21F" w14:textId="77777777" w:rsidR="00BE35F9" w:rsidRPr="00192EC4" w:rsidRDefault="00BE35F9" w:rsidP="006F1659">
      <w:pPr>
        <w:pStyle w:val="ListParagraph"/>
        <w:numPr>
          <w:ilvl w:val="0"/>
          <w:numId w:val="69"/>
        </w:numPr>
        <w:snapToGrid w:val="0"/>
        <w:spacing w:after="0" w:line="360" w:lineRule="auto"/>
        <w:ind w:left="284" w:hanging="284"/>
        <w:rPr>
          <w:rFonts w:ascii="Arial" w:hAnsi="Arial" w:cs="Arial"/>
          <w:sz w:val="24"/>
          <w:szCs w:val="24"/>
        </w:rPr>
      </w:pPr>
      <w:r w:rsidRPr="00192EC4">
        <w:rPr>
          <w:rFonts w:ascii="Arial" w:hAnsi="Arial" w:cs="Arial"/>
          <w:sz w:val="24"/>
          <w:szCs w:val="24"/>
        </w:rPr>
        <w:t>A commercial vehicle to drive land value capture and regeneration at Greater Manchester stations.</w:t>
      </w:r>
    </w:p>
    <w:p w14:paraId="79836323" w14:textId="77777777" w:rsidR="00BE35F9" w:rsidRPr="00192EC4" w:rsidRDefault="00BE35F9" w:rsidP="006F1659">
      <w:pPr>
        <w:pStyle w:val="ListParagraph"/>
        <w:numPr>
          <w:ilvl w:val="0"/>
          <w:numId w:val="69"/>
        </w:numPr>
        <w:snapToGrid w:val="0"/>
        <w:spacing w:after="0" w:line="360" w:lineRule="auto"/>
        <w:ind w:left="284" w:hanging="284"/>
        <w:rPr>
          <w:rFonts w:ascii="Arial" w:hAnsi="Arial" w:cs="Arial"/>
          <w:sz w:val="24"/>
          <w:szCs w:val="24"/>
        </w:rPr>
      </w:pPr>
      <w:r w:rsidRPr="00192EC4">
        <w:rPr>
          <w:rFonts w:ascii="Arial" w:hAnsi="Arial" w:cs="Arial"/>
          <w:sz w:val="24"/>
          <w:szCs w:val="24"/>
        </w:rPr>
        <w:t>Sponsorship of infrastructure and service enhancement schemes that impact Greater Manchester.</w:t>
      </w:r>
    </w:p>
    <w:p w14:paraId="407F3ACA" w14:textId="77777777" w:rsidR="00BE35F9" w:rsidRPr="00192EC4" w:rsidRDefault="00BE35F9" w:rsidP="006F1659">
      <w:pPr>
        <w:pStyle w:val="ListParagraph"/>
        <w:numPr>
          <w:ilvl w:val="0"/>
          <w:numId w:val="69"/>
        </w:numPr>
        <w:snapToGrid w:val="0"/>
        <w:spacing w:after="0" w:line="360" w:lineRule="auto"/>
        <w:ind w:left="284" w:hanging="284"/>
        <w:rPr>
          <w:rFonts w:ascii="Arial" w:hAnsi="Arial" w:cs="Arial"/>
          <w:sz w:val="24"/>
          <w:szCs w:val="24"/>
        </w:rPr>
      </w:pPr>
      <w:r w:rsidRPr="00192EC4">
        <w:rPr>
          <w:rFonts w:ascii="Arial" w:hAnsi="Arial" w:cs="Arial"/>
          <w:sz w:val="24"/>
          <w:szCs w:val="24"/>
        </w:rPr>
        <w:t xml:space="preserve">A Greater Manchester- Great British Railways Partnership and in the interim a Greater Manchester Rail Board which will be responsible for the delivery of the trailblazer deal and integration of rail into the Bee Network prior to GBR stand-up.  </w:t>
      </w:r>
    </w:p>
    <w:p w14:paraId="6BFF21A2" w14:textId="77777777" w:rsidR="00BE35F9" w:rsidRPr="00192EC4" w:rsidRDefault="00BE35F9" w:rsidP="006F1659">
      <w:pPr>
        <w:pStyle w:val="8TfGMStandardDocumentText"/>
        <w:spacing w:after="100" w:afterAutospacing="1" w:line="360" w:lineRule="auto"/>
        <w:contextualSpacing/>
        <w:jc w:val="left"/>
        <w:rPr>
          <w:rFonts w:ascii="Arial" w:hAnsi="Arial"/>
          <w:b/>
          <w:bCs/>
          <w:sz w:val="24"/>
          <w:lang w:eastAsia="en-US"/>
        </w:rPr>
      </w:pPr>
    </w:p>
    <w:p w14:paraId="45DA3E85" w14:textId="41E7E16A" w:rsidR="00BE35F9" w:rsidRPr="00201027" w:rsidRDefault="00BE35F9" w:rsidP="006F1659">
      <w:pPr>
        <w:pStyle w:val="8TfGMStandardDocumentText"/>
        <w:spacing w:after="100" w:afterAutospacing="1" w:line="360" w:lineRule="auto"/>
        <w:contextualSpacing/>
        <w:jc w:val="left"/>
        <w:rPr>
          <w:rFonts w:ascii="Arial" w:hAnsi="Arial"/>
          <w:sz w:val="24"/>
          <w:u w:val="single"/>
          <w:lang w:eastAsia="en-US"/>
        </w:rPr>
      </w:pPr>
      <w:r w:rsidRPr="00192EC4">
        <w:rPr>
          <w:rFonts w:ascii="Arial" w:hAnsi="Arial"/>
          <w:sz w:val="24"/>
          <w:u w:val="single"/>
          <w:lang w:eastAsia="en-US"/>
        </w:rPr>
        <w:t>Active Travel</w:t>
      </w:r>
    </w:p>
    <w:p w14:paraId="609D4F47" w14:textId="631DA255"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r w:rsidRPr="00192EC4">
        <w:rPr>
          <w:rFonts w:ascii="Arial" w:hAnsi="Arial"/>
          <w:sz w:val="24"/>
          <w:lang w:eastAsia="en-US"/>
        </w:rPr>
        <w:t xml:space="preserve">Walking, wheeling and cycling form many people’s ‘first and last mile’ of longer journeys by all forms of public transport mode. By facilitating integration of active travel, other sustainable modes of transport can be made more resilient, provide better customer experience, improve operating revenues, and enhance the contribution that seamless door-to-door journeys can make to reducing congestion. Combined, active travel modes form almost a quarter of all trips on the network.  </w:t>
      </w:r>
    </w:p>
    <w:p w14:paraId="0DF74444" w14:textId="77777777"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p>
    <w:p w14:paraId="6202A6A3" w14:textId="3F17CCB9"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r w:rsidRPr="00192EC4">
        <w:rPr>
          <w:rFonts w:ascii="Arial" w:hAnsi="Arial"/>
          <w:sz w:val="24"/>
          <w:lang w:eastAsia="en-US"/>
        </w:rPr>
        <w:t>Walking underpins all public transport and private car journeys. Greater Manchester intends to at least double walking and double then double again cycling as modes of travelling, either as part of longer connected trips or as journeys in their own right. This is essential to achieve health, economic, clean air and decarbonisation targets in GM. These modes have the potential in many parts of GM to be the main form of transport, providing a resilient, cost effective and accessible means of travel for all. This is especially true for local trips to school, employment, leisure and nearby shopping. However, the main barriers to more people cycling are reported as being concerns about safety, access to safe routes, security and the fact that many households do not, still, have access to affordable (and in some cases accessible) bicycles. Yet without these modes GM cannot address the climate, obesity, ill health and economic inequalities experienced by many communities.</w:t>
      </w:r>
    </w:p>
    <w:p w14:paraId="1ABFB56D" w14:textId="77777777"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p>
    <w:p w14:paraId="479FD3E4" w14:textId="0F15AD54"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r w:rsidRPr="00192EC4">
        <w:rPr>
          <w:rFonts w:ascii="Arial" w:hAnsi="Arial"/>
          <w:sz w:val="24"/>
          <w:lang w:eastAsia="en-US"/>
        </w:rPr>
        <w:t>This will be achieved by ensuring that sufficient road space and modal priority is provided for walking, wheeling and cycling, and, that these changes to the transport network are built to standards that will provide effective alternatives to the car. That demands a clear and consistent vision and leadership to ensure that schemes are designed and delivered consistently across Greater Manchester.</w:t>
      </w:r>
    </w:p>
    <w:p w14:paraId="59909BA2" w14:textId="77777777"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p>
    <w:p w14:paraId="1BAF6C79" w14:textId="77777777"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r w:rsidRPr="00192EC4">
        <w:rPr>
          <w:rFonts w:ascii="Arial" w:hAnsi="Arial"/>
          <w:sz w:val="24"/>
          <w:lang w:eastAsia="en-US"/>
        </w:rPr>
        <w:t>During the year, the Active Travel Commissioner has unveiled a refreshed active travel mission for Greater Manchester focusing on accessibility, behaviour change and clear communications.</w:t>
      </w:r>
    </w:p>
    <w:p w14:paraId="33E11089" w14:textId="77777777"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p>
    <w:p w14:paraId="5C44228C" w14:textId="77777777"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r w:rsidRPr="00192EC4">
        <w:rPr>
          <w:rFonts w:ascii="Arial" w:hAnsi="Arial"/>
          <w:sz w:val="24"/>
          <w:lang w:eastAsia="en-US"/>
        </w:rPr>
        <w:t>Five key priorities have been identified to support these:</w:t>
      </w:r>
    </w:p>
    <w:p w14:paraId="0827780B" w14:textId="77777777" w:rsidR="00F3496D" w:rsidRPr="00192EC4" w:rsidRDefault="00F3496D" w:rsidP="006F1659">
      <w:pPr>
        <w:pStyle w:val="8TfGMStandardDocumentText"/>
        <w:spacing w:after="100" w:afterAutospacing="1" w:line="360" w:lineRule="auto"/>
        <w:contextualSpacing/>
        <w:jc w:val="left"/>
        <w:rPr>
          <w:rFonts w:ascii="Arial" w:hAnsi="Arial"/>
          <w:sz w:val="24"/>
          <w:lang w:eastAsia="en-US"/>
        </w:rPr>
      </w:pPr>
    </w:p>
    <w:p w14:paraId="3CEE3957" w14:textId="30BF9394" w:rsidR="00BE35F9" w:rsidRPr="00192EC4" w:rsidRDefault="00BE35F9" w:rsidP="006F1659">
      <w:pPr>
        <w:pStyle w:val="8TfGMStandardDocumentText"/>
        <w:numPr>
          <w:ilvl w:val="0"/>
          <w:numId w:val="88"/>
        </w:numPr>
        <w:spacing w:after="100" w:afterAutospacing="1" w:line="360" w:lineRule="auto"/>
        <w:ind w:left="284" w:hanging="284"/>
        <w:contextualSpacing/>
        <w:jc w:val="left"/>
        <w:rPr>
          <w:rFonts w:ascii="Arial" w:hAnsi="Arial"/>
          <w:sz w:val="24"/>
          <w:lang w:eastAsia="en-US"/>
        </w:rPr>
      </w:pPr>
      <w:r w:rsidRPr="00192EC4">
        <w:rPr>
          <w:rFonts w:ascii="Arial" w:hAnsi="Arial"/>
          <w:sz w:val="24"/>
          <w:lang w:eastAsia="en-US"/>
        </w:rPr>
        <w:t>Infrastructure delivery (with four principles leading to a connected network)</w:t>
      </w:r>
      <w:r w:rsidR="00F3496D" w:rsidRPr="00192EC4">
        <w:rPr>
          <w:rFonts w:ascii="Arial" w:hAnsi="Arial"/>
          <w:sz w:val="24"/>
          <w:lang w:eastAsia="en-US"/>
        </w:rPr>
        <w:t>.</w:t>
      </w:r>
    </w:p>
    <w:p w14:paraId="1A1A8856" w14:textId="22E11A6D" w:rsidR="00BE35F9" w:rsidRPr="00192EC4" w:rsidRDefault="00BE35F9" w:rsidP="006F1659">
      <w:pPr>
        <w:pStyle w:val="8TfGMStandardDocumentText"/>
        <w:numPr>
          <w:ilvl w:val="0"/>
          <w:numId w:val="88"/>
        </w:numPr>
        <w:spacing w:after="100" w:afterAutospacing="1" w:line="360" w:lineRule="auto"/>
        <w:ind w:left="284" w:hanging="284"/>
        <w:contextualSpacing/>
        <w:jc w:val="left"/>
        <w:rPr>
          <w:rFonts w:ascii="Arial" w:hAnsi="Arial"/>
          <w:sz w:val="24"/>
          <w:lang w:eastAsia="en-US"/>
        </w:rPr>
      </w:pPr>
      <w:r w:rsidRPr="00192EC4">
        <w:rPr>
          <w:rFonts w:ascii="Arial" w:hAnsi="Arial"/>
          <w:sz w:val="24"/>
          <w:lang w:eastAsia="en-US"/>
        </w:rPr>
        <w:t>Home to school travel</w:t>
      </w:r>
      <w:r w:rsidR="00F3496D" w:rsidRPr="00192EC4">
        <w:rPr>
          <w:rFonts w:ascii="Arial" w:hAnsi="Arial"/>
          <w:sz w:val="24"/>
          <w:lang w:eastAsia="en-US"/>
        </w:rPr>
        <w:t>.</w:t>
      </w:r>
    </w:p>
    <w:p w14:paraId="06ED1AE5" w14:textId="79EA5EDA" w:rsidR="00BE35F9" w:rsidRPr="00192EC4" w:rsidRDefault="00BE35F9" w:rsidP="006F1659">
      <w:pPr>
        <w:pStyle w:val="8TfGMStandardDocumentText"/>
        <w:numPr>
          <w:ilvl w:val="0"/>
          <w:numId w:val="88"/>
        </w:numPr>
        <w:spacing w:after="100" w:afterAutospacing="1" w:line="360" w:lineRule="auto"/>
        <w:ind w:left="284" w:hanging="284"/>
        <w:contextualSpacing/>
        <w:jc w:val="left"/>
        <w:rPr>
          <w:rFonts w:ascii="Arial" w:hAnsi="Arial"/>
          <w:sz w:val="24"/>
          <w:lang w:eastAsia="en-US"/>
        </w:rPr>
      </w:pPr>
      <w:r w:rsidRPr="00192EC4">
        <w:rPr>
          <w:rFonts w:ascii="Arial" w:hAnsi="Arial"/>
          <w:sz w:val="24"/>
          <w:lang w:eastAsia="en-US"/>
        </w:rPr>
        <w:t>Cycle hire and access to cycles</w:t>
      </w:r>
      <w:r w:rsidR="00F3496D" w:rsidRPr="00192EC4">
        <w:rPr>
          <w:rFonts w:ascii="Arial" w:hAnsi="Arial"/>
          <w:sz w:val="24"/>
          <w:lang w:eastAsia="en-US"/>
        </w:rPr>
        <w:t>.</w:t>
      </w:r>
    </w:p>
    <w:p w14:paraId="512D79E3" w14:textId="2F45C69C" w:rsidR="00BE35F9" w:rsidRPr="00192EC4" w:rsidRDefault="00BE35F9" w:rsidP="006F1659">
      <w:pPr>
        <w:pStyle w:val="8TfGMStandardDocumentText"/>
        <w:numPr>
          <w:ilvl w:val="0"/>
          <w:numId w:val="88"/>
        </w:numPr>
        <w:spacing w:after="100" w:afterAutospacing="1" w:line="360" w:lineRule="auto"/>
        <w:ind w:left="284" w:hanging="284"/>
        <w:contextualSpacing/>
        <w:jc w:val="left"/>
        <w:rPr>
          <w:rFonts w:ascii="Arial" w:hAnsi="Arial"/>
          <w:sz w:val="24"/>
          <w:lang w:eastAsia="en-US"/>
        </w:rPr>
      </w:pPr>
      <w:r w:rsidRPr="00192EC4">
        <w:rPr>
          <w:rFonts w:ascii="Arial" w:hAnsi="Arial"/>
          <w:sz w:val="24"/>
          <w:lang w:eastAsia="en-US"/>
        </w:rPr>
        <w:t>Integration with public transport</w:t>
      </w:r>
      <w:r w:rsidR="00F3496D" w:rsidRPr="00192EC4">
        <w:rPr>
          <w:rFonts w:ascii="Arial" w:hAnsi="Arial"/>
          <w:sz w:val="24"/>
          <w:lang w:eastAsia="en-US"/>
        </w:rPr>
        <w:t>.</w:t>
      </w:r>
    </w:p>
    <w:p w14:paraId="58A9EA3B" w14:textId="77777777" w:rsidR="00BE35F9" w:rsidRPr="00192EC4" w:rsidRDefault="00BE35F9" w:rsidP="006F1659">
      <w:pPr>
        <w:pStyle w:val="8TfGMStandardDocumentText"/>
        <w:numPr>
          <w:ilvl w:val="0"/>
          <w:numId w:val="88"/>
        </w:numPr>
        <w:spacing w:after="100" w:afterAutospacing="1" w:line="360" w:lineRule="auto"/>
        <w:ind w:left="284" w:hanging="284"/>
        <w:contextualSpacing/>
        <w:jc w:val="left"/>
        <w:rPr>
          <w:rFonts w:ascii="Arial" w:hAnsi="Arial"/>
          <w:sz w:val="24"/>
          <w:lang w:eastAsia="en-US"/>
        </w:rPr>
      </w:pPr>
      <w:r w:rsidRPr="00192EC4">
        <w:rPr>
          <w:rFonts w:ascii="Arial" w:hAnsi="Arial"/>
          <w:sz w:val="24"/>
          <w:lang w:eastAsia="en-US"/>
        </w:rPr>
        <w:t>Road danger reduction.</w:t>
      </w:r>
    </w:p>
    <w:p w14:paraId="098BC170" w14:textId="77777777" w:rsidR="00BE35F9" w:rsidRPr="00192EC4" w:rsidRDefault="00BE35F9" w:rsidP="006F1659">
      <w:pPr>
        <w:pStyle w:val="8TfGMStandardDocumentText"/>
        <w:spacing w:after="100" w:afterAutospacing="1" w:line="360" w:lineRule="auto"/>
        <w:ind w:left="284"/>
        <w:contextualSpacing/>
        <w:jc w:val="left"/>
        <w:rPr>
          <w:rFonts w:ascii="Arial" w:hAnsi="Arial"/>
          <w:sz w:val="24"/>
          <w:lang w:eastAsia="en-US"/>
        </w:rPr>
      </w:pPr>
    </w:p>
    <w:p w14:paraId="51889DA8" w14:textId="1F6F2207"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r w:rsidRPr="00192EC4">
        <w:rPr>
          <w:rFonts w:ascii="Arial" w:hAnsi="Arial"/>
          <w:sz w:val="24"/>
          <w:lang w:eastAsia="en-US"/>
        </w:rPr>
        <w:t>To achieve these objectives, TfGM continues to manage, secure and distribute funding from multiple sources of capital and revenue to support the GM active travel ambitions.  GM investment in Active Travel to date (March 2023) since 2020, has grown significantly, to over £140m of approved expenditure on the Active Travel elements of the Bee Network. CRSTS investment will begin to increase investment as all highway improvement schemes are obliged to accommodate active travel modes. The first phase of the GM Cycle Hire scheme ‘the Bee Bikes’ has supported to date, over 250,000 journeys, enabling over 600,000km of trips to be made in a safe, affordable and efficient manner, 24 hours a day, seven days a week.</w:t>
      </w:r>
    </w:p>
    <w:p w14:paraId="6C60AEAA" w14:textId="77777777" w:rsidR="00201027" w:rsidRPr="00192EC4" w:rsidRDefault="00201027" w:rsidP="006F1659">
      <w:pPr>
        <w:pStyle w:val="8TfGMStandardDocumentText"/>
        <w:spacing w:after="100" w:afterAutospacing="1" w:line="360" w:lineRule="auto"/>
        <w:contextualSpacing/>
        <w:jc w:val="left"/>
        <w:rPr>
          <w:rFonts w:ascii="Arial" w:hAnsi="Arial"/>
          <w:sz w:val="24"/>
          <w:lang w:eastAsia="en-US"/>
        </w:rPr>
      </w:pPr>
    </w:p>
    <w:p w14:paraId="2101D597" w14:textId="77BF6CD5" w:rsidR="00BE35F9" w:rsidRPr="00201027" w:rsidRDefault="00BE35F9" w:rsidP="006F1659">
      <w:pPr>
        <w:pStyle w:val="8TfGMStandardDocumentText"/>
        <w:spacing w:after="0" w:line="360" w:lineRule="auto"/>
        <w:contextualSpacing/>
        <w:jc w:val="left"/>
        <w:rPr>
          <w:rFonts w:ascii="Arial" w:hAnsi="Arial"/>
          <w:sz w:val="24"/>
          <w:u w:val="single"/>
        </w:rPr>
      </w:pPr>
      <w:bookmarkStart w:id="26" w:name="_Hlk140064188"/>
      <w:r w:rsidRPr="00192EC4">
        <w:rPr>
          <w:rFonts w:ascii="Arial" w:hAnsi="Arial"/>
          <w:sz w:val="24"/>
          <w:u w:val="single"/>
        </w:rPr>
        <w:t>Greater Manchester Clean Air Plan</w:t>
      </w:r>
    </w:p>
    <w:p w14:paraId="5E6BC5A0" w14:textId="05791B72" w:rsidR="00BE35F9" w:rsidRPr="00192EC4" w:rsidRDefault="00BE35F9" w:rsidP="006F1659">
      <w:pPr>
        <w:pStyle w:val="8TfGMStandardDocumentText"/>
        <w:spacing w:after="0" w:line="360" w:lineRule="auto"/>
        <w:contextualSpacing/>
        <w:jc w:val="left"/>
        <w:rPr>
          <w:rFonts w:ascii="Arial" w:hAnsi="Arial"/>
          <w:sz w:val="24"/>
        </w:rPr>
      </w:pPr>
      <w:r w:rsidRPr="00192EC4">
        <w:rPr>
          <w:rFonts w:ascii="Arial" w:hAnsi="Arial"/>
          <w:sz w:val="24"/>
        </w:rPr>
        <w:t>The government has instructed many local authorities across the UK to take quick action to bring harmful nitrogen dioxide (NO</w:t>
      </w:r>
      <w:r w:rsidRPr="00192EC4">
        <w:rPr>
          <w:rFonts w:ascii="Arial" w:hAnsi="Arial"/>
          <w:sz w:val="24"/>
          <w:vertAlign w:val="subscript"/>
        </w:rPr>
        <w:t>2</w:t>
      </w:r>
      <w:r w:rsidRPr="00192EC4">
        <w:rPr>
          <w:rFonts w:ascii="Arial" w:hAnsi="Arial"/>
          <w:sz w:val="24"/>
        </w:rPr>
        <w:t xml:space="preserve">) air pollution levels within legal limits. In Greater Manchester, the ten local authorities, with the support of GMCA and TfGM, are working </w:t>
      </w:r>
      <w:r w:rsidRPr="00192EC4">
        <w:rPr>
          <w:rFonts w:ascii="Arial" w:hAnsi="Arial"/>
          <w:sz w:val="24"/>
        </w:rPr>
        <w:lastRenderedPageBreak/>
        <w:t>together to develop a Greater Manchester Clean Air Plan (GM CAP) to tackle NO</w:t>
      </w:r>
      <w:r w:rsidRPr="00192EC4">
        <w:rPr>
          <w:rFonts w:ascii="Arial" w:hAnsi="Arial"/>
          <w:sz w:val="24"/>
          <w:vertAlign w:val="subscript"/>
        </w:rPr>
        <w:t>2</w:t>
      </w:r>
      <w:r w:rsidRPr="00192EC4">
        <w:rPr>
          <w:rFonts w:ascii="Arial" w:hAnsi="Arial"/>
          <w:sz w:val="24"/>
        </w:rPr>
        <w:t xml:space="preserve"> exceedances at the roadside.</w:t>
      </w:r>
    </w:p>
    <w:p w14:paraId="6789836C" w14:textId="77777777" w:rsidR="00BE35F9" w:rsidRPr="00192EC4" w:rsidRDefault="00BE35F9" w:rsidP="006F1659">
      <w:pPr>
        <w:spacing w:line="360" w:lineRule="auto"/>
        <w:rPr>
          <w:rFonts w:ascii="Arial" w:hAnsi="Arial" w:cs="Arial"/>
        </w:rPr>
      </w:pPr>
    </w:p>
    <w:p w14:paraId="2183A4CC" w14:textId="77777777" w:rsidR="00BE35F9" w:rsidRPr="00192EC4" w:rsidRDefault="00BE35F9" w:rsidP="006F1659">
      <w:pPr>
        <w:spacing w:line="360" w:lineRule="auto"/>
        <w:rPr>
          <w:rFonts w:ascii="Arial" w:eastAsia="Calibri" w:hAnsi="Arial" w:cs="Arial"/>
        </w:rPr>
      </w:pPr>
      <w:r w:rsidRPr="00192EC4">
        <w:rPr>
          <w:rFonts w:ascii="Arial" w:hAnsi="Arial" w:cs="Arial"/>
        </w:rPr>
        <w:t xml:space="preserve">In June 2021 the GMCA endorsed a final GM Clean Air Plan and policy following a review of the information from the GM CAP consultation and wider data, evidence and modelling work. The plan was then agreed by the ten GM local authorities. </w:t>
      </w:r>
      <w:r w:rsidRPr="00192EC4">
        <w:rPr>
          <w:rFonts w:ascii="Arial" w:eastAsia="Calibri" w:hAnsi="Arial" w:cs="Arial"/>
        </w:rPr>
        <w:t>This included a Greater Manchester wide category C charging Clean Air Zone (CAZ), where only the most polluting vehicles which don’t meet emission standards would have been charged to drive in the zone.</w:t>
      </w:r>
    </w:p>
    <w:p w14:paraId="5255E26D" w14:textId="77777777" w:rsidR="00BE35F9" w:rsidRPr="00192EC4" w:rsidRDefault="00BE35F9" w:rsidP="006F1659">
      <w:pPr>
        <w:spacing w:line="360" w:lineRule="auto"/>
        <w:rPr>
          <w:rFonts w:ascii="Arial" w:eastAsia="Calibri" w:hAnsi="Arial" w:cs="Arial"/>
        </w:rPr>
      </w:pPr>
    </w:p>
    <w:p w14:paraId="43DC51E7" w14:textId="77777777" w:rsidR="00BE35F9" w:rsidRPr="00192EC4" w:rsidRDefault="00BE35F9" w:rsidP="006F1659">
      <w:pPr>
        <w:spacing w:line="360" w:lineRule="auto"/>
        <w:rPr>
          <w:rFonts w:ascii="Arial" w:eastAsia="Arial" w:hAnsi="Arial" w:cs="Arial"/>
        </w:rPr>
      </w:pPr>
      <w:r w:rsidRPr="00192EC4">
        <w:rPr>
          <w:rFonts w:ascii="Arial" w:eastAsia="Arial" w:hAnsi="Arial" w:cs="Arial"/>
        </w:rPr>
        <w:t>It was originally intended that the CAZ would go live from 30 May 2022, affecting n</w:t>
      </w:r>
      <w:r w:rsidRPr="00192EC4">
        <w:rPr>
          <w:rFonts w:ascii="Arial" w:hAnsi="Arial" w:cs="Arial"/>
        </w:rPr>
        <w:t>on-compliant HGVs, buses and non-GM-registered taxi and private hire vehicles</w:t>
      </w:r>
      <w:r w:rsidRPr="00192EC4">
        <w:rPr>
          <w:rFonts w:ascii="Arial" w:eastAsia="Arial" w:hAnsi="Arial" w:cs="Arial"/>
        </w:rPr>
        <w:t>. Work to install the CAZ signage and Automatic Number Plate Recognition (ANPR) cameras for monitoring the CAZ began in summer 2021, alongside the development of back office systems.</w:t>
      </w:r>
    </w:p>
    <w:p w14:paraId="763EF0BE" w14:textId="77777777" w:rsidR="00BE35F9" w:rsidRPr="00192EC4" w:rsidRDefault="00BE35F9" w:rsidP="006F1659">
      <w:pPr>
        <w:spacing w:line="360" w:lineRule="auto"/>
        <w:rPr>
          <w:rFonts w:ascii="Arial" w:eastAsia="Calibri" w:hAnsi="Arial" w:cs="Arial"/>
        </w:rPr>
      </w:pPr>
    </w:p>
    <w:p w14:paraId="67A6A374" w14:textId="77777777" w:rsidR="00BE35F9" w:rsidRPr="00192EC4" w:rsidRDefault="00BE35F9" w:rsidP="006F1659">
      <w:pPr>
        <w:spacing w:line="360" w:lineRule="auto"/>
        <w:rPr>
          <w:rFonts w:ascii="Arial" w:eastAsia="Calibri" w:hAnsi="Arial" w:cs="Arial"/>
        </w:rPr>
      </w:pPr>
      <w:r w:rsidRPr="00192EC4">
        <w:rPr>
          <w:rFonts w:ascii="Arial" w:eastAsia="Calibri" w:hAnsi="Arial" w:cs="Arial"/>
        </w:rPr>
        <w:t xml:space="preserve">The CAZ was designed to comply with a legal direction from government issued before the coronavirus pandemic, to deliver compliance with </w:t>
      </w:r>
      <w:r w:rsidRPr="00192EC4">
        <w:rPr>
          <w:rFonts w:ascii="Arial" w:hAnsi="Arial" w:cs="Arial"/>
        </w:rPr>
        <w:t>NO</w:t>
      </w:r>
      <w:r w:rsidRPr="00192EC4">
        <w:rPr>
          <w:rFonts w:ascii="Arial" w:hAnsi="Arial" w:cs="Arial"/>
          <w:vertAlign w:val="subscript"/>
        </w:rPr>
        <w:t xml:space="preserve">2 </w:t>
      </w:r>
      <w:r w:rsidRPr="00192EC4">
        <w:rPr>
          <w:rFonts w:ascii="Arial" w:eastAsia="Calibri" w:hAnsi="Arial" w:cs="Arial"/>
        </w:rPr>
        <w:t>legal limits on the local road network by 2024. However, since then there have been significant vehicle supply chain issues and the cost of living has increased leading to concerns about the availability of compliant vehicles and financial hardship for local people.</w:t>
      </w:r>
    </w:p>
    <w:p w14:paraId="7ED991D9" w14:textId="77777777" w:rsidR="00BE35F9" w:rsidRPr="00192EC4" w:rsidRDefault="00BE35F9" w:rsidP="006F1659">
      <w:pPr>
        <w:spacing w:line="360" w:lineRule="auto"/>
        <w:rPr>
          <w:rFonts w:ascii="Arial" w:eastAsia="Calibri" w:hAnsi="Arial" w:cs="Arial"/>
        </w:rPr>
      </w:pPr>
    </w:p>
    <w:p w14:paraId="7BBD2392" w14:textId="227F87E0" w:rsidR="00BE35F9" w:rsidRPr="00192EC4" w:rsidRDefault="00BE35F9" w:rsidP="006F1659">
      <w:pPr>
        <w:spacing w:line="360" w:lineRule="auto"/>
        <w:rPr>
          <w:rFonts w:ascii="Arial" w:eastAsia="Calibri" w:hAnsi="Arial" w:cs="Arial"/>
        </w:rPr>
      </w:pPr>
      <w:r w:rsidRPr="00192EC4">
        <w:rPr>
          <w:rFonts w:ascii="Arial" w:eastAsia="Calibri" w:hAnsi="Arial" w:cs="Arial"/>
        </w:rPr>
        <w:t>Late in 2021, Greater Manchester commissioned an independent review of emerging global supply chain issues and the impact this could have on the cost and availability of vehicles. Based on this the Greater Manchester Mayor and Leaders determined that the original Clean Air Plan was unworkable</w:t>
      </w:r>
      <w:r w:rsidR="00F3496D" w:rsidRPr="00192EC4">
        <w:rPr>
          <w:rFonts w:ascii="Arial" w:eastAsia="Calibri" w:hAnsi="Arial" w:cs="Arial"/>
        </w:rPr>
        <w:t>.</w:t>
      </w:r>
      <w:r w:rsidRPr="00192EC4">
        <w:rPr>
          <w:rFonts w:ascii="Arial" w:eastAsia="Calibri" w:hAnsi="Arial" w:cs="Arial"/>
        </w:rPr>
        <w:t xml:space="preserve"> Government agreed in February 2022 to lift the previous legal direction requiring Greater Manchester to achieve compliance with legal NO</w:t>
      </w:r>
      <w:r w:rsidRPr="00192EC4">
        <w:rPr>
          <w:rFonts w:ascii="Cambria Math" w:eastAsia="Calibri" w:hAnsi="Cambria Math" w:cs="Cambria Math"/>
        </w:rPr>
        <w:t>₂</w:t>
      </w:r>
      <w:r w:rsidRPr="00192EC4">
        <w:rPr>
          <w:rFonts w:ascii="Arial" w:eastAsia="Calibri" w:hAnsi="Arial" w:cs="Arial"/>
        </w:rPr>
        <w:t xml:space="preserve"> limits by 2024.</w:t>
      </w:r>
    </w:p>
    <w:p w14:paraId="220A8E0E" w14:textId="77777777" w:rsidR="00BE35F9" w:rsidRPr="00192EC4" w:rsidRDefault="00BE35F9" w:rsidP="006F1659">
      <w:pPr>
        <w:spacing w:line="360" w:lineRule="auto"/>
        <w:rPr>
          <w:rFonts w:ascii="Arial" w:eastAsia="Calibri" w:hAnsi="Arial" w:cs="Arial"/>
        </w:rPr>
      </w:pPr>
    </w:p>
    <w:p w14:paraId="09F865DD" w14:textId="3F79D468" w:rsidR="00BE35F9" w:rsidRPr="00192EC4" w:rsidRDefault="00BE35F9" w:rsidP="006F1659">
      <w:pPr>
        <w:spacing w:line="360" w:lineRule="auto"/>
        <w:rPr>
          <w:rFonts w:ascii="Arial" w:eastAsia="Calibri" w:hAnsi="Arial" w:cs="Arial"/>
        </w:rPr>
      </w:pPr>
      <w:r w:rsidRPr="00192EC4">
        <w:rPr>
          <w:rFonts w:ascii="Arial" w:eastAsia="Calibri" w:hAnsi="Arial" w:cs="Arial"/>
        </w:rPr>
        <w:t>Government gave Greater Manchester until July 2022 to present a revised plan to achieve compliance with legal levels of NO</w:t>
      </w:r>
      <w:r w:rsidRPr="00192EC4">
        <w:rPr>
          <w:rFonts w:ascii="Cambria Math" w:eastAsia="Calibri" w:hAnsi="Cambria Math" w:cs="Cambria Math"/>
        </w:rPr>
        <w:t>₂</w:t>
      </w:r>
      <w:r w:rsidRPr="00192EC4">
        <w:rPr>
          <w:rFonts w:ascii="Arial" w:eastAsia="Calibri" w:hAnsi="Arial" w:cs="Arial"/>
        </w:rPr>
        <w:t xml:space="preserve"> on the local road network in the shortest time possible and by no later than 2026. This was submitted on 1 July 2022. In January 2023, government asked for additional evidence to support the Greater Manchester case for a non-charging Clean Air Plan. Greater Manchester leaders responded with </w:t>
      </w:r>
      <w:r w:rsidRPr="00192EC4">
        <w:rPr>
          <w:rFonts w:ascii="Arial" w:eastAsia="Calibri" w:hAnsi="Arial" w:cs="Arial"/>
        </w:rPr>
        <w:lastRenderedPageBreak/>
        <w:t>initial evidence. GM will submit additional evidence, which requires further detailed modelling</w:t>
      </w:r>
      <w:r w:rsidR="00923EED">
        <w:rPr>
          <w:rFonts w:ascii="Arial" w:eastAsia="Calibri" w:hAnsi="Arial" w:cs="Arial"/>
        </w:rPr>
        <w:t>,</w:t>
      </w:r>
      <w:r w:rsidRPr="00192EC4">
        <w:rPr>
          <w:rFonts w:ascii="Arial" w:eastAsia="Calibri" w:hAnsi="Arial" w:cs="Arial"/>
        </w:rPr>
        <w:t xml:space="preserve"> to government by summer 2023.  </w:t>
      </w:r>
    </w:p>
    <w:p w14:paraId="19687A4C" w14:textId="77777777" w:rsidR="00BE35F9" w:rsidRPr="00192EC4" w:rsidRDefault="00BE35F9" w:rsidP="006F1659">
      <w:pPr>
        <w:spacing w:line="360" w:lineRule="auto"/>
        <w:rPr>
          <w:rFonts w:ascii="Arial" w:eastAsia="Calibri" w:hAnsi="Arial" w:cs="Arial"/>
        </w:rPr>
      </w:pPr>
    </w:p>
    <w:p w14:paraId="58287320" w14:textId="77777777" w:rsidR="00BE35F9" w:rsidRDefault="00BE35F9" w:rsidP="006F1659">
      <w:pPr>
        <w:spacing w:line="360" w:lineRule="auto"/>
        <w:rPr>
          <w:rFonts w:ascii="Arial" w:hAnsi="Arial" w:cs="Arial"/>
        </w:rPr>
      </w:pPr>
      <w:r w:rsidRPr="00192EC4">
        <w:rPr>
          <w:rFonts w:ascii="Arial" w:hAnsi="Arial" w:cs="Arial"/>
        </w:rPr>
        <w:t>Further information on Transport is provided in the Transport for Greater Manchester Statement of Accounts for 2022/23.</w:t>
      </w:r>
    </w:p>
    <w:p w14:paraId="0623FC0B" w14:textId="77777777" w:rsidR="00201027" w:rsidRPr="00192EC4" w:rsidRDefault="00201027" w:rsidP="006F1659">
      <w:pPr>
        <w:spacing w:line="360" w:lineRule="auto"/>
        <w:rPr>
          <w:rFonts w:ascii="Arial" w:hAnsi="Arial" w:cs="Arial"/>
        </w:rPr>
      </w:pPr>
    </w:p>
    <w:p w14:paraId="22D57156" w14:textId="77777777" w:rsidR="00BE35F9" w:rsidRPr="00192EC4" w:rsidRDefault="00BE35F9" w:rsidP="006F1659">
      <w:pPr>
        <w:pStyle w:val="Heading3"/>
        <w:spacing w:after="120" w:line="360" w:lineRule="auto"/>
        <w:rPr>
          <w:sz w:val="24"/>
          <w:szCs w:val="24"/>
        </w:rPr>
      </w:pPr>
      <w:bookmarkStart w:id="27" w:name="_Toc109922588"/>
      <w:bookmarkEnd w:id="16"/>
      <w:bookmarkEnd w:id="21"/>
      <w:bookmarkEnd w:id="26"/>
      <w:r w:rsidRPr="00192EC4">
        <w:rPr>
          <w:sz w:val="24"/>
          <w:szCs w:val="24"/>
        </w:rPr>
        <w:t>Greater Manchester Local Enterprise Partnership (LEP)</w:t>
      </w:r>
      <w:bookmarkEnd w:id="27"/>
      <w:r w:rsidRPr="00192EC4">
        <w:rPr>
          <w:sz w:val="24"/>
          <w:szCs w:val="24"/>
        </w:rPr>
        <w:t xml:space="preserve"> </w:t>
      </w:r>
    </w:p>
    <w:p w14:paraId="7169BA7E" w14:textId="77777777" w:rsidR="00BE35F9" w:rsidRPr="00192EC4" w:rsidRDefault="00BE35F9" w:rsidP="006F1659">
      <w:pPr>
        <w:pStyle w:val="Normal0"/>
        <w:spacing w:after="120" w:line="360" w:lineRule="auto"/>
        <w:rPr>
          <w:rFonts w:ascii="Arial" w:hAnsi="Arial" w:cs="Arial"/>
          <w:sz w:val="24"/>
          <w:szCs w:val="24"/>
          <w:lang w:val="en-GB"/>
        </w:rPr>
      </w:pPr>
      <w:bookmarkStart w:id="28" w:name="_Hlk106981449"/>
      <w:r w:rsidRPr="00192EC4">
        <w:rPr>
          <w:rFonts w:ascii="Arial" w:hAnsi="Arial" w:cs="Arial"/>
          <w:sz w:val="24"/>
          <w:szCs w:val="24"/>
          <w:lang w:val="en-GB"/>
        </w:rPr>
        <w:t xml:space="preserve">The Authority acts as the accountable body for the Greater Manchester LEP, with funds such as, Growth Deal, LEP Capacity and Business Growth Hub being awarded to it. The tables below show Income and Expenditure activity within 2022/23, along with funds held in reserves on behalf of the LEP. </w:t>
      </w:r>
    </w:p>
    <w:tbl>
      <w:tblPr>
        <w:tblStyle w:val="TableGrid1"/>
        <w:tblW w:w="0" w:type="auto"/>
        <w:tblLook w:val="04A0" w:firstRow="1" w:lastRow="0" w:firstColumn="1" w:lastColumn="0" w:noHBand="0" w:noVBand="1"/>
      </w:tblPr>
      <w:tblGrid>
        <w:gridCol w:w="4213"/>
        <w:gridCol w:w="1355"/>
        <w:gridCol w:w="1703"/>
        <w:gridCol w:w="1505"/>
      </w:tblGrid>
      <w:tr w:rsidR="00BE35F9" w:rsidRPr="00192EC4" w14:paraId="320A66F7" w14:textId="77777777" w:rsidTr="00161E00">
        <w:trPr>
          <w:trHeight w:val="464"/>
        </w:trPr>
        <w:tc>
          <w:tcPr>
            <w:tcW w:w="4213" w:type="dxa"/>
            <w:tcBorders>
              <w:bottom w:val="single" w:sz="4" w:space="0" w:color="auto"/>
            </w:tcBorders>
          </w:tcPr>
          <w:p w14:paraId="00247434" w14:textId="77777777" w:rsidR="00BE35F9" w:rsidRPr="00192EC4" w:rsidRDefault="00BE35F9" w:rsidP="006F1659">
            <w:pPr>
              <w:pStyle w:val="NoSpacing"/>
              <w:spacing w:line="360" w:lineRule="auto"/>
              <w:rPr>
                <w:rFonts w:ascii="Arial" w:hAnsi="Arial" w:cs="Arial"/>
                <w:sz w:val="20"/>
                <w:szCs w:val="20"/>
                <w:lang w:val="en-GB"/>
              </w:rPr>
            </w:pPr>
          </w:p>
        </w:tc>
        <w:tc>
          <w:tcPr>
            <w:tcW w:w="1355" w:type="dxa"/>
            <w:tcBorders>
              <w:bottom w:val="single" w:sz="4" w:space="0" w:color="auto"/>
            </w:tcBorders>
          </w:tcPr>
          <w:p w14:paraId="118AAF42" w14:textId="77777777" w:rsidR="00BE35F9" w:rsidRPr="00192EC4" w:rsidRDefault="00BE35F9" w:rsidP="006F1659">
            <w:pPr>
              <w:pStyle w:val="NoSpacing"/>
              <w:spacing w:line="360" w:lineRule="auto"/>
              <w:jc w:val="center"/>
              <w:rPr>
                <w:rFonts w:ascii="Arial" w:hAnsi="Arial" w:cs="Arial"/>
                <w:b/>
                <w:bCs/>
                <w:sz w:val="20"/>
                <w:szCs w:val="20"/>
                <w:lang w:val="en-GB"/>
              </w:rPr>
            </w:pPr>
            <w:r w:rsidRPr="00192EC4">
              <w:rPr>
                <w:rFonts w:ascii="Arial" w:hAnsi="Arial" w:cs="Arial"/>
                <w:b/>
                <w:bCs/>
                <w:sz w:val="20"/>
                <w:szCs w:val="20"/>
                <w:lang w:val="en-GB"/>
              </w:rPr>
              <w:t>Income</w:t>
            </w:r>
          </w:p>
          <w:p w14:paraId="10722B95" w14:textId="2D2F7862" w:rsidR="00BE35F9" w:rsidRPr="00192EC4" w:rsidRDefault="00BE35F9" w:rsidP="006F1659">
            <w:pPr>
              <w:pStyle w:val="NoSpacing"/>
              <w:spacing w:line="360" w:lineRule="auto"/>
              <w:jc w:val="center"/>
              <w:rPr>
                <w:rFonts w:ascii="Arial" w:hAnsi="Arial" w:cs="Arial"/>
                <w:b/>
                <w:bCs/>
                <w:sz w:val="20"/>
                <w:szCs w:val="20"/>
                <w:lang w:val="en-GB"/>
              </w:rPr>
            </w:pPr>
            <w:r w:rsidRPr="00192EC4">
              <w:rPr>
                <w:rFonts w:ascii="Arial" w:hAnsi="Arial" w:cs="Arial"/>
                <w:b/>
                <w:bCs/>
                <w:sz w:val="20"/>
                <w:szCs w:val="20"/>
                <w:lang w:val="en-GB"/>
              </w:rPr>
              <w:t>£000</w:t>
            </w:r>
            <w:r w:rsidR="00D37346">
              <w:rPr>
                <w:rFonts w:ascii="Arial" w:hAnsi="Arial" w:cs="Arial"/>
                <w:b/>
                <w:bCs/>
                <w:sz w:val="20"/>
                <w:szCs w:val="20"/>
                <w:lang w:val="en-GB"/>
              </w:rPr>
              <w:t>s</w:t>
            </w:r>
          </w:p>
        </w:tc>
        <w:tc>
          <w:tcPr>
            <w:tcW w:w="1703" w:type="dxa"/>
            <w:tcBorders>
              <w:bottom w:val="single" w:sz="4" w:space="0" w:color="auto"/>
            </w:tcBorders>
          </w:tcPr>
          <w:p w14:paraId="06FEA23E" w14:textId="77777777" w:rsidR="00BE35F9" w:rsidRPr="00192EC4" w:rsidRDefault="00BE35F9" w:rsidP="006F1659">
            <w:pPr>
              <w:pStyle w:val="NoSpacing"/>
              <w:spacing w:line="360" w:lineRule="auto"/>
              <w:jc w:val="center"/>
              <w:rPr>
                <w:rFonts w:ascii="Arial" w:hAnsi="Arial" w:cs="Arial"/>
                <w:b/>
                <w:bCs/>
                <w:sz w:val="20"/>
                <w:szCs w:val="20"/>
                <w:lang w:val="en-GB"/>
              </w:rPr>
            </w:pPr>
            <w:r w:rsidRPr="00192EC4">
              <w:rPr>
                <w:rFonts w:ascii="Arial" w:hAnsi="Arial" w:cs="Arial"/>
                <w:b/>
                <w:bCs/>
                <w:sz w:val="20"/>
                <w:szCs w:val="20"/>
                <w:lang w:val="en-GB"/>
              </w:rPr>
              <w:t>Expenditure</w:t>
            </w:r>
          </w:p>
          <w:p w14:paraId="71A2E983" w14:textId="112A01D3" w:rsidR="00BE35F9" w:rsidRPr="00192EC4" w:rsidRDefault="00BE35F9" w:rsidP="006F1659">
            <w:pPr>
              <w:pStyle w:val="NoSpacing"/>
              <w:spacing w:line="360" w:lineRule="auto"/>
              <w:jc w:val="center"/>
              <w:rPr>
                <w:rFonts w:ascii="Arial" w:hAnsi="Arial" w:cs="Arial"/>
                <w:b/>
                <w:bCs/>
                <w:sz w:val="20"/>
                <w:szCs w:val="20"/>
                <w:lang w:val="en-GB"/>
              </w:rPr>
            </w:pPr>
            <w:r w:rsidRPr="00192EC4">
              <w:rPr>
                <w:rFonts w:ascii="Arial" w:hAnsi="Arial" w:cs="Arial"/>
                <w:b/>
                <w:bCs/>
                <w:sz w:val="20"/>
                <w:szCs w:val="20"/>
                <w:lang w:val="en-GB"/>
              </w:rPr>
              <w:t>£000</w:t>
            </w:r>
            <w:r w:rsidR="00D37346">
              <w:rPr>
                <w:rFonts w:ascii="Arial" w:hAnsi="Arial" w:cs="Arial"/>
                <w:b/>
                <w:bCs/>
                <w:sz w:val="20"/>
                <w:szCs w:val="20"/>
                <w:lang w:val="en-GB"/>
              </w:rPr>
              <w:t>s</w:t>
            </w:r>
          </w:p>
        </w:tc>
        <w:tc>
          <w:tcPr>
            <w:tcW w:w="1505" w:type="dxa"/>
            <w:tcBorders>
              <w:bottom w:val="single" w:sz="4" w:space="0" w:color="auto"/>
            </w:tcBorders>
          </w:tcPr>
          <w:p w14:paraId="11E53372" w14:textId="77777777" w:rsidR="00BE35F9" w:rsidRPr="00192EC4" w:rsidRDefault="00BE35F9" w:rsidP="006F1659">
            <w:pPr>
              <w:pStyle w:val="NoSpacing"/>
              <w:spacing w:line="360" w:lineRule="auto"/>
              <w:jc w:val="center"/>
              <w:rPr>
                <w:rFonts w:ascii="Arial" w:hAnsi="Arial" w:cs="Arial"/>
                <w:b/>
                <w:bCs/>
                <w:sz w:val="20"/>
                <w:szCs w:val="20"/>
                <w:lang w:val="en-GB"/>
              </w:rPr>
            </w:pPr>
            <w:r w:rsidRPr="00192EC4">
              <w:rPr>
                <w:rFonts w:ascii="Arial" w:hAnsi="Arial" w:cs="Arial"/>
                <w:b/>
                <w:bCs/>
                <w:sz w:val="20"/>
                <w:szCs w:val="20"/>
                <w:lang w:val="en-GB"/>
              </w:rPr>
              <w:t>Variance</w:t>
            </w:r>
          </w:p>
          <w:p w14:paraId="20F354D6" w14:textId="1394B44D" w:rsidR="00BE35F9" w:rsidRPr="00192EC4" w:rsidRDefault="00BE35F9" w:rsidP="006F1659">
            <w:pPr>
              <w:pStyle w:val="NoSpacing"/>
              <w:spacing w:line="360" w:lineRule="auto"/>
              <w:jc w:val="center"/>
              <w:rPr>
                <w:rFonts w:ascii="Arial" w:hAnsi="Arial" w:cs="Arial"/>
                <w:b/>
                <w:bCs/>
                <w:sz w:val="20"/>
                <w:szCs w:val="20"/>
                <w:lang w:val="en-GB"/>
              </w:rPr>
            </w:pPr>
            <w:r w:rsidRPr="00192EC4">
              <w:rPr>
                <w:rFonts w:ascii="Arial" w:hAnsi="Arial" w:cs="Arial"/>
                <w:b/>
                <w:bCs/>
                <w:sz w:val="20"/>
                <w:szCs w:val="20"/>
                <w:lang w:val="en-GB"/>
              </w:rPr>
              <w:t>£000</w:t>
            </w:r>
            <w:r w:rsidR="00D37346">
              <w:rPr>
                <w:rFonts w:ascii="Arial" w:hAnsi="Arial" w:cs="Arial"/>
                <w:b/>
                <w:bCs/>
                <w:sz w:val="20"/>
                <w:szCs w:val="20"/>
                <w:lang w:val="en-GB"/>
              </w:rPr>
              <w:t>s</w:t>
            </w:r>
          </w:p>
        </w:tc>
      </w:tr>
      <w:tr w:rsidR="00BE35F9" w:rsidRPr="00192EC4" w14:paraId="014F7FA8" w14:textId="77777777" w:rsidTr="00161E00">
        <w:trPr>
          <w:trHeight w:val="232"/>
        </w:trPr>
        <w:tc>
          <w:tcPr>
            <w:tcW w:w="4213" w:type="dxa"/>
            <w:tcBorders>
              <w:top w:val="single" w:sz="4" w:space="0" w:color="auto"/>
              <w:left w:val="single" w:sz="4" w:space="0" w:color="auto"/>
              <w:bottom w:val="nil"/>
              <w:right w:val="single" w:sz="4" w:space="0" w:color="auto"/>
            </w:tcBorders>
          </w:tcPr>
          <w:p w14:paraId="541CE7AC" w14:textId="77777777" w:rsidR="00BE35F9" w:rsidRPr="00192EC4" w:rsidRDefault="00BE35F9" w:rsidP="006F1659">
            <w:pPr>
              <w:pStyle w:val="NoSpacing"/>
              <w:spacing w:line="360" w:lineRule="auto"/>
              <w:rPr>
                <w:rFonts w:ascii="Arial" w:hAnsi="Arial" w:cs="Arial"/>
                <w:b/>
                <w:bCs/>
                <w:sz w:val="20"/>
                <w:szCs w:val="20"/>
                <w:lang w:val="en-GB"/>
              </w:rPr>
            </w:pPr>
            <w:r w:rsidRPr="00192EC4">
              <w:rPr>
                <w:rFonts w:ascii="Arial" w:hAnsi="Arial" w:cs="Arial"/>
                <w:b/>
                <w:bCs/>
                <w:sz w:val="20"/>
                <w:szCs w:val="20"/>
                <w:lang w:val="en-GB"/>
              </w:rPr>
              <w:t>Revenue Funds</w:t>
            </w:r>
          </w:p>
        </w:tc>
        <w:tc>
          <w:tcPr>
            <w:tcW w:w="1355" w:type="dxa"/>
            <w:tcBorders>
              <w:top w:val="single" w:sz="4" w:space="0" w:color="auto"/>
              <w:left w:val="single" w:sz="4" w:space="0" w:color="auto"/>
              <w:bottom w:val="nil"/>
              <w:right w:val="single" w:sz="4" w:space="0" w:color="auto"/>
            </w:tcBorders>
          </w:tcPr>
          <w:p w14:paraId="73F0986F" w14:textId="77777777" w:rsidR="00BE35F9" w:rsidRPr="00192EC4" w:rsidRDefault="00BE35F9" w:rsidP="006F1659">
            <w:pPr>
              <w:pStyle w:val="NoSpacing"/>
              <w:spacing w:line="360" w:lineRule="auto"/>
              <w:rPr>
                <w:rFonts w:ascii="Arial" w:hAnsi="Arial" w:cs="Arial"/>
                <w:sz w:val="20"/>
                <w:szCs w:val="20"/>
                <w:lang w:val="en-GB"/>
              </w:rPr>
            </w:pPr>
          </w:p>
        </w:tc>
        <w:tc>
          <w:tcPr>
            <w:tcW w:w="1703" w:type="dxa"/>
            <w:tcBorders>
              <w:top w:val="single" w:sz="4" w:space="0" w:color="auto"/>
              <w:left w:val="single" w:sz="4" w:space="0" w:color="auto"/>
              <w:bottom w:val="nil"/>
              <w:right w:val="single" w:sz="4" w:space="0" w:color="auto"/>
            </w:tcBorders>
          </w:tcPr>
          <w:p w14:paraId="7014CA31" w14:textId="77777777" w:rsidR="00BE35F9" w:rsidRPr="00192EC4" w:rsidRDefault="00BE35F9" w:rsidP="006F1659">
            <w:pPr>
              <w:pStyle w:val="NoSpacing"/>
              <w:spacing w:line="360" w:lineRule="auto"/>
              <w:rPr>
                <w:rFonts w:ascii="Arial" w:hAnsi="Arial" w:cs="Arial"/>
                <w:sz w:val="20"/>
                <w:szCs w:val="20"/>
                <w:lang w:val="en-GB"/>
              </w:rPr>
            </w:pPr>
          </w:p>
        </w:tc>
        <w:tc>
          <w:tcPr>
            <w:tcW w:w="1505" w:type="dxa"/>
            <w:tcBorders>
              <w:top w:val="single" w:sz="4" w:space="0" w:color="auto"/>
              <w:left w:val="single" w:sz="4" w:space="0" w:color="auto"/>
              <w:bottom w:val="nil"/>
              <w:right w:val="single" w:sz="4" w:space="0" w:color="auto"/>
            </w:tcBorders>
          </w:tcPr>
          <w:p w14:paraId="689D9AFB" w14:textId="77777777" w:rsidR="00BE35F9" w:rsidRPr="00192EC4" w:rsidRDefault="00BE35F9" w:rsidP="006F1659">
            <w:pPr>
              <w:pStyle w:val="NoSpacing"/>
              <w:spacing w:line="360" w:lineRule="auto"/>
              <w:rPr>
                <w:rFonts w:ascii="Arial" w:hAnsi="Arial" w:cs="Arial"/>
                <w:sz w:val="20"/>
                <w:szCs w:val="20"/>
                <w:lang w:val="en-GB"/>
              </w:rPr>
            </w:pPr>
          </w:p>
        </w:tc>
      </w:tr>
      <w:tr w:rsidR="00BE35F9" w:rsidRPr="00192EC4" w14:paraId="1DCCCE94" w14:textId="77777777" w:rsidTr="00161E00">
        <w:trPr>
          <w:trHeight w:val="232"/>
        </w:trPr>
        <w:tc>
          <w:tcPr>
            <w:tcW w:w="4213" w:type="dxa"/>
            <w:tcBorders>
              <w:top w:val="nil"/>
              <w:left w:val="single" w:sz="4" w:space="0" w:color="auto"/>
              <w:bottom w:val="nil"/>
              <w:right w:val="single" w:sz="4" w:space="0" w:color="auto"/>
            </w:tcBorders>
          </w:tcPr>
          <w:p w14:paraId="61E0F5CB" w14:textId="77777777" w:rsidR="00BE35F9" w:rsidRPr="00192EC4" w:rsidRDefault="00BE35F9" w:rsidP="006F1659">
            <w:pPr>
              <w:pStyle w:val="NoSpacing"/>
              <w:spacing w:line="360" w:lineRule="auto"/>
              <w:rPr>
                <w:rFonts w:ascii="Arial" w:hAnsi="Arial" w:cs="Arial"/>
                <w:sz w:val="20"/>
                <w:szCs w:val="20"/>
                <w:lang w:val="en-GB"/>
              </w:rPr>
            </w:pPr>
            <w:r w:rsidRPr="00192EC4">
              <w:rPr>
                <w:rFonts w:ascii="Arial" w:hAnsi="Arial" w:cs="Arial"/>
                <w:sz w:val="20"/>
                <w:szCs w:val="20"/>
                <w:lang w:val="en-GB"/>
              </w:rPr>
              <w:t>LEP Capacity</w:t>
            </w:r>
          </w:p>
        </w:tc>
        <w:tc>
          <w:tcPr>
            <w:tcW w:w="1355" w:type="dxa"/>
            <w:tcBorders>
              <w:top w:val="nil"/>
              <w:left w:val="single" w:sz="4" w:space="0" w:color="auto"/>
              <w:bottom w:val="nil"/>
              <w:right w:val="single" w:sz="4" w:space="0" w:color="auto"/>
            </w:tcBorders>
          </w:tcPr>
          <w:p w14:paraId="0E425B92" w14:textId="77777777" w:rsidR="00BE35F9" w:rsidRPr="00192EC4" w:rsidRDefault="00BE35F9" w:rsidP="006F1659">
            <w:pPr>
              <w:pStyle w:val="NoSpacing"/>
              <w:spacing w:line="360" w:lineRule="auto"/>
              <w:jc w:val="right"/>
              <w:rPr>
                <w:rFonts w:ascii="Arial" w:hAnsi="Arial" w:cs="Arial"/>
                <w:sz w:val="20"/>
                <w:szCs w:val="20"/>
                <w:lang w:val="en-GB"/>
              </w:rPr>
            </w:pPr>
            <w:r w:rsidRPr="00192EC4">
              <w:rPr>
                <w:rFonts w:ascii="Arial" w:hAnsi="Arial" w:cs="Arial"/>
                <w:sz w:val="20"/>
                <w:szCs w:val="20"/>
                <w:lang w:val="en-GB"/>
              </w:rPr>
              <w:t>(375)</w:t>
            </w:r>
          </w:p>
        </w:tc>
        <w:tc>
          <w:tcPr>
            <w:tcW w:w="1703" w:type="dxa"/>
            <w:tcBorders>
              <w:top w:val="nil"/>
              <w:left w:val="single" w:sz="4" w:space="0" w:color="auto"/>
              <w:bottom w:val="nil"/>
              <w:right w:val="single" w:sz="4" w:space="0" w:color="auto"/>
            </w:tcBorders>
          </w:tcPr>
          <w:p w14:paraId="22BFA16B" w14:textId="77777777" w:rsidR="00BE35F9" w:rsidRPr="00192EC4" w:rsidRDefault="00BE35F9" w:rsidP="006F1659">
            <w:pPr>
              <w:pStyle w:val="NoSpacing"/>
              <w:spacing w:line="360" w:lineRule="auto"/>
              <w:jc w:val="right"/>
              <w:rPr>
                <w:rFonts w:ascii="Arial" w:hAnsi="Arial" w:cs="Arial"/>
                <w:sz w:val="20"/>
                <w:szCs w:val="20"/>
                <w:lang w:val="en-GB"/>
              </w:rPr>
            </w:pPr>
            <w:r w:rsidRPr="00192EC4">
              <w:rPr>
                <w:rFonts w:ascii="Arial" w:hAnsi="Arial" w:cs="Arial"/>
                <w:sz w:val="20"/>
                <w:szCs w:val="20"/>
                <w:lang w:val="en-GB"/>
              </w:rPr>
              <w:t>375</w:t>
            </w:r>
          </w:p>
        </w:tc>
        <w:tc>
          <w:tcPr>
            <w:tcW w:w="1505" w:type="dxa"/>
            <w:tcBorders>
              <w:top w:val="nil"/>
              <w:left w:val="single" w:sz="4" w:space="0" w:color="auto"/>
              <w:bottom w:val="nil"/>
              <w:right w:val="single" w:sz="4" w:space="0" w:color="auto"/>
            </w:tcBorders>
          </w:tcPr>
          <w:p w14:paraId="2CA0543F" w14:textId="77777777" w:rsidR="00BE35F9" w:rsidRPr="00192EC4" w:rsidRDefault="00BE35F9" w:rsidP="006F1659">
            <w:pPr>
              <w:pStyle w:val="NoSpacing"/>
              <w:spacing w:line="360" w:lineRule="auto"/>
              <w:jc w:val="right"/>
              <w:rPr>
                <w:rFonts w:ascii="Arial" w:hAnsi="Arial" w:cs="Arial"/>
                <w:sz w:val="20"/>
                <w:szCs w:val="20"/>
                <w:lang w:val="en-GB"/>
              </w:rPr>
            </w:pPr>
            <w:r w:rsidRPr="00192EC4">
              <w:rPr>
                <w:rFonts w:ascii="Arial" w:hAnsi="Arial" w:cs="Arial"/>
                <w:sz w:val="20"/>
                <w:szCs w:val="20"/>
                <w:lang w:val="en-GB"/>
              </w:rPr>
              <w:t>0</w:t>
            </w:r>
          </w:p>
        </w:tc>
      </w:tr>
      <w:tr w:rsidR="00BE35F9" w:rsidRPr="00192EC4" w14:paraId="076D2922" w14:textId="77777777" w:rsidTr="00161E00">
        <w:trPr>
          <w:trHeight w:val="232"/>
        </w:trPr>
        <w:tc>
          <w:tcPr>
            <w:tcW w:w="4213" w:type="dxa"/>
            <w:tcBorders>
              <w:top w:val="nil"/>
              <w:left w:val="single" w:sz="4" w:space="0" w:color="auto"/>
              <w:bottom w:val="nil"/>
              <w:right w:val="single" w:sz="4" w:space="0" w:color="auto"/>
            </w:tcBorders>
          </w:tcPr>
          <w:p w14:paraId="551DC780" w14:textId="77777777" w:rsidR="00BE35F9" w:rsidRPr="00192EC4" w:rsidRDefault="00BE35F9" w:rsidP="006F1659">
            <w:pPr>
              <w:pStyle w:val="NoSpacing"/>
              <w:spacing w:line="360" w:lineRule="auto"/>
              <w:rPr>
                <w:rFonts w:ascii="Arial" w:hAnsi="Arial" w:cs="Arial"/>
                <w:sz w:val="20"/>
                <w:szCs w:val="20"/>
                <w:lang w:val="en-GB"/>
              </w:rPr>
            </w:pPr>
            <w:r w:rsidRPr="00192EC4">
              <w:rPr>
                <w:rFonts w:ascii="Arial" w:hAnsi="Arial" w:cs="Arial"/>
                <w:sz w:val="20"/>
                <w:szCs w:val="20"/>
                <w:lang w:val="en-GB"/>
              </w:rPr>
              <w:t>Business Growth Hub</w:t>
            </w:r>
          </w:p>
        </w:tc>
        <w:tc>
          <w:tcPr>
            <w:tcW w:w="1355" w:type="dxa"/>
            <w:tcBorders>
              <w:top w:val="nil"/>
              <w:left w:val="single" w:sz="4" w:space="0" w:color="auto"/>
              <w:bottom w:val="nil"/>
              <w:right w:val="single" w:sz="4" w:space="0" w:color="auto"/>
            </w:tcBorders>
          </w:tcPr>
          <w:p w14:paraId="727B5B21" w14:textId="77777777" w:rsidR="00BE35F9" w:rsidRPr="00192EC4" w:rsidRDefault="00BE35F9" w:rsidP="006F1659">
            <w:pPr>
              <w:pStyle w:val="NoSpacing"/>
              <w:spacing w:line="360" w:lineRule="auto"/>
              <w:jc w:val="right"/>
              <w:rPr>
                <w:rFonts w:ascii="Arial" w:hAnsi="Arial" w:cs="Arial"/>
                <w:sz w:val="20"/>
                <w:szCs w:val="20"/>
                <w:lang w:val="en-GB"/>
              </w:rPr>
            </w:pPr>
            <w:r w:rsidRPr="00192EC4">
              <w:rPr>
                <w:rFonts w:ascii="Arial" w:hAnsi="Arial" w:cs="Arial"/>
                <w:sz w:val="20"/>
                <w:szCs w:val="20"/>
                <w:lang w:val="en-GB"/>
              </w:rPr>
              <w:t>(390)</w:t>
            </w:r>
          </w:p>
        </w:tc>
        <w:tc>
          <w:tcPr>
            <w:tcW w:w="1703" w:type="dxa"/>
            <w:tcBorders>
              <w:top w:val="nil"/>
              <w:left w:val="single" w:sz="4" w:space="0" w:color="auto"/>
              <w:bottom w:val="nil"/>
              <w:right w:val="single" w:sz="4" w:space="0" w:color="auto"/>
            </w:tcBorders>
          </w:tcPr>
          <w:p w14:paraId="0163F4D5" w14:textId="77777777" w:rsidR="00BE35F9" w:rsidRPr="00192EC4" w:rsidRDefault="00BE35F9" w:rsidP="006F1659">
            <w:pPr>
              <w:pStyle w:val="NoSpacing"/>
              <w:spacing w:line="360" w:lineRule="auto"/>
              <w:jc w:val="right"/>
              <w:rPr>
                <w:rFonts w:ascii="Arial" w:hAnsi="Arial" w:cs="Arial"/>
                <w:sz w:val="20"/>
                <w:szCs w:val="20"/>
                <w:lang w:val="en-GB"/>
              </w:rPr>
            </w:pPr>
            <w:r w:rsidRPr="00192EC4">
              <w:rPr>
                <w:rFonts w:ascii="Arial" w:hAnsi="Arial" w:cs="Arial"/>
                <w:sz w:val="20"/>
                <w:szCs w:val="20"/>
                <w:lang w:val="en-GB"/>
              </w:rPr>
              <w:t>390</w:t>
            </w:r>
          </w:p>
        </w:tc>
        <w:tc>
          <w:tcPr>
            <w:tcW w:w="1505" w:type="dxa"/>
            <w:tcBorders>
              <w:top w:val="nil"/>
              <w:left w:val="single" w:sz="4" w:space="0" w:color="auto"/>
              <w:bottom w:val="nil"/>
              <w:right w:val="single" w:sz="4" w:space="0" w:color="auto"/>
            </w:tcBorders>
          </w:tcPr>
          <w:p w14:paraId="72B43BF5" w14:textId="77777777" w:rsidR="00BE35F9" w:rsidRPr="00192EC4" w:rsidRDefault="00BE35F9" w:rsidP="006F1659">
            <w:pPr>
              <w:pStyle w:val="NoSpacing"/>
              <w:spacing w:line="360" w:lineRule="auto"/>
              <w:jc w:val="right"/>
              <w:rPr>
                <w:rFonts w:ascii="Arial" w:hAnsi="Arial" w:cs="Arial"/>
                <w:sz w:val="20"/>
                <w:szCs w:val="20"/>
                <w:lang w:val="en-GB"/>
              </w:rPr>
            </w:pPr>
            <w:r w:rsidRPr="00192EC4">
              <w:rPr>
                <w:rFonts w:ascii="Arial" w:hAnsi="Arial" w:cs="Arial"/>
                <w:sz w:val="20"/>
                <w:szCs w:val="20"/>
                <w:lang w:val="en-GB"/>
              </w:rPr>
              <w:t>0</w:t>
            </w:r>
          </w:p>
        </w:tc>
      </w:tr>
      <w:tr w:rsidR="00BE35F9" w:rsidRPr="00192EC4" w14:paraId="5A45788B" w14:textId="77777777" w:rsidTr="00161E00">
        <w:trPr>
          <w:trHeight w:val="232"/>
        </w:trPr>
        <w:tc>
          <w:tcPr>
            <w:tcW w:w="4213" w:type="dxa"/>
            <w:tcBorders>
              <w:top w:val="single" w:sz="4" w:space="0" w:color="auto"/>
              <w:left w:val="single" w:sz="4" w:space="0" w:color="auto"/>
              <w:bottom w:val="single" w:sz="4" w:space="0" w:color="auto"/>
              <w:right w:val="single" w:sz="4" w:space="0" w:color="auto"/>
            </w:tcBorders>
          </w:tcPr>
          <w:p w14:paraId="01CFB76D" w14:textId="77777777" w:rsidR="00BE35F9" w:rsidRPr="00192EC4" w:rsidRDefault="00BE35F9" w:rsidP="006F1659">
            <w:pPr>
              <w:pStyle w:val="NoSpacing"/>
              <w:spacing w:line="360" w:lineRule="auto"/>
              <w:rPr>
                <w:rFonts w:ascii="Arial" w:hAnsi="Arial" w:cs="Arial"/>
                <w:b/>
                <w:bCs/>
                <w:sz w:val="20"/>
                <w:szCs w:val="20"/>
                <w:lang w:val="en-GB"/>
              </w:rPr>
            </w:pPr>
            <w:r w:rsidRPr="00192EC4">
              <w:rPr>
                <w:rFonts w:ascii="Arial" w:hAnsi="Arial" w:cs="Arial"/>
                <w:b/>
                <w:bCs/>
                <w:sz w:val="20"/>
                <w:szCs w:val="20"/>
                <w:lang w:val="en-GB"/>
              </w:rPr>
              <w:t>Total Revenue</w:t>
            </w:r>
          </w:p>
        </w:tc>
        <w:tc>
          <w:tcPr>
            <w:tcW w:w="1355" w:type="dxa"/>
            <w:tcBorders>
              <w:top w:val="single" w:sz="4" w:space="0" w:color="auto"/>
              <w:left w:val="single" w:sz="4" w:space="0" w:color="auto"/>
              <w:bottom w:val="single" w:sz="4" w:space="0" w:color="auto"/>
              <w:right w:val="single" w:sz="4" w:space="0" w:color="auto"/>
            </w:tcBorders>
          </w:tcPr>
          <w:p w14:paraId="18BC7B4F" w14:textId="77777777" w:rsidR="00BE35F9" w:rsidRPr="00192EC4" w:rsidRDefault="00BE35F9" w:rsidP="006F1659">
            <w:pPr>
              <w:pStyle w:val="NoSpacing"/>
              <w:spacing w:line="360" w:lineRule="auto"/>
              <w:jc w:val="right"/>
              <w:rPr>
                <w:rFonts w:ascii="Arial" w:hAnsi="Arial" w:cs="Arial"/>
                <w:b/>
                <w:bCs/>
                <w:sz w:val="20"/>
                <w:szCs w:val="20"/>
                <w:lang w:val="en-GB"/>
              </w:rPr>
            </w:pPr>
            <w:r w:rsidRPr="00192EC4">
              <w:rPr>
                <w:rFonts w:ascii="Arial" w:hAnsi="Arial" w:cs="Arial"/>
                <w:b/>
                <w:bCs/>
                <w:sz w:val="20"/>
                <w:szCs w:val="20"/>
                <w:lang w:val="en-GB"/>
              </w:rPr>
              <w:t>(765)</w:t>
            </w:r>
          </w:p>
        </w:tc>
        <w:tc>
          <w:tcPr>
            <w:tcW w:w="1703" w:type="dxa"/>
            <w:tcBorders>
              <w:top w:val="single" w:sz="4" w:space="0" w:color="auto"/>
              <w:left w:val="single" w:sz="4" w:space="0" w:color="auto"/>
              <w:bottom w:val="single" w:sz="4" w:space="0" w:color="auto"/>
              <w:right w:val="single" w:sz="4" w:space="0" w:color="auto"/>
            </w:tcBorders>
          </w:tcPr>
          <w:p w14:paraId="11D34DB6" w14:textId="77777777" w:rsidR="00BE35F9" w:rsidRPr="00192EC4" w:rsidRDefault="00BE35F9" w:rsidP="006F1659">
            <w:pPr>
              <w:pStyle w:val="NoSpacing"/>
              <w:spacing w:line="360" w:lineRule="auto"/>
              <w:jc w:val="right"/>
              <w:rPr>
                <w:rFonts w:ascii="Arial" w:hAnsi="Arial" w:cs="Arial"/>
                <w:b/>
                <w:bCs/>
                <w:sz w:val="20"/>
                <w:szCs w:val="20"/>
                <w:lang w:val="en-GB"/>
              </w:rPr>
            </w:pPr>
            <w:r w:rsidRPr="00192EC4">
              <w:rPr>
                <w:rFonts w:ascii="Arial" w:hAnsi="Arial" w:cs="Arial"/>
                <w:b/>
                <w:bCs/>
                <w:sz w:val="20"/>
                <w:szCs w:val="20"/>
                <w:lang w:val="en-GB"/>
              </w:rPr>
              <w:t>765</w:t>
            </w:r>
          </w:p>
        </w:tc>
        <w:tc>
          <w:tcPr>
            <w:tcW w:w="1505" w:type="dxa"/>
            <w:tcBorders>
              <w:top w:val="single" w:sz="4" w:space="0" w:color="auto"/>
              <w:left w:val="single" w:sz="4" w:space="0" w:color="auto"/>
              <w:bottom w:val="single" w:sz="4" w:space="0" w:color="auto"/>
              <w:right w:val="single" w:sz="4" w:space="0" w:color="auto"/>
            </w:tcBorders>
          </w:tcPr>
          <w:p w14:paraId="7258F896" w14:textId="77777777" w:rsidR="00BE35F9" w:rsidRPr="00192EC4" w:rsidRDefault="00BE35F9" w:rsidP="006F1659">
            <w:pPr>
              <w:pStyle w:val="NoSpacing"/>
              <w:spacing w:line="360" w:lineRule="auto"/>
              <w:jc w:val="right"/>
              <w:rPr>
                <w:rFonts w:ascii="Arial" w:hAnsi="Arial" w:cs="Arial"/>
                <w:b/>
                <w:bCs/>
                <w:sz w:val="20"/>
                <w:szCs w:val="20"/>
                <w:lang w:val="en-GB"/>
              </w:rPr>
            </w:pPr>
            <w:r w:rsidRPr="00192EC4">
              <w:rPr>
                <w:rFonts w:ascii="Arial" w:hAnsi="Arial" w:cs="Arial"/>
                <w:b/>
                <w:bCs/>
                <w:sz w:val="20"/>
                <w:szCs w:val="20"/>
                <w:lang w:val="en-GB"/>
              </w:rPr>
              <w:t>0</w:t>
            </w:r>
          </w:p>
        </w:tc>
      </w:tr>
      <w:tr w:rsidR="00BE35F9" w:rsidRPr="00192EC4" w14:paraId="4853F42F" w14:textId="77777777" w:rsidTr="00161E00">
        <w:trPr>
          <w:trHeight w:val="232"/>
        </w:trPr>
        <w:tc>
          <w:tcPr>
            <w:tcW w:w="4213" w:type="dxa"/>
            <w:tcBorders>
              <w:top w:val="single" w:sz="4" w:space="0" w:color="auto"/>
              <w:left w:val="single" w:sz="4" w:space="0" w:color="auto"/>
              <w:bottom w:val="nil"/>
              <w:right w:val="single" w:sz="4" w:space="0" w:color="auto"/>
            </w:tcBorders>
          </w:tcPr>
          <w:p w14:paraId="362E559F" w14:textId="77777777" w:rsidR="00BE35F9" w:rsidRPr="00192EC4" w:rsidRDefault="00BE35F9" w:rsidP="006F1659">
            <w:pPr>
              <w:pStyle w:val="NoSpacing"/>
              <w:spacing w:line="360" w:lineRule="auto"/>
              <w:rPr>
                <w:rFonts w:ascii="Arial" w:hAnsi="Arial" w:cs="Arial"/>
                <w:sz w:val="20"/>
                <w:szCs w:val="20"/>
                <w:lang w:val="en-GB"/>
              </w:rPr>
            </w:pPr>
          </w:p>
        </w:tc>
        <w:tc>
          <w:tcPr>
            <w:tcW w:w="1355" w:type="dxa"/>
            <w:tcBorders>
              <w:top w:val="single" w:sz="4" w:space="0" w:color="auto"/>
              <w:left w:val="single" w:sz="4" w:space="0" w:color="auto"/>
              <w:bottom w:val="nil"/>
              <w:right w:val="single" w:sz="4" w:space="0" w:color="auto"/>
            </w:tcBorders>
          </w:tcPr>
          <w:p w14:paraId="2A978888" w14:textId="77777777" w:rsidR="00BE35F9" w:rsidRPr="00192EC4" w:rsidRDefault="00BE35F9" w:rsidP="006F1659">
            <w:pPr>
              <w:pStyle w:val="NoSpacing"/>
              <w:spacing w:line="360" w:lineRule="auto"/>
              <w:jc w:val="right"/>
              <w:rPr>
                <w:rFonts w:ascii="Arial" w:hAnsi="Arial" w:cs="Arial"/>
                <w:sz w:val="20"/>
                <w:szCs w:val="20"/>
                <w:lang w:val="en-GB"/>
              </w:rPr>
            </w:pPr>
          </w:p>
        </w:tc>
        <w:tc>
          <w:tcPr>
            <w:tcW w:w="1703" w:type="dxa"/>
            <w:tcBorders>
              <w:top w:val="single" w:sz="4" w:space="0" w:color="auto"/>
              <w:left w:val="single" w:sz="4" w:space="0" w:color="auto"/>
              <w:bottom w:val="nil"/>
              <w:right w:val="single" w:sz="4" w:space="0" w:color="auto"/>
            </w:tcBorders>
          </w:tcPr>
          <w:p w14:paraId="125DA618" w14:textId="77777777" w:rsidR="00BE35F9" w:rsidRPr="00192EC4" w:rsidRDefault="00BE35F9" w:rsidP="006F1659">
            <w:pPr>
              <w:pStyle w:val="NoSpacing"/>
              <w:spacing w:line="360" w:lineRule="auto"/>
              <w:jc w:val="right"/>
              <w:rPr>
                <w:rFonts w:ascii="Arial" w:hAnsi="Arial" w:cs="Arial"/>
                <w:sz w:val="20"/>
                <w:szCs w:val="20"/>
                <w:lang w:val="en-GB"/>
              </w:rPr>
            </w:pPr>
          </w:p>
        </w:tc>
        <w:tc>
          <w:tcPr>
            <w:tcW w:w="1505" w:type="dxa"/>
            <w:tcBorders>
              <w:top w:val="single" w:sz="4" w:space="0" w:color="auto"/>
              <w:left w:val="single" w:sz="4" w:space="0" w:color="auto"/>
              <w:bottom w:val="nil"/>
              <w:right w:val="single" w:sz="4" w:space="0" w:color="auto"/>
            </w:tcBorders>
          </w:tcPr>
          <w:p w14:paraId="2DB9B4A5" w14:textId="77777777" w:rsidR="00BE35F9" w:rsidRPr="00192EC4" w:rsidRDefault="00BE35F9" w:rsidP="006F1659">
            <w:pPr>
              <w:pStyle w:val="NoSpacing"/>
              <w:spacing w:line="360" w:lineRule="auto"/>
              <w:jc w:val="right"/>
              <w:rPr>
                <w:rFonts w:ascii="Arial" w:hAnsi="Arial" w:cs="Arial"/>
                <w:sz w:val="20"/>
                <w:szCs w:val="20"/>
                <w:lang w:val="en-GB"/>
              </w:rPr>
            </w:pPr>
          </w:p>
        </w:tc>
      </w:tr>
      <w:tr w:rsidR="00BE35F9" w:rsidRPr="00192EC4" w14:paraId="1BD2ADA7" w14:textId="77777777" w:rsidTr="00161E00">
        <w:trPr>
          <w:trHeight w:val="232"/>
        </w:trPr>
        <w:tc>
          <w:tcPr>
            <w:tcW w:w="4213" w:type="dxa"/>
            <w:tcBorders>
              <w:top w:val="nil"/>
              <w:left w:val="single" w:sz="4" w:space="0" w:color="auto"/>
              <w:bottom w:val="nil"/>
              <w:right w:val="single" w:sz="4" w:space="0" w:color="auto"/>
            </w:tcBorders>
          </w:tcPr>
          <w:p w14:paraId="57CB8B89" w14:textId="77777777" w:rsidR="00BE35F9" w:rsidRPr="00192EC4" w:rsidRDefault="00BE35F9" w:rsidP="006F1659">
            <w:pPr>
              <w:pStyle w:val="NoSpacing"/>
              <w:spacing w:line="360" w:lineRule="auto"/>
              <w:rPr>
                <w:rFonts w:ascii="Arial" w:hAnsi="Arial" w:cs="Arial"/>
                <w:b/>
                <w:bCs/>
                <w:sz w:val="20"/>
                <w:szCs w:val="20"/>
                <w:lang w:val="en-GB"/>
              </w:rPr>
            </w:pPr>
            <w:r w:rsidRPr="00192EC4">
              <w:rPr>
                <w:rFonts w:ascii="Arial" w:hAnsi="Arial" w:cs="Arial"/>
                <w:b/>
                <w:bCs/>
                <w:sz w:val="20"/>
                <w:szCs w:val="20"/>
                <w:lang w:val="en-GB"/>
              </w:rPr>
              <w:t>Capital Funds</w:t>
            </w:r>
          </w:p>
        </w:tc>
        <w:tc>
          <w:tcPr>
            <w:tcW w:w="1355" w:type="dxa"/>
            <w:tcBorders>
              <w:top w:val="nil"/>
              <w:left w:val="single" w:sz="4" w:space="0" w:color="auto"/>
              <w:bottom w:val="nil"/>
              <w:right w:val="single" w:sz="4" w:space="0" w:color="auto"/>
            </w:tcBorders>
          </w:tcPr>
          <w:p w14:paraId="36B4E627" w14:textId="77777777" w:rsidR="00BE35F9" w:rsidRPr="00192EC4" w:rsidRDefault="00BE35F9" w:rsidP="006F1659">
            <w:pPr>
              <w:pStyle w:val="NoSpacing"/>
              <w:spacing w:line="360" w:lineRule="auto"/>
              <w:jc w:val="right"/>
              <w:rPr>
                <w:rFonts w:ascii="Arial" w:hAnsi="Arial" w:cs="Arial"/>
                <w:sz w:val="20"/>
                <w:szCs w:val="20"/>
                <w:lang w:val="en-GB"/>
              </w:rPr>
            </w:pPr>
          </w:p>
        </w:tc>
        <w:tc>
          <w:tcPr>
            <w:tcW w:w="1703" w:type="dxa"/>
            <w:tcBorders>
              <w:top w:val="nil"/>
              <w:left w:val="single" w:sz="4" w:space="0" w:color="auto"/>
              <w:bottom w:val="nil"/>
              <w:right w:val="single" w:sz="4" w:space="0" w:color="auto"/>
            </w:tcBorders>
          </w:tcPr>
          <w:p w14:paraId="54EE48C6" w14:textId="77777777" w:rsidR="00BE35F9" w:rsidRPr="00192EC4" w:rsidRDefault="00BE35F9" w:rsidP="006F1659">
            <w:pPr>
              <w:pStyle w:val="NoSpacing"/>
              <w:spacing w:line="360" w:lineRule="auto"/>
              <w:jc w:val="right"/>
              <w:rPr>
                <w:rFonts w:ascii="Arial" w:hAnsi="Arial" w:cs="Arial"/>
                <w:sz w:val="20"/>
                <w:szCs w:val="20"/>
                <w:lang w:val="en-GB"/>
              </w:rPr>
            </w:pPr>
          </w:p>
        </w:tc>
        <w:tc>
          <w:tcPr>
            <w:tcW w:w="1505" w:type="dxa"/>
            <w:tcBorders>
              <w:top w:val="nil"/>
              <w:left w:val="single" w:sz="4" w:space="0" w:color="auto"/>
              <w:bottom w:val="nil"/>
              <w:right w:val="single" w:sz="4" w:space="0" w:color="auto"/>
            </w:tcBorders>
          </w:tcPr>
          <w:p w14:paraId="546AAF44" w14:textId="77777777" w:rsidR="00BE35F9" w:rsidRPr="00192EC4" w:rsidRDefault="00BE35F9" w:rsidP="006F1659">
            <w:pPr>
              <w:pStyle w:val="NoSpacing"/>
              <w:spacing w:line="360" w:lineRule="auto"/>
              <w:jc w:val="right"/>
              <w:rPr>
                <w:rFonts w:ascii="Arial" w:hAnsi="Arial" w:cs="Arial"/>
                <w:sz w:val="20"/>
                <w:szCs w:val="20"/>
                <w:lang w:val="en-GB"/>
              </w:rPr>
            </w:pPr>
          </w:p>
        </w:tc>
      </w:tr>
      <w:tr w:rsidR="00BE35F9" w:rsidRPr="00192EC4" w14:paraId="78661392" w14:textId="77777777" w:rsidTr="00161E00">
        <w:trPr>
          <w:trHeight w:val="232"/>
        </w:trPr>
        <w:tc>
          <w:tcPr>
            <w:tcW w:w="4213" w:type="dxa"/>
            <w:tcBorders>
              <w:top w:val="nil"/>
              <w:left w:val="single" w:sz="4" w:space="0" w:color="auto"/>
              <w:bottom w:val="single" w:sz="4" w:space="0" w:color="auto"/>
              <w:right w:val="single" w:sz="4" w:space="0" w:color="auto"/>
            </w:tcBorders>
          </w:tcPr>
          <w:p w14:paraId="7C5CB35C" w14:textId="77777777" w:rsidR="00BE35F9" w:rsidRPr="00192EC4" w:rsidRDefault="00BE35F9" w:rsidP="006F1659">
            <w:pPr>
              <w:pStyle w:val="NoSpacing"/>
              <w:spacing w:line="360" w:lineRule="auto"/>
              <w:rPr>
                <w:rFonts w:ascii="Arial" w:hAnsi="Arial" w:cs="Arial"/>
                <w:sz w:val="20"/>
                <w:szCs w:val="20"/>
              </w:rPr>
            </w:pPr>
            <w:r w:rsidRPr="00192EC4">
              <w:rPr>
                <w:rFonts w:ascii="Arial" w:hAnsi="Arial" w:cs="Arial"/>
                <w:sz w:val="20"/>
                <w:szCs w:val="20"/>
              </w:rPr>
              <w:t>Growing Places Fund</w:t>
            </w:r>
          </w:p>
        </w:tc>
        <w:tc>
          <w:tcPr>
            <w:tcW w:w="1355" w:type="dxa"/>
            <w:tcBorders>
              <w:top w:val="nil"/>
              <w:left w:val="single" w:sz="4" w:space="0" w:color="auto"/>
              <w:bottom w:val="single" w:sz="4" w:space="0" w:color="auto"/>
              <w:right w:val="single" w:sz="4" w:space="0" w:color="auto"/>
            </w:tcBorders>
          </w:tcPr>
          <w:p w14:paraId="0B59CC82" w14:textId="77777777" w:rsidR="00BE35F9" w:rsidRPr="00192EC4" w:rsidRDefault="00BE35F9" w:rsidP="006F1659">
            <w:pPr>
              <w:pStyle w:val="NoSpacing"/>
              <w:spacing w:line="360" w:lineRule="auto"/>
              <w:jc w:val="right"/>
              <w:rPr>
                <w:rFonts w:ascii="Arial" w:hAnsi="Arial" w:cs="Arial"/>
                <w:sz w:val="20"/>
                <w:szCs w:val="20"/>
              </w:rPr>
            </w:pPr>
            <w:r w:rsidRPr="00192EC4">
              <w:rPr>
                <w:rFonts w:ascii="Arial" w:hAnsi="Arial" w:cs="Arial"/>
                <w:sz w:val="20"/>
                <w:szCs w:val="20"/>
              </w:rPr>
              <w:t>(2,577)</w:t>
            </w:r>
          </w:p>
        </w:tc>
        <w:tc>
          <w:tcPr>
            <w:tcW w:w="1703" w:type="dxa"/>
            <w:tcBorders>
              <w:top w:val="nil"/>
              <w:left w:val="single" w:sz="4" w:space="0" w:color="auto"/>
              <w:bottom w:val="single" w:sz="4" w:space="0" w:color="auto"/>
              <w:right w:val="single" w:sz="4" w:space="0" w:color="auto"/>
            </w:tcBorders>
          </w:tcPr>
          <w:p w14:paraId="0F0742EA" w14:textId="77777777" w:rsidR="00BE35F9" w:rsidRPr="00192EC4" w:rsidRDefault="00BE35F9" w:rsidP="006F1659">
            <w:pPr>
              <w:pStyle w:val="NoSpacing"/>
              <w:spacing w:line="360" w:lineRule="auto"/>
              <w:jc w:val="right"/>
              <w:rPr>
                <w:rFonts w:ascii="Arial" w:hAnsi="Arial" w:cs="Arial"/>
                <w:sz w:val="20"/>
                <w:szCs w:val="20"/>
              </w:rPr>
            </w:pPr>
            <w:r w:rsidRPr="00192EC4">
              <w:rPr>
                <w:rFonts w:ascii="Arial" w:hAnsi="Arial" w:cs="Arial"/>
                <w:sz w:val="20"/>
                <w:szCs w:val="20"/>
              </w:rPr>
              <w:t>2,577</w:t>
            </w:r>
          </w:p>
        </w:tc>
        <w:tc>
          <w:tcPr>
            <w:tcW w:w="1505" w:type="dxa"/>
            <w:tcBorders>
              <w:top w:val="nil"/>
              <w:left w:val="single" w:sz="4" w:space="0" w:color="auto"/>
              <w:bottom w:val="single" w:sz="4" w:space="0" w:color="auto"/>
              <w:right w:val="single" w:sz="4" w:space="0" w:color="auto"/>
            </w:tcBorders>
          </w:tcPr>
          <w:p w14:paraId="249EBA84" w14:textId="77777777" w:rsidR="00BE35F9" w:rsidRPr="00192EC4" w:rsidRDefault="00BE35F9" w:rsidP="006F1659">
            <w:pPr>
              <w:pStyle w:val="NoSpacing"/>
              <w:spacing w:line="360" w:lineRule="auto"/>
              <w:jc w:val="right"/>
              <w:rPr>
                <w:rFonts w:ascii="Arial" w:hAnsi="Arial" w:cs="Arial"/>
                <w:sz w:val="20"/>
                <w:szCs w:val="20"/>
              </w:rPr>
            </w:pPr>
            <w:r w:rsidRPr="00192EC4">
              <w:rPr>
                <w:rFonts w:ascii="Arial" w:hAnsi="Arial" w:cs="Arial"/>
                <w:sz w:val="20"/>
                <w:szCs w:val="20"/>
              </w:rPr>
              <w:t>0</w:t>
            </w:r>
          </w:p>
        </w:tc>
      </w:tr>
      <w:tr w:rsidR="00BE35F9" w:rsidRPr="00192EC4" w14:paraId="737F040E" w14:textId="77777777" w:rsidTr="00161E00">
        <w:trPr>
          <w:trHeight w:val="232"/>
        </w:trPr>
        <w:tc>
          <w:tcPr>
            <w:tcW w:w="4213" w:type="dxa"/>
            <w:tcBorders>
              <w:top w:val="single" w:sz="4" w:space="0" w:color="auto"/>
              <w:left w:val="single" w:sz="4" w:space="0" w:color="auto"/>
              <w:bottom w:val="single" w:sz="4" w:space="0" w:color="auto"/>
              <w:right w:val="single" w:sz="4" w:space="0" w:color="auto"/>
            </w:tcBorders>
          </w:tcPr>
          <w:p w14:paraId="7F09BC06" w14:textId="77777777" w:rsidR="00BE35F9" w:rsidRPr="00192EC4" w:rsidRDefault="00BE35F9" w:rsidP="006F1659">
            <w:pPr>
              <w:pStyle w:val="NoSpacing"/>
              <w:spacing w:line="360" w:lineRule="auto"/>
              <w:rPr>
                <w:rFonts w:ascii="Arial" w:hAnsi="Arial" w:cs="Arial"/>
                <w:b/>
                <w:bCs/>
                <w:sz w:val="20"/>
                <w:szCs w:val="20"/>
              </w:rPr>
            </w:pPr>
            <w:r w:rsidRPr="00192EC4">
              <w:rPr>
                <w:rFonts w:ascii="Arial" w:hAnsi="Arial" w:cs="Arial"/>
                <w:b/>
                <w:bCs/>
                <w:sz w:val="20"/>
                <w:szCs w:val="20"/>
              </w:rPr>
              <w:t>Total Capital</w:t>
            </w:r>
          </w:p>
        </w:tc>
        <w:tc>
          <w:tcPr>
            <w:tcW w:w="1355" w:type="dxa"/>
            <w:tcBorders>
              <w:top w:val="single" w:sz="4" w:space="0" w:color="auto"/>
              <w:left w:val="single" w:sz="4" w:space="0" w:color="auto"/>
              <w:bottom w:val="single" w:sz="4" w:space="0" w:color="auto"/>
              <w:right w:val="single" w:sz="4" w:space="0" w:color="auto"/>
            </w:tcBorders>
          </w:tcPr>
          <w:p w14:paraId="337F3947" w14:textId="77777777" w:rsidR="00BE35F9" w:rsidRPr="00192EC4" w:rsidRDefault="00BE35F9" w:rsidP="006F1659">
            <w:pPr>
              <w:pStyle w:val="NoSpacing"/>
              <w:spacing w:line="360" w:lineRule="auto"/>
              <w:jc w:val="right"/>
              <w:rPr>
                <w:rFonts w:ascii="Arial" w:hAnsi="Arial" w:cs="Arial"/>
                <w:b/>
                <w:bCs/>
                <w:sz w:val="20"/>
                <w:szCs w:val="20"/>
              </w:rPr>
            </w:pPr>
            <w:r w:rsidRPr="00192EC4">
              <w:rPr>
                <w:rFonts w:ascii="Arial" w:hAnsi="Arial" w:cs="Arial"/>
                <w:b/>
                <w:bCs/>
                <w:sz w:val="20"/>
                <w:szCs w:val="20"/>
              </w:rPr>
              <w:t>(2,577)</w:t>
            </w:r>
          </w:p>
        </w:tc>
        <w:tc>
          <w:tcPr>
            <w:tcW w:w="1703" w:type="dxa"/>
            <w:tcBorders>
              <w:top w:val="single" w:sz="4" w:space="0" w:color="auto"/>
              <w:left w:val="single" w:sz="4" w:space="0" w:color="auto"/>
              <w:bottom w:val="single" w:sz="4" w:space="0" w:color="auto"/>
              <w:right w:val="single" w:sz="4" w:space="0" w:color="auto"/>
            </w:tcBorders>
          </w:tcPr>
          <w:p w14:paraId="32C51F74" w14:textId="77777777" w:rsidR="00BE35F9" w:rsidRPr="00192EC4" w:rsidRDefault="00BE35F9" w:rsidP="006F1659">
            <w:pPr>
              <w:pStyle w:val="NoSpacing"/>
              <w:spacing w:line="360" w:lineRule="auto"/>
              <w:jc w:val="right"/>
              <w:rPr>
                <w:rFonts w:ascii="Arial" w:hAnsi="Arial" w:cs="Arial"/>
                <w:b/>
                <w:bCs/>
                <w:sz w:val="20"/>
                <w:szCs w:val="20"/>
              </w:rPr>
            </w:pPr>
            <w:r w:rsidRPr="00192EC4">
              <w:rPr>
                <w:rFonts w:ascii="Arial" w:hAnsi="Arial" w:cs="Arial"/>
                <w:b/>
                <w:bCs/>
                <w:sz w:val="20"/>
                <w:szCs w:val="20"/>
              </w:rPr>
              <w:t>2,577</w:t>
            </w:r>
          </w:p>
        </w:tc>
        <w:tc>
          <w:tcPr>
            <w:tcW w:w="1505" w:type="dxa"/>
            <w:tcBorders>
              <w:top w:val="single" w:sz="4" w:space="0" w:color="auto"/>
              <w:left w:val="single" w:sz="4" w:space="0" w:color="auto"/>
              <w:bottom w:val="single" w:sz="4" w:space="0" w:color="auto"/>
              <w:right w:val="single" w:sz="4" w:space="0" w:color="auto"/>
            </w:tcBorders>
          </w:tcPr>
          <w:p w14:paraId="4F5463A1" w14:textId="77777777" w:rsidR="00BE35F9" w:rsidRPr="00192EC4" w:rsidRDefault="00BE35F9" w:rsidP="006F1659">
            <w:pPr>
              <w:pStyle w:val="NoSpacing"/>
              <w:spacing w:line="360" w:lineRule="auto"/>
              <w:jc w:val="right"/>
              <w:rPr>
                <w:rFonts w:ascii="Arial" w:hAnsi="Arial" w:cs="Arial"/>
                <w:b/>
                <w:bCs/>
                <w:sz w:val="20"/>
                <w:szCs w:val="20"/>
              </w:rPr>
            </w:pPr>
            <w:r w:rsidRPr="00192EC4">
              <w:rPr>
                <w:rFonts w:ascii="Arial" w:hAnsi="Arial" w:cs="Arial"/>
                <w:b/>
                <w:bCs/>
                <w:sz w:val="20"/>
                <w:szCs w:val="20"/>
              </w:rPr>
              <w:t>0</w:t>
            </w:r>
          </w:p>
        </w:tc>
      </w:tr>
      <w:tr w:rsidR="00BE35F9" w:rsidRPr="00192EC4" w14:paraId="0056D046" w14:textId="77777777" w:rsidTr="00161E00">
        <w:trPr>
          <w:trHeight w:val="232"/>
        </w:trPr>
        <w:tc>
          <w:tcPr>
            <w:tcW w:w="4213" w:type="dxa"/>
            <w:tcBorders>
              <w:top w:val="single" w:sz="4" w:space="0" w:color="auto"/>
              <w:left w:val="single" w:sz="4" w:space="0" w:color="auto"/>
              <w:bottom w:val="single" w:sz="4" w:space="0" w:color="auto"/>
              <w:right w:val="single" w:sz="4" w:space="0" w:color="auto"/>
            </w:tcBorders>
          </w:tcPr>
          <w:p w14:paraId="6ACB94DB" w14:textId="77777777" w:rsidR="00BE35F9" w:rsidRPr="00192EC4" w:rsidRDefault="00BE35F9" w:rsidP="006F1659">
            <w:pPr>
              <w:pStyle w:val="NoSpacing"/>
              <w:spacing w:line="360" w:lineRule="auto"/>
              <w:rPr>
                <w:rFonts w:ascii="Arial" w:hAnsi="Arial" w:cs="Arial"/>
                <w:b/>
                <w:bCs/>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F1A747F" w14:textId="77777777" w:rsidR="00BE35F9" w:rsidRPr="00192EC4" w:rsidRDefault="00BE35F9" w:rsidP="006F1659">
            <w:pPr>
              <w:pStyle w:val="NoSpacing"/>
              <w:spacing w:line="360" w:lineRule="auto"/>
              <w:jc w:val="right"/>
              <w:rPr>
                <w:rFonts w:ascii="Arial" w:hAnsi="Arial"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54F3E502" w14:textId="77777777" w:rsidR="00BE35F9" w:rsidRPr="00192EC4" w:rsidRDefault="00BE35F9" w:rsidP="006F1659">
            <w:pPr>
              <w:pStyle w:val="NoSpacing"/>
              <w:spacing w:line="360" w:lineRule="auto"/>
              <w:jc w:val="right"/>
              <w:rPr>
                <w:rFonts w:ascii="Arial" w:hAnsi="Arial" w:cs="Arial"/>
                <w:b/>
                <w:bCs/>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BA55266" w14:textId="77777777" w:rsidR="00BE35F9" w:rsidRPr="00192EC4" w:rsidRDefault="00BE35F9" w:rsidP="006F1659">
            <w:pPr>
              <w:pStyle w:val="NoSpacing"/>
              <w:spacing w:line="360" w:lineRule="auto"/>
              <w:jc w:val="right"/>
              <w:rPr>
                <w:rFonts w:ascii="Arial" w:hAnsi="Arial" w:cs="Arial"/>
                <w:b/>
                <w:bCs/>
                <w:sz w:val="20"/>
                <w:szCs w:val="20"/>
              </w:rPr>
            </w:pPr>
          </w:p>
        </w:tc>
      </w:tr>
      <w:tr w:rsidR="00BE35F9" w:rsidRPr="00192EC4" w14:paraId="58B0C57F" w14:textId="77777777" w:rsidTr="00161E00">
        <w:trPr>
          <w:trHeight w:val="232"/>
        </w:trPr>
        <w:tc>
          <w:tcPr>
            <w:tcW w:w="4213" w:type="dxa"/>
            <w:tcBorders>
              <w:top w:val="single" w:sz="4" w:space="0" w:color="auto"/>
            </w:tcBorders>
          </w:tcPr>
          <w:p w14:paraId="1D80D045" w14:textId="77777777" w:rsidR="00BE35F9" w:rsidRPr="00192EC4" w:rsidRDefault="00BE35F9" w:rsidP="006F1659">
            <w:pPr>
              <w:pStyle w:val="NoSpacing"/>
              <w:spacing w:line="360" w:lineRule="auto"/>
              <w:rPr>
                <w:rFonts w:ascii="Arial" w:hAnsi="Arial" w:cs="Arial"/>
                <w:b/>
                <w:bCs/>
                <w:sz w:val="20"/>
                <w:szCs w:val="20"/>
              </w:rPr>
            </w:pPr>
            <w:r w:rsidRPr="00192EC4">
              <w:rPr>
                <w:rFonts w:ascii="Arial" w:hAnsi="Arial" w:cs="Arial"/>
                <w:b/>
                <w:bCs/>
                <w:sz w:val="20"/>
                <w:szCs w:val="20"/>
              </w:rPr>
              <w:t>Grand Total</w:t>
            </w:r>
          </w:p>
        </w:tc>
        <w:tc>
          <w:tcPr>
            <w:tcW w:w="1355" w:type="dxa"/>
            <w:tcBorders>
              <w:top w:val="single" w:sz="4" w:space="0" w:color="auto"/>
            </w:tcBorders>
          </w:tcPr>
          <w:p w14:paraId="71C29B71" w14:textId="69A541FC" w:rsidR="00BE35F9" w:rsidRPr="00192EC4" w:rsidRDefault="000E57F2" w:rsidP="006F1659">
            <w:pPr>
              <w:pStyle w:val="NoSpacing"/>
              <w:spacing w:line="360" w:lineRule="auto"/>
              <w:jc w:val="right"/>
              <w:rPr>
                <w:rFonts w:ascii="Arial" w:hAnsi="Arial" w:cs="Arial"/>
                <w:b/>
                <w:bCs/>
                <w:sz w:val="20"/>
                <w:szCs w:val="20"/>
              </w:rPr>
            </w:pPr>
            <w:r>
              <w:rPr>
                <w:rFonts w:ascii="Arial" w:hAnsi="Arial" w:cs="Arial"/>
                <w:b/>
                <w:bCs/>
                <w:sz w:val="20"/>
                <w:szCs w:val="20"/>
              </w:rPr>
              <w:t>(3,342)</w:t>
            </w:r>
          </w:p>
        </w:tc>
        <w:tc>
          <w:tcPr>
            <w:tcW w:w="1703" w:type="dxa"/>
            <w:tcBorders>
              <w:top w:val="single" w:sz="4" w:space="0" w:color="auto"/>
            </w:tcBorders>
          </w:tcPr>
          <w:p w14:paraId="51D22500" w14:textId="5FA232F0" w:rsidR="00BE35F9" w:rsidRPr="00192EC4" w:rsidRDefault="000E57F2" w:rsidP="006F1659">
            <w:pPr>
              <w:pStyle w:val="NoSpacing"/>
              <w:spacing w:line="360" w:lineRule="auto"/>
              <w:jc w:val="right"/>
              <w:rPr>
                <w:rFonts w:ascii="Arial" w:hAnsi="Arial" w:cs="Arial"/>
                <w:b/>
                <w:bCs/>
                <w:sz w:val="20"/>
                <w:szCs w:val="20"/>
              </w:rPr>
            </w:pPr>
            <w:r>
              <w:rPr>
                <w:rFonts w:ascii="Arial" w:hAnsi="Arial" w:cs="Arial"/>
                <w:b/>
                <w:bCs/>
                <w:sz w:val="20"/>
                <w:szCs w:val="20"/>
              </w:rPr>
              <w:t>3,342</w:t>
            </w:r>
          </w:p>
        </w:tc>
        <w:tc>
          <w:tcPr>
            <w:tcW w:w="1505" w:type="dxa"/>
            <w:tcBorders>
              <w:top w:val="single" w:sz="4" w:space="0" w:color="auto"/>
            </w:tcBorders>
          </w:tcPr>
          <w:p w14:paraId="05E26106" w14:textId="25041F25" w:rsidR="00BE35F9" w:rsidRPr="00192EC4" w:rsidRDefault="000E57F2" w:rsidP="006F1659">
            <w:pPr>
              <w:pStyle w:val="NoSpacing"/>
              <w:spacing w:line="360" w:lineRule="auto"/>
              <w:jc w:val="right"/>
              <w:rPr>
                <w:rFonts w:ascii="Arial" w:hAnsi="Arial" w:cs="Arial"/>
                <w:b/>
                <w:bCs/>
                <w:sz w:val="20"/>
                <w:szCs w:val="20"/>
              </w:rPr>
            </w:pPr>
            <w:r>
              <w:rPr>
                <w:rFonts w:ascii="Arial" w:hAnsi="Arial" w:cs="Arial"/>
                <w:b/>
                <w:bCs/>
                <w:sz w:val="20"/>
                <w:szCs w:val="20"/>
              </w:rPr>
              <w:t>0</w:t>
            </w:r>
          </w:p>
        </w:tc>
      </w:tr>
    </w:tbl>
    <w:p w14:paraId="10957A52" w14:textId="77777777" w:rsidR="00BE35F9" w:rsidRPr="00192EC4" w:rsidRDefault="00BE35F9" w:rsidP="006F1659">
      <w:pPr>
        <w:spacing w:line="360" w:lineRule="auto"/>
        <w:rPr>
          <w:rFonts w:ascii="Arial" w:hAnsi="Arial" w:cs="Arial"/>
          <w:sz w:val="20"/>
          <w:szCs w:val="20"/>
        </w:rPr>
      </w:pPr>
    </w:p>
    <w:tbl>
      <w:tblPr>
        <w:tblStyle w:val="TableGrid"/>
        <w:tblW w:w="0" w:type="auto"/>
        <w:tblLook w:val="04A0" w:firstRow="1" w:lastRow="0" w:firstColumn="1" w:lastColumn="0" w:noHBand="0" w:noVBand="1"/>
      </w:tblPr>
      <w:tblGrid>
        <w:gridCol w:w="4246"/>
        <w:gridCol w:w="1366"/>
        <w:gridCol w:w="1669"/>
        <w:gridCol w:w="1517"/>
      </w:tblGrid>
      <w:tr w:rsidR="00BE35F9" w:rsidRPr="00192EC4" w14:paraId="4F389B48" w14:textId="77777777" w:rsidTr="00161E00">
        <w:trPr>
          <w:trHeight w:val="445"/>
        </w:trPr>
        <w:tc>
          <w:tcPr>
            <w:tcW w:w="4246" w:type="dxa"/>
            <w:tcBorders>
              <w:top w:val="single" w:sz="4" w:space="0" w:color="auto"/>
              <w:left w:val="single" w:sz="4" w:space="0" w:color="auto"/>
              <w:bottom w:val="nil"/>
              <w:right w:val="single" w:sz="4" w:space="0" w:color="auto"/>
            </w:tcBorders>
            <w:noWrap/>
            <w:hideMark/>
          </w:tcPr>
          <w:p w14:paraId="518265D1" w14:textId="77777777" w:rsidR="00BE35F9" w:rsidRPr="00192EC4" w:rsidRDefault="00BE35F9" w:rsidP="006F1659">
            <w:pPr>
              <w:pStyle w:val="Normal0"/>
              <w:spacing w:line="360" w:lineRule="auto"/>
              <w:rPr>
                <w:rFonts w:ascii="Arial" w:hAnsi="Arial" w:cs="Arial"/>
                <w:b/>
                <w:bCs/>
              </w:rPr>
            </w:pPr>
            <w:r w:rsidRPr="00192EC4">
              <w:rPr>
                <w:rFonts w:ascii="Arial" w:hAnsi="Arial" w:cs="Arial"/>
                <w:b/>
                <w:bCs/>
              </w:rPr>
              <w:t>LEP Reserves</w:t>
            </w:r>
          </w:p>
        </w:tc>
        <w:tc>
          <w:tcPr>
            <w:tcW w:w="1366" w:type="dxa"/>
            <w:tcBorders>
              <w:top w:val="single" w:sz="4" w:space="0" w:color="auto"/>
              <w:left w:val="single" w:sz="4" w:space="0" w:color="auto"/>
              <w:bottom w:val="nil"/>
              <w:right w:val="single" w:sz="4" w:space="0" w:color="auto"/>
            </w:tcBorders>
            <w:hideMark/>
          </w:tcPr>
          <w:p w14:paraId="1288EE73" w14:textId="77777777" w:rsidR="00BE35F9" w:rsidRPr="00192EC4" w:rsidRDefault="00BE35F9" w:rsidP="006F1659">
            <w:pPr>
              <w:pStyle w:val="NoSpacing"/>
              <w:spacing w:line="360" w:lineRule="auto"/>
              <w:jc w:val="center"/>
              <w:rPr>
                <w:rFonts w:ascii="Arial" w:hAnsi="Arial" w:cs="Arial"/>
                <w:b/>
                <w:bCs/>
                <w:sz w:val="20"/>
                <w:szCs w:val="20"/>
              </w:rPr>
            </w:pPr>
            <w:r w:rsidRPr="00192EC4">
              <w:rPr>
                <w:rFonts w:ascii="Arial" w:hAnsi="Arial" w:cs="Arial"/>
                <w:b/>
                <w:bCs/>
                <w:sz w:val="20"/>
                <w:szCs w:val="20"/>
              </w:rPr>
              <w:t>31 March 2022</w:t>
            </w:r>
          </w:p>
        </w:tc>
        <w:tc>
          <w:tcPr>
            <w:tcW w:w="1669" w:type="dxa"/>
            <w:tcBorders>
              <w:top w:val="single" w:sz="4" w:space="0" w:color="auto"/>
              <w:left w:val="single" w:sz="4" w:space="0" w:color="auto"/>
              <w:bottom w:val="nil"/>
              <w:right w:val="single" w:sz="4" w:space="0" w:color="auto"/>
            </w:tcBorders>
            <w:hideMark/>
          </w:tcPr>
          <w:p w14:paraId="2A307E5B" w14:textId="77777777" w:rsidR="00BE35F9" w:rsidRPr="00192EC4" w:rsidRDefault="00BE35F9" w:rsidP="006F1659">
            <w:pPr>
              <w:pStyle w:val="NoSpacing"/>
              <w:spacing w:line="360" w:lineRule="auto"/>
              <w:jc w:val="center"/>
              <w:rPr>
                <w:rFonts w:ascii="Arial" w:hAnsi="Arial" w:cs="Arial"/>
                <w:b/>
                <w:bCs/>
                <w:sz w:val="20"/>
                <w:szCs w:val="20"/>
              </w:rPr>
            </w:pPr>
            <w:r w:rsidRPr="00192EC4">
              <w:rPr>
                <w:rFonts w:ascii="Arial" w:hAnsi="Arial" w:cs="Arial"/>
                <w:b/>
                <w:bCs/>
                <w:sz w:val="20"/>
                <w:szCs w:val="20"/>
              </w:rPr>
              <w:t>Transfers in/out</w:t>
            </w:r>
          </w:p>
        </w:tc>
        <w:tc>
          <w:tcPr>
            <w:tcW w:w="1517" w:type="dxa"/>
            <w:tcBorders>
              <w:top w:val="single" w:sz="4" w:space="0" w:color="auto"/>
              <w:left w:val="single" w:sz="4" w:space="0" w:color="auto"/>
              <w:bottom w:val="nil"/>
              <w:right w:val="single" w:sz="4" w:space="0" w:color="auto"/>
            </w:tcBorders>
            <w:hideMark/>
          </w:tcPr>
          <w:p w14:paraId="216C34F7" w14:textId="77777777" w:rsidR="00BE35F9" w:rsidRPr="00192EC4" w:rsidRDefault="00BE35F9" w:rsidP="006F1659">
            <w:pPr>
              <w:pStyle w:val="NoSpacing"/>
              <w:spacing w:line="360" w:lineRule="auto"/>
              <w:jc w:val="center"/>
              <w:rPr>
                <w:rFonts w:ascii="Arial" w:hAnsi="Arial" w:cs="Arial"/>
                <w:b/>
                <w:bCs/>
                <w:sz w:val="20"/>
                <w:szCs w:val="20"/>
              </w:rPr>
            </w:pPr>
            <w:r w:rsidRPr="00192EC4">
              <w:rPr>
                <w:rFonts w:ascii="Arial" w:hAnsi="Arial" w:cs="Arial"/>
                <w:b/>
                <w:bCs/>
                <w:sz w:val="20"/>
                <w:szCs w:val="20"/>
              </w:rPr>
              <w:t>31 March 2023</w:t>
            </w:r>
          </w:p>
        </w:tc>
      </w:tr>
      <w:tr w:rsidR="00BE35F9" w:rsidRPr="00192EC4" w14:paraId="022AD3FB" w14:textId="77777777" w:rsidTr="00161E00">
        <w:trPr>
          <w:trHeight w:val="262"/>
        </w:trPr>
        <w:tc>
          <w:tcPr>
            <w:tcW w:w="4246" w:type="dxa"/>
            <w:tcBorders>
              <w:top w:val="nil"/>
            </w:tcBorders>
            <w:noWrap/>
            <w:hideMark/>
          </w:tcPr>
          <w:p w14:paraId="49A9F1CC" w14:textId="77777777" w:rsidR="00BE35F9" w:rsidRPr="00192EC4" w:rsidRDefault="00BE35F9" w:rsidP="006F1659">
            <w:pPr>
              <w:pStyle w:val="NoSpacing"/>
              <w:spacing w:line="360" w:lineRule="auto"/>
              <w:rPr>
                <w:rFonts w:ascii="Arial" w:eastAsiaTheme="minorHAnsi" w:hAnsi="Arial" w:cs="Arial"/>
                <w:b/>
                <w:bCs/>
                <w:sz w:val="20"/>
                <w:szCs w:val="20"/>
              </w:rPr>
            </w:pPr>
          </w:p>
        </w:tc>
        <w:tc>
          <w:tcPr>
            <w:tcW w:w="1366" w:type="dxa"/>
            <w:tcBorders>
              <w:top w:val="nil"/>
            </w:tcBorders>
            <w:noWrap/>
            <w:hideMark/>
          </w:tcPr>
          <w:p w14:paraId="17ADF461" w14:textId="28AB0D3D" w:rsidR="00BE35F9" w:rsidRPr="00192EC4" w:rsidRDefault="00BE35F9" w:rsidP="006F1659">
            <w:pPr>
              <w:pStyle w:val="NoSpacing"/>
              <w:spacing w:line="360" w:lineRule="auto"/>
              <w:jc w:val="center"/>
              <w:rPr>
                <w:rFonts w:ascii="Arial" w:eastAsiaTheme="minorHAnsi" w:hAnsi="Arial" w:cs="Arial"/>
                <w:b/>
                <w:bCs/>
                <w:sz w:val="20"/>
                <w:szCs w:val="20"/>
              </w:rPr>
            </w:pPr>
            <w:r w:rsidRPr="00192EC4">
              <w:rPr>
                <w:rFonts w:ascii="Arial" w:eastAsiaTheme="minorHAnsi" w:hAnsi="Arial" w:cs="Arial"/>
                <w:b/>
                <w:bCs/>
                <w:sz w:val="20"/>
                <w:szCs w:val="20"/>
              </w:rPr>
              <w:t>£000</w:t>
            </w:r>
            <w:r w:rsidR="00D37346">
              <w:rPr>
                <w:rFonts w:ascii="Arial" w:eastAsiaTheme="minorHAnsi" w:hAnsi="Arial" w:cs="Arial"/>
                <w:b/>
                <w:bCs/>
                <w:sz w:val="20"/>
                <w:szCs w:val="20"/>
              </w:rPr>
              <w:t>s</w:t>
            </w:r>
          </w:p>
        </w:tc>
        <w:tc>
          <w:tcPr>
            <w:tcW w:w="1669" w:type="dxa"/>
            <w:tcBorders>
              <w:top w:val="nil"/>
            </w:tcBorders>
            <w:noWrap/>
            <w:hideMark/>
          </w:tcPr>
          <w:p w14:paraId="0784FBD8" w14:textId="0276F53E" w:rsidR="00BE35F9" w:rsidRPr="00192EC4" w:rsidRDefault="00BE35F9" w:rsidP="006F1659">
            <w:pPr>
              <w:pStyle w:val="NoSpacing"/>
              <w:spacing w:line="360" w:lineRule="auto"/>
              <w:jc w:val="center"/>
              <w:rPr>
                <w:rFonts w:ascii="Arial" w:eastAsiaTheme="minorHAnsi" w:hAnsi="Arial" w:cs="Arial"/>
                <w:b/>
                <w:bCs/>
                <w:sz w:val="20"/>
                <w:szCs w:val="20"/>
              </w:rPr>
            </w:pPr>
            <w:r w:rsidRPr="00192EC4">
              <w:rPr>
                <w:rFonts w:ascii="Arial" w:eastAsiaTheme="minorHAnsi" w:hAnsi="Arial" w:cs="Arial"/>
                <w:b/>
                <w:bCs/>
                <w:sz w:val="20"/>
                <w:szCs w:val="20"/>
              </w:rPr>
              <w:t>£000</w:t>
            </w:r>
            <w:r w:rsidR="00D37346">
              <w:rPr>
                <w:rFonts w:ascii="Arial" w:eastAsiaTheme="minorHAnsi" w:hAnsi="Arial" w:cs="Arial"/>
                <w:b/>
                <w:bCs/>
                <w:sz w:val="20"/>
                <w:szCs w:val="20"/>
              </w:rPr>
              <w:t>s</w:t>
            </w:r>
          </w:p>
        </w:tc>
        <w:tc>
          <w:tcPr>
            <w:tcW w:w="1517" w:type="dxa"/>
            <w:tcBorders>
              <w:top w:val="nil"/>
            </w:tcBorders>
            <w:noWrap/>
            <w:hideMark/>
          </w:tcPr>
          <w:p w14:paraId="13BE2F57" w14:textId="4AD5ADBC" w:rsidR="00BE35F9" w:rsidRPr="00192EC4" w:rsidRDefault="00BE35F9" w:rsidP="006F1659">
            <w:pPr>
              <w:pStyle w:val="NoSpacing"/>
              <w:spacing w:line="360" w:lineRule="auto"/>
              <w:jc w:val="center"/>
              <w:rPr>
                <w:rFonts w:ascii="Arial" w:eastAsiaTheme="minorHAnsi" w:hAnsi="Arial" w:cs="Arial"/>
                <w:b/>
                <w:bCs/>
                <w:sz w:val="20"/>
                <w:szCs w:val="20"/>
              </w:rPr>
            </w:pPr>
            <w:r w:rsidRPr="00192EC4">
              <w:rPr>
                <w:rFonts w:ascii="Arial" w:eastAsiaTheme="minorHAnsi" w:hAnsi="Arial" w:cs="Arial"/>
                <w:b/>
                <w:bCs/>
                <w:sz w:val="20"/>
                <w:szCs w:val="20"/>
              </w:rPr>
              <w:t>£000</w:t>
            </w:r>
            <w:r w:rsidR="00D37346">
              <w:rPr>
                <w:rFonts w:ascii="Arial" w:eastAsiaTheme="minorHAnsi" w:hAnsi="Arial" w:cs="Arial"/>
                <w:b/>
                <w:bCs/>
                <w:sz w:val="20"/>
                <w:szCs w:val="20"/>
              </w:rPr>
              <w:t>s</w:t>
            </w:r>
          </w:p>
        </w:tc>
      </w:tr>
      <w:tr w:rsidR="00BE35F9" w:rsidRPr="00192EC4" w14:paraId="064A982B" w14:textId="77777777" w:rsidTr="00161E00">
        <w:trPr>
          <w:trHeight w:val="187"/>
        </w:trPr>
        <w:tc>
          <w:tcPr>
            <w:tcW w:w="4246" w:type="dxa"/>
            <w:noWrap/>
            <w:hideMark/>
          </w:tcPr>
          <w:p w14:paraId="40130093" w14:textId="77777777" w:rsidR="00BE35F9" w:rsidRPr="00192EC4" w:rsidRDefault="00BE35F9" w:rsidP="006F1659">
            <w:pPr>
              <w:pStyle w:val="NoSpacing"/>
              <w:spacing w:line="360" w:lineRule="auto"/>
              <w:rPr>
                <w:rFonts w:ascii="Arial" w:eastAsiaTheme="minorHAnsi" w:hAnsi="Arial" w:cs="Arial"/>
                <w:sz w:val="20"/>
                <w:szCs w:val="20"/>
              </w:rPr>
            </w:pPr>
            <w:r w:rsidRPr="00192EC4">
              <w:rPr>
                <w:rFonts w:ascii="Arial" w:eastAsiaTheme="minorHAnsi" w:hAnsi="Arial" w:cs="Arial"/>
                <w:sz w:val="20"/>
                <w:szCs w:val="20"/>
              </w:rPr>
              <w:t>LEP Capacity</w:t>
            </w:r>
          </w:p>
        </w:tc>
        <w:tc>
          <w:tcPr>
            <w:tcW w:w="1366" w:type="dxa"/>
            <w:noWrap/>
            <w:hideMark/>
          </w:tcPr>
          <w:p w14:paraId="3409F0AE" w14:textId="77777777" w:rsidR="00BE35F9" w:rsidRPr="00192EC4" w:rsidRDefault="00BE35F9" w:rsidP="006F1659">
            <w:pPr>
              <w:pStyle w:val="NoSpacing"/>
              <w:spacing w:line="360" w:lineRule="auto"/>
              <w:jc w:val="right"/>
              <w:rPr>
                <w:rFonts w:ascii="Arial" w:eastAsiaTheme="minorHAnsi" w:hAnsi="Arial" w:cs="Arial"/>
                <w:sz w:val="20"/>
                <w:szCs w:val="20"/>
              </w:rPr>
            </w:pPr>
            <w:r w:rsidRPr="00192EC4">
              <w:rPr>
                <w:rFonts w:ascii="Arial" w:eastAsiaTheme="minorHAnsi" w:hAnsi="Arial" w:cs="Arial"/>
                <w:sz w:val="20"/>
                <w:szCs w:val="20"/>
              </w:rPr>
              <w:t>(452)</w:t>
            </w:r>
          </w:p>
        </w:tc>
        <w:tc>
          <w:tcPr>
            <w:tcW w:w="1669" w:type="dxa"/>
            <w:noWrap/>
            <w:hideMark/>
          </w:tcPr>
          <w:p w14:paraId="7C63158E" w14:textId="77777777" w:rsidR="00BE35F9" w:rsidRPr="00192EC4" w:rsidRDefault="00BE35F9" w:rsidP="006F1659">
            <w:pPr>
              <w:pStyle w:val="NoSpacing"/>
              <w:spacing w:line="360" w:lineRule="auto"/>
              <w:jc w:val="right"/>
              <w:rPr>
                <w:rFonts w:ascii="Arial" w:eastAsiaTheme="minorHAnsi" w:hAnsi="Arial" w:cs="Arial"/>
                <w:sz w:val="20"/>
                <w:szCs w:val="20"/>
              </w:rPr>
            </w:pPr>
            <w:r w:rsidRPr="00192EC4">
              <w:rPr>
                <w:rFonts w:ascii="Arial" w:eastAsiaTheme="minorHAnsi" w:hAnsi="Arial" w:cs="Arial"/>
                <w:sz w:val="20"/>
                <w:szCs w:val="20"/>
              </w:rPr>
              <w:t xml:space="preserve">(5) </w:t>
            </w:r>
          </w:p>
        </w:tc>
        <w:tc>
          <w:tcPr>
            <w:tcW w:w="1517" w:type="dxa"/>
            <w:noWrap/>
            <w:hideMark/>
          </w:tcPr>
          <w:p w14:paraId="003EDA55" w14:textId="77777777" w:rsidR="00BE35F9" w:rsidRPr="00192EC4" w:rsidRDefault="00BE35F9" w:rsidP="006F1659">
            <w:pPr>
              <w:pStyle w:val="NoSpacing"/>
              <w:spacing w:line="360" w:lineRule="auto"/>
              <w:jc w:val="right"/>
              <w:rPr>
                <w:rFonts w:ascii="Arial" w:eastAsiaTheme="minorHAnsi" w:hAnsi="Arial" w:cs="Arial"/>
                <w:b/>
                <w:bCs/>
                <w:sz w:val="20"/>
                <w:szCs w:val="20"/>
              </w:rPr>
            </w:pPr>
            <w:r w:rsidRPr="00192EC4">
              <w:rPr>
                <w:rFonts w:ascii="Arial" w:eastAsiaTheme="minorHAnsi" w:hAnsi="Arial" w:cs="Arial"/>
                <w:b/>
                <w:bCs/>
                <w:sz w:val="20"/>
                <w:szCs w:val="20"/>
              </w:rPr>
              <w:t>(457)</w:t>
            </w:r>
          </w:p>
        </w:tc>
      </w:tr>
      <w:tr w:rsidR="00BE35F9" w:rsidRPr="00192EC4" w14:paraId="6F123231" w14:textId="77777777" w:rsidTr="00161E00">
        <w:trPr>
          <w:trHeight w:val="89"/>
        </w:trPr>
        <w:tc>
          <w:tcPr>
            <w:tcW w:w="4246" w:type="dxa"/>
            <w:noWrap/>
            <w:hideMark/>
          </w:tcPr>
          <w:p w14:paraId="76BC6051" w14:textId="77777777" w:rsidR="00BE35F9" w:rsidRPr="00192EC4" w:rsidRDefault="00BE35F9" w:rsidP="006F1659">
            <w:pPr>
              <w:pStyle w:val="NoSpacing"/>
              <w:spacing w:line="360" w:lineRule="auto"/>
              <w:rPr>
                <w:rFonts w:ascii="Arial" w:eastAsiaTheme="minorHAnsi" w:hAnsi="Arial" w:cs="Arial"/>
                <w:sz w:val="20"/>
                <w:szCs w:val="20"/>
              </w:rPr>
            </w:pPr>
            <w:r w:rsidRPr="00192EC4">
              <w:rPr>
                <w:rFonts w:ascii="Arial" w:eastAsiaTheme="minorHAnsi" w:hAnsi="Arial" w:cs="Arial"/>
                <w:sz w:val="20"/>
                <w:szCs w:val="20"/>
              </w:rPr>
              <w:t>Business Rates (Enterprise Zones)</w:t>
            </w:r>
          </w:p>
        </w:tc>
        <w:tc>
          <w:tcPr>
            <w:tcW w:w="1366" w:type="dxa"/>
            <w:noWrap/>
            <w:hideMark/>
          </w:tcPr>
          <w:p w14:paraId="33C80291" w14:textId="77777777" w:rsidR="00BE35F9" w:rsidRPr="00192EC4" w:rsidRDefault="00BE35F9" w:rsidP="006F1659">
            <w:pPr>
              <w:pStyle w:val="NoSpacing"/>
              <w:spacing w:line="360" w:lineRule="auto"/>
              <w:jc w:val="right"/>
              <w:rPr>
                <w:rFonts w:ascii="Arial" w:eastAsiaTheme="minorHAnsi" w:hAnsi="Arial" w:cs="Arial"/>
                <w:sz w:val="20"/>
                <w:szCs w:val="20"/>
              </w:rPr>
            </w:pPr>
            <w:r w:rsidRPr="00192EC4">
              <w:rPr>
                <w:rFonts w:ascii="Arial" w:eastAsiaTheme="minorHAnsi" w:hAnsi="Arial" w:cs="Arial"/>
                <w:sz w:val="20"/>
                <w:szCs w:val="20"/>
              </w:rPr>
              <w:t>(340)</w:t>
            </w:r>
          </w:p>
        </w:tc>
        <w:tc>
          <w:tcPr>
            <w:tcW w:w="1669" w:type="dxa"/>
            <w:noWrap/>
            <w:hideMark/>
          </w:tcPr>
          <w:p w14:paraId="1B174108" w14:textId="77777777" w:rsidR="00BE35F9" w:rsidRPr="00192EC4" w:rsidRDefault="00BE35F9" w:rsidP="006F1659">
            <w:pPr>
              <w:pStyle w:val="NoSpacing"/>
              <w:spacing w:line="360" w:lineRule="auto"/>
              <w:jc w:val="right"/>
              <w:rPr>
                <w:rFonts w:ascii="Arial" w:eastAsiaTheme="minorHAnsi" w:hAnsi="Arial" w:cs="Arial"/>
                <w:sz w:val="20"/>
                <w:szCs w:val="20"/>
              </w:rPr>
            </w:pPr>
            <w:r w:rsidRPr="00192EC4">
              <w:rPr>
                <w:rFonts w:ascii="Arial" w:eastAsiaTheme="minorHAnsi" w:hAnsi="Arial" w:cs="Arial"/>
                <w:sz w:val="20"/>
                <w:szCs w:val="20"/>
              </w:rPr>
              <w:t xml:space="preserve">0 </w:t>
            </w:r>
          </w:p>
        </w:tc>
        <w:tc>
          <w:tcPr>
            <w:tcW w:w="1517" w:type="dxa"/>
            <w:noWrap/>
            <w:hideMark/>
          </w:tcPr>
          <w:p w14:paraId="662686E7" w14:textId="77777777" w:rsidR="00BE35F9" w:rsidRPr="00192EC4" w:rsidRDefault="00BE35F9" w:rsidP="006F1659">
            <w:pPr>
              <w:pStyle w:val="NoSpacing"/>
              <w:spacing w:line="360" w:lineRule="auto"/>
              <w:jc w:val="right"/>
              <w:rPr>
                <w:rFonts w:ascii="Arial" w:eastAsiaTheme="minorHAnsi" w:hAnsi="Arial" w:cs="Arial"/>
                <w:b/>
                <w:bCs/>
                <w:sz w:val="20"/>
                <w:szCs w:val="20"/>
              </w:rPr>
            </w:pPr>
            <w:r w:rsidRPr="00192EC4">
              <w:rPr>
                <w:rFonts w:ascii="Arial" w:eastAsiaTheme="minorHAnsi" w:hAnsi="Arial" w:cs="Arial"/>
                <w:b/>
                <w:bCs/>
                <w:sz w:val="20"/>
                <w:szCs w:val="20"/>
              </w:rPr>
              <w:t>(340)</w:t>
            </w:r>
          </w:p>
        </w:tc>
      </w:tr>
      <w:tr w:rsidR="00BE35F9" w:rsidRPr="00192EC4" w14:paraId="630EC413" w14:textId="77777777" w:rsidTr="00161E00">
        <w:trPr>
          <w:trHeight w:val="187"/>
        </w:trPr>
        <w:tc>
          <w:tcPr>
            <w:tcW w:w="4246" w:type="dxa"/>
            <w:noWrap/>
            <w:hideMark/>
          </w:tcPr>
          <w:p w14:paraId="281C7FAF" w14:textId="77777777" w:rsidR="00BE35F9" w:rsidRPr="00192EC4" w:rsidRDefault="00BE35F9" w:rsidP="006F1659">
            <w:pPr>
              <w:pStyle w:val="NoSpacing"/>
              <w:spacing w:line="360" w:lineRule="auto"/>
              <w:rPr>
                <w:rFonts w:ascii="Arial" w:eastAsiaTheme="minorHAnsi" w:hAnsi="Arial" w:cs="Arial"/>
                <w:b/>
                <w:bCs/>
                <w:sz w:val="20"/>
                <w:szCs w:val="20"/>
              </w:rPr>
            </w:pPr>
            <w:r w:rsidRPr="00192EC4">
              <w:rPr>
                <w:rFonts w:ascii="Arial" w:eastAsiaTheme="minorHAnsi" w:hAnsi="Arial" w:cs="Arial"/>
                <w:b/>
                <w:bCs/>
                <w:sz w:val="20"/>
                <w:szCs w:val="20"/>
              </w:rPr>
              <w:t>Total Reserves</w:t>
            </w:r>
          </w:p>
        </w:tc>
        <w:tc>
          <w:tcPr>
            <w:tcW w:w="1366" w:type="dxa"/>
            <w:noWrap/>
            <w:hideMark/>
          </w:tcPr>
          <w:p w14:paraId="685B160B" w14:textId="77777777" w:rsidR="00BE35F9" w:rsidRPr="00192EC4" w:rsidRDefault="00BE35F9" w:rsidP="006F1659">
            <w:pPr>
              <w:pStyle w:val="NoSpacing"/>
              <w:spacing w:line="360" w:lineRule="auto"/>
              <w:jc w:val="right"/>
              <w:rPr>
                <w:rFonts w:ascii="Arial" w:eastAsiaTheme="minorHAnsi" w:hAnsi="Arial" w:cs="Arial"/>
                <w:b/>
                <w:bCs/>
                <w:sz w:val="20"/>
                <w:szCs w:val="20"/>
              </w:rPr>
            </w:pPr>
            <w:r w:rsidRPr="00192EC4">
              <w:rPr>
                <w:rFonts w:ascii="Arial" w:eastAsiaTheme="minorHAnsi" w:hAnsi="Arial" w:cs="Arial"/>
                <w:b/>
                <w:bCs/>
                <w:sz w:val="20"/>
                <w:szCs w:val="20"/>
              </w:rPr>
              <w:t>(792)</w:t>
            </w:r>
          </w:p>
        </w:tc>
        <w:tc>
          <w:tcPr>
            <w:tcW w:w="1669" w:type="dxa"/>
            <w:noWrap/>
            <w:hideMark/>
          </w:tcPr>
          <w:p w14:paraId="09698A0D" w14:textId="77777777" w:rsidR="00BE35F9" w:rsidRPr="00192EC4" w:rsidRDefault="00BE35F9" w:rsidP="006F1659">
            <w:pPr>
              <w:pStyle w:val="NoSpacing"/>
              <w:spacing w:line="360" w:lineRule="auto"/>
              <w:jc w:val="right"/>
              <w:rPr>
                <w:rFonts w:ascii="Arial" w:eastAsiaTheme="minorHAnsi" w:hAnsi="Arial" w:cs="Arial"/>
                <w:b/>
                <w:bCs/>
                <w:sz w:val="20"/>
                <w:szCs w:val="20"/>
              </w:rPr>
            </w:pPr>
            <w:r w:rsidRPr="00192EC4">
              <w:rPr>
                <w:rFonts w:ascii="Arial" w:eastAsiaTheme="minorHAnsi" w:hAnsi="Arial" w:cs="Arial"/>
                <w:b/>
                <w:bCs/>
                <w:sz w:val="20"/>
                <w:szCs w:val="20"/>
              </w:rPr>
              <w:t>(5)</w:t>
            </w:r>
          </w:p>
        </w:tc>
        <w:tc>
          <w:tcPr>
            <w:tcW w:w="1517" w:type="dxa"/>
            <w:noWrap/>
            <w:hideMark/>
          </w:tcPr>
          <w:p w14:paraId="30E1D756" w14:textId="77777777" w:rsidR="00BE35F9" w:rsidRPr="00192EC4" w:rsidRDefault="00BE35F9" w:rsidP="006F1659">
            <w:pPr>
              <w:pStyle w:val="NoSpacing"/>
              <w:spacing w:line="360" w:lineRule="auto"/>
              <w:jc w:val="right"/>
              <w:rPr>
                <w:rFonts w:ascii="Arial" w:eastAsiaTheme="minorHAnsi" w:hAnsi="Arial" w:cs="Arial"/>
                <w:b/>
                <w:bCs/>
                <w:sz w:val="20"/>
                <w:szCs w:val="20"/>
              </w:rPr>
            </w:pPr>
            <w:r w:rsidRPr="00192EC4">
              <w:rPr>
                <w:rFonts w:ascii="Arial" w:eastAsiaTheme="minorHAnsi" w:hAnsi="Arial" w:cs="Arial"/>
                <w:b/>
                <w:bCs/>
                <w:sz w:val="20"/>
                <w:szCs w:val="20"/>
              </w:rPr>
              <w:t>(797)</w:t>
            </w:r>
          </w:p>
        </w:tc>
      </w:tr>
    </w:tbl>
    <w:p w14:paraId="4884F1D5" w14:textId="77777777" w:rsidR="00BE35F9" w:rsidRPr="00192EC4" w:rsidRDefault="00BE35F9" w:rsidP="006F1659">
      <w:pPr>
        <w:spacing w:line="360" w:lineRule="auto"/>
        <w:rPr>
          <w:rFonts w:ascii="Arial" w:hAnsi="Arial" w:cs="Arial"/>
          <w:b/>
        </w:rPr>
      </w:pPr>
      <w:bookmarkStart w:id="29" w:name="_Toc109922589"/>
      <w:bookmarkEnd w:id="28"/>
    </w:p>
    <w:p w14:paraId="2F3E458E" w14:textId="77777777" w:rsidR="00BE35F9" w:rsidRPr="00192EC4" w:rsidRDefault="00BE35F9" w:rsidP="006F1659">
      <w:pPr>
        <w:pStyle w:val="Heading3"/>
        <w:spacing w:after="160" w:line="360" w:lineRule="auto"/>
      </w:pPr>
      <w:bookmarkStart w:id="30" w:name="_Toc109922591"/>
      <w:bookmarkEnd w:id="29"/>
      <w:r w:rsidRPr="00192EC4">
        <w:lastRenderedPageBreak/>
        <w:t xml:space="preserve">Treasury Management Performance in </w:t>
      </w:r>
      <w:bookmarkEnd w:id="30"/>
      <w:r w:rsidRPr="00192EC4">
        <w:t>2022/23</w:t>
      </w:r>
    </w:p>
    <w:p w14:paraId="02FF35E0" w14:textId="77777777" w:rsidR="00BE35F9" w:rsidRPr="00192EC4" w:rsidRDefault="00BE35F9" w:rsidP="006F1659">
      <w:pPr>
        <w:pStyle w:val="Heading3"/>
        <w:spacing w:after="160" w:line="360" w:lineRule="auto"/>
      </w:pPr>
      <w:bookmarkStart w:id="31" w:name="_Toc109922592"/>
      <w:r w:rsidRPr="00192EC4">
        <w:t>Borrowing and Borrowing Limits</w:t>
      </w:r>
      <w:bookmarkEnd w:id="31"/>
    </w:p>
    <w:p w14:paraId="13C28B53" w14:textId="77777777" w:rsidR="00BE35F9"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In 2022/23, the Authority had an authorised limit for external debt of £2.7 billion, which compares to the actual level of debt outstanding at 31 March 2023 of £1.4 billion. Debt outstanding (including accounting adjustments) is made up of the following figures:</w:t>
      </w:r>
    </w:p>
    <w:p w14:paraId="0C30B33F" w14:textId="241EE6A4" w:rsidR="00507AE3" w:rsidRPr="00192EC4" w:rsidRDefault="00507AE3" w:rsidP="006F1659">
      <w:pPr>
        <w:pStyle w:val="Normal0"/>
        <w:spacing w:after="160" w:line="360" w:lineRule="auto"/>
        <w:rPr>
          <w:rFonts w:ascii="Arial" w:hAnsi="Arial" w:cs="Arial"/>
          <w:sz w:val="24"/>
          <w:szCs w:val="24"/>
          <w:lang w:val="en-GB"/>
        </w:rPr>
      </w:pPr>
      <w:r w:rsidRPr="00507AE3">
        <w:rPr>
          <w:noProof/>
        </w:rPr>
        <w:drawing>
          <wp:inline distT="0" distB="0" distL="0" distR="0" wp14:anchorId="1B3864A3" wp14:editId="0A3A7A40">
            <wp:extent cx="5731510" cy="3086735"/>
            <wp:effectExtent l="0" t="0" r="0" b="0"/>
            <wp:docPr id="950745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086735"/>
                    </a:xfrm>
                    <a:prstGeom prst="rect">
                      <a:avLst/>
                    </a:prstGeom>
                    <a:noFill/>
                    <a:ln>
                      <a:noFill/>
                    </a:ln>
                  </pic:spPr>
                </pic:pic>
              </a:graphicData>
            </a:graphic>
          </wp:inline>
        </w:drawing>
      </w:r>
    </w:p>
    <w:p w14:paraId="1B276BE6" w14:textId="77777777" w:rsidR="00BE35F9" w:rsidRPr="00192EC4" w:rsidRDefault="00BE35F9" w:rsidP="006F1659">
      <w:pPr>
        <w:pStyle w:val="Normal0"/>
        <w:spacing w:after="160" w:line="360" w:lineRule="auto"/>
        <w:rPr>
          <w:rFonts w:ascii="Arial" w:hAnsi="Arial" w:cs="Arial"/>
          <w:bCs/>
          <w:sz w:val="24"/>
          <w:szCs w:val="22"/>
        </w:rPr>
      </w:pPr>
      <w:r w:rsidRPr="00192EC4">
        <w:rPr>
          <w:rFonts w:ascii="Arial" w:hAnsi="Arial" w:cs="Arial"/>
          <w:sz w:val="24"/>
          <w:szCs w:val="22"/>
        </w:rPr>
        <w:t>Total borrowings show a net decrease during the year of £81.4m due to</w:t>
      </w:r>
      <w:r w:rsidRPr="00192EC4">
        <w:rPr>
          <w:rFonts w:ascii="Arial" w:hAnsi="Arial" w:cs="Arial"/>
          <w:bCs/>
          <w:sz w:val="24"/>
          <w:szCs w:val="22"/>
        </w:rPr>
        <w:t xml:space="preserve"> scheduled repayments to Public Works Loans Board (PWLB) and European Investment Bank (EIB) reduced temporary borrowing and other accounting adjustments.</w:t>
      </w:r>
    </w:p>
    <w:p w14:paraId="5263205C" w14:textId="77777777" w:rsidR="00BE35F9" w:rsidRPr="00192EC4" w:rsidRDefault="00BE35F9" w:rsidP="006F1659">
      <w:pPr>
        <w:pStyle w:val="Heading3"/>
        <w:spacing w:after="160" w:line="360" w:lineRule="auto"/>
      </w:pPr>
      <w:bookmarkStart w:id="32" w:name="_Toc109922593"/>
      <w:r w:rsidRPr="00192EC4">
        <w:t>Short Term Investments for Treasury Management Purposes</w:t>
      </w:r>
      <w:bookmarkEnd w:id="32"/>
    </w:p>
    <w:p w14:paraId="3FDD400A" w14:textId="6F6A3373" w:rsidR="00BE35F9" w:rsidRPr="00192EC4"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Whilst the Authority held short</w:t>
      </w:r>
      <w:r w:rsidR="00F3496D" w:rsidRPr="00192EC4">
        <w:rPr>
          <w:rFonts w:ascii="Arial" w:hAnsi="Arial" w:cs="Arial"/>
          <w:sz w:val="24"/>
          <w:szCs w:val="24"/>
          <w:lang w:val="en-GB"/>
        </w:rPr>
        <w:t xml:space="preserve"> </w:t>
      </w:r>
      <w:r w:rsidRPr="00192EC4">
        <w:rPr>
          <w:rFonts w:ascii="Arial" w:hAnsi="Arial" w:cs="Arial"/>
          <w:sz w:val="24"/>
          <w:szCs w:val="24"/>
          <w:lang w:val="en-GB"/>
        </w:rPr>
        <w:t>term borrowing at the end of the financial year, a level of short</w:t>
      </w:r>
      <w:r w:rsidR="00F3496D" w:rsidRPr="00192EC4">
        <w:rPr>
          <w:rFonts w:ascii="Arial" w:hAnsi="Arial" w:cs="Arial"/>
          <w:sz w:val="24"/>
          <w:szCs w:val="24"/>
          <w:lang w:val="en-GB"/>
        </w:rPr>
        <w:t xml:space="preserve"> </w:t>
      </w:r>
      <w:r w:rsidRPr="00192EC4">
        <w:rPr>
          <w:rFonts w:ascii="Arial" w:hAnsi="Arial" w:cs="Arial"/>
          <w:sz w:val="24"/>
          <w:szCs w:val="24"/>
          <w:lang w:val="en-GB"/>
        </w:rPr>
        <w:t>term cash is always held to cover unexpected cash flow requirements. Short term deposits (excluding bank current accounts) as at 31 March 2023 were £252.3m. This is made up of the following figures:</w:t>
      </w:r>
    </w:p>
    <w:tbl>
      <w:tblPr>
        <w:tblStyle w:val="TableGrid"/>
        <w:tblW w:w="6822" w:type="dxa"/>
        <w:tblInd w:w="-5" w:type="dxa"/>
        <w:tblLook w:val="04A0" w:firstRow="1" w:lastRow="0" w:firstColumn="1" w:lastColumn="0" w:noHBand="0" w:noVBand="1"/>
      </w:tblPr>
      <w:tblGrid>
        <w:gridCol w:w="1260"/>
        <w:gridCol w:w="4302"/>
        <w:gridCol w:w="1260"/>
      </w:tblGrid>
      <w:tr w:rsidR="00BE35F9" w:rsidRPr="00192EC4" w14:paraId="5867C338" w14:textId="77777777" w:rsidTr="00201027">
        <w:trPr>
          <w:trHeight w:val="563"/>
        </w:trPr>
        <w:tc>
          <w:tcPr>
            <w:tcW w:w="0" w:type="auto"/>
          </w:tcPr>
          <w:p w14:paraId="25EE9893" w14:textId="77777777" w:rsidR="00BE35F9" w:rsidRPr="00192EC4" w:rsidRDefault="00BE35F9" w:rsidP="00201027">
            <w:pPr>
              <w:spacing w:after="160" w:line="276" w:lineRule="auto"/>
              <w:jc w:val="center"/>
              <w:rPr>
                <w:rFonts w:ascii="Arial" w:hAnsi="Arial" w:cs="Arial"/>
                <w:b/>
                <w:sz w:val="20"/>
                <w:szCs w:val="20"/>
              </w:rPr>
            </w:pPr>
            <w:r w:rsidRPr="00192EC4">
              <w:rPr>
                <w:rFonts w:ascii="Arial" w:hAnsi="Arial" w:cs="Arial"/>
                <w:b/>
                <w:sz w:val="20"/>
                <w:szCs w:val="20"/>
              </w:rPr>
              <w:t>2021/22</w:t>
            </w:r>
          </w:p>
          <w:p w14:paraId="4D600A2E" w14:textId="77777777" w:rsidR="00BE35F9" w:rsidRPr="00192EC4" w:rsidRDefault="00BE35F9" w:rsidP="00201027">
            <w:pPr>
              <w:spacing w:after="160" w:line="276" w:lineRule="auto"/>
              <w:jc w:val="center"/>
              <w:rPr>
                <w:rFonts w:ascii="Arial" w:hAnsi="Arial" w:cs="Arial"/>
                <w:b/>
                <w:sz w:val="20"/>
                <w:szCs w:val="20"/>
              </w:rPr>
            </w:pPr>
            <w:r w:rsidRPr="00192EC4">
              <w:rPr>
                <w:rFonts w:ascii="Arial" w:hAnsi="Arial" w:cs="Arial"/>
                <w:b/>
                <w:sz w:val="20"/>
                <w:szCs w:val="20"/>
              </w:rPr>
              <w:t>£m</w:t>
            </w:r>
          </w:p>
        </w:tc>
        <w:tc>
          <w:tcPr>
            <w:tcW w:w="0" w:type="auto"/>
          </w:tcPr>
          <w:p w14:paraId="78736B30" w14:textId="77777777" w:rsidR="00BE35F9" w:rsidRPr="00192EC4" w:rsidRDefault="00BE35F9" w:rsidP="00201027">
            <w:pPr>
              <w:spacing w:after="160" w:line="276" w:lineRule="auto"/>
              <w:rPr>
                <w:rFonts w:ascii="Arial" w:hAnsi="Arial" w:cs="Arial"/>
                <w:b/>
                <w:sz w:val="20"/>
                <w:szCs w:val="20"/>
              </w:rPr>
            </w:pPr>
            <w:bookmarkStart w:id="33" w:name="_Hlk75956765"/>
          </w:p>
        </w:tc>
        <w:tc>
          <w:tcPr>
            <w:tcW w:w="0" w:type="auto"/>
          </w:tcPr>
          <w:p w14:paraId="7EE40087" w14:textId="77777777" w:rsidR="00BE35F9" w:rsidRPr="00192EC4" w:rsidRDefault="00BE35F9" w:rsidP="00201027">
            <w:pPr>
              <w:spacing w:after="160" w:line="276" w:lineRule="auto"/>
              <w:jc w:val="center"/>
              <w:rPr>
                <w:rFonts w:ascii="Arial" w:hAnsi="Arial" w:cs="Arial"/>
                <w:b/>
                <w:sz w:val="20"/>
                <w:szCs w:val="20"/>
              </w:rPr>
            </w:pPr>
            <w:r w:rsidRPr="00192EC4">
              <w:rPr>
                <w:rFonts w:ascii="Arial" w:hAnsi="Arial" w:cs="Arial"/>
                <w:b/>
                <w:sz w:val="20"/>
                <w:szCs w:val="20"/>
              </w:rPr>
              <w:t>2022/23</w:t>
            </w:r>
          </w:p>
          <w:p w14:paraId="0BF5310F" w14:textId="77777777" w:rsidR="00BE35F9" w:rsidRPr="00192EC4" w:rsidRDefault="00BE35F9" w:rsidP="00201027">
            <w:pPr>
              <w:spacing w:after="160" w:line="276" w:lineRule="auto"/>
              <w:jc w:val="center"/>
              <w:rPr>
                <w:rFonts w:ascii="Arial" w:hAnsi="Arial" w:cs="Arial"/>
                <w:b/>
                <w:sz w:val="20"/>
                <w:szCs w:val="20"/>
              </w:rPr>
            </w:pPr>
            <w:r w:rsidRPr="00192EC4">
              <w:rPr>
                <w:rFonts w:ascii="Arial" w:hAnsi="Arial" w:cs="Arial"/>
                <w:b/>
                <w:sz w:val="20"/>
                <w:szCs w:val="20"/>
              </w:rPr>
              <w:t>£m</w:t>
            </w:r>
          </w:p>
        </w:tc>
      </w:tr>
      <w:tr w:rsidR="00BE35F9" w:rsidRPr="00192EC4" w14:paraId="5B055E6C" w14:textId="77777777" w:rsidTr="00161E00">
        <w:trPr>
          <w:trHeight w:val="360"/>
        </w:trPr>
        <w:tc>
          <w:tcPr>
            <w:tcW w:w="0" w:type="auto"/>
            <w:tcBorders>
              <w:bottom w:val="nil"/>
            </w:tcBorders>
          </w:tcPr>
          <w:p w14:paraId="1FB93315" w14:textId="77777777" w:rsidR="00BE35F9" w:rsidRPr="00192EC4" w:rsidRDefault="00BE35F9" w:rsidP="00201027">
            <w:pPr>
              <w:spacing w:after="160" w:line="276" w:lineRule="auto"/>
              <w:jc w:val="right"/>
              <w:rPr>
                <w:rFonts w:ascii="Arial" w:hAnsi="Arial" w:cs="Arial"/>
                <w:sz w:val="20"/>
                <w:szCs w:val="20"/>
              </w:rPr>
            </w:pPr>
            <w:r w:rsidRPr="00192EC4">
              <w:rPr>
                <w:rFonts w:ascii="Arial" w:hAnsi="Arial" w:cs="Arial"/>
                <w:sz w:val="20"/>
                <w:szCs w:val="20"/>
              </w:rPr>
              <w:t>13.4</w:t>
            </w:r>
          </w:p>
        </w:tc>
        <w:tc>
          <w:tcPr>
            <w:tcW w:w="0" w:type="auto"/>
            <w:tcBorders>
              <w:bottom w:val="nil"/>
            </w:tcBorders>
          </w:tcPr>
          <w:p w14:paraId="1EE96A26" w14:textId="77777777" w:rsidR="00BE35F9" w:rsidRPr="00192EC4" w:rsidRDefault="00BE35F9" w:rsidP="00201027">
            <w:pPr>
              <w:spacing w:after="160" w:line="276" w:lineRule="auto"/>
              <w:rPr>
                <w:rFonts w:ascii="Arial" w:hAnsi="Arial" w:cs="Arial"/>
                <w:sz w:val="20"/>
                <w:szCs w:val="20"/>
              </w:rPr>
            </w:pPr>
            <w:r w:rsidRPr="00192EC4">
              <w:rPr>
                <w:rFonts w:ascii="Arial" w:hAnsi="Arial" w:cs="Arial"/>
                <w:sz w:val="20"/>
                <w:szCs w:val="20"/>
              </w:rPr>
              <w:t>Bank Deposits</w:t>
            </w:r>
          </w:p>
        </w:tc>
        <w:tc>
          <w:tcPr>
            <w:tcW w:w="0" w:type="auto"/>
            <w:tcBorders>
              <w:bottom w:val="nil"/>
            </w:tcBorders>
          </w:tcPr>
          <w:p w14:paraId="7B99EC26" w14:textId="77777777" w:rsidR="00BE35F9" w:rsidRPr="00192EC4" w:rsidRDefault="00BE35F9" w:rsidP="00201027">
            <w:pPr>
              <w:spacing w:after="160" w:line="276" w:lineRule="auto"/>
              <w:jc w:val="right"/>
              <w:rPr>
                <w:rFonts w:ascii="Arial" w:hAnsi="Arial" w:cs="Arial"/>
                <w:sz w:val="20"/>
                <w:szCs w:val="20"/>
              </w:rPr>
            </w:pPr>
            <w:r w:rsidRPr="00192EC4">
              <w:rPr>
                <w:rFonts w:ascii="Arial" w:hAnsi="Arial" w:cs="Arial"/>
                <w:sz w:val="20"/>
                <w:szCs w:val="20"/>
              </w:rPr>
              <w:t>9.6</w:t>
            </w:r>
          </w:p>
        </w:tc>
      </w:tr>
      <w:tr w:rsidR="00BE35F9" w:rsidRPr="00192EC4" w14:paraId="30E8FF86" w14:textId="77777777" w:rsidTr="00161E00">
        <w:trPr>
          <w:trHeight w:val="360"/>
        </w:trPr>
        <w:tc>
          <w:tcPr>
            <w:tcW w:w="0" w:type="auto"/>
            <w:tcBorders>
              <w:top w:val="nil"/>
              <w:bottom w:val="nil"/>
            </w:tcBorders>
          </w:tcPr>
          <w:p w14:paraId="78042F5F" w14:textId="77777777" w:rsidR="00BE35F9" w:rsidRPr="00192EC4" w:rsidRDefault="00BE35F9" w:rsidP="00201027">
            <w:pPr>
              <w:spacing w:after="160" w:line="276" w:lineRule="auto"/>
              <w:jc w:val="right"/>
              <w:rPr>
                <w:rFonts w:ascii="Arial" w:hAnsi="Arial" w:cs="Arial"/>
                <w:sz w:val="20"/>
                <w:szCs w:val="20"/>
              </w:rPr>
            </w:pPr>
            <w:r w:rsidRPr="00192EC4">
              <w:rPr>
                <w:rFonts w:ascii="Arial" w:hAnsi="Arial" w:cs="Arial"/>
                <w:sz w:val="20"/>
                <w:szCs w:val="20"/>
              </w:rPr>
              <w:t>232.3</w:t>
            </w:r>
          </w:p>
        </w:tc>
        <w:tc>
          <w:tcPr>
            <w:tcW w:w="0" w:type="auto"/>
            <w:tcBorders>
              <w:top w:val="nil"/>
              <w:bottom w:val="nil"/>
            </w:tcBorders>
          </w:tcPr>
          <w:p w14:paraId="539A3D0E" w14:textId="77777777" w:rsidR="00BE35F9" w:rsidRPr="00192EC4" w:rsidRDefault="00BE35F9" w:rsidP="00201027">
            <w:pPr>
              <w:spacing w:after="160" w:line="276" w:lineRule="auto"/>
              <w:rPr>
                <w:rFonts w:ascii="Arial" w:hAnsi="Arial" w:cs="Arial"/>
                <w:sz w:val="20"/>
                <w:szCs w:val="20"/>
              </w:rPr>
            </w:pPr>
            <w:r w:rsidRPr="00192EC4">
              <w:rPr>
                <w:rFonts w:ascii="Arial" w:hAnsi="Arial" w:cs="Arial"/>
                <w:sz w:val="20"/>
                <w:szCs w:val="20"/>
              </w:rPr>
              <w:t>UK Government Backed Deposits</w:t>
            </w:r>
          </w:p>
        </w:tc>
        <w:tc>
          <w:tcPr>
            <w:tcW w:w="0" w:type="auto"/>
            <w:tcBorders>
              <w:top w:val="nil"/>
              <w:bottom w:val="nil"/>
            </w:tcBorders>
          </w:tcPr>
          <w:p w14:paraId="5F253181" w14:textId="77777777" w:rsidR="00BE35F9" w:rsidRPr="00192EC4" w:rsidRDefault="00BE35F9" w:rsidP="00201027">
            <w:pPr>
              <w:spacing w:after="160" w:line="276" w:lineRule="auto"/>
              <w:jc w:val="right"/>
              <w:rPr>
                <w:rFonts w:ascii="Arial" w:hAnsi="Arial" w:cs="Arial"/>
                <w:sz w:val="20"/>
                <w:szCs w:val="20"/>
              </w:rPr>
            </w:pPr>
            <w:r w:rsidRPr="00192EC4">
              <w:rPr>
                <w:rFonts w:ascii="Arial" w:hAnsi="Arial" w:cs="Arial"/>
                <w:sz w:val="20"/>
                <w:szCs w:val="20"/>
              </w:rPr>
              <w:t>242.7</w:t>
            </w:r>
          </w:p>
        </w:tc>
      </w:tr>
      <w:tr w:rsidR="00BE35F9" w:rsidRPr="00192EC4" w14:paraId="4E5A2078" w14:textId="77777777" w:rsidTr="00161E00">
        <w:trPr>
          <w:trHeight w:val="360"/>
        </w:trPr>
        <w:tc>
          <w:tcPr>
            <w:tcW w:w="0" w:type="auto"/>
          </w:tcPr>
          <w:p w14:paraId="759F9377" w14:textId="77777777" w:rsidR="00BE35F9" w:rsidRPr="00192EC4" w:rsidRDefault="00BE35F9" w:rsidP="00201027">
            <w:pPr>
              <w:spacing w:after="160" w:line="276" w:lineRule="auto"/>
              <w:jc w:val="right"/>
              <w:rPr>
                <w:rFonts w:ascii="Arial" w:hAnsi="Arial" w:cs="Arial"/>
                <w:b/>
                <w:sz w:val="20"/>
                <w:szCs w:val="20"/>
              </w:rPr>
            </w:pPr>
            <w:r w:rsidRPr="00192EC4">
              <w:rPr>
                <w:rFonts w:ascii="Arial" w:hAnsi="Arial" w:cs="Arial"/>
                <w:b/>
                <w:sz w:val="20"/>
                <w:szCs w:val="20"/>
              </w:rPr>
              <w:t>245.7</w:t>
            </w:r>
          </w:p>
        </w:tc>
        <w:tc>
          <w:tcPr>
            <w:tcW w:w="0" w:type="auto"/>
          </w:tcPr>
          <w:p w14:paraId="05E929A1" w14:textId="77777777" w:rsidR="00BE35F9" w:rsidRPr="00192EC4" w:rsidRDefault="00BE35F9" w:rsidP="00201027">
            <w:pPr>
              <w:spacing w:after="160" w:line="276" w:lineRule="auto"/>
              <w:rPr>
                <w:rFonts w:ascii="Arial" w:hAnsi="Arial" w:cs="Arial"/>
                <w:b/>
                <w:sz w:val="20"/>
                <w:szCs w:val="20"/>
              </w:rPr>
            </w:pPr>
            <w:r w:rsidRPr="00192EC4">
              <w:rPr>
                <w:rFonts w:ascii="Arial" w:hAnsi="Arial" w:cs="Arial"/>
                <w:b/>
                <w:sz w:val="20"/>
                <w:szCs w:val="20"/>
              </w:rPr>
              <w:t>Total</w:t>
            </w:r>
          </w:p>
        </w:tc>
        <w:tc>
          <w:tcPr>
            <w:tcW w:w="0" w:type="auto"/>
          </w:tcPr>
          <w:p w14:paraId="5CEEC075" w14:textId="77777777" w:rsidR="00BE35F9" w:rsidRPr="00192EC4" w:rsidRDefault="00BE35F9" w:rsidP="00201027">
            <w:pPr>
              <w:spacing w:after="160" w:line="276" w:lineRule="auto"/>
              <w:jc w:val="right"/>
              <w:rPr>
                <w:rFonts w:ascii="Arial" w:hAnsi="Arial" w:cs="Arial"/>
                <w:b/>
                <w:sz w:val="20"/>
                <w:szCs w:val="20"/>
              </w:rPr>
            </w:pPr>
            <w:r w:rsidRPr="00192EC4">
              <w:rPr>
                <w:rFonts w:ascii="Arial" w:hAnsi="Arial" w:cs="Arial"/>
                <w:b/>
                <w:sz w:val="20"/>
                <w:szCs w:val="20"/>
              </w:rPr>
              <w:t>252.3</w:t>
            </w:r>
          </w:p>
        </w:tc>
      </w:tr>
      <w:bookmarkEnd w:id="33"/>
    </w:tbl>
    <w:p w14:paraId="729C7EDF" w14:textId="4302D983" w:rsidR="00BE35F9" w:rsidRPr="00192EC4" w:rsidRDefault="00BE35F9" w:rsidP="006F1659">
      <w:pPr>
        <w:spacing w:line="360" w:lineRule="auto"/>
        <w:rPr>
          <w:rFonts w:ascii="Arial" w:hAnsi="Arial" w:cs="Arial"/>
          <w:b/>
          <w:bCs/>
          <w:sz w:val="26"/>
          <w:szCs w:val="26"/>
        </w:rPr>
      </w:pPr>
    </w:p>
    <w:p w14:paraId="78BC24B3" w14:textId="77777777" w:rsidR="00BE35F9" w:rsidRPr="00192EC4" w:rsidRDefault="00BE35F9" w:rsidP="006F1659">
      <w:pPr>
        <w:pStyle w:val="Heading3"/>
        <w:spacing w:after="160" w:line="360" w:lineRule="auto"/>
        <w:rPr>
          <w:sz w:val="24"/>
          <w:szCs w:val="24"/>
        </w:rPr>
      </w:pPr>
      <w:bookmarkStart w:id="34" w:name="_Toc109922594"/>
      <w:bookmarkStart w:id="35" w:name="_Hlk112161669"/>
      <w:r w:rsidRPr="00192EC4">
        <w:rPr>
          <w:sz w:val="24"/>
          <w:szCs w:val="24"/>
        </w:rPr>
        <w:t>Risks</w:t>
      </w:r>
    </w:p>
    <w:p w14:paraId="64D8D23F" w14:textId="48602F3C" w:rsidR="00BE35F9" w:rsidRPr="00192EC4" w:rsidRDefault="00BE35F9" w:rsidP="006F1659">
      <w:pPr>
        <w:pStyle w:val="8TfGMStandardDocumentText"/>
        <w:spacing w:after="100" w:afterAutospacing="1" w:line="360" w:lineRule="auto"/>
        <w:contextualSpacing/>
        <w:jc w:val="left"/>
        <w:rPr>
          <w:rFonts w:ascii="Arial" w:hAnsi="Arial"/>
          <w:sz w:val="24"/>
          <w:lang w:eastAsia="en-US"/>
        </w:rPr>
      </w:pPr>
      <w:bookmarkStart w:id="36" w:name="_Hlk140072751"/>
      <w:r w:rsidRPr="00192EC4">
        <w:rPr>
          <w:rFonts w:ascii="Arial" w:hAnsi="Arial"/>
          <w:sz w:val="24"/>
          <w:lang w:eastAsia="en-US"/>
        </w:rPr>
        <w:t xml:space="preserve">In the last 12 to 18 months, like all organisations, GMCA has been adversely impacted by cost inflation and other cost and supply pressures which are impacting the supply of services and infrastructure. This </w:t>
      </w:r>
      <w:r w:rsidR="000B7231" w:rsidRPr="00192EC4">
        <w:rPr>
          <w:rFonts w:ascii="Arial" w:hAnsi="Arial"/>
          <w:sz w:val="24"/>
          <w:lang w:eastAsia="en-US"/>
        </w:rPr>
        <w:t>includes but</w:t>
      </w:r>
      <w:r w:rsidRPr="00192EC4">
        <w:rPr>
          <w:rFonts w:ascii="Arial" w:hAnsi="Arial"/>
          <w:sz w:val="24"/>
          <w:lang w:eastAsia="en-US"/>
        </w:rPr>
        <w:t xml:space="preserve"> is not limited to service delivery costs which are largely staff and energy related costs and supplies for construction projects.  The organisation continues to monitor and mitigate these costs as far as possible and is adjusting, as appropriate, its expenditure and funding budgets for this year to reflect this position. </w:t>
      </w:r>
    </w:p>
    <w:bookmarkEnd w:id="36"/>
    <w:p w14:paraId="6D06B864" w14:textId="6A1D8422" w:rsidR="00BE35F9" w:rsidRPr="00192EC4" w:rsidRDefault="00BE35F9" w:rsidP="006F1659">
      <w:pPr>
        <w:pStyle w:val="ListParagraph"/>
        <w:spacing w:after="0" w:line="360" w:lineRule="auto"/>
        <w:ind w:left="0"/>
        <w:rPr>
          <w:rFonts w:ascii="Arial" w:hAnsi="Arial" w:cs="Arial"/>
          <w:snapToGrid w:val="0"/>
          <w:sz w:val="24"/>
          <w:szCs w:val="24"/>
        </w:rPr>
      </w:pPr>
      <w:r w:rsidRPr="00192EC4">
        <w:rPr>
          <w:rFonts w:ascii="Arial" w:hAnsi="Arial" w:cs="Arial"/>
          <w:snapToGrid w:val="0"/>
          <w:sz w:val="24"/>
          <w:szCs w:val="24"/>
        </w:rPr>
        <w:t xml:space="preserve">Under current funding arrangements for GMCA the confirmation of government funding varies considerably depending upon the nature of the grant. Some programmes have confirmed or indicative funding over the current Spending Review period and others operate with short term grant funding confirmed on an annual basis. As such medium term financial planning for GMCA programmes is restricted to the information available at the time of setting the budget for the following year and will be updated throughout the financial year as part of the quarterly financial update reports. </w:t>
      </w:r>
    </w:p>
    <w:p w14:paraId="35DCB7AF" w14:textId="77777777" w:rsidR="00BE35F9" w:rsidRPr="00192EC4" w:rsidRDefault="00BE35F9" w:rsidP="006F1659">
      <w:pPr>
        <w:pStyle w:val="ListParagraph"/>
        <w:spacing w:after="0" w:line="360" w:lineRule="auto"/>
        <w:ind w:left="0"/>
        <w:rPr>
          <w:rFonts w:ascii="Arial" w:hAnsi="Arial" w:cs="Arial"/>
          <w:snapToGrid w:val="0"/>
          <w:sz w:val="24"/>
          <w:szCs w:val="24"/>
        </w:rPr>
      </w:pPr>
    </w:p>
    <w:p w14:paraId="6F7F8904" w14:textId="09630823" w:rsidR="00BE35F9" w:rsidRPr="00192EC4" w:rsidRDefault="00BE35F9" w:rsidP="006F1659">
      <w:pPr>
        <w:tabs>
          <w:tab w:val="left" w:pos="0"/>
        </w:tabs>
        <w:spacing w:line="360" w:lineRule="auto"/>
        <w:ind w:right="79"/>
        <w:rPr>
          <w:rFonts w:ascii="Arial" w:hAnsi="Arial" w:cs="Arial"/>
        </w:rPr>
      </w:pPr>
      <w:r w:rsidRPr="00192EC4">
        <w:rPr>
          <w:rFonts w:ascii="Arial" w:hAnsi="Arial" w:cs="Arial"/>
        </w:rPr>
        <w:t xml:space="preserve">In respect of Police and Crime and Fire and Rescue services, the 2021 Spending Review was for the three year period 2022/23 – 2024/25 which provided some clarity for planning purposes at the time. Subsequently, the 2022 Spending Review provided the funding for the PCC and Fire and Rescue Service settlement for 2023/24. The most significant uncertainty with PCC and Fire and Rescue Service expenditure relates to the pay award for which additional grant funding was provided by Home Office towards the Police Officer pay award in 2022/23, however pay award for Police staff and the Fire and Rescue Service has been met from local resources. </w:t>
      </w:r>
    </w:p>
    <w:p w14:paraId="0AB8537F" w14:textId="77777777" w:rsidR="00BE35F9" w:rsidRPr="00192EC4" w:rsidRDefault="00BE35F9" w:rsidP="006F1659">
      <w:pPr>
        <w:tabs>
          <w:tab w:val="left" w:pos="0"/>
        </w:tabs>
        <w:spacing w:line="360" w:lineRule="auto"/>
        <w:ind w:right="79"/>
        <w:rPr>
          <w:rFonts w:cs="Arial"/>
          <w:sz w:val="22"/>
          <w:szCs w:val="22"/>
        </w:rPr>
      </w:pPr>
    </w:p>
    <w:p w14:paraId="5C67D81F" w14:textId="228E5BE2" w:rsidR="00BE35F9" w:rsidRDefault="00BE35F9" w:rsidP="006F1659">
      <w:pPr>
        <w:tabs>
          <w:tab w:val="left" w:pos="0"/>
        </w:tabs>
        <w:spacing w:line="360" w:lineRule="auto"/>
        <w:ind w:right="79"/>
        <w:rPr>
          <w:rFonts w:ascii="Arial" w:eastAsia="Arial" w:hAnsi="Arial" w:cs="Arial"/>
        </w:rPr>
      </w:pPr>
      <w:r w:rsidRPr="00192EC4">
        <w:rPr>
          <w:rFonts w:ascii="Arial" w:eastAsia="Arial" w:hAnsi="Arial" w:cs="Arial"/>
          <w:spacing w:val="1"/>
        </w:rPr>
        <w:t>Im</w:t>
      </w:r>
      <w:r w:rsidRPr="00192EC4">
        <w:rPr>
          <w:rFonts w:ascii="Arial" w:eastAsia="Arial" w:hAnsi="Arial" w:cs="Arial"/>
        </w:rPr>
        <w:t>p</w:t>
      </w:r>
      <w:r w:rsidRPr="00192EC4">
        <w:rPr>
          <w:rFonts w:ascii="Arial" w:eastAsia="Arial" w:hAnsi="Arial" w:cs="Arial"/>
          <w:spacing w:val="-1"/>
        </w:rPr>
        <w:t>l</w:t>
      </w:r>
      <w:r w:rsidRPr="00192EC4">
        <w:rPr>
          <w:rFonts w:ascii="Arial" w:eastAsia="Arial" w:hAnsi="Arial" w:cs="Arial"/>
        </w:rPr>
        <w:t>eme</w:t>
      </w:r>
      <w:r w:rsidRPr="00192EC4">
        <w:rPr>
          <w:rFonts w:ascii="Arial" w:eastAsia="Arial" w:hAnsi="Arial" w:cs="Arial"/>
          <w:spacing w:val="-3"/>
        </w:rPr>
        <w:t>n</w:t>
      </w:r>
      <w:r w:rsidRPr="00192EC4">
        <w:rPr>
          <w:rFonts w:ascii="Arial" w:eastAsia="Arial" w:hAnsi="Arial" w:cs="Arial"/>
          <w:spacing w:val="1"/>
        </w:rPr>
        <w:t>t</w:t>
      </w:r>
      <w:r w:rsidRPr="00192EC4">
        <w:rPr>
          <w:rFonts w:ascii="Arial" w:eastAsia="Arial" w:hAnsi="Arial" w:cs="Arial"/>
          <w:spacing w:val="-3"/>
        </w:rPr>
        <w:t>a</w:t>
      </w:r>
      <w:r w:rsidRPr="00192EC4">
        <w:rPr>
          <w:rFonts w:ascii="Arial" w:eastAsia="Arial" w:hAnsi="Arial" w:cs="Arial"/>
          <w:spacing w:val="1"/>
        </w:rPr>
        <w:t>t</w:t>
      </w:r>
      <w:r w:rsidRPr="00192EC4">
        <w:rPr>
          <w:rFonts w:ascii="Arial" w:eastAsia="Arial" w:hAnsi="Arial" w:cs="Arial"/>
          <w:spacing w:val="-1"/>
        </w:rPr>
        <w:t>i</w:t>
      </w:r>
      <w:r w:rsidRPr="00192EC4">
        <w:rPr>
          <w:rFonts w:ascii="Arial" w:eastAsia="Arial" w:hAnsi="Arial" w:cs="Arial"/>
        </w:rPr>
        <w:t>on</w:t>
      </w:r>
      <w:r w:rsidRPr="00192EC4">
        <w:rPr>
          <w:rFonts w:ascii="Arial" w:eastAsia="Arial" w:hAnsi="Arial" w:cs="Arial"/>
          <w:spacing w:val="5"/>
        </w:rPr>
        <w:t xml:space="preserve"> </w:t>
      </w:r>
      <w:r w:rsidRPr="00192EC4">
        <w:rPr>
          <w:rFonts w:ascii="Arial" w:eastAsia="Arial" w:hAnsi="Arial" w:cs="Arial"/>
          <w:spacing w:val="-3"/>
        </w:rPr>
        <w:t>o</w:t>
      </w:r>
      <w:r w:rsidRPr="00192EC4">
        <w:rPr>
          <w:rFonts w:ascii="Arial" w:eastAsia="Arial" w:hAnsi="Arial" w:cs="Arial"/>
        </w:rPr>
        <w:t>f</w:t>
      </w:r>
      <w:r w:rsidRPr="00192EC4">
        <w:rPr>
          <w:rFonts w:ascii="Arial" w:eastAsia="Arial" w:hAnsi="Arial" w:cs="Arial"/>
          <w:spacing w:val="6"/>
        </w:rPr>
        <w:t xml:space="preserve"> </w:t>
      </w:r>
      <w:r w:rsidRPr="00192EC4">
        <w:rPr>
          <w:rFonts w:ascii="Arial" w:eastAsia="Arial" w:hAnsi="Arial" w:cs="Arial"/>
          <w:spacing w:val="1"/>
        </w:rPr>
        <w:t>G</w:t>
      </w:r>
      <w:r w:rsidRPr="00192EC4">
        <w:rPr>
          <w:rFonts w:ascii="Arial" w:eastAsia="Arial" w:hAnsi="Arial" w:cs="Arial"/>
          <w:spacing w:val="-4"/>
        </w:rPr>
        <w:t>M</w:t>
      </w:r>
      <w:r w:rsidRPr="00192EC4">
        <w:rPr>
          <w:rFonts w:ascii="Arial" w:eastAsia="Arial" w:hAnsi="Arial" w:cs="Arial"/>
          <w:spacing w:val="-1"/>
        </w:rPr>
        <w:t>P</w:t>
      </w:r>
      <w:r w:rsidRPr="00192EC4">
        <w:rPr>
          <w:rFonts w:ascii="Arial" w:eastAsia="Arial" w:hAnsi="Arial" w:cs="Arial"/>
          <w:spacing w:val="1"/>
        </w:rPr>
        <w:t>’</w:t>
      </w:r>
      <w:r w:rsidRPr="00192EC4">
        <w:rPr>
          <w:rFonts w:ascii="Arial" w:eastAsia="Arial" w:hAnsi="Arial" w:cs="Arial"/>
        </w:rPr>
        <w:t>s</w:t>
      </w:r>
      <w:r w:rsidRPr="00192EC4">
        <w:rPr>
          <w:rFonts w:ascii="Arial" w:eastAsia="Arial" w:hAnsi="Arial" w:cs="Arial"/>
          <w:spacing w:val="6"/>
        </w:rPr>
        <w:t xml:space="preserve"> </w:t>
      </w:r>
      <w:r w:rsidRPr="00192EC4">
        <w:rPr>
          <w:rFonts w:ascii="Arial" w:eastAsia="Arial" w:hAnsi="Arial" w:cs="Arial"/>
          <w:spacing w:val="-1"/>
        </w:rPr>
        <w:t>i</w:t>
      </w:r>
      <w:r w:rsidRPr="00192EC4">
        <w:rPr>
          <w:rFonts w:ascii="Arial" w:eastAsia="Arial" w:hAnsi="Arial" w:cs="Arial"/>
          <w:spacing w:val="1"/>
        </w:rPr>
        <w:t>m</w:t>
      </w:r>
      <w:r w:rsidRPr="00192EC4">
        <w:rPr>
          <w:rFonts w:ascii="Arial" w:eastAsia="Arial" w:hAnsi="Arial" w:cs="Arial"/>
        </w:rPr>
        <w:t>pro</w:t>
      </w:r>
      <w:r w:rsidRPr="00192EC4">
        <w:rPr>
          <w:rFonts w:ascii="Arial" w:eastAsia="Arial" w:hAnsi="Arial" w:cs="Arial"/>
          <w:spacing w:val="-2"/>
        </w:rPr>
        <w:t>v</w:t>
      </w:r>
      <w:r w:rsidRPr="00192EC4">
        <w:rPr>
          <w:rFonts w:ascii="Arial" w:eastAsia="Arial" w:hAnsi="Arial" w:cs="Arial"/>
        </w:rPr>
        <w:t>eme</w:t>
      </w:r>
      <w:r w:rsidRPr="00192EC4">
        <w:rPr>
          <w:rFonts w:ascii="Arial" w:eastAsia="Arial" w:hAnsi="Arial" w:cs="Arial"/>
          <w:spacing w:val="-3"/>
        </w:rPr>
        <w:t>n</w:t>
      </w:r>
      <w:r w:rsidRPr="00192EC4">
        <w:rPr>
          <w:rFonts w:ascii="Arial" w:eastAsia="Arial" w:hAnsi="Arial" w:cs="Arial"/>
        </w:rPr>
        <w:t>t</w:t>
      </w:r>
      <w:r w:rsidRPr="00192EC4">
        <w:rPr>
          <w:rFonts w:ascii="Arial" w:eastAsia="Arial" w:hAnsi="Arial" w:cs="Arial"/>
          <w:spacing w:val="6"/>
        </w:rPr>
        <w:t xml:space="preserve"> </w:t>
      </w:r>
      <w:r w:rsidRPr="00192EC4">
        <w:rPr>
          <w:rFonts w:ascii="Arial" w:eastAsia="Arial" w:hAnsi="Arial" w:cs="Arial"/>
        </w:rPr>
        <w:t>p</w:t>
      </w:r>
      <w:r w:rsidRPr="00192EC4">
        <w:rPr>
          <w:rFonts w:ascii="Arial" w:eastAsia="Arial" w:hAnsi="Arial" w:cs="Arial"/>
          <w:spacing w:val="-1"/>
        </w:rPr>
        <w:t>l</w:t>
      </w:r>
      <w:r w:rsidRPr="00192EC4">
        <w:rPr>
          <w:rFonts w:ascii="Arial" w:eastAsia="Arial" w:hAnsi="Arial" w:cs="Arial"/>
        </w:rPr>
        <w:t>an</w:t>
      </w:r>
      <w:r w:rsidRPr="00192EC4">
        <w:rPr>
          <w:rFonts w:ascii="Arial" w:eastAsia="Arial" w:hAnsi="Arial" w:cs="Arial"/>
          <w:spacing w:val="5"/>
        </w:rPr>
        <w:t xml:space="preserve"> </w:t>
      </w:r>
      <w:r w:rsidRPr="00192EC4">
        <w:rPr>
          <w:rFonts w:ascii="Arial" w:eastAsia="Arial" w:hAnsi="Arial" w:cs="Arial"/>
          <w:spacing w:val="-1"/>
        </w:rPr>
        <w:t>i</w:t>
      </w:r>
      <w:r w:rsidRPr="00192EC4">
        <w:rPr>
          <w:rFonts w:ascii="Arial" w:eastAsia="Arial" w:hAnsi="Arial" w:cs="Arial"/>
        </w:rPr>
        <w:t>nc</w:t>
      </w:r>
      <w:r w:rsidRPr="00192EC4">
        <w:rPr>
          <w:rFonts w:ascii="Arial" w:eastAsia="Arial" w:hAnsi="Arial" w:cs="Arial"/>
          <w:spacing w:val="-1"/>
        </w:rPr>
        <w:t>l</w:t>
      </w:r>
      <w:r w:rsidRPr="00192EC4">
        <w:rPr>
          <w:rFonts w:ascii="Arial" w:eastAsia="Arial" w:hAnsi="Arial" w:cs="Arial"/>
        </w:rPr>
        <w:t>u</w:t>
      </w:r>
      <w:r w:rsidRPr="00192EC4">
        <w:rPr>
          <w:rFonts w:ascii="Arial" w:eastAsia="Arial" w:hAnsi="Arial" w:cs="Arial"/>
          <w:spacing w:val="-1"/>
        </w:rPr>
        <w:t>d</w:t>
      </w:r>
      <w:r w:rsidRPr="00192EC4">
        <w:rPr>
          <w:rFonts w:ascii="Arial" w:eastAsia="Arial" w:hAnsi="Arial" w:cs="Arial"/>
        </w:rPr>
        <w:t>es</w:t>
      </w:r>
      <w:r w:rsidRPr="00192EC4">
        <w:rPr>
          <w:rFonts w:ascii="Arial" w:eastAsia="Arial" w:hAnsi="Arial" w:cs="Arial"/>
          <w:spacing w:val="5"/>
        </w:rPr>
        <w:t xml:space="preserve"> </w:t>
      </w:r>
      <w:r w:rsidRPr="00192EC4">
        <w:rPr>
          <w:rFonts w:ascii="Arial" w:eastAsia="Arial" w:hAnsi="Arial" w:cs="Arial"/>
        </w:rPr>
        <w:t>s</w:t>
      </w:r>
      <w:r w:rsidRPr="00192EC4">
        <w:rPr>
          <w:rFonts w:ascii="Arial" w:eastAsia="Arial" w:hAnsi="Arial" w:cs="Arial"/>
          <w:spacing w:val="-1"/>
        </w:rPr>
        <w:t>i</w:t>
      </w:r>
      <w:r w:rsidRPr="00192EC4">
        <w:rPr>
          <w:rFonts w:ascii="Arial" w:eastAsia="Arial" w:hAnsi="Arial" w:cs="Arial"/>
          <w:spacing w:val="2"/>
        </w:rPr>
        <w:t>g</w:t>
      </w:r>
      <w:r w:rsidRPr="00192EC4">
        <w:rPr>
          <w:rFonts w:ascii="Arial" w:eastAsia="Arial" w:hAnsi="Arial" w:cs="Arial"/>
        </w:rPr>
        <w:t>n</w:t>
      </w:r>
      <w:r w:rsidRPr="00192EC4">
        <w:rPr>
          <w:rFonts w:ascii="Arial" w:eastAsia="Arial" w:hAnsi="Arial" w:cs="Arial"/>
          <w:spacing w:val="-4"/>
        </w:rPr>
        <w:t>i</w:t>
      </w:r>
      <w:r w:rsidRPr="00192EC4">
        <w:rPr>
          <w:rFonts w:ascii="Arial" w:eastAsia="Arial" w:hAnsi="Arial" w:cs="Arial"/>
          <w:spacing w:val="3"/>
        </w:rPr>
        <w:t>f</w:t>
      </w:r>
      <w:r w:rsidRPr="00192EC4">
        <w:rPr>
          <w:rFonts w:ascii="Arial" w:eastAsia="Arial" w:hAnsi="Arial" w:cs="Arial"/>
          <w:spacing w:val="-1"/>
        </w:rPr>
        <w:t>i</w:t>
      </w:r>
      <w:r w:rsidRPr="00192EC4">
        <w:rPr>
          <w:rFonts w:ascii="Arial" w:eastAsia="Arial" w:hAnsi="Arial" w:cs="Arial"/>
        </w:rPr>
        <w:t>ca</w:t>
      </w:r>
      <w:r w:rsidRPr="00192EC4">
        <w:rPr>
          <w:rFonts w:ascii="Arial" w:eastAsia="Arial" w:hAnsi="Arial" w:cs="Arial"/>
          <w:spacing w:val="-3"/>
        </w:rPr>
        <w:t>n</w:t>
      </w:r>
      <w:r w:rsidRPr="00192EC4">
        <w:rPr>
          <w:rFonts w:ascii="Arial" w:eastAsia="Arial" w:hAnsi="Arial" w:cs="Arial"/>
        </w:rPr>
        <w:t>t</w:t>
      </w:r>
      <w:r w:rsidRPr="00192EC4">
        <w:rPr>
          <w:rFonts w:ascii="Arial" w:eastAsia="Arial" w:hAnsi="Arial" w:cs="Arial"/>
          <w:spacing w:val="4"/>
        </w:rPr>
        <w:t xml:space="preserve"> </w:t>
      </w:r>
      <w:r w:rsidRPr="00192EC4">
        <w:rPr>
          <w:rFonts w:ascii="Arial" w:eastAsia="Arial" w:hAnsi="Arial" w:cs="Arial"/>
        </w:rPr>
        <w:t>ch</w:t>
      </w:r>
      <w:r w:rsidRPr="00192EC4">
        <w:rPr>
          <w:rFonts w:ascii="Arial" w:eastAsia="Arial" w:hAnsi="Arial" w:cs="Arial"/>
          <w:spacing w:val="-1"/>
        </w:rPr>
        <w:t>a</w:t>
      </w:r>
      <w:r w:rsidRPr="00192EC4">
        <w:rPr>
          <w:rFonts w:ascii="Arial" w:eastAsia="Arial" w:hAnsi="Arial" w:cs="Arial"/>
          <w:spacing w:val="-3"/>
        </w:rPr>
        <w:t>n</w:t>
      </w:r>
      <w:r w:rsidRPr="00192EC4">
        <w:rPr>
          <w:rFonts w:ascii="Arial" w:eastAsia="Arial" w:hAnsi="Arial" w:cs="Arial"/>
          <w:spacing w:val="2"/>
        </w:rPr>
        <w:t>g</w:t>
      </w:r>
      <w:r w:rsidRPr="00192EC4">
        <w:rPr>
          <w:rFonts w:ascii="Arial" w:eastAsia="Arial" w:hAnsi="Arial" w:cs="Arial"/>
        </w:rPr>
        <w:t>e</w:t>
      </w:r>
      <w:r w:rsidRPr="00192EC4">
        <w:rPr>
          <w:rFonts w:ascii="Arial" w:eastAsia="Arial" w:hAnsi="Arial" w:cs="Arial"/>
          <w:spacing w:val="3"/>
        </w:rPr>
        <w:t xml:space="preserve"> </w:t>
      </w:r>
      <w:r w:rsidRPr="00192EC4">
        <w:rPr>
          <w:rFonts w:ascii="Arial" w:eastAsia="Arial" w:hAnsi="Arial" w:cs="Arial"/>
        </w:rPr>
        <w:t>a</w:t>
      </w:r>
      <w:r w:rsidRPr="00192EC4">
        <w:rPr>
          <w:rFonts w:ascii="Arial" w:eastAsia="Arial" w:hAnsi="Arial" w:cs="Arial"/>
          <w:spacing w:val="-1"/>
        </w:rPr>
        <w:t>n</w:t>
      </w:r>
      <w:r w:rsidRPr="00192EC4">
        <w:rPr>
          <w:rFonts w:ascii="Arial" w:eastAsia="Arial" w:hAnsi="Arial" w:cs="Arial"/>
        </w:rPr>
        <w:t>d</w:t>
      </w:r>
      <w:r w:rsidRPr="00192EC4">
        <w:rPr>
          <w:rFonts w:ascii="Arial" w:eastAsia="Arial" w:hAnsi="Arial" w:cs="Arial"/>
          <w:spacing w:val="3"/>
        </w:rPr>
        <w:t xml:space="preserve"> </w:t>
      </w:r>
      <w:r w:rsidRPr="00192EC4">
        <w:rPr>
          <w:rFonts w:ascii="Arial" w:eastAsia="Arial" w:hAnsi="Arial" w:cs="Arial"/>
        </w:rPr>
        <w:t>a</w:t>
      </w:r>
      <w:r w:rsidRPr="00192EC4">
        <w:rPr>
          <w:rFonts w:ascii="Arial" w:eastAsia="Arial" w:hAnsi="Arial" w:cs="Arial"/>
          <w:spacing w:val="3"/>
        </w:rPr>
        <w:t xml:space="preserve"> </w:t>
      </w:r>
      <w:r w:rsidRPr="00192EC4">
        <w:rPr>
          <w:rFonts w:ascii="Arial" w:eastAsia="Arial" w:hAnsi="Arial" w:cs="Arial"/>
        </w:rPr>
        <w:t>co</w:t>
      </w:r>
      <w:r w:rsidRPr="00192EC4">
        <w:rPr>
          <w:rFonts w:ascii="Arial" w:eastAsia="Arial" w:hAnsi="Arial" w:cs="Arial"/>
          <w:spacing w:val="-2"/>
        </w:rPr>
        <w:t>m</w:t>
      </w:r>
      <w:r w:rsidRPr="00192EC4">
        <w:rPr>
          <w:rFonts w:ascii="Arial" w:eastAsia="Arial" w:hAnsi="Arial" w:cs="Arial"/>
          <w:spacing w:val="1"/>
        </w:rPr>
        <w:t>m</w:t>
      </w:r>
      <w:r w:rsidRPr="00192EC4">
        <w:rPr>
          <w:rFonts w:ascii="Arial" w:eastAsia="Arial" w:hAnsi="Arial" w:cs="Arial"/>
          <w:spacing w:val="-1"/>
        </w:rPr>
        <w:t>it</w:t>
      </w:r>
      <w:r w:rsidRPr="00192EC4">
        <w:rPr>
          <w:rFonts w:ascii="Arial" w:eastAsia="Arial" w:hAnsi="Arial" w:cs="Arial"/>
          <w:spacing w:val="1"/>
        </w:rPr>
        <w:t>m</w:t>
      </w:r>
      <w:r w:rsidRPr="00192EC4">
        <w:rPr>
          <w:rFonts w:ascii="Arial" w:eastAsia="Arial" w:hAnsi="Arial" w:cs="Arial"/>
        </w:rPr>
        <w:t>e</w:t>
      </w:r>
      <w:r w:rsidRPr="00192EC4">
        <w:rPr>
          <w:rFonts w:ascii="Arial" w:eastAsia="Arial" w:hAnsi="Arial" w:cs="Arial"/>
          <w:spacing w:val="-1"/>
        </w:rPr>
        <w:t>n</w:t>
      </w:r>
      <w:r w:rsidRPr="00192EC4">
        <w:rPr>
          <w:rFonts w:ascii="Arial" w:eastAsia="Arial" w:hAnsi="Arial" w:cs="Arial"/>
        </w:rPr>
        <w:t>t</w:t>
      </w:r>
      <w:r w:rsidRPr="00192EC4">
        <w:rPr>
          <w:rFonts w:ascii="Arial" w:eastAsia="Arial" w:hAnsi="Arial" w:cs="Arial"/>
          <w:spacing w:val="2"/>
        </w:rPr>
        <w:t xml:space="preserve"> </w:t>
      </w:r>
      <w:r w:rsidRPr="00192EC4">
        <w:rPr>
          <w:rFonts w:ascii="Arial" w:eastAsia="Arial" w:hAnsi="Arial" w:cs="Arial"/>
          <w:spacing w:val="-1"/>
        </w:rPr>
        <w:t>t</w:t>
      </w:r>
      <w:r w:rsidRPr="00192EC4">
        <w:rPr>
          <w:rFonts w:ascii="Arial" w:eastAsia="Arial" w:hAnsi="Arial" w:cs="Arial"/>
        </w:rPr>
        <w:t>o</w:t>
      </w:r>
      <w:r w:rsidRPr="00192EC4">
        <w:rPr>
          <w:rFonts w:ascii="Arial" w:eastAsia="Arial" w:hAnsi="Arial" w:cs="Arial"/>
          <w:spacing w:val="3"/>
        </w:rPr>
        <w:t xml:space="preserve"> f</w:t>
      </w:r>
      <w:r w:rsidRPr="00192EC4">
        <w:rPr>
          <w:rFonts w:ascii="Arial" w:eastAsia="Arial" w:hAnsi="Arial" w:cs="Arial"/>
        </w:rPr>
        <w:t>u</w:t>
      </w:r>
      <w:r w:rsidRPr="00192EC4">
        <w:rPr>
          <w:rFonts w:ascii="Arial" w:eastAsia="Arial" w:hAnsi="Arial" w:cs="Arial"/>
          <w:spacing w:val="-4"/>
        </w:rPr>
        <w:t>l</w:t>
      </w:r>
      <w:r w:rsidRPr="00192EC4">
        <w:rPr>
          <w:rFonts w:ascii="Arial" w:eastAsia="Arial" w:hAnsi="Arial" w:cs="Arial"/>
          <w:spacing w:val="3"/>
        </w:rPr>
        <w:t>f</w:t>
      </w:r>
      <w:r w:rsidRPr="00192EC4">
        <w:rPr>
          <w:rFonts w:ascii="Arial" w:eastAsia="Arial" w:hAnsi="Arial" w:cs="Arial"/>
          <w:spacing w:val="-1"/>
        </w:rPr>
        <w:t>i</w:t>
      </w:r>
      <w:r w:rsidRPr="00192EC4">
        <w:rPr>
          <w:rFonts w:ascii="Arial" w:eastAsia="Arial" w:hAnsi="Arial" w:cs="Arial"/>
        </w:rPr>
        <w:t>l</w:t>
      </w:r>
      <w:r w:rsidRPr="00192EC4">
        <w:rPr>
          <w:rFonts w:ascii="Arial" w:eastAsia="Arial" w:hAnsi="Arial" w:cs="Arial"/>
          <w:spacing w:val="2"/>
        </w:rPr>
        <w:t xml:space="preserve"> </w:t>
      </w:r>
      <w:r w:rsidRPr="00192EC4">
        <w:rPr>
          <w:rFonts w:ascii="Arial" w:eastAsia="Arial" w:hAnsi="Arial" w:cs="Arial"/>
        </w:rPr>
        <w:t>pr</w:t>
      </w:r>
      <w:r w:rsidRPr="00192EC4">
        <w:rPr>
          <w:rFonts w:ascii="Arial" w:eastAsia="Arial" w:hAnsi="Arial" w:cs="Arial"/>
          <w:spacing w:val="-2"/>
        </w:rPr>
        <w:t>o</w:t>
      </w:r>
      <w:r w:rsidRPr="00192EC4">
        <w:rPr>
          <w:rFonts w:ascii="Arial" w:eastAsia="Arial" w:hAnsi="Arial" w:cs="Arial"/>
          <w:spacing w:val="1"/>
        </w:rPr>
        <w:t>m</w:t>
      </w:r>
      <w:r w:rsidRPr="00192EC4">
        <w:rPr>
          <w:rFonts w:ascii="Arial" w:eastAsia="Arial" w:hAnsi="Arial" w:cs="Arial"/>
          <w:spacing w:val="-1"/>
        </w:rPr>
        <w:t>i</w:t>
      </w:r>
      <w:r w:rsidRPr="00192EC4">
        <w:rPr>
          <w:rFonts w:ascii="Arial" w:eastAsia="Arial" w:hAnsi="Arial" w:cs="Arial"/>
        </w:rPr>
        <w:t>ses</w:t>
      </w:r>
      <w:r w:rsidRPr="00192EC4">
        <w:rPr>
          <w:rFonts w:ascii="Arial" w:eastAsia="Arial" w:hAnsi="Arial" w:cs="Arial"/>
          <w:spacing w:val="3"/>
        </w:rPr>
        <w:t xml:space="preserve"> </w:t>
      </w:r>
      <w:r w:rsidRPr="00192EC4">
        <w:rPr>
          <w:rFonts w:ascii="Arial" w:eastAsia="Arial" w:hAnsi="Arial" w:cs="Arial"/>
          <w:spacing w:val="1"/>
        </w:rPr>
        <w:t>m</w:t>
      </w:r>
      <w:r w:rsidRPr="00192EC4">
        <w:rPr>
          <w:rFonts w:ascii="Arial" w:eastAsia="Arial" w:hAnsi="Arial" w:cs="Arial"/>
        </w:rPr>
        <w:t>a</w:t>
      </w:r>
      <w:r w:rsidRPr="00192EC4">
        <w:rPr>
          <w:rFonts w:ascii="Arial" w:eastAsia="Arial" w:hAnsi="Arial" w:cs="Arial"/>
          <w:spacing w:val="-1"/>
        </w:rPr>
        <w:t>d</w:t>
      </w:r>
      <w:r w:rsidRPr="00192EC4">
        <w:rPr>
          <w:rFonts w:ascii="Arial" w:eastAsia="Arial" w:hAnsi="Arial" w:cs="Arial"/>
        </w:rPr>
        <w:t xml:space="preserve">e </w:t>
      </w:r>
      <w:r w:rsidRPr="00192EC4">
        <w:rPr>
          <w:rFonts w:ascii="Arial" w:eastAsia="Arial" w:hAnsi="Arial" w:cs="Arial"/>
          <w:spacing w:val="-1"/>
        </w:rPr>
        <w:t>t</w:t>
      </w:r>
      <w:r w:rsidRPr="00192EC4">
        <w:rPr>
          <w:rFonts w:ascii="Arial" w:eastAsia="Arial" w:hAnsi="Arial" w:cs="Arial"/>
        </w:rPr>
        <w:t>o</w:t>
      </w:r>
      <w:r w:rsidRPr="00192EC4">
        <w:rPr>
          <w:rFonts w:ascii="Arial" w:eastAsia="Arial" w:hAnsi="Arial" w:cs="Arial"/>
          <w:spacing w:val="5"/>
        </w:rPr>
        <w:t xml:space="preserve"> </w:t>
      </w:r>
      <w:r w:rsidRPr="00192EC4">
        <w:rPr>
          <w:rFonts w:ascii="Arial" w:eastAsia="Arial" w:hAnsi="Arial" w:cs="Arial"/>
          <w:spacing w:val="1"/>
        </w:rPr>
        <w:t>t</w:t>
      </w:r>
      <w:r w:rsidRPr="00192EC4">
        <w:rPr>
          <w:rFonts w:ascii="Arial" w:eastAsia="Arial" w:hAnsi="Arial" w:cs="Arial"/>
        </w:rPr>
        <w:t>he</w:t>
      </w:r>
      <w:r w:rsidRPr="00192EC4">
        <w:rPr>
          <w:rFonts w:ascii="Arial" w:eastAsia="Arial" w:hAnsi="Arial" w:cs="Arial"/>
          <w:spacing w:val="2"/>
        </w:rPr>
        <w:t xml:space="preserve"> </w:t>
      </w:r>
      <w:r w:rsidRPr="00192EC4">
        <w:rPr>
          <w:rFonts w:ascii="Arial" w:eastAsia="Arial" w:hAnsi="Arial" w:cs="Arial"/>
        </w:rPr>
        <w:t>p</w:t>
      </w:r>
      <w:r w:rsidRPr="00192EC4">
        <w:rPr>
          <w:rFonts w:ascii="Arial" w:eastAsia="Arial" w:hAnsi="Arial" w:cs="Arial"/>
          <w:spacing w:val="-1"/>
        </w:rPr>
        <w:t>u</w:t>
      </w:r>
      <w:r w:rsidRPr="00192EC4">
        <w:rPr>
          <w:rFonts w:ascii="Arial" w:eastAsia="Arial" w:hAnsi="Arial" w:cs="Arial"/>
        </w:rPr>
        <w:t>b</w:t>
      </w:r>
      <w:r w:rsidRPr="00192EC4">
        <w:rPr>
          <w:rFonts w:ascii="Arial" w:eastAsia="Arial" w:hAnsi="Arial" w:cs="Arial"/>
          <w:spacing w:val="-1"/>
        </w:rPr>
        <w:t>li</w:t>
      </w:r>
      <w:r w:rsidRPr="00192EC4">
        <w:rPr>
          <w:rFonts w:ascii="Arial" w:eastAsia="Arial" w:hAnsi="Arial" w:cs="Arial"/>
        </w:rPr>
        <w:t>c</w:t>
      </w:r>
      <w:r w:rsidRPr="00192EC4">
        <w:rPr>
          <w:rFonts w:ascii="Arial" w:eastAsia="Arial" w:hAnsi="Arial" w:cs="Arial"/>
          <w:spacing w:val="3"/>
        </w:rPr>
        <w:t xml:space="preserve"> </w:t>
      </w:r>
      <w:r w:rsidRPr="00192EC4">
        <w:rPr>
          <w:rFonts w:ascii="Arial" w:eastAsia="Arial" w:hAnsi="Arial" w:cs="Arial"/>
          <w:spacing w:val="1"/>
        </w:rPr>
        <w:t>t</w:t>
      </w:r>
      <w:r w:rsidRPr="00192EC4">
        <w:rPr>
          <w:rFonts w:ascii="Arial" w:eastAsia="Arial" w:hAnsi="Arial" w:cs="Arial"/>
        </w:rPr>
        <w:t>o d</w:t>
      </w:r>
      <w:r w:rsidRPr="00192EC4">
        <w:rPr>
          <w:rFonts w:ascii="Arial" w:eastAsia="Arial" w:hAnsi="Arial" w:cs="Arial"/>
          <w:spacing w:val="-1"/>
        </w:rPr>
        <w:t>el</w:t>
      </w:r>
      <w:r w:rsidRPr="00192EC4">
        <w:rPr>
          <w:rFonts w:ascii="Arial" w:eastAsia="Arial" w:hAnsi="Arial" w:cs="Arial"/>
          <w:spacing w:val="1"/>
        </w:rPr>
        <w:t>i</w:t>
      </w:r>
      <w:r w:rsidRPr="00192EC4">
        <w:rPr>
          <w:rFonts w:ascii="Arial" w:eastAsia="Arial" w:hAnsi="Arial" w:cs="Arial"/>
          <w:spacing w:val="-2"/>
        </w:rPr>
        <w:t>v</w:t>
      </w:r>
      <w:r w:rsidRPr="00192EC4">
        <w:rPr>
          <w:rFonts w:ascii="Arial" w:eastAsia="Arial" w:hAnsi="Arial" w:cs="Arial"/>
        </w:rPr>
        <w:t>er</w:t>
      </w:r>
      <w:r w:rsidRPr="00192EC4">
        <w:rPr>
          <w:rFonts w:ascii="Arial" w:eastAsia="Arial" w:hAnsi="Arial" w:cs="Arial"/>
          <w:spacing w:val="2"/>
        </w:rPr>
        <w:t xml:space="preserve"> </w:t>
      </w:r>
      <w:r w:rsidRPr="00192EC4">
        <w:rPr>
          <w:rFonts w:ascii="Arial" w:eastAsia="Arial" w:hAnsi="Arial" w:cs="Arial"/>
        </w:rPr>
        <w:t>an</w:t>
      </w:r>
      <w:r w:rsidRPr="00192EC4">
        <w:rPr>
          <w:rFonts w:ascii="Arial" w:eastAsia="Arial" w:hAnsi="Arial" w:cs="Arial"/>
          <w:spacing w:val="-2"/>
        </w:rPr>
        <w:t xml:space="preserve"> </w:t>
      </w:r>
      <w:r w:rsidRPr="00192EC4">
        <w:rPr>
          <w:rFonts w:ascii="Arial" w:eastAsia="Arial" w:hAnsi="Arial" w:cs="Arial"/>
          <w:spacing w:val="-3"/>
        </w:rPr>
        <w:t>e</w:t>
      </w:r>
      <w:r w:rsidRPr="00192EC4">
        <w:rPr>
          <w:rFonts w:ascii="Arial" w:eastAsia="Arial" w:hAnsi="Arial" w:cs="Arial"/>
          <w:spacing w:val="1"/>
        </w:rPr>
        <w:t>ff</w:t>
      </w:r>
      <w:r w:rsidRPr="00192EC4">
        <w:rPr>
          <w:rFonts w:ascii="Arial" w:eastAsia="Arial" w:hAnsi="Arial" w:cs="Arial"/>
        </w:rPr>
        <w:t>ecti</w:t>
      </w:r>
      <w:r w:rsidRPr="00192EC4">
        <w:rPr>
          <w:rFonts w:ascii="Arial" w:eastAsia="Arial" w:hAnsi="Arial" w:cs="Arial"/>
          <w:spacing w:val="-3"/>
        </w:rPr>
        <w:t>v</w:t>
      </w:r>
      <w:r w:rsidRPr="00192EC4">
        <w:rPr>
          <w:rFonts w:ascii="Arial" w:eastAsia="Arial" w:hAnsi="Arial" w:cs="Arial"/>
        </w:rPr>
        <w:t>e po</w:t>
      </w:r>
      <w:r w:rsidRPr="00192EC4">
        <w:rPr>
          <w:rFonts w:ascii="Arial" w:eastAsia="Arial" w:hAnsi="Arial" w:cs="Arial"/>
          <w:spacing w:val="-1"/>
        </w:rPr>
        <w:t>li</w:t>
      </w:r>
      <w:r w:rsidRPr="00192EC4">
        <w:rPr>
          <w:rFonts w:ascii="Arial" w:eastAsia="Arial" w:hAnsi="Arial" w:cs="Arial"/>
        </w:rPr>
        <w:t>ce se</w:t>
      </w:r>
      <w:r w:rsidRPr="00192EC4">
        <w:rPr>
          <w:rFonts w:ascii="Arial" w:eastAsia="Arial" w:hAnsi="Arial" w:cs="Arial"/>
          <w:spacing w:val="1"/>
        </w:rPr>
        <w:t>r</w:t>
      </w:r>
      <w:r w:rsidRPr="00192EC4">
        <w:rPr>
          <w:rFonts w:ascii="Arial" w:eastAsia="Arial" w:hAnsi="Arial" w:cs="Arial"/>
          <w:spacing w:val="-2"/>
        </w:rPr>
        <w:t>v</w:t>
      </w:r>
      <w:r w:rsidRPr="00192EC4">
        <w:rPr>
          <w:rFonts w:ascii="Arial" w:eastAsia="Arial" w:hAnsi="Arial" w:cs="Arial"/>
          <w:spacing w:val="-1"/>
        </w:rPr>
        <w:t>i</w:t>
      </w:r>
      <w:r w:rsidRPr="00192EC4">
        <w:rPr>
          <w:rFonts w:ascii="Arial" w:eastAsia="Arial" w:hAnsi="Arial" w:cs="Arial"/>
        </w:rPr>
        <w:t>ce.</w:t>
      </w:r>
      <w:r w:rsidRPr="00192EC4">
        <w:rPr>
          <w:rFonts w:ascii="Arial" w:eastAsia="Arial" w:hAnsi="Arial" w:cs="Arial"/>
          <w:spacing w:val="57"/>
        </w:rPr>
        <w:t xml:space="preserve"> </w:t>
      </w:r>
      <w:r w:rsidRPr="00192EC4">
        <w:rPr>
          <w:rFonts w:ascii="Arial" w:eastAsia="Arial" w:hAnsi="Arial" w:cs="Arial"/>
          <w:spacing w:val="2"/>
        </w:rPr>
        <w:t>T</w:t>
      </w:r>
      <w:r w:rsidRPr="00192EC4">
        <w:rPr>
          <w:rFonts w:ascii="Arial" w:eastAsia="Arial" w:hAnsi="Arial" w:cs="Arial"/>
        </w:rPr>
        <w:t>he</w:t>
      </w:r>
      <w:r w:rsidRPr="00192EC4">
        <w:rPr>
          <w:rFonts w:ascii="Arial" w:eastAsia="Arial" w:hAnsi="Arial" w:cs="Arial"/>
          <w:spacing w:val="1"/>
        </w:rPr>
        <w:t xml:space="preserve"> </w:t>
      </w:r>
      <w:r w:rsidRPr="00192EC4">
        <w:rPr>
          <w:rFonts w:ascii="Arial" w:eastAsia="Arial" w:hAnsi="Arial" w:cs="Arial"/>
          <w:spacing w:val="-3"/>
        </w:rPr>
        <w:t>p</w:t>
      </w:r>
      <w:r w:rsidRPr="00192EC4">
        <w:rPr>
          <w:rFonts w:ascii="Arial" w:eastAsia="Arial" w:hAnsi="Arial" w:cs="Arial"/>
          <w:spacing w:val="1"/>
        </w:rPr>
        <w:t>r</w:t>
      </w:r>
      <w:r w:rsidRPr="00192EC4">
        <w:rPr>
          <w:rFonts w:ascii="Arial" w:eastAsia="Arial" w:hAnsi="Arial" w:cs="Arial"/>
          <w:spacing w:val="-3"/>
        </w:rPr>
        <w:t>o</w:t>
      </w:r>
      <w:r w:rsidRPr="00192EC4">
        <w:rPr>
          <w:rFonts w:ascii="Arial" w:eastAsia="Arial" w:hAnsi="Arial" w:cs="Arial"/>
          <w:spacing w:val="2"/>
        </w:rPr>
        <w:t>g</w:t>
      </w:r>
      <w:r w:rsidRPr="00192EC4">
        <w:rPr>
          <w:rFonts w:ascii="Arial" w:eastAsia="Arial" w:hAnsi="Arial" w:cs="Arial"/>
          <w:spacing w:val="1"/>
        </w:rPr>
        <w:t>r</w:t>
      </w:r>
      <w:r w:rsidRPr="00192EC4">
        <w:rPr>
          <w:rFonts w:ascii="Arial" w:eastAsia="Arial" w:hAnsi="Arial" w:cs="Arial"/>
          <w:spacing w:val="-3"/>
        </w:rPr>
        <w:t>a</w:t>
      </w:r>
      <w:r w:rsidRPr="00192EC4">
        <w:rPr>
          <w:rFonts w:ascii="Arial" w:eastAsia="Arial" w:hAnsi="Arial" w:cs="Arial"/>
          <w:spacing w:val="-2"/>
        </w:rPr>
        <w:t>m</w:t>
      </w:r>
      <w:r w:rsidRPr="00192EC4">
        <w:rPr>
          <w:rFonts w:ascii="Arial" w:eastAsia="Arial" w:hAnsi="Arial" w:cs="Arial"/>
          <w:spacing w:val="1"/>
        </w:rPr>
        <w:t>m</w:t>
      </w:r>
      <w:r w:rsidRPr="00192EC4">
        <w:rPr>
          <w:rFonts w:ascii="Arial" w:eastAsia="Arial" w:hAnsi="Arial" w:cs="Arial"/>
        </w:rPr>
        <w:t>e bo</w:t>
      </w:r>
      <w:r w:rsidRPr="00192EC4">
        <w:rPr>
          <w:rFonts w:ascii="Arial" w:eastAsia="Arial" w:hAnsi="Arial" w:cs="Arial"/>
          <w:spacing w:val="-3"/>
        </w:rPr>
        <w:t>a</w:t>
      </w:r>
      <w:r w:rsidRPr="00192EC4">
        <w:rPr>
          <w:rFonts w:ascii="Arial" w:eastAsia="Arial" w:hAnsi="Arial" w:cs="Arial"/>
          <w:spacing w:val="1"/>
        </w:rPr>
        <w:t>r</w:t>
      </w:r>
      <w:r w:rsidRPr="00192EC4">
        <w:rPr>
          <w:rFonts w:ascii="Arial" w:eastAsia="Arial" w:hAnsi="Arial" w:cs="Arial"/>
        </w:rPr>
        <w:t>d</w:t>
      </w:r>
      <w:r w:rsidRPr="00192EC4">
        <w:rPr>
          <w:rFonts w:ascii="Arial" w:eastAsia="Arial" w:hAnsi="Arial" w:cs="Arial"/>
          <w:spacing w:val="-2"/>
        </w:rPr>
        <w:t xml:space="preserve"> </w:t>
      </w:r>
      <w:r w:rsidRPr="00192EC4">
        <w:rPr>
          <w:rFonts w:ascii="Arial" w:eastAsia="Arial" w:hAnsi="Arial" w:cs="Arial"/>
        </w:rPr>
        <w:t>o</w:t>
      </w:r>
      <w:r w:rsidRPr="00192EC4">
        <w:rPr>
          <w:rFonts w:ascii="Arial" w:eastAsia="Arial" w:hAnsi="Arial" w:cs="Arial"/>
          <w:spacing w:val="-3"/>
        </w:rPr>
        <w:t>v</w:t>
      </w:r>
      <w:r w:rsidRPr="00192EC4">
        <w:rPr>
          <w:rFonts w:ascii="Arial" w:eastAsia="Arial" w:hAnsi="Arial" w:cs="Arial"/>
        </w:rPr>
        <w:t>ersee</w:t>
      </w:r>
      <w:r w:rsidRPr="00192EC4">
        <w:rPr>
          <w:rFonts w:ascii="Arial" w:eastAsia="Arial" w:hAnsi="Arial" w:cs="Arial"/>
          <w:spacing w:val="-1"/>
        </w:rPr>
        <w:t>i</w:t>
      </w:r>
      <w:r w:rsidRPr="00192EC4">
        <w:rPr>
          <w:rFonts w:ascii="Arial" w:eastAsia="Arial" w:hAnsi="Arial" w:cs="Arial"/>
        </w:rPr>
        <w:t>ng</w:t>
      </w:r>
      <w:r w:rsidRPr="00192EC4">
        <w:rPr>
          <w:rFonts w:ascii="Arial" w:eastAsia="Arial" w:hAnsi="Arial" w:cs="Arial"/>
          <w:spacing w:val="-2"/>
        </w:rPr>
        <w:t xml:space="preserve"> </w:t>
      </w:r>
      <w:r w:rsidRPr="00192EC4">
        <w:rPr>
          <w:rFonts w:ascii="Arial" w:eastAsia="Arial" w:hAnsi="Arial" w:cs="Arial"/>
          <w:spacing w:val="1"/>
        </w:rPr>
        <w:t>t</w:t>
      </w:r>
      <w:r w:rsidRPr="00192EC4">
        <w:rPr>
          <w:rFonts w:ascii="Arial" w:eastAsia="Arial" w:hAnsi="Arial" w:cs="Arial"/>
        </w:rPr>
        <w:t>he</w:t>
      </w:r>
      <w:r w:rsidRPr="00192EC4">
        <w:rPr>
          <w:rFonts w:ascii="Arial" w:eastAsia="Arial" w:hAnsi="Arial" w:cs="Arial"/>
          <w:spacing w:val="-2"/>
        </w:rPr>
        <w:t xml:space="preserve"> </w:t>
      </w:r>
      <w:r w:rsidRPr="00192EC4">
        <w:rPr>
          <w:rFonts w:ascii="Arial" w:eastAsia="Arial" w:hAnsi="Arial" w:cs="Arial"/>
          <w:spacing w:val="-1"/>
        </w:rPr>
        <w:t>i</w:t>
      </w:r>
      <w:r w:rsidRPr="00192EC4">
        <w:rPr>
          <w:rFonts w:ascii="Arial" w:eastAsia="Arial" w:hAnsi="Arial" w:cs="Arial"/>
          <w:spacing w:val="1"/>
        </w:rPr>
        <w:t>m</w:t>
      </w:r>
      <w:r w:rsidRPr="00192EC4">
        <w:rPr>
          <w:rFonts w:ascii="Arial" w:eastAsia="Arial" w:hAnsi="Arial" w:cs="Arial"/>
        </w:rPr>
        <w:t>p</w:t>
      </w:r>
      <w:r w:rsidRPr="00192EC4">
        <w:rPr>
          <w:rFonts w:ascii="Arial" w:eastAsia="Arial" w:hAnsi="Arial" w:cs="Arial"/>
          <w:spacing w:val="-1"/>
        </w:rPr>
        <w:t>l</w:t>
      </w:r>
      <w:r w:rsidRPr="00192EC4">
        <w:rPr>
          <w:rFonts w:ascii="Arial" w:eastAsia="Arial" w:hAnsi="Arial" w:cs="Arial"/>
        </w:rPr>
        <w:t>eme</w:t>
      </w:r>
      <w:r w:rsidRPr="00192EC4">
        <w:rPr>
          <w:rFonts w:ascii="Arial" w:eastAsia="Arial" w:hAnsi="Arial" w:cs="Arial"/>
          <w:spacing w:val="-3"/>
        </w:rPr>
        <w:t>n</w:t>
      </w:r>
      <w:r w:rsidRPr="00192EC4">
        <w:rPr>
          <w:rFonts w:ascii="Arial" w:eastAsia="Arial" w:hAnsi="Arial" w:cs="Arial"/>
          <w:spacing w:val="1"/>
        </w:rPr>
        <w:t>t</w:t>
      </w:r>
      <w:r w:rsidRPr="00192EC4">
        <w:rPr>
          <w:rFonts w:ascii="Arial" w:eastAsia="Arial" w:hAnsi="Arial" w:cs="Arial"/>
        </w:rPr>
        <w:t>ati</w:t>
      </w:r>
      <w:r w:rsidRPr="00192EC4">
        <w:rPr>
          <w:rFonts w:ascii="Arial" w:eastAsia="Arial" w:hAnsi="Arial" w:cs="Arial"/>
          <w:spacing w:val="-1"/>
        </w:rPr>
        <w:t>o</w:t>
      </w:r>
      <w:r w:rsidRPr="00192EC4">
        <w:rPr>
          <w:rFonts w:ascii="Arial" w:eastAsia="Arial" w:hAnsi="Arial" w:cs="Arial"/>
        </w:rPr>
        <w:t>n bri</w:t>
      </w:r>
      <w:r w:rsidRPr="00192EC4">
        <w:rPr>
          <w:rFonts w:ascii="Arial" w:eastAsia="Arial" w:hAnsi="Arial" w:cs="Arial"/>
          <w:spacing w:val="-3"/>
        </w:rPr>
        <w:t>n</w:t>
      </w:r>
      <w:r w:rsidRPr="00192EC4">
        <w:rPr>
          <w:rFonts w:ascii="Arial" w:eastAsia="Arial" w:hAnsi="Arial" w:cs="Arial"/>
          <w:spacing w:val="2"/>
        </w:rPr>
        <w:t>g</w:t>
      </w:r>
      <w:r w:rsidRPr="00192EC4">
        <w:rPr>
          <w:rFonts w:ascii="Arial" w:eastAsia="Arial" w:hAnsi="Arial" w:cs="Arial"/>
        </w:rPr>
        <w:t>s</w:t>
      </w:r>
      <w:r w:rsidRPr="00192EC4">
        <w:rPr>
          <w:rFonts w:ascii="Arial" w:eastAsia="Arial" w:hAnsi="Arial" w:cs="Arial"/>
          <w:spacing w:val="-11"/>
        </w:rPr>
        <w:t xml:space="preserve"> </w:t>
      </w:r>
      <w:r w:rsidRPr="00192EC4">
        <w:rPr>
          <w:rFonts w:ascii="Arial" w:eastAsia="Arial" w:hAnsi="Arial" w:cs="Arial"/>
          <w:spacing w:val="3"/>
        </w:rPr>
        <w:t>f</w:t>
      </w:r>
      <w:r w:rsidRPr="00192EC4">
        <w:rPr>
          <w:rFonts w:ascii="Arial" w:eastAsia="Arial" w:hAnsi="Arial" w:cs="Arial"/>
          <w:spacing w:val="-3"/>
        </w:rPr>
        <w:t>o</w:t>
      </w:r>
      <w:r w:rsidRPr="00192EC4">
        <w:rPr>
          <w:rFonts w:ascii="Arial" w:eastAsia="Arial" w:hAnsi="Arial" w:cs="Arial"/>
          <w:spacing w:val="1"/>
        </w:rPr>
        <w:t>r</w:t>
      </w:r>
      <w:r w:rsidRPr="00192EC4">
        <w:rPr>
          <w:rFonts w:ascii="Arial" w:eastAsia="Arial" w:hAnsi="Arial" w:cs="Arial"/>
          <w:spacing w:val="-3"/>
        </w:rPr>
        <w:t>w</w:t>
      </w:r>
      <w:r w:rsidRPr="00192EC4">
        <w:rPr>
          <w:rFonts w:ascii="Arial" w:eastAsia="Arial" w:hAnsi="Arial" w:cs="Arial"/>
          <w:spacing w:val="2"/>
        </w:rPr>
        <w:t>a</w:t>
      </w:r>
      <w:r w:rsidRPr="00192EC4">
        <w:rPr>
          <w:rFonts w:ascii="Arial" w:eastAsia="Arial" w:hAnsi="Arial" w:cs="Arial"/>
          <w:spacing w:val="1"/>
        </w:rPr>
        <w:t>r</w:t>
      </w:r>
      <w:r w:rsidRPr="00192EC4">
        <w:rPr>
          <w:rFonts w:ascii="Arial" w:eastAsia="Arial" w:hAnsi="Arial" w:cs="Arial"/>
        </w:rPr>
        <w:t>d</w:t>
      </w:r>
      <w:r w:rsidRPr="00192EC4">
        <w:rPr>
          <w:rFonts w:ascii="Arial" w:eastAsia="Arial" w:hAnsi="Arial" w:cs="Arial"/>
          <w:spacing w:val="-6"/>
        </w:rPr>
        <w:t xml:space="preserve"> </w:t>
      </w:r>
      <w:r w:rsidRPr="00192EC4">
        <w:rPr>
          <w:rFonts w:ascii="Arial" w:eastAsia="Arial" w:hAnsi="Arial" w:cs="Arial"/>
        </w:rPr>
        <w:t>ch</w:t>
      </w:r>
      <w:r w:rsidRPr="00192EC4">
        <w:rPr>
          <w:rFonts w:ascii="Arial" w:eastAsia="Arial" w:hAnsi="Arial" w:cs="Arial"/>
          <w:spacing w:val="-1"/>
        </w:rPr>
        <w:t>a</w:t>
      </w:r>
      <w:r w:rsidRPr="00192EC4">
        <w:rPr>
          <w:rFonts w:ascii="Arial" w:eastAsia="Arial" w:hAnsi="Arial" w:cs="Arial"/>
          <w:spacing w:val="-3"/>
        </w:rPr>
        <w:t>n</w:t>
      </w:r>
      <w:r w:rsidRPr="00192EC4">
        <w:rPr>
          <w:rFonts w:ascii="Arial" w:eastAsia="Arial" w:hAnsi="Arial" w:cs="Arial"/>
          <w:spacing w:val="2"/>
        </w:rPr>
        <w:t>g</w:t>
      </w:r>
      <w:r w:rsidRPr="00192EC4">
        <w:rPr>
          <w:rFonts w:ascii="Arial" w:eastAsia="Arial" w:hAnsi="Arial" w:cs="Arial"/>
        </w:rPr>
        <w:t>e</w:t>
      </w:r>
      <w:r w:rsidRPr="00192EC4">
        <w:rPr>
          <w:rFonts w:ascii="Arial" w:eastAsia="Arial" w:hAnsi="Arial" w:cs="Arial"/>
          <w:spacing w:val="-9"/>
        </w:rPr>
        <w:t xml:space="preserve"> </w:t>
      </w:r>
      <w:r w:rsidRPr="00192EC4">
        <w:rPr>
          <w:rFonts w:ascii="Arial" w:eastAsia="Arial" w:hAnsi="Arial" w:cs="Arial"/>
          <w:spacing w:val="-3"/>
        </w:rPr>
        <w:t>p</w:t>
      </w:r>
      <w:r w:rsidRPr="00192EC4">
        <w:rPr>
          <w:rFonts w:ascii="Arial" w:eastAsia="Arial" w:hAnsi="Arial" w:cs="Arial"/>
          <w:spacing w:val="1"/>
        </w:rPr>
        <w:t>r</w:t>
      </w:r>
      <w:r w:rsidRPr="00192EC4">
        <w:rPr>
          <w:rFonts w:ascii="Arial" w:eastAsia="Arial" w:hAnsi="Arial" w:cs="Arial"/>
        </w:rPr>
        <w:t>o</w:t>
      </w:r>
      <w:r w:rsidRPr="00192EC4">
        <w:rPr>
          <w:rFonts w:ascii="Arial" w:eastAsia="Arial" w:hAnsi="Arial" w:cs="Arial"/>
          <w:spacing w:val="-1"/>
        </w:rPr>
        <w:t>p</w:t>
      </w:r>
      <w:r w:rsidRPr="00192EC4">
        <w:rPr>
          <w:rFonts w:ascii="Arial" w:eastAsia="Arial" w:hAnsi="Arial" w:cs="Arial"/>
        </w:rPr>
        <w:t>os</w:t>
      </w:r>
      <w:r w:rsidRPr="00192EC4">
        <w:rPr>
          <w:rFonts w:ascii="Arial" w:eastAsia="Arial" w:hAnsi="Arial" w:cs="Arial"/>
          <w:spacing w:val="-1"/>
        </w:rPr>
        <w:t>al</w:t>
      </w:r>
      <w:r w:rsidRPr="00192EC4">
        <w:rPr>
          <w:rFonts w:ascii="Arial" w:eastAsia="Arial" w:hAnsi="Arial" w:cs="Arial"/>
        </w:rPr>
        <w:t>s</w:t>
      </w:r>
      <w:r w:rsidRPr="00192EC4">
        <w:rPr>
          <w:rFonts w:ascii="Arial" w:eastAsia="Arial" w:hAnsi="Arial" w:cs="Arial"/>
          <w:spacing w:val="-6"/>
        </w:rPr>
        <w:t xml:space="preserve"> </w:t>
      </w:r>
      <w:r w:rsidRPr="00192EC4">
        <w:rPr>
          <w:rFonts w:ascii="Arial" w:eastAsia="Arial" w:hAnsi="Arial" w:cs="Arial"/>
          <w:spacing w:val="-3"/>
        </w:rPr>
        <w:t>w</w:t>
      </w:r>
      <w:r w:rsidRPr="00192EC4">
        <w:rPr>
          <w:rFonts w:ascii="Arial" w:eastAsia="Arial" w:hAnsi="Arial" w:cs="Arial"/>
          <w:spacing w:val="-1"/>
        </w:rPr>
        <w:t>i</w:t>
      </w:r>
      <w:r w:rsidRPr="00192EC4">
        <w:rPr>
          <w:rFonts w:ascii="Arial" w:eastAsia="Arial" w:hAnsi="Arial" w:cs="Arial"/>
          <w:spacing w:val="1"/>
        </w:rPr>
        <w:t>t</w:t>
      </w:r>
      <w:r w:rsidRPr="00192EC4">
        <w:rPr>
          <w:rFonts w:ascii="Arial" w:eastAsia="Arial" w:hAnsi="Arial" w:cs="Arial"/>
        </w:rPr>
        <w:t>h</w:t>
      </w:r>
      <w:r w:rsidRPr="00192EC4">
        <w:rPr>
          <w:rFonts w:ascii="Arial" w:eastAsia="Arial" w:hAnsi="Arial" w:cs="Arial"/>
          <w:spacing w:val="-6"/>
        </w:rPr>
        <w:t xml:space="preserve"> </w:t>
      </w:r>
      <w:r w:rsidRPr="00192EC4">
        <w:rPr>
          <w:rFonts w:ascii="Arial" w:eastAsia="Arial" w:hAnsi="Arial" w:cs="Arial"/>
        </w:rPr>
        <w:t>co</w:t>
      </w:r>
      <w:r w:rsidRPr="00192EC4">
        <w:rPr>
          <w:rFonts w:ascii="Arial" w:eastAsia="Arial" w:hAnsi="Arial" w:cs="Arial"/>
          <w:spacing w:val="-3"/>
        </w:rPr>
        <w:t>s</w:t>
      </w:r>
      <w:r w:rsidRPr="00192EC4">
        <w:rPr>
          <w:rFonts w:ascii="Arial" w:eastAsia="Arial" w:hAnsi="Arial" w:cs="Arial"/>
        </w:rPr>
        <w:t>t</w:t>
      </w:r>
      <w:r w:rsidRPr="00192EC4">
        <w:rPr>
          <w:rFonts w:ascii="Arial" w:eastAsia="Arial" w:hAnsi="Arial" w:cs="Arial"/>
          <w:spacing w:val="-5"/>
        </w:rPr>
        <w:t xml:space="preserve"> </w:t>
      </w:r>
      <w:r w:rsidRPr="00192EC4">
        <w:rPr>
          <w:rFonts w:ascii="Arial" w:eastAsia="Arial" w:hAnsi="Arial" w:cs="Arial"/>
          <w:spacing w:val="-3"/>
        </w:rPr>
        <w:t>i</w:t>
      </w:r>
      <w:r w:rsidRPr="00192EC4">
        <w:rPr>
          <w:rFonts w:ascii="Arial" w:eastAsia="Arial" w:hAnsi="Arial" w:cs="Arial"/>
          <w:spacing w:val="1"/>
        </w:rPr>
        <w:t>m</w:t>
      </w:r>
      <w:r w:rsidRPr="00192EC4">
        <w:rPr>
          <w:rFonts w:ascii="Arial" w:eastAsia="Arial" w:hAnsi="Arial" w:cs="Arial"/>
        </w:rPr>
        <w:t>p</w:t>
      </w:r>
      <w:r w:rsidRPr="00192EC4">
        <w:rPr>
          <w:rFonts w:ascii="Arial" w:eastAsia="Arial" w:hAnsi="Arial" w:cs="Arial"/>
          <w:spacing w:val="-1"/>
        </w:rPr>
        <w:t>li</w:t>
      </w:r>
      <w:r w:rsidRPr="00192EC4">
        <w:rPr>
          <w:rFonts w:ascii="Arial" w:eastAsia="Arial" w:hAnsi="Arial" w:cs="Arial"/>
        </w:rPr>
        <w:t>cati</w:t>
      </w:r>
      <w:r w:rsidRPr="00192EC4">
        <w:rPr>
          <w:rFonts w:ascii="Arial" w:eastAsia="Arial" w:hAnsi="Arial" w:cs="Arial"/>
          <w:spacing w:val="-1"/>
        </w:rPr>
        <w:t>o</w:t>
      </w:r>
      <w:r w:rsidRPr="00192EC4">
        <w:rPr>
          <w:rFonts w:ascii="Arial" w:eastAsia="Arial" w:hAnsi="Arial" w:cs="Arial"/>
        </w:rPr>
        <w:t>ns</w:t>
      </w:r>
      <w:r w:rsidRPr="00192EC4">
        <w:rPr>
          <w:rFonts w:ascii="Arial" w:eastAsia="Arial" w:hAnsi="Arial" w:cs="Arial"/>
          <w:spacing w:val="-9"/>
        </w:rPr>
        <w:t xml:space="preserve"> </w:t>
      </w:r>
      <w:r w:rsidRPr="00192EC4">
        <w:rPr>
          <w:rFonts w:ascii="Arial" w:eastAsia="Arial" w:hAnsi="Arial" w:cs="Arial"/>
          <w:spacing w:val="1"/>
        </w:rPr>
        <w:t>t</w:t>
      </w:r>
      <w:r w:rsidRPr="00192EC4">
        <w:rPr>
          <w:rFonts w:ascii="Arial" w:eastAsia="Arial" w:hAnsi="Arial" w:cs="Arial"/>
        </w:rPr>
        <w:t>h</w:t>
      </w:r>
      <w:r w:rsidRPr="00192EC4">
        <w:rPr>
          <w:rFonts w:ascii="Arial" w:eastAsia="Arial" w:hAnsi="Arial" w:cs="Arial"/>
          <w:spacing w:val="-1"/>
        </w:rPr>
        <w:t>a</w:t>
      </w:r>
      <w:r w:rsidRPr="00192EC4">
        <w:rPr>
          <w:rFonts w:ascii="Arial" w:eastAsia="Arial" w:hAnsi="Arial" w:cs="Arial"/>
        </w:rPr>
        <w:t>t</w:t>
      </w:r>
      <w:r w:rsidRPr="00192EC4">
        <w:rPr>
          <w:rFonts w:ascii="Arial" w:eastAsia="Arial" w:hAnsi="Arial" w:cs="Arial"/>
          <w:spacing w:val="-7"/>
        </w:rPr>
        <w:t xml:space="preserve"> </w:t>
      </w:r>
      <w:r w:rsidRPr="00192EC4">
        <w:rPr>
          <w:rFonts w:ascii="Arial" w:eastAsia="Arial" w:hAnsi="Arial" w:cs="Arial"/>
          <w:spacing w:val="1"/>
        </w:rPr>
        <w:t>r</w:t>
      </w:r>
      <w:r w:rsidRPr="00192EC4">
        <w:rPr>
          <w:rFonts w:ascii="Arial" w:eastAsia="Arial" w:hAnsi="Arial" w:cs="Arial"/>
          <w:spacing w:val="-3"/>
        </w:rPr>
        <w:t>eq</w:t>
      </w:r>
      <w:r w:rsidRPr="00192EC4">
        <w:rPr>
          <w:rFonts w:ascii="Arial" w:eastAsia="Arial" w:hAnsi="Arial" w:cs="Arial"/>
        </w:rPr>
        <w:t>u</w:t>
      </w:r>
      <w:r w:rsidRPr="00192EC4">
        <w:rPr>
          <w:rFonts w:ascii="Arial" w:eastAsia="Arial" w:hAnsi="Arial" w:cs="Arial"/>
          <w:spacing w:val="-1"/>
        </w:rPr>
        <w:t>i</w:t>
      </w:r>
      <w:r w:rsidRPr="00192EC4">
        <w:rPr>
          <w:rFonts w:ascii="Arial" w:eastAsia="Arial" w:hAnsi="Arial" w:cs="Arial"/>
          <w:spacing w:val="1"/>
        </w:rPr>
        <w:t>r</w:t>
      </w:r>
      <w:r w:rsidRPr="00192EC4">
        <w:rPr>
          <w:rFonts w:ascii="Arial" w:eastAsia="Arial" w:hAnsi="Arial" w:cs="Arial"/>
          <w:spacing w:val="5"/>
        </w:rPr>
        <w:t>e</w:t>
      </w:r>
      <w:r w:rsidRPr="00192EC4">
        <w:rPr>
          <w:rFonts w:ascii="Arial" w:eastAsia="Arial" w:hAnsi="Arial" w:cs="Arial"/>
        </w:rPr>
        <w:t>s</w:t>
      </w:r>
      <w:r w:rsidRPr="00192EC4">
        <w:rPr>
          <w:rFonts w:ascii="Arial" w:eastAsia="Arial" w:hAnsi="Arial" w:cs="Arial"/>
          <w:spacing w:val="-8"/>
        </w:rPr>
        <w:t xml:space="preserve"> </w:t>
      </w:r>
      <w:r w:rsidRPr="00192EC4">
        <w:rPr>
          <w:rFonts w:ascii="Arial" w:eastAsia="Arial" w:hAnsi="Arial" w:cs="Arial"/>
          <w:spacing w:val="1"/>
        </w:rPr>
        <w:t>r</w:t>
      </w:r>
      <w:r w:rsidRPr="00192EC4">
        <w:rPr>
          <w:rFonts w:ascii="Arial" w:eastAsia="Arial" w:hAnsi="Arial" w:cs="Arial"/>
        </w:rPr>
        <w:t>e</w:t>
      </w:r>
      <w:r w:rsidRPr="00192EC4">
        <w:rPr>
          <w:rFonts w:ascii="Arial" w:eastAsia="Arial" w:hAnsi="Arial" w:cs="Arial"/>
          <w:spacing w:val="-3"/>
        </w:rPr>
        <w:t>v</w:t>
      </w:r>
      <w:r w:rsidRPr="00192EC4">
        <w:rPr>
          <w:rFonts w:ascii="Arial" w:eastAsia="Arial" w:hAnsi="Arial" w:cs="Arial"/>
        </w:rPr>
        <w:t>e</w:t>
      </w:r>
      <w:r w:rsidRPr="00192EC4">
        <w:rPr>
          <w:rFonts w:ascii="Arial" w:eastAsia="Arial" w:hAnsi="Arial" w:cs="Arial"/>
          <w:spacing w:val="-1"/>
        </w:rPr>
        <w:t>n</w:t>
      </w:r>
      <w:r w:rsidRPr="00192EC4">
        <w:rPr>
          <w:rFonts w:ascii="Arial" w:eastAsia="Arial" w:hAnsi="Arial" w:cs="Arial"/>
        </w:rPr>
        <w:t>ue a</w:t>
      </w:r>
      <w:r w:rsidRPr="00192EC4">
        <w:rPr>
          <w:rFonts w:ascii="Arial" w:eastAsia="Arial" w:hAnsi="Arial" w:cs="Arial"/>
          <w:spacing w:val="-1"/>
        </w:rPr>
        <w:t>n</w:t>
      </w:r>
      <w:r w:rsidRPr="00192EC4">
        <w:rPr>
          <w:rFonts w:ascii="Arial" w:eastAsia="Arial" w:hAnsi="Arial" w:cs="Arial"/>
        </w:rPr>
        <w:t>d</w:t>
      </w:r>
      <w:r w:rsidRPr="00192EC4">
        <w:rPr>
          <w:rFonts w:ascii="Arial" w:eastAsia="Arial" w:hAnsi="Arial" w:cs="Arial"/>
          <w:spacing w:val="4"/>
        </w:rPr>
        <w:t xml:space="preserve"> </w:t>
      </w:r>
      <w:r w:rsidRPr="00192EC4">
        <w:rPr>
          <w:rFonts w:ascii="Arial" w:eastAsia="Arial" w:hAnsi="Arial" w:cs="Arial"/>
        </w:rPr>
        <w:t>ca</w:t>
      </w:r>
      <w:r w:rsidRPr="00192EC4">
        <w:rPr>
          <w:rFonts w:ascii="Arial" w:eastAsia="Arial" w:hAnsi="Arial" w:cs="Arial"/>
          <w:spacing w:val="-1"/>
        </w:rPr>
        <w:t>pi</w:t>
      </w:r>
      <w:r w:rsidRPr="00192EC4">
        <w:rPr>
          <w:rFonts w:ascii="Arial" w:eastAsia="Arial" w:hAnsi="Arial" w:cs="Arial"/>
          <w:spacing w:val="1"/>
        </w:rPr>
        <w:t>t</w:t>
      </w:r>
      <w:r w:rsidRPr="00192EC4">
        <w:rPr>
          <w:rFonts w:ascii="Arial" w:eastAsia="Arial" w:hAnsi="Arial" w:cs="Arial"/>
        </w:rPr>
        <w:t>al</w:t>
      </w:r>
      <w:r w:rsidRPr="00192EC4">
        <w:rPr>
          <w:rFonts w:ascii="Arial" w:eastAsia="Arial" w:hAnsi="Arial" w:cs="Arial"/>
          <w:spacing w:val="3"/>
        </w:rPr>
        <w:t xml:space="preserve"> </w:t>
      </w:r>
      <w:r w:rsidRPr="00192EC4">
        <w:rPr>
          <w:rFonts w:ascii="Arial" w:eastAsia="Arial" w:hAnsi="Arial" w:cs="Arial"/>
          <w:spacing w:val="-1"/>
        </w:rPr>
        <w:t>i</w:t>
      </w:r>
      <w:r w:rsidRPr="00192EC4">
        <w:rPr>
          <w:rFonts w:ascii="Arial" w:eastAsia="Arial" w:hAnsi="Arial" w:cs="Arial"/>
        </w:rPr>
        <w:t>n</w:t>
      </w:r>
      <w:r w:rsidRPr="00192EC4">
        <w:rPr>
          <w:rFonts w:ascii="Arial" w:eastAsia="Arial" w:hAnsi="Arial" w:cs="Arial"/>
          <w:spacing w:val="-3"/>
        </w:rPr>
        <w:t>v</w:t>
      </w:r>
      <w:r w:rsidRPr="00192EC4">
        <w:rPr>
          <w:rFonts w:ascii="Arial" w:eastAsia="Arial" w:hAnsi="Arial" w:cs="Arial"/>
        </w:rPr>
        <w:t>est</w:t>
      </w:r>
      <w:r w:rsidRPr="00192EC4">
        <w:rPr>
          <w:rFonts w:ascii="Arial" w:eastAsia="Arial" w:hAnsi="Arial" w:cs="Arial"/>
          <w:spacing w:val="-1"/>
        </w:rPr>
        <w:t>m</w:t>
      </w:r>
      <w:r w:rsidRPr="00192EC4">
        <w:rPr>
          <w:rFonts w:ascii="Arial" w:eastAsia="Arial" w:hAnsi="Arial" w:cs="Arial"/>
        </w:rPr>
        <w:t>e</w:t>
      </w:r>
      <w:r w:rsidRPr="00192EC4">
        <w:rPr>
          <w:rFonts w:ascii="Arial" w:eastAsia="Arial" w:hAnsi="Arial" w:cs="Arial"/>
          <w:spacing w:val="-1"/>
        </w:rPr>
        <w:t>n</w:t>
      </w:r>
      <w:r w:rsidRPr="00192EC4">
        <w:rPr>
          <w:rFonts w:ascii="Arial" w:eastAsia="Arial" w:hAnsi="Arial" w:cs="Arial"/>
        </w:rPr>
        <w:t>t</w:t>
      </w:r>
      <w:r w:rsidRPr="00192EC4">
        <w:rPr>
          <w:rFonts w:ascii="Arial" w:eastAsia="Arial" w:hAnsi="Arial" w:cs="Arial"/>
          <w:spacing w:val="1"/>
        </w:rPr>
        <w:t xml:space="preserve"> </w:t>
      </w:r>
      <w:r w:rsidRPr="00192EC4">
        <w:rPr>
          <w:rFonts w:ascii="Arial" w:eastAsia="Arial" w:hAnsi="Arial" w:cs="Arial"/>
        </w:rPr>
        <w:t>o</w:t>
      </w:r>
      <w:r w:rsidRPr="00192EC4">
        <w:rPr>
          <w:rFonts w:ascii="Arial" w:eastAsia="Arial" w:hAnsi="Arial" w:cs="Arial"/>
          <w:spacing w:val="-3"/>
        </w:rPr>
        <w:t>v</w:t>
      </w:r>
      <w:r w:rsidRPr="00192EC4">
        <w:rPr>
          <w:rFonts w:ascii="Arial" w:eastAsia="Arial" w:hAnsi="Arial" w:cs="Arial"/>
        </w:rPr>
        <w:t>er</w:t>
      </w:r>
      <w:r w:rsidRPr="00192EC4">
        <w:rPr>
          <w:rFonts w:ascii="Arial" w:eastAsia="Arial" w:hAnsi="Arial" w:cs="Arial"/>
          <w:spacing w:val="5"/>
        </w:rPr>
        <w:t xml:space="preserve"> </w:t>
      </w:r>
      <w:r w:rsidRPr="00192EC4">
        <w:rPr>
          <w:rFonts w:ascii="Arial" w:eastAsia="Arial" w:hAnsi="Arial" w:cs="Arial"/>
          <w:spacing w:val="1"/>
        </w:rPr>
        <w:t>t</w:t>
      </w:r>
      <w:r w:rsidRPr="00192EC4">
        <w:rPr>
          <w:rFonts w:ascii="Arial" w:eastAsia="Arial" w:hAnsi="Arial" w:cs="Arial"/>
        </w:rPr>
        <w:t>he</w:t>
      </w:r>
      <w:r w:rsidRPr="00192EC4">
        <w:rPr>
          <w:rFonts w:ascii="Arial" w:eastAsia="Arial" w:hAnsi="Arial" w:cs="Arial"/>
          <w:spacing w:val="1"/>
        </w:rPr>
        <w:t xml:space="preserve"> m</w:t>
      </w:r>
      <w:r w:rsidRPr="00192EC4">
        <w:rPr>
          <w:rFonts w:ascii="Arial" w:eastAsia="Arial" w:hAnsi="Arial" w:cs="Arial"/>
        </w:rPr>
        <w:t>e</w:t>
      </w:r>
      <w:r w:rsidRPr="00192EC4">
        <w:rPr>
          <w:rFonts w:ascii="Arial" w:eastAsia="Arial" w:hAnsi="Arial" w:cs="Arial"/>
          <w:spacing w:val="-1"/>
        </w:rPr>
        <w:t>di</w:t>
      </w:r>
      <w:r w:rsidRPr="00192EC4">
        <w:rPr>
          <w:rFonts w:ascii="Arial" w:eastAsia="Arial" w:hAnsi="Arial" w:cs="Arial"/>
        </w:rPr>
        <w:t xml:space="preserve">um </w:t>
      </w:r>
      <w:r w:rsidRPr="00192EC4">
        <w:rPr>
          <w:rFonts w:ascii="Arial" w:eastAsia="Arial" w:hAnsi="Arial" w:cs="Arial"/>
          <w:spacing w:val="1"/>
        </w:rPr>
        <w:t>t</w:t>
      </w:r>
      <w:r w:rsidRPr="00192EC4">
        <w:rPr>
          <w:rFonts w:ascii="Arial" w:eastAsia="Arial" w:hAnsi="Arial" w:cs="Arial"/>
        </w:rPr>
        <w:t>e</w:t>
      </w:r>
      <w:r w:rsidRPr="00192EC4">
        <w:rPr>
          <w:rFonts w:ascii="Arial" w:eastAsia="Arial" w:hAnsi="Arial" w:cs="Arial"/>
          <w:spacing w:val="-2"/>
        </w:rPr>
        <w:t>r</w:t>
      </w:r>
      <w:r w:rsidRPr="00192EC4">
        <w:rPr>
          <w:rFonts w:ascii="Arial" w:eastAsia="Arial" w:hAnsi="Arial" w:cs="Arial"/>
          <w:spacing w:val="1"/>
        </w:rPr>
        <w:t>m</w:t>
      </w:r>
      <w:r w:rsidRPr="00192EC4">
        <w:rPr>
          <w:rFonts w:ascii="Arial" w:eastAsia="Arial" w:hAnsi="Arial" w:cs="Arial"/>
        </w:rPr>
        <w:t xml:space="preserve">. </w:t>
      </w:r>
      <w:r w:rsidRPr="00192EC4">
        <w:rPr>
          <w:rFonts w:ascii="Arial" w:eastAsia="Arial" w:hAnsi="Arial" w:cs="Arial"/>
          <w:spacing w:val="2"/>
        </w:rPr>
        <w:t>T</w:t>
      </w:r>
      <w:r w:rsidRPr="00192EC4">
        <w:rPr>
          <w:rFonts w:ascii="Arial" w:eastAsia="Arial" w:hAnsi="Arial" w:cs="Arial"/>
        </w:rPr>
        <w:t>h</w:t>
      </w:r>
      <w:r w:rsidRPr="00192EC4">
        <w:rPr>
          <w:rFonts w:ascii="Arial" w:eastAsia="Arial" w:hAnsi="Arial" w:cs="Arial"/>
          <w:spacing w:val="-1"/>
        </w:rPr>
        <w:t>e</w:t>
      </w:r>
      <w:r w:rsidRPr="00192EC4">
        <w:rPr>
          <w:rFonts w:ascii="Arial" w:eastAsia="Arial" w:hAnsi="Arial" w:cs="Arial"/>
          <w:spacing w:val="1"/>
        </w:rPr>
        <w:t>r</w:t>
      </w:r>
      <w:r w:rsidRPr="00192EC4">
        <w:rPr>
          <w:rFonts w:ascii="Arial" w:eastAsia="Arial" w:hAnsi="Arial" w:cs="Arial"/>
        </w:rPr>
        <w:t>e</w:t>
      </w:r>
      <w:r w:rsidRPr="00192EC4">
        <w:rPr>
          <w:rFonts w:ascii="Arial" w:eastAsia="Arial" w:hAnsi="Arial" w:cs="Arial"/>
          <w:spacing w:val="2"/>
        </w:rPr>
        <w:t xml:space="preserve"> </w:t>
      </w:r>
      <w:r w:rsidRPr="00192EC4">
        <w:rPr>
          <w:rFonts w:ascii="Arial" w:eastAsia="Arial" w:hAnsi="Arial" w:cs="Arial"/>
          <w:spacing w:val="-3"/>
        </w:rPr>
        <w:t>w</w:t>
      </w:r>
      <w:r w:rsidRPr="00192EC4">
        <w:rPr>
          <w:rFonts w:ascii="Arial" w:eastAsia="Arial" w:hAnsi="Arial" w:cs="Arial"/>
          <w:spacing w:val="-1"/>
        </w:rPr>
        <w:t>il</w:t>
      </w:r>
      <w:r w:rsidRPr="00192EC4">
        <w:rPr>
          <w:rFonts w:ascii="Arial" w:eastAsia="Arial" w:hAnsi="Arial" w:cs="Arial"/>
        </w:rPr>
        <w:t>l</w:t>
      </w:r>
      <w:r w:rsidRPr="00192EC4">
        <w:rPr>
          <w:rFonts w:ascii="Arial" w:eastAsia="Arial" w:hAnsi="Arial" w:cs="Arial"/>
          <w:spacing w:val="3"/>
        </w:rPr>
        <w:t xml:space="preserve"> </w:t>
      </w:r>
      <w:r w:rsidRPr="00192EC4">
        <w:rPr>
          <w:rFonts w:ascii="Arial" w:eastAsia="Arial" w:hAnsi="Arial" w:cs="Arial"/>
        </w:rPr>
        <w:t>be</w:t>
      </w:r>
      <w:r w:rsidRPr="00192EC4">
        <w:rPr>
          <w:rFonts w:ascii="Arial" w:eastAsia="Arial" w:hAnsi="Arial" w:cs="Arial"/>
          <w:spacing w:val="4"/>
        </w:rPr>
        <w:t xml:space="preserve"> </w:t>
      </w:r>
      <w:r w:rsidRPr="00192EC4">
        <w:rPr>
          <w:rFonts w:ascii="Arial" w:eastAsia="Arial" w:hAnsi="Arial" w:cs="Arial"/>
        </w:rPr>
        <w:t>a</w:t>
      </w:r>
      <w:r w:rsidRPr="00192EC4">
        <w:rPr>
          <w:rFonts w:ascii="Arial" w:eastAsia="Arial" w:hAnsi="Arial" w:cs="Arial"/>
          <w:spacing w:val="4"/>
        </w:rPr>
        <w:t xml:space="preserve"> </w:t>
      </w:r>
      <w:r w:rsidRPr="00192EC4">
        <w:rPr>
          <w:rFonts w:ascii="Arial" w:eastAsia="Arial" w:hAnsi="Arial" w:cs="Arial"/>
        </w:rPr>
        <w:t>n</w:t>
      </w:r>
      <w:r w:rsidRPr="00192EC4">
        <w:rPr>
          <w:rFonts w:ascii="Arial" w:eastAsia="Arial" w:hAnsi="Arial" w:cs="Arial"/>
          <w:spacing w:val="-1"/>
        </w:rPr>
        <w:t>e</w:t>
      </w:r>
      <w:r w:rsidRPr="00192EC4">
        <w:rPr>
          <w:rFonts w:ascii="Arial" w:eastAsia="Arial" w:hAnsi="Arial" w:cs="Arial"/>
        </w:rPr>
        <w:t>ed</w:t>
      </w:r>
      <w:r w:rsidRPr="00192EC4">
        <w:rPr>
          <w:rFonts w:ascii="Arial" w:eastAsia="Arial" w:hAnsi="Arial" w:cs="Arial"/>
          <w:spacing w:val="1"/>
        </w:rPr>
        <w:t xml:space="preserve"> </w:t>
      </w:r>
      <w:r w:rsidRPr="00192EC4">
        <w:rPr>
          <w:rFonts w:ascii="Arial" w:eastAsia="Arial" w:hAnsi="Arial" w:cs="Arial"/>
          <w:spacing w:val="-1"/>
        </w:rPr>
        <w:t>t</w:t>
      </w:r>
      <w:r w:rsidRPr="00192EC4">
        <w:rPr>
          <w:rFonts w:ascii="Arial" w:eastAsia="Arial" w:hAnsi="Arial" w:cs="Arial"/>
        </w:rPr>
        <w:t>o</w:t>
      </w:r>
      <w:r w:rsidRPr="00192EC4">
        <w:rPr>
          <w:rFonts w:ascii="Arial" w:eastAsia="Arial" w:hAnsi="Arial" w:cs="Arial"/>
          <w:spacing w:val="4"/>
        </w:rPr>
        <w:t xml:space="preserve"> </w:t>
      </w:r>
      <w:r w:rsidRPr="00192EC4">
        <w:rPr>
          <w:rFonts w:ascii="Arial" w:eastAsia="Arial" w:hAnsi="Arial" w:cs="Arial"/>
        </w:rPr>
        <w:t>e</w:t>
      </w:r>
      <w:r w:rsidRPr="00192EC4">
        <w:rPr>
          <w:rFonts w:ascii="Arial" w:eastAsia="Arial" w:hAnsi="Arial" w:cs="Arial"/>
          <w:spacing w:val="-1"/>
        </w:rPr>
        <w:t>n</w:t>
      </w:r>
      <w:r w:rsidRPr="00192EC4">
        <w:rPr>
          <w:rFonts w:ascii="Arial" w:eastAsia="Arial" w:hAnsi="Arial" w:cs="Arial"/>
        </w:rPr>
        <w:t xml:space="preserve">sure </w:t>
      </w:r>
      <w:r w:rsidRPr="00192EC4">
        <w:rPr>
          <w:rFonts w:ascii="Arial" w:eastAsia="Arial" w:hAnsi="Arial" w:cs="Arial"/>
          <w:spacing w:val="1"/>
        </w:rPr>
        <w:t>t</w:t>
      </w:r>
      <w:r w:rsidRPr="00192EC4">
        <w:rPr>
          <w:rFonts w:ascii="Arial" w:eastAsia="Arial" w:hAnsi="Arial" w:cs="Arial"/>
        </w:rPr>
        <w:t>h</w:t>
      </w:r>
      <w:r w:rsidRPr="00192EC4">
        <w:rPr>
          <w:rFonts w:ascii="Arial" w:eastAsia="Arial" w:hAnsi="Arial" w:cs="Arial"/>
          <w:spacing w:val="-1"/>
        </w:rPr>
        <w:t>i</w:t>
      </w:r>
      <w:r w:rsidRPr="00192EC4">
        <w:rPr>
          <w:rFonts w:ascii="Arial" w:eastAsia="Arial" w:hAnsi="Arial" w:cs="Arial"/>
        </w:rPr>
        <w:t>s</w:t>
      </w:r>
      <w:r w:rsidRPr="00192EC4">
        <w:rPr>
          <w:rFonts w:ascii="Arial" w:eastAsia="Arial" w:hAnsi="Arial" w:cs="Arial"/>
          <w:spacing w:val="5"/>
        </w:rPr>
        <w:t xml:space="preserve"> </w:t>
      </w:r>
      <w:r w:rsidRPr="00192EC4">
        <w:rPr>
          <w:rFonts w:ascii="Arial" w:eastAsia="Arial" w:hAnsi="Arial" w:cs="Arial"/>
          <w:spacing w:val="-1"/>
        </w:rPr>
        <w:t>i</w:t>
      </w:r>
      <w:r w:rsidRPr="00192EC4">
        <w:rPr>
          <w:rFonts w:ascii="Arial" w:eastAsia="Arial" w:hAnsi="Arial" w:cs="Arial"/>
        </w:rPr>
        <w:t>s su</w:t>
      </w:r>
      <w:r w:rsidRPr="00192EC4">
        <w:rPr>
          <w:rFonts w:ascii="Arial" w:eastAsia="Arial" w:hAnsi="Arial" w:cs="Arial"/>
          <w:spacing w:val="-1"/>
        </w:rPr>
        <w:t>p</w:t>
      </w:r>
      <w:r w:rsidRPr="00192EC4">
        <w:rPr>
          <w:rFonts w:ascii="Arial" w:eastAsia="Arial" w:hAnsi="Arial" w:cs="Arial"/>
        </w:rPr>
        <w:t>p</w:t>
      </w:r>
      <w:r w:rsidRPr="00192EC4">
        <w:rPr>
          <w:rFonts w:ascii="Arial" w:eastAsia="Arial" w:hAnsi="Arial" w:cs="Arial"/>
          <w:spacing w:val="-1"/>
        </w:rPr>
        <w:t>o</w:t>
      </w:r>
      <w:r w:rsidRPr="00192EC4">
        <w:rPr>
          <w:rFonts w:ascii="Arial" w:eastAsia="Arial" w:hAnsi="Arial" w:cs="Arial"/>
          <w:spacing w:val="1"/>
        </w:rPr>
        <w:t>rt</w:t>
      </w:r>
      <w:r w:rsidRPr="00192EC4">
        <w:rPr>
          <w:rFonts w:ascii="Arial" w:eastAsia="Arial" w:hAnsi="Arial" w:cs="Arial"/>
        </w:rPr>
        <w:t>ed</w:t>
      </w:r>
      <w:r w:rsidRPr="00192EC4">
        <w:rPr>
          <w:rFonts w:ascii="Arial" w:eastAsia="Arial" w:hAnsi="Arial" w:cs="Arial"/>
          <w:spacing w:val="-4"/>
        </w:rPr>
        <w:t xml:space="preserve"> </w:t>
      </w:r>
      <w:r w:rsidRPr="00192EC4">
        <w:rPr>
          <w:rFonts w:ascii="Arial" w:eastAsia="Arial" w:hAnsi="Arial" w:cs="Arial"/>
        </w:rPr>
        <w:t>by</w:t>
      </w:r>
      <w:r w:rsidRPr="00192EC4">
        <w:rPr>
          <w:rFonts w:ascii="Arial" w:eastAsia="Arial" w:hAnsi="Arial" w:cs="Arial"/>
          <w:spacing w:val="-6"/>
        </w:rPr>
        <w:t xml:space="preserve"> </w:t>
      </w:r>
      <w:r w:rsidRPr="00192EC4">
        <w:rPr>
          <w:rFonts w:ascii="Arial" w:eastAsia="Arial" w:hAnsi="Arial" w:cs="Arial"/>
        </w:rPr>
        <w:t>a</w:t>
      </w:r>
      <w:r w:rsidRPr="00192EC4">
        <w:rPr>
          <w:rFonts w:ascii="Arial" w:eastAsia="Arial" w:hAnsi="Arial" w:cs="Arial"/>
          <w:spacing w:val="-4"/>
        </w:rPr>
        <w:t xml:space="preserve"> </w:t>
      </w:r>
      <w:r w:rsidRPr="00192EC4">
        <w:rPr>
          <w:rFonts w:ascii="Arial" w:eastAsia="Arial" w:hAnsi="Arial" w:cs="Arial"/>
        </w:rPr>
        <w:t>su</w:t>
      </w:r>
      <w:r w:rsidRPr="00192EC4">
        <w:rPr>
          <w:rFonts w:ascii="Arial" w:eastAsia="Arial" w:hAnsi="Arial" w:cs="Arial"/>
          <w:spacing w:val="-3"/>
        </w:rPr>
        <w:t>s</w:t>
      </w:r>
      <w:r w:rsidRPr="00192EC4">
        <w:rPr>
          <w:rFonts w:ascii="Arial" w:eastAsia="Arial" w:hAnsi="Arial" w:cs="Arial"/>
          <w:spacing w:val="1"/>
        </w:rPr>
        <w:t>t</w:t>
      </w:r>
      <w:r w:rsidRPr="00192EC4">
        <w:rPr>
          <w:rFonts w:ascii="Arial" w:eastAsia="Arial" w:hAnsi="Arial" w:cs="Arial"/>
        </w:rPr>
        <w:t>a</w:t>
      </w:r>
      <w:r w:rsidRPr="00192EC4">
        <w:rPr>
          <w:rFonts w:ascii="Arial" w:eastAsia="Arial" w:hAnsi="Arial" w:cs="Arial"/>
          <w:spacing w:val="-1"/>
        </w:rPr>
        <w:t>i</w:t>
      </w:r>
      <w:r w:rsidRPr="00192EC4">
        <w:rPr>
          <w:rFonts w:ascii="Arial" w:eastAsia="Arial" w:hAnsi="Arial" w:cs="Arial"/>
        </w:rPr>
        <w:t>n</w:t>
      </w:r>
      <w:r w:rsidRPr="00192EC4">
        <w:rPr>
          <w:rFonts w:ascii="Arial" w:eastAsia="Arial" w:hAnsi="Arial" w:cs="Arial"/>
          <w:spacing w:val="-1"/>
        </w:rPr>
        <w:t>a</w:t>
      </w:r>
      <w:r w:rsidRPr="00192EC4">
        <w:rPr>
          <w:rFonts w:ascii="Arial" w:eastAsia="Arial" w:hAnsi="Arial" w:cs="Arial"/>
          <w:spacing w:val="-3"/>
        </w:rPr>
        <w:t>b</w:t>
      </w:r>
      <w:r w:rsidRPr="00192EC4">
        <w:rPr>
          <w:rFonts w:ascii="Arial" w:eastAsia="Arial" w:hAnsi="Arial" w:cs="Arial"/>
          <w:spacing w:val="-1"/>
        </w:rPr>
        <w:t>l</w:t>
      </w:r>
      <w:r w:rsidRPr="00192EC4">
        <w:rPr>
          <w:rFonts w:ascii="Arial" w:eastAsia="Arial" w:hAnsi="Arial" w:cs="Arial"/>
        </w:rPr>
        <w:t>e</w:t>
      </w:r>
      <w:r w:rsidRPr="00192EC4">
        <w:rPr>
          <w:rFonts w:ascii="Arial" w:eastAsia="Arial" w:hAnsi="Arial" w:cs="Arial"/>
          <w:spacing w:val="-4"/>
        </w:rPr>
        <w:t xml:space="preserve"> </w:t>
      </w:r>
      <w:r w:rsidRPr="00192EC4">
        <w:rPr>
          <w:rFonts w:ascii="Arial" w:eastAsia="Arial" w:hAnsi="Arial" w:cs="Arial"/>
          <w:spacing w:val="1"/>
        </w:rPr>
        <w:t>m</w:t>
      </w:r>
      <w:r w:rsidRPr="00192EC4">
        <w:rPr>
          <w:rFonts w:ascii="Arial" w:eastAsia="Arial" w:hAnsi="Arial" w:cs="Arial"/>
        </w:rPr>
        <w:t>e</w:t>
      </w:r>
      <w:r w:rsidRPr="00192EC4">
        <w:rPr>
          <w:rFonts w:ascii="Arial" w:eastAsia="Arial" w:hAnsi="Arial" w:cs="Arial"/>
          <w:spacing w:val="-1"/>
        </w:rPr>
        <w:t>di</w:t>
      </w:r>
      <w:r w:rsidRPr="00192EC4">
        <w:rPr>
          <w:rFonts w:ascii="Arial" w:eastAsia="Arial" w:hAnsi="Arial" w:cs="Arial"/>
        </w:rPr>
        <w:t>um</w:t>
      </w:r>
      <w:r w:rsidRPr="00192EC4">
        <w:rPr>
          <w:rFonts w:ascii="Arial" w:eastAsia="Arial" w:hAnsi="Arial" w:cs="Arial"/>
          <w:spacing w:val="-4"/>
        </w:rPr>
        <w:t xml:space="preserve"> </w:t>
      </w:r>
      <w:r w:rsidRPr="00192EC4">
        <w:rPr>
          <w:rFonts w:ascii="Arial" w:eastAsia="Arial" w:hAnsi="Arial" w:cs="Arial"/>
          <w:spacing w:val="1"/>
        </w:rPr>
        <w:t>t</w:t>
      </w:r>
      <w:r w:rsidRPr="00192EC4">
        <w:rPr>
          <w:rFonts w:ascii="Arial" w:eastAsia="Arial" w:hAnsi="Arial" w:cs="Arial"/>
        </w:rPr>
        <w:t>e</w:t>
      </w:r>
      <w:r w:rsidRPr="00192EC4">
        <w:rPr>
          <w:rFonts w:ascii="Arial" w:eastAsia="Arial" w:hAnsi="Arial" w:cs="Arial"/>
          <w:spacing w:val="-2"/>
        </w:rPr>
        <w:t>r</w:t>
      </w:r>
      <w:r w:rsidRPr="00192EC4">
        <w:rPr>
          <w:rFonts w:ascii="Arial" w:eastAsia="Arial" w:hAnsi="Arial" w:cs="Arial"/>
        </w:rPr>
        <w:t>m</w:t>
      </w:r>
      <w:r w:rsidRPr="00192EC4">
        <w:rPr>
          <w:rFonts w:ascii="Arial" w:eastAsia="Arial" w:hAnsi="Arial" w:cs="Arial"/>
          <w:spacing w:val="-5"/>
        </w:rPr>
        <w:t xml:space="preserve"> </w:t>
      </w:r>
      <w:r w:rsidRPr="00192EC4">
        <w:rPr>
          <w:rFonts w:ascii="Arial" w:eastAsia="Arial" w:hAnsi="Arial" w:cs="Arial"/>
          <w:spacing w:val="3"/>
        </w:rPr>
        <w:lastRenderedPageBreak/>
        <w:t>f</w:t>
      </w:r>
      <w:r w:rsidRPr="00192EC4">
        <w:rPr>
          <w:rFonts w:ascii="Arial" w:eastAsia="Arial" w:hAnsi="Arial" w:cs="Arial"/>
          <w:spacing w:val="-1"/>
        </w:rPr>
        <w:t>i</w:t>
      </w:r>
      <w:r w:rsidRPr="00192EC4">
        <w:rPr>
          <w:rFonts w:ascii="Arial" w:eastAsia="Arial" w:hAnsi="Arial" w:cs="Arial"/>
        </w:rPr>
        <w:t>n</w:t>
      </w:r>
      <w:r w:rsidRPr="00192EC4">
        <w:rPr>
          <w:rFonts w:ascii="Arial" w:eastAsia="Arial" w:hAnsi="Arial" w:cs="Arial"/>
          <w:spacing w:val="-1"/>
        </w:rPr>
        <w:t>a</w:t>
      </w:r>
      <w:r w:rsidRPr="00192EC4">
        <w:rPr>
          <w:rFonts w:ascii="Arial" w:eastAsia="Arial" w:hAnsi="Arial" w:cs="Arial"/>
        </w:rPr>
        <w:t>nc</w:t>
      </w:r>
      <w:r w:rsidRPr="00192EC4">
        <w:rPr>
          <w:rFonts w:ascii="Arial" w:eastAsia="Arial" w:hAnsi="Arial" w:cs="Arial"/>
          <w:spacing w:val="-1"/>
        </w:rPr>
        <w:t>i</w:t>
      </w:r>
      <w:r w:rsidRPr="00192EC4">
        <w:rPr>
          <w:rFonts w:ascii="Arial" w:eastAsia="Arial" w:hAnsi="Arial" w:cs="Arial"/>
        </w:rPr>
        <w:t>al</w:t>
      </w:r>
      <w:r w:rsidRPr="00192EC4">
        <w:rPr>
          <w:rFonts w:ascii="Arial" w:eastAsia="Arial" w:hAnsi="Arial" w:cs="Arial"/>
          <w:spacing w:val="-7"/>
        </w:rPr>
        <w:t xml:space="preserve"> </w:t>
      </w:r>
      <w:r w:rsidRPr="00192EC4">
        <w:rPr>
          <w:rFonts w:ascii="Arial" w:eastAsia="Arial" w:hAnsi="Arial" w:cs="Arial"/>
        </w:rPr>
        <w:t>p</w:t>
      </w:r>
      <w:r w:rsidRPr="00192EC4">
        <w:rPr>
          <w:rFonts w:ascii="Arial" w:eastAsia="Arial" w:hAnsi="Arial" w:cs="Arial"/>
          <w:spacing w:val="-1"/>
        </w:rPr>
        <w:t>l</w:t>
      </w:r>
      <w:r w:rsidRPr="00192EC4">
        <w:rPr>
          <w:rFonts w:ascii="Arial" w:eastAsia="Arial" w:hAnsi="Arial" w:cs="Arial"/>
        </w:rPr>
        <w:t>an</w:t>
      </w:r>
      <w:r w:rsidRPr="00192EC4">
        <w:rPr>
          <w:rFonts w:ascii="Arial" w:eastAsia="Arial" w:hAnsi="Arial" w:cs="Arial"/>
          <w:spacing w:val="-4"/>
        </w:rPr>
        <w:t xml:space="preserve"> </w:t>
      </w:r>
      <w:r w:rsidRPr="00192EC4">
        <w:rPr>
          <w:rFonts w:ascii="Arial" w:eastAsia="Arial" w:hAnsi="Arial" w:cs="Arial"/>
          <w:spacing w:val="-1"/>
        </w:rPr>
        <w:t>i</w:t>
      </w:r>
      <w:r w:rsidRPr="00192EC4">
        <w:rPr>
          <w:rFonts w:ascii="Arial" w:eastAsia="Arial" w:hAnsi="Arial" w:cs="Arial"/>
        </w:rPr>
        <w:t>nc</w:t>
      </w:r>
      <w:r w:rsidRPr="00192EC4">
        <w:rPr>
          <w:rFonts w:ascii="Arial" w:eastAsia="Arial" w:hAnsi="Arial" w:cs="Arial"/>
          <w:spacing w:val="-1"/>
        </w:rPr>
        <w:t>o</w:t>
      </w:r>
      <w:r w:rsidRPr="00192EC4">
        <w:rPr>
          <w:rFonts w:ascii="Arial" w:eastAsia="Arial" w:hAnsi="Arial" w:cs="Arial"/>
          <w:spacing w:val="1"/>
        </w:rPr>
        <w:t>r</w:t>
      </w:r>
      <w:r w:rsidRPr="00192EC4">
        <w:rPr>
          <w:rFonts w:ascii="Arial" w:eastAsia="Arial" w:hAnsi="Arial" w:cs="Arial"/>
        </w:rPr>
        <w:t>p</w:t>
      </w:r>
      <w:r w:rsidRPr="00192EC4">
        <w:rPr>
          <w:rFonts w:ascii="Arial" w:eastAsia="Arial" w:hAnsi="Arial" w:cs="Arial"/>
          <w:spacing w:val="-1"/>
        </w:rPr>
        <w:t>o</w:t>
      </w:r>
      <w:r w:rsidRPr="00192EC4">
        <w:rPr>
          <w:rFonts w:ascii="Arial" w:eastAsia="Arial" w:hAnsi="Arial" w:cs="Arial"/>
          <w:spacing w:val="1"/>
        </w:rPr>
        <w:t>r</w:t>
      </w:r>
      <w:r w:rsidRPr="00192EC4">
        <w:rPr>
          <w:rFonts w:ascii="Arial" w:eastAsia="Arial" w:hAnsi="Arial" w:cs="Arial"/>
        </w:rPr>
        <w:t>ati</w:t>
      </w:r>
      <w:r w:rsidRPr="00192EC4">
        <w:rPr>
          <w:rFonts w:ascii="Arial" w:eastAsia="Arial" w:hAnsi="Arial" w:cs="Arial"/>
          <w:spacing w:val="-3"/>
        </w:rPr>
        <w:t>n</w:t>
      </w:r>
      <w:r w:rsidRPr="00192EC4">
        <w:rPr>
          <w:rFonts w:ascii="Arial" w:eastAsia="Arial" w:hAnsi="Arial" w:cs="Arial"/>
        </w:rPr>
        <w:t>g</w:t>
      </w:r>
      <w:r w:rsidRPr="00192EC4">
        <w:rPr>
          <w:rFonts w:ascii="Arial" w:eastAsia="Arial" w:hAnsi="Arial" w:cs="Arial"/>
          <w:spacing w:val="-2"/>
        </w:rPr>
        <w:t xml:space="preserve"> </w:t>
      </w:r>
      <w:r w:rsidRPr="00192EC4">
        <w:rPr>
          <w:rFonts w:ascii="Arial" w:eastAsia="Arial" w:hAnsi="Arial" w:cs="Arial"/>
        </w:rPr>
        <w:t>use</w:t>
      </w:r>
      <w:r w:rsidRPr="00192EC4">
        <w:rPr>
          <w:rFonts w:ascii="Arial" w:eastAsia="Arial" w:hAnsi="Arial" w:cs="Arial"/>
          <w:spacing w:val="-4"/>
        </w:rPr>
        <w:t xml:space="preserve"> </w:t>
      </w:r>
      <w:r w:rsidRPr="00192EC4">
        <w:rPr>
          <w:rFonts w:ascii="Arial" w:eastAsia="Arial" w:hAnsi="Arial" w:cs="Arial"/>
          <w:spacing w:val="-3"/>
        </w:rPr>
        <w:t>o</w:t>
      </w:r>
      <w:r w:rsidRPr="00192EC4">
        <w:rPr>
          <w:rFonts w:ascii="Arial" w:eastAsia="Arial" w:hAnsi="Arial" w:cs="Arial"/>
        </w:rPr>
        <w:t>f</w:t>
      </w:r>
      <w:r w:rsidRPr="00192EC4">
        <w:rPr>
          <w:rFonts w:ascii="Arial" w:eastAsia="Arial" w:hAnsi="Arial" w:cs="Arial"/>
          <w:spacing w:val="-5"/>
        </w:rPr>
        <w:t xml:space="preserve"> </w:t>
      </w:r>
      <w:r w:rsidRPr="00192EC4">
        <w:rPr>
          <w:rFonts w:ascii="Arial" w:eastAsia="Arial" w:hAnsi="Arial" w:cs="Arial"/>
        </w:rPr>
        <w:t>n</w:t>
      </w:r>
      <w:r w:rsidRPr="00192EC4">
        <w:rPr>
          <w:rFonts w:ascii="Arial" w:eastAsia="Arial" w:hAnsi="Arial" w:cs="Arial"/>
          <w:spacing w:val="-1"/>
        </w:rPr>
        <w:t>o</w:t>
      </w:r>
      <w:r w:rsidRPr="00192EC4">
        <w:rPr>
          <w:rFonts w:ascii="Arial" w:eastAsia="Arial" w:hAnsi="Arial" w:cs="Arial"/>
          <w:spacing w:val="1"/>
        </w:rPr>
        <w:t>n-r</w:t>
      </w:r>
      <w:r w:rsidRPr="00192EC4">
        <w:rPr>
          <w:rFonts w:ascii="Arial" w:eastAsia="Arial" w:hAnsi="Arial" w:cs="Arial"/>
        </w:rPr>
        <w:t>ec</w:t>
      </w:r>
      <w:r w:rsidRPr="00192EC4">
        <w:rPr>
          <w:rFonts w:ascii="Arial" w:eastAsia="Arial" w:hAnsi="Arial" w:cs="Arial"/>
          <w:spacing w:val="-3"/>
        </w:rPr>
        <w:t>u</w:t>
      </w:r>
      <w:r w:rsidRPr="00192EC4">
        <w:rPr>
          <w:rFonts w:ascii="Arial" w:eastAsia="Arial" w:hAnsi="Arial" w:cs="Arial"/>
          <w:spacing w:val="1"/>
        </w:rPr>
        <w:t>rr</w:t>
      </w:r>
      <w:r w:rsidRPr="00192EC4">
        <w:rPr>
          <w:rFonts w:ascii="Arial" w:eastAsia="Arial" w:hAnsi="Arial" w:cs="Arial"/>
        </w:rPr>
        <w:t>e</w:t>
      </w:r>
      <w:r w:rsidRPr="00192EC4">
        <w:rPr>
          <w:rFonts w:ascii="Arial" w:eastAsia="Arial" w:hAnsi="Arial" w:cs="Arial"/>
          <w:spacing w:val="-3"/>
        </w:rPr>
        <w:t>n</w:t>
      </w:r>
      <w:r w:rsidRPr="00192EC4">
        <w:rPr>
          <w:rFonts w:ascii="Arial" w:eastAsia="Arial" w:hAnsi="Arial" w:cs="Arial"/>
        </w:rPr>
        <w:t xml:space="preserve">t </w:t>
      </w:r>
      <w:r w:rsidRPr="00192EC4">
        <w:rPr>
          <w:rFonts w:ascii="Arial" w:eastAsia="Arial" w:hAnsi="Arial" w:cs="Arial"/>
          <w:spacing w:val="1"/>
        </w:rPr>
        <w:t>r</w:t>
      </w:r>
      <w:r w:rsidRPr="00192EC4">
        <w:rPr>
          <w:rFonts w:ascii="Arial" w:eastAsia="Arial" w:hAnsi="Arial" w:cs="Arial"/>
        </w:rPr>
        <w:t>es</w:t>
      </w:r>
      <w:r w:rsidRPr="00192EC4">
        <w:rPr>
          <w:rFonts w:ascii="Arial" w:eastAsia="Arial" w:hAnsi="Arial" w:cs="Arial"/>
          <w:spacing w:val="-1"/>
        </w:rPr>
        <w:t>o</w:t>
      </w:r>
      <w:r w:rsidRPr="00192EC4">
        <w:rPr>
          <w:rFonts w:ascii="Arial" w:eastAsia="Arial" w:hAnsi="Arial" w:cs="Arial"/>
        </w:rPr>
        <w:t>urces</w:t>
      </w:r>
      <w:r w:rsidRPr="00192EC4">
        <w:rPr>
          <w:rFonts w:ascii="Arial" w:eastAsia="Arial" w:hAnsi="Arial" w:cs="Arial"/>
          <w:spacing w:val="-3"/>
        </w:rPr>
        <w:t xml:space="preserve"> </w:t>
      </w:r>
      <w:r w:rsidRPr="00192EC4">
        <w:rPr>
          <w:rFonts w:ascii="Arial" w:eastAsia="Arial" w:hAnsi="Arial" w:cs="Arial"/>
        </w:rPr>
        <w:t>a</w:t>
      </w:r>
      <w:r w:rsidRPr="00192EC4">
        <w:rPr>
          <w:rFonts w:ascii="Arial" w:eastAsia="Arial" w:hAnsi="Arial" w:cs="Arial"/>
          <w:spacing w:val="-1"/>
        </w:rPr>
        <w:t>n</w:t>
      </w:r>
      <w:r w:rsidRPr="00192EC4">
        <w:rPr>
          <w:rFonts w:ascii="Arial" w:eastAsia="Arial" w:hAnsi="Arial" w:cs="Arial"/>
        </w:rPr>
        <w:t>d</w:t>
      </w:r>
      <w:r w:rsidRPr="00192EC4">
        <w:rPr>
          <w:rFonts w:ascii="Arial" w:eastAsia="Arial" w:hAnsi="Arial" w:cs="Arial"/>
          <w:spacing w:val="-1"/>
        </w:rPr>
        <w:t xml:space="preserve"> </w:t>
      </w:r>
      <w:r w:rsidRPr="00192EC4">
        <w:rPr>
          <w:rFonts w:ascii="Arial" w:eastAsia="Arial" w:hAnsi="Arial" w:cs="Arial"/>
          <w:spacing w:val="-3"/>
        </w:rPr>
        <w:t>e</w:t>
      </w:r>
      <w:r w:rsidRPr="00192EC4">
        <w:rPr>
          <w:rFonts w:ascii="Arial" w:eastAsia="Arial" w:hAnsi="Arial" w:cs="Arial"/>
          <w:spacing w:val="1"/>
        </w:rPr>
        <w:t>ff</w:t>
      </w:r>
      <w:r w:rsidRPr="00192EC4">
        <w:rPr>
          <w:rFonts w:ascii="Arial" w:eastAsia="Arial" w:hAnsi="Arial" w:cs="Arial"/>
          <w:spacing w:val="-1"/>
        </w:rPr>
        <w:t>i</w:t>
      </w:r>
      <w:r w:rsidRPr="00192EC4">
        <w:rPr>
          <w:rFonts w:ascii="Arial" w:eastAsia="Arial" w:hAnsi="Arial" w:cs="Arial"/>
        </w:rPr>
        <w:t>c</w:t>
      </w:r>
      <w:r w:rsidRPr="00192EC4">
        <w:rPr>
          <w:rFonts w:ascii="Arial" w:eastAsia="Arial" w:hAnsi="Arial" w:cs="Arial"/>
          <w:spacing w:val="-1"/>
        </w:rPr>
        <w:t>i</w:t>
      </w:r>
      <w:r w:rsidRPr="00192EC4">
        <w:rPr>
          <w:rFonts w:ascii="Arial" w:eastAsia="Arial" w:hAnsi="Arial" w:cs="Arial"/>
        </w:rPr>
        <w:t>e</w:t>
      </w:r>
      <w:r w:rsidRPr="00192EC4">
        <w:rPr>
          <w:rFonts w:ascii="Arial" w:eastAsia="Arial" w:hAnsi="Arial" w:cs="Arial"/>
          <w:spacing w:val="-1"/>
        </w:rPr>
        <w:t>n</w:t>
      </w:r>
      <w:r w:rsidRPr="00192EC4">
        <w:rPr>
          <w:rFonts w:ascii="Arial" w:eastAsia="Arial" w:hAnsi="Arial" w:cs="Arial"/>
        </w:rPr>
        <w:t>cy</w:t>
      </w:r>
      <w:r w:rsidRPr="00192EC4">
        <w:rPr>
          <w:rFonts w:ascii="Arial" w:eastAsia="Arial" w:hAnsi="Arial" w:cs="Arial"/>
          <w:spacing w:val="-3"/>
        </w:rPr>
        <w:t xml:space="preserve"> </w:t>
      </w:r>
      <w:r w:rsidRPr="00192EC4">
        <w:rPr>
          <w:rFonts w:ascii="Arial" w:eastAsia="Arial" w:hAnsi="Arial" w:cs="Arial"/>
        </w:rPr>
        <w:t>sa</w:t>
      </w:r>
      <w:r w:rsidRPr="00192EC4">
        <w:rPr>
          <w:rFonts w:ascii="Arial" w:eastAsia="Arial" w:hAnsi="Arial" w:cs="Arial"/>
          <w:spacing w:val="-3"/>
        </w:rPr>
        <w:t>v</w:t>
      </w:r>
      <w:r w:rsidRPr="00192EC4">
        <w:rPr>
          <w:rFonts w:ascii="Arial" w:eastAsia="Arial" w:hAnsi="Arial" w:cs="Arial"/>
          <w:spacing w:val="-1"/>
        </w:rPr>
        <w:t>i</w:t>
      </w:r>
      <w:r w:rsidRPr="00192EC4">
        <w:rPr>
          <w:rFonts w:ascii="Arial" w:eastAsia="Arial" w:hAnsi="Arial" w:cs="Arial"/>
        </w:rPr>
        <w:t>n</w:t>
      </w:r>
      <w:r w:rsidRPr="00192EC4">
        <w:rPr>
          <w:rFonts w:ascii="Arial" w:eastAsia="Arial" w:hAnsi="Arial" w:cs="Arial"/>
          <w:spacing w:val="2"/>
        </w:rPr>
        <w:t>g</w:t>
      </w:r>
      <w:r w:rsidRPr="00192EC4">
        <w:rPr>
          <w:rFonts w:ascii="Arial" w:eastAsia="Arial" w:hAnsi="Arial" w:cs="Arial"/>
        </w:rPr>
        <w:t>s</w:t>
      </w:r>
      <w:r w:rsidRPr="00192EC4">
        <w:rPr>
          <w:rFonts w:ascii="Arial" w:eastAsia="Arial" w:hAnsi="Arial" w:cs="Arial"/>
          <w:spacing w:val="-3"/>
        </w:rPr>
        <w:t xml:space="preserve"> </w:t>
      </w:r>
      <w:r w:rsidRPr="00192EC4">
        <w:rPr>
          <w:rFonts w:ascii="Arial" w:eastAsia="Arial" w:hAnsi="Arial" w:cs="Arial"/>
          <w:spacing w:val="3"/>
        </w:rPr>
        <w:t>f</w:t>
      </w:r>
      <w:r w:rsidRPr="00192EC4">
        <w:rPr>
          <w:rFonts w:ascii="Arial" w:eastAsia="Arial" w:hAnsi="Arial" w:cs="Arial"/>
          <w:spacing w:val="1"/>
        </w:rPr>
        <w:t>r</w:t>
      </w:r>
      <w:r w:rsidRPr="00192EC4">
        <w:rPr>
          <w:rFonts w:ascii="Arial" w:eastAsia="Arial" w:hAnsi="Arial" w:cs="Arial"/>
          <w:spacing w:val="-3"/>
        </w:rPr>
        <w:t>o</w:t>
      </w:r>
      <w:r w:rsidRPr="00192EC4">
        <w:rPr>
          <w:rFonts w:ascii="Arial" w:eastAsia="Arial" w:hAnsi="Arial" w:cs="Arial"/>
        </w:rPr>
        <w:t xml:space="preserve">m </w:t>
      </w:r>
      <w:r w:rsidRPr="00192EC4">
        <w:rPr>
          <w:rFonts w:ascii="Arial" w:eastAsia="Arial" w:hAnsi="Arial" w:cs="Arial"/>
          <w:spacing w:val="-3"/>
        </w:rPr>
        <w:t>w</w:t>
      </w:r>
      <w:r w:rsidRPr="00192EC4">
        <w:rPr>
          <w:rFonts w:ascii="Arial" w:eastAsia="Arial" w:hAnsi="Arial" w:cs="Arial"/>
          <w:spacing w:val="-1"/>
        </w:rPr>
        <w:t>i</w:t>
      </w:r>
      <w:r w:rsidRPr="00192EC4">
        <w:rPr>
          <w:rFonts w:ascii="Arial" w:eastAsia="Arial" w:hAnsi="Arial" w:cs="Arial"/>
          <w:spacing w:val="1"/>
        </w:rPr>
        <w:t>t</w:t>
      </w:r>
      <w:r w:rsidRPr="00192EC4">
        <w:rPr>
          <w:rFonts w:ascii="Arial" w:eastAsia="Arial" w:hAnsi="Arial" w:cs="Arial"/>
        </w:rPr>
        <w:t>h</w:t>
      </w:r>
      <w:r w:rsidRPr="00192EC4">
        <w:rPr>
          <w:rFonts w:ascii="Arial" w:eastAsia="Arial" w:hAnsi="Arial" w:cs="Arial"/>
          <w:spacing w:val="-1"/>
        </w:rPr>
        <w:t>i</w:t>
      </w:r>
      <w:r w:rsidRPr="00192EC4">
        <w:rPr>
          <w:rFonts w:ascii="Arial" w:eastAsia="Arial" w:hAnsi="Arial" w:cs="Arial"/>
        </w:rPr>
        <w:t>n</w:t>
      </w:r>
      <w:r w:rsidRPr="00192EC4">
        <w:rPr>
          <w:rFonts w:ascii="Arial" w:eastAsia="Arial" w:hAnsi="Arial" w:cs="Arial"/>
          <w:spacing w:val="-1"/>
        </w:rPr>
        <w:t xml:space="preserve"> </w:t>
      </w:r>
      <w:r w:rsidRPr="00192EC4">
        <w:rPr>
          <w:rFonts w:ascii="Arial" w:eastAsia="Arial" w:hAnsi="Arial" w:cs="Arial"/>
        </w:rPr>
        <w:t>e</w:t>
      </w:r>
      <w:r w:rsidRPr="00192EC4">
        <w:rPr>
          <w:rFonts w:ascii="Arial" w:eastAsia="Arial" w:hAnsi="Arial" w:cs="Arial"/>
          <w:spacing w:val="-3"/>
        </w:rPr>
        <w:t>x</w:t>
      </w:r>
      <w:r w:rsidRPr="00192EC4">
        <w:rPr>
          <w:rFonts w:ascii="Arial" w:eastAsia="Arial" w:hAnsi="Arial" w:cs="Arial"/>
          <w:spacing w:val="-1"/>
        </w:rPr>
        <w:t>i</w:t>
      </w:r>
      <w:r w:rsidRPr="00192EC4">
        <w:rPr>
          <w:rFonts w:ascii="Arial" w:eastAsia="Arial" w:hAnsi="Arial" w:cs="Arial"/>
        </w:rPr>
        <w:t>s</w:t>
      </w:r>
      <w:r w:rsidRPr="00192EC4">
        <w:rPr>
          <w:rFonts w:ascii="Arial" w:eastAsia="Arial" w:hAnsi="Arial" w:cs="Arial"/>
          <w:spacing w:val="1"/>
        </w:rPr>
        <w:t>ti</w:t>
      </w:r>
      <w:r w:rsidRPr="00192EC4">
        <w:rPr>
          <w:rFonts w:ascii="Arial" w:eastAsia="Arial" w:hAnsi="Arial" w:cs="Arial"/>
        </w:rPr>
        <w:t>ng</w:t>
      </w:r>
      <w:r w:rsidRPr="00192EC4">
        <w:rPr>
          <w:rFonts w:ascii="Arial" w:eastAsia="Arial" w:hAnsi="Arial" w:cs="Arial"/>
          <w:spacing w:val="1"/>
        </w:rPr>
        <w:t xml:space="preserve"> </w:t>
      </w:r>
      <w:r w:rsidRPr="00192EC4">
        <w:rPr>
          <w:rFonts w:ascii="Arial" w:eastAsia="Arial" w:hAnsi="Arial" w:cs="Arial"/>
        </w:rPr>
        <w:t>b</w:t>
      </w:r>
      <w:r w:rsidRPr="00192EC4">
        <w:rPr>
          <w:rFonts w:ascii="Arial" w:eastAsia="Arial" w:hAnsi="Arial" w:cs="Arial"/>
          <w:spacing w:val="-1"/>
        </w:rPr>
        <w:t>u</w:t>
      </w:r>
      <w:r w:rsidRPr="00192EC4">
        <w:rPr>
          <w:rFonts w:ascii="Arial" w:eastAsia="Arial" w:hAnsi="Arial" w:cs="Arial"/>
          <w:spacing w:val="-3"/>
        </w:rPr>
        <w:t>d</w:t>
      </w:r>
      <w:r w:rsidRPr="00192EC4">
        <w:rPr>
          <w:rFonts w:ascii="Arial" w:eastAsia="Arial" w:hAnsi="Arial" w:cs="Arial"/>
          <w:spacing w:val="2"/>
        </w:rPr>
        <w:t>g</w:t>
      </w:r>
      <w:r w:rsidRPr="00192EC4">
        <w:rPr>
          <w:rFonts w:ascii="Arial" w:eastAsia="Arial" w:hAnsi="Arial" w:cs="Arial"/>
          <w:spacing w:val="-3"/>
        </w:rPr>
        <w:t>e</w:t>
      </w:r>
      <w:r w:rsidRPr="00192EC4">
        <w:rPr>
          <w:rFonts w:ascii="Arial" w:eastAsia="Arial" w:hAnsi="Arial" w:cs="Arial"/>
          <w:spacing w:val="1"/>
        </w:rPr>
        <w:t>t</w:t>
      </w:r>
      <w:r w:rsidRPr="00192EC4">
        <w:rPr>
          <w:rFonts w:ascii="Arial" w:eastAsia="Arial" w:hAnsi="Arial" w:cs="Arial"/>
        </w:rPr>
        <w:t>s</w:t>
      </w:r>
      <w:r w:rsidRPr="00192EC4">
        <w:rPr>
          <w:rFonts w:ascii="Arial" w:eastAsia="Arial" w:hAnsi="Arial" w:cs="Arial"/>
          <w:spacing w:val="3"/>
        </w:rPr>
        <w:t xml:space="preserve"> </w:t>
      </w:r>
      <w:r w:rsidRPr="00192EC4">
        <w:rPr>
          <w:rFonts w:ascii="Arial" w:eastAsia="Arial" w:hAnsi="Arial" w:cs="Arial"/>
        </w:rPr>
        <w:t>a</w:t>
      </w:r>
      <w:r w:rsidRPr="00192EC4">
        <w:rPr>
          <w:rFonts w:ascii="Arial" w:eastAsia="Arial" w:hAnsi="Arial" w:cs="Arial"/>
          <w:spacing w:val="-1"/>
        </w:rPr>
        <w:t>n</w:t>
      </w:r>
      <w:r w:rsidRPr="00192EC4">
        <w:rPr>
          <w:rFonts w:ascii="Arial" w:eastAsia="Arial" w:hAnsi="Arial" w:cs="Arial"/>
        </w:rPr>
        <w:t>d</w:t>
      </w:r>
      <w:r w:rsidRPr="00192EC4">
        <w:rPr>
          <w:rFonts w:ascii="Arial" w:eastAsia="Arial" w:hAnsi="Arial" w:cs="Arial"/>
          <w:spacing w:val="-4"/>
        </w:rPr>
        <w:t xml:space="preserve"> </w:t>
      </w:r>
      <w:r w:rsidRPr="00192EC4">
        <w:rPr>
          <w:rFonts w:ascii="Arial" w:eastAsia="Arial" w:hAnsi="Arial" w:cs="Arial"/>
        </w:rPr>
        <w:t>c</w:t>
      </w:r>
      <w:r w:rsidRPr="00192EC4">
        <w:rPr>
          <w:rFonts w:ascii="Arial" w:eastAsia="Arial" w:hAnsi="Arial" w:cs="Arial"/>
          <w:spacing w:val="-1"/>
        </w:rPr>
        <w:t>l</w:t>
      </w:r>
      <w:r w:rsidRPr="00192EC4">
        <w:rPr>
          <w:rFonts w:ascii="Arial" w:eastAsia="Arial" w:hAnsi="Arial" w:cs="Arial"/>
        </w:rPr>
        <w:t>e</w:t>
      </w:r>
      <w:r w:rsidRPr="00192EC4">
        <w:rPr>
          <w:rFonts w:ascii="Arial" w:eastAsia="Arial" w:hAnsi="Arial" w:cs="Arial"/>
          <w:spacing w:val="-1"/>
        </w:rPr>
        <w:t>a</w:t>
      </w:r>
      <w:r w:rsidRPr="00192EC4">
        <w:rPr>
          <w:rFonts w:ascii="Arial" w:eastAsia="Arial" w:hAnsi="Arial" w:cs="Arial"/>
        </w:rPr>
        <w:t>r</w:t>
      </w:r>
      <w:r w:rsidRPr="00192EC4">
        <w:rPr>
          <w:rFonts w:ascii="Arial" w:eastAsia="Arial" w:hAnsi="Arial" w:cs="Arial"/>
          <w:spacing w:val="-3"/>
        </w:rPr>
        <w:t xml:space="preserve"> </w:t>
      </w:r>
      <w:r w:rsidRPr="00192EC4">
        <w:rPr>
          <w:rFonts w:ascii="Arial" w:eastAsia="Arial" w:hAnsi="Arial" w:cs="Arial"/>
          <w:spacing w:val="1"/>
        </w:rPr>
        <w:t>r</w:t>
      </w:r>
      <w:r w:rsidRPr="00192EC4">
        <w:rPr>
          <w:rFonts w:ascii="Arial" w:eastAsia="Arial" w:hAnsi="Arial" w:cs="Arial"/>
        </w:rPr>
        <w:t>i</w:t>
      </w:r>
      <w:r w:rsidRPr="00192EC4">
        <w:rPr>
          <w:rFonts w:ascii="Arial" w:eastAsia="Arial" w:hAnsi="Arial" w:cs="Arial"/>
          <w:spacing w:val="-2"/>
        </w:rPr>
        <w:t>s</w:t>
      </w:r>
      <w:r w:rsidRPr="00192EC4">
        <w:rPr>
          <w:rFonts w:ascii="Arial" w:eastAsia="Arial" w:hAnsi="Arial" w:cs="Arial"/>
        </w:rPr>
        <w:t>k</w:t>
      </w:r>
      <w:r w:rsidRPr="00192EC4">
        <w:rPr>
          <w:rFonts w:ascii="Arial" w:eastAsia="Arial" w:hAnsi="Arial" w:cs="Arial"/>
          <w:spacing w:val="-1"/>
        </w:rPr>
        <w:t xml:space="preserve"> </w:t>
      </w:r>
      <w:r w:rsidRPr="00192EC4">
        <w:rPr>
          <w:rFonts w:ascii="Arial" w:eastAsia="Arial" w:hAnsi="Arial" w:cs="Arial"/>
          <w:spacing w:val="1"/>
        </w:rPr>
        <w:t>m</w:t>
      </w:r>
      <w:r w:rsidRPr="00192EC4">
        <w:rPr>
          <w:rFonts w:ascii="Arial" w:eastAsia="Arial" w:hAnsi="Arial" w:cs="Arial"/>
        </w:rPr>
        <w:t>a</w:t>
      </w:r>
      <w:r w:rsidRPr="00192EC4">
        <w:rPr>
          <w:rFonts w:ascii="Arial" w:eastAsia="Arial" w:hAnsi="Arial" w:cs="Arial"/>
          <w:spacing w:val="-1"/>
        </w:rPr>
        <w:t>n</w:t>
      </w:r>
      <w:r w:rsidRPr="00192EC4">
        <w:rPr>
          <w:rFonts w:ascii="Arial" w:eastAsia="Arial" w:hAnsi="Arial" w:cs="Arial"/>
          <w:spacing w:val="-3"/>
        </w:rPr>
        <w:t>a</w:t>
      </w:r>
      <w:r w:rsidRPr="00192EC4">
        <w:rPr>
          <w:rFonts w:ascii="Arial" w:eastAsia="Arial" w:hAnsi="Arial" w:cs="Arial"/>
          <w:spacing w:val="2"/>
        </w:rPr>
        <w:t>g</w:t>
      </w:r>
      <w:r w:rsidRPr="00192EC4">
        <w:rPr>
          <w:rFonts w:ascii="Arial" w:eastAsia="Arial" w:hAnsi="Arial" w:cs="Arial"/>
          <w:spacing w:val="-3"/>
        </w:rPr>
        <w:t>e</w:t>
      </w:r>
      <w:r w:rsidRPr="00192EC4">
        <w:rPr>
          <w:rFonts w:ascii="Arial" w:eastAsia="Arial" w:hAnsi="Arial" w:cs="Arial"/>
          <w:spacing w:val="1"/>
        </w:rPr>
        <w:t>m</w:t>
      </w:r>
      <w:r w:rsidRPr="00192EC4">
        <w:rPr>
          <w:rFonts w:ascii="Arial" w:eastAsia="Arial" w:hAnsi="Arial" w:cs="Arial"/>
        </w:rPr>
        <w:t>e</w:t>
      </w:r>
      <w:r w:rsidRPr="00192EC4">
        <w:rPr>
          <w:rFonts w:ascii="Arial" w:eastAsia="Arial" w:hAnsi="Arial" w:cs="Arial"/>
          <w:spacing w:val="-1"/>
        </w:rPr>
        <w:t>n</w:t>
      </w:r>
      <w:r w:rsidRPr="00192EC4">
        <w:rPr>
          <w:rFonts w:ascii="Arial" w:eastAsia="Arial" w:hAnsi="Arial" w:cs="Arial"/>
        </w:rPr>
        <w:t>t proces</w:t>
      </w:r>
      <w:r w:rsidRPr="00192EC4">
        <w:rPr>
          <w:rFonts w:ascii="Arial" w:eastAsia="Arial" w:hAnsi="Arial" w:cs="Arial"/>
          <w:spacing w:val="-3"/>
        </w:rPr>
        <w:t>s</w:t>
      </w:r>
      <w:r w:rsidRPr="00192EC4">
        <w:rPr>
          <w:rFonts w:ascii="Arial" w:eastAsia="Arial" w:hAnsi="Arial" w:cs="Arial"/>
        </w:rPr>
        <w:t>.</w:t>
      </w:r>
    </w:p>
    <w:p w14:paraId="2DA23C3C" w14:textId="77777777" w:rsidR="00201027" w:rsidRPr="00192EC4" w:rsidRDefault="00201027" w:rsidP="006F1659">
      <w:pPr>
        <w:tabs>
          <w:tab w:val="left" w:pos="0"/>
        </w:tabs>
        <w:spacing w:line="360" w:lineRule="auto"/>
        <w:ind w:right="79"/>
        <w:rPr>
          <w:rFonts w:ascii="Arial" w:eastAsia="Arial" w:hAnsi="Arial" w:cs="Arial"/>
        </w:rPr>
      </w:pPr>
    </w:p>
    <w:p w14:paraId="16DB04D1" w14:textId="77777777" w:rsidR="00BE35F9" w:rsidRPr="00192EC4" w:rsidRDefault="00BE35F9" w:rsidP="006F1659">
      <w:pPr>
        <w:pStyle w:val="Heading3"/>
        <w:spacing w:after="160" w:line="360" w:lineRule="auto"/>
      </w:pPr>
      <w:r w:rsidRPr="00192EC4">
        <w:t>Outlook for the future – financial landscape.</w:t>
      </w:r>
      <w:bookmarkEnd w:id="34"/>
    </w:p>
    <w:p w14:paraId="6B547A73" w14:textId="45ED0DDB" w:rsidR="00BE35F9" w:rsidRPr="00192EC4" w:rsidRDefault="00BE35F9" w:rsidP="006F1659">
      <w:pPr>
        <w:spacing w:line="360" w:lineRule="auto"/>
        <w:rPr>
          <w:rFonts w:ascii="Arial" w:hAnsi="Arial" w:cs="Arial"/>
        </w:rPr>
      </w:pPr>
      <w:bookmarkStart w:id="37" w:name="_Hlk140072525"/>
      <w:bookmarkEnd w:id="35"/>
      <w:r w:rsidRPr="00192EC4">
        <w:rPr>
          <w:rFonts w:ascii="Arial" w:hAnsi="Arial" w:cs="Arial"/>
        </w:rPr>
        <w:t xml:space="preserve">The most recent Spending Reviews for PCCs and Fire and Rescue Services only cover the period up to 2024/25 and in December 2022 the government confirmed a one-year settlement in 2023/24. Medium term financial planning reflects estimated funding for the following two years, with very little certainty for 2025/26. The Home Office is currently undertaking a review of the funding formula for Police and Crime. The intention is to move to a weighted demand which will impact GM’s proportion of national funding.  </w:t>
      </w:r>
    </w:p>
    <w:p w14:paraId="22EA7448" w14:textId="77777777" w:rsidR="00BE35F9" w:rsidRPr="00192EC4" w:rsidRDefault="00BE35F9" w:rsidP="006F1659">
      <w:pPr>
        <w:spacing w:line="360" w:lineRule="auto"/>
        <w:rPr>
          <w:rFonts w:ascii="Arial" w:hAnsi="Arial" w:cs="Arial"/>
        </w:rPr>
      </w:pPr>
    </w:p>
    <w:p w14:paraId="177BB438" w14:textId="70EA4A77" w:rsidR="00BE35F9" w:rsidRPr="00192EC4" w:rsidRDefault="00BE35F9" w:rsidP="006F1659">
      <w:pPr>
        <w:spacing w:line="360" w:lineRule="auto"/>
        <w:rPr>
          <w:rFonts w:ascii="Arial" w:hAnsi="Arial" w:cs="Arial"/>
        </w:rPr>
      </w:pPr>
      <w:r w:rsidRPr="00192EC4">
        <w:rPr>
          <w:rFonts w:ascii="Arial" w:hAnsi="Arial" w:cs="Arial"/>
        </w:rPr>
        <w:t>There is an inherent financial risk across all areas of the GMCA with inflation as a consequence of the challenging global economic environment, the cost</w:t>
      </w:r>
      <w:r w:rsidR="00923EED">
        <w:rPr>
          <w:rFonts w:ascii="Arial" w:hAnsi="Arial" w:cs="Arial"/>
        </w:rPr>
        <w:t>-</w:t>
      </w:r>
      <w:r w:rsidRPr="00192EC4">
        <w:rPr>
          <w:rFonts w:ascii="Arial" w:hAnsi="Arial" w:cs="Arial"/>
        </w:rPr>
        <w:t>of</w:t>
      </w:r>
      <w:r w:rsidR="00923EED">
        <w:rPr>
          <w:rFonts w:ascii="Arial" w:hAnsi="Arial" w:cs="Arial"/>
        </w:rPr>
        <w:t>-</w:t>
      </w:r>
      <w:r w:rsidRPr="00192EC4">
        <w:rPr>
          <w:rFonts w:ascii="Arial" w:hAnsi="Arial" w:cs="Arial"/>
        </w:rPr>
        <w:t>living crisis</w:t>
      </w:r>
      <w:r w:rsidR="00923EED">
        <w:rPr>
          <w:rFonts w:ascii="Arial" w:hAnsi="Arial" w:cs="Arial"/>
        </w:rPr>
        <w:t xml:space="preserve"> </w:t>
      </w:r>
      <w:r w:rsidRPr="00192EC4">
        <w:rPr>
          <w:rFonts w:ascii="Arial" w:hAnsi="Arial" w:cs="Arial"/>
        </w:rPr>
        <w:t>and pandemic recovery impacting particularly on transport revenues. The outcome of pay negotiations is difficult to predict and the availability of government funding to meet pressures is not confirmed.</w:t>
      </w:r>
    </w:p>
    <w:p w14:paraId="7FBD7572" w14:textId="77777777" w:rsidR="00BE35F9" w:rsidRPr="00192EC4" w:rsidRDefault="00BE35F9" w:rsidP="006F1659">
      <w:pPr>
        <w:spacing w:line="360" w:lineRule="auto"/>
        <w:rPr>
          <w:rFonts w:ascii="Arial" w:hAnsi="Arial" w:cs="Arial"/>
        </w:rPr>
      </w:pPr>
    </w:p>
    <w:p w14:paraId="224FA3F5" w14:textId="60B05900" w:rsidR="00BE35F9" w:rsidRPr="00192EC4" w:rsidRDefault="00BE35F9" w:rsidP="006F1659">
      <w:pPr>
        <w:spacing w:line="360" w:lineRule="auto"/>
        <w:rPr>
          <w:rFonts w:ascii="Arial" w:hAnsi="Arial" w:cs="Arial"/>
        </w:rPr>
      </w:pPr>
      <w:r w:rsidRPr="00192EC4">
        <w:rPr>
          <w:rFonts w:ascii="Arial" w:hAnsi="Arial" w:cs="Arial"/>
        </w:rPr>
        <w:t xml:space="preserve">Capital schemes and associated expenditure profiles have been impacted by global pressures on construction materials availability, associated pricing and inflationary pressures. It is anticipated that these impacts will continue in the medium term. The organisation has responded to this by TfGM and local authority partners bringing together all planned infrastructure expenditure with revenue and capital funding requirements up to the end of March 2027 to support prioritisation and contingency planning within available resources.  </w:t>
      </w:r>
    </w:p>
    <w:p w14:paraId="6451A620" w14:textId="77777777" w:rsidR="00BE35F9" w:rsidRPr="00192EC4" w:rsidRDefault="00BE35F9" w:rsidP="006F1659">
      <w:pPr>
        <w:spacing w:line="360" w:lineRule="auto"/>
        <w:rPr>
          <w:rFonts w:ascii="Arial" w:hAnsi="Arial" w:cs="Arial"/>
        </w:rPr>
      </w:pPr>
    </w:p>
    <w:p w14:paraId="2B5EF557" w14:textId="77777777" w:rsidR="00BE35F9" w:rsidRPr="00192EC4" w:rsidRDefault="00BE35F9" w:rsidP="006F1659">
      <w:pPr>
        <w:spacing w:line="360" w:lineRule="auto"/>
        <w:rPr>
          <w:rFonts w:ascii="Arial" w:hAnsi="Arial" w:cs="Arial"/>
        </w:rPr>
      </w:pPr>
      <w:r w:rsidRPr="00192EC4">
        <w:rPr>
          <w:rFonts w:ascii="Arial" w:hAnsi="Arial" w:cs="Arial"/>
        </w:rPr>
        <w:t xml:space="preserve">The current Business Rates Growth Retention Pilot includes a proportion retained by GMCA to support GMS priorities, which will be impacted by a business rates baseline reset expected by 2025/26. Whilst a ‘partial reset’ is expected to provide scope for Greater Manchester local authorities to retain some of the local growth under the pilot, the details of this are still to be determined.  </w:t>
      </w:r>
    </w:p>
    <w:p w14:paraId="74F6CAAB" w14:textId="77777777" w:rsidR="00BE35F9" w:rsidRPr="00192EC4" w:rsidRDefault="00BE35F9" w:rsidP="006F1659">
      <w:pPr>
        <w:spacing w:line="360" w:lineRule="auto"/>
        <w:rPr>
          <w:rFonts w:ascii="Arial" w:hAnsi="Arial" w:cs="Arial"/>
        </w:rPr>
      </w:pPr>
    </w:p>
    <w:p w14:paraId="3AC9E793" w14:textId="5D6C91CC" w:rsidR="00BE35F9" w:rsidRDefault="00BE35F9" w:rsidP="006F1659">
      <w:pPr>
        <w:spacing w:line="360" w:lineRule="auto"/>
        <w:rPr>
          <w:rFonts w:ascii="Arial" w:hAnsi="Arial" w:cs="Arial"/>
        </w:rPr>
      </w:pPr>
      <w:r w:rsidRPr="00192EC4">
        <w:rPr>
          <w:rFonts w:ascii="Arial" w:hAnsi="Arial" w:cs="Arial"/>
        </w:rPr>
        <w:t xml:space="preserve">On a positive note as part of the ‘Trailblazer Devolution Deal’ the government has recently announced a longer-term commitment on the retention of the growth in </w:t>
      </w:r>
      <w:r w:rsidRPr="00192EC4">
        <w:rPr>
          <w:rFonts w:ascii="Arial" w:hAnsi="Arial" w:cs="Arial"/>
        </w:rPr>
        <w:lastRenderedPageBreak/>
        <w:t xml:space="preserve">Business Rates for </w:t>
      </w:r>
      <w:r w:rsidR="006A7A2D" w:rsidRPr="00192EC4">
        <w:rPr>
          <w:rFonts w:ascii="Arial" w:hAnsi="Arial" w:cs="Arial"/>
        </w:rPr>
        <w:t>ten</w:t>
      </w:r>
      <w:r w:rsidRPr="00192EC4">
        <w:rPr>
          <w:rFonts w:ascii="Arial" w:hAnsi="Arial" w:cs="Arial"/>
        </w:rPr>
        <w:t xml:space="preserve"> years and new ‘Growth Zones’ in addition to ‘Investment Zones’ where business rates growth above an agreed baseline can be retained for 25 years. Furthermore, the single settlement should provide a consolidated, long</w:t>
      </w:r>
      <w:r w:rsidR="00F3496D" w:rsidRPr="00192EC4">
        <w:rPr>
          <w:rFonts w:ascii="Arial" w:hAnsi="Arial" w:cs="Arial"/>
        </w:rPr>
        <w:t xml:space="preserve"> </w:t>
      </w:r>
      <w:r w:rsidRPr="00192EC4">
        <w:rPr>
          <w:rFonts w:ascii="Arial" w:hAnsi="Arial" w:cs="Arial"/>
        </w:rPr>
        <w:t xml:space="preserve">term budget for GMCA set at spending reviews and based on thematic functions to replace the complexity of numerous different grants projects and programmes.  </w:t>
      </w:r>
    </w:p>
    <w:p w14:paraId="2C398C53" w14:textId="77777777" w:rsidR="00507AE3" w:rsidRPr="00192EC4" w:rsidRDefault="00507AE3" w:rsidP="006F1659">
      <w:pPr>
        <w:spacing w:line="360" w:lineRule="auto"/>
        <w:rPr>
          <w:rFonts w:ascii="Arial" w:hAnsi="Arial" w:cs="Arial"/>
        </w:rPr>
      </w:pPr>
    </w:p>
    <w:p w14:paraId="6EC5CA24" w14:textId="77777777" w:rsidR="00BE35F9" w:rsidRPr="00192EC4" w:rsidRDefault="00BE35F9" w:rsidP="006F1659">
      <w:pPr>
        <w:pStyle w:val="Heading3"/>
        <w:spacing w:line="360" w:lineRule="auto"/>
      </w:pPr>
      <w:bookmarkStart w:id="38" w:name="_Toc109922595"/>
      <w:bookmarkEnd w:id="37"/>
      <w:r w:rsidRPr="00192EC4">
        <w:t>What is in the Statements of Accounts?</w:t>
      </w:r>
      <w:bookmarkEnd w:id="38"/>
    </w:p>
    <w:p w14:paraId="34E8BBD1" w14:textId="77777777" w:rsidR="00BE35F9" w:rsidRPr="00192EC4" w:rsidRDefault="00BE35F9" w:rsidP="006F1659">
      <w:pPr>
        <w:spacing w:line="360" w:lineRule="auto"/>
      </w:pPr>
    </w:p>
    <w:p w14:paraId="5F7A1AC3" w14:textId="77777777" w:rsidR="00BE35F9" w:rsidRPr="00192EC4" w:rsidRDefault="00BE35F9" w:rsidP="006F1659">
      <w:pPr>
        <w:pStyle w:val="Normal0"/>
        <w:spacing w:afterLines="160" w:after="384" w:line="360" w:lineRule="auto"/>
        <w:rPr>
          <w:rFonts w:ascii="Arial" w:hAnsi="Arial" w:cs="Arial"/>
          <w:sz w:val="24"/>
          <w:szCs w:val="24"/>
          <w:lang w:val="en-GB"/>
        </w:rPr>
      </w:pPr>
      <w:r w:rsidRPr="00192EC4">
        <w:rPr>
          <w:rFonts w:ascii="Arial" w:hAnsi="Arial" w:cs="Arial"/>
          <w:sz w:val="24"/>
          <w:szCs w:val="24"/>
          <w:lang w:val="en-GB"/>
        </w:rPr>
        <w:t>The Accounts are prepared using International Financial Reporting Standards (IFRS). These are the same standards that a large company would use in preparing its financial statements. The following paragraphs give a brief explanation of the purpose and relationship between each of the main statements, which make up the Authority’s Annual Statement of Accounts.</w:t>
      </w:r>
    </w:p>
    <w:p w14:paraId="6A61A2DF" w14:textId="77777777" w:rsidR="00BE35F9" w:rsidRPr="00BE35F9" w:rsidRDefault="00BE35F9" w:rsidP="006F1659">
      <w:pPr>
        <w:pStyle w:val="Heading4bold"/>
        <w:spacing w:line="360" w:lineRule="auto"/>
      </w:pPr>
      <w:r w:rsidRPr="00BE35F9">
        <w:t>Statement of Responsibilities for the Statement of Accounts</w:t>
      </w:r>
    </w:p>
    <w:p w14:paraId="3EB244C4" w14:textId="77777777" w:rsidR="00BE35F9" w:rsidRPr="00BE35F9" w:rsidRDefault="00BE35F9" w:rsidP="006F1659">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The statement confirms the responsibilities of the Authority and the Treasurer for the production and content of the Annual Statement of Accounts</w:t>
      </w:r>
    </w:p>
    <w:p w14:paraId="79A0F37C" w14:textId="77777777" w:rsidR="00507AE3" w:rsidRPr="00BE35F9" w:rsidRDefault="00507AE3" w:rsidP="00507AE3">
      <w:pPr>
        <w:pStyle w:val="Heading4bold"/>
        <w:spacing w:line="360" w:lineRule="auto"/>
      </w:pPr>
      <w:r w:rsidRPr="00BE35F9">
        <w:t>Comprehensive Income and Expenditure Statement (CIES)</w:t>
      </w:r>
    </w:p>
    <w:p w14:paraId="2EA9E6E4" w14:textId="77777777" w:rsidR="00507AE3" w:rsidRPr="00BE35F9" w:rsidRDefault="00507AE3" w:rsidP="00507AE3">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 xml:space="preserve">This statement shows the accounting cost in the year of providing services in accordance with International Financial Reporting Standards (IFRS), rather than the amount to be funded by local taxpayers. </w:t>
      </w:r>
    </w:p>
    <w:p w14:paraId="5804E16D" w14:textId="77777777" w:rsidR="00BE35F9" w:rsidRPr="00BE35F9" w:rsidRDefault="00BE35F9" w:rsidP="006F1659">
      <w:pPr>
        <w:pStyle w:val="Heading4bold"/>
        <w:spacing w:line="360" w:lineRule="auto"/>
      </w:pPr>
      <w:r w:rsidRPr="00BE35F9">
        <w:t>Movement in Reserves Statement (MIRS)</w:t>
      </w:r>
    </w:p>
    <w:p w14:paraId="4E4904B7" w14:textId="2F446BA2" w:rsidR="00BE35F9" w:rsidRPr="00BE35F9" w:rsidRDefault="00BE35F9" w:rsidP="006F1659">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 xml:space="preserve">This statement shows the movement in the year on the different reserves. It shows how the deficit for the year in the Comprehensive Income and Expenditure </w:t>
      </w:r>
      <w:r w:rsidR="00192EC4">
        <w:rPr>
          <w:rFonts w:ascii="Arial" w:hAnsi="Arial" w:cs="Arial"/>
          <w:sz w:val="24"/>
          <w:szCs w:val="24"/>
          <w:lang w:val="en-GB"/>
        </w:rPr>
        <w:t>S</w:t>
      </w:r>
      <w:r w:rsidRPr="00BE35F9">
        <w:rPr>
          <w:rFonts w:ascii="Arial" w:hAnsi="Arial" w:cs="Arial"/>
          <w:sz w:val="24"/>
          <w:szCs w:val="24"/>
          <w:lang w:val="en-GB"/>
        </w:rPr>
        <w:t xml:space="preserve">tatement is adjusted by the costs that are not a charge to local taxpayers. </w:t>
      </w:r>
    </w:p>
    <w:p w14:paraId="2336DB7C" w14:textId="77777777" w:rsidR="00BE35F9" w:rsidRPr="00BE35F9" w:rsidRDefault="00BE35F9" w:rsidP="006F1659">
      <w:pPr>
        <w:pStyle w:val="Heading4bold"/>
        <w:spacing w:line="360" w:lineRule="auto"/>
      </w:pPr>
      <w:r w:rsidRPr="00BE35F9">
        <w:t>Balance Sheet (BS)</w:t>
      </w:r>
    </w:p>
    <w:p w14:paraId="0A8EF9B2" w14:textId="77777777" w:rsidR="00BE35F9" w:rsidRPr="00BE35F9" w:rsidRDefault="00BE35F9" w:rsidP="006F1659">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The balance sheet shows the value as at the balance sheet date of the Authority’s recognised assets and liabilities.</w:t>
      </w:r>
    </w:p>
    <w:p w14:paraId="2A0DC661" w14:textId="77777777" w:rsidR="00BE35F9" w:rsidRPr="00BE35F9" w:rsidRDefault="00BE35F9" w:rsidP="006F1659">
      <w:pPr>
        <w:pStyle w:val="Heading4bold"/>
        <w:spacing w:line="360" w:lineRule="auto"/>
      </w:pPr>
      <w:r w:rsidRPr="00BE35F9">
        <w:lastRenderedPageBreak/>
        <w:t>Cash Flow Statement</w:t>
      </w:r>
    </w:p>
    <w:p w14:paraId="6D80513A" w14:textId="77777777" w:rsidR="00BE35F9" w:rsidRPr="00BE35F9" w:rsidRDefault="00BE35F9" w:rsidP="006F1659">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 xml:space="preserve">This statement shows the changes in cash and cash equivalents held by the Authority during the reporting period. </w:t>
      </w:r>
    </w:p>
    <w:p w14:paraId="0463FEA3" w14:textId="77777777" w:rsidR="00507AE3" w:rsidRPr="00BE35F9" w:rsidRDefault="00507AE3" w:rsidP="00507AE3">
      <w:pPr>
        <w:pStyle w:val="Heading4bold"/>
        <w:spacing w:line="360" w:lineRule="auto"/>
      </w:pPr>
      <w:r w:rsidRPr="00BE35F9">
        <w:t>Notes to the Financial Statements</w:t>
      </w:r>
    </w:p>
    <w:p w14:paraId="0B2C595B" w14:textId="77777777" w:rsidR="00507AE3" w:rsidRPr="00BE35F9" w:rsidRDefault="00507AE3" w:rsidP="00507AE3">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These include information required by the Code and additional material items of interest to assist the reader</w:t>
      </w:r>
      <w:r>
        <w:rPr>
          <w:rFonts w:ascii="Arial" w:hAnsi="Arial" w:cs="Arial"/>
          <w:sz w:val="24"/>
          <w:szCs w:val="24"/>
          <w:lang w:val="en-GB"/>
        </w:rPr>
        <w:t>’</w:t>
      </w:r>
      <w:r w:rsidRPr="00BE35F9">
        <w:rPr>
          <w:rFonts w:ascii="Arial" w:hAnsi="Arial" w:cs="Arial"/>
          <w:sz w:val="24"/>
          <w:szCs w:val="24"/>
          <w:lang w:val="en-GB"/>
        </w:rPr>
        <w:t>s understanding of the reported figures.</w:t>
      </w:r>
    </w:p>
    <w:p w14:paraId="28005D2D" w14:textId="77777777" w:rsidR="00507AE3" w:rsidRPr="00BE35F9" w:rsidRDefault="00507AE3" w:rsidP="00507AE3">
      <w:pPr>
        <w:pStyle w:val="Heading4bold"/>
        <w:spacing w:line="360" w:lineRule="auto"/>
      </w:pPr>
      <w:r w:rsidRPr="00BE35F9">
        <w:t>Accounting Policies and Concepts</w:t>
      </w:r>
    </w:p>
    <w:p w14:paraId="310350B4" w14:textId="77777777" w:rsidR="00507AE3" w:rsidRPr="00BE35F9" w:rsidRDefault="00507AE3" w:rsidP="00507AE3">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 xml:space="preserve">These are the specific principles, bases, conventions, rules and practices applied by the Authority in preparing and presenting the financial statements. </w:t>
      </w:r>
    </w:p>
    <w:p w14:paraId="27CE90CE" w14:textId="77777777" w:rsidR="00507AE3" w:rsidRPr="00BE35F9" w:rsidRDefault="00507AE3" w:rsidP="00507AE3">
      <w:pPr>
        <w:pStyle w:val="Heading4bold"/>
        <w:spacing w:line="360" w:lineRule="auto"/>
      </w:pPr>
      <w:r w:rsidRPr="00BE35F9">
        <w:t>Events after the reporting period and authorised for issue date</w:t>
      </w:r>
    </w:p>
    <w:p w14:paraId="3A9607C7" w14:textId="77777777" w:rsidR="00507AE3" w:rsidRPr="00BE35F9" w:rsidRDefault="00507AE3" w:rsidP="00507AE3">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This summarises any major events that happened between the year end and the authorised for issue date. Events coming to light after the authorised for issue date will not be included in the financial statements.</w:t>
      </w:r>
    </w:p>
    <w:p w14:paraId="6EB8FDAD" w14:textId="77777777" w:rsidR="00BE35F9" w:rsidRPr="00BE35F9" w:rsidRDefault="00BE35F9" w:rsidP="006F1659">
      <w:pPr>
        <w:pStyle w:val="Heading4bold"/>
        <w:spacing w:line="360" w:lineRule="auto"/>
      </w:pPr>
      <w:r w:rsidRPr="00BE35F9">
        <w:t>Expenditure and Funding Analysis</w:t>
      </w:r>
    </w:p>
    <w:p w14:paraId="49E8CD5C" w14:textId="77777777" w:rsidR="00BE35F9" w:rsidRPr="00BE35F9" w:rsidRDefault="00BE35F9" w:rsidP="006F1659">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This analysis shows how annual expenditure is used and funded from resources (government grants, precept and levy) by the Authority in comparison with those resources consumed or earned in accordance with generally accepted accounting practices.</w:t>
      </w:r>
    </w:p>
    <w:p w14:paraId="4C1652CC" w14:textId="77777777" w:rsidR="00BE35F9" w:rsidRPr="00BE35F9" w:rsidRDefault="00BE35F9" w:rsidP="006F1659">
      <w:pPr>
        <w:pStyle w:val="Heading4bold"/>
        <w:spacing w:line="360" w:lineRule="auto"/>
      </w:pPr>
      <w:r w:rsidRPr="00BE35F9">
        <w:t>Group Accounts</w:t>
      </w:r>
    </w:p>
    <w:p w14:paraId="0F732D43" w14:textId="77777777" w:rsidR="00BE35F9" w:rsidRPr="00BE35F9" w:rsidRDefault="00BE35F9" w:rsidP="006F1659">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These include the accounts of the entities listed earlier in this narrative:</w:t>
      </w:r>
    </w:p>
    <w:p w14:paraId="509C0BF3" w14:textId="5637F069" w:rsidR="00BE35F9" w:rsidRPr="00BE35F9" w:rsidRDefault="00BE35F9" w:rsidP="006F1659">
      <w:pPr>
        <w:pStyle w:val="Normal0"/>
        <w:spacing w:afterLines="160" w:after="384" w:line="360" w:lineRule="auto"/>
        <w:rPr>
          <w:rFonts w:ascii="Arial" w:hAnsi="Arial" w:cs="Arial"/>
          <w:sz w:val="24"/>
          <w:szCs w:val="24"/>
          <w:lang w:val="en-GB"/>
        </w:rPr>
      </w:pPr>
      <w:r w:rsidRPr="00BE35F9">
        <w:rPr>
          <w:rFonts w:ascii="Arial" w:hAnsi="Arial" w:cs="Arial"/>
          <w:sz w:val="24"/>
          <w:szCs w:val="24"/>
          <w:lang w:val="en-GB"/>
        </w:rPr>
        <w:t xml:space="preserve">Transport for Greater Manchester, Chief Constable of Greater Manchester Police, </w:t>
      </w:r>
      <w:r w:rsidRPr="00BE35F9">
        <w:rPr>
          <w:rFonts w:ascii="Arial" w:hAnsi="Arial" w:cs="Arial"/>
          <w:sz w:val="24"/>
          <w:szCs w:val="24"/>
        </w:rPr>
        <w:t>NW Evergreen Holdings Limited Partnership</w:t>
      </w:r>
      <w:r w:rsidR="00192EC4">
        <w:rPr>
          <w:rFonts w:ascii="Arial" w:hAnsi="Arial" w:cs="Arial"/>
          <w:sz w:val="24"/>
          <w:szCs w:val="24"/>
        </w:rPr>
        <w:t>,</w:t>
      </w:r>
      <w:r w:rsidRPr="00BE35F9">
        <w:rPr>
          <w:rFonts w:ascii="Arial" w:hAnsi="Arial" w:cs="Arial"/>
          <w:sz w:val="24"/>
          <w:szCs w:val="24"/>
        </w:rPr>
        <w:t xml:space="preserve"> GM Fund of Funds Limited Partnership</w:t>
      </w:r>
      <w:r w:rsidR="00192EC4">
        <w:rPr>
          <w:rFonts w:ascii="Arial" w:hAnsi="Arial" w:cs="Arial"/>
          <w:sz w:val="24"/>
          <w:szCs w:val="24"/>
        </w:rPr>
        <w:t xml:space="preserve"> and </w:t>
      </w:r>
      <w:r w:rsidR="00192EC4" w:rsidRPr="00A131D4">
        <w:rPr>
          <w:rFonts w:ascii="Arial" w:hAnsi="Arial" w:cs="Arial"/>
          <w:bCs/>
          <w:sz w:val="24"/>
          <w:szCs w:val="24"/>
          <w:lang w:eastAsia="en-GB"/>
        </w:rPr>
        <w:t>Greater Manchester Evergreen 2 LP</w:t>
      </w:r>
      <w:r w:rsidRPr="00BE35F9">
        <w:rPr>
          <w:rFonts w:ascii="Arial" w:hAnsi="Arial" w:cs="Arial"/>
          <w:sz w:val="24"/>
          <w:szCs w:val="24"/>
        </w:rPr>
        <w:t>.</w:t>
      </w:r>
    </w:p>
    <w:p w14:paraId="0D83545A" w14:textId="77777777" w:rsidR="00BE35F9" w:rsidRPr="00BE35F9" w:rsidRDefault="00BE35F9" w:rsidP="006F1659">
      <w:pPr>
        <w:pStyle w:val="Heading4bold"/>
        <w:spacing w:line="360" w:lineRule="auto"/>
      </w:pPr>
      <w:r w:rsidRPr="00BE35F9">
        <w:lastRenderedPageBreak/>
        <w:t>Glossary of financial terms</w:t>
      </w:r>
    </w:p>
    <w:p w14:paraId="0247C9D4" w14:textId="77777777" w:rsidR="00BE35F9" w:rsidRDefault="00BE35F9" w:rsidP="006F1659">
      <w:pPr>
        <w:pStyle w:val="Normal0"/>
        <w:spacing w:line="360" w:lineRule="auto"/>
        <w:rPr>
          <w:rFonts w:ascii="Arial" w:hAnsi="Arial" w:cs="Arial"/>
          <w:sz w:val="24"/>
          <w:szCs w:val="24"/>
          <w:lang w:val="en-GB"/>
        </w:rPr>
      </w:pPr>
      <w:r w:rsidRPr="00BE35F9">
        <w:rPr>
          <w:rFonts w:ascii="Arial" w:hAnsi="Arial" w:cs="Arial"/>
          <w:sz w:val="24"/>
          <w:szCs w:val="24"/>
          <w:lang w:val="en-GB"/>
        </w:rPr>
        <w:t>The nature of this document means that technical words are unavoidable. The glossary found at the end of the document is intended to simplify and explain such words.</w:t>
      </w:r>
    </w:p>
    <w:p w14:paraId="17168849" w14:textId="77777777" w:rsidR="00BE35F9" w:rsidRPr="0007572B" w:rsidRDefault="00BE35F9" w:rsidP="006F1659">
      <w:pPr>
        <w:pStyle w:val="Normal0"/>
        <w:spacing w:line="360" w:lineRule="auto"/>
        <w:rPr>
          <w:rFonts w:ascii="Arial" w:hAnsi="Arial" w:cs="Arial"/>
          <w:sz w:val="24"/>
          <w:szCs w:val="24"/>
          <w:lang w:val="en-GB"/>
        </w:rPr>
      </w:pPr>
    </w:p>
    <w:p w14:paraId="230338BD" w14:textId="77777777" w:rsidR="00AD2D07" w:rsidRPr="0007572B" w:rsidRDefault="00AD2D07" w:rsidP="006F1659">
      <w:pPr>
        <w:pStyle w:val="Normal0"/>
        <w:spacing w:line="360" w:lineRule="auto"/>
        <w:rPr>
          <w:rFonts w:ascii="Arial" w:hAnsi="Arial" w:cs="Arial"/>
          <w:sz w:val="24"/>
          <w:szCs w:val="24"/>
          <w:lang w:val="en-GB"/>
        </w:rPr>
      </w:pPr>
      <w:r w:rsidRPr="0007572B">
        <w:rPr>
          <w:rFonts w:ascii="Arial" w:hAnsi="Arial" w:cs="Arial"/>
          <w:noProof/>
          <w:sz w:val="24"/>
          <w:szCs w:val="24"/>
          <w:lang w:val="en-GB" w:eastAsia="en-GB"/>
        </w:rPr>
        <w:drawing>
          <wp:inline distT="0" distB="0" distL="0" distR="0" wp14:anchorId="3C7AB4E7" wp14:editId="7E0F6263">
            <wp:extent cx="1513840" cy="688387"/>
            <wp:effectExtent l="0" t="0" r="0" b="0"/>
            <wp:docPr id="54" name="Picture 54"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Signature of Steve Wilson, Greater Manchester Combined Authority Treasur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4693" cy="702417"/>
                    </a:xfrm>
                    <a:prstGeom prst="rect">
                      <a:avLst/>
                    </a:prstGeom>
                    <a:noFill/>
                    <a:ln>
                      <a:noFill/>
                    </a:ln>
                  </pic:spPr>
                </pic:pic>
              </a:graphicData>
            </a:graphic>
          </wp:inline>
        </w:drawing>
      </w:r>
    </w:p>
    <w:p w14:paraId="4DA479B6" w14:textId="77777777" w:rsidR="00AD2D07" w:rsidRPr="0007572B" w:rsidRDefault="00AD2D07" w:rsidP="006F1659">
      <w:pPr>
        <w:pStyle w:val="Normal0"/>
        <w:spacing w:line="360" w:lineRule="auto"/>
        <w:rPr>
          <w:rFonts w:ascii="Arial" w:hAnsi="Arial" w:cs="Arial"/>
          <w:b/>
          <w:sz w:val="24"/>
          <w:szCs w:val="24"/>
          <w:lang w:val="en-GB"/>
        </w:rPr>
      </w:pPr>
      <w:r w:rsidRPr="0007572B">
        <w:rPr>
          <w:rFonts w:ascii="Arial" w:hAnsi="Arial" w:cs="Arial"/>
          <w:b/>
          <w:sz w:val="24"/>
          <w:szCs w:val="24"/>
          <w:lang w:val="en-GB"/>
        </w:rPr>
        <w:t>Steve Wilson</w:t>
      </w:r>
    </w:p>
    <w:p w14:paraId="1AE808F8" w14:textId="5B7030A0" w:rsidR="000811AC" w:rsidRPr="0007572B" w:rsidRDefault="00AD2D07" w:rsidP="006F1659">
      <w:pPr>
        <w:pStyle w:val="Normal0"/>
        <w:spacing w:after="1920" w:line="360" w:lineRule="auto"/>
        <w:rPr>
          <w:rFonts w:ascii="Arial" w:hAnsi="Arial" w:cs="Arial"/>
          <w:b/>
          <w:sz w:val="24"/>
          <w:szCs w:val="24"/>
          <w:lang w:val="en-GB"/>
        </w:rPr>
      </w:pPr>
      <w:r w:rsidRPr="0007572B">
        <w:rPr>
          <w:rFonts w:ascii="Arial" w:hAnsi="Arial" w:cs="Arial"/>
          <w:b/>
          <w:sz w:val="24"/>
          <w:szCs w:val="24"/>
          <w:lang w:val="en-GB"/>
        </w:rPr>
        <w:t>Greater Manchester Combined Authority Treasurer</w:t>
      </w:r>
    </w:p>
    <w:p w14:paraId="1B658630" w14:textId="19D8E728" w:rsidR="00FD76D5" w:rsidRPr="0007572B" w:rsidRDefault="00FD76D5" w:rsidP="006F1659">
      <w:pPr>
        <w:spacing w:line="360" w:lineRule="auto"/>
        <w:jc w:val="both"/>
        <w:rPr>
          <w:rStyle w:val="Hyperlink"/>
          <w:rFonts w:ascii="Arial" w:hAnsi="Arial" w:cs="Arial"/>
          <w:b/>
          <w:color w:val="auto"/>
          <w:sz w:val="22"/>
          <w:szCs w:val="22"/>
          <w:highlight w:val="yellow"/>
          <w:u w:val="none"/>
        </w:rPr>
        <w:sectPr w:rsidR="00FD76D5" w:rsidRPr="0007572B" w:rsidSect="004833A2">
          <w:headerReference w:type="default" r:id="rId16"/>
          <w:pgSz w:w="11906" w:h="16838"/>
          <w:pgMar w:top="946" w:right="1416" w:bottom="1440" w:left="1080" w:header="283" w:footer="567" w:gutter="0"/>
          <w:cols w:space="708"/>
          <w:docGrid w:linePitch="360"/>
        </w:sectPr>
      </w:pPr>
    </w:p>
    <w:p w14:paraId="20D99B88" w14:textId="4EE9C805" w:rsidR="00482031" w:rsidRPr="0007572B" w:rsidRDefault="00482031" w:rsidP="006F1659">
      <w:pPr>
        <w:pStyle w:val="Heading2green"/>
        <w:spacing w:line="360" w:lineRule="auto"/>
      </w:pPr>
      <w:bookmarkStart w:id="39" w:name="_Toc109922596"/>
      <w:r w:rsidRPr="0007572B">
        <w:lastRenderedPageBreak/>
        <w:t>Statement of Responsibilities for the Statement of Accounts</w:t>
      </w:r>
      <w:bookmarkEnd w:id="39"/>
    </w:p>
    <w:p w14:paraId="57307DCE" w14:textId="77777777" w:rsidR="001A16CB" w:rsidRPr="0007572B" w:rsidRDefault="001A16CB" w:rsidP="006F1659">
      <w:pPr>
        <w:spacing w:line="360" w:lineRule="auto"/>
        <w:jc w:val="both"/>
        <w:rPr>
          <w:rStyle w:val="Hyperlink"/>
          <w:rFonts w:ascii="Arial" w:hAnsi="Arial" w:cs="Arial"/>
          <w:color w:val="auto"/>
          <w:sz w:val="22"/>
          <w:szCs w:val="22"/>
          <w:u w:val="none"/>
        </w:rPr>
      </w:pPr>
    </w:p>
    <w:p w14:paraId="7A573A06" w14:textId="77777777" w:rsidR="00482031" w:rsidRPr="0007572B" w:rsidRDefault="00482031" w:rsidP="006F1659">
      <w:pPr>
        <w:spacing w:line="360" w:lineRule="auto"/>
        <w:rPr>
          <w:rStyle w:val="Hyperlink"/>
          <w:rFonts w:ascii="Arial" w:hAnsi="Arial" w:cs="Arial"/>
          <w:color w:val="auto"/>
          <w:u w:val="none"/>
        </w:rPr>
      </w:pPr>
      <w:r w:rsidRPr="0007572B">
        <w:rPr>
          <w:rStyle w:val="Hyperlink"/>
          <w:rFonts w:ascii="Arial" w:hAnsi="Arial" w:cs="Arial"/>
          <w:color w:val="auto"/>
          <w:u w:val="none"/>
        </w:rPr>
        <w:t>Th</w:t>
      </w:r>
      <w:r w:rsidR="008A1801" w:rsidRPr="0007572B">
        <w:rPr>
          <w:rStyle w:val="Hyperlink"/>
          <w:rFonts w:ascii="Arial" w:hAnsi="Arial" w:cs="Arial"/>
          <w:color w:val="auto"/>
          <w:u w:val="none"/>
        </w:rPr>
        <w:t>is</w:t>
      </w:r>
      <w:r w:rsidRPr="0007572B">
        <w:rPr>
          <w:rStyle w:val="Hyperlink"/>
          <w:rFonts w:ascii="Arial" w:hAnsi="Arial" w:cs="Arial"/>
          <w:color w:val="auto"/>
          <w:u w:val="none"/>
        </w:rPr>
        <w:t xml:space="preserve"> statement confirms the responsibilities of the </w:t>
      </w:r>
      <w:r w:rsidR="00F0640C" w:rsidRPr="0007572B">
        <w:rPr>
          <w:rStyle w:val="Hyperlink"/>
          <w:rFonts w:ascii="Arial" w:hAnsi="Arial" w:cs="Arial"/>
          <w:color w:val="auto"/>
          <w:u w:val="none"/>
        </w:rPr>
        <w:t xml:space="preserve">Greater Manchester Combined </w:t>
      </w:r>
      <w:r w:rsidRPr="0007572B">
        <w:rPr>
          <w:rStyle w:val="Hyperlink"/>
          <w:rFonts w:ascii="Arial" w:hAnsi="Arial" w:cs="Arial"/>
          <w:color w:val="auto"/>
          <w:u w:val="none"/>
        </w:rPr>
        <w:t xml:space="preserve">Authority </w:t>
      </w:r>
      <w:r w:rsidR="00413CC3" w:rsidRPr="0007572B">
        <w:rPr>
          <w:rStyle w:val="Hyperlink"/>
          <w:rFonts w:ascii="Arial" w:hAnsi="Arial" w:cs="Arial"/>
          <w:color w:val="auto"/>
          <w:u w:val="none"/>
        </w:rPr>
        <w:t>(t</w:t>
      </w:r>
      <w:r w:rsidR="005B4139" w:rsidRPr="0007572B">
        <w:rPr>
          <w:rStyle w:val="Hyperlink"/>
          <w:rFonts w:ascii="Arial" w:hAnsi="Arial" w:cs="Arial"/>
          <w:color w:val="auto"/>
          <w:u w:val="none"/>
        </w:rPr>
        <w:t xml:space="preserve">he Authority) </w:t>
      </w:r>
      <w:r w:rsidRPr="0007572B">
        <w:rPr>
          <w:rStyle w:val="Hyperlink"/>
          <w:rFonts w:ascii="Arial" w:hAnsi="Arial" w:cs="Arial"/>
          <w:color w:val="auto"/>
          <w:u w:val="none"/>
        </w:rPr>
        <w:t>and the Treasurer for the production and content of the Annual Statement of Accounts.</w:t>
      </w:r>
    </w:p>
    <w:p w14:paraId="3892253F" w14:textId="77777777" w:rsidR="00CF3300" w:rsidRPr="0007572B" w:rsidRDefault="00CF3300" w:rsidP="006F1659">
      <w:pPr>
        <w:pStyle w:val="Heading3"/>
        <w:spacing w:line="360" w:lineRule="auto"/>
        <w:rPr>
          <w:highlight w:val="yellow"/>
        </w:rPr>
      </w:pPr>
      <w:bookmarkStart w:id="40" w:name="_Toc92894858"/>
      <w:bookmarkStart w:id="41" w:name="_Toc92895163"/>
      <w:bookmarkStart w:id="42" w:name="_Toc109160259"/>
      <w:bookmarkStart w:id="43" w:name="_Toc109922597"/>
      <w:r w:rsidRPr="0007572B">
        <w:t>Further Information</w:t>
      </w:r>
      <w:bookmarkEnd w:id="40"/>
      <w:bookmarkEnd w:id="41"/>
      <w:bookmarkEnd w:id="42"/>
      <w:bookmarkEnd w:id="43"/>
    </w:p>
    <w:p w14:paraId="59ABBDD3" w14:textId="77777777" w:rsidR="00CF3300" w:rsidRPr="0007572B" w:rsidRDefault="00CF3300" w:rsidP="006F1659">
      <w:pPr>
        <w:spacing w:after="240" w:line="360" w:lineRule="auto"/>
        <w:rPr>
          <w:rFonts w:ascii="Arial" w:hAnsi="Arial" w:cs="Arial"/>
        </w:rPr>
      </w:pPr>
      <w:r w:rsidRPr="0007572B">
        <w:rPr>
          <w:rFonts w:ascii="Arial" w:hAnsi="Arial" w:cs="Arial"/>
        </w:rPr>
        <w:t xml:space="preserve">Further information about the </w:t>
      </w:r>
      <w:r w:rsidR="00F0640C" w:rsidRPr="0007572B">
        <w:rPr>
          <w:rStyle w:val="Hyperlink"/>
          <w:rFonts w:ascii="Arial" w:hAnsi="Arial" w:cs="Arial"/>
          <w:color w:val="auto"/>
          <w:u w:val="none"/>
        </w:rPr>
        <w:t>Authority</w:t>
      </w:r>
      <w:r w:rsidRPr="0007572B">
        <w:rPr>
          <w:rFonts w:ascii="Arial" w:hAnsi="Arial" w:cs="Arial"/>
        </w:rPr>
        <w:t>’s Annual Statement of Accounts is available upon request from the following address:</w:t>
      </w:r>
    </w:p>
    <w:p w14:paraId="2C9E1C9F" w14:textId="77777777" w:rsidR="00B76ED8" w:rsidRPr="0007572B" w:rsidRDefault="00B76ED8" w:rsidP="006F1659">
      <w:pPr>
        <w:spacing w:line="360" w:lineRule="auto"/>
        <w:rPr>
          <w:rFonts w:ascii="Arial" w:hAnsi="Arial" w:cs="Arial"/>
        </w:rPr>
      </w:pPr>
      <w:r w:rsidRPr="0007572B">
        <w:rPr>
          <w:rFonts w:ascii="Arial" w:hAnsi="Arial" w:cs="Arial"/>
        </w:rPr>
        <w:t>Greater Manchester Combined Authority,</w:t>
      </w:r>
    </w:p>
    <w:p w14:paraId="48BCD8DA" w14:textId="7118177C" w:rsidR="00CF3300" w:rsidRPr="0007572B" w:rsidRDefault="00CF3300" w:rsidP="006F1659">
      <w:pPr>
        <w:spacing w:line="360" w:lineRule="auto"/>
        <w:rPr>
          <w:rFonts w:ascii="Arial" w:hAnsi="Arial" w:cs="Arial"/>
        </w:rPr>
      </w:pPr>
      <w:r w:rsidRPr="0007572B">
        <w:rPr>
          <w:rFonts w:ascii="Arial" w:hAnsi="Arial" w:cs="Arial"/>
        </w:rPr>
        <w:t>Finance Department</w:t>
      </w:r>
    </w:p>
    <w:p w14:paraId="0FD7FBEA" w14:textId="62650FF9" w:rsidR="00CF3300" w:rsidRPr="0007572B" w:rsidRDefault="003E69FE" w:rsidP="006F1659">
      <w:pPr>
        <w:spacing w:line="360" w:lineRule="auto"/>
        <w:rPr>
          <w:rFonts w:ascii="Arial" w:hAnsi="Arial" w:cs="Arial"/>
        </w:rPr>
      </w:pPr>
      <w:r w:rsidRPr="0007572B">
        <w:rPr>
          <w:rFonts w:ascii="Arial" w:hAnsi="Arial" w:cs="Arial"/>
        </w:rPr>
        <w:t>1</w:t>
      </w:r>
      <w:r w:rsidRPr="0007572B">
        <w:rPr>
          <w:rFonts w:ascii="Arial" w:hAnsi="Arial" w:cs="Arial"/>
          <w:vertAlign w:val="superscript"/>
        </w:rPr>
        <w:t>st</w:t>
      </w:r>
      <w:r w:rsidRPr="0007572B">
        <w:rPr>
          <w:rFonts w:ascii="Arial" w:hAnsi="Arial" w:cs="Arial"/>
        </w:rPr>
        <w:t xml:space="preserve"> Floor</w:t>
      </w:r>
      <w:r w:rsidR="00B76ED8" w:rsidRPr="0007572B">
        <w:rPr>
          <w:rFonts w:ascii="Arial" w:hAnsi="Arial" w:cs="Arial"/>
        </w:rPr>
        <w:t xml:space="preserve">, </w:t>
      </w:r>
      <w:r w:rsidR="002C411B" w:rsidRPr="0007572B">
        <w:rPr>
          <w:rFonts w:ascii="Arial" w:hAnsi="Arial" w:cs="Arial"/>
        </w:rPr>
        <w:t>Broadhurst</w:t>
      </w:r>
      <w:r w:rsidRPr="0007572B">
        <w:rPr>
          <w:rFonts w:ascii="Arial" w:hAnsi="Arial" w:cs="Arial"/>
        </w:rPr>
        <w:t xml:space="preserve"> House</w:t>
      </w:r>
    </w:p>
    <w:p w14:paraId="6BE7F5E1" w14:textId="77777777" w:rsidR="00CF3300" w:rsidRPr="0007572B" w:rsidRDefault="003E69FE" w:rsidP="006F1659">
      <w:pPr>
        <w:spacing w:line="360" w:lineRule="auto"/>
        <w:rPr>
          <w:rFonts w:ascii="Arial" w:hAnsi="Arial" w:cs="Arial"/>
        </w:rPr>
      </w:pPr>
      <w:r w:rsidRPr="0007572B">
        <w:rPr>
          <w:rFonts w:ascii="Arial" w:hAnsi="Arial" w:cs="Arial"/>
        </w:rPr>
        <w:t>56 Oxford Street</w:t>
      </w:r>
    </w:p>
    <w:p w14:paraId="3CD0A995" w14:textId="77777777" w:rsidR="00CF3300" w:rsidRPr="0007572B" w:rsidRDefault="00CF3300" w:rsidP="006F1659">
      <w:pPr>
        <w:spacing w:line="360" w:lineRule="auto"/>
        <w:rPr>
          <w:rFonts w:ascii="Arial" w:hAnsi="Arial" w:cs="Arial"/>
        </w:rPr>
      </w:pPr>
      <w:r w:rsidRPr="0007572B">
        <w:rPr>
          <w:rFonts w:ascii="Arial" w:hAnsi="Arial" w:cs="Arial"/>
        </w:rPr>
        <w:t>Manchester</w:t>
      </w:r>
    </w:p>
    <w:p w14:paraId="2C0681E3" w14:textId="77777777" w:rsidR="00CF3300" w:rsidRPr="0007572B" w:rsidRDefault="003E69FE" w:rsidP="006F1659">
      <w:pPr>
        <w:spacing w:after="240" w:line="360" w:lineRule="auto"/>
        <w:rPr>
          <w:rFonts w:ascii="Arial" w:hAnsi="Arial" w:cs="Arial"/>
        </w:rPr>
      </w:pPr>
      <w:r w:rsidRPr="0007572B">
        <w:rPr>
          <w:rFonts w:ascii="Arial" w:hAnsi="Arial" w:cs="Arial"/>
        </w:rPr>
        <w:t>M1 6EU</w:t>
      </w:r>
    </w:p>
    <w:p w14:paraId="27906C37" w14:textId="3D909E17" w:rsidR="004F14AA" w:rsidRPr="0007572B" w:rsidRDefault="004028D3" w:rsidP="006F1659">
      <w:pPr>
        <w:spacing w:after="240" w:line="360" w:lineRule="auto"/>
        <w:rPr>
          <w:rFonts w:ascii="Arial" w:hAnsi="Arial" w:cs="Arial"/>
        </w:rPr>
      </w:pPr>
      <w:r w:rsidRPr="0007572B">
        <w:rPr>
          <w:rFonts w:ascii="Arial" w:hAnsi="Arial" w:cs="Arial"/>
        </w:rPr>
        <w:t>This and previous year</w:t>
      </w:r>
      <w:r w:rsidR="00D93E0C" w:rsidRPr="0007572B">
        <w:rPr>
          <w:rFonts w:ascii="Arial" w:hAnsi="Arial" w:cs="Arial"/>
        </w:rPr>
        <w:t>’</w:t>
      </w:r>
      <w:r w:rsidRPr="0007572B">
        <w:rPr>
          <w:rFonts w:ascii="Arial" w:hAnsi="Arial" w:cs="Arial"/>
        </w:rPr>
        <w:t>s</w:t>
      </w:r>
      <w:r w:rsidR="00CF3300" w:rsidRPr="0007572B">
        <w:rPr>
          <w:rFonts w:ascii="Arial" w:hAnsi="Arial" w:cs="Arial"/>
        </w:rPr>
        <w:t xml:space="preserve"> Annual Statement of Accounts can be viewed on the Greater Manchester Combined Authority’s website</w:t>
      </w:r>
      <w:r w:rsidR="00D64FA5" w:rsidRPr="0007572B">
        <w:rPr>
          <w:rFonts w:ascii="Arial" w:hAnsi="Arial" w:cs="Arial"/>
        </w:rPr>
        <w:t>:</w:t>
      </w:r>
      <w:r w:rsidR="00CF3300" w:rsidRPr="0007572B">
        <w:rPr>
          <w:rFonts w:ascii="Arial" w:hAnsi="Arial" w:cs="Arial"/>
        </w:rPr>
        <w:t xml:space="preserve"> </w:t>
      </w:r>
      <w:r w:rsidR="00F460E0" w:rsidRPr="0007572B">
        <w:rPr>
          <w:rFonts w:ascii="Arial" w:hAnsi="Arial" w:cs="Arial"/>
        </w:rPr>
        <w:t>www.greatermanchester-ca.gov.uk</w:t>
      </w:r>
    </w:p>
    <w:p w14:paraId="6A944309" w14:textId="77777777" w:rsidR="00CF3300" w:rsidRPr="0007572B" w:rsidRDefault="00CF3300" w:rsidP="006F1659">
      <w:pPr>
        <w:pStyle w:val="Heading3"/>
        <w:spacing w:line="360" w:lineRule="auto"/>
      </w:pPr>
      <w:bookmarkStart w:id="44" w:name="_Toc92894859"/>
      <w:bookmarkStart w:id="45" w:name="_Toc92895164"/>
      <w:bookmarkStart w:id="46" w:name="_Toc109160260"/>
      <w:bookmarkStart w:id="47" w:name="_Toc109922598"/>
      <w:r w:rsidRPr="0007572B">
        <w:t>The Authority’s Responsibilities</w:t>
      </w:r>
      <w:bookmarkEnd w:id="44"/>
      <w:bookmarkEnd w:id="45"/>
      <w:bookmarkEnd w:id="46"/>
      <w:bookmarkEnd w:id="47"/>
    </w:p>
    <w:p w14:paraId="54DC8DEE" w14:textId="77777777" w:rsidR="00CF3300" w:rsidRPr="0007572B" w:rsidRDefault="00F0640C" w:rsidP="006F1659">
      <w:pPr>
        <w:pStyle w:val="SubHeader"/>
        <w:spacing w:line="360" w:lineRule="auto"/>
        <w:rPr>
          <w:b w:val="0"/>
          <w:sz w:val="24"/>
          <w:szCs w:val="24"/>
        </w:rPr>
      </w:pPr>
      <w:bookmarkStart w:id="48" w:name="_Toc92894860"/>
      <w:bookmarkStart w:id="49" w:name="_Toc92895165"/>
      <w:bookmarkStart w:id="50" w:name="_Toc109160261"/>
      <w:bookmarkStart w:id="51" w:name="_Toc109922599"/>
      <w:r w:rsidRPr="0007572B">
        <w:rPr>
          <w:b w:val="0"/>
          <w:sz w:val="24"/>
          <w:szCs w:val="24"/>
        </w:rPr>
        <w:t xml:space="preserve">The </w:t>
      </w:r>
      <w:r w:rsidR="002D40FF" w:rsidRPr="0007572B">
        <w:rPr>
          <w:b w:val="0"/>
          <w:sz w:val="24"/>
          <w:szCs w:val="24"/>
        </w:rPr>
        <w:t>A</w:t>
      </w:r>
      <w:r w:rsidR="00CF3300" w:rsidRPr="0007572B">
        <w:rPr>
          <w:b w:val="0"/>
          <w:sz w:val="24"/>
          <w:szCs w:val="24"/>
        </w:rPr>
        <w:t>uthority is required to:</w:t>
      </w:r>
      <w:bookmarkEnd w:id="48"/>
      <w:bookmarkEnd w:id="49"/>
      <w:bookmarkEnd w:id="50"/>
      <w:bookmarkEnd w:id="51"/>
    </w:p>
    <w:p w14:paraId="2C3DBF40" w14:textId="77777777" w:rsidR="00CF3300" w:rsidRPr="0007572B" w:rsidRDefault="00CF3300" w:rsidP="006F1659">
      <w:pPr>
        <w:spacing w:line="360" w:lineRule="auto"/>
        <w:rPr>
          <w:rFonts w:ascii="Arial" w:hAnsi="Arial" w:cs="Arial"/>
        </w:rPr>
      </w:pPr>
    </w:p>
    <w:p w14:paraId="57DEC148" w14:textId="7DD515CF" w:rsidR="00CF3300" w:rsidRPr="0007572B" w:rsidRDefault="001366B9" w:rsidP="006F1659">
      <w:pPr>
        <w:numPr>
          <w:ilvl w:val="0"/>
          <w:numId w:val="2"/>
        </w:numPr>
        <w:spacing w:line="360" w:lineRule="auto"/>
        <w:rPr>
          <w:rFonts w:ascii="Arial" w:hAnsi="Arial" w:cs="Arial"/>
        </w:rPr>
      </w:pPr>
      <w:r w:rsidRPr="0007572B">
        <w:rPr>
          <w:rFonts w:ascii="Arial" w:hAnsi="Arial" w:cs="Arial"/>
        </w:rPr>
        <w:t>Make</w:t>
      </w:r>
      <w:r w:rsidR="00CF3300" w:rsidRPr="0007572B">
        <w:rPr>
          <w:rFonts w:ascii="Arial" w:hAnsi="Arial" w:cs="Arial"/>
        </w:rPr>
        <w:t xml:space="preserve"> arrangements for the proper administration of its financial affairs and to secure that one of its officers has the responsibility for the administration of those affairs. In this </w:t>
      </w:r>
      <w:r w:rsidR="00413CC3" w:rsidRPr="0007572B">
        <w:rPr>
          <w:rFonts w:ascii="Arial" w:hAnsi="Arial" w:cs="Arial"/>
        </w:rPr>
        <w:t>A</w:t>
      </w:r>
      <w:r w:rsidR="00CF3300" w:rsidRPr="0007572B">
        <w:rPr>
          <w:rFonts w:ascii="Arial" w:hAnsi="Arial" w:cs="Arial"/>
        </w:rPr>
        <w:t>uthority, that officer is the Treasurer.</w:t>
      </w:r>
    </w:p>
    <w:p w14:paraId="17A9C87E" w14:textId="77777777" w:rsidR="00CF3300" w:rsidRPr="0007572B" w:rsidRDefault="001366B9" w:rsidP="006F1659">
      <w:pPr>
        <w:numPr>
          <w:ilvl w:val="0"/>
          <w:numId w:val="1"/>
        </w:numPr>
        <w:spacing w:line="360" w:lineRule="auto"/>
        <w:rPr>
          <w:rFonts w:ascii="Arial" w:hAnsi="Arial" w:cs="Arial"/>
        </w:rPr>
      </w:pPr>
      <w:r w:rsidRPr="0007572B">
        <w:rPr>
          <w:rFonts w:ascii="Arial" w:hAnsi="Arial" w:cs="Arial"/>
        </w:rPr>
        <w:t>Manage</w:t>
      </w:r>
      <w:r w:rsidR="00CF3300" w:rsidRPr="0007572B">
        <w:rPr>
          <w:rFonts w:ascii="Arial" w:hAnsi="Arial" w:cs="Arial"/>
        </w:rPr>
        <w:t xml:space="preserve"> its affairs to secure economic, efficient and effective use of resources and safeguard its assets.</w:t>
      </w:r>
    </w:p>
    <w:p w14:paraId="677D3B60" w14:textId="77777777" w:rsidR="00CF3300" w:rsidRDefault="001366B9" w:rsidP="006F1659">
      <w:pPr>
        <w:numPr>
          <w:ilvl w:val="0"/>
          <w:numId w:val="1"/>
        </w:numPr>
        <w:spacing w:line="360" w:lineRule="auto"/>
        <w:jc w:val="both"/>
        <w:rPr>
          <w:rFonts w:ascii="Arial" w:hAnsi="Arial" w:cs="Arial"/>
        </w:rPr>
      </w:pPr>
      <w:r w:rsidRPr="0007572B">
        <w:rPr>
          <w:rFonts w:ascii="Arial" w:hAnsi="Arial" w:cs="Arial"/>
        </w:rPr>
        <w:t>Approve</w:t>
      </w:r>
      <w:r w:rsidR="00CF3300" w:rsidRPr="0007572B">
        <w:rPr>
          <w:rFonts w:ascii="Arial" w:hAnsi="Arial" w:cs="Arial"/>
        </w:rPr>
        <w:t xml:space="preserve"> the Statement of Accounts.</w:t>
      </w:r>
    </w:p>
    <w:p w14:paraId="28BA2532" w14:textId="77777777" w:rsidR="00DE43A9" w:rsidRPr="0007572B" w:rsidRDefault="00DE43A9" w:rsidP="00CE16DE">
      <w:pPr>
        <w:spacing w:line="360" w:lineRule="auto"/>
        <w:jc w:val="both"/>
        <w:rPr>
          <w:rFonts w:ascii="Arial" w:hAnsi="Arial" w:cs="Arial"/>
        </w:rPr>
      </w:pPr>
    </w:p>
    <w:p w14:paraId="4A5BB528" w14:textId="36B0C110" w:rsidR="00CF3300" w:rsidRPr="00CA3482" w:rsidRDefault="00CF3300" w:rsidP="006F1659">
      <w:pPr>
        <w:pStyle w:val="Heading3"/>
        <w:spacing w:line="360" w:lineRule="auto"/>
      </w:pPr>
      <w:bookmarkStart w:id="52" w:name="_Toc92894861"/>
      <w:bookmarkStart w:id="53" w:name="_Toc92895166"/>
      <w:bookmarkStart w:id="54" w:name="_Toc109160262"/>
      <w:bookmarkStart w:id="55" w:name="_Toc109922600"/>
      <w:r w:rsidRPr="00CA3482">
        <w:lastRenderedPageBreak/>
        <w:t>The Treasurer’s Responsibilities</w:t>
      </w:r>
      <w:bookmarkEnd w:id="52"/>
      <w:bookmarkEnd w:id="53"/>
      <w:bookmarkEnd w:id="54"/>
      <w:bookmarkEnd w:id="55"/>
    </w:p>
    <w:p w14:paraId="5CC598C8" w14:textId="668E2612" w:rsidR="00CF3300" w:rsidRPr="0007572B" w:rsidRDefault="00CF3300" w:rsidP="006F1659">
      <w:pPr>
        <w:spacing w:line="360" w:lineRule="auto"/>
        <w:rPr>
          <w:rFonts w:ascii="Arial" w:hAnsi="Arial" w:cs="Arial"/>
        </w:rPr>
      </w:pPr>
      <w:r w:rsidRPr="0007572B">
        <w:rPr>
          <w:rFonts w:ascii="Arial" w:hAnsi="Arial" w:cs="Arial"/>
        </w:rPr>
        <w:t xml:space="preserve">The Treasurer is responsible for the preparation of the </w:t>
      </w:r>
      <w:r w:rsidR="00F0640C" w:rsidRPr="0007572B">
        <w:rPr>
          <w:rFonts w:ascii="Arial" w:hAnsi="Arial" w:cs="Arial"/>
        </w:rPr>
        <w:t>a</w:t>
      </w:r>
      <w:r w:rsidRPr="0007572B">
        <w:rPr>
          <w:rFonts w:ascii="Arial" w:hAnsi="Arial" w:cs="Arial"/>
        </w:rPr>
        <w:t>uthority’s Statement of Accounts in accordance with proper practices as set out in the CIPFA/LASAAC Code of Practice on Local Authority Accounting in the United Kingdom (the Code)</w:t>
      </w:r>
      <w:r w:rsidR="00DE43A9" w:rsidRPr="00DE43A9">
        <w:rPr>
          <w:rFonts w:ascii="Arial" w:hAnsi="Arial" w:cs="Arial"/>
          <w:bCs/>
          <w:lang w:eastAsia="en-GB"/>
        </w:rPr>
        <w:t xml:space="preserve"> </w:t>
      </w:r>
      <w:r w:rsidR="00DE43A9">
        <w:rPr>
          <w:rFonts w:ascii="Arial" w:hAnsi="Arial" w:cs="Arial"/>
          <w:bCs/>
          <w:lang w:eastAsia="en-GB"/>
        </w:rPr>
        <w:t>and update to the 2022/23 Code and Specifications for Future Codes for Infrastructure Assets published in November 2022</w:t>
      </w:r>
      <w:r w:rsidRPr="0007572B">
        <w:rPr>
          <w:rFonts w:ascii="Arial" w:hAnsi="Arial" w:cs="Arial"/>
        </w:rPr>
        <w:t>.</w:t>
      </w:r>
    </w:p>
    <w:p w14:paraId="238307BA" w14:textId="77777777" w:rsidR="00CF3300" w:rsidRPr="0007572B" w:rsidRDefault="00CF3300" w:rsidP="006F1659">
      <w:pPr>
        <w:spacing w:line="360" w:lineRule="auto"/>
        <w:jc w:val="both"/>
        <w:rPr>
          <w:rFonts w:ascii="Arial" w:hAnsi="Arial" w:cs="Arial"/>
          <w:b/>
        </w:rPr>
      </w:pPr>
    </w:p>
    <w:p w14:paraId="74CC2097" w14:textId="77777777" w:rsidR="00CF3300" w:rsidRPr="0007572B" w:rsidRDefault="00CF3300" w:rsidP="006F1659">
      <w:pPr>
        <w:spacing w:line="360" w:lineRule="auto"/>
        <w:jc w:val="both"/>
        <w:rPr>
          <w:rFonts w:ascii="Arial" w:hAnsi="Arial" w:cs="Arial"/>
        </w:rPr>
      </w:pPr>
      <w:r w:rsidRPr="0007572B">
        <w:rPr>
          <w:rFonts w:ascii="Arial" w:hAnsi="Arial" w:cs="Arial"/>
        </w:rPr>
        <w:t>In preparing this Statement of Accounts, the Treasurer has:</w:t>
      </w:r>
    </w:p>
    <w:p w14:paraId="560B3FA2" w14:textId="77777777" w:rsidR="00CF3300" w:rsidRPr="0007572B" w:rsidRDefault="001A16CB" w:rsidP="006F1659">
      <w:pPr>
        <w:numPr>
          <w:ilvl w:val="0"/>
          <w:numId w:val="3"/>
        </w:numPr>
        <w:spacing w:line="360" w:lineRule="auto"/>
        <w:jc w:val="both"/>
        <w:rPr>
          <w:rFonts w:ascii="Arial" w:hAnsi="Arial" w:cs="Arial"/>
        </w:rPr>
      </w:pPr>
      <w:r w:rsidRPr="0007572B">
        <w:rPr>
          <w:rFonts w:ascii="Arial" w:hAnsi="Arial" w:cs="Arial"/>
        </w:rPr>
        <w:t>Selected</w:t>
      </w:r>
      <w:r w:rsidR="00CF3300" w:rsidRPr="0007572B">
        <w:rPr>
          <w:rFonts w:ascii="Arial" w:hAnsi="Arial" w:cs="Arial"/>
        </w:rPr>
        <w:t xml:space="preserve"> suitable accounting policies and then applied them consistently.</w:t>
      </w:r>
    </w:p>
    <w:p w14:paraId="08951095" w14:textId="77777777" w:rsidR="00CF3300" w:rsidRPr="0007572B" w:rsidRDefault="001A16CB" w:rsidP="006F1659">
      <w:pPr>
        <w:numPr>
          <w:ilvl w:val="0"/>
          <w:numId w:val="3"/>
        </w:numPr>
        <w:spacing w:line="360" w:lineRule="auto"/>
        <w:jc w:val="both"/>
        <w:rPr>
          <w:rFonts w:ascii="Arial" w:hAnsi="Arial" w:cs="Arial"/>
        </w:rPr>
      </w:pPr>
      <w:r w:rsidRPr="0007572B">
        <w:rPr>
          <w:rFonts w:ascii="Arial" w:hAnsi="Arial" w:cs="Arial"/>
        </w:rPr>
        <w:t>Made</w:t>
      </w:r>
      <w:r w:rsidR="00CF3300" w:rsidRPr="0007572B">
        <w:rPr>
          <w:rFonts w:ascii="Arial" w:hAnsi="Arial" w:cs="Arial"/>
        </w:rPr>
        <w:t xml:space="preserve"> judgements and estimates that were reasonable and prudent.</w:t>
      </w:r>
    </w:p>
    <w:p w14:paraId="59A9D8BA" w14:textId="77777777" w:rsidR="00CF3300" w:rsidRPr="0007572B" w:rsidRDefault="001A16CB" w:rsidP="006F1659">
      <w:pPr>
        <w:numPr>
          <w:ilvl w:val="0"/>
          <w:numId w:val="3"/>
        </w:numPr>
        <w:spacing w:line="360" w:lineRule="auto"/>
        <w:jc w:val="both"/>
        <w:rPr>
          <w:rFonts w:ascii="Arial" w:hAnsi="Arial" w:cs="Arial"/>
          <w:b/>
        </w:rPr>
      </w:pPr>
      <w:r w:rsidRPr="0007572B">
        <w:rPr>
          <w:rFonts w:ascii="Arial" w:hAnsi="Arial" w:cs="Arial"/>
        </w:rPr>
        <w:t>Complied</w:t>
      </w:r>
      <w:r w:rsidR="00413CC3" w:rsidRPr="0007572B">
        <w:rPr>
          <w:rFonts w:ascii="Arial" w:hAnsi="Arial" w:cs="Arial"/>
        </w:rPr>
        <w:t xml:space="preserve"> with the</w:t>
      </w:r>
      <w:r w:rsidR="00CF3300" w:rsidRPr="0007572B">
        <w:rPr>
          <w:rFonts w:ascii="Arial" w:hAnsi="Arial" w:cs="Arial"/>
        </w:rPr>
        <w:t xml:space="preserve"> Code.</w:t>
      </w:r>
    </w:p>
    <w:p w14:paraId="7A2178EE" w14:textId="711D4AC9" w:rsidR="00CF3300" w:rsidRPr="00CA3482" w:rsidRDefault="00CF3300" w:rsidP="006F1659">
      <w:pPr>
        <w:pStyle w:val="Heading3"/>
        <w:spacing w:line="360" w:lineRule="auto"/>
      </w:pPr>
      <w:bookmarkStart w:id="56" w:name="_Toc92894862"/>
      <w:bookmarkStart w:id="57" w:name="_Toc92895167"/>
      <w:bookmarkStart w:id="58" w:name="_Toc109160263"/>
      <w:bookmarkStart w:id="59" w:name="_Toc109922601"/>
      <w:r w:rsidRPr="00CA3482">
        <w:rPr>
          <w:rStyle w:val="SubHeaderChar"/>
          <w:b/>
          <w:bCs/>
        </w:rPr>
        <w:t>The Treasurer has also</w:t>
      </w:r>
      <w:r w:rsidRPr="00CA3482">
        <w:t>:</w:t>
      </w:r>
      <w:bookmarkEnd w:id="56"/>
      <w:bookmarkEnd w:id="57"/>
      <w:bookmarkEnd w:id="58"/>
      <w:bookmarkEnd w:id="59"/>
    </w:p>
    <w:p w14:paraId="71293CAB" w14:textId="39371F0F" w:rsidR="00CF3300" w:rsidRPr="0007572B" w:rsidRDefault="001A16CB" w:rsidP="006F1659">
      <w:pPr>
        <w:numPr>
          <w:ilvl w:val="0"/>
          <w:numId w:val="4"/>
        </w:numPr>
        <w:spacing w:line="360" w:lineRule="auto"/>
        <w:jc w:val="both"/>
        <w:rPr>
          <w:rFonts w:ascii="Arial" w:hAnsi="Arial" w:cs="Arial"/>
        </w:rPr>
      </w:pPr>
      <w:r w:rsidRPr="0007572B">
        <w:rPr>
          <w:rFonts w:ascii="Arial" w:hAnsi="Arial" w:cs="Arial"/>
        </w:rPr>
        <w:t>K</w:t>
      </w:r>
      <w:r w:rsidR="00CF3300" w:rsidRPr="0007572B">
        <w:rPr>
          <w:rFonts w:ascii="Arial" w:hAnsi="Arial" w:cs="Arial"/>
        </w:rPr>
        <w:t>ept proper accounting records which were up to date</w:t>
      </w:r>
      <w:r w:rsidR="00027EC2">
        <w:rPr>
          <w:rFonts w:ascii="Arial" w:hAnsi="Arial" w:cs="Arial"/>
        </w:rPr>
        <w:t>.</w:t>
      </w:r>
    </w:p>
    <w:p w14:paraId="56094FDA" w14:textId="77777777" w:rsidR="00CF3300" w:rsidRPr="0007572B" w:rsidRDefault="001A16CB" w:rsidP="006F1659">
      <w:pPr>
        <w:numPr>
          <w:ilvl w:val="0"/>
          <w:numId w:val="4"/>
        </w:numPr>
        <w:spacing w:line="360" w:lineRule="auto"/>
        <w:rPr>
          <w:rFonts w:ascii="Arial" w:hAnsi="Arial" w:cs="Arial"/>
        </w:rPr>
      </w:pPr>
      <w:r w:rsidRPr="0007572B">
        <w:rPr>
          <w:rFonts w:ascii="Arial" w:hAnsi="Arial" w:cs="Arial"/>
        </w:rPr>
        <w:t>T</w:t>
      </w:r>
      <w:r w:rsidR="00CF3300" w:rsidRPr="0007572B">
        <w:rPr>
          <w:rFonts w:ascii="Arial" w:hAnsi="Arial" w:cs="Arial"/>
        </w:rPr>
        <w:t>aken reasonable steps for the prevention and detection of fraud and other irregularities.</w:t>
      </w:r>
    </w:p>
    <w:p w14:paraId="3E492F0B" w14:textId="77777777" w:rsidR="00CF3300" w:rsidRPr="0007572B" w:rsidRDefault="00CF3300" w:rsidP="006F1659">
      <w:pPr>
        <w:pStyle w:val="Header"/>
        <w:tabs>
          <w:tab w:val="clear" w:pos="4153"/>
          <w:tab w:val="clear" w:pos="8306"/>
        </w:tabs>
        <w:spacing w:line="360" w:lineRule="auto"/>
        <w:jc w:val="both"/>
        <w:rPr>
          <w:rFonts w:cs="Arial"/>
          <w:b/>
        </w:rPr>
      </w:pPr>
    </w:p>
    <w:p w14:paraId="189E9277" w14:textId="00696D0F" w:rsidR="00CF3300" w:rsidRPr="0007572B" w:rsidRDefault="00CF3300" w:rsidP="006F1659">
      <w:pPr>
        <w:spacing w:line="360" w:lineRule="auto"/>
        <w:rPr>
          <w:rFonts w:ascii="Arial" w:hAnsi="Arial" w:cs="Arial"/>
        </w:rPr>
      </w:pPr>
      <w:r w:rsidRPr="0007572B">
        <w:rPr>
          <w:rFonts w:ascii="Arial" w:hAnsi="Arial" w:cs="Arial"/>
        </w:rPr>
        <w:t>I certify that the</w:t>
      </w:r>
      <w:r w:rsidR="00A664A1" w:rsidRPr="0007572B">
        <w:rPr>
          <w:rFonts w:ascii="Arial" w:hAnsi="Arial" w:cs="Arial"/>
        </w:rPr>
        <w:t xml:space="preserve">se </w:t>
      </w:r>
      <w:r w:rsidR="003B01B5" w:rsidRPr="0007572B">
        <w:rPr>
          <w:rFonts w:ascii="Arial" w:hAnsi="Arial" w:cs="Arial"/>
        </w:rPr>
        <w:t>audited</w:t>
      </w:r>
      <w:r w:rsidRPr="0007572B">
        <w:rPr>
          <w:rFonts w:ascii="Arial" w:hAnsi="Arial" w:cs="Arial"/>
        </w:rPr>
        <w:t xml:space="preserve"> Statement of Accounts give a true and fair view of the financial position of the </w:t>
      </w:r>
      <w:r w:rsidR="002D40FF" w:rsidRPr="0007572B">
        <w:rPr>
          <w:rFonts w:ascii="Arial" w:hAnsi="Arial" w:cs="Arial"/>
        </w:rPr>
        <w:t>A</w:t>
      </w:r>
      <w:r w:rsidRPr="0007572B">
        <w:rPr>
          <w:rFonts w:ascii="Arial" w:hAnsi="Arial" w:cs="Arial"/>
        </w:rPr>
        <w:t xml:space="preserve">uthority as at 31 March </w:t>
      </w:r>
      <w:r w:rsidR="00FF2959" w:rsidRPr="0007572B">
        <w:rPr>
          <w:rFonts w:ascii="Arial" w:hAnsi="Arial" w:cs="Arial"/>
        </w:rPr>
        <w:t>202</w:t>
      </w:r>
      <w:r w:rsidR="00F951A0">
        <w:rPr>
          <w:rFonts w:ascii="Arial" w:hAnsi="Arial" w:cs="Arial"/>
        </w:rPr>
        <w:t>3</w:t>
      </w:r>
      <w:r w:rsidRPr="0007572B">
        <w:rPr>
          <w:rFonts w:ascii="Arial" w:hAnsi="Arial" w:cs="Arial"/>
        </w:rPr>
        <w:t xml:space="preserve"> and of its income and ex</w:t>
      </w:r>
      <w:r w:rsidR="00D22EC9" w:rsidRPr="0007572B">
        <w:rPr>
          <w:rFonts w:ascii="Arial" w:hAnsi="Arial" w:cs="Arial"/>
        </w:rPr>
        <w:t>penditure for the year ended 31</w:t>
      </w:r>
      <w:r w:rsidRPr="0007572B">
        <w:rPr>
          <w:rFonts w:ascii="Arial" w:hAnsi="Arial" w:cs="Arial"/>
        </w:rPr>
        <w:t xml:space="preserve"> March </w:t>
      </w:r>
      <w:r w:rsidR="00FF2959" w:rsidRPr="0007572B">
        <w:rPr>
          <w:rFonts w:ascii="Arial" w:hAnsi="Arial" w:cs="Arial"/>
        </w:rPr>
        <w:t>202</w:t>
      </w:r>
      <w:r w:rsidR="00F951A0">
        <w:rPr>
          <w:rFonts w:ascii="Arial" w:hAnsi="Arial" w:cs="Arial"/>
        </w:rPr>
        <w:t>3</w:t>
      </w:r>
      <w:r w:rsidRPr="0007572B">
        <w:rPr>
          <w:rFonts w:ascii="Arial" w:hAnsi="Arial" w:cs="Arial"/>
        </w:rPr>
        <w:t>.</w:t>
      </w:r>
    </w:p>
    <w:p w14:paraId="3B7A1490" w14:textId="17BED530" w:rsidR="00D60764" w:rsidRPr="0007572B" w:rsidRDefault="00D60764" w:rsidP="006F1659">
      <w:pPr>
        <w:spacing w:line="360" w:lineRule="auto"/>
        <w:jc w:val="both"/>
        <w:rPr>
          <w:rFonts w:ascii="Arial" w:hAnsi="Arial" w:cs="Arial"/>
          <w:b/>
        </w:rPr>
      </w:pPr>
    </w:p>
    <w:p w14:paraId="28BDB731" w14:textId="01D6FD3C" w:rsidR="005D1F85" w:rsidRPr="0007572B" w:rsidRDefault="00CB356D"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FBDA4C4" wp14:editId="7DC498F0">
            <wp:extent cx="1617518" cy="889635"/>
            <wp:effectExtent l="0" t="0" r="1905" b="5715"/>
            <wp:docPr id="299" name="Picture 29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Signature of Steve Wilson, Greater Manchester Combined Authority Treasur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8307" cy="906569"/>
                    </a:xfrm>
                    <a:prstGeom prst="rect">
                      <a:avLst/>
                    </a:prstGeom>
                    <a:noFill/>
                    <a:ln>
                      <a:noFill/>
                    </a:ln>
                  </pic:spPr>
                </pic:pic>
              </a:graphicData>
            </a:graphic>
          </wp:inline>
        </w:drawing>
      </w:r>
    </w:p>
    <w:p w14:paraId="54637E5F" w14:textId="276AEE95" w:rsidR="00CF3300" w:rsidRPr="0007572B" w:rsidRDefault="005D1F85" w:rsidP="006F1659">
      <w:pPr>
        <w:spacing w:line="360" w:lineRule="auto"/>
        <w:jc w:val="both"/>
        <w:rPr>
          <w:rFonts w:ascii="Arial" w:hAnsi="Arial" w:cs="Arial"/>
          <w:b/>
        </w:rPr>
      </w:pPr>
      <w:r w:rsidRPr="0007572B">
        <w:rPr>
          <w:rFonts w:ascii="Arial" w:hAnsi="Arial" w:cs="Arial"/>
          <w:b/>
        </w:rPr>
        <w:t>Steve Wilson</w:t>
      </w:r>
    </w:p>
    <w:p w14:paraId="07F3E259" w14:textId="77777777" w:rsidR="00CF3300" w:rsidRPr="0007572B" w:rsidRDefault="00CF3300" w:rsidP="006F1659">
      <w:pPr>
        <w:spacing w:line="360" w:lineRule="auto"/>
        <w:jc w:val="both"/>
        <w:rPr>
          <w:rFonts w:ascii="Arial" w:hAnsi="Arial" w:cs="Arial"/>
          <w:b/>
        </w:rPr>
      </w:pPr>
      <w:r w:rsidRPr="0007572B">
        <w:rPr>
          <w:rFonts w:ascii="Arial" w:hAnsi="Arial" w:cs="Arial"/>
          <w:b/>
        </w:rPr>
        <w:t>Greater Manchester Combined Authority</w:t>
      </w:r>
      <w:r w:rsidR="00513B48" w:rsidRPr="0007572B">
        <w:rPr>
          <w:rFonts w:ascii="Arial" w:hAnsi="Arial" w:cs="Arial"/>
          <w:b/>
        </w:rPr>
        <w:t xml:space="preserve"> Treasurer</w:t>
      </w:r>
    </w:p>
    <w:p w14:paraId="601DE994" w14:textId="5AB443E2" w:rsidR="00AC02DA" w:rsidRPr="0007572B" w:rsidRDefault="00AC02DA" w:rsidP="006F1659">
      <w:pPr>
        <w:spacing w:line="360" w:lineRule="auto"/>
        <w:rPr>
          <w:rFonts w:ascii="Arial" w:hAnsi="Arial" w:cs="Arial"/>
          <w:color w:val="000000" w:themeColor="text1"/>
          <w:sz w:val="22"/>
          <w:szCs w:val="22"/>
        </w:rPr>
      </w:pPr>
    </w:p>
    <w:p w14:paraId="509D1A7B" w14:textId="77777777" w:rsidR="00A664A1" w:rsidRPr="0007572B" w:rsidRDefault="00A664A1" w:rsidP="006F1659">
      <w:pPr>
        <w:spacing w:line="360" w:lineRule="auto"/>
        <w:rPr>
          <w:rFonts w:ascii="Arial" w:hAnsi="Arial" w:cs="Arial"/>
          <w:color w:val="000000" w:themeColor="text1"/>
          <w:sz w:val="22"/>
          <w:szCs w:val="22"/>
        </w:rPr>
      </w:pPr>
    </w:p>
    <w:p w14:paraId="7696B7B1" w14:textId="77777777" w:rsidR="008A1801" w:rsidRPr="0007572B" w:rsidRDefault="00C66C51" w:rsidP="006F1659">
      <w:pPr>
        <w:spacing w:line="360" w:lineRule="auto"/>
        <w:rPr>
          <w:rFonts w:ascii="Arial" w:hAnsi="Arial" w:cs="Arial"/>
          <w:b/>
          <w:color w:val="000000" w:themeColor="text1"/>
          <w:sz w:val="22"/>
          <w:szCs w:val="22"/>
        </w:rPr>
      </w:pPr>
      <w:r w:rsidRPr="0007572B">
        <w:rPr>
          <w:rFonts w:ascii="Arial" w:hAnsi="Arial" w:cs="Arial"/>
          <w:b/>
          <w:color w:val="000000" w:themeColor="text1"/>
          <w:sz w:val="22"/>
          <w:szCs w:val="22"/>
        </w:rPr>
        <w:br w:type="page"/>
      </w:r>
    </w:p>
    <w:p w14:paraId="0F11F4D8" w14:textId="77777777" w:rsidR="008A1801" w:rsidRPr="0007572B" w:rsidRDefault="008A1801" w:rsidP="006F1659">
      <w:pPr>
        <w:spacing w:line="360" w:lineRule="auto"/>
        <w:jc w:val="center"/>
        <w:rPr>
          <w:rFonts w:ascii="Arial" w:hAnsi="Arial" w:cs="Arial"/>
          <w:b/>
          <w:sz w:val="40"/>
          <w:szCs w:val="40"/>
        </w:rPr>
      </w:pPr>
    </w:p>
    <w:p w14:paraId="3EEAB98B" w14:textId="77777777" w:rsidR="008A1801" w:rsidRPr="0007572B" w:rsidRDefault="008A1801" w:rsidP="006F1659">
      <w:pPr>
        <w:spacing w:line="360" w:lineRule="auto"/>
        <w:jc w:val="center"/>
        <w:rPr>
          <w:rFonts w:ascii="Arial" w:hAnsi="Arial" w:cs="Arial"/>
          <w:b/>
          <w:sz w:val="40"/>
          <w:szCs w:val="40"/>
        </w:rPr>
      </w:pPr>
    </w:p>
    <w:p w14:paraId="4DDCD061" w14:textId="77777777" w:rsidR="008A1801" w:rsidRPr="0007572B" w:rsidRDefault="008A1801" w:rsidP="006F1659">
      <w:pPr>
        <w:spacing w:line="360" w:lineRule="auto"/>
        <w:jc w:val="center"/>
        <w:rPr>
          <w:rFonts w:ascii="Arial" w:hAnsi="Arial" w:cs="Arial"/>
          <w:b/>
          <w:sz w:val="40"/>
          <w:szCs w:val="40"/>
        </w:rPr>
      </w:pPr>
    </w:p>
    <w:p w14:paraId="2B32ECA3" w14:textId="77777777" w:rsidR="008A1801" w:rsidRPr="0007572B" w:rsidRDefault="008A1801" w:rsidP="006F1659">
      <w:pPr>
        <w:spacing w:line="360" w:lineRule="auto"/>
        <w:jc w:val="center"/>
        <w:rPr>
          <w:rFonts w:ascii="Arial" w:hAnsi="Arial" w:cs="Arial"/>
          <w:b/>
          <w:sz w:val="40"/>
          <w:szCs w:val="40"/>
        </w:rPr>
      </w:pPr>
    </w:p>
    <w:p w14:paraId="5BACE30F" w14:textId="6B533CBF" w:rsidR="00CB4A8E" w:rsidRPr="002A6C4C" w:rsidRDefault="008A1801" w:rsidP="006F1659">
      <w:pPr>
        <w:pStyle w:val="Heading1"/>
        <w:spacing w:line="360" w:lineRule="auto"/>
        <w:jc w:val="center"/>
      </w:pPr>
      <w:bookmarkStart w:id="60" w:name="_Toc92895168"/>
      <w:bookmarkStart w:id="61" w:name="_Toc109922602"/>
      <w:r w:rsidRPr="002A6C4C">
        <w:t>Greate</w:t>
      </w:r>
      <w:r w:rsidR="00E266B1" w:rsidRPr="002A6C4C">
        <w:t>r Manchester Combined Authority</w:t>
      </w:r>
      <w:r w:rsidR="00261631">
        <w:t xml:space="preserve"> Single Entity Accounts</w:t>
      </w:r>
      <w:bookmarkEnd w:id="60"/>
      <w:bookmarkEnd w:id="61"/>
    </w:p>
    <w:p w14:paraId="128F98FC" w14:textId="77777777" w:rsidR="00E266B1" w:rsidRPr="0007572B" w:rsidRDefault="00E266B1" w:rsidP="006F1659">
      <w:pPr>
        <w:spacing w:line="360" w:lineRule="auto"/>
        <w:jc w:val="center"/>
        <w:rPr>
          <w:rFonts w:ascii="Arial" w:hAnsi="Arial" w:cs="Arial"/>
          <w:b/>
          <w:sz w:val="40"/>
          <w:szCs w:val="40"/>
        </w:rPr>
      </w:pPr>
    </w:p>
    <w:p w14:paraId="7731744A" w14:textId="77777777" w:rsidR="00CB4A8E" w:rsidRPr="0007572B" w:rsidRDefault="00CB4A8E" w:rsidP="006F1659">
      <w:pPr>
        <w:spacing w:line="360" w:lineRule="auto"/>
        <w:jc w:val="center"/>
        <w:rPr>
          <w:rFonts w:ascii="Arial" w:hAnsi="Arial" w:cs="Arial"/>
          <w:b/>
          <w:sz w:val="40"/>
          <w:szCs w:val="40"/>
        </w:rPr>
      </w:pPr>
    </w:p>
    <w:p w14:paraId="3F473491" w14:textId="2F6E37D4" w:rsidR="00FA2AC4" w:rsidRPr="0007572B" w:rsidRDefault="00DA6CEE" w:rsidP="006F1659">
      <w:pPr>
        <w:pStyle w:val="Heaading2green"/>
        <w:spacing w:line="360" w:lineRule="auto"/>
      </w:pPr>
      <w:bookmarkStart w:id="62" w:name="_Toc109922603"/>
      <w:r w:rsidRPr="0007572B">
        <w:t xml:space="preserve">Financial </w:t>
      </w:r>
      <w:r w:rsidR="008A1801" w:rsidRPr="0007572B">
        <w:t>Statements</w:t>
      </w:r>
      <w:bookmarkEnd w:id="62"/>
    </w:p>
    <w:p w14:paraId="29B877EB" w14:textId="77777777" w:rsidR="00DA6CEE" w:rsidRPr="0007572B" w:rsidRDefault="00DA6CEE" w:rsidP="006F1659">
      <w:pPr>
        <w:spacing w:line="360" w:lineRule="auto"/>
        <w:rPr>
          <w:rFonts w:ascii="Arial" w:hAnsi="Arial" w:cs="Arial"/>
          <w:b/>
          <w:sz w:val="22"/>
          <w:szCs w:val="22"/>
        </w:rPr>
      </w:pPr>
    </w:p>
    <w:p w14:paraId="24DD32A9" w14:textId="77777777" w:rsidR="004E11FD" w:rsidRPr="0007572B" w:rsidRDefault="004E11FD" w:rsidP="006F1659">
      <w:pPr>
        <w:spacing w:line="360" w:lineRule="auto"/>
        <w:rPr>
          <w:rFonts w:ascii="Arial" w:hAnsi="Arial" w:cs="Arial"/>
          <w:b/>
          <w:sz w:val="22"/>
          <w:szCs w:val="22"/>
        </w:rPr>
      </w:pPr>
    </w:p>
    <w:p w14:paraId="54ED5163" w14:textId="77777777" w:rsidR="00BA365E" w:rsidRPr="0007572B" w:rsidRDefault="00BA365E" w:rsidP="006F1659">
      <w:pPr>
        <w:spacing w:line="360" w:lineRule="auto"/>
        <w:rPr>
          <w:rFonts w:ascii="Arial" w:hAnsi="Arial" w:cs="Arial"/>
          <w:b/>
          <w:sz w:val="22"/>
          <w:szCs w:val="22"/>
        </w:rPr>
      </w:pPr>
    </w:p>
    <w:p w14:paraId="0BBA67CA" w14:textId="77777777" w:rsidR="00BA365E" w:rsidRPr="0007572B" w:rsidRDefault="00BA365E" w:rsidP="006F1659">
      <w:pPr>
        <w:spacing w:line="360" w:lineRule="auto"/>
        <w:rPr>
          <w:rFonts w:ascii="Arial" w:hAnsi="Arial" w:cs="Arial"/>
          <w:b/>
          <w:sz w:val="22"/>
          <w:szCs w:val="22"/>
        </w:rPr>
      </w:pPr>
    </w:p>
    <w:p w14:paraId="069F70CF" w14:textId="77777777" w:rsidR="00FF6768" w:rsidRPr="0007572B" w:rsidRDefault="00FF6768" w:rsidP="006F1659">
      <w:pPr>
        <w:spacing w:line="360" w:lineRule="auto"/>
        <w:rPr>
          <w:rFonts w:ascii="Arial" w:hAnsi="Arial" w:cs="Arial"/>
          <w:b/>
          <w:sz w:val="22"/>
          <w:szCs w:val="22"/>
        </w:rPr>
        <w:sectPr w:rsidR="00FF6768" w:rsidRPr="0007572B" w:rsidSect="004833A2">
          <w:pgSz w:w="11906" w:h="16838"/>
          <w:pgMar w:top="1444" w:right="1416" w:bottom="1440" w:left="1080" w:header="568" w:footer="567" w:gutter="0"/>
          <w:cols w:space="708"/>
          <w:docGrid w:linePitch="360"/>
        </w:sectPr>
      </w:pPr>
    </w:p>
    <w:p w14:paraId="55A6082B" w14:textId="3C168176" w:rsidR="00FA2AC4" w:rsidRPr="0007572B" w:rsidRDefault="00BC54CF" w:rsidP="006F1659">
      <w:pPr>
        <w:pStyle w:val="Heading3green"/>
        <w:spacing w:line="360" w:lineRule="auto"/>
      </w:pPr>
      <w:bookmarkStart w:id="63" w:name="_Toc109922604"/>
      <w:r w:rsidRPr="0007572B">
        <w:lastRenderedPageBreak/>
        <w:t>Comprehensive I</w:t>
      </w:r>
      <w:r w:rsidR="005B1B6B" w:rsidRPr="0007572B">
        <w:t>ncome and Expenditure Statement</w:t>
      </w:r>
      <w:bookmarkEnd w:id="63"/>
    </w:p>
    <w:p w14:paraId="1DC2B6C9" w14:textId="51409BDF" w:rsidR="00BC54CF" w:rsidRDefault="00D552A9" w:rsidP="006F1659">
      <w:pPr>
        <w:spacing w:line="360" w:lineRule="auto"/>
        <w:rPr>
          <w:rFonts w:ascii="Arial" w:eastAsia="Verdana" w:hAnsi="Arial" w:cs="Arial"/>
        </w:rPr>
      </w:pPr>
      <w:r w:rsidRPr="0007572B">
        <w:rPr>
          <w:rFonts w:ascii="Arial" w:eastAsia="Verdana" w:hAnsi="Arial" w:cs="Arial"/>
        </w:rPr>
        <w:t>The Comprehensive Income and Expenditure Statement shows the accounting cost in the year of providing services in accordance with generally accepted accounting practices, rather than the amount to be funded from taxation. Authorities raise taxation (and rents) to cover expenditure in accordance with statutory requirements; this may be different from the accounting cost. The taxation position is shown in both the Expenditure and Funding Analysis and the Movement in Reserves Statement.</w:t>
      </w:r>
    </w:p>
    <w:p w14:paraId="753E2DE7" w14:textId="5ECA031B" w:rsidR="007575E1" w:rsidRDefault="00C85F9F" w:rsidP="006F1659">
      <w:pPr>
        <w:spacing w:line="360" w:lineRule="auto"/>
        <w:rPr>
          <w:rFonts w:ascii="Arial" w:eastAsia="Verdana" w:hAnsi="Arial" w:cs="Arial"/>
        </w:rPr>
      </w:pPr>
      <w:r w:rsidRPr="00C85F9F">
        <w:rPr>
          <w:rFonts w:eastAsia="Verdana"/>
          <w:noProof/>
        </w:rPr>
        <w:drawing>
          <wp:inline distT="0" distB="0" distL="0" distR="0" wp14:anchorId="7DAB1649" wp14:editId="5D7420AD">
            <wp:extent cx="6597650" cy="3643507"/>
            <wp:effectExtent l="0" t="0" r="0" b="0"/>
            <wp:docPr id="14404364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7567" cy="3660028"/>
                    </a:xfrm>
                    <a:prstGeom prst="rect">
                      <a:avLst/>
                    </a:prstGeom>
                    <a:noFill/>
                    <a:ln>
                      <a:noFill/>
                    </a:ln>
                  </pic:spPr>
                </pic:pic>
              </a:graphicData>
            </a:graphic>
          </wp:inline>
        </w:drawing>
      </w:r>
    </w:p>
    <w:p w14:paraId="15ADA12E" w14:textId="77777777" w:rsidR="00F930D2" w:rsidRPr="0007572B" w:rsidRDefault="00F930D2" w:rsidP="006F1659">
      <w:pPr>
        <w:spacing w:line="360" w:lineRule="auto"/>
        <w:jc w:val="both"/>
        <w:rPr>
          <w:rFonts w:ascii="Arial" w:hAnsi="Arial" w:cs="Arial"/>
          <w:b/>
          <w:sz w:val="22"/>
          <w:szCs w:val="22"/>
        </w:rPr>
      </w:pPr>
      <w:r w:rsidRPr="0007572B">
        <w:rPr>
          <w:rFonts w:ascii="Arial" w:hAnsi="Arial" w:cs="Arial"/>
          <w:b/>
          <w:sz w:val="22"/>
          <w:szCs w:val="22"/>
        </w:rPr>
        <w:t>Steve Wilson</w:t>
      </w:r>
    </w:p>
    <w:p w14:paraId="410D2B37" w14:textId="77777777" w:rsidR="00F930D2" w:rsidRPr="0007572B" w:rsidRDefault="00F930D2" w:rsidP="006F1659">
      <w:pPr>
        <w:spacing w:line="360" w:lineRule="auto"/>
        <w:jc w:val="both"/>
        <w:rPr>
          <w:rFonts w:ascii="Arial" w:hAnsi="Arial" w:cs="Arial"/>
          <w:b/>
          <w:sz w:val="22"/>
          <w:szCs w:val="22"/>
        </w:rPr>
      </w:pPr>
      <w:r w:rsidRPr="0007572B">
        <w:rPr>
          <w:rFonts w:ascii="Arial" w:hAnsi="Arial" w:cs="Arial"/>
          <w:b/>
          <w:sz w:val="22"/>
          <w:szCs w:val="22"/>
        </w:rPr>
        <w:t>Greater Manchester Combined Authority Treasurer</w:t>
      </w:r>
    </w:p>
    <w:p w14:paraId="313FBE17" w14:textId="7EA7D126" w:rsidR="00F930D2" w:rsidRPr="0007572B" w:rsidRDefault="00F930D2" w:rsidP="006F1659">
      <w:pPr>
        <w:spacing w:line="360" w:lineRule="auto"/>
        <w:jc w:val="both"/>
        <w:rPr>
          <w:rFonts w:ascii="Arial" w:hAnsi="Arial" w:cs="Arial"/>
          <w:b/>
          <w:sz w:val="22"/>
          <w:szCs w:val="22"/>
        </w:rPr>
        <w:sectPr w:rsidR="00F930D2" w:rsidRPr="0007572B" w:rsidSect="00E701E5">
          <w:pgSz w:w="16838" w:h="11906" w:orient="landscape"/>
          <w:pgMar w:top="1080" w:right="1444" w:bottom="1276" w:left="1440" w:header="568" w:footer="567" w:gutter="0"/>
          <w:cols w:space="708"/>
          <w:docGrid w:linePitch="360"/>
        </w:sectPr>
      </w:pPr>
      <w:r w:rsidRPr="0007572B">
        <w:rPr>
          <w:rFonts w:ascii="Arial" w:hAnsi="Arial" w:cs="Arial"/>
          <w:b/>
          <w:sz w:val="22"/>
          <w:szCs w:val="22"/>
        </w:rPr>
        <w:t>Date:</w:t>
      </w:r>
      <w:r>
        <w:rPr>
          <w:rFonts w:ascii="Arial" w:hAnsi="Arial" w:cs="Arial"/>
          <w:b/>
          <w:sz w:val="22"/>
          <w:szCs w:val="22"/>
        </w:rPr>
        <w:t xml:space="preserve"> </w:t>
      </w:r>
      <w:r w:rsidR="00AA3449">
        <w:rPr>
          <w:rFonts w:ascii="Arial" w:hAnsi="Arial" w:cs="Arial"/>
          <w:b/>
          <w:sz w:val="22"/>
          <w:szCs w:val="22"/>
        </w:rPr>
        <w:t>02 December</w:t>
      </w:r>
      <w:r w:rsidR="00212C0B" w:rsidRPr="00B13566">
        <w:rPr>
          <w:rFonts w:ascii="Arial" w:hAnsi="Arial" w:cs="Arial"/>
          <w:b/>
          <w:sz w:val="22"/>
          <w:szCs w:val="22"/>
        </w:rPr>
        <w:t xml:space="preserve"> 202</w:t>
      </w:r>
      <w:r w:rsidR="00AA3449">
        <w:rPr>
          <w:rFonts w:ascii="Arial" w:hAnsi="Arial" w:cs="Arial"/>
          <w:b/>
          <w:sz w:val="22"/>
          <w:szCs w:val="22"/>
        </w:rPr>
        <w:t>4</w:t>
      </w:r>
    </w:p>
    <w:p w14:paraId="7C08C077" w14:textId="431F5A2A" w:rsidR="00A039AC" w:rsidRPr="002A6C4C" w:rsidRDefault="00A039AC" w:rsidP="006F1659">
      <w:pPr>
        <w:pStyle w:val="Heading3green"/>
        <w:spacing w:line="360" w:lineRule="auto"/>
      </w:pPr>
      <w:bookmarkStart w:id="64" w:name="_Toc109922605"/>
      <w:r w:rsidRPr="002A6C4C">
        <w:lastRenderedPageBreak/>
        <w:t>Movement in Reserves</w:t>
      </w:r>
      <w:r w:rsidR="005B1B6B" w:rsidRPr="002A6C4C">
        <w:t xml:space="preserve"> Statement</w:t>
      </w:r>
      <w:bookmarkEnd w:id="64"/>
    </w:p>
    <w:p w14:paraId="76CC8D56" w14:textId="77777777" w:rsidR="00EC408E" w:rsidRPr="0007572B" w:rsidRDefault="00EC408E" w:rsidP="006F1659">
      <w:pPr>
        <w:spacing w:line="360" w:lineRule="auto"/>
        <w:jc w:val="both"/>
        <w:rPr>
          <w:rFonts w:ascii="Arial" w:hAnsi="Arial" w:cs="Arial"/>
          <w:sz w:val="22"/>
          <w:szCs w:val="22"/>
        </w:rPr>
      </w:pPr>
    </w:p>
    <w:p w14:paraId="2057230A" w14:textId="273399AF" w:rsidR="00D552A9" w:rsidRDefault="00D552A9" w:rsidP="006F1659">
      <w:pPr>
        <w:spacing w:line="360" w:lineRule="auto"/>
        <w:rPr>
          <w:rFonts w:ascii="Arial" w:eastAsia="Calibri" w:hAnsi="Arial" w:cs="Arial"/>
          <w:lang w:val="pt-BR"/>
        </w:rPr>
      </w:pPr>
      <w:r w:rsidRPr="0007572B">
        <w:rPr>
          <w:rFonts w:ascii="Arial" w:eastAsia="Calibri" w:hAnsi="Arial" w:cs="Arial"/>
          <w:lang w:val="pt-BR"/>
        </w:rPr>
        <w:t xml:space="preserve">The Movement in Reserves Statement shows the movement from the start of the year to the end </w:t>
      </w:r>
      <w:r w:rsidR="00627BE3">
        <w:rPr>
          <w:rFonts w:ascii="Arial" w:eastAsia="Calibri" w:hAnsi="Arial" w:cs="Arial"/>
          <w:lang w:val="pt-BR"/>
        </w:rPr>
        <w:t xml:space="preserve">of the year </w:t>
      </w:r>
      <w:r w:rsidRPr="0007572B">
        <w:rPr>
          <w:rFonts w:ascii="Arial" w:eastAsia="Calibri" w:hAnsi="Arial" w:cs="Arial"/>
          <w:lang w:val="pt-BR"/>
        </w:rPr>
        <w:t>on the different reserves held by the Authority, analysed into ‘usable reserves’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those that can be applied to fund expenditure or reduce local taxation) and other ‘unusable reserves’. The Statement shows how the movements in year of the Authority’s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w:t>
      </w:r>
    </w:p>
    <w:p w14:paraId="129856B8" w14:textId="6A6F0D23" w:rsidR="007575E1" w:rsidRPr="0007572B" w:rsidRDefault="00970D94" w:rsidP="006F1659">
      <w:pPr>
        <w:spacing w:line="360" w:lineRule="auto"/>
        <w:rPr>
          <w:rFonts w:ascii="Arial" w:eastAsia="Calibri" w:hAnsi="Arial" w:cs="Arial"/>
          <w:lang w:val="pt-BR"/>
        </w:rPr>
      </w:pPr>
      <w:r w:rsidRPr="00970D94">
        <w:rPr>
          <w:rFonts w:eastAsia="Calibri"/>
          <w:noProof/>
        </w:rPr>
        <w:drawing>
          <wp:inline distT="0" distB="0" distL="0" distR="0" wp14:anchorId="084E98E1" wp14:editId="23BA26A5">
            <wp:extent cx="8860790" cy="2785745"/>
            <wp:effectExtent l="0" t="0" r="0" b="0"/>
            <wp:docPr id="158428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0790" cy="2785745"/>
                    </a:xfrm>
                    <a:prstGeom prst="rect">
                      <a:avLst/>
                    </a:prstGeom>
                    <a:noFill/>
                    <a:ln>
                      <a:noFill/>
                    </a:ln>
                  </pic:spPr>
                </pic:pic>
              </a:graphicData>
            </a:graphic>
          </wp:inline>
        </w:drawing>
      </w:r>
    </w:p>
    <w:p w14:paraId="07FF7E92" w14:textId="77777777" w:rsidR="007575E1" w:rsidRDefault="007575E1" w:rsidP="006F1659">
      <w:pPr>
        <w:spacing w:line="360" w:lineRule="auto"/>
        <w:rPr>
          <w:rFonts w:ascii="Arial" w:hAnsi="Arial" w:cs="Arial"/>
          <w:b/>
          <w:sz w:val="28"/>
          <w:szCs w:val="28"/>
        </w:rPr>
      </w:pPr>
    </w:p>
    <w:p w14:paraId="53C4D8D8" w14:textId="51230851" w:rsidR="00EE467D" w:rsidRPr="0007572B" w:rsidRDefault="00EE467D" w:rsidP="006F1659">
      <w:pPr>
        <w:spacing w:line="360" w:lineRule="auto"/>
        <w:rPr>
          <w:rFonts w:ascii="Arial" w:hAnsi="Arial" w:cs="Arial"/>
          <w:b/>
          <w:sz w:val="28"/>
          <w:szCs w:val="28"/>
        </w:rPr>
        <w:sectPr w:rsidR="00EE467D" w:rsidRPr="0007572B" w:rsidSect="004833A2">
          <w:pgSz w:w="16838" w:h="11906" w:orient="landscape"/>
          <w:pgMar w:top="1080" w:right="1444" w:bottom="1416" w:left="1440" w:header="568" w:footer="567" w:gutter="0"/>
          <w:cols w:space="708"/>
          <w:docGrid w:linePitch="360"/>
        </w:sectPr>
      </w:pPr>
    </w:p>
    <w:p w14:paraId="72BE6ED4" w14:textId="60F44A9D" w:rsidR="00D2583B" w:rsidRPr="0007572B" w:rsidRDefault="00D2583B" w:rsidP="006F1659">
      <w:pPr>
        <w:pStyle w:val="Heading3green"/>
        <w:spacing w:line="360" w:lineRule="auto"/>
      </w:pPr>
      <w:bookmarkStart w:id="65" w:name="_Toc109922606"/>
      <w:r w:rsidRPr="0007572B">
        <w:lastRenderedPageBreak/>
        <w:t>Balance Sheet</w:t>
      </w:r>
      <w:bookmarkEnd w:id="65"/>
    </w:p>
    <w:p w14:paraId="60934230" w14:textId="7BA10F24" w:rsidR="009F53F8" w:rsidRPr="0007572B" w:rsidRDefault="009F53F8" w:rsidP="006F1659">
      <w:pPr>
        <w:spacing w:line="360" w:lineRule="auto"/>
        <w:rPr>
          <w:rFonts w:ascii="Arial" w:hAnsi="Arial" w:cs="Arial"/>
        </w:rPr>
      </w:pPr>
      <w:r w:rsidRPr="0007572B">
        <w:rPr>
          <w:rFonts w:ascii="Arial" w:hAnsi="Arial" w:cs="Arial"/>
        </w:rPr>
        <w:t xml:space="preserve">The </w:t>
      </w:r>
      <w:r w:rsidR="007E4DDF">
        <w:rPr>
          <w:rFonts w:ascii="Arial" w:hAnsi="Arial" w:cs="Arial"/>
        </w:rPr>
        <w:t>B</w:t>
      </w:r>
      <w:r w:rsidRPr="0007572B">
        <w:rPr>
          <w:rFonts w:ascii="Arial" w:hAnsi="Arial" w:cs="Arial"/>
        </w:rPr>
        <w:t>alance Sheet shows the value of assets and liabilities recognised by the Authority.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p>
    <w:p w14:paraId="6BD72ECA" w14:textId="29E670C7" w:rsidR="00A655D4" w:rsidRDefault="009F53F8" w:rsidP="006F1659">
      <w:pPr>
        <w:spacing w:line="360" w:lineRule="auto"/>
        <w:jc w:val="both"/>
        <w:rPr>
          <w:rFonts w:ascii="Arial" w:hAnsi="Arial" w:cs="Arial"/>
          <w:b/>
        </w:rPr>
      </w:pPr>
      <w:r w:rsidRPr="0007572B">
        <w:rPr>
          <w:rFonts w:ascii="Arial" w:hAnsi="Arial" w:cs="Arial"/>
        </w:rPr>
        <w:t>Further details of balance sheet items can be found in the relevant associated notes.</w:t>
      </w:r>
      <w:r w:rsidR="00F930D2" w:rsidRPr="00F930D2">
        <w:rPr>
          <w:rFonts w:ascii="Arial" w:hAnsi="Arial" w:cs="Arial"/>
          <w:b/>
        </w:rPr>
        <w:t xml:space="preserve"> </w:t>
      </w:r>
    </w:p>
    <w:p w14:paraId="70532064" w14:textId="088143B6" w:rsidR="00C302DA" w:rsidRPr="00EE467D" w:rsidRDefault="00A655D4" w:rsidP="006F1659">
      <w:pPr>
        <w:spacing w:line="360" w:lineRule="auto"/>
        <w:jc w:val="both"/>
        <w:rPr>
          <w:rFonts w:ascii="Arial" w:hAnsi="Arial" w:cs="Arial"/>
          <w:b/>
        </w:rPr>
      </w:pPr>
      <w:r w:rsidRPr="00A655D4">
        <w:rPr>
          <w:noProof/>
        </w:rPr>
        <w:drawing>
          <wp:inline distT="0" distB="0" distL="0" distR="0" wp14:anchorId="66A6D6F4" wp14:editId="343E1798">
            <wp:extent cx="4355322" cy="6042074"/>
            <wp:effectExtent l="0" t="0" r="7620" b="0"/>
            <wp:docPr id="1274676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3495" cy="6053412"/>
                    </a:xfrm>
                    <a:prstGeom prst="rect">
                      <a:avLst/>
                    </a:prstGeom>
                    <a:noFill/>
                    <a:ln>
                      <a:noFill/>
                    </a:ln>
                  </pic:spPr>
                </pic:pic>
              </a:graphicData>
            </a:graphic>
          </wp:inline>
        </w:drawing>
      </w:r>
    </w:p>
    <w:p w14:paraId="49907882" w14:textId="5CF798F3" w:rsidR="00B173FF" w:rsidRPr="0007572B" w:rsidRDefault="00A16916" w:rsidP="006F1659">
      <w:pPr>
        <w:spacing w:line="360" w:lineRule="auto"/>
        <w:jc w:val="both"/>
        <w:rPr>
          <w:rFonts w:ascii="Arial" w:hAnsi="Arial" w:cs="Arial"/>
          <w:b/>
        </w:rPr>
      </w:pPr>
      <w:r w:rsidRPr="0007572B">
        <w:rPr>
          <w:rFonts w:ascii="Arial" w:hAnsi="Arial" w:cs="Arial"/>
          <w:b/>
        </w:rPr>
        <w:t>Steve Wilson</w:t>
      </w:r>
    </w:p>
    <w:p w14:paraId="466BE280" w14:textId="77777777" w:rsidR="00B173FF" w:rsidRPr="0007572B" w:rsidRDefault="00B173FF" w:rsidP="006F1659">
      <w:pPr>
        <w:spacing w:line="360" w:lineRule="auto"/>
        <w:jc w:val="both"/>
        <w:rPr>
          <w:rFonts w:ascii="Arial" w:hAnsi="Arial" w:cs="Arial"/>
          <w:b/>
        </w:rPr>
      </w:pPr>
      <w:r w:rsidRPr="0007572B">
        <w:rPr>
          <w:rFonts w:ascii="Arial" w:hAnsi="Arial" w:cs="Arial"/>
          <w:b/>
        </w:rPr>
        <w:t>Greater Manchester Combined Authority Treasurer</w:t>
      </w:r>
    </w:p>
    <w:p w14:paraId="3DF8D8BA" w14:textId="7CFCDF7D" w:rsidR="00D50C37" w:rsidRPr="0007572B" w:rsidRDefault="00AD0EA6" w:rsidP="006F1659">
      <w:pPr>
        <w:spacing w:line="360" w:lineRule="auto"/>
        <w:jc w:val="both"/>
        <w:rPr>
          <w:rFonts w:ascii="Arial" w:hAnsi="Arial" w:cs="Arial"/>
          <w:b/>
          <w:sz w:val="22"/>
          <w:szCs w:val="22"/>
        </w:rPr>
      </w:pPr>
      <w:r w:rsidRPr="0007572B">
        <w:rPr>
          <w:rFonts w:ascii="Arial" w:hAnsi="Arial" w:cs="Arial"/>
          <w:b/>
        </w:rPr>
        <w:t>Date</w:t>
      </w:r>
      <w:r w:rsidR="00B51F59" w:rsidRPr="0007572B">
        <w:rPr>
          <w:rFonts w:ascii="Arial" w:hAnsi="Arial" w:cs="Arial"/>
          <w:b/>
        </w:rPr>
        <w:t xml:space="preserve">: </w:t>
      </w:r>
      <w:r w:rsidR="00AA3449">
        <w:rPr>
          <w:rFonts w:ascii="Arial" w:hAnsi="Arial" w:cs="Arial"/>
          <w:b/>
        </w:rPr>
        <w:t>02</w:t>
      </w:r>
      <w:r w:rsidR="00B13566">
        <w:rPr>
          <w:rFonts w:ascii="Arial" w:hAnsi="Arial" w:cs="Arial"/>
          <w:b/>
        </w:rPr>
        <w:t xml:space="preserve"> </w:t>
      </w:r>
      <w:r w:rsidR="00AA3449">
        <w:rPr>
          <w:rFonts w:ascii="Arial" w:hAnsi="Arial" w:cs="Arial"/>
          <w:b/>
        </w:rPr>
        <w:t>December</w:t>
      </w:r>
      <w:r w:rsidR="00655E4C" w:rsidRPr="00B13566">
        <w:rPr>
          <w:rFonts w:ascii="Arial" w:hAnsi="Arial" w:cs="Arial"/>
          <w:b/>
        </w:rPr>
        <w:t xml:space="preserve"> 202</w:t>
      </w:r>
      <w:r w:rsidR="00AA3449">
        <w:rPr>
          <w:rFonts w:ascii="Arial" w:hAnsi="Arial" w:cs="Arial"/>
          <w:b/>
        </w:rPr>
        <w:t>4</w:t>
      </w:r>
      <w:r w:rsidR="00D50C37" w:rsidRPr="0007572B">
        <w:rPr>
          <w:rFonts w:ascii="Arial" w:hAnsi="Arial" w:cs="Arial"/>
          <w:b/>
          <w:sz w:val="22"/>
          <w:szCs w:val="22"/>
        </w:rPr>
        <w:br w:type="page"/>
      </w:r>
    </w:p>
    <w:p w14:paraId="6F7A298C" w14:textId="05FAECE3" w:rsidR="00513B48" w:rsidRPr="0007572B" w:rsidRDefault="00513B48" w:rsidP="006F1659">
      <w:pPr>
        <w:pStyle w:val="Heading3green"/>
        <w:spacing w:line="360" w:lineRule="auto"/>
      </w:pPr>
      <w:bookmarkStart w:id="66" w:name="_Toc109922607"/>
      <w:r w:rsidRPr="0007572B">
        <w:lastRenderedPageBreak/>
        <w:t>Cash Flow Statement</w:t>
      </w:r>
      <w:bookmarkEnd w:id="66"/>
    </w:p>
    <w:p w14:paraId="3C98D4E6" w14:textId="77777777" w:rsidR="00986BB0" w:rsidRPr="0007572B" w:rsidRDefault="00986BB0" w:rsidP="006F1659">
      <w:pPr>
        <w:spacing w:line="360" w:lineRule="auto"/>
        <w:jc w:val="both"/>
        <w:rPr>
          <w:rFonts w:ascii="Arial" w:hAnsi="Arial" w:cs="Arial"/>
          <w:sz w:val="20"/>
          <w:szCs w:val="20"/>
        </w:rPr>
      </w:pPr>
    </w:p>
    <w:p w14:paraId="07D63A90" w14:textId="77777777" w:rsidR="00716A39" w:rsidRPr="0007572B" w:rsidRDefault="00D552A9" w:rsidP="006F1659">
      <w:pPr>
        <w:spacing w:line="360" w:lineRule="auto"/>
        <w:rPr>
          <w:rFonts w:ascii="Arial" w:eastAsia="Calibri" w:hAnsi="Arial" w:cs="Arial"/>
          <w:lang w:val="pt-BR"/>
        </w:rPr>
      </w:pPr>
      <w:r w:rsidRPr="0007572B">
        <w:rPr>
          <w:rFonts w:ascii="Arial" w:eastAsia="Calibri" w:hAnsi="Arial" w:cs="Arial"/>
          <w:lang w:val="pt-BR"/>
        </w:rPr>
        <w:t xml:space="preserve">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w:t>
      </w:r>
    </w:p>
    <w:p w14:paraId="2702127E" w14:textId="77777777" w:rsidR="00716A39" w:rsidRPr="0007572B" w:rsidRDefault="00716A39" w:rsidP="006F1659">
      <w:pPr>
        <w:spacing w:line="360" w:lineRule="auto"/>
        <w:rPr>
          <w:rFonts w:ascii="Arial" w:eastAsia="Calibri" w:hAnsi="Arial" w:cs="Arial"/>
          <w:lang w:val="pt-BR"/>
        </w:rPr>
      </w:pPr>
    </w:p>
    <w:p w14:paraId="4E2C4AE7" w14:textId="3117562C" w:rsidR="008A1801" w:rsidRDefault="00D552A9" w:rsidP="006F1659">
      <w:pPr>
        <w:spacing w:line="360" w:lineRule="auto"/>
        <w:rPr>
          <w:rFonts w:ascii="Arial" w:eastAsia="Calibri" w:hAnsi="Arial" w:cs="Arial"/>
          <w:lang w:val="pt-BR"/>
        </w:rPr>
      </w:pPr>
      <w:r w:rsidRPr="0007572B">
        <w:rPr>
          <w:rFonts w:ascii="Arial" w:eastAsia="Calibri" w:hAnsi="Arial" w:cs="Arial"/>
          <w:lang w:val="pt-BR"/>
        </w:rPr>
        <w:t>Investing activities represent the extent to which cash outflows have been made for resources which are intended to contribute to the Authority’s future service delivery. Cash flows arising from financing activities are useful in predicting claims on future cash flows by providers of capital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borrowing) to the Authority.</w:t>
      </w:r>
    </w:p>
    <w:p w14:paraId="0E27FEEE" w14:textId="77777777" w:rsidR="00204D0B" w:rsidRDefault="00204D0B" w:rsidP="006F1659">
      <w:pPr>
        <w:spacing w:line="360" w:lineRule="auto"/>
        <w:rPr>
          <w:rFonts w:ascii="Arial" w:eastAsia="Calibri" w:hAnsi="Arial" w:cs="Arial"/>
          <w:lang w:val="pt-BR"/>
        </w:rPr>
      </w:pPr>
    </w:p>
    <w:p w14:paraId="6751A807" w14:textId="19276D01" w:rsidR="00B006C9" w:rsidRDefault="00B006C9" w:rsidP="006F1659">
      <w:pPr>
        <w:spacing w:line="360" w:lineRule="auto"/>
        <w:rPr>
          <w:rFonts w:ascii="Arial" w:eastAsia="Calibri" w:hAnsi="Arial" w:cs="Arial"/>
          <w:lang w:val="pt-BR"/>
        </w:rPr>
      </w:pPr>
    </w:p>
    <w:p w14:paraId="188D7098" w14:textId="32714497" w:rsidR="00B006C9" w:rsidRPr="0007572B" w:rsidRDefault="00970D94" w:rsidP="006F1659">
      <w:pPr>
        <w:spacing w:line="360" w:lineRule="auto"/>
        <w:rPr>
          <w:rFonts w:ascii="Arial" w:eastAsia="Calibri" w:hAnsi="Arial" w:cs="Arial"/>
          <w:lang w:val="pt-BR"/>
        </w:rPr>
      </w:pPr>
      <w:r w:rsidRPr="00970D94">
        <w:rPr>
          <w:rFonts w:eastAsia="Calibri"/>
          <w:noProof/>
        </w:rPr>
        <w:drawing>
          <wp:inline distT="0" distB="0" distL="0" distR="0" wp14:anchorId="36753ED2" wp14:editId="4E05258D">
            <wp:extent cx="5746750" cy="2355850"/>
            <wp:effectExtent l="0" t="0" r="6350" b="6350"/>
            <wp:docPr id="893227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6750" cy="2355850"/>
                    </a:xfrm>
                    <a:prstGeom prst="rect">
                      <a:avLst/>
                    </a:prstGeom>
                    <a:noFill/>
                    <a:ln>
                      <a:noFill/>
                    </a:ln>
                  </pic:spPr>
                </pic:pic>
              </a:graphicData>
            </a:graphic>
          </wp:inline>
        </w:drawing>
      </w:r>
    </w:p>
    <w:p w14:paraId="14426779" w14:textId="71F5861B" w:rsidR="00543B15" w:rsidRPr="0007572B" w:rsidRDefault="00543B15" w:rsidP="006F1659">
      <w:pPr>
        <w:spacing w:line="360" w:lineRule="auto"/>
        <w:jc w:val="both"/>
        <w:rPr>
          <w:rFonts w:ascii="Arial" w:hAnsi="Arial" w:cs="Arial"/>
          <w:sz w:val="22"/>
          <w:szCs w:val="22"/>
        </w:rPr>
      </w:pPr>
    </w:p>
    <w:p w14:paraId="5044F22F" w14:textId="305D36E4" w:rsidR="00062B2C" w:rsidRPr="0007572B" w:rsidRDefault="00062B2C" w:rsidP="006F1659">
      <w:pPr>
        <w:spacing w:line="360" w:lineRule="auto"/>
        <w:jc w:val="both"/>
        <w:rPr>
          <w:rFonts w:ascii="Arial" w:hAnsi="Arial" w:cs="Arial"/>
          <w:sz w:val="22"/>
          <w:szCs w:val="22"/>
        </w:rPr>
      </w:pPr>
    </w:p>
    <w:p w14:paraId="000BE180" w14:textId="77777777" w:rsidR="00F2757F" w:rsidRPr="0007572B" w:rsidRDefault="00F2757F" w:rsidP="006F1659">
      <w:pPr>
        <w:spacing w:line="360" w:lineRule="auto"/>
        <w:jc w:val="both"/>
        <w:rPr>
          <w:rFonts w:ascii="Arial" w:hAnsi="Arial" w:cs="Arial"/>
          <w:b/>
          <w:sz w:val="22"/>
          <w:szCs w:val="22"/>
        </w:rPr>
      </w:pPr>
    </w:p>
    <w:p w14:paraId="62D6989B" w14:textId="77777777" w:rsidR="0095384C" w:rsidRPr="0007572B" w:rsidRDefault="0095384C" w:rsidP="006F1659">
      <w:pPr>
        <w:spacing w:line="360" w:lineRule="auto"/>
        <w:rPr>
          <w:rFonts w:ascii="Arial" w:hAnsi="Arial" w:cs="Arial"/>
          <w:b/>
          <w:sz w:val="40"/>
          <w:szCs w:val="40"/>
        </w:rPr>
      </w:pPr>
      <w:r w:rsidRPr="0007572B">
        <w:rPr>
          <w:rFonts w:ascii="Arial" w:hAnsi="Arial" w:cs="Arial"/>
          <w:b/>
          <w:sz w:val="40"/>
          <w:szCs w:val="40"/>
        </w:rPr>
        <w:br w:type="page"/>
      </w:r>
    </w:p>
    <w:p w14:paraId="4419846C" w14:textId="77777777" w:rsidR="00E266B1" w:rsidRPr="0007572B" w:rsidRDefault="00E266B1" w:rsidP="006F1659">
      <w:pPr>
        <w:spacing w:line="360" w:lineRule="auto"/>
        <w:jc w:val="center"/>
        <w:rPr>
          <w:rFonts w:ascii="Arial" w:hAnsi="Arial" w:cs="Arial"/>
          <w:b/>
          <w:sz w:val="40"/>
          <w:szCs w:val="40"/>
        </w:rPr>
      </w:pPr>
    </w:p>
    <w:p w14:paraId="21F9FEF3" w14:textId="111CD10A" w:rsidR="00CB4A8E" w:rsidRPr="0007572B" w:rsidRDefault="00CB4A8E" w:rsidP="006F1659">
      <w:pPr>
        <w:pStyle w:val="Heaading2green"/>
        <w:spacing w:line="360" w:lineRule="auto"/>
      </w:pPr>
      <w:bookmarkStart w:id="67" w:name="_Toc92895174"/>
      <w:bookmarkStart w:id="68" w:name="_Toc109922608"/>
      <w:r w:rsidRPr="0007572B">
        <w:t>Single Entity Accounts</w:t>
      </w:r>
      <w:bookmarkEnd w:id="67"/>
      <w:bookmarkEnd w:id="68"/>
    </w:p>
    <w:p w14:paraId="0EB67058" w14:textId="77777777" w:rsidR="00CB4A8E" w:rsidRPr="0007572B" w:rsidRDefault="00CB4A8E" w:rsidP="006F1659">
      <w:pPr>
        <w:spacing w:line="360" w:lineRule="auto"/>
        <w:jc w:val="center"/>
        <w:rPr>
          <w:rFonts w:ascii="Arial" w:hAnsi="Arial" w:cs="Arial"/>
          <w:b/>
          <w:sz w:val="40"/>
          <w:szCs w:val="40"/>
        </w:rPr>
      </w:pPr>
    </w:p>
    <w:p w14:paraId="08009F10" w14:textId="7331A0AD" w:rsidR="00CB4A8E" w:rsidRPr="0007572B" w:rsidRDefault="00CB4A8E" w:rsidP="006F1659">
      <w:pPr>
        <w:pStyle w:val="Heaading2green"/>
        <w:spacing w:line="360" w:lineRule="auto"/>
      </w:pPr>
      <w:bookmarkStart w:id="69" w:name="_Toc109922609"/>
      <w:r w:rsidRPr="0007572B">
        <w:t>Notes to the Financial Statements</w:t>
      </w:r>
      <w:bookmarkEnd w:id="69"/>
    </w:p>
    <w:p w14:paraId="1AE2DA0B" w14:textId="77777777" w:rsidR="00606E4A" w:rsidRPr="0007572B" w:rsidRDefault="00606E4A" w:rsidP="006F1659">
      <w:pPr>
        <w:spacing w:line="360" w:lineRule="auto"/>
        <w:rPr>
          <w:rFonts w:ascii="Arial" w:hAnsi="Arial" w:cs="Arial"/>
          <w:b/>
          <w:sz w:val="40"/>
          <w:szCs w:val="40"/>
        </w:rPr>
      </w:pPr>
      <w:r w:rsidRPr="0007572B">
        <w:rPr>
          <w:rFonts w:ascii="Arial" w:hAnsi="Arial" w:cs="Arial"/>
          <w:b/>
          <w:sz w:val="40"/>
          <w:szCs w:val="40"/>
        </w:rPr>
        <w:br w:type="page"/>
      </w:r>
    </w:p>
    <w:p w14:paraId="50CCA0A5" w14:textId="5D931CDF" w:rsidR="00B266FC" w:rsidRPr="004D2865" w:rsidRDefault="00B266FC" w:rsidP="006F1659">
      <w:pPr>
        <w:pStyle w:val="Heading3greennumbered"/>
        <w:spacing w:line="360" w:lineRule="auto"/>
      </w:pPr>
      <w:bookmarkStart w:id="70" w:name="_Toc92894872"/>
      <w:bookmarkStart w:id="71" w:name="_Toc92895176"/>
      <w:bookmarkStart w:id="72" w:name="_Toc109922610"/>
      <w:r w:rsidRPr="004D2865">
        <w:lastRenderedPageBreak/>
        <w:t>1 Accounting Concepts and Policies</w:t>
      </w:r>
      <w:bookmarkEnd w:id="70"/>
      <w:bookmarkEnd w:id="71"/>
      <w:bookmarkEnd w:id="72"/>
    </w:p>
    <w:p w14:paraId="19C16F86" w14:textId="77777777" w:rsidR="00924E51" w:rsidRPr="004D2865" w:rsidRDefault="00924E51" w:rsidP="006F1659">
      <w:pPr>
        <w:spacing w:line="360" w:lineRule="auto"/>
        <w:rPr>
          <w:rFonts w:eastAsiaTheme="minorHAnsi"/>
        </w:rPr>
      </w:pPr>
    </w:p>
    <w:p w14:paraId="376BD4E5" w14:textId="77777777" w:rsidR="00655E4C" w:rsidRPr="0007572B" w:rsidRDefault="00655E4C" w:rsidP="006F1659">
      <w:pPr>
        <w:pStyle w:val="Heading4bold"/>
        <w:spacing w:line="360" w:lineRule="auto"/>
        <w:rPr>
          <w:rFonts w:eastAsiaTheme="minorHAnsi"/>
          <w:lang w:val="en-US"/>
        </w:rPr>
      </w:pPr>
      <w:r w:rsidRPr="0007572B">
        <w:rPr>
          <w:rFonts w:eastAsiaTheme="minorHAnsi"/>
          <w:lang w:val="en-US"/>
        </w:rPr>
        <w:t>1.1. General Principles</w:t>
      </w:r>
    </w:p>
    <w:p w14:paraId="3ED32990" w14:textId="30159C06"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color w:val="000000"/>
          <w:sz w:val="24"/>
          <w:szCs w:val="24"/>
          <w:lang w:eastAsia="en-GB"/>
        </w:rPr>
        <w:t xml:space="preserve">The </w:t>
      </w:r>
      <w:r w:rsidRPr="0007572B">
        <w:rPr>
          <w:rFonts w:ascii="Arial" w:hAnsi="Arial" w:cs="Arial"/>
          <w:bCs/>
          <w:sz w:val="24"/>
          <w:szCs w:val="24"/>
          <w:lang w:eastAsia="en-GB"/>
        </w:rPr>
        <w:t>Statement of Accounts summarises the Authority’s transactions for the 202</w:t>
      </w:r>
      <w:r w:rsidR="00A0708C">
        <w:rPr>
          <w:rFonts w:ascii="Arial" w:hAnsi="Arial" w:cs="Arial"/>
          <w:bCs/>
          <w:sz w:val="24"/>
          <w:szCs w:val="24"/>
          <w:lang w:eastAsia="en-GB"/>
        </w:rPr>
        <w:t>2</w:t>
      </w:r>
      <w:r w:rsidRPr="0007572B">
        <w:rPr>
          <w:rFonts w:ascii="Arial" w:hAnsi="Arial" w:cs="Arial"/>
          <w:bCs/>
          <w:sz w:val="24"/>
          <w:szCs w:val="24"/>
          <w:lang w:eastAsia="en-GB"/>
        </w:rPr>
        <w:t>/2</w:t>
      </w:r>
      <w:r w:rsidR="00A0708C">
        <w:rPr>
          <w:rFonts w:ascii="Arial" w:hAnsi="Arial" w:cs="Arial"/>
          <w:bCs/>
          <w:sz w:val="24"/>
          <w:szCs w:val="24"/>
          <w:lang w:eastAsia="en-GB"/>
        </w:rPr>
        <w:t>3</w:t>
      </w:r>
      <w:r w:rsidRPr="0007572B">
        <w:rPr>
          <w:rFonts w:ascii="Arial" w:hAnsi="Arial" w:cs="Arial"/>
          <w:bCs/>
          <w:sz w:val="24"/>
          <w:szCs w:val="24"/>
          <w:lang w:eastAsia="en-GB"/>
        </w:rPr>
        <w:t xml:space="preserve"> financial year and its position at the year-end of 31 March 202</w:t>
      </w:r>
      <w:r w:rsidR="00A0708C">
        <w:rPr>
          <w:rFonts w:ascii="Arial" w:hAnsi="Arial" w:cs="Arial"/>
          <w:bCs/>
          <w:sz w:val="24"/>
          <w:szCs w:val="24"/>
          <w:lang w:eastAsia="en-GB"/>
        </w:rPr>
        <w:t>3</w:t>
      </w:r>
      <w:r w:rsidRPr="0007572B">
        <w:rPr>
          <w:rFonts w:ascii="Arial" w:hAnsi="Arial" w:cs="Arial"/>
          <w:bCs/>
          <w:sz w:val="24"/>
          <w:szCs w:val="24"/>
          <w:lang w:eastAsia="en-GB"/>
        </w:rPr>
        <w:t xml:space="preserve">. The Authority is required to prepare an annual Statement of Accounts by the Accounts and Audit Regulations 2015. These regulations require the Accounts to be prepared in accordance with proper accounting practices. </w:t>
      </w:r>
    </w:p>
    <w:p w14:paraId="45EE4105" w14:textId="77777777" w:rsidR="00655E4C" w:rsidRPr="0007572B" w:rsidRDefault="00655E4C" w:rsidP="006F1659">
      <w:pPr>
        <w:pStyle w:val="Normal0"/>
        <w:spacing w:line="360" w:lineRule="auto"/>
        <w:rPr>
          <w:rFonts w:ascii="Arial" w:hAnsi="Arial" w:cs="Arial"/>
          <w:bCs/>
          <w:sz w:val="24"/>
          <w:szCs w:val="24"/>
          <w:lang w:eastAsia="en-GB"/>
        </w:rPr>
      </w:pPr>
    </w:p>
    <w:p w14:paraId="60413023" w14:textId="7958C573" w:rsidR="00655E4C" w:rsidRPr="0007572B" w:rsidRDefault="00655E4C" w:rsidP="006F1659">
      <w:pPr>
        <w:pStyle w:val="Normal0"/>
        <w:autoSpaceDE w:val="0"/>
        <w:autoSpaceDN w:v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These practices primarily comprise the Code of Practice on Local Authority Accounting in the United Kingdom </w:t>
      </w:r>
      <w:r>
        <w:rPr>
          <w:rFonts w:ascii="Arial" w:hAnsi="Arial" w:cs="Arial"/>
          <w:bCs/>
          <w:sz w:val="24"/>
          <w:szCs w:val="24"/>
          <w:lang w:eastAsia="en-GB"/>
        </w:rPr>
        <w:t>202</w:t>
      </w:r>
      <w:r w:rsidR="00A0708C">
        <w:rPr>
          <w:rFonts w:ascii="Arial" w:hAnsi="Arial" w:cs="Arial"/>
          <w:bCs/>
          <w:sz w:val="24"/>
          <w:szCs w:val="24"/>
          <w:lang w:eastAsia="en-GB"/>
        </w:rPr>
        <w:t>2</w:t>
      </w:r>
      <w:r>
        <w:rPr>
          <w:rFonts w:ascii="Arial" w:hAnsi="Arial" w:cs="Arial"/>
          <w:bCs/>
          <w:sz w:val="24"/>
          <w:szCs w:val="24"/>
          <w:lang w:eastAsia="en-GB"/>
        </w:rPr>
        <w:t>/2</w:t>
      </w:r>
      <w:r w:rsidR="00A0708C">
        <w:rPr>
          <w:rFonts w:ascii="Arial" w:hAnsi="Arial" w:cs="Arial"/>
          <w:bCs/>
          <w:sz w:val="24"/>
          <w:szCs w:val="24"/>
          <w:lang w:eastAsia="en-GB"/>
        </w:rPr>
        <w:t>3</w:t>
      </w:r>
      <w:r w:rsidR="00C671BA">
        <w:rPr>
          <w:rFonts w:ascii="Arial" w:hAnsi="Arial" w:cs="Arial"/>
          <w:bCs/>
          <w:sz w:val="24"/>
          <w:szCs w:val="24"/>
          <w:lang w:eastAsia="en-GB"/>
        </w:rPr>
        <w:t xml:space="preserve"> and update to the 2022/23 Code and Specifications for Future Codes for Infrastructure Assets published in November 2022</w:t>
      </w:r>
      <w:r w:rsidRPr="0007572B">
        <w:rPr>
          <w:rFonts w:ascii="Arial" w:hAnsi="Arial" w:cs="Arial"/>
          <w:bCs/>
          <w:sz w:val="24"/>
          <w:szCs w:val="24"/>
          <w:lang w:eastAsia="en-GB"/>
        </w:rPr>
        <w:t>, supported by International Financial Reporting Standards (IFRS) and statutory guidance issued under section 12 of the Local Government Act 2003.</w:t>
      </w:r>
    </w:p>
    <w:p w14:paraId="3FE087F4" w14:textId="77777777" w:rsidR="00655E4C" w:rsidRPr="0007572B" w:rsidRDefault="00655E4C" w:rsidP="006F1659">
      <w:pPr>
        <w:pStyle w:val="Normal0"/>
        <w:spacing w:line="360" w:lineRule="auto"/>
        <w:rPr>
          <w:rFonts w:ascii="Arial" w:hAnsi="Arial" w:cs="Arial"/>
          <w:bCs/>
          <w:sz w:val="24"/>
          <w:szCs w:val="24"/>
          <w:lang w:eastAsia="en-GB"/>
        </w:rPr>
      </w:pPr>
    </w:p>
    <w:p w14:paraId="23CC824B"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t>The accounting convention adopted in the Statement of Accounts is principally historical cost, modified by the revaluation of certain categories of non-current assets and financial instruments.</w:t>
      </w:r>
    </w:p>
    <w:p w14:paraId="77AF4B3D" w14:textId="77777777" w:rsidR="00655E4C" w:rsidRPr="0007572B" w:rsidRDefault="00655E4C" w:rsidP="006F1659">
      <w:pPr>
        <w:spacing w:line="360" w:lineRule="auto"/>
        <w:rPr>
          <w:rFonts w:ascii="Arial" w:hAnsi="Arial" w:cs="Arial"/>
          <w:bCs/>
          <w:color w:val="000000"/>
          <w:lang w:val="en-US" w:eastAsia="en-GB"/>
        </w:rPr>
      </w:pPr>
    </w:p>
    <w:p w14:paraId="1AE654C1" w14:textId="77777777" w:rsidR="00655E4C" w:rsidRPr="0007572B" w:rsidRDefault="00655E4C" w:rsidP="006F1659">
      <w:pPr>
        <w:pStyle w:val="Heading4bold"/>
        <w:spacing w:line="360" w:lineRule="auto"/>
        <w:rPr>
          <w:lang w:eastAsia="en-GB"/>
        </w:rPr>
      </w:pPr>
      <w:r w:rsidRPr="0007572B">
        <w:rPr>
          <w:lang w:eastAsia="en-GB"/>
        </w:rPr>
        <w:t>1.2. Accounting Concepts</w:t>
      </w:r>
    </w:p>
    <w:p w14:paraId="114E31AE" w14:textId="77777777" w:rsidR="00655E4C" w:rsidRPr="00C5321C" w:rsidRDefault="00655E4C" w:rsidP="006F1659">
      <w:pPr>
        <w:spacing w:line="360" w:lineRule="auto"/>
        <w:rPr>
          <w:rFonts w:ascii="Arial" w:hAnsi="Arial" w:cs="Arial"/>
          <w:bCs/>
          <w:lang w:eastAsia="en-GB"/>
        </w:rPr>
      </w:pPr>
      <w:r w:rsidRPr="0007572B">
        <w:rPr>
          <w:rFonts w:ascii="Arial" w:hAnsi="Arial" w:cs="Arial"/>
          <w:bCs/>
          <w:lang w:eastAsia="en-GB"/>
        </w:rPr>
        <w:t xml:space="preserve">The accounts are prepared on a going concern basis. This </w:t>
      </w:r>
      <w:r w:rsidRPr="00C5321C">
        <w:rPr>
          <w:rFonts w:ascii="Arial" w:hAnsi="Arial" w:cs="Arial"/>
          <w:bCs/>
          <w:lang w:eastAsia="en-GB"/>
        </w:rPr>
        <w:t xml:space="preserve">assumes </w:t>
      </w:r>
      <w:r w:rsidRPr="00C5321C">
        <w:rPr>
          <w:rFonts w:ascii="Arial" w:hAnsi="Arial" w:cs="Arial"/>
        </w:rPr>
        <w:t>that the functions of the authority will continue in operational existence for the foreseeable future</w:t>
      </w:r>
      <w:r w:rsidRPr="00C5321C">
        <w:rPr>
          <w:rFonts w:ascii="Arial" w:hAnsi="Arial" w:cs="Arial"/>
          <w:bCs/>
          <w:lang w:eastAsia="en-GB"/>
        </w:rPr>
        <w:t>.</w:t>
      </w:r>
    </w:p>
    <w:p w14:paraId="7FD49136" w14:textId="77777777" w:rsidR="00655E4C" w:rsidRPr="0007572B" w:rsidRDefault="00655E4C" w:rsidP="006F1659">
      <w:pPr>
        <w:spacing w:line="360" w:lineRule="auto"/>
        <w:rPr>
          <w:rFonts w:ascii="Arial" w:hAnsi="Arial" w:cs="Arial"/>
          <w:bCs/>
          <w:lang w:eastAsia="en-GB"/>
        </w:rPr>
      </w:pPr>
    </w:p>
    <w:p w14:paraId="18D3BCE1" w14:textId="75929D4A" w:rsidR="00655E4C" w:rsidRPr="0007572B" w:rsidRDefault="00655E4C" w:rsidP="006F1659">
      <w:pPr>
        <w:spacing w:line="360" w:lineRule="auto"/>
        <w:rPr>
          <w:rFonts w:ascii="Arial" w:hAnsi="Arial" w:cs="Arial"/>
          <w:bCs/>
          <w:lang w:eastAsia="en-GB"/>
        </w:rPr>
      </w:pPr>
      <w:r w:rsidRPr="0007572B">
        <w:rPr>
          <w:rFonts w:ascii="Arial" w:hAnsi="Arial" w:cs="Arial"/>
          <w:bCs/>
          <w:lang w:eastAsia="en-GB"/>
        </w:rPr>
        <w:t xml:space="preserve">As a combined authority, the GMCA has to operate within its powers. The services provided by the GMCA include waste disposal functions, fire and rescue functions, police and crime commissioner, transport, economic development and regeneration. These services are funded by levies paid by the </w:t>
      </w:r>
      <w:r w:rsidR="006A7A2D">
        <w:rPr>
          <w:rFonts w:ascii="Arial" w:hAnsi="Arial" w:cs="Arial"/>
          <w:bCs/>
          <w:lang w:eastAsia="en-GB"/>
        </w:rPr>
        <w:t>ten</w:t>
      </w:r>
      <w:r w:rsidRPr="0007572B">
        <w:rPr>
          <w:rFonts w:ascii="Arial" w:hAnsi="Arial" w:cs="Arial"/>
          <w:bCs/>
          <w:lang w:eastAsia="en-GB"/>
        </w:rPr>
        <w:t xml:space="preserve"> Greater Manchester authorities, precepts collected by the </w:t>
      </w:r>
      <w:r w:rsidR="006A7A2D">
        <w:rPr>
          <w:rFonts w:ascii="Arial" w:hAnsi="Arial" w:cs="Arial"/>
          <w:bCs/>
          <w:lang w:eastAsia="en-GB"/>
        </w:rPr>
        <w:t>ten</w:t>
      </w:r>
      <w:r w:rsidRPr="0007572B">
        <w:rPr>
          <w:rFonts w:ascii="Arial" w:hAnsi="Arial" w:cs="Arial"/>
          <w:bCs/>
          <w:lang w:eastAsia="en-GB"/>
        </w:rPr>
        <w:t xml:space="preserve"> Greater Manchester authorities and grants provided by central government. The Authority does not anticipate that these levies, precepts or grants will cease in the foreseeable future given the statutory requirements placed on the GMCA to provide these services. </w:t>
      </w:r>
    </w:p>
    <w:p w14:paraId="0E01CBBF" w14:textId="77777777" w:rsidR="00655E4C" w:rsidRPr="0007572B" w:rsidRDefault="00655E4C" w:rsidP="006F1659">
      <w:pPr>
        <w:spacing w:line="360" w:lineRule="auto"/>
        <w:rPr>
          <w:rFonts w:ascii="Arial" w:hAnsi="Arial" w:cs="Arial"/>
          <w:bCs/>
          <w:lang w:eastAsia="en-GB"/>
        </w:rPr>
      </w:pPr>
    </w:p>
    <w:p w14:paraId="43DE6B6A" w14:textId="77777777" w:rsidR="00D0656E" w:rsidRDefault="00655E4C" w:rsidP="006F1659">
      <w:pPr>
        <w:spacing w:line="360" w:lineRule="auto"/>
        <w:rPr>
          <w:rFonts w:ascii="Arial" w:hAnsi="Arial" w:cs="Arial"/>
          <w:bCs/>
          <w:lang w:eastAsia="en-GB"/>
        </w:rPr>
      </w:pPr>
      <w:r w:rsidRPr="0007572B">
        <w:rPr>
          <w:rFonts w:ascii="Arial" w:hAnsi="Arial" w:cs="Arial"/>
          <w:bCs/>
          <w:lang w:eastAsia="en-GB"/>
        </w:rPr>
        <w:lastRenderedPageBreak/>
        <w:t xml:space="preserve">The group includes TfGM, which provides the transport network across Greater Manchester, and although transport related borrowing sits on the GMCA </w:t>
      </w:r>
      <w:r w:rsidR="00D0656E">
        <w:rPr>
          <w:rFonts w:ascii="Arial" w:hAnsi="Arial" w:cs="Arial"/>
          <w:bCs/>
          <w:lang w:eastAsia="en-GB"/>
        </w:rPr>
        <w:t xml:space="preserve">- Single Entity </w:t>
      </w:r>
      <w:r w:rsidRPr="0007572B">
        <w:rPr>
          <w:rFonts w:ascii="Arial" w:hAnsi="Arial" w:cs="Arial"/>
          <w:bCs/>
          <w:lang w:eastAsia="en-GB"/>
        </w:rPr>
        <w:t>balance sheet, all the transport assets sit on TFGM's balance sheet</w:t>
      </w:r>
      <w:r w:rsidR="002F083C">
        <w:rPr>
          <w:rFonts w:ascii="Arial" w:hAnsi="Arial" w:cs="Arial"/>
          <w:bCs/>
          <w:lang w:eastAsia="en-GB"/>
        </w:rPr>
        <w:t xml:space="preserve"> within the</w:t>
      </w:r>
    </w:p>
    <w:p w14:paraId="75F22737" w14:textId="458E59F9" w:rsidR="00655E4C" w:rsidRDefault="00D0656E" w:rsidP="006F1659">
      <w:pPr>
        <w:spacing w:line="360" w:lineRule="auto"/>
        <w:rPr>
          <w:rFonts w:ascii="Arial" w:hAnsi="Arial" w:cs="Arial"/>
          <w:bCs/>
          <w:lang w:eastAsia="en-GB"/>
        </w:rPr>
      </w:pPr>
      <w:r>
        <w:rPr>
          <w:rFonts w:ascii="Arial" w:hAnsi="Arial" w:cs="Arial"/>
          <w:bCs/>
          <w:lang w:eastAsia="en-GB"/>
        </w:rPr>
        <w:t xml:space="preserve">GMCA - </w:t>
      </w:r>
      <w:r w:rsidR="002F083C">
        <w:rPr>
          <w:rFonts w:ascii="Arial" w:hAnsi="Arial" w:cs="Arial"/>
          <w:bCs/>
          <w:lang w:eastAsia="en-GB"/>
        </w:rPr>
        <w:t>Group accounts</w:t>
      </w:r>
      <w:r w:rsidR="00655E4C" w:rsidRPr="0007572B">
        <w:rPr>
          <w:rFonts w:ascii="Arial" w:hAnsi="Arial" w:cs="Arial"/>
          <w:bCs/>
          <w:lang w:eastAsia="en-GB"/>
        </w:rPr>
        <w:t>. GMCA carries sufficient reserves in respect of each of its functions to provide resilience in the event of volatility in its various funding sources.</w:t>
      </w:r>
    </w:p>
    <w:p w14:paraId="65D75819" w14:textId="77777777" w:rsidR="00655E4C" w:rsidRPr="0007572B" w:rsidRDefault="00655E4C" w:rsidP="006F1659">
      <w:pPr>
        <w:spacing w:line="360" w:lineRule="auto"/>
        <w:rPr>
          <w:rFonts w:ascii="Arial" w:hAnsi="Arial" w:cs="Arial"/>
          <w:bCs/>
          <w:lang w:eastAsia="en-GB"/>
        </w:rPr>
      </w:pPr>
    </w:p>
    <w:p w14:paraId="115B9F4F" w14:textId="77777777" w:rsidR="00655E4C" w:rsidRPr="0007572B" w:rsidRDefault="00655E4C" w:rsidP="006F1659">
      <w:pPr>
        <w:pStyle w:val="Heading4bold"/>
        <w:spacing w:line="360" w:lineRule="auto"/>
        <w:rPr>
          <w:lang w:eastAsia="en-GB"/>
        </w:rPr>
      </w:pPr>
      <w:r w:rsidRPr="002555A0">
        <w:rPr>
          <w:lang w:eastAsia="en-GB"/>
        </w:rPr>
        <w:t xml:space="preserve">1.3. Accruals </w:t>
      </w:r>
      <w:r w:rsidRPr="0007572B">
        <w:rPr>
          <w:lang w:eastAsia="en-GB"/>
        </w:rPr>
        <w:t>of Income and Expenditure</w:t>
      </w:r>
    </w:p>
    <w:p w14:paraId="02FB6694"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Activity is accounted for in the year that it takes place, not simply when cash payments are made or received. In particular:</w:t>
      </w:r>
    </w:p>
    <w:p w14:paraId="019AFD2F" w14:textId="77777777" w:rsidR="00655E4C" w:rsidRPr="0007572B" w:rsidRDefault="00655E4C" w:rsidP="006F1659">
      <w:pPr>
        <w:pStyle w:val="Normal0"/>
        <w:spacing w:line="360" w:lineRule="auto"/>
        <w:rPr>
          <w:rFonts w:ascii="Arial" w:hAnsi="Arial" w:cs="Arial"/>
          <w:bCs/>
          <w:sz w:val="24"/>
          <w:szCs w:val="24"/>
          <w:lang w:eastAsia="en-GB"/>
        </w:rPr>
      </w:pPr>
    </w:p>
    <w:p w14:paraId="31EF9725"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Supplies are recorded as expenditure when they are consumed. Where there is a gap between the date supplies are received and their consumption they are carried as inventories on the Balance Sheet;</w:t>
      </w:r>
    </w:p>
    <w:p w14:paraId="4F863137"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Expenses relating to services received (including services provided by employees) are recorded as expenditure when the services are received rather than when payments are made;</w:t>
      </w:r>
    </w:p>
    <w:p w14:paraId="6A1ADC50"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Interest receivable on investments and payable on borrowings is accounted for respectively as income and expenditure on the basis of the effective interest rate for the relevant financial instrument rather than on the basis of the cash flows fixed or determined by the contract;</w:t>
      </w:r>
    </w:p>
    <w:p w14:paraId="2382DC9B" w14:textId="77777777" w:rsidR="00655E4C" w:rsidRDefault="00655E4C" w:rsidP="006F1659">
      <w:pPr>
        <w:pStyle w:val="ListParagraph"/>
        <w:numPr>
          <w:ilvl w:val="0"/>
          <w:numId w:val="18"/>
        </w:numPr>
        <w:spacing w:after="0" w:line="360" w:lineRule="auto"/>
        <w:ind w:left="992" w:hanging="425"/>
        <w:rPr>
          <w:rFonts w:ascii="Arial" w:hAnsi="Arial" w:cs="Arial"/>
          <w:bCs/>
          <w:sz w:val="24"/>
          <w:szCs w:val="24"/>
        </w:rPr>
      </w:pPr>
      <w:r w:rsidRPr="0007572B">
        <w:rPr>
          <w:rFonts w:ascii="Arial" w:hAnsi="Arial" w:cs="Arial"/>
          <w:bCs/>
          <w:sz w:val="24"/>
          <w:szCs w:val="24"/>
        </w:rPr>
        <w:t>Where revenue and expenditure have been recognised but cash has not been received or paid, a debtor or creditor for the relevant amount is recorded in the Balance sheet.</w:t>
      </w:r>
    </w:p>
    <w:p w14:paraId="6E55DD3B" w14:textId="77777777" w:rsidR="00655E4C" w:rsidRPr="0007572B" w:rsidRDefault="00655E4C" w:rsidP="006F1659">
      <w:pPr>
        <w:pStyle w:val="ListParagraph"/>
        <w:spacing w:after="0" w:line="360" w:lineRule="auto"/>
        <w:ind w:left="992"/>
        <w:rPr>
          <w:rFonts w:ascii="Arial" w:hAnsi="Arial" w:cs="Arial"/>
          <w:bCs/>
          <w:sz w:val="24"/>
          <w:szCs w:val="24"/>
        </w:rPr>
      </w:pPr>
    </w:p>
    <w:p w14:paraId="6F14FFBD" w14:textId="77777777" w:rsidR="00655E4C" w:rsidRPr="0007572B" w:rsidRDefault="00655E4C" w:rsidP="006F1659">
      <w:pPr>
        <w:pStyle w:val="Heading4bold"/>
        <w:spacing w:line="360" w:lineRule="auto"/>
        <w:rPr>
          <w:lang w:eastAsia="en-GB"/>
        </w:rPr>
      </w:pPr>
      <w:r w:rsidRPr="0007572B">
        <w:rPr>
          <w:lang w:eastAsia="en-GB"/>
        </w:rPr>
        <w:t>1.4. Cash and Cash Equivalents</w:t>
      </w:r>
    </w:p>
    <w:p w14:paraId="13A3F7A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Cash is represented by cash in hand and deposits with financial institutions and local authorities, repayable without penalty on notice of no more than 24 hours. </w:t>
      </w:r>
    </w:p>
    <w:p w14:paraId="1460EDEE" w14:textId="77777777" w:rsidR="00655E4C" w:rsidRPr="0007572B" w:rsidRDefault="00655E4C" w:rsidP="006F1659">
      <w:pPr>
        <w:pStyle w:val="Normal0"/>
        <w:spacing w:line="360" w:lineRule="auto"/>
        <w:rPr>
          <w:rFonts w:ascii="Arial" w:hAnsi="Arial" w:cs="Arial"/>
          <w:bCs/>
          <w:sz w:val="24"/>
          <w:szCs w:val="24"/>
          <w:lang w:eastAsia="en-GB"/>
        </w:rPr>
      </w:pPr>
    </w:p>
    <w:p w14:paraId="65948DA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Cash equivalents are highly liquid investments that mature in no more than three months from the balance sheet date and that are readily convertible to known amounts of cash with insignificant risk of change in value.</w:t>
      </w:r>
    </w:p>
    <w:p w14:paraId="0F0A9FAD" w14:textId="77777777" w:rsidR="00655E4C" w:rsidRPr="0007572B" w:rsidRDefault="00655E4C" w:rsidP="006F1659">
      <w:pPr>
        <w:pStyle w:val="Normal0"/>
        <w:spacing w:line="360" w:lineRule="auto"/>
        <w:rPr>
          <w:rFonts w:ascii="Arial" w:hAnsi="Arial" w:cs="Arial"/>
          <w:bCs/>
          <w:sz w:val="24"/>
          <w:szCs w:val="24"/>
          <w:lang w:eastAsia="en-GB"/>
        </w:rPr>
      </w:pPr>
    </w:p>
    <w:p w14:paraId="259C742F"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lastRenderedPageBreak/>
        <w:t>In the Cash Flow Statement, cash and cash equivalents are shown net of bank overdrafts that are repayable on demand and form an integral part of the Authority’s cash management.</w:t>
      </w:r>
    </w:p>
    <w:p w14:paraId="7E21FBB9" w14:textId="77777777" w:rsidR="00655E4C" w:rsidRPr="0007572B" w:rsidRDefault="00655E4C" w:rsidP="006F1659">
      <w:pPr>
        <w:spacing w:line="360" w:lineRule="auto"/>
        <w:rPr>
          <w:rFonts w:ascii="Arial" w:hAnsi="Arial" w:cs="Arial"/>
          <w:bCs/>
          <w:color w:val="000000"/>
          <w:lang w:val="en-US" w:eastAsia="en-GB"/>
        </w:rPr>
      </w:pPr>
    </w:p>
    <w:p w14:paraId="78C2E170" w14:textId="77777777" w:rsidR="00655E4C" w:rsidRPr="0007572B" w:rsidRDefault="00655E4C" w:rsidP="006F1659">
      <w:pPr>
        <w:pStyle w:val="Heading4bold"/>
        <w:spacing w:line="360" w:lineRule="auto"/>
        <w:rPr>
          <w:lang w:eastAsia="en-GB"/>
        </w:rPr>
      </w:pPr>
      <w:r w:rsidRPr="0007572B">
        <w:rPr>
          <w:lang w:eastAsia="en-GB"/>
        </w:rPr>
        <w:t>1.5. Prior Period Adjustments, Changes in Accounting Policies and Estimates and Errors</w:t>
      </w:r>
    </w:p>
    <w:p w14:paraId="674F81FE"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Prior period adjustments may arise as a result of a change in accounting policies, or to correct a material error. Changes in accounting estimates are accounted for prospectively, in other words, in the current and future years affected by the change and do not give rise to a prior period adjustment.</w:t>
      </w:r>
    </w:p>
    <w:p w14:paraId="703AD44C" w14:textId="77777777" w:rsidR="00655E4C" w:rsidRPr="0007572B" w:rsidRDefault="00655E4C" w:rsidP="006F1659">
      <w:pPr>
        <w:pStyle w:val="Normal0"/>
        <w:spacing w:line="360" w:lineRule="auto"/>
        <w:rPr>
          <w:rFonts w:ascii="Arial" w:hAnsi="Arial" w:cs="Arial"/>
          <w:bCs/>
          <w:sz w:val="24"/>
          <w:szCs w:val="24"/>
          <w:lang w:eastAsia="en-GB"/>
        </w:rPr>
      </w:pPr>
    </w:p>
    <w:p w14:paraId="1BEF5E7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Changes in accounting policies are only made when required by proper accounting practices or the change provides more reliable or relevant information about the effect of transactions, other events and conditions on the Authority’s financial position or financial performance. </w:t>
      </w:r>
    </w:p>
    <w:p w14:paraId="4907188D" w14:textId="77777777" w:rsidR="00655E4C" w:rsidRPr="0007572B" w:rsidRDefault="00655E4C" w:rsidP="006F1659">
      <w:pPr>
        <w:pStyle w:val="Normal0"/>
        <w:spacing w:line="360" w:lineRule="auto"/>
        <w:rPr>
          <w:rFonts w:ascii="Arial" w:hAnsi="Arial" w:cs="Arial"/>
          <w:bCs/>
          <w:sz w:val="24"/>
          <w:szCs w:val="24"/>
          <w:lang w:eastAsia="en-GB"/>
        </w:rPr>
      </w:pPr>
    </w:p>
    <w:p w14:paraId="3045AA99" w14:textId="77777777" w:rsidR="00655E4C" w:rsidRPr="0007572B" w:rsidRDefault="00655E4C" w:rsidP="006F1659">
      <w:pPr>
        <w:spacing w:line="360" w:lineRule="auto"/>
        <w:rPr>
          <w:rFonts w:ascii="Arial" w:hAnsi="Arial" w:cs="Arial"/>
          <w:bCs/>
          <w:color w:val="000000"/>
          <w:lang w:val="en-US" w:eastAsia="en-GB"/>
        </w:rPr>
      </w:pPr>
      <w:r w:rsidRPr="0007572B">
        <w:rPr>
          <w:rFonts w:ascii="Arial" w:hAnsi="Arial" w:cs="Arial"/>
          <w:bCs/>
          <w:lang w:eastAsia="en-GB"/>
        </w:rPr>
        <w:t>Where a change is made, it is applied retrospectively (unless stated otherwise) by adjusting opening balances and comparative amounts for the prior period as if the new policy had always been applied. If material errors are discovered in a prior period, figures are corrected retrospectively, by amending opening balances and comparative amounts for the prior period.</w:t>
      </w:r>
    </w:p>
    <w:p w14:paraId="7BAE6D18" w14:textId="77777777" w:rsidR="00655E4C" w:rsidRDefault="00655E4C" w:rsidP="00DF2CD7">
      <w:pPr>
        <w:spacing w:line="360" w:lineRule="auto"/>
        <w:rPr>
          <w:lang w:eastAsia="en-GB"/>
        </w:rPr>
      </w:pPr>
    </w:p>
    <w:p w14:paraId="6D9C36CA" w14:textId="77777777" w:rsidR="00655E4C" w:rsidRPr="0007572B" w:rsidRDefault="00655E4C" w:rsidP="006F1659">
      <w:pPr>
        <w:pStyle w:val="Heading4bold"/>
        <w:spacing w:line="360" w:lineRule="auto"/>
        <w:rPr>
          <w:lang w:eastAsia="en-GB"/>
        </w:rPr>
      </w:pPr>
      <w:r w:rsidRPr="0007572B">
        <w:rPr>
          <w:lang w:eastAsia="en-GB"/>
        </w:rPr>
        <w:t>1.6. Charges to Revenue for Non-Current Assets</w:t>
      </w:r>
    </w:p>
    <w:p w14:paraId="1CEED401"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Comprehensive Income and Expenditure Statement is debited with the following amounts to record the cost of holding non-current assets during the year:</w:t>
      </w:r>
    </w:p>
    <w:p w14:paraId="1147DE24" w14:textId="77777777" w:rsidR="00655E4C" w:rsidRPr="0007572B" w:rsidRDefault="00655E4C" w:rsidP="006F1659">
      <w:pPr>
        <w:pStyle w:val="Normal0"/>
        <w:spacing w:line="360" w:lineRule="auto"/>
        <w:rPr>
          <w:rFonts w:ascii="Arial" w:hAnsi="Arial" w:cs="Arial"/>
          <w:bCs/>
          <w:sz w:val="24"/>
          <w:szCs w:val="24"/>
          <w:lang w:eastAsia="en-GB"/>
        </w:rPr>
      </w:pPr>
    </w:p>
    <w:p w14:paraId="0D21D243"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Depreciation attributable to the assets used by the relevant service;</w:t>
      </w:r>
    </w:p>
    <w:p w14:paraId="658C1D3E"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Revaluation and impairment losses on assets used by the service where there are no accumulated gains in the Revaluation Reserve against which the losses can be written off;</w:t>
      </w:r>
    </w:p>
    <w:p w14:paraId="4B4AC99C"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Amortisation of intangible non-current assets attributable to the service.</w:t>
      </w:r>
    </w:p>
    <w:p w14:paraId="248944AD" w14:textId="77777777" w:rsidR="00655E4C" w:rsidRPr="00042AAC"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 xml:space="preserve">The Authority is not required to raise precepts, levies or GM authority contributions to fund depreciation, revaluation and impairment losses or amortisations. </w:t>
      </w:r>
      <w:r w:rsidRPr="00042AAC">
        <w:rPr>
          <w:rFonts w:ascii="Arial" w:hAnsi="Arial" w:cs="Arial"/>
          <w:bCs/>
          <w:sz w:val="24"/>
          <w:szCs w:val="24"/>
          <w:lang w:eastAsia="en-GB"/>
        </w:rPr>
        <w:t xml:space="preserve">However, it is required to make an annual contribution from revenue towards the reduction in its overall borrowing requirement equal to a minimum revenue provision (MRP) amount calculated on a prudent basis determined by the Authority in accordance with statutory guidance. </w:t>
      </w:r>
    </w:p>
    <w:p w14:paraId="411C62DC" w14:textId="77777777" w:rsidR="00655E4C" w:rsidRPr="00042AAC" w:rsidRDefault="00655E4C" w:rsidP="006F1659">
      <w:pPr>
        <w:pStyle w:val="Normal0"/>
        <w:spacing w:line="360" w:lineRule="auto"/>
        <w:rPr>
          <w:rFonts w:ascii="Arial" w:hAnsi="Arial" w:cs="Arial"/>
          <w:bCs/>
          <w:sz w:val="24"/>
          <w:szCs w:val="24"/>
          <w:lang w:eastAsia="en-GB"/>
        </w:rPr>
      </w:pPr>
    </w:p>
    <w:p w14:paraId="79096CBB" w14:textId="77777777" w:rsidR="00655E4C" w:rsidRDefault="00655E4C" w:rsidP="006F1659">
      <w:pPr>
        <w:spacing w:line="360" w:lineRule="auto"/>
        <w:rPr>
          <w:rFonts w:ascii="Arial" w:hAnsi="Arial" w:cs="Arial"/>
          <w:bCs/>
          <w:lang w:eastAsia="en-GB"/>
        </w:rPr>
      </w:pPr>
      <w:r w:rsidRPr="00042AAC">
        <w:rPr>
          <w:rFonts w:ascii="Arial" w:hAnsi="Arial" w:cs="Arial"/>
          <w:bCs/>
          <w:lang w:eastAsia="en-GB"/>
        </w:rPr>
        <w:t>Depreciation, revaluation and impairment losses and amortisations are therefore replaced by the MRP contribution in the General Fund Balance, by way of an adjusting transaction with the Capital Adjustment Account in the Movement in Reserves Statement for the difference between the two.</w:t>
      </w:r>
    </w:p>
    <w:p w14:paraId="799D47D4" w14:textId="77777777" w:rsidR="00655E4C" w:rsidRPr="0007572B" w:rsidRDefault="00655E4C" w:rsidP="006F1659">
      <w:pPr>
        <w:spacing w:line="360" w:lineRule="auto"/>
        <w:rPr>
          <w:rFonts w:ascii="Arial" w:hAnsi="Arial" w:cs="Arial"/>
          <w:bCs/>
          <w:color w:val="000000"/>
          <w:lang w:val="en-US" w:eastAsia="en-GB"/>
        </w:rPr>
      </w:pPr>
    </w:p>
    <w:p w14:paraId="21D980A3" w14:textId="77777777" w:rsidR="00655E4C" w:rsidRPr="0007572B" w:rsidRDefault="00655E4C" w:rsidP="006F1659">
      <w:pPr>
        <w:pStyle w:val="Heading4bold"/>
        <w:spacing w:line="360" w:lineRule="auto"/>
        <w:rPr>
          <w:lang w:eastAsia="en-GB"/>
        </w:rPr>
      </w:pPr>
      <w:r w:rsidRPr="0007572B">
        <w:rPr>
          <w:color w:val="000000"/>
          <w:lang w:eastAsia="en-GB"/>
        </w:rPr>
        <w:t>1.7. T</w:t>
      </w:r>
      <w:r w:rsidRPr="0007572B">
        <w:rPr>
          <w:lang w:eastAsia="en-GB"/>
        </w:rPr>
        <w:t>ermination Benefits</w:t>
      </w:r>
    </w:p>
    <w:p w14:paraId="3028A0FE" w14:textId="69C56C58"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Termination benefits are amounts payable, as a result of a decision by the Authority, to terminate an Officer’s employment or an Officer’s decision to accept voluntary redundancy in exchange for those benefits</w:t>
      </w:r>
      <w:r w:rsidR="0040773A">
        <w:rPr>
          <w:rFonts w:ascii="Arial" w:hAnsi="Arial" w:cs="Arial"/>
          <w:bCs/>
          <w:sz w:val="24"/>
          <w:szCs w:val="24"/>
          <w:lang w:eastAsia="en-GB"/>
        </w:rPr>
        <w:t>. These</w:t>
      </w:r>
      <w:r w:rsidRPr="0007572B">
        <w:rPr>
          <w:rFonts w:ascii="Arial" w:hAnsi="Arial" w:cs="Arial"/>
          <w:bCs/>
          <w:sz w:val="24"/>
          <w:szCs w:val="24"/>
          <w:lang w:eastAsia="en-GB"/>
        </w:rPr>
        <w:t xml:space="preserve"> are charged on an accruals basis to the appropriate service in the Comprehensive Income and Expenditure Statement when the Authority is demonstrably committed to the termination of the employment of an Officer or group of Officers or making an offer to encourage voluntary redundancy. </w:t>
      </w:r>
    </w:p>
    <w:p w14:paraId="21B4F775" w14:textId="77777777" w:rsidR="00655E4C" w:rsidRPr="0007572B" w:rsidRDefault="00655E4C" w:rsidP="006F1659">
      <w:pPr>
        <w:pStyle w:val="Normal0"/>
        <w:spacing w:line="360" w:lineRule="auto"/>
        <w:rPr>
          <w:rFonts w:ascii="Arial" w:hAnsi="Arial" w:cs="Arial"/>
          <w:bCs/>
          <w:sz w:val="24"/>
          <w:szCs w:val="24"/>
          <w:lang w:eastAsia="en-GB"/>
        </w:rPr>
      </w:pPr>
    </w:p>
    <w:p w14:paraId="36860C69"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t>Where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made to and from the Pensions Reserve to remove the notional debits and credits for pension enhancement termination benefits and replace them with debits for the cash paid to the pension fund and pensioners and any such amounts payable but unpaid at the year-end.</w:t>
      </w:r>
    </w:p>
    <w:p w14:paraId="4F96E7DE" w14:textId="77777777" w:rsidR="00655E4C" w:rsidRPr="0007572B" w:rsidRDefault="00655E4C" w:rsidP="006F1659">
      <w:pPr>
        <w:spacing w:line="360" w:lineRule="auto"/>
        <w:rPr>
          <w:rFonts w:ascii="Arial" w:hAnsi="Arial" w:cs="Arial"/>
          <w:bCs/>
          <w:color w:val="000000"/>
          <w:lang w:val="en-US" w:eastAsia="en-GB"/>
        </w:rPr>
      </w:pPr>
    </w:p>
    <w:p w14:paraId="6B4A13AD" w14:textId="77777777" w:rsidR="00655E4C" w:rsidRPr="0007572B" w:rsidRDefault="00655E4C" w:rsidP="006F1659">
      <w:pPr>
        <w:pStyle w:val="Heading4bold"/>
        <w:spacing w:line="360" w:lineRule="auto"/>
        <w:rPr>
          <w:lang w:eastAsia="en-GB"/>
        </w:rPr>
      </w:pPr>
      <w:bookmarkStart w:id="73" w:name="_Hlk138337101"/>
      <w:r w:rsidRPr="0007572B">
        <w:rPr>
          <w:lang w:eastAsia="en-GB"/>
        </w:rPr>
        <w:t>1.8. Post-Employment Benefits – Pensions</w:t>
      </w:r>
    </w:p>
    <w:p w14:paraId="13E1C07F"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Employees of the Authority are divided between two separate pension schemes: The Firefighters’ Pension Scheme for its uniformed firefighters and the Local Government Pension Scheme for all other staff.</w:t>
      </w:r>
    </w:p>
    <w:p w14:paraId="56A28A4C" w14:textId="77777777" w:rsidR="00655E4C" w:rsidRPr="0007572B" w:rsidRDefault="00655E4C" w:rsidP="006F1659">
      <w:pPr>
        <w:pStyle w:val="Normal0"/>
        <w:spacing w:line="360" w:lineRule="auto"/>
        <w:rPr>
          <w:rFonts w:ascii="Arial" w:hAnsi="Arial" w:cs="Arial"/>
          <w:bCs/>
          <w:sz w:val="24"/>
          <w:szCs w:val="24"/>
          <w:lang w:eastAsia="en-GB"/>
        </w:rPr>
      </w:pPr>
    </w:p>
    <w:p w14:paraId="34A06E5C"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lastRenderedPageBreak/>
        <w:t xml:space="preserve">In accordance with proper practices the Authority has fully complied with the International </w:t>
      </w:r>
      <w:r>
        <w:rPr>
          <w:rFonts w:ascii="Arial" w:hAnsi="Arial" w:cs="Arial"/>
          <w:bCs/>
          <w:lang w:eastAsia="en-GB"/>
        </w:rPr>
        <w:t>Accounting</w:t>
      </w:r>
      <w:r w:rsidRPr="0007572B">
        <w:rPr>
          <w:rFonts w:ascii="Arial" w:hAnsi="Arial" w:cs="Arial"/>
          <w:bCs/>
          <w:lang w:eastAsia="en-GB"/>
        </w:rPr>
        <w:t xml:space="preserve"> Standard IAS19 (Employee Benefits). All Pension schemes are classified as ‘defined benefit’ schemes under IAS19 and the accounting principles and their effect on the financial statements are explained below.</w:t>
      </w:r>
    </w:p>
    <w:p w14:paraId="09B696B8" w14:textId="77777777" w:rsidR="00655E4C" w:rsidRPr="0007572B" w:rsidRDefault="00655E4C" w:rsidP="006F1659">
      <w:pPr>
        <w:spacing w:line="360" w:lineRule="auto"/>
        <w:rPr>
          <w:rFonts w:ascii="Arial" w:hAnsi="Arial" w:cs="Arial"/>
          <w:bCs/>
          <w:color w:val="000000"/>
          <w:lang w:val="en-US" w:eastAsia="en-GB"/>
        </w:rPr>
      </w:pPr>
    </w:p>
    <w:p w14:paraId="3CC0B569" w14:textId="77777777" w:rsidR="00655E4C" w:rsidRDefault="00655E4C" w:rsidP="006F1659">
      <w:pPr>
        <w:pStyle w:val="Heading5"/>
        <w:spacing w:line="360" w:lineRule="auto"/>
        <w:rPr>
          <w:lang w:eastAsia="en-GB"/>
        </w:rPr>
      </w:pPr>
      <w:r w:rsidRPr="0007572B">
        <w:rPr>
          <w:lang w:eastAsia="en-GB"/>
        </w:rPr>
        <w:t>1.8.1. The Firefighters’ Pension Scheme</w:t>
      </w:r>
    </w:p>
    <w:p w14:paraId="47FC4932" w14:textId="77777777" w:rsidR="00655E4C" w:rsidRPr="004D2865" w:rsidRDefault="00655E4C" w:rsidP="006F1659">
      <w:pPr>
        <w:spacing w:line="360" w:lineRule="auto"/>
        <w:rPr>
          <w:lang w:eastAsia="en-GB"/>
        </w:rPr>
      </w:pPr>
    </w:p>
    <w:p w14:paraId="3490EB04"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This is a defined benefit scheme, the rules of which are set out in the Firefighters’ Pension Regulations. The scheme is wholly unfunded. No investment assets have been built up to meet liabilities and cash ha</w:t>
      </w:r>
      <w:r>
        <w:rPr>
          <w:rFonts w:ascii="Arial" w:hAnsi="Arial" w:cs="Arial"/>
          <w:szCs w:val="28"/>
        </w:rPr>
        <w:t>s</w:t>
      </w:r>
      <w:r w:rsidRPr="0007572B">
        <w:rPr>
          <w:rFonts w:ascii="Arial" w:hAnsi="Arial" w:cs="Arial"/>
          <w:szCs w:val="28"/>
        </w:rPr>
        <w:t xml:space="preserve"> to be generated from employee and employer contributions to meet actual pension payments as they fall due.</w:t>
      </w:r>
    </w:p>
    <w:p w14:paraId="3694C8DA"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The Combined Authority as an employer, and firefighters as members, pay pension contribution</w:t>
      </w:r>
      <w:r>
        <w:rPr>
          <w:rFonts w:ascii="Arial" w:hAnsi="Arial" w:cs="Arial"/>
          <w:szCs w:val="28"/>
        </w:rPr>
        <w:t>s</w:t>
      </w:r>
      <w:r w:rsidRPr="0007572B">
        <w:rPr>
          <w:rFonts w:ascii="Arial" w:hAnsi="Arial" w:cs="Arial"/>
          <w:szCs w:val="28"/>
        </w:rPr>
        <w:t xml:space="preserve"> based on a percentage of pensionable pay into the Firefighters’ Pension Fund Account. Pension benefits are paid out of the Pension Fund Account.</w:t>
      </w:r>
    </w:p>
    <w:p w14:paraId="04EA2938"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The amounts payable into and out of the Pension Fund Account are specified by regulations. Any surplus or deficit on the Pension Fund Account must be transferred to or from the Authority and ultimately repaid to or received from the Home Office.</w:t>
      </w:r>
    </w:p>
    <w:p w14:paraId="263BEA8A" w14:textId="77777777" w:rsidR="00655E4C" w:rsidRPr="0007572B" w:rsidRDefault="00655E4C" w:rsidP="006F1659">
      <w:pPr>
        <w:spacing w:after="120" w:line="360" w:lineRule="auto"/>
        <w:rPr>
          <w:rFonts w:ascii="Arial" w:hAnsi="Arial" w:cs="Arial"/>
        </w:rPr>
      </w:pPr>
      <w:r w:rsidRPr="0007572B">
        <w:rPr>
          <w:rFonts w:ascii="Arial" w:hAnsi="Arial" w:cs="Arial"/>
        </w:rPr>
        <w:t>Injury awards are not part of the pension scheme and are charged directly to the Comprehensive Income and Expenditure Statement. However, liabilities in respect of injury awards are disclosed as part of the overall pensions liability.</w:t>
      </w:r>
    </w:p>
    <w:p w14:paraId="63A17584" w14:textId="77777777" w:rsidR="00655E4C" w:rsidRDefault="00655E4C" w:rsidP="006F1659">
      <w:pPr>
        <w:spacing w:line="360" w:lineRule="auto"/>
        <w:rPr>
          <w:rFonts w:ascii="Arial" w:hAnsi="Arial" w:cs="Arial"/>
        </w:rPr>
      </w:pPr>
      <w:r w:rsidRPr="0007572B">
        <w:rPr>
          <w:rFonts w:ascii="Arial" w:hAnsi="Arial" w:cs="Arial"/>
        </w:rPr>
        <w:t>Other than references to assets, these schemes are accounted for in the same way as the Local Government Pension Scheme set out below.</w:t>
      </w:r>
    </w:p>
    <w:p w14:paraId="44262A6F" w14:textId="77777777" w:rsidR="00655E4C" w:rsidRPr="0007572B" w:rsidRDefault="00655E4C" w:rsidP="006F1659">
      <w:pPr>
        <w:spacing w:line="360" w:lineRule="auto"/>
        <w:rPr>
          <w:rFonts w:ascii="Arial" w:hAnsi="Arial" w:cs="Arial"/>
        </w:rPr>
      </w:pPr>
    </w:p>
    <w:p w14:paraId="0736CA3B" w14:textId="77777777" w:rsidR="00655E4C" w:rsidRDefault="00655E4C" w:rsidP="006F1659">
      <w:pPr>
        <w:pStyle w:val="Heading5"/>
        <w:spacing w:line="360" w:lineRule="auto"/>
        <w:rPr>
          <w:lang w:eastAsia="en-GB"/>
        </w:rPr>
      </w:pPr>
      <w:r w:rsidRPr="0007572B">
        <w:rPr>
          <w:lang w:eastAsia="en-GB"/>
        </w:rPr>
        <w:t>1.8.2. Local Government Pension Scheme</w:t>
      </w:r>
    </w:p>
    <w:p w14:paraId="5BF8EE1B" w14:textId="77777777" w:rsidR="00655E4C" w:rsidRPr="004D2865" w:rsidRDefault="00655E4C" w:rsidP="006F1659">
      <w:pPr>
        <w:spacing w:line="360" w:lineRule="auto"/>
        <w:rPr>
          <w:lang w:eastAsia="en-GB"/>
        </w:rPr>
      </w:pPr>
    </w:p>
    <w:p w14:paraId="77D3763E" w14:textId="13069676" w:rsidR="00655E4C" w:rsidRPr="0007572B" w:rsidRDefault="00655E4C" w:rsidP="006F1659">
      <w:pPr>
        <w:spacing w:line="360" w:lineRule="auto"/>
        <w:rPr>
          <w:rFonts w:ascii="Arial" w:hAnsi="Arial" w:cs="Arial"/>
        </w:rPr>
      </w:pPr>
      <w:r w:rsidRPr="0007572B">
        <w:rPr>
          <w:rFonts w:ascii="Arial" w:hAnsi="Arial" w:cs="Arial"/>
        </w:rPr>
        <w:t>The Local Government Pension Scheme is a defined benefits scheme. Both employer and employees pay pension contributions based on a percentage of pensionable pay into the scheme.</w:t>
      </w:r>
    </w:p>
    <w:p w14:paraId="066C3312" w14:textId="77777777" w:rsidR="00655E4C" w:rsidRPr="0007572B" w:rsidRDefault="00655E4C" w:rsidP="006F1659">
      <w:pPr>
        <w:pStyle w:val="Default"/>
        <w:spacing w:line="360" w:lineRule="auto"/>
      </w:pPr>
    </w:p>
    <w:p w14:paraId="7FEFE777" w14:textId="3FED6338" w:rsidR="00655E4C" w:rsidRPr="0007572B" w:rsidRDefault="00655E4C" w:rsidP="006F1659">
      <w:pPr>
        <w:pStyle w:val="Default"/>
        <w:numPr>
          <w:ilvl w:val="0"/>
          <w:numId w:val="44"/>
        </w:numPr>
        <w:spacing w:after="86" w:line="360" w:lineRule="auto"/>
        <w:rPr>
          <w:color w:val="auto"/>
        </w:rPr>
      </w:pPr>
      <w:r w:rsidRPr="0007572B">
        <w:rPr>
          <w:color w:val="auto"/>
        </w:rPr>
        <w:t>The liabilities of the Greater Manchester Pension Fund</w:t>
      </w:r>
      <w:r w:rsidR="00CA750E">
        <w:rPr>
          <w:color w:val="auto"/>
        </w:rPr>
        <w:t xml:space="preserve"> (GMPF)</w:t>
      </w:r>
      <w:r w:rsidRPr="0007572B">
        <w:rPr>
          <w:color w:val="auto"/>
        </w:rPr>
        <w:t xml:space="preserve"> attributable to the authority are included in the balance sheet on an actuarial basis using the projected unit credit method – i.e. an assessment of the future payments that will </w:t>
      </w:r>
      <w:r w:rsidRPr="0007572B">
        <w:rPr>
          <w:color w:val="auto"/>
        </w:rPr>
        <w:lastRenderedPageBreak/>
        <w:t>be made in relation to retirement benefits earned to date by employees, based on assumptions about mortality rates, employee turnover rates, etc. and projected earnings for current employees</w:t>
      </w:r>
    </w:p>
    <w:p w14:paraId="318FCDB2" w14:textId="77777777" w:rsidR="00655E4C" w:rsidRPr="0007572B" w:rsidRDefault="00655E4C" w:rsidP="006F1659">
      <w:pPr>
        <w:pStyle w:val="Default"/>
        <w:numPr>
          <w:ilvl w:val="0"/>
          <w:numId w:val="44"/>
        </w:numPr>
        <w:spacing w:after="86" w:line="360" w:lineRule="auto"/>
        <w:rPr>
          <w:color w:val="auto"/>
        </w:rPr>
      </w:pPr>
      <w:r w:rsidRPr="0007572B">
        <w:rPr>
          <w:color w:val="auto"/>
        </w:rPr>
        <w:t>Liabilities are discounted to their value at current prices, using a discount rate based on the rate of return on high quality corporate bonds constructed on the constituents of the iBoxx AA corporate bond index. The discount rate reflects the weighted average duration of the benefit obligation</w:t>
      </w:r>
    </w:p>
    <w:p w14:paraId="74D2FD1A" w14:textId="7EC6E00A" w:rsidR="00655E4C" w:rsidRPr="0007572B" w:rsidRDefault="00655E4C" w:rsidP="006F1659">
      <w:pPr>
        <w:pStyle w:val="Default"/>
        <w:numPr>
          <w:ilvl w:val="0"/>
          <w:numId w:val="44"/>
        </w:numPr>
        <w:spacing w:after="86" w:line="360" w:lineRule="auto"/>
        <w:rPr>
          <w:color w:val="auto"/>
        </w:rPr>
      </w:pPr>
      <w:r w:rsidRPr="0007572B">
        <w:rPr>
          <w:color w:val="auto"/>
        </w:rPr>
        <w:t xml:space="preserve">The assets of </w:t>
      </w:r>
      <w:r w:rsidR="00CA750E">
        <w:rPr>
          <w:color w:val="auto"/>
        </w:rPr>
        <w:t>GMPF</w:t>
      </w:r>
      <w:r w:rsidRPr="0007572B">
        <w:rPr>
          <w:color w:val="auto"/>
        </w:rPr>
        <w:t xml:space="preserve"> attributable to the authority are included in the balance sheet at their fair value: </w:t>
      </w:r>
    </w:p>
    <w:p w14:paraId="5D44CDAC"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quoted securities – current bid price </w:t>
      </w:r>
    </w:p>
    <w:p w14:paraId="339329CF"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unquoted securities – professional estimate </w:t>
      </w:r>
    </w:p>
    <w:p w14:paraId="2FB7BA60"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unitised securities – current bid price </w:t>
      </w:r>
    </w:p>
    <w:p w14:paraId="3675B5FD" w14:textId="77777777" w:rsidR="00655E4C" w:rsidRDefault="00655E4C" w:rsidP="006F1659">
      <w:pPr>
        <w:pStyle w:val="Default"/>
        <w:numPr>
          <w:ilvl w:val="0"/>
          <w:numId w:val="45"/>
        </w:numPr>
        <w:spacing w:after="86" w:line="360" w:lineRule="auto"/>
        <w:rPr>
          <w:color w:val="auto"/>
        </w:rPr>
      </w:pPr>
      <w:r w:rsidRPr="0007572B">
        <w:rPr>
          <w:color w:val="auto"/>
        </w:rPr>
        <w:t xml:space="preserve">property – market value. </w:t>
      </w:r>
    </w:p>
    <w:p w14:paraId="5CD37ED4" w14:textId="77777777" w:rsidR="00655E4C" w:rsidRPr="0007572B" w:rsidRDefault="00655E4C" w:rsidP="006F1659">
      <w:pPr>
        <w:pStyle w:val="Default"/>
        <w:spacing w:after="86" w:line="360" w:lineRule="auto"/>
        <w:ind w:left="1080"/>
        <w:rPr>
          <w:color w:val="auto"/>
        </w:rPr>
      </w:pPr>
    </w:p>
    <w:p w14:paraId="38B575A4" w14:textId="77777777" w:rsidR="00655E4C" w:rsidRDefault="00655E4C" w:rsidP="006F1659">
      <w:pPr>
        <w:pStyle w:val="Heading5"/>
        <w:spacing w:line="360" w:lineRule="auto"/>
      </w:pPr>
      <w:r w:rsidRPr="0007572B">
        <w:t>1.8.3. Net Pensions Liability</w:t>
      </w:r>
    </w:p>
    <w:p w14:paraId="246EDA43" w14:textId="77777777" w:rsidR="00655E4C" w:rsidRPr="004D2865" w:rsidRDefault="00655E4C" w:rsidP="006F1659">
      <w:pPr>
        <w:spacing w:line="360" w:lineRule="auto"/>
      </w:pPr>
    </w:p>
    <w:p w14:paraId="4BB81355" w14:textId="77777777" w:rsidR="00655E4C" w:rsidRPr="0007572B" w:rsidRDefault="00655E4C" w:rsidP="006F1659">
      <w:pPr>
        <w:spacing w:line="360" w:lineRule="auto"/>
        <w:rPr>
          <w:rFonts w:ascii="Arial" w:hAnsi="Arial" w:cs="Arial"/>
        </w:rPr>
      </w:pPr>
      <w:r w:rsidRPr="0007572B">
        <w:rPr>
          <w:rFonts w:ascii="Arial" w:hAnsi="Arial" w:cs="Arial"/>
        </w:rPr>
        <w:t>The change in the net pensions liability is analysed into the following components:</w:t>
      </w:r>
    </w:p>
    <w:p w14:paraId="6FCA794B" w14:textId="77777777" w:rsidR="00655E4C" w:rsidRPr="0007572B" w:rsidRDefault="00655E4C" w:rsidP="006F1659">
      <w:pPr>
        <w:spacing w:line="360" w:lineRule="auto"/>
        <w:rPr>
          <w:rFonts w:ascii="Arial" w:hAnsi="Arial" w:cs="Arial"/>
        </w:rPr>
      </w:pPr>
    </w:p>
    <w:p w14:paraId="459C3525" w14:textId="77777777" w:rsidR="00655E4C" w:rsidRDefault="00655E4C" w:rsidP="006F1659">
      <w:pPr>
        <w:pStyle w:val="Heading6"/>
        <w:spacing w:line="360" w:lineRule="auto"/>
      </w:pPr>
      <w:r w:rsidRPr="00924E51">
        <w:t>1.8.3.1. Service cost comprising:</w:t>
      </w:r>
    </w:p>
    <w:p w14:paraId="14AFB2DF" w14:textId="77777777" w:rsidR="00655E4C" w:rsidRPr="004D2865" w:rsidRDefault="00655E4C" w:rsidP="006F1659">
      <w:pPr>
        <w:spacing w:line="360" w:lineRule="auto"/>
      </w:pPr>
    </w:p>
    <w:p w14:paraId="336DD41A" w14:textId="77777777" w:rsidR="00655E4C" w:rsidRPr="0007572B" w:rsidRDefault="00655E4C" w:rsidP="006F1659">
      <w:pPr>
        <w:pStyle w:val="Default"/>
        <w:numPr>
          <w:ilvl w:val="0"/>
          <w:numId w:val="44"/>
        </w:numPr>
        <w:spacing w:after="86" w:line="360" w:lineRule="auto"/>
        <w:ind w:left="567" w:hanging="207"/>
      </w:pPr>
      <w:r w:rsidRPr="0007572B">
        <w:t xml:space="preserve">Current service cost – the increase in liabilities as a result of years of service earned this year, allocated in the comprehensive income and expenditure statement to the services for which the employees worked; </w:t>
      </w:r>
    </w:p>
    <w:p w14:paraId="176EC10A" w14:textId="77777777" w:rsidR="00655E4C" w:rsidRPr="0007572B" w:rsidRDefault="00655E4C" w:rsidP="006F1659">
      <w:pPr>
        <w:pStyle w:val="Default"/>
        <w:numPr>
          <w:ilvl w:val="0"/>
          <w:numId w:val="44"/>
        </w:numPr>
        <w:spacing w:after="86" w:line="360" w:lineRule="auto"/>
        <w:ind w:left="567" w:hanging="207"/>
      </w:pPr>
      <w:r w:rsidRPr="0007572B">
        <w:t xml:space="preserve">Past service cost – the increase in liabilities as a result of a scheme amendment or curtailment whose effect relates to years of service earned in earlier years, debited to the surplus or deficit on the provision of services in the comprehensive income and expenditure statement; and </w:t>
      </w:r>
    </w:p>
    <w:p w14:paraId="0EF05D13" w14:textId="77777777" w:rsidR="00655E4C" w:rsidRPr="0007572B" w:rsidRDefault="00655E4C" w:rsidP="006F1659">
      <w:pPr>
        <w:pStyle w:val="Default"/>
        <w:numPr>
          <w:ilvl w:val="0"/>
          <w:numId w:val="44"/>
        </w:numPr>
        <w:spacing w:after="86" w:line="360" w:lineRule="auto"/>
        <w:ind w:left="567" w:hanging="207"/>
      </w:pPr>
      <w:r w:rsidRPr="0007572B">
        <w:t xml:space="preserve">Net interest on the net defined benefit liability, i.e. net interest expense for the authority, – the change during the period in the net defined benefit liability that arises from the passage of time charged to the financing and investment income and expenditure line of the comprehensive income and expenditure statement – </w:t>
      </w:r>
      <w:r w:rsidRPr="0007572B">
        <w:lastRenderedPageBreak/>
        <w:t xml:space="preserve">this is calculated by applying the discount rate used to measure the defined benefit obligation at the beginning of the period to the net defined benefit liability at the beginning of the period – taking into account any changes in the net defined benefit liability during the period as a result of contribution and benefit payments. </w:t>
      </w:r>
    </w:p>
    <w:p w14:paraId="362F5D79" w14:textId="77777777" w:rsidR="00655E4C" w:rsidRPr="0007572B" w:rsidRDefault="00655E4C" w:rsidP="006F1659">
      <w:pPr>
        <w:autoSpaceDE w:val="0"/>
        <w:autoSpaceDN w:val="0"/>
        <w:adjustRightInd w:val="0"/>
        <w:spacing w:line="360" w:lineRule="auto"/>
        <w:rPr>
          <w:rFonts w:ascii="Arial" w:hAnsi="Arial" w:cs="Arial"/>
          <w:color w:val="000000"/>
        </w:rPr>
      </w:pPr>
    </w:p>
    <w:p w14:paraId="5221ADF1" w14:textId="77777777" w:rsidR="00655E4C" w:rsidRDefault="00655E4C" w:rsidP="006F1659">
      <w:pPr>
        <w:pStyle w:val="Heading6"/>
        <w:spacing w:line="360" w:lineRule="auto"/>
      </w:pPr>
      <w:r w:rsidRPr="0007572B">
        <w:t>1.8.3.2. Remeasurements comprising:</w:t>
      </w:r>
    </w:p>
    <w:p w14:paraId="711ADF39" w14:textId="77777777" w:rsidR="00655E4C" w:rsidRPr="004D2865" w:rsidRDefault="00655E4C" w:rsidP="006F1659">
      <w:pPr>
        <w:spacing w:line="360" w:lineRule="auto"/>
      </w:pPr>
    </w:p>
    <w:p w14:paraId="2EF28465" w14:textId="77777777" w:rsidR="00655E4C" w:rsidRPr="0007572B" w:rsidRDefault="00655E4C" w:rsidP="006F1659">
      <w:pPr>
        <w:pStyle w:val="Default"/>
        <w:numPr>
          <w:ilvl w:val="0"/>
          <w:numId w:val="44"/>
        </w:numPr>
        <w:spacing w:after="86" w:line="360" w:lineRule="auto"/>
        <w:ind w:left="567" w:hanging="207"/>
      </w:pPr>
      <w:r w:rsidRPr="0007572B">
        <w:t xml:space="preserve">Return on plan assets – excluding amounts included in net interest on the net defined benefit liability – charged to the pensions reserve as other comprehensive income and expenditure; </w:t>
      </w:r>
    </w:p>
    <w:p w14:paraId="28CDE5BE" w14:textId="77777777" w:rsidR="00655E4C" w:rsidRPr="0007572B" w:rsidRDefault="00655E4C" w:rsidP="006F1659">
      <w:pPr>
        <w:pStyle w:val="Default"/>
        <w:numPr>
          <w:ilvl w:val="0"/>
          <w:numId w:val="44"/>
        </w:numPr>
        <w:spacing w:after="86" w:line="360" w:lineRule="auto"/>
        <w:ind w:left="567" w:hanging="207"/>
      </w:pPr>
      <w:r w:rsidRPr="0007572B">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 and</w:t>
      </w:r>
    </w:p>
    <w:p w14:paraId="7DF375B3" w14:textId="2E8DE229" w:rsidR="00655E4C" w:rsidRPr="0007572B" w:rsidRDefault="00655E4C" w:rsidP="006F1659">
      <w:pPr>
        <w:pStyle w:val="Default"/>
        <w:numPr>
          <w:ilvl w:val="0"/>
          <w:numId w:val="44"/>
        </w:numPr>
        <w:spacing w:after="86" w:line="360" w:lineRule="auto"/>
        <w:ind w:left="567" w:hanging="207"/>
      </w:pPr>
      <w:r w:rsidRPr="0007572B">
        <w:t xml:space="preserve">Contributions paid to the </w:t>
      </w:r>
      <w:r w:rsidR="00CA750E">
        <w:t>GMPF</w:t>
      </w:r>
      <w:r w:rsidRPr="0007572B">
        <w:t xml:space="preserve"> – cash paid as employer’s contributions to the pension fund in settlement of liabilities; not accounted for as an expense. </w:t>
      </w:r>
    </w:p>
    <w:p w14:paraId="7FF73F65" w14:textId="77777777" w:rsidR="00655E4C" w:rsidRPr="0007572B" w:rsidRDefault="00655E4C" w:rsidP="006F1659">
      <w:pPr>
        <w:autoSpaceDE w:val="0"/>
        <w:autoSpaceDN w:val="0"/>
        <w:adjustRightInd w:val="0"/>
        <w:spacing w:line="360" w:lineRule="auto"/>
        <w:rPr>
          <w:rFonts w:ascii="Arial" w:hAnsi="Arial" w:cs="Arial"/>
          <w:color w:val="000000"/>
        </w:rPr>
      </w:pPr>
    </w:p>
    <w:p w14:paraId="4B481122" w14:textId="77777777" w:rsidR="00655E4C" w:rsidRPr="0007572B" w:rsidRDefault="00655E4C" w:rsidP="006F1659">
      <w:pPr>
        <w:autoSpaceDE w:val="0"/>
        <w:autoSpaceDN w:val="0"/>
        <w:adjustRightInd w:val="0"/>
        <w:spacing w:line="360" w:lineRule="auto"/>
        <w:rPr>
          <w:rFonts w:ascii="Arial" w:hAnsi="Arial" w:cs="Arial"/>
          <w:color w:val="000000"/>
        </w:rPr>
      </w:pPr>
      <w:r w:rsidRPr="0007572B">
        <w:rPr>
          <w:rFonts w:ascii="Arial" w:hAnsi="Arial" w:cs="Arial"/>
          <w:color w:val="000000"/>
        </w:rPr>
        <w:t xml:space="preserve">In relation to retirement benefits, statutory provisions require the general fund balance to be charged with the amount payable by the </w:t>
      </w:r>
      <w:r>
        <w:rPr>
          <w:rFonts w:ascii="Arial" w:hAnsi="Arial" w:cs="Arial"/>
          <w:color w:val="000000"/>
        </w:rPr>
        <w:t>Authority</w:t>
      </w:r>
      <w:r w:rsidRPr="0007572B">
        <w:rPr>
          <w:rFonts w:ascii="Arial" w:hAnsi="Arial" w:cs="Arial"/>
          <w:color w:val="000000"/>
        </w:rPr>
        <w:t xml:space="preserve"> to the pension fund or directly to pensioners in the year, not the amount calculated according to the relevant accounting standards. In the movement in reserves statement, this means that there are transfers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26C6208B" w14:textId="77777777" w:rsidR="00655E4C" w:rsidRPr="0007572B" w:rsidRDefault="00655E4C" w:rsidP="006F1659">
      <w:pPr>
        <w:autoSpaceDE w:val="0"/>
        <w:autoSpaceDN w:val="0"/>
        <w:adjustRightInd w:val="0"/>
        <w:spacing w:line="360" w:lineRule="auto"/>
        <w:rPr>
          <w:rFonts w:ascii="Arial" w:hAnsi="Arial" w:cs="Arial"/>
          <w:color w:val="000000"/>
        </w:rPr>
      </w:pPr>
    </w:p>
    <w:p w14:paraId="19DB2A26" w14:textId="77777777" w:rsidR="00655E4C" w:rsidRPr="0007572B" w:rsidRDefault="00655E4C" w:rsidP="006F1659">
      <w:pPr>
        <w:pStyle w:val="Heading5"/>
        <w:spacing w:line="360" w:lineRule="auto"/>
      </w:pPr>
      <w:r w:rsidRPr="0007572B">
        <w:t xml:space="preserve">1.8.4. Discretionary benefits </w:t>
      </w:r>
    </w:p>
    <w:p w14:paraId="07ECA962" w14:textId="77777777" w:rsidR="00655E4C" w:rsidRPr="0007572B" w:rsidRDefault="00655E4C" w:rsidP="006F1659">
      <w:pPr>
        <w:autoSpaceDE w:val="0"/>
        <w:autoSpaceDN w:val="0"/>
        <w:adjustRightInd w:val="0"/>
        <w:spacing w:line="360" w:lineRule="auto"/>
        <w:rPr>
          <w:rFonts w:ascii="Arial" w:hAnsi="Arial" w:cs="Arial"/>
          <w:b/>
          <w:color w:val="000000"/>
        </w:rPr>
      </w:pPr>
    </w:p>
    <w:p w14:paraId="1D2AC336" w14:textId="77777777" w:rsidR="00655E4C" w:rsidRPr="0007572B" w:rsidRDefault="00655E4C" w:rsidP="006F1659">
      <w:pPr>
        <w:pStyle w:val="Normal0"/>
        <w:spacing w:line="360" w:lineRule="auto"/>
        <w:rPr>
          <w:rFonts w:ascii="Arial" w:hAnsi="Arial" w:cs="Arial"/>
          <w:color w:val="000000"/>
          <w:sz w:val="24"/>
          <w:szCs w:val="24"/>
        </w:rPr>
      </w:pPr>
      <w:r w:rsidRPr="0007572B">
        <w:rPr>
          <w:rFonts w:ascii="Arial" w:hAnsi="Arial" w:cs="Arial"/>
          <w:color w:val="000000"/>
          <w:sz w:val="24"/>
          <w:szCs w:val="24"/>
        </w:rPr>
        <w:t xml:space="preserve">The authority also has restricted powers to make discretionary awards of retirement benefits in the event of early retirements. Any liabilities estimated to arise as a result of </w:t>
      </w:r>
      <w:r w:rsidRPr="0007572B">
        <w:rPr>
          <w:rFonts w:ascii="Arial" w:hAnsi="Arial" w:cs="Arial"/>
          <w:color w:val="000000"/>
          <w:sz w:val="24"/>
          <w:szCs w:val="24"/>
        </w:rPr>
        <w:lastRenderedPageBreak/>
        <w:t>an award to any member of staff are accrued in the year of the decision to make the award and accounted for using the same policies as are applied to the Local Government Pension Scheme.</w:t>
      </w:r>
    </w:p>
    <w:bookmarkEnd w:id="73"/>
    <w:p w14:paraId="0C8FA159" w14:textId="77777777" w:rsidR="00655E4C" w:rsidRPr="0007572B" w:rsidRDefault="00655E4C" w:rsidP="006F1659">
      <w:pPr>
        <w:pStyle w:val="Normal0"/>
        <w:spacing w:line="360" w:lineRule="auto"/>
        <w:rPr>
          <w:rFonts w:ascii="Arial" w:hAnsi="Arial" w:cs="Arial"/>
          <w:b/>
          <w:bCs/>
          <w:sz w:val="24"/>
          <w:szCs w:val="24"/>
          <w:lang w:eastAsia="en-GB"/>
        </w:rPr>
      </w:pPr>
    </w:p>
    <w:p w14:paraId="7D2D85AE" w14:textId="77777777" w:rsidR="00655E4C" w:rsidRPr="0097099A" w:rsidRDefault="00655E4C" w:rsidP="006F1659">
      <w:pPr>
        <w:pStyle w:val="Heading4bold"/>
        <w:spacing w:line="360" w:lineRule="auto"/>
        <w:rPr>
          <w:lang w:eastAsia="en-GB"/>
        </w:rPr>
      </w:pPr>
      <w:r w:rsidRPr="0097099A">
        <w:rPr>
          <w:lang w:eastAsia="en-GB"/>
        </w:rPr>
        <w:t>1.9. Property, Plant and Equipment and Assets under Construction</w:t>
      </w:r>
    </w:p>
    <w:p w14:paraId="566E66CF" w14:textId="77777777" w:rsidR="00655E4C" w:rsidRPr="0097099A" w:rsidRDefault="00655E4C" w:rsidP="006F1659">
      <w:pPr>
        <w:pStyle w:val="Normal0"/>
        <w:spacing w:line="360" w:lineRule="auto"/>
        <w:rPr>
          <w:rFonts w:ascii="Arial" w:hAnsi="Arial" w:cs="Arial"/>
          <w:b/>
          <w:bCs/>
          <w:sz w:val="24"/>
          <w:szCs w:val="24"/>
          <w:lang w:eastAsia="en-GB"/>
        </w:rPr>
      </w:pPr>
    </w:p>
    <w:p w14:paraId="646B041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7889C278" w14:textId="77777777" w:rsidR="00655E4C" w:rsidRPr="0097099A" w:rsidRDefault="00655E4C" w:rsidP="006F1659">
      <w:pPr>
        <w:pStyle w:val="Normal0"/>
        <w:spacing w:line="360" w:lineRule="auto"/>
        <w:rPr>
          <w:rFonts w:ascii="Arial" w:hAnsi="Arial" w:cs="Arial"/>
          <w:bCs/>
          <w:sz w:val="24"/>
          <w:szCs w:val="24"/>
          <w:lang w:eastAsia="en-GB"/>
        </w:rPr>
      </w:pPr>
    </w:p>
    <w:p w14:paraId="57F6720C" w14:textId="77777777" w:rsidR="00655E4C" w:rsidRPr="0097099A" w:rsidRDefault="00655E4C" w:rsidP="006F1659">
      <w:pPr>
        <w:pStyle w:val="Heading5"/>
        <w:spacing w:line="360" w:lineRule="auto"/>
        <w:rPr>
          <w:lang w:eastAsia="en-GB"/>
        </w:rPr>
      </w:pPr>
      <w:r w:rsidRPr="0097099A">
        <w:rPr>
          <w:lang w:eastAsia="en-GB"/>
        </w:rPr>
        <w:t>1.9.1. Recognition</w:t>
      </w:r>
    </w:p>
    <w:p w14:paraId="24822B53" w14:textId="77777777" w:rsidR="00655E4C" w:rsidRPr="0097099A" w:rsidRDefault="00655E4C" w:rsidP="006F1659">
      <w:pPr>
        <w:pStyle w:val="Normal0"/>
        <w:spacing w:line="360" w:lineRule="auto"/>
        <w:rPr>
          <w:rFonts w:ascii="Arial" w:hAnsi="Arial" w:cs="Arial"/>
          <w:b/>
          <w:bCs/>
          <w:sz w:val="24"/>
          <w:szCs w:val="24"/>
          <w:lang w:eastAsia="en-GB"/>
        </w:rPr>
      </w:pPr>
    </w:p>
    <w:p w14:paraId="30C4D76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on the acquisition, creation or enhancement of property, plant and equipment is capitalised on an accruals basis, provided that it is probable that the future economic benefits or service potential associated with the item will flow to the authority and the cost of the item can be measured reliably. The authority has a £20,000 de minimis level for the recognition of property, plant and equipment. Exceptions to this are</w:t>
      </w:r>
      <w:r>
        <w:rPr>
          <w:rFonts w:ascii="Arial" w:hAnsi="Arial" w:cs="Arial"/>
          <w:bCs/>
          <w:sz w:val="24"/>
          <w:szCs w:val="24"/>
          <w:lang w:eastAsia="en-GB"/>
        </w:rPr>
        <w:t xml:space="preserve"> </w:t>
      </w:r>
      <w:r w:rsidRPr="0097099A">
        <w:rPr>
          <w:rFonts w:ascii="Arial" w:hAnsi="Arial" w:cs="Arial"/>
          <w:bCs/>
          <w:sz w:val="24"/>
          <w:szCs w:val="24"/>
          <w:lang w:eastAsia="en-GB"/>
        </w:rPr>
        <w:t>traffic signals and vehicles, which are capitalised with no minimum level.</w:t>
      </w:r>
    </w:p>
    <w:p w14:paraId="0A87A857" w14:textId="77777777" w:rsidR="00655E4C" w:rsidRPr="0097099A" w:rsidRDefault="00655E4C" w:rsidP="006F1659">
      <w:pPr>
        <w:pStyle w:val="Normal0"/>
        <w:spacing w:line="360" w:lineRule="auto"/>
        <w:rPr>
          <w:rFonts w:ascii="Arial" w:hAnsi="Arial" w:cs="Arial"/>
          <w:bCs/>
          <w:sz w:val="24"/>
          <w:szCs w:val="24"/>
          <w:lang w:eastAsia="en-GB"/>
        </w:rPr>
      </w:pPr>
    </w:p>
    <w:p w14:paraId="1151CE0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that maintains but does not add to an asset’s potential to deliver future economic benefits or service potential (i.e. repairs and maintenance) is charged as an expense when it is incurred.</w:t>
      </w:r>
    </w:p>
    <w:p w14:paraId="0A5898EA" w14:textId="77777777" w:rsidR="00655E4C" w:rsidRPr="0097099A" w:rsidRDefault="00655E4C" w:rsidP="006F1659">
      <w:pPr>
        <w:pStyle w:val="Normal0"/>
        <w:spacing w:line="360" w:lineRule="auto"/>
        <w:rPr>
          <w:rFonts w:ascii="Arial" w:hAnsi="Arial" w:cs="Arial"/>
          <w:bCs/>
          <w:sz w:val="24"/>
          <w:szCs w:val="24"/>
          <w:lang w:eastAsia="en-GB"/>
        </w:rPr>
      </w:pPr>
    </w:p>
    <w:p w14:paraId="03EF045B" w14:textId="77777777" w:rsidR="00655E4C" w:rsidRPr="0097099A" w:rsidRDefault="00655E4C" w:rsidP="006F1659">
      <w:pPr>
        <w:pStyle w:val="Heading5"/>
        <w:spacing w:line="360" w:lineRule="auto"/>
        <w:rPr>
          <w:lang w:eastAsia="en-GB"/>
        </w:rPr>
      </w:pPr>
      <w:r w:rsidRPr="0097099A">
        <w:rPr>
          <w:lang w:eastAsia="en-GB"/>
        </w:rPr>
        <w:t xml:space="preserve">1.9.2. Measurement </w:t>
      </w:r>
    </w:p>
    <w:p w14:paraId="0386C525" w14:textId="77777777" w:rsidR="00655E4C" w:rsidRPr="0097099A" w:rsidRDefault="00655E4C" w:rsidP="006F1659">
      <w:pPr>
        <w:pStyle w:val="Normal0"/>
        <w:spacing w:line="360" w:lineRule="auto"/>
        <w:rPr>
          <w:rFonts w:ascii="Arial" w:hAnsi="Arial" w:cs="Arial"/>
          <w:b/>
          <w:bCs/>
          <w:sz w:val="24"/>
          <w:szCs w:val="24"/>
          <w:lang w:eastAsia="en-GB"/>
        </w:rPr>
      </w:pPr>
    </w:p>
    <w:p w14:paraId="6445C4C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initially measured at cost, comprising:</w:t>
      </w:r>
    </w:p>
    <w:p w14:paraId="6399EF50" w14:textId="77777777" w:rsidR="00655E4C" w:rsidRPr="0097099A" w:rsidRDefault="00655E4C" w:rsidP="006F1659">
      <w:pPr>
        <w:pStyle w:val="Normal0"/>
        <w:spacing w:line="360" w:lineRule="auto"/>
        <w:rPr>
          <w:rFonts w:ascii="Arial" w:hAnsi="Arial" w:cs="Arial"/>
          <w:bCs/>
          <w:sz w:val="24"/>
          <w:szCs w:val="24"/>
          <w:lang w:eastAsia="en-GB"/>
        </w:rPr>
      </w:pPr>
    </w:p>
    <w:p w14:paraId="237EA9AE" w14:textId="77777777" w:rsidR="00655E4C" w:rsidRPr="0097099A" w:rsidRDefault="00655E4C" w:rsidP="006F1659">
      <w:pPr>
        <w:pStyle w:val="Default"/>
        <w:numPr>
          <w:ilvl w:val="0"/>
          <w:numId w:val="44"/>
        </w:numPr>
        <w:spacing w:after="86" w:line="360" w:lineRule="auto"/>
        <w:ind w:left="567" w:hanging="207"/>
      </w:pPr>
      <w:r w:rsidRPr="0097099A">
        <w:rPr>
          <w:bCs/>
        </w:rPr>
        <w:t xml:space="preserve">the </w:t>
      </w:r>
      <w:r w:rsidRPr="0097099A">
        <w:t>purchase price;</w:t>
      </w:r>
    </w:p>
    <w:p w14:paraId="4D4034FA" w14:textId="77777777" w:rsidR="00655E4C" w:rsidRPr="0097099A" w:rsidRDefault="00655E4C" w:rsidP="006F1659">
      <w:pPr>
        <w:pStyle w:val="Default"/>
        <w:numPr>
          <w:ilvl w:val="0"/>
          <w:numId w:val="44"/>
        </w:numPr>
        <w:spacing w:after="86" w:line="360" w:lineRule="auto"/>
        <w:ind w:left="567" w:hanging="207"/>
      </w:pPr>
      <w:r w:rsidRPr="0097099A">
        <w:t>any costs attributable to bringing the asset to the location and condition necessary for it to be capable of operating in the manner intended by management; and</w:t>
      </w:r>
    </w:p>
    <w:p w14:paraId="333D4093" w14:textId="77777777" w:rsidR="00655E4C" w:rsidRPr="0097099A" w:rsidRDefault="00655E4C" w:rsidP="006F1659">
      <w:pPr>
        <w:pStyle w:val="Default"/>
        <w:numPr>
          <w:ilvl w:val="0"/>
          <w:numId w:val="44"/>
        </w:numPr>
        <w:spacing w:after="86" w:line="360" w:lineRule="auto"/>
        <w:ind w:left="567" w:hanging="207"/>
        <w:rPr>
          <w:bCs/>
        </w:rPr>
      </w:pPr>
      <w:r w:rsidRPr="0097099A">
        <w:lastRenderedPageBreak/>
        <w:t>the initial estimate of the costs of dismantling and removing the item and restoring the</w:t>
      </w:r>
      <w:r w:rsidRPr="0097099A">
        <w:rPr>
          <w:bCs/>
        </w:rPr>
        <w:t xml:space="preserve"> site on which it is located.</w:t>
      </w:r>
    </w:p>
    <w:p w14:paraId="4FE31481"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authority does not capitalise borrowing costs incurred while assets are under construction.</w:t>
      </w:r>
    </w:p>
    <w:p w14:paraId="55966F2E" w14:textId="77777777" w:rsidR="00655E4C" w:rsidRPr="0097099A" w:rsidRDefault="00655E4C" w:rsidP="006F1659">
      <w:pPr>
        <w:pStyle w:val="Normal0"/>
        <w:spacing w:line="360" w:lineRule="auto"/>
        <w:rPr>
          <w:rFonts w:ascii="Arial" w:hAnsi="Arial" w:cs="Arial"/>
          <w:bCs/>
          <w:sz w:val="24"/>
          <w:szCs w:val="24"/>
          <w:lang w:eastAsia="en-GB"/>
        </w:rPr>
      </w:pPr>
    </w:p>
    <w:p w14:paraId="07341B25"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The cost of assets acquired other than by purchase is deemed to be its fair value, unless the acquisition does not have commercial substance (i.e. it will not lead to a variation in the cash flows of the authority). In the latter case, where an asset is acquired via an exchange, the cost of the acquisition is the carrying amount of the asset given up by the authority. </w:t>
      </w:r>
    </w:p>
    <w:p w14:paraId="75020F56" w14:textId="77777777" w:rsidR="00655E4C" w:rsidRPr="0097099A" w:rsidRDefault="00655E4C" w:rsidP="006F1659">
      <w:pPr>
        <w:pStyle w:val="Normal0"/>
        <w:spacing w:line="360" w:lineRule="auto"/>
        <w:rPr>
          <w:rFonts w:ascii="Arial" w:hAnsi="Arial" w:cs="Arial"/>
          <w:bCs/>
          <w:sz w:val="24"/>
          <w:szCs w:val="24"/>
          <w:lang w:eastAsia="en-GB"/>
        </w:rPr>
      </w:pPr>
    </w:p>
    <w:p w14:paraId="6B135F95" w14:textId="7390E420"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Donated assets are measured initially at fair value. The difference between fair value and any consideration paid is credited to the taxation and non-specific grant income line of the comprehensive income and expenditure </w:t>
      </w:r>
      <w:r w:rsidR="009D6FD6" w:rsidRPr="0097099A">
        <w:rPr>
          <w:rFonts w:ascii="Arial" w:hAnsi="Arial" w:cs="Arial"/>
          <w:bCs/>
          <w:sz w:val="24"/>
          <w:szCs w:val="24"/>
          <w:lang w:eastAsia="en-GB"/>
        </w:rPr>
        <w:t>statement unless</w:t>
      </w:r>
      <w:r w:rsidRPr="0097099A">
        <w:rPr>
          <w:rFonts w:ascii="Arial" w:hAnsi="Arial" w:cs="Arial"/>
          <w:bCs/>
          <w:sz w:val="24"/>
          <w:szCs w:val="24"/>
          <w:lang w:eastAsia="en-GB"/>
        </w:rPr>
        <w:t xml:space="preserve">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w:t>
      </w:r>
      <w:r w:rsidR="00F97848">
        <w:rPr>
          <w:rFonts w:ascii="Arial" w:hAnsi="Arial" w:cs="Arial"/>
          <w:bCs/>
          <w:sz w:val="24"/>
          <w:szCs w:val="24"/>
          <w:lang w:eastAsia="en-GB"/>
        </w:rPr>
        <w:t>.</w:t>
      </w:r>
    </w:p>
    <w:p w14:paraId="6146D562" w14:textId="77777777" w:rsidR="00655E4C" w:rsidRPr="0097099A" w:rsidRDefault="00655E4C" w:rsidP="006F1659">
      <w:pPr>
        <w:pStyle w:val="Normal0"/>
        <w:spacing w:line="360" w:lineRule="auto"/>
        <w:rPr>
          <w:rFonts w:ascii="Arial" w:hAnsi="Arial" w:cs="Arial"/>
          <w:bCs/>
          <w:sz w:val="24"/>
          <w:szCs w:val="24"/>
          <w:lang w:eastAsia="en-GB"/>
        </w:rPr>
      </w:pPr>
    </w:p>
    <w:p w14:paraId="7574ECFC"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then carried in the balance sheet using the following measurement bases:</w:t>
      </w:r>
    </w:p>
    <w:p w14:paraId="21B47E54" w14:textId="77777777" w:rsidR="00655E4C" w:rsidRPr="0097099A" w:rsidRDefault="00655E4C" w:rsidP="006F1659">
      <w:pPr>
        <w:pStyle w:val="Normal0"/>
        <w:spacing w:line="360" w:lineRule="auto"/>
        <w:rPr>
          <w:rFonts w:ascii="Arial" w:hAnsi="Arial" w:cs="Arial"/>
          <w:bCs/>
          <w:sz w:val="24"/>
          <w:szCs w:val="24"/>
          <w:lang w:eastAsia="en-GB"/>
        </w:rPr>
      </w:pPr>
    </w:p>
    <w:p w14:paraId="6FE3BEB3" w14:textId="2B49CF14" w:rsidR="00655E4C" w:rsidRPr="00BB0191" w:rsidRDefault="00655E4C" w:rsidP="00BB0191">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assets under construction and infrastructure assets – depreciated historical cost;</w:t>
      </w:r>
    </w:p>
    <w:p w14:paraId="1E26DE84" w14:textId="4CBAC3FD" w:rsidR="00655E4C" w:rsidRPr="00BB0191" w:rsidRDefault="00655E4C" w:rsidP="00BB0191">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surplus assets – fair value, estimated at highest and best use from a market participants perspective; and</w:t>
      </w:r>
    </w:p>
    <w:p w14:paraId="54332267" w14:textId="77777777" w:rsidR="00655E4C" w:rsidRPr="0097099A" w:rsidRDefault="00655E4C" w:rsidP="006F1659">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all other assets – current value, determined as the amount that would be paid for the asset in its existing use (existing use value – EUV).</w:t>
      </w:r>
    </w:p>
    <w:p w14:paraId="48BBA8F4"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there is no market-based evidence of current value because of the specialist nature of an asset, depreciated replacement cost (DRC) is used as an estimate of current value. </w:t>
      </w:r>
    </w:p>
    <w:p w14:paraId="624D62D1" w14:textId="77777777" w:rsidR="00655E4C" w:rsidRPr="0097099A" w:rsidRDefault="00655E4C" w:rsidP="006F1659">
      <w:pPr>
        <w:pStyle w:val="Normal0"/>
        <w:spacing w:line="360" w:lineRule="auto"/>
        <w:rPr>
          <w:rFonts w:ascii="Arial" w:hAnsi="Arial" w:cs="Arial"/>
          <w:bCs/>
          <w:sz w:val="24"/>
          <w:szCs w:val="24"/>
          <w:lang w:eastAsia="en-GB"/>
        </w:rPr>
      </w:pPr>
    </w:p>
    <w:p w14:paraId="4DD4E56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non-property assets have short useful lives or low values (or both), the depreciated historical cost basis is used as a proxy for current value.</w:t>
      </w:r>
    </w:p>
    <w:p w14:paraId="7B70CB4C" w14:textId="77777777" w:rsidR="00655E4C" w:rsidRPr="0097099A" w:rsidRDefault="00655E4C" w:rsidP="006F1659">
      <w:pPr>
        <w:pStyle w:val="Normal0"/>
        <w:spacing w:line="360" w:lineRule="auto"/>
        <w:rPr>
          <w:rFonts w:ascii="Arial" w:hAnsi="Arial" w:cs="Arial"/>
          <w:bCs/>
          <w:sz w:val="24"/>
          <w:szCs w:val="24"/>
          <w:lang w:eastAsia="en-GB"/>
        </w:rPr>
      </w:pPr>
    </w:p>
    <w:p w14:paraId="313415A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included in the balance sheet at current value are revalued sufficiently regularly, as a minimum every five years, to ensure that their carrying amount is not materially different from their current value at the year-end. Increases in valuations are matched by credits to the revaluation reserve to recognise unrealised gains. Exceptionally, gains might be credited to the surplus or deficit on the provision of services where they arise from the reversal of a loss previously charged to a service.</w:t>
      </w:r>
    </w:p>
    <w:p w14:paraId="362E6E12" w14:textId="77777777" w:rsidR="00655E4C" w:rsidRPr="0097099A" w:rsidRDefault="00655E4C" w:rsidP="006F1659">
      <w:pPr>
        <w:pStyle w:val="Normal0"/>
        <w:spacing w:line="360" w:lineRule="auto"/>
        <w:rPr>
          <w:rFonts w:ascii="Arial" w:hAnsi="Arial" w:cs="Arial"/>
          <w:bCs/>
          <w:sz w:val="24"/>
          <w:szCs w:val="24"/>
          <w:lang w:eastAsia="en-GB"/>
        </w:rPr>
      </w:pPr>
    </w:p>
    <w:p w14:paraId="2E41854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decreases in value are identified, they are accounted for as follows: </w:t>
      </w:r>
    </w:p>
    <w:p w14:paraId="22A3AFDE" w14:textId="77777777" w:rsidR="00655E4C" w:rsidRPr="0097099A" w:rsidRDefault="00655E4C" w:rsidP="006F1659">
      <w:pPr>
        <w:pStyle w:val="Normal0"/>
        <w:spacing w:line="360" w:lineRule="auto"/>
        <w:rPr>
          <w:rFonts w:ascii="Arial" w:hAnsi="Arial" w:cs="Arial"/>
          <w:bCs/>
          <w:sz w:val="24"/>
          <w:szCs w:val="24"/>
          <w:lang w:eastAsia="en-GB"/>
        </w:rPr>
      </w:pPr>
    </w:p>
    <w:p w14:paraId="6DE3C766" w14:textId="463835F1" w:rsidR="00655E4C" w:rsidRPr="00BB0191" w:rsidRDefault="00655E4C" w:rsidP="00BB0191">
      <w:pPr>
        <w:pStyle w:val="Normal0"/>
        <w:numPr>
          <w:ilvl w:val="0"/>
          <w:numId w:val="21"/>
        </w:numPr>
        <w:spacing w:line="360" w:lineRule="auto"/>
        <w:rPr>
          <w:rFonts w:ascii="Arial" w:eastAsia="Times New Roman" w:hAnsi="Arial" w:cs="Arial"/>
          <w:bCs/>
          <w:sz w:val="24"/>
          <w:szCs w:val="24"/>
          <w:lang w:val="en-GB" w:eastAsia="en-GB"/>
        </w:rPr>
      </w:pPr>
      <w:r w:rsidRPr="0097099A">
        <w:rPr>
          <w:rFonts w:ascii="Arial" w:eastAsia="Times New Roman" w:hAnsi="Arial" w:cs="Arial"/>
          <w:bCs/>
          <w:sz w:val="24"/>
          <w:szCs w:val="24"/>
          <w:lang w:val="en-GB" w:eastAsia="en-GB"/>
        </w:rPr>
        <w:t xml:space="preserve">where there is a balance of revaluation gains for the asset in the revaluation reserve, the carrying amount of the asset is written down against that balance (up to the amount of the accumulated gains); </w:t>
      </w:r>
    </w:p>
    <w:p w14:paraId="5665965B" w14:textId="77777777" w:rsidR="00655E4C" w:rsidRPr="0097099A" w:rsidRDefault="00655E4C" w:rsidP="006F1659">
      <w:pPr>
        <w:pStyle w:val="Normal0"/>
        <w:numPr>
          <w:ilvl w:val="0"/>
          <w:numId w:val="21"/>
        </w:numPr>
        <w:spacing w:line="360" w:lineRule="auto"/>
        <w:rPr>
          <w:rFonts w:ascii="Arial" w:hAnsi="Arial" w:cs="Arial"/>
          <w:bCs/>
          <w:sz w:val="24"/>
          <w:szCs w:val="24"/>
          <w:lang w:eastAsia="en-GB"/>
        </w:rPr>
      </w:pPr>
      <w:r w:rsidRPr="0097099A">
        <w:rPr>
          <w:rFonts w:ascii="Arial" w:hAnsi="Arial" w:cs="Arial"/>
          <w:bCs/>
          <w:sz w:val="24"/>
          <w:szCs w:val="24"/>
          <w:lang w:eastAsia="en-GB"/>
        </w:rPr>
        <w:t>where there is no balance in the revaluation reserve or an insufficient balance, the carrying amount of the asset is written down against the relevant service line(s) in the comprehensive income and expenditure statement.</w:t>
      </w:r>
    </w:p>
    <w:p w14:paraId="1245F61B" w14:textId="77777777" w:rsidR="00655E4C" w:rsidRPr="0097099A" w:rsidRDefault="00655E4C" w:rsidP="006F1659">
      <w:pPr>
        <w:pStyle w:val="Normal0"/>
        <w:spacing w:line="360" w:lineRule="auto"/>
        <w:ind w:left="720"/>
        <w:rPr>
          <w:rFonts w:ascii="Arial" w:hAnsi="Arial" w:cs="Arial"/>
          <w:bCs/>
          <w:sz w:val="24"/>
          <w:szCs w:val="24"/>
          <w:lang w:eastAsia="en-GB"/>
        </w:rPr>
      </w:pPr>
    </w:p>
    <w:p w14:paraId="20FF2381"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revaluation reserve contains revaluation gains recognised since 1 April 2007 only, the date of its formal implementation. Gains arising before that date have been consolidated into the capital adjustment account.</w:t>
      </w:r>
    </w:p>
    <w:p w14:paraId="7701E074" w14:textId="77777777" w:rsidR="00655E4C" w:rsidRPr="00EE5700" w:rsidRDefault="00655E4C" w:rsidP="006F1659">
      <w:pPr>
        <w:pStyle w:val="Normal0"/>
        <w:spacing w:line="360" w:lineRule="auto"/>
        <w:rPr>
          <w:rFonts w:ascii="Arial" w:hAnsi="Arial" w:cs="Arial"/>
          <w:bCs/>
          <w:sz w:val="24"/>
          <w:szCs w:val="24"/>
          <w:highlight w:val="cyan"/>
          <w:lang w:eastAsia="en-GB"/>
        </w:rPr>
      </w:pPr>
    </w:p>
    <w:p w14:paraId="1E0CC51E" w14:textId="77777777" w:rsidR="00655E4C" w:rsidRPr="0097099A" w:rsidRDefault="00655E4C" w:rsidP="006F1659">
      <w:pPr>
        <w:pStyle w:val="Heading5"/>
        <w:spacing w:line="360" w:lineRule="auto"/>
        <w:rPr>
          <w:lang w:eastAsia="en-GB"/>
        </w:rPr>
      </w:pPr>
      <w:r w:rsidRPr="0097099A">
        <w:rPr>
          <w:lang w:eastAsia="en-GB"/>
        </w:rPr>
        <w:t>1.9.3. Impairment</w:t>
      </w:r>
    </w:p>
    <w:p w14:paraId="6AF2D6DA" w14:textId="77777777" w:rsidR="00655E4C" w:rsidRPr="0097099A" w:rsidRDefault="00655E4C" w:rsidP="006F1659">
      <w:pPr>
        <w:pStyle w:val="Normal0"/>
        <w:spacing w:line="360" w:lineRule="auto"/>
        <w:rPr>
          <w:rFonts w:ascii="Arial" w:hAnsi="Arial" w:cs="Arial"/>
          <w:b/>
          <w:bCs/>
          <w:sz w:val="24"/>
          <w:szCs w:val="24"/>
          <w:lang w:eastAsia="en-GB"/>
        </w:rPr>
      </w:pPr>
    </w:p>
    <w:p w14:paraId="012969E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are indications that an asset may be impaired. Where reliable indications exist and differences are estimated to be material, the recoverable amount of the asset is estimated and, where this is less than the carrying amount of the asset, an impairment loss is recognised for the shortfall. Where impairment losses are identified, they are accounted for as follows:</w:t>
      </w:r>
    </w:p>
    <w:p w14:paraId="2CD15EF9" w14:textId="77777777" w:rsidR="00655E4C" w:rsidRPr="0097099A" w:rsidRDefault="00655E4C" w:rsidP="006F1659">
      <w:pPr>
        <w:pStyle w:val="Normal0"/>
        <w:spacing w:line="360" w:lineRule="auto"/>
        <w:rPr>
          <w:rFonts w:ascii="Arial" w:hAnsi="Arial" w:cs="Arial"/>
          <w:bCs/>
          <w:sz w:val="24"/>
          <w:szCs w:val="24"/>
          <w:lang w:eastAsia="en-GB"/>
        </w:rPr>
      </w:pPr>
    </w:p>
    <w:p w14:paraId="773540EF" w14:textId="77777777" w:rsidR="00655E4C" w:rsidRPr="0097099A" w:rsidRDefault="00655E4C" w:rsidP="006F1659">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p>
    <w:p w14:paraId="51090B4B" w14:textId="77777777" w:rsidR="00655E4C" w:rsidRPr="0097099A" w:rsidRDefault="00655E4C" w:rsidP="006F1659">
      <w:pPr>
        <w:pStyle w:val="ListParagraph"/>
        <w:spacing w:line="360" w:lineRule="auto"/>
        <w:ind w:left="851"/>
        <w:rPr>
          <w:rFonts w:ascii="Arial" w:hAnsi="Arial" w:cs="Arial"/>
          <w:bCs/>
          <w:sz w:val="24"/>
          <w:szCs w:val="24"/>
        </w:rPr>
      </w:pPr>
    </w:p>
    <w:p w14:paraId="63032538" w14:textId="77777777" w:rsidR="00655E4C" w:rsidRPr="0097099A" w:rsidRDefault="00655E4C" w:rsidP="006F1659">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lastRenderedPageBreak/>
        <w:t>where there is no balance in the revaluation reserve or an insufficient balance, the carrying amount of the asset is written down against the relevant service line(s) in the comprehensive income and expenditure statement.</w:t>
      </w:r>
    </w:p>
    <w:p w14:paraId="0AB7C18B"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w:t>
      </w:r>
    </w:p>
    <w:p w14:paraId="4688B010" w14:textId="77777777" w:rsidR="00655E4C" w:rsidRPr="0097099A" w:rsidRDefault="00655E4C" w:rsidP="006F1659">
      <w:pPr>
        <w:spacing w:line="360" w:lineRule="auto"/>
        <w:rPr>
          <w:rFonts w:ascii="Arial" w:eastAsiaTheme="minorHAnsi" w:hAnsi="Arial" w:cs="Arial"/>
          <w:b/>
          <w:bCs/>
          <w:lang w:val="en-US" w:eastAsia="en-GB"/>
        </w:rPr>
      </w:pPr>
    </w:p>
    <w:p w14:paraId="04D722FE" w14:textId="77777777" w:rsidR="00655E4C" w:rsidRPr="0097099A" w:rsidRDefault="00655E4C" w:rsidP="006F1659">
      <w:pPr>
        <w:pStyle w:val="Heading5"/>
        <w:spacing w:line="360" w:lineRule="auto"/>
        <w:rPr>
          <w:lang w:eastAsia="en-GB"/>
        </w:rPr>
      </w:pPr>
      <w:r w:rsidRPr="0097099A">
        <w:rPr>
          <w:lang w:eastAsia="en-GB"/>
        </w:rPr>
        <w:t>1.9.4. Depreciation</w:t>
      </w:r>
    </w:p>
    <w:p w14:paraId="4C662132" w14:textId="77777777" w:rsidR="00655E4C" w:rsidRPr="0097099A" w:rsidRDefault="00655E4C" w:rsidP="006F1659">
      <w:pPr>
        <w:pStyle w:val="Normal0"/>
        <w:spacing w:line="360" w:lineRule="auto"/>
        <w:rPr>
          <w:rFonts w:ascii="Arial" w:hAnsi="Arial" w:cs="Arial"/>
          <w:b/>
          <w:bCs/>
          <w:sz w:val="24"/>
          <w:szCs w:val="24"/>
          <w:lang w:eastAsia="en-GB"/>
        </w:rPr>
      </w:pPr>
    </w:p>
    <w:p w14:paraId="05145A7A"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provided for on all property, plant and equipment assets by the systematic allocation of their depreciable amounts over their useful lives. An exception is made for assets without a determinable finite useful life (i.e. freehold land) and assets that are not yet available for use (i.e. assets under construction).</w:t>
      </w:r>
    </w:p>
    <w:p w14:paraId="78DFAF97" w14:textId="77777777" w:rsidR="00655E4C" w:rsidRPr="0097099A" w:rsidRDefault="00655E4C" w:rsidP="006F1659">
      <w:pPr>
        <w:pStyle w:val="Normal0"/>
        <w:spacing w:line="360" w:lineRule="auto"/>
        <w:rPr>
          <w:rFonts w:ascii="Arial" w:hAnsi="Arial" w:cs="Arial"/>
          <w:bCs/>
          <w:sz w:val="24"/>
          <w:szCs w:val="24"/>
          <w:lang w:eastAsia="en-GB"/>
        </w:rPr>
      </w:pPr>
    </w:p>
    <w:p w14:paraId="386039AE"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calculated on the following bases:</w:t>
      </w:r>
    </w:p>
    <w:p w14:paraId="5E918B92" w14:textId="77777777" w:rsidR="00655E4C" w:rsidRPr="0097099A" w:rsidRDefault="00655E4C" w:rsidP="006F1659">
      <w:pPr>
        <w:pStyle w:val="Normal0"/>
        <w:spacing w:line="360" w:lineRule="auto"/>
        <w:rPr>
          <w:rFonts w:ascii="Arial" w:hAnsi="Arial" w:cs="Arial"/>
          <w:bCs/>
          <w:sz w:val="24"/>
          <w:szCs w:val="24"/>
          <w:lang w:eastAsia="en-GB"/>
        </w:rPr>
      </w:pPr>
    </w:p>
    <w:p w14:paraId="10A44532" w14:textId="77777777" w:rsidR="00655E4C" w:rsidRPr="0097099A" w:rsidRDefault="00655E4C" w:rsidP="006F1659">
      <w:pPr>
        <w:pStyle w:val="ListParagraph"/>
        <w:numPr>
          <w:ilvl w:val="0"/>
          <w:numId w:val="22"/>
        </w:numPr>
        <w:spacing w:after="0" w:line="360" w:lineRule="auto"/>
        <w:ind w:left="714" w:hanging="357"/>
        <w:rPr>
          <w:rFonts w:ascii="Arial" w:hAnsi="Arial" w:cs="Arial"/>
          <w:bCs/>
          <w:sz w:val="24"/>
          <w:szCs w:val="24"/>
        </w:rPr>
      </w:pPr>
      <w:r w:rsidRPr="0097099A">
        <w:rPr>
          <w:rFonts w:ascii="Arial" w:hAnsi="Arial" w:cs="Arial"/>
          <w:bCs/>
          <w:sz w:val="24"/>
          <w:szCs w:val="24"/>
        </w:rPr>
        <w:t xml:space="preserve">infrastructure assets – straight-line allocation over the useful life of the assets </w:t>
      </w:r>
    </w:p>
    <w:p w14:paraId="44E89106" w14:textId="1254B846" w:rsidR="00655E4C" w:rsidRPr="00BB0191" w:rsidRDefault="00655E4C" w:rsidP="00BB0191">
      <w:pPr>
        <w:spacing w:line="360" w:lineRule="auto"/>
        <w:ind w:left="720"/>
        <w:rPr>
          <w:rFonts w:ascii="Arial" w:hAnsi="Arial" w:cs="Arial"/>
          <w:bCs/>
          <w:lang w:eastAsia="en-GB"/>
        </w:rPr>
      </w:pPr>
      <w:r w:rsidRPr="0097099A">
        <w:rPr>
          <w:rFonts w:ascii="Arial" w:hAnsi="Arial" w:cs="Arial"/>
          <w:bCs/>
        </w:rPr>
        <w:t xml:space="preserve">(11 years) as estimated by </w:t>
      </w:r>
      <w:r w:rsidR="00EF5EF0">
        <w:rPr>
          <w:rFonts w:ascii="Arial" w:hAnsi="Arial" w:cs="Arial"/>
          <w:bCs/>
        </w:rPr>
        <w:t>a relevant expert</w:t>
      </w:r>
      <w:r w:rsidRPr="0097099A">
        <w:rPr>
          <w:rFonts w:ascii="Arial" w:hAnsi="Arial" w:cs="Arial"/>
          <w:bCs/>
        </w:rPr>
        <w:t>;</w:t>
      </w:r>
    </w:p>
    <w:p w14:paraId="77301F1B" w14:textId="4FF0310E" w:rsidR="00655E4C" w:rsidRPr="00BB0191" w:rsidRDefault="00655E4C" w:rsidP="00BB0191">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buildings – straight-line allocation over the useful life of the property (5 to 100 years) as estimated by the valuer; and</w:t>
      </w:r>
    </w:p>
    <w:p w14:paraId="0C263D2E" w14:textId="77777777" w:rsidR="00655E4C" w:rsidRPr="0097099A" w:rsidRDefault="00655E4C" w:rsidP="006F1659">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vehicles, plant and equipment – straight-line allocation over the useful life of the asset (5 to 30 years) as advised by a suitably qualified officer.</w:t>
      </w:r>
    </w:p>
    <w:p w14:paraId="3205D69E" w14:textId="77777777" w:rsidR="00655E4C" w:rsidRPr="0097099A" w:rsidRDefault="00655E4C" w:rsidP="006F1659">
      <w:pPr>
        <w:pStyle w:val="Normal0"/>
        <w:tabs>
          <w:tab w:val="left" w:pos="9195"/>
        </w:tabs>
        <w:spacing w:line="360" w:lineRule="auto"/>
        <w:rPr>
          <w:rFonts w:ascii="Arial" w:hAnsi="Arial" w:cs="Arial"/>
          <w:bCs/>
          <w:sz w:val="24"/>
          <w:szCs w:val="24"/>
          <w:lang w:eastAsia="en-GB"/>
        </w:rPr>
      </w:pPr>
      <w:r w:rsidRPr="0097099A">
        <w:rPr>
          <w:rFonts w:ascii="Arial" w:hAnsi="Arial" w:cs="Arial"/>
          <w:bCs/>
          <w:sz w:val="24"/>
          <w:szCs w:val="24"/>
          <w:lang w:eastAsia="en-GB"/>
        </w:rPr>
        <w:t>Where an item of property, plant and equipment asset has major components whose cost is significant in relation to the total cost of the item, the components are depreciated separately. Where there is more than one significant part of the same asset that has the same useful life and depreciation method, such parts may be grouped in determining the depreciation charge. In practice, this can be achieved by only separately accounting for significant components that have different useful lives. The requirement for componentisation for depreciation purposes is applicable to enhancement and acquisition expenditure incurred and revaluations carried out from 1 April 2010.</w:t>
      </w:r>
    </w:p>
    <w:p w14:paraId="25073B20" w14:textId="77777777" w:rsidR="00655E4C" w:rsidRPr="0097099A" w:rsidRDefault="00655E4C" w:rsidP="006F1659">
      <w:pPr>
        <w:pStyle w:val="Normal0"/>
        <w:tabs>
          <w:tab w:val="left" w:pos="9195"/>
        </w:tabs>
        <w:spacing w:line="360" w:lineRule="auto"/>
        <w:rPr>
          <w:rFonts w:ascii="Arial" w:hAnsi="Arial" w:cs="Arial"/>
          <w:bCs/>
          <w:sz w:val="24"/>
          <w:szCs w:val="24"/>
          <w:lang w:eastAsia="en-GB"/>
        </w:rPr>
      </w:pPr>
    </w:p>
    <w:p w14:paraId="2173F84B"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lastRenderedPageBreak/>
        <w:t>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w:t>
      </w:r>
    </w:p>
    <w:p w14:paraId="79091B87" w14:textId="77777777" w:rsidR="00655E4C" w:rsidRPr="0097099A" w:rsidRDefault="00655E4C" w:rsidP="006F1659">
      <w:pPr>
        <w:pStyle w:val="Normal0"/>
        <w:spacing w:line="360" w:lineRule="auto"/>
        <w:rPr>
          <w:rFonts w:ascii="Arial" w:hAnsi="Arial" w:cs="Arial"/>
          <w:bCs/>
          <w:sz w:val="24"/>
          <w:szCs w:val="24"/>
          <w:lang w:eastAsia="en-GB"/>
        </w:rPr>
      </w:pPr>
    </w:p>
    <w:p w14:paraId="6D71F26A" w14:textId="77777777" w:rsidR="00655E4C" w:rsidRPr="0097099A" w:rsidRDefault="00655E4C" w:rsidP="006F1659">
      <w:pPr>
        <w:pStyle w:val="Heading5"/>
        <w:spacing w:line="360" w:lineRule="auto"/>
        <w:rPr>
          <w:lang w:eastAsia="en-GB"/>
        </w:rPr>
      </w:pPr>
      <w:r w:rsidRPr="0097099A">
        <w:rPr>
          <w:lang w:eastAsia="en-GB"/>
        </w:rPr>
        <w:t>1.9.5. Non-current assets held for sale</w:t>
      </w:r>
    </w:p>
    <w:p w14:paraId="476DCDC2" w14:textId="77777777" w:rsidR="00655E4C" w:rsidRPr="0097099A" w:rsidRDefault="00655E4C" w:rsidP="006F1659">
      <w:pPr>
        <w:pStyle w:val="Normal0"/>
        <w:spacing w:line="360" w:lineRule="auto"/>
        <w:rPr>
          <w:rFonts w:ascii="Arial" w:hAnsi="Arial" w:cs="Arial"/>
          <w:b/>
          <w:bCs/>
          <w:sz w:val="24"/>
          <w:szCs w:val="24"/>
          <w:lang w:eastAsia="en-GB"/>
        </w:rPr>
      </w:pPr>
    </w:p>
    <w:p w14:paraId="5A7B720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recognised losses in the surplus or deficit on provision of services. Depreciation is not charged on assets held for sale. </w:t>
      </w:r>
    </w:p>
    <w:p w14:paraId="4CD3501D" w14:textId="77777777" w:rsidR="00655E4C" w:rsidRPr="0097099A" w:rsidRDefault="00655E4C" w:rsidP="006F1659">
      <w:pPr>
        <w:pStyle w:val="Normal0"/>
        <w:spacing w:line="360" w:lineRule="auto"/>
        <w:rPr>
          <w:rFonts w:ascii="Arial" w:hAnsi="Arial" w:cs="Arial"/>
          <w:bCs/>
          <w:sz w:val="24"/>
          <w:szCs w:val="24"/>
          <w:lang w:eastAsia="en-GB"/>
        </w:rPr>
      </w:pPr>
    </w:p>
    <w:p w14:paraId="61B537E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w:t>
      </w:r>
    </w:p>
    <w:p w14:paraId="002DC0A8" w14:textId="77777777" w:rsidR="00655E4C" w:rsidRPr="0097099A" w:rsidRDefault="00655E4C" w:rsidP="006F1659">
      <w:pPr>
        <w:pStyle w:val="Normal0"/>
        <w:spacing w:line="360" w:lineRule="auto"/>
        <w:rPr>
          <w:rFonts w:ascii="Arial" w:hAnsi="Arial" w:cs="Arial"/>
          <w:bCs/>
          <w:sz w:val="24"/>
          <w:szCs w:val="24"/>
          <w:lang w:eastAsia="en-GB"/>
        </w:rPr>
      </w:pPr>
    </w:p>
    <w:p w14:paraId="7644A18E"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Assets that are to be abandoned or scrapped are not reclassified as assets held for sale. </w:t>
      </w:r>
    </w:p>
    <w:p w14:paraId="41F6AB17" w14:textId="77777777" w:rsidR="00655E4C" w:rsidRPr="0097099A" w:rsidRDefault="00655E4C" w:rsidP="006F1659">
      <w:pPr>
        <w:pStyle w:val="Normal0"/>
        <w:spacing w:line="360" w:lineRule="auto"/>
        <w:rPr>
          <w:rFonts w:ascii="Arial" w:hAnsi="Arial" w:cs="Arial"/>
          <w:b/>
          <w:bCs/>
          <w:sz w:val="24"/>
          <w:szCs w:val="24"/>
          <w:lang w:eastAsia="en-GB"/>
        </w:rPr>
      </w:pPr>
    </w:p>
    <w:p w14:paraId="2F0E65CD" w14:textId="77777777" w:rsidR="00655E4C" w:rsidRPr="0097099A" w:rsidRDefault="00655E4C" w:rsidP="006F1659">
      <w:pPr>
        <w:pStyle w:val="Heading5"/>
        <w:spacing w:line="360" w:lineRule="auto"/>
        <w:rPr>
          <w:lang w:eastAsia="en-GB"/>
        </w:rPr>
      </w:pPr>
      <w:r w:rsidRPr="0097099A">
        <w:rPr>
          <w:lang w:eastAsia="en-GB"/>
        </w:rPr>
        <w:t xml:space="preserve">1.9.6. Disposals </w:t>
      </w:r>
    </w:p>
    <w:p w14:paraId="56643825" w14:textId="77777777" w:rsidR="00655E4C" w:rsidRPr="0097099A" w:rsidRDefault="00655E4C" w:rsidP="006F1659">
      <w:pPr>
        <w:pStyle w:val="Normal0"/>
        <w:spacing w:line="360" w:lineRule="auto"/>
        <w:rPr>
          <w:rFonts w:ascii="Arial" w:hAnsi="Arial" w:cs="Arial"/>
          <w:b/>
          <w:bCs/>
          <w:sz w:val="24"/>
          <w:szCs w:val="24"/>
          <w:lang w:eastAsia="en-GB"/>
        </w:rPr>
      </w:pPr>
    </w:p>
    <w:p w14:paraId="5DCAD901"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When an asset is disposed of or decommissioned, the carrying amount of the asset in the balance sheet (whether property, plant and equipment or assets held for sale) is written off to the other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(i.e. netted off against the carrying </w:t>
      </w:r>
      <w:r w:rsidRPr="0097099A">
        <w:rPr>
          <w:rFonts w:ascii="Arial" w:hAnsi="Arial" w:cs="Arial"/>
          <w:bCs/>
          <w:sz w:val="24"/>
          <w:szCs w:val="24"/>
          <w:lang w:eastAsia="en-GB"/>
        </w:rPr>
        <w:lastRenderedPageBreak/>
        <w:t>value of the asset at the time of disposal). Any revaluation gains accumulated for the asset in the revaluation reserve are transferred to the capital adjustment account.</w:t>
      </w:r>
    </w:p>
    <w:p w14:paraId="49F3D4FA" w14:textId="77777777" w:rsidR="00655E4C" w:rsidRPr="0097099A" w:rsidRDefault="00655E4C" w:rsidP="006F1659">
      <w:pPr>
        <w:pStyle w:val="Normal0"/>
        <w:spacing w:line="360" w:lineRule="auto"/>
        <w:rPr>
          <w:rFonts w:ascii="Arial" w:hAnsi="Arial" w:cs="Arial"/>
          <w:bCs/>
          <w:sz w:val="24"/>
          <w:szCs w:val="24"/>
          <w:lang w:eastAsia="en-GB"/>
        </w:rPr>
      </w:pPr>
    </w:p>
    <w:p w14:paraId="2A3E5DF4"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Amounts received for a disposal of £10,000 or more are categorised as capital receipts and credited to the Capital Receipts Reserve (CRR). They can then only be used for new capital investment or set aside to reduce the Authority's underlying need to borrow (the capital financing requirement). Receipts are appropriated to the Mayoral or GMCA CRR from the relevant Mayoral or GMCA balances in the movement in reserves statement.</w:t>
      </w:r>
    </w:p>
    <w:p w14:paraId="35A71908" w14:textId="77777777" w:rsidR="00655E4C" w:rsidRPr="0097099A" w:rsidRDefault="00655E4C" w:rsidP="006F1659">
      <w:pPr>
        <w:pStyle w:val="Normal0"/>
        <w:spacing w:line="360" w:lineRule="auto"/>
        <w:rPr>
          <w:rFonts w:ascii="Arial" w:hAnsi="Arial" w:cs="Arial"/>
          <w:bCs/>
          <w:sz w:val="24"/>
          <w:szCs w:val="24"/>
          <w:lang w:eastAsia="en-GB"/>
        </w:rPr>
      </w:pPr>
    </w:p>
    <w:p w14:paraId="66781501" w14:textId="7FAECFB0" w:rsidR="00655E4C"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written-off value of disposals is not a charge against statutory funding, as the cost of non-current assets is fully provided for under separate arrangements for capital financing. Amounts are appropriated to the capital adjustment account from the relevant general fund balance in the movement in reserves statement.</w:t>
      </w:r>
    </w:p>
    <w:p w14:paraId="7F02AD20" w14:textId="77777777" w:rsidR="00B006C9" w:rsidRPr="00EE5700" w:rsidRDefault="00B006C9" w:rsidP="006F1659">
      <w:pPr>
        <w:pStyle w:val="Normal0"/>
        <w:tabs>
          <w:tab w:val="left" w:pos="9195"/>
        </w:tabs>
        <w:spacing w:line="360" w:lineRule="auto"/>
        <w:rPr>
          <w:rFonts w:ascii="Arial" w:hAnsi="Arial" w:cs="Arial"/>
          <w:bCs/>
          <w:sz w:val="24"/>
          <w:szCs w:val="24"/>
          <w:highlight w:val="cyan"/>
          <w:lang w:eastAsia="en-GB"/>
        </w:rPr>
      </w:pPr>
    </w:p>
    <w:p w14:paraId="24B8B2C4" w14:textId="52DFA670" w:rsidR="00B006C9" w:rsidRPr="00431F6F" w:rsidRDefault="00B006C9" w:rsidP="006F1659">
      <w:pPr>
        <w:pStyle w:val="Heading5"/>
        <w:spacing w:line="360" w:lineRule="auto"/>
        <w:rPr>
          <w:b w:val="0"/>
          <w:bCs w:val="0"/>
          <w:lang w:eastAsia="en-GB"/>
        </w:rPr>
      </w:pPr>
      <w:r w:rsidRPr="0097099A">
        <w:t>1.1</w:t>
      </w:r>
      <w:r>
        <w:t>1</w:t>
      </w:r>
      <w:r w:rsidRPr="0097099A">
        <w:t xml:space="preserve">. </w:t>
      </w:r>
      <w:r w:rsidRPr="00597417">
        <w:t xml:space="preserve">Highways </w:t>
      </w:r>
      <w:r>
        <w:t>I</w:t>
      </w:r>
      <w:r w:rsidRPr="00597417">
        <w:t xml:space="preserve">nfrastructure </w:t>
      </w:r>
      <w:r>
        <w:t>A</w:t>
      </w:r>
      <w:r w:rsidRPr="00597417">
        <w:t xml:space="preserve">ssets </w:t>
      </w:r>
    </w:p>
    <w:p w14:paraId="6900E729" w14:textId="77777777" w:rsidR="001F3CE0" w:rsidRPr="00431F6F" w:rsidRDefault="001F3CE0" w:rsidP="006F1659">
      <w:pPr>
        <w:pStyle w:val="Normal0"/>
        <w:spacing w:line="360" w:lineRule="auto"/>
        <w:rPr>
          <w:lang w:eastAsia="en-GB"/>
        </w:rPr>
      </w:pPr>
    </w:p>
    <w:p w14:paraId="6098BC82" w14:textId="76040294" w:rsidR="00D3393B" w:rsidRPr="00886644" w:rsidRDefault="00D3393B" w:rsidP="006F1659">
      <w:pPr>
        <w:spacing w:line="360" w:lineRule="auto"/>
        <w:rPr>
          <w:rFonts w:ascii="Arial" w:eastAsiaTheme="minorHAnsi" w:hAnsi="Arial" w:cs="Arial"/>
        </w:rPr>
      </w:pPr>
      <w:r w:rsidRPr="004F68FF">
        <w:rPr>
          <w:rFonts w:ascii="Arial" w:hAnsi="Arial" w:cs="Arial"/>
        </w:rPr>
        <w:t>Highways infrastructure assets include traffic</w:t>
      </w:r>
      <w:r w:rsidR="002914CC">
        <w:rPr>
          <w:rFonts w:ascii="Arial" w:hAnsi="Arial" w:cs="Arial"/>
        </w:rPr>
        <w:t xml:space="preserve"> signals</w:t>
      </w:r>
      <w:r>
        <w:rPr>
          <w:rFonts w:ascii="Arial" w:hAnsi="Arial" w:cs="Arial"/>
        </w:rPr>
        <w:t>,</w:t>
      </w:r>
      <w:r w:rsidRPr="004F68FF">
        <w:rPr>
          <w:rFonts w:ascii="Arial" w:hAnsi="Arial" w:cs="Arial"/>
        </w:rPr>
        <w:t xml:space="preserve"> </w:t>
      </w:r>
      <w:r>
        <w:rPr>
          <w:rFonts w:ascii="Arial" w:hAnsi="Arial" w:cs="Arial"/>
        </w:rPr>
        <w:t>tram</w:t>
      </w:r>
      <w:r w:rsidRPr="00886644">
        <w:rPr>
          <w:rFonts w:ascii="Arial" w:eastAsiaTheme="minorHAnsi" w:hAnsi="Arial" w:cs="Arial"/>
        </w:rPr>
        <w:t xml:space="preserve"> network</w:t>
      </w:r>
      <w:r>
        <w:rPr>
          <w:rFonts w:ascii="Arial" w:hAnsi="Arial" w:cs="Arial"/>
        </w:rPr>
        <w:t>s</w:t>
      </w:r>
      <w:r w:rsidRPr="00886644">
        <w:rPr>
          <w:rFonts w:ascii="Arial" w:eastAsiaTheme="minorHAnsi" w:hAnsi="Arial" w:cs="Arial"/>
        </w:rPr>
        <w:t xml:space="preserve">, </w:t>
      </w:r>
      <w:r>
        <w:rPr>
          <w:rFonts w:ascii="Arial" w:hAnsi="Arial" w:cs="Arial"/>
        </w:rPr>
        <w:t>bus i</w:t>
      </w:r>
      <w:r w:rsidRPr="00886644">
        <w:rPr>
          <w:rFonts w:ascii="Arial" w:eastAsiaTheme="minorHAnsi" w:hAnsi="Arial" w:cs="Arial"/>
        </w:rPr>
        <w:t xml:space="preserve">nterchanges and </w:t>
      </w:r>
      <w:r>
        <w:rPr>
          <w:rFonts w:ascii="Arial" w:hAnsi="Arial" w:cs="Arial"/>
        </w:rPr>
        <w:t>b</w:t>
      </w:r>
      <w:r w:rsidRPr="00886644">
        <w:rPr>
          <w:rFonts w:ascii="Arial" w:eastAsiaTheme="minorHAnsi" w:hAnsi="Arial" w:cs="Arial"/>
        </w:rPr>
        <w:t xml:space="preserve">us </w:t>
      </w:r>
      <w:r>
        <w:rPr>
          <w:rFonts w:ascii="Arial" w:hAnsi="Arial" w:cs="Arial"/>
        </w:rPr>
        <w:t>s</w:t>
      </w:r>
      <w:r w:rsidRPr="00886644">
        <w:rPr>
          <w:rFonts w:ascii="Arial" w:eastAsiaTheme="minorHAnsi" w:hAnsi="Arial" w:cs="Arial"/>
        </w:rPr>
        <w:t xml:space="preserve">tations, </w:t>
      </w:r>
      <w:r>
        <w:rPr>
          <w:rFonts w:ascii="Arial" w:hAnsi="Arial" w:cs="Arial"/>
        </w:rPr>
        <w:t>g</w:t>
      </w:r>
      <w:r w:rsidRPr="00886644">
        <w:rPr>
          <w:rFonts w:ascii="Arial" w:eastAsiaTheme="minorHAnsi" w:hAnsi="Arial" w:cs="Arial"/>
        </w:rPr>
        <w:t>uided busway</w:t>
      </w:r>
      <w:r>
        <w:rPr>
          <w:rFonts w:ascii="Arial" w:hAnsi="Arial" w:cs="Arial"/>
        </w:rPr>
        <w:t>s</w:t>
      </w:r>
      <w:r w:rsidRPr="00886644">
        <w:rPr>
          <w:rFonts w:ascii="Arial" w:eastAsiaTheme="minorHAnsi" w:hAnsi="Arial" w:cs="Arial"/>
        </w:rPr>
        <w:t xml:space="preserve"> and cycle hubs.</w:t>
      </w:r>
    </w:p>
    <w:p w14:paraId="0186E43F" w14:textId="048F5DB9" w:rsidR="00B006C9" w:rsidRDefault="00B006C9" w:rsidP="006F1659">
      <w:pPr>
        <w:pStyle w:val="Standard"/>
        <w:spacing w:line="360" w:lineRule="auto"/>
      </w:pPr>
    </w:p>
    <w:p w14:paraId="0193F6F4" w14:textId="6B135B0D" w:rsidR="00B006C9" w:rsidRDefault="00B006C9" w:rsidP="006F1659">
      <w:pPr>
        <w:pStyle w:val="Heading5"/>
        <w:spacing w:line="360" w:lineRule="auto"/>
        <w:rPr>
          <w:lang w:eastAsia="en-GB"/>
        </w:rPr>
      </w:pPr>
      <w:r w:rsidRPr="0097099A">
        <w:rPr>
          <w:lang w:eastAsia="en-GB"/>
        </w:rPr>
        <w:t>1.</w:t>
      </w:r>
      <w:r>
        <w:rPr>
          <w:lang w:eastAsia="en-GB"/>
        </w:rPr>
        <w:t>11</w:t>
      </w:r>
      <w:r w:rsidRPr="0097099A">
        <w:rPr>
          <w:lang w:eastAsia="en-GB"/>
        </w:rPr>
        <w:t>.1. Recognition</w:t>
      </w:r>
    </w:p>
    <w:p w14:paraId="6098F6C2" w14:textId="77777777" w:rsidR="001F3CE0" w:rsidRPr="001F3CE0" w:rsidRDefault="001F3CE0" w:rsidP="006F1659">
      <w:pPr>
        <w:spacing w:line="360" w:lineRule="auto"/>
        <w:rPr>
          <w:lang w:eastAsia="en-GB"/>
        </w:rPr>
      </w:pPr>
    </w:p>
    <w:p w14:paraId="4A426D28" w14:textId="164247C3" w:rsidR="00B006C9" w:rsidRDefault="00B006C9" w:rsidP="006F1659">
      <w:pPr>
        <w:pStyle w:val="Normal0"/>
        <w:spacing w:line="360" w:lineRule="auto"/>
        <w:rPr>
          <w:rFonts w:ascii="Arial" w:hAnsi="Arial" w:cs="Arial"/>
          <w:sz w:val="24"/>
          <w:szCs w:val="24"/>
          <w:lang w:eastAsia="en-GB"/>
        </w:rPr>
      </w:pPr>
      <w:r w:rsidRPr="00431F6F">
        <w:rPr>
          <w:rFonts w:ascii="Arial" w:hAnsi="Arial" w:cs="Arial"/>
          <w:sz w:val="24"/>
          <w:szCs w:val="24"/>
          <w:lang w:eastAsia="en-GB"/>
        </w:rPr>
        <w:t xml:space="preserve">Expenditure on the acquisition or replacement of components of the network is capitalised on an accrual basis, provided that it is probable that the future economic benefits associated with the item will flow to the authority and the cost of the item can be measured reliably. </w:t>
      </w:r>
    </w:p>
    <w:p w14:paraId="07C7CF12" w14:textId="77777777" w:rsidR="001F3CE0" w:rsidRPr="00431F6F" w:rsidRDefault="001F3CE0" w:rsidP="006F1659">
      <w:pPr>
        <w:pStyle w:val="Normal0"/>
        <w:spacing w:line="360" w:lineRule="auto"/>
        <w:rPr>
          <w:b/>
          <w:bCs/>
          <w:lang w:eastAsia="en-GB"/>
        </w:rPr>
      </w:pPr>
    </w:p>
    <w:p w14:paraId="24A57A21" w14:textId="5D634997" w:rsidR="00B006C9" w:rsidRDefault="00B006C9" w:rsidP="006F1659">
      <w:pPr>
        <w:pStyle w:val="Heading5"/>
        <w:spacing w:line="360" w:lineRule="auto"/>
        <w:rPr>
          <w:lang w:eastAsia="en-GB"/>
        </w:rPr>
      </w:pPr>
      <w:r>
        <w:rPr>
          <w:lang w:eastAsia="en-GB"/>
        </w:rPr>
        <w:t>1</w:t>
      </w:r>
      <w:r w:rsidRPr="0097099A">
        <w:rPr>
          <w:lang w:eastAsia="en-GB"/>
        </w:rPr>
        <w:t>.1</w:t>
      </w:r>
      <w:r w:rsidR="004D275D">
        <w:rPr>
          <w:lang w:eastAsia="en-GB"/>
        </w:rPr>
        <w:t>1</w:t>
      </w:r>
      <w:r w:rsidRPr="0097099A">
        <w:rPr>
          <w:lang w:eastAsia="en-GB"/>
        </w:rPr>
        <w:t>.</w:t>
      </w:r>
      <w:r>
        <w:rPr>
          <w:lang w:eastAsia="en-GB"/>
        </w:rPr>
        <w:t>2</w:t>
      </w:r>
      <w:r w:rsidRPr="0097099A">
        <w:rPr>
          <w:lang w:eastAsia="en-GB"/>
        </w:rPr>
        <w:t xml:space="preserve"> </w:t>
      </w:r>
      <w:r>
        <w:rPr>
          <w:lang w:eastAsia="en-GB"/>
        </w:rPr>
        <w:t>Measurement</w:t>
      </w:r>
    </w:p>
    <w:p w14:paraId="56D612B0" w14:textId="77777777" w:rsidR="001F3CE0" w:rsidRPr="001F3CE0" w:rsidRDefault="001F3CE0" w:rsidP="006F1659">
      <w:pPr>
        <w:spacing w:line="360" w:lineRule="auto"/>
        <w:rPr>
          <w:lang w:eastAsia="en-GB"/>
        </w:rPr>
      </w:pPr>
    </w:p>
    <w:p w14:paraId="489DE84F" w14:textId="0BC11512" w:rsidR="00B13566" w:rsidRDefault="00B006C9" w:rsidP="00BB0191">
      <w:pPr>
        <w:pStyle w:val="Normal0"/>
        <w:spacing w:line="360" w:lineRule="auto"/>
        <w:rPr>
          <w:rFonts w:ascii="Arial" w:hAnsi="Arial" w:cs="Times New Roman"/>
          <w:sz w:val="24"/>
          <w:szCs w:val="24"/>
          <w:lang w:eastAsia="en-GB"/>
        </w:rPr>
      </w:pPr>
      <w:r w:rsidRPr="00431F6F">
        <w:rPr>
          <w:rFonts w:ascii="Arial" w:hAnsi="Arial" w:cs="Arial"/>
          <w:sz w:val="24"/>
          <w:szCs w:val="24"/>
          <w:lang w:eastAsia="en-GB"/>
        </w:rPr>
        <w:t>Highways infrastructure assets are generally measured at depreciated historical cost. However, this is a modified form of historical cost. Opening balances for highways infrastructure assets were originally recorded in balance sheets at amounts of capital undischarged for sums borrowed as at</w:t>
      </w:r>
      <w:r w:rsidR="00B36E46">
        <w:rPr>
          <w:rFonts w:ascii="Arial" w:hAnsi="Arial" w:cs="Arial"/>
          <w:sz w:val="24"/>
          <w:szCs w:val="24"/>
          <w:lang w:eastAsia="en-GB"/>
        </w:rPr>
        <w:t xml:space="preserve"> </w:t>
      </w:r>
      <w:r w:rsidRPr="00431F6F">
        <w:rPr>
          <w:rFonts w:ascii="Arial" w:hAnsi="Arial" w:cs="Arial"/>
          <w:sz w:val="24"/>
          <w:szCs w:val="24"/>
          <w:lang w:eastAsia="en-GB"/>
        </w:rPr>
        <w:t>1 April 1994 England and Scotland</w:t>
      </w:r>
      <w:r w:rsidR="00126B18">
        <w:rPr>
          <w:rFonts w:ascii="Arial" w:hAnsi="Arial" w:cs="Arial"/>
          <w:sz w:val="24"/>
          <w:szCs w:val="24"/>
          <w:lang w:eastAsia="en-GB"/>
        </w:rPr>
        <w:t>,</w:t>
      </w:r>
      <w:r w:rsidR="009E0091">
        <w:rPr>
          <w:rFonts w:ascii="Arial" w:hAnsi="Arial" w:cs="Arial"/>
          <w:sz w:val="24"/>
          <w:szCs w:val="24"/>
          <w:lang w:eastAsia="en-GB"/>
        </w:rPr>
        <w:t xml:space="preserve"> </w:t>
      </w:r>
      <w:r w:rsidRPr="00431F6F">
        <w:rPr>
          <w:rFonts w:ascii="Arial" w:hAnsi="Arial" w:cs="Arial"/>
          <w:sz w:val="24"/>
          <w:szCs w:val="24"/>
          <w:lang w:eastAsia="en-GB"/>
        </w:rPr>
        <w:t xml:space="preserve">which was deemed at that time to be historical cost. Where impairment losses are identified, they </w:t>
      </w:r>
      <w:r w:rsidRPr="00431F6F">
        <w:rPr>
          <w:rFonts w:ascii="Arial" w:hAnsi="Arial" w:cs="Arial"/>
          <w:sz w:val="24"/>
          <w:szCs w:val="24"/>
          <w:lang w:eastAsia="en-GB"/>
        </w:rPr>
        <w:lastRenderedPageBreak/>
        <w:t>are accounted</w:t>
      </w:r>
      <w:r w:rsidRPr="00431F6F">
        <w:rPr>
          <w:rFonts w:ascii="Arial" w:hAnsi="Arial" w:cs="Times New Roman"/>
          <w:sz w:val="24"/>
          <w:szCs w:val="24"/>
          <w:lang w:eastAsia="en-GB"/>
        </w:rPr>
        <w:t xml:space="preserve"> for by the carrying amount of the asset being written down to the recoverable amount. </w:t>
      </w:r>
    </w:p>
    <w:p w14:paraId="2B56F0F4" w14:textId="77777777" w:rsidR="00BB0191" w:rsidRPr="00BB0191" w:rsidRDefault="00BB0191" w:rsidP="00BB0191">
      <w:pPr>
        <w:pStyle w:val="Normal0"/>
        <w:spacing w:line="360" w:lineRule="auto"/>
        <w:rPr>
          <w:rFonts w:ascii="Arial" w:hAnsi="Arial" w:cs="Arial"/>
          <w:sz w:val="24"/>
          <w:szCs w:val="24"/>
          <w:lang w:eastAsia="en-GB"/>
        </w:rPr>
      </w:pPr>
    </w:p>
    <w:p w14:paraId="390FC3AF" w14:textId="14DEF65C" w:rsidR="00B006C9" w:rsidRDefault="00B006C9" w:rsidP="006F1659">
      <w:pPr>
        <w:pStyle w:val="Heading5"/>
        <w:spacing w:line="360" w:lineRule="auto"/>
        <w:rPr>
          <w:lang w:eastAsia="en-GB"/>
        </w:rPr>
      </w:pPr>
      <w:r>
        <w:rPr>
          <w:lang w:eastAsia="en-GB"/>
        </w:rPr>
        <w:t>1</w:t>
      </w:r>
      <w:r w:rsidRPr="0097099A">
        <w:rPr>
          <w:lang w:eastAsia="en-GB"/>
        </w:rPr>
        <w:t>.1</w:t>
      </w:r>
      <w:r w:rsidR="004D275D">
        <w:rPr>
          <w:lang w:eastAsia="en-GB"/>
        </w:rPr>
        <w:t>1</w:t>
      </w:r>
      <w:r w:rsidRPr="0097099A">
        <w:rPr>
          <w:lang w:eastAsia="en-GB"/>
        </w:rPr>
        <w:t>.</w:t>
      </w:r>
      <w:r>
        <w:rPr>
          <w:lang w:eastAsia="en-GB"/>
        </w:rPr>
        <w:t>3</w:t>
      </w:r>
      <w:r w:rsidRPr="0097099A">
        <w:rPr>
          <w:lang w:eastAsia="en-GB"/>
        </w:rPr>
        <w:t xml:space="preserve"> </w:t>
      </w:r>
      <w:r>
        <w:rPr>
          <w:lang w:eastAsia="en-GB"/>
        </w:rPr>
        <w:t>Depreciation</w:t>
      </w:r>
    </w:p>
    <w:p w14:paraId="69CB2484" w14:textId="77777777" w:rsidR="001F3CE0" w:rsidRPr="001F3CE0" w:rsidRDefault="001F3CE0" w:rsidP="006F1659">
      <w:pPr>
        <w:spacing w:line="360" w:lineRule="auto"/>
        <w:rPr>
          <w:lang w:eastAsia="en-GB"/>
        </w:rPr>
      </w:pPr>
    </w:p>
    <w:p w14:paraId="2AEBE55A" w14:textId="59E283A8"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Depreciation is provided on the parts of the highways network infrastructure assets that are subject to deterioration or depletion and by the systematic allocation of their depreciable amounts over their useful lives. Depreciation is charged on a straight-line basis. </w:t>
      </w:r>
    </w:p>
    <w:p w14:paraId="36CA80F1" w14:textId="77777777" w:rsidR="00E85440" w:rsidRPr="00431F6F" w:rsidRDefault="00E85440" w:rsidP="006F1659">
      <w:pPr>
        <w:spacing w:line="360" w:lineRule="auto"/>
        <w:rPr>
          <w:rFonts w:ascii="Arial" w:eastAsiaTheme="minorHAnsi" w:hAnsi="Arial"/>
          <w:lang w:val="en-US" w:eastAsia="en-GB"/>
        </w:rPr>
      </w:pPr>
    </w:p>
    <w:p w14:paraId="11C16FD3" w14:textId="0FD3C97C"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Annual depreciation is the depreciation amount allocated each year and the useful </w:t>
      </w:r>
      <w:r w:rsidR="000B7231" w:rsidRPr="00431F6F">
        <w:rPr>
          <w:rFonts w:ascii="Arial" w:eastAsiaTheme="minorHAnsi" w:hAnsi="Arial"/>
          <w:lang w:val="en-US" w:eastAsia="en-GB"/>
        </w:rPr>
        <w:t>life</w:t>
      </w:r>
      <w:r w:rsidRPr="00431F6F">
        <w:rPr>
          <w:rFonts w:ascii="Arial" w:eastAsiaTheme="minorHAnsi" w:hAnsi="Arial"/>
          <w:lang w:val="en-US" w:eastAsia="en-GB"/>
        </w:rPr>
        <w:t xml:space="preserve"> of a Traffic Signal is estimated to be 11 years.</w:t>
      </w:r>
    </w:p>
    <w:p w14:paraId="22373D4F" w14:textId="2D4765B5" w:rsidR="00E85440" w:rsidRDefault="00E85440" w:rsidP="006F1659">
      <w:pPr>
        <w:spacing w:line="360" w:lineRule="auto"/>
        <w:rPr>
          <w:lang w:eastAsia="en-GB"/>
        </w:rPr>
      </w:pPr>
    </w:p>
    <w:p w14:paraId="6D562EE7" w14:textId="622470EF" w:rsidR="00E85440" w:rsidRDefault="00E85440" w:rsidP="006F1659">
      <w:pPr>
        <w:pStyle w:val="Heading5"/>
        <w:spacing w:line="360" w:lineRule="auto"/>
        <w:rPr>
          <w:lang w:eastAsia="en-GB"/>
        </w:rPr>
      </w:pPr>
      <w:r>
        <w:rPr>
          <w:lang w:eastAsia="en-GB"/>
        </w:rPr>
        <w:t>1</w:t>
      </w:r>
      <w:r w:rsidRPr="0097099A">
        <w:rPr>
          <w:lang w:eastAsia="en-GB"/>
        </w:rPr>
        <w:t>.1</w:t>
      </w:r>
      <w:r w:rsidR="004D275D">
        <w:rPr>
          <w:lang w:eastAsia="en-GB"/>
        </w:rPr>
        <w:t>1</w:t>
      </w:r>
      <w:r w:rsidRPr="0097099A">
        <w:rPr>
          <w:lang w:eastAsia="en-GB"/>
        </w:rPr>
        <w:t>.</w:t>
      </w:r>
      <w:r>
        <w:rPr>
          <w:lang w:eastAsia="en-GB"/>
        </w:rPr>
        <w:t>4</w:t>
      </w:r>
      <w:r w:rsidRPr="0097099A">
        <w:rPr>
          <w:lang w:eastAsia="en-GB"/>
        </w:rPr>
        <w:t xml:space="preserve"> </w:t>
      </w:r>
      <w:r>
        <w:rPr>
          <w:lang w:eastAsia="en-GB"/>
        </w:rPr>
        <w:t>Disposals and derecognition</w:t>
      </w:r>
    </w:p>
    <w:p w14:paraId="3C3D02FC" w14:textId="77777777" w:rsidR="001F3CE0" w:rsidRPr="001F3CE0" w:rsidRDefault="001F3CE0" w:rsidP="006F1659">
      <w:pPr>
        <w:spacing w:line="360" w:lineRule="auto"/>
        <w:rPr>
          <w:lang w:eastAsia="en-GB"/>
        </w:rPr>
      </w:pPr>
    </w:p>
    <w:p w14:paraId="33B8A079" w14:textId="77777777" w:rsidR="00E85440"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When a component of the network is disposed of or decommissioned, the carrying amount of the component in the Balance Sheet is written off to the ‘Other operating expenditure’ line in the Comprehensive Income and Expenditure Statement as part of the gain or loss on disposal. </w:t>
      </w:r>
    </w:p>
    <w:p w14:paraId="4ADAFDD0" w14:textId="77777777" w:rsidR="00BB0191" w:rsidRPr="00431F6F" w:rsidRDefault="00BB0191" w:rsidP="006F1659">
      <w:pPr>
        <w:spacing w:line="360" w:lineRule="auto"/>
        <w:rPr>
          <w:rFonts w:ascii="Arial" w:eastAsiaTheme="minorHAnsi" w:hAnsi="Arial"/>
          <w:lang w:val="en-US" w:eastAsia="en-GB"/>
        </w:rPr>
      </w:pPr>
    </w:p>
    <w:p w14:paraId="4CF121B7" w14:textId="77777777"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Receipts from disposals (if any) are credited to the same line in the Comprehensive Income and Expenditure Statement, also as part of the gain or loss on disposal (i.e. netted off against the carrying value of the asset at the time of disposal). </w:t>
      </w:r>
    </w:p>
    <w:p w14:paraId="59A74890" w14:textId="77777777" w:rsidR="00E85440" w:rsidRPr="004F68FF" w:rsidRDefault="00E85440" w:rsidP="006F1659">
      <w:pPr>
        <w:spacing w:line="360" w:lineRule="auto"/>
        <w:rPr>
          <w:rFonts w:ascii="Arial" w:hAnsi="Arial" w:cs="Arial"/>
        </w:rPr>
      </w:pPr>
    </w:p>
    <w:p w14:paraId="08F02185" w14:textId="41668EA4" w:rsidR="00A0708C" w:rsidRDefault="00E85440" w:rsidP="006F1659">
      <w:pPr>
        <w:pStyle w:val="Heading4bold"/>
        <w:spacing w:line="360" w:lineRule="auto"/>
        <w:rPr>
          <w:rFonts w:eastAsiaTheme="minorHAnsi" w:cs="Times New Roman"/>
          <w:b w:val="0"/>
          <w:bCs w:val="0"/>
          <w:lang w:val="en-US" w:eastAsia="en-GB"/>
        </w:rPr>
      </w:pPr>
      <w:r w:rsidRPr="00A0708C">
        <w:rPr>
          <w:rFonts w:eastAsiaTheme="minorHAnsi" w:cs="Times New Roman"/>
          <w:b w:val="0"/>
          <w:bCs w:val="0"/>
          <w:lang w:val="en-US" w:eastAsia="en-GB"/>
        </w:rPr>
        <w:t>The written-off amounts of disposals are not a charge against the general fund, as the cost of non-current assets are fully provided for under separate arrangements for capital financing. Amounts are transferred to the capital adjustment account from the General Fund Balance in the Movement in Reserves Statement</w:t>
      </w:r>
      <w:r w:rsidR="00BB0191">
        <w:rPr>
          <w:rFonts w:eastAsiaTheme="minorHAnsi" w:cs="Times New Roman"/>
          <w:b w:val="0"/>
          <w:bCs w:val="0"/>
          <w:lang w:val="en-US" w:eastAsia="en-GB"/>
        </w:rPr>
        <w:t>.</w:t>
      </w:r>
    </w:p>
    <w:p w14:paraId="08C04BBA" w14:textId="77777777" w:rsidR="00BB0191" w:rsidRPr="00A0708C" w:rsidRDefault="00BB0191" w:rsidP="006F1659">
      <w:pPr>
        <w:pStyle w:val="Heading4bold"/>
        <w:spacing w:line="360" w:lineRule="auto"/>
        <w:rPr>
          <w:rFonts w:eastAsiaTheme="minorHAnsi" w:cs="Times New Roman"/>
          <w:b w:val="0"/>
          <w:bCs w:val="0"/>
          <w:lang w:val="en-US" w:eastAsia="en-GB"/>
        </w:rPr>
      </w:pPr>
    </w:p>
    <w:p w14:paraId="28CFBD6D" w14:textId="48268604" w:rsidR="00655E4C" w:rsidRPr="0097099A" w:rsidRDefault="00655E4C" w:rsidP="006F1659">
      <w:pPr>
        <w:pStyle w:val="Heading4bold"/>
        <w:spacing w:line="360" w:lineRule="auto"/>
      </w:pPr>
      <w:r w:rsidRPr="0097099A">
        <w:t>1.1</w:t>
      </w:r>
      <w:r w:rsidR="00B006C9">
        <w:t>2</w:t>
      </w:r>
      <w:r w:rsidRPr="0097099A">
        <w:t>. Intangible Assets</w:t>
      </w:r>
    </w:p>
    <w:p w14:paraId="44A2D9DC" w14:textId="77777777" w:rsidR="00655E4C" w:rsidRPr="0097099A" w:rsidRDefault="00655E4C" w:rsidP="006F1659">
      <w:pPr>
        <w:pStyle w:val="Standard"/>
        <w:spacing w:line="360" w:lineRule="auto"/>
      </w:pPr>
      <w:r w:rsidRPr="0097099A">
        <w:t xml:space="preserve">Expenditure on non-monetary assets that do not have physical substance but are controlled by the Authority as a result of past events (e.g. software licences) is </w:t>
      </w:r>
      <w:r w:rsidRPr="0097099A">
        <w:lastRenderedPageBreak/>
        <w:t>capitalised when it is expected that future economic benefits or service potential will flow from the intangible asset to the Authority.</w:t>
      </w:r>
    </w:p>
    <w:p w14:paraId="368CAFE7" w14:textId="77777777" w:rsidR="00655E4C" w:rsidRPr="0097099A" w:rsidRDefault="00655E4C" w:rsidP="006F1659">
      <w:pPr>
        <w:pStyle w:val="Standard"/>
        <w:spacing w:line="360" w:lineRule="auto"/>
      </w:pPr>
    </w:p>
    <w:p w14:paraId="4E4508BC" w14:textId="77777777" w:rsidR="00655E4C" w:rsidRPr="0097099A" w:rsidRDefault="00655E4C" w:rsidP="006F1659">
      <w:pPr>
        <w:pStyle w:val="Standard"/>
        <w:spacing w:line="360" w:lineRule="auto"/>
      </w:pPr>
      <w:r w:rsidRPr="0097099A">
        <w:t>Internally generated assets are capitalised where it is demonstrable that the project is technically feasible and is intended to be completed (with adequate resources being available) and the Authority will be able to generate future economic benefits or deliver service potential by being able to sell or use the asset. Expenditure is capitalised where it can be measured reliably as attributable to the asset and is restricted to that incurred during the development phase (research expenditure cannot be capitalised). Expenditure on the development of websites is not capitalised if the website is solely or primarily intended to promote or advertise the Authority’s goods or services.</w:t>
      </w:r>
    </w:p>
    <w:p w14:paraId="496CE9A4" w14:textId="77777777" w:rsidR="00655E4C" w:rsidRPr="0097099A" w:rsidRDefault="00655E4C" w:rsidP="006F1659">
      <w:pPr>
        <w:pStyle w:val="Standard"/>
        <w:spacing w:line="360" w:lineRule="auto"/>
      </w:pPr>
    </w:p>
    <w:p w14:paraId="6AC78BEA" w14:textId="28937A5F" w:rsidR="00655E4C" w:rsidRPr="0097099A" w:rsidRDefault="00655E4C" w:rsidP="006F1659">
      <w:pPr>
        <w:pStyle w:val="Standard"/>
        <w:spacing w:line="360" w:lineRule="auto"/>
      </w:pPr>
      <w:r w:rsidRPr="0097099A">
        <w:t>Intangible assets are measured initially at cost. Amounts are only revalued where the fair value of the assets held by the Authority can be determined by reference to an active market. In practice, no intangible asset held by the Authority meets this criterion, and they are therefore carried at amortised cost. The depreciable amount of an intangible asset is amortised over its useful life to the relevant area in the Comprehensive Income and Expenditure Statement. An asset is tested for impairment whenever there is an indication that the asset might be impaired – any losses recognised are posted to the relevant area in the Comprehensive Income and Expenditure Statement. Any gain or loss arising on the disposal or abandonment of an intangible asset is posted to the Other Operating Expenditure line in the Comprehensive Income and Expenditure Statement.</w:t>
      </w:r>
    </w:p>
    <w:p w14:paraId="044F6E32" w14:textId="77777777" w:rsidR="00655E4C" w:rsidRPr="0007572B" w:rsidRDefault="00655E4C" w:rsidP="006F1659">
      <w:pPr>
        <w:pStyle w:val="Standard"/>
        <w:spacing w:line="360" w:lineRule="auto"/>
      </w:pPr>
      <w:r w:rsidRPr="0097099A">
        <w:t>Where expenditure on intangible assets qualifies as capital expenditure for statutory purposes, amortisation, impairment losses and disposal gains and losses are not permitted to have an impact on the General Fund Balance. The gains and losses are therefore reversed out of the General Fund Balance in the Movement in Reserves Statement and posted to the Capital Adjustment Account and (for any sale proceeds greater than £10,000) the Capital Receipts Reserve.</w:t>
      </w:r>
    </w:p>
    <w:p w14:paraId="76433413" w14:textId="77777777" w:rsidR="00655E4C" w:rsidRPr="0007572B" w:rsidRDefault="00655E4C" w:rsidP="006F1659">
      <w:pPr>
        <w:spacing w:line="360" w:lineRule="auto"/>
        <w:rPr>
          <w:rFonts w:ascii="Arial" w:eastAsiaTheme="minorHAnsi" w:hAnsi="Arial" w:cs="Arial"/>
          <w:b/>
          <w:bCs/>
          <w:lang w:val="en-US" w:eastAsia="en-GB"/>
        </w:rPr>
      </w:pPr>
    </w:p>
    <w:p w14:paraId="0B31BAC9" w14:textId="722D1EF5" w:rsidR="00655E4C" w:rsidRPr="00EB1AAB" w:rsidRDefault="00655E4C" w:rsidP="006F1659">
      <w:pPr>
        <w:pStyle w:val="Heading4bold"/>
        <w:spacing w:line="360" w:lineRule="auto"/>
        <w:rPr>
          <w:lang w:eastAsia="en-GB"/>
        </w:rPr>
      </w:pPr>
      <w:r w:rsidRPr="00EB1AAB">
        <w:rPr>
          <w:lang w:eastAsia="en-GB"/>
        </w:rPr>
        <w:t>1.1</w:t>
      </w:r>
      <w:r w:rsidR="00E85440">
        <w:rPr>
          <w:lang w:eastAsia="en-GB"/>
        </w:rPr>
        <w:t>3</w:t>
      </w:r>
      <w:r w:rsidRPr="00EB1AAB">
        <w:rPr>
          <w:lang w:eastAsia="en-GB"/>
        </w:rPr>
        <w:t>. Fair Value</w:t>
      </w:r>
    </w:p>
    <w:p w14:paraId="0DD76A7E"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 xml:space="preserve">The Authority measures some of its non-financial assets, such as Investment Properties and Surplus Assets, and some of its financial instruments at fair value at each reporting date, if material. Fair value is the price that would be received to sell an asset or paid to </w:t>
      </w:r>
      <w:r w:rsidRPr="00EB1AAB">
        <w:rPr>
          <w:rFonts w:ascii="Arial" w:eastAsia="Calibri" w:hAnsi="Arial" w:cs="Arial"/>
          <w:bCs/>
          <w:lang w:val="en-US" w:eastAsia="en-GB"/>
        </w:rPr>
        <w:lastRenderedPageBreak/>
        <w:t>transfer a liability in an orderly transaction between market participants at the measurement date. The fair value measurement assumes that the transaction to sell the asset or transfer the liability takes place either:</w:t>
      </w:r>
    </w:p>
    <w:p w14:paraId="1C1D2377"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24E64ED8" w14:textId="77777777" w:rsidR="00655E4C" w:rsidRPr="00EB1AAB" w:rsidRDefault="00655E4C" w:rsidP="006F1659">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In the principal market for the asset; or</w:t>
      </w:r>
    </w:p>
    <w:p w14:paraId="326B7A4E" w14:textId="77777777" w:rsidR="00655E4C" w:rsidRPr="00EB1AAB" w:rsidRDefault="00655E4C" w:rsidP="006F1659">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In the absence of a principal market, in the most advantageous market for the asset.</w:t>
      </w:r>
    </w:p>
    <w:p w14:paraId="603FC0E6" w14:textId="77777777" w:rsidR="00655E4C" w:rsidRPr="00EB1AAB" w:rsidRDefault="00655E4C" w:rsidP="006F1659">
      <w:pPr>
        <w:tabs>
          <w:tab w:val="left" w:pos="9195"/>
        </w:tabs>
        <w:spacing w:after="200" w:line="360" w:lineRule="auto"/>
        <w:ind w:left="780"/>
        <w:contextualSpacing/>
        <w:rPr>
          <w:rFonts w:ascii="Arial" w:hAnsi="Arial" w:cs="Arial"/>
          <w:bCs/>
          <w:lang w:eastAsia="en-GB"/>
        </w:rPr>
      </w:pPr>
    </w:p>
    <w:p w14:paraId="08D82B19"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valuers to provide a valuation of its assets and liabilities in line with the highest and best use definition within the accounting standard. The highest and best use of the asset or liability being valued is considered from the perspective of a market participant in terms of pricing (assuming those market participants were acting in their economic best interest).</w:t>
      </w:r>
    </w:p>
    <w:p w14:paraId="67FA1501"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004A6AD"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When measuring the fair value of a non-financial asset, the Authority takes into account a market participant’s ability to generate economic benefits by using the asset in its highest and best use or by selling it to another market participant that would use the asset in its highest and best use.</w:t>
      </w:r>
    </w:p>
    <w:p w14:paraId="4D7AF01F"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05AB4BA"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Unquoted Equity Investments are recognised on the trade date, i.e. the date the Authority becomes committed to the purchase and would not be able to avoid acquiring it without breaking the contract, rather than the date the settlement takes place, if this is a later date.</w:t>
      </w:r>
    </w:p>
    <w:p w14:paraId="32D3EE48"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769082B"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 xml:space="preserve">If there is no quoted market price for the asset, then a reliable valuation technique should be applied. This could be a discounted cash flow analysis of dividends received or a valuation of the Authority’s share of the company. </w:t>
      </w:r>
    </w:p>
    <w:p w14:paraId="636B0A79"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1C7DAE48"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Where financial liabilities and financial assets are carried in the balance sheet at amortised cost, they are shown below. Their fair value can be assessed by calculating the present value of the cash flows that will take place over the remaining term of the instruments, using the following assumptions:</w:t>
      </w:r>
    </w:p>
    <w:p w14:paraId="1C93D055"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6DAC0DFD" w14:textId="77777777"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lastRenderedPageBreak/>
        <w:t>For loans from the PWLB, new borrowing rates from the PWLB have been applied to provide the fair value;</w:t>
      </w:r>
    </w:p>
    <w:p w14:paraId="7CA19D31" w14:textId="77777777"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For non-PWLB loans payable, prevailing market rates have been applied to provide the fair value;</w:t>
      </w:r>
    </w:p>
    <w:p w14:paraId="5F184B6C" w14:textId="2FAA3835"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The fair value of trade and other receivables and creditors is taken to be the invoiced or billed amount</w:t>
      </w:r>
      <w:r w:rsidR="000407DD">
        <w:rPr>
          <w:rFonts w:ascii="Arial" w:hAnsi="Arial" w:cs="Arial"/>
          <w:bCs/>
          <w:lang w:eastAsia="en-GB"/>
        </w:rPr>
        <w:t>.</w:t>
      </w:r>
    </w:p>
    <w:p w14:paraId="42125A5B" w14:textId="77777777" w:rsidR="00655E4C" w:rsidRPr="00EB1AAB" w:rsidRDefault="00655E4C" w:rsidP="006F1659">
      <w:pPr>
        <w:tabs>
          <w:tab w:val="left" w:pos="9195"/>
        </w:tabs>
        <w:spacing w:line="360" w:lineRule="auto"/>
        <w:ind w:left="495"/>
        <w:rPr>
          <w:rFonts w:ascii="Arial" w:eastAsia="Calibri" w:hAnsi="Arial" w:cs="Arial"/>
          <w:bCs/>
          <w:lang w:val="en-US" w:eastAsia="en-GB"/>
        </w:rPr>
      </w:pPr>
    </w:p>
    <w:p w14:paraId="55213305"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appropriate valuation techniques for each circumstance, maximising the use of relevant known data and minimising the use of estimates or unknowns. This takes into account the three levels of categories for inputs to valuations for fair value assets:</w:t>
      </w:r>
    </w:p>
    <w:p w14:paraId="75AF181C"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593CED72"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1 inputs – quoted prices in active markets for identical assets that the Authority can access at the measurement date;</w:t>
      </w:r>
    </w:p>
    <w:p w14:paraId="116E113F"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2 inputs – inputs other than quoted prices included within Level 1 that are observable for the asset or liability, either directly or indirectly;</w:t>
      </w:r>
    </w:p>
    <w:p w14:paraId="469867C4"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3 inputs – unobservable inputs for the asset or liability where market data is not available.</w:t>
      </w:r>
    </w:p>
    <w:p w14:paraId="5FD1A7C9" w14:textId="77777777" w:rsidR="00655E4C" w:rsidRPr="0007572B" w:rsidRDefault="00655E4C" w:rsidP="006F1659">
      <w:pPr>
        <w:pStyle w:val="Normal0"/>
        <w:spacing w:line="360" w:lineRule="auto"/>
        <w:rPr>
          <w:rFonts w:ascii="Arial" w:hAnsi="Arial" w:cs="Arial"/>
          <w:b/>
          <w:bCs/>
          <w:sz w:val="24"/>
          <w:szCs w:val="24"/>
          <w:lang w:eastAsia="en-GB"/>
        </w:rPr>
      </w:pPr>
    </w:p>
    <w:p w14:paraId="091EC535" w14:textId="48098EBF" w:rsidR="00655E4C" w:rsidRPr="0007572B" w:rsidRDefault="00655E4C" w:rsidP="006F1659">
      <w:pPr>
        <w:pStyle w:val="Heading4bold"/>
        <w:spacing w:line="360" w:lineRule="auto"/>
        <w:rPr>
          <w:lang w:eastAsia="en-GB"/>
        </w:rPr>
      </w:pPr>
      <w:r w:rsidRPr="0007572B">
        <w:rPr>
          <w:lang w:eastAsia="en-GB"/>
        </w:rPr>
        <w:t>1.1</w:t>
      </w:r>
      <w:r w:rsidR="00E85440">
        <w:rPr>
          <w:lang w:eastAsia="en-GB"/>
        </w:rPr>
        <w:t>4</w:t>
      </w:r>
      <w:r w:rsidRPr="0007572B">
        <w:rPr>
          <w:lang w:eastAsia="en-GB"/>
        </w:rPr>
        <w:t>. Revenue Expenditure Funded by Capital Under Statute</w:t>
      </w:r>
    </w:p>
    <w:p w14:paraId="7C80270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Revenue Expenditure Funded by Capital under Statute (REFCUS) is expenditure of a capital nature that does not result in the creation of a non-current asset on the Balance Sheet. Expenditure is charged to the Deficit / (Surplus) on the Provision of Services as the expenditure is incurred. This is reversed out through the Movement in Reserves Statement and a transfer made to the Capital Adjustment Account.</w:t>
      </w:r>
    </w:p>
    <w:p w14:paraId="5B66B1F4" w14:textId="77777777" w:rsidR="00655E4C" w:rsidRPr="0007572B" w:rsidRDefault="00655E4C" w:rsidP="00BB0191">
      <w:pPr>
        <w:pStyle w:val="Normal0"/>
        <w:spacing w:after="240" w:line="360" w:lineRule="auto"/>
        <w:rPr>
          <w:rFonts w:ascii="Arial" w:hAnsi="Arial" w:cs="Arial"/>
          <w:b/>
          <w:bCs/>
          <w:sz w:val="24"/>
          <w:szCs w:val="24"/>
          <w:lang w:eastAsia="en-GB"/>
        </w:rPr>
      </w:pPr>
    </w:p>
    <w:p w14:paraId="0DC5B948" w14:textId="31B6106D" w:rsidR="00655E4C" w:rsidRPr="0080779E" w:rsidRDefault="00655E4C" w:rsidP="006F1659">
      <w:pPr>
        <w:pStyle w:val="Heading4bold"/>
        <w:spacing w:line="360" w:lineRule="auto"/>
        <w:rPr>
          <w:lang w:eastAsia="en-GB"/>
        </w:rPr>
      </w:pPr>
      <w:r w:rsidRPr="0080779E">
        <w:rPr>
          <w:lang w:eastAsia="en-GB"/>
        </w:rPr>
        <w:t>1.1</w:t>
      </w:r>
      <w:r w:rsidR="00E85440">
        <w:rPr>
          <w:lang w:eastAsia="en-GB"/>
        </w:rPr>
        <w:t>5</w:t>
      </w:r>
      <w:r w:rsidRPr="0080779E">
        <w:rPr>
          <w:lang w:eastAsia="en-GB"/>
        </w:rPr>
        <w:t>. Minimum Revenue Provision</w:t>
      </w:r>
    </w:p>
    <w:p w14:paraId="7561B840" w14:textId="77777777" w:rsidR="00655E4C" w:rsidRPr="0080779E" w:rsidRDefault="00655E4C" w:rsidP="006F1659">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 xml:space="preserve">The Authority is required to make a provision for the repayment of an element of the accumulated capital expenditure each year, financed by borrowing, through a revenue charge, in accordance with the Minimum Revenue Provision (MRP) requirements. Regulations have replaced the detailed formula for calculating MRP with a requirement </w:t>
      </w:r>
      <w:r w:rsidRPr="0080779E">
        <w:rPr>
          <w:rFonts w:ascii="Arial" w:hAnsi="Arial" w:cs="Arial"/>
          <w:bCs/>
          <w:sz w:val="24"/>
          <w:szCs w:val="24"/>
          <w:lang w:eastAsia="en-GB"/>
        </w:rPr>
        <w:lastRenderedPageBreak/>
        <w:t>to be prudent. The MRP policy is included within the annual Treasury Management Strategy agreed by the Authority, which details the guidance and options for the basis of the provision. The GMCA has adopted the following policy:</w:t>
      </w:r>
    </w:p>
    <w:p w14:paraId="40E658D3" w14:textId="77777777" w:rsidR="00655E4C" w:rsidRPr="0080779E" w:rsidRDefault="00655E4C" w:rsidP="006F1659">
      <w:pPr>
        <w:pStyle w:val="Normal0"/>
        <w:spacing w:line="360" w:lineRule="auto"/>
        <w:rPr>
          <w:rFonts w:ascii="Arial" w:hAnsi="Arial" w:cs="Arial"/>
          <w:bCs/>
          <w:sz w:val="24"/>
          <w:szCs w:val="24"/>
          <w:lang w:eastAsia="en-GB"/>
        </w:rPr>
      </w:pPr>
    </w:p>
    <w:p w14:paraId="5FEA6DF1" w14:textId="63BB35A2"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For capital expenditure incurred before 1 April 2008 or which in the future will be Supported Capital Expenditure, MRP will be calculated using an Asset Life annuity basis over 50 years</w:t>
      </w:r>
      <w:r w:rsidR="000A6E69">
        <w:rPr>
          <w:rFonts w:ascii="Arial" w:hAnsi="Arial" w:cs="Arial"/>
        </w:rPr>
        <w:t>;</w:t>
      </w:r>
    </w:p>
    <w:p w14:paraId="3F88A7D8" w14:textId="098D1475"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For capital expenditure incurred from 1 April 2008 for all unsupported borrowing (including PFI and finance leases), MRP will be calculated on an Asset Life annuity basis. The interest rate applied will be linked to PWLB interest rates and the useful life of the asset</w:t>
      </w:r>
      <w:r w:rsidR="000A6E69">
        <w:rPr>
          <w:rFonts w:ascii="Arial" w:hAnsi="Arial" w:cs="Arial"/>
        </w:rPr>
        <w:t>;</w:t>
      </w:r>
    </w:p>
    <w:p w14:paraId="789BD585" w14:textId="77777777"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MRP will generally commence in the financial year following the one in which the expenditure was incurred. However, for long life assets, the Authority will postpone the commencement of MRP until the financial year following the one in which the asset becomes operational.</w:t>
      </w:r>
    </w:p>
    <w:p w14:paraId="0D5B372C" w14:textId="3CCA6188" w:rsidR="00655E4C" w:rsidRDefault="00655E4C" w:rsidP="006F1659">
      <w:pPr>
        <w:spacing w:line="360" w:lineRule="auto"/>
        <w:rPr>
          <w:rFonts w:ascii="Arial" w:hAnsi="Arial" w:cs="Arial"/>
          <w:b/>
          <w:bCs/>
          <w:lang w:eastAsia="en-GB"/>
        </w:rPr>
      </w:pPr>
    </w:p>
    <w:p w14:paraId="3B0C8223" w14:textId="77777777" w:rsidR="007E4DDF" w:rsidRDefault="007E4DDF" w:rsidP="006F1659">
      <w:pPr>
        <w:spacing w:line="360" w:lineRule="auto"/>
        <w:rPr>
          <w:rFonts w:ascii="Arial" w:hAnsi="Arial" w:cs="Arial"/>
          <w:b/>
          <w:bCs/>
          <w:lang w:eastAsia="en-GB"/>
        </w:rPr>
      </w:pPr>
    </w:p>
    <w:p w14:paraId="2A177E94" w14:textId="10E3827E" w:rsidR="00655E4C" w:rsidRPr="00BB0191" w:rsidRDefault="00655E4C" w:rsidP="00BB0191">
      <w:pPr>
        <w:pStyle w:val="Heading4bold"/>
        <w:spacing w:line="360" w:lineRule="auto"/>
        <w:rPr>
          <w:lang w:eastAsia="en-GB"/>
        </w:rPr>
      </w:pPr>
      <w:r w:rsidRPr="0007572B">
        <w:rPr>
          <w:lang w:eastAsia="en-GB"/>
        </w:rPr>
        <w:t>1.1</w:t>
      </w:r>
      <w:r w:rsidR="00E85440">
        <w:rPr>
          <w:lang w:eastAsia="en-GB"/>
        </w:rPr>
        <w:t>6</w:t>
      </w:r>
      <w:r w:rsidRPr="0007572B">
        <w:rPr>
          <w:lang w:eastAsia="en-GB"/>
        </w:rPr>
        <w:t>. Capital and Revenue Grants and Contributions</w:t>
      </w:r>
    </w:p>
    <w:p w14:paraId="625FB33A" w14:textId="0433DAFB" w:rsidR="00655E4C" w:rsidRPr="0007572B" w:rsidRDefault="00655E4C" w:rsidP="006F1659">
      <w:pPr>
        <w:pStyle w:val="Heading5"/>
        <w:spacing w:line="360" w:lineRule="auto"/>
        <w:rPr>
          <w:lang w:eastAsia="en-GB"/>
        </w:rPr>
      </w:pPr>
      <w:r w:rsidRPr="0007572B">
        <w:rPr>
          <w:lang w:eastAsia="en-GB"/>
        </w:rPr>
        <w:t>1.1</w:t>
      </w:r>
      <w:r w:rsidR="00E85440">
        <w:rPr>
          <w:lang w:eastAsia="en-GB"/>
        </w:rPr>
        <w:t>6</w:t>
      </w:r>
      <w:r w:rsidRPr="0007572B">
        <w:rPr>
          <w:lang w:eastAsia="en-GB"/>
        </w:rPr>
        <w:t>.1. Revenue Grants and Contributions</w:t>
      </w:r>
    </w:p>
    <w:p w14:paraId="0C6BB282" w14:textId="77777777" w:rsidR="00655E4C" w:rsidRPr="0007572B" w:rsidRDefault="00655E4C" w:rsidP="006F1659">
      <w:pPr>
        <w:pStyle w:val="Normal0"/>
        <w:spacing w:line="360" w:lineRule="auto"/>
        <w:rPr>
          <w:rFonts w:ascii="Arial" w:hAnsi="Arial" w:cs="Arial"/>
          <w:bCs/>
          <w:sz w:val="24"/>
          <w:szCs w:val="24"/>
          <w:u w:val="single"/>
          <w:lang w:eastAsia="en-GB"/>
        </w:rPr>
      </w:pPr>
    </w:p>
    <w:p w14:paraId="1AABD110"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grants and contributions received by the Authority can either be classified as non-specific for general purposes or specific for use in relation to a service and/or function. Where conditions have been met, specific revenue grants and contributions are credited to the relevant service line within Cost of Services; non-specific grants are credited to Taxation and Non-Specific Grant Income. </w:t>
      </w:r>
    </w:p>
    <w:p w14:paraId="4C801041" w14:textId="77777777" w:rsidR="00655E4C" w:rsidRPr="0007572B" w:rsidRDefault="00655E4C" w:rsidP="006F1659">
      <w:pPr>
        <w:pStyle w:val="Normal0"/>
        <w:spacing w:line="360" w:lineRule="auto"/>
        <w:rPr>
          <w:rFonts w:ascii="Arial" w:hAnsi="Arial" w:cs="Arial"/>
          <w:bCs/>
          <w:sz w:val="24"/>
          <w:szCs w:val="24"/>
          <w:lang w:eastAsia="en-GB"/>
        </w:rPr>
      </w:pPr>
    </w:p>
    <w:p w14:paraId="67FC655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the expenditure relating to specific grants has not been incurred, the Authority has elected to make a contribution equivalent to the unspent amount of grant to an earmarked reserve. This reserve will be released in future financial years when the expenditure to which the grant relates is incurred.</w:t>
      </w:r>
    </w:p>
    <w:p w14:paraId="58C9226F" w14:textId="77777777" w:rsidR="00655E4C" w:rsidRPr="0007572B" w:rsidRDefault="00655E4C" w:rsidP="006F1659">
      <w:pPr>
        <w:pStyle w:val="Normal0"/>
        <w:spacing w:line="360" w:lineRule="auto"/>
        <w:rPr>
          <w:rFonts w:ascii="Arial" w:hAnsi="Arial" w:cs="Arial"/>
          <w:bCs/>
          <w:sz w:val="24"/>
          <w:szCs w:val="24"/>
          <w:lang w:eastAsia="en-GB"/>
        </w:rPr>
      </w:pPr>
    </w:p>
    <w:p w14:paraId="373AD604"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Monies advanced as grants and contributions for which conditions have not been satisfied are carried in the Balance Sheet as receipts in advance. 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p>
    <w:p w14:paraId="67311B30" w14:textId="77777777" w:rsidR="00655E4C" w:rsidRPr="0007572B" w:rsidRDefault="00655E4C" w:rsidP="00BB0191">
      <w:pPr>
        <w:pStyle w:val="Normal0"/>
        <w:spacing w:after="240" w:line="360" w:lineRule="auto"/>
        <w:rPr>
          <w:rFonts w:ascii="Arial" w:hAnsi="Arial" w:cs="Arial"/>
          <w:bCs/>
          <w:sz w:val="24"/>
          <w:szCs w:val="24"/>
          <w:lang w:eastAsia="en-GB"/>
        </w:rPr>
      </w:pPr>
    </w:p>
    <w:p w14:paraId="61ECE211" w14:textId="546488F4" w:rsidR="00655E4C" w:rsidRPr="00636E1B" w:rsidRDefault="00655E4C" w:rsidP="006F1659">
      <w:pPr>
        <w:pStyle w:val="Heading5"/>
        <w:spacing w:line="360" w:lineRule="auto"/>
        <w:rPr>
          <w:lang w:eastAsia="en-GB"/>
        </w:rPr>
      </w:pPr>
      <w:r w:rsidRPr="00636E1B">
        <w:rPr>
          <w:lang w:eastAsia="en-GB"/>
        </w:rPr>
        <w:t>1.1</w:t>
      </w:r>
      <w:r w:rsidR="00E85440">
        <w:rPr>
          <w:lang w:eastAsia="en-GB"/>
        </w:rPr>
        <w:t>6</w:t>
      </w:r>
      <w:r w:rsidRPr="00636E1B">
        <w:rPr>
          <w:lang w:eastAsia="en-GB"/>
        </w:rPr>
        <w:t>.2. Capital Grants and Contributions</w:t>
      </w:r>
    </w:p>
    <w:p w14:paraId="57A99A04" w14:textId="77777777" w:rsidR="00655E4C" w:rsidRPr="00636E1B" w:rsidRDefault="00655E4C" w:rsidP="006F1659">
      <w:pPr>
        <w:pStyle w:val="Normal0"/>
        <w:spacing w:line="360" w:lineRule="auto"/>
        <w:rPr>
          <w:rFonts w:ascii="Arial" w:hAnsi="Arial" w:cs="Arial"/>
          <w:b/>
          <w:bCs/>
          <w:sz w:val="24"/>
          <w:szCs w:val="24"/>
          <w:lang w:eastAsia="en-GB"/>
        </w:rPr>
      </w:pPr>
    </w:p>
    <w:p w14:paraId="20865E40" w14:textId="77777777" w:rsidR="00655E4C" w:rsidRPr="00636E1B" w:rsidRDefault="00655E4C" w:rsidP="006F1659">
      <w:pPr>
        <w:pStyle w:val="Normal0"/>
        <w:spacing w:line="360" w:lineRule="auto"/>
        <w:rPr>
          <w:rFonts w:ascii="Arial" w:hAnsi="Arial" w:cs="Arial"/>
          <w:bCs/>
          <w:sz w:val="24"/>
          <w:szCs w:val="24"/>
          <w:lang w:eastAsia="en-GB"/>
        </w:rPr>
      </w:pPr>
      <w:r w:rsidRPr="00636E1B">
        <w:rPr>
          <w:rFonts w:ascii="Arial" w:hAnsi="Arial" w:cs="Arial"/>
          <w:bCs/>
          <w:sz w:val="24"/>
          <w:szCs w:val="24"/>
          <w:lang w:eastAsia="en-GB"/>
        </w:rPr>
        <w:t>Where conditions have been met, capital grants and contributions are credited to Taxation and Non-Specific Grant Income in the Comprehensive Income and Expenditure Statement. The balance of the grant or contribution that has not been used to finance expenditure is transferred to the Capital Grants Unapplied Account via the Movement in Reserves Statement. The amount of grant or contribution that has been used to finance expenditure is transferred to the Capital Adjustment Account via the Movement in Reserves Statement. Amounts in the Capital Grants Unapplied Account are transferred to the Capital Adjustment Account when they have been applied to fund capital expenditure.</w:t>
      </w:r>
    </w:p>
    <w:p w14:paraId="5DDA8C13" w14:textId="77777777" w:rsidR="00655E4C" w:rsidRPr="00EE5700" w:rsidRDefault="00655E4C" w:rsidP="00BB0191">
      <w:pPr>
        <w:pStyle w:val="Normal0"/>
        <w:spacing w:after="240" w:line="360" w:lineRule="auto"/>
        <w:rPr>
          <w:rFonts w:ascii="Arial" w:hAnsi="Arial" w:cs="Arial"/>
          <w:bCs/>
          <w:sz w:val="24"/>
          <w:szCs w:val="24"/>
          <w:highlight w:val="yellow"/>
          <w:lang w:eastAsia="en-GB"/>
        </w:rPr>
      </w:pPr>
    </w:p>
    <w:p w14:paraId="243C920A" w14:textId="2FE6D434" w:rsidR="00655E4C" w:rsidRPr="0080779E" w:rsidRDefault="00655E4C" w:rsidP="006F1659">
      <w:pPr>
        <w:pStyle w:val="Heading5"/>
        <w:spacing w:line="360" w:lineRule="auto"/>
        <w:rPr>
          <w:lang w:eastAsia="en-GB"/>
        </w:rPr>
      </w:pPr>
      <w:r w:rsidRPr="0080779E">
        <w:rPr>
          <w:lang w:eastAsia="en-GB"/>
        </w:rPr>
        <w:t>1.1</w:t>
      </w:r>
      <w:r w:rsidR="00E85440">
        <w:rPr>
          <w:lang w:eastAsia="en-GB"/>
        </w:rPr>
        <w:t>6</w:t>
      </w:r>
      <w:r w:rsidRPr="0080779E">
        <w:rPr>
          <w:lang w:eastAsia="en-GB"/>
        </w:rPr>
        <w:t>.3. Grants and Contributions relating to Revenue Expenditure funded by Capital under Statute (REFCUS)</w:t>
      </w:r>
    </w:p>
    <w:p w14:paraId="42BB5B01" w14:textId="77777777" w:rsidR="00655E4C" w:rsidRPr="0080779E" w:rsidRDefault="00655E4C" w:rsidP="006F1659">
      <w:pPr>
        <w:pStyle w:val="Normal0"/>
        <w:spacing w:line="360" w:lineRule="auto"/>
        <w:rPr>
          <w:rFonts w:ascii="Arial" w:hAnsi="Arial" w:cs="Arial"/>
          <w:b/>
          <w:bCs/>
          <w:sz w:val="24"/>
          <w:szCs w:val="24"/>
          <w:lang w:eastAsia="en-GB"/>
        </w:rPr>
      </w:pPr>
    </w:p>
    <w:p w14:paraId="289F193F" w14:textId="6A46EBA1" w:rsidR="00655E4C" w:rsidRPr="0080779E" w:rsidRDefault="00655E4C" w:rsidP="006F1659">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 xml:space="preserve">Where conditions have been met, grants and contributions to fund expenditure not attributable to assets owned by the Authority (Revenue Expenditure Funded by Capital Under Statute) are credited to the non-specific income line within the Cost of Services. They are then transferred to the Capital Adjustment Account when the related expenditure has been incurred via the Movement in Reserves Statement. If the grant is not </w:t>
      </w:r>
      <w:r w:rsidR="00203B09" w:rsidRPr="0080779E">
        <w:rPr>
          <w:rFonts w:ascii="Arial" w:hAnsi="Arial" w:cs="Arial"/>
          <w:bCs/>
          <w:sz w:val="24"/>
          <w:szCs w:val="24"/>
          <w:lang w:eastAsia="en-GB"/>
        </w:rPr>
        <w:t>spent,</w:t>
      </w:r>
      <w:r w:rsidRPr="0080779E">
        <w:rPr>
          <w:rFonts w:ascii="Arial" w:hAnsi="Arial" w:cs="Arial"/>
          <w:bCs/>
          <w:sz w:val="24"/>
          <w:szCs w:val="24"/>
          <w:lang w:eastAsia="en-GB"/>
        </w:rPr>
        <w:t xml:space="preserve"> it goes to the Capital Grants Unapplied Reserve via the Movement in Reserves Statement. When spent, it is transferred from the Capital Grants Unapplied Reserve to the Capital Adjustment Account.</w:t>
      </w:r>
    </w:p>
    <w:p w14:paraId="7A983E3B" w14:textId="77777777" w:rsidR="00655E4C" w:rsidRPr="0007572B" w:rsidRDefault="00655E4C" w:rsidP="006F1659">
      <w:pPr>
        <w:spacing w:line="360" w:lineRule="auto"/>
        <w:rPr>
          <w:rFonts w:ascii="Arial" w:hAnsi="Arial" w:cs="Arial"/>
          <w:bCs/>
          <w:color w:val="000000"/>
          <w:lang w:val="en-US" w:eastAsia="en-GB"/>
        </w:rPr>
      </w:pPr>
    </w:p>
    <w:p w14:paraId="79137EE2" w14:textId="77777777" w:rsidR="00A506A6" w:rsidRDefault="00A506A6" w:rsidP="006F1659">
      <w:pPr>
        <w:spacing w:line="360" w:lineRule="auto"/>
        <w:rPr>
          <w:rFonts w:ascii="Arial" w:hAnsi="Arial" w:cs="Arial"/>
          <w:b/>
          <w:bCs/>
          <w:lang w:eastAsia="en-GB"/>
        </w:rPr>
      </w:pPr>
      <w:r>
        <w:rPr>
          <w:lang w:eastAsia="en-GB"/>
        </w:rPr>
        <w:br w:type="page"/>
      </w:r>
    </w:p>
    <w:p w14:paraId="3D984E0D" w14:textId="4567A762" w:rsidR="00655E4C" w:rsidRPr="0007572B" w:rsidRDefault="00655E4C" w:rsidP="006F1659">
      <w:pPr>
        <w:pStyle w:val="Heading4bold"/>
        <w:spacing w:line="360" w:lineRule="auto"/>
        <w:rPr>
          <w:lang w:eastAsia="en-GB"/>
        </w:rPr>
      </w:pPr>
      <w:r w:rsidRPr="0007572B">
        <w:rPr>
          <w:lang w:eastAsia="en-GB"/>
        </w:rPr>
        <w:lastRenderedPageBreak/>
        <w:t>1.1</w:t>
      </w:r>
      <w:r w:rsidR="00E85440">
        <w:rPr>
          <w:lang w:eastAsia="en-GB"/>
        </w:rPr>
        <w:t>7</w:t>
      </w:r>
      <w:r w:rsidRPr="0007572B">
        <w:rPr>
          <w:lang w:eastAsia="en-GB"/>
        </w:rPr>
        <w:t>. Local Taxation</w:t>
      </w:r>
    </w:p>
    <w:p w14:paraId="16F722DD" w14:textId="348D21EF" w:rsidR="00655E4C" w:rsidRPr="0007572B" w:rsidRDefault="00655E4C" w:rsidP="006F1659">
      <w:pPr>
        <w:pStyle w:val="Heading5"/>
        <w:spacing w:line="360" w:lineRule="auto"/>
        <w:rPr>
          <w:lang w:eastAsia="en-GB"/>
        </w:rPr>
      </w:pPr>
      <w:r w:rsidRPr="0007572B">
        <w:rPr>
          <w:lang w:eastAsia="en-GB"/>
        </w:rPr>
        <w:t>1.1</w:t>
      </w:r>
      <w:r w:rsidR="00E85440">
        <w:rPr>
          <w:lang w:eastAsia="en-GB"/>
        </w:rPr>
        <w:t>7</w:t>
      </w:r>
      <w:r w:rsidRPr="0007572B">
        <w:rPr>
          <w:lang w:eastAsia="en-GB"/>
        </w:rPr>
        <w:t>.1. Council Tax</w:t>
      </w:r>
    </w:p>
    <w:p w14:paraId="22013F78" w14:textId="77777777" w:rsidR="00655E4C" w:rsidRPr="0007572B" w:rsidRDefault="00655E4C" w:rsidP="006F1659">
      <w:pPr>
        <w:pStyle w:val="Normal0"/>
        <w:spacing w:line="360" w:lineRule="auto"/>
        <w:rPr>
          <w:rFonts w:ascii="Arial" w:hAnsi="Arial" w:cs="Arial"/>
          <w:b/>
          <w:bCs/>
          <w:sz w:val="24"/>
          <w:szCs w:val="24"/>
          <w:lang w:eastAsia="en-GB"/>
        </w:rPr>
      </w:pPr>
    </w:p>
    <w:p w14:paraId="24ECA780"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Following the abolishment of GM Fire and Rescue Authority and GM Office for the Police and Crime Commissioner, the Mayor now collects funds via the Mayoral General Fund and the Mayoral Police Fund respectively.</w:t>
      </w:r>
    </w:p>
    <w:p w14:paraId="25E2A93A" w14:textId="77777777" w:rsidR="00655E4C" w:rsidRPr="0007572B" w:rsidRDefault="00655E4C" w:rsidP="006F1659">
      <w:pPr>
        <w:pStyle w:val="Normal0"/>
        <w:spacing w:line="360" w:lineRule="auto"/>
        <w:rPr>
          <w:rFonts w:ascii="Arial" w:hAnsi="Arial" w:cs="Arial"/>
          <w:bCs/>
          <w:sz w:val="24"/>
          <w:szCs w:val="24"/>
          <w:lang w:eastAsia="en-GB"/>
        </w:rPr>
      </w:pPr>
    </w:p>
    <w:p w14:paraId="0382D3BE" w14:textId="255BA4AB"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their capacity as billing authorities the </w:t>
      </w:r>
      <w:r w:rsidR="00336C9F">
        <w:rPr>
          <w:rFonts w:ascii="Arial" w:hAnsi="Arial" w:cs="Arial"/>
          <w:bCs/>
          <w:sz w:val="24"/>
          <w:szCs w:val="24"/>
          <w:lang w:eastAsia="en-GB"/>
        </w:rPr>
        <w:t>ten</w:t>
      </w:r>
      <w:r w:rsidRPr="0007572B">
        <w:rPr>
          <w:rFonts w:ascii="Arial" w:hAnsi="Arial" w:cs="Arial"/>
          <w:bCs/>
          <w:sz w:val="24"/>
          <w:szCs w:val="24"/>
          <w:lang w:eastAsia="en-GB"/>
        </w:rPr>
        <w:t xml:space="preserve"> GM Authorities act as agents: they collect and distribute council tax income on behalf of the major preceptors and themselves. The cash collected by the billing authorities from council tax debtors belongs proportionately to the billing authorities and the major preceptors. There will therefore be a debtor/creditor position between the billing authorities and GMCA to be recognised since the net cash paid to GMCA in the year will not be its share of cash collected from council taxpayers. </w:t>
      </w:r>
    </w:p>
    <w:p w14:paraId="4D01BFF1" w14:textId="77777777" w:rsidR="00655E4C" w:rsidRPr="0007572B" w:rsidRDefault="00655E4C" w:rsidP="00BB0191">
      <w:pPr>
        <w:pStyle w:val="Normal0"/>
        <w:spacing w:after="240" w:line="360" w:lineRule="auto"/>
        <w:rPr>
          <w:rFonts w:ascii="Arial" w:hAnsi="Arial" w:cs="Arial"/>
          <w:bCs/>
          <w:sz w:val="24"/>
          <w:szCs w:val="24"/>
          <w:lang w:eastAsia="en-GB"/>
        </w:rPr>
      </w:pPr>
    </w:p>
    <w:p w14:paraId="572D68ED" w14:textId="47C8FB9A" w:rsidR="00655E4C" w:rsidRPr="0007572B" w:rsidRDefault="00655E4C" w:rsidP="006F1659">
      <w:pPr>
        <w:pStyle w:val="Heading5"/>
        <w:spacing w:line="360" w:lineRule="auto"/>
        <w:rPr>
          <w:lang w:eastAsia="en-GB"/>
        </w:rPr>
      </w:pPr>
      <w:r w:rsidRPr="0007572B">
        <w:rPr>
          <w:lang w:eastAsia="en-GB"/>
        </w:rPr>
        <w:t>1.1</w:t>
      </w:r>
      <w:r w:rsidR="00E85440">
        <w:rPr>
          <w:lang w:eastAsia="en-GB"/>
        </w:rPr>
        <w:t>7</w:t>
      </w:r>
      <w:r w:rsidRPr="0007572B">
        <w:rPr>
          <w:lang w:eastAsia="en-GB"/>
        </w:rPr>
        <w:t xml:space="preserve">.2. </w:t>
      </w:r>
      <w:r>
        <w:rPr>
          <w:lang w:eastAsia="en-GB"/>
        </w:rPr>
        <w:t>Business Rates</w:t>
      </w:r>
    </w:p>
    <w:p w14:paraId="041F26EA" w14:textId="77777777" w:rsidR="00655E4C" w:rsidRPr="0007572B" w:rsidRDefault="00655E4C" w:rsidP="006F1659">
      <w:pPr>
        <w:pStyle w:val="Normal0"/>
        <w:spacing w:line="360" w:lineRule="auto"/>
        <w:rPr>
          <w:rFonts w:ascii="Arial" w:hAnsi="Arial" w:cs="Arial"/>
          <w:b/>
          <w:bCs/>
          <w:sz w:val="24"/>
          <w:szCs w:val="24"/>
          <w:lang w:eastAsia="en-GB"/>
        </w:rPr>
      </w:pPr>
    </w:p>
    <w:p w14:paraId="3A24982E" w14:textId="046927B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From 1 April 2013 the </w:t>
      </w:r>
      <w:r w:rsidR="00336C9F">
        <w:rPr>
          <w:rFonts w:ascii="Arial" w:hAnsi="Arial" w:cs="Arial"/>
          <w:bCs/>
          <w:sz w:val="24"/>
          <w:szCs w:val="24"/>
          <w:lang w:eastAsia="en-GB"/>
        </w:rPr>
        <w:t>ten</w:t>
      </w:r>
      <w:r w:rsidRPr="0007572B">
        <w:rPr>
          <w:rFonts w:ascii="Arial" w:hAnsi="Arial" w:cs="Arial"/>
          <w:bCs/>
          <w:sz w:val="24"/>
          <w:szCs w:val="24"/>
          <w:lang w:eastAsia="en-GB"/>
        </w:rPr>
        <w:t xml:space="preserve"> GM Authorities as billing authorities of Greater Manchester have acted as agents; they have collected </w:t>
      </w:r>
      <w:r>
        <w:rPr>
          <w:rFonts w:ascii="Arial" w:hAnsi="Arial" w:cs="Arial"/>
          <w:bCs/>
          <w:sz w:val="24"/>
          <w:szCs w:val="24"/>
          <w:lang w:eastAsia="en-GB"/>
        </w:rPr>
        <w:t>business rates</w:t>
      </w:r>
      <w:r w:rsidRPr="0007572B">
        <w:rPr>
          <w:rFonts w:ascii="Arial" w:hAnsi="Arial" w:cs="Arial"/>
          <w:bCs/>
          <w:sz w:val="24"/>
          <w:szCs w:val="24"/>
          <w:lang w:eastAsia="en-GB"/>
        </w:rPr>
        <w:t xml:space="preserve"> income on behalf of Central Government, the GMCA and themselves.</w:t>
      </w:r>
    </w:p>
    <w:p w14:paraId="28EEE6E4" w14:textId="77777777" w:rsidR="00655E4C" w:rsidRPr="0007572B" w:rsidRDefault="00655E4C" w:rsidP="006F1659">
      <w:pPr>
        <w:pStyle w:val="Normal0"/>
        <w:spacing w:line="360" w:lineRule="auto"/>
        <w:rPr>
          <w:rFonts w:ascii="Arial" w:hAnsi="Arial" w:cs="Arial"/>
          <w:bCs/>
          <w:sz w:val="24"/>
          <w:szCs w:val="24"/>
          <w:lang w:eastAsia="en-GB"/>
        </w:rPr>
      </w:pPr>
    </w:p>
    <w:p w14:paraId="701C8BEC"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w:t>
      </w:r>
      <w:r>
        <w:rPr>
          <w:rFonts w:ascii="Arial" w:hAnsi="Arial" w:cs="Arial"/>
          <w:bCs/>
          <w:sz w:val="24"/>
          <w:szCs w:val="24"/>
          <w:lang w:eastAsia="en-GB"/>
        </w:rPr>
        <w:t>business rates</w:t>
      </w:r>
      <w:r w:rsidRPr="0007572B">
        <w:rPr>
          <w:rFonts w:ascii="Arial" w:hAnsi="Arial" w:cs="Arial"/>
          <w:bCs/>
          <w:sz w:val="24"/>
          <w:szCs w:val="24"/>
          <w:lang w:eastAsia="en-GB"/>
        </w:rPr>
        <w:t xml:space="preserve"> income distributed to each of the parties is the amount after deducting an allowance for the GM Authorities’ cost of collection. The </w:t>
      </w:r>
      <w:r>
        <w:rPr>
          <w:rFonts w:ascii="Arial" w:hAnsi="Arial" w:cs="Arial"/>
          <w:bCs/>
          <w:sz w:val="24"/>
          <w:szCs w:val="24"/>
          <w:lang w:eastAsia="en-GB"/>
        </w:rPr>
        <w:t>business rates</w:t>
      </w:r>
      <w:r w:rsidRPr="0007572B">
        <w:rPr>
          <w:rFonts w:ascii="Arial" w:hAnsi="Arial" w:cs="Arial"/>
          <w:bCs/>
          <w:sz w:val="24"/>
          <w:szCs w:val="24"/>
          <w:lang w:eastAsia="en-GB"/>
        </w:rPr>
        <w:t xml:space="preserve"> cash collected by the billing authorities through the national scheme belongs proportionately to Central Government, the GM Authorities and GMCA; there will therefore be a debtor/creditor position between these parties to be recognised since the net cash paid in the year to each party will not be their share of the cash collected from business ratepayers.</w:t>
      </w:r>
    </w:p>
    <w:p w14:paraId="1230C76F" w14:textId="77777777" w:rsidR="00655E4C" w:rsidRPr="0007572B" w:rsidRDefault="00655E4C" w:rsidP="006F1659">
      <w:pPr>
        <w:pStyle w:val="Normal0"/>
        <w:spacing w:line="360" w:lineRule="auto"/>
        <w:rPr>
          <w:rFonts w:ascii="Arial" w:hAnsi="Arial" w:cs="Arial"/>
          <w:bCs/>
          <w:sz w:val="24"/>
          <w:szCs w:val="24"/>
          <w:lang w:eastAsia="en-GB"/>
        </w:rPr>
      </w:pPr>
    </w:p>
    <w:p w14:paraId="745FB9F9" w14:textId="7A38C3C7" w:rsidR="00655E4C" w:rsidRPr="0007572B" w:rsidRDefault="00655E4C" w:rsidP="006F1659">
      <w:pPr>
        <w:pStyle w:val="Normal0"/>
        <w:spacing w:line="360" w:lineRule="auto"/>
        <w:rPr>
          <w:rFonts w:ascii="Arial" w:hAnsi="Arial" w:cs="Arial"/>
          <w:bCs/>
          <w:sz w:val="24"/>
          <w:szCs w:val="24"/>
          <w:lang w:eastAsia="en-GB"/>
        </w:rPr>
      </w:pPr>
      <w:bookmarkStart w:id="74" w:name="_Hlk139277163"/>
      <w:r w:rsidRPr="000A6E69">
        <w:rPr>
          <w:rFonts w:ascii="Arial" w:hAnsi="Arial" w:cs="Arial"/>
          <w:bCs/>
          <w:sz w:val="24"/>
          <w:szCs w:val="24"/>
          <w:lang w:eastAsia="en-GB"/>
        </w:rPr>
        <w:t>In 202</w:t>
      </w:r>
      <w:r w:rsidR="00A0708C" w:rsidRPr="000A6E69">
        <w:rPr>
          <w:rFonts w:ascii="Arial" w:hAnsi="Arial" w:cs="Arial"/>
          <w:bCs/>
          <w:sz w:val="24"/>
          <w:szCs w:val="24"/>
          <w:lang w:eastAsia="en-GB"/>
        </w:rPr>
        <w:t>2</w:t>
      </w:r>
      <w:r w:rsidRPr="000A6E69">
        <w:rPr>
          <w:rFonts w:ascii="Arial" w:hAnsi="Arial" w:cs="Arial"/>
          <w:bCs/>
          <w:sz w:val="24"/>
          <w:szCs w:val="24"/>
          <w:lang w:eastAsia="en-GB"/>
        </w:rPr>
        <w:t>/2</w:t>
      </w:r>
      <w:r w:rsidR="00A0708C" w:rsidRPr="000A6E69">
        <w:rPr>
          <w:rFonts w:ascii="Arial" w:hAnsi="Arial" w:cs="Arial"/>
          <w:bCs/>
          <w:sz w:val="24"/>
          <w:szCs w:val="24"/>
          <w:lang w:eastAsia="en-GB"/>
        </w:rPr>
        <w:t>3</w:t>
      </w:r>
      <w:r w:rsidRPr="000A6E69">
        <w:rPr>
          <w:rFonts w:ascii="Arial" w:hAnsi="Arial" w:cs="Arial"/>
          <w:bCs/>
          <w:sz w:val="24"/>
          <w:szCs w:val="24"/>
          <w:lang w:eastAsia="en-GB"/>
        </w:rPr>
        <w:t xml:space="preserve"> </w:t>
      </w:r>
      <w:r w:rsidR="00336C9F" w:rsidRPr="000A6E69">
        <w:rPr>
          <w:rFonts w:ascii="Arial" w:hAnsi="Arial" w:cs="Arial"/>
          <w:bCs/>
          <w:sz w:val="24"/>
          <w:szCs w:val="24"/>
          <w:lang w:eastAsia="en-GB"/>
        </w:rPr>
        <w:t>GM</w:t>
      </w:r>
      <w:r w:rsidRPr="000A6E69">
        <w:rPr>
          <w:rFonts w:ascii="Arial" w:hAnsi="Arial" w:cs="Arial"/>
          <w:bCs/>
          <w:sz w:val="24"/>
          <w:szCs w:val="24"/>
          <w:lang w:eastAsia="en-GB"/>
        </w:rPr>
        <w:t xml:space="preserve"> continues to be a pilot area for the 100% Business Rates Retention Scheme and the relevant shares of business rates income for 202</w:t>
      </w:r>
      <w:r w:rsidR="00A0708C" w:rsidRPr="000A6E69">
        <w:rPr>
          <w:rFonts w:ascii="Arial" w:hAnsi="Arial" w:cs="Arial"/>
          <w:bCs/>
          <w:sz w:val="24"/>
          <w:szCs w:val="24"/>
          <w:lang w:eastAsia="en-GB"/>
        </w:rPr>
        <w:t>2</w:t>
      </w:r>
      <w:r w:rsidRPr="000A6E69">
        <w:rPr>
          <w:rFonts w:ascii="Arial" w:hAnsi="Arial" w:cs="Arial"/>
          <w:bCs/>
          <w:sz w:val="24"/>
          <w:szCs w:val="24"/>
          <w:lang w:eastAsia="en-GB"/>
        </w:rPr>
        <w:t>/2</w:t>
      </w:r>
      <w:r w:rsidR="00A0708C" w:rsidRPr="000A6E69">
        <w:rPr>
          <w:rFonts w:ascii="Arial" w:hAnsi="Arial" w:cs="Arial"/>
          <w:bCs/>
          <w:sz w:val="24"/>
          <w:szCs w:val="24"/>
          <w:lang w:eastAsia="en-GB"/>
        </w:rPr>
        <w:t>3</w:t>
      </w:r>
      <w:r w:rsidRPr="000A6E69">
        <w:rPr>
          <w:rFonts w:ascii="Arial" w:hAnsi="Arial" w:cs="Arial"/>
          <w:bCs/>
          <w:sz w:val="24"/>
          <w:szCs w:val="24"/>
          <w:lang w:eastAsia="en-GB"/>
        </w:rPr>
        <w:t xml:space="preserve"> are Central Government (0%), GM Authorities (99%) and GMCA (1%).</w:t>
      </w:r>
    </w:p>
    <w:bookmarkEnd w:id="74"/>
    <w:p w14:paraId="176E7EB2" w14:textId="77777777" w:rsidR="00655E4C" w:rsidRPr="0007572B" w:rsidRDefault="00655E4C" w:rsidP="006F1659">
      <w:pPr>
        <w:pStyle w:val="Normal0"/>
        <w:spacing w:line="360" w:lineRule="auto"/>
        <w:rPr>
          <w:rFonts w:ascii="Arial" w:hAnsi="Arial" w:cs="Arial"/>
          <w:bCs/>
          <w:sz w:val="24"/>
          <w:szCs w:val="24"/>
          <w:lang w:eastAsia="en-GB"/>
        </w:rPr>
      </w:pPr>
    </w:p>
    <w:p w14:paraId="04FF223F" w14:textId="58C3366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For both council tax and </w:t>
      </w:r>
      <w:r>
        <w:rPr>
          <w:rFonts w:ascii="Arial" w:hAnsi="Arial" w:cs="Arial"/>
          <w:bCs/>
          <w:sz w:val="24"/>
          <w:szCs w:val="24"/>
          <w:lang w:eastAsia="en-GB"/>
        </w:rPr>
        <w:t>business rates</w:t>
      </w:r>
      <w:r w:rsidRPr="0007572B">
        <w:rPr>
          <w:rFonts w:ascii="Arial" w:hAnsi="Arial" w:cs="Arial"/>
          <w:bCs/>
          <w:sz w:val="24"/>
          <w:szCs w:val="24"/>
          <w:lang w:eastAsia="en-GB"/>
        </w:rPr>
        <w:t xml:space="preserve">, the income reflected in the CIES in </w:t>
      </w:r>
      <w:r>
        <w:rPr>
          <w:rFonts w:ascii="Arial" w:hAnsi="Arial" w:cs="Arial"/>
          <w:bCs/>
          <w:sz w:val="24"/>
          <w:szCs w:val="24"/>
          <w:lang w:eastAsia="en-GB"/>
        </w:rPr>
        <w:t>202</w:t>
      </w:r>
      <w:r w:rsidR="00A0708C">
        <w:rPr>
          <w:rFonts w:ascii="Arial" w:hAnsi="Arial" w:cs="Arial"/>
          <w:bCs/>
          <w:sz w:val="24"/>
          <w:szCs w:val="24"/>
          <w:lang w:eastAsia="en-GB"/>
        </w:rPr>
        <w:t>2</w:t>
      </w:r>
      <w:r>
        <w:rPr>
          <w:rFonts w:ascii="Arial" w:hAnsi="Arial" w:cs="Arial"/>
          <w:bCs/>
          <w:sz w:val="24"/>
          <w:szCs w:val="24"/>
          <w:lang w:eastAsia="en-GB"/>
        </w:rPr>
        <w:t>/2</w:t>
      </w:r>
      <w:r w:rsidR="00A0708C">
        <w:rPr>
          <w:rFonts w:ascii="Arial" w:hAnsi="Arial" w:cs="Arial"/>
          <w:bCs/>
          <w:sz w:val="24"/>
          <w:szCs w:val="24"/>
          <w:lang w:eastAsia="en-GB"/>
        </w:rPr>
        <w:t>3</w:t>
      </w:r>
      <w:r w:rsidRPr="0007572B">
        <w:rPr>
          <w:rFonts w:ascii="Arial" w:hAnsi="Arial" w:cs="Arial"/>
          <w:bCs/>
          <w:sz w:val="24"/>
          <w:szCs w:val="24"/>
          <w:lang w:eastAsia="en-GB"/>
        </w:rPr>
        <w:t xml:space="preserve"> is the GMCA’s share of the income relating to that year. However, the amount of council tax / </w:t>
      </w:r>
      <w:r>
        <w:rPr>
          <w:rFonts w:ascii="Arial" w:hAnsi="Arial" w:cs="Arial"/>
          <w:bCs/>
          <w:sz w:val="24"/>
          <w:szCs w:val="24"/>
          <w:lang w:eastAsia="en-GB"/>
        </w:rPr>
        <w:t>business rates</w:t>
      </w:r>
      <w:r w:rsidRPr="0007572B">
        <w:rPr>
          <w:rFonts w:ascii="Arial" w:hAnsi="Arial" w:cs="Arial"/>
          <w:bCs/>
          <w:sz w:val="24"/>
          <w:szCs w:val="24"/>
          <w:lang w:eastAsia="en-GB"/>
        </w:rPr>
        <w:t xml:space="preserve"> income that can be credited to the General Fund for the year is determined by statute and may be different from the accrued income position shown in the CIES. An adjustment is made via the Movement in Reserves Statement for the difference between the income due under proper accounting practice and the income per statute.</w:t>
      </w:r>
    </w:p>
    <w:p w14:paraId="4AD18B79" w14:textId="77777777" w:rsidR="00655E4C" w:rsidRPr="0007572B" w:rsidRDefault="00655E4C" w:rsidP="00BB0191">
      <w:pPr>
        <w:pStyle w:val="Normal0"/>
        <w:spacing w:after="240" w:line="360" w:lineRule="auto"/>
        <w:rPr>
          <w:rFonts w:ascii="Arial" w:hAnsi="Arial" w:cs="Arial"/>
          <w:b/>
          <w:bCs/>
          <w:sz w:val="24"/>
          <w:szCs w:val="24"/>
          <w:lang w:eastAsia="en-GB"/>
        </w:rPr>
      </w:pPr>
    </w:p>
    <w:p w14:paraId="63E090D3" w14:textId="31BBEFBA" w:rsidR="00655E4C" w:rsidRPr="00EB1AAB" w:rsidRDefault="00655E4C" w:rsidP="006F1659">
      <w:pPr>
        <w:pStyle w:val="Heading4bold"/>
        <w:spacing w:line="360" w:lineRule="auto"/>
        <w:rPr>
          <w:lang w:eastAsia="en-GB"/>
        </w:rPr>
      </w:pPr>
      <w:r w:rsidRPr="00EB1AAB">
        <w:rPr>
          <w:lang w:eastAsia="en-GB"/>
        </w:rPr>
        <w:t>1.1</w:t>
      </w:r>
      <w:r w:rsidR="00E85440">
        <w:rPr>
          <w:lang w:eastAsia="en-GB"/>
        </w:rPr>
        <w:t>8</w:t>
      </w:r>
      <w:r w:rsidRPr="00EB1AAB">
        <w:rPr>
          <w:lang w:eastAsia="en-GB"/>
        </w:rPr>
        <w:t>. Financial Assets</w:t>
      </w:r>
    </w:p>
    <w:p w14:paraId="3920CFC3" w14:textId="77777777" w:rsidR="00655E4C" w:rsidRPr="00EB1AAB" w:rsidRDefault="00655E4C" w:rsidP="006F1659">
      <w:pPr>
        <w:spacing w:line="360" w:lineRule="auto"/>
        <w:ind w:right="54"/>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2"/>
        </w:rPr>
        <w:t>such as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1"/>
        </w:rPr>
        <w:t>(</w:t>
      </w:r>
      <w:r w:rsidRPr="00EB1AAB">
        <w:rPr>
          <w:rFonts w:ascii="Arial" w:eastAsia="Arial" w:hAnsi="Arial" w:cs="Arial"/>
          <w:spacing w:val="-2"/>
        </w:rPr>
        <w:t>e</w:t>
      </w:r>
      <w:r w:rsidRPr="00EB1AAB">
        <w:rPr>
          <w:rFonts w:ascii="Arial" w:eastAsia="Arial" w:hAnsi="Arial" w:cs="Arial"/>
          <w:spacing w:val="1"/>
        </w:rPr>
        <w:t>xcl</w:t>
      </w:r>
      <w:r w:rsidRPr="00EB1AAB">
        <w:rPr>
          <w:rFonts w:ascii="Arial" w:eastAsia="Arial" w:hAnsi="Arial" w:cs="Arial"/>
          <w:spacing w:val="2"/>
        </w:rPr>
        <w:t>u</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3"/>
        </w:rPr>
        <w:t xml:space="preserve"> </w:t>
      </w:r>
      <w:r w:rsidRPr="00EB1AAB">
        <w:rPr>
          <w:rFonts w:ascii="Arial" w:eastAsia="Arial" w:hAnsi="Arial" w:cs="Arial"/>
        </w:rPr>
        <w:t>th</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cl</w:t>
      </w:r>
      <w:r w:rsidRPr="00EB1AAB">
        <w:rPr>
          <w:rFonts w:ascii="Arial" w:eastAsia="Arial" w:hAnsi="Arial" w:cs="Arial"/>
        </w:rPr>
        <w:t>u</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rPr>
        <w:t>Authority</w:t>
      </w:r>
      <w:r w:rsidRPr="00EB1AAB">
        <w:rPr>
          <w:rFonts w:ascii="Arial" w:eastAsia="Arial" w:hAnsi="Arial" w:cs="Arial"/>
          <w:spacing w:val="3"/>
        </w:rPr>
        <w: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g</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3"/>
        </w:rPr>
        <w:t>u</w:t>
      </w:r>
      <w:r w:rsidRPr="00EB1AAB">
        <w:rPr>
          <w:rFonts w:ascii="Arial" w:eastAsia="Arial" w:hAnsi="Arial" w:cs="Arial"/>
        </w:rPr>
        <w:t>p</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1"/>
        </w:rPr>
        <w:t>cc</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3"/>
        </w:rPr>
        <w:t xml:space="preserv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debt</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i</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ed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1"/>
        </w:rPr>
        <w:t>y</w:t>
      </w:r>
      <w:r w:rsidRPr="00EB1AAB">
        <w:rPr>
          <w:rFonts w:ascii="Arial" w:eastAsia="Arial" w:hAnsi="Arial" w:cs="Arial"/>
        </w:rPr>
        <w:t>p</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w w:val="101"/>
        </w:rPr>
        <w:t>c</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w w:val="101"/>
        </w:rPr>
        <w:t xml:space="preserve">t, </w:t>
      </w:r>
      <w:r w:rsidRPr="00EB1AAB">
        <w:rPr>
          <w:rFonts w:ascii="Arial" w:eastAsia="Arial" w:hAnsi="Arial" w:cs="Arial"/>
          <w:spacing w:val="2"/>
        </w:rPr>
        <w:t>f</w:t>
      </w:r>
      <w:r w:rsidRPr="00EB1AAB">
        <w:rPr>
          <w:rFonts w:ascii="Arial" w:eastAsia="Arial" w:hAnsi="Arial" w:cs="Arial"/>
        </w:rPr>
        <w:t>air</w:t>
      </w:r>
      <w:r w:rsidRPr="00EB1AAB">
        <w:rPr>
          <w:rFonts w:ascii="Arial" w:eastAsia="Arial" w:hAnsi="Arial" w:cs="Arial"/>
          <w:spacing w:val="6"/>
        </w:rPr>
        <w:t xml:space="preserve"> </w:t>
      </w:r>
      <w:r w:rsidRPr="00EB1AAB">
        <w:rPr>
          <w:rFonts w:ascii="Arial" w:eastAsia="Arial" w:hAnsi="Arial" w:cs="Arial"/>
          <w:spacing w:val="-2"/>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2"/>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3"/>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r</w:t>
      </w:r>
      <w:r w:rsidRPr="00EB1AAB">
        <w:rPr>
          <w:rFonts w:ascii="Arial" w:eastAsia="Arial" w:hAnsi="Arial" w:cs="Arial"/>
          <w:spacing w:val="8"/>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1"/>
        </w:rPr>
        <w:t>r</w:t>
      </w:r>
      <w:r w:rsidRPr="00EB1AAB">
        <w:rPr>
          <w:rFonts w:ascii="Arial" w:eastAsia="Arial" w:hAnsi="Arial" w:cs="Arial"/>
        </w:rPr>
        <w:t>ehen</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1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spacing w:val="2"/>
        </w:rPr>
        <w:t>I</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rPr>
        <w:t>nd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2"/>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w w:val="101"/>
        </w:rPr>
        <w:t>o</w:t>
      </w:r>
      <w:r w:rsidRPr="00EB1AAB">
        <w:rPr>
          <w:rFonts w:ascii="Arial" w:eastAsia="Arial" w:hAnsi="Arial" w:cs="Arial"/>
          <w:w w:val="101"/>
        </w:rPr>
        <w:t xml:space="preserve">r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1"/>
          <w:w w:val="101"/>
        </w:rPr>
        <w:t>(F</w:t>
      </w:r>
      <w:r w:rsidRPr="00EB1AAB">
        <w:rPr>
          <w:rFonts w:ascii="Arial" w:eastAsia="Arial" w:hAnsi="Arial" w:cs="Arial"/>
          <w:w w:val="101"/>
        </w:rPr>
        <w:t>VPL</w:t>
      </w:r>
      <w:r w:rsidRPr="00EB1AAB">
        <w:rPr>
          <w:rFonts w:ascii="Arial" w:eastAsia="Arial" w:hAnsi="Arial" w:cs="Arial"/>
          <w:spacing w:val="-1"/>
          <w:w w:val="101"/>
        </w:rPr>
        <w:t>)</w:t>
      </w:r>
      <w:r w:rsidRPr="00EB1AAB">
        <w:rPr>
          <w:rFonts w:ascii="Arial" w:eastAsia="Arial" w:hAnsi="Arial" w:cs="Arial"/>
          <w:w w:val="101"/>
        </w:rPr>
        <w:t>.</w:t>
      </w:r>
    </w:p>
    <w:p w14:paraId="3ACF2EE7" w14:textId="77777777" w:rsidR="00655E4C" w:rsidRPr="00EB1AAB" w:rsidRDefault="00655E4C" w:rsidP="006F1659">
      <w:pPr>
        <w:spacing w:before="6" w:line="360" w:lineRule="auto"/>
        <w:rPr>
          <w:rFonts w:ascii="Arial" w:hAnsi="Arial" w:cs="Arial"/>
        </w:rPr>
      </w:pPr>
    </w:p>
    <w:p w14:paraId="39471D33"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at</w:t>
      </w:r>
      <w:r w:rsidRPr="00EB1AAB">
        <w:rPr>
          <w:rFonts w:ascii="Arial" w:eastAsia="Arial" w:hAnsi="Arial" w:cs="Arial"/>
          <w:spacing w:val="2"/>
        </w:rPr>
        <w:t>e</w:t>
      </w:r>
      <w:r w:rsidRPr="00EB1AAB">
        <w:rPr>
          <w:rFonts w:ascii="Arial" w:eastAsia="Arial" w:hAnsi="Arial" w:cs="Arial"/>
          <w:spacing w:val="-2"/>
        </w:rPr>
        <w:t>g</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2"/>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3"/>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3"/>
        </w:rPr>
        <w:t>i</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3"/>
        </w:rPr>
        <w:t>a</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2"/>
        </w:rPr>
        <w:t xml:space="preserve"> 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2"/>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spacing w:val="-2"/>
        </w:rPr>
        <w:t>y</w:t>
      </w:r>
      <w:r w:rsidRPr="00EB1AAB">
        <w:rPr>
          <w:rFonts w:ascii="Arial" w:eastAsia="Arial" w:hAnsi="Arial" w:cs="Arial"/>
        </w:rPr>
        <w:t>p</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rPr>
        <w:t>d</w:t>
      </w:r>
      <w:r w:rsidRPr="00EB1AAB">
        <w:rPr>
          <w:rFonts w:ascii="Arial" w:eastAsia="Arial" w:hAnsi="Arial" w:cs="Arial"/>
          <w:spacing w:val="-1"/>
        </w:rPr>
        <w:t>e</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de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7"/>
        </w:rPr>
        <w:t xml:space="preserve"> </w:t>
      </w:r>
      <w:r w:rsidRPr="00EB1AAB">
        <w:rPr>
          <w:rFonts w:ascii="Arial" w:eastAsia="Arial" w:hAnsi="Arial" w:cs="Arial"/>
        </w:rPr>
        <w:t>on</w:t>
      </w:r>
      <w:r w:rsidRPr="00EB1AAB">
        <w:rPr>
          <w:rFonts w:ascii="Arial" w:eastAsia="Arial" w:hAnsi="Arial" w:cs="Arial"/>
          <w:spacing w:val="2"/>
        </w:rPr>
        <w:t xml:space="preserve"> 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3"/>
        </w:rPr>
        <w:t>s</w:t>
      </w:r>
      <w:r w:rsidRPr="00EB1AAB">
        <w:rPr>
          <w:rFonts w:ascii="Arial" w:eastAsia="Arial" w:hAnsi="Arial" w:cs="Arial"/>
        </w:rPr>
        <w:t>on</w:t>
      </w:r>
      <w:r w:rsidRPr="00EB1AAB">
        <w:rPr>
          <w:rFonts w:ascii="Arial" w:eastAsia="Arial" w:hAnsi="Arial" w:cs="Arial"/>
          <w:spacing w:val="7"/>
        </w:rPr>
        <w:t xml:space="preserve"> </w:t>
      </w:r>
      <w:r w:rsidRPr="00EB1AAB">
        <w:rPr>
          <w:rFonts w:ascii="Arial" w:eastAsia="Arial" w:hAnsi="Arial" w:cs="Arial"/>
          <w:spacing w:val="2"/>
          <w:w w:val="101"/>
        </w:rPr>
        <w:t>f</w:t>
      </w:r>
      <w:r w:rsidRPr="00EB1AAB">
        <w:rPr>
          <w:rFonts w:ascii="Arial" w:eastAsia="Arial" w:hAnsi="Arial" w:cs="Arial"/>
          <w:w w:val="101"/>
        </w:rPr>
        <w:t xml:space="preserve">or </w:t>
      </w:r>
      <w:r w:rsidRPr="00EB1AAB">
        <w:rPr>
          <w:rFonts w:ascii="Arial" w:eastAsia="Arial" w:hAnsi="Arial" w:cs="Arial"/>
        </w:rPr>
        <w:t>h</w:t>
      </w:r>
      <w:r w:rsidRPr="00EB1AAB">
        <w:rPr>
          <w:rFonts w:ascii="Arial" w:eastAsia="Arial" w:hAnsi="Arial" w:cs="Arial"/>
          <w:spacing w:val="-3"/>
        </w:rPr>
        <w:t>o</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1"/>
        </w:rPr>
        <w:t>i</w:t>
      </w:r>
      <w:r w:rsidRPr="00EB1AAB">
        <w:rPr>
          <w:rFonts w:ascii="Arial" w:eastAsia="Arial" w:hAnsi="Arial" w:cs="Arial"/>
          <w:spacing w:val="2"/>
        </w:rPr>
        <w:t>n</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which</w:t>
      </w:r>
      <w:r w:rsidRPr="00EB1AAB">
        <w:rPr>
          <w:rFonts w:ascii="Arial" w:eastAsia="Arial" w:hAnsi="Arial" w:cs="Arial"/>
          <w:spacing w:val="-1"/>
        </w:rPr>
        <w:t xml:space="preserve"> can be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3"/>
        </w:rPr>
        <w:t xml:space="preserve"> </w:t>
      </w:r>
      <w:r w:rsidRPr="00EB1AAB">
        <w:rPr>
          <w:rFonts w:ascii="Arial" w:eastAsia="Arial" w:hAnsi="Arial" w:cs="Arial"/>
          <w:spacing w:val="5"/>
        </w:rPr>
        <w:t>f</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3"/>
        </w:rPr>
        <w:t>w</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3"/>
        </w:rPr>
        <w:t>h</w:t>
      </w:r>
      <w:r w:rsidRPr="00EB1AAB">
        <w:rPr>
          <w:rFonts w:ascii="Arial" w:eastAsia="Arial" w:hAnsi="Arial" w:cs="Arial"/>
          <w:spacing w:val="4"/>
        </w:rPr>
        <w:t>i</w:t>
      </w:r>
      <w:r w:rsidRPr="00EB1AAB">
        <w:rPr>
          <w:rFonts w:ascii="Arial" w:eastAsia="Arial" w:hAnsi="Arial" w:cs="Arial"/>
          <w:spacing w:val="-3"/>
        </w:rPr>
        <w:t>e</w:t>
      </w:r>
      <w:r w:rsidRPr="00EB1AAB">
        <w:rPr>
          <w:rFonts w:ascii="Arial" w:eastAsia="Arial" w:hAnsi="Arial" w:cs="Arial"/>
          <w:spacing w:val="3"/>
        </w:rPr>
        <w:t>v</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3"/>
        </w:rPr>
        <w:t>o</w:t>
      </w:r>
      <w:r w:rsidRPr="00EB1AAB">
        <w:rPr>
          <w:rFonts w:ascii="Arial" w:eastAsia="Arial" w:hAnsi="Arial" w:cs="Arial"/>
        </w:rPr>
        <w:t>b</w:t>
      </w:r>
      <w:r w:rsidRPr="00EB1AAB">
        <w:rPr>
          <w:rFonts w:ascii="Arial" w:eastAsia="Arial" w:hAnsi="Arial" w:cs="Arial"/>
          <w:spacing w:val="1"/>
        </w:rPr>
        <w:t>j</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t</w:t>
      </w:r>
      <w:r w:rsidRPr="00EB1AAB">
        <w:rPr>
          <w:rFonts w:ascii="Arial" w:eastAsia="Arial" w:hAnsi="Arial" w:cs="Arial"/>
          <w:spacing w:val="1"/>
        </w:rPr>
        <w:t>iv</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2"/>
        </w:rPr>
        <w:t xml:space="preserve"> </w:t>
      </w:r>
      <w:r w:rsidRPr="00EB1AAB">
        <w:rPr>
          <w:rFonts w:ascii="Arial" w:eastAsia="Arial" w:hAnsi="Arial" w:cs="Arial"/>
          <w:spacing w:val="2"/>
        </w:rPr>
        <w:t>b</w:t>
      </w:r>
      <w:r w:rsidRPr="00EB1AAB">
        <w:rPr>
          <w:rFonts w:ascii="Arial" w:eastAsia="Arial" w:hAnsi="Arial" w:cs="Arial"/>
        </w:rPr>
        <w:t>y</w:t>
      </w:r>
      <w:r w:rsidRPr="00EB1AAB">
        <w:rPr>
          <w:rFonts w:ascii="Arial" w:eastAsia="Arial" w:hAnsi="Arial" w:cs="Arial"/>
          <w:spacing w:val="2"/>
        </w:rPr>
        <w:t xml:space="preserve"> </w:t>
      </w:r>
      <w:r w:rsidRPr="00EB1AAB">
        <w:rPr>
          <w:rFonts w:ascii="Arial" w:eastAsia="Arial" w:hAnsi="Arial" w:cs="Arial"/>
          <w:w w:val="101"/>
        </w:rPr>
        <w:t>ot</w:t>
      </w:r>
      <w:r w:rsidRPr="00EB1AAB">
        <w:rPr>
          <w:rFonts w:ascii="Arial" w:eastAsia="Arial" w:hAnsi="Arial" w:cs="Arial"/>
          <w:spacing w:val="2"/>
          <w:w w:val="101"/>
        </w:rPr>
        <w:t>h</w:t>
      </w:r>
      <w:r w:rsidRPr="00EB1AAB">
        <w:rPr>
          <w:rFonts w:ascii="Arial" w:eastAsia="Arial" w:hAnsi="Arial" w:cs="Arial"/>
          <w:spacing w:val="-3"/>
          <w:w w:val="101"/>
        </w:rPr>
        <w:t>e</w:t>
      </w:r>
      <w:r w:rsidRPr="00EB1AAB">
        <w:rPr>
          <w:rFonts w:ascii="Arial" w:eastAsia="Arial" w:hAnsi="Arial" w:cs="Arial"/>
          <w:w w:val="101"/>
        </w:rPr>
        <w:t xml:space="preserve">r </w:t>
      </w:r>
      <w:r w:rsidRPr="00EB1AAB">
        <w:rPr>
          <w:rFonts w:ascii="Arial" w:eastAsia="Arial" w:hAnsi="Arial" w:cs="Arial"/>
          <w:spacing w:val="3"/>
          <w:w w:val="101"/>
        </w:rPr>
        <w:t>m</w:t>
      </w:r>
      <w:r w:rsidRPr="00EB1AAB">
        <w:rPr>
          <w:rFonts w:ascii="Arial" w:eastAsia="Arial" w:hAnsi="Arial" w:cs="Arial"/>
          <w:spacing w:val="-3"/>
          <w:w w:val="101"/>
        </w:rPr>
        <w:t>e</w:t>
      </w:r>
      <w:r w:rsidRPr="00EB1AAB">
        <w:rPr>
          <w:rFonts w:ascii="Arial" w:eastAsia="Arial" w:hAnsi="Arial" w:cs="Arial"/>
          <w:w w:val="101"/>
        </w:rPr>
        <w:t>a</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w:t>
      </w:r>
    </w:p>
    <w:p w14:paraId="7837F9BA" w14:textId="77777777" w:rsidR="00655E4C" w:rsidRPr="00EB1AAB" w:rsidRDefault="00655E4C" w:rsidP="006F1659">
      <w:pPr>
        <w:spacing w:before="9" w:line="360" w:lineRule="auto"/>
        <w:ind w:right="-88"/>
        <w:rPr>
          <w:rFonts w:ascii="Arial" w:hAnsi="Arial" w:cs="Arial"/>
        </w:rPr>
      </w:pPr>
    </w:p>
    <w:p w14:paraId="16744A5C"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introduced</w:t>
      </w:r>
      <w:r w:rsidRPr="00EB1AAB">
        <w:rPr>
          <w:rFonts w:ascii="Arial" w:eastAsia="Arial" w:hAnsi="Arial" w:cs="Arial"/>
          <w:spacing w:val="14"/>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2"/>
        </w:rPr>
        <w:t xml:space="preserve"> b</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spacing w:val="1"/>
        </w:rPr>
        <w:t>s</w:t>
      </w:r>
      <w:r w:rsidRPr="00EB1AAB">
        <w:rPr>
          <w:rFonts w:ascii="Arial" w:eastAsia="Arial" w:hAnsi="Arial" w:cs="Arial"/>
        </w:rPr>
        <w:t>he</w:t>
      </w:r>
      <w:r w:rsidRPr="00EB1AAB">
        <w:rPr>
          <w:rFonts w:ascii="Arial" w:eastAsia="Arial" w:hAnsi="Arial" w:cs="Arial"/>
          <w:spacing w:val="-1"/>
        </w:rPr>
        <w:t>e</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6"/>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5"/>
        </w:rPr>
        <w:t xml:space="preserve"> </w:t>
      </w:r>
      <w:r w:rsidRPr="00EB1AAB">
        <w:rPr>
          <w:rFonts w:ascii="Arial" w:eastAsia="Arial" w:hAnsi="Arial" w:cs="Arial"/>
        </w:rPr>
        <w:t>wh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w w:val="101"/>
        </w:rPr>
        <w:t xml:space="preserve">Authority </w:t>
      </w:r>
      <w:r w:rsidRPr="00EB1AAB">
        <w:rPr>
          <w:rFonts w:ascii="Arial" w:eastAsia="Arial" w:hAnsi="Arial" w:cs="Arial"/>
        </w:rPr>
        <w:t>b</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es</w:t>
      </w:r>
      <w:r w:rsidRPr="00EB1AAB">
        <w:rPr>
          <w:rFonts w:ascii="Arial" w:eastAsia="Arial" w:hAnsi="Arial" w:cs="Arial"/>
          <w:spacing w:val="8"/>
        </w:rPr>
        <w:t xml:space="preserve"> </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ar</w:t>
      </w:r>
      <w:r w:rsidRPr="00EB1AAB">
        <w:rPr>
          <w:rFonts w:ascii="Arial" w:eastAsia="Arial" w:hAnsi="Arial" w:cs="Arial"/>
          <w:spacing w:val="5"/>
        </w:rPr>
        <w:t>t</w:t>
      </w:r>
      <w:r w:rsidRPr="00EB1AAB">
        <w:rPr>
          <w:rFonts w:ascii="Arial" w:eastAsia="Arial" w:hAnsi="Arial" w:cs="Arial"/>
        </w:rPr>
        <w:t>y</w:t>
      </w:r>
      <w:r w:rsidRPr="00EB1AAB">
        <w:rPr>
          <w:rFonts w:ascii="Arial" w:eastAsia="Arial" w:hAnsi="Arial" w:cs="Arial"/>
          <w:spacing w:val="2"/>
        </w:rPr>
        <w:t xml:space="preserve"> t</w:t>
      </w:r>
      <w:r w:rsidRPr="00EB1AAB">
        <w:rPr>
          <w:rFonts w:ascii="Arial" w:eastAsia="Arial" w:hAnsi="Arial" w:cs="Arial"/>
        </w:rPr>
        <w:t>o</w:t>
      </w:r>
      <w:r w:rsidRPr="00EB1AAB">
        <w:rPr>
          <w:rFonts w:ascii="Arial" w:eastAsia="Arial" w:hAnsi="Arial" w:cs="Arial"/>
          <w:spacing w:val="3"/>
        </w:rPr>
        <w:t xml:space="preserve"> any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t</w:t>
      </w:r>
      <w:r w:rsidRPr="00EB1AAB">
        <w:rPr>
          <w:rFonts w:ascii="Arial" w:eastAsia="Arial" w:hAnsi="Arial" w:cs="Arial"/>
        </w:rPr>
        <w:t>u</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5"/>
        </w:rPr>
        <w:t xml:space="preserve"> </w:t>
      </w:r>
      <w:r w:rsidRPr="00EB1AAB">
        <w:rPr>
          <w:rFonts w:ascii="Arial" w:eastAsia="Arial" w:hAnsi="Arial" w:cs="Arial"/>
          <w:spacing w:val="-3"/>
          <w:w w:val="101"/>
        </w:rPr>
        <w:t>p</w:t>
      </w:r>
      <w:r w:rsidRPr="00EB1AAB">
        <w:rPr>
          <w:rFonts w:ascii="Arial" w:eastAsia="Arial" w:hAnsi="Arial" w:cs="Arial"/>
          <w:spacing w:val="1"/>
          <w:w w:val="101"/>
        </w:rPr>
        <w:t>r</w:t>
      </w:r>
      <w:r w:rsidRPr="00EB1AAB">
        <w:rPr>
          <w:rFonts w:ascii="Arial" w:eastAsia="Arial" w:hAnsi="Arial" w:cs="Arial"/>
          <w:w w:val="101"/>
        </w:rPr>
        <w:t>o</w:t>
      </w:r>
      <w:r w:rsidRPr="00EB1AAB">
        <w:rPr>
          <w:rFonts w:ascii="Arial" w:eastAsia="Arial" w:hAnsi="Arial" w:cs="Arial"/>
          <w:spacing w:val="1"/>
          <w:w w:val="101"/>
        </w:rPr>
        <w:t>visi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06557395" w14:textId="77777777" w:rsidR="00655E4C" w:rsidRPr="00EB1AAB" w:rsidRDefault="00655E4C" w:rsidP="006F1659">
      <w:pPr>
        <w:spacing w:before="6" w:line="360" w:lineRule="auto"/>
        <w:ind w:right="-88"/>
        <w:rPr>
          <w:rFonts w:ascii="Arial" w:hAnsi="Arial" w:cs="Arial"/>
        </w:rPr>
      </w:pPr>
    </w:p>
    <w:p w14:paraId="173FCB89" w14:textId="11E89122" w:rsidR="00655E4C" w:rsidRPr="00EB1AAB" w:rsidRDefault="00655E4C" w:rsidP="006F1659">
      <w:pPr>
        <w:pStyle w:val="Heading5underline"/>
        <w:spacing w:line="360" w:lineRule="auto"/>
      </w:pPr>
      <w:r w:rsidRPr="00EB1AAB">
        <w:t>1.1</w:t>
      </w:r>
      <w:r w:rsidR="00E85440">
        <w:t>8</w:t>
      </w:r>
      <w:r w:rsidRPr="00EB1AAB">
        <w:t>.1. A</w:t>
      </w:r>
      <w:r w:rsidRPr="00EB1AAB">
        <w:rPr>
          <w:spacing w:val="1"/>
        </w:rPr>
        <w:t>m</w:t>
      </w:r>
      <w:r w:rsidRPr="00EB1AAB">
        <w:rPr>
          <w:spacing w:val="-1"/>
        </w:rPr>
        <w:t>o</w:t>
      </w:r>
      <w:r w:rsidRPr="00EB1AAB">
        <w:rPr>
          <w:spacing w:val="1"/>
        </w:rPr>
        <w:t>r</w:t>
      </w:r>
      <w:r w:rsidRPr="00EB1AAB">
        <w:rPr>
          <w:spacing w:val="-1"/>
        </w:rPr>
        <w:t>t</w:t>
      </w:r>
      <w:r w:rsidRPr="00EB1AAB">
        <w:rPr>
          <w:spacing w:val="2"/>
        </w:rPr>
        <w:t>i</w:t>
      </w:r>
      <w:r w:rsidRPr="00EB1AAB">
        <w:t>sed</w:t>
      </w:r>
      <w:r w:rsidRPr="00EB1AAB">
        <w:rPr>
          <w:spacing w:val="13"/>
        </w:rPr>
        <w:t xml:space="preserve"> </w:t>
      </w:r>
      <w:r w:rsidRPr="00EB1AAB">
        <w:t>C</w:t>
      </w:r>
      <w:r w:rsidRPr="00EB1AAB">
        <w:rPr>
          <w:spacing w:val="1"/>
        </w:rPr>
        <w:t>o</w:t>
      </w:r>
      <w:r w:rsidRPr="00EB1AAB">
        <w:t>st</w:t>
      </w:r>
    </w:p>
    <w:p w14:paraId="05700749" w14:textId="77777777" w:rsidR="00655E4C" w:rsidRPr="00EB1AAB" w:rsidRDefault="00655E4C" w:rsidP="006F1659">
      <w:pPr>
        <w:spacing w:line="360" w:lineRule="auto"/>
        <w:ind w:right="-88"/>
        <w:rPr>
          <w:rFonts w:ascii="Arial" w:eastAsia="Arial" w:hAnsi="Arial" w:cs="Arial"/>
          <w:u w:val="single"/>
        </w:rPr>
      </w:pPr>
    </w:p>
    <w:p w14:paraId="35D43E0F" w14:textId="77777777" w:rsidR="00655E4C" w:rsidRPr="00EB1AAB" w:rsidRDefault="00655E4C" w:rsidP="006F1659">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rPr>
        <w:t>ts</w:t>
      </w:r>
      <w:r w:rsidRPr="00EB1AAB">
        <w:rPr>
          <w:rFonts w:ascii="Arial" w:eastAsia="Arial" w:hAnsi="Arial" w:cs="Arial"/>
          <w:spacing w:val="9"/>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4"/>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in a hold to collect business model</w:t>
      </w:r>
      <w:r w:rsidRPr="00EB1AAB">
        <w:rPr>
          <w:rFonts w:ascii="Arial" w:eastAsia="Arial" w:hAnsi="Arial" w:cs="Arial"/>
          <w:spacing w:val="7"/>
        </w:rPr>
        <w:t xml:space="preserve"> </w:t>
      </w:r>
      <w:r w:rsidRPr="00EB1AAB">
        <w:rPr>
          <w:rFonts w:ascii="Arial" w:eastAsia="Arial" w:hAnsi="Arial" w:cs="Arial"/>
          <w:spacing w:val="1"/>
          <w:w w:val="101"/>
        </w:rPr>
        <w:t>(</w:t>
      </w:r>
      <w:r w:rsidRPr="00EB1AAB">
        <w:rPr>
          <w:rFonts w:ascii="Arial" w:eastAsia="Arial" w:hAnsi="Arial" w:cs="Arial"/>
          <w:w w:val="101"/>
        </w:rPr>
        <w:t>e.</w:t>
      </w:r>
      <w:r w:rsidRPr="00EB1AAB">
        <w:rPr>
          <w:rFonts w:ascii="Arial" w:eastAsia="Arial" w:hAnsi="Arial" w:cs="Arial"/>
          <w:spacing w:val="-3"/>
          <w:w w:val="101"/>
        </w:rPr>
        <w:t xml:space="preserve">g.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11"/>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3"/>
        </w:rPr>
        <w:t>w</w:t>
      </w:r>
      <w:r w:rsidRPr="00EB1AAB">
        <w:rPr>
          <w:rFonts w:ascii="Arial" w:eastAsia="Arial" w:hAnsi="Arial" w:cs="Arial"/>
          <w:spacing w:val="4"/>
        </w:rPr>
        <w:t>i</w:t>
      </w:r>
      <w:r w:rsidRPr="00EB1AAB">
        <w:rPr>
          <w:rFonts w:ascii="Arial" w:eastAsia="Arial" w:hAnsi="Arial" w:cs="Arial"/>
        </w:rPr>
        <w:t>th</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2"/>
        </w:rPr>
        <w:t>g</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spacing w:val="-3"/>
        </w:rPr>
        <w:t>n</w:t>
      </w:r>
      <w:r w:rsidRPr="00EB1AAB">
        <w:rPr>
          <w:rFonts w:ascii="Arial" w:eastAsia="Arial" w:hAnsi="Arial" w:cs="Arial"/>
          <w:spacing w:val="5"/>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4"/>
        </w:rPr>
        <w: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spacing w:val="-2"/>
        </w:rPr>
        <w:t>b</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2"/>
        </w:rPr>
        <w:t>f</w:t>
      </w:r>
      <w:r w:rsidRPr="00EB1AAB">
        <w:rPr>
          <w:rFonts w:ascii="Arial" w:eastAsia="Arial" w:hAnsi="Arial" w:cs="Arial"/>
          <w:spacing w:val="1"/>
        </w:rPr>
        <w:t>ic</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w w:val="101"/>
        </w:rPr>
        <w:t xml:space="preserve">to </w:t>
      </w:r>
      <w:r w:rsidRPr="00EB1AAB">
        <w:rPr>
          <w:rFonts w:ascii="Arial" w:eastAsia="Arial" w:hAnsi="Arial" w:cs="Arial"/>
        </w:rPr>
        <w:t>th</w:t>
      </w:r>
      <w:r w:rsidRPr="00EB1AAB">
        <w:rPr>
          <w:rFonts w:ascii="Arial" w:eastAsia="Arial" w:hAnsi="Arial" w:cs="Arial"/>
          <w:spacing w:val="1"/>
        </w:rPr>
        <w:t>i</w:t>
      </w:r>
      <w:r w:rsidRPr="00EB1AAB">
        <w:rPr>
          <w:rFonts w:ascii="Arial" w:eastAsia="Arial" w:hAnsi="Arial" w:cs="Arial"/>
          <w:spacing w:val="-1"/>
        </w:rPr>
        <w:t>r</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w w:val="101"/>
        </w:rPr>
        <w:t>p</w:t>
      </w:r>
      <w:r w:rsidRPr="00EB1AAB">
        <w:rPr>
          <w:rFonts w:ascii="Arial" w:eastAsia="Arial" w:hAnsi="Arial" w:cs="Arial"/>
          <w:spacing w:val="-3"/>
          <w:w w:val="101"/>
        </w:rPr>
        <w:t>a</w:t>
      </w:r>
      <w:r w:rsidRPr="00EB1AAB">
        <w:rPr>
          <w:rFonts w:ascii="Arial" w:eastAsia="Arial" w:hAnsi="Arial" w:cs="Arial"/>
          <w:spacing w:val="-1"/>
          <w:w w:val="101"/>
        </w:rPr>
        <w:t>r</w:t>
      </w:r>
      <w:r w:rsidRPr="00EB1AAB">
        <w:rPr>
          <w:rFonts w:ascii="Arial" w:eastAsia="Arial" w:hAnsi="Arial" w:cs="Arial"/>
          <w:spacing w:val="2"/>
          <w:w w:val="101"/>
        </w:rPr>
        <w:t>t</w:t>
      </w:r>
      <w:r w:rsidRPr="00EB1AAB">
        <w:rPr>
          <w:rFonts w:ascii="Arial" w:eastAsia="Arial" w:hAnsi="Arial" w:cs="Arial"/>
          <w:spacing w:val="1"/>
          <w:w w:val="101"/>
        </w:rPr>
        <w:t>i</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2A5D8451" w14:textId="77777777" w:rsidR="00655E4C" w:rsidRPr="00EB1AAB" w:rsidRDefault="00655E4C" w:rsidP="006F1659">
      <w:pPr>
        <w:spacing w:before="12" w:line="360" w:lineRule="auto"/>
        <w:ind w:right="-88"/>
        <w:rPr>
          <w:rFonts w:ascii="Arial" w:hAnsi="Arial" w:cs="Arial"/>
        </w:rPr>
      </w:pPr>
    </w:p>
    <w:p w14:paraId="60A9DA1C" w14:textId="77777777" w:rsidR="00655E4C" w:rsidRPr="00EB1AAB" w:rsidRDefault="00655E4C" w:rsidP="006F1659">
      <w:pPr>
        <w:spacing w:line="360" w:lineRule="auto"/>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6F215756" w14:textId="77777777" w:rsidR="00655E4C" w:rsidRPr="00EB1AAB" w:rsidRDefault="00655E4C" w:rsidP="006F1659">
      <w:pPr>
        <w:spacing w:before="6" w:line="360" w:lineRule="auto"/>
        <w:ind w:right="-88"/>
        <w:rPr>
          <w:rFonts w:ascii="Arial" w:hAnsi="Arial" w:cs="Arial"/>
        </w:rPr>
      </w:pPr>
    </w:p>
    <w:p w14:paraId="6D205F0C" w14:textId="221481AC" w:rsidR="00655E4C" w:rsidRPr="00EB1AAB" w:rsidRDefault="00655E4C" w:rsidP="006F1659">
      <w:pPr>
        <w:pStyle w:val="Heading5underline"/>
        <w:spacing w:line="360" w:lineRule="auto"/>
      </w:pPr>
      <w:r w:rsidRPr="00EB1AAB">
        <w:rPr>
          <w:spacing w:val="-1"/>
        </w:rPr>
        <w:lastRenderedPageBreak/>
        <w:t>1.1</w:t>
      </w:r>
      <w:r w:rsidR="00E85440">
        <w:rPr>
          <w:spacing w:val="-1"/>
        </w:rPr>
        <w:t>8</w:t>
      </w:r>
      <w:r w:rsidRPr="00EB1AAB">
        <w:rPr>
          <w:spacing w:val="-1"/>
        </w:rPr>
        <w:t>.2. F</w:t>
      </w:r>
      <w:r w:rsidRPr="00EB1AAB">
        <w:t>a</w:t>
      </w:r>
      <w:r w:rsidRPr="00EB1AAB">
        <w:rPr>
          <w:spacing w:val="-1"/>
        </w:rPr>
        <w:t>i</w:t>
      </w:r>
      <w:r w:rsidRPr="00EB1AAB">
        <w:t>r</w:t>
      </w:r>
      <w:r w:rsidRPr="00EB1AAB">
        <w:rPr>
          <w:spacing w:val="5"/>
        </w:rPr>
        <w:t xml:space="preserve"> </w:t>
      </w:r>
      <w:r w:rsidRPr="00EB1AAB">
        <w:rPr>
          <w:spacing w:val="3"/>
        </w:rPr>
        <w:t>V</w:t>
      </w:r>
      <w:r w:rsidRPr="00EB1AAB">
        <w:rPr>
          <w:spacing w:val="-3"/>
        </w:rPr>
        <w:t>a</w:t>
      </w:r>
      <w:r w:rsidRPr="00EB1AAB">
        <w:t>l</w:t>
      </w:r>
      <w:r w:rsidRPr="00EB1AAB">
        <w:rPr>
          <w:spacing w:val="1"/>
        </w:rPr>
        <w:t>u</w:t>
      </w:r>
      <w:r w:rsidRPr="00EB1AAB">
        <w:t>e</w:t>
      </w:r>
      <w:r w:rsidRPr="00EB1AAB">
        <w:rPr>
          <w:spacing w:val="7"/>
        </w:rPr>
        <w:t xml:space="preserve"> </w:t>
      </w:r>
      <w:r w:rsidRPr="00EB1AAB">
        <w:rPr>
          <w:spacing w:val="-1"/>
        </w:rPr>
        <w:t>th</w:t>
      </w:r>
      <w:r w:rsidRPr="00EB1AAB">
        <w:rPr>
          <w:spacing w:val="1"/>
        </w:rPr>
        <w:t>r</w:t>
      </w:r>
      <w:r w:rsidRPr="00EB1AAB">
        <w:rPr>
          <w:spacing w:val="-1"/>
        </w:rPr>
        <w:t>o</w:t>
      </w:r>
      <w:r w:rsidRPr="00EB1AAB">
        <w:rPr>
          <w:spacing w:val="1"/>
        </w:rPr>
        <w:t>u</w:t>
      </w:r>
      <w:r w:rsidRPr="00EB1AAB">
        <w:rPr>
          <w:spacing w:val="-1"/>
        </w:rPr>
        <w:t>g</w:t>
      </w:r>
      <w:r w:rsidRPr="00EB1AAB">
        <w:t>h</w:t>
      </w:r>
      <w:r w:rsidRPr="00EB1AAB">
        <w:rPr>
          <w:spacing w:val="13"/>
        </w:rPr>
        <w:t xml:space="preserve"> </w:t>
      </w:r>
      <w:r w:rsidRPr="00EB1AAB">
        <w:rPr>
          <w:spacing w:val="-2"/>
        </w:rPr>
        <w:t>O</w:t>
      </w:r>
      <w:r w:rsidRPr="00EB1AAB">
        <w:rPr>
          <w:spacing w:val="2"/>
        </w:rPr>
        <w:t>t</w:t>
      </w:r>
      <w:r w:rsidRPr="00EB1AAB">
        <w:rPr>
          <w:spacing w:val="-1"/>
        </w:rPr>
        <w:t>h</w:t>
      </w:r>
      <w:r w:rsidRPr="00EB1AAB">
        <w:t>er</w:t>
      </w:r>
      <w:r w:rsidRPr="00EB1AAB">
        <w:rPr>
          <w:spacing w:val="7"/>
        </w:rPr>
        <w:t xml:space="preserve"> </w:t>
      </w:r>
      <w:r w:rsidRPr="00EB1AAB">
        <w:t>C</w:t>
      </w:r>
      <w:r w:rsidRPr="00EB1AAB">
        <w:rPr>
          <w:spacing w:val="2"/>
        </w:rPr>
        <w:t>o</w:t>
      </w:r>
      <w:r w:rsidRPr="00EB1AAB">
        <w:rPr>
          <w:spacing w:val="-1"/>
        </w:rPr>
        <w:t>mp</w:t>
      </w:r>
      <w:r w:rsidRPr="00EB1AAB">
        <w:t>re</w:t>
      </w:r>
      <w:r w:rsidRPr="00EB1AAB">
        <w:rPr>
          <w:spacing w:val="1"/>
        </w:rPr>
        <w:t>h</w:t>
      </w:r>
      <w:r w:rsidRPr="00EB1AAB">
        <w:t>e</w:t>
      </w:r>
      <w:r w:rsidRPr="00EB1AAB">
        <w:rPr>
          <w:spacing w:val="1"/>
        </w:rPr>
        <w:t>n</w:t>
      </w:r>
      <w:r w:rsidRPr="00EB1AAB">
        <w:t>s</w:t>
      </w:r>
      <w:r w:rsidRPr="00EB1AAB">
        <w:rPr>
          <w:spacing w:val="2"/>
        </w:rPr>
        <w:t>i</w:t>
      </w:r>
      <w:r w:rsidRPr="00EB1AAB">
        <w:rPr>
          <w:spacing w:val="-5"/>
        </w:rPr>
        <w:t>v</w:t>
      </w:r>
      <w:r w:rsidRPr="00EB1AAB">
        <w:t>e</w:t>
      </w:r>
      <w:r w:rsidRPr="00EB1AAB">
        <w:rPr>
          <w:spacing w:val="20"/>
        </w:rPr>
        <w:t xml:space="preserve"> </w:t>
      </w:r>
      <w:r w:rsidRPr="00EB1AAB">
        <w:t>I</w:t>
      </w:r>
      <w:r w:rsidRPr="00EB1AAB">
        <w:rPr>
          <w:spacing w:val="2"/>
        </w:rPr>
        <w:t>n</w:t>
      </w:r>
      <w:r w:rsidRPr="00EB1AAB">
        <w:rPr>
          <w:spacing w:val="-3"/>
        </w:rPr>
        <w:t>c</w:t>
      </w:r>
      <w:r w:rsidRPr="00EB1AAB">
        <w:rPr>
          <w:spacing w:val="4"/>
        </w:rPr>
        <w:t>o</w:t>
      </w:r>
      <w:r w:rsidRPr="00EB1AAB">
        <w:rPr>
          <w:spacing w:val="-3"/>
        </w:rPr>
        <w:t>m</w:t>
      </w:r>
      <w:r w:rsidRPr="00EB1AAB">
        <w:t>e</w:t>
      </w:r>
      <w:r w:rsidRPr="00EB1AAB">
        <w:rPr>
          <w:spacing w:val="9"/>
        </w:rPr>
        <w:t xml:space="preserve"> </w:t>
      </w:r>
      <w:r w:rsidRPr="00EB1AAB">
        <w:rPr>
          <w:spacing w:val="1"/>
        </w:rPr>
        <w:t>(F</w:t>
      </w:r>
      <w:r w:rsidRPr="00EB1AAB">
        <w:t>V</w:t>
      </w:r>
      <w:r w:rsidRPr="00EB1AAB">
        <w:rPr>
          <w:spacing w:val="-2"/>
        </w:rPr>
        <w:t>O</w:t>
      </w:r>
      <w:r w:rsidRPr="00EB1AAB">
        <w:rPr>
          <w:spacing w:val="-1"/>
        </w:rPr>
        <w:t>C</w:t>
      </w:r>
      <w:r w:rsidRPr="00EB1AAB">
        <w:t>I)</w:t>
      </w:r>
    </w:p>
    <w:p w14:paraId="0DEB4347" w14:textId="77777777" w:rsidR="00655E4C" w:rsidRPr="00EB1AAB" w:rsidRDefault="00655E4C" w:rsidP="006F1659">
      <w:pPr>
        <w:spacing w:line="360" w:lineRule="auto"/>
        <w:ind w:right="-88"/>
        <w:rPr>
          <w:rFonts w:ascii="Arial" w:eastAsia="Arial" w:hAnsi="Arial" w:cs="Arial"/>
          <w:b/>
        </w:rPr>
      </w:pPr>
    </w:p>
    <w:p w14:paraId="1580AE46" w14:textId="0F8A5920" w:rsidR="00655E4C" w:rsidRPr="00EB1AAB" w:rsidRDefault="00655E4C" w:rsidP="006F1659">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00203B09" w:rsidRPr="00EB1AAB">
        <w:rPr>
          <w:rFonts w:ascii="Arial" w:eastAsia="Arial" w:hAnsi="Arial" w:cs="Arial"/>
          <w:spacing w:val="4"/>
        </w:rPr>
        <w:t>i</w:t>
      </w:r>
      <w:r w:rsidR="00203B09" w:rsidRPr="00EB1AAB">
        <w:rPr>
          <w:rFonts w:ascii="Arial" w:eastAsia="Arial" w:hAnsi="Arial" w:cs="Arial"/>
          <w:spacing w:val="-3"/>
        </w:rPr>
        <w:t>n</w:t>
      </w:r>
      <w:r w:rsidR="00203B09" w:rsidRPr="00EB1AAB">
        <w:rPr>
          <w:rFonts w:ascii="Arial" w:eastAsia="Arial" w:hAnsi="Arial" w:cs="Arial"/>
          <w:spacing w:val="5"/>
        </w:rPr>
        <w:t>t</w:t>
      </w:r>
      <w:r w:rsidR="00203B09" w:rsidRPr="00EB1AAB">
        <w:rPr>
          <w:rFonts w:ascii="Arial" w:eastAsia="Arial" w:hAnsi="Arial" w:cs="Arial"/>
          <w:spacing w:val="-3"/>
        </w:rPr>
        <w:t>e</w:t>
      </w:r>
      <w:r w:rsidR="00203B09" w:rsidRPr="00EB1AAB">
        <w:rPr>
          <w:rFonts w:ascii="Arial" w:eastAsia="Arial" w:hAnsi="Arial" w:cs="Arial"/>
          <w:spacing w:val="-1"/>
        </w:rPr>
        <w:t>r</w:t>
      </w:r>
      <w:r w:rsidR="00203B09" w:rsidRPr="00EB1AAB">
        <w:rPr>
          <w:rFonts w:ascii="Arial" w:eastAsia="Arial" w:hAnsi="Arial" w:cs="Arial"/>
        </w:rPr>
        <w:t>e</w:t>
      </w:r>
      <w:r w:rsidR="00203B09" w:rsidRPr="00EB1AAB">
        <w:rPr>
          <w:rFonts w:ascii="Arial" w:eastAsia="Arial" w:hAnsi="Arial" w:cs="Arial"/>
          <w:spacing w:val="-1"/>
        </w:rPr>
        <w:t>s</w:t>
      </w:r>
      <w:r w:rsidR="00203B09"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b</w:t>
      </w:r>
      <w:r w:rsidRPr="00EB1AAB">
        <w:rPr>
          <w:rFonts w:ascii="Arial" w:eastAsia="Arial" w:hAnsi="Arial" w:cs="Arial"/>
        </w:rPr>
        <w:t>ut</w:t>
      </w:r>
      <w:r w:rsidRPr="00EB1AAB">
        <w:rPr>
          <w:rFonts w:ascii="Arial" w:eastAsia="Arial" w:hAnsi="Arial" w:cs="Arial"/>
          <w:spacing w:val="4"/>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rPr>
        <w:t xml:space="preserve">o </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1"/>
        </w:rPr>
        <w:t>ll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rPr>
        <w:t>and have the ability</w:t>
      </w:r>
      <w:r w:rsidRPr="00EB1AAB">
        <w:rPr>
          <w:rFonts w:ascii="Arial" w:eastAsia="Arial" w:hAnsi="Arial" w:cs="Arial"/>
          <w:spacing w:val="2"/>
        </w:rPr>
        <w:t xml:space="preserve"> </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w w:val="101"/>
        </w:rPr>
        <w:t>t</w:t>
      </w:r>
      <w:r w:rsidRPr="00EB1AAB">
        <w:rPr>
          <w:rFonts w:ascii="Arial" w:eastAsia="Arial" w:hAnsi="Arial" w:cs="Arial"/>
          <w:spacing w:val="-3"/>
          <w:w w:val="101"/>
        </w:rPr>
        <w:t>h</w:t>
      </w:r>
      <w:r w:rsidRPr="00EB1AAB">
        <w:rPr>
          <w:rFonts w:ascii="Arial" w:eastAsia="Arial" w:hAnsi="Arial" w:cs="Arial"/>
          <w:w w:val="101"/>
        </w:rPr>
        <w:t xml:space="preserve">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mon</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spacing w:val="1"/>
        </w:rPr>
        <w:t>k</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2"/>
          <w:w w:val="101"/>
        </w:rPr>
        <w:t>f</w:t>
      </w:r>
      <w:r w:rsidRPr="00EB1AAB">
        <w:rPr>
          <w:rFonts w:ascii="Arial" w:eastAsia="Arial" w:hAnsi="Arial" w:cs="Arial"/>
          <w:w w:val="101"/>
        </w:rPr>
        <w:t>u</w:t>
      </w:r>
      <w:r w:rsidRPr="00EB1AAB">
        <w:rPr>
          <w:rFonts w:ascii="Arial" w:eastAsia="Arial" w:hAnsi="Arial" w:cs="Arial"/>
          <w:spacing w:val="-3"/>
          <w:w w:val="101"/>
        </w:rPr>
        <w:t>n</w:t>
      </w:r>
      <w:r w:rsidRPr="00EB1AAB">
        <w:rPr>
          <w:rFonts w:ascii="Arial" w:eastAsia="Arial" w:hAnsi="Arial" w:cs="Arial"/>
          <w:w w:val="101"/>
        </w:rPr>
        <w:t>d</w:t>
      </w:r>
      <w:r w:rsidRPr="00EB1AAB">
        <w:rPr>
          <w:rFonts w:ascii="Arial" w:eastAsia="Arial" w:hAnsi="Arial" w:cs="Arial"/>
          <w:spacing w:val="-2"/>
          <w:w w:val="101"/>
        </w:rPr>
        <w:t>s</w:t>
      </w:r>
      <w:r w:rsidRPr="00EB1AAB">
        <w:rPr>
          <w:rFonts w:ascii="Arial" w:eastAsia="Arial" w:hAnsi="Arial" w:cs="Arial"/>
          <w:spacing w:val="-1"/>
          <w:w w:val="101"/>
        </w:rPr>
        <w:t>)</w:t>
      </w:r>
      <w:r w:rsidRPr="00EB1AAB">
        <w:rPr>
          <w:rFonts w:ascii="Arial" w:eastAsia="Arial" w:hAnsi="Arial" w:cs="Arial"/>
          <w:w w:val="101"/>
        </w:rPr>
        <w:t>.</w:t>
      </w:r>
    </w:p>
    <w:p w14:paraId="04AA5EBE" w14:textId="77777777" w:rsidR="00655E4C" w:rsidRPr="00EB1AAB" w:rsidRDefault="00655E4C" w:rsidP="006F1659">
      <w:pPr>
        <w:spacing w:before="9" w:line="360" w:lineRule="auto"/>
        <w:ind w:right="-88"/>
        <w:rPr>
          <w:rFonts w:ascii="Arial" w:hAnsi="Arial" w:cs="Arial"/>
        </w:rPr>
      </w:pPr>
    </w:p>
    <w:p w14:paraId="1701520D" w14:textId="77777777" w:rsidR="00655E4C" w:rsidRPr="00EB1AAB" w:rsidRDefault="00655E4C" w:rsidP="006F1659">
      <w:pPr>
        <w:spacing w:line="360" w:lineRule="auto"/>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28B58AF3" w14:textId="77777777" w:rsidR="00655E4C" w:rsidRPr="00EB1AAB" w:rsidRDefault="00655E4C" w:rsidP="006F1659">
      <w:pPr>
        <w:spacing w:before="9" w:line="360" w:lineRule="auto"/>
        <w:rPr>
          <w:rFonts w:ascii="Arial" w:hAnsi="Arial" w:cs="Arial"/>
        </w:rPr>
      </w:pPr>
    </w:p>
    <w:p w14:paraId="57A05807" w14:textId="77777777" w:rsidR="00655E4C" w:rsidRPr="00EB1AAB" w:rsidRDefault="00655E4C" w:rsidP="006F1659">
      <w:pPr>
        <w:spacing w:line="360" w:lineRule="auto"/>
        <w:ind w:right="100"/>
        <w:rPr>
          <w:rFonts w:ascii="Arial" w:eastAsia="Arial" w:hAnsi="Arial" w:cs="Arial"/>
        </w:rPr>
      </w:pPr>
      <w:r w:rsidRPr="00EB1AAB">
        <w:rPr>
          <w:rFonts w:ascii="Arial" w:eastAsia="Arial" w:hAnsi="Arial" w:cs="Arial"/>
        </w:rPr>
        <w:t xml:space="preserve">All gains and losses due to changes in the fair value of these assets are accounted for through an unusable reserve (the Financial Instruments Revaluation Reserve) and charged to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rPr>
        <w:t>r</w:t>
      </w:r>
      <w:r w:rsidRPr="00EB1AAB">
        <w:rPr>
          <w:rFonts w:ascii="Arial" w:eastAsia="Arial" w:hAnsi="Arial" w:cs="Arial"/>
          <w:spacing w:val="11"/>
        </w:rPr>
        <w:t xml:space="preserve"> </w:t>
      </w:r>
      <w:r w:rsidRPr="00EB1AAB">
        <w:rPr>
          <w:rFonts w:ascii="Arial" w:eastAsia="Arial" w:hAnsi="Arial" w:cs="Arial"/>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1"/>
        </w:rPr>
        <w:t>siv</w:t>
      </w:r>
      <w:r w:rsidRPr="00EB1AAB">
        <w:rPr>
          <w:rFonts w:ascii="Arial" w:eastAsia="Arial" w:hAnsi="Arial" w:cs="Arial"/>
        </w:rPr>
        <w:t>e</w:t>
      </w:r>
      <w:r w:rsidRPr="00EB1AAB">
        <w:rPr>
          <w:rFonts w:ascii="Arial" w:eastAsia="Arial" w:hAnsi="Arial" w:cs="Arial"/>
          <w:spacing w:val="14"/>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3"/>
          <w:w w:val="101"/>
        </w:rPr>
        <w:t>c</w:t>
      </w:r>
      <w:r w:rsidRPr="00EB1AAB">
        <w:rPr>
          <w:rFonts w:ascii="Arial" w:eastAsia="Arial" w:hAnsi="Arial" w:cs="Arial"/>
          <w:spacing w:val="-3"/>
          <w:w w:val="101"/>
        </w:rPr>
        <w:t>o</w:t>
      </w:r>
      <w:r w:rsidRPr="00EB1AAB">
        <w:rPr>
          <w:rFonts w:ascii="Arial" w:eastAsia="Arial" w:hAnsi="Arial" w:cs="Arial"/>
          <w:spacing w:val="2"/>
          <w:w w:val="101"/>
        </w:rPr>
        <w:t>m</w:t>
      </w:r>
      <w:r w:rsidRPr="00EB1AAB">
        <w:rPr>
          <w:rFonts w:ascii="Arial" w:eastAsia="Arial" w:hAnsi="Arial" w:cs="Arial"/>
          <w:w w:val="101"/>
        </w:rPr>
        <w:t xml:space="preserve">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rPr>
        <w:t>p</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1"/>
        </w:rPr>
        <w:t>d</w:t>
      </w:r>
      <w:r w:rsidRPr="00EB1AAB">
        <w:rPr>
          <w:rFonts w:ascii="Arial" w:eastAsia="Arial" w:hAnsi="Arial" w:cs="Arial"/>
          <w:spacing w:val="1"/>
        </w:rPr>
        <w:t>i</w:t>
      </w:r>
      <w:r w:rsidRPr="00EB1AAB">
        <w:rPr>
          <w:rFonts w:ascii="Arial" w:eastAsia="Arial" w:hAnsi="Arial" w:cs="Arial"/>
        </w:rPr>
        <w:t>tu</w:t>
      </w:r>
      <w:r w:rsidRPr="00EB1AAB">
        <w:rPr>
          <w:rFonts w:ascii="Arial" w:eastAsia="Arial" w:hAnsi="Arial" w:cs="Arial"/>
          <w:spacing w:val="-1"/>
        </w:rPr>
        <w:t>r</w:t>
      </w:r>
      <w:r w:rsidRPr="00EB1AAB">
        <w:rPr>
          <w:rFonts w:ascii="Arial" w:eastAsia="Arial" w:hAnsi="Arial" w:cs="Arial"/>
        </w:rPr>
        <w:t>e.</w:t>
      </w:r>
    </w:p>
    <w:p w14:paraId="3D5DF6E2" w14:textId="77777777" w:rsidR="00655E4C" w:rsidRPr="00EB1AAB" w:rsidRDefault="00655E4C" w:rsidP="006F1659">
      <w:pPr>
        <w:spacing w:line="360" w:lineRule="auto"/>
        <w:ind w:right="100"/>
        <w:rPr>
          <w:rFonts w:ascii="Arial" w:eastAsia="Arial" w:hAnsi="Arial" w:cs="Arial"/>
        </w:rPr>
      </w:pPr>
    </w:p>
    <w:p w14:paraId="58D51CFC"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The cumulative gain or loss is debited or credited to the su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9"/>
        </w:rPr>
        <w:t>/</w:t>
      </w:r>
      <w:r w:rsidRPr="00EB1AAB">
        <w:rPr>
          <w:rFonts w:ascii="Arial" w:eastAsia="Arial" w:hAnsi="Arial" w:cs="Arial"/>
        </w:rPr>
        <w:t>d</w:t>
      </w:r>
      <w:r w:rsidRPr="00EB1AAB">
        <w:rPr>
          <w:rFonts w:ascii="Arial" w:eastAsia="Arial" w:hAnsi="Arial" w:cs="Arial"/>
          <w:spacing w:val="-3"/>
        </w:rPr>
        <w:t>e</w:t>
      </w:r>
      <w:r w:rsidRPr="00EB1AAB">
        <w:rPr>
          <w:rFonts w:ascii="Arial" w:eastAsia="Arial" w:hAnsi="Arial" w:cs="Arial"/>
          <w:spacing w:val="2"/>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w w:val="101"/>
        </w:rPr>
        <w:t xml:space="preserve">on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visi</w:t>
      </w:r>
      <w:r w:rsidRPr="00EB1AAB">
        <w:rPr>
          <w:rFonts w:ascii="Arial" w:eastAsia="Arial" w:hAnsi="Arial" w:cs="Arial"/>
        </w:rPr>
        <w:t>on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vic</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1"/>
        </w:rPr>
        <w:t>w</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an asset is</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1"/>
        </w:rPr>
        <w:t>s</w:t>
      </w:r>
      <w:r w:rsidRPr="00EB1AAB">
        <w:rPr>
          <w:rFonts w:ascii="Arial" w:eastAsia="Arial" w:hAnsi="Arial" w:cs="Arial"/>
          <w:spacing w:val="2"/>
        </w:rPr>
        <w:t>p</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ed</w:t>
      </w:r>
      <w:r w:rsidRPr="00EB1AAB">
        <w:rPr>
          <w:rFonts w:ascii="Arial" w:eastAsia="Arial" w:hAnsi="Arial" w:cs="Arial"/>
          <w:spacing w:val="12"/>
        </w:rPr>
        <w:t xml:space="preserve"> </w:t>
      </w:r>
      <w:r w:rsidRPr="00EB1AAB">
        <w:rPr>
          <w:rFonts w:ascii="Arial" w:eastAsia="Arial" w:hAnsi="Arial" w:cs="Arial"/>
          <w:w w:val="101"/>
        </w:rPr>
        <w:t>o</w:t>
      </w:r>
      <w:r w:rsidRPr="00EB1AAB">
        <w:rPr>
          <w:rFonts w:ascii="Arial" w:eastAsia="Arial" w:hAnsi="Arial" w:cs="Arial"/>
          <w:spacing w:val="2"/>
          <w:w w:val="101"/>
        </w:rPr>
        <w:t>f</w:t>
      </w:r>
      <w:r w:rsidRPr="00EB1AAB">
        <w:rPr>
          <w:rFonts w:ascii="Arial" w:eastAsia="Arial" w:hAnsi="Arial" w:cs="Arial"/>
          <w:w w:val="101"/>
        </w:rPr>
        <w:t>.</w:t>
      </w:r>
    </w:p>
    <w:p w14:paraId="02C5C412" w14:textId="77777777" w:rsidR="00655E4C" w:rsidRPr="00EB1AAB" w:rsidRDefault="00655E4C" w:rsidP="006F1659">
      <w:pPr>
        <w:spacing w:before="7" w:line="360" w:lineRule="auto"/>
        <w:rPr>
          <w:rFonts w:ascii="Arial" w:hAnsi="Arial" w:cs="Arial"/>
        </w:rPr>
      </w:pPr>
    </w:p>
    <w:p w14:paraId="77FF95D1" w14:textId="07BF5F6E" w:rsidR="00655E4C" w:rsidRPr="00EB1AAB" w:rsidRDefault="00655E4C" w:rsidP="006F1659">
      <w:pPr>
        <w:pStyle w:val="Heading5underline"/>
        <w:spacing w:line="360" w:lineRule="auto"/>
      </w:pPr>
      <w:r w:rsidRPr="00EB1AAB">
        <w:t>1.1</w:t>
      </w:r>
      <w:r w:rsidR="00E85440">
        <w:t>8</w:t>
      </w:r>
      <w:r w:rsidRPr="00EB1AAB">
        <w:t>.3. Fair</w:t>
      </w:r>
      <w:r w:rsidRPr="00EB1AAB">
        <w:rPr>
          <w:spacing w:val="5"/>
        </w:rPr>
        <w:t xml:space="preserve"> </w:t>
      </w:r>
      <w:r w:rsidRPr="00EB1AAB">
        <w:rPr>
          <w:spacing w:val="3"/>
        </w:rPr>
        <w:t>V</w:t>
      </w:r>
      <w:r w:rsidRPr="00EB1AAB">
        <w:rPr>
          <w:spacing w:val="-3"/>
        </w:rPr>
        <w:t>a</w:t>
      </w:r>
      <w:r w:rsidRPr="00EB1AAB">
        <w:t>l</w:t>
      </w:r>
      <w:r w:rsidRPr="00EB1AAB">
        <w:rPr>
          <w:spacing w:val="1"/>
        </w:rPr>
        <w:t>u</w:t>
      </w:r>
      <w:r w:rsidRPr="00EB1AAB">
        <w:t>e</w:t>
      </w:r>
      <w:r w:rsidRPr="00EB1AAB">
        <w:rPr>
          <w:spacing w:val="7"/>
        </w:rPr>
        <w:t xml:space="preserve"> </w:t>
      </w:r>
      <w:r w:rsidRPr="00EB1AAB">
        <w:t>th</w:t>
      </w:r>
      <w:r w:rsidRPr="00EB1AAB">
        <w:rPr>
          <w:spacing w:val="1"/>
        </w:rPr>
        <w:t>r</w:t>
      </w:r>
      <w:r w:rsidRPr="00EB1AAB">
        <w:t>o</w:t>
      </w:r>
      <w:r w:rsidRPr="00EB1AAB">
        <w:rPr>
          <w:spacing w:val="1"/>
        </w:rPr>
        <w:t>u</w:t>
      </w:r>
      <w:r w:rsidRPr="00EB1AAB">
        <w:t>gh</w:t>
      </w:r>
      <w:r w:rsidRPr="00EB1AAB">
        <w:rPr>
          <w:spacing w:val="10"/>
        </w:rPr>
        <w:t xml:space="preserve"> </w:t>
      </w:r>
      <w:r w:rsidRPr="00EB1AAB">
        <w:t>P</w:t>
      </w:r>
      <w:r w:rsidRPr="00EB1AAB">
        <w:rPr>
          <w:spacing w:val="3"/>
        </w:rPr>
        <w:t>r</w:t>
      </w:r>
      <w:r w:rsidRPr="00EB1AAB">
        <w:t>of</w:t>
      </w:r>
      <w:r w:rsidRPr="00EB1AAB">
        <w:rPr>
          <w:spacing w:val="2"/>
        </w:rPr>
        <w:t>i</w:t>
      </w:r>
      <w:r w:rsidRPr="00EB1AAB">
        <w:t>t</w:t>
      </w:r>
      <w:r w:rsidRPr="00EB1AAB">
        <w:rPr>
          <w:spacing w:val="6"/>
        </w:rPr>
        <w:t xml:space="preserve"> </w:t>
      </w:r>
      <w:r w:rsidRPr="00EB1AAB">
        <w:t>and</w:t>
      </w:r>
      <w:r w:rsidRPr="00EB1AAB">
        <w:rPr>
          <w:spacing w:val="6"/>
        </w:rPr>
        <w:t xml:space="preserve"> </w:t>
      </w:r>
      <w:r w:rsidRPr="00EB1AAB">
        <w:t>L</w:t>
      </w:r>
      <w:r w:rsidRPr="00EB1AAB">
        <w:rPr>
          <w:spacing w:val="1"/>
        </w:rPr>
        <w:t>o</w:t>
      </w:r>
      <w:r w:rsidRPr="00EB1AAB">
        <w:t>ss</w:t>
      </w:r>
      <w:r w:rsidRPr="00EB1AAB">
        <w:rPr>
          <w:spacing w:val="6"/>
        </w:rPr>
        <w:t xml:space="preserve"> </w:t>
      </w:r>
      <w:r w:rsidRPr="00EB1AAB">
        <w:t>(FV</w:t>
      </w:r>
      <w:r w:rsidRPr="00EB1AAB">
        <w:rPr>
          <w:spacing w:val="3"/>
        </w:rPr>
        <w:t>P</w:t>
      </w:r>
      <w:r w:rsidRPr="00EB1AAB">
        <w:t>L)</w:t>
      </w:r>
    </w:p>
    <w:p w14:paraId="2323645F" w14:textId="77777777" w:rsidR="00655E4C" w:rsidRPr="00EB1AAB" w:rsidRDefault="00655E4C" w:rsidP="006F1659">
      <w:pPr>
        <w:spacing w:line="360" w:lineRule="auto"/>
        <w:rPr>
          <w:rFonts w:ascii="Arial" w:eastAsia="Arial" w:hAnsi="Arial" w:cs="Arial"/>
          <w:u w:val="single"/>
        </w:rPr>
      </w:pPr>
    </w:p>
    <w:p w14:paraId="1FCE5B38" w14:textId="77777777" w:rsidR="00655E4C" w:rsidRPr="00EB1AAB" w:rsidRDefault="00655E4C" w:rsidP="006F1659">
      <w:pPr>
        <w:spacing w:before="6" w:line="360" w:lineRule="auto"/>
        <w:ind w:right="54"/>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p</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r</w:t>
      </w:r>
      <w:r w:rsidRPr="00EB1AAB">
        <w:rPr>
          <w:rFonts w:ascii="Arial" w:eastAsia="Arial" w:hAnsi="Arial" w:cs="Arial"/>
        </w:rPr>
        <w:t>est</w:t>
      </w:r>
      <w:r w:rsidRPr="00EB1AAB">
        <w:rPr>
          <w:rFonts w:ascii="Arial" w:eastAsia="Arial" w:hAnsi="Arial" w:cs="Arial"/>
          <w:spacing w:val="9"/>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2"/>
        </w:rPr>
        <w:t>.</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equity</w:t>
      </w:r>
      <w:r w:rsidRPr="00EB1AAB">
        <w:rPr>
          <w:rFonts w:ascii="Arial" w:eastAsia="Arial" w:hAnsi="Arial" w:cs="Arial"/>
          <w:spacing w:val="6"/>
        </w:rPr>
        <w:t xml:space="preserve"> </w:t>
      </w:r>
      <w:r w:rsidRPr="00EB1AAB">
        <w:rPr>
          <w:rFonts w:ascii="Arial" w:eastAsia="Arial" w:hAnsi="Arial" w:cs="Arial"/>
          <w:spacing w:val="1"/>
          <w:w w:val="101"/>
        </w:rPr>
        <w:t>i</w:t>
      </w:r>
      <w:r w:rsidRPr="00EB1AAB">
        <w:rPr>
          <w:rFonts w:ascii="Arial" w:eastAsia="Arial" w:hAnsi="Arial" w:cs="Arial"/>
          <w:w w:val="101"/>
        </w:rPr>
        <w:t>n</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3"/>
          <w:w w:val="101"/>
        </w:rPr>
        <w:t>m</w:t>
      </w:r>
      <w:r w:rsidRPr="00EB1AAB">
        <w:rPr>
          <w:rFonts w:ascii="Arial" w:eastAsia="Arial" w:hAnsi="Arial" w:cs="Arial"/>
          <w:w w:val="101"/>
        </w:rPr>
        <w:t>e</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4A8E2A7E" w14:textId="77777777" w:rsidR="00655E4C" w:rsidRPr="00EB1AAB" w:rsidRDefault="00655E4C" w:rsidP="006F1659">
      <w:pPr>
        <w:spacing w:before="9" w:line="360" w:lineRule="auto"/>
        <w:ind w:right="54"/>
        <w:rPr>
          <w:rFonts w:ascii="Arial" w:hAnsi="Arial" w:cs="Arial"/>
        </w:rPr>
      </w:pPr>
    </w:p>
    <w:p w14:paraId="4B00F1A0"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Ch</w:t>
      </w:r>
      <w:r w:rsidRPr="00EB1AAB">
        <w:rPr>
          <w:rFonts w:ascii="Arial" w:eastAsia="Arial" w:hAnsi="Arial" w:cs="Arial"/>
          <w:spacing w:val="-1"/>
        </w:rPr>
        <w:t>an</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 xml:space="preserve">n </w:t>
      </w:r>
      <w:r w:rsidRPr="00EB1AAB">
        <w:rPr>
          <w:rFonts w:ascii="Arial" w:eastAsia="Arial" w:hAnsi="Arial" w:cs="Arial"/>
          <w:spacing w:val="5"/>
        </w:rPr>
        <w:t>f</w:t>
      </w:r>
      <w:r w:rsidRPr="00EB1AAB">
        <w:rPr>
          <w:rFonts w:ascii="Arial" w:eastAsia="Arial" w:hAnsi="Arial" w:cs="Arial"/>
          <w:spacing w:val="-3"/>
        </w:rPr>
        <w:t>a</w:t>
      </w:r>
      <w:r w:rsidRPr="00EB1AAB">
        <w:rPr>
          <w:rFonts w:ascii="Arial" w:eastAsia="Arial" w:hAnsi="Arial" w:cs="Arial"/>
          <w:spacing w:val="4"/>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2"/>
        </w:rPr>
        <w:t>u</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2"/>
        </w:rPr>
        <w:t>r</w:t>
      </w:r>
      <w:r w:rsidRPr="00EB1AAB">
        <w:rPr>
          <w:rFonts w:ascii="Arial" w:eastAsia="Arial" w:hAnsi="Arial" w:cs="Arial"/>
        </w:rPr>
        <w:t>ged</w:t>
      </w:r>
      <w:r w:rsidRPr="00EB1AAB">
        <w:rPr>
          <w:rFonts w:ascii="Arial" w:eastAsia="Arial" w:hAnsi="Arial" w:cs="Arial"/>
          <w:spacing w:val="9"/>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3"/>
        </w:rPr>
        <w:t>s</w:t>
      </w:r>
      <w:r w:rsidRPr="00EB1AAB">
        <w:rPr>
          <w:rFonts w:ascii="Arial" w:eastAsia="Arial" w:hAnsi="Arial" w:cs="Arial"/>
        </w:rPr>
        <w:t>u</w:t>
      </w:r>
      <w:r w:rsidRPr="00EB1AAB">
        <w:rPr>
          <w:rFonts w:ascii="Arial" w:eastAsia="Arial" w:hAnsi="Arial" w:cs="Arial"/>
          <w:spacing w:val="-1"/>
        </w:rPr>
        <w:t>r</w:t>
      </w:r>
      <w:r w:rsidRPr="00EB1AAB">
        <w:rPr>
          <w:rFonts w:ascii="Arial" w:eastAsia="Arial" w:hAnsi="Arial" w:cs="Arial"/>
          <w:spacing w:val="-3"/>
        </w:rPr>
        <w:t>p</w:t>
      </w:r>
      <w:r w:rsidRPr="00EB1AAB">
        <w:rPr>
          <w:rFonts w:ascii="Arial" w:eastAsia="Arial" w:hAnsi="Arial" w:cs="Arial"/>
          <w:spacing w:val="6"/>
        </w:rPr>
        <w:t>l</w:t>
      </w:r>
      <w:r w:rsidRPr="00EB1AAB">
        <w:rPr>
          <w:rFonts w:ascii="Arial" w:eastAsia="Arial" w:hAnsi="Arial" w:cs="Arial"/>
          <w:spacing w:val="-3"/>
        </w:rPr>
        <w:t>u</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rPr>
        <w:t>net</w:t>
      </w:r>
      <w:r w:rsidRPr="00EB1AAB">
        <w:rPr>
          <w:rFonts w:ascii="Arial" w:eastAsia="Arial" w:hAnsi="Arial" w:cs="Arial"/>
          <w:spacing w:val="4"/>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4"/>
        </w:rPr>
        <w:t>i</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w w:val="101"/>
        </w:rPr>
        <w:t>s</w:t>
      </w:r>
      <w:r w:rsidRPr="00EB1AAB">
        <w:rPr>
          <w:rFonts w:ascii="Arial" w:eastAsia="Arial" w:hAnsi="Arial" w:cs="Arial"/>
          <w:spacing w:val="-3"/>
          <w:w w:val="101"/>
        </w:rPr>
        <w:t>e</w:t>
      </w:r>
      <w:r w:rsidRPr="00EB1AAB">
        <w:rPr>
          <w:rFonts w:ascii="Arial" w:eastAsia="Arial" w:hAnsi="Arial" w:cs="Arial"/>
          <w:spacing w:val="-1"/>
          <w:w w:val="101"/>
        </w:rPr>
        <w:t>r</w:t>
      </w:r>
      <w:r w:rsidRPr="00EB1AAB">
        <w:rPr>
          <w:rFonts w:ascii="Arial" w:eastAsia="Arial" w:hAnsi="Arial" w:cs="Arial"/>
          <w:spacing w:val="1"/>
          <w:w w:val="101"/>
        </w:rPr>
        <w:t>vic</w:t>
      </w:r>
      <w:r w:rsidRPr="00EB1AAB">
        <w:rPr>
          <w:rFonts w:ascii="Arial" w:eastAsia="Arial" w:hAnsi="Arial" w:cs="Arial"/>
          <w:spacing w:val="-3"/>
          <w:w w:val="101"/>
        </w:rPr>
        <w:t>e</w:t>
      </w:r>
      <w:r w:rsidRPr="00EB1AAB">
        <w:rPr>
          <w:rFonts w:ascii="Arial" w:eastAsia="Arial" w:hAnsi="Arial" w:cs="Arial"/>
          <w:w w:val="101"/>
        </w:rPr>
        <w:t xml:space="preserve">s </w:t>
      </w:r>
      <w:r w:rsidRPr="00EB1AAB">
        <w:rPr>
          <w:rFonts w:ascii="Arial" w:eastAsia="Arial" w:hAnsi="Arial" w:cs="Arial"/>
        </w:rPr>
        <w:t>as</w:t>
      </w:r>
      <w:r w:rsidRPr="00EB1AAB">
        <w:rPr>
          <w:rFonts w:ascii="Arial" w:eastAsia="Arial" w:hAnsi="Arial" w:cs="Arial"/>
          <w:spacing w:val="1"/>
        </w:rPr>
        <w:t xml:space="preserve"> </w:t>
      </w:r>
      <w:r w:rsidRPr="00EB1AAB">
        <w:rPr>
          <w:rFonts w:ascii="Arial" w:eastAsia="Arial" w:hAnsi="Arial" w:cs="Arial"/>
          <w:spacing w:val="3"/>
        </w:rPr>
        <w:t>t</w:t>
      </w:r>
      <w:r w:rsidRPr="00EB1AAB">
        <w:rPr>
          <w:rFonts w:ascii="Arial" w:eastAsia="Arial" w:hAnsi="Arial" w:cs="Arial"/>
          <w:spacing w:val="-3"/>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w w:val="101"/>
        </w:rPr>
        <w:t>o</w:t>
      </w:r>
      <w:r w:rsidRPr="00EB1AAB">
        <w:rPr>
          <w:rFonts w:ascii="Arial" w:eastAsia="Arial" w:hAnsi="Arial" w:cs="Arial"/>
          <w:spacing w:val="1"/>
          <w:w w:val="101"/>
        </w:rPr>
        <w:t>cc</w:t>
      </w:r>
      <w:r w:rsidRPr="00EB1AAB">
        <w:rPr>
          <w:rFonts w:ascii="Arial" w:eastAsia="Arial" w:hAnsi="Arial" w:cs="Arial"/>
          <w:w w:val="101"/>
        </w:rPr>
        <w:t>u</w:t>
      </w:r>
      <w:r w:rsidRPr="00EB1AAB">
        <w:rPr>
          <w:rFonts w:ascii="Arial" w:eastAsia="Arial" w:hAnsi="Arial" w:cs="Arial"/>
          <w:spacing w:val="-1"/>
          <w:w w:val="101"/>
        </w:rPr>
        <w:t>r</w:t>
      </w:r>
      <w:r w:rsidRPr="00EB1AAB">
        <w:rPr>
          <w:rFonts w:ascii="Arial" w:eastAsia="Arial" w:hAnsi="Arial" w:cs="Arial"/>
          <w:w w:val="101"/>
        </w:rPr>
        <w:t>.</w:t>
      </w:r>
    </w:p>
    <w:p w14:paraId="7E425665" w14:textId="77777777" w:rsidR="00655E4C" w:rsidRPr="00EB1AAB" w:rsidRDefault="00655E4C" w:rsidP="006F1659">
      <w:pPr>
        <w:spacing w:before="12" w:line="360" w:lineRule="auto"/>
        <w:rPr>
          <w:rFonts w:ascii="Arial" w:hAnsi="Arial" w:cs="Arial"/>
        </w:rPr>
      </w:pPr>
    </w:p>
    <w:p w14:paraId="51F967A3"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Un</w:t>
      </w:r>
      <w:r w:rsidRPr="00EB1AAB">
        <w:rPr>
          <w:rFonts w:ascii="Arial" w:eastAsia="Arial" w:hAnsi="Arial" w:cs="Arial"/>
          <w:spacing w:val="-1"/>
        </w:rPr>
        <w:t>d</w:t>
      </w:r>
      <w:r w:rsidRPr="00EB1AAB">
        <w:rPr>
          <w:rFonts w:ascii="Arial" w:eastAsia="Arial" w:hAnsi="Arial" w:cs="Arial"/>
        </w:rPr>
        <w:t>er</w:t>
      </w:r>
      <w:r w:rsidRPr="00EB1AAB">
        <w:rPr>
          <w:rFonts w:ascii="Arial" w:eastAsia="Arial" w:hAnsi="Arial" w:cs="Arial"/>
          <w:spacing w:val="6"/>
        </w:rPr>
        <w:t xml:space="preserve"> </w:t>
      </w:r>
      <w:r w:rsidRPr="00EB1AAB">
        <w:rPr>
          <w:rFonts w:ascii="Arial" w:eastAsia="Arial" w:hAnsi="Arial" w:cs="Arial"/>
          <w:spacing w:val="3"/>
        </w:rPr>
        <w:t>c</w:t>
      </w:r>
      <w:r w:rsidRPr="00EB1AAB">
        <w:rPr>
          <w:rFonts w:ascii="Arial" w:eastAsia="Arial" w:hAnsi="Arial" w:cs="Arial"/>
          <w:spacing w:val="-3"/>
        </w:rPr>
        <w:t>a</w:t>
      </w:r>
      <w:r w:rsidRPr="00EB1AAB">
        <w:rPr>
          <w:rFonts w:ascii="Arial" w:eastAsia="Arial" w:hAnsi="Arial" w:cs="Arial"/>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11"/>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rPr>
        <w:t>unt</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2"/>
        </w:rPr>
        <w:t xml:space="preserve"> </w:t>
      </w:r>
      <w:r w:rsidRPr="00EB1AAB">
        <w:rPr>
          <w:rFonts w:ascii="Arial" w:eastAsia="Arial" w:hAnsi="Arial" w:cs="Arial"/>
          <w:spacing w:val="2"/>
        </w:rPr>
        <w:t>re</w:t>
      </w:r>
      <w:r w:rsidRPr="00EB1AAB">
        <w:rPr>
          <w:rFonts w:ascii="Arial" w:eastAsia="Arial" w:hAnsi="Arial" w:cs="Arial"/>
          <w:spacing w:val="-2"/>
        </w:rPr>
        <w:t>g</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w w:val="101"/>
        </w:rPr>
        <w:t>c</w:t>
      </w:r>
      <w:r w:rsidRPr="00EB1AAB">
        <w:rPr>
          <w:rFonts w:ascii="Arial" w:eastAsia="Arial" w:hAnsi="Arial" w:cs="Arial"/>
          <w:w w:val="101"/>
        </w:rPr>
        <w:t>ap</w:t>
      </w:r>
      <w:r w:rsidRPr="00EB1AAB">
        <w:rPr>
          <w:rFonts w:ascii="Arial" w:eastAsia="Arial" w:hAnsi="Arial" w:cs="Arial"/>
          <w:spacing w:val="1"/>
          <w:w w:val="101"/>
        </w:rPr>
        <w:t>i</w:t>
      </w:r>
      <w:r w:rsidRPr="00EB1AAB">
        <w:rPr>
          <w:rFonts w:ascii="Arial" w:eastAsia="Arial" w:hAnsi="Arial" w:cs="Arial"/>
          <w:spacing w:val="2"/>
          <w:w w:val="101"/>
        </w:rPr>
        <w:t>t</w:t>
      </w:r>
      <w:r w:rsidRPr="00EB1AAB">
        <w:rPr>
          <w:rFonts w:ascii="Arial" w:eastAsia="Arial" w:hAnsi="Arial" w:cs="Arial"/>
          <w:spacing w:val="-3"/>
          <w:w w:val="101"/>
        </w:rPr>
        <w:t>a</w:t>
      </w:r>
      <w:r w:rsidRPr="00EB1AAB">
        <w:rPr>
          <w:rFonts w:ascii="Arial" w:eastAsia="Arial" w:hAnsi="Arial" w:cs="Arial"/>
          <w:w w:val="101"/>
        </w:rPr>
        <w:t xml:space="preserve">l </w:t>
      </w:r>
      <w:r w:rsidRPr="00EB1AAB">
        <w:rPr>
          <w:rFonts w:ascii="Arial" w:eastAsia="Arial" w:hAnsi="Arial" w:cs="Arial"/>
        </w:rPr>
        <w:t>e</w:t>
      </w:r>
      <w:r w:rsidRPr="00EB1AAB">
        <w:rPr>
          <w:rFonts w:ascii="Arial" w:eastAsia="Arial" w:hAnsi="Arial" w:cs="Arial"/>
          <w:spacing w:val="-2"/>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2"/>
        </w:rPr>
        <w:t>u</w:t>
      </w:r>
      <w:r w:rsidRPr="00EB1AAB">
        <w:rPr>
          <w:rFonts w:ascii="Arial" w:eastAsia="Arial" w:hAnsi="Arial" w:cs="Arial"/>
          <w:spacing w:val="4"/>
        </w:rPr>
        <w:t>r</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3"/>
        </w:rPr>
        <w:t>g</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7"/>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oss</w:t>
      </w:r>
      <w:r w:rsidRPr="00EB1AAB">
        <w:rPr>
          <w:rFonts w:ascii="Arial" w:eastAsia="Arial" w:hAnsi="Arial" w:cs="Arial"/>
          <w:spacing w:val="4"/>
        </w:rPr>
        <w:t xml:space="preserve"> i</w:t>
      </w:r>
      <w:r w:rsidRPr="00EB1AAB">
        <w:rPr>
          <w:rFonts w:ascii="Arial" w:eastAsia="Arial" w:hAnsi="Arial" w:cs="Arial"/>
        </w:rPr>
        <w:t>s</w:t>
      </w:r>
      <w:r w:rsidRPr="00EB1AAB">
        <w:rPr>
          <w:rFonts w:ascii="Arial" w:eastAsia="Arial" w:hAnsi="Arial" w:cs="Arial"/>
          <w:spacing w:val="2"/>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rPr>
        <w:t>th</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2"/>
        </w:rPr>
        <w:t>u</w:t>
      </w:r>
      <w:r w:rsidRPr="00EB1AAB">
        <w:rPr>
          <w:rFonts w:ascii="Arial" w:eastAsia="Arial" w:hAnsi="Arial" w:cs="Arial"/>
          <w:spacing w:val="-3"/>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M</w:t>
      </w:r>
      <w:r w:rsidRPr="00EB1AAB">
        <w:rPr>
          <w:rFonts w:ascii="Arial" w:eastAsia="Arial" w:hAnsi="Arial" w:cs="Arial"/>
          <w:spacing w:val="-1"/>
        </w:rPr>
        <w:t>ov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rPr>
        <w:t>R</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w w:val="101"/>
        </w:rPr>
        <w:t>Sta</w:t>
      </w:r>
      <w:r w:rsidRPr="00EB1AAB">
        <w:rPr>
          <w:rFonts w:ascii="Arial" w:eastAsia="Arial" w:hAnsi="Arial" w:cs="Arial"/>
          <w:spacing w:val="-1"/>
          <w:w w:val="101"/>
        </w:rPr>
        <w:t>t</w:t>
      </w:r>
      <w:r w:rsidRPr="00EB1AAB">
        <w:rPr>
          <w:rFonts w:ascii="Arial" w:eastAsia="Arial" w:hAnsi="Arial" w:cs="Arial"/>
          <w:spacing w:val="-3"/>
          <w:w w:val="101"/>
        </w:rPr>
        <w:t>e</w:t>
      </w:r>
      <w:r w:rsidRPr="00EB1AAB">
        <w:rPr>
          <w:rFonts w:ascii="Arial" w:eastAsia="Arial" w:hAnsi="Arial" w:cs="Arial"/>
          <w:spacing w:val="2"/>
          <w:w w:val="101"/>
        </w:rPr>
        <w:t>me</w:t>
      </w:r>
      <w:r w:rsidRPr="00EB1AAB">
        <w:rPr>
          <w:rFonts w:ascii="Arial" w:eastAsia="Arial" w:hAnsi="Arial" w:cs="Arial"/>
          <w:spacing w:val="-3"/>
          <w:w w:val="101"/>
        </w:rPr>
        <w:t>n</w:t>
      </w:r>
      <w:r w:rsidRPr="00EB1AAB">
        <w:rPr>
          <w:rFonts w:ascii="Arial" w:eastAsia="Arial" w:hAnsi="Arial" w:cs="Arial"/>
          <w:w w:val="101"/>
        </w:rPr>
        <w:t xml:space="preserve">t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1"/>
        </w:rPr>
        <w:t>r</w:t>
      </w:r>
      <w:r w:rsidRPr="00EB1AAB">
        <w:rPr>
          <w:rFonts w:ascii="Arial" w:eastAsia="Arial" w:hAnsi="Arial" w:cs="Arial"/>
          <w:spacing w:val="-2"/>
        </w:rPr>
        <w:t>g</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the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2"/>
        </w:rPr>
        <w:t>d</w:t>
      </w:r>
      <w:r w:rsidRPr="00EB1AAB">
        <w:rPr>
          <w:rFonts w:ascii="Arial" w:eastAsia="Arial" w:hAnsi="Arial" w:cs="Arial"/>
          <w:spacing w:val="3"/>
        </w:rPr>
        <w:t>j</w:t>
      </w:r>
      <w:r w:rsidRPr="00EB1AAB">
        <w:rPr>
          <w:rFonts w:ascii="Arial" w:eastAsia="Arial" w:hAnsi="Arial" w:cs="Arial"/>
          <w:spacing w:val="-3"/>
        </w:rPr>
        <w:t>u</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nt</w:t>
      </w:r>
      <w:r w:rsidRPr="00EB1AAB">
        <w:rPr>
          <w:rFonts w:ascii="Arial" w:eastAsia="Arial" w:hAnsi="Arial" w:cs="Arial"/>
          <w:spacing w:val="12"/>
        </w:rPr>
        <w:t xml:space="preserve"> </w:t>
      </w:r>
      <w:r w:rsidRPr="00EB1AAB">
        <w:rPr>
          <w:rFonts w:ascii="Arial" w:eastAsia="Arial" w:hAnsi="Arial" w:cs="Arial"/>
          <w:spacing w:val="3"/>
          <w:w w:val="101"/>
        </w:rPr>
        <w:t>A</w:t>
      </w:r>
      <w:r w:rsidRPr="00EB1AAB">
        <w:rPr>
          <w:rFonts w:ascii="Arial" w:eastAsia="Arial" w:hAnsi="Arial" w:cs="Arial"/>
          <w:spacing w:val="-1"/>
          <w:w w:val="101"/>
        </w:rPr>
        <w:t>c</w:t>
      </w:r>
      <w:r w:rsidRPr="00EB1AAB">
        <w:rPr>
          <w:rFonts w:ascii="Arial" w:eastAsia="Arial" w:hAnsi="Arial" w:cs="Arial"/>
          <w:spacing w:val="1"/>
          <w:w w:val="101"/>
        </w:rPr>
        <w:t>c</w:t>
      </w:r>
      <w:r w:rsidRPr="00EB1AAB">
        <w:rPr>
          <w:rFonts w:ascii="Arial" w:eastAsia="Arial" w:hAnsi="Arial" w:cs="Arial"/>
          <w:spacing w:val="-3"/>
          <w:w w:val="101"/>
        </w:rPr>
        <w:t>o</w:t>
      </w:r>
      <w:r w:rsidRPr="00EB1AAB">
        <w:rPr>
          <w:rFonts w:ascii="Arial" w:eastAsia="Arial" w:hAnsi="Arial" w:cs="Arial"/>
          <w:w w:val="101"/>
        </w:rPr>
        <w:t>u</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rPr>
        <w:t>, which is an</w:t>
      </w:r>
      <w:r w:rsidRPr="00EB1AAB">
        <w:rPr>
          <w:rFonts w:ascii="Arial" w:eastAsia="Arial" w:hAnsi="Arial" w:cs="Arial"/>
          <w:spacing w:val="6"/>
        </w:rPr>
        <w:t xml:space="preserve"> </w:t>
      </w:r>
      <w:r w:rsidRPr="00EB1AAB">
        <w:rPr>
          <w:rFonts w:ascii="Arial" w:eastAsia="Arial" w:hAnsi="Arial" w:cs="Arial"/>
          <w:spacing w:val="-3"/>
        </w:rPr>
        <w:t>u</w:t>
      </w:r>
      <w:r w:rsidRPr="00EB1AAB">
        <w:rPr>
          <w:rFonts w:ascii="Arial" w:eastAsia="Arial" w:hAnsi="Arial" w:cs="Arial"/>
          <w:spacing w:val="2"/>
        </w:rPr>
        <w:t>n</w:t>
      </w:r>
      <w:r w:rsidRPr="00EB1AAB">
        <w:rPr>
          <w:rFonts w:ascii="Arial" w:eastAsia="Arial" w:hAnsi="Arial" w:cs="Arial"/>
        </w:rPr>
        <w:t>usa</w:t>
      </w:r>
      <w:r w:rsidRPr="00EB1AAB">
        <w:rPr>
          <w:rFonts w:ascii="Arial" w:eastAsia="Arial" w:hAnsi="Arial" w:cs="Arial"/>
          <w:spacing w:val="-3"/>
        </w:rPr>
        <w:t>b</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10"/>
        </w:rPr>
        <w:t xml:space="preserve"> </w:t>
      </w:r>
      <w:r w:rsidRPr="00EB1AAB">
        <w:rPr>
          <w:rFonts w:ascii="Arial" w:eastAsia="Arial" w:hAnsi="Arial" w:cs="Arial"/>
          <w:spacing w:val="2"/>
        </w:rPr>
        <w:t>r</w:t>
      </w:r>
      <w:r w:rsidRPr="00EB1AAB">
        <w:rPr>
          <w:rFonts w:ascii="Arial" w:eastAsia="Arial" w:hAnsi="Arial" w:cs="Arial"/>
        </w:rPr>
        <w:t>ese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9"/>
        </w:rPr>
        <w:t xml:space="preserve"> </w:t>
      </w:r>
    </w:p>
    <w:p w14:paraId="6809B74C" w14:textId="77777777" w:rsidR="00655E4C" w:rsidRPr="00EB1AAB" w:rsidRDefault="00655E4C" w:rsidP="006F1659">
      <w:pPr>
        <w:spacing w:line="360" w:lineRule="auto"/>
        <w:rPr>
          <w:rFonts w:ascii="Arial" w:eastAsia="Arial" w:hAnsi="Arial" w:cs="Arial"/>
        </w:rPr>
      </w:pPr>
    </w:p>
    <w:p w14:paraId="40DBC847" w14:textId="4A9F1167" w:rsidR="00A506A6" w:rsidRPr="00A506A6" w:rsidRDefault="00655E4C" w:rsidP="006F1659">
      <w:pPr>
        <w:spacing w:before="4" w:line="360" w:lineRule="auto"/>
        <w:ind w:right="-88"/>
        <w:rPr>
          <w:rFonts w:ascii="Arial" w:eastAsia="Arial" w:hAnsi="Arial" w:cs="Arial"/>
        </w:rPr>
      </w:pP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rPr>
        <w:t>eq</w:t>
      </w:r>
      <w:r w:rsidRPr="00EB1AAB">
        <w:rPr>
          <w:rFonts w:ascii="Arial" w:eastAsia="Arial" w:hAnsi="Arial" w:cs="Arial"/>
          <w:spacing w:val="-1"/>
        </w:rPr>
        <w:t>u</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3"/>
        </w:rPr>
        <w:t xml:space="preserve"> 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1"/>
        </w:rPr>
        <w:t>m</w:t>
      </w:r>
      <w:r w:rsidRPr="00EB1AAB">
        <w:rPr>
          <w:rFonts w:ascii="Arial" w:eastAsia="Arial" w:hAnsi="Arial" w:cs="Arial"/>
          <w:spacing w:val="2"/>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h</w:t>
      </w:r>
      <w:r w:rsidRPr="00EB1AAB">
        <w:rPr>
          <w:rFonts w:ascii="Arial" w:eastAsia="Arial" w:hAnsi="Arial" w:cs="Arial"/>
        </w:rPr>
        <w:t>as</w:t>
      </w:r>
      <w:r w:rsidRPr="00EB1AAB">
        <w:rPr>
          <w:rFonts w:ascii="Arial" w:eastAsia="Arial" w:hAnsi="Arial" w:cs="Arial"/>
          <w:spacing w:val="9"/>
        </w:rPr>
        <w:t xml:space="preserve"> </w:t>
      </w:r>
      <w:r w:rsidRPr="00EB1AAB">
        <w:rPr>
          <w:rFonts w:ascii="Arial" w:eastAsia="Arial" w:hAnsi="Arial" w:cs="Arial"/>
          <w:spacing w:val="-3"/>
        </w:rPr>
        <w:t>b</w:t>
      </w:r>
      <w:r w:rsidRPr="00EB1AAB">
        <w:rPr>
          <w:rFonts w:ascii="Arial" w:eastAsia="Arial" w:hAnsi="Arial" w:cs="Arial"/>
          <w:spacing w:val="2"/>
        </w:rPr>
        <w:t>e</w:t>
      </w:r>
      <w:r w:rsidRPr="00EB1AAB">
        <w:rPr>
          <w:rFonts w:ascii="Arial" w:eastAsia="Arial" w:hAnsi="Arial" w:cs="Arial"/>
        </w:rPr>
        <w:t>en</w:t>
      </w:r>
      <w:r w:rsidRPr="00EB1AAB">
        <w:rPr>
          <w:rFonts w:ascii="Arial" w:eastAsia="Arial" w:hAnsi="Arial" w:cs="Arial"/>
          <w:spacing w:val="6"/>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rPr>
        <w:t>as</w:t>
      </w:r>
      <w:r w:rsidRPr="00EB1AAB">
        <w:rPr>
          <w:rFonts w:ascii="Arial" w:eastAsia="Arial" w:hAnsi="Arial" w:cs="Arial"/>
          <w:spacing w:val="6"/>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3"/>
        </w:rPr>
        <w:t>P</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an</w:t>
      </w:r>
      <w:r w:rsidRPr="00EB1AAB">
        <w:rPr>
          <w:rFonts w:ascii="Arial" w:eastAsia="Arial" w:hAnsi="Arial" w:cs="Arial"/>
          <w:spacing w:val="2"/>
        </w:rPr>
        <w:t xml:space="preserve"> b</w:t>
      </w:r>
      <w:r w:rsidRPr="00EB1AAB">
        <w:rPr>
          <w:rFonts w:ascii="Arial" w:eastAsia="Arial" w:hAnsi="Arial" w:cs="Arial"/>
        </w:rPr>
        <w:t>e</w:t>
      </w:r>
      <w:r w:rsidRPr="00EB1AAB">
        <w:rPr>
          <w:rFonts w:ascii="Arial" w:eastAsia="Arial" w:hAnsi="Arial" w:cs="Arial"/>
          <w:spacing w:val="4"/>
        </w:rPr>
        <w:t xml:space="preserve"> 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ed</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8"/>
        </w:rPr>
        <w:t xml:space="preserve"> </w:t>
      </w:r>
      <w:r w:rsidRPr="00EB1AAB">
        <w:rPr>
          <w:rFonts w:ascii="Arial" w:eastAsia="Arial" w:hAnsi="Arial" w:cs="Arial"/>
          <w:spacing w:val="4"/>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spacing w:val="3"/>
        </w:rPr>
        <w:t>i</w:t>
      </w:r>
      <w:r w:rsidRPr="00EB1AAB">
        <w:rPr>
          <w:rFonts w:ascii="Arial" w:eastAsia="Arial" w:hAnsi="Arial" w:cs="Arial"/>
        </w:rPr>
        <w:t xml:space="preserve">t </w:t>
      </w:r>
      <w:r w:rsidRPr="00EB1AAB">
        <w:rPr>
          <w:rFonts w:ascii="Arial" w:eastAsia="Arial" w:hAnsi="Arial" w:cs="Arial"/>
          <w:spacing w:val="4"/>
          <w:w w:val="101"/>
        </w:rPr>
        <w:t>i</w:t>
      </w:r>
      <w:r w:rsidRPr="00EB1AAB">
        <w:rPr>
          <w:rFonts w:ascii="Arial" w:eastAsia="Arial" w:hAnsi="Arial" w:cs="Arial"/>
          <w:w w:val="101"/>
        </w:rPr>
        <w:t xml:space="preserve">s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rPr>
        <w:t>he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a</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ng</w:t>
      </w:r>
      <w:r w:rsidRPr="00EB1AAB">
        <w:rPr>
          <w:rFonts w:ascii="Arial" w:eastAsia="Arial" w:hAnsi="Arial" w:cs="Arial"/>
          <w:spacing w:val="7"/>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s</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1"/>
        </w:rPr>
        <w:t>i</w:t>
      </w:r>
      <w:r w:rsidRPr="00EB1AAB">
        <w:rPr>
          <w:rFonts w:ascii="Arial" w:eastAsia="Arial" w:hAnsi="Arial" w:cs="Arial"/>
        </w:rPr>
        <w:t>c</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
        </w:rPr>
        <w:t>)</w:t>
      </w:r>
      <w:r w:rsidRPr="00EB1AAB">
        <w:rPr>
          <w:rFonts w:ascii="Arial" w:eastAsia="Arial" w:hAnsi="Arial" w:cs="Arial"/>
        </w:rPr>
        <w:t>.</w:t>
      </w:r>
      <w:r w:rsidRPr="00EB1AAB">
        <w:rPr>
          <w:rFonts w:ascii="Arial" w:eastAsia="Arial" w:hAnsi="Arial" w:cs="Arial"/>
          <w:spacing w:val="15"/>
        </w:rPr>
        <w:t xml:space="preserve"> </w:t>
      </w:r>
      <w:r w:rsidRPr="00EB1AAB">
        <w:rPr>
          <w:rFonts w:ascii="Arial" w:eastAsia="Arial" w:hAnsi="Arial" w:cs="Arial"/>
          <w:spacing w:val="1"/>
        </w:rPr>
        <w:t>O</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3"/>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2"/>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rPr>
        <w:t>h</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rPr>
        <w:t>be</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w w:val="101"/>
        </w:rPr>
        <w:t>ma</w:t>
      </w:r>
      <w:r w:rsidRPr="00EB1AAB">
        <w:rPr>
          <w:rFonts w:ascii="Arial" w:eastAsia="Arial" w:hAnsi="Arial" w:cs="Arial"/>
          <w:spacing w:val="-3"/>
          <w:w w:val="101"/>
        </w:rPr>
        <w:t>d</w:t>
      </w:r>
      <w:r w:rsidRPr="00EB1AAB">
        <w:rPr>
          <w:rFonts w:ascii="Arial" w:eastAsia="Arial" w:hAnsi="Arial" w:cs="Arial"/>
          <w:w w:val="101"/>
        </w:rPr>
        <w:t>e</w:t>
      </w:r>
      <w:r w:rsidRPr="00EB1AAB">
        <w:rPr>
          <w:rFonts w:ascii="Arial" w:eastAsia="Arial" w:hAnsi="Arial" w:cs="Arial"/>
        </w:rPr>
        <w:t xml:space="preserve"> </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n</w:t>
      </w:r>
      <w:r w:rsidRPr="00EB1AAB">
        <w:rPr>
          <w:rFonts w:ascii="Arial" w:eastAsia="Arial" w:hAnsi="Arial" w:cs="Arial"/>
        </w:rPr>
        <w:t>ot</w:t>
      </w:r>
      <w:r w:rsidRPr="00EB1AAB">
        <w:rPr>
          <w:rFonts w:ascii="Arial" w:eastAsia="Arial" w:hAnsi="Arial" w:cs="Arial"/>
          <w:spacing w:val="8"/>
        </w:rPr>
        <w:t xml:space="preserve"> </w:t>
      </w:r>
      <w:r w:rsidRPr="00EB1AAB">
        <w:rPr>
          <w:rFonts w:ascii="Arial" w:eastAsia="Arial" w:hAnsi="Arial" w:cs="Arial"/>
          <w:spacing w:val="2"/>
        </w:rPr>
        <w:t>b</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rPr>
        <w:t>.</w:t>
      </w:r>
      <w:r w:rsidRPr="00EB1AAB">
        <w:rPr>
          <w:rFonts w:ascii="Arial" w:eastAsia="Arial" w:hAnsi="Arial" w:cs="Arial"/>
          <w:spacing w:val="16"/>
        </w:rPr>
        <w:t xml:space="preserve"> </w:t>
      </w: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2"/>
        </w:rPr>
        <w:t>d</w:t>
      </w:r>
      <w:r w:rsidRPr="00EB1AAB">
        <w:rPr>
          <w:rFonts w:ascii="Arial" w:eastAsia="Arial" w:hAnsi="Arial" w:cs="Arial"/>
        </w:rPr>
        <w:t>e</w:t>
      </w:r>
      <w:r w:rsidRPr="00EB1AAB">
        <w:rPr>
          <w:rFonts w:ascii="Arial" w:eastAsia="Arial" w:hAnsi="Arial" w:cs="Arial"/>
          <w:spacing w:val="1"/>
        </w:rPr>
        <w:t>si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spacing w:val="2"/>
        </w:rPr>
        <w:t>w</w:t>
      </w:r>
      <w:r w:rsidRPr="00EB1AAB">
        <w:rPr>
          <w:rFonts w:ascii="Arial" w:eastAsia="Arial" w:hAnsi="Arial" w:cs="Arial"/>
        </w:rPr>
        <w:t>ou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1"/>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w:t>
      </w:r>
      <w:r w:rsidRPr="00EB1AAB">
        <w:rPr>
          <w:rFonts w:ascii="Arial" w:eastAsia="Arial" w:hAnsi="Arial" w:cs="Arial"/>
          <w:spacing w:val="2"/>
        </w:rPr>
        <w:t>g</w:t>
      </w:r>
      <w:r w:rsidRPr="00EB1AAB">
        <w:rPr>
          <w:rFonts w:ascii="Arial" w:eastAsia="Arial" w:hAnsi="Arial" w:cs="Arial"/>
          <w:spacing w:val="-2"/>
        </w:rPr>
        <w:t>a</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spacing w:val="-1"/>
        </w:rPr>
        <w:t>w</w:t>
      </w:r>
      <w:r w:rsidRPr="00EB1AAB">
        <w:rPr>
          <w:rFonts w:ascii="Arial" w:eastAsia="Arial" w:hAnsi="Arial" w:cs="Arial"/>
        </w:rPr>
        <w:t>o</w:t>
      </w:r>
      <w:r w:rsidRPr="00EB1AAB">
        <w:rPr>
          <w:rFonts w:ascii="Arial" w:eastAsia="Arial" w:hAnsi="Arial" w:cs="Arial"/>
          <w:spacing w:val="-1"/>
        </w:rPr>
        <w:t>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w w:val="101"/>
        </w:rPr>
        <w:t xml:space="preserve">be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In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2"/>
        </w:rPr>
        <w:t>u</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5"/>
        </w:rPr>
        <w:t xml:space="preserve"> </w:t>
      </w:r>
      <w:r w:rsidRPr="00EB1AAB">
        <w:rPr>
          <w:rFonts w:ascii="Arial" w:eastAsia="Arial" w:hAnsi="Arial" w:cs="Arial"/>
          <w:spacing w:val="-1"/>
          <w:w w:val="101"/>
        </w:rPr>
        <w:t>R</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spacing w:val="2"/>
          <w:w w:val="101"/>
        </w:rPr>
        <w:t>e</w:t>
      </w:r>
      <w:r w:rsidRPr="00EB1AAB">
        <w:rPr>
          <w:rFonts w:ascii="Arial" w:eastAsia="Arial" w:hAnsi="Arial" w:cs="Arial"/>
          <w:spacing w:val="-1"/>
          <w:w w:val="101"/>
        </w:rPr>
        <w:t>r</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w w:val="101"/>
        </w:rPr>
        <w:t>.</w:t>
      </w:r>
      <w:bookmarkStart w:id="75" w:name="_Hlk76058916"/>
      <w:r w:rsidR="00A506A6">
        <w:br w:type="page"/>
      </w:r>
    </w:p>
    <w:p w14:paraId="41E09411" w14:textId="53BCBE6D" w:rsidR="00655E4C" w:rsidRPr="00EB1AAB" w:rsidRDefault="00655E4C" w:rsidP="006F1659">
      <w:pPr>
        <w:pStyle w:val="Heading5underline"/>
        <w:spacing w:line="360" w:lineRule="auto"/>
      </w:pPr>
      <w:r w:rsidRPr="00EB1AAB">
        <w:lastRenderedPageBreak/>
        <w:t>1.1</w:t>
      </w:r>
      <w:r w:rsidR="00E85440">
        <w:t>8</w:t>
      </w:r>
      <w:r w:rsidRPr="00EB1AAB">
        <w:t>.4. Cre</w:t>
      </w:r>
      <w:r w:rsidRPr="00EB1AAB">
        <w:rPr>
          <w:spacing w:val="-1"/>
        </w:rPr>
        <w:t>d</w:t>
      </w:r>
      <w:r w:rsidRPr="00EB1AAB">
        <w:t>it</w:t>
      </w:r>
      <w:r w:rsidRPr="00EB1AAB">
        <w:rPr>
          <w:spacing w:val="8"/>
        </w:rPr>
        <w:t xml:space="preserve"> </w:t>
      </w:r>
      <w:r w:rsidRPr="00EB1AAB">
        <w:t>l</w:t>
      </w:r>
      <w:r w:rsidRPr="00EB1AAB">
        <w:rPr>
          <w:spacing w:val="-1"/>
        </w:rPr>
        <w:t>o</w:t>
      </w:r>
      <w:r w:rsidRPr="00EB1AAB">
        <w:rPr>
          <w:spacing w:val="2"/>
        </w:rPr>
        <w:t>s</w:t>
      </w:r>
      <w:r w:rsidRPr="00EB1AAB">
        <w:t>s</w:t>
      </w:r>
    </w:p>
    <w:p w14:paraId="5F9D321B" w14:textId="77777777" w:rsidR="00655E4C" w:rsidRPr="00EB1AAB" w:rsidRDefault="00655E4C" w:rsidP="006F1659">
      <w:pPr>
        <w:spacing w:line="360" w:lineRule="auto"/>
        <w:rPr>
          <w:rFonts w:eastAsia="Arial"/>
        </w:rPr>
      </w:pPr>
    </w:p>
    <w:p w14:paraId="2C981F29" w14:textId="74EF260B" w:rsidR="00655E4C" w:rsidRPr="00EB1AAB" w:rsidRDefault="00655E4C" w:rsidP="006F1659">
      <w:pPr>
        <w:spacing w:before="6" w:line="360" w:lineRule="auto"/>
        <w:ind w:right="54"/>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rPr>
        <w:t>Authority</w:t>
      </w:r>
      <w:r w:rsidRPr="00EB1AAB">
        <w:rPr>
          <w:rFonts w:ascii="Arial" w:eastAsia="Arial" w:hAnsi="Arial" w:cs="Arial"/>
          <w:spacing w:val="12"/>
        </w:rPr>
        <w:t xml:space="preserve"> </w:t>
      </w:r>
      <w:r w:rsidRPr="00EB1AAB">
        <w:rPr>
          <w:rFonts w:ascii="Arial" w:eastAsia="Arial" w:hAnsi="Arial" w:cs="Arial"/>
          <w:spacing w:val="-3"/>
        </w:rPr>
        <w:t>w</w:t>
      </w:r>
      <w:r w:rsidRPr="00EB1AAB">
        <w:rPr>
          <w:rFonts w:ascii="Arial" w:eastAsia="Arial" w:hAnsi="Arial" w:cs="Arial"/>
          <w:spacing w:val="3"/>
        </w:rPr>
        <w:t>i</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g</w:t>
      </w:r>
      <w:r w:rsidRPr="00EB1AAB">
        <w:rPr>
          <w:rFonts w:ascii="Arial" w:eastAsia="Arial" w:hAnsi="Arial" w:cs="Arial"/>
          <w:spacing w:val="-3"/>
        </w:rPr>
        <w:t>n</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2"/>
        </w:rPr>
        <w:t>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rPr>
        <w:t>t</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3"/>
        </w:rPr>
        <w:t>l</w:t>
      </w:r>
      <w:r w:rsidRPr="00EB1AAB">
        <w:rPr>
          <w:rFonts w:ascii="Arial" w:eastAsia="Arial" w:hAnsi="Arial" w:cs="Arial"/>
          <w:spacing w:val="-2"/>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spacing w:val="3"/>
        </w:rPr>
        <w:t>i</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3"/>
        </w:rPr>
        <w:t>b</w:t>
      </w:r>
      <w:r w:rsidRPr="00EB1AAB">
        <w:rPr>
          <w:rFonts w:ascii="Arial" w:eastAsia="Arial" w:hAnsi="Arial" w:cs="Arial"/>
          <w:spacing w:val="3"/>
        </w:rPr>
        <w:t>l</w:t>
      </w:r>
      <w:r w:rsidRPr="00EB1AAB">
        <w:rPr>
          <w:rFonts w:ascii="Arial" w:eastAsia="Arial" w:hAnsi="Arial" w:cs="Arial"/>
          <w:spacing w:val="-2"/>
        </w:rPr>
        <w:t>e</w:t>
      </w:r>
      <w:r w:rsidRPr="00EB1AAB">
        <w:rPr>
          <w:rFonts w:ascii="Arial" w:eastAsia="Arial" w:hAnsi="Arial" w:cs="Arial"/>
        </w:rPr>
        <w:t>,</w:t>
      </w:r>
      <w:r w:rsidRPr="00EB1AAB">
        <w:rPr>
          <w:rFonts w:ascii="Arial" w:eastAsia="Arial" w:hAnsi="Arial" w:cs="Arial"/>
          <w:spacing w:val="14"/>
        </w:rPr>
        <w:t xml:space="preserve"> </w:t>
      </w:r>
      <w:r w:rsidRPr="00EB1AAB">
        <w:rPr>
          <w:rFonts w:ascii="Arial" w:eastAsia="Arial" w:hAnsi="Arial" w:cs="Arial"/>
          <w:spacing w:val="-3"/>
          <w:w w:val="101"/>
        </w:rPr>
        <w:t>o</w:t>
      </w:r>
      <w:r w:rsidRPr="00EB1AAB">
        <w:rPr>
          <w:rFonts w:ascii="Arial" w:eastAsia="Arial" w:hAnsi="Arial" w:cs="Arial"/>
          <w:w w:val="101"/>
        </w:rPr>
        <w:t xml:space="preserve">n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2"/>
        </w:rPr>
        <w:t>f</w:t>
      </w:r>
      <w:r w:rsidRPr="00EB1AAB">
        <w:rPr>
          <w:rFonts w:ascii="Arial" w:eastAsia="Arial" w:hAnsi="Arial" w:cs="Arial"/>
          <w:spacing w:val="3"/>
        </w:rPr>
        <w:t>l</w:t>
      </w:r>
      <w:r w:rsidRPr="00EB1AAB">
        <w:rPr>
          <w:rFonts w:ascii="Arial" w:eastAsia="Arial" w:hAnsi="Arial" w:cs="Arial"/>
          <w:spacing w:val="-3"/>
        </w:rPr>
        <w:t>ow</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3"/>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p</w:t>
      </w:r>
      <w:r w:rsidRPr="00EB1AAB">
        <w:rPr>
          <w:rFonts w:ascii="Arial" w:eastAsia="Arial" w:hAnsi="Arial" w:cs="Arial"/>
        </w:rPr>
        <w:t>al</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1"/>
        </w:rPr>
        <w:t>(</w:t>
      </w:r>
      <w:r w:rsidRPr="00EB1AAB">
        <w:rPr>
          <w:rFonts w:ascii="Arial" w:eastAsia="Arial" w:hAnsi="Arial" w:cs="Arial"/>
          <w:spacing w:val="1"/>
        </w:rPr>
        <w:t>i</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1"/>
          <w:w w:val="101"/>
        </w:rPr>
        <w:t>r</w:t>
      </w:r>
      <w:r w:rsidRPr="00EB1AAB">
        <w:rPr>
          <w:rFonts w:ascii="Arial" w:eastAsia="Arial" w:hAnsi="Arial" w:cs="Arial"/>
          <w:w w:val="101"/>
        </w:rPr>
        <w:t>u</w:t>
      </w:r>
      <w:r w:rsidRPr="00EB1AAB">
        <w:rPr>
          <w:rFonts w:ascii="Arial" w:eastAsia="Arial" w:hAnsi="Arial" w:cs="Arial"/>
          <w:spacing w:val="-1"/>
          <w:w w:val="101"/>
        </w:rPr>
        <w:t>m</w:t>
      </w:r>
      <w:r w:rsidRPr="00EB1AAB">
        <w:rPr>
          <w:rFonts w:ascii="Arial" w:eastAsia="Arial" w:hAnsi="Arial" w:cs="Arial"/>
          <w:w w:val="101"/>
        </w:rPr>
        <w:t>e</w:t>
      </w:r>
      <w:r w:rsidRPr="00EB1AAB">
        <w:rPr>
          <w:rFonts w:ascii="Arial" w:eastAsia="Arial" w:hAnsi="Arial" w:cs="Arial"/>
          <w:spacing w:val="-3"/>
          <w:w w:val="101"/>
        </w:rPr>
        <w:t>n</w:t>
      </w:r>
      <w:r w:rsidRPr="00EB1AAB">
        <w:rPr>
          <w:rFonts w:ascii="Arial" w:eastAsia="Arial" w:hAnsi="Arial" w:cs="Arial"/>
          <w:spacing w:val="2"/>
          <w:w w:val="101"/>
        </w:rPr>
        <w:t>t</w:t>
      </w:r>
      <w:r w:rsidRPr="00EB1AAB">
        <w:rPr>
          <w:rFonts w:ascii="Arial" w:eastAsia="Arial" w:hAnsi="Arial" w:cs="Arial"/>
          <w:w w:val="101"/>
        </w:rPr>
        <w:t xml:space="preserve">s </w:t>
      </w:r>
      <w:r w:rsidRPr="00EB1AAB">
        <w:rPr>
          <w:rFonts w:ascii="Arial" w:eastAsia="Arial" w:hAnsi="Arial" w:cs="Arial"/>
          <w:spacing w:val="3"/>
        </w:rPr>
        <w:t>m</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9"/>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spacing w:val="1"/>
        </w:rPr>
        <w:t>is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3"/>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10"/>
        </w:rPr>
        <w:t xml:space="preserve"> </w:t>
      </w:r>
      <w:r w:rsidRPr="00EB1AAB">
        <w:rPr>
          <w:rFonts w:ascii="Arial" w:eastAsia="Arial" w:hAnsi="Arial" w:cs="Arial"/>
          <w:spacing w:val="1"/>
          <w:w w:val="101"/>
        </w:rPr>
        <w:t>T</w:t>
      </w:r>
      <w:r w:rsidRPr="00EB1AAB">
        <w:rPr>
          <w:rFonts w:ascii="Arial" w:eastAsia="Arial" w:hAnsi="Arial" w:cs="Arial"/>
          <w:w w:val="101"/>
        </w:rPr>
        <w:t>h</w:t>
      </w:r>
      <w:r w:rsidRPr="00EB1AAB">
        <w:rPr>
          <w:rFonts w:ascii="Arial" w:eastAsia="Arial" w:hAnsi="Arial" w:cs="Arial"/>
          <w:spacing w:val="1"/>
          <w:w w:val="101"/>
        </w:rPr>
        <w:t>i</w:t>
      </w:r>
      <w:r w:rsidRPr="00EB1AAB">
        <w:rPr>
          <w:rFonts w:ascii="Arial" w:eastAsia="Arial" w:hAnsi="Arial" w:cs="Arial"/>
          <w:w w:val="101"/>
        </w:rPr>
        <w:t xml:space="preserve">s </w:t>
      </w:r>
      <w:r w:rsidRPr="00EB1AAB">
        <w:rPr>
          <w:rFonts w:ascii="Arial" w:eastAsia="Arial" w:hAnsi="Arial" w:cs="Arial"/>
        </w:rPr>
        <w:t>does</w:t>
      </w:r>
      <w:r w:rsidRPr="00EB1AAB">
        <w:rPr>
          <w:rFonts w:ascii="Arial" w:eastAsia="Arial" w:hAnsi="Arial" w:cs="Arial"/>
          <w:spacing w:val="7"/>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5"/>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ounte</w:t>
      </w:r>
      <w:r w:rsidRPr="00EB1AAB">
        <w:rPr>
          <w:rFonts w:ascii="Arial" w:eastAsia="Arial" w:hAnsi="Arial" w:cs="Arial"/>
          <w:spacing w:val="1"/>
        </w:rPr>
        <w:t>r</w:t>
      </w:r>
      <w:r w:rsidRPr="00EB1AAB">
        <w:rPr>
          <w:rFonts w:ascii="Arial" w:eastAsia="Arial" w:hAnsi="Arial" w:cs="Arial"/>
        </w:rPr>
        <w:t>pa</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00EC49BA">
        <w:rPr>
          <w:rFonts w:ascii="Arial" w:eastAsia="Arial" w:hAnsi="Arial" w:cs="Arial"/>
          <w:spacing w:val="4"/>
        </w:rPr>
        <w:t>C</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rPr>
        <w:t>al</w:t>
      </w:r>
      <w:r w:rsidRPr="00EB1AAB">
        <w:rPr>
          <w:rFonts w:ascii="Arial" w:eastAsia="Arial" w:hAnsi="Arial" w:cs="Arial"/>
          <w:spacing w:val="11"/>
        </w:rPr>
        <w:t xml:space="preserve"> </w:t>
      </w:r>
      <w:r w:rsidR="00EC49BA">
        <w:rPr>
          <w:rFonts w:ascii="Arial" w:eastAsia="Arial" w:hAnsi="Arial" w:cs="Arial"/>
          <w:spacing w:val="11"/>
        </w:rPr>
        <w:t>G</w:t>
      </w:r>
      <w:r w:rsidRPr="00EB1AAB">
        <w:rPr>
          <w:rFonts w:ascii="Arial" w:eastAsia="Arial" w:hAnsi="Arial" w:cs="Arial"/>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2"/>
        </w:rPr>
        <w:t>n</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rPr>
        <w:t>an</w:t>
      </w:r>
      <w:r w:rsidRPr="00EB1AAB">
        <w:rPr>
          <w:rFonts w:ascii="Arial" w:eastAsia="Arial" w:hAnsi="Arial" w:cs="Arial"/>
          <w:spacing w:val="-3"/>
        </w:rPr>
        <w:t>o</w:t>
      </w:r>
      <w:r w:rsidRPr="00EB1AAB">
        <w:rPr>
          <w:rFonts w:ascii="Arial" w:eastAsia="Arial" w:hAnsi="Arial" w:cs="Arial"/>
          <w:spacing w:val="2"/>
        </w:rPr>
        <w:t>t</w:t>
      </w:r>
      <w:r w:rsidRPr="00EB1AAB">
        <w:rPr>
          <w:rFonts w:ascii="Arial" w:eastAsia="Arial" w:hAnsi="Arial" w:cs="Arial"/>
        </w:rPr>
        <w:t>her</w:t>
      </w:r>
      <w:r w:rsidRPr="00EB1AAB">
        <w:rPr>
          <w:rFonts w:ascii="Arial" w:eastAsia="Arial" w:hAnsi="Arial" w:cs="Arial"/>
          <w:spacing w:val="11"/>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c</w:t>
      </w:r>
      <w:r w:rsidRPr="00EB1AAB">
        <w:rPr>
          <w:rFonts w:ascii="Arial" w:eastAsia="Arial" w:hAnsi="Arial" w:cs="Arial"/>
        </w:rPr>
        <w:t>al</w:t>
      </w:r>
      <w:r w:rsidRPr="00EB1AAB">
        <w:rPr>
          <w:rFonts w:ascii="Arial" w:eastAsia="Arial" w:hAnsi="Arial" w:cs="Arial"/>
          <w:spacing w:val="9"/>
        </w:rPr>
        <w:t xml:space="preserve"> </w:t>
      </w:r>
      <w:r w:rsidRPr="00EB1AAB">
        <w:rPr>
          <w:rFonts w:ascii="Arial" w:eastAsia="Arial" w:hAnsi="Arial" w:cs="Arial"/>
          <w:spacing w:val="-3"/>
          <w:w w:val="101"/>
        </w:rPr>
        <w:t>a</w:t>
      </w:r>
      <w:r w:rsidRPr="00EB1AAB">
        <w:rPr>
          <w:rFonts w:ascii="Arial" w:eastAsia="Arial" w:hAnsi="Arial" w:cs="Arial"/>
          <w:w w:val="101"/>
        </w:rPr>
        <w:t>u</w:t>
      </w:r>
      <w:r w:rsidRPr="00EB1AAB">
        <w:rPr>
          <w:rFonts w:ascii="Arial" w:eastAsia="Arial" w:hAnsi="Arial" w:cs="Arial"/>
          <w:spacing w:val="-1"/>
          <w:w w:val="101"/>
        </w:rPr>
        <w:t>t</w:t>
      </w:r>
      <w:r w:rsidRPr="00EB1AAB">
        <w:rPr>
          <w:rFonts w:ascii="Arial" w:eastAsia="Arial" w:hAnsi="Arial" w:cs="Arial"/>
          <w:w w:val="101"/>
        </w:rPr>
        <w:t>ho</w:t>
      </w:r>
      <w:r w:rsidRPr="00EB1AAB">
        <w:rPr>
          <w:rFonts w:ascii="Arial" w:eastAsia="Arial" w:hAnsi="Arial" w:cs="Arial"/>
          <w:spacing w:val="-1"/>
          <w:w w:val="101"/>
        </w:rPr>
        <w:t>r</w:t>
      </w:r>
      <w:r w:rsidRPr="00EB1AAB">
        <w:rPr>
          <w:rFonts w:ascii="Arial" w:eastAsia="Arial" w:hAnsi="Arial" w:cs="Arial"/>
          <w:spacing w:val="1"/>
          <w:w w:val="101"/>
        </w:rPr>
        <w:t>i</w:t>
      </w:r>
      <w:r w:rsidRPr="00EB1AAB">
        <w:rPr>
          <w:rFonts w:ascii="Arial" w:eastAsia="Arial" w:hAnsi="Arial" w:cs="Arial"/>
          <w:spacing w:val="5"/>
          <w:w w:val="101"/>
        </w:rPr>
        <w:t>t</w:t>
      </w:r>
      <w:r w:rsidRPr="00EB1AAB">
        <w:rPr>
          <w:rFonts w:ascii="Arial" w:eastAsia="Arial" w:hAnsi="Arial" w:cs="Arial"/>
          <w:spacing w:val="-6"/>
          <w:w w:val="101"/>
        </w:rPr>
        <w:t>y</w:t>
      </w:r>
      <w:r w:rsidRPr="00EB1AAB">
        <w:rPr>
          <w:rFonts w:ascii="Arial" w:eastAsia="Arial" w:hAnsi="Arial" w:cs="Arial"/>
          <w:w w:val="101"/>
        </w:rPr>
        <w:t>.</w:t>
      </w:r>
    </w:p>
    <w:p w14:paraId="62F02A34" w14:textId="77777777" w:rsidR="00655E4C" w:rsidRPr="00EB1AAB" w:rsidRDefault="00655E4C" w:rsidP="006F1659">
      <w:pPr>
        <w:spacing w:before="6" w:line="360" w:lineRule="auto"/>
        <w:ind w:right="102"/>
        <w:rPr>
          <w:rFonts w:ascii="Arial" w:eastAsia="Arial" w:hAnsi="Arial" w:cs="Arial"/>
          <w:w w:val="101"/>
        </w:rPr>
      </w:pPr>
    </w:p>
    <w:p w14:paraId="32900394" w14:textId="77777777" w:rsidR="00655E4C" w:rsidRPr="00EB1AAB" w:rsidRDefault="00655E4C" w:rsidP="006F1659">
      <w:pPr>
        <w:spacing w:before="33" w:line="360" w:lineRule="auto"/>
        <w:ind w:right="54"/>
        <w:rPr>
          <w:rFonts w:ascii="Arial" w:eastAsia="Arial" w:hAnsi="Arial" w:cs="Arial"/>
        </w:rPr>
      </w:pPr>
      <w:r w:rsidRPr="00EB1AAB">
        <w:rPr>
          <w:rFonts w:ascii="Arial" w:eastAsia="Arial" w:hAnsi="Arial" w:cs="Arial"/>
        </w:rPr>
        <w:t>At</w:t>
      </w:r>
      <w:r w:rsidRPr="00EB1AAB">
        <w:rPr>
          <w:rFonts w:ascii="Arial" w:eastAsia="Arial" w:hAnsi="Arial" w:cs="Arial"/>
          <w:spacing w:val="6"/>
        </w:rPr>
        <w:t xml:space="preserve"> </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2"/>
        </w:rPr>
        <w:t>c</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y</w:t>
      </w:r>
      <w:r w:rsidRPr="00EB1AAB">
        <w:rPr>
          <w:rFonts w:ascii="Arial" w:eastAsia="Arial" w:hAnsi="Arial" w:cs="Arial"/>
        </w:rPr>
        <w:t>ear</w:t>
      </w:r>
      <w:r w:rsidRPr="00EB1AAB">
        <w:rPr>
          <w:rFonts w:ascii="Arial" w:eastAsia="Arial" w:hAnsi="Arial" w:cs="Arial"/>
          <w:spacing w:val="6"/>
        </w:rPr>
        <w:t xml:space="preserve"> </w:t>
      </w:r>
      <w:r w:rsidRPr="00EB1AAB">
        <w:rPr>
          <w:rFonts w:ascii="Arial" w:eastAsia="Arial" w:hAnsi="Arial" w:cs="Arial"/>
        </w:rPr>
        <w:t>end,</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spacing w:val="-1"/>
        </w:rPr>
        <w:t>w</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 xml:space="preserve"> f</w:t>
      </w:r>
      <w:r w:rsidRPr="00EB1AAB">
        <w:rPr>
          <w:rFonts w:ascii="Arial" w:eastAsia="Arial" w:hAnsi="Arial" w:cs="Arial"/>
          <w:spacing w:val="1"/>
        </w:rPr>
        <w:t>i</w:t>
      </w:r>
      <w:r w:rsidRPr="00EB1AAB">
        <w:rPr>
          <w:rFonts w:ascii="Arial" w:eastAsia="Arial" w:hAnsi="Arial" w:cs="Arial"/>
          <w:spacing w:val="-3"/>
        </w:rPr>
        <w:t>na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2"/>
        </w:rPr>
        <w:t>c</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ated</w:t>
      </w:r>
      <w:r w:rsidRPr="00EB1AAB">
        <w:rPr>
          <w:rFonts w:ascii="Arial" w:eastAsia="Arial" w:hAnsi="Arial" w:cs="Arial"/>
          <w:spacing w:val="11"/>
        </w:rPr>
        <w:t xml:space="preserve"> </w:t>
      </w:r>
      <w:r w:rsidRPr="00EB1AAB">
        <w:rPr>
          <w:rFonts w:ascii="Arial" w:eastAsia="Arial" w:hAnsi="Arial" w:cs="Arial"/>
        </w:rPr>
        <w:t>as</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2"/>
        </w:rPr>
        <w:t>q</w:t>
      </w:r>
      <w:r w:rsidRPr="00EB1AAB">
        <w:rPr>
          <w:rFonts w:ascii="Arial" w:eastAsia="Arial" w:hAnsi="Arial" w:cs="Arial"/>
          <w:spacing w:val="-3"/>
        </w:rPr>
        <w:t>u</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w w:val="101"/>
        </w:rPr>
        <w:t xml:space="preserve">to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spacing w:val="-2"/>
        </w:rPr>
        <w:t>i</w:t>
      </w:r>
      <w:r w:rsidRPr="00EB1AAB">
        <w:rPr>
          <w:rFonts w:ascii="Arial" w:eastAsia="Arial" w:hAnsi="Arial" w:cs="Arial"/>
          <w:spacing w:val="5"/>
        </w:rPr>
        <w:t>f</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
        </w:rPr>
        <w:t>i</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3"/>
        </w:rPr>
        <w:t>p</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1"/>
        </w:rPr>
        <w:t>ris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spacing w:val="4"/>
        </w:rPr>
        <w:t>i</w:t>
      </w:r>
      <w:r w:rsidRPr="00EB1AAB">
        <w:rPr>
          <w:rFonts w:ascii="Arial" w:eastAsia="Arial" w:hAnsi="Arial" w:cs="Arial"/>
          <w:spacing w:val="-5"/>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um</w:t>
      </w:r>
      <w:r w:rsidRPr="00EB1AAB">
        <w:rPr>
          <w:rFonts w:ascii="Arial" w:eastAsia="Arial" w:hAnsi="Arial" w:cs="Arial"/>
          <w:spacing w:val="-1"/>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spacing w:val="2"/>
          <w:w w:val="101"/>
        </w:rPr>
        <w:t>h</w:t>
      </w:r>
      <w:r w:rsidRPr="00EB1AAB">
        <w:rPr>
          <w:rFonts w:ascii="Arial" w:eastAsia="Arial" w:hAnsi="Arial" w:cs="Arial"/>
          <w:spacing w:val="-3"/>
          <w:w w:val="101"/>
        </w:rPr>
        <w:t>a</w:t>
      </w:r>
      <w:r w:rsidRPr="00EB1AAB">
        <w:rPr>
          <w:rFonts w:ascii="Arial" w:eastAsia="Arial" w:hAnsi="Arial" w:cs="Arial"/>
          <w:w w:val="101"/>
        </w:rPr>
        <w:t xml:space="preserve">s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nt</w:t>
      </w:r>
      <w:r w:rsidRPr="00EB1AAB">
        <w:rPr>
          <w:rFonts w:ascii="Arial" w:eastAsia="Arial" w:hAnsi="Arial" w:cs="Arial"/>
          <w:spacing w:val="1"/>
        </w:rPr>
        <w:t>l</w:t>
      </w:r>
      <w:r w:rsidRPr="00EB1AAB">
        <w:rPr>
          <w:rFonts w:ascii="Arial" w:eastAsia="Arial" w:hAnsi="Arial" w:cs="Arial"/>
        </w:rPr>
        <w:t>y</w:t>
      </w:r>
      <w:r w:rsidRPr="00EB1AAB">
        <w:rPr>
          <w:rFonts w:ascii="Arial" w:eastAsia="Arial" w:hAnsi="Arial" w:cs="Arial"/>
          <w:spacing w:val="12"/>
        </w:rPr>
        <w:t xml:space="preserve"> </w:t>
      </w:r>
      <w:r w:rsidRPr="00EB1AAB">
        <w:rPr>
          <w:rFonts w:ascii="Arial" w:eastAsia="Arial" w:hAnsi="Arial" w:cs="Arial"/>
          <w:spacing w:val="1"/>
        </w:rPr>
        <w:t>si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3"/>
        </w:rPr>
        <w:t>t</w:t>
      </w:r>
      <w:r w:rsidRPr="00EB1AAB">
        <w:rPr>
          <w:rFonts w:ascii="Arial" w:eastAsia="Arial" w:hAnsi="Arial" w:cs="Arial"/>
          <w:spacing w:val="1"/>
        </w:rPr>
        <w:t>i</w:t>
      </w:r>
      <w:r w:rsidRPr="00EB1AAB">
        <w:rPr>
          <w:rFonts w:ascii="Arial" w:eastAsia="Arial" w:hAnsi="Arial" w:cs="Arial"/>
        </w:rPr>
        <w:t>al</w:t>
      </w:r>
      <w:r w:rsidRPr="00EB1AAB">
        <w:rPr>
          <w:rFonts w:ascii="Arial" w:eastAsia="Arial" w:hAnsi="Arial" w:cs="Arial"/>
          <w:spacing w:val="7"/>
        </w:rPr>
        <w:t xml:space="preserve"> </w:t>
      </w:r>
      <w:r w:rsidRPr="00EB1AAB">
        <w:rPr>
          <w:rFonts w:ascii="Arial" w:eastAsia="Arial" w:hAnsi="Arial" w:cs="Arial"/>
          <w:spacing w:val="2"/>
          <w:w w:val="101"/>
        </w:rPr>
        <w:t>r</w:t>
      </w:r>
      <w:r w:rsidRPr="00EB1AAB">
        <w:rPr>
          <w:rFonts w:ascii="Arial" w:eastAsia="Arial" w:hAnsi="Arial" w:cs="Arial"/>
          <w:spacing w:val="-3"/>
          <w:w w:val="101"/>
        </w:rPr>
        <w:t>e</w:t>
      </w:r>
      <w:r w:rsidRPr="00EB1AAB">
        <w:rPr>
          <w:rFonts w:ascii="Arial" w:eastAsia="Arial" w:hAnsi="Arial" w:cs="Arial"/>
          <w:spacing w:val="1"/>
          <w:w w:val="101"/>
        </w:rPr>
        <w:t>c</w:t>
      </w:r>
      <w:r w:rsidRPr="00EB1AAB">
        <w:rPr>
          <w:rFonts w:ascii="Arial" w:eastAsia="Arial" w:hAnsi="Arial" w:cs="Arial"/>
          <w:spacing w:val="-2"/>
          <w:w w:val="101"/>
        </w:rPr>
        <w:t>o</w:t>
      </w:r>
      <w:r w:rsidRPr="00EB1AAB">
        <w:rPr>
          <w:rFonts w:ascii="Arial" w:eastAsia="Arial" w:hAnsi="Arial" w:cs="Arial"/>
          <w:spacing w:val="2"/>
          <w:w w:val="101"/>
        </w:rPr>
        <w:t>g</w:t>
      </w:r>
      <w:r w:rsidRPr="00EB1AAB">
        <w:rPr>
          <w:rFonts w:ascii="Arial" w:eastAsia="Arial" w:hAnsi="Arial" w:cs="Arial"/>
          <w:spacing w:val="-3"/>
          <w:w w:val="101"/>
        </w:rPr>
        <w:t>n</w:t>
      </w:r>
      <w:r w:rsidRPr="00EB1AAB">
        <w:rPr>
          <w:rFonts w:ascii="Arial" w:eastAsia="Arial" w:hAnsi="Arial" w:cs="Arial"/>
          <w:spacing w:val="4"/>
          <w:w w:val="101"/>
        </w:rPr>
        <w:t>i</w:t>
      </w:r>
      <w:r w:rsidRPr="00EB1AAB">
        <w:rPr>
          <w:rFonts w:ascii="Arial" w:eastAsia="Arial" w:hAnsi="Arial" w:cs="Arial"/>
          <w:w w:val="101"/>
        </w:rPr>
        <w:t>t</w:t>
      </w:r>
      <w:r w:rsidRPr="00EB1AAB">
        <w:rPr>
          <w:rFonts w:ascii="Arial" w:eastAsia="Arial" w:hAnsi="Arial" w:cs="Arial"/>
          <w:spacing w:val="1"/>
          <w:w w:val="101"/>
        </w:rPr>
        <w:t>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59E613D0" w14:textId="77777777" w:rsidR="00655E4C" w:rsidRPr="00EB1AAB" w:rsidRDefault="00655E4C" w:rsidP="006F1659">
      <w:pPr>
        <w:spacing w:before="9" w:line="360" w:lineRule="auto"/>
        <w:rPr>
          <w:rFonts w:ascii="Arial" w:hAnsi="Arial" w:cs="Arial"/>
        </w:rPr>
      </w:pPr>
    </w:p>
    <w:p w14:paraId="6A93049A" w14:textId="77777777" w:rsidR="00655E4C" w:rsidRPr="00EB1AAB" w:rsidRDefault="00655E4C" w:rsidP="006F1659">
      <w:pPr>
        <w:spacing w:line="360" w:lineRule="auto"/>
        <w:ind w:right="103"/>
        <w:rPr>
          <w:rFonts w:ascii="Arial" w:eastAsia="Arial" w:hAnsi="Arial" w:cs="Arial"/>
          <w:w w:val="101"/>
        </w:rPr>
      </w:pPr>
      <w:r w:rsidRPr="00EB1AAB">
        <w:rPr>
          <w:rFonts w:ascii="Arial" w:eastAsia="Arial" w:hAnsi="Arial" w:cs="Arial"/>
        </w:rPr>
        <w:t>If</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8"/>
        </w:rPr>
        <w:t xml:space="preserve"> the </w:t>
      </w:r>
      <w:r w:rsidRPr="00EB1AAB">
        <w:rPr>
          <w:rFonts w:ascii="Arial" w:eastAsia="Arial" w:hAnsi="Arial" w:cs="Arial"/>
          <w:spacing w:val="-4"/>
        </w:rPr>
        <w:t>y</w:t>
      </w:r>
      <w:r w:rsidRPr="00EB1AAB">
        <w:rPr>
          <w:rFonts w:ascii="Arial" w:eastAsia="Arial" w:hAnsi="Arial" w:cs="Arial"/>
        </w:rPr>
        <w:t>e</w:t>
      </w:r>
      <w:r w:rsidRPr="00EB1AAB">
        <w:rPr>
          <w:rFonts w:ascii="Arial" w:eastAsia="Arial" w:hAnsi="Arial" w:cs="Arial"/>
          <w:spacing w:val="-1"/>
        </w:rPr>
        <w:t>a</w:t>
      </w:r>
      <w:r w:rsidRPr="00EB1AAB">
        <w:rPr>
          <w:rFonts w:ascii="Arial" w:eastAsia="Arial" w:hAnsi="Arial" w:cs="Arial"/>
        </w:rPr>
        <w:t>r</w:t>
      </w:r>
      <w:r w:rsidRPr="00EB1AAB">
        <w:rPr>
          <w:rFonts w:ascii="Arial" w:eastAsia="Arial" w:hAnsi="Arial" w:cs="Arial"/>
          <w:spacing w:val="4"/>
        </w:rPr>
        <w:t xml:space="preserve"> </w:t>
      </w:r>
      <w:r w:rsidRPr="00EB1AAB">
        <w:rPr>
          <w:rFonts w:ascii="Arial" w:eastAsia="Arial" w:hAnsi="Arial" w:cs="Arial"/>
        </w:rPr>
        <w:t>e</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rPr>
        <w:t>si</w:t>
      </w:r>
      <w:r w:rsidRPr="00EB1AAB">
        <w:rPr>
          <w:rFonts w:ascii="Arial" w:eastAsia="Arial" w:hAnsi="Arial" w:cs="Arial"/>
        </w:rPr>
        <w:t>g</w:t>
      </w:r>
      <w:r w:rsidRPr="00EB1AAB">
        <w:rPr>
          <w:rFonts w:ascii="Arial" w:eastAsia="Arial" w:hAnsi="Arial" w:cs="Arial"/>
          <w:spacing w:val="-3"/>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1"/>
        </w:rPr>
        <w:t>ic</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6"/>
        </w:rPr>
        <w:t>l</w:t>
      </w:r>
      <w:r w:rsidRPr="00EB1AAB">
        <w:rPr>
          <w:rFonts w:ascii="Arial" w:eastAsia="Arial" w:hAnsi="Arial" w:cs="Arial"/>
        </w:rPr>
        <w:t>y</w:t>
      </w:r>
      <w:r w:rsidRPr="00EB1AAB">
        <w:rPr>
          <w:rFonts w:ascii="Arial" w:eastAsia="Arial" w:hAnsi="Arial" w:cs="Arial"/>
          <w:spacing w:val="9"/>
        </w:rPr>
        <w:t xml:space="preserve"> </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nit</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2"/>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2"/>
        </w:rPr>
        <w:t>a</w:t>
      </w:r>
      <w:r w:rsidRPr="00EB1AAB">
        <w:rPr>
          <w:rFonts w:ascii="Arial" w:eastAsia="Arial" w:hAnsi="Arial" w:cs="Arial"/>
          <w:spacing w:val="3"/>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amount</w:t>
      </w:r>
      <w:r w:rsidRPr="00EB1AAB">
        <w:rPr>
          <w:rFonts w:ascii="Arial" w:eastAsia="Arial" w:hAnsi="Arial" w:cs="Arial"/>
          <w:spacing w:val="9"/>
        </w:rPr>
        <w:t xml:space="preserve"> </w:t>
      </w:r>
      <w:r w:rsidRPr="00EB1AAB">
        <w:rPr>
          <w:rFonts w:ascii="Arial" w:eastAsia="Arial" w:hAnsi="Arial" w:cs="Arial"/>
          <w:spacing w:val="2"/>
        </w:rPr>
        <w:t>e</w:t>
      </w:r>
      <w:r w:rsidRPr="00EB1AAB">
        <w:rPr>
          <w:rFonts w:ascii="Arial" w:eastAsia="Arial" w:hAnsi="Arial" w:cs="Arial"/>
          <w:spacing w:val="-3"/>
        </w:rPr>
        <w:t>q</w:t>
      </w:r>
      <w:r w:rsidRPr="00EB1AAB">
        <w:rPr>
          <w:rFonts w:ascii="Arial" w:eastAsia="Arial" w:hAnsi="Arial" w:cs="Arial"/>
          <w:spacing w:val="2"/>
        </w:rPr>
        <w:t>u</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3"/>
        </w:rPr>
        <w:t>w</w:t>
      </w:r>
      <w:r w:rsidRPr="00EB1AAB">
        <w:rPr>
          <w:rFonts w:ascii="Arial" w:eastAsia="Arial" w:hAnsi="Arial" w:cs="Arial"/>
        </w:rPr>
        <w:t>e</w:t>
      </w:r>
      <w:r w:rsidRPr="00EB1AAB">
        <w:rPr>
          <w:rFonts w:ascii="Arial" w:eastAsia="Arial" w:hAnsi="Arial" w:cs="Arial"/>
          <w:spacing w:val="1"/>
        </w:rPr>
        <w:t>lv</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2"/>
        </w:rPr>
        <w:t>m</w:t>
      </w:r>
      <w:r w:rsidRPr="00EB1AAB">
        <w:rPr>
          <w:rFonts w:ascii="Arial" w:eastAsia="Arial" w:hAnsi="Arial" w:cs="Arial"/>
        </w:rPr>
        <w:t>onth</w:t>
      </w:r>
      <w:r w:rsidRPr="00EB1AAB">
        <w:rPr>
          <w:rFonts w:ascii="Arial" w:eastAsia="Arial" w:hAnsi="Arial" w:cs="Arial"/>
          <w:spacing w:val="7"/>
        </w:rPr>
        <w:t xml:space="preserve"> </w:t>
      </w:r>
      <w:r w:rsidRPr="00EB1AAB">
        <w:rPr>
          <w:rFonts w:ascii="Arial" w:eastAsia="Arial" w:hAnsi="Arial" w:cs="Arial"/>
          <w:spacing w:val="-2"/>
        </w:rPr>
        <w:t>e</w:t>
      </w:r>
      <w:r w:rsidRPr="00EB1AAB">
        <w:rPr>
          <w:rFonts w:ascii="Arial" w:eastAsia="Arial" w:hAnsi="Arial" w:cs="Arial"/>
          <w:spacing w:val="3"/>
        </w:rPr>
        <w:t>x</w:t>
      </w:r>
      <w:r w:rsidRPr="00EB1AAB">
        <w:rPr>
          <w:rFonts w:ascii="Arial" w:eastAsia="Arial" w:hAnsi="Arial" w:cs="Arial"/>
        </w:rPr>
        <w:t>pe</w:t>
      </w:r>
      <w:r w:rsidRPr="00EB1AAB">
        <w:rPr>
          <w:rFonts w:ascii="Arial" w:eastAsia="Arial" w:hAnsi="Arial" w:cs="Arial"/>
          <w:spacing w:val="1"/>
        </w:rPr>
        <w:t>c</w:t>
      </w:r>
      <w:r w:rsidRPr="00EB1AAB">
        <w:rPr>
          <w:rFonts w:ascii="Arial" w:eastAsia="Arial" w:hAnsi="Arial" w:cs="Arial"/>
        </w:rPr>
        <w:t>ted</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w w:val="101"/>
        </w:rPr>
        <w:t>l</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spacing w:val="1"/>
          <w:w w:val="101"/>
        </w:rPr>
        <w:t>s</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w w:val="101"/>
        </w:rPr>
        <w:t>.</w:t>
      </w:r>
    </w:p>
    <w:p w14:paraId="25247352" w14:textId="77777777" w:rsidR="00655E4C" w:rsidRPr="00EB1AAB" w:rsidRDefault="00655E4C" w:rsidP="006F1659">
      <w:pPr>
        <w:spacing w:line="360" w:lineRule="auto"/>
        <w:ind w:right="103"/>
        <w:rPr>
          <w:rFonts w:ascii="Arial" w:eastAsia="Arial" w:hAnsi="Arial" w:cs="Arial"/>
          <w:w w:val="101"/>
        </w:rPr>
      </w:pPr>
    </w:p>
    <w:p w14:paraId="04B47BFB" w14:textId="77777777" w:rsidR="00655E4C" w:rsidRPr="00EB1AAB" w:rsidRDefault="00655E4C" w:rsidP="006F1659">
      <w:pPr>
        <w:spacing w:line="360" w:lineRule="auto"/>
        <w:ind w:right="76"/>
        <w:rPr>
          <w:rFonts w:ascii="Arial" w:eastAsia="Arial" w:hAnsi="Arial" w:cs="Arial"/>
        </w:rPr>
      </w:pPr>
      <w:r w:rsidRPr="00EB1AAB">
        <w:rPr>
          <w:rFonts w:ascii="Arial" w:eastAsia="Arial" w:hAnsi="Arial" w:cs="Arial"/>
          <w:spacing w:val="8"/>
        </w:rPr>
        <w:t>W</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s</w:t>
      </w:r>
      <w:r w:rsidRPr="00EB1AAB">
        <w:rPr>
          <w:rFonts w:ascii="Arial" w:eastAsia="Arial" w:hAnsi="Arial" w:cs="Arial"/>
        </w:rPr>
        <w:t>et</w:t>
      </w:r>
      <w:r w:rsidRPr="00EB1AAB">
        <w:rPr>
          <w:rFonts w:ascii="Arial" w:eastAsia="Arial" w:hAnsi="Arial" w:cs="Arial"/>
          <w:spacing w:val="6"/>
        </w:rPr>
        <w:t xml:space="preserve"> </w:t>
      </w:r>
      <w:r w:rsidRPr="00EB1AAB">
        <w:rPr>
          <w:rFonts w:ascii="Arial" w:eastAsia="Arial" w:hAnsi="Arial" w:cs="Arial"/>
        </w:rPr>
        <w:t>was</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spacing w:val="-3"/>
        </w:rPr>
        <w:t>e</w:t>
      </w:r>
      <w:r w:rsidRPr="00EB1AAB">
        <w:rPr>
          <w:rFonts w:ascii="Arial" w:eastAsia="Arial" w:hAnsi="Arial" w:cs="Arial"/>
          <w:spacing w:val="1"/>
        </w:rPr>
        <w:t>x</w:t>
      </w:r>
      <w:r w:rsidRPr="00EB1AAB">
        <w:rPr>
          <w:rFonts w:ascii="Arial" w:eastAsia="Arial" w:hAnsi="Arial" w:cs="Arial"/>
        </w:rPr>
        <w:t>pe</w:t>
      </w:r>
      <w:r w:rsidRPr="00EB1AAB">
        <w:rPr>
          <w:rFonts w:ascii="Arial" w:eastAsia="Arial" w:hAnsi="Arial" w:cs="Arial"/>
          <w:spacing w:val="2"/>
        </w:rPr>
        <w:t>n</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spacing w:val="3"/>
        </w:rPr>
        <w:t>t</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l</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0"/>
        </w:rPr>
        <w:t xml:space="preserve"> </w:t>
      </w:r>
      <w:r w:rsidRPr="00EB1AAB">
        <w:rPr>
          <w:rFonts w:ascii="Arial" w:eastAsia="Arial" w:hAnsi="Arial" w:cs="Arial"/>
          <w:spacing w:val="-3"/>
        </w:rPr>
        <w:t>w</w:t>
      </w:r>
      <w:r w:rsidRPr="00EB1AAB">
        <w:rPr>
          <w:rFonts w:ascii="Arial" w:eastAsia="Arial" w:hAnsi="Arial" w:cs="Arial"/>
          <w:spacing w:val="1"/>
        </w:rPr>
        <w:t>il</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rPr>
        <w:t>be</w:t>
      </w:r>
      <w:r w:rsidRPr="00EB1AAB">
        <w:rPr>
          <w:rFonts w:ascii="Arial" w:eastAsia="Arial" w:hAnsi="Arial" w:cs="Arial"/>
          <w:spacing w:val="3"/>
        </w:rPr>
        <w:t xml:space="preserve"> </w:t>
      </w:r>
      <w:r w:rsidRPr="00EB1AAB">
        <w:rPr>
          <w:rFonts w:ascii="Arial" w:eastAsia="Arial" w:hAnsi="Arial" w:cs="Arial"/>
          <w:spacing w:val="-1"/>
          <w:w w:val="101"/>
        </w:rPr>
        <w:t>r</w:t>
      </w:r>
      <w:r w:rsidRPr="00EB1AAB">
        <w:rPr>
          <w:rFonts w:ascii="Arial" w:eastAsia="Arial" w:hAnsi="Arial" w:cs="Arial"/>
          <w:spacing w:val="-3"/>
          <w:w w:val="101"/>
        </w:rPr>
        <w:t>e</w:t>
      </w:r>
      <w:r w:rsidRPr="00EB1AAB">
        <w:rPr>
          <w:rFonts w:ascii="Arial" w:eastAsia="Arial" w:hAnsi="Arial" w:cs="Arial"/>
          <w:spacing w:val="3"/>
          <w:w w:val="101"/>
        </w:rPr>
        <w:t>v</w:t>
      </w:r>
      <w:r w:rsidRPr="00EB1AAB">
        <w:rPr>
          <w:rFonts w:ascii="Arial" w:eastAsia="Arial" w:hAnsi="Arial" w:cs="Arial"/>
          <w:spacing w:val="-3"/>
          <w:w w:val="101"/>
        </w:rPr>
        <w:t>e</w:t>
      </w:r>
      <w:r w:rsidRPr="00EB1AAB">
        <w:rPr>
          <w:rFonts w:ascii="Arial" w:eastAsia="Arial" w:hAnsi="Arial" w:cs="Arial"/>
          <w:spacing w:val="1"/>
          <w:w w:val="101"/>
        </w:rPr>
        <w:t>rs</w:t>
      </w:r>
      <w:r w:rsidRPr="00EB1AAB">
        <w:rPr>
          <w:rFonts w:ascii="Arial" w:eastAsia="Arial" w:hAnsi="Arial" w:cs="Arial"/>
          <w:w w:val="101"/>
        </w:rPr>
        <w:t xml:space="preserve">ed </w:t>
      </w:r>
      <w:r w:rsidRPr="00EB1AAB">
        <w:rPr>
          <w:rFonts w:ascii="Arial" w:eastAsia="Arial" w:hAnsi="Arial" w:cs="Arial"/>
          <w:spacing w:val="1"/>
        </w:rPr>
        <w:t>vi</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1"/>
        </w:rPr>
        <w:t xml:space="preserve"> </w:t>
      </w:r>
      <w:r w:rsidRPr="00EB1AAB">
        <w:rPr>
          <w:rFonts w:ascii="Arial" w:eastAsia="Arial" w:hAnsi="Arial" w:cs="Arial"/>
        </w:rPr>
        <w:t>M</w:t>
      </w:r>
      <w:r w:rsidRPr="00EB1AAB">
        <w:rPr>
          <w:rFonts w:ascii="Arial" w:eastAsia="Arial" w:hAnsi="Arial" w:cs="Arial"/>
          <w:spacing w:val="-1"/>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2"/>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9"/>
        </w:rPr>
        <w:t xml:space="preserve"> </w:t>
      </w:r>
      <w:r w:rsidRPr="00EB1AAB">
        <w:rPr>
          <w:rFonts w:ascii="Arial" w:eastAsia="Arial" w:hAnsi="Arial" w:cs="Arial"/>
          <w:spacing w:val="3"/>
        </w:rPr>
        <w:t>S</w:t>
      </w:r>
      <w:r w:rsidRPr="00EB1AAB">
        <w:rPr>
          <w:rFonts w:ascii="Arial" w:eastAsia="Arial" w:hAnsi="Arial" w:cs="Arial"/>
        </w:rPr>
        <w:t>t</w:t>
      </w:r>
      <w:r w:rsidRPr="00EB1AAB">
        <w:rPr>
          <w:rFonts w:ascii="Arial" w:eastAsia="Arial" w:hAnsi="Arial" w:cs="Arial"/>
          <w:spacing w:val="-2"/>
        </w:rPr>
        <w:t>a</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me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3"/>
        </w:rPr>
        <w:t xml:space="preserve"> </w:t>
      </w:r>
      <w:r w:rsidRPr="00EB1AAB">
        <w:rPr>
          <w:rFonts w:ascii="Arial" w:eastAsia="Arial" w:hAnsi="Arial" w:cs="Arial"/>
        </w:rPr>
        <w:t>to</w:t>
      </w:r>
      <w:r w:rsidRPr="00EB1AAB">
        <w:rPr>
          <w:rFonts w:ascii="Arial" w:eastAsia="Arial" w:hAnsi="Arial" w:cs="Arial"/>
          <w:spacing w:val="2"/>
        </w:rPr>
        <w:t xml:space="preserve"> 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rPr>
        <w:t>Ad</w:t>
      </w:r>
      <w:r w:rsidRPr="00EB1AAB">
        <w:rPr>
          <w:rFonts w:ascii="Arial" w:eastAsia="Arial" w:hAnsi="Arial" w:cs="Arial"/>
          <w:spacing w:val="1"/>
        </w:rPr>
        <w:t>j</w:t>
      </w:r>
      <w:r w:rsidRPr="00EB1AAB">
        <w:rPr>
          <w:rFonts w:ascii="Arial" w:eastAsia="Arial" w:hAnsi="Arial" w:cs="Arial"/>
        </w:rPr>
        <w:t>u</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w w:val="101"/>
        </w:rPr>
        <w:t>A</w:t>
      </w:r>
      <w:r w:rsidRPr="00EB1AAB">
        <w:rPr>
          <w:rFonts w:ascii="Arial" w:eastAsia="Arial" w:hAnsi="Arial" w:cs="Arial"/>
          <w:spacing w:val="1"/>
          <w:w w:val="101"/>
        </w:rPr>
        <w:t>cc</w:t>
      </w:r>
      <w:r w:rsidRPr="00EB1AAB">
        <w:rPr>
          <w:rFonts w:ascii="Arial" w:eastAsia="Arial" w:hAnsi="Arial" w:cs="Arial"/>
          <w:spacing w:val="-3"/>
          <w:w w:val="101"/>
        </w:rPr>
        <w:t>o</w:t>
      </w:r>
      <w:r w:rsidRPr="00EB1AAB">
        <w:rPr>
          <w:rFonts w:ascii="Arial" w:eastAsia="Arial" w:hAnsi="Arial" w:cs="Arial"/>
          <w:spacing w:val="2"/>
          <w:w w:val="101"/>
        </w:rPr>
        <w:t>u</w:t>
      </w:r>
      <w:r w:rsidRPr="00EB1AAB">
        <w:rPr>
          <w:rFonts w:ascii="Arial" w:eastAsia="Arial" w:hAnsi="Arial" w:cs="Arial"/>
          <w:spacing w:val="-2"/>
          <w:w w:val="101"/>
        </w:rPr>
        <w:t>n</w:t>
      </w:r>
      <w:r w:rsidRPr="00EB1AAB">
        <w:rPr>
          <w:rFonts w:ascii="Arial" w:eastAsia="Arial" w:hAnsi="Arial" w:cs="Arial"/>
          <w:w w:val="101"/>
        </w:rPr>
        <w:t>t.</w:t>
      </w:r>
    </w:p>
    <w:bookmarkEnd w:id="75"/>
    <w:p w14:paraId="1B04F623" w14:textId="77777777" w:rsidR="00655E4C" w:rsidRPr="00EB1AAB" w:rsidRDefault="00655E4C" w:rsidP="00BB0191">
      <w:pPr>
        <w:pStyle w:val="Normal0"/>
        <w:spacing w:after="240" w:line="360" w:lineRule="auto"/>
        <w:rPr>
          <w:rFonts w:ascii="Arial" w:hAnsi="Arial" w:cs="Arial"/>
          <w:b/>
          <w:bCs/>
          <w:sz w:val="24"/>
          <w:szCs w:val="24"/>
          <w:lang w:eastAsia="en-GB"/>
        </w:rPr>
      </w:pPr>
    </w:p>
    <w:p w14:paraId="28635C82" w14:textId="0B638DE6" w:rsidR="00655E4C" w:rsidRPr="00EB1AAB" w:rsidRDefault="00655E4C" w:rsidP="006F1659">
      <w:pPr>
        <w:pStyle w:val="Heading4bold"/>
        <w:spacing w:line="360" w:lineRule="auto"/>
        <w:rPr>
          <w:lang w:eastAsia="en-GB"/>
        </w:rPr>
      </w:pPr>
      <w:r w:rsidRPr="00EB1AAB">
        <w:rPr>
          <w:lang w:eastAsia="en-GB"/>
        </w:rPr>
        <w:t>1.1</w:t>
      </w:r>
      <w:r w:rsidR="00E85440">
        <w:rPr>
          <w:lang w:eastAsia="en-GB"/>
        </w:rPr>
        <w:t>9</w:t>
      </w:r>
      <w:r w:rsidRPr="00EB1AAB">
        <w:rPr>
          <w:lang w:eastAsia="en-GB"/>
        </w:rPr>
        <w:t>. Financial Liabilities</w:t>
      </w:r>
    </w:p>
    <w:p w14:paraId="06E0B83A" w14:textId="77777777" w:rsidR="00655E4C" w:rsidRPr="00EB1AAB" w:rsidRDefault="00655E4C" w:rsidP="006F1659">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 xml:space="preserve">Financial liabilities are recognised on the Balance Sheet when the Authority becomes a party to the contractual provisions of a financial instrument and are initially measured at fair value and carried at their amortised cost. Annual charges to the Financing and Investment Income and Expenditure line in the Comprehensive Income and Expenditure Statement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 </w:t>
      </w:r>
    </w:p>
    <w:p w14:paraId="76084A1B" w14:textId="77777777" w:rsidR="00655E4C" w:rsidRPr="00EB1AAB" w:rsidRDefault="00655E4C" w:rsidP="006F1659">
      <w:pPr>
        <w:pStyle w:val="Normal0"/>
        <w:spacing w:line="360" w:lineRule="auto"/>
        <w:rPr>
          <w:rFonts w:ascii="Arial" w:hAnsi="Arial" w:cs="Arial"/>
          <w:bCs/>
          <w:sz w:val="24"/>
          <w:szCs w:val="24"/>
          <w:lang w:eastAsia="en-GB"/>
        </w:rPr>
      </w:pPr>
    </w:p>
    <w:p w14:paraId="370FE120" w14:textId="77777777" w:rsidR="00655E4C" w:rsidRPr="00EB1AAB" w:rsidRDefault="00655E4C" w:rsidP="006F1659">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For most of the borrowings that the Authority has, this means that the amount presented in the Balance Sheet is the outstanding principal repayable plus accrued interest. The interest charged to the Comprehensive Income and Expenditure Statement is the amount payable for the year according to the loan agreement.</w:t>
      </w:r>
    </w:p>
    <w:p w14:paraId="773C5114" w14:textId="77777777" w:rsidR="00655E4C" w:rsidRPr="00EB1AAB" w:rsidRDefault="00655E4C" w:rsidP="006F1659">
      <w:pPr>
        <w:pStyle w:val="Normal0"/>
        <w:spacing w:line="360" w:lineRule="auto"/>
        <w:rPr>
          <w:rFonts w:ascii="Arial" w:hAnsi="Arial" w:cs="Arial"/>
          <w:bCs/>
          <w:sz w:val="24"/>
          <w:szCs w:val="24"/>
          <w:lang w:eastAsia="en-GB"/>
        </w:rPr>
      </w:pPr>
    </w:p>
    <w:p w14:paraId="5FFF5EE8" w14:textId="77777777" w:rsidR="00655E4C" w:rsidRPr="0007572B" w:rsidRDefault="00655E4C" w:rsidP="006F1659">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For Lender Option Borrower Option (LOBO) loans, the effective interest rate has been calculated over the life of the loan. This is an average and differs from the amounts actually paid in the year. The difference between the calculated interest charge and interest paid has been adjusted in the carrying amount of the loan and the amount charged in the Comprehensive Income and Expenditure Statement is the effective interest rate for the life of the loan rather than the amount payable per the loan agreement. A statutory over-ride allows the reversal of this difference through the Movement in Reserves Statement in order to charge the actual interest payable to the General Fund.</w:t>
      </w:r>
    </w:p>
    <w:p w14:paraId="65EB7B91" w14:textId="029B6E82" w:rsidR="00A506A6" w:rsidRPr="00431F6F" w:rsidRDefault="00A506A6" w:rsidP="006F1659">
      <w:pPr>
        <w:spacing w:line="360" w:lineRule="auto"/>
        <w:rPr>
          <w:rFonts w:ascii="Arial" w:hAnsi="Arial"/>
          <w:b/>
        </w:rPr>
      </w:pPr>
    </w:p>
    <w:p w14:paraId="163A30A0" w14:textId="0547745E" w:rsidR="00655E4C" w:rsidRPr="0097099A" w:rsidRDefault="00655E4C" w:rsidP="006F1659">
      <w:pPr>
        <w:pStyle w:val="Heading4bold"/>
        <w:spacing w:line="360" w:lineRule="auto"/>
        <w:rPr>
          <w:lang w:eastAsia="en-GB"/>
        </w:rPr>
      </w:pPr>
      <w:r w:rsidRPr="0097099A">
        <w:rPr>
          <w:lang w:eastAsia="en-GB"/>
        </w:rPr>
        <w:t>1.</w:t>
      </w:r>
      <w:r w:rsidR="00E85440">
        <w:rPr>
          <w:lang w:eastAsia="en-GB"/>
        </w:rPr>
        <w:t>20</w:t>
      </w:r>
      <w:r w:rsidRPr="0097099A">
        <w:rPr>
          <w:lang w:eastAsia="en-GB"/>
        </w:rPr>
        <w:t>. Impairment of non-financial assets</w:t>
      </w:r>
    </w:p>
    <w:p w14:paraId="51683906"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26607F49" w14:textId="77777777" w:rsidR="00655E4C" w:rsidRPr="0097099A" w:rsidRDefault="00655E4C" w:rsidP="006F1659">
      <w:pPr>
        <w:pStyle w:val="Normal0"/>
        <w:spacing w:line="360" w:lineRule="auto"/>
        <w:rPr>
          <w:rFonts w:ascii="Arial" w:hAnsi="Arial" w:cs="Arial"/>
          <w:bCs/>
          <w:sz w:val="24"/>
          <w:szCs w:val="24"/>
          <w:lang w:eastAsia="en-GB"/>
        </w:rPr>
      </w:pPr>
    </w:p>
    <w:p w14:paraId="5EFFE0C5"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impairment losses are identified, they are accounted for as follows:</w:t>
      </w:r>
    </w:p>
    <w:p w14:paraId="195EC9D3" w14:textId="77777777" w:rsidR="00655E4C" w:rsidRPr="0097099A" w:rsidRDefault="00655E4C" w:rsidP="006F1659">
      <w:pPr>
        <w:pStyle w:val="Normal0"/>
        <w:spacing w:line="360" w:lineRule="auto"/>
        <w:rPr>
          <w:rFonts w:ascii="Arial" w:hAnsi="Arial" w:cs="Arial"/>
          <w:bCs/>
          <w:sz w:val="24"/>
          <w:szCs w:val="24"/>
          <w:lang w:eastAsia="en-GB"/>
        </w:rPr>
      </w:pPr>
    </w:p>
    <w:p w14:paraId="6471587A" w14:textId="303B1CCD" w:rsidR="00655E4C" w:rsidRPr="0097099A" w:rsidRDefault="00655E4C" w:rsidP="006F1659">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r w:rsidR="000407DD">
        <w:rPr>
          <w:rFonts w:ascii="Arial" w:hAnsi="Arial" w:cs="Arial"/>
          <w:bCs/>
          <w:sz w:val="24"/>
          <w:szCs w:val="24"/>
        </w:rPr>
        <w:t>;</w:t>
      </w:r>
    </w:p>
    <w:p w14:paraId="6B5C1C54" w14:textId="77777777" w:rsidR="00655E4C" w:rsidRPr="0097099A" w:rsidRDefault="00655E4C" w:rsidP="006F1659">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47B7C4D1" w14:textId="22A31E29" w:rsidR="00655E4C" w:rsidRPr="0007572B"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an impairment loss is subsequently reversed, the reversal is credited to the relevant service line(s) in the </w:t>
      </w:r>
      <w:r w:rsidR="000407DD">
        <w:rPr>
          <w:rFonts w:ascii="Arial" w:hAnsi="Arial" w:cs="Arial"/>
          <w:bCs/>
          <w:sz w:val="24"/>
          <w:szCs w:val="24"/>
          <w:lang w:eastAsia="en-GB"/>
        </w:rPr>
        <w:t>CIES</w:t>
      </w:r>
      <w:r w:rsidRPr="0097099A">
        <w:rPr>
          <w:rFonts w:ascii="Arial" w:hAnsi="Arial" w:cs="Arial"/>
          <w:bCs/>
          <w:sz w:val="24"/>
          <w:szCs w:val="24"/>
          <w:lang w:eastAsia="en-GB"/>
        </w:rPr>
        <w:t>, up to the amount of the original loss, adjusted for depreciation that would have been charged if the loss had not been recognised.</w:t>
      </w:r>
    </w:p>
    <w:p w14:paraId="70065AF7" w14:textId="77777777" w:rsidR="00655E4C" w:rsidRPr="0007572B" w:rsidRDefault="00655E4C" w:rsidP="006F1659">
      <w:pPr>
        <w:pStyle w:val="Normal0"/>
        <w:spacing w:line="360" w:lineRule="auto"/>
        <w:rPr>
          <w:rFonts w:ascii="Arial" w:hAnsi="Arial" w:cs="Arial"/>
          <w:bCs/>
          <w:sz w:val="24"/>
          <w:szCs w:val="24"/>
          <w:lang w:eastAsia="en-GB"/>
        </w:rPr>
      </w:pPr>
    </w:p>
    <w:p w14:paraId="3EDCBC27" w14:textId="2147FC63" w:rsidR="00655E4C" w:rsidRPr="0007572B" w:rsidRDefault="00655E4C" w:rsidP="006F1659">
      <w:pPr>
        <w:pStyle w:val="Heading4bold"/>
        <w:spacing w:line="360" w:lineRule="auto"/>
        <w:rPr>
          <w:lang w:eastAsia="en-GB"/>
        </w:rPr>
      </w:pPr>
      <w:r w:rsidRPr="0007572B">
        <w:rPr>
          <w:lang w:eastAsia="en-GB"/>
        </w:rPr>
        <w:lastRenderedPageBreak/>
        <w:t>1.</w:t>
      </w:r>
      <w:r w:rsidR="00E85440">
        <w:rPr>
          <w:lang w:eastAsia="en-GB"/>
        </w:rPr>
        <w:t>20</w:t>
      </w:r>
      <w:r w:rsidRPr="0007572B">
        <w:rPr>
          <w:lang w:eastAsia="en-GB"/>
        </w:rPr>
        <w:t>. Value Added Tax (VAT)</w:t>
      </w:r>
    </w:p>
    <w:p w14:paraId="352AF8EA" w14:textId="61AA2B51"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VAT payable is included as an expense only to the extent that it is not recoverable from </w:t>
      </w:r>
      <w:r w:rsidR="001C49A0">
        <w:rPr>
          <w:rFonts w:ascii="Arial" w:hAnsi="Arial" w:cs="Arial"/>
          <w:bCs/>
          <w:sz w:val="24"/>
          <w:szCs w:val="24"/>
          <w:lang w:eastAsia="en-GB"/>
        </w:rPr>
        <w:t>HMRC</w:t>
      </w:r>
      <w:r w:rsidRPr="0007572B">
        <w:rPr>
          <w:rFonts w:ascii="Arial" w:hAnsi="Arial" w:cs="Arial"/>
          <w:bCs/>
          <w:sz w:val="24"/>
          <w:szCs w:val="24"/>
          <w:lang w:eastAsia="en-GB"/>
        </w:rPr>
        <w:t>. VAT receivable is excluded from income.</w:t>
      </w:r>
    </w:p>
    <w:p w14:paraId="4C9BED31" w14:textId="77777777" w:rsidR="00655E4C" w:rsidRPr="0007572B" w:rsidRDefault="00655E4C" w:rsidP="00BB0191">
      <w:pPr>
        <w:pStyle w:val="Normal0"/>
        <w:spacing w:after="240" w:line="360" w:lineRule="auto"/>
        <w:rPr>
          <w:rFonts w:ascii="Arial" w:hAnsi="Arial" w:cs="Arial"/>
          <w:b/>
          <w:bCs/>
          <w:sz w:val="24"/>
          <w:szCs w:val="24"/>
          <w:lang w:eastAsia="en-GB"/>
        </w:rPr>
      </w:pPr>
    </w:p>
    <w:p w14:paraId="14E755E2" w14:textId="584CBBF5" w:rsidR="00655E4C" w:rsidRPr="0007572B" w:rsidRDefault="00655E4C" w:rsidP="006F1659">
      <w:pPr>
        <w:pStyle w:val="Heading4bold"/>
        <w:spacing w:line="360" w:lineRule="auto"/>
        <w:rPr>
          <w:lang w:eastAsia="en-GB"/>
        </w:rPr>
      </w:pPr>
      <w:r w:rsidRPr="0007572B">
        <w:rPr>
          <w:lang w:eastAsia="en-GB"/>
        </w:rPr>
        <w:t>1.</w:t>
      </w:r>
      <w:r w:rsidR="00E85440">
        <w:rPr>
          <w:lang w:eastAsia="en-GB"/>
        </w:rPr>
        <w:t>22</w:t>
      </w:r>
      <w:r w:rsidRPr="0007572B">
        <w:rPr>
          <w:lang w:eastAsia="en-GB"/>
        </w:rPr>
        <w:t>. Reserves and Balances</w:t>
      </w:r>
    </w:p>
    <w:p w14:paraId="09D673DB" w14:textId="31018612"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to the appropriate service in that year to score against the Surplus and Deficit on the Provision of Services in the </w:t>
      </w:r>
      <w:r w:rsidR="000407DD">
        <w:rPr>
          <w:rFonts w:ascii="Arial" w:hAnsi="Arial" w:cs="Arial"/>
          <w:bCs/>
          <w:sz w:val="24"/>
          <w:szCs w:val="24"/>
          <w:lang w:eastAsia="en-GB"/>
        </w:rPr>
        <w:t>CIES</w:t>
      </w:r>
      <w:r w:rsidRPr="0007572B">
        <w:rPr>
          <w:rFonts w:ascii="Arial" w:hAnsi="Arial" w:cs="Arial"/>
          <w:bCs/>
          <w:sz w:val="24"/>
          <w:szCs w:val="24"/>
          <w:lang w:eastAsia="en-GB"/>
        </w:rPr>
        <w:t>. The reserve is then appropriated back into the General Fund Balance in the Movement in Reserves Statement so that there is no net charge for the expenditure.</w:t>
      </w:r>
    </w:p>
    <w:p w14:paraId="0327473E" w14:textId="77777777" w:rsidR="00655E4C" w:rsidRPr="0007572B" w:rsidRDefault="00655E4C" w:rsidP="006F1659">
      <w:pPr>
        <w:pStyle w:val="Normal0"/>
        <w:spacing w:line="360" w:lineRule="auto"/>
        <w:rPr>
          <w:rFonts w:ascii="Arial" w:hAnsi="Arial" w:cs="Arial"/>
          <w:bCs/>
          <w:sz w:val="24"/>
          <w:szCs w:val="24"/>
          <w:lang w:eastAsia="en-GB"/>
        </w:rPr>
      </w:pPr>
    </w:p>
    <w:p w14:paraId="14E4CF39"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Certain reserves are kept to manage the accounting processes for non-current assets, financial instruments and retirement and employee benefits and they do not represent usable resources for the Authority.</w:t>
      </w:r>
    </w:p>
    <w:p w14:paraId="28EE6BF1" w14:textId="77777777" w:rsidR="00655E4C" w:rsidRPr="0007572B" w:rsidRDefault="00655E4C" w:rsidP="006F1659">
      <w:pPr>
        <w:pStyle w:val="Normal0"/>
        <w:spacing w:line="360" w:lineRule="auto"/>
        <w:rPr>
          <w:rFonts w:ascii="Arial" w:hAnsi="Arial" w:cs="Arial"/>
          <w:bCs/>
          <w:sz w:val="24"/>
          <w:szCs w:val="24"/>
          <w:lang w:eastAsia="en-GB"/>
        </w:rPr>
      </w:pPr>
    </w:p>
    <w:p w14:paraId="5DAFC9CD" w14:textId="464D4A1E"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produces memorandum accounts to hold the </w:t>
      </w:r>
      <w:r w:rsidR="00203B09" w:rsidRPr="0007572B">
        <w:rPr>
          <w:rFonts w:ascii="Arial" w:hAnsi="Arial" w:cs="Arial"/>
          <w:bCs/>
          <w:sz w:val="24"/>
          <w:szCs w:val="24"/>
          <w:lang w:eastAsia="en-GB"/>
        </w:rPr>
        <w:t>ring-fenced</w:t>
      </w:r>
      <w:r w:rsidRPr="0007572B">
        <w:rPr>
          <w:rFonts w:ascii="Arial" w:hAnsi="Arial" w:cs="Arial"/>
          <w:bCs/>
          <w:sz w:val="24"/>
          <w:szCs w:val="24"/>
          <w:lang w:eastAsia="en-GB"/>
        </w:rPr>
        <w:t xml:space="preserve"> reserves and balances relating to the Mayoral General Fund and the Mayoral Police Fund. </w:t>
      </w:r>
    </w:p>
    <w:p w14:paraId="3BDDA1BA" w14:textId="77777777" w:rsidR="00655E4C" w:rsidRPr="0007572B" w:rsidRDefault="00655E4C" w:rsidP="00BB0191">
      <w:pPr>
        <w:pStyle w:val="Normal0"/>
        <w:spacing w:after="240" w:line="360" w:lineRule="auto"/>
        <w:rPr>
          <w:rFonts w:ascii="Arial" w:hAnsi="Arial" w:cs="Arial"/>
          <w:b/>
          <w:bCs/>
          <w:sz w:val="24"/>
          <w:szCs w:val="24"/>
          <w:lang w:eastAsia="en-GB"/>
        </w:rPr>
      </w:pPr>
    </w:p>
    <w:p w14:paraId="409237C2" w14:textId="12D397AC" w:rsidR="00655E4C" w:rsidRPr="0007572B" w:rsidRDefault="00655E4C" w:rsidP="006F1659">
      <w:pPr>
        <w:pStyle w:val="Heading4bold"/>
        <w:spacing w:line="360" w:lineRule="auto"/>
        <w:rPr>
          <w:lang w:eastAsia="en-GB"/>
        </w:rPr>
      </w:pPr>
      <w:r w:rsidRPr="0007572B">
        <w:rPr>
          <w:lang w:eastAsia="en-GB"/>
        </w:rPr>
        <w:t>1.2</w:t>
      </w:r>
      <w:r w:rsidR="00E85440">
        <w:rPr>
          <w:lang w:eastAsia="en-GB"/>
        </w:rPr>
        <w:t>3</w:t>
      </w:r>
      <w:r w:rsidRPr="0007572B">
        <w:rPr>
          <w:lang w:eastAsia="en-GB"/>
        </w:rPr>
        <w:t>. Revenue</w:t>
      </w:r>
    </w:p>
    <w:p w14:paraId="4471E97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Revenue is a sub-set of income and is defined as the gross inflow of economic benefits or service potential during the reporting period when those inflows result in an increase in net worth.</w:t>
      </w:r>
    </w:p>
    <w:p w14:paraId="61173C58" w14:textId="77777777" w:rsidR="00655E4C" w:rsidRPr="0007572B" w:rsidRDefault="00655E4C" w:rsidP="006F1659">
      <w:pPr>
        <w:pStyle w:val="Normal0"/>
        <w:spacing w:line="360" w:lineRule="auto"/>
        <w:rPr>
          <w:rFonts w:ascii="Arial" w:hAnsi="Arial" w:cs="Arial"/>
          <w:bCs/>
          <w:sz w:val="24"/>
          <w:szCs w:val="24"/>
          <w:lang w:eastAsia="en-GB"/>
        </w:rPr>
      </w:pPr>
    </w:p>
    <w:p w14:paraId="5372F74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from contracts with service recipients, whether for services or the provision of goods, is recognised when (or as) the goods or services are transferred to the service recipient in accordance with the performance obligations in the contract. </w:t>
      </w:r>
    </w:p>
    <w:p w14:paraId="7C861E0F"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Interest receivable on investments and payable on borrowings is accounted for respectively as income and expenditure on the basis of the effective interest rate for the </w:t>
      </w:r>
      <w:r w:rsidRPr="0007572B">
        <w:rPr>
          <w:rFonts w:ascii="Arial" w:hAnsi="Arial" w:cs="Arial"/>
          <w:bCs/>
          <w:sz w:val="24"/>
          <w:szCs w:val="24"/>
          <w:lang w:eastAsia="en-GB"/>
        </w:rPr>
        <w:lastRenderedPageBreak/>
        <w:t>relevant financial instrument rather than the cash flows fixed or determined by the contract.</w:t>
      </w:r>
    </w:p>
    <w:p w14:paraId="403C2487" w14:textId="77777777" w:rsidR="00655E4C" w:rsidRPr="0007572B" w:rsidRDefault="00655E4C" w:rsidP="006F1659">
      <w:pPr>
        <w:pStyle w:val="Normal0"/>
        <w:spacing w:line="360" w:lineRule="auto"/>
        <w:rPr>
          <w:rFonts w:ascii="Arial" w:hAnsi="Arial" w:cs="Arial"/>
          <w:bCs/>
          <w:sz w:val="24"/>
          <w:szCs w:val="24"/>
          <w:lang w:eastAsia="en-GB"/>
        </w:rPr>
      </w:pPr>
    </w:p>
    <w:p w14:paraId="5E522B47"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revenue has been recognised but cash has not been received or paid, a debtor for the relevant amount is recorded in the Balance Sheet. Where debts may not be settled, the balance of debtors is written down and a charge made to revenue for the income that might not be collected.</w:t>
      </w:r>
    </w:p>
    <w:p w14:paraId="115333A3" w14:textId="77777777" w:rsidR="00655E4C" w:rsidRPr="0007572B" w:rsidRDefault="00655E4C" w:rsidP="006F1659">
      <w:pPr>
        <w:pStyle w:val="Normal0"/>
        <w:spacing w:line="360" w:lineRule="auto"/>
        <w:rPr>
          <w:rFonts w:ascii="Arial" w:hAnsi="Arial" w:cs="Arial"/>
          <w:bCs/>
          <w:sz w:val="24"/>
          <w:szCs w:val="24"/>
          <w:lang w:eastAsia="en-GB"/>
        </w:rPr>
      </w:pPr>
    </w:p>
    <w:p w14:paraId="3FF0BCD2"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Rentals receivable under operating leases and secondary rentals received and retained by the group under finance leases are credited to income as they arise. Any premia or incentives within the lease are recognised within income on an equal basis over the term of the lease.</w:t>
      </w:r>
    </w:p>
    <w:p w14:paraId="11889E82" w14:textId="77777777" w:rsidR="00655E4C" w:rsidRPr="0007572B" w:rsidRDefault="00655E4C" w:rsidP="00BB0191">
      <w:pPr>
        <w:pStyle w:val="Normal0"/>
        <w:spacing w:after="240" w:line="360" w:lineRule="auto"/>
        <w:rPr>
          <w:rFonts w:ascii="Arial" w:hAnsi="Arial" w:cs="Arial"/>
          <w:bCs/>
          <w:sz w:val="24"/>
          <w:szCs w:val="24"/>
          <w:lang w:eastAsia="en-GB"/>
        </w:rPr>
      </w:pPr>
    </w:p>
    <w:p w14:paraId="41358904" w14:textId="5A6E6A04" w:rsidR="00655E4C" w:rsidRPr="0007572B" w:rsidRDefault="00655E4C" w:rsidP="006F1659">
      <w:pPr>
        <w:pStyle w:val="Heading4bold"/>
        <w:spacing w:line="360" w:lineRule="auto"/>
        <w:rPr>
          <w:lang w:eastAsia="en-GB"/>
        </w:rPr>
      </w:pPr>
      <w:r w:rsidRPr="0007572B">
        <w:rPr>
          <w:lang w:eastAsia="en-GB"/>
        </w:rPr>
        <w:t>1.2</w:t>
      </w:r>
      <w:r w:rsidR="00E85440">
        <w:rPr>
          <w:lang w:eastAsia="en-GB"/>
        </w:rPr>
        <w:t>4</w:t>
      </w:r>
      <w:r w:rsidRPr="0007572B">
        <w:rPr>
          <w:lang w:eastAsia="en-GB"/>
        </w:rPr>
        <w:t>. Contingent assets</w:t>
      </w:r>
    </w:p>
    <w:p w14:paraId="3DD6233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 contingent asset arises where an event has taken place that gives the Authority a possible asset whose existence will only be confirmed by the occurrence or otherwise of uncertain future events not wholly within the control of the Authority.</w:t>
      </w:r>
    </w:p>
    <w:p w14:paraId="5B12AB42" w14:textId="77777777" w:rsidR="00655E4C" w:rsidRPr="0007572B" w:rsidRDefault="00655E4C" w:rsidP="006F1659">
      <w:pPr>
        <w:pStyle w:val="Normal0"/>
        <w:spacing w:line="360" w:lineRule="auto"/>
        <w:rPr>
          <w:rFonts w:ascii="Arial" w:hAnsi="Arial" w:cs="Arial"/>
          <w:bCs/>
          <w:sz w:val="24"/>
          <w:szCs w:val="24"/>
          <w:lang w:eastAsia="en-GB"/>
        </w:rPr>
      </w:pPr>
    </w:p>
    <w:p w14:paraId="7640E37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Contingent assets are not recognised in the Balance Sheet but disclosed in a note to the accounts where it is probable that there will be an inflow of economic benefits or service potential.</w:t>
      </w:r>
    </w:p>
    <w:p w14:paraId="3263E417" w14:textId="77777777" w:rsidR="00655E4C" w:rsidRPr="0007572B" w:rsidRDefault="00655E4C" w:rsidP="00BB0191">
      <w:pPr>
        <w:pStyle w:val="Normal0"/>
        <w:spacing w:after="240" w:line="360" w:lineRule="auto"/>
        <w:rPr>
          <w:rFonts w:ascii="Arial" w:hAnsi="Arial" w:cs="Arial"/>
          <w:bCs/>
          <w:sz w:val="24"/>
          <w:szCs w:val="24"/>
          <w:lang w:eastAsia="en-GB"/>
        </w:rPr>
      </w:pPr>
    </w:p>
    <w:p w14:paraId="3D320A51" w14:textId="58E5EEB2" w:rsidR="00655E4C" w:rsidRPr="0007572B" w:rsidRDefault="00655E4C" w:rsidP="006F1659">
      <w:pPr>
        <w:pStyle w:val="Heading4bold"/>
        <w:spacing w:line="360" w:lineRule="auto"/>
        <w:rPr>
          <w:lang w:eastAsia="en-GB"/>
        </w:rPr>
      </w:pPr>
      <w:r w:rsidRPr="0007572B">
        <w:rPr>
          <w:lang w:eastAsia="en-GB"/>
        </w:rPr>
        <w:t>1.2</w:t>
      </w:r>
      <w:r w:rsidR="00E85440">
        <w:rPr>
          <w:lang w:eastAsia="en-GB"/>
        </w:rPr>
        <w:t>5</w:t>
      </w:r>
      <w:r w:rsidRPr="0007572B">
        <w:rPr>
          <w:lang w:eastAsia="en-GB"/>
        </w:rPr>
        <w:t>. Contingent liabilities</w:t>
      </w:r>
    </w:p>
    <w:p w14:paraId="43C29599" w14:textId="1D8F5720"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also arise in circumstances where a provision would otherwise be made but either it is not probable that an outflow of resources will be </w:t>
      </w:r>
      <w:r w:rsidR="00203B09" w:rsidRPr="0007572B">
        <w:rPr>
          <w:rFonts w:ascii="Arial" w:hAnsi="Arial" w:cs="Arial"/>
          <w:bCs/>
          <w:sz w:val="24"/>
          <w:szCs w:val="24"/>
          <w:lang w:eastAsia="en-GB"/>
        </w:rPr>
        <w:t>required,</w:t>
      </w:r>
      <w:r w:rsidRPr="0007572B">
        <w:rPr>
          <w:rFonts w:ascii="Arial" w:hAnsi="Arial" w:cs="Arial"/>
          <w:bCs/>
          <w:sz w:val="24"/>
          <w:szCs w:val="24"/>
          <w:lang w:eastAsia="en-GB"/>
        </w:rPr>
        <w:t xml:space="preserve"> or the amount of the obligation cannot be measured reliably.</w:t>
      </w:r>
    </w:p>
    <w:p w14:paraId="1AF1F610" w14:textId="77777777" w:rsidR="00655E4C" w:rsidRPr="0007572B" w:rsidRDefault="00655E4C" w:rsidP="006F1659">
      <w:pPr>
        <w:pStyle w:val="Normal0"/>
        <w:spacing w:line="360" w:lineRule="auto"/>
        <w:rPr>
          <w:rFonts w:ascii="Arial" w:hAnsi="Arial" w:cs="Arial"/>
          <w:bCs/>
          <w:sz w:val="24"/>
          <w:szCs w:val="24"/>
          <w:lang w:eastAsia="en-GB"/>
        </w:rPr>
      </w:pPr>
    </w:p>
    <w:p w14:paraId="4F79715E"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Contingent liabilities are not recognised in the Balance Sheet but disclosed in a note to the accounts.</w:t>
      </w:r>
    </w:p>
    <w:p w14:paraId="00FF0DC7" w14:textId="77777777" w:rsidR="00655E4C" w:rsidRPr="0007572B" w:rsidRDefault="00655E4C" w:rsidP="00BB0191">
      <w:pPr>
        <w:pStyle w:val="Normal0"/>
        <w:spacing w:after="240" w:line="360" w:lineRule="auto"/>
        <w:rPr>
          <w:rFonts w:ascii="Arial" w:hAnsi="Arial" w:cs="Arial"/>
          <w:bCs/>
          <w:sz w:val="24"/>
          <w:szCs w:val="24"/>
          <w:lang w:eastAsia="en-GB"/>
        </w:rPr>
      </w:pPr>
    </w:p>
    <w:p w14:paraId="53C02A9D" w14:textId="08031B4D" w:rsidR="00655E4C" w:rsidRPr="0007572B" w:rsidRDefault="00655E4C" w:rsidP="006F1659">
      <w:pPr>
        <w:pStyle w:val="Heading4bold"/>
        <w:spacing w:line="360" w:lineRule="auto"/>
        <w:rPr>
          <w:lang w:eastAsia="en-GB"/>
        </w:rPr>
      </w:pPr>
      <w:r w:rsidRPr="0007572B">
        <w:rPr>
          <w:lang w:eastAsia="en-GB"/>
        </w:rPr>
        <w:t>1.2</w:t>
      </w:r>
      <w:r w:rsidR="00E85440">
        <w:rPr>
          <w:lang w:eastAsia="en-GB"/>
        </w:rPr>
        <w:t>6</w:t>
      </w:r>
      <w:r w:rsidRPr="0007572B">
        <w:rPr>
          <w:lang w:eastAsia="en-GB"/>
        </w:rPr>
        <w:t>. Provisions</w:t>
      </w:r>
    </w:p>
    <w:p w14:paraId="0E2FA008"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Provisions are made where an event has taken place that gives the Authority a legal or constructive obligation that probably requires settlement by a transfer of economic benefits or service potential, and a reliable estimate can be made of the amount of the obligation. For instance, the Authority may be involved in a court case that could eventually result in the making of a settlement or the payment of compensation. </w:t>
      </w:r>
    </w:p>
    <w:p w14:paraId="541B0D6D" w14:textId="77777777" w:rsidR="00655E4C" w:rsidRPr="0007572B" w:rsidRDefault="00655E4C" w:rsidP="006F1659">
      <w:pPr>
        <w:pStyle w:val="Normal0"/>
        <w:spacing w:line="360" w:lineRule="auto"/>
        <w:rPr>
          <w:rFonts w:ascii="Arial" w:hAnsi="Arial" w:cs="Arial"/>
          <w:bCs/>
          <w:sz w:val="24"/>
          <w:szCs w:val="24"/>
          <w:lang w:eastAsia="en-GB"/>
        </w:rPr>
      </w:pPr>
    </w:p>
    <w:p w14:paraId="2CDEE31E" w14:textId="7ABBACBC"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Provisions are charged as an expense to the appropriate service line in the Comprehensive Income and Expenditure Statement in the year that the authority becomes aware of the </w:t>
      </w:r>
      <w:r w:rsidR="00203B09" w:rsidRPr="0007572B">
        <w:rPr>
          <w:rFonts w:ascii="Arial" w:hAnsi="Arial" w:cs="Arial"/>
          <w:bCs/>
          <w:sz w:val="24"/>
          <w:szCs w:val="24"/>
          <w:lang w:eastAsia="en-GB"/>
        </w:rPr>
        <w:t>obligation and</w:t>
      </w:r>
      <w:r w:rsidRPr="0007572B">
        <w:rPr>
          <w:rFonts w:ascii="Arial" w:hAnsi="Arial" w:cs="Arial"/>
          <w:bCs/>
          <w:sz w:val="24"/>
          <w:szCs w:val="24"/>
          <w:lang w:eastAsia="en-GB"/>
        </w:rPr>
        <w:t xml:space="preserve"> are measured at the best estimate at the balance sheet date of the expenditure required to settle the obligation, taking into account relevant risks and uncertainties.</w:t>
      </w:r>
    </w:p>
    <w:p w14:paraId="7DBBCB8A" w14:textId="77777777" w:rsidR="00655E4C" w:rsidRPr="0007572B" w:rsidRDefault="00655E4C" w:rsidP="006F1659">
      <w:pPr>
        <w:pStyle w:val="Normal0"/>
        <w:spacing w:line="360" w:lineRule="auto"/>
        <w:rPr>
          <w:rFonts w:ascii="Arial" w:hAnsi="Arial" w:cs="Arial"/>
          <w:bCs/>
          <w:sz w:val="24"/>
          <w:szCs w:val="24"/>
          <w:lang w:eastAsia="en-GB"/>
        </w:rPr>
      </w:pPr>
    </w:p>
    <w:p w14:paraId="287C5E9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w:t>
      </w:r>
    </w:p>
    <w:p w14:paraId="4645078B" w14:textId="77777777" w:rsidR="00655E4C" w:rsidRPr="0007572B" w:rsidRDefault="00655E4C" w:rsidP="006F1659">
      <w:pPr>
        <w:pStyle w:val="Normal0"/>
        <w:spacing w:line="360" w:lineRule="auto"/>
        <w:rPr>
          <w:rFonts w:ascii="Arial" w:hAnsi="Arial" w:cs="Arial"/>
          <w:bCs/>
          <w:sz w:val="24"/>
          <w:szCs w:val="24"/>
          <w:lang w:eastAsia="en-GB"/>
        </w:rPr>
      </w:pPr>
    </w:p>
    <w:p w14:paraId="613F26A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some or all of the payment required to settle a provision is expected to be recovered from another party (e.g. from an insurance claim), this is only recognised as income for the relevant service if it is virtually certain that reimbursement will be received if the authority settles the obligation.</w:t>
      </w:r>
    </w:p>
    <w:p w14:paraId="4EBBAA1E" w14:textId="77777777" w:rsidR="00655E4C" w:rsidRPr="0007572B" w:rsidRDefault="00655E4C" w:rsidP="00BB0191">
      <w:pPr>
        <w:pStyle w:val="Normal0"/>
        <w:spacing w:after="240" w:line="360" w:lineRule="auto"/>
        <w:rPr>
          <w:rFonts w:ascii="Arial" w:hAnsi="Arial" w:cs="Arial"/>
          <w:b/>
          <w:bCs/>
          <w:lang w:eastAsia="en-GB"/>
        </w:rPr>
      </w:pPr>
    </w:p>
    <w:p w14:paraId="107A10A0" w14:textId="7A3B1D61" w:rsidR="00655E4C" w:rsidRPr="0007572B" w:rsidRDefault="00655E4C" w:rsidP="006F1659">
      <w:pPr>
        <w:pStyle w:val="Heading4bold"/>
        <w:spacing w:line="360" w:lineRule="auto"/>
        <w:rPr>
          <w:lang w:eastAsia="en-GB"/>
        </w:rPr>
      </w:pPr>
      <w:r w:rsidRPr="0007572B">
        <w:rPr>
          <w:lang w:eastAsia="en-GB"/>
        </w:rPr>
        <w:t>1.2</w:t>
      </w:r>
      <w:r w:rsidR="00E85440">
        <w:rPr>
          <w:lang w:eastAsia="en-GB"/>
        </w:rPr>
        <w:t>7</w:t>
      </w:r>
      <w:r w:rsidRPr="0007572B">
        <w:rPr>
          <w:lang w:eastAsia="en-GB"/>
        </w:rPr>
        <w:t>. Events after the Reporting Period</w:t>
      </w:r>
    </w:p>
    <w:p w14:paraId="35DC87C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Events after the reporting period are those events that occur between the balance sheet date and the date when the Statement of Accounts is </w:t>
      </w:r>
      <w:r w:rsidRPr="00BB0191">
        <w:rPr>
          <w:rFonts w:ascii="Arial" w:hAnsi="Arial" w:cs="Arial"/>
          <w:bCs/>
          <w:sz w:val="24"/>
          <w:szCs w:val="24"/>
          <w:lang w:val="en-GB" w:eastAsia="en-GB"/>
        </w:rPr>
        <w:t>authorised</w:t>
      </w:r>
      <w:r w:rsidRPr="0007572B">
        <w:rPr>
          <w:rFonts w:ascii="Arial" w:hAnsi="Arial" w:cs="Arial"/>
          <w:bCs/>
          <w:sz w:val="24"/>
          <w:szCs w:val="24"/>
          <w:lang w:eastAsia="en-GB"/>
        </w:rPr>
        <w:t xml:space="preserve"> for issue.</w:t>
      </w:r>
    </w:p>
    <w:p w14:paraId="68523D07" w14:textId="77777777" w:rsidR="00655E4C" w:rsidRPr="0007572B" w:rsidRDefault="00655E4C" w:rsidP="006F1659">
      <w:pPr>
        <w:pStyle w:val="Normal0"/>
        <w:spacing w:line="360" w:lineRule="auto"/>
        <w:rPr>
          <w:rFonts w:ascii="Arial" w:hAnsi="Arial" w:cs="Arial"/>
          <w:bCs/>
          <w:sz w:val="24"/>
          <w:szCs w:val="24"/>
          <w:lang w:eastAsia="en-GB"/>
        </w:rPr>
      </w:pPr>
    </w:p>
    <w:p w14:paraId="35FC1DE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 xml:space="preserve">Where these provide evidence of conditions in existence at the balance sheet date, the amounts recognised in the accounts are adjusted. </w:t>
      </w:r>
    </w:p>
    <w:p w14:paraId="24149B30" w14:textId="77777777" w:rsidR="00655E4C" w:rsidRPr="0007572B" w:rsidRDefault="00655E4C" w:rsidP="006F1659">
      <w:pPr>
        <w:pStyle w:val="Normal0"/>
        <w:spacing w:line="360" w:lineRule="auto"/>
        <w:rPr>
          <w:rFonts w:ascii="Arial" w:hAnsi="Arial" w:cs="Arial"/>
          <w:bCs/>
          <w:sz w:val="24"/>
          <w:szCs w:val="24"/>
          <w:lang w:eastAsia="en-GB"/>
        </w:rPr>
      </w:pPr>
    </w:p>
    <w:p w14:paraId="4592399C"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these are indicative of conditions that arose after the balance sheet date the amounts in the accounts are not adjusted. This is known as a non-adjusting event and is disclosed as a note to the accounts.</w:t>
      </w:r>
    </w:p>
    <w:p w14:paraId="15B8DFDB" w14:textId="77777777" w:rsidR="00655E4C" w:rsidRPr="0007572B" w:rsidRDefault="00655E4C" w:rsidP="006F1659">
      <w:pPr>
        <w:pStyle w:val="Normal0"/>
        <w:spacing w:line="360" w:lineRule="auto"/>
        <w:rPr>
          <w:rFonts w:ascii="Arial" w:hAnsi="Arial" w:cs="Arial"/>
          <w:bCs/>
          <w:sz w:val="24"/>
          <w:szCs w:val="24"/>
          <w:lang w:eastAsia="en-GB"/>
        </w:rPr>
      </w:pPr>
    </w:p>
    <w:p w14:paraId="7070814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Events taking place after the date of authorisation for issue are not reflected in the Statement of Accounts.</w:t>
      </w:r>
    </w:p>
    <w:p w14:paraId="271CDE95" w14:textId="77777777" w:rsidR="00655E4C" w:rsidRPr="0007572B" w:rsidRDefault="00655E4C" w:rsidP="00BB0191">
      <w:pPr>
        <w:pStyle w:val="Normal0"/>
        <w:spacing w:after="240" w:line="360" w:lineRule="auto"/>
        <w:rPr>
          <w:rFonts w:ascii="Arial" w:hAnsi="Arial" w:cs="Arial"/>
          <w:bCs/>
          <w:sz w:val="24"/>
          <w:szCs w:val="24"/>
          <w:lang w:eastAsia="en-GB"/>
        </w:rPr>
      </w:pPr>
    </w:p>
    <w:p w14:paraId="1993C6C9" w14:textId="48E30C39" w:rsidR="00655E4C" w:rsidRPr="0007572B" w:rsidRDefault="00655E4C" w:rsidP="006F1659">
      <w:pPr>
        <w:pStyle w:val="Heading4bold"/>
        <w:spacing w:line="360" w:lineRule="auto"/>
        <w:rPr>
          <w:lang w:eastAsia="en-GB"/>
        </w:rPr>
      </w:pPr>
      <w:r w:rsidRPr="0007572B">
        <w:rPr>
          <w:lang w:eastAsia="en-GB"/>
        </w:rPr>
        <w:t>1.2</w:t>
      </w:r>
      <w:r w:rsidR="00E85440">
        <w:rPr>
          <w:lang w:eastAsia="en-GB"/>
        </w:rPr>
        <w:t>8</w:t>
      </w:r>
      <w:r w:rsidRPr="0007572B">
        <w:rPr>
          <w:lang w:eastAsia="en-GB"/>
        </w:rPr>
        <w:t>. Interests in Companies and Other Entities - Group Accounts</w:t>
      </w:r>
    </w:p>
    <w:p w14:paraId="553DB987" w14:textId="77777777" w:rsidR="00655E4C" w:rsidRPr="00A131D4"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The Authority is required to produce group accounts where it has interests in subsidiaries, associates and/or joint ventures unless interest is considered not material. The group boundary is dependent upon the extent of the Authority’s control or significant influence over the entity, which is based on the requirements of IFRS10, IFRS11 and IAS 28.</w:t>
      </w:r>
    </w:p>
    <w:p w14:paraId="3C0345D6" w14:textId="77777777" w:rsidR="00655E4C" w:rsidRPr="00767BDD" w:rsidRDefault="00655E4C" w:rsidP="006F1659">
      <w:pPr>
        <w:pStyle w:val="Normal0"/>
        <w:spacing w:line="360" w:lineRule="auto"/>
        <w:rPr>
          <w:rFonts w:ascii="Arial" w:hAnsi="Arial" w:cs="Arial"/>
          <w:bCs/>
          <w:sz w:val="24"/>
          <w:szCs w:val="24"/>
          <w:highlight w:val="yellow"/>
          <w:lang w:eastAsia="en-GB"/>
        </w:rPr>
      </w:pPr>
    </w:p>
    <w:p w14:paraId="649AFBC1" w14:textId="77777777" w:rsidR="00655E4C" w:rsidRPr="00A131D4"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Inclusion in the group is dependent upon the extent of the Authority’s interest and power to influence an entity. The Authority is considered to control an entity if it has power over the entity, exposure or rights to variable returns from its interest with the entity and the ability to use its power to affect the level of returns. The determining factor for assessing the extent of interest and power to influence is either through ownership of an entity, or representation on an entity’s board of directors/trustees.</w:t>
      </w:r>
    </w:p>
    <w:p w14:paraId="28B9133A" w14:textId="77777777" w:rsidR="00655E4C" w:rsidRPr="00767BDD" w:rsidRDefault="00655E4C" w:rsidP="006F1659">
      <w:pPr>
        <w:pStyle w:val="Normal0"/>
        <w:spacing w:line="360" w:lineRule="auto"/>
        <w:rPr>
          <w:rFonts w:ascii="Arial" w:hAnsi="Arial" w:cs="Arial"/>
          <w:bCs/>
          <w:sz w:val="24"/>
          <w:szCs w:val="24"/>
          <w:highlight w:val="yellow"/>
          <w:lang w:eastAsia="en-GB"/>
        </w:rPr>
      </w:pPr>
    </w:p>
    <w:p w14:paraId="5F235210" w14:textId="4958B575" w:rsidR="00655E4C" w:rsidRPr="0007572B"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An assessment of all the Authority’s interests has been carried out during the year, in accordance with the Code of Practice, to determine the relationships that exist and whether they should be included within the Authority’s group accounts. As such, group accounts have been prepared for the Authority to include Transport for Greater Manchester, Greater Manchester Police, NW Evergreen Holdings LP</w:t>
      </w:r>
      <w:r w:rsidR="00994314" w:rsidRPr="00A131D4">
        <w:rPr>
          <w:rFonts w:ascii="Arial" w:hAnsi="Arial" w:cs="Arial"/>
          <w:bCs/>
          <w:sz w:val="24"/>
          <w:szCs w:val="24"/>
          <w:lang w:eastAsia="en-GB"/>
        </w:rPr>
        <w:t>,</w:t>
      </w:r>
      <w:r w:rsidRPr="00A131D4">
        <w:rPr>
          <w:rFonts w:ascii="Arial" w:hAnsi="Arial" w:cs="Arial"/>
          <w:bCs/>
          <w:sz w:val="24"/>
          <w:szCs w:val="24"/>
          <w:lang w:eastAsia="en-GB"/>
        </w:rPr>
        <w:t xml:space="preserve"> GM Fund of Funds LP</w:t>
      </w:r>
      <w:r w:rsidR="00994314" w:rsidRPr="00A131D4">
        <w:rPr>
          <w:rFonts w:ascii="Arial" w:hAnsi="Arial" w:cs="Arial"/>
          <w:bCs/>
          <w:sz w:val="24"/>
          <w:szCs w:val="24"/>
          <w:lang w:eastAsia="en-GB"/>
        </w:rPr>
        <w:t xml:space="preserve"> and Greater Manchester Evergreen 2 LP</w:t>
      </w:r>
      <w:r w:rsidRPr="00A131D4">
        <w:rPr>
          <w:rFonts w:ascii="Arial" w:hAnsi="Arial" w:cs="Arial"/>
          <w:bCs/>
          <w:sz w:val="24"/>
          <w:szCs w:val="24"/>
          <w:lang w:eastAsia="en-GB"/>
        </w:rPr>
        <w:t>.</w:t>
      </w:r>
      <w:r w:rsidRPr="0007572B">
        <w:rPr>
          <w:rFonts w:ascii="Arial" w:hAnsi="Arial" w:cs="Arial"/>
          <w:bCs/>
          <w:sz w:val="24"/>
          <w:szCs w:val="24"/>
          <w:lang w:eastAsia="en-GB"/>
        </w:rPr>
        <w:t xml:space="preserve"> </w:t>
      </w:r>
    </w:p>
    <w:p w14:paraId="69102047" w14:textId="77777777" w:rsidR="00655E4C" w:rsidRPr="0007572B" w:rsidRDefault="00655E4C" w:rsidP="006F1659">
      <w:pPr>
        <w:pStyle w:val="Normal0"/>
        <w:spacing w:line="360" w:lineRule="auto"/>
        <w:rPr>
          <w:rFonts w:ascii="Arial" w:hAnsi="Arial" w:cs="Arial"/>
          <w:bCs/>
          <w:sz w:val="24"/>
          <w:szCs w:val="24"/>
          <w:lang w:eastAsia="en-GB"/>
        </w:rPr>
      </w:pPr>
    </w:p>
    <w:p w14:paraId="2AB33649" w14:textId="6B361FAB" w:rsidR="00655E4C" w:rsidRPr="0007572B" w:rsidRDefault="00655E4C" w:rsidP="006F1659">
      <w:pPr>
        <w:pStyle w:val="Heading4bold"/>
        <w:spacing w:line="360" w:lineRule="auto"/>
        <w:rPr>
          <w:lang w:eastAsia="en-GB"/>
        </w:rPr>
      </w:pPr>
      <w:r w:rsidRPr="0007572B">
        <w:rPr>
          <w:lang w:eastAsia="en-GB"/>
        </w:rPr>
        <w:lastRenderedPageBreak/>
        <w:t>1.2</w:t>
      </w:r>
      <w:r w:rsidR="00E85440">
        <w:rPr>
          <w:lang w:eastAsia="en-GB"/>
        </w:rPr>
        <w:t>9</w:t>
      </w:r>
      <w:r w:rsidRPr="0007572B">
        <w:rPr>
          <w:lang w:eastAsia="en-GB"/>
        </w:rPr>
        <w:t>. Discretionary Benefits</w:t>
      </w:r>
    </w:p>
    <w:p w14:paraId="383656F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Authority also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that are applied to the Local Government Pension Scheme.</w:t>
      </w:r>
    </w:p>
    <w:p w14:paraId="17B3811A" w14:textId="77777777" w:rsidR="00655E4C" w:rsidRPr="0007572B" w:rsidRDefault="00655E4C" w:rsidP="00BB0191">
      <w:pPr>
        <w:pStyle w:val="Normal0"/>
        <w:spacing w:after="240" w:line="360" w:lineRule="auto"/>
        <w:rPr>
          <w:rFonts w:ascii="Arial" w:hAnsi="Arial" w:cs="Arial"/>
          <w:b/>
          <w:bCs/>
          <w:lang w:eastAsia="en-GB"/>
        </w:rPr>
      </w:pPr>
    </w:p>
    <w:p w14:paraId="5C6C7279" w14:textId="1669DEFB" w:rsidR="00655E4C" w:rsidRPr="0007572B" w:rsidRDefault="00655E4C" w:rsidP="006F1659">
      <w:pPr>
        <w:pStyle w:val="Heading4bold"/>
        <w:spacing w:line="360" w:lineRule="auto"/>
        <w:rPr>
          <w:lang w:eastAsia="en-GB"/>
        </w:rPr>
      </w:pPr>
      <w:r w:rsidRPr="0007572B">
        <w:rPr>
          <w:lang w:eastAsia="en-GB"/>
        </w:rPr>
        <w:t>1.</w:t>
      </w:r>
      <w:r w:rsidR="00E85440">
        <w:rPr>
          <w:lang w:eastAsia="en-GB"/>
        </w:rPr>
        <w:t>30</w:t>
      </w:r>
      <w:r w:rsidRPr="0007572B">
        <w:rPr>
          <w:lang w:eastAsia="en-GB"/>
        </w:rPr>
        <w:t>. Benefits Payable During Employment</w:t>
      </w:r>
    </w:p>
    <w:p w14:paraId="4770765B" w14:textId="17D49C2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Short</w:t>
      </w:r>
      <w:r w:rsidR="00F3496D">
        <w:rPr>
          <w:rFonts w:ascii="Arial" w:hAnsi="Arial" w:cs="Arial"/>
          <w:bCs/>
          <w:sz w:val="24"/>
          <w:szCs w:val="24"/>
          <w:lang w:eastAsia="en-GB"/>
        </w:rPr>
        <w:t xml:space="preserve"> </w:t>
      </w:r>
      <w:r w:rsidRPr="0007572B">
        <w:rPr>
          <w:rFonts w:ascii="Arial" w:hAnsi="Arial" w:cs="Arial"/>
          <w:bCs/>
          <w:sz w:val="24"/>
          <w:szCs w:val="24"/>
          <w:lang w:eastAsia="en-GB"/>
        </w:rPr>
        <w:t xml:space="preserve">term employee benefits are those due to be settled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Authority. </w:t>
      </w:r>
    </w:p>
    <w:p w14:paraId="40795833" w14:textId="77777777" w:rsidR="00655E4C" w:rsidRPr="0007572B" w:rsidRDefault="00655E4C" w:rsidP="006F1659">
      <w:pPr>
        <w:pStyle w:val="Normal0"/>
        <w:spacing w:line="360" w:lineRule="auto"/>
        <w:rPr>
          <w:rFonts w:ascii="Arial" w:hAnsi="Arial" w:cs="Arial"/>
          <w:bCs/>
          <w:sz w:val="24"/>
          <w:szCs w:val="24"/>
          <w:lang w:eastAsia="en-GB"/>
        </w:rPr>
      </w:pPr>
    </w:p>
    <w:p w14:paraId="0A397FE3" w14:textId="51A4032F"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2018/19, the Authority adopted a policy of not accruing for employee benefits if the value of the adjustment was considered immaterial. An annual assessment will be made each </w:t>
      </w:r>
      <w:r w:rsidR="000B7231" w:rsidRPr="0007572B">
        <w:rPr>
          <w:rFonts w:ascii="Arial" w:hAnsi="Arial" w:cs="Arial"/>
          <w:bCs/>
          <w:sz w:val="24"/>
          <w:szCs w:val="24"/>
          <w:lang w:eastAsia="en-GB"/>
        </w:rPr>
        <w:t>year and</w:t>
      </w:r>
      <w:r w:rsidRPr="0007572B">
        <w:rPr>
          <w:rFonts w:ascii="Arial" w:hAnsi="Arial" w:cs="Arial"/>
          <w:bCs/>
          <w:sz w:val="24"/>
          <w:szCs w:val="24"/>
          <w:lang w:eastAsia="en-GB"/>
        </w:rPr>
        <w:t xml:space="preserve"> should this result in an adjustment that would be material then these benefits will be accrued</w:t>
      </w:r>
      <w:r w:rsidRPr="006E29C3">
        <w:rPr>
          <w:rFonts w:ascii="Arial" w:hAnsi="Arial" w:cs="Arial"/>
          <w:bCs/>
          <w:sz w:val="24"/>
          <w:szCs w:val="24"/>
          <w:lang w:eastAsia="en-GB"/>
        </w:rPr>
        <w:t xml:space="preserve">. </w:t>
      </w:r>
      <w:r w:rsidRPr="00A131D4">
        <w:rPr>
          <w:rFonts w:ascii="Arial" w:hAnsi="Arial" w:cs="Arial"/>
          <w:bCs/>
          <w:sz w:val="24"/>
          <w:szCs w:val="24"/>
          <w:lang w:eastAsia="en-GB"/>
        </w:rPr>
        <w:t>In the 202</w:t>
      </w:r>
      <w:r w:rsidR="00A0708C" w:rsidRPr="00A131D4">
        <w:rPr>
          <w:rFonts w:ascii="Arial" w:hAnsi="Arial" w:cs="Arial"/>
          <w:bCs/>
          <w:sz w:val="24"/>
          <w:szCs w:val="24"/>
          <w:lang w:eastAsia="en-GB"/>
        </w:rPr>
        <w:t>2</w:t>
      </w:r>
      <w:r w:rsidRPr="00A131D4">
        <w:rPr>
          <w:rFonts w:ascii="Arial" w:hAnsi="Arial" w:cs="Arial"/>
          <w:bCs/>
          <w:sz w:val="24"/>
          <w:szCs w:val="24"/>
          <w:lang w:eastAsia="en-GB"/>
        </w:rPr>
        <w:t>/2</w:t>
      </w:r>
      <w:r w:rsidR="00A0708C" w:rsidRPr="00A131D4">
        <w:rPr>
          <w:rFonts w:ascii="Arial" w:hAnsi="Arial" w:cs="Arial"/>
          <w:bCs/>
          <w:sz w:val="24"/>
          <w:szCs w:val="24"/>
          <w:lang w:eastAsia="en-GB"/>
        </w:rPr>
        <w:t>3</w:t>
      </w:r>
      <w:r w:rsidRPr="00A131D4">
        <w:rPr>
          <w:rFonts w:ascii="Arial" w:hAnsi="Arial" w:cs="Arial"/>
          <w:bCs/>
          <w:sz w:val="24"/>
          <w:szCs w:val="24"/>
          <w:lang w:eastAsia="en-GB"/>
        </w:rPr>
        <w:t xml:space="preserve"> accounts the employee benefit accrual was calculated and considered not to be material, therefore the accounts have not been adjusted.</w:t>
      </w:r>
    </w:p>
    <w:p w14:paraId="5AEBD565" w14:textId="77777777" w:rsidR="00655E4C" w:rsidRPr="0007572B" w:rsidRDefault="00655E4C" w:rsidP="00BB0191">
      <w:pPr>
        <w:pStyle w:val="Normal0"/>
        <w:spacing w:after="240" w:line="360" w:lineRule="auto"/>
        <w:rPr>
          <w:rFonts w:ascii="Arial" w:hAnsi="Arial" w:cs="Arial"/>
          <w:bCs/>
          <w:sz w:val="24"/>
          <w:szCs w:val="24"/>
          <w:lang w:eastAsia="en-GB"/>
        </w:rPr>
      </w:pPr>
    </w:p>
    <w:p w14:paraId="24666ACB" w14:textId="769C0066" w:rsidR="00655E4C" w:rsidRPr="0007572B" w:rsidRDefault="00655E4C" w:rsidP="006F1659">
      <w:pPr>
        <w:pStyle w:val="Heading4bold"/>
        <w:spacing w:line="360" w:lineRule="auto"/>
        <w:rPr>
          <w:lang w:eastAsia="en-GB"/>
        </w:rPr>
      </w:pPr>
      <w:r w:rsidRPr="0007572B">
        <w:rPr>
          <w:lang w:eastAsia="en-GB"/>
        </w:rPr>
        <w:t>1.</w:t>
      </w:r>
      <w:r w:rsidR="00E85440">
        <w:rPr>
          <w:lang w:eastAsia="en-GB"/>
        </w:rPr>
        <w:t>31</w:t>
      </w:r>
      <w:r w:rsidRPr="0007572B">
        <w:rPr>
          <w:lang w:eastAsia="en-GB"/>
        </w:rPr>
        <w:t>. Private Finance Initiative (PFI)</w:t>
      </w:r>
    </w:p>
    <w:p w14:paraId="081BC531"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PFI and similar contracts are agreements to receive services, where the responsibility for making available the property, plant and equipment needed to provide the services passes to the PFI contractor. As the Authority is deemed to control the services that are provided under these PFI schemes, and as ownership of the property, plant and equipment will pass to the Authority at the end of the contracts for no additional charge, the Authority carries the assets used under the contracts on </w:t>
      </w:r>
      <w:r>
        <w:rPr>
          <w:rFonts w:ascii="Arial" w:hAnsi="Arial" w:cs="Arial"/>
          <w:bCs/>
          <w:sz w:val="24"/>
          <w:szCs w:val="24"/>
          <w:lang w:eastAsia="en-GB"/>
        </w:rPr>
        <w:t>the</w:t>
      </w:r>
      <w:r w:rsidRPr="0007572B">
        <w:rPr>
          <w:rFonts w:ascii="Arial" w:hAnsi="Arial" w:cs="Arial"/>
          <w:bCs/>
          <w:sz w:val="24"/>
          <w:szCs w:val="24"/>
          <w:lang w:eastAsia="en-GB"/>
        </w:rPr>
        <w:t xml:space="preserve"> Balance Sheet as part of Property, Plant and Equipment. </w:t>
      </w:r>
    </w:p>
    <w:p w14:paraId="2C689B4E" w14:textId="77777777" w:rsidR="00655E4C" w:rsidRPr="0007572B" w:rsidRDefault="00655E4C" w:rsidP="006F1659">
      <w:pPr>
        <w:pStyle w:val="Normal0"/>
        <w:spacing w:line="360" w:lineRule="auto"/>
        <w:rPr>
          <w:rFonts w:ascii="Arial" w:hAnsi="Arial" w:cs="Arial"/>
          <w:bCs/>
          <w:sz w:val="24"/>
          <w:szCs w:val="24"/>
          <w:lang w:eastAsia="en-GB"/>
        </w:rPr>
      </w:pPr>
    </w:p>
    <w:p w14:paraId="441AC325"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The original recognition of these assets at fair value (based on the cost to purchase the property, plant and equipment) is balanced by the recognition of a liability for amounts due to the scheme operator to pay for the capital investment. When establishing the recognition point of an asset, the Authority considers when probable and future benefits of the asset will flow to it and the extent to which the cost of the asset can be reliably measured.</w:t>
      </w:r>
    </w:p>
    <w:p w14:paraId="51BD4B0A" w14:textId="77777777" w:rsidR="00655E4C" w:rsidRPr="0007572B" w:rsidRDefault="00655E4C" w:rsidP="006F1659">
      <w:pPr>
        <w:pStyle w:val="Normal0"/>
        <w:spacing w:line="360" w:lineRule="auto"/>
        <w:rPr>
          <w:rFonts w:ascii="Arial" w:hAnsi="Arial" w:cs="Arial"/>
          <w:bCs/>
          <w:sz w:val="24"/>
          <w:szCs w:val="24"/>
          <w:lang w:eastAsia="en-GB"/>
        </w:rPr>
      </w:pPr>
    </w:p>
    <w:p w14:paraId="65F4AE59"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PFI and similar contracts recognised on the Balance Sheet are revalued and depreciated in the same way as property, plant and equipment owned by the Authority.</w:t>
      </w:r>
    </w:p>
    <w:p w14:paraId="76D185DD" w14:textId="77777777" w:rsidR="00655E4C" w:rsidRPr="0007572B" w:rsidRDefault="00655E4C" w:rsidP="006F1659">
      <w:pPr>
        <w:pStyle w:val="Normal0"/>
        <w:spacing w:line="360" w:lineRule="auto"/>
        <w:rPr>
          <w:rFonts w:ascii="Arial" w:hAnsi="Arial" w:cs="Arial"/>
          <w:bCs/>
          <w:sz w:val="24"/>
          <w:szCs w:val="24"/>
          <w:lang w:eastAsia="en-GB"/>
        </w:rPr>
      </w:pPr>
    </w:p>
    <w:p w14:paraId="5F0960F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amounts payable to the PFI operators each year are analysed into the following elements:</w:t>
      </w:r>
    </w:p>
    <w:p w14:paraId="05D93940" w14:textId="77777777" w:rsidR="00655E4C" w:rsidRPr="0007572B" w:rsidRDefault="00655E4C" w:rsidP="006F1659">
      <w:pPr>
        <w:pStyle w:val="Normal0"/>
        <w:spacing w:line="360" w:lineRule="auto"/>
        <w:rPr>
          <w:rFonts w:ascii="Arial" w:hAnsi="Arial" w:cs="Arial"/>
          <w:bCs/>
          <w:sz w:val="24"/>
          <w:szCs w:val="24"/>
          <w:lang w:eastAsia="en-GB"/>
        </w:rPr>
      </w:pPr>
    </w:p>
    <w:p w14:paraId="79760019"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Fair value of the services received during the year</w:t>
      </w:r>
      <w:r w:rsidRPr="0007572B">
        <w:rPr>
          <w:rFonts w:ascii="Arial" w:hAnsi="Arial" w:cs="Arial"/>
          <w:bCs/>
          <w:sz w:val="24"/>
          <w:szCs w:val="24"/>
        </w:rPr>
        <w:t xml:space="preserve"> – debited to the relevant service in the Comprehensive Income and Expenditure Statement;</w:t>
      </w:r>
    </w:p>
    <w:p w14:paraId="3EEEB399"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Finance costs</w:t>
      </w:r>
      <w:r w:rsidRPr="0007572B">
        <w:rPr>
          <w:rFonts w:ascii="Arial" w:hAnsi="Arial" w:cs="Arial"/>
          <w:bCs/>
          <w:sz w:val="24"/>
          <w:szCs w:val="24"/>
        </w:rPr>
        <w:t xml:space="preserve"> – an interest charge on the outstanding Balance Sheet liability, debited to the Financing and Investment Income and Expenditure line in the Comprehensive Income and Expenditure Statement;</w:t>
      </w:r>
    </w:p>
    <w:p w14:paraId="666CB970"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Contingent Rents</w:t>
      </w:r>
      <w:r w:rsidRPr="0007572B">
        <w:rPr>
          <w:rFonts w:ascii="Arial" w:hAnsi="Arial" w:cs="Arial"/>
          <w:bCs/>
          <w:sz w:val="24"/>
          <w:szCs w:val="24"/>
        </w:rPr>
        <w:t xml:space="preserve"> – Increases in the amount to be paid for the property arising during the contract, debited to the Financing and Investment Income and Expenditure line in the Comprehensive Income and Expenditure Statement;</w:t>
      </w:r>
    </w:p>
    <w:p w14:paraId="7412FB1D"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Payment towards liability</w:t>
      </w:r>
      <w:r w:rsidRPr="0007572B">
        <w:rPr>
          <w:rFonts w:ascii="Arial" w:hAnsi="Arial" w:cs="Arial"/>
          <w:bCs/>
          <w:sz w:val="24"/>
          <w:szCs w:val="24"/>
        </w:rPr>
        <w:t xml:space="preserve"> – applied to write down the Balance Sheet liability towards the PFI operator (the profile of write-downs is calculated using the same principles as for a finance lease);</w:t>
      </w:r>
    </w:p>
    <w:p w14:paraId="17388A4A"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Lifecycle replacement costs</w:t>
      </w:r>
      <w:r w:rsidRPr="0007572B">
        <w:rPr>
          <w:rFonts w:ascii="Arial" w:hAnsi="Arial" w:cs="Arial"/>
          <w:bCs/>
          <w:sz w:val="24"/>
          <w:szCs w:val="24"/>
        </w:rPr>
        <w:t xml:space="preserve"> – proportion of the amounts payable is posted to the Balance Sheet as a prepayment and then recognised as additions to Property, Plant and Equipment when the relevant works are eventually carried out. </w:t>
      </w:r>
    </w:p>
    <w:p w14:paraId="6F1DEB02" w14:textId="562F288A" w:rsidR="00655E4C"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is deemed to control the services provided under its PFI arrangement for the Stretford Fire Station site. The Authority also has a PFI contract for the construction and maintenance of 17 police stations across </w:t>
      </w:r>
      <w:r w:rsidR="00336C9F">
        <w:rPr>
          <w:rFonts w:ascii="Arial" w:hAnsi="Arial" w:cs="Arial"/>
          <w:bCs/>
          <w:sz w:val="24"/>
          <w:szCs w:val="24"/>
          <w:lang w:eastAsia="en-GB"/>
        </w:rPr>
        <w:t>GM</w:t>
      </w:r>
      <w:r w:rsidRPr="0007572B">
        <w:rPr>
          <w:rFonts w:ascii="Arial" w:hAnsi="Arial" w:cs="Arial"/>
          <w:bCs/>
          <w:sz w:val="24"/>
          <w:szCs w:val="24"/>
          <w:lang w:eastAsia="en-GB"/>
        </w:rPr>
        <w:t xml:space="preserve"> whereby the contractor will operate and service the stations for 25 years after which ownership will revert to the Mayor of </w:t>
      </w:r>
      <w:r w:rsidR="00336C9F">
        <w:rPr>
          <w:rFonts w:ascii="Arial" w:hAnsi="Arial" w:cs="Arial"/>
          <w:bCs/>
          <w:sz w:val="24"/>
          <w:szCs w:val="24"/>
          <w:lang w:eastAsia="en-GB"/>
        </w:rPr>
        <w:t>GM</w:t>
      </w:r>
      <w:r w:rsidRPr="0007572B">
        <w:rPr>
          <w:rFonts w:ascii="Arial" w:hAnsi="Arial" w:cs="Arial"/>
          <w:bCs/>
          <w:sz w:val="24"/>
          <w:szCs w:val="24"/>
          <w:lang w:eastAsia="en-GB"/>
        </w:rPr>
        <w:t xml:space="preserve"> for nil consideration. The accounting policy for PFIs and similar arrangements has </w:t>
      </w:r>
      <w:r w:rsidRPr="0007572B">
        <w:rPr>
          <w:rFonts w:ascii="Arial" w:hAnsi="Arial" w:cs="Arial"/>
          <w:bCs/>
          <w:sz w:val="24"/>
          <w:szCs w:val="24"/>
          <w:lang w:eastAsia="en-GB"/>
        </w:rPr>
        <w:lastRenderedPageBreak/>
        <w:t>been applied to these arrangements and the assets are recognised as Property, Plant and Equipment in the Balance Sheet.</w:t>
      </w:r>
    </w:p>
    <w:p w14:paraId="6A330CD3" w14:textId="77777777" w:rsidR="007E4DDF" w:rsidRDefault="007E4DDF" w:rsidP="006F1659">
      <w:pPr>
        <w:pStyle w:val="Normal0"/>
        <w:spacing w:line="360" w:lineRule="auto"/>
        <w:rPr>
          <w:rFonts w:ascii="Arial" w:hAnsi="Arial" w:cs="Arial"/>
          <w:bCs/>
          <w:sz w:val="24"/>
          <w:szCs w:val="24"/>
          <w:lang w:eastAsia="en-GB"/>
        </w:rPr>
      </w:pPr>
    </w:p>
    <w:p w14:paraId="0F839B14" w14:textId="4A587D11" w:rsidR="00655E4C" w:rsidRPr="0007572B" w:rsidRDefault="00655E4C" w:rsidP="006F1659">
      <w:pPr>
        <w:pStyle w:val="Heading3greennumbered"/>
        <w:spacing w:line="360" w:lineRule="auto"/>
      </w:pPr>
      <w:bookmarkStart w:id="76" w:name="_Toc109922611"/>
      <w:r w:rsidRPr="0007572B">
        <w:t>2 Critical Accounting</w:t>
      </w:r>
      <w:r w:rsidRPr="0007572B">
        <w:rPr>
          <w:spacing w:val="2"/>
        </w:rPr>
        <w:t xml:space="preserve"> </w:t>
      </w:r>
      <w:r w:rsidRPr="0007572B">
        <w:t>Judgements</w:t>
      </w:r>
      <w:bookmarkEnd w:id="76"/>
    </w:p>
    <w:p w14:paraId="46E115BF" w14:textId="77777777" w:rsidR="00655E4C" w:rsidRDefault="00655E4C" w:rsidP="006F1659">
      <w:pPr>
        <w:pStyle w:val="Normal0"/>
        <w:autoSpaceDE w:val="0"/>
        <w:autoSpaceDN w:val="0"/>
        <w:adjustRightInd w:val="0"/>
        <w:spacing w:line="360" w:lineRule="auto"/>
        <w:rPr>
          <w:rFonts w:ascii="Arial" w:hAnsi="Arial" w:cs="Arial"/>
          <w:sz w:val="24"/>
          <w:szCs w:val="24"/>
        </w:rPr>
      </w:pPr>
    </w:p>
    <w:p w14:paraId="440C252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In applying the accounting policies set out in the notes to the accounts, the Authority has had to make certain judgements about complex in year transactions or those involving uncertainty about future events. The following are significant management judgements made in applying the accounting policies of the Authority that have the most significant effect on the Statement of Accounts. Material estimation uncertainties are described in the notes to the accounts.</w:t>
      </w:r>
    </w:p>
    <w:p w14:paraId="20FAA1DD" w14:textId="77777777" w:rsidR="00655E4C" w:rsidRPr="0007572B" w:rsidRDefault="00655E4C" w:rsidP="006F1659">
      <w:pPr>
        <w:pStyle w:val="Normal0"/>
        <w:autoSpaceDE w:val="0"/>
        <w:autoSpaceDN w:val="0"/>
        <w:spacing w:line="360" w:lineRule="auto"/>
        <w:rPr>
          <w:rFonts w:ascii="Arial" w:hAnsi="Arial" w:cs="Arial"/>
          <w:b/>
          <w:sz w:val="24"/>
          <w:szCs w:val="24"/>
        </w:rPr>
      </w:pPr>
    </w:p>
    <w:p w14:paraId="4A205A73" w14:textId="77777777" w:rsidR="00655E4C" w:rsidRPr="0007572B" w:rsidRDefault="00655E4C" w:rsidP="006F1659">
      <w:pPr>
        <w:pStyle w:val="Heading4bold"/>
        <w:spacing w:line="360" w:lineRule="auto"/>
      </w:pPr>
      <w:bookmarkStart w:id="77" w:name="_Hlk114673293"/>
      <w:r w:rsidRPr="0007572B">
        <w:t>Government Funding</w:t>
      </w:r>
    </w:p>
    <w:p w14:paraId="641575DB" w14:textId="5619CC0C" w:rsidR="00290F44" w:rsidRDefault="00290F44" w:rsidP="006F1659">
      <w:pPr>
        <w:pStyle w:val="Normal0"/>
        <w:autoSpaceDE w:val="0"/>
        <w:autoSpaceDN w:val="0"/>
        <w:spacing w:line="360" w:lineRule="auto"/>
        <w:rPr>
          <w:rFonts w:ascii="Arial" w:hAnsi="Arial" w:cs="Arial"/>
          <w:sz w:val="24"/>
          <w:szCs w:val="24"/>
        </w:rPr>
      </w:pPr>
      <w:r>
        <w:rPr>
          <w:rFonts w:ascii="Arial" w:hAnsi="Arial" w:cs="Arial"/>
          <w:sz w:val="24"/>
          <w:szCs w:val="24"/>
        </w:rPr>
        <w:t xml:space="preserve">There is an inherent degree of uncertainty about future levels of funding for major </w:t>
      </w:r>
      <w:r w:rsidR="00EC49BA">
        <w:rPr>
          <w:rFonts w:ascii="Arial" w:hAnsi="Arial" w:cs="Arial"/>
          <w:sz w:val="24"/>
          <w:szCs w:val="24"/>
        </w:rPr>
        <w:t>g</w:t>
      </w:r>
      <w:r>
        <w:rPr>
          <w:rFonts w:ascii="Arial" w:hAnsi="Arial" w:cs="Arial"/>
          <w:sz w:val="24"/>
          <w:szCs w:val="24"/>
        </w:rPr>
        <w:t>overnment programmes devolved to GMCA and Local Government funding as a whole. Where necessary the Authority would have to consider a range of options on how to continue to provide some elements of its services with a reduced level of funding.</w:t>
      </w:r>
    </w:p>
    <w:bookmarkEnd w:id="77"/>
    <w:p w14:paraId="28BDE1ED" w14:textId="77777777" w:rsidR="00655E4C" w:rsidRDefault="00655E4C" w:rsidP="006F1659">
      <w:pPr>
        <w:pStyle w:val="Normal0"/>
        <w:autoSpaceDE w:val="0"/>
        <w:autoSpaceDN w:val="0"/>
        <w:spacing w:line="360" w:lineRule="auto"/>
        <w:rPr>
          <w:rFonts w:ascii="Arial" w:hAnsi="Arial" w:cs="Arial"/>
          <w:sz w:val="24"/>
          <w:szCs w:val="24"/>
        </w:rPr>
      </w:pPr>
    </w:p>
    <w:p w14:paraId="1790FD0B" w14:textId="77777777" w:rsidR="00655E4C" w:rsidRDefault="00655E4C" w:rsidP="006F1659">
      <w:pPr>
        <w:pStyle w:val="Normal0"/>
        <w:autoSpaceDE w:val="0"/>
        <w:autoSpaceDN w:val="0"/>
        <w:spacing w:line="360" w:lineRule="auto"/>
        <w:rPr>
          <w:rFonts w:ascii="Arial" w:hAnsi="Arial" w:cs="Arial"/>
          <w:sz w:val="24"/>
          <w:szCs w:val="24"/>
        </w:rPr>
      </w:pPr>
      <w:r>
        <w:rPr>
          <w:rFonts w:ascii="Arial" w:hAnsi="Arial" w:cs="Arial"/>
          <w:sz w:val="24"/>
          <w:szCs w:val="24"/>
        </w:rPr>
        <w:t>The asset base across Police and Crime, Fire and Rescue and Transport functions is considered as part of the financial planning process and there is not currently a sufficient indication that the assets of the Authority might be impaired as a result of a need to close facilities and reduce levels of service provision.</w:t>
      </w:r>
    </w:p>
    <w:p w14:paraId="30484E76" w14:textId="77777777" w:rsidR="00655E4C" w:rsidRPr="0007572B" w:rsidRDefault="00655E4C" w:rsidP="006F1659">
      <w:pPr>
        <w:spacing w:line="360" w:lineRule="auto"/>
        <w:rPr>
          <w:rFonts w:ascii="Arial" w:eastAsiaTheme="minorHAnsi" w:hAnsi="Arial" w:cs="Arial"/>
          <w:b/>
          <w:lang w:val="en-US"/>
        </w:rPr>
      </w:pPr>
    </w:p>
    <w:p w14:paraId="60F6D8EF" w14:textId="77777777" w:rsidR="00655E4C" w:rsidRPr="0007572B" w:rsidRDefault="00655E4C" w:rsidP="006F1659">
      <w:pPr>
        <w:pStyle w:val="Heading4bold"/>
        <w:spacing w:line="360" w:lineRule="auto"/>
      </w:pPr>
      <w:r w:rsidRPr="0007572B">
        <w:t>Private Finance Initiative (PFI)</w:t>
      </w:r>
    </w:p>
    <w:p w14:paraId="78ED4161" w14:textId="77777777" w:rsidR="00655E4C" w:rsidRPr="0007572B" w:rsidRDefault="00655E4C" w:rsidP="006F1659">
      <w:pPr>
        <w:spacing w:line="360" w:lineRule="auto"/>
        <w:rPr>
          <w:rFonts w:ascii="Arial" w:hAnsi="Arial" w:cs="Arial"/>
        </w:rPr>
      </w:pPr>
      <w:r w:rsidRPr="0007572B">
        <w:rPr>
          <w:rFonts w:ascii="Arial" w:hAnsi="Arial" w:cs="Arial"/>
        </w:rPr>
        <w:t>The Authority has entered into Private Finance Initiative (PFI) agreements for the Stretford Fire Station and 17 new Police Stations across 16 sites. The ownership of the buildings is determined by who holds the balance of control in line with accounting standards. The Authority considers the buildings and equipment associated with these sites should be included on its Balance Sheet because:</w:t>
      </w:r>
    </w:p>
    <w:p w14:paraId="40F23068" w14:textId="77777777" w:rsidR="00655E4C" w:rsidRPr="0007572B" w:rsidRDefault="00655E4C" w:rsidP="006F1659">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t>The reversion clause within the PFI agreement results in the Authority having a residual interest in the buildings at the end of the agreement;</w:t>
      </w:r>
    </w:p>
    <w:p w14:paraId="2637DD86" w14:textId="77777777" w:rsidR="00655E4C" w:rsidRPr="0007572B" w:rsidRDefault="00655E4C" w:rsidP="006F1659">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lastRenderedPageBreak/>
        <w:t>The services provided and the use of the building is controlled by the Authority through the PFI agreement; and</w:t>
      </w:r>
    </w:p>
    <w:p w14:paraId="483A2C0E" w14:textId="77777777" w:rsidR="00655E4C" w:rsidRPr="0007572B" w:rsidRDefault="00655E4C" w:rsidP="006F1659">
      <w:pPr>
        <w:pStyle w:val="ListParagraph"/>
        <w:numPr>
          <w:ilvl w:val="0"/>
          <w:numId w:val="27"/>
        </w:numPr>
        <w:spacing w:line="360" w:lineRule="auto"/>
        <w:rPr>
          <w:rFonts w:ascii="Arial" w:hAnsi="Arial" w:cs="Arial"/>
          <w:sz w:val="24"/>
          <w:szCs w:val="24"/>
        </w:rPr>
      </w:pPr>
      <w:r w:rsidRPr="0007572B">
        <w:rPr>
          <w:rFonts w:ascii="Arial" w:hAnsi="Arial" w:cs="Arial"/>
          <w:bCs/>
          <w:sz w:val="24"/>
          <w:szCs w:val="24"/>
        </w:rPr>
        <w:t>The PFI agreement</w:t>
      </w:r>
      <w:r w:rsidRPr="0007572B">
        <w:rPr>
          <w:rFonts w:ascii="Arial" w:hAnsi="Arial" w:cs="Arial"/>
          <w:sz w:val="24"/>
          <w:szCs w:val="24"/>
        </w:rPr>
        <w:t xml:space="preserve"> is between the PFI contractor and the Authority.</w:t>
      </w:r>
    </w:p>
    <w:p w14:paraId="28AF779B" w14:textId="119E62B5" w:rsidR="00B66F43" w:rsidRPr="00B66F43" w:rsidRDefault="00B66F43" w:rsidP="006F1659">
      <w:pPr>
        <w:pStyle w:val="Heading4bold"/>
        <w:spacing w:line="360" w:lineRule="auto"/>
      </w:pPr>
      <w:r w:rsidRPr="00B66F43">
        <w:t xml:space="preserve">Group </w:t>
      </w:r>
      <w:r w:rsidR="0040773A">
        <w:t>B</w:t>
      </w:r>
      <w:r w:rsidRPr="00B66F43">
        <w:t xml:space="preserve">oundary </w:t>
      </w:r>
    </w:p>
    <w:p w14:paraId="6E8C39A4" w14:textId="77777777" w:rsidR="00B66F43" w:rsidRPr="00B66F43" w:rsidRDefault="00B66F43" w:rsidP="006F1659">
      <w:pPr>
        <w:spacing w:line="360" w:lineRule="auto"/>
        <w:rPr>
          <w:rFonts w:ascii="Arial" w:hAnsi="Arial" w:cs="Arial"/>
        </w:rPr>
      </w:pPr>
      <w:r w:rsidRPr="00B66F43">
        <w:rPr>
          <w:rFonts w:ascii="Arial" w:hAnsi="Arial" w:cs="Arial"/>
        </w:rPr>
        <w:t xml:space="preserve">The GMCA has interests in a number of external companies either as a direct owner or in partnership with other organisations. The nature of these relationships has been </w:t>
      </w:r>
    </w:p>
    <w:p w14:paraId="148C3B99" w14:textId="77777777" w:rsidR="00B66F43" w:rsidRPr="00B66F43" w:rsidRDefault="00B66F43" w:rsidP="006F1659">
      <w:pPr>
        <w:spacing w:line="360" w:lineRule="auto"/>
        <w:rPr>
          <w:rFonts w:ascii="Arial" w:hAnsi="Arial" w:cs="Arial"/>
        </w:rPr>
      </w:pPr>
      <w:r w:rsidRPr="00B66F43">
        <w:rPr>
          <w:rFonts w:ascii="Arial" w:hAnsi="Arial" w:cs="Arial"/>
        </w:rPr>
        <w:t xml:space="preserve">assessed under IFRS 11, IAS 27 and IAS 28 (Accounting for Joint Arrangements, </w:t>
      </w:r>
    </w:p>
    <w:p w14:paraId="62D7092A" w14:textId="65016326" w:rsidR="00B66F43" w:rsidRPr="00B66F43" w:rsidRDefault="00B66F43" w:rsidP="006F1659">
      <w:pPr>
        <w:spacing w:line="360" w:lineRule="auto"/>
        <w:rPr>
          <w:rFonts w:ascii="Arial" w:hAnsi="Arial" w:cs="Arial"/>
        </w:rPr>
      </w:pPr>
      <w:r w:rsidRPr="00B66F43">
        <w:rPr>
          <w:rFonts w:ascii="Arial" w:hAnsi="Arial" w:cs="Arial"/>
        </w:rPr>
        <w:t>Subsidiaries and Associates)</w:t>
      </w:r>
      <w:r w:rsidR="000A6E69">
        <w:rPr>
          <w:rFonts w:ascii="Arial" w:hAnsi="Arial" w:cs="Arial"/>
        </w:rPr>
        <w:t>.</w:t>
      </w:r>
      <w:r w:rsidRPr="00B66F43">
        <w:rPr>
          <w:rFonts w:ascii="Arial" w:hAnsi="Arial" w:cs="Arial"/>
        </w:rPr>
        <w:t xml:space="preserve"> </w:t>
      </w:r>
    </w:p>
    <w:p w14:paraId="6E876D04" w14:textId="77777777" w:rsidR="00B66F43" w:rsidRPr="00B66F43" w:rsidRDefault="00B66F43" w:rsidP="006F1659">
      <w:pPr>
        <w:spacing w:line="360" w:lineRule="auto"/>
        <w:rPr>
          <w:rFonts w:ascii="Arial" w:hAnsi="Arial" w:cs="Arial"/>
        </w:rPr>
      </w:pPr>
    </w:p>
    <w:p w14:paraId="5C6E2DB5" w14:textId="77777777" w:rsidR="00B66F43" w:rsidRPr="00B66F43" w:rsidRDefault="00B66F43" w:rsidP="006F1659">
      <w:pPr>
        <w:spacing w:line="360" w:lineRule="auto"/>
        <w:rPr>
          <w:rFonts w:ascii="Arial" w:hAnsi="Arial" w:cs="Arial"/>
        </w:rPr>
      </w:pPr>
      <w:r w:rsidRPr="00B66F43">
        <w:rPr>
          <w:rFonts w:ascii="Arial" w:hAnsi="Arial" w:cs="Arial"/>
        </w:rPr>
        <w:t>These Accounts contain a set of group statements and supporting notes to reflect the nature and value of the Authorities’ interests in other entities. Where the Authority is considered to have control or significant influence over another entity, they are deemed to be within the group boundary and are assessed for inclusion in the group accounts.</w:t>
      </w:r>
    </w:p>
    <w:p w14:paraId="09DC7151" w14:textId="77777777" w:rsidR="00B66F43" w:rsidRPr="00B66F43" w:rsidRDefault="00B66F43" w:rsidP="006F1659">
      <w:pPr>
        <w:spacing w:line="360" w:lineRule="auto"/>
        <w:rPr>
          <w:rFonts w:ascii="Arial" w:hAnsi="Arial" w:cs="Arial"/>
        </w:rPr>
      </w:pPr>
    </w:p>
    <w:p w14:paraId="7AB8EEC6" w14:textId="18AA6692" w:rsidR="00655E4C" w:rsidRDefault="00B66F43" w:rsidP="006F1659">
      <w:pPr>
        <w:spacing w:line="360" w:lineRule="auto"/>
        <w:rPr>
          <w:rFonts w:ascii="Arial" w:hAnsi="Arial" w:cs="Arial"/>
        </w:rPr>
      </w:pPr>
      <w:r w:rsidRPr="00B66F43">
        <w:rPr>
          <w:rFonts w:ascii="Arial" w:hAnsi="Arial" w:cs="Arial"/>
        </w:rPr>
        <w:t>Consolidation of entities considered for inclusion in the group account is dependent on several factors, including the extent of the Authorities’ interest and power to influence and control, materiality, investment, and transparency; where these factors are not considered material those members of the Group have not been consolidated.</w:t>
      </w:r>
    </w:p>
    <w:p w14:paraId="5C2DA908" w14:textId="77777777" w:rsidR="00B66F43" w:rsidRPr="0007572B" w:rsidRDefault="00B66F43" w:rsidP="006F1659">
      <w:pPr>
        <w:spacing w:line="360" w:lineRule="auto"/>
        <w:rPr>
          <w:rFonts w:ascii="Arial" w:hAnsi="Arial" w:cs="Arial"/>
        </w:rPr>
      </w:pPr>
    </w:p>
    <w:p w14:paraId="23AD0C08" w14:textId="77777777" w:rsidR="00655E4C" w:rsidRPr="0007572B" w:rsidRDefault="00655E4C" w:rsidP="006F1659">
      <w:pPr>
        <w:pStyle w:val="Heading4bold"/>
        <w:spacing w:line="360" w:lineRule="auto"/>
      </w:pPr>
      <w:r w:rsidRPr="0007572B">
        <w:t>Group Accounts Considerations</w:t>
      </w:r>
    </w:p>
    <w:p w14:paraId="40B34A2D" w14:textId="5FD52B76"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A review of the entities related to the Authority in </w:t>
      </w:r>
      <w:r>
        <w:rPr>
          <w:rFonts w:ascii="Arial" w:hAnsi="Arial" w:cs="Arial"/>
          <w:sz w:val="24"/>
          <w:szCs w:val="24"/>
        </w:rPr>
        <w:t>202</w:t>
      </w:r>
      <w:r w:rsidR="00A0708C">
        <w:rPr>
          <w:rFonts w:ascii="Arial" w:hAnsi="Arial" w:cs="Arial"/>
          <w:sz w:val="24"/>
          <w:szCs w:val="24"/>
        </w:rPr>
        <w:t>2</w:t>
      </w:r>
      <w:r>
        <w:rPr>
          <w:rFonts w:ascii="Arial" w:hAnsi="Arial" w:cs="Arial"/>
          <w:sz w:val="24"/>
          <w:szCs w:val="24"/>
        </w:rPr>
        <w:t>/2</w:t>
      </w:r>
      <w:r w:rsidR="00A0708C">
        <w:rPr>
          <w:rFonts w:ascii="Arial" w:hAnsi="Arial" w:cs="Arial"/>
          <w:sz w:val="24"/>
          <w:szCs w:val="24"/>
        </w:rPr>
        <w:t>3</w:t>
      </w:r>
      <w:r w:rsidRPr="0007572B">
        <w:rPr>
          <w:rFonts w:ascii="Arial" w:hAnsi="Arial" w:cs="Arial"/>
          <w:sz w:val="24"/>
          <w:szCs w:val="24"/>
        </w:rPr>
        <w:t xml:space="preserve"> has taken place and the conclusions are provided below:</w:t>
      </w:r>
    </w:p>
    <w:p w14:paraId="39316DD3" w14:textId="77777777" w:rsidR="00655E4C" w:rsidRPr="0007572B" w:rsidRDefault="00655E4C" w:rsidP="006F1659">
      <w:pPr>
        <w:pStyle w:val="Normal0"/>
        <w:autoSpaceDE w:val="0"/>
        <w:autoSpaceDN w:val="0"/>
        <w:adjustRightInd w:val="0"/>
        <w:spacing w:line="360" w:lineRule="auto"/>
        <w:rPr>
          <w:rFonts w:ascii="Arial" w:hAnsi="Arial" w:cs="Arial"/>
          <w:b/>
          <w:sz w:val="24"/>
          <w:szCs w:val="24"/>
        </w:rPr>
      </w:pPr>
    </w:p>
    <w:p w14:paraId="384F0A73" w14:textId="77777777" w:rsidR="00655E4C" w:rsidRPr="0007572B" w:rsidRDefault="00655E4C" w:rsidP="006F1659">
      <w:pPr>
        <w:pStyle w:val="Heading4bold"/>
        <w:spacing w:line="360" w:lineRule="auto"/>
      </w:pPr>
      <w:r w:rsidRPr="0007572B">
        <w:t>Chief Constable of Greater Manchester Police (GMP)</w:t>
      </w:r>
    </w:p>
    <w:p w14:paraId="4B50AC9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GMP is included</w:t>
      </w:r>
      <w:r w:rsidRPr="0007572B">
        <w:rPr>
          <w:rFonts w:ascii="Arial" w:hAnsi="Arial" w:cs="Arial"/>
          <w:sz w:val="24"/>
          <w:szCs w:val="24"/>
        </w:rPr>
        <w:t xml:space="preserve"> in the Authority’s group accounts from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70FA6D14"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2379000"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lastRenderedPageBreak/>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officers and staff operate. The Authority receives all income and funding and makes all the payments for the policing activity from the Mayoral Police Fund. Details of the Mayoral Police Fund are disclosed in the notes to the accounts.</w:t>
      </w:r>
    </w:p>
    <w:p w14:paraId="389C3408"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B84DD30" w14:textId="77777777" w:rsidR="00655E4C" w:rsidRPr="0007572B" w:rsidRDefault="00655E4C" w:rsidP="006F1659">
      <w:pPr>
        <w:pStyle w:val="Heading4bold"/>
        <w:spacing w:line="360" w:lineRule="auto"/>
      </w:pPr>
      <w:r w:rsidRPr="0007572B">
        <w:t>Transport for Greater Manchester (TfGM)</w:t>
      </w:r>
    </w:p>
    <w:p w14:paraId="132662D1" w14:textId="426EDD2A"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TfGM will continue to be included</w:t>
      </w:r>
      <w:r w:rsidRPr="0007572B">
        <w:rPr>
          <w:rFonts w:ascii="Arial" w:hAnsi="Arial" w:cs="Arial"/>
          <w:sz w:val="24"/>
          <w:szCs w:val="24"/>
        </w:rPr>
        <w:t xml:space="preserve"> in the Authority’s group accounts. The Authority and/or the Mayor sets local public transport policy and is responsible for deciding how funds are spent on supporting and improving </w:t>
      </w:r>
      <w:r w:rsidR="00336C9F">
        <w:rPr>
          <w:rFonts w:ascii="Arial" w:hAnsi="Arial" w:cs="Arial"/>
          <w:sz w:val="24"/>
          <w:szCs w:val="24"/>
        </w:rPr>
        <w:t>GM</w:t>
      </w:r>
      <w:r w:rsidRPr="0007572B">
        <w:rPr>
          <w:rFonts w:ascii="Arial" w:hAnsi="Arial" w:cs="Arial"/>
          <w:sz w:val="24"/>
          <w:szCs w:val="24"/>
        </w:rPr>
        <w:t>’s public transport network. The decisions of the Authority and/or the Mayor are implemented by TfGM and TfGM is responsible for implementing the policies of the Authority. 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p>
    <w:p w14:paraId="42A9A060"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007A626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For information, details of transactions with TfGM will be included within the related parties note.</w:t>
      </w:r>
    </w:p>
    <w:p w14:paraId="721E2052"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08CAE341" w14:textId="77777777" w:rsidR="00655E4C" w:rsidRPr="0007572B" w:rsidRDefault="00655E4C" w:rsidP="006F1659">
      <w:pPr>
        <w:pStyle w:val="Heading4bold"/>
        <w:spacing w:line="360" w:lineRule="auto"/>
      </w:pPr>
      <w:r w:rsidRPr="000A0695">
        <w:t>Greater Manchester Fund of Funds Limited Partnership (FoFLP</w:t>
      </w:r>
      <w:r w:rsidRPr="0007572B">
        <w:t>)</w:t>
      </w:r>
    </w:p>
    <w:p w14:paraId="6A7CDE32" w14:textId="0858756D"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November 2016 the Authority established FoFLP to act as a holding fund for ERDF funding. </w:t>
      </w:r>
      <w:r w:rsidR="00B66F43" w:rsidRPr="00431F6F">
        <w:rPr>
          <w:rFonts w:ascii="Arial" w:hAnsi="Arial" w:cs="Arial"/>
          <w:sz w:val="24"/>
          <w:szCs w:val="24"/>
        </w:rPr>
        <w:t xml:space="preserve">The Company registration number is </w:t>
      </w:r>
      <w:r w:rsidR="00F765E7" w:rsidRPr="00F765E7">
        <w:rPr>
          <w:rFonts w:ascii="Arial" w:hAnsi="Arial" w:cs="Arial"/>
          <w:sz w:val="24"/>
          <w:szCs w:val="24"/>
        </w:rPr>
        <w:t>10482059</w:t>
      </w:r>
      <w:r w:rsidR="00B66F43">
        <w:rPr>
          <w:rFonts w:ascii="Arial" w:hAnsi="Arial" w:cs="Arial"/>
        </w:rPr>
        <w:t xml:space="preserve">. </w:t>
      </w:r>
      <w:r w:rsidRPr="0075175B">
        <w:rPr>
          <w:rFonts w:ascii="Arial" w:hAnsi="Arial" w:cs="Arial"/>
          <w:sz w:val="24"/>
          <w:szCs w:val="24"/>
        </w:rPr>
        <w:t>As at 31 March 202</w:t>
      </w:r>
      <w:r w:rsidR="0075175B" w:rsidRPr="0075175B">
        <w:rPr>
          <w:rFonts w:ascii="Arial" w:hAnsi="Arial" w:cs="Arial"/>
          <w:sz w:val="24"/>
          <w:szCs w:val="24"/>
        </w:rPr>
        <w:t>3</w:t>
      </w:r>
      <w:r w:rsidRPr="0075175B">
        <w:rPr>
          <w:rFonts w:ascii="Arial" w:hAnsi="Arial" w:cs="Arial"/>
          <w:sz w:val="24"/>
          <w:szCs w:val="24"/>
        </w:rPr>
        <w:t xml:space="preserve">, the fund had drawn down </w:t>
      </w:r>
      <w:r w:rsidR="0075175B" w:rsidRPr="0075175B">
        <w:rPr>
          <w:rFonts w:ascii="Arial" w:hAnsi="Arial" w:cs="Arial"/>
          <w:sz w:val="24"/>
          <w:szCs w:val="24"/>
        </w:rPr>
        <w:t xml:space="preserve">£45m (2022: </w:t>
      </w:r>
      <w:r w:rsidRPr="0075175B">
        <w:rPr>
          <w:rFonts w:ascii="Arial" w:hAnsi="Arial" w:cs="Arial"/>
          <w:sz w:val="24"/>
          <w:szCs w:val="24"/>
        </w:rPr>
        <w:t>£30m</w:t>
      </w:r>
      <w:r w:rsidR="0075175B" w:rsidRPr="0075175B">
        <w:rPr>
          <w:rFonts w:ascii="Arial" w:hAnsi="Arial" w:cs="Arial"/>
          <w:sz w:val="24"/>
          <w:szCs w:val="24"/>
        </w:rPr>
        <w:t>)</w:t>
      </w:r>
      <w:r w:rsidRPr="0075175B">
        <w:rPr>
          <w:rFonts w:ascii="Arial" w:hAnsi="Arial" w:cs="Arial"/>
          <w:sz w:val="24"/>
          <w:szCs w:val="24"/>
        </w:rPr>
        <w:t xml:space="preserve"> of ERDF funding from Department for Levelling Up, Housing and Communities, and £0.</w:t>
      </w:r>
      <w:r w:rsidR="0075175B" w:rsidRPr="0075175B">
        <w:rPr>
          <w:rFonts w:ascii="Arial" w:hAnsi="Arial" w:cs="Arial"/>
          <w:sz w:val="24"/>
          <w:szCs w:val="24"/>
        </w:rPr>
        <w:t>8</w:t>
      </w:r>
      <w:r w:rsidRPr="0075175B">
        <w:rPr>
          <w:rFonts w:ascii="Arial" w:hAnsi="Arial" w:cs="Arial"/>
          <w:sz w:val="24"/>
          <w:szCs w:val="24"/>
        </w:rPr>
        <w:t>m from the Authority. FoFLP invest in sub-funds that seek to support the shift towards a low carbon economy and for research and innovation workspace. The fund has a further £</w:t>
      </w:r>
      <w:r w:rsidR="0075175B" w:rsidRPr="0075175B">
        <w:rPr>
          <w:rFonts w:ascii="Arial" w:hAnsi="Arial" w:cs="Arial"/>
          <w:sz w:val="24"/>
          <w:szCs w:val="24"/>
        </w:rPr>
        <w:t>15</w:t>
      </w:r>
      <w:r w:rsidRPr="0075175B">
        <w:rPr>
          <w:rFonts w:ascii="Arial" w:hAnsi="Arial" w:cs="Arial"/>
          <w:sz w:val="24"/>
          <w:szCs w:val="24"/>
        </w:rPr>
        <w:t>m of ERDF funding awarded which can be drawn down upon the achievement of certain milestones.</w:t>
      </w:r>
      <w:r w:rsidR="008E18C5">
        <w:rPr>
          <w:rFonts w:ascii="Arial" w:hAnsi="Arial" w:cs="Arial"/>
          <w:sz w:val="24"/>
          <w:szCs w:val="24"/>
        </w:rPr>
        <w:t xml:space="preserve"> FoFLP is wholly owned and controlled by the GMCA and</w:t>
      </w:r>
      <w:r w:rsidRPr="007C5045">
        <w:rPr>
          <w:rFonts w:ascii="Arial" w:hAnsi="Arial" w:cs="Arial"/>
          <w:b/>
          <w:bCs/>
          <w:sz w:val="24"/>
          <w:szCs w:val="24"/>
        </w:rPr>
        <w:t xml:space="preserve"> will continue to be included</w:t>
      </w:r>
      <w:r w:rsidRPr="007C5045">
        <w:rPr>
          <w:rFonts w:ascii="Arial" w:hAnsi="Arial" w:cs="Arial"/>
          <w:sz w:val="24"/>
          <w:szCs w:val="24"/>
        </w:rPr>
        <w:t xml:space="preserve"> in the group accounts.</w:t>
      </w:r>
    </w:p>
    <w:p w14:paraId="53651D19"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691A285D" w14:textId="77777777" w:rsidR="00655E4C" w:rsidRPr="0007572B" w:rsidRDefault="00655E4C" w:rsidP="006F1659">
      <w:pPr>
        <w:pStyle w:val="Heading4bold"/>
        <w:spacing w:line="360" w:lineRule="auto"/>
      </w:pPr>
      <w:r w:rsidRPr="0007572B">
        <w:lastRenderedPageBreak/>
        <w:t>NW Evergreen Holdings Limited Partnership (NWEH)</w:t>
      </w:r>
    </w:p>
    <w:p w14:paraId="2B8B6149" w14:textId="01BAAF16"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September 2016 the Authority established NWEH to act as a holding fund for </w:t>
      </w:r>
      <w:r>
        <w:rPr>
          <w:rFonts w:ascii="Arial" w:hAnsi="Arial" w:cs="Arial"/>
          <w:sz w:val="24"/>
          <w:szCs w:val="24"/>
        </w:rPr>
        <w:t xml:space="preserve">the ERDF funding attributed to the North West Evergreen Fund, an urban development </w:t>
      </w:r>
      <w:r w:rsidRPr="007C5045">
        <w:rPr>
          <w:rFonts w:ascii="Arial" w:hAnsi="Arial" w:cs="Arial"/>
          <w:sz w:val="24"/>
          <w:szCs w:val="24"/>
        </w:rPr>
        <w:t xml:space="preserve">fund established under the 2007-13 European Operational Programme. </w:t>
      </w:r>
      <w:r w:rsidR="00B66F43" w:rsidRPr="00B66F43">
        <w:rPr>
          <w:rFonts w:ascii="Arial" w:hAnsi="Arial" w:cs="Arial"/>
          <w:sz w:val="24"/>
          <w:szCs w:val="24"/>
        </w:rPr>
        <w:t xml:space="preserve">The Company registration number is LP017585. </w:t>
      </w:r>
      <w:r w:rsidRPr="0075175B">
        <w:rPr>
          <w:rFonts w:ascii="Arial" w:hAnsi="Arial" w:cs="Arial"/>
          <w:sz w:val="24"/>
          <w:szCs w:val="24"/>
        </w:rPr>
        <w:t>NWEH received over £60m of funding from ERDF and matched funding sources and invests via its sub-fund in commercial development projects in the North West of England.</w:t>
      </w:r>
      <w:r>
        <w:rPr>
          <w:rFonts w:ascii="Arial" w:hAnsi="Arial" w:cs="Arial"/>
          <w:sz w:val="24"/>
          <w:szCs w:val="24"/>
        </w:rPr>
        <w:t xml:space="preserve"> </w:t>
      </w:r>
      <w:r w:rsidRPr="0007572B">
        <w:rPr>
          <w:rFonts w:ascii="Arial" w:hAnsi="Arial" w:cs="Arial"/>
          <w:b/>
          <w:sz w:val="24"/>
          <w:szCs w:val="24"/>
        </w:rPr>
        <w:t>NWEH will continue to be included</w:t>
      </w:r>
      <w:r w:rsidRPr="0007572B">
        <w:rPr>
          <w:rFonts w:ascii="Arial" w:hAnsi="Arial" w:cs="Arial"/>
          <w:sz w:val="24"/>
          <w:szCs w:val="24"/>
        </w:rPr>
        <w:t xml:space="preserve"> in the Authority’s group accounts.</w:t>
      </w:r>
    </w:p>
    <w:p w14:paraId="1D1FFDC5" w14:textId="16E856F7" w:rsidR="00655E4C" w:rsidRDefault="00655E4C" w:rsidP="006F1659">
      <w:pPr>
        <w:pStyle w:val="Normal0"/>
        <w:autoSpaceDE w:val="0"/>
        <w:autoSpaceDN w:val="0"/>
        <w:adjustRightInd w:val="0"/>
        <w:spacing w:line="360" w:lineRule="auto"/>
        <w:rPr>
          <w:rFonts w:ascii="Arial" w:hAnsi="Arial" w:cs="Arial"/>
          <w:sz w:val="24"/>
          <w:szCs w:val="24"/>
        </w:rPr>
      </w:pPr>
    </w:p>
    <w:p w14:paraId="231FF18F" w14:textId="3F06237A" w:rsidR="00FE41DD" w:rsidRPr="005B26A1" w:rsidRDefault="00FE41DD" w:rsidP="006F1659">
      <w:pPr>
        <w:pStyle w:val="Heading4bold"/>
        <w:spacing w:line="360" w:lineRule="auto"/>
      </w:pPr>
      <w:r w:rsidRPr="00431F6F">
        <w:t>Greater Manchester Evergreen 2 Limited Partnership</w:t>
      </w:r>
      <w:r w:rsidR="00123E80">
        <w:t xml:space="preserve"> (</w:t>
      </w:r>
      <w:r w:rsidR="00D361AD">
        <w:t>GM</w:t>
      </w:r>
      <w:r w:rsidR="00123E80">
        <w:t>E2LP)</w:t>
      </w:r>
    </w:p>
    <w:p w14:paraId="6A5D0683" w14:textId="320B3169" w:rsidR="00FE41DD" w:rsidRDefault="00FE41DD" w:rsidP="006F1659">
      <w:pPr>
        <w:pStyle w:val="Normal0"/>
        <w:autoSpaceDE w:val="0"/>
        <w:autoSpaceDN w:val="0"/>
        <w:adjustRightInd w:val="0"/>
        <w:spacing w:line="360" w:lineRule="auto"/>
        <w:rPr>
          <w:rFonts w:ascii="Arial" w:hAnsi="Arial" w:cs="Arial"/>
          <w:sz w:val="24"/>
          <w:szCs w:val="24"/>
        </w:rPr>
      </w:pPr>
      <w:r w:rsidRPr="00FE41DD">
        <w:rPr>
          <w:rFonts w:ascii="Arial" w:hAnsi="Arial" w:cs="Arial"/>
          <w:sz w:val="24"/>
          <w:szCs w:val="24"/>
        </w:rPr>
        <w:t xml:space="preserve">Evergreen 2 was incorporated on 20 February 2017 under England's 2014-20 </w:t>
      </w:r>
      <w:r w:rsidR="005B26A1">
        <w:rPr>
          <w:rFonts w:ascii="Arial" w:hAnsi="Arial" w:cs="Arial"/>
          <w:sz w:val="24"/>
          <w:szCs w:val="24"/>
        </w:rPr>
        <w:t xml:space="preserve">ERDF </w:t>
      </w:r>
      <w:r w:rsidRPr="00FE41DD">
        <w:rPr>
          <w:rFonts w:ascii="Arial" w:hAnsi="Arial" w:cs="Arial"/>
          <w:sz w:val="24"/>
          <w:szCs w:val="24"/>
        </w:rPr>
        <w:t xml:space="preserve">Operational Programme and is solely a Greater Manchester fund. The Company registration number is LP017867. It has been decided that the </w:t>
      </w:r>
      <w:r w:rsidRPr="00431F6F">
        <w:rPr>
          <w:rFonts w:ascii="Arial" w:hAnsi="Arial" w:cs="Arial"/>
          <w:b/>
          <w:bCs/>
          <w:sz w:val="24"/>
          <w:szCs w:val="24"/>
        </w:rPr>
        <w:t xml:space="preserve">GM Evergreen 2 LP will </w:t>
      </w:r>
      <w:r w:rsidR="000A6E69">
        <w:rPr>
          <w:rFonts w:ascii="Arial" w:hAnsi="Arial" w:cs="Arial"/>
          <w:b/>
          <w:bCs/>
          <w:sz w:val="24"/>
          <w:szCs w:val="24"/>
        </w:rPr>
        <w:t xml:space="preserve">continue to </w:t>
      </w:r>
      <w:r w:rsidRPr="00431F6F">
        <w:rPr>
          <w:rFonts w:ascii="Arial" w:hAnsi="Arial" w:cs="Arial"/>
          <w:b/>
          <w:bCs/>
          <w:sz w:val="24"/>
          <w:szCs w:val="24"/>
        </w:rPr>
        <w:t>be Included</w:t>
      </w:r>
      <w:r w:rsidRPr="00FE41DD">
        <w:rPr>
          <w:rFonts w:ascii="Arial" w:hAnsi="Arial" w:cs="Arial"/>
          <w:sz w:val="24"/>
          <w:szCs w:val="24"/>
        </w:rPr>
        <w:t xml:space="preserve"> in the group accounts.</w:t>
      </w:r>
    </w:p>
    <w:p w14:paraId="3C14128F" w14:textId="7E885FAD" w:rsidR="00FE41DD" w:rsidRDefault="00FE41DD" w:rsidP="006F1659">
      <w:pPr>
        <w:pStyle w:val="Normal0"/>
        <w:autoSpaceDE w:val="0"/>
        <w:autoSpaceDN w:val="0"/>
        <w:adjustRightInd w:val="0"/>
        <w:spacing w:line="360" w:lineRule="auto"/>
        <w:rPr>
          <w:rFonts w:ascii="Arial" w:hAnsi="Arial" w:cs="Arial"/>
          <w:sz w:val="24"/>
          <w:szCs w:val="24"/>
        </w:rPr>
      </w:pPr>
    </w:p>
    <w:p w14:paraId="7A0558FA" w14:textId="12646601" w:rsidR="00FE41DD" w:rsidRPr="00FE41DD" w:rsidRDefault="00FE41DD" w:rsidP="006F1659">
      <w:pPr>
        <w:pStyle w:val="Heading4bold"/>
        <w:spacing w:line="360" w:lineRule="auto"/>
      </w:pPr>
      <w:r w:rsidRPr="00FE41DD">
        <w:t>Greater Manchester Low Carbon UDF Limited Partnership</w:t>
      </w:r>
      <w:r w:rsidR="00123E80">
        <w:t xml:space="preserve"> </w:t>
      </w:r>
    </w:p>
    <w:p w14:paraId="50CB5F31" w14:textId="3B7907BE" w:rsidR="00FE41DD" w:rsidRDefault="00FE41DD" w:rsidP="006F1659">
      <w:pPr>
        <w:pStyle w:val="Normal0"/>
        <w:autoSpaceDE w:val="0"/>
        <w:autoSpaceDN w:val="0"/>
        <w:adjustRightInd w:val="0"/>
        <w:spacing w:line="360" w:lineRule="auto"/>
        <w:rPr>
          <w:rFonts w:ascii="Arial" w:hAnsi="Arial" w:cs="Arial"/>
          <w:sz w:val="24"/>
          <w:szCs w:val="24"/>
        </w:rPr>
      </w:pPr>
      <w:r w:rsidRPr="00FE41DD">
        <w:rPr>
          <w:rFonts w:ascii="Arial" w:hAnsi="Arial" w:cs="Arial"/>
          <w:sz w:val="24"/>
          <w:szCs w:val="24"/>
        </w:rPr>
        <w:t xml:space="preserve">The GM Low Carbon UDF LP </w:t>
      </w:r>
      <w:r w:rsidRPr="008111AE">
        <w:rPr>
          <w:rFonts w:ascii="Arial" w:hAnsi="Arial" w:cs="Arial"/>
          <w:sz w:val="24"/>
          <w:szCs w:val="24"/>
        </w:rPr>
        <w:t>was incorporated on 20 February 2017, Company registration number LP017868. The GM FOF LP is supplying a loan facility of £15m to the GM Low Carbon UDF LP under a Contingent Loan Facility. The GM Low Carbon UDF LP is to use the funds to increase small scale renewable energy schemes.</w:t>
      </w:r>
      <w:r w:rsidRPr="00FE41DD">
        <w:rPr>
          <w:rFonts w:ascii="Arial" w:hAnsi="Arial" w:cs="Arial"/>
          <w:sz w:val="24"/>
          <w:szCs w:val="24"/>
        </w:rPr>
        <w:t xml:space="preserve"> On the grounds of immateriality, it has been decided that the </w:t>
      </w:r>
      <w:r w:rsidRPr="00431F6F">
        <w:rPr>
          <w:rFonts w:ascii="Arial" w:hAnsi="Arial" w:cs="Arial"/>
          <w:b/>
          <w:bCs/>
          <w:sz w:val="24"/>
          <w:szCs w:val="24"/>
        </w:rPr>
        <w:t>GM Low Carbon UDF LP will not be Included</w:t>
      </w:r>
      <w:r w:rsidRPr="00FE41DD">
        <w:rPr>
          <w:rFonts w:ascii="Arial" w:hAnsi="Arial" w:cs="Arial"/>
          <w:sz w:val="24"/>
          <w:szCs w:val="24"/>
        </w:rPr>
        <w:t xml:space="preserve"> in the group accounts</w:t>
      </w:r>
      <w:r w:rsidR="006D5A30">
        <w:rPr>
          <w:rFonts w:ascii="Arial" w:hAnsi="Arial" w:cs="Arial"/>
          <w:sz w:val="24"/>
          <w:szCs w:val="24"/>
        </w:rPr>
        <w:t>.</w:t>
      </w:r>
    </w:p>
    <w:p w14:paraId="725D7BBF" w14:textId="77777777" w:rsidR="00FE41DD" w:rsidRPr="0007572B" w:rsidRDefault="00FE41DD" w:rsidP="006F1659">
      <w:pPr>
        <w:pStyle w:val="Normal0"/>
        <w:autoSpaceDE w:val="0"/>
        <w:autoSpaceDN w:val="0"/>
        <w:adjustRightInd w:val="0"/>
        <w:spacing w:line="360" w:lineRule="auto"/>
        <w:rPr>
          <w:rFonts w:ascii="Arial" w:hAnsi="Arial" w:cs="Arial"/>
          <w:sz w:val="24"/>
          <w:szCs w:val="24"/>
        </w:rPr>
      </w:pPr>
    </w:p>
    <w:p w14:paraId="6F5736A5" w14:textId="77777777" w:rsidR="00655E4C" w:rsidRPr="00431F6F" w:rsidRDefault="00655E4C" w:rsidP="006F1659">
      <w:pPr>
        <w:pStyle w:val="Heading4bold"/>
        <w:spacing w:line="360" w:lineRule="auto"/>
        <w:rPr>
          <w:b w:val="0"/>
          <w:bCs w:val="0"/>
        </w:rPr>
      </w:pPr>
      <w:r w:rsidRPr="0007572B">
        <w:t>NW Fire Control Company</w:t>
      </w:r>
    </w:p>
    <w:p w14:paraId="7FD84E1A" w14:textId="3FC8F733" w:rsidR="00655E4C" w:rsidRPr="0007572B" w:rsidRDefault="00B66F43" w:rsidP="006F1659">
      <w:pPr>
        <w:pStyle w:val="Normal0"/>
        <w:autoSpaceDE w:val="0"/>
        <w:autoSpaceDN w:val="0"/>
        <w:adjustRightInd w:val="0"/>
        <w:spacing w:line="360" w:lineRule="auto"/>
        <w:rPr>
          <w:rFonts w:ascii="Arial" w:hAnsi="Arial" w:cs="Arial"/>
          <w:sz w:val="24"/>
          <w:szCs w:val="24"/>
        </w:rPr>
      </w:pPr>
      <w:r>
        <w:rPr>
          <w:rFonts w:ascii="Arial" w:hAnsi="Arial" w:cs="Arial"/>
          <w:sz w:val="24"/>
          <w:szCs w:val="24"/>
        </w:rPr>
        <w:t>NW</w:t>
      </w:r>
      <w:r w:rsidRPr="00B66F43">
        <w:rPr>
          <w:rFonts w:ascii="Arial" w:hAnsi="Arial" w:cs="Arial"/>
          <w:sz w:val="24"/>
          <w:szCs w:val="24"/>
        </w:rPr>
        <w:t xml:space="preserve"> Fire Control Limited (NWFCC) is a Company limited by Guarantee with the responsibility for Fire and Rescue services mobilisation for the North West Region. The Company registration number is 06314891</w:t>
      </w:r>
      <w:r>
        <w:rPr>
          <w:rFonts w:ascii="Arial" w:hAnsi="Arial" w:cs="Arial"/>
          <w:sz w:val="24"/>
          <w:szCs w:val="24"/>
        </w:rPr>
        <w:t>.</w:t>
      </w:r>
      <w:r w:rsidR="00655E4C" w:rsidRPr="0007572B">
        <w:rPr>
          <w:rFonts w:ascii="Arial" w:hAnsi="Arial" w:cs="Arial"/>
          <w:sz w:val="24"/>
          <w:szCs w:val="24"/>
        </w:rPr>
        <w:t xml:space="preserve"> The company has four equal partners namely: </w:t>
      </w:r>
      <w:r w:rsidR="00336C9F">
        <w:rPr>
          <w:rFonts w:ascii="Arial" w:hAnsi="Arial" w:cs="Arial"/>
          <w:sz w:val="24"/>
          <w:szCs w:val="24"/>
        </w:rPr>
        <w:t>GMCA</w:t>
      </w:r>
      <w:r w:rsidR="00655E4C" w:rsidRPr="0007572B">
        <w:rPr>
          <w:rFonts w:ascii="Arial" w:hAnsi="Arial" w:cs="Arial"/>
          <w:sz w:val="24"/>
          <w:szCs w:val="24"/>
        </w:rPr>
        <w:t>, Cheshire, Cumbria County Council and Lancashire Fire and Rescue Authorities</w:t>
      </w:r>
      <w:r w:rsidR="0040773A">
        <w:rPr>
          <w:rFonts w:ascii="Arial" w:hAnsi="Arial" w:cs="Arial"/>
          <w:sz w:val="24"/>
          <w:szCs w:val="24"/>
        </w:rPr>
        <w:t xml:space="preserve"> (the FRAs)</w:t>
      </w:r>
      <w:r w:rsidR="00655E4C" w:rsidRPr="0007572B">
        <w:rPr>
          <w:rFonts w:ascii="Arial" w:hAnsi="Arial" w:cs="Arial"/>
          <w:sz w:val="24"/>
          <w:szCs w:val="24"/>
        </w:rPr>
        <w:t>.</w:t>
      </w:r>
    </w:p>
    <w:p w14:paraId="28392685"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8C7EF69"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r w:rsidRPr="00FE41DD">
        <w:rPr>
          <w:rFonts w:ascii="Arial" w:eastAsia="Times New Roman" w:hAnsi="Arial" w:cs="Arial"/>
          <w:sz w:val="24"/>
          <w:szCs w:val="24"/>
          <w:lang w:val="en-GB"/>
        </w:rPr>
        <w:t xml:space="preserve">NWFCC became operational during 2014/15 and it meets with the definition of a Joint Operation for group accounts purposes. The Company is governing by unanimous </w:t>
      </w:r>
      <w:r w:rsidRPr="00FE41DD">
        <w:rPr>
          <w:rFonts w:ascii="Arial" w:eastAsia="Times New Roman" w:hAnsi="Arial" w:cs="Arial"/>
          <w:sz w:val="24"/>
          <w:szCs w:val="24"/>
          <w:lang w:val="en-GB"/>
        </w:rPr>
        <w:lastRenderedPageBreak/>
        <w:t>consent for all key decisions, with each member having equal voting rights. The liability of each member in the event of the company being wound up is limited and shall not exceed £1. Each member of the company has the right to appoint two directors, who are Councillors appointed to their respective FRAs. In 2014 all four services transferred their Control Room functions into the regionalised service provided by NW Fire Control Limited. The cost of the service is charged out to the four FRAs on an agreed pro rata basis set out in a Service Level Agreement.</w:t>
      </w:r>
    </w:p>
    <w:p w14:paraId="09388469"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p>
    <w:p w14:paraId="583C6DE2" w14:textId="72734C4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r w:rsidRPr="00FE41DD">
        <w:rPr>
          <w:rFonts w:ascii="Arial" w:eastAsia="Times New Roman" w:hAnsi="Arial" w:cs="Arial"/>
          <w:sz w:val="24"/>
          <w:szCs w:val="24"/>
          <w:lang w:val="en-GB"/>
        </w:rPr>
        <w:t xml:space="preserve">However, on the grounds of immateriality </w:t>
      </w:r>
      <w:r w:rsidRPr="00431F6F">
        <w:rPr>
          <w:rFonts w:ascii="Arial" w:eastAsia="Times New Roman" w:hAnsi="Arial" w:cs="Arial"/>
          <w:b/>
          <w:bCs/>
          <w:sz w:val="24"/>
          <w:szCs w:val="24"/>
          <w:lang w:val="en-GB"/>
        </w:rPr>
        <w:t>NWFCC will not be Included</w:t>
      </w:r>
      <w:r w:rsidRPr="00FE41DD">
        <w:rPr>
          <w:rFonts w:ascii="Arial" w:eastAsia="Times New Roman" w:hAnsi="Arial" w:cs="Arial"/>
          <w:sz w:val="24"/>
          <w:szCs w:val="24"/>
          <w:lang w:val="en-GB"/>
        </w:rPr>
        <w:t xml:space="preserve"> the group accounts</w:t>
      </w:r>
      <w:r w:rsidR="000A6E69">
        <w:rPr>
          <w:rFonts w:ascii="Arial" w:eastAsia="Times New Roman" w:hAnsi="Arial" w:cs="Arial"/>
          <w:sz w:val="24"/>
          <w:szCs w:val="24"/>
          <w:lang w:val="en-GB"/>
        </w:rPr>
        <w:t>.</w:t>
      </w:r>
    </w:p>
    <w:p w14:paraId="21506AB8"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p>
    <w:p w14:paraId="65CBB7E1" w14:textId="7AB56EC5" w:rsidR="00FE41DD" w:rsidRPr="0007572B" w:rsidRDefault="00FE41DD" w:rsidP="006F1659">
      <w:pPr>
        <w:pStyle w:val="Normal0"/>
        <w:autoSpaceDE w:val="0"/>
        <w:autoSpaceDN w:val="0"/>
        <w:adjustRightInd w:val="0"/>
        <w:spacing w:line="360" w:lineRule="auto"/>
        <w:rPr>
          <w:rFonts w:ascii="Arial" w:hAnsi="Arial" w:cs="Arial"/>
          <w:sz w:val="24"/>
          <w:szCs w:val="24"/>
        </w:rPr>
      </w:pPr>
      <w:r w:rsidRPr="006D5A30">
        <w:rPr>
          <w:rFonts w:ascii="Arial" w:hAnsi="Arial" w:cs="Arial"/>
          <w:sz w:val="24"/>
          <w:szCs w:val="24"/>
        </w:rPr>
        <w:t>For information, details of transactions with NWFCC will be included within the related parties note.</w:t>
      </w:r>
    </w:p>
    <w:p w14:paraId="711A2AE9" w14:textId="77777777" w:rsidR="00655E4C" w:rsidRPr="0007572B" w:rsidRDefault="00655E4C" w:rsidP="006F1659">
      <w:pPr>
        <w:spacing w:line="360" w:lineRule="auto"/>
        <w:rPr>
          <w:rFonts w:ascii="Arial" w:eastAsiaTheme="minorHAnsi" w:hAnsi="Arial" w:cs="Arial"/>
          <w:b/>
          <w:lang w:val="en-US"/>
        </w:rPr>
      </w:pPr>
    </w:p>
    <w:p w14:paraId="13ED268E" w14:textId="77777777" w:rsidR="00655E4C" w:rsidRPr="0007572B" w:rsidRDefault="00655E4C" w:rsidP="006F1659">
      <w:pPr>
        <w:pStyle w:val="Heading4bold"/>
        <w:spacing w:line="360" w:lineRule="auto"/>
      </w:pPr>
      <w:r w:rsidRPr="0007572B">
        <w:t xml:space="preserve">Greater Manchester Accessible Transport Limited </w:t>
      </w:r>
      <w:bookmarkStart w:id="78" w:name="_Hlk138758328"/>
      <w:r w:rsidRPr="0007572B">
        <w:t>(GMATL)</w:t>
      </w:r>
      <w:bookmarkEnd w:id="78"/>
    </w:p>
    <w:p w14:paraId="0BECDD72" w14:textId="2927A1B0"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GMATL is a private company limited by guarantee without share capital. </w:t>
      </w:r>
      <w:r w:rsidR="00FE41DD" w:rsidRPr="00FE41DD">
        <w:rPr>
          <w:rFonts w:ascii="Arial" w:hAnsi="Arial" w:cs="Arial"/>
          <w:sz w:val="24"/>
          <w:szCs w:val="24"/>
        </w:rPr>
        <w:t>The Company registration number is 02483763</w:t>
      </w:r>
      <w:r w:rsidR="00FE41DD">
        <w:rPr>
          <w:rFonts w:ascii="Arial" w:hAnsi="Arial" w:cs="Arial"/>
          <w:sz w:val="24"/>
          <w:szCs w:val="24"/>
        </w:rPr>
        <w:t xml:space="preserve">. </w:t>
      </w:r>
      <w:r w:rsidRPr="0007572B">
        <w:rPr>
          <w:rFonts w:ascii="Arial" w:hAnsi="Arial" w:cs="Arial"/>
          <w:sz w:val="24"/>
          <w:szCs w:val="24"/>
        </w:rPr>
        <w:t>The Authority is the person with significant control and has previously included GMATL in its group accounts.</w:t>
      </w:r>
      <w:r w:rsidR="00A131D4">
        <w:rPr>
          <w:rFonts w:ascii="Arial" w:hAnsi="Arial" w:cs="Arial"/>
          <w:sz w:val="24"/>
          <w:szCs w:val="24"/>
        </w:rPr>
        <w:t xml:space="preserve"> </w:t>
      </w:r>
      <w:r w:rsidRPr="0007572B">
        <w:rPr>
          <w:rFonts w:ascii="Arial" w:hAnsi="Arial" w:cs="Arial"/>
          <w:sz w:val="24"/>
          <w:szCs w:val="24"/>
        </w:rPr>
        <w:t xml:space="preserve">On the grounds of immateriality, it has been decided that </w:t>
      </w:r>
      <w:r w:rsidRPr="0007572B">
        <w:rPr>
          <w:rFonts w:ascii="Arial" w:hAnsi="Arial" w:cs="Arial"/>
          <w:b/>
          <w:sz w:val="24"/>
          <w:szCs w:val="24"/>
        </w:rPr>
        <w:t>GMATL will not be included</w:t>
      </w:r>
      <w:r w:rsidRPr="0007572B">
        <w:rPr>
          <w:rFonts w:ascii="Arial" w:hAnsi="Arial" w:cs="Arial"/>
          <w:sz w:val="24"/>
          <w:szCs w:val="24"/>
        </w:rPr>
        <w:t xml:space="preserve"> in the group accounts. </w:t>
      </w:r>
    </w:p>
    <w:p w14:paraId="18F8194F" w14:textId="77777777" w:rsidR="00655E4C" w:rsidRPr="0007572B" w:rsidRDefault="00655E4C" w:rsidP="006F1659">
      <w:pPr>
        <w:pStyle w:val="BodyText3"/>
        <w:spacing w:line="360" w:lineRule="auto"/>
        <w:rPr>
          <w:rFonts w:ascii="Arial" w:hAnsi="Arial" w:cs="Arial"/>
          <w:b/>
          <w:sz w:val="24"/>
          <w:szCs w:val="24"/>
        </w:rPr>
      </w:pPr>
    </w:p>
    <w:p w14:paraId="00EFBCB3" w14:textId="77777777" w:rsidR="00655E4C" w:rsidRPr="0007572B" w:rsidRDefault="00655E4C" w:rsidP="006F1659">
      <w:pPr>
        <w:pStyle w:val="Heading4bold"/>
        <w:spacing w:line="360" w:lineRule="auto"/>
      </w:pPr>
      <w:r w:rsidRPr="0007572B">
        <w:t>Manchester Investment and Development Agency Service (MIDAS)</w:t>
      </w:r>
    </w:p>
    <w:p w14:paraId="0826E012" w14:textId="6E29973E" w:rsidR="00655E4C" w:rsidRDefault="00655E4C" w:rsidP="006F1659">
      <w:pPr>
        <w:pStyle w:val="BodyText3"/>
        <w:spacing w:after="0" w:line="360" w:lineRule="auto"/>
        <w:rPr>
          <w:rFonts w:ascii="Arial" w:hAnsi="Arial" w:cs="Arial"/>
          <w:sz w:val="24"/>
          <w:szCs w:val="24"/>
        </w:rPr>
      </w:pPr>
      <w:r w:rsidRPr="0007572B">
        <w:rPr>
          <w:rFonts w:ascii="Arial" w:hAnsi="Arial" w:cs="Arial"/>
          <w:sz w:val="24"/>
          <w:szCs w:val="24"/>
        </w:rPr>
        <w:t>MIDAS is a private company limited by guarantee without share capital.</w:t>
      </w:r>
      <w:r w:rsidR="00FE41DD" w:rsidRPr="00FE41DD">
        <w:t xml:space="preserve"> </w:t>
      </w:r>
      <w:r w:rsidR="00FE41DD" w:rsidRPr="00FE41DD">
        <w:rPr>
          <w:rFonts w:ascii="Arial" w:hAnsi="Arial" w:cs="Arial"/>
          <w:sz w:val="24"/>
          <w:szCs w:val="24"/>
        </w:rPr>
        <w:t>The Company registration number is 03323710</w:t>
      </w:r>
      <w:r w:rsidR="00FE41DD">
        <w:rPr>
          <w:rFonts w:ascii="Arial" w:hAnsi="Arial" w:cs="Arial"/>
          <w:sz w:val="24"/>
          <w:szCs w:val="24"/>
        </w:rPr>
        <w:t xml:space="preserve">. </w:t>
      </w:r>
      <w:r w:rsidRPr="0007572B">
        <w:rPr>
          <w:rFonts w:ascii="Arial" w:hAnsi="Arial" w:cs="Arial"/>
          <w:sz w:val="24"/>
          <w:szCs w:val="24"/>
        </w:rPr>
        <w:t xml:space="preserve">The Authority is the </w:t>
      </w:r>
      <w:r w:rsidRPr="00337A59">
        <w:rPr>
          <w:rFonts w:ascii="Arial" w:hAnsi="Arial" w:cs="Arial"/>
          <w:sz w:val="24"/>
          <w:szCs w:val="24"/>
        </w:rPr>
        <w:t>person with significant control and has previously included MIDAS in its group accounts. The balance sheet value is approximately £</w:t>
      </w:r>
      <w:r w:rsidR="00337A59" w:rsidRPr="00337A59">
        <w:rPr>
          <w:rFonts w:ascii="Arial" w:hAnsi="Arial" w:cs="Arial"/>
          <w:sz w:val="24"/>
          <w:szCs w:val="24"/>
        </w:rPr>
        <w:t>0.5</w:t>
      </w:r>
      <w:r w:rsidRPr="00337A59">
        <w:rPr>
          <w:rFonts w:ascii="Arial" w:hAnsi="Arial" w:cs="Arial"/>
          <w:sz w:val="24"/>
          <w:szCs w:val="24"/>
        </w:rPr>
        <w:t>m. On</w:t>
      </w:r>
      <w:r w:rsidRPr="0007572B">
        <w:rPr>
          <w:rFonts w:ascii="Arial" w:hAnsi="Arial" w:cs="Arial"/>
          <w:sz w:val="24"/>
          <w:szCs w:val="24"/>
        </w:rPr>
        <w:t xml:space="preserve"> the grounds of immateriality, it has been decided that </w:t>
      </w:r>
      <w:r w:rsidRPr="0007572B">
        <w:rPr>
          <w:rFonts w:ascii="Arial" w:hAnsi="Arial" w:cs="Arial"/>
          <w:b/>
          <w:sz w:val="24"/>
          <w:szCs w:val="24"/>
        </w:rPr>
        <w:t xml:space="preserve">MIDAS will not be included </w:t>
      </w:r>
      <w:r w:rsidRPr="0007572B">
        <w:rPr>
          <w:rFonts w:ascii="Arial" w:hAnsi="Arial" w:cs="Arial"/>
          <w:sz w:val="24"/>
          <w:szCs w:val="24"/>
        </w:rPr>
        <w:t xml:space="preserve">in the group accounts. </w:t>
      </w:r>
    </w:p>
    <w:p w14:paraId="322DD1FA" w14:textId="52CA4939" w:rsidR="00FE41DD" w:rsidRDefault="00FE41DD" w:rsidP="006F1659">
      <w:pPr>
        <w:pStyle w:val="BodyText3"/>
        <w:spacing w:after="0" w:line="360" w:lineRule="auto"/>
        <w:rPr>
          <w:rFonts w:ascii="Arial" w:hAnsi="Arial" w:cs="Arial"/>
          <w:sz w:val="24"/>
          <w:szCs w:val="24"/>
        </w:rPr>
      </w:pPr>
    </w:p>
    <w:p w14:paraId="7DC7EB04" w14:textId="4C423667" w:rsidR="00990F1E" w:rsidRPr="0007572B" w:rsidRDefault="00FE41DD" w:rsidP="006F1659">
      <w:pPr>
        <w:pStyle w:val="BodyText3"/>
        <w:spacing w:after="0" w:line="360" w:lineRule="auto"/>
        <w:rPr>
          <w:rFonts w:ascii="Arial" w:hAnsi="Arial" w:cs="Arial"/>
          <w:sz w:val="24"/>
          <w:szCs w:val="24"/>
        </w:rPr>
      </w:pPr>
      <w:r w:rsidRPr="00FE41DD">
        <w:rPr>
          <w:rFonts w:ascii="Arial" w:hAnsi="Arial" w:cs="Arial"/>
          <w:sz w:val="24"/>
          <w:szCs w:val="24"/>
        </w:rPr>
        <w:t>For information, details of transactions with MIDAS will be included within the related parties note</w:t>
      </w:r>
      <w:r w:rsidR="000A6E69">
        <w:rPr>
          <w:rFonts w:ascii="Arial" w:hAnsi="Arial" w:cs="Arial"/>
          <w:sz w:val="24"/>
          <w:szCs w:val="24"/>
        </w:rPr>
        <w:t>.</w:t>
      </w:r>
    </w:p>
    <w:p w14:paraId="3075D926" w14:textId="77777777" w:rsidR="00990F1E" w:rsidRDefault="00990F1E" w:rsidP="006F1659">
      <w:pPr>
        <w:pStyle w:val="BodyText3"/>
        <w:spacing w:after="0" w:line="360" w:lineRule="auto"/>
      </w:pPr>
    </w:p>
    <w:p w14:paraId="70C0FADE" w14:textId="6DE07987" w:rsidR="00655E4C" w:rsidRPr="0007572B" w:rsidRDefault="00655E4C" w:rsidP="006F1659">
      <w:pPr>
        <w:pStyle w:val="Heading4bold"/>
        <w:spacing w:line="360" w:lineRule="auto"/>
      </w:pPr>
      <w:r w:rsidRPr="0007572B">
        <w:lastRenderedPageBreak/>
        <w:t xml:space="preserve">HIVE Homes </w:t>
      </w:r>
    </w:p>
    <w:p w14:paraId="7A6432D2" w14:textId="0D2B7E0E" w:rsidR="00990F1E" w:rsidRPr="0007572B" w:rsidRDefault="00655E4C" w:rsidP="006F1659">
      <w:pPr>
        <w:pStyle w:val="BodyText3"/>
        <w:spacing w:line="360" w:lineRule="auto"/>
        <w:rPr>
          <w:rFonts w:ascii="Arial" w:hAnsi="Arial" w:cs="Arial"/>
          <w:sz w:val="24"/>
          <w:szCs w:val="24"/>
        </w:rPr>
      </w:pPr>
      <w:r w:rsidRPr="0007572B">
        <w:rPr>
          <w:rFonts w:ascii="Arial" w:hAnsi="Arial" w:cs="Arial"/>
          <w:sz w:val="24"/>
          <w:szCs w:val="24"/>
        </w:rPr>
        <w:t xml:space="preserve">HIVE Homes is a joint venture with </w:t>
      </w:r>
      <w:r w:rsidR="006A7A2D">
        <w:rPr>
          <w:rFonts w:ascii="Arial" w:hAnsi="Arial" w:cs="Arial"/>
          <w:sz w:val="24"/>
          <w:szCs w:val="24"/>
        </w:rPr>
        <w:t>ten</w:t>
      </w:r>
      <w:r w:rsidRPr="0007572B">
        <w:rPr>
          <w:rFonts w:ascii="Arial" w:hAnsi="Arial" w:cs="Arial"/>
          <w:sz w:val="24"/>
          <w:szCs w:val="24"/>
        </w:rPr>
        <w:t xml:space="preserve"> Registered Housing providers and has been incorporated to acquire sites in </w:t>
      </w:r>
      <w:r w:rsidR="00336C9F">
        <w:rPr>
          <w:rFonts w:ascii="Arial" w:hAnsi="Arial" w:cs="Arial"/>
          <w:sz w:val="24"/>
          <w:szCs w:val="24"/>
        </w:rPr>
        <w:t>GM</w:t>
      </w:r>
      <w:r w:rsidRPr="0007572B">
        <w:rPr>
          <w:rFonts w:ascii="Arial" w:hAnsi="Arial" w:cs="Arial"/>
          <w:sz w:val="24"/>
          <w:szCs w:val="24"/>
        </w:rPr>
        <w:t xml:space="preserve"> and then develop them for sale as residential use. </w:t>
      </w:r>
      <w:r w:rsidR="00FE41DD" w:rsidRPr="00FE41DD">
        <w:rPr>
          <w:rFonts w:ascii="Arial" w:hAnsi="Arial" w:cs="Arial"/>
          <w:sz w:val="24"/>
          <w:szCs w:val="24"/>
        </w:rPr>
        <w:t>The Company registration number is OC425196</w:t>
      </w:r>
      <w:r w:rsidR="00FE41DD">
        <w:rPr>
          <w:rFonts w:ascii="Arial" w:hAnsi="Arial" w:cs="Arial"/>
          <w:sz w:val="24"/>
          <w:szCs w:val="24"/>
        </w:rPr>
        <w:t xml:space="preserve">. </w:t>
      </w:r>
      <w:r w:rsidRPr="00BB4FA3">
        <w:rPr>
          <w:rFonts w:ascii="Arial" w:hAnsi="Arial" w:cs="Arial"/>
          <w:sz w:val="24"/>
          <w:szCs w:val="24"/>
        </w:rPr>
        <w:t>From March 2019 the Authority has a 20% share within the company, and £2m has been invested to date. On</w:t>
      </w:r>
      <w:r w:rsidRPr="0007572B">
        <w:rPr>
          <w:rFonts w:ascii="Arial" w:hAnsi="Arial" w:cs="Arial"/>
          <w:sz w:val="24"/>
          <w:szCs w:val="24"/>
        </w:rPr>
        <w:t xml:space="preserve"> the grounds of immateriality, it has been decided that </w:t>
      </w:r>
      <w:r w:rsidRPr="0007572B">
        <w:rPr>
          <w:rFonts w:ascii="Arial" w:hAnsi="Arial" w:cs="Arial"/>
          <w:b/>
          <w:sz w:val="24"/>
          <w:szCs w:val="24"/>
        </w:rPr>
        <w:t>HIVE Homes will not be included</w:t>
      </w:r>
      <w:r w:rsidRPr="0007572B">
        <w:rPr>
          <w:rFonts w:ascii="Arial" w:hAnsi="Arial" w:cs="Arial"/>
          <w:sz w:val="24"/>
          <w:szCs w:val="24"/>
        </w:rPr>
        <w:t xml:space="preserve"> in the group accounts.</w:t>
      </w:r>
    </w:p>
    <w:p w14:paraId="66934731" w14:textId="77777777" w:rsidR="00FE41DD" w:rsidRPr="00431F6F" w:rsidRDefault="00FE41DD" w:rsidP="006F1659">
      <w:pPr>
        <w:pStyle w:val="Heading4bold"/>
        <w:spacing w:line="360" w:lineRule="auto"/>
      </w:pPr>
      <w:r w:rsidRPr="00431F6F">
        <w:t>Resonance Supported Homes Fund Limited Partnership</w:t>
      </w:r>
    </w:p>
    <w:p w14:paraId="47F341DE" w14:textId="4B6346D8" w:rsidR="00990F1E" w:rsidRDefault="00FE41DD" w:rsidP="006F1659">
      <w:pPr>
        <w:spacing w:line="360" w:lineRule="auto"/>
        <w:rPr>
          <w:rFonts w:ascii="Arial" w:hAnsi="Arial" w:cs="Arial"/>
          <w:color w:val="000000"/>
          <w:lang w:val="en-US"/>
        </w:rPr>
      </w:pPr>
      <w:r w:rsidRPr="00431F6F">
        <w:rPr>
          <w:rFonts w:ascii="Arial" w:hAnsi="Arial" w:cs="Arial"/>
          <w:color w:val="000000"/>
          <w:lang w:val="en-US"/>
        </w:rPr>
        <w:t xml:space="preserve">Resonance Supported Homes Fund was incorporated in July 2020 to house adults with learning disabilities, autism and mental health issues living in inappropriate housing such as </w:t>
      </w:r>
      <w:r w:rsidR="000B7231" w:rsidRPr="00431F6F">
        <w:rPr>
          <w:rFonts w:ascii="Arial" w:hAnsi="Arial" w:cs="Arial"/>
          <w:color w:val="000000"/>
          <w:lang w:val="en-US"/>
        </w:rPr>
        <w:t>long</w:t>
      </w:r>
      <w:r w:rsidR="000B7231">
        <w:rPr>
          <w:rFonts w:ascii="Arial" w:hAnsi="Arial" w:cs="Arial"/>
          <w:color w:val="000000"/>
          <w:lang w:val="en-US"/>
        </w:rPr>
        <w:t>-term</w:t>
      </w:r>
      <w:r w:rsidRPr="00431F6F">
        <w:rPr>
          <w:rFonts w:ascii="Arial" w:hAnsi="Arial" w:cs="Arial"/>
          <w:color w:val="000000"/>
          <w:lang w:val="en-US"/>
        </w:rPr>
        <w:t xml:space="preserve"> hospital inpatient facilities, or on long waiting lists awaiting the right housing for their needs. The Company registration number is LP021031. </w:t>
      </w:r>
      <w:r w:rsidR="003D0AA7">
        <w:rPr>
          <w:rFonts w:ascii="Arial" w:hAnsi="Arial" w:cs="Arial"/>
          <w:color w:val="000000"/>
          <w:lang w:val="en-US"/>
        </w:rPr>
        <w:t xml:space="preserve">The GMCA is a limited Partner and as such </w:t>
      </w:r>
      <w:r w:rsidR="003D0AA7" w:rsidRPr="003E27B6">
        <w:rPr>
          <w:rFonts w:ascii="Arial" w:hAnsi="Arial" w:cs="Arial"/>
          <w:color w:val="000000"/>
          <w:lang w:val="en-US"/>
        </w:rPr>
        <w:t>does not have the authority to legal</w:t>
      </w:r>
      <w:r w:rsidR="003D0AA7">
        <w:rPr>
          <w:rFonts w:ascii="Arial" w:hAnsi="Arial" w:cs="Arial"/>
          <w:color w:val="000000"/>
          <w:lang w:val="en-US"/>
        </w:rPr>
        <w:t>ly</w:t>
      </w:r>
      <w:r w:rsidR="003D0AA7" w:rsidRPr="003E27B6">
        <w:rPr>
          <w:rFonts w:ascii="Arial" w:hAnsi="Arial" w:cs="Arial"/>
          <w:color w:val="000000"/>
          <w:lang w:val="en-US"/>
        </w:rPr>
        <w:t xml:space="preserve"> bind the partnership</w:t>
      </w:r>
      <w:r w:rsidR="003D0AA7">
        <w:rPr>
          <w:rFonts w:ascii="Arial" w:hAnsi="Arial" w:cs="Arial"/>
          <w:color w:val="000000"/>
          <w:lang w:val="en-US"/>
        </w:rPr>
        <w:t>.</w:t>
      </w:r>
      <w:r w:rsidR="003D0AA7" w:rsidRPr="003E27B6">
        <w:rPr>
          <w:rFonts w:ascii="Arial" w:hAnsi="Arial" w:cs="Arial"/>
          <w:color w:val="000000"/>
          <w:lang w:val="en-US"/>
        </w:rPr>
        <w:t xml:space="preserve"> </w:t>
      </w:r>
      <w:r w:rsidR="003D0AA7">
        <w:rPr>
          <w:rFonts w:ascii="Arial" w:hAnsi="Arial" w:cs="Arial"/>
          <w:color w:val="000000"/>
          <w:lang w:val="en-US"/>
        </w:rPr>
        <w:t>Due to a lack of control / significant influence and the partnership</w:t>
      </w:r>
      <w:r w:rsidR="00692F29">
        <w:rPr>
          <w:rFonts w:ascii="Arial" w:hAnsi="Arial" w:cs="Arial"/>
          <w:color w:val="000000"/>
          <w:lang w:val="en-US"/>
        </w:rPr>
        <w:t>’</w:t>
      </w:r>
      <w:r w:rsidR="003D0AA7">
        <w:rPr>
          <w:rFonts w:ascii="Arial" w:hAnsi="Arial" w:cs="Arial"/>
          <w:color w:val="000000"/>
          <w:lang w:val="en-US"/>
        </w:rPr>
        <w:t xml:space="preserve">s </w:t>
      </w:r>
      <w:r w:rsidR="003D0AA7" w:rsidRPr="00431F6F">
        <w:rPr>
          <w:rFonts w:ascii="Arial" w:hAnsi="Arial" w:cs="Arial"/>
          <w:color w:val="000000"/>
          <w:lang w:val="en-US"/>
        </w:rPr>
        <w:t xml:space="preserve">immateriality, it has been decided that </w:t>
      </w:r>
      <w:r w:rsidRPr="00431F6F">
        <w:rPr>
          <w:rFonts w:ascii="Arial" w:hAnsi="Arial" w:cs="Arial"/>
          <w:b/>
          <w:bCs/>
          <w:color w:val="000000"/>
          <w:lang w:val="en-US"/>
        </w:rPr>
        <w:t>Resonance Supported Homes Fund will not be included</w:t>
      </w:r>
      <w:r w:rsidRPr="00431F6F">
        <w:rPr>
          <w:rFonts w:ascii="Arial" w:hAnsi="Arial" w:cs="Arial"/>
          <w:color w:val="000000"/>
          <w:lang w:val="en-US"/>
        </w:rPr>
        <w:t xml:space="preserve"> in the group accounts.</w:t>
      </w:r>
    </w:p>
    <w:p w14:paraId="626F20C6" w14:textId="77777777" w:rsidR="00B7710C" w:rsidRPr="00431F6F" w:rsidRDefault="00B7710C" w:rsidP="006F1659">
      <w:pPr>
        <w:spacing w:line="360" w:lineRule="auto"/>
        <w:rPr>
          <w:rFonts w:ascii="Arial" w:hAnsi="Arial" w:cs="Arial"/>
          <w:color w:val="000000"/>
          <w:lang w:val="en-US"/>
        </w:rPr>
      </w:pPr>
    </w:p>
    <w:p w14:paraId="05256622" w14:textId="7D5AA38A" w:rsidR="00FE41DD" w:rsidRPr="008A465B" w:rsidRDefault="00FE41DD" w:rsidP="006F1659">
      <w:pPr>
        <w:pStyle w:val="Heading4bold"/>
        <w:spacing w:line="360" w:lineRule="auto"/>
      </w:pPr>
      <w:bookmarkStart w:id="79" w:name="_Toc92894874"/>
      <w:bookmarkStart w:id="80" w:name="_Toc92895178"/>
      <w:r w:rsidRPr="008A465B">
        <w:t>T</w:t>
      </w:r>
      <w:r>
        <w:t>he</w:t>
      </w:r>
      <w:r w:rsidRPr="008A465B">
        <w:t xml:space="preserve"> G</w:t>
      </w:r>
      <w:r>
        <w:t>M</w:t>
      </w:r>
      <w:r w:rsidRPr="008A465B">
        <w:t xml:space="preserve"> &amp; C</w:t>
      </w:r>
      <w:r>
        <w:t>heshire</w:t>
      </w:r>
      <w:r w:rsidRPr="008A465B">
        <w:t xml:space="preserve"> </w:t>
      </w:r>
      <w:r>
        <w:t>life Sciences Fund Limited Partnership</w:t>
      </w:r>
      <w:r w:rsidR="0075175B">
        <w:t xml:space="preserve"> (Life Science</w:t>
      </w:r>
      <w:r w:rsidR="00345FB8">
        <w:t xml:space="preserve"> 1)</w:t>
      </w:r>
    </w:p>
    <w:p w14:paraId="06CBD257" w14:textId="1FE4AF5B" w:rsidR="00FE41DD" w:rsidRDefault="00FE41DD" w:rsidP="006F1659">
      <w:pPr>
        <w:spacing w:line="360" w:lineRule="auto"/>
        <w:rPr>
          <w:rFonts w:ascii="Arial" w:hAnsi="Arial" w:cs="Arial"/>
          <w:color w:val="000000"/>
          <w:lang w:val="en-US"/>
        </w:rPr>
      </w:pPr>
      <w:r w:rsidRPr="003D0AA7">
        <w:rPr>
          <w:rFonts w:ascii="Arial" w:eastAsiaTheme="minorHAnsi" w:hAnsi="Arial" w:cs="Arial"/>
          <w:lang w:val="en-US"/>
        </w:rPr>
        <w:t>The GM &amp; Cheshire Life Sciences Fund was incorporated in September 2015 as a seed and early-stage venture capital</w:t>
      </w:r>
      <w:r w:rsidRPr="003D0AA7">
        <w:rPr>
          <w:rFonts w:ascii="Arial" w:hAnsi="Arial" w:cs="Arial"/>
          <w:color w:val="000000"/>
          <w:lang w:val="en-US"/>
        </w:rPr>
        <w:t xml:space="preserve"> fund for life sciences businesses located in the Greater Manchester and Cheshire </w:t>
      </w:r>
      <w:r w:rsidR="0040773A">
        <w:rPr>
          <w:rFonts w:ascii="Arial" w:hAnsi="Arial" w:cs="Arial"/>
          <w:color w:val="000000"/>
          <w:lang w:val="en-US"/>
        </w:rPr>
        <w:t>and</w:t>
      </w:r>
      <w:r w:rsidRPr="003D0AA7">
        <w:rPr>
          <w:rFonts w:ascii="Arial" w:hAnsi="Arial" w:cs="Arial"/>
          <w:color w:val="000000"/>
          <w:lang w:val="en-US"/>
        </w:rPr>
        <w:t xml:space="preserve"> Warrington region. The Fund came to the end of its new investment period in mid-2021, by which time it had made a range of seed, early-stage and growth investments into 42 companies. The Fund will continue to support its portfolio and carry out follow-on funding until at least 2030.</w:t>
      </w:r>
      <w:r w:rsidR="003E27B6" w:rsidRPr="003D0AA7">
        <w:rPr>
          <w:rFonts w:ascii="Arial" w:hAnsi="Arial" w:cs="Arial"/>
          <w:color w:val="000000"/>
          <w:lang w:val="en-US"/>
        </w:rPr>
        <w:t xml:space="preserve"> </w:t>
      </w:r>
      <w:bookmarkStart w:id="81" w:name="_Hlk139013754"/>
      <w:r w:rsidR="003D0AA7" w:rsidRPr="003D0AA7">
        <w:rPr>
          <w:rFonts w:ascii="Arial" w:hAnsi="Arial" w:cs="Arial"/>
          <w:color w:val="000000"/>
          <w:lang w:val="en-US"/>
        </w:rPr>
        <w:t>The</w:t>
      </w:r>
      <w:r w:rsidR="003D0AA7" w:rsidRPr="00431F6F">
        <w:rPr>
          <w:rFonts w:ascii="Arial" w:hAnsi="Arial" w:cs="Arial"/>
          <w:color w:val="000000"/>
          <w:lang w:val="en-US"/>
        </w:rPr>
        <w:t xml:space="preserve"> Company registration number is LP016834. </w:t>
      </w:r>
      <w:r w:rsidR="003E27B6">
        <w:rPr>
          <w:rFonts w:ascii="Arial" w:hAnsi="Arial" w:cs="Arial"/>
          <w:color w:val="000000"/>
          <w:lang w:val="en-US"/>
        </w:rPr>
        <w:t xml:space="preserve">The GMCA is a </w:t>
      </w:r>
      <w:r w:rsidR="003D0AA7">
        <w:rPr>
          <w:rFonts w:ascii="Arial" w:hAnsi="Arial" w:cs="Arial"/>
          <w:color w:val="000000"/>
          <w:lang w:val="en-US"/>
        </w:rPr>
        <w:t>L</w:t>
      </w:r>
      <w:r w:rsidR="003E27B6">
        <w:rPr>
          <w:rFonts w:ascii="Arial" w:hAnsi="Arial" w:cs="Arial"/>
          <w:color w:val="000000"/>
          <w:lang w:val="en-US"/>
        </w:rPr>
        <w:t xml:space="preserve">imited </w:t>
      </w:r>
      <w:r w:rsidR="003D0AA7">
        <w:rPr>
          <w:rFonts w:ascii="Arial" w:hAnsi="Arial" w:cs="Arial"/>
          <w:color w:val="000000"/>
          <w:lang w:val="en-US"/>
        </w:rPr>
        <w:t>P</w:t>
      </w:r>
      <w:r w:rsidR="003E27B6">
        <w:rPr>
          <w:rFonts w:ascii="Arial" w:hAnsi="Arial" w:cs="Arial"/>
          <w:color w:val="000000"/>
          <w:lang w:val="en-US"/>
        </w:rPr>
        <w:t>artner</w:t>
      </w:r>
      <w:r w:rsidR="003D0AA7">
        <w:rPr>
          <w:rFonts w:ascii="Arial" w:hAnsi="Arial" w:cs="Arial"/>
          <w:color w:val="000000"/>
          <w:lang w:val="en-US"/>
        </w:rPr>
        <w:t xml:space="preserve"> and as such </w:t>
      </w:r>
      <w:r w:rsidR="003E27B6" w:rsidRPr="003E27B6">
        <w:rPr>
          <w:rFonts w:ascii="Arial" w:hAnsi="Arial" w:cs="Arial"/>
          <w:color w:val="000000"/>
          <w:lang w:val="en-US"/>
        </w:rPr>
        <w:t>does not have the authority to legal</w:t>
      </w:r>
      <w:r w:rsidR="003D0AA7">
        <w:rPr>
          <w:rFonts w:ascii="Arial" w:hAnsi="Arial" w:cs="Arial"/>
          <w:color w:val="000000"/>
          <w:lang w:val="en-US"/>
        </w:rPr>
        <w:t>ly</w:t>
      </w:r>
      <w:r w:rsidR="003E27B6" w:rsidRPr="003E27B6">
        <w:rPr>
          <w:rFonts w:ascii="Arial" w:hAnsi="Arial" w:cs="Arial"/>
          <w:color w:val="000000"/>
          <w:lang w:val="en-US"/>
        </w:rPr>
        <w:t xml:space="preserve"> bind the partnership</w:t>
      </w:r>
      <w:r w:rsidR="003D0AA7">
        <w:rPr>
          <w:rFonts w:ascii="Arial" w:hAnsi="Arial" w:cs="Arial"/>
          <w:color w:val="000000"/>
          <w:lang w:val="en-US"/>
        </w:rPr>
        <w:t>.</w:t>
      </w:r>
      <w:r w:rsidR="003E27B6" w:rsidRPr="003E27B6">
        <w:rPr>
          <w:rFonts w:ascii="Arial" w:hAnsi="Arial" w:cs="Arial"/>
          <w:color w:val="000000"/>
          <w:lang w:val="en-US"/>
        </w:rPr>
        <w:t xml:space="preserve"> </w:t>
      </w:r>
      <w:r w:rsidR="003D0AA7">
        <w:rPr>
          <w:rFonts w:ascii="Arial" w:hAnsi="Arial" w:cs="Arial"/>
          <w:color w:val="000000"/>
          <w:lang w:val="en-US"/>
        </w:rPr>
        <w:t>Due to</w:t>
      </w:r>
      <w:r w:rsidR="00345FB8">
        <w:rPr>
          <w:rFonts w:ascii="Arial" w:hAnsi="Arial" w:cs="Arial"/>
          <w:color w:val="000000"/>
          <w:lang w:val="en-US"/>
        </w:rPr>
        <w:t xml:space="preserve"> a</w:t>
      </w:r>
      <w:r w:rsidR="003D0AA7">
        <w:rPr>
          <w:rFonts w:ascii="Arial" w:hAnsi="Arial" w:cs="Arial"/>
          <w:color w:val="000000"/>
          <w:lang w:val="en-US"/>
        </w:rPr>
        <w:t xml:space="preserve"> lack of control / significant influence and the partnership</w:t>
      </w:r>
      <w:r w:rsidR="00692F29">
        <w:rPr>
          <w:rFonts w:ascii="Arial" w:hAnsi="Arial" w:cs="Arial"/>
          <w:color w:val="000000"/>
          <w:lang w:val="en-US"/>
        </w:rPr>
        <w:t>’</w:t>
      </w:r>
      <w:r w:rsidR="003D0AA7">
        <w:rPr>
          <w:rFonts w:ascii="Arial" w:hAnsi="Arial" w:cs="Arial"/>
          <w:color w:val="000000"/>
          <w:lang w:val="en-US"/>
        </w:rPr>
        <w:t xml:space="preserve">s </w:t>
      </w:r>
      <w:r w:rsidRPr="00431F6F">
        <w:rPr>
          <w:rFonts w:ascii="Arial" w:hAnsi="Arial" w:cs="Arial"/>
          <w:color w:val="000000"/>
          <w:lang w:val="en-US"/>
        </w:rPr>
        <w:t xml:space="preserve">immateriality, it has been decided that </w:t>
      </w:r>
      <w:r w:rsidRPr="00431F6F">
        <w:rPr>
          <w:rFonts w:ascii="Arial" w:hAnsi="Arial" w:cs="Arial"/>
          <w:b/>
          <w:bCs/>
          <w:color w:val="000000"/>
          <w:lang w:val="en-US"/>
        </w:rPr>
        <w:t xml:space="preserve">The GM &amp; Cheshire Life Sciences Fund </w:t>
      </w:r>
      <w:r w:rsidR="00345FB8">
        <w:rPr>
          <w:rFonts w:ascii="Arial" w:hAnsi="Arial" w:cs="Arial"/>
          <w:b/>
          <w:bCs/>
          <w:color w:val="000000"/>
          <w:lang w:val="en-US"/>
        </w:rPr>
        <w:t xml:space="preserve">Limited Partnership </w:t>
      </w:r>
      <w:r w:rsidRPr="00431F6F">
        <w:rPr>
          <w:rFonts w:ascii="Arial" w:hAnsi="Arial" w:cs="Arial"/>
          <w:b/>
          <w:bCs/>
          <w:color w:val="000000"/>
          <w:lang w:val="en-US"/>
        </w:rPr>
        <w:t>will not be included</w:t>
      </w:r>
      <w:r w:rsidRPr="00431F6F">
        <w:rPr>
          <w:rFonts w:ascii="Arial" w:hAnsi="Arial" w:cs="Arial"/>
          <w:color w:val="000000"/>
          <w:lang w:val="en-US"/>
        </w:rPr>
        <w:t xml:space="preserve"> in the group accounts</w:t>
      </w:r>
      <w:bookmarkEnd w:id="81"/>
      <w:r w:rsidR="00767BDD">
        <w:rPr>
          <w:rFonts w:ascii="Arial" w:hAnsi="Arial" w:cs="Arial"/>
          <w:color w:val="000000"/>
          <w:lang w:val="en-US"/>
        </w:rPr>
        <w:t>.</w:t>
      </w:r>
    </w:p>
    <w:p w14:paraId="6CD48BC8" w14:textId="77777777" w:rsidR="00767BDD" w:rsidRDefault="00767BDD" w:rsidP="006F1659">
      <w:pPr>
        <w:spacing w:line="360" w:lineRule="auto"/>
        <w:rPr>
          <w:rFonts w:ascii="Arial" w:hAnsi="Arial" w:cs="Arial"/>
          <w:color w:val="000000"/>
          <w:lang w:val="en-US"/>
        </w:rPr>
      </w:pPr>
    </w:p>
    <w:p w14:paraId="45801839" w14:textId="4DF0FB14" w:rsidR="00990F1E" w:rsidRPr="00345FB8" w:rsidRDefault="0075175B" w:rsidP="006F1659">
      <w:pPr>
        <w:pStyle w:val="Heading4bold"/>
        <w:spacing w:line="360" w:lineRule="auto"/>
      </w:pPr>
      <w:r w:rsidRPr="0075175B">
        <w:t xml:space="preserve">GMC </w:t>
      </w:r>
      <w:r w:rsidR="00345FB8" w:rsidRPr="00345FB8">
        <w:t>Life Sciences Fund</w:t>
      </w:r>
      <w:r w:rsidRPr="0075175B">
        <w:t xml:space="preserve"> L</w:t>
      </w:r>
      <w:r w:rsidRPr="00345FB8">
        <w:t xml:space="preserve">imited Partnership (Life Sciences 2) </w:t>
      </w:r>
    </w:p>
    <w:p w14:paraId="3005C8F0" w14:textId="7E047D38" w:rsidR="00345FB8" w:rsidRDefault="00345FB8" w:rsidP="006F1659">
      <w:pPr>
        <w:spacing w:line="360" w:lineRule="auto"/>
        <w:rPr>
          <w:rFonts w:ascii="Arial" w:hAnsi="Arial" w:cs="Arial"/>
          <w:color w:val="000000"/>
          <w:lang w:val="en-US"/>
        </w:rPr>
      </w:pPr>
      <w:r>
        <w:rPr>
          <w:rFonts w:ascii="Arial" w:hAnsi="Arial" w:cs="Arial"/>
          <w:color w:val="000000"/>
          <w:lang w:val="en-US"/>
        </w:rPr>
        <w:t>GMC Life Sciences Fund Limited Partnership was incorporated in May 2022.</w:t>
      </w:r>
      <w:r w:rsidRPr="00345FB8">
        <w:rPr>
          <w:rFonts w:ascii="Arial" w:hAnsi="Arial" w:cs="Arial"/>
          <w:color w:val="000000"/>
          <w:lang w:val="en-US"/>
        </w:rPr>
        <w:t xml:space="preserve">The Company registration number is LP022594. </w:t>
      </w:r>
      <w:r w:rsidR="00CD00AF">
        <w:rPr>
          <w:rFonts w:ascii="Arial" w:hAnsi="Arial" w:cs="Arial"/>
          <w:color w:val="000000"/>
          <w:lang w:val="en-US"/>
        </w:rPr>
        <w:t xml:space="preserve">The Principal activity of this partnership is to </w:t>
      </w:r>
      <w:r w:rsidR="00CD00AF">
        <w:rPr>
          <w:rFonts w:ascii="Arial" w:hAnsi="Arial" w:cs="Arial"/>
          <w:color w:val="000000"/>
          <w:lang w:val="en-US"/>
        </w:rPr>
        <w:lastRenderedPageBreak/>
        <w:t xml:space="preserve">invest in seed and early-stage life sciences businesses, located in or relocating to Greater Manchester and Cheshire &amp; Warrington. </w:t>
      </w:r>
      <w:r w:rsidRPr="00345FB8">
        <w:rPr>
          <w:rFonts w:ascii="Arial" w:hAnsi="Arial" w:cs="Arial"/>
          <w:color w:val="000000"/>
          <w:lang w:val="en-US"/>
        </w:rPr>
        <w:t xml:space="preserve">The GMCA is a Limited Partner and as such does not have the authority to legally bind the partnership. Due to </w:t>
      </w:r>
      <w:r>
        <w:rPr>
          <w:rFonts w:ascii="Arial" w:hAnsi="Arial" w:cs="Arial"/>
          <w:color w:val="000000"/>
          <w:lang w:val="en-US"/>
        </w:rPr>
        <w:t xml:space="preserve">a </w:t>
      </w:r>
      <w:r w:rsidRPr="00345FB8">
        <w:rPr>
          <w:rFonts w:ascii="Arial" w:hAnsi="Arial" w:cs="Arial"/>
          <w:color w:val="000000"/>
          <w:lang w:val="en-US"/>
        </w:rPr>
        <w:t>lack of control / significant influence and the partnership</w:t>
      </w:r>
      <w:r w:rsidR="00692F29">
        <w:rPr>
          <w:rFonts w:ascii="Arial" w:hAnsi="Arial" w:cs="Arial"/>
          <w:color w:val="000000"/>
          <w:lang w:val="en-US"/>
        </w:rPr>
        <w:t>’</w:t>
      </w:r>
      <w:r w:rsidRPr="00345FB8">
        <w:rPr>
          <w:rFonts w:ascii="Arial" w:hAnsi="Arial" w:cs="Arial"/>
          <w:color w:val="000000"/>
          <w:lang w:val="en-US"/>
        </w:rPr>
        <w:t xml:space="preserve">s immateriality, it has been decided that </w:t>
      </w:r>
      <w:r w:rsidRPr="00345FB8">
        <w:rPr>
          <w:rFonts w:ascii="Arial" w:hAnsi="Arial" w:cs="Arial"/>
          <w:b/>
          <w:bCs/>
          <w:color w:val="000000"/>
          <w:lang w:val="en-US"/>
        </w:rPr>
        <w:t>The GMC Life Sciences Fund Limited Partnership will not be included</w:t>
      </w:r>
      <w:r w:rsidRPr="00345FB8">
        <w:rPr>
          <w:rFonts w:ascii="Arial" w:hAnsi="Arial" w:cs="Arial"/>
          <w:color w:val="000000"/>
          <w:lang w:val="en-US"/>
        </w:rPr>
        <w:t xml:space="preserve"> in the group accounts.</w:t>
      </w:r>
    </w:p>
    <w:p w14:paraId="293B61B2" w14:textId="77777777" w:rsidR="00345FB8" w:rsidRDefault="00345FB8" w:rsidP="006F1659">
      <w:pPr>
        <w:spacing w:line="360" w:lineRule="auto"/>
        <w:rPr>
          <w:rFonts w:ascii="Arial" w:hAnsi="Arial" w:cs="Arial"/>
          <w:color w:val="000000"/>
          <w:lang w:val="en-US"/>
        </w:rPr>
      </w:pPr>
    </w:p>
    <w:p w14:paraId="2857D413" w14:textId="77777777" w:rsidR="00990F1E" w:rsidRPr="00431F6F" w:rsidRDefault="00990F1E" w:rsidP="006F1659">
      <w:pPr>
        <w:pStyle w:val="Heading4bold"/>
        <w:spacing w:line="360" w:lineRule="auto"/>
      </w:pPr>
      <w:r w:rsidRPr="00431F6F">
        <w:t>INTERCHANGE HOMES LLP</w:t>
      </w:r>
    </w:p>
    <w:p w14:paraId="4C6FA043" w14:textId="5002FAD6"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Interchange Home LLP was incorporated in October 2021 as a special </w:t>
      </w:r>
      <w:r w:rsidR="00CD00AF" w:rsidRPr="00431F6F">
        <w:rPr>
          <w:rFonts w:ascii="Arial" w:eastAsiaTheme="minorHAnsi" w:hAnsi="Arial" w:cs="Arial"/>
          <w:lang w:val="en-US"/>
        </w:rPr>
        <w:t>purpos</w:t>
      </w:r>
      <w:r w:rsidR="00CD00AF">
        <w:rPr>
          <w:rFonts w:ascii="Arial" w:eastAsiaTheme="minorHAnsi" w:hAnsi="Arial" w:cs="Arial"/>
          <w:lang w:val="en-US"/>
        </w:rPr>
        <w:t>e</w:t>
      </w:r>
    </w:p>
    <w:p w14:paraId="71640F7E" w14:textId="77777777"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vehicle (SPV) for the town centre residential accommodation development at </w:t>
      </w:r>
    </w:p>
    <w:p w14:paraId="33BE72F8" w14:textId="26B336DB"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Stockport Interchange. The company registration number is OC439564. On the grounds of immateriality, it has been decided that </w:t>
      </w:r>
      <w:r w:rsidRPr="00431F6F">
        <w:rPr>
          <w:rFonts w:ascii="Arial" w:eastAsiaTheme="minorHAnsi" w:hAnsi="Arial" w:cs="Arial"/>
          <w:b/>
          <w:bCs/>
          <w:lang w:val="en-US"/>
        </w:rPr>
        <w:t>Interchanges Homes LLP will not be included</w:t>
      </w:r>
      <w:r w:rsidRPr="00431F6F">
        <w:rPr>
          <w:rFonts w:ascii="Arial" w:eastAsiaTheme="minorHAnsi" w:hAnsi="Arial" w:cs="Arial"/>
          <w:lang w:val="en-US"/>
        </w:rPr>
        <w:t xml:space="preserve"> in the group accounts.</w:t>
      </w:r>
    </w:p>
    <w:p w14:paraId="5C5DCFF7" w14:textId="77777777" w:rsidR="00AF0D29" w:rsidRDefault="00AF0D29" w:rsidP="006F1659">
      <w:pPr>
        <w:spacing w:line="360" w:lineRule="auto"/>
        <w:rPr>
          <w:rFonts w:ascii="Arial" w:eastAsia="Palatino Linotype" w:hAnsi="Arial" w:cs="Arial"/>
          <w:b/>
          <w:bCs/>
          <w:szCs w:val="28"/>
          <w:lang w:val="en-US"/>
        </w:rPr>
      </w:pPr>
      <w:r>
        <w:br w:type="page"/>
      </w:r>
    </w:p>
    <w:p w14:paraId="4EC3908C" w14:textId="0C3246B3" w:rsidR="00317E52" w:rsidRPr="000A0695" w:rsidRDefault="00317E52" w:rsidP="006F1659">
      <w:pPr>
        <w:pStyle w:val="Heading3greennumbered"/>
        <w:spacing w:line="360" w:lineRule="auto"/>
      </w:pPr>
      <w:bookmarkStart w:id="82" w:name="_Toc109922612"/>
      <w:r w:rsidRPr="000A0695">
        <w:lastRenderedPageBreak/>
        <w:t>3 Key Sources of Estimation and</w:t>
      </w:r>
      <w:r w:rsidRPr="000A0695">
        <w:rPr>
          <w:spacing w:val="-5"/>
        </w:rPr>
        <w:t xml:space="preserve"> </w:t>
      </w:r>
      <w:r w:rsidRPr="000A0695">
        <w:t>Uncertainty</w:t>
      </w:r>
      <w:bookmarkEnd w:id="79"/>
      <w:bookmarkEnd w:id="80"/>
      <w:bookmarkEnd w:id="82"/>
    </w:p>
    <w:p w14:paraId="3F8D1E2F" w14:textId="77777777" w:rsidR="00986BB0" w:rsidRPr="0007572B" w:rsidRDefault="00986BB0" w:rsidP="006F1659">
      <w:pPr>
        <w:autoSpaceDE w:val="0"/>
        <w:autoSpaceDN w:val="0"/>
        <w:adjustRightInd w:val="0"/>
        <w:spacing w:line="360" w:lineRule="auto"/>
        <w:jc w:val="both"/>
        <w:rPr>
          <w:rFonts w:ascii="Arial" w:hAnsi="Arial" w:cs="Arial"/>
          <w:color w:val="000000"/>
          <w:lang w:val="en-US"/>
        </w:rPr>
      </w:pPr>
    </w:p>
    <w:p w14:paraId="23CBBAF5" w14:textId="77777777" w:rsidR="009F03CF" w:rsidRPr="0007572B" w:rsidRDefault="002D2F17" w:rsidP="006F1659">
      <w:pPr>
        <w:pStyle w:val="Normal0"/>
        <w:spacing w:line="360" w:lineRule="auto"/>
        <w:rPr>
          <w:rFonts w:ascii="Arial" w:hAnsi="Arial" w:cs="Arial"/>
          <w:b/>
          <w:sz w:val="24"/>
          <w:szCs w:val="24"/>
        </w:rPr>
      </w:pPr>
      <w:r w:rsidRPr="0007572B">
        <w:rPr>
          <w:rFonts w:ascii="Arial" w:eastAsia="Arial" w:hAnsi="Arial" w:cs="Arial"/>
          <w:sz w:val="24"/>
          <w:szCs w:val="24"/>
          <w:lang w:val="en-GB" w:eastAsia="en-GB"/>
        </w:rPr>
        <w:t>In preparing the annual A</w:t>
      </w:r>
      <w:r w:rsidR="009F03CF" w:rsidRPr="0007572B">
        <w:rPr>
          <w:rFonts w:ascii="Arial" w:eastAsia="Arial" w:hAnsi="Arial" w:cs="Arial"/>
          <w:sz w:val="24"/>
          <w:szCs w:val="24"/>
          <w:lang w:val="en-GB" w:eastAsia="en-GB"/>
        </w:rPr>
        <w:t>ccounts there are areas where estimates are made. These include:</w:t>
      </w:r>
    </w:p>
    <w:p w14:paraId="59D0003A" w14:textId="77777777" w:rsidR="009F03CF" w:rsidRPr="0007572B" w:rsidRDefault="009F03CF" w:rsidP="006F1659">
      <w:pPr>
        <w:pStyle w:val="ListParagraph"/>
        <w:spacing w:line="360" w:lineRule="auto"/>
        <w:ind w:left="709"/>
        <w:rPr>
          <w:rFonts w:ascii="Arial" w:eastAsia="Arial" w:hAnsi="Arial" w:cs="Arial"/>
          <w:sz w:val="24"/>
          <w:szCs w:val="24"/>
        </w:rPr>
      </w:pPr>
    </w:p>
    <w:p w14:paraId="56F837FC" w14:textId="212431F7" w:rsidR="004D1A81" w:rsidRPr="004D1A81" w:rsidRDefault="004D1A81" w:rsidP="006F1659">
      <w:pPr>
        <w:pStyle w:val="Heading4bold"/>
        <w:spacing w:line="360" w:lineRule="auto"/>
        <w:rPr>
          <w:rFonts w:eastAsia="Arial"/>
        </w:rPr>
      </w:pPr>
      <w:r>
        <w:rPr>
          <w:rFonts w:eastAsia="Arial"/>
        </w:rPr>
        <w:t>3.1</w:t>
      </w:r>
      <w:r>
        <w:rPr>
          <w:rFonts w:eastAsia="Arial"/>
        </w:rPr>
        <w:tab/>
      </w:r>
      <w:bookmarkStart w:id="83" w:name="_Hlk109141531"/>
      <w:r>
        <w:rPr>
          <w:rFonts w:eastAsia="Arial"/>
        </w:rPr>
        <w:t>V</w:t>
      </w:r>
      <w:r w:rsidR="009F03CF" w:rsidRPr="004D1A81">
        <w:rPr>
          <w:rFonts w:eastAsia="Arial"/>
        </w:rPr>
        <w:t xml:space="preserve">aluation of </w:t>
      </w:r>
      <w:r w:rsidR="00FE3696">
        <w:rPr>
          <w:rFonts w:eastAsia="Arial"/>
        </w:rPr>
        <w:t>PPE</w:t>
      </w:r>
    </w:p>
    <w:p w14:paraId="2A6B60A1" w14:textId="05E3796C" w:rsidR="00FE3696" w:rsidRPr="00FE3696" w:rsidRDefault="00FE3696" w:rsidP="006F1659">
      <w:pPr>
        <w:spacing w:line="360" w:lineRule="auto"/>
        <w:ind w:left="720"/>
        <w:rPr>
          <w:rFonts w:ascii="Arial" w:eastAsia="Arial" w:hAnsi="Arial" w:cs="Arial"/>
        </w:rPr>
      </w:pPr>
      <w:r w:rsidRPr="00431F6F">
        <w:rPr>
          <w:rFonts w:ascii="Arial" w:eastAsia="Arial" w:hAnsi="Arial" w:cs="Arial"/>
          <w:lang w:eastAsia="en-GB"/>
        </w:rPr>
        <w:t xml:space="preserve">The valuation of GMCA’s Property, Plant and Equipment (PPE) is a significant area of estimation uncertainty. There is a risk of material adjustment to the carrying value of PPE within the next financial year, if the actual values differ from the assumptions used to value PPE. A reduction in estimated valuation would result in a reduction to the Revaluation Reserve and/or a loss in the Comprehensive Income and Expenditure Statement. An increase in estimation valuation would result in an increase in the Revaluation Reserve and/or gain in the Comprehensive Income and Expenditure Statement. </w:t>
      </w:r>
      <w:r w:rsidRPr="007A2085">
        <w:rPr>
          <w:rFonts w:ascii="Arial" w:eastAsia="Arial" w:hAnsi="Arial" w:cs="Arial"/>
          <w:lang w:eastAsia="en-GB"/>
        </w:rPr>
        <w:t>For instance, the impact of a 10% change in the valuation of GMCA’s operational land and buildings would be £5</w:t>
      </w:r>
      <w:r w:rsidR="007A2085" w:rsidRPr="007A2085">
        <w:rPr>
          <w:rFonts w:ascii="Arial" w:eastAsia="Arial" w:hAnsi="Arial" w:cs="Arial"/>
          <w:lang w:eastAsia="en-GB"/>
        </w:rPr>
        <w:t>6</w:t>
      </w:r>
      <w:r w:rsidRPr="007A2085">
        <w:rPr>
          <w:rFonts w:ascii="Arial" w:eastAsia="Arial" w:hAnsi="Arial" w:cs="Arial"/>
          <w:lang w:eastAsia="en-GB"/>
        </w:rPr>
        <w:t>m.</w:t>
      </w:r>
      <w:r w:rsidRPr="00431F6F">
        <w:rPr>
          <w:rFonts w:ascii="Arial" w:eastAsia="Arial" w:hAnsi="Arial" w:cs="Arial"/>
          <w:lang w:eastAsia="en-GB"/>
        </w:rPr>
        <w:t xml:space="preserve"> Note 20 to the accounts sets out the </w:t>
      </w:r>
      <w:r>
        <w:rPr>
          <w:rFonts w:ascii="Arial" w:eastAsia="Arial" w:hAnsi="Arial" w:cs="Arial"/>
          <w:lang w:eastAsia="en-GB"/>
        </w:rPr>
        <w:t>Authority’s</w:t>
      </w:r>
      <w:r w:rsidRPr="00431F6F">
        <w:rPr>
          <w:rFonts w:ascii="Arial" w:eastAsia="Arial" w:hAnsi="Arial" w:cs="Arial"/>
          <w:lang w:eastAsia="en-GB"/>
        </w:rPr>
        <w:t xml:space="preserve"> approach to the valuation of its PPE.</w:t>
      </w:r>
    </w:p>
    <w:bookmarkEnd w:id="83"/>
    <w:p w14:paraId="661790A9" w14:textId="00B62CFA" w:rsidR="004D1A81" w:rsidRPr="00FE3696" w:rsidRDefault="004D1A81" w:rsidP="006F1659">
      <w:pPr>
        <w:spacing w:line="360" w:lineRule="auto"/>
        <w:ind w:left="720"/>
        <w:rPr>
          <w:rFonts w:ascii="Arial" w:eastAsia="Arial" w:hAnsi="Arial" w:cs="Arial"/>
        </w:rPr>
      </w:pPr>
    </w:p>
    <w:p w14:paraId="3AE61833" w14:textId="396E4B6B" w:rsidR="000767F9" w:rsidRPr="00093337" w:rsidRDefault="004D1A81" w:rsidP="006F1659">
      <w:pPr>
        <w:pStyle w:val="Heading4bold"/>
        <w:spacing w:line="360" w:lineRule="auto"/>
        <w:ind w:left="709" w:hanging="709"/>
        <w:rPr>
          <w:rFonts w:eastAsia="Arial"/>
        </w:rPr>
      </w:pPr>
      <w:r>
        <w:rPr>
          <w:rFonts w:eastAsia="Arial"/>
        </w:rPr>
        <w:t>3.2</w:t>
      </w:r>
      <w:bookmarkStart w:id="84" w:name="_Hlk109141825"/>
      <w:r>
        <w:rPr>
          <w:rFonts w:eastAsia="Arial"/>
        </w:rPr>
        <w:tab/>
      </w:r>
      <w:bookmarkEnd w:id="84"/>
      <w:r w:rsidR="00093337">
        <w:rPr>
          <w:rFonts w:eastAsia="Arial"/>
        </w:rPr>
        <w:t>T</w:t>
      </w:r>
      <w:r w:rsidR="009F03CF" w:rsidRPr="00093337">
        <w:rPr>
          <w:rFonts w:eastAsia="Arial"/>
        </w:rPr>
        <w:t>he liability for future pension payments which is estimated by qualified actuaries</w:t>
      </w:r>
    </w:p>
    <w:p w14:paraId="0D723558" w14:textId="73F8A8BF" w:rsidR="006418CF" w:rsidRDefault="00555E68" w:rsidP="006F1659">
      <w:pPr>
        <w:pStyle w:val="ListParagraph"/>
        <w:autoSpaceDE w:val="0"/>
        <w:autoSpaceDN w:val="0"/>
        <w:adjustRightInd w:val="0"/>
        <w:spacing w:line="360" w:lineRule="auto"/>
        <w:rPr>
          <w:rFonts w:ascii="Arial" w:hAnsi="Arial" w:cs="Arial"/>
          <w:color w:val="000000"/>
          <w:sz w:val="24"/>
          <w:szCs w:val="24"/>
          <w:lang w:val="en-US"/>
        </w:rPr>
      </w:pPr>
      <w:r>
        <w:rPr>
          <w:rFonts w:ascii="Arial" w:hAnsi="Arial" w:cs="Arial"/>
          <w:color w:val="000000"/>
          <w:sz w:val="24"/>
          <w:szCs w:val="24"/>
          <w:lang w:val="en-US"/>
        </w:rPr>
        <w:t>This is estimated by the actuary and a sensitivity analysis undertaken by them for the firefighters</w:t>
      </w:r>
      <w:r w:rsidR="00FE3696">
        <w:rPr>
          <w:rFonts w:ascii="Arial" w:hAnsi="Arial" w:cs="Arial"/>
          <w:color w:val="000000"/>
          <w:sz w:val="24"/>
          <w:szCs w:val="24"/>
          <w:lang w:val="en-US"/>
        </w:rPr>
        <w:t>’</w:t>
      </w:r>
      <w:r>
        <w:rPr>
          <w:rFonts w:ascii="Arial" w:hAnsi="Arial" w:cs="Arial"/>
          <w:color w:val="000000"/>
          <w:sz w:val="24"/>
          <w:szCs w:val="24"/>
          <w:lang w:val="en-US"/>
        </w:rPr>
        <w:t xml:space="preserve"> pension scheme and local government pension scheme</w:t>
      </w:r>
      <w:r w:rsidR="00FE3696">
        <w:rPr>
          <w:rFonts w:ascii="Arial" w:hAnsi="Arial" w:cs="Arial"/>
          <w:color w:val="000000"/>
          <w:sz w:val="24"/>
          <w:szCs w:val="24"/>
          <w:lang w:val="en-US"/>
        </w:rPr>
        <w:t>. Details can be</w:t>
      </w:r>
      <w:r>
        <w:rPr>
          <w:rFonts w:ascii="Arial" w:hAnsi="Arial" w:cs="Arial"/>
          <w:color w:val="000000"/>
          <w:sz w:val="24"/>
          <w:szCs w:val="24"/>
          <w:lang w:val="en-US"/>
        </w:rPr>
        <w:t xml:space="preserve"> found in</w:t>
      </w:r>
      <w:r w:rsidR="005B6C97">
        <w:rPr>
          <w:rFonts w:ascii="Arial" w:hAnsi="Arial" w:cs="Arial"/>
          <w:color w:val="000000"/>
          <w:sz w:val="24"/>
          <w:szCs w:val="24"/>
          <w:lang w:val="en-US"/>
        </w:rPr>
        <w:t xml:space="preserve"> Note 33 – Defined Benefit Pension Schemes.</w:t>
      </w:r>
    </w:p>
    <w:p w14:paraId="2660735D" w14:textId="77777777" w:rsidR="006E7062" w:rsidRDefault="006E7062" w:rsidP="006F1659">
      <w:pPr>
        <w:pStyle w:val="ListParagraph"/>
        <w:autoSpaceDE w:val="0"/>
        <w:autoSpaceDN w:val="0"/>
        <w:adjustRightInd w:val="0"/>
        <w:spacing w:line="360" w:lineRule="auto"/>
        <w:rPr>
          <w:rFonts w:ascii="Arial" w:hAnsi="Arial" w:cs="Arial"/>
          <w:color w:val="000000"/>
          <w:sz w:val="24"/>
          <w:szCs w:val="24"/>
          <w:lang w:val="en-US"/>
        </w:rPr>
      </w:pPr>
    </w:p>
    <w:p w14:paraId="46F310AF" w14:textId="0D659B13" w:rsidR="00AF0D29" w:rsidRDefault="00AF0D29" w:rsidP="006F1659">
      <w:pPr>
        <w:spacing w:line="360" w:lineRule="auto"/>
        <w:rPr>
          <w:rFonts w:ascii="Arial" w:eastAsia="Palatino Linotype" w:hAnsi="Arial" w:cs="Arial"/>
          <w:b/>
          <w:bCs/>
          <w:szCs w:val="28"/>
          <w:lang w:val="en-US"/>
        </w:rPr>
      </w:pPr>
      <w:bookmarkStart w:id="85" w:name="_Toc92894875"/>
      <w:bookmarkStart w:id="86" w:name="_Toc92895179"/>
    </w:p>
    <w:p w14:paraId="00799EA8" w14:textId="2EF5790E" w:rsidR="00317E52" w:rsidRPr="0007572B" w:rsidRDefault="00317E52" w:rsidP="006F1659">
      <w:pPr>
        <w:pStyle w:val="Heading3greennumbered"/>
        <w:spacing w:line="360" w:lineRule="auto"/>
      </w:pPr>
      <w:bookmarkStart w:id="87" w:name="_Toc109922613"/>
      <w:r w:rsidRPr="0007572B">
        <w:t>4 Impact of Accounting Standards issued b</w:t>
      </w:r>
      <w:r w:rsidRPr="0007572B">
        <w:rPr>
          <w:spacing w:val="-2"/>
        </w:rPr>
        <w:t>ut not y</w:t>
      </w:r>
      <w:r w:rsidRPr="0007572B">
        <w:t>et</w:t>
      </w:r>
      <w:r w:rsidRPr="0007572B">
        <w:rPr>
          <w:spacing w:val="5"/>
        </w:rPr>
        <w:t xml:space="preserve"> </w:t>
      </w:r>
      <w:r w:rsidRPr="0007572B">
        <w:t>Adopted</w:t>
      </w:r>
      <w:bookmarkEnd w:id="85"/>
      <w:bookmarkEnd w:id="86"/>
      <w:bookmarkEnd w:id="87"/>
    </w:p>
    <w:p w14:paraId="16CB025F" w14:textId="77777777" w:rsidR="005403AF" w:rsidRDefault="005403AF" w:rsidP="006F1659">
      <w:pPr>
        <w:autoSpaceDE w:val="0"/>
        <w:autoSpaceDN w:val="0"/>
        <w:adjustRightInd w:val="0"/>
        <w:spacing w:line="360" w:lineRule="auto"/>
        <w:rPr>
          <w:rFonts w:ascii="Arial" w:eastAsia="Arial" w:hAnsi="Arial" w:cs="Arial"/>
          <w:lang w:eastAsia="en-GB"/>
        </w:rPr>
      </w:pPr>
    </w:p>
    <w:p w14:paraId="1C6B7A60" w14:textId="5DD7749D" w:rsidR="000D7F53" w:rsidRPr="000D7F53" w:rsidRDefault="00A106AE" w:rsidP="006F1659">
      <w:pPr>
        <w:autoSpaceDE w:val="0"/>
        <w:autoSpaceDN w:val="0"/>
        <w:adjustRightInd w:val="0"/>
        <w:spacing w:line="360" w:lineRule="auto"/>
        <w:rPr>
          <w:rFonts w:ascii="Arial" w:eastAsia="Arial" w:hAnsi="Arial" w:cs="Arial"/>
          <w:lang w:eastAsia="en-GB"/>
        </w:rPr>
      </w:pPr>
      <w:bookmarkStart w:id="88" w:name="_Hlk63924033"/>
      <w:r w:rsidRPr="00A856B7">
        <w:rPr>
          <w:rFonts w:ascii="Arial" w:eastAsia="Arial" w:hAnsi="Arial" w:cs="Arial"/>
          <w:lang w:eastAsia="en-GB"/>
        </w:rPr>
        <w:t xml:space="preserve">The Code of Practice on Local Authority Accounting in the United Kingdom (the Code) requires the </w:t>
      </w:r>
      <w:r w:rsidR="00B1172D">
        <w:rPr>
          <w:rFonts w:ascii="Arial" w:eastAsia="Arial" w:hAnsi="Arial" w:cs="Arial"/>
          <w:lang w:eastAsia="en-GB"/>
        </w:rPr>
        <w:t>disclosure of</w:t>
      </w:r>
      <w:r w:rsidRPr="00A856B7">
        <w:rPr>
          <w:rFonts w:ascii="Arial" w:eastAsia="Arial" w:hAnsi="Arial" w:cs="Arial"/>
          <w:lang w:eastAsia="en-GB"/>
        </w:rPr>
        <w:t xml:space="preserve"> information relating to the expected impact of an accounting change that will be required by a new standard which has been issued but is yet to be adopted by the</w:t>
      </w:r>
      <w:r w:rsidR="00B1172D">
        <w:rPr>
          <w:rFonts w:ascii="Arial" w:eastAsia="Arial" w:hAnsi="Arial" w:cs="Arial"/>
          <w:lang w:eastAsia="en-GB"/>
        </w:rPr>
        <w:t xml:space="preserve"> 2022/23</w:t>
      </w:r>
      <w:r w:rsidRPr="00A856B7">
        <w:rPr>
          <w:rFonts w:ascii="Arial" w:eastAsia="Arial" w:hAnsi="Arial" w:cs="Arial"/>
          <w:lang w:eastAsia="en-GB"/>
        </w:rPr>
        <w:t xml:space="preserve"> Code. </w:t>
      </w:r>
    </w:p>
    <w:p w14:paraId="51CD4ED9" w14:textId="285F37F4" w:rsidR="00B1172D" w:rsidRDefault="000D7F53" w:rsidP="006F1659">
      <w:pPr>
        <w:autoSpaceDE w:val="0"/>
        <w:autoSpaceDN w:val="0"/>
        <w:adjustRightInd w:val="0"/>
        <w:spacing w:line="360" w:lineRule="auto"/>
        <w:rPr>
          <w:rFonts w:ascii="Arial" w:eastAsia="Arial" w:hAnsi="Arial" w:cs="Arial"/>
          <w:lang w:eastAsia="en-GB"/>
        </w:rPr>
      </w:pPr>
      <w:r w:rsidRPr="000D7F53">
        <w:rPr>
          <w:rFonts w:ascii="Arial" w:eastAsia="Arial" w:hAnsi="Arial" w:cs="Arial"/>
          <w:lang w:eastAsia="en-GB"/>
        </w:rPr>
        <w:lastRenderedPageBreak/>
        <w:t xml:space="preserve">The key accounting changes </w:t>
      </w:r>
      <w:r w:rsidR="00B1172D">
        <w:rPr>
          <w:rFonts w:ascii="Arial" w:eastAsia="Arial" w:hAnsi="Arial" w:cs="Arial"/>
          <w:lang w:eastAsia="en-GB"/>
        </w:rPr>
        <w:t>introduced by the 2023/24 Code are:</w:t>
      </w:r>
    </w:p>
    <w:p w14:paraId="53542500" w14:textId="77777777" w:rsidR="00B1172D" w:rsidRPr="00CE16DE" w:rsidRDefault="00B1172D" w:rsidP="00CE16DE">
      <w:pPr>
        <w:pStyle w:val="ListParagraph"/>
        <w:widowControl w:val="0"/>
        <w:numPr>
          <w:ilvl w:val="0"/>
          <w:numId w:val="41"/>
        </w:numPr>
        <w:tabs>
          <w:tab w:val="left" w:pos="8789"/>
        </w:tabs>
        <w:autoSpaceDE w:val="0"/>
        <w:autoSpaceDN w:val="0"/>
        <w:adjustRightInd w:val="0"/>
        <w:spacing w:before="72" w:line="360" w:lineRule="auto"/>
        <w:ind w:right="226"/>
        <w:rPr>
          <w:rFonts w:ascii="Arial" w:hAnsi="Arial" w:cs="Arial"/>
          <w:sz w:val="24"/>
          <w:szCs w:val="24"/>
        </w:rPr>
      </w:pPr>
      <w:r w:rsidRPr="00CE16DE">
        <w:rPr>
          <w:rFonts w:ascii="Arial" w:hAnsi="Arial" w:cs="Arial"/>
          <w:sz w:val="24"/>
          <w:szCs w:val="24"/>
        </w:rPr>
        <w:t>Definition of Accounting Estimates (Amendments to IAS 8) issued in February 2021;</w:t>
      </w:r>
    </w:p>
    <w:p w14:paraId="750C838B" w14:textId="2028ABD1" w:rsidR="00B1172D" w:rsidRPr="00CE16DE" w:rsidRDefault="00B1172D" w:rsidP="00CE16DE">
      <w:pPr>
        <w:pStyle w:val="ListParagraph"/>
        <w:widowControl w:val="0"/>
        <w:numPr>
          <w:ilvl w:val="0"/>
          <w:numId w:val="41"/>
        </w:numPr>
        <w:tabs>
          <w:tab w:val="left" w:pos="8789"/>
        </w:tabs>
        <w:autoSpaceDE w:val="0"/>
        <w:autoSpaceDN w:val="0"/>
        <w:adjustRightInd w:val="0"/>
        <w:spacing w:before="72" w:line="360" w:lineRule="auto"/>
        <w:ind w:right="226"/>
        <w:rPr>
          <w:rFonts w:ascii="Arial" w:hAnsi="Arial" w:cs="Arial"/>
          <w:sz w:val="24"/>
          <w:szCs w:val="24"/>
        </w:rPr>
      </w:pPr>
      <w:r w:rsidRPr="00CE16DE">
        <w:rPr>
          <w:rFonts w:ascii="Arial" w:hAnsi="Arial" w:cs="Arial"/>
          <w:sz w:val="24"/>
          <w:szCs w:val="24"/>
        </w:rPr>
        <w:t>Disclosure of Accounting Policies (Amendments to IAS 1 and IFRS Practice Statement issued in February 2021;</w:t>
      </w:r>
    </w:p>
    <w:p w14:paraId="5D3889BD" w14:textId="3E439853" w:rsidR="00B1172D" w:rsidRPr="00CE16DE" w:rsidRDefault="00B1172D" w:rsidP="00CE16DE">
      <w:pPr>
        <w:pStyle w:val="ListParagraph"/>
        <w:widowControl w:val="0"/>
        <w:numPr>
          <w:ilvl w:val="0"/>
          <w:numId w:val="41"/>
        </w:numPr>
        <w:tabs>
          <w:tab w:val="left" w:pos="8789"/>
        </w:tabs>
        <w:autoSpaceDE w:val="0"/>
        <w:autoSpaceDN w:val="0"/>
        <w:adjustRightInd w:val="0"/>
        <w:spacing w:before="72" w:line="360" w:lineRule="auto"/>
        <w:ind w:right="226"/>
        <w:rPr>
          <w:rFonts w:ascii="Arial" w:hAnsi="Arial" w:cs="Arial"/>
          <w:sz w:val="24"/>
          <w:szCs w:val="24"/>
        </w:rPr>
      </w:pPr>
      <w:r w:rsidRPr="00CE16DE">
        <w:rPr>
          <w:rFonts w:ascii="Arial" w:hAnsi="Arial" w:cs="Arial"/>
          <w:sz w:val="24"/>
          <w:szCs w:val="24"/>
        </w:rPr>
        <w:t xml:space="preserve">Deferred Tax related to Assets and Liabilities arising from a Single Transaction (Amendments to IAS 12) issued in May 2021; and </w:t>
      </w:r>
    </w:p>
    <w:p w14:paraId="0688792C" w14:textId="67F25B83" w:rsidR="00DE43A9" w:rsidRPr="00CE16DE" w:rsidRDefault="00B1172D" w:rsidP="00CE16DE">
      <w:pPr>
        <w:pStyle w:val="ListParagraph"/>
        <w:widowControl w:val="0"/>
        <w:numPr>
          <w:ilvl w:val="0"/>
          <w:numId w:val="41"/>
        </w:numPr>
        <w:tabs>
          <w:tab w:val="left" w:pos="8789"/>
        </w:tabs>
        <w:autoSpaceDE w:val="0"/>
        <w:autoSpaceDN w:val="0"/>
        <w:adjustRightInd w:val="0"/>
        <w:spacing w:before="72" w:line="360" w:lineRule="auto"/>
        <w:ind w:right="226"/>
        <w:rPr>
          <w:rFonts w:ascii="Arial" w:hAnsi="Arial" w:cs="Arial"/>
        </w:rPr>
      </w:pPr>
      <w:r w:rsidRPr="00CE16DE">
        <w:rPr>
          <w:rFonts w:ascii="Arial" w:hAnsi="Arial" w:cs="Arial"/>
          <w:sz w:val="24"/>
          <w:szCs w:val="24"/>
        </w:rPr>
        <w:t>Updating a Reference to the Conceptual Framework (Amendments to IRS 3) issued in May 2020.</w:t>
      </w:r>
    </w:p>
    <w:p w14:paraId="7D4A484E" w14:textId="02806BFF" w:rsidR="00A106AE" w:rsidRPr="0007572B" w:rsidRDefault="00A106AE" w:rsidP="006F1659">
      <w:pPr>
        <w:autoSpaceDE w:val="0"/>
        <w:autoSpaceDN w:val="0"/>
        <w:adjustRightInd w:val="0"/>
        <w:spacing w:line="360" w:lineRule="auto"/>
        <w:rPr>
          <w:rFonts w:ascii="Arial" w:hAnsi="Arial" w:cs="Arial"/>
          <w:color w:val="000000"/>
          <w:lang w:val="en-US"/>
        </w:rPr>
      </w:pPr>
      <w:r w:rsidRPr="00A856B7">
        <w:rPr>
          <w:rFonts w:ascii="Arial" w:eastAsia="Arial" w:hAnsi="Arial" w:cs="Arial"/>
          <w:lang w:eastAsia="en-GB"/>
        </w:rPr>
        <w:t>These changes are not expected to have a material impact on the Authority’s single entity or group accounts.</w:t>
      </w:r>
    </w:p>
    <w:p w14:paraId="3572A2CD" w14:textId="77777777" w:rsidR="00A106AE" w:rsidRPr="0007572B" w:rsidRDefault="00A106AE" w:rsidP="006F1659">
      <w:pPr>
        <w:autoSpaceDE w:val="0"/>
        <w:autoSpaceDN w:val="0"/>
        <w:adjustRightInd w:val="0"/>
        <w:spacing w:line="360" w:lineRule="auto"/>
        <w:jc w:val="both"/>
        <w:rPr>
          <w:rFonts w:ascii="Arial" w:hAnsi="Arial" w:cs="Arial"/>
          <w:color w:val="000000"/>
          <w:sz w:val="22"/>
          <w:szCs w:val="22"/>
          <w:lang w:val="en-US"/>
        </w:rPr>
      </w:pPr>
    </w:p>
    <w:p w14:paraId="4F099D0A" w14:textId="3F099721" w:rsidR="00317E52" w:rsidRPr="0007572B" w:rsidRDefault="00B51D3A" w:rsidP="006F1659">
      <w:pPr>
        <w:pStyle w:val="Heading3greennumbered"/>
        <w:spacing w:line="360" w:lineRule="auto"/>
      </w:pPr>
      <w:bookmarkStart w:id="89" w:name="_Toc92894876"/>
      <w:bookmarkStart w:id="90" w:name="_Toc92895180"/>
      <w:bookmarkStart w:id="91" w:name="_Toc109922614"/>
      <w:r w:rsidRPr="0007572B">
        <w:t xml:space="preserve">5 Events After the </w:t>
      </w:r>
      <w:r w:rsidR="000008C1" w:rsidRPr="0007572B">
        <w:t>Reporting Period</w:t>
      </w:r>
      <w:bookmarkEnd w:id="89"/>
      <w:bookmarkEnd w:id="90"/>
      <w:bookmarkEnd w:id="91"/>
    </w:p>
    <w:p w14:paraId="554C04F1" w14:textId="77777777" w:rsidR="005403AF" w:rsidRDefault="005403AF" w:rsidP="006F1659">
      <w:pPr>
        <w:autoSpaceDE w:val="0"/>
        <w:autoSpaceDN w:val="0"/>
        <w:adjustRightInd w:val="0"/>
        <w:spacing w:line="360" w:lineRule="auto"/>
        <w:rPr>
          <w:rFonts w:ascii="Arial" w:hAnsi="Arial" w:cs="Arial"/>
          <w:lang w:eastAsia="en-GB"/>
        </w:rPr>
      </w:pPr>
    </w:p>
    <w:p w14:paraId="2698D59F" w14:textId="53FABDB1" w:rsidR="00C75439" w:rsidRPr="0007572B" w:rsidRDefault="00C75439" w:rsidP="006F1659">
      <w:pPr>
        <w:autoSpaceDE w:val="0"/>
        <w:autoSpaceDN w:val="0"/>
        <w:adjustRightInd w:val="0"/>
        <w:spacing w:line="360" w:lineRule="auto"/>
        <w:rPr>
          <w:rFonts w:ascii="Arial" w:hAnsi="Arial" w:cs="Arial"/>
          <w:lang w:eastAsia="en-GB"/>
        </w:rPr>
      </w:pPr>
      <w:r w:rsidRPr="0007572B">
        <w:rPr>
          <w:rFonts w:ascii="Arial" w:hAnsi="Arial" w:cs="Arial"/>
          <w:lang w:eastAsia="en-GB"/>
        </w:rPr>
        <w:t>Events after the Balance Sheet date are those events, both favourable and unfavourable, that occur between the end of the reporting period and the date when the Statement of Accounts is authorised for issue. Two types of events can be identified:</w:t>
      </w:r>
    </w:p>
    <w:p w14:paraId="270658E3" w14:textId="77777777" w:rsidR="00C75439" w:rsidRPr="0007572B" w:rsidRDefault="00C75439" w:rsidP="006F1659">
      <w:pPr>
        <w:autoSpaceDE w:val="0"/>
        <w:autoSpaceDN w:val="0"/>
        <w:adjustRightInd w:val="0"/>
        <w:spacing w:line="360" w:lineRule="auto"/>
        <w:rPr>
          <w:rFonts w:ascii="Arial" w:hAnsi="Arial" w:cs="Arial"/>
          <w:lang w:eastAsia="en-GB"/>
        </w:rPr>
      </w:pPr>
    </w:p>
    <w:p w14:paraId="78CBD0FE" w14:textId="0D44BD97" w:rsidR="00C75439" w:rsidRPr="0007572B" w:rsidRDefault="00C75439" w:rsidP="006F1659">
      <w:pPr>
        <w:pStyle w:val="ListParagraph"/>
        <w:widowControl w:val="0"/>
        <w:numPr>
          <w:ilvl w:val="0"/>
          <w:numId w:val="41"/>
        </w:numPr>
        <w:tabs>
          <w:tab w:val="left" w:pos="8789"/>
        </w:tabs>
        <w:autoSpaceDE w:val="0"/>
        <w:autoSpaceDN w:val="0"/>
        <w:adjustRightInd w:val="0"/>
        <w:spacing w:before="72" w:line="360" w:lineRule="auto"/>
        <w:ind w:right="226"/>
        <w:rPr>
          <w:rFonts w:ascii="Arial" w:eastAsia="Verdana" w:hAnsi="Arial" w:cs="Arial"/>
          <w:sz w:val="24"/>
          <w:szCs w:val="24"/>
        </w:rPr>
      </w:pPr>
      <w:r w:rsidRPr="0007572B">
        <w:rPr>
          <w:rFonts w:ascii="Arial" w:hAnsi="Arial" w:cs="Arial"/>
          <w:sz w:val="24"/>
          <w:szCs w:val="24"/>
        </w:rPr>
        <w:t>those that provide evidence of conditions that existed at the end of the reporting period – the Statement of Accounts is adjusted to reflect such events</w:t>
      </w:r>
      <w:r w:rsidR="00692F29">
        <w:rPr>
          <w:rFonts w:ascii="Arial" w:hAnsi="Arial" w:cs="Arial"/>
          <w:sz w:val="24"/>
          <w:szCs w:val="24"/>
        </w:rPr>
        <w:t>;</w:t>
      </w:r>
    </w:p>
    <w:p w14:paraId="5E09481F" w14:textId="5828F99F" w:rsidR="00C75439" w:rsidRDefault="00C75439" w:rsidP="006F1659">
      <w:pPr>
        <w:pStyle w:val="ListParagraph"/>
        <w:numPr>
          <w:ilvl w:val="0"/>
          <w:numId w:val="41"/>
        </w:numPr>
        <w:autoSpaceDE w:val="0"/>
        <w:autoSpaceDN w:val="0"/>
        <w:adjustRightInd w:val="0"/>
        <w:spacing w:line="360" w:lineRule="auto"/>
        <w:rPr>
          <w:rFonts w:ascii="Arial" w:hAnsi="Arial" w:cs="Arial"/>
          <w:sz w:val="24"/>
          <w:szCs w:val="24"/>
        </w:rPr>
      </w:pPr>
      <w:r w:rsidRPr="0007572B">
        <w:rPr>
          <w:rFonts w:ascii="Arial" w:hAnsi="Arial" w:cs="Arial"/>
          <w:sz w:val="24"/>
          <w:szCs w:val="24"/>
        </w:rPr>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14:paraId="3BE14A45" w14:textId="77777777" w:rsidR="00FE7AFF" w:rsidRDefault="00FE7AFF" w:rsidP="00FE7AFF">
      <w:pPr>
        <w:autoSpaceDE w:val="0"/>
        <w:autoSpaceDN w:val="0"/>
        <w:adjustRightInd w:val="0"/>
        <w:spacing w:line="360" w:lineRule="auto"/>
        <w:rPr>
          <w:rFonts w:ascii="Arial" w:hAnsi="Arial" w:cs="Arial"/>
        </w:rPr>
      </w:pPr>
    </w:p>
    <w:p w14:paraId="3F25F3E1" w14:textId="106B3F31" w:rsidR="00FE7AFF" w:rsidRPr="00FE7AFF" w:rsidRDefault="00FE7AFF" w:rsidP="00FE7AFF">
      <w:pPr>
        <w:autoSpaceDE w:val="0"/>
        <w:autoSpaceDN w:val="0"/>
        <w:adjustRightInd w:val="0"/>
        <w:spacing w:line="360" w:lineRule="auto"/>
        <w:rPr>
          <w:rFonts w:ascii="Arial" w:hAnsi="Arial" w:cs="Arial"/>
          <w:b/>
          <w:bCs/>
        </w:rPr>
      </w:pPr>
      <w:r w:rsidRPr="00FE7AFF">
        <w:rPr>
          <w:rFonts w:ascii="Arial" w:hAnsi="Arial" w:cs="Arial"/>
          <w:b/>
          <w:bCs/>
        </w:rPr>
        <w:t>Virgin Media Ltd v NTL Pension Trustees II Ltd</w:t>
      </w:r>
    </w:p>
    <w:p w14:paraId="5F386B6D" w14:textId="77777777" w:rsidR="00FE7AFF" w:rsidRPr="00FE7AFF" w:rsidRDefault="00FE7AFF" w:rsidP="00FE7AFF">
      <w:pPr>
        <w:spacing w:line="360" w:lineRule="auto"/>
        <w:rPr>
          <w:rFonts w:ascii="Arial" w:hAnsi="Arial" w:cs="Arial"/>
          <w:lang w:eastAsia="en-GB"/>
        </w:rPr>
      </w:pPr>
      <w:bookmarkStart w:id="92" w:name="_Toc92894877"/>
      <w:bookmarkStart w:id="93" w:name="_Toc92895181"/>
      <w:bookmarkEnd w:id="88"/>
      <w:r w:rsidRPr="00FE7AFF">
        <w:rPr>
          <w:rFonts w:ascii="Arial" w:hAnsi="Arial" w:cs="Arial"/>
          <w:lang w:eastAsia="en-GB"/>
        </w:rPr>
        <w:t xml:space="preserve">On 16 June 2023, the High Court made a significant ruling in Virgin Media Ltd v NTL Pension Trustees II Ltd and others regarding the validity of amendments made to benefits in contracted-out pension schemes between 6 April 1997 and 6 April 2016. According to the judgement, any amendments to scheme benefits made during that period will be void unless the scheme actuary had confirmed at the time of the amendment that the pension scheme would continue to satisfy the statutory standard for </w:t>
      </w:r>
      <w:r w:rsidRPr="00FE7AFF">
        <w:rPr>
          <w:rFonts w:ascii="Arial" w:hAnsi="Arial" w:cs="Arial"/>
          <w:lang w:eastAsia="en-GB"/>
        </w:rPr>
        <w:lastRenderedPageBreak/>
        <w:t>contracted-out schemes. This is required by section 37 of the Pension Schemes Act 1993.</w:t>
      </w:r>
    </w:p>
    <w:p w14:paraId="127E27EA" w14:textId="77777777" w:rsidR="00FE7AFF" w:rsidRPr="00FE7AFF" w:rsidRDefault="00FE7AFF" w:rsidP="00FE7AFF">
      <w:pPr>
        <w:spacing w:line="360" w:lineRule="auto"/>
        <w:rPr>
          <w:rFonts w:ascii="Arial" w:hAnsi="Arial" w:cs="Arial"/>
          <w:lang w:eastAsia="en-GB"/>
        </w:rPr>
      </w:pPr>
    </w:p>
    <w:p w14:paraId="0CCE0464" w14:textId="77777777" w:rsidR="00FE7AFF" w:rsidRPr="00FE7AFF" w:rsidRDefault="00FE7AFF" w:rsidP="00FE7AFF">
      <w:pPr>
        <w:spacing w:line="360" w:lineRule="auto"/>
        <w:rPr>
          <w:rFonts w:ascii="Arial" w:hAnsi="Arial" w:cs="Arial"/>
          <w:lang w:eastAsia="en-GB"/>
        </w:rPr>
      </w:pPr>
      <w:r w:rsidRPr="00FE7AFF">
        <w:rPr>
          <w:rFonts w:ascii="Arial" w:hAnsi="Arial" w:cs="Arial"/>
          <w:lang w:eastAsia="en-GB"/>
        </w:rPr>
        <w:t>The High Court ruling was appealed but the Court of Appeal upheld the High Court’s decision on 25 July 2024. This decision has raised uncertainty for pension schemes that were formerly contracted-out on a salary related basis between 1997 and 2016. However, there remains a large amount of uncertainty as to whether the Secretary of State will introduce remedial legislation that would validate changes retrospectively in appropriate circumstances. There are also several unresolved national issues in relation to this case, such as what counts as written actuarial confirmation or could be deemed as sufficient evidence to validate the amendment.</w:t>
      </w:r>
    </w:p>
    <w:p w14:paraId="568B35A3" w14:textId="77777777" w:rsidR="00FE7AFF" w:rsidRPr="00FE7AFF" w:rsidRDefault="00FE7AFF" w:rsidP="00FE7AFF">
      <w:pPr>
        <w:spacing w:line="360" w:lineRule="auto"/>
        <w:rPr>
          <w:rFonts w:ascii="Arial" w:hAnsi="Arial" w:cs="Arial"/>
          <w:lang w:eastAsia="en-GB"/>
        </w:rPr>
      </w:pPr>
    </w:p>
    <w:p w14:paraId="7C6BCAAB" w14:textId="7F092447" w:rsidR="00AC4453" w:rsidRDefault="00FE7AFF" w:rsidP="00FE7AFF">
      <w:pPr>
        <w:spacing w:line="360" w:lineRule="auto"/>
        <w:rPr>
          <w:rFonts w:ascii="Arial" w:hAnsi="Arial" w:cs="Arial"/>
          <w:lang w:eastAsia="en-GB"/>
        </w:rPr>
      </w:pPr>
      <w:r w:rsidRPr="00FE7AFF">
        <w:rPr>
          <w:rFonts w:ascii="Arial" w:hAnsi="Arial" w:cs="Arial"/>
          <w:lang w:eastAsia="en-GB"/>
        </w:rPr>
        <w:t xml:space="preserve">Given the continuing legislative uncertainties around the case, the impact of this ruling on LGPS liabilities is not yet known at </w:t>
      </w:r>
      <w:r w:rsidR="00AA3449">
        <w:rPr>
          <w:rFonts w:ascii="Arial" w:hAnsi="Arial" w:cs="Arial"/>
          <w:lang w:eastAsia="en-GB"/>
        </w:rPr>
        <w:t xml:space="preserve">02 December 2024 </w:t>
      </w:r>
      <w:r w:rsidRPr="00FE7AFF">
        <w:rPr>
          <w:rFonts w:ascii="Arial" w:hAnsi="Arial" w:cs="Arial"/>
          <w:lang w:eastAsia="en-GB"/>
        </w:rPr>
        <w:t>and therefore no adjustments have been made to the financial statements for the year. Management will continue to monitor developments in this case and consider the impact on LGPS liabilities where further information becomes available.</w:t>
      </w:r>
    </w:p>
    <w:p w14:paraId="71BF0BC3" w14:textId="77777777" w:rsidR="00FE7AFF" w:rsidRDefault="00FE7AFF" w:rsidP="00FE7AFF">
      <w:pPr>
        <w:spacing w:line="360" w:lineRule="auto"/>
        <w:rPr>
          <w:rFonts w:ascii="Arial" w:eastAsia="Palatino Linotype" w:hAnsi="Arial" w:cs="Arial"/>
          <w:b/>
          <w:bCs/>
          <w:szCs w:val="28"/>
          <w:lang w:val="en-US"/>
        </w:rPr>
      </w:pPr>
    </w:p>
    <w:p w14:paraId="3CE6880B" w14:textId="6C25D16A" w:rsidR="00B266FC" w:rsidRPr="0007572B" w:rsidRDefault="00B266FC" w:rsidP="006F1659">
      <w:pPr>
        <w:pStyle w:val="Heading3greennumbered"/>
        <w:spacing w:line="360" w:lineRule="auto"/>
      </w:pPr>
      <w:bookmarkStart w:id="94" w:name="_Toc109922615"/>
      <w:r w:rsidRPr="0007572B">
        <w:t xml:space="preserve">6 Authorisation for </w:t>
      </w:r>
      <w:r w:rsidR="00475816" w:rsidRPr="0007572B">
        <w:t xml:space="preserve">the </w:t>
      </w:r>
      <w:r w:rsidRPr="0007572B">
        <w:t>Issue of the Statement of</w:t>
      </w:r>
      <w:r w:rsidRPr="0007572B">
        <w:rPr>
          <w:spacing w:val="2"/>
        </w:rPr>
        <w:t xml:space="preserve"> </w:t>
      </w:r>
      <w:r w:rsidRPr="0007572B">
        <w:t>Accounts</w:t>
      </w:r>
      <w:bookmarkEnd w:id="92"/>
      <w:bookmarkEnd w:id="93"/>
      <w:bookmarkEnd w:id="94"/>
    </w:p>
    <w:p w14:paraId="5DF10D3A" w14:textId="77777777" w:rsidR="005403AF" w:rsidRDefault="005403AF" w:rsidP="006F1659">
      <w:pPr>
        <w:widowControl w:val="0"/>
        <w:spacing w:before="72" w:line="360" w:lineRule="auto"/>
        <w:ind w:right="220"/>
        <w:rPr>
          <w:rFonts w:ascii="Arial" w:eastAsia="Palatino Linotype" w:hAnsi="Arial" w:cs="Arial"/>
          <w:lang w:val="en-US"/>
        </w:rPr>
      </w:pPr>
    </w:p>
    <w:p w14:paraId="6F4E62FE" w14:textId="55678255" w:rsidR="00FD05A1" w:rsidRDefault="00B266FC" w:rsidP="006F1659">
      <w:pPr>
        <w:spacing w:line="360" w:lineRule="auto"/>
        <w:rPr>
          <w:rFonts w:ascii="Arial" w:eastAsia="Palatino Linotype" w:hAnsi="Arial" w:cs="Arial"/>
          <w:b/>
          <w:bCs/>
          <w:szCs w:val="28"/>
          <w:lang w:val="en-US"/>
        </w:rPr>
      </w:pP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Pr="0007572B">
        <w:rPr>
          <w:rFonts w:ascii="Arial" w:eastAsia="Palatino Linotype" w:hAnsi="Arial" w:cs="Arial"/>
          <w:lang w:val="en-US"/>
        </w:rPr>
        <w:t>20</w:t>
      </w:r>
      <w:r w:rsidR="00FF2959" w:rsidRPr="0007572B">
        <w:rPr>
          <w:rFonts w:ascii="Arial" w:eastAsia="Palatino Linotype" w:hAnsi="Arial" w:cs="Arial"/>
          <w:lang w:val="en-US"/>
        </w:rPr>
        <w:t>2</w:t>
      </w:r>
      <w:r w:rsidR="00BA2212">
        <w:rPr>
          <w:rFonts w:ascii="Arial" w:eastAsia="Palatino Linotype" w:hAnsi="Arial" w:cs="Arial"/>
          <w:lang w:val="en-US"/>
        </w:rPr>
        <w:t>2</w:t>
      </w:r>
      <w:r w:rsidR="00414538" w:rsidRPr="0007572B">
        <w:rPr>
          <w:rFonts w:ascii="Arial" w:eastAsia="Palatino Linotype" w:hAnsi="Arial" w:cs="Arial"/>
          <w:lang w:val="en-US"/>
        </w:rPr>
        <w:t>/</w:t>
      </w:r>
      <w:r w:rsidR="00F6328E" w:rsidRPr="0007572B">
        <w:rPr>
          <w:rFonts w:ascii="Arial" w:eastAsia="Palatino Linotype" w:hAnsi="Arial" w:cs="Arial"/>
          <w:lang w:val="en-US"/>
        </w:rPr>
        <w:t>2</w:t>
      </w:r>
      <w:r w:rsidR="00BA2212">
        <w:rPr>
          <w:rFonts w:ascii="Arial" w:eastAsia="Palatino Linotype" w:hAnsi="Arial" w:cs="Arial"/>
          <w:lang w:val="en-US"/>
        </w:rPr>
        <w:t>3</w:t>
      </w:r>
      <w:r w:rsidRPr="0007572B">
        <w:rPr>
          <w:rFonts w:ascii="Arial" w:eastAsia="Palatino Linotype" w:hAnsi="Arial" w:cs="Arial"/>
          <w:spacing w:val="17"/>
          <w:lang w:val="en-US"/>
        </w:rPr>
        <w:t xml:space="preserve"> </w:t>
      </w:r>
      <w:r w:rsidR="00AA3449">
        <w:rPr>
          <w:rFonts w:ascii="Arial" w:eastAsia="Palatino Linotype" w:hAnsi="Arial" w:cs="Arial"/>
          <w:lang w:val="en-US"/>
        </w:rPr>
        <w:t>A</w:t>
      </w:r>
      <w:r w:rsidR="006A156C" w:rsidRPr="006A156C">
        <w:rPr>
          <w:rFonts w:ascii="Arial" w:eastAsia="Palatino Linotype" w:hAnsi="Arial" w:cs="Arial"/>
          <w:lang w:val="en-US"/>
        </w:rPr>
        <w:t>udited</w:t>
      </w:r>
      <w:r w:rsidR="006A156C">
        <w:rPr>
          <w:rFonts w:ascii="Arial" w:eastAsia="Palatino Linotype" w:hAnsi="Arial" w:cs="Arial"/>
          <w:spacing w:val="17"/>
          <w:lang w:val="en-US"/>
        </w:rPr>
        <w:t xml:space="preserve"> </w:t>
      </w:r>
      <w:r w:rsidRPr="0007572B">
        <w:rPr>
          <w:rFonts w:ascii="Arial" w:eastAsia="Palatino Linotype" w:hAnsi="Arial" w:cs="Arial"/>
          <w:lang w:val="en-US"/>
        </w:rPr>
        <w:t>Statement</w:t>
      </w:r>
      <w:r w:rsidRPr="0007572B">
        <w:rPr>
          <w:rFonts w:ascii="Arial" w:eastAsia="Palatino Linotype" w:hAnsi="Arial" w:cs="Arial"/>
          <w:spacing w:val="18"/>
          <w:lang w:val="en-US"/>
        </w:rPr>
        <w:t xml:space="preserve"> </w:t>
      </w:r>
      <w:r w:rsidRPr="0007572B">
        <w:rPr>
          <w:rFonts w:ascii="Arial" w:eastAsia="Palatino Linotype" w:hAnsi="Arial" w:cs="Arial"/>
          <w:lang w:val="en-US"/>
        </w:rPr>
        <w:t>of</w:t>
      </w:r>
      <w:r w:rsidRPr="0007572B">
        <w:rPr>
          <w:rFonts w:ascii="Arial" w:eastAsia="Palatino Linotype" w:hAnsi="Arial" w:cs="Arial"/>
          <w:spacing w:val="20"/>
          <w:lang w:val="en-US"/>
        </w:rPr>
        <w:t xml:space="preserve"> </w:t>
      </w:r>
      <w:r w:rsidRPr="0007572B">
        <w:rPr>
          <w:rFonts w:ascii="Arial" w:eastAsia="Palatino Linotype" w:hAnsi="Arial" w:cs="Arial"/>
          <w:lang w:val="en-US"/>
        </w:rPr>
        <w:t>Accounts</w:t>
      </w:r>
      <w:r w:rsidRPr="0007572B">
        <w:rPr>
          <w:rFonts w:ascii="Arial" w:eastAsia="Palatino Linotype" w:hAnsi="Arial" w:cs="Arial"/>
          <w:spacing w:val="17"/>
          <w:lang w:val="en-US"/>
        </w:rPr>
        <w:t xml:space="preserve"> </w:t>
      </w:r>
      <w:r w:rsidRPr="0007572B">
        <w:rPr>
          <w:rFonts w:ascii="Arial" w:eastAsia="Palatino Linotype" w:hAnsi="Arial" w:cs="Arial"/>
          <w:lang w:val="en-US"/>
        </w:rPr>
        <w:t>w</w:t>
      </w:r>
      <w:r w:rsidR="005D6366">
        <w:rPr>
          <w:rFonts w:ascii="Arial" w:eastAsia="Palatino Linotype" w:hAnsi="Arial" w:cs="Arial"/>
          <w:lang w:val="en-US"/>
        </w:rPr>
        <w:t>ere</w:t>
      </w:r>
      <w:r w:rsidRPr="0007572B">
        <w:rPr>
          <w:rFonts w:ascii="Arial" w:eastAsia="Palatino Linotype" w:hAnsi="Arial" w:cs="Arial"/>
          <w:spacing w:val="17"/>
          <w:lang w:val="en-US"/>
        </w:rPr>
        <w:t xml:space="preserve"> </w:t>
      </w:r>
      <w:r w:rsidRPr="0007572B">
        <w:rPr>
          <w:rFonts w:ascii="Arial" w:eastAsia="Palatino Linotype" w:hAnsi="Arial" w:cs="Arial"/>
          <w:lang w:val="en-US"/>
        </w:rPr>
        <w:t>authorised</w:t>
      </w:r>
      <w:r w:rsidRPr="0007572B">
        <w:rPr>
          <w:rFonts w:ascii="Arial" w:eastAsia="Palatino Linotype" w:hAnsi="Arial" w:cs="Arial"/>
          <w:spacing w:val="14"/>
          <w:lang w:val="en-US"/>
        </w:rPr>
        <w:t xml:space="preserve"> </w:t>
      </w:r>
      <w:r w:rsidRPr="0007572B">
        <w:rPr>
          <w:rFonts w:ascii="Arial" w:eastAsia="Palatino Linotype" w:hAnsi="Arial" w:cs="Arial"/>
          <w:lang w:val="en-US"/>
        </w:rPr>
        <w:t>for</w:t>
      </w:r>
      <w:r w:rsidRPr="0007572B">
        <w:rPr>
          <w:rFonts w:ascii="Arial" w:eastAsia="Palatino Linotype" w:hAnsi="Arial" w:cs="Arial"/>
          <w:spacing w:val="17"/>
          <w:lang w:val="en-US"/>
        </w:rPr>
        <w:t xml:space="preserve"> </w:t>
      </w:r>
      <w:r w:rsidRPr="0007572B">
        <w:rPr>
          <w:rFonts w:ascii="Arial" w:eastAsia="Palatino Linotype" w:hAnsi="Arial" w:cs="Arial"/>
          <w:lang w:val="en-US"/>
        </w:rPr>
        <w:t>issue</w:t>
      </w:r>
      <w:r w:rsidRPr="0007572B">
        <w:rPr>
          <w:rFonts w:ascii="Arial" w:eastAsia="Palatino Linotype" w:hAnsi="Arial" w:cs="Arial"/>
          <w:spacing w:val="16"/>
          <w:lang w:val="en-US"/>
        </w:rPr>
        <w:t xml:space="preserve"> </w:t>
      </w:r>
      <w:r w:rsidRPr="0007572B">
        <w:rPr>
          <w:rFonts w:ascii="Arial" w:eastAsia="Palatino Linotype" w:hAnsi="Arial" w:cs="Arial"/>
          <w:lang w:val="en-US"/>
        </w:rPr>
        <w:t>by</w:t>
      </w:r>
      <w:r w:rsidRPr="0007572B">
        <w:rPr>
          <w:rFonts w:ascii="Arial" w:eastAsia="Palatino Linotype" w:hAnsi="Arial" w:cs="Arial"/>
          <w:spacing w:val="14"/>
          <w:lang w:val="en-US"/>
        </w:rPr>
        <w:t xml:space="preserve"> </w:t>
      </w: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Pr="0007572B">
        <w:rPr>
          <w:rFonts w:ascii="Arial" w:eastAsia="Palatino Linotype" w:hAnsi="Arial" w:cs="Arial"/>
          <w:lang w:val="en-US"/>
        </w:rPr>
        <w:t>Treasurer on</w:t>
      </w:r>
      <w:r w:rsidR="00E672DC" w:rsidRPr="0007572B">
        <w:rPr>
          <w:rFonts w:ascii="Arial" w:eastAsia="Palatino Linotype" w:hAnsi="Arial" w:cs="Arial"/>
          <w:lang w:val="en-US"/>
        </w:rPr>
        <w:t xml:space="preserve"> the</w:t>
      </w:r>
      <w:r w:rsidR="00F4401C">
        <w:rPr>
          <w:rFonts w:ascii="Arial" w:eastAsia="Palatino Linotype" w:hAnsi="Arial" w:cs="Arial"/>
          <w:lang w:val="en-US"/>
        </w:rPr>
        <w:t xml:space="preserve"> </w:t>
      </w:r>
      <w:r w:rsidR="00454112">
        <w:rPr>
          <w:rFonts w:ascii="Arial" w:eastAsia="Palatino Linotype" w:hAnsi="Arial" w:cs="Arial"/>
          <w:lang w:val="en-US"/>
        </w:rPr>
        <w:t>02 December 2024</w:t>
      </w:r>
      <w:r w:rsidR="00B13566">
        <w:rPr>
          <w:rFonts w:ascii="Arial" w:eastAsia="Palatino Linotype" w:hAnsi="Arial" w:cs="Arial"/>
          <w:lang w:val="en-US"/>
        </w:rPr>
        <w:t>.</w:t>
      </w:r>
      <w:r w:rsidR="00D2614D">
        <w:rPr>
          <w:rFonts w:ascii="Arial" w:eastAsia="Palatino Linotype" w:hAnsi="Arial" w:cs="Arial"/>
          <w:lang w:val="en-US"/>
        </w:rPr>
        <w:t xml:space="preserve"> </w:t>
      </w:r>
      <w:bookmarkStart w:id="95" w:name="_Toc92894878"/>
      <w:bookmarkStart w:id="96" w:name="_Toc92895182"/>
    </w:p>
    <w:p w14:paraId="7CAFC3F0" w14:textId="54B78B6D" w:rsidR="006A156C" w:rsidRDefault="006A156C" w:rsidP="006F1659">
      <w:pPr>
        <w:spacing w:line="360" w:lineRule="auto"/>
        <w:rPr>
          <w:rFonts w:ascii="Arial" w:eastAsia="Palatino Linotype" w:hAnsi="Arial" w:cs="Arial"/>
          <w:b/>
          <w:bCs/>
          <w:szCs w:val="28"/>
          <w:lang w:val="en-US"/>
        </w:rPr>
      </w:pPr>
      <w:bookmarkStart w:id="97" w:name="_Toc109922616"/>
    </w:p>
    <w:p w14:paraId="4B328ED5" w14:textId="684A125F" w:rsidR="004C7E94" w:rsidRPr="0007572B" w:rsidRDefault="00FC62F7" w:rsidP="006F1659">
      <w:pPr>
        <w:pStyle w:val="Heading3greennumbered"/>
        <w:spacing w:line="360" w:lineRule="auto"/>
      </w:pPr>
      <w:r w:rsidRPr="0007572B">
        <w:t xml:space="preserve">7a </w:t>
      </w:r>
      <w:r w:rsidR="004E11FD" w:rsidRPr="0007572B">
        <w:t>Expenditure and Funding Analysis</w:t>
      </w:r>
      <w:bookmarkEnd w:id="95"/>
      <w:bookmarkEnd w:id="96"/>
      <w:bookmarkEnd w:id="97"/>
    </w:p>
    <w:p w14:paraId="2EE94785" w14:textId="77777777" w:rsidR="005403AF" w:rsidRDefault="005403AF" w:rsidP="006F1659">
      <w:pPr>
        <w:spacing w:line="360" w:lineRule="auto"/>
        <w:rPr>
          <w:rFonts w:ascii="Arial" w:hAnsi="Arial" w:cs="Arial"/>
        </w:rPr>
      </w:pPr>
    </w:p>
    <w:p w14:paraId="726B5EFE" w14:textId="5684145C" w:rsidR="00CB19DF" w:rsidRDefault="004E552A" w:rsidP="006F1659">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the Authority in comparison to those resources consumed or earned by the Authority in accordance with generally accepted accounting practices. It also shows how the expenditure is allocated between </w:t>
      </w:r>
      <w:r w:rsidR="00FB1945">
        <w:rPr>
          <w:rFonts w:ascii="Arial" w:hAnsi="Arial" w:cs="Arial"/>
        </w:rPr>
        <w:t>s</w:t>
      </w:r>
      <w:r w:rsidRPr="0007572B">
        <w:rPr>
          <w:rFonts w:ascii="Arial" w:hAnsi="Arial" w:cs="Arial"/>
        </w:rPr>
        <w:t>ervices. Income and expenditure accounted for under generally accepted accounting practice is presented more fully in the Comprehensive Income and Expenditure Statement.</w:t>
      </w:r>
    </w:p>
    <w:p w14:paraId="240DF174" w14:textId="4C919186" w:rsidR="002E56A4" w:rsidRDefault="002E56A4" w:rsidP="006F1659">
      <w:pPr>
        <w:spacing w:line="360" w:lineRule="auto"/>
        <w:rPr>
          <w:rFonts w:ascii="Arial" w:hAnsi="Arial" w:cs="Arial"/>
        </w:rPr>
      </w:pPr>
    </w:p>
    <w:p w14:paraId="03A1AF80" w14:textId="3F9C0177" w:rsidR="00AC4453" w:rsidRDefault="00970D94" w:rsidP="006F1659">
      <w:pPr>
        <w:spacing w:line="360" w:lineRule="auto"/>
        <w:rPr>
          <w:rFonts w:ascii="Arial" w:hAnsi="Arial" w:cs="Arial"/>
        </w:rPr>
      </w:pPr>
      <w:bookmarkStart w:id="98" w:name="_Toc92894879"/>
      <w:bookmarkStart w:id="99" w:name="_Toc92895183"/>
      <w:r w:rsidRPr="00970D94">
        <w:rPr>
          <w:noProof/>
        </w:rPr>
        <w:lastRenderedPageBreak/>
        <w:drawing>
          <wp:inline distT="0" distB="0" distL="0" distR="0" wp14:anchorId="35363B70" wp14:editId="4A3C6F45">
            <wp:extent cx="5975350" cy="2835910"/>
            <wp:effectExtent l="0" t="0" r="6350" b="2540"/>
            <wp:docPr id="11974715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5350" cy="2835910"/>
                    </a:xfrm>
                    <a:prstGeom prst="rect">
                      <a:avLst/>
                    </a:prstGeom>
                    <a:noFill/>
                    <a:ln>
                      <a:noFill/>
                    </a:ln>
                  </pic:spPr>
                </pic:pic>
              </a:graphicData>
            </a:graphic>
          </wp:inline>
        </w:drawing>
      </w:r>
    </w:p>
    <w:p w14:paraId="611DC1A0" w14:textId="17199578" w:rsidR="00A106AE" w:rsidRPr="00A106AE" w:rsidRDefault="00A106AE" w:rsidP="006F1659">
      <w:pPr>
        <w:spacing w:line="360" w:lineRule="auto"/>
        <w:rPr>
          <w:rFonts w:ascii="Arial" w:hAnsi="Arial" w:cs="Arial"/>
        </w:rPr>
      </w:pPr>
    </w:p>
    <w:p w14:paraId="6BA06E53" w14:textId="610047FB" w:rsidR="00F2757F" w:rsidRPr="0007572B" w:rsidRDefault="00FC62F7" w:rsidP="006F1659">
      <w:pPr>
        <w:pStyle w:val="Heading3greennumbered"/>
        <w:spacing w:line="360" w:lineRule="auto"/>
      </w:pPr>
      <w:bookmarkStart w:id="100" w:name="_Toc109922617"/>
      <w:r w:rsidRPr="0007572B">
        <w:t xml:space="preserve">7b </w:t>
      </w:r>
      <w:r w:rsidR="00F2757F" w:rsidRPr="0007572B">
        <w:t>Note to the Expenditure and Funding Analysi</w:t>
      </w:r>
      <w:bookmarkEnd w:id="98"/>
      <w:bookmarkEnd w:id="99"/>
      <w:bookmarkEnd w:id="100"/>
      <w:r w:rsidR="00724DE4">
        <w:t>s</w:t>
      </w:r>
    </w:p>
    <w:p w14:paraId="14C35EC9" w14:textId="6EB11A84" w:rsidR="002E56A4" w:rsidRDefault="002E56A4" w:rsidP="006F1659">
      <w:pPr>
        <w:keepNext/>
        <w:spacing w:line="360" w:lineRule="auto"/>
        <w:rPr>
          <w:rFonts w:ascii="Arial" w:hAnsi="Arial" w:cs="Arial"/>
          <w:b/>
          <w:sz w:val="22"/>
          <w:szCs w:val="22"/>
        </w:rPr>
      </w:pPr>
    </w:p>
    <w:p w14:paraId="6F3BE45B" w14:textId="7DBB769B" w:rsidR="00AC38C5" w:rsidRDefault="00970D94" w:rsidP="006F1659">
      <w:pPr>
        <w:spacing w:line="360" w:lineRule="auto"/>
        <w:jc w:val="both"/>
        <w:rPr>
          <w:rFonts w:ascii="Arial" w:hAnsi="Arial" w:cs="Arial"/>
          <w:sz w:val="22"/>
          <w:szCs w:val="22"/>
        </w:rPr>
      </w:pPr>
      <w:r w:rsidRPr="00970D94">
        <w:rPr>
          <w:noProof/>
        </w:rPr>
        <w:drawing>
          <wp:inline distT="0" distB="0" distL="0" distR="0" wp14:anchorId="2A09F0D1" wp14:editId="36891EBD">
            <wp:extent cx="5975350" cy="2084705"/>
            <wp:effectExtent l="0" t="0" r="6350" b="0"/>
            <wp:docPr id="16025767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5350" cy="2084705"/>
                    </a:xfrm>
                    <a:prstGeom prst="rect">
                      <a:avLst/>
                    </a:prstGeom>
                    <a:noFill/>
                    <a:ln>
                      <a:noFill/>
                    </a:ln>
                  </pic:spPr>
                </pic:pic>
              </a:graphicData>
            </a:graphic>
          </wp:inline>
        </w:drawing>
      </w:r>
    </w:p>
    <w:p w14:paraId="6403C857" w14:textId="77777777" w:rsidR="002E56A4" w:rsidRDefault="002E56A4" w:rsidP="006F1659">
      <w:pPr>
        <w:spacing w:line="360" w:lineRule="auto"/>
        <w:jc w:val="both"/>
        <w:rPr>
          <w:rFonts w:ascii="Arial" w:hAnsi="Arial" w:cs="Arial"/>
          <w:sz w:val="22"/>
          <w:szCs w:val="22"/>
        </w:rPr>
      </w:pPr>
    </w:p>
    <w:p w14:paraId="40CA62DA" w14:textId="37204113" w:rsidR="004E552A"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a)</w:t>
      </w:r>
      <w:r w:rsidRPr="0007572B">
        <w:rPr>
          <w:rFonts w:ascii="Arial" w:hAnsi="Arial" w:cs="Arial"/>
          <w:sz w:val="24"/>
          <w:szCs w:val="24"/>
        </w:rPr>
        <w:tab/>
      </w:r>
      <w:r w:rsidR="004E552A" w:rsidRPr="0007572B">
        <w:rPr>
          <w:rFonts w:ascii="Arial" w:hAnsi="Arial" w:cs="Arial"/>
          <w:sz w:val="24"/>
          <w:szCs w:val="24"/>
          <w:lang w:val="en-GB"/>
        </w:rPr>
        <w:t>Adjustments for capital purposes – this column adds in depreciation and impairment and revaluation gains and losses in</w:t>
      </w:r>
      <w:r w:rsidR="000C2D30" w:rsidRPr="0007572B">
        <w:rPr>
          <w:rFonts w:ascii="Arial" w:hAnsi="Arial" w:cs="Arial"/>
          <w:sz w:val="24"/>
          <w:szCs w:val="24"/>
          <w:lang w:val="en-GB"/>
        </w:rPr>
        <w:t xml:space="preserve"> the services line, and for:</w:t>
      </w:r>
    </w:p>
    <w:p w14:paraId="2F3F2C73" w14:textId="77777777" w:rsidR="004E552A" w:rsidRPr="0007572B" w:rsidRDefault="004E552A"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Other operating expenditure – adjusts for capital disposals with a transfer of income on disposal of assets and the amounts wr</w:t>
      </w:r>
      <w:r w:rsidR="000C2D30" w:rsidRPr="0007572B">
        <w:rPr>
          <w:rFonts w:ascii="Arial" w:hAnsi="Arial" w:cs="Arial"/>
          <w:sz w:val="24"/>
          <w:szCs w:val="24"/>
          <w:lang w:val="en-GB"/>
        </w:rPr>
        <w:t>itten off for those assets.</w:t>
      </w:r>
    </w:p>
    <w:p w14:paraId="2598F6CB" w14:textId="77777777" w:rsidR="004E552A" w:rsidRPr="0007572B" w:rsidRDefault="004E552A"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Financing and investment income and expenditure – the statutory charges for capital financing i</w:t>
      </w:r>
      <w:r w:rsidR="000C2D30" w:rsidRPr="0007572B">
        <w:rPr>
          <w:rFonts w:ascii="Arial" w:hAnsi="Arial" w:cs="Arial"/>
          <w:sz w:val="24"/>
          <w:szCs w:val="24"/>
          <w:lang w:val="en-GB"/>
        </w:rPr>
        <w:t>.</w:t>
      </w:r>
      <w:r w:rsidRPr="0007572B">
        <w:rPr>
          <w:rFonts w:ascii="Arial" w:hAnsi="Arial" w:cs="Arial"/>
          <w:sz w:val="24"/>
          <w:szCs w:val="24"/>
          <w:lang w:val="en-GB"/>
        </w:rPr>
        <w:t>e</w:t>
      </w:r>
      <w:r w:rsidR="000C2D30" w:rsidRPr="0007572B">
        <w:rPr>
          <w:rFonts w:ascii="Arial" w:hAnsi="Arial" w:cs="Arial"/>
          <w:sz w:val="24"/>
          <w:szCs w:val="24"/>
          <w:lang w:val="en-GB"/>
        </w:rPr>
        <w:t>.</w:t>
      </w:r>
      <w:r w:rsidRPr="0007572B">
        <w:rPr>
          <w:rFonts w:ascii="Arial" w:hAnsi="Arial" w:cs="Arial"/>
          <w:sz w:val="24"/>
          <w:szCs w:val="24"/>
          <w:lang w:val="en-GB"/>
        </w:rPr>
        <w:t xml:space="preserve"> Minimum Revenue Provision and other revenue contributions are deducted from other income and expenditure as these are not chargeable under generally acc</w:t>
      </w:r>
      <w:r w:rsidR="000C2D30" w:rsidRPr="0007572B">
        <w:rPr>
          <w:rFonts w:ascii="Arial" w:hAnsi="Arial" w:cs="Arial"/>
          <w:sz w:val="24"/>
          <w:szCs w:val="24"/>
          <w:lang w:val="en-GB"/>
        </w:rPr>
        <w:t>epted accounting practices.</w:t>
      </w:r>
    </w:p>
    <w:p w14:paraId="78409A5E" w14:textId="39C59360" w:rsidR="00A334F6" w:rsidRPr="0007572B" w:rsidRDefault="004E552A" w:rsidP="006F1659">
      <w:pPr>
        <w:spacing w:line="360" w:lineRule="auto"/>
        <w:ind w:left="1440"/>
        <w:rPr>
          <w:rFonts w:ascii="Arial" w:hAnsi="Arial" w:cs="Arial"/>
        </w:rPr>
      </w:pPr>
      <w:r w:rsidRPr="0007572B">
        <w:rPr>
          <w:rFonts w:ascii="Arial" w:hAnsi="Arial" w:cs="Arial"/>
        </w:rPr>
        <w:lastRenderedPageBreak/>
        <w:t>- Taxation and non-specific grant income and expenditure –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w:t>
      </w:r>
      <w:r w:rsidR="000C364F" w:rsidRPr="0007572B">
        <w:rPr>
          <w:rFonts w:ascii="Arial" w:hAnsi="Arial" w:cs="Arial"/>
        </w:rPr>
        <w:t>-</w:t>
      </w:r>
      <w:r w:rsidRPr="0007572B">
        <w:rPr>
          <w:rFonts w:ascii="Arial" w:hAnsi="Arial" w:cs="Arial"/>
        </w:rPr>
        <w:t>Specific Grant Income and Expenditure line is credited with capital grants receivable in the year without conditions or for which conditions were satisfied in the year.</w:t>
      </w:r>
    </w:p>
    <w:p w14:paraId="616EF312" w14:textId="77777777" w:rsidR="00A334F6" w:rsidRPr="0007572B" w:rsidRDefault="00A334F6" w:rsidP="006F1659">
      <w:pPr>
        <w:spacing w:line="360" w:lineRule="auto"/>
        <w:ind w:left="720" w:hanging="720"/>
        <w:rPr>
          <w:rFonts w:ascii="Arial" w:hAnsi="Arial" w:cs="Arial"/>
        </w:rPr>
      </w:pPr>
    </w:p>
    <w:p w14:paraId="786FDB2B" w14:textId="77777777" w:rsidR="000C2D30"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b)</w:t>
      </w:r>
      <w:r w:rsidRPr="0007572B">
        <w:rPr>
          <w:rFonts w:ascii="Arial" w:hAnsi="Arial" w:cs="Arial"/>
          <w:sz w:val="24"/>
          <w:szCs w:val="24"/>
        </w:rPr>
        <w:tab/>
      </w:r>
      <w:r w:rsidR="000C2D30" w:rsidRPr="0007572B">
        <w:rPr>
          <w:rFonts w:ascii="Arial" w:hAnsi="Arial" w:cs="Arial"/>
          <w:sz w:val="24"/>
          <w:szCs w:val="24"/>
          <w:lang w:val="en-GB"/>
        </w:rPr>
        <w:t xml:space="preserve">Net Change for the Pensions Adjustments - Net change for the removal of pension contributions and the addition of IAS 19 Employee Benefits pension related expenditure and income: </w:t>
      </w:r>
    </w:p>
    <w:p w14:paraId="7637F475" w14:textId="0C136A1B" w:rsidR="000C2D30" w:rsidRPr="0007572B" w:rsidRDefault="000C2D30"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xml:space="preserve">- For services this represents the removal of the employer pension contributions made by the </w:t>
      </w:r>
      <w:r w:rsidR="000713CE" w:rsidRPr="0007572B">
        <w:rPr>
          <w:rFonts w:ascii="Arial" w:hAnsi="Arial" w:cs="Arial"/>
          <w:sz w:val="24"/>
          <w:szCs w:val="24"/>
          <w:lang w:val="en-GB"/>
        </w:rPr>
        <w:t>A</w:t>
      </w:r>
      <w:r w:rsidRPr="0007572B">
        <w:rPr>
          <w:rFonts w:ascii="Arial" w:hAnsi="Arial" w:cs="Arial"/>
          <w:sz w:val="24"/>
          <w:szCs w:val="24"/>
          <w:lang w:val="en-GB"/>
        </w:rPr>
        <w:t>uthority as allowed by statute and the replacement with current service costs and past service costs.</w:t>
      </w:r>
    </w:p>
    <w:p w14:paraId="5BAA25D0" w14:textId="0BCFA349" w:rsidR="00A334F6" w:rsidRPr="0007572B" w:rsidRDefault="000C2D30" w:rsidP="006F1659">
      <w:pPr>
        <w:spacing w:line="360" w:lineRule="auto"/>
        <w:ind w:left="1440"/>
        <w:rPr>
          <w:rFonts w:ascii="Arial" w:hAnsi="Arial" w:cs="Arial"/>
        </w:rPr>
      </w:pPr>
      <w:r w:rsidRPr="0007572B">
        <w:rPr>
          <w:rFonts w:ascii="Arial" w:hAnsi="Arial" w:cs="Arial"/>
        </w:rPr>
        <w:t>- For Financing and investment income and expenditure – the net interest on the defined benefit liability is charged to the CIES.</w:t>
      </w:r>
      <w:r w:rsidR="00A334F6" w:rsidRPr="0007572B">
        <w:rPr>
          <w:rFonts w:ascii="Arial" w:hAnsi="Arial" w:cs="Arial"/>
        </w:rPr>
        <w:t xml:space="preserve"> </w:t>
      </w:r>
    </w:p>
    <w:p w14:paraId="37B7D201" w14:textId="77777777" w:rsidR="00B4518D" w:rsidRPr="0007572B" w:rsidRDefault="00B4518D" w:rsidP="006F1659">
      <w:pPr>
        <w:spacing w:line="360" w:lineRule="auto"/>
        <w:ind w:left="1440"/>
        <w:rPr>
          <w:rFonts w:ascii="Arial" w:hAnsi="Arial" w:cs="Arial"/>
        </w:rPr>
      </w:pPr>
    </w:p>
    <w:p w14:paraId="343319EB" w14:textId="77777777" w:rsidR="000C2D30"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c)</w:t>
      </w:r>
      <w:r w:rsidRPr="0007572B">
        <w:rPr>
          <w:rFonts w:ascii="Arial" w:hAnsi="Arial" w:cs="Arial"/>
          <w:sz w:val="24"/>
          <w:szCs w:val="24"/>
        </w:rPr>
        <w:tab/>
      </w:r>
      <w:r w:rsidR="000C2D30" w:rsidRPr="0007572B">
        <w:rPr>
          <w:rFonts w:ascii="Arial" w:hAnsi="Arial" w:cs="Arial"/>
          <w:sz w:val="24"/>
          <w:szCs w:val="24"/>
          <w:lang w:val="en-GB"/>
        </w:rPr>
        <w:t>Other Differences - Other differences between amounts debited/credited to the Comprehensive Income and Expenditure Statement and amounts payable/receivable to be recognised under statute:</w:t>
      </w:r>
    </w:p>
    <w:p w14:paraId="27761A60" w14:textId="77777777" w:rsidR="000C2D30" w:rsidRPr="0007572B" w:rsidRDefault="000C2D30"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For Financing and investment income and expenditure the other differences column recognises adjustments to the General Fund for the timing differences for premiums and discounts.</w:t>
      </w:r>
    </w:p>
    <w:p w14:paraId="78DE8BB8" w14:textId="77777777" w:rsidR="00A334F6" w:rsidRPr="0007572B" w:rsidRDefault="000C2D30" w:rsidP="006F1659">
      <w:pPr>
        <w:spacing w:line="360" w:lineRule="auto"/>
        <w:ind w:left="1440"/>
        <w:rPr>
          <w:rFonts w:ascii="Arial" w:hAnsi="Arial" w:cs="Arial"/>
        </w:rPr>
      </w:pPr>
      <w:r w:rsidRPr="0007572B">
        <w:rPr>
          <w:rFonts w:ascii="Arial" w:hAnsi="Arial" w:cs="Arial"/>
        </w:rPr>
        <w:t>- The charge under Taxation and non-specific grant income and expenditure represents the difference between what is chargeable under statutory regulations for council tax and NDR that was projected to be received at the start of the year and the income recognised under generally accepted accounting practices in the Code. This is a timing difference as any difference will be brought forward in future Surpluses or Deficits on the Collection Fund.</w:t>
      </w:r>
    </w:p>
    <w:p w14:paraId="0CA3108D" w14:textId="77777777" w:rsidR="000C2D30" w:rsidRPr="0007572B" w:rsidRDefault="000C2D30" w:rsidP="006F1659">
      <w:pPr>
        <w:spacing w:line="360" w:lineRule="auto"/>
        <w:ind w:left="720" w:hanging="720"/>
        <w:jc w:val="both"/>
        <w:rPr>
          <w:rFonts w:ascii="Arial" w:hAnsi="Arial" w:cs="Arial"/>
        </w:rPr>
      </w:pPr>
    </w:p>
    <w:p w14:paraId="17AA1BAC" w14:textId="60108B2A" w:rsidR="00027BE1" w:rsidRPr="0007572B" w:rsidRDefault="00027BE1" w:rsidP="006F1659">
      <w:pPr>
        <w:pStyle w:val="Normal0"/>
        <w:spacing w:after="160" w:line="360" w:lineRule="auto"/>
        <w:ind w:left="720" w:hanging="720"/>
        <w:jc w:val="both"/>
        <w:rPr>
          <w:rFonts w:ascii="Arial" w:hAnsi="Arial" w:cs="Arial"/>
          <w:b/>
          <w:sz w:val="22"/>
          <w:szCs w:val="22"/>
        </w:rPr>
      </w:pPr>
    </w:p>
    <w:p w14:paraId="73F45B51" w14:textId="77777777" w:rsidR="00027BE1" w:rsidRPr="0007572B" w:rsidRDefault="00027BE1" w:rsidP="006F1659">
      <w:pPr>
        <w:spacing w:line="360" w:lineRule="auto"/>
        <w:rPr>
          <w:rFonts w:ascii="Arial" w:hAnsi="Arial" w:cs="Arial"/>
          <w:b/>
          <w:sz w:val="22"/>
          <w:szCs w:val="22"/>
        </w:rPr>
        <w:sectPr w:rsidR="00027BE1" w:rsidRPr="0007572B" w:rsidSect="004833A2">
          <w:pgSz w:w="11906" w:h="16838"/>
          <w:pgMar w:top="1444" w:right="1416" w:bottom="1440" w:left="1080" w:header="568" w:footer="567" w:gutter="0"/>
          <w:cols w:space="708"/>
          <w:docGrid w:linePitch="360"/>
        </w:sectPr>
      </w:pPr>
    </w:p>
    <w:p w14:paraId="016CCB50" w14:textId="60048D73" w:rsidR="004E11FD" w:rsidRPr="0007572B" w:rsidRDefault="00FC62F7" w:rsidP="006F1659">
      <w:pPr>
        <w:pStyle w:val="Heading3greennumbered"/>
        <w:spacing w:line="360" w:lineRule="auto"/>
      </w:pPr>
      <w:bookmarkStart w:id="101" w:name="_Toc92894880"/>
      <w:bookmarkStart w:id="102" w:name="_Toc92895184"/>
      <w:bookmarkStart w:id="103" w:name="_Toc109922618"/>
      <w:r w:rsidRPr="0007572B">
        <w:lastRenderedPageBreak/>
        <w:t xml:space="preserve">8 </w:t>
      </w:r>
      <w:r w:rsidR="00F2757F" w:rsidRPr="0007572B">
        <w:t xml:space="preserve">Adjustments </w:t>
      </w:r>
      <w:r w:rsidR="00D35A13" w:rsidRPr="0007572B">
        <w:t>between</w:t>
      </w:r>
      <w:r w:rsidR="00F2757F" w:rsidRPr="0007572B">
        <w:t xml:space="preserve"> </w:t>
      </w:r>
      <w:r w:rsidR="0063513E" w:rsidRPr="0007572B">
        <w:t>A</w:t>
      </w:r>
      <w:r w:rsidR="00F2757F" w:rsidRPr="0007572B">
        <w:t xml:space="preserve">ccounting </w:t>
      </w:r>
      <w:r w:rsidR="0063513E" w:rsidRPr="0007572B">
        <w:t>B</w:t>
      </w:r>
      <w:r w:rsidR="00F2757F" w:rsidRPr="0007572B">
        <w:t xml:space="preserve">asis and </w:t>
      </w:r>
      <w:r w:rsidR="0063513E" w:rsidRPr="0007572B">
        <w:t>F</w:t>
      </w:r>
      <w:r w:rsidR="00F2757F" w:rsidRPr="0007572B">
        <w:t xml:space="preserve">unding </w:t>
      </w:r>
      <w:r w:rsidR="0063513E" w:rsidRPr="0007572B">
        <w:t>B</w:t>
      </w:r>
      <w:r w:rsidR="00F2757F" w:rsidRPr="0007572B">
        <w:t xml:space="preserve">asis under </w:t>
      </w:r>
      <w:r w:rsidR="0063513E" w:rsidRPr="0007572B">
        <w:t>R</w:t>
      </w:r>
      <w:r w:rsidR="00F2757F" w:rsidRPr="0007572B">
        <w:t>egulations</w:t>
      </w:r>
      <w:bookmarkEnd w:id="101"/>
      <w:bookmarkEnd w:id="102"/>
      <w:bookmarkEnd w:id="103"/>
    </w:p>
    <w:p w14:paraId="5BB23207" w14:textId="77777777" w:rsidR="005403AF" w:rsidRDefault="005403AF" w:rsidP="006F1659">
      <w:pPr>
        <w:pStyle w:val="Normal0"/>
        <w:spacing w:line="360" w:lineRule="auto"/>
        <w:rPr>
          <w:rFonts w:ascii="Arial" w:eastAsia="Verdana" w:hAnsi="Arial" w:cs="Arial"/>
          <w:sz w:val="24"/>
          <w:szCs w:val="24"/>
          <w:lang w:val="en-GB"/>
        </w:rPr>
      </w:pPr>
    </w:p>
    <w:p w14:paraId="04136F35" w14:textId="46699627"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This note details the adjustments that are made to the total comprehensive income and expenditure recognised by the Authority in the year in accordance with proper accounting practice to arrive at the resources that are specified by statutory provisions as being available to the Authority to meet future capital and revenue expenditure. The following sets out a description of the reserves that the adjustments are made against. </w:t>
      </w:r>
    </w:p>
    <w:p w14:paraId="789DE9B7" w14:textId="77777777" w:rsidR="000C2D30" w:rsidRPr="0007572B" w:rsidRDefault="000C2D30" w:rsidP="006F1659">
      <w:pPr>
        <w:pStyle w:val="Heading4bold"/>
        <w:spacing w:line="360" w:lineRule="auto"/>
        <w:rPr>
          <w:rFonts w:eastAsia="Verdana"/>
        </w:rPr>
      </w:pPr>
      <w:r w:rsidRPr="0007572B">
        <w:rPr>
          <w:rFonts w:eastAsia="Verdana"/>
        </w:rPr>
        <w:t>General Fund Balance</w:t>
      </w:r>
    </w:p>
    <w:p w14:paraId="5D1C0ACA" w14:textId="431BE0F8"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The General Fund is the statutory fund into which all the receipts of an Authority are required to </w:t>
      </w:r>
      <w:r w:rsidR="00FB1945">
        <w:rPr>
          <w:rFonts w:ascii="Arial" w:eastAsia="Verdana" w:hAnsi="Arial" w:cs="Arial"/>
          <w:sz w:val="24"/>
          <w:szCs w:val="24"/>
          <w:lang w:val="en-GB"/>
        </w:rPr>
        <w:t xml:space="preserve">be </w:t>
      </w:r>
      <w:r w:rsidRPr="0007572B">
        <w:rPr>
          <w:rFonts w:ascii="Arial" w:eastAsia="Verdana" w:hAnsi="Arial" w:cs="Arial"/>
          <w:sz w:val="24"/>
          <w:szCs w:val="24"/>
          <w:lang w:val="en-GB"/>
        </w:rPr>
        <w:t>paid and out of which all liabilities of the Authority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its services or on capital investment (or the deficit of resources that the Authority is required to recover) at the end of the financial year.</w:t>
      </w:r>
    </w:p>
    <w:p w14:paraId="17D6C439" w14:textId="77777777" w:rsidR="000C2D30" w:rsidRPr="0007572B" w:rsidRDefault="000C2D30" w:rsidP="006F1659">
      <w:pPr>
        <w:pStyle w:val="Heading4bold"/>
        <w:spacing w:line="360" w:lineRule="auto"/>
        <w:rPr>
          <w:rFonts w:eastAsia="Verdana"/>
        </w:rPr>
      </w:pPr>
      <w:r w:rsidRPr="0007572B">
        <w:rPr>
          <w:rFonts w:eastAsia="Verdana"/>
        </w:rPr>
        <w:t>Capital Receipts Reserve</w:t>
      </w:r>
    </w:p>
    <w:p w14:paraId="25327435" w14:textId="77777777"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year-end.</w:t>
      </w:r>
    </w:p>
    <w:p w14:paraId="1BA0E342" w14:textId="77777777" w:rsidR="000C2D30" w:rsidRPr="0007572B" w:rsidRDefault="000C2D30" w:rsidP="006F1659">
      <w:pPr>
        <w:pStyle w:val="Heading4bold"/>
        <w:spacing w:line="360" w:lineRule="auto"/>
        <w:rPr>
          <w:rFonts w:eastAsia="Verdana"/>
        </w:rPr>
      </w:pPr>
      <w:r w:rsidRPr="0007572B">
        <w:rPr>
          <w:rFonts w:eastAsia="Verdana"/>
        </w:rPr>
        <w:lastRenderedPageBreak/>
        <w:t>Capital Grants Unapplied</w:t>
      </w:r>
    </w:p>
    <w:p w14:paraId="6889278F" w14:textId="36A9EFB9" w:rsidR="006132E7" w:rsidRDefault="000C2D30" w:rsidP="006F1659">
      <w:pPr>
        <w:spacing w:line="360" w:lineRule="auto"/>
        <w:rPr>
          <w:rFonts w:ascii="Arial" w:eastAsia="Verdana" w:hAnsi="Arial" w:cs="Arial"/>
        </w:rPr>
      </w:pPr>
      <w:r w:rsidRPr="0007572B">
        <w:rPr>
          <w:rFonts w:ascii="Arial" w:eastAsia="Verdana" w:hAnsi="Arial" w:cs="Arial"/>
        </w:rPr>
        <w:t xml:space="preserve">The Capital Grants Unapplied Account (Reserve) holds the grants and contributions received towards capital projects for which the Authority has met the conditions that would otherwise require repayment of the </w:t>
      </w:r>
      <w:r w:rsidR="00265D05" w:rsidRPr="0007572B">
        <w:rPr>
          <w:rFonts w:ascii="Arial" w:eastAsia="Verdana" w:hAnsi="Arial" w:cs="Arial"/>
        </w:rPr>
        <w:t>monies,</w:t>
      </w:r>
      <w:r w:rsidRPr="0007572B">
        <w:rPr>
          <w:rFonts w:ascii="Arial" w:eastAsia="Verdana" w:hAnsi="Arial" w:cs="Arial"/>
        </w:rPr>
        <w:t xml:space="preserve"> but which have yet to be applied to meet expenditure. The balance is restricted by grant terms as to the capital expenditure against which it can be applied and/or the financial year in which this can take place.</w:t>
      </w:r>
    </w:p>
    <w:p w14:paraId="41D18494" w14:textId="06348974" w:rsidR="008F7B59" w:rsidRDefault="00970D94" w:rsidP="006F1659">
      <w:pPr>
        <w:spacing w:line="360" w:lineRule="auto"/>
        <w:jc w:val="both"/>
        <w:rPr>
          <w:noProof/>
        </w:rPr>
      </w:pPr>
      <w:r w:rsidRPr="00970D94">
        <w:rPr>
          <w:noProof/>
        </w:rPr>
        <w:drawing>
          <wp:inline distT="0" distB="0" distL="0" distR="0" wp14:anchorId="7D46C84B" wp14:editId="5718EA55">
            <wp:extent cx="8860790" cy="3319780"/>
            <wp:effectExtent l="0" t="0" r="0" b="0"/>
            <wp:docPr id="1249023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0790" cy="3319780"/>
                    </a:xfrm>
                    <a:prstGeom prst="rect">
                      <a:avLst/>
                    </a:prstGeom>
                    <a:noFill/>
                    <a:ln>
                      <a:noFill/>
                    </a:ln>
                  </pic:spPr>
                </pic:pic>
              </a:graphicData>
            </a:graphic>
          </wp:inline>
        </w:drawing>
      </w:r>
    </w:p>
    <w:p w14:paraId="0437DFD3" w14:textId="77777777" w:rsidR="008F7B59" w:rsidRDefault="008F7B59" w:rsidP="006F1659">
      <w:pPr>
        <w:spacing w:line="360" w:lineRule="auto"/>
        <w:jc w:val="both"/>
        <w:rPr>
          <w:noProof/>
        </w:rPr>
      </w:pPr>
    </w:p>
    <w:p w14:paraId="01510836" w14:textId="77777777" w:rsidR="008F7B59" w:rsidRDefault="008F7B59" w:rsidP="006F1659">
      <w:pPr>
        <w:spacing w:line="360" w:lineRule="auto"/>
        <w:jc w:val="both"/>
        <w:rPr>
          <w:noProof/>
        </w:rPr>
      </w:pPr>
    </w:p>
    <w:p w14:paraId="5D585998" w14:textId="77777777" w:rsidR="008F7B59" w:rsidRDefault="008F7B59" w:rsidP="006F1659">
      <w:pPr>
        <w:spacing w:line="360" w:lineRule="auto"/>
        <w:jc w:val="both"/>
        <w:rPr>
          <w:noProof/>
        </w:rPr>
      </w:pPr>
    </w:p>
    <w:p w14:paraId="239DE86C" w14:textId="1CB4C0E2" w:rsidR="008F7B59" w:rsidRPr="0007572B" w:rsidRDefault="008F7B59" w:rsidP="006F1659">
      <w:pPr>
        <w:spacing w:line="360" w:lineRule="auto"/>
        <w:jc w:val="both"/>
        <w:rPr>
          <w:rFonts w:ascii="Arial" w:hAnsi="Arial" w:cs="Arial"/>
          <w:sz w:val="22"/>
          <w:szCs w:val="22"/>
        </w:rPr>
        <w:sectPr w:rsidR="008F7B59" w:rsidRPr="0007572B" w:rsidSect="004833A2">
          <w:pgSz w:w="16838" w:h="11906" w:orient="landscape"/>
          <w:pgMar w:top="1080" w:right="1444" w:bottom="1416" w:left="1440" w:header="568" w:footer="567" w:gutter="0"/>
          <w:cols w:space="708"/>
          <w:docGrid w:linePitch="360"/>
        </w:sectPr>
      </w:pPr>
    </w:p>
    <w:p w14:paraId="2F5115E0" w14:textId="519C9467" w:rsidR="00F2757F" w:rsidRPr="0007572B" w:rsidRDefault="00FC62F7" w:rsidP="006F1659">
      <w:pPr>
        <w:pStyle w:val="Heading3greennumbered"/>
        <w:spacing w:line="360" w:lineRule="auto"/>
      </w:pPr>
      <w:bookmarkStart w:id="104" w:name="_Toc92894881"/>
      <w:bookmarkStart w:id="105" w:name="_Toc92895185"/>
      <w:bookmarkStart w:id="106" w:name="_Toc109922619"/>
      <w:bookmarkStart w:id="107" w:name="_Hlk109206725"/>
      <w:r w:rsidRPr="0007572B">
        <w:lastRenderedPageBreak/>
        <w:t xml:space="preserve">9 </w:t>
      </w:r>
      <w:r w:rsidR="008A21C8" w:rsidRPr="0007572B">
        <w:t>Transfers to/from</w:t>
      </w:r>
      <w:r w:rsidR="00F2757F" w:rsidRPr="0007572B">
        <w:t xml:space="preserve"> Reserves</w:t>
      </w:r>
      <w:bookmarkEnd w:id="104"/>
      <w:bookmarkEnd w:id="105"/>
      <w:bookmarkEnd w:id="106"/>
    </w:p>
    <w:p w14:paraId="3F805926" w14:textId="48D98EBE" w:rsidR="00EE467D" w:rsidRPr="00EE467D" w:rsidRDefault="00AF1740" w:rsidP="006F1659">
      <w:pPr>
        <w:spacing w:line="360" w:lineRule="auto"/>
        <w:rPr>
          <w:rFonts w:ascii="Arial" w:hAnsi="Arial" w:cs="Arial"/>
        </w:rPr>
      </w:pPr>
      <w:r w:rsidRPr="0007572B">
        <w:rPr>
          <w:rFonts w:ascii="Arial" w:hAnsi="Arial" w:cs="Arial"/>
        </w:rPr>
        <w:t>T</w:t>
      </w:r>
      <w:r w:rsidR="0060751C" w:rsidRPr="0007572B">
        <w:rPr>
          <w:rFonts w:ascii="Arial" w:hAnsi="Arial" w:cs="Arial"/>
        </w:rPr>
        <w:t>his note sets out the amounts set aside from the General Fund in reserves to provide financing for future expenditure plans and the amounts posted back from earmarked reserves to meet General Fund expenditure.</w:t>
      </w:r>
    </w:p>
    <w:p w14:paraId="1AEC6A99" w14:textId="503C7C83" w:rsidR="00EC1F39" w:rsidRDefault="00970D94" w:rsidP="006F1659">
      <w:pPr>
        <w:spacing w:line="360" w:lineRule="auto"/>
        <w:rPr>
          <w:rFonts w:ascii="Arial" w:hAnsi="Arial" w:cs="Arial"/>
          <w:sz w:val="20"/>
          <w:szCs w:val="20"/>
        </w:rPr>
      </w:pPr>
      <w:r w:rsidRPr="00970D94">
        <w:rPr>
          <w:noProof/>
        </w:rPr>
        <w:drawing>
          <wp:inline distT="0" distB="0" distL="0" distR="0" wp14:anchorId="5C784EB3" wp14:editId="77CEE687">
            <wp:extent cx="5360834" cy="7620000"/>
            <wp:effectExtent l="0" t="0" r="0" b="0"/>
            <wp:docPr id="1485792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3932" cy="7624403"/>
                    </a:xfrm>
                    <a:prstGeom prst="rect">
                      <a:avLst/>
                    </a:prstGeom>
                    <a:noFill/>
                    <a:ln>
                      <a:noFill/>
                    </a:ln>
                  </pic:spPr>
                </pic:pic>
              </a:graphicData>
            </a:graphic>
          </wp:inline>
        </w:drawing>
      </w:r>
    </w:p>
    <w:p w14:paraId="0451ED6D" w14:textId="2889CA0F" w:rsidR="00EC1F39" w:rsidRDefault="00EC1F39" w:rsidP="006F1659">
      <w:pPr>
        <w:spacing w:line="360" w:lineRule="auto"/>
      </w:pPr>
    </w:p>
    <w:p w14:paraId="47B2622C" w14:textId="68EDFA47" w:rsidR="00BE494D" w:rsidRDefault="00F272DC" w:rsidP="006F1659">
      <w:pPr>
        <w:spacing w:line="360" w:lineRule="auto"/>
      </w:pPr>
      <w:r w:rsidRPr="00F272DC">
        <w:rPr>
          <w:noProof/>
        </w:rPr>
        <w:drawing>
          <wp:inline distT="0" distB="0" distL="0" distR="0" wp14:anchorId="6EB792FB" wp14:editId="10174CE7">
            <wp:extent cx="5441950" cy="5556250"/>
            <wp:effectExtent l="0" t="0" r="6350" b="6350"/>
            <wp:docPr id="793413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1950" cy="5556250"/>
                    </a:xfrm>
                    <a:prstGeom prst="rect">
                      <a:avLst/>
                    </a:prstGeom>
                    <a:noFill/>
                    <a:ln>
                      <a:noFill/>
                    </a:ln>
                  </pic:spPr>
                </pic:pic>
              </a:graphicData>
            </a:graphic>
          </wp:inline>
        </w:drawing>
      </w:r>
    </w:p>
    <w:p w14:paraId="0C0681F4" w14:textId="77777777" w:rsidR="00BE494D" w:rsidRDefault="00BE494D" w:rsidP="006F1659">
      <w:pPr>
        <w:spacing w:line="360" w:lineRule="auto"/>
      </w:pPr>
    </w:p>
    <w:p w14:paraId="39E4AD05" w14:textId="77777777" w:rsidR="00BE494D" w:rsidRDefault="00BE494D" w:rsidP="006F1659">
      <w:pPr>
        <w:spacing w:line="360" w:lineRule="auto"/>
      </w:pPr>
    </w:p>
    <w:p w14:paraId="4C9387DA" w14:textId="2655DD0D" w:rsidR="00F2757F" w:rsidRPr="0007572B" w:rsidRDefault="0003456C" w:rsidP="006F1659">
      <w:pPr>
        <w:pStyle w:val="Heading3greennumbered"/>
        <w:spacing w:line="360" w:lineRule="auto"/>
      </w:pPr>
      <w:bookmarkStart w:id="108" w:name="_Toc92894882"/>
      <w:bookmarkStart w:id="109" w:name="_Toc92895186"/>
      <w:bookmarkStart w:id="110" w:name="_Toc109922620"/>
      <w:r w:rsidRPr="0007572B">
        <w:t>10</w:t>
      </w:r>
      <w:r w:rsidR="00FC62F7" w:rsidRPr="0007572B">
        <w:t xml:space="preserve"> </w:t>
      </w:r>
      <w:r w:rsidR="00F2757F" w:rsidRPr="0007572B">
        <w:t xml:space="preserve">Purpose of Earmarked </w:t>
      </w:r>
      <w:r w:rsidR="00F2757F" w:rsidRPr="00C76D66">
        <w:t>Reserves</w:t>
      </w:r>
      <w:bookmarkEnd w:id="108"/>
      <w:bookmarkEnd w:id="109"/>
      <w:bookmarkEnd w:id="110"/>
    </w:p>
    <w:p w14:paraId="0B396988" w14:textId="77777777" w:rsidR="005403AF" w:rsidRDefault="005403AF" w:rsidP="006F1659">
      <w:pPr>
        <w:spacing w:line="360" w:lineRule="auto"/>
        <w:rPr>
          <w:rFonts w:ascii="Arial" w:hAnsi="Arial" w:cs="Arial"/>
        </w:rPr>
      </w:pPr>
    </w:p>
    <w:p w14:paraId="018D4729" w14:textId="45D5CE35" w:rsidR="006C7BDA" w:rsidRDefault="006C7BDA" w:rsidP="006F1659">
      <w:pPr>
        <w:spacing w:line="360" w:lineRule="auto"/>
        <w:rPr>
          <w:rFonts w:ascii="Arial" w:hAnsi="Arial" w:cs="Arial"/>
        </w:rPr>
      </w:pPr>
      <w:r w:rsidRPr="0007572B">
        <w:rPr>
          <w:rFonts w:ascii="Arial" w:hAnsi="Arial" w:cs="Arial"/>
        </w:rPr>
        <w:t>The purpose and operation of the reserves are as follows</w:t>
      </w:r>
      <w:r w:rsidR="00160785">
        <w:rPr>
          <w:rFonts w:ascii="Arial" w:hAnsi="Arial" w:cs="Arial"/>
        </w:rPr>
        <w:t>:</w:t>
      </w:r>
    </w:p>
    <w:p w14:paraId="23A1D714" w14:textId="12C4D683" w:rsidR="00994C6B" w:rsidRDefault="00994C6B" w:rsidP="006F1659">
      <w:pPr>
        <w:spacing w:line="360" w:lineRule="auto"/>
        <w:rPr>
          <w:rFonts w:ascii="Arial" w:hAnsi="Arial" w:cs="Arial"/>
        </w:rPr>
      </w:pPr>
    </w:p>
    <w:tbl>
      <w:tblPr>
        <w:tblStyle w:val="TableGrid"/>
        <w:tblW w:w="9016" w:type="dxa"/>
        <w:tblInd w:w="-5" w:type="dxa"/>
        <w:tblLook w:val="04A0" w:firstRow="1" w:lastRow="0" w:firstColumn="1" w:lastColumn="0" w:noHBand="0" w:noVBand="1"/>
      </w:tblPr>
      <w:tblGrid>
        <w:gridCol w:w="2694"/>
        <w:gridCol w:w="6322"/>
      </w:tblGrid>
      <w:tr w:rsidR="008664B6" w:rsidRPr="00B717FA" w14:paraId="34413182" w14:textId="77777777" w:rsidTr="008664B6">
        <w:tc>
          <w:tcPr>
            <w:tcW w:w="9016" w:type="dxa"/>
            <w:gridSpan w:val="2"/>
          </w:tcPr>
          <w:bookmarkEnd w:id="107"/>
          <w:p w14:paraId="0DE20E09" w14:textId="77777777" w:rsidR="008664B6" w:rsidRPr="00B717FA" w:rsidRDefault="008664B6" w:rsidP="006F1659">
            <w:pPr>
              <w:spacing w:line="360" w:lineRule="auto"/>
              <w:rPr>
                <w:rFonts w:ascii="Arial" w:hAnsi="Arial" w:cs="Arial"/>
                <w:b/>
                <w:bCs/>
              </w:rPr>
            </w:pPr>
            <w:r w:rsidRPr="00B717FA">
              <w:rPr>
                <w:rFonts w:ascii="Arial" w:hAnsi="Arial" w:cs="Arial"/>
                <w:b/>
                <w:bCs/>
              </w:rPr>
              <w:t xml:space="preserve">Economic Development and Regeneration </w:t>
            </w:r>
            <w:r>
              <w:rPr>
                <w:rFonts w:ascii="Arial" w:hAnsi="Arial" w:cs="Arial"/>
                <w:b/>
                <w:bCs/>
              </w:rPr>
              <w:t>Reserves</w:t>
            </w:r>
          </w:p>
        </w:tc>
      </w:tr>
      <w:tr w:rsidR="008664B6" w:rsidRPr="00CE36C3" w14:paraId="5FBED946" w14:textId="77777777" w:rsidTr="008664B6">
        <w:tc>
          <w:tcPr>
            <w:tcW w:w="2694" w:type="dxa"/>
          </w:tcPr>
          <w:p w14:paraId="44151195"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Earnback Revenue Reserve </w:t>
            </w:r>
          </w:p>
        </w:tc>
        <w:tc>
          <w:tcPr>
            <w:tcW w:w="6322" w:type="dxa"/>
          </w:tcPr>
          <w:p w14:paraId="7750544C" w14:textId="28A8B7B8"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Funding from the devolution deal to be used for infrastructure investment.</w:t>
            </w:r>
          </w:p>
        </w:tc>
      </w:tr>
      <w:tr w:rsidR="008664B6" w:rsidRPr="00CE36C3" w14:paraId="18E3E538" w14:textId="77777777" w:rsidTr="008664B6">
        <w:tc>
          <w:tcPr>
            <w:tcW w:w="2694" w:type="dxa"/>
          </w:tcPr>
          <w:p w14:paraId="37A24166"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lang w:eastAsia="en-GB"/>
              </w:rPr>
              <w:lastRenderedPageBreak/>
              <w:t>Life Chances Reserve</w:t>
            </w:r>
          </w:p>
        </w:tc>
        <w:tc>
          <w:tcPr>
            <w:tcW w:w="6322" w:type="dxa"/>
          </w:tcPr>
          <w:p w14:paraId="66B3C044" w14:textId="6B9CD02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Funding to help people in society who face the most significant barriers to leading happy and productive lives. It will provide top-up contributions to outcomes-based contracts involving social investment e.g. SIB's.</w:t>
            </w:r>
          </w:p>
        </w:tc>
      </w:tr>
      <w:tr w:rsidR="008664B6" w:rsidRPr="00CE36C3" w14:paraId="538D5093" w14:textId="77777777" w:rsidTr="008664B6">
        <w:trPr>
          <w:trHeight w:val="200"/>
        </w:trPr>
        <w:tc>
          <w:tcPr>
            <w:tcW w:w="2694" w:type="dxa"/>
            <w:hideMark/>
          </w:tcPr>
          <w:p w14:paraId="79DD5A2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GM Clean Air Plan Reserve</w:t>
            </w:r>
          </w:p>
        </w:tc>
        <w:tc>
          <w:tcPr>
            <w:tcW w:w="6322" w:type="dxa"/>
          </w:tcPr>
          <w:p w14:paraId="3BD77416"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the work to improve air quality across GM and to develop a local plan to ensure the UK achieves compliance with legal limits for nitrogen dioxide in the shortest possible time.</w:t>
            </w:r>
          </w:p>
        </w:tc>
      </w:tr>
      <w:tr w:rsidR="008664B6" w:rsidRPr="00CE36C3" w14:paraId="59014715" w14:textId="77777777" w:rsidTr="008664B6">
        <w:trPr>
          <w:trHeight w:val="200"/>
        </w:trPr>
        <w:tc>
          <w:tcPr>
            <w:tcW w:w="2694" w:type="dxa"/>
          </w:tcPr>
          <w:p w14:paraId="6F58F669"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Capability Fund </w:t>
            </w:r>
          </w:p>
        </w:tc>
        <w:tc>
          <w:tcPr>
            <w:tcW w:w="6322" w:type="dxa"/>
          </w:tcPr>
          <w:p w14:paraId="42F20046"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Funding to increase the capabilities of Local Authorities to plan active travel infrastructure (walking and cycling), including building more expertise and undertaking more evidence- based planning. </w:t>
            </w:r>
          </w:p>
        </w:tc>
      </w:tr>
      <w:tr w:rsidR="008664B6" w:rsidRPr="00CE36C3" w14:paraId="00DD2C28" w14:textId="77777777" w:rsidTr="008664B6">
        <w:trPr>
          <w:trHeight w:val="200"/>
        </w:trPr>
        <w:tc>
          <w:tcPr>
            <w:tcW w:w="2694" w:type="dxa"/>
            <w:hideMark/>
          </w:tcPr>
          <w:p w14:paraId="2110DFAD"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Growing Places Fund Reserve</w:t>
            </w:r>
          </w:p>
        </w:tc>
        <w:tc>
          <w:tcPr>
            <w:tcW w:w="6322" w:type="dxa"/>
          </w:tcPr>
          <w:p w14:paraId="1F61AAAB"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establish revolving investment funds, promoting a long term locally led solution to local infrastructure constraints.</w:t>
            </w:r>
          </w:p>
        </w:tc>
      </w:tr>
      <w:tr w:rsidR="008664B6" w:rsidRPr="00CE36C3" w14:paraId="6D338815" w14:textId="77777777" w:rsidTr="008664B6">
        <w:trPr>
          <w:trHeight w:val="200"/>
        </w:trPr>
        <w:tc>
          <w:tcPr>
            <w:tcW w:w="2694" w:type="dxa"/>
            <w:hideMark/>
          </w:tcPr>
          <w:p w14:paraId="3FF39954"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GPF-RGF Interest and Arrangement Fees Reserve</w:t>
            </w:r>
          </w:p>
        </w:tc>
        <w:tc>
          <w:tcPr>
            <w:tcW w:w="6322" w:type="dxa"/>
          </w:tcPr>
          <w:p w14:paraId="7F4DF81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Interest earned on income received in advance will be re-invested within the fund as per grant conditions and arrangement fees may be off set against specific costs associated with the making of the loans.</w:t>
            </w:r>
          </w:p>
        </w:tc>
      </w:tr>
      <w:tr w:rsidR="008664B6" w:rsidRPr="00CE36C3" w14:paraId="1405056F" w14:textId="77777777" w:rsidTr="008664B6">
        <w:trPr>
          <w:trHeight w:val="200"/>
        </w:trPr>
        <w:tc>
          <w:tcPr>
            <w:tcW w:w="2694" w:type="dxa"/>
            <w:hideMark/>
          </w:tcPr>
          <w:p w14:paraId="6CF88609"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Churchgate Accommodation Reserve</w:t>
            </w:r>
          </w:p>
        </w:tc>
        <w:tc>
          <w:tcPr>
            <w:tcW w:w="6322" w:type="dxa"/>
          </w:tcPr>
          <w:p w14:paraId="153B0394"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Earmarked funding to manage risk with shared accommodation in the Tootal Building and to develop the repurposing of the building.</w:t>
            </w:r>
          </w:p>
        </w:tc>
      </w:tr>
      <w:tr w:rsidR="008664B6" w:rsidRPr="00CE36C3" w14:paraId="63C7A87F" w14:textId="77777777" w:rsidTr="008664B6">
        <w:trPr>
          <w:trHeight w:val="200"/>
        </w:trPr>
        <w:tc>
          <w:tcPr>
            <w:tcW w:w="2694" w:type="dxa"/>
            <w:hideMark/>
          </w:tcPr>
          <w:p w14:paraId="1FAE1D7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Adult Education Budget Devolution</w:t>
            </w:r>
          </w:p>
        </w:tc>
        <w:tc>
          <w:tcPr>
            <w:tcW w:w="6322" w:type="dxa"/>
          </w:tcPr>
          <w:p w14:paraId="75AC084F" w14:textId="6021DD94"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Funds adult further education (all 19yrs+ provision with the exception of apprenticeships/traineeships), community learning and discretionary learner support.  Supports the local labour market and economic development</w:t>
            </w:r>
            <w:r w:rsidR="00692F29">
              <w:rPr>
                <w:rFonts w:ascii="Arial" w:hAnsi="Arial" w:cs="Arial"/>
                <w:color w:val="000000" w:themeColor="text1"/>
              </w:rPr>
              <w:t>;</w:t>
            </w:r>
            <w:r w:rsidRPr="00CE36C3">
              <w:rPr>
                <w:rFonts w:ascii="Arial" w:hAnsi="Arial" w:cs="Arial"/>
                <w:color w:val="000000" w:themeColor="text1"/>
              </w:rPr>
              <w:t xml:space="preserve"> in particular, it focuses on ensuring that adults have the core skills that they need for progression in learning and work, including guaranteeing a number of statutory entitlements relating to English, Maths and digital skills, as well as first level 2 and 3 qualifications and English for Speakers of Other Languages (ESOL).</w:t>
            </w:r>
          </w:p>
        </w:tc>
      </w:tr>
      <w:tr w:rsidR="008664B6" w:rsidRPr="00CE36C3" w14:paraId="287BC1A3" w14:textId="77777777" w:rsidTr="008664B6">
        <w:trPr>
          <w:trHeight w:val="200"/>
        </w:trPr>
        <w:tc>
          <w:tcPr>
            <w:tcW w:w="2694" w:type="dxa"/>
            <w:hideMark/>
          </w:tcPr>
          <w:p w14:paraId="7D97FC41"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lastRenderedPageBreak/>
              <w:t>Capital Programme Reserve</w:t>
            </w:r>
          </w:p>
        </w:tc>
        <w:tc>
          <w:tcPr>
            <w:tcW w:w="6322" w:type="dxa"/>
          </w:tcPr>
          <w:p w14:paraId="4AB54DF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Surpluses of capital financing costs which have been set aside to fund future capital programme related expenditure.</w:t>
            </w:r>
          </w:p>
        </w:tc>
      </w:tr>
      <w:tr w:rsidR="008664B6" w:rsidRPr="00CE36C3" w14:paraId="3CCF8F07" w14:textId="77777777" w:rsidTr="008664B6">
        <w:trPr>
          <w:trHeight w:val="1065"/>
        </w:trPr>
        <w:tc>
          <w:tcPr>
            <w:tcW w:w="2694" w:type="dxa"/>
            <w:hideMark/>
          </w:tcPr>
          <w:p w14:paraId="2EC04EB3"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Business rates Growth Pilot &amp; Levy</w:t>
            </w:r>
          </w:p>
        </w:tc>
        <w:tc>
          <w:tcPr>
            <w:tcW w:w="6322" w:type="dxa"/>
          </w:tcPr>
          <w:p w14:paraId="2298039E"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Revenue funding to support Greater Manchester strategic priorities, particularly for revenue expenditure on scheme development costs not able to be capitalised.</w:t>
            </w:r>
          </w:p>
        </w:tc>
      </w:tr>
      <w:tr w:rsidR="008664B6" w:rsidRPr="00CE36C3" w14:paraId="649E61A1" w14:textId="77777777" w:rsidTr="008664B6">
        <w:trPr>
          <w:trHeight w:val="200"/>
        </w:trPr>
        <w:tc>
          <w:tcPr>
            <w:tcW w:w="2694" w:type="dxa"/>
            <w:hideMark/>
          </w:tcPr>
          <w:p w14:paraId="01AED61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Housing Investment Fund (HIF) Interest and Arrangement Fees</w:t>
            </w:r>
          </w:p>
        </w:tc>
        <w:tc>
          <w:tcPr>
            <w:tcW w:w="6322" w:type="dxa"/>
          </w:tcPr>
          <w:p w14:paraId="2B57DBF7" w14:textId="0580D39B"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Interest, arrangement fees and other income earned from loans funded by the funding agreement with </w:t>
            </w:r>
            <w:r w:rsidR="00692F29">
              <w:rPr>
                <w:rFonts w:ascii="Arial" w:hAnsi="Arial" w:cs="Arial"/>
                <w:color w:val="000000" w:themeColor="text1"/>
              </w:rPr>
              <w:t>Department</w:t>
            </w:r>
            <w:r w:rsidRPr="00CE36C3">
              <w:rPr>
                <w:rFonts w:ascii="Arial" w:hAnsi="Arial" w:cs="Arial"/>
                <w:color w:val="000000" w:themeColor="text1"/>
              </w:rPr>
              <w:t xml:space="preserve"> for </w:t>
            </w:r>
            <w:r w:rsidR="00692F29">
              <w:rPr>
                <w:rFonts w:ascii="Arial" w:hAnsi="Arial" w:cs="Arial"/>
                <w:color w:val="000000" w:themeColor="text1"/>
              </w:rPr>
              <w:t xml:space="preserve">Levelling Up, </w:t>
            </w:r>
            <w:r w:rsidRPr="00CE36C3">
              <w:rPr>
                <w:rFonts w:ascii="Arial" w:hAnsi="Arial" w:cs="Arial"/>
                <w:color w:val="000000" w:themeColor="text1"/>
              </w:rPr>
              <w:t>Homes</w:t>
            </w:r>
            <w:r w:rsidR="00692F29">
              <w:rPr>
                <w:rFonts w:ascii="Arial" w:hAnsi="Arial" w:cs="Arial"/>
                <w:color w:val="000000" w:themeColor="text1"/>
              </w:rPr>
              <w:t xml:space="preserve"> and</w:t>
            </w:r>
            <w:r w:rsidRPr="00CE36C3">
              <w:rPr>
                <w:rFonts w:ascii="Arial" w:hAnsi="Arial" w:cs="Arial"/>
                <w:color w:val="000000" w:themeColor="text1"/>
              </w:rPr>
              <w:t xml:space="preserve"> Communities. With the surplus to be used to support the GM housing strategy.</w:t>
            </w:r>
          </w:p>
        </w:tc>
      </w:tr>
      <w:tr w:rsidR="008664B6" w:rsidRPr="00CE36C3" w14:paraId="4358A948" w14:textId="77777777" w:rsidTr="008664B6">
        <w:trPr>
          <w:trHeight w:val="200"/>
        </w:trPr>
        <w:tc>
          <w:tcPr>
            <w:tcW w:w="2694" w:type="dxa"/>
            <w:hideMark/>
          </w:tcPr>
          <w:p w14:paraId="2B145899"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Low Carbon Resource</w:t>
            </w:r>
          </w:p>
        </w:tc>
        <w:tc>
          <w:tcPr>
            <w:tcW w:w="6322" w:type="dxa"/>
          </w:tcPr>
          <w:p w14:paraId="4697A9C4" w14:textId="004D3CC6"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Funding to manage short term funding risk and support various Low Carbon Programmes</w:t>
            </w:r>
            <w:r w:rsidR="00692F29">
              <w:rPr>
                <w:rFonts w:ascii="Arial" w:hAnsi="Arial" w:cs="Arial"/>
                <w:color w:val="000000" w:themeColor="text1"/>
                <w:lang w:eastAsia="en-GB"/>
              </w:rPr>
              <w:t>.</w:t>
            </w:r>
          </w:p>
        </w:tc>
      </w:tr>
      <w:tr w:rsidR="008664B6" w:rsidRPr="00CE36C3" w14:paraId="50EF15B9" w14:textId="77777777" w:rsidTr="008664B6">
        <w:trPr>
          <w:trHeight w:val="200"/>
        </w:trPr>
        <w:tc>
          <w:tcPr>
            <w:tcW w:w="2694" w:type="dxa"/>
          </w:tcPr>
          <w:p w14:paraId="6252FC6F"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Work &amp; Skills - Working Well Reserve</w:t>
            </w:r>
          </w:p>
        </w:tc>
        <w:tc>
          <w:tcPr>
            <w:tcW w:w="6322" w:type="dxa"/>
          </w:tcPr>
          <w:p w14:paraId="24AB0BC4" w14:textId="7E350C4E"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To support the Work &amp; Health Programme which helps those in long</w:t>
            </w:r>
            <w:r w:rsidR="00F3496D">
              <w:rPr>
                <w:rFonts w:ascii="Arial" w:hAnsi="Arial" w:cs="Arial"/>
                <w:color w:val="000000" w:themeColor="text1"/>
              </w:rPr>
              <w:t xml:space="preserve"> </w:t>
            </w:r>
            <w:r w:rsidRPr="00CE36C3">
              <w:rPr>
                <w:rFonts w:ascii="Arial" w:hAnsi="Arial" w:cs="Arial"/>
                <w:color w:val="000000" w:themeColor="text1"/>
              </w:rPr>
              <w:t>term unemployment and with disabilities into work.</w:t>
            </w:r>
          </w:p>
        </w:tc>
      </w:tr>
      <w:tr w:rsidR="008664B6" w:rsidRPr="00CE36C3" w14:paraId="1D2B6F06" w14:textId="77777777" w:rsidTr="008664B6">
        <w:trPr>
          <w:trHeight w:val="200"/>
        </w:trPr>
        <w:tc>
          <w:tcPr>
            <w:tcW w:w="2694" w:type="dxa"/>
          </w:tcPr>
          <w:p w14:paraId="7F214AE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Youth Contract Reserve</w:t>
            </w:r>
          </w:p>
        </w:tc>
        <w:tc>
          <w:tcPr>
            <w:tcW w:w="6322" w:type="dxa"/>
          </w:tcPr>
          <w:p w14:paraId="3B433A96" w14:textId="06E21EAE"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be used on initiatives to tackle youth unemployment for 18</w:t>
            </w:r>
            <w:r w:rsidR="00692F29">
              <w:rPr>
                <w:rFonts w:ascii="Arial" w:hAnsi="Arial" w:cs="Arial"/>
                <w:color w:val="000000" w:themeColor="text1"/>
              </w:rPr>
              <w:t>-</w:t>
            </w:r>
            <w:r w:rsidRPr="00CE36C3">
              <w:rPr>
                <w:rFonts w:ascii="Arial" w:hAnsi="Arial" w:cs="Arial"/>
                <w:color w:val="000000" w:themeColor="text1"/>
              </w:rPr>
              <w:t>24</w:t>
            </w:r>
            <w:r w:rsidR="00692F29">
              <w:rPr>
                <w:rFonts w:ascii="Arial" w:hAnsi="Arial" w:cs="Arial"/>
                <w:color w:val="000000" w:themeColor="text1"/>
              </w:rPr>
              <w:t xml:space="preserve"> </w:t>
            </w:r>
            <w:r w:rsidRPr="00CE36C3">
              <w:rPr>
                <w:rFonts w:ascii="Arial" w:hAnsi="Arial" w:cs="Arial"/>
                <w:color w:val="000000" w:themeColor="text1"/>
              </w:rPr>
              <w:t>year-olds.</w:t>
            </w:r>
          </w:p>
        </w:tc>
      </w:tr>
      <w:tr w:rsidR="008664B6" w:rsidRPr="00CE36C3" w14:paraId="229BFAC9" w14:textId="77777777" w:rsidTr="008664B6">
        <w:trPr>
          <w:trHeight w:val="200"/>
        </w:trPr>
        <w:tc>
          <w:tcPr>
            <w:tcW w:w="2694" w:type="dxa"/>
          </w:tcPr>
          <w:p w14:paraId="264F0D8D"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 Bed Every Night</w:t>
            </w:r>
          </w:p>
        </w:tc>
        <w:tc>
          <w:tcPr>
            <w:tcW w:w="6322" w:type="dxa"/>
          </w:tcPr>
          <w:p w14:paraId="41C7A1EE" w14:textId="37EF66D1"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Funding to support GM Mayor's Charity A Bed Every Night scheme. Works to assist those who are sleeping rough in Greater Manchester into warm, safe, and supported accommodation. </w:t>
            </w:r>
          </w:p>
        </w:tc>
      </w:tr>
      <w:tr w:rsidR="008664B6" w:rsidRPr="00CE36C3" w14:paraId="73C52876" w14:textId="77777777" w:rsidTr="008664B6">
        <w:trPr>
          <w:trHeight w:val="200"/>
        </w:trPr>
        <w:tc>
          <w:tcPr>
            <w:tcW w:w="2694" w:type="dxa"/>
          </w:tcPr>
          <w:p w14:paraId="54F0A3E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Ageing Well Programme</w:t>
            </w:r>
          </w:p>
        </w:tc>
        <w:tc>
          <w:tcPr>
            <w:tcW w:w="6322" w:type="dxa"/>
          </w:tcPr>
          <w:p w14:paraId="2ECC6ED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the Ageing Well Programme.</w:t>
            </w:r>
          </w:p>
        </w:tc>
      </w:tr>
      <w:tr w:rsidR="008664B6" w:rsidRPr="00CE36C3" w14:paraId="03116B68" w14:textId="77777777" w:rsidTr="008664B6">
        <w:trPr>
          <w:trHeight w:val="200"/>
        </w:trPr>
        <w:tc>
          <w:tcPr>
            <w:tcW w:w="2694" w:type="dxa"/>
          </w:tcPr>
          <w:p w14:paraId="6DAE287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GM Covid Fund</w:t>
            </w:r>
          </w:p>
        </w:tc>
        <w:tc>
          <w:tcPr>
            <w:tcW w:w="6322" w:type="dxa"/>
          </w:tcPr>
          <w:p w14:paraId="4D52F86E" w14:textId="5B913526"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GMCA Corporate costs as a result of COVID</w:t>
            </w:r>
            <w:r w:rsidR="00252539">
              <w:rPr>
                <w:rFonts w:ascii="Arial" w:hAnsi="Arial" w:cs="Arial"/>
                <w:color w:val="000000" w:themeColor="text1"/>
              </w:rPr>
              <w:t>-19</w:t>
            </w:r>
            <w:r w:rsidRPr="00CE36C3">
              <w:rPr>
                <w:rFonts w:ascii="Arial" w:hAnsi="Arial" w:cs="Arial"/>
                <w:color w:val="000000" w:themeColor="text1"/>
              </w:rPr>
              <w:t>.</w:t>
            </w:r>
          </w:p>
        </w:tc>
      </w:tr>
      <w:tr w:rsidR="008664B6" w:rsidRPr="00CE36C3" w14:paraId="35B9991F" w14:textId="77777777" w:rsidTr="008664B6">
        <w:trPr>
          <w:trHeight w:val="180"/>
        </w:trPr>
        <w:tc>
          <w:tcPr>
            <w:tcW w:w="2694" w:type="dxa"/>
            <w:hideMark/>
          </w:tcPr>
          <w:p w14:paraId="4E52274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Work &amp; Skills - Central Reserve</w:t>
            </w:r>
          </w:p>
        </w:tc>
        <w:tc>
          <w:tcPr>
            <w:tcW w:w="6322" w:type="dxa"/>
          </w:tcPr>
          <w:p w14:paraId="40B9DF55" w14:textId="764831D2"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Funding to support various Work &amp; Skills programmes (such as Skills Advisory Panels and the Future Workforce Fund)</w:t>
            </w:r>
            <w:r w:rsidR="00692F29">
              <w:rPr>
                <w:rFonts w:ascii="Arial" w:hAnsi="Arial" w:cs="Arial"/>
                <w:color w:val="000000" w:themeColor="text1"/>
                <w:lang w:eastAsia="en-GB"/>
              </w:rPr>
              <w:t>.</w:t>
            </w:r>
          </w:p>
        </w:tc>
      </w:tr>
      <w:tr w:rsidR="008664B6" w:rsidRPr="00CE36C3" w14:paraId="1B2A7A93" w14:textId="77777777" w:rsidTr="008664B6">
        <w:trPr>
          <w:trHeight w:val="200"/>
        </w:trPr>
        <w:tc>
          <w:tcPr>
            <w:tcW w:w="2694" w:type="dxa"/>
            <w:hideMark/>
          </w:tcPr>
          <w:p w14:paraId="2C33FA8D" w14:textId="4B43C35B"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GMICB</w:t>
            </w:r>
            <w:r w:rsidR="00692F29">
              <w:rPr>
                <w:rFonts w:ascii="Arial" w:hAnsi="Arial" w:cs="Arial"/>
                <w:color w:val="000000" w:themeColor="text1"/>
                <w:lang w:eastAsia="en-GB"/>
              </w:rPr>
              <w:t xml:space="preserve"> </w:t>
            </w:r>
            <w:r w:rsidRPr="00CE36C3">
              <w:rPr>
                <w:rFonts w:ascii="Arial" w:hAnsi="Arial" w:cs="Arial"/>
                <w:color w:val="000000" w:themeColor="text1"/>
                <w:lang w:eastAsia="en-GB"/>
              </w:rPr>
              <w:t>- Improving School Readiness</w:t>
            </w:r>
          </w:p>
        </w:tc>
        <w:tc>
          <w:tcPr>
            <w:tcW w:w="6322" w:type="dxa"/>
          </w:tcPr>
          <w:p w14:paraId="611FC737" w14:textId="4AAC3395"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 xml:space="preserve">Funding to support </w:t>
            </w:r>
            <w:r w:rsidRPr="00CE36C3">
              <w:rPr>
                <w:rFonts w:ascii="Arial" w:hAnsi="Arial" w:cs="Arial"/>
                <w:color w:val="000000" w:themeColor="text1"/>
              </w:rPr>
              <w:t>School Readiness programmes. Aim to</w:t>
            </w:r>
            <w:r w:rsidRPr="00CE36C3">
              <w:rPr>
                <w:rFonts w:ascii="Arial" w:hAnsi="Arial" w:cs="Arial"/>
                <w:color w:val="000000" w:themeColor="text1"/>
                <w:lang w:eastAsia="en-GB"/>
              </w:rPr>
              <w:t xml:space="preserve"> improve early years outcomes and to invest in our early years workforce to ensure they have the right skills and competencies to help children achieve their potential</w:t>
            </w:r>
            <w:r w:rsidR="00692F29">
              <w:rPr>
                <w:rFonts w:ascii="Arial" w:hAnsi="Arial" w:cs="Arial"/>
                <w:color w:val="000000" w:themeColor="text1"/>
                <w:lang w:eastAsia="en-GB"/>
              </w:rPr>
              <w:t>.</w:t>
            </w:r>
          </w:p>
        </w:tc>
      </w:tr>
      <w:tr w:rsidR="008664B6" w:rsidRPr="00CE36C3" w14:paraId="5BCA89FA" w14:textId="77777777" w:rsidTr="008664B6">
        <w:trPr>
          <w:trHeight w:val="220"/>
        </w:trPr>
        <w:tc>
          <w:tcPr>
            <w:tcW w:w="2694" w:type="dxa"/>
            <w:hideMark/>
          </w:tcPr>
          <w:p w14:paraId="47AD1AF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lastRenderedPageBreak/>
              <w:t>GM District Transformation Schemes</w:t>
            </w:r>
          </w:p>
        </w:tc>
        <w:tc>
          <w:tcPr>
            <w:tcW w:w="6322" w:type="dxa"/>
          </w:tcPr>
          <w:p w14:paraId="56F04D19" w14:textId="7C702699"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Resource to support GM</w:t>
            </w:r>
            <w:r w:rsidR="00692F29">
              <w:rPr>
                <w:rFonts w:ascii="Arial" w:hAnsi="Arial" w:cs="Arial"/>
                <w:color w:val="000000" w:themeColor="text1"/>
                <w:lang w:eastAsia="en-GB"/>
              </w:rPr>
              <w:t>-</w:t>
            </w:r>
            <w:r w:rsidRPr="00CE36C3">
              <w:rPr>
                <w:rFonts w:ascii="Arial" w:hAnsi="Arial" w:cs="Arial"/>
                <w:color w:val="000000" w:themeColor="text1"/>
                <w:lang w:eastAsia="en-GB"/>
              </w:rPr>
              <w:t>wide budget transformation and efficiency programmes led by Deputy Chief Executives.</w:t>
            </w:r>
          </w:p>
        </w:tc>
      </w:tr>
      <w:tr w:rsidR="008664B6" w:rsidRPr="00CE36C3" w14:paraId="5B0D3FB7" w14:textId="77777777" w:rsidTr="008664B6">
        <w:trPr>
          <w:trHeight w:val="220"/>
        </w:trPr>
        <w:tc>
          <w:tcPr>
            <w:tcW w:w="2694" w:type="dxa"/>
          </w:tcPr>
          <w:p w14:paraId="041C2A1E"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GM Trailblazer Reserve</w:t>
            </w:r>
          </w:p>
        </w:tc>
        <w:tc>
          <w:tcPr>
            <w:tcW w:w="6322" w:type="dxa"/>
          </w:tcPr>
          <w:p w14:paraId="478882C3" w14:textId="1C430C9B"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3-year project funding for homelessness prevention schemes, working closely with the </w:t>
            </w:r>
            <w:r w:rsidR="00692F29">
              <w:rPr>
                <w:rFonts w:ascii="Arial" w:hAnsi="Arial" w:cs="Arial"/>
                <w:color w:val="000000" w:themeColor="text1"/>
              </w:rPr>
              <w:t>DLUHC</w:t>
            </w:r>
            <w:r w:rsidRPr="00CE36C3">
              <w:rPr>
                <w:rFonts w:ascii="Arial" w:hAnsi="Arial" w:cs="Arial"/>
                <w:color w:val="000000" w:themeColor="text1"/>
              </w:rPr>
              <w:t xml:space="preserve"> to improve homelessness data and evidence base.</w:t>
            </w:r>
          </w:p>
        </w:tc>
      </w:tr>
      <w:tr w:rsidR="008664B6" w:rsidRPr="00CE36C3" w14:paraId="222F77EC" w14:textId="77777777" w:rsidTr="008664B6">
        <w:trPr>
          <w:trHeight w:val="200"/>
        </w:trPr>
        <w:tc>
          <w:tcPr>
            <w:tcW w:w="2694" w:type="dxa"/>
            <w:hideMark/>
          </w:tcPr>
          <w:p w14:paraId="26523742"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Brownfield Fund</w:t>
            </w:r>
          </w:p>
        </w:tc>
        <w:tc>
          <w:tcPr>
            <w:tcW w:w="6322" w:type="dxa"/>
          </w:tcPr>
          <w:p w14:paraId="3B1EA86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Funding to support the construction of housing on brownfield land. </w:t>
            </w:r>
          </w:p>
        </w:tc>
      </w:tr>
    </w:tbl>
    <w:p w14:paraId="20062CE4" w14:textId="2C50026C" w:rsidR="00DA34B9" w:rsidRDefault="00DA34B9" w:rsidP="006F1659">
      <w:pPr>
        <w:spacing w:line="360" w:lineRule="auto"/>
        <w:rPr>
          <w:rFonts w:ascii="Arial" w:hAnsi="Arial" w:cs="Arial"/>
          <w:b/>
          <w:sz w:val="22"/>
          <w:szCs w:val="22"/>
        </w:rPr>
      </w:pPr>
    </w:p>
    <w:tbl>
      <w:tblPr>
        <w:tblStyle w:val="TableGrid"/>
        <w:tblW w:w="0" w:type="auto"/>
        <w:tblLook w:val="04A0" w:firstRow="1" w:lastRow="0" w:firstColumn="1" w:lastColumn="0" w:noHBand="0" w:noVBand="1"/>
      </w:tblPr>
      <w:tblGrid>
        <w:gridCol w:w="2689"/>
        <w:gridCol w:w="6327"/>
      </w:tblGrid>
      <w:tr w:rsidR="008664B6" w:rsidRPr="0004017B" w14:paraId="1260BEA1" w14:textId="77777777" w:rsidTr="00CD56C9">
        <w:tc>
          <w:tcPr>
            <w:tcW w:w="9016" w:type="dxa"/>
            <w:gridSpan w:val="2"/>
          </w:tcPr>
          <w:p w14:paraId="507E2510" w14:textId="77777777" w:rsidR="008664B6" w:rsidRPr="0004017B" w:rsidRDefault="008664B6" w:rsidP="006F1659">
            <w:pPr>
              <w:spacing w:line="360" w:lineRule="auto"/>
              <w:rPr>
                <w:rFonts w:ascii="Arial" w:hAnsi="Arial" w:cs="Arial"/>
                <w:b/>
                <w:bCs/>
              </w:rPr>
            </w:pPr>
            <w:r w:rsidRPr="0004017B">
              <w:rPr>
                <w:rFonts w:ascii="Arial" w:hAnsi="Arial" w:cs="Arial"/>
                <w:b/>
                <w:bCs/>
              </w:rPr>
              <w:t>Transport Reserves</w:t>
            </w:r>
          </w:p>
        </w:tc>
      </w:tr>
      <w:tr w:rsidR="008664B6" w:rsidRPr="0004017B" w14:paraId="19AD5FBC" w14:textId="77777777" w:rsidTr="00CD56C9">
        <w:tc>
          <w:tcPr>
            <w:tcW w:w="2689" w:type="dxa"/>
          </w:tcPr>
          <w:p w14:paraId="247DE02F" w14:textId="77777777" w:rsidR="008664B6" w:rsidRPr="0004017B" w:rsidRDefault="008664B6" w:rsidP="006F1659">
            <w:pPr>
              <w:spacing w:line="360" w:lineRule="auto"/>
              <w:rPr>
                <w:rFonts w:ascii="Arial" w:hAnsi="Arial" w:cs="Arial"/>
              </w:rPr>
            </w:pPr>
            <w:r w:rsidRPr="0004017B">
              <w:rPr>
                <w:rFonts w:ascii="Arial" w:hAnsi="Arial" w:cs="Arial"/>
              </w:rPr>
              <w:t>Active Travel Fund</w:t>
            </w:r>
          </w:p>
        </w:tc>
        <w:tc>
          <w:tcPr>
            <w:tcW w:w="6327" w:type="dxa"/>
          </w:tcPr>
          <w:p w14:paraId="0C0E3FAC" w14:textId="4BA7A340" w:rsidR="008664B6" w:rsidRPr="0004017B" w:rsidRDefault="008664B6" w:rsidP="006F1659">
            <w:pPr>
              <w:spacing w:line="360" w:lineRule="auto"/>
              <w:rPr>
                <w:rFonts w:ascii="Arial" w:hAnsi="Arial" w:cs="Arial"/>
              </w:rPr>
            </w:pPr>
            <w:r w:rsidRPr="00AB7814">
              <w:rPr>
                <w:rFonts w:ascii="Arial" w:hAnsi="Arial" w:cs="Arial"/>
              </w:rPr>
              <w:t>Funding to support local transport authorities with delivering cycling and walking facilities. Tranche 1, to support the installation of temporary projects as part of emergency C</w:t>
            </w:r>
            <w:r w:rsidR="00252539">
              <w:rPr>
                <w:rFonts w:ascii="Arial" w:hAnsi="Arial" w:cs="Arial"/>
              </w:rPr>
              <w:t>OVID-19</w:t>
            </w:r>
            <w:r w:rsidRPr="00AB7814">
              <w:rPr>
                <w:rFonts w:ascii="Arial" w:hAnsi="Arial" w:cs="Arial"/>
              </w:rPr>
              <w:t xml:space="preserve"> response measures; and tranche 2, for the creation of longer-term projects as part of the longer-term recovery.</w:t>
            </w:r>
          </w:p>
        </w:tc>
      </w:tr>
      <w:tr w:rsidR="008664B6" w:rsidRPr="0004017B" w14:paraId="67F9D3E8" w14:textId="77777777" w:rsidTr="00CD56C9">
        <w:tc>
          <w:tcPr>
            <w:tcW w:w="2689" w:type="dxa"/>
          </w:tcPr>
          <w:p w14:paraId="2B3E7641" w14:textId="77777777" w:rsidR="008664B6" w:rsidRPr="0004017B" w:rsidRDefault="008664B6" w:rsidP="006F1659">
            <w:pPr>
              <w:spacing w:line="360" w:lineRule="auto"/>
              <w:rPr>
                <w:rFonts w:ascii="Arial" w:hAnsi="Arial" w:cs="Arial"/>
              </w:rPr>
            </w:pPr>
            <w:r w:rsidRPr="0004017B">
              <w:rPr>
                <w:rFonts w:ascii="Arial" w:hAnsi="Arial" w:cs="Arial"/>
              </w:rPr>
              <w:t>Our Pass Reserve</w:t>
            </w:r>
          </w:p>
        </w:tc>
        <w:tc>
          <w:tcPr>
            <w:tcW w:w="6327" w:type="dxa"/>
          </w:tcPr>
          <w:p w14:paraId="164B75FB" w14:textId="77777777" w:rsidR="008664B6" w:rsidRPr="0004017B" w:rsidRDefault="008664B6" w:rsidP="006F1659">
            <w:pPr>
              <w:spacing w:line="360" w:lineRule="auto"/>
              <w:rPr>
                <w:rFonts w:ascii="Arial" w:hAnsi="Arial" w:cs="Arial"/>
              </w:rPr>
            </w:pPr>
            <w:r w:rsidRPr="0004017B">
              <w:rPr>
                <w:rFonts w:ascii="Arial" w:hAnsi="Arial" w:cs="Arial"/>
              </w:rPr>
              <w:t xml:space="preserve">Funding to support Our Pass. Membership scheme for young people who live in Greater Manchester and supports both school and care leavers. Allows young people access opportunities with free bus travel throughout Greater Manchester. </w:t>
            </w:r>
          </w:p>
        </w:tc>
      </w:tr>
      <w:tr w:rsidR="008664B6" w:rsidRPr="0004017B" w14:paraId="2716C210" w14:textId="77777777" w:rsidTr="00CD56C9">
        <w:tc>
          <w:tcPr>
            <w:tcW w:w="2689" w:type="dxa"/>
          </w:tcPr>
          <w:p w14:paraId="76434E2F" w14:textId="77777777" w:rsidR="008664B6" w:rsidRPr="0004017B" w:rsidRDefault="008664B6" w:rsidP="006F1659">
            <w:pPr>
              <w:spacing w:line="360" w:lineRule="auto"/>
              <w:rPr>
                <w:rFonts w:ascii="Arial" w:hAnsi="Arial" w:cs="Arial"/>
              </w:rPr>
            </w:pPr>
            <w:r w:rsidRPr="0004017B">
              <w:rPr>
                <w:rFonts w:ascii="Arial" w:hAnsi="Arial" w:cs="Arial"/>
              </w:rPr>
              <w:t>City Region Sustainable Transport Settlements (Revenue)</w:t>
            </w:r>
          </w:p>
        </w:tc>
        <w:tc>
          <w:tcPr>
            <w:tcW w:w="6327" w:type="dxa"/>
          </w:tcPr>
          <w:p w14:paraId="0F1B584A" w14:textId="04D49324" w:rsidR="008664B6" w:rsidRPr="0004017B" w:rsidRDefault="008664B6" w:rsidP="006F1659">
            <w:pPr>
              <w:spacing w:line="360" w:lineRule="auto"/>
              <w:rPr>
                <w:rFonts w:ascii="Arial" w:hAnsi="Arial" w:cs="Arial"/>
              </w:rPr>
            </w:pPr>
            <w:r w:rsidRPr="009B4042">
              <w:rPr>
                <w:rFonts w:ascii="Arial" w:hAnsi="Arial" w:cs="Arial"/>
              </w:rPr>
              <w:t>To support the development of CRSTS capital investment programme and build longer-term local transport planning and delivery capacity</w:t>
            </w:r>
            <w:r w:rsidR="00C06A3D">
              <w:rPr>
                <w:rFonts w:ascii="Arial" w:hAnsi="Arial" w:cs="Arial"/>
              </w:rPr>
              <w:t>.</w:t>
            </w:r>
          </w:p>
        </w:tc>
      </w:tr>
      <w:tr w:rsidR="008664B6" w:rsidRPr="0004017B" w14:paraId="5619A696" w14:textId="77777777" w:rsidTr="00CD56C9">
        <w:tc>
          <w:tcPr>
            <w:tcW w:w="2689" w:type="dxa"/>
          </w:tcPr>
          <w:p w14:paraId="2F1F959D" w14:textId="77777777" w:rsidR="008664B6" w:rsidRPr="00F24358" w:rsidRDefault="008664B6" w:rsidP="006F1659">
            <w:pPr>
              <w:spacing w:line="360" w:lineRule="auto"/>
              <w:rPr>
                <w:rFonts w:ascii="Arial" w:hAnsi="Arial" w:cs="Arial"/>
              </w:rPr>
            </w:pPr>
            <w:r w:rsidRPr="00F24358">
              <w:rPr>
                <w:rFonts w:ascii="Arial" w:hAnsi="Arial" w:cs="Arial"/>
              </w:rPr>
              <w:t>Integrated Ticketing Reserve</w:t>
            </w:r>
          </w:p>
        </w:tc>
        <w:tc>
          <w:tcPr>
            <w:tcW w:w="6327" w:type="dxa"/>
          </w:tcPr>
          <w:p w14:paraId="69BB6B8B" w14:textId="77777777" w:rsidR="008664B6" w:rsidRPr="00F24358" w:rsidRDefault="008664B6" w:rsidP="006F1659">
            <w:pPr>
              <w:spacing w:line="360" w:lineRule="auto"/>
              <w:rPr>
                <w:rFonts w:ascii="Arial" w:hAnsi="Arial" w:cs="Arial"/>
              </w:rPr>
            </w:pPr>
            <w:r w:rsidRPr="00F24358">
              <w:rPr>
                <w:rFonts w:ascii="Arial" w:hAnsi="Arial" w:cs="Arial"/>
              </w:rPr>
              <w:t>Funding to support the integrated ticketing scheme.</w:t>
            </w:r>
          </w:p>
        </w:tc>
      </w:tr>
      <w:tr w:rsidR="008664B6" w:rsidRPr="0004017B" w14:paraId="586FC29C" w14:textId="77777777" w:rsidTr="00CD56C9">
        <w:tc>
          <w:tcPr>
            <w:tcW w:w="2689" w:type="dxa"/>
          </w:tcPr>
          <w:p w14:paraId="3118A255" w14:textId="77777777" w:rsidR="008664B6" w:rsidRPr="00F24358" w:rsidRDefault="008664B6" w:rsidP="006F1659">
            <w:pPr>
              <w:spacing w:line="360" w:lineRule="auto"/>
              <w:rPr>
                <w:rFonts w:ascii="Arial" w:hAnsi="Arial" w:cs="Arial"/>
              </w:rPr>
            </w:pPr>
            <w:r w:rsidRPr="00F24358">
              <w:rPr>
                <w:rFonts w:ascii="Arial" w:hAnsi="Arial" w:cs="Arial"/>
              </w:rPr>
              <w:t>Local Transport Fund</w:t>
            </w:r>
          </w:p>
        </w:tc>
        <w:tc>
          <w:tcPr>
            <w:tcW w:w="6327" w:type="dxa"/>
          </w:tcPr>
          <w:p w14:paraId="1918688E" w14:textId="6A1D8459" w:rsidR="008664B6" w:rsidRPr="00F24358" w:rsidRDefault="008664B6" w:rsidP="006F1659">
            <w:pPr>
              <w:spacing w:line="360" w:lineRule="auto"/>
              <w:rPr>
                <w:rFonts w:ascii="Arial" w:hAnsi="Arial" w:cs="Arial"/>
              </w:rPr>
            </w:pPr>
            <w:r w:rsidRPr="00F24358">
              <w:rPr>
                <w:rFonts w:ascii="Arial" w:hAnsi="Arial" w:cs="Arial"/>
                <w:color w:val="000000"/>
                <w:lang w:eastAsia="en-GB"/>
              </w:rPr>
              <w:t>Funding provided to Local Transport Authorities for the provision of bus services which require local authority support, including tendered bus services and light rail/tram services</w:t>
            </w:r>
            <w:r w:rsidR="00C06A3D">
              <w:rPr>
                <w:rFonts w:ascii="Arial" w:hAnsi="Arial" w:cs="Arial"/>
                <w:color w:val="000000"/>
                <w:lang w:eastAsia="en-GB"/>
              </w:rPr>
              <w:t>.</w:t>
            </w:r>
          </w:p>
        </w:tc>
      </w:tr>
      <w:tr w:rsidR="008664B6" w:rsidRPr="0004017B" w14:paraId="5326A9B2" w14:textId="77777777" w:rsidTr="00CD56C9">
        <w:tc>
          <w:tcPr>
            <w:tcW w:w="2689" w:type="dxa"/>
          </w:tcPr>
          <w:p w14:paraId="5289CF42" w14:textId="77777777" w:rsidR="008664B6" w:rsidRPr="00F24358" w:rsidRDefault="008664B6" w:rsidP="006F1659">
            <w:pPr>
              <w:spacing w:line="360" w:lineRule="auto"/>
              <w:rPr>
                <w:rFonts w:ascii="Arial" w:hAnsi="Arial" w:cs="Arial"/>
              </w:rPr>
            </w:pPr>
            <w:r w:rsidRPr="00F24358">
              <w:rPr>
                <w:rFonts w:ascii="Arial" w:hAnsi="Arial" w:cs="Arial"/>
              </w:rPr>
              <w:t>BR (Highways Capital)</w:t>
            </w:r>
          </w:p>
        </w:tc>
        <w:tc>
          <w:tcPr>
            <w:tcW w:w="6327" w:type="dxa"/>
          </w:tcPr>
          <w:p w14:paraId="0BE10919" w14:textId="77777777" w:rsidR="008664B6" w:rsidRPr="00F24358" w:rsidRDefault="008664B6" w:rsidP="006F1659">
            <w:pPr>
              <w:spacing w:line="360" w:lineRule="auto"/>
              <w:rPr>
                <w:rFonts w:ascii="Arial" w:hAnsi="Arial" w:cs="Arial"/>
              </w:rPr>
            </w:pPr>
            <w:r w:rsidRPr="00F24358">
              <w:rPr>
                <w:rFonts w:ascii="Arial" w:hAnsi="Arial" w:cs="Arial"/>
                <w:lang w:eastAsia="en-GB"/>
              </w:rPr>
              <w:t>Funding settlement directly from government</w:t>
            </w:r>
            <w:r w:rsidRPr="00F24358">
              <w:rPr>
                <w:rFonts w:ascii="Arial" w:hAnsi="Arial" w:cs="Arial"/>
                <w:color w:val="000000"/>
                <w:lang w:eastAsia="en-GB"/>
              </w:rPr>
              <w:t xml:space="preserve"> as part of the single pot allocations to support</w:t>
            </w:r>
            <w:r w:rsidRPr="00F24358">
              <w:rPr>
                <w:rFonts w:ascii="Arial" w:hAnsi="Arial" w:cs="Arial"/>
                <w:lang w:eastAsia="en-GB"/>
              </w:rPr>
              <w:t xml:space="preserve"> GMCA</w:t>
            </w:r>
            <w:r w:rsidRPr="00F24358">
              <w:rPr>
                <w:rFonts w:ascii="Arial" w:hAnsi="Arial" w:cs="Arial"/>
                <w:color w:val="000000"/>
                <w:lang w:eastAsia="en-GB"/>
              </w:rPr>
              <w:t xml:space="preserve"> </w:t>
            </w:r>
            <w:r w:rsidRPr="00F24358">
              <w:rPr>
                <w:rFonts w:ascii="Arial" w:hAnsi="Arial" w:cs="Arial"/>
                <w:lang w:eastAsia="en-GB"/>
              </w:rPr>
              <w:t>services</w:t>
            </w:r>
            <w:r w:rsidRPr="00F24358">
              <w:rPr>
                <w:rFonts w:ascii="Arial" w:hAnsi="Arial" w:cs="Arial"/>
                <w:color w:val="000000"/>
                <w:lang w:eastAsia="en-GB"/>
              </w:rPr>
              <w:t>.</w:t>
            </w:r>
          </w:p>
        </w:tc>
      </w:tr>
    </w:tbl>
    <w:p w14:paraId="0D48F28D" w14:textId="77777777" w:rsidR="008664B6" w:rsidRDefault="008664B6" w:rsidP="006F1659">
      <w:pPr>
        <w:spacing w:line="360" w:lineRule="auto"/>
        <w:rPr>
          <w:rFonts w:ascii="Arial" w:hAnsi="Arial" w:cs="Arial"/>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689"/>
        <w:gridCol w:w="6327"/>
      </w:tblGrid>
      <w:tr w:rsidR="008664B6" w:rsidRPr="00D07FA7" w14:paraId="4D4EAA22" w14:textId="77777777" w:rsidTr="00CD56C9">
        <w:tc>
          <w:tcPr>
            <w:tcW w:w="9016" w:type="dxa"/>
            <w:gridSpan w:val="2"/>
          </w:tcPr>
          <w:p w14:paraId="2ECB6E2E" w14:textId="77777777" w:rsidR="008664B6" w:rsidRPr="00D07FA7" w:rsidRDefault="008664B6" w:rsidP="006F1659">
            <w:pPr>
              <w:spacing w:line="360" w:lineRule="auto"/>
              <w:rPr>
                <w:rFonts w:ascii="Arial" w:hAnsi="Arial" w:cs="Arial"/>
                <w:b/>
                <w:bCs/>
              </w:rPr>
            </w:pPr>
            <w:r w:rsidRPr="00D07FA7">
              <w:rPr>
                <w:rFonts w:ascii="Arial" w:hAnsi="Arial" w:cs="Arial"/>
                <w:b/>
                <w:bCs/>
              </w:rPr>
              <w:lastRenderedPageBreak/>
              <w:t>Waste Reserves</w:t>
            </w:r>
          </w:p>
        </w:tc>
      </w:tr>
      <w:tr w:rsidR="008664B6" w:rsidRPr="0004017B" w14:paraId="778C5E2B" w14:textId="77777777" w:rsidTr="00CD56C9">
        <w:trPr>
          <w:trHeight w:val="200"/>
        </w:trPr>
        <w:tc>
          <w:tcPr>
            <w:tcW w:w="2689" w:type="dxa"/>
            <w:shd w:val="clear" w:color="auto" w:fill="auto"/>
            <w:hideMark/>
          </w:tcPr>
          <w:p w14:paraId="5DE1C8DF" w14:textId="77777777" w:rsidR="008664B6" w:rsidRPr="0004017B" w:rsidRDefault="008664B6" w:rsidP="006F1659">
            <w:pPr>
              <w:spacing w:line="360" w:lineRule="auto"/>
              <w:rPr>
                <w:rFonts w:ascii="Arial" w:hAnsi="Arial" w:cs="Arial"/>
                <w:lang w:eastAsia="en-GB"/>
              </w:rPr>
            </w:pPr>
            <w:r w:rsidRPr="007D183D">
              <w:rPr>
                <w:rFonts w:ascii="Arial" w:hAnsi="Arial" w:cs="Arial"/>
              </w:rPr>
              <w:t xml:space="preserve">National Waste Strategy </w:t>
            </w:r>
          </w:p>
        </w:tc>
        <w:tc>
          <w:tcPr>
            <w:tcW w:w="6327" w:type="dxa"/>
            <w:shd w:val="clear" w:color="auto" w:fill="auto"/>
          </w:tcPr>
          <w:p w14:paraId="39E3E9C8" w14:textId="096B33FC" w:rsidR="008664B6" w:rsidRPr="007D183D" w:rsidRDefault="008664B6" w:rsidP="006F1659">
            <w:pPr>
              <w:spacing w:line="360" w:lineRule="auto"/>
              <w:rPr>
                <w:rFonts w:ascii="Arial" w:hAnsi="Arial" w:cs="Arial"/>
                <w:lang w:eastAsia="en-GB"/>
              </w:rPr>
            </w:pPr>
            <w:r w:rsidRPr="007D183D">
              <w:rPr>
                <w:rFonts w:ascii="Arial" w:hAnsi="Arial" w:cs="Arial"/>
              </w:rPr>
              <w:t>This reserve has been established to support with costs with providing responses to and implementation of the National Waste Strategy</w:t>
            </w:r>
            <w:r w:rsidR="00C06A3D">
              <w:rPr>
                <w:rFonts w:ascii="Arial" w:hAnsi="Arial" w:cs="Arial"/>
              </w:rPr>
              <w:t>.</w:t>
            </w:r>
          </w:p>
        </w:tc>
      </w:tr>
      <w:tr w:rsidR="008664B6" w:rsidRPr="0004017B" w14:paraId="0031E48D" w14:textId="77777777" w:rsidTr="00CD56C9">
        <w:trPr>
          <w:trHeight w:val="200"/>
        </w:trPr>
        <w:tc>
          <w:tcPr>
            <w:tcW w:w="2689" w:type="dxa"/>
            <w:shd w:val="clear" w:color="auto" w:fill="auto"/>
            <w:hideMark/>
          </w:tcPr>
          <w:p w14:paraId="5F058085" w14:textId="77777777" w:rsidR="008664B6" w:rsidRPr="0004017B" w:rsidRDefault="008664B6" w:rsidP="006F1659">
            <w:pPr>
              <w:spacing w:line="360" w:lineRule="auto"/>
              <w:rPr>
                <w:rFonts w:ascii="Arial" w:hAnsi="Arial" w:cs="Arial"/>
                <w:lang w:eastAsia="en-GB"/>
              </w:rPr>
            </w:pPr>
            <w:r>
              <w:rPr>
                <w:rFonts w:ascii="Arial" w:hAnsi="Arial" w:cs="Arial"/>
              </w:rPr>
              <w:t xml:space="preserve">Waste Disposal </w:t>
            </w:r>
            <w:r w:rsidRPr="006467C6">
              <w:rPr>
                <w:rFonts w:ascii="Arial" w:hAnsi="Arial" w:cs="Arial"/>
              </w:rPr>
              <w:t>Insurance Reserve</w:t>
            </w:r>
          </w:p>
        </w:tc>
        <w:tc>
          <w:tcPr>
            <w:tcW w:w="6327" w:type="dxa"/>
            <w:shd w:val="clear" w:color="auto" w:fill="auto"/>
          </w:tcPr>
          <w:p w14:paraId="7120538B" w14:textId="279A9176" w:rsidR="008664B6" w:rsidRPr="0004017B" w:rsidRDefault="008664B6" w:rsidP="006F1659">
            <w:pPr>
              <w:spacing w:line="360" w:lineRule="auto"/>
              <w:rPr>
                <w:rFonts w:ascii="Arial" w:hAnsi="Arial" w:cs="Arial"/>
                <w:lang w:eastAsia="en-GB"/>
              </w:rPr>
            </w:pPr>
            <w:r w:rsidRPr="006467C6">
              <w:rPr>
                <w:rFonts w:ascii="Arial" w:hAnsi="Arial" w:cs="Arial"/>
              </w:rPr>
              <w:t>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 The Reserve is now also enhanced as a buffer to satisfy any future insurance claims that may arise from an unforeseen event due to failure to secure selected insurance from the market.</w:t>
            </w:r>
          </w:p>
        </w:tc>
      </w:tr>
      <w:tr w:rsidR="008664B6" w:rsidRPr="0004017B" w14:paraId="1DC41198" w14:textId="77777777" w:rsidTr="00CD56C9">
        <w:trPr>
          <w:trHeight w:val="200"/>
        </w:trPr>
        <w:tc>
          <w:tcPr>
            <w:tcW w:w="2689" w:type="dxa"/>
            <w:shd w:val="clear" w:color="auto" w:fill="auto"/>
            <w:hideMark/>
          </w:tcPr>
          <w:p w14:paraId="15199BD0"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Interest Rate Reserve</w:t>
            </w:r>
          </w:p>
        </w:tc>
        <w:tc>
          <w:tcPr>
            <w:tcW w:w="6327" w:type="dxa"/>
            <w:shd w:val="clear" w:color="auto" w:fill="auto"/>
          </w:tcPr>
          <w:p w14:paraId="127B42F3" w14:textId="77777777" w:rsidR="008664B6" w:rsidRPr="0004017B" w:rsidRDefault="008664B6" w:rsidP="006F1659">
            <w:pPr>
              <w:spacing w:line="360" w:lineRule="auto"/>
              <w:rPr>
                <w:rFonts w:ascii="Arial" w:hAnsi="Arial" w:cs="Arial"/>
                <w:lang w:eastAsia="en-GB"/>
              </w:rPr>
            </w:pPr>
            <w:r w:rsidRPr="006467C6">
              <w:rPr>
                <w:rFonts w:ascii="Arial" w:hAnsi="Arial" w:cs="Arial"/>
              </w:rPr>
              <w:t>To enable the Waste &amp; Resources service to meet the additional cost of funding future increases in the margin chargeable on borrowings, arising from the current policy of not taking longer term debt.</w:t>
            </w:r>
          </w:p>
        </w:tc>
      </w:tr>
      <w:tr w:rsidR="008664B6" w:rsidRPr="0004017B" w14:paraId="0E5F6DAA" w14:textId="77777777" w:rsidTr="00CD56C9">
        <w:trPr>
          <w:trHeight w:val="200"/>
        </w:trPr>
        <w:tc>
          <w:tcPr>
            <w:tcW w:w="2689" w:type="dxa"/>
            <w:shd w:val="clear" w:color="auto" w:fill="auto"/>
            <w:hideMark/>
          </w:tcPr>
          <w:p w14:paraId="05E3AB6D"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Pension Deficit Funding Reserve</w:t>
            </w:r>
          </w:p>
        </w:tc>
        <w:tc>
          <w:tcPr>
            <w:tcW w:w="6327" w:type="dxa"/>
            <w:shd w:val="clear" w:color="auto" w:fill="auto"/>
          </w:tcPr>
          <w:p w14:paraId="0A342AED" w14:textId="77777777" w:rsidR="008664B6" w:rsidRPr="007D183D" w:rsidRDefault="008664B6" w:rsidP="006F1659">
            <w:pPr>
              <w:spacing w:line="360" w:lineRule="auto"/>
              <w:rPr>
                <w:rFonts w:ascii="Arial" w:hAnsi="Arial" w:cs="Arial"/>
                <w:lang w:eastAsia="en-GB"/>
              </w:rPr>
            </w:pPr>
            <w:r w:rsidRPr="006467C6">
              <w:rPr>
                <w:rFonts w:ascii="Arial" w:hAnsi="Arial" w:cs="Arial"/>
              </w:rPr>
              <w:t>To meet the cost of funding potential future deficit arising on transfer of former Greater Manchester Waste Limited employees into the Authority’s pension fund on commencement of the Contract, and to take account of possible further efficiencies arising from austerity challenges.</w:t>
            </w:r>
          </w:p>
        </w:tc>
      </w:tr>
      <w:tr w:rsidR="008664B6" w:rsidRPr="0004017B" w14:paraId="40C8A362" w14:textId="77777777" w:rsidTr="00CD56C9">
        <w:trPr>
          <w:trHeight w:val="200"/>
        </w:trPr>
        <w:tc>
          <w:tcPr>
            <w:tcW w:w="2689" w:type="dxa"/>
            <w:shd w:val="clear" w:color="auto" w:fill="auto"/>
            <w:hideMark/>
          </w:tcPr>
          <w:p w14:paraId="7DFEC2A2"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Medium Term Financial Plan Funding Reserve</w:t>
            </w:r>
          </w:p>
        </w:tc>
        <w:tc>
          <w:tcPr>
            <w:tcW w:w="6327" w:type="dxa"/>
            <w:shd w:val="clear" w:color="auto" w:fill="auto"/>
          </w:tcPr>
          <w:p w14:paraId="317DC3AD" w14:textId="77777777" w:rsidR="008664B6" w:rsidRPr="0004017B" w:rsidRDefault="008664B6" w:rsidP="006F1659">
            <w:pPr>
              <w:spacing w:line="360" w:lineRule="auto"/>
              <w:rPr>
                <w:rFonts w:ascii="Arial" w:hAnsi="Arial" w:cs="Arial"/>
                <w:lang w:eastAsia="en-GB"/>
              </w:rPr>
            </w:pPr>
            <w:r w:rsidRPr="006467C6">
              <w:rPr>
                <w:rFonts w:ascii="Arial" w:hAnsi="Arial" w:cs="Arial"/>
              </w:rPr>
              <w:t>Reserve to support the delivery of objectives in the Waste &amp; Resources service Medium Term Financial Plan.</w:t>
            </w:r>
          </w:p>
        </w:tc>
      </w:tr>
      <w:tr w:rsidR="008664B6" w:rsidRPr="0004017B" w14:paraId="08019F87" w14:textId="77777777" w:rsidTr="00CD56C9">
        <w:trPr>
          <w:trHeight w:val="200"/>
        </w:trPr>
        <w:tc>
          <w:tcPr>
            <w:tcW w:w="2689" w:type="dxa"/>
            <w:shd w:val="clear" w:color="auto" w:fill="auto"/>
            <w:hideMark/>
          </w:tcPr>
          <w:p w14:paraId="6C30B0C7" w14:textId="77777777" w:rsidR="008664B6" w:rsidRPr="0004017B" w:rsidRDefault="008664B6" w:rsidP="006F1659">
            <w:pPr>
              <w:spacing w:line="360" w:lineRule="auto"/>
              <w:rPr>
                <w:rFonts w:ascii="Arial" w:hAnsi="Arial" w:cs="Arial"/>
                <w:lang w:eastAsia="en-GB"/>
              </w:rPr>
            </w:pPr>
            <w:r w:rsidRPr="007D183D">
              <w:rPr>
                <w:rFonts w:ascii="Arial" w:hAnsi="Arial" w:cs="Arial"/>
              </w:rPr>
              <w:t>Waste Optimisation Reserve</w:t>
            </w:r>
          </w:p>
        </w:tc>
        <w:tc>
          <w:tcPr>
            <w:tcW w:w="6327" w:type="dxa"/>
            <w:shd w:val="clear" w:color="auto" w:fill="auto"/>
          </w:tcPr>
          <w:p w14:paraId="22FABBC1" w14:textId="77777777" w:rsidR="008664B6" w:rsidRPr="007D183D" w:rsidRDefault="008664B6" w:rsidP="006F1659">
            <w:pPr>
              <w:spacing w:line="360" w:lineRule="auto"/>
              <w:rPr>
                <w:rFonts w:ascii="Arial" w:hAnsi="Arial" w:cs="Arial"/>
                <w:lang w:eastAsia="en-GB"/>
              </w:rPr>
            </w:pPr>
            <w:r w:rsidRPr="007D183D">
              <w:rPr>
                <w:rFonts w:ascii="Arial" w:hAnsi="Arial" w:cs="Arial"/>
              </w:rPr>
              <w:t>This reserve has been set up to allow a further capital contribution to be made (if required), so that the Authority can realise longer term financial and operational benefits from the approach to minimising the amount of waste sent to landfill.</w:t>
            </w:r>
          </w:p>
        </w:tc>
      </w:tr>
      <w:tr w:rsidR="008664B6" w:rsidRPr="0004017B" w14:paraId="396ECA60" w14:textId="77777777" w:rsidTr="00CD56C9">
        <w:trPr>
          <w:trHeight w:val="200"/>
        </w:trPr>
        <w:tc>
          <w:tcPr>
            <w:tcW w:w="2689" w:type="dxa"/>
            <w:hideMark/>
          </w:tcPr>
          <w:p w14:paraId="4151AB4D" w14:textId="77777777" w:rsidR="008664B6" w:rsidRPr="0004017B" w:rsidRDefault="008664B6" w:rsidP="006F1659">
            <w:pPr>
              <w:spacing w:line="360" w:lineRule="auto"/>
              <w:rPr>
                <w:rFonts w:ascii="Arial" w:hAnsi="Arial" w:cs="Arial"/>
                <w:lang w:eastAsia="en-GB"/>
              </w:rPr>
            </w:pPr>
            <w:r w:rsidRPr="006467C6">
              <w:rPr>
                <w:rFonts w:ascii="Arial" w:hAnsi="Arial" w:cs="Arial"/>
              </w:rPr>
              <w:lastRenderedPageBreak/>
              <w:t>Waste Compositional Reserve</w:t>
            </w:r>
          </w:p>
        </w:tc>
        <w:tc>
          <w:tcPr>
            <w:tcW w:w="6327" w:type="dxa"/>
          </w:tcPr>
          <w:p w14:paraId="752577B8" w14:textId="6FCB1AF4" w:rsidR="008664B6" w:rsidRPr="0004017B" w:rsidRDefault="008664B6" w:rsidP="006F1659">
            <w:pPr>
              <w:spacing w:line="360" w:lineRule="auto"/>
              <w:rPr>
                <w:rFonts w:ascii="Arial" w:hAnsi="Arial" w:cs="Arial"/>
                <w:lang w:eastAsia="en-GB"/>
              </w:rPr>
            </w:pPr>
            <w:r w:rsidRPr="006467C6">
              <w:rPr>
                <w:rFonts w:ascii="Arial" w:hAnsi="Arial" w:cs="Arial"/>
              </w:rPr>
              <w:t>This reserve provides the cost of conducting a review of waste arisings to be spread over several years. The review enables us to gauge whether our residents are recycling, and in so doing, better target limited behavioural change resources.</w:t>
            </w:r>
          </w:p>
        </w:tc>
      </w:tr>
      <w:tr w:rsidR="008664B6" w:rsidRPr="0004017B" w14:paraId="4200C1D2" w14:textId="77777777" w:rsidTr="00CD56C9">
        <w:trPr>
          <w:trHeight w:val="200"/>
        </w:trPr>
        <w:tc>
          <w:tcPr>
            <w:tcW w:w="2689" w:type="dxa"/>
            <w:hideMark/>
          </w:tcPr>
          <w:p w14:paraId="6A569A84" w14:textId="77777777" w:rsidR="008664B6" w:rsidRPr="0004017B" w:rsidRDefault="008664B6" w:rsidP="006F1659">
            <w:pPr>
              <w:spacing w:line="360" w:lineRule="auto"/>
              <w:rPr>
                <w:rFonts w:ascii="Arial" w:hAnsi="Arial" w:cs="Arial"/>
                <w:lang w:eastAsia="en-GB"/>
              </w:rPr>
            </w:pPr>
            <w:r w:rsidRPr="0004017B">
              <w:rPr>
                <w:rFonts w:ascii="Arial" w:hAnsi="Arial" w:cs="Arial"/>
                <w:lang w:eastAsia="en-GB"/>
              </w:rPr>
              <w:t>Waste MRF Redevelopment</w:t>
            </w:r>
          </w:p>
        </w:tc>
        <w:tc>
          <w:tcPr>
            <w:tcW w:w="6327" w:type="dxa"/>
          </w:tcPr>
          <w:p w14:paraId="1772AB66" w14:textId="70B6025E" w:rsidR="008664B6" w:rsidRDefault="008664B6" w:rsidP="006F1659">
            <w:pPr>
              <w:spacing w:line="360" w:lineRule="auto"/>
              <w:rPr>
                <w:rFonts w:ascii="Arial" w:hAnsi="Arial" w:cs="Arial"/>
              </w:rPr>
            </w:pPr>
            <w:r>
              <w:rPr>
                <w:rFonts w:ascii="Arial" w:hAnsi="Arial" w:cs="Arial"/>
              </w:rPr>
              <w:t>Reserve funding to allow for redevelopment works at the MRF at Sharston</w:t>
            </w:r>
            <w:r w:rsidR="00C06A3D">
              <w:rPr>
                <w:rFonts w:ascii="Arial" w:hAnsi="Arial" w:cs="Arial"/>
              </w:rPr>
              <w:t>.</w:t>
            </w:r>
          </w:p>
          <w:p w14:paraId="25261BAF" w14:textId="77777777" w:rsidR="008664B6" w:rsidRPr="0004017B" w:rsidRDefault="008664B6" w:rsidP="006F1659">
            <w:pPr>
              <w:spacing w:line="360" w:lineRule="auto"/>
              <w:rPr>
                <w:rFonts w:ascii="Arial" w:hAnsi="Arial" w:cs="Arial"/>
                <w:lang w:eastAsia="en-GB"/>
              </w:rPr>
            </w:pPr>
          </w:p>
        </w:tc>
      </w:tr>
      <w:tr w:rsidR="008664B6" w:rsidRPr="0004017B" w14:paraId="0D17D7CD" w14:textId="77777777" w:rsidTr="00CD56C9">
        <w:trPr>
          <w:trHeight w:val="200"/>
        </w:trPr>
        <w:tc>
          <w:tcPr>
            <w:tcW w:w="2689" w:type="dxa"/>
            <w:hideMark/>
          </w:tcPr>
          <w:p w14:paraId="32186670" w14:textId="77777777" w:rsidR="008664B6" w:rsidRPr="0004017B" w:rsidRDefault="008664B6" w:rsidP="006F1659">
            <w:pPr>
              <w:spacing w:line="360" w:lineRule="auto"/>
              <w:rPr>
                <w:rFonts w:ascii="Arial" w:hAnsi="Arial" w:cs="Arial"/>
                <w:lang w:eastAsia="en-GB"/>
              </w:rPr>
            </w:pPr>
            <w:r w:rsidRPr="0004017B">
              <w:rPr>
                <w:rFonts w:ascii="Arial" w:hAnsi="Arial" w:cs="Arial"/>
                <w:lang w:eastAsia="en-GB"/>
              </w:rPr>
              <w:t>Waste Re-procurement</w:t>
            </w:r>
          </w:p>
        </w:tc>
        <w:tc>
          <w:tcPr>
            <w:tcW w:w="6327" w:type="dxa"/>
          </w:tcPr>
          <w:p w14:paraId="6D1EA5A9" w14:textId="77777777" w:rsidR="008664B6" w:rsidRDefault="008664B6" w:rsidP="006F1659">
            <w:pPr>
              <w:spacing w:line="360" w:lineRule="auto"/>
              <w:rPr>
                <w:rFonts w:ascii="Arial" w:hAnsi="Arial" w:cs="Arial"/>
              </w:rPr>
            </w:pPr>
            <w:r>
              <w:rPr>
                <w:rFonts w:ascii="Arial" w:hAnsi="Arial" w:cs="Arial"/>
              </w:rPr>
              <w:t>Reserve funding to allow for expenditure to be incurred with reprocuring waste management contracts.</w:t>
            </w:r>
          </w:p>
          <w:p w14:paraId="4BC62F77" w14:textId="77777777" w:rsidR="008664B6" w:rsidRPr="0004017B" w:rsidRDefault="008664B6" w:rsidP="006F1659">
            <w:pPr>
              <w:spacing w:line="360" w:lineRule="auto"/>
              <w:rPr>
                <w:rFonts w:ascii="Arial" w:hAnsi="Arial" w:cs="Arial"/>
                <w:lang w:eastAsia="en-GB"/>
              </w:rPr>
            </w:pPr>
          </w:p>
        </w:tc>
      </w:tr>
      <w:tr w:rsidR="008664B6" w:rsidRPr="0004017B" w14:paraId="308AF0C1" w14:textId="77777777" w:rsidTr="00CD56C9">
        <w:trPr>
          <w:trHeight w:val="200"/>
        </w:trPr>
        <w:tc>
          <w:tcPr>
            <w:tcW w:w="2689" w:type="dxa"/>
            <w:hideMark/>
          </w:tcPr>
          <w:p w14:paraId="66BE98B4"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Lifecycle Reserve</w:t>
            </w:r>
          </w:p>
        </w:tc>
        <w:tc>
          <w:tcPr>
            <w:tcW w:w="6327" w:type="dxa"/>
          </w:tcPr>
          <w:p w14:paraId="38F52B4D" w14:textId="77777777" w:rsidR="008664B6" w:rsidRPr="0004017B" w:rsidRDefault="008664B6" w:rsidP="006F1659">
            <w:pPr>
              <w:spacing w:line="360" w:lineRule="auto"/>
              <w:rPr>
                <w:rFonts w:ascii="Arial" w:hAnsi="Arial" w:cs="Arial"/>
                <w:lang w:eastAsia="en-GB"/>
              </w:rPr>
            </w:pPr>
            <w:r w:rsidRPr="006467C6">
              <w:rPr>
                <w:rFonts w:ascii="Arial" w:hAnsi="Arial" w:cs="Arial"/>
              </w:rPr>
              <w:t>Reserve created to allow funding of lifecycle / maintenance needs at the operational sites now under Authority control.</w:t>
            </w:r>
          </w:p>
        </w:tc>
      </w:tr>
    </w:tbl>
    <w:p w14:paraId="5D42F667" w14:textId="77777777" w:rsidR="008664B6" w:rsidRDefault="008664B6" w:rsidP="006F1659">
      <w:pPr>
        <w:spacing w:line="360" w:lineRule="auto"/>
        <w:ind w:firstLine="720"/>
      </w:pPr>
    </w:p>
    <w:tbl>
      <w:tblPr>
        <w:tblStyle w:val="TableGrid"/>
        <w:tblW w:w="0" w:type="auto"/>
        <w:tblLook w:val="04A0" w:firstRow="1" w:lastRow="0" w:firstColumn="1" w:lastColumn="0" w:noHBand="0" w:noVBand="1"/>
      </w:tblPr>
      <w:tblGrid>
        <w:gridCol w:w="2689"/>
        <w:gridCol w:w="6327"/>
      </w:tblGrid>
      <w:tr w:rsidR="008664B6" w:rsidRPr="00164A45" w14:paraId="5131ABA6" w14:textId="77777777" w:rsidTr="00CD56C9">
        <w:trPr>
          <w:trHeight w:val="270"/>
        </w:trPr>
        <w:tc>
          <w:tcPr>
            <w:tcW w:w="9016" w:type="dxa"/>
            <w:gridSpan w:val="2"/>
            <w:hideMark/>
          </w:tcPr>
          <w:p w14:paraId="4F783262" w14:textId="77777777" w:rsidR="008664B6" w:rsidRPr="00164A45" w:rsidRDefault="008664B6" w:rsidP="006F1659">
            <w:pPr>
              <w:spacing w:line="360" w:lineRule="auto"/>
              <w:rPr>
                <w:rFonts w:ascii="Arial" w:hAnsi="Arial" w:cs="Arial"/>
                <w:b/>
                <w:bCs/>
              </w:rPr>
            </w:pPr>
            <w:r w:rsidRPr="00164A45">
              <w:rPr>
                <w:rFonts w:ascii="Arial" w:hAnsi="Arial" w:cs="Arial"/>
                <w:b/>
                <w:bCs/>
              </w:rPr>
              <w:t>Mayoral General Fund</w:t>
            </w:r>
          </w:p>
        </w:tc>
      </w:tr>
      <w:tr w:rsidR="008664B6" w:rsidRPr="00164A45" w14:paraId="1B786FCC" w14:textId="77777777" w:rsidTr="00CD56C9">
        <w:trPr>
          <w:trHeight w:val="540"/>
        </w:trPr>
        <w:tc>
          <w:tcPr>
            <w:tcW w:w="2689" w:type="dxa"/>
            <w:hideMark/>
          </w:tcPr>
          <w:p w14:paraId="7992D52B" w14:textId="77777777" w:rsidR="008664B6" w:rsidRPr="00164A45" w:rsidRDefault="008664B6" w:rsidP="006F1659">
            <w:pPr>
              <w:spacing w:line="360" w:lineRule="auto"/>
              <w:rPr>
                <w:rFonts w:ascii="Arial" w:hAnsi="Arial" w:cs="Arial"/>
              </w:rPr>
            </w:pPr>
            <w:r w:rsidRPr="00164A45">
              <w:rPr>
                <w:rFonts w:ascii="Arial" w:hAnsi="Arial" w:cs="Arial"/>
              </w:rPr>
              <w:t>Capital Reserve</w:t>
            </w:r>
          </w:p>
        </w:tc>
        <w:tc>
          <w:tcPr>
            <w:tcW w:w="6327" w:type="dxa"/>
            <w:hideMark/>
          </w:tcPr>
          <w:p w14:paraId="1108D8F9" w14:textId="77777777" w:rsidR="008664B6" w:rsidRPr="00164A45" w:rsidRDefault="008664B6" w:rsidP="006F1659">
            <w:pPr>
              <w:spacing w:line="360" w:lineRule="auto"/>
              <w:rPr>
                <w:rFonts w:ascii="Arial" w:hAnsi="Arial" w:cs="Arial"/>
              </w:rPr>
            </w:pPr>
            <w:r w:rsidRPr="00164A45">
              <w:rPr>
                <w:rFonts w:ascii="Arial" w:hAnsi="Arial" w:cs="Arial"/>
              </w:rPr>
              <w:t>Surpluses of capital financing costs which have been set aside to fund future capital programme related expenditure.</w:t>
            </w:r>
          </w:p>
        </w:tc>
      </w:tr>
      <w:tr w:rsidR="008664B6" w:rsidRPr="00164A45" w14:paraId="440C9E7F" w14:textId="77777777" w:rsidTr="00CD56C9">
        <w:trPr>
          <w:trHeight w:val="540"/>
        </w:trPr>
        <w:tc>
          <w:tcPr>
            <w:tcW w:w="2689" w:type="dxa"/>
            <w:hideMark/>
          </w:tcPr>
          <w:p w14:paraId="7665A672" w14:textId="77777777" w:rsidR="008664B6" w:rsidRPr="00164A45" w:rsidRDefault="008664B6" w:rsidP="006F1659">
            <w:pPr>
              <w:spacing w:line="360" w:lineRule="auto"/>
              <w:rPr>
                <w:rFonts w:ascii="Arial" w:hAnsi="Arial" w:cs="Arial"/>
              </w:rPr>
            </w:pPr>
            <w:r w:rsidRPr="00164A45">
              <w:rPr>
                <w:rFonts w:ascii="Arial" w:hAnsi="Arial" w:cs="Arial"/>
              </w:rPr>
              <w:t>Earmarked Budgets Reserve</w:t>
            </w:r>
          </w:p>
        </w:tc>
        <w:tc>
          <w:tcPr>
            <w:tcW w:w="6327" w:type="dxa"/>
            <w:hideMark/>
          </w:tcPr>
          <w:p w14:paraId="34AF4C3D"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the costs of future projects as part of the budget strategy.</w:t>
            </w:r>
          </w:p>
        </w:tc>
      </w:tr>
      <w:tr w:rsidR="008664B6" w:rsidRPr="00164A45" w14:paraId="369F09C4" w14:textId="77777777" w:rsidTr="00CD56C9">
        <w:trPr>
          <w:trHeight w:val="810"/>
        </w:trPr>
        <w:tc>
          <w:tcPr>
            <w:tcW w:w="2689" w:type="dxa"/>
            <w:hideMark/>
          </w:tcPr>
          <w:p w14:paraId="33293BEA" w14:textId="77777777" w:rsidR="008664B6" w:rsidRPr="00164A45" w:rsidRDefault="008664B6" w:rsidP="006F1659">
            <w:pPr>
              <w:spacing w:line="360" w:lineRule="auto"/>
              <w:rPr>
                <w:rFonts w:ascii="Arial" w:hAnsi="Arial" w:cs="Arial"/>
              </w:rPr>
            </w:pPr>
            <w:r w:rsidRPr="00164A45">
              <w:rPr>
                <w:rFonts w:ascii="Arial" w:hAnsi="Arial" w:cs="Arial"/>
              </w:rPr>
              <w:t>Revenue Grants Unapplied Reserves</w:t>
            </w:r>
          </w:p>
        </w:tc>
        <w:tc>
          <w:tcPr>
            <w:tcW w:w="6327" w:type="dxa"/>
            <w:hideMark/>
          </w:tcPr>
          <w:p w14:paraId="4FEC4850" w14:textId="77777777" w:rsidR="008664B6" w:rsidRPr="00164A45" w:rsidRDefault="008664B6" w:rsidP="006F1659">
            <w:pPr>
              <w:spacing w:line="360" w:lineRule="auto"/>
              <w:rPr>
                <w:rFonts w:ascii="Arial" w:hAnsi="Arial" w:cs="Arial"/>
              </w:rPr>
            </w:pPr>
            <w:r w:rsidRPr="00164A45">
              <w:rPr>
                <w:rFonts w:ascii="Arial" w:hAnsi="Arial" w:cs="Arial"/>
              </w:rPr>
              <w:t>Accumulated unspent grant funding which is required to meet costs in future years.</w:t>
            </w:r>
          </w:p>
        </w:tc>
      </w:tr>
      <w:tr w:rsidR="008664B6" w:rsidRPr="00164A45" w14:paraId="690B1B83" w14:textId="77777777" w:rsidTr="00CD56C9">
        <w:trPr>
          <w:trHeight w:val="1080"/>
        </w:trPr>
        <w:tc>
          <w:tcPr>
            <w:tcW w:w="2689" w:type="dxa"/>
            <w:hideMark/>
          </w:tcPr>
          <w:p w14:paraId="0E4682D7" w14:textId="77777777" w:rsidR="008664B6" w:rsidRPr="00164A45" w:rsidRDefault="008664B6" w:rsidP="006F1659">
            <w:pPr>
              <w:spacing w:line="360" w:lineRule="auto"/>
              <w:rPr>
                <w:rFonts w:ascii="Arial" w:hAnsi="Arial" w:cs="Arial"/>
              </w:rPr>
            </w:pPr>
            <w:r w:rsidRPr="00164A45">
              <w:rPr>
                <w:rFonts w:ascii="Arial" w:hAnsi="Arial" w:cs="Arial"/>
              </w:rPr>
              <w:t>Insurance Reserve</w:t>
            </w:r>
          </w:p>
        </w:tc>
        <w:tc>
          <w:tcPr>
            <w:tcW w:w="6327" w:type="dxa"/>
            <w:hideMark/>
          </w:tcPr>
          <w:p w14:paraId="42163564" w14:textId="5DD60098" w:rsidR="008664B6" w:rsidRPr="00164A45" w:rsidRDefault="008664B6" w:rsidP="006F1659">
            <w:pPr>
              <w:spacing w:line="360" w:lineRule="auto"/>
              <w:rPr>
                <w:rFonts w:ascii="Arial" w:hAnsi="Arial" w:cs="Arial"/>
              </w:rPr>
            </w:pPr>
            <w:r w:rsidRPr="00164A45">
              <w:rPr>
                <w:rFonts w:ascii="Arial" w:hAnsi="Arial" w:cs="Arial"/>
              </w:rPr>
              <w:t>Reserve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8664B6" w:rsidRPr="00164A45" w14:paraId="69397333" w14:textId="77777777" w:rsidTr="00CD56C9">
        <w:trPr>
          <w:trHeight w:val="540"/>
        </w:trPr>
        <w:tc>
          <w:tcPr>
            <w:tcW w:w="2689" w:type="dxa"/>
            <w:hideMark/>
          </w:tcPr>
          <w:p w14:paraId="6A2B56CA" w14:textId="77777777" w:rsidR="008664B6" w:rsidRPr="00164A45" w:rsidRDefault="008664B6" w:rsidP="006F1659">
            <w:pPr>
              <w:spacing w:line="360" w:lineRule="auto"/>
              <w:rPr>
                <w:rFonts w:ascii="Arial" w:hAnsi="Arial" w:cs="Arial"/>
              </w:rPr>
            </w:pPr>
            <w:r w:rsidRPr="00164A45">
              <w:rPr>
                <w:rFonts w:ascii="Arial" w:hAnsi="Arial" w:cs="Arial"/>
              </w:rPr>
              <w:t>Business Rates Reserve</w:t>
            </w:r>
          </w:p>
        </w:tc>
        <w:tc>
          <w:tcPr>
            <w:tcW w:w="6327" w:type="dxa"/>
            <w:hideMark/>
          </w:tcPr>
          <w:p w14:paraId="1BAD7A4C" w14:textId="7420E233" w:rsidR="008664B6" w:rsidRPr="00164A45" w:rsidRDefault="008664B6" w:rsidP="006F1659">
            <w:pPr>
              <w:spacing w:line="360" w:lineRule="auto"/>
              <w:rPr>
                <w:rFonts w:ascii="Arial" w:hAnsi="Arial" w:cs="Arial"/>
              </w:rPr>
            </w:pPr>
            <w:r w:rsidRPr="00164A45">
              <w:rPr>
                <w:rFonts w:ascii="Arial" w:hAnsi="Arial" w:cs="Arial"/>
              </w:rPr>
              <w:t xml:space="preserve">Funding to mitigate the impact of potential significant deficits on the </w:t>
            </w:r>
            <w:r w:rsidR="006A7A2D">
              <w:rPr>
                <w:rFonts w:ascii="Arial" w:hAnsi="Arial" w:cs="Arial"/>
              </w:rPr>
              <w:t>ten</w:t>
            </w:r>
            <w:r w:rsidRPr="00164A45">
              <w:rPr>
                <w:rFonts w:ascii="Arial" w:hAnsi="Arial" w:cs="Arial"/>
              </w:rPr>
              <w:t xml:space="preserve"> Greater Manchester Council respective Collection Funds, of which the Authority is liable for 1%.</w:t>
            </w:r>
          </w:p>
        </w:tc>
      </w:tr>
      <w:tr w:rsidR="008664B6" w:rsidRPr="00164A45" w14:paraId="20C5C468" w14:textId="77777777" w:rsidTr="00CD56C9">
        <w:trPr>
          <w:trHeight w:val="463"/>
        </w:trPr>
        <w:tc>
          <w:tcPr>
            <w:tcW w:w="2689" w:type="dxa"/>
            <w:hideMark/>
          </w:tcPr>
          <w:p w14:paraId="5C055134" w14:textId="77777777" w:rsidR="008664B6" w:rsidRPr="00164A45" w:rsidRDefault="008664B6" w:rsidP="006F1659">
            <w:pPr>
              <w:spacing w:line="360" w:lineRule="auto"/>
              <w:rPr>
                <w:rFonts w:ascii="Arial" w:hAnsi="Arial" w:cs="Arial"/>
              </w:rPr>
            </w:pPr>
            <w:r w:rsidRPr="00164A45">
              <w:rPr>
                <w:rFonts w:ascii="Arial" w:hAnsi="Arial" w:cs="Arial"/>
              </w:rPr>
              <w:lastRenderedPageBreak/>
              <w:t>Restructuring Reserve</w:t>
            </w:r>
          </w:p>
        </w:tc>
        <w:tc>
          <w:tcPr>
            <w:tcW w:w="6327" w:type="dxa"/>
            <w:hideMark/>
          </w:tcPr>
          <w:p w14:paraId="53092463" w14:textId="77777777" w:rsidR="008664B6" w:rsidRPr="00164A45" w:rsidRDefault="008664B6" w:rsidP="006F1659">
            <w:pPr>
              <w:spacing w:line="360" w:lineRule="auto"/>
              <w:rPr>
                <w:rFonts w:ascii="Arial" w:hAnsi="Arial" w:cs="Arial"/>
              </w:rPr>
            </w:pPr>
            <w:r w:rsidRPr="00164A45">
              <w:rPr>
                <w:rFonts w:ascii="Arial" w:hAnsi="Arial" w:cs="Arial"/>
              </w:rPr>
              <w:t xml:space="preserve">Reserve created to provide funds towards the costs of service transition. </w:t>
            </w:r>
          </w:p>
        </w:tc>
      </w:tr>
      <w:tr w:rsidR="008664B6" w:rsidRPr="00164A45" w14:paraId="202F803F" w14:textId="77777777" w:rsidTr="00CD56C9">
        <w:trPr>
          <w:trHeight w:val="810"/>
        </w:trPr>
        <w:tc>
          <w:tcPr>
            <w:tcW w:w="2689" w:type="dxa"/>
            <w:hideMark/>
          </w:tcPr>
          <w:p w14:paraId="5E0C8679" w14:textId="77777777" w:rsidR="008664B6" w:rsidRPr="00164A45" w:rsidRDefault="008664B6" w:rsidP="006F1659">
            <w:pPr>
              <w:spacing w:line="360" w:lineRule="auto"/>
              <w:rPr>
                <w:rFonts w:ascii="Arial" w:hAnsi="Arial" w:cs="Arial"/>
              </w:rPr>
            </w:pPr>
            <w:r w:rsidRPr="00164A45">
              <w:rPr>
                <w:rFonts w:ascii="Arial" w:hAnsi="Arial" w:cs="Arial"/>
              </w:rPr>
              <w:t>Innovation and Partnership CYP Reserve</w:t>
            </w:r>
          </w:p>
        </w:tc>
        <w:tc>
          <w:tcPr>
            <w:tcW w:w="6327" w:type="dxa"/>
            <w:hideMark/>
          </w:tcPr>
          <w:p w14:paraId="218FAEBE" w14:textId="77777777" w:rsidR="008664B6" w:rsidRPr="00164A45" w:rsidRDefault="008664B6" w:rsidP="006F1659">
            <w:pPr>
              <w:spacing w:line="360" w:lineRule="auto"/>
              <w:rPr>
                <w:rFonts w:ascii="Arial" w:hAnsi="Arial" w:cs="Arial"/>
              </w:rPr>
            </w:pPr>
            <w:r w:rsidRPr="00164A45">
              <w:rPr>
                <w:rFonts w:ascii="Arial" w:hAnsi="Arial" w:cs="Arial"/>
              </w:rPr>
              <w:t xml:space="preserve">Funding for future partnership and innovation schemes and to support Children’s and Young People’s initiatives. </w:t>
            </w:r>
          </w:p>
        </w:tc>
      </w:tr>
      <w:tr w:rsidR="008664B6" w:rsidRPr="00164A45" w14:paraId="48E68899" w14:textId="77777777" w:rsidTr="00CD56C9">
        <w:trPr>
          <w:trHeight w:val="270"/>
        </w:trPr>
        <w:tc>
          <w:tcPr>
            <w:tcW w:w="2689" w:type="dxa"/>
            <w:hideMark/>
          </w:tcPr>
          <w:p w14:paraId="5957C6D4" w14:textId="77777777" w:rsidR="008664B6" w:rsidRPr="00164A45" w:rsidRDefault="008664B6" w:rsidP="006F1659">
            <w:pPr>
              <w:spacing w:line="360" w:lineRule="auto"/>
              <w:rPr>
                <w:rFonts w:ascii="Arial" w:hAnsi="Arial" w:cs="Arial"/>
              </w:rPr>
            </w:pPr>
            <w:r w:rsidRPr="00164A45">
              <w:rPr>
                <w:rFonts w:ascii="Arial" w:hAnsi="Arial" w:cs="Arial"/>
              </w:rPr>
              <w:t>Projects Reserve</w:t>
            </w:r>
          </w:p>
        </w:tc>
        <w:tc>
          <w:tcPr>
            <w:tcW w:w="6327" w:type="dxa"/>
            <w:hideMark/>
          </w:tcPr>
          <w:p w14:paraId="177399F8" w14:textId="77777777" w:rsidR="008664B6" w:rsidRPr="00164A45" w:rsidRDefault="008664B6" w:rsidP="006F1659">
            <w:pPr>
              <w:spacing w:line="360" w:lineRule="auto"/>
              <w:rPr>
                <w:rFonts w:ascii="Arial" w:hAnsi="Arial" w:cs="Arial"/>
              </w:rPr>
            </w:pPr>
            <w:r w:rsidRPr="00164A45">
              <w:rPr>
                <w:rFonts w:ascii="Arial" w:hAnsi="Arial" w:cs="Arial"/>
              </w:rPr>
              <w:t>Funding to support project work within the Authority.</w:t>
            </w:r>
          </w:p>
        </w:tc>
      </w:tr>
      <w:tr w:rsidR="008664B6" w:rsidRPr="00164A45" w14:paraId="5C29A410" w14:textId="77777777" w:rsidTr="00CD56C9">
        <w:trPr>
          <w:trHeight w:val="540"/>
        </w:trPr>
        <w:tc>
          <w:tcPr>
            <w:tcW w:w="2689" w:type="dxa"/>
            <w:hideMark/>
          </w:tcPr>
          <w:p w14:paraId="4F1336B0" w14:textId="77777777" w:rsidR="008664B6" w:rsidRPr="00164A45" w:rsidRDefault="008664B6" w:rsidP="006F1659">
            <w:pPr>
              <w:spacing w:line="360" w:lineRule="auto"/>
              <w:rPr>
                <w:rFonts w:ascii="Arial" w:hAnsi="Arial" w:cs="Arial"/>
              </w:rPr>
            </w:pPr>
            <w:r w:rsidRPr="00164A45">
              <w:rPr>
                <w:rFonts w:ascii="Arial" w:hAnsi="Arial" w:cs="Arial"/>
              </w:rPr>
              <w:t>Transformation Reserve</w:t>
            </w:r>
          </w:p>
        </w:tc>
        <w:tc>
          <w:tcPr>
            <w:tcW w:w="6327" w:type="dxa"/>
            <w:hideMark/>
          </w:tcPr>
          <w:p w14:paraId="2F25E75D" w14:textId="77777777" w:rsidR="008664B6" w:rsidRPr="00164A45" w:rsidRDefault="008664B6" w:rsidP="006F1659">
            <w:pPr>
              <w:spacing w:line="360" w:lineRule="auto"/>
              <w:rPr>
                <w:rFonts w:ascii="Arial" w:hAnsi="Arial" w:cs="Arial"/>
              </w:rPr>
            </w:pPr>
            <w:r w:rsidRPr="00164A45">
              <w:rPr>
                <w:rFonts w:ascii="Arial" w:hAnsi="Arial" w:cs="Arial"/>
              </w:rPr>
              <w:t>New reserve set up as part of the Budget Strategy to be used by the mayor to promote collaboration and transformation in blue light services.</w:t>
            </w:r>
          </w:p>
        </w:tc>
      </w:tr>
      <w:tr w:rsidR="008664B6" w:rsidRPr="00164A45" w14:paraId="3F1985EA" w14:textId="77777777" w:rsidTr="00CD56C9">
        <w:trPr>
          <w:trHeight w:val="540"/>
        </w:trPr>
        <w:tc>
          <w:tcPr>
            <w:tcW w:w="2689" w:type="dxa"/>
          </w:tcPr>
          <w:p w14:paraId="4487EC61" w14:textId="77777777" w:rsidR="008664B6" w:rsidRPr="00164A45" w:rsidRDefault="008664B6" w:rsidP="006F1659">
            <w:pPr>
              <w:spacing w:line="360" w:lineRule="auto"/>
              <w:rPr>
                <w:rFonts w:ascii="Arial" w:hAnsi="Arial" w:cs="Arial"/>
              </w:rPr>
            </w:pPr>
            <w:r>
              <w:rPr>
                <w:rFonts w:ascii="Arial" w:hAnsi="Arial" w:cs="Arial"/>
              </w:rPr>
              <w:t xml:space="preserve">Mayoral General Fund Balances </w:t>
            </w:r>
          </w:p>
        </w:tc>
        <w:tc>
          <w:tcPr>
            <w:tcW w:w="6327" w:type="dxa"/>
          </w:tcPr>
          <w:p w14:paraId="2D8414AA" w14:textId="1E6C0D7B" w:rsidR="008664B6" w:rsidRPr="00164A45" w:rsidRDefault="008664B6" w:rsidP="006F1659">
            <w:pPr>
              <w:spacing w:line="360" w:lineRule="auto"/>
              <w:rPr>
                <w:rFonts w:ascii="Arial" w:hAnsi="Arial" w:cs="Arial"/>
              </w:rPr>
            </w:pPr>
            <w:r>
              <w:rPr>
                <w:rFonts w:ascii="Arial" w:hAnsi="Arial" w:cs="Arial"/>
              </w:rPr>
              <w:t>Funding to support The Mayoral General fund</w:t>
            </w:r>
            <w:r w:rsidR="00C06A3D">
              <w:rPr>
                <w:rFonts w:ascii="Arial" w:hAnsi="Arial" w:cs="Arial"/>
              </w:rPr>
              <w:t>.</w:t>
            </w:r>
          </w:p>
        </w:tc>
      </w:tr>
      <w:tr w:rsidR="008664B6" w:rsidRPr="00164A45" w14:paraId="24DDC9BD" w14:textId="77777777" w:rsidTr="006E294E">
        <w:trPr>
          <w:trHeight w:val="1057"/>
        </w:trPr>
        <w:tc>
          <w:tcPr>
            <w:tcW w:w="2689" w:type="dxa"/>
          </w:tcPr>
          <w:p w14:paraId="513338C6" w14:textId="77777777" w:rsidR="008664B6" w:rsidRPr="00164A45" w:rsidRDefault="008664B6" w:rsidP="006F1659">
            <w:pPr>
              <w:spacing w:line="360" w:lineRule="auto"/>
              <w:rPr>
                <w:rFonts w:ascii="Arial" w:hAnsi="Arial" w:cs="Arial"/>
              </w:rPr>
            </w:pPr>
            <w:r>
              <w:rPr>
                <w:rFonts w:ascii="Arial" w:hAnsi="Arial" w:cs="Arial"/>
              </w:rPr>
              <w:t>Capital Grants Unapplied Reserve</w:t>
            </w:r>
          </w:p>
        </w:tc>
        <w:tc>
          <w:tcPr>
            <w:tcW w:w="6327" w:type="dxa"/>
          </w:tcPr>
          <w:p w14:paraId="3515EACF" w14:textId="3CCF0B83" w:rsidR="008664B6" w:rsidRPr="00164A45" w:rsidRDefault="008664B6" w:rsidP="006F1659">
            <w:pPr>
              <w:spacing w:line="360" w:lineRule="auto"/>
              <w:rPr>
                <w:rFonts w:ascii="Arial" w:hAnsi="Arial" w:cs="Arial"/>
              </w:rPr>
            </w:pPr>
            <w:r>
              <w:rPr>
                <w:rFonts w:ascii="Arial" w:hAnsi="Arial" w:cs="Arial"/>
              </w:rPr>
              <w:t>Fund to hold capital grants which have been received and credited to income but not yet spent on the acquisition of non</w:t>
            </w:r>
            <w:r w:rsidR="00C06A3D">
              <w:rPr>
                <w:rFonts w:ascii="Arial" w:hAnsi="Arial" w:cs="Arial"/>
              </w:rPr>
              <w:t>-</w:t>
            </w:r>
            <w:r>
              <w:rPr>
                <w:rFonts w:ascii="Arial" w:hAnsi="Arial" w:cs="Arial"/>
              </w:rPr>
              <w:t>current assets</w:t>
            </w:r>
            <w:r w:rsidR="00C06A3D">
              <w:rPr>
                <w:rFonts w:ascii="Arial" w:hAnsi="Arial" w:cs="Arial"/>
              </w:rPr>
              <w:t>.</w:t>
            </w:r>
          </w:p>
        </w:tc>
      </w:tr>
    </w:tbl>
    <w:p w14:paraId="08F4E625" w14:textId="59E6A7EE" w:rsidR="00C06A3D" w:rsidRDefault="00C06A3D" w:rsidP="006F1659">
      <w:pPr>
        <w:spacing w:line="360" w:lineRule="auto"/>
        <w:rPr>
          <w:rFonts w:ascii="Arial" w:hAnsi="Arial" w:cs="Arial"/>
          <w:b/>
          <w:sz w:val="22"/>
          <w:szCs w:val="22"/>
        </w:rPr>
      </w:pPr>
    </w:p>
    <w:p w14:paraId="14EA72C1" w14:textId="2A2FB211" w:rsidR="006E294E" w:rsidRDefault="00C06A3D" w:rsidP="006F1659">
      <w:pPr>
        <w:spacing w:line="360" w:lineRule="auto"/>
        <w:rPr>
          <w:rFonts w:ascii="Arial" w:hAnsi="Arial" w:cs="Arial"/>
          <w:b/>
          <w:sz w:val="22"/>
          <w:szCs w:val="22"/>
        </w:rPr>
      </w:pPr>
      <w:r>
        <w:rPr>
          <w:rFonts w:ascii="Arial" w:hAnsi="Arial" w:cs="Arial"/>
          <w:b/>
          <w:sz w:val="22"/>
          <w:szCs w:val="22"/>
        </w:rPr>
        <w:br w:type="page"/>
      </w:r>
    </w:p>
    <w:tbl>
      <w:tblPr>
        <w:tblStyle w:val="TableGrid"/>
        <w:tblpPr w:leftFromText="180" w:rightFromText="180" w:vertAnchor="text" w:horzAnchor="margin" w:tblpY="35"/>
        <w:tblW w:w="0" w:type="auto"/>
        <w:tblLook w:val="04A0" w:firstRow="1" w:lastRow="0" w:firstColumn="1" w:lastColumn="0" w:noHBand="0" w:noVBand="1"/>
      </w:tblPr>
      <w:tblGrid>
        <w:gridCol w:w="2689"/>
        <w:gridCol w:w="6327"/>
      </w:tblGrid>
      <w:tr w:rsidR="008664B6" w:rsidRPr="00164A45" w14:paraId="19CADBDD" w14:textId="77777777" w:rsidTr="00CD56C9">
        <w:trPr>
          <w:trHeight w:val="270"/>
        </w:trPr>
        <w:tc>
          <w:tcPr>
            <w:tcW w:w="9016" w:type="dxa"/>
            <w:gridSpan w:val="2"/>
            <w:hideMark/>
          </w:tcPr>
          <w:p w14:paraId="6B543D91" w14:textId="77777777" w:rsidR="008664B6" w:rsidRPr="00164A45" w:rsidRDefault="008664B6" w:rsidP="006F1659">
            <w:pPr>
              <w:spacing w:line="360" w:lineRule="auto"/>
              <w:rPr>
                <w:rFonts w:ascii="Arial" w:hAnsi="Arial" w:cs="Arial"/>
                <w:b/>
                <w:bCs/>
              </w:rPr>
            </w:pPr>
            <w:r w:rsidRPr="00164A45">
              <w:rPr>
                <w:rFonts w:ascii="Arial" w:hAnsi="Arial" w:cs="Arial"/>
                <w:b/>
                <w:bCs/>
              </w:rPr>
              <w:lastRenderedPageBreak/>
              <w:t>Mayoral Police Fund</w:t>
            </w:r>
          </w:p>
        </w:tc>
      </w:tr>
      <w:tr w:rsidR="008664B6" w:rsidRPr="00164A45" w14:paraId="56B8F14C" w14:textId="77777777" w:rsidTr="00CD56C9">
        <w:trPr>
          <w:trHeight w:val="810"/>
        </w:trPr>
        <w:tc>
          <w:tcPr>
            <w:tcW w:w="2689" w:type="dxa"/>
            <w:hideMark/>
          </w:tcPr>
          <w:p w14:paraId="16616E40" w14:textId="77777777" w:rsidR="008664B6" w:rsidRPr="00164A45" w:rsidRDefault="008664B6" w:rsidP="006F1659">
            <w:pPr>
              <w:spacing w:line="360" w:lineRule="auto"/>
              <w:rPr>
                <w:rFonts w:ascii="Arial" w:hAnsi="Arial" w:cs="Arial"/>
              </w:rPr>
            </w:pPr>
            <w:r w:rsidRPr="00164A45">
              <w:rPr>
                <w:rFonts w:ascii="Arial" w:hAnsi="Arial" w:cs="Arial"/>
              </w:rPr>
              <w:t>Revenue Expenditure Reserve</w:t>
            </w:r>
          </w:p>
        </w:tc>
        <w:tc>
          <w:tcPr>
            <w:tcW w:w="6327" w:type="dxa"/>
            <w:hideMark/>
          </w:tcPr>
          <w:p w14:paraId="32CF533C"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costs of existing projects which span years.</w:t>
            </w:r>
          </w:p>
        </w:tc>
      </w:tr>
      <w:tr w:rsidR="008664B6" w:rsidRPr="00164A45" w14:paraId="4802C8B1" w14:textId="77777777" w:rsidTr="00CD56C9">
        <w:trPr>
          <w:trHeight w:val="1350"/>
        </w:trPr>
        <w:tc>
          <w:tcPr>
            <w:tcW w:w="2689" w:type="dxa"/>
            <w:hideMark/>
          </w:tcPr>
          <w:p w14:paraId="100DDBE9" w14:textId="77777777" w:rsidR="008664B6" w:rsidRPr="00164A45" w:rsidRDefault="008664B6" w:rsidP="006F1659">
            <w:pPr>
              <w:spacing w:line="360" w:lineRule="auto"/>
              <w:rPr>
                <w:rFonts w:ascii="Arial" w:hAnsi="Arial" w:cs="Arial"/>
              </w:rPr>
            </w:pPr>
            <w:r w:rsidRPr="00164A45">
              <w:rPr>
                <w:rFonts w:ascii="Arial" w:hAnsi="Arial" w:cs="Arial"/>
              </w:rPr>
              <w:t>Insurance Reserve</w:t>
            </w:r>
          </w:p>
        </w:tc>
        <w:tc>
          <w:tcPr>
            <w:tcW w:w="6327" w:type="dxa"/>
            <w:hideMark/>
          </w:tcPr>
          <w:p w14:paraId="7EBA3150" w14:textId="02CEF32C" w:rsidR="008664B6" w:rsidRPr="00164A45" w:rsidRDefault="008664B6" w:rsidP="006F1659">
            <w:pPr>
              <w:spacing w:line="360" w:lineRule="auto"/>
              <w:rPr>
                <w:rFonts w:ascii="Arial" w:hAnsi="Arial" w:cs="Arial"/>
              </w:rPr>
            </w:pPr>
            <w:r w:rsidRPr="00164A45">
              <w:rPr>
                <w:rFonts w:ascii="Arial" w:hAnsi="Arial" w:cs="Arial"/>
              </w:rPr>
              <w:t>Insurance Reserve - 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8664B6" w:rsidRPr="00164A45" w14:paraId="69968E73" w14:textId="77777777" w:rsidTr="00CD56C9">
        <w:trPr>
          <w:trHeight w:val="540"/>
        </w:trPr>
        <w:tc>
          <w:tcPr>
            <w:tcW w:w="2689" w:type="dxa"/>
            <w:hideMark/>
          </w:tcPr>
          <w:p w14:paraId="2DDA073E" w14:textId="77777777" w:rsidR="008664B6" w:rsidRPr="00164A45" w:rsidRDefault="008664B6" w:rsidP="006F1659">
            <w:pPr>
              <w:spacing w:line="360" w:lineRule="auto"/>
              <w:rPr>
                <w:rFonts w:ascii="Arial" w:hAnsi="Arial" w:cs="Arial"/>
              </w:rPr>
            </w:pPr>
            <w:r w:rsidRPr="00164A45">
              <w:rPr>
                <w:rFonts w:ascii="Arial" w:hAnsi="Arial" w:cs="Arial"/>
              </w:rPr>
              <w:t>PCC Earmarked Reserves</w:t>
            </w:r>
          </w:p>
        </w:tc>
        <w:tc>
          <w:tcPr>
            <w:tcW w:w="6327" w:type="dxa"/>
            <w:hideMark/>
          </w:tcPr>
          <w:p w14:paraId="2054A04E"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costs of future projects which support the delivery of the Police and Crime Plan.</w:t>
            </w:r>
          </w:p>
        </w:tc>
      </w:tr>
      <w:tr w:rsidR="008664B6" w:rsidRPr="00164A45" w14:paraId="35DCCB75" w14:textId="77777777" w:rsidTr="00CD56C9">
        <w:trPr>
          <w:trHeight w:val="540"/>
        </w:trPr>
        <w:tc>
          <w:tcPr>
            <w:tcW w:w="2689" w:type="dxa"/>
            <w:hideMark/>
          </w:tcPr>
          <w:p w14:paraId="4FE3C1DF" w14:textId="77777777" w:rsidR="008664B6" w:rsidRPr="00164A45" w:rsidRDefault="008664B6" w:rsidP="006F1659">
            <w:pPr>
              <w:spacing w:line="360" w:lineRule="auto"/>
              <w:rPr>
                <w:rFonts w:ascii="Arial" w:hAnsi="Arial" w:cs="Arial"/>
              </w:rPr>
            </w:pPr>
            <w:r w:rsidRPr="00164A45">
              <w:rPr>
                <w:rFonts w:ascii="Arial" w:hAnsi="Arial" w:cs="Arial"/>
              </w:rPr>
              <w:t>PFI Reserve</w:t>
            </w:r>
          </w:p>
        </w:tc>
        <w:tc>
          <w:tcPr>
            <w:tcW w:w="6327" w:type="dxa"/>
            <w:hideMark/>
          </w:tcPr>
          <w:p w14:paraId="6F9157A8" w14:textId="5853986A" w:rsidR="008664B6" w:rsidRPr="00164A45" w:rsidRDefault="008664B6" w:rsidP="006F1659">
            <w:pPr>
              <w:spacing w:line="360" w:lineRule="auto"/>
              <w:rPr>
                <w:rFonts w:ascii="Arial" w:hAnsi="Arial" w:cs="Arial"/>
              </w:rPr>
            </w:pPr>
            <w:r w:rsidRPr="00164A45">
              <w:rPr>
                <w:rFonts w:ascii="Arial" w:hAnsi="Arial" w:cs="Arial"/>
              </w:rPr>
              <w:t>This reserve holds that balance of the PFI grant paid by the Home Office. It is used to support the future costs arising from the PFI Scheme.</w:t>
            </w:r>
          </w:p>
        </w:tc>
      </w:tr>
      <w:tr w:rsidR="008664B6" w:rsidRPr="00164A45" w14:paraId="23BE516D" w14:textId="77777777" w:rsidTr="00CD56C9">
        <w:trPr>
          <w:trHeight w:val="540"/>
        </w:trPr>
        <w:tc>
          <w:tcPr>
            <w:tcW w:w="2689" w:type="dxa"/>
          </w:tcPr>
          <w:p w14:paraId="7276120E" w14:textId="77777777" w:rsidR="008664B6" w:rsidRPr="00164A45" w:rsidRDefault="008664B6" w:rsidP="006F1659">
            <w:pPr>
              <w:spacing w:line="360" w:lineRule="auto"/>
              <w:rPr>
                <w:rFonts w:ascii="Arial" w:hAnsi="Arial" w:cs="Arial"/>
              </w:rPr>
            </w:pPr>
            <w:r>
              <w:rPr>
                <w:rFonts w:ascii="Arial" w:hAnsi="Arial" w:cs="Arial"/>
              </w:rPr>
              <w:t xml:space="preserve">Usable Capital Receipts Reserve </w:t>
            </w:r>
          </w:p>
        </w:tc>
        <w:tc>
          <w:tcPr>
            <w:tcW w:w="6327" w:type="dxa"/>
          </w:tcPr>
          <w:p w14:paraId="369F9906" w14:textId="1A0B1043" w:rsidR="008664B6" w:rsidRPr="00164A45" w:rsidRDefault="008664B6" w:rsidP="006F1659">
            <w:pPr>
              <w:spacing w:line="360" w:lineRule="auto"/>
              <w:rPr>
                <w:rFonts w:ascii="Arial" w:hAnsi="Arial" w:cs="Arial"/>
              </w:rPr>
            </w:pPr>
            <w:r>
              <w:rPr>
                <w:rFonts w:ascii="Arial" w:hAnsi="Arial" w:cs="Arial"/>
              </w:rPr>
              <w:t>Fund</w:t>
            </w:r>
            <w:r w:rsidRPr="00E36EF9">
              <w:rPr>
                <w:rFonts w:ascii="Arial" w:hAnsi="Arial" w:cs="Arial"/>
              </w:rPr>
              <w:t xml:space="preserve"> </w:t>
            </w:r>
            <w:r>
              <w:rPr>
                <w:rFonts w:ascii="Arial" w:hAnsi="Arial" w:cs="Arial"/>
              </w:rPr>
              <w:t>to</w:t>
            </w:r>
            <w:r w:rsidRPr="00E36EF9">
              <w:rPr>
                <w:rFonts w:ascii="Arial" w:hAnsi="Arial" w:cs="Arial"/>
              </w:rPr>
              <w:t xml:space="preserve"> hold proceeds from the sale of non-current assets which can be used to either finance future additions or to repay external debt</w:t>
            </w:r>
            <w:r w:rsidR="00C06A3D">
              <w:rPr>
                <w:rFonts w:ascii="Arial" w:hAnsi="Arial" w:cs="Arial"/>
              </w:rPr>
              <w:t>.</w:t>
            </w:r>
          </w:p>
        </w:tc>
      </w:tr>
      <w:tr w:rsidR="008664B6" w:rsidRPr="00164A45" w14:paraId="6C20C2F6" w14:textId="77777777" w:rsidTr="00CD56C9">
        <w:trPr>
          <w:trHeight w:val="540"/>
        </w:trPr>
        <w:tc>
          <w:tcPr>
            <w:tcW w:w="2689" w:type="dxa"/>
          </w:tcPr>
          <w:p w14:paraId="574678B2" w14:textId="77777777" w:rsidR="008664B6" w:rsidRPr="00164A45" w:rsidRDefault="008664B6" w:rsidP="006F1659">
            <w:pPr>
              <w:spacing w:line="360" w:lineRule="auto"/>
              <w:rPr>
                <w:rFonts w:ascii="Arial" w:hAnsi="Arial" w:cs="Arial"/>
              </w:rPr>
            </w:pPr>
            <w:r w:rsidRPr="00E36EF9">
              <w:rPr>
                <w:rFonts w:ascii="Arial" w:hAnsi="Arial" w:cs="Arial"/>
              </w:rPr>
              <w:t>Mayoral Police Fund Balances</w:t>
            </w:r>
          </w:p>
        </w:tc>
        <w:tc>
          <w:tcPr>
            <w:tcW w:w="6327" w:type="dxa"/>
          </w:tcPr>
          <w:p w14:paraId="4591240C" w14:textId="757E859F" w:rsidR="008664B6" w:rsidRPr="00164A45" w:rsidRDefault="008664B6" w:rsidP="006F1659">
            <w:pPr>
              <w:spacing w:line="360" w:lineRule="auto"/>
              <w:rPr>
                <w:rFonts w:ascii="Arial" w:hAnsi="Arial" w:cs="Arial"/>
              </w:rPr>
            </w:pPr>
            <w:r>
              <w:rPr>
                <w:rFonts w:ascii="Arial" w:hAnsi="Arial" w:cs="Arial"/>
              </w:rPr>
              <w:t xml:space="preserve">Funding to support The Mayoral Police </w:t>
            </w:r>
            <w:r w:rsidR="002E1DEA">
              <w:rPr>
                <w:rFonts w:ascii="Arial" w:hAnsi="Arial" w:cs="Arial"/>
              </w:rPr>
              <w:t>F</w:t>
            </w:r>
            <w:r>
              <w:rPr>
                <w:rFonts w:ascii="Arial" w:hAnsi="Arial" w:cs="Arial"/>
              </w:rPr>
              <w:t>und</w:t>
            </w:r>
            <w:r w:rsidR="00C06A3D">
              <w:rPr>
                <w:rFonts w:ascii="Arial" w:hAnsi="Arial" w:cs="Arial"/>
              </w:rPr>
              <w:t>.</w:t>
            </w:r>
          </w:p>
        </w:tc>
      </w:tr>
    </w:tbl>
    <w:p w14:paraId="0419C2D6" w14:textId="77777777" w:rsidR="008664B6" w:rsidRDefault="008664B6" w:rsidP="006F1659">
      <w:pPr>
        <w:spacing w:line="360" w:lineRule="auto"/>
        <w:rPr>
          <w:rFonts w:ascii="Arial" w:hAnsi="Arial" w:cs="Arial"/>
          <w:b/>
          <w:sz w:val="22"/>
          <w:szCs w:val="22"/>
        </w:rPr>
      </w:pPr>
    </w:p>
    <w:p w14:paraId="41B9C2E1" w14:textId="0E7608CF" w:rsidR="00153EF1" w:rsidRDefault="00153EF1" w:rsidP="006F1659">
      <w:pPr>
        <w:spacing w:line="360" w:lineRule="auto"/>
        <w:rPr>
          <w:rFonts w:ascii="Arial" w:hAnsi="Arial" w:cs="Arial"/>
          <w:b/>
          <w:sz w:val="22"/>
          <w:szCs w:val="22"/>
        </w:rPr>
      </w:pPr>
    </w:p>
    <w:p w14:paraId="64B3B415" w14:textId="77777777" w:rsidR="00DA34B9" w:rsidRPr="0007572B" w:rsidRDefault="00DA34B9" w:rsidP="006F1659">
      <w:pPr>
        <w:spacing w:line="360" w:lineRule="auto"/>
        <w:rPr>
          <w:rFonts w:ascii="Arial" w:hAnsi="Arial" w:cs="Arial"/>
          <w:b/>
          <w:sz w:val="22"/>
          <w:szCs w:val="22"/>
        </w:rPr>
      </w:pPr>
    </w:p>
    <w:p w14:paraId="70A9573C" w14:textId="77777777" w:rsidR="00970D94" w:rsidRDefault="00970D94">
      <w:pPr>
        <w:rPr>
          <w:rFonts w:ascii="Arial" w:eastAsia="Palatino Linotype" w:hAnsi="Arial" w:cs="Arial"/>
          <w:b/>
          <w:bCs/>
          <w:szCs w:val="28"/>
          <w:lang w:val="en-US"/>
        </w:rPr>
      </w:pPr>
      <w:bookmarkStart w:id="111" w:name="_Toc92894883"/>
      <w:bookmarkStart w:id="112" w:name="_Toc92895187"/>
      <w:bookmarkStart w:id="113" w:name="_Toc109922621"/>
      <w:r>
        <w:br w:type="page"/>
      </w:r>
    </w:p>
    <w:p w14:paraId="1CF16AAE" w14:textId="4D0C6C73" w:rsidR="00F2757F" w:rsidRPr="0007572B" w:rsidRDefault="00FC62F7" w:rsidP="006F1659">
      <w:pPr>
        <w:pStyle w:val="Heading3greennumbered"/>
        <w:spacing w:line="360" w:lineRule="auto"/>
      </w:pPr>
      <w:r w:rsidRPr="0007572B">
        <w:lastRenderedPageBreak/>
        <w:t>1</w:t>
      </w:r>
      <w:r w:rsidR="0003456C" w:rsidRPr="0007572B">
        <w:t>1</w:t>
      </w:r>
      <w:r w:rsidRPr="0007572B">
        <w:t xml:space="preserve"> </w:t>
      </w:r>
      <w:r w:rsidR="00867D36" w:rsidRPr="0007572B">
        <w:t xml:space="preserve">Expenditure and Income Analysed by </w:t>
      </w:r>
      <w:r w:rsidR="00E913C8" w:rsidRPr="0007572B">
        <w:t>Nature</w:t>
      </w:r>
      <w:bookmarkEnd w:id="111"/>
      <w:bookmarkEnd w:id="112"/>
      <w:bookmarkEnd w:id="113"/>
    </w:p>
    <w:p w14:paraId="05B328C6" w14:textId="77777777" w:rsidR="005403AF" w:rsidRDefault="005403AF" w:rsidP="006F1659">
      <w:pPr>
        <w:spacing w:line="360" w:lineRule="auto"/>
        <w:rPr>
          <w:rFonts w:ascii="Arial" w:hAnsi="Arial" w:cs="Arial"/>
        </w:rPr>
      </w:pPr>
    </w:p>
    <w:p w14:paraId="4501F304" w14:textId="6E491B8F" w:rsidR="00F2757F" w:rsidRPr="0007572B" w:rsidRDefault="00DC5AAB" w:rsidP="006F1659">
      <w:pPr>
        <w:spacing w:line="360" w:lineRule="auto"/>
        <w:rPr>
          <w:rFonts w:ascii="Arial" w:hAnsi="Arial" w:cs="Arial"/>
        </w:rPr>
      </w:pPr>
      <w:r w:rsidRPr="0007572B">
        <w:rPr>
          <w:rFonts w:ascii="Arial" w:hAnsi="Arial" w:cs="Arial"/>
        </w:rPr>
        <w:t>This table shows the underlying nature of the income and expenditure of the Authority:</w:t>
      </w:r>
    </w:p>
    <w:p w14:paraId="76D4A78F" w14:textId="77777777" w:rsidR="002C3062" w:rsidRPr="0007572B" w:rsidRDefault="002C3062" w:rsidP="006F1659">
      <w:pPr>
        <w:spacing w:line="360" w:lineRule="auto"/>
        <w:rPr>
          <w:rFonts w:ascii="Arial" w:hAnsi="Arial" w:cs="Arial"/>
          <w:sz w:val="22"/>
          <w:szCs w:val="22"/>
        </w:rPr>
      </w:pPr>
    </w:p>
    <w:p w14:paraId="7A73B3D1" w14:textId="3B42D970" w:rsidR="00503BC1" w:rsidRPr="0007572B" w:rsidRDefault="00970D94" w:rsidP="006F1659">
      <w:pPr>
        <w:spacing w:line="360" w:lineRule="auto"/>
        <w:jc w:val="both"/>
        <w:rPr>
          <w:rFonts w:ascii="Arial" w:hAnsi="Arial" w:cs="Arial"/>
          <w:sz w:val="22"/>
          <w:szCs w:val="22"/>
        </w:rPr>
      </w:pPr>
      <w:r w:rsidRPr="00970D94">
        <w:rPr>
          <w:noProof/>
        </w:rPr>
        <w:drawing>
          <wp:inline distT="0" distB="0" distL="0" distR="0" wp14:anchorId="690383FF" wp14:editId="4AFB6652">
            <wp:extent cx="5708650" cy="3435350"/>
            <wp:effectExtent l="0" t="0" r="6350" b="0"/>
            <wp:docPr id="8422000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8650" cy="3435350"/>
                    </a:xfrm>
                    <a:prstGeom prst="rect">
                      <a:avLst/>
                    </a:prstGeom>
                    <a:noFill/>
                    <a:ln>
                      <a:noFill/>
                    </a:ln>
                  </pic:spPr>
                </pic:pic>
              </a:graphicData>
            </a:graphic>
          </wp:inline>
        </w:drawing>
      </w:r>
    </w:p>
    <w:p w14:paraId="71ABC11D" w14:textId="7F1DA70F" w:rsidR="00E853C6" w:rsidRDefault="00E853C6" w:rsidP="006F1659">
      <w:pPr>
        <w:spacing w:line="360" w:lineRule="auto"/>
        <w:rPr>
          <w:rFonts w:ascii="Arial" w:eastAsia="Palatino Linotype" w:hAnsi="Arial" w:cs="Arial"/>
          <w:b/>
          <w:bCs/>
          <w:szCs w:val="28"/>
          <w:lang w:val="en-US"/>
        </w:rPr>
      </w:pPr>
      <w:bookmarkStart w:id="114" w:name="_Toc92894884"/>
      <w:bookmarkStart w:id="115" w:name="_Toc92895188"/>
    </w:p>
    <w:p w14:paraId="331D0175" w14:textId="77777777" w:rsidR="00C06A3D" w:rsidRDefault="00C06A3D" w:rsidP="006F1659">
      <w:pPr>
        <w:spacing w:line="360" w:lineRule="auto"/>
        <w:rPr>
          <w:rFonts w:ascii="Arial" w:eastAsia="Palatino Linotype" w:hAnsi="Arial" w:cs="Arial"/>
          <w:b/>
          <w:bCs/>
          <w:szCs w:val="28"/>
          <w:lang w:val="en-US"/>
        </w:rPr>
      </w:pPr>
      <w:bookmarkStart w:id="116" w:name="_Toc109922622"/>
      <w:r>
        <w:br w:type="page"/>
      </w:r>
    </w:p>
    <w:p w14:paraId="0F3DE993" w14:textId="0C7D045C" w:rsidR="00FC62F7" w:rsidRPr="0007572B" w:rsidRDefault="00FC62F7" w:rsidP="006F1659">
      <w:pPr>
        <w:pStyle w:val="Heading3greennumbered"/>
        <w:spacing w:line="360" w:lineRule="auto"/>
      </w:pPr>
      <w:r w:rsidRPr="0007572B">
        <w:lastRenderedPageBreak/>
        <w:t>1</w:t>
      </w:r>
      <w:r w:rsidR="0003456C" w:rsidRPr="0007572B">
        <w:t>2</w:t>
      </w:r>
      <w:r w:rsidRPr="0007572B">
        <w:t xml:space="preserve"> Revenue Expenditure Funded from Capital under Statute</w:t>
      </w:r>
      <w:bookmarkEnd w:id="114"/>
      <w:bookmarkEnd w:id="115"/>
      <w:bookmarkEnd w:id="116"/>
    </w:p>
    <w:p w14:paraId="5C00B91B" w14:textId="77777777" w:rsidR="005403AF" w:rsidRDefault="005403AF" w:rsidP="006F1659">
      <w:pPr>
        <w:spacing w:line="360" w:lineRule="auto"/>
        <w:rPr>
          <w:rFonts w:ascii="Arial" w:hAnsi="Arial" w:cs="Arial"/>
        </w:rPr>
      </w:pPr>
    </w:p>
    <w:p w14:paraId="20AA5C31" w14:textId="452FF617" w:rsidR="00D35A13" w:rsidRPr="0007572B" w:rsidRDefault="00FC62F7" w:rsidP="006F1659">
      <w:pPr>
        <w:spacing w:line="360" w:lineRule="auto"/>
        <w:rPr>
          <w:rFonts w:ascii="Arial" w:hAnsi="Arial" w:cs="Arial"/>
        </w:rPr>
      </w:pPr>
      <w:r w:rsidRPr="0007572B">
        <w:rPr>
          <w:rFonts w:ascii="Arial" w:hAnsi="Arial" w:cs="Arial"/>
        </w:rPr>
        <w:t>Capital grants payable to TfGM/</w:t>
      </w:r>
      <w:r w:rsidR="002952F9" w:rsidRPr="0007572B">
        <w:rPr>
          <w:rFonts w:ascii="Arial" w:hAnsi="Arial" w:cs="Arial"/>
        </w:rPr>
        <w:t>GM Authorities</w:t>
      </w:r>
      <w:r w:rsidRPr="0007572B">
        <w:rPr>
          <w:rFonts w:ascii="Arial" w:hAnsi="Arial" w:cs="Arial"/>
        </w:rPr>
        <w:t xml:space="preserve"> and </w:t>
      </w:r>
      <w:r w:rsidR="0063513E" w:rsidRPr="0007572B">
        <w:rPr>
          <w:rFonts w:ascii="Arial" w:hAnsi="Arial" w:cs="Arial"/>
        </w:rPr>
        <w:t xml:space="preserve">other </w:t>
      </w:r>
      <w:r w:rsidRPr="0007572B">
        <w:rPr>
          <w:rFonts w:ascii="Arial" w:hAnsi="Arial" w:cs="Arial"/>
        </w:rPr>
        <w:t xml:space="preserve">bodies delivering economic development and regeneration projects are charged to the Comprehensive Income and Expenditure </w:t>
      </w:r>
      <w:r w:rsidR="00DC5AAB" w:rsidRPr="0007572B">
        <w:rPr>
          <w:rFonts w:ascii="Arial" w:hAnsi="Arial" w:cs="Arial"/>
        </w:rPr>
        <w:t>S</w:t>
      </w:r>
      <w:r w:rsidRPr="0007572B">
        <w:rPr>
          <w:rFonts w:ascii="Arial" w:hAnsi="Arial" w:cs="Arial"/>
        </w:rPr>
        <w:t xml:space="preserve">tatement as expenditure incurred and </w:t>
      </w:r>
      <w:r w:rsidR="00DC5AAB" w:rsidRPr="0007572B">
        <w:rPr>
          <w:rFonts w:ascii="Arial" w:hAnsi="Arial" w:cs="Arial"/>
        </w:rPr>
        <w:t>they are</w:t>
      </w:r>
      <w:r w:rsidRPr="0007572B">
        <w:rPr>
          <w:rFonts w:ascii="Arial" w:hAnsi="Arial" w:cs="Arial"/>
        </w:rPr>
        <w:t xml:space="preserve"> then r</w:t>
      </w:r>
      <w:r w:rsidR="0063513E" w:rsidRPr="0007572B">
        <w:rPr>
          <w:rFonts w:ascii="Arial" w:hAnsi="Arial" w:cs="Arial"/>
        </w:rPr>
        <w:t>eversed out in the Movement in R</w:t>
      </w:r>
      <w:r w:rsidRPr="0007572B">
        <w:rPr>
          <w:rFonts w:ascii="Arial" w:hAnsi="Arial" w:cs="Arial"/>
        </w:rPr>
        <w:t>eserves Statement.</w:t>
      </w:r>
    </w:p>
    <w:p w14:paraId="44EA8917" w14:textId="74AC95B8" w:rsidR="00740996" w:rsidRPr="0007572B" w:rsidRDefault="00740996" w:rsidP="006F1659">
      <w:pPr>
        <w:spacing w:line="360" w:lineRule="auto"/>
        <w:rPr>
          <w:rFonts w:ascii="Arial" w:hAnsi="Arial" w:cs="Arial"/>
          <w:b/>
          <w:sz w:val="22"/>
          <w:szCs w:val="22"/>
        </w:rPr>
      </w:pPr>
    </w:p>
    <w:p w14:paraId="7563600C" w14:textId="4BF21F6B" w:rsidR="00EB27EB" w:rsidRDefault="008D2DA5" w:rsidP="006F1659">
      <w:pPr>
        <w:spacing w:line="360" w:lineRule="auto"/>
        <w:jc w:val="both"/>
        <w:rPr>
          <w:rFonts w:ascii="Arial" w:hAnsi="Arial" w:cs="Arial"/>
          <w:sz w:val="22"/>
          <w:szCs w:val="22"/>
        </w:rPr>
      </w:pPr>
      <w:r w:rsidRPr="008D2DA5">
        <w:rPr>
          <w:noProof/>
        </w:rPr>
        <w:drawing>
          <wp:inline distT="0" distB="0" distL="0" distR="0" wp14:anchorId="04BDE293" wp14:editId="1904CF00">
            <wp:extent cx="5589905" cy="8972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9905" cy="897255"/>
                    </a:xfrm>
                    <a:prstGeom prst="rect">
                      <a:avLst/>
                    </a:prstGeom>
                    <a:noFill/>
                    <a:ln>
                      <a:noFill/>
                    </a:ln>
                  </pic:spPr>
                </pic:pic>
              </a:graphicData>
            </a:graphic>
          </wp:inline>
        </w:drawing>
      </w:r>
      <w:bookmarkStart w:id="117" w:name="_Toc92894885"/>
      <w:bookmarkStart w:id="118" w:name="_Toc92895189"/>
    </w:p>
    <w:p w14:paraId="41CAE94C" w14:textId="77777777" w:rsidR="00C06A3D" w:rsidRDefault="00C06A3D" w:rsidP="006F1659">
      <w:pPr>
        <w:spacing w:line="360" w:lineRule="auto"/>
        <w:jc w:val="both"/>
        <w:rPr>
          <w:rFonts w:ascii="Arial" w:hAnsi="Arial" w:cs="Arial"/>
          <w:sz w:val="22"/>
          <w:szCs w:val="22"/>
        </w:rPr>
      </w:pPr>
    </w:p>
    <w:p w14:paraId="588130C2" w14:textId="77777777" w:rsidR="00C06A3D" w:rsidRPr="008D2DA5" w:rsidRDefault="00C06A3D" w:rsidP="006F1659">
      <w:pPr>
        <w:spacing w:line="360" w:lineRule="auto"/>
        <w:jc w:val="both"/>
        <w:rPr>
          <w:rFonts w:ascii="Arial" w:hAnsi="Arial" w:cs="Arial"/>
          <w:sz w:val="22"/>
          <w:szCs w:val="22"/>
        </w:rPr>
      </w:pPr>
    </w:p>
    <w:p w14:paraId="31753C35" w14:textId="77777777" w:rsidR="00C06A3D" w:rsidRDefault="00C06A3D" w:rsidP="006F1659">
      <w:pPr>
        <w:spacing w:line="360" w:lineRule="auto"/>
        <w:rPr>
          <w:rFonts w:ascii="Arial" w:eastAsia="Palatino Linotype" w:hAnsi="Arial" w:cs="Arial"/>
          <w:b/>
          <w:bCs/>
          <w:szCs w:val="28"/>
          <w:lang w:val="en-US"/>
        </w:rPr>
      </w:pPr>
      <w:bookmarkStart w:id="119" w:name="_Toc109922623"/>
      <w:r>
        <w:br w:type="page"/>
      </w:r>
    </w:p>
    <w:p w14:paraId="414D5B15" w14:textId="1C70E105" w:rsidR="000B67F1" w:rsidRPr="0007572B" w:rsidRDefault="00BE7266" w:rsidP="006F1659">
      <w:pPr>
        <w:pStyle w:val="Heading3greennumbered"/>
        <w:spacing w:line="360" w:lineRule="auto"/>
      </w:pPr>
      <w:r w:rsidRPr="0007572B">
        <w:lastRenderedPageBreak/>
        <w:t>1</w:t>
      </w:r>
      <w:r w:rsidR="0003456C" w:rsidRPr="0007572B">
        <w:t>3</w:t>
      </w:r>
      <w:r w:rsidR="000B67F1" w:rsidRPr="0007572B">
        <w:t xml:space="preserve"> </w:t>
      </w:r>
      <w:r w:rsidR="00AE492B" w:rsidRPr="0007572B">
        <w:t>Grants and Contributions</w:t>
      </w:r>
      <w:r w:rsidR="00FB0A7D" w:rsidRPr="0007572B">
        <w:t xml:space="preserve"> Credited to Comprehensive Income</w:t>
      </w:r>
      <w:bookmarkEnd w:id="117"/>
      <w:bookmarkEnd w:id="118"/>
      <w:bookmarkEnd w:id="119"/>
    </w:p>
    <w:p w14:paraId="34D24AAB" w14:textId="77777777" w:rsidR="00582177" w:rsidRDefault="00582177" w:rsidP="006F1659">
      <w:pPr>
        <w:spacing w:line="360" w:lineRule="auto"/>
        <w:rPr>
          <w:rFonts w:ascii="Arial" w:hAnsi="Arial" w:cs="Arial"/>
        </w:rPr>
      </w:pPr>
    </w:p>
    <w:p w14:paraId="122964EE" w14:textId="1A8D2BB4" w:rsidR="00582177" w:rsidRDefault="00DC5AAB" w:rsidP="006F1659">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credited the following grants and contributions to the Comprehensive Income and Expenditure Statement:</w:t>
      </w:r>
      <w:r w:rsidR="0081587D" w:rsidRPr="0081587D">
        <w:rPr>
          <w:rFonts w:ascii="Arial" w:hAnsi="Arial" w:cs="Arial"/>
        </w:rPr>
        <w:t xml:space="preserve"> </w:t>
      </w:r>
    </w:p>
    <w:p w14:paraId="6E9BFC10" w14:textId="4B3C477B" w:rsidR="00203F2A" w:rsidRDefault="00970D94" w:rsidP="006F1659">
      <w:pPr>
        <w:spacing w:line="360" w:lineRule="auto"/>
        <w:rPr>
          <w:rFonts w:ascii="Arial" w:hAnsi="Arial" w:cs="Arial"/>
        </w:rPr>
      </w:pPr>
      <w:r w:rsidRPr="00970D94">
        <w:rPr>
          <w:noProof/>
        </w:rPr>
        <w:drawing>
          <wp:inline distT="0" distB="0" distL="0" distR="0" wp14:anchorId="16F7E663" wp14:editId="48B354DB">
            <wp:extent cx="5441950" cy="7673807"/>
            <wp:effectExtent l="0" t="0" r="6350" b="3810"/>
            <wp:docPr id="13575948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1219" cy="7686877"/>
                    </a:xfrm>
                    <a:prstGeom prst="rect">
                      <a:avLst/>
                    </a:prstGeom>
                    <a:noFill/>
                    <a:ln>
                      <a:noFill/>
                    </a:ln>
                  </pic:spPr>
                </pic:pic>
              </a:graphicData>
            </a:graphic>
          </wp:inline>
        </w:drawing>
      </w:r>
    </w:p>
    <w:p w14:paraId="020209BA" w14:textId="0BD276AD" w:rsidR="00826230" w:rsidRDefault="001B1F13" w:rsidP="006F1659">
      <w:pPr>
        <w:spacing w:line="360" w:lineRule="auto"/>
        <w:rPr>
          <w:rFonts w:ascii="Arial" w:hAnsi="Arial" w:cs="Arial"/>
        </w:rPr>
      </w:pPr>
      <w:r w:rsidRPr="001B1F13">
        <w:rPr>
          <w:noProof/>
        </w:rPr>
        <w:lastRenderedPageBreak/>
        <w:drawing>
          <wp:inline distT="0" distB="0" distL="0" distR="0" wp14:anchorId="0F45BE37" wp14:editId="7CF3816A">
            <wp:extent cx="5467350" cy="1550302"/>
            <wp:effectExtent l="0" t="0" r="0" b="0"/>
            <wp:docPr id="10640590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6140" cy="1552794"/>
                    </a:xfrm>
                    <a:prstGeom prst="rect">
                      <a:avLst/>
                    </a:prstGeom>
                    <a:noFill/>
                    <a:ln>
                      <a:noFill/>
                    </a:ln>
                  </pic:spPr>
                </pic:pic>
              </a:graphicData>
            </a:graphic>
          </wp:inline>
        </w:drawing>
      </w:r>
    </w:p>
    <w:p w14:paraId="6187630A" w14:textId="77777777" w:rsidR="005427F0" w:rsidRPr="0007572B" w:rsidRDefault="005427F0" w:rsidP="006F1659">
      <w:pPr>
        <w:spacing w:line="360" w:lineRule="auto"/>
        <w:rPr>
          <w:rFonts w:ascii="Arial" w:hAnsi="Arial" w:cs="Arial"/>
        </w:rPr>
      </w:pPr>
    </w:p>
    <w:p w14:paraId="2B533040" w14:textId="01748683" w:rsidR="0007382A" w:rsidRDefault="0007382A" w:rsidP="006F1659">
      <w:pPr>
        <w:spacing w:line="360" w:lineRule="auto"/>
        <w:rPr>
          <w:rFonts w:ascii="Arial" w:hAnsi="Arial" w:cs="Arial"/>
        </w:rPr>
      </w:pPr>
      <w:r w:rsidRPr="00C06A3D">
        <w:rPr>
          <w:rFonts w:ascii="Arial" w:hAnsi="Arial" w:cs="Arial"/>
        </w:rPr>
        <w:t>*The full benefit of the saving from a loan provided at below market rate interest is treated as a grant in the year the loan funds are received. In future years the benefit is reduced annually over the remaining years of the loan term using a fair value effective interest rate.</w:t>
      </w:r>
    </w:p>
    <w:p w14:paraId="2923C24B" w14:textId="0068A692" w:rsidR="00AC4453" w:rsidRDefault="00AC4453" w:rsidP="006F1659">
      <w:pPr>
        <w:spacing w:line="360" w:lineRule="auto"/>
        <w:rPr>
          <w:rFonts w:ascii="Arial" w:eastAsia="Palatino Linotype" w:hAnsi="Arial" w:cs="Arial"/>
          <w:b/>
          <w:bCs/>
          <w:szCs w:val="28"/>
          <w:lang w:val="en-US"/>
        </w:rPr>
      </w:pPr>
      <w:bookmarkStart w:id="120" w:name="_Toc92894886"/>
      <w:bookmarkStart w:id="121" w:name="_Toc92895190"/>
    </w:p>
    <w:p w14:paraId="08DC228F" w14:textId="77777777" w:rsidR="00EB27EB" w:rsidRDefault="00EB27EB" w:rsidP="006F1659">
      <w:pPr>
        <w:spacing w:line="360" w:lineRule="auto"/>
        <w:rPr>
          <w:rFonts w:ascii="Arial" w:eastAsia="Palatino Linotype" w:hAnsi="Arial" w:cs="Arial"/>
          <w:b/>
          <w:bCs/>
          <w:szCs w:val="28"/>
          <w:lang w:val="en-US"/>
        </w:rPr>
      </w:pPr>
      <w:r>
        <w:br w:type="page"/>
      </w:r>
    </w:p>
    <w:p w14:paraId="005777B9" w14:textId="331F4931" w:rsidR="000B67F1" w:rsidRPr="0007572B" w:rsidRDefault="00BE7266" w:rsidP="006F1659">
      <w:pPr>
        <w:pStyle w:val="Heading3greennumbered"/>
        <w:spacing w:line="360" w:lineRule="auto"/>
      </w:pPr>
      <w:bookmarkStart w:id="122" w:name="_Toc109922624"/>
      <w:r w:rsidRPr="0007572B">
        <w:lastRenderedPageBreak/>
        <w:t>1</w:t>
      </w:r>
      <w:r w:rsidR="0003456C" w:rsidRPr="0007572B">
        <w:t>4</w:t>
      </w:r>
      <w:r w:rsidR="000B67F1" w:rsidRPr="0007572B">
        <w:t xml:space="preserve"> Grants and Contributions </w:t>
      </w:r>
      <w:r w:rsidRPr="0007572B">
        <w:t>Received in Advance</w:t>
      </w:r>
      <w:bookmarkEnd w:id="120"/>
      <w:bookmarkEnd w:id="121"/>
      <w:bookmarkEnd w:id="122"/>
    </w:p>
    <w:p w14:paraId="37A0C9F3" w14:textId="77777777" w:rsidR="005403AF" w:rsidRDefault="005403AF" w:rsidP="006F1659">
      <w:pPr>
        <w:spacing w:line="360" w:lineRule="auto"/>
        <w:rPr>
          <w:rFonts w:ascii="Arial" w:hAnsi="Arial" w:cs="Arial"/>
        </w:rPr>
      </w:pPr>
    </w:p>
    <w:p w14:paraId="54C6D695" w14:textId="2AF263FF" w:rsidR="00C06A2E" w:rsidRPr="0007572B" w:rsidRDefault="00DC5AAB" w:rsidP="006F1659">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received the following grants</w:t>
      </w:r>
      <w:r w:rsidR="00FD37D7" w:rsidRPr="0007572B">
        <w:rPr>
          <w:rFonts w:ascii="Arial" w:hAnsi="Arial" w:cs="Arial"/>
        </w:rPr>
        <w:t xml:space="preserve"> and contributions</w:t>
      </w:r>
      <w:r w:rsidR="000B67F1" w:rsidRPr="0007572B">
        <w:rPr>
          <w:rFonts w:ascii="Arial" w:hAnsi="Arial" w:cs="Arial"/>
        </w:rPr>
        <w:t xml:space="preserve"> in advance. These were not credited to the</w:t>
      </w:r>
      <w:r w:rsidR="000B67F1" w:rsidRPr="0007572B">
        <w:rPr>
          <w:rFonts w:ascii="Arial" w:hAnsi="Arial" w:cs="Arial"/>
          <w:b/>
        </w:rPr>
        <w:t xml:space="preserve"> </w:t>
      </w:r>
      <w:r w:rsidR="000B67F1" w:rsidRPr="0007572B">
        <w:rPr>
          <w:rFonts w:ascii="Arial" w:hAnsi="Arial" w:cs="Arial"/>
        </w:rPr>
        <w:t>Comprehensive Income and Expenditure Statement as they have conditions that have not yet been met.</w:t>
      </w:r>
    </w:p>
    <w:p w14:paraId="6CEC12A9" w14:textId="0EDC0D2E" w:rsidR="00503BC1" w:rsidRPr="0007572B" w:rsidRDefault="005B6C97" w:rsidP="006F1659">
      <w:pPr>
        <w:spacing w:line="360" w:lineRule="auto"/>
        <w:jc w:val="both"/>
        <w:rPr>
          <w:rFonts w:ascii="Arial" w:hAnsi="Arial" w:cs="Arial"/>
          <w:sz w:val="22"/>
          <w:szCs w:val="22"/>
        </w:rPr>
      </w:pPr>
      <w:r w:rsidRPr="005B6C97">
        <w:rPr>
          <w:noProof/>
        </w:rPr>
        <w:drawing>
          <wp:inline distT="0" distB="0" distL="0" distR="0" wp14:anchorId="27018477" wp14:editId="7EAF62A5">
            <wp:extent cx="5232400" cy="7174187"/>
            <wp:effectExtent l="0" t="0" r="6350" b="8255"/>
            <wp:docPr id="4886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6112" cy="7179276"/>
                    </a:xfrm>
                    <a:prstGeom prst="rect">
                      <a:avLst/>
                    </a:prstGeom>
                    <a:noFill/>
                    <a:ln>
                      <a:noFill/>
                    </a:ln>
                  </pic:spPr>
                </pic:pic>
              </a:graphicData>
            </a:graphic>
          </wp:inline>
        </w:drawing>
      </w:r>
    </w:p>
    <w:p w14:paraId="49FC6304" w14:textId="4AB70428" w:rsidR="00AD5C22" w:rsidRPr="0007572B" w:rsidRDefault="00AD5C22" w:rsidP="006F1659">
      <w:pPr>
        <w:spacing w:line="360" w:lineRule="auto"/>
        <w:rPr>
          <w:rFonts w:ascii="Arial" w:hAnsi="Arial" w:cs="Arial"/>
          <w:b/>
          <w:sz w:val="22"/>
          <w:szCs w:val="22"/>
        </w:rPr>
      </w:pPr>
      <w:r w:rsidRPr="0007572B">
        <w:rPr>
          <w:rFonts w:ascii="Arial" w:hAnsi="Arial" w:cs="Arial"/>
          <w:b/>
          <w:sz w:val="22"/>
          <w:szCs w:val="22"/>
        </w:rPr>
        <w:br w:type="page"/>
      </w:r>
    </w:p>
    <w:p w14:paraId="2FF4837E" w14:textId="31D8798C" w:rsidR="00BF67F6" w:rsidRPr="0007572B" w:rsidRDefault="00BE7266" w:rsidP="006F1659">
      <w:pPr>
        <w:pStyle w:val="Heading3greennumbered"/>
        <w:spacing w:line="360" w:lineRule="auto"/>
      </w:pPr>
      <w:bookmarkStart w:id="123" w:name="_Toc92894887"/>
      <w:bookmarkStart w:id="124" w:name="_Toc92895191"/>
      <w:bookmarkStart w:id="125" w:name="_Toc109922625"/>
      <w:r w:rsidRPr="0007572B">
        <w:lastRenderedPageBreak/>
        <w:t>1</w:t>
      </w:r>
      <w:r w:rsidR="0003456C" w:rsidRPr="0007572B">
        <w:t>5</w:t>
      </w:r>
      <w:r w:rsidR="00FC62F7" w:rsidRPr="0007572B">
        <w:t xml:space="preserve"> </w:t>
      </w:r>
      <w:r w:rsidR="00F2757F" w:rsidRPr="0007572B">
        <w:t xml:space="preserve">Financing and Investment </w:t>
      </w:r>
      <w:r w:rsidRPr="0007572B">
        <w:t xml:space="preserve">Income </w:t>
      </w:r>
      <w:r w:rsidR="000E5378" w:rsidRPr="0007572B">
        <w:t>and Expenditure</w:t>
      </w:r>
      <w:bookmarkEnd w:id="123"/>
      <w:bookmarkEnd w:id="124"/>
      <w:bookmarkEnd w:id="125"/>
    </w:p>
    <w:p w14:paraId="7F10BF90" w14:textId="77777777" w:rsidR="005403AF" w:rsidRDefault="005403AF" w:rsidP="006F1659">
      <w:pPr>
        <w:spacing w:line="360" w:lineRule="auto"/>
        <w:rPr>
          <w:rFonts w:ascii="Arial" w:hAnsi="Arial" w:cs="Arial"/>
          <w:b/>
          <w:sz w:val="22"/>
          <w:szCs w:val="22"/>
        </w:rPr>
      </w:pPr>
    </w:p>
    <w:p w14:paraId="6C341D66" w14:textId="7960F017" w:rsidR="00767BDD" w:rsidRPr="0007572B" w:rsidRDefault="001B1F13" w:rsidP="006F1659">
      <w:pPr>
        <w:spacing w:line="360" w:lineRule="auto"/>
        <w:rPr>
          <w:rFonts w:ascii="Arial" w:hAnsi="Arial" w:cs="Arial"/>
          <w:b/>
          <w:sz w:val="22"/>
          <w:szCs w:val="22"/>
        </w:rPr>
      </w:pPr>
      <w:r w:rsidRPr="001B1F13">
        <w:rPr>
          <w:noProof/>
        </w:rPr>
        <w:drawing>
          <wp:inline distT="0" distB="0" distL="0" distR="0" wp14:anchorId="430460DE" wp14:editId="75039F5B">
            <wp:extent cx="5270500" cy="886803"/>
            <wp:effectExtent l="0" t="0" r="6350" b="8890"/>
            <wp:docPr id="3356130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93545" cy="890680"/>
                    </a:xfrm>
                    <a:prstGeom prst="rect">
                      <a:avLst/>
                    </a:prstGeom>
                    <a:noFill/>
                    <a:ln>
                      <a:noFill/>
                    </a:ln>
                  </pic:spPr>
                </pic:pic>
              </a:graphicData>
            </a:graphic>
          </wp:inline>
        </w:drawing>
      </w:r>
    </w:p>
    <w:p w14:paraId="07EBD1BD" w14:textId="5BFDAC8F" w:rsidR="00501D98" w:rsidRPr="0007572B" w:rsidRDefault="00501D98" w:rsidP="006F1659">
      <w:pPr>
        <w:spacing w:line="360" w:lineRule="auto"/>
        <w:rPr>
          <w:rFonts w:ascii="Arial" w:hAnsi="Arial" w:cs="Arial"/>
          <w:b/>
          <w:sz w:val="22"/>
          <w:szCs w:val="22"/>
        </w:rPr>
      </w:pPr>
    </w:p>
    <w:p w14:paraId="0D398D4B" w14:textId="6944B34C" w:rsidR="00CF0BB7" w:rsidRPr="0007572B" w:rsidRDefault="008D2DA5" w:rsidP="006F1659">
      <w:pPr>
        <w:spacing w:line="360" w:lineRule="auto"/>
        <w:rPr>
          <w:rFonts w:ascii="Arial" w:hAnsi="Arial" w:cs="Arial"/>
          <w:b/>
          <w:sz w:val="22"/>
          <w:szCs w:val="22"/>
        </w:rPr>
      </w:pPr>
      <w:r w:rsidRPr="008D2DA5">
        <w:rPr>
          <w:noProof/>
        </w:rPr>
        <w:drawing>
          <wp:inline distT="0" distB="0" distL="0" distR="0" wp14:anchorId="639D6029" wp14:editId="2C32A542">
            <wp:extent cx="5276850" cy="112481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14308" cy="1132802"/>
                    </a:xfrm>
                    <a:prstGeom prst="rect">
                      <a:avLst/>
                    </a:prstGeom>
                    <a:noFill/>
                    <a:ln>
                      <a:noFill/>
                    </a:ln>
                  </pic:spPr>
                </pic:pic>
              </a:graphicData>
            </a:graphic>
          </wp:inline>
        </w:drawing>
      </w:r>
    </w:p>
    <w:p w14:paraId="7F66F0ED" w14:textId="77777777" w:rsidR="000E5378" w:rsidRPr="0007572B" w:rsidRDefault="000E5378" w:rsidP="006F1659">
      <w:pPr>
        <w:spacing w:line="360" w:lineRule="auto"/>
        <w:rPr>
          <w:rFonts w:ascii="Arial" w:hAnsi="Arial" w:cs="Arial"/>
          <w:b/>
          <w:sz w:val="22"/>
          <w:szCs w:val="22"/>
        </w:rPr>
      </w:pPr>
    </w:p>
    <w:p w14:paraId="2427C34B" w14:textId="2CB1B9CA" w:rsidR="00FC62F7" w:rsidRPr="0007572B" w:rsidRDefault="00BF67F6" w:rsidP="006F1659">
      <w:pPr>
        <w:pStyle w:val="Heading3greennumbered"/>
        <w:spacing w:line="360" w:lineRule="auto"/>
      </w:pPr>
      <w:bookmarkStart w:id="126" w:name="_Toc92894888"/>
      <w:bookmarkStart w:id="127" w:name="_Toc92895192"/>
      <w:bookmarkStart w:id="128" w:name="_Toc109922626"/>
      <w:r w:rsidRPr="0007572B">
        <w:t>1</w:t>
      </w:r>
      <w:r w:rsidR="0003456C" w:rsidRPr="0007572B">
        <w:t>6</w:t>
      </w:r>
      <w:r w:rsidR="00FC62F7" w:rsidRPr="0007572B">
        <w:t xml:space="preserve"> Taxation and Non</w:t>
      </w:r>
      <w:r w:rsidR="000C364F" w:rsidRPr="0007572B">
        <w:t>-</w:t>
      </w:r>
      <w:r w:rsidR="00FC62F7" w:rsidRPr="0007572B">
        <w:t>Specific Grant Income</w:t>
      </w:r>
      <w:bookmarkEnd w:id="126"/>
      <w:bookmarkEnd w:id="127"/>
      <w:bookmarkEnd w:id="128"/>
    </w:p>
    <w:p w14:paraId="02889853" w14:textId="07C7B4F7" w:rsidR="00503BC1" w:rsidRDefault="00503BC1" w:rsidP="006F1659">
      <w:pPr>
        <w:spacing w:line="360" w:lineRule="auto"/>
        <w:jc w:val="both"/>
        <w:rPr>
          <w:rFonts w:ascii="Arial" w:hAnsi="Arial" w:cs="Arial"/>
          <w:sz w:val="22"/>
          <w:szCs w:val="22"/>
        </w:rPr>
      </w:pPr>
    </w:p>
    <w:p w14:paraId="00ED2D1C" w14:textId="4242ACED" w:rsidR="00596963" w:rsidRPr="0007572B" w:rsidRDefault="001B1F13" w:rsidP="006F1659">
      <w:pPr>
        <w:spacing w:line="360" w:lineRule="auto"/>
        <w:rPr>
          <w:rFonts w:ascii="Arial" w:hAnsi="Arial" w:cs="Arial"/>
          <w:b/>
          <w:sz w:val="22"/>
          <w:szCs w:val="22"/>
        </w:rPr>
      </w:pPr>
      <w:r w:rsidRPr="001B1F13">
        <w:rPr>
          <w:noProof/>
        </w:rPr>
        <w:drawing>
          <wp:inline distT="0" distB="0" distL="0" distR="0" wp14:anchorId="2FBBAC79" wp14:editId="788B2071">
            <wp:extent cx="5309017" cy="4953000"/>
            <wp:effectExtent l="0" t="0" r="6350" b="0"/>
            <wp:docPr id="13069812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5246" cy="4958812"/>
                    </a:xfrm>
                    <a:prstGeom prst="rect">
                      <a:avLst/>
                    </a:prstGeom>
                    <a:noFill/>
                    <a:ln>
                      <a:noFill/>
                    </a:ln>
                  </pic:spPr>
                </pic:pic>
              </a:graphicData>
            </a:graphic>
          </wp:inline>
        </w:drawing>
      </w:r>
      <w:r w:rsidR="00596963" w:rsidRPr="0007572B">
        <w:rPr>
          <w:rFonts w:ascii="Arial" w:hAnsi="Arial" w:cs="Arial"/>
          <w:b/>
          <w:sz w:val="22"/>
          <w:szCs w:val="22"/>
        </w:rPr>
        <w:br w:type="page"/>
      </w:r>
    </w:p>
    <w:p w14:paraId="61BA394F" w14:textId="6C617CF4" w:rsidR="00115DCD" w:rsidRPr="0007572B" w:rsidRDefault="00E913C8" w:rsidP="006F1659">
      <w:pPr>
        <w:pStyle w:val="Heading3greennumbered"/>
        <w:spacing w:line="360" w:lineRule="auto"/>
      </w:pPr>
      <w:bookmarkStart w:id="129" w:name="_Toc92894889"/>
      <w:bookmarkStart w:id="130" w:name="_Toc92895193"/>
      <w:bookmarkStart w:id="131" w:name="_Toc109922627"/>
      <w:r w:rsidRPr="0007572B">
        <w:lastRenderedPageBreak/>
        <w:t>17</w:t>
      </w:r>
      <w:r w:rsidR="00FC62F7" w:rsidRPr="0007572B">
        <w:t xml:space="preserve"> External Audit Fees</w:t>
      </w:r>
      <w:bookmarkEnd w:id="129"/>
      <w:bookmarkEnd w:id="130"/>
      <w:bookmarkEnd w:id="131"/>
      <w:r w:rsidR="009C096E" w:rsidRPr="0007572B">
        <w:tab/>
      </w:r>
    </w:p>
    <w:p w14:paraId="773D9E4F" w14:textId="77777777" w:rsidR="005403AF" w:rsidRDefault="005403AF" w:rsidP="006F1659">
      <w:pPr>
        <w:spacing w:line="360" w:lineRule="auto"/>
        <w:rPr>
          <w:rFonts w:ascii="Arial" w:hAnsi="Arial" w:cs="Arial"/>
        </w:rPr>
      </w:pPr>
    </w:p>
    <w:p w14:paraId="5F060874" w14:textId="1125BDC1" w:rsidR="00FC62F7" w:rsidRDefault="00DC5AAB" w:rsidP="006F1659">
      <w:pPr>
        <w:spacing w:line="360" w:lineRule="auto"/>
        <w:rPr>
          <w:rFonts w:ascii="Arial" w:hAnsi="Arial" w:cs="Arial"/>
        </w:rPr>
      </w:pPr>
      <w:r w:rsidRPr="0007572B">
        <w:rPr>
          <w:rFonts w:ascii="Arial" w:hAnsi="Arial" w:cs="Arial"/>
        </w:rPr>
        <w:t>The Authority</w:t>
      </w:r>
      <w:r w:rsidR="00FC62F7" w:rsidRPr="0007572B">
        <w:rPr>
          <w:rFonts w:ascii="Arial" w:hAnsi="Arial" w:cs="Arial"/>
        </w:rPr>
        <w:t xml:space="preserve"> has incurred the following External Audit costs in relation to the audit of the Statement of Accounts and certification of grant claims.</w:t>
      </w:r>
    </w:p>
    <w:p w14:paraId="057F361E" w14:textId="77777777" w:rsidR="00D35A13" w:rsidRPr="0007572B" w:rsidRDefault="00D35A13" w:rsidP="006F1659">
      <w:pPr>
        <w:spacing w:line="360" w:lineRule="auto"/>
        <w:rPr>
          <w:rFonts w:ascii="Arial" w:hAnsi="Arial" w:cs="Arial"/>
          <w:b/>
          <w:sz w:val="22"/>
          <w:szCs w:val="22"/>
        </w:rPr>
      </w:pPr>
    </w:p>
    <w:p w14:paraId="7C4BC68E" w14:textId="0614EE62" w:rsidR="005F3210" w:rsidRPr="0007572B" w:rsidRDefault="001B1F13" w:rsidP="006F1659">
      <w:pPr>
        <w:spacing w:line="360" w:lineRule="auto"/>
        <w:rPr>
          <w:rFonts w:ascii="Arial" w:hAnsi="Arial" w:cs="Arial"/>
          <w:b/>
          <w:sz w:val="22"/>
          <w:szCs w:val="22"/>
        </w:rPr>
      </w:pPr>
      <w:r w:rsidRPr="001B1F13">
        <w:rPr>
          <w:noProof/>
        </w:rPr>
        <w:drawing>
          <wp:inline distT="0" distB="0" distL="0" distR="0" wp14:anchorId="08FB9FFE" wp14:editId="7698EFB1">
            <wp:extent cx="5613400" cy="1022350"/>
            <wp:effectExtent l="0" t="0" r="6350" b="6350"/>
            <wp:docPr id="9451880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1022350"/>
                    </a:xfrm>
                    <a:prstGeom prst="rect">
                      <a:avLst/>
                    </a:prstGeom>
                    <a:noFill/>
                    <a:ln>
                      <a:noFill/>
                    </a:ln>
                  </pic:spPr>
                </pic:pic>
              </a:graphicData>
            </a:graphic>
          </wp:inline>
        </w:drawing>
      </w:r>
    </w:p>
    <w:p w14:paraId="58401553" w14:textId="7178458C" w:rsidR="00EB27EB" w:rsidRDefault="00EB27EB" w:rsidP="006F1659">
      <w:pPr>
        <w:spacing w:line="360" w:lineRule="auto"/>
        <w:rPr>
          <w:rFonts w:ascii="Arial" w:hAnsi="Arial" w:cs="Arial"/>
          <w:b/>
          <w:sz w:val="22"/>
          <w:szCs w:val="22"/>
        </w:rPr>
      </w:pPr>
    </w:p>
    <w:p w14:paraId="2C9582EB" w14:textId="77777777" w:rsidR="001B1F13" w:rsidRDefault="001B1F13">
      <w:pPr>
        <w:rPr>
          <w:rFonts w:ascii="Arial" w:eastAsia="Palatino Linotype" w:hAnsi="Arial" w:cs="Arial"/>
          <w:b/>
          <w:bCs/>
          <w:szCs w:val="28"/>
          <w:lang w:val="en-US"/>
        </w:rPr>
      </w:pPr>
      <w:bookmarkStart w:id="132" w:name="_Toc92894890"/>
      <w:bookmarkStart w:id="133" w:name="_Toc92895194"/>
      <w:bookmarkStart w:id="134" w:name="_Toc109922628"/>
      <w:r>
        <w:br w:type="page"/>
      </w:r>
    </w:p>
    <w:p w14:paraId="5DAA969E" w14:textId="4FD4AA49" w:rsidR="00672FC1" w:rsidRPr="0007572B" w:rsidRDefault="00413C79" w:rsidP="006F1659">
      <w:pPr>
        <w:pStyle w:val="Heading3greennumbered"/>
        <w:spacing w:line="360" w:lineRule="auto"/>
      </w:pPr>
      <w:r w:rsidRPr="0007572B">
        <w:lastRenderedPageBreak/>
        <w:t>18</w:t>
      </w:r>
      <w:r w:rsidR="00672FC1" w:rsidRPr="0007572B">
        <w:t xml:space="preserve"> Officer Remuneration</w:t>
      </w:r>
      <w:bookmarkEnd w:id="132"/>
      <w:bookmarkEnd w:id="133"/>
      <w:bookmarkEnd w:id="134"/>
    </w:p>
    <w:p w14:paraId="74610E3A" w14:textId="77777777" w:rsidR="007C64B7" w:rsidRPr="0007572B" w:rsidRDefault="007C64B7" w:rsidP="006F1659">
      <w:pPr>
        <w:spacing w:line="360" w:lineRule="auto"/>
        <w:rPr>
          <w:rFonts w:ascii="Arial" w:hAnsi="Arial" w:cs="Arial"/>
          <w:b/>
          <w:sz w:val="22"/>
          <w:szCs w:val="22"/>
        </w:rPr>
      </w:pPr>
    </w:p>
    <w:p w14:paraId="4A6BB750" w14:textId="77777777" w:rsidR="00672FC1" w:rsidRPr="0007572B" w:rsidRDefault="00672FC1" w:rsidP="006F1659">
      <w:pPr>
        <w:pStyle w:val="Heading4bold"/>
        <w:spacing w:line="360" w:lineRule="auto"/>
      </w:pPr>
      <w:r w:rsidRPr="0007572B">
        <w:t>Officers with Remuneration above £50,000</w:t>
      </w:r>
    </w:p>
    <w:p w14:paraId="216455CD" w14:textId="51ACC9F4" w:rsidR="00672FC1" w:rsidRPr="0007572B" w:rsidRDefault="00216825" w:rsidP="006F1659">
      <w:pPr>
        <w:spacing w:line="360" w:lineRule="auto"/>
        <w:rPr>
          <w:rFonts w:ascii="Arial" w:hAnsi="Arial" w:cs="Arial"/>
          <w:b/>
        </w:rPr>
      </w:pPr>
      <w:r w:rsidRPr="0007572B">
        <w:rPr>
          <w:rFonts w:ascii="Arial" w:hAnsi="Arial" w:cs="Arial"/>
        </w:rPr>
        <w:t>The number of employees (</w:t>
      </w:r>
      <w:r w:rsidR="00740996" w:rsidRPr="0007572B">
        <w:rPr>
          <w:rFonts w:ascii="Arial" w:hAnsi="Arial" w:cs="Arial"/>
        </w:rPr>
        <w:t>in</w:t>
      </w:r>
      <w:r w:rsidR="00672FC1" w:rsidRPr="0007572B">
        <w:rPr>
          <w:rFonts w:ascii="Arial" w:hAnsi="Arial" w:cs="Arial"/>
        </w:rPr>
        <w:t>cluding senior employees) receiving more than £50,000 remuneration for the year (excluding employer's pension contributions) were as follows</w:t>
      </w:r>
      <w:r w:rsidR="00672FC1" w:rsidRPr="0007572B">
        <w:rPr>
          <w:rFonts w:ascii="Arial" w:hAnsi="Arial" w:cs="Arial"/>
          <w:b/>
        </w:rPr>
        <w:t>:</w:t>
      </w:r>
    </w:p>
    <w:p w14:paraId="6CCC7EB0" w14:textId="77777777" w:rsidR="00437C52" w:rsidRPr="0007572B" w:rsidRDefault="00437C52" w:rsidP="006F1659">
      <w:pPr>
        <w:spacing w:line="360" w:lineRule="auto"/>
        <w:jc w:val="both"/>
        <w:rPr>
          <w:rFonts w:ascii="Arial" w:hAnsi="Arial" w:cs="Arial"/>
          <w:b/>
          <w:sz w:val="22"/>
          <w:szCs w:val="22"/>
        </w:rPr>
      </w:pPr>
    </w:p>
    <w:p w14:paraId="688F3653" w14:textId="0129D830" w:rsidR="00884D7A" w:rsidRPr="0007572B" w:rsidRDefault="006A04DD" w:rsidP="006F1659">
      <w:pPr>
        <w:spacing w:line="360" w:lineRule="auto"/>
        <w:rPr>
          <w:rFonts w:ascii="Arial" w:hAnsi="Arial" w:cs="Arial"/>
          <w:b/>
          <w:sz w:val="22"/>
          <w:szCs w:val="22"/>
        </w:rPr>
      </w:pPr>
      <w:r w:rsidRPr="006A04DD">
        <w:rPr>
          <w:noProof/>
        </w:rPr>
        <w:drawing>
          <wp:inline distT="0" distB="0" distL="0" distR="0" wp14:anchorId="372C440C" wp14:editId="215E643C">
            <wp:extent cx="5885180" cy="5003800"/>
            <wp:effectExtent l="0" t="0" r="1270" b="6350"/>
            <wp:docPr id="871777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85180" cy="5003800"/>
                    </a:xfrm>
                    <a:prstGeom prst="rect">
                      <a:avLst/>
                    </a:prstGeom>
                    <a:noFill/>
                    <a:ln>
                      <a:noFill/>
                    </a:ln>
                  </pic:spPr>
                </pic:pic>
              </a:graphicData>
            </a:graphic>
          </wp:inline>
        </w:drawing>
      </w:r>
    </w:p>
    <w:p w14:paraId="1264BFFD" w14:textId="2E110818" w:rsidR="003439C3" w:rsidRPr="0007572B" w:rsidRDefault="003439C3" w:rsidP="006F1659">
      <w:pPr>
        <w:spacing w:line="360" w:lineRule="auto"/>
        <w:rPr>
          <w:rFonts w:ascii="Arial" w:hAnsi="Arial" w:cs="Arial"/>
          <w:b/>
          <w:sz w:val="22"/>
          <w:szCs w:val="22"/>
        </w:rPr>
        <w:sectPr w:rsidR="003439C3" w:rsidRPr="0007572B" w:rsidSect="004833A2">
          <w:pgSz w:w="11906" w:h="16838"/>
          <w:pgMar w:top="1444" w:right="1558" w:bottom="1440" w:left="1080" w:header="568" w:footer="567" w:gutter="0"/>
          <w:cols w:space="708"/>
          <w:docGrid w:linePitch="360"/>
        </w:sectPr>
      </w:pPr>
    </w:p>
    <w:p w14:paraId="3E260E2C" w14:textId="77777777" w:rsidR="0014202A" w:rsidRPr="0007572B" w:rsidRDefault="0014202A" w:rsidP="006F1659">
      <w:pPr>
        <w:pStyle w:val="Heading4bold"/>
        <w:spacing w:line="360" w:lineRule="auto"/>
      </w:pPr>
      <w:r w:rsidRPr="0007572B">
        <w:lastRenderedPageBreak/>
        <w:t xml:space="preserve">Senior </w:t>
      </w:r>
      <w:r w:rsidR="001867BA" w:rsidRPr="0007572B">
        <w:t>Employees</w:t>
      </w:r>
      <w:r w:rsidRPr="0007572B">
        <w:t xml:space="preserve"> Remuneration</w:t>
      </w:r>
    </w:p>
    <w:p w14:paraId="54FA8FD7" w14:textId="5D4B0E5F" w:rsidR="00A47196" w:rsidRPr="0007572B" w:rsidRDefault="00D9207B" w:rsidP="006F1659">
      <w:pPr>
        <w:spacing w:line="360" w:lineRule="auto"/>
        <w:rPr>
          <w:rFonts w:ascii="Arial" w:hAnsi="Arial" w:cs="Arial"/>
        </w:rPr>
      </w:pPr>
      <w:r w:rsidRPr="0007572B">
        <w:rPr>
          <w:rFonts w:ascii="Arial" w:hAnsi="Arial" w:cs="Arial"/>
        </w:rPr>
        <w:t>E</w:t>
      </w:r>
      <w:r w:rsidR="0014202A" w:rsidRPr="0007572B">
        <w:rPr>
          <w:rFonts w:ascii="Arial" w:hAnsi="Arial" w:cs="Arial"/>
        </w:rPr>
        <w:t xml:space="preserve">mployees are classed as senior employees </w:t>
      </w:r>
      <w:r w:rsidRPr="0007572B">
        <w:rPr>
          <w:rFonts w:ascii="Arial" w:hAnsi="Arial" w:cs="Arial"/>
        </w:rPr>
        <w:t>when</w:t>
      </w:r>
      <w:r w:rsidR="0014202A" w:rsidRPr="0007572B">
        <w:rPr>
          <w:rFonts w:ascii="Arial" w:hAnsi="Arial" w:cs="Arial"/>
        </w:rPr>
        <w:t xml:space="preserve"> they receive</w:t>
      </w:r>
      <w:r w:rsidRPr="0007572B">
        <w:rPr>
          <w:rFonts w:ascii="Arial" w:hAnsi="Arial" w:cs="Arial"/>
        </w:rPr>
        <w:t>d</w:t>
      </w:r>
      <w:r w:rsidR="0014202A" w:rsidRPr="0007572B">
        <w:rPr>
          <w:rFonts w:ascii="Arial" w:hAnsi="Arial" w:cs="Arial"/>
        </w:rPr>
        <w:t xml:space="preserve"> a salary in excess of £150,000 (disclosed by name) or receive</w:t>
      </w:r>
      <w:r w:rsidRPr="0007572B">
        <w:rPr>
          <w:rFonts w:ascii="Arial" w:hAnsi="Arial" w:cs="Arial"/>
        </w:rPr>
        <w:t>d</w:t>
      </w:r>
      <w:r w:rsidR="0014202A" w:rsidRPr="0007572B">
        <w:rPr>
          <w:rFonts w:ascii="Arial" w:hAnsi="Arial" w:cs="Arial"/>
        </w:rPr>
        <w:t xml:space="preserve"> </w:t>
      </w:r>
      <w:r w:rsidR="00102E58" w:rsidRPr="0007572B">
        <w:rPr>
          <w:rFonts w:ascii="Arial" w:hAnsi="Arial" w:cs="Arial"/>
        </w:rPr>
        <w:t>a salary in excess of £50,000 and</w:t>
      </w:r>
      <w:r w:rsidR="0014202A" w:rsidRPr="0007572B">
        <w:rPr>
          <w:rFonts w:ascii="Arial" w:hAnsi="Arial" w:cs="Arial"/>
        </w:rPr>
        <w:t xml:space="preserve"> report</w:t>
      </w:r>
      <w:r w:rsidR="00CB67FA" w:rsidRPr="0007572B">
        <w:rPr>
          <w:rFonts w:ascii="Arial" w:hAnsi="Arial" w:cs="Arial"/>
        </w:rPr>
        <w:t>ed</w:t>
      </w:r>
      <w:r w:rsidR="0014202A" w:rsidRPr="0007572B">
        <w:rPr>
          <w:rFonts w:ascii="Arial" w:hAnsi="Arial" w:cs="Arial"/>
        </w:rPr>
        <w:t xml:space="preserve"> to the Head of Paid Service for the Authority</w:t>
      </w:r>
      <w:r w:rsidR="00EB1576" w:rsidRPr="0007572B">
        <w:rPr>
          <w:rFonts w:ascii="Arial" w:hAnsi="Arial" w:cs="Arial"/>
        </w:rPr>
        <w:t xml:space="preserve">. In </w:t>
      </w:r>
      <w:r w:rsidR="003543D4" w:rsidRPr="0007572B">
        <w:rPr>
          <w:rFonts w:ascii="Arial" w:hAnsi="Arial" w:cs="Arial"/>
        </w:rPr>
        <w:t>addition,</w:t>
      </w:r>
      <w:r w:rsidR="00EB1576" w:rsidRPr="0007572B">
        <w:rPr>
          <w:rFonts w:ascii="Arial" w:hAnsi="Arial" w:cs="Arial"/>
        </w:rPr>
        <w:t xml:space="preserve"> the salaries for the Mayor</w:t>
      </w:r>
      <w:r w:rsidR="00943F46">
        <w:rPr>
          <w:rFonts w:ascii="Arial" w:hAnsi="Arial" w:cs="Arial"/>
        </w:rPr>
        <w:t xml:space="preserve"> and the</w:t>
      </w:r>
      <w:r w:rsidR="00EB1576" w:rsidRPr="0007572B">
        <w:rPr>
          <w:rFonts w:ascii="Arial" w:hAnsi="Arial" w:cs="Arial"/>
        </w:rPr>
        <w:t xml:space="preserve"> Deputy Mayor for Police and Crime </w:t>
      </w:r>
      <w:r w:rsidR="00943F46">
        <w:rPr>
          <w:rFonts w:ascii="Arial" w:hAnsi="Arial" w:cs="Arial"/>
        </w:rPr>
        <w:t>a</w:t>
      </w:r>
      <w:r w:rsidR="00EB1576" w:rsidRPr="0007572B">
        <w:rPr>
          <w:rFonts w:ascii="Arial" w:hAnsi="Arial" w:cs="Arial"/>
        </w:rPr>
        <w:t>re disclosed.</w:t>
      </w:r>
    </w:p>
    <w:p w14:paraId="742D94ED" w14:textId="16AF7C41" w:rsidR="004F1EB1" w:rsidRPr="0007572B" w:rsidRDefault="004F1EB1" w:rsidP="006F1659">
      <w:pPr>
        <w:spacing w:line="360" w:lineRule="auto"/>
        <w:rPr>
          <w:rFonts w:ascii="Arial" w:hAnsi="Arial" w:cs="Arial"/>
          <w:b/>
          <w:sz w:val="22"/>
          <w:szCs w:val="22"/>
        </w:rPr>
      </w:pPr>
    </w:p>
    <w:p w14:paraId="775BD3F3" w14:textId="74973D2E" w:rsidR="004D4FF0" w:rsidRPr="007A2085" w:rsidRDefault="00DD2B8E" w:rsidP="006F1659">
      <w:pPr>
        <w:spacing w:line="360" w:lineRule="auto"/>
        <w:jc w:val="both"/>
        <w:rPr>
          <w:rFonts w:ascii="Arial" w:hAnsi="Arial" w:cs="Arial"/>
          <w:sz w:val="22"/>
          <w:szCs w:val="22"/>
        </w:rPr>
      </w:pPr>
      <w:r w:rsidRPr="00DD2B8E">
        <w:rPr>
          <w:noProof/>
        </w:rPr>
        <w:drawing>
          <wp:inline distT="0" distB="0" distL="0" distR="0" wp14:anchorId="3A469766" wp14:editId="21E9EB5C">
            <wp:extent cx="8860790" cy="19888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60790" cy="1988820"/>
                    </a:xfrm>
                    <a:prstGeom prst="rect">
                      <a:avLst/>
                    </a:prstGeom>
                    <a:noFill/>
                    <a:ln>
                      <a:noFill/>
                    </a:ln>
                  </pic:spPr>
                </pic:pic>
              </a:graphicData>
            </a:graphic>
          </wp:inline>
        </w:drawing>
      </w:r>
    </w:p>
    <w:p w14:paraId="0F5B6FE7" w14:textId="77777777" w:rsidR="004D4FF0" w:rsidRDefault="004D4FF0" w:rsidP="006F1659">
      <w:pPr>
        <w:spacing w:line="360" w:lineRule="auto"/>
        <w:rPr>
          <w:noProof/>
        </w:rPr>
      </w:pPr>
    </w:p>
    <w:tbl>
      <w:tblPr>
        <w:tblW w:w="14742" w:type="dxa"/>
        <w:tblLook w:val="04A0" w:firstRow="1" w:lastRow="0" w:firstColumn="1" w:lastColumn="0" w:noHBand="0" w:noVBand="1"/>
      </w:tblPr>
      <w:tblGrid>
        <w:gridCol w:w="676"/>
        <w:gridCol w:w="11802"/>
        <w:gridCol w:w="2264"/>
      </w:tblGrid>
      <w:tr w:rsidR="00056761" w:rsidRPr="00056761" w14:paraId="403679D2" w14:textId="77777777" w:rsidTr="00B13566">
        <w:trPr>
          <w:trHeight w:val="270"/>
        </w:trPr>
        <w:tc>
          <w:tcPr>
            <w:tcW w:w="676" w:type="dxa"/>
            <w:tcBorders>
              <w:top w:val="nil"/>
              <w:left w:val="nil"/>
              <w:bottom w:val="nil"/>
              <w:right w:val="nil"/>
            </w:tcBorders>
            <w:shd w:val="clear" w:color="000000" w:fill="FFFFFF"/>
            <w:noWrap/>
            <w:hideMark/>
          </w:tcPr>
          <w:p w14:paraId="1821A4BF" w14:textId="77777777" w:rsidR="00056761" w:rsidRPr="00056761" w:rsidRDefault="00056761" w:rsidP="006F1659">
            <w:pPr>
              <w:spacing w:line="360" w:lineRule="auto"/>
              <w:jc w:val="center"/>
              <w:rPr>
                <w:rFonts w:ascii="Arial" w:hAnsi="Arial" w:cs="Arial"/>
                <w:color w:val="000000"/>
                <w:lang w:eastAsia="en-GB"/>
              </w:rPr>
            </w:pPr>
            <w:r w:rsidRPr="00056761">
              <w:rPr>
                <w:rFonts w:ascii="Arial" w:hAnsi="Arial" w:cs="Arial"/>
                <w:color w:val="000000"/>
              </w:rPr>
              <w:t>A</w:t>
            </w:r>
          </w:p>
        </w:tc>
        <w:tc>
          <w:tcPr>
            <w:tcW w:w="14066" w:type="dxa"/>
            <w:gridSpan w:val="2"/>
            <w:tcBorders>
              <w:top w:val="nil"/>
              <w:left w:val="nil"/>
              <w:bottom w:val="nil"/>
              <w:right w:val="nil"/>
            </w:tcBorders>
            <w:shd w:val="clear" w:color="000000" w:fill="FFFFFF"/>
            <w:hideMark/>
          </w:tcPr>
          <w:p w14:paraId="5DB9E942" w14:textId="7D318983" w:rsidR="00056761" w:rsidRPr="00056761" w:rsidRDefault="00056761" w:rsidP="006F1659">
            <w:pPr>
              <w:spacing w:line="360" w:lineRule="auto"/>
              <w:rPr>
                <w:rFonts w:ascii="Arial" w:hAnsi="Arial" w:cs="Arial"/>
                <w:color w:val="000000"/>
              </w:rPr>
            </w:pPr>
            <w:r w:rsidRPr="00056761">
              <w:rPr>
                <w:rFonts w:ascii="Arial" w:hAnsi="Arial" w:cs="Arial"/>
                <w:color w:val="000000"/>
              </w:rPr>
              <w:t>Post holder commenced 9 January 2023. (2022/23: FTE salary £89,900)</w:t>
            </w:r>
          </w:p>
        </w:tc>
      </w:tr>
      <w:tr w:rsidR="00056761" w:rsidRPr="00056761" w14:paraId="47379FEE" w14:textId="77777777" w:rsidTr="00B13566">
        <w:trPr>
          <w:trHeight w:val="570"/>
        </w:trPr>
        <w:tc>
          <w:tcPr>
            <w:tcW w:w="676" w:type="dxa"/>
            <w:tcBorders>
              <w:top w:val="nil"/>
              <w:left w:val="nil"/>
              <w:bottom w:val="nil"/>
              <w:right w:val="nil"/>
            </w:tcBorders>
            <w:shd w:val="clear" w:color="000000" w:fill="FFFFFF"/>
            <w:noWrap/>
            <w:hideMark/>
          </w:tcPr>
          <w:p w14:paraId="04EC35E6" w14:textId="77777777" w:rsidR="00056761" w:rsidRPr="00056761" w:rsidRDefault="00056761" w:rsidP="006F1659">
            <w:pPr>
              <w:spacing w:line="360" w:lineRule="auto"/>
              <w:jc w:val="center"/>
              <w:rPr>
                <w:rFonts w:ascii="Arial" w:hAnsi="Arial" w:cs="Arial"/>
                <w:color w:val="000000"/>
              </w:rPr>
            </w:pPr>
            <w:r w:rsidRPr="00056761">
              <w:rPr>
                <w:rFonts w:ascii="Arial" w:hAnsi="Arial" w:cs="Arial"/>
                <w:color w:val="000000"/>
              </w:rPr>
              <w:t>B</w:t>
            </w:r>
          </w:p>
        </w:tc>
        <w:tc>
          <w:tcPr>
            <w:tcW w:w="14066" w:type="dxa"/>
            <w:gridSpan w:val="2"/>
            <w:tcBorders>
              <w:top w:val="nil"/>
              <w:left w:val="nil"/>
              <w:bottom w:val="nil"/>
              <w:right w:val="nil"/>
            </w:tcBorders>
            <w:shd w:val="clear" w:color="000000" w:fill="FFFFFF"/>
            <w:hideMark/>
          </w:tcPr>
          <w:p w14:paraId="74DC6C67" w14:textId="20261CBD" w:rsidR="00056761" w:rsidRPr="00056761" w:rsidRDefault="00056761" w:rsidP="006F1659">
            <w:pPr>
              <w:spacing w:line="360" w:lineRule="auto"/>
              <w:rPr>
                <w:rFonts w:ascii="Arial" w:hAnsi="Arial" w:cs="Arial"/>
                <w:color w:val="000000"/>
              </w:rPr>
            </w:pPr>
            <w:r w:rsidRPr="00056761">
              <w:rPr>
                <w:rFonts w:ascii="Arial" w:hAnsi="Arial" w:cs="Arial"/>
                <w:color w:val="000000"/>
              </w:rPr>
              <w:t>Post holder stepped down as Deputy Mayor on 8 January 2023 (FTE salary £89,900). Commenced new role as Assistant Deputy Mayor 0.50 FTE (FTE salary £89,900) from 9 January 2023, supporting establishment of new Deputy Mayor for Police and Crime.</w:t>
            </w:r>
          </w:p>
        </w:tc>
      </w:tr>
      <w:tr w:rsidR="00056761" w:rsidRPr="00056761" w14:paraId="0C2A57F8" w14:textId="77777777" w:rsidTr="00B13566">
        <w:trPr>
          <w:trHeight w:val="550"/>
        </w:trPr>
        <w:tc>
          <w:tcPr>
            <w:tcW w:w="676" w:type="dxa"/>
            <w:tcBorders>
              <w:top w:val="nil"/>
              <w:left w:val="nil"/>
              <w:bottom w:val="nil"/>
              <w:right w:val="nil"/>
            </w:tcBorders>
            <w:shd w:val="clear" w:color="000000" w:fill="FFFFFF"/>
            <w:noWrap/>
            <w:hideMark/>
          </w:tcPr>
          <w:p w14:paraId="3BFF58AF" w14:textId="77777777" w:rsidR="00056761" w:rsidRPr="00056761" w:rsidRDefault="00056761" w:rsidP="006F1659">
            <w:pPr>
              <w:spacing w:line="360" w:lineRule="auto"/>
              <w:jc w:val="center"/>
              <w:rPr>
                <w:rFonts w:ascii="Arial" w:hAnsi="Arial" w:cs="Arial"/>
                <w:color w:val="000000"/>
              </w:rPr>
            </w:pPr>
            <w:r w:rsidRPr="00056761">
              <w:rPr>
                <w:rFonts w:ascii="Arial" w:hAnsi="Arial" w:cs="Arial"/>
                <w:color w:val="000000"/>
              </w:rPr>
              <w:t>C</w:t>
            </w:r>
          </w:p>
        </w:tc>
        <w:tc>
          <w:tcPr>
            <w:tcW w:w="14066" w:type="dxa"/>
            <w:gridSpan w:val="2"/>
            <w:tcBorders>
              <w:top w:val="nil"/>
              <w:left w:val="nil"/>
              <w:bottom w:val="nil"/>
              <w:right w:val="nil"/>
            </w:tcBorders>
            <w:shd w:val="clear" w:color="000000" w:fill="FFFFFF"/>
            <w:hideMark/>
          </w:tcPr>
          <w:p w14:paraId="4DFA08A4" w14:textId="77777777" w:rsidR="00056761" w:rsidRPr="00056761" w:rsidRDefault="00056761" w:rsidP="006F1659">
            <w:pPr>
              <w:spacing w:line="360" w:lineRule="auto"/>
              <w:rPr>
                <w:rFonts w:ascii="Arial" w:hAnsi="Arial" w:cs="Arial"/>
                <w:color w:val="000000"/>
              </w:rPr>
            </w:pPr>
            <w:r w:rsidRPr="00056761">
              <w:rPr>
                <w:rFonts w:ascii="Arial" w:hAnsi="Arial" w:cs="Arial"/>
                <w:color w:val="000000"/>
              </w:rPr>
              <w:t>The GMCA received a contribution of £115,682.88 (2021/22: £114,720.42) for the Chief Executive also performing the duties of Chief Executive at Transport for Greater Manchester during 2022/23. 50% of Basic Pay and Employers NI.</w:t>
            </w:r>
          </w:p>
        </w:tc>
      </w:tr>
      <w:tr w:rsidR="00056761" w:rsidRPr="00056761" w14:paraId="01102597" w14:textId="77777777" w:rsidTr="00B13566">
        <w:trPr>
          <w:trHeight w:val="590"/>
        </w:trPr>
        <w:tc>
          <w:tcPr>
            <w:tcW w:w="676" w:type="dxa"/>
            <w:tcBorders>
              <w:top w:val="nil"/>
              <w:left w:val="nil"/>
              <w:bottom w:val="nil"/>
              <w:right w:val="nil"/>
            </w:tcBorders>
            <w:shd w:val="clear" w:color="000000" w:fill="FFFFFF"/>
            <w:noWrap/>
            <w:hideMark/>
          </w:tcPr>
          <w:p w14:paraId="4F7D7725" w14:textId="77777777" w:rsidR="00056761" w:rsidRPr="00056761" w:rsidRDefault="00056761" w:rsidP="006F1659">
            <w:pPr>
              <w:spacing w:line="360" w:lineRule="auto"/>
              <w:jc w:val="center"/>
              <w:rPr>
                <w:rFonts w:ascii="Arial" w:hAnsi="Arial" w:cs="Arial"/>
                <w:color w:val="000000"/>
              </w:rPr>
            </w:pPr>
            <w:r w:rsidRPr="00056761">
              <w:rPr>
                <w:rFonts w:ascii="Arial" w:hAnsi="Arial" w:cs="Arial"/>
                <w:color w:val="000000"/>
              </w:rPr>
              <w:lastRenderedPageBreak/>
              <w:t>D</w:t>
            </w:r>
          </w:p>
        </w:tc>
        <w:tc>
          <w:tcPr>
            <w:tcW w:w="14066" w:type="dxa"/>
            <w:gridSpan w:val="2"/>
            <w:tcBorders>
              <w:top w:val="nil"/>
              <w:left w:val="nil"/>
              <w:bottom w:val="nil"/>
              <w:right w:val="nil"/>
            </w:tcBorders>
            <w:shd w:val="clear" w:color="000000" w:fill="FFFFFF"/>
            <w:hideMark/>
          </w:tcPr>
          <w:p w14:paraId="1B50AD2C" w14:textId="77777777" w:rsidR="00056761" w:rsidRPr="00056761" w:rsidRDefault="00056761" w:rsidP="006F1659">
            <w:pPr>
              <w:spacing w:line="360" w:lineRule="auto"/>
              <w:rPr>
                <w:rFonts w:ascii="Arial" w:hAnsi="Arial" w:cs="Arial"/>
                <w:color w:val="000000"/>
              </w:rPr>
            </w:pPr>
            <w:r w:rsidRPr="00056761">
              <w:rPr>
                <w:rFonts w:ascii="Arial" w:hAnsi="Arial" w:cs="Arial"/>
                <w:color w:val="000000"/>
              </w:rPr>
              <w:t>The GMCA received a contribution of £15,000 for the Treasurer performing duties of Executive lead for finance and investment at Greater Manchester Health and Social Care Partnership during 2022/23 (2021/22: £60,000) This contribution is included in the Treasurers Total Remuneration figure.</w:t>
            </w:r>
          </w:p>
        </w:tc>
      </w:tr>
      <w:tr w:rsidR="00056761" w:rsidRPr="00056761" w14:paraId="3EB4E069" w14:textId="77777777" w:rsidTr="00B13566">
        <w:trPr>
          <w:trHeight w:val="270"/>
        </w:trPr>
        <w:tc>
          <w:tcPr>
            <w:tcW w:w="676" w:type="dxa"/>
            <w:tcBorders>
              <w:top w:val="nil"/>
              <w:left w:val="nil"/>
              <w:bottom w:val="nil"/>
              <w:right w:val="nil"/>
            </w:tcBorders>
            <w:shd w:val="clear" w:color="000000" w:fill="FFFFFF"/>
            <w:noWrap/>
            <w:hideMark/>
          </w:tcPr>
          <w:p w14:paraId="637EB299" w14:textId="77777777" w:rsidR="00056761" w:rsidRPr="00056761" w:rsidRDefault="00056761" w:rsidP="006F1659">
            <w:pPr>
              <w:spacing w:line="360" w:lineRule="auto"/>
              <w:jc w:val="center"/>
              <w:rPr>
                <w:rFonts w:ascii="Arial" w:hAnsi="Arial" w:cs="Arial"/>
                <w:color w:val="000000"/>
              </w:rPr>
            </w:pPr>
            <w:r w:rsidRPr="00056761">
              <w:rPr>
                <w:rFonts w:ascii="Arial" w:hAnsi="Arial" w:cs="Arial"/>
                <w:color w:val="000000"/>
              </w:rPr>
              <w:t>E</w:t>
            </w:r>
          </w:p>
        </w:tc>
        <w:tc>
          <w:tcPr>
            <w:tcW w:w="14066" w:type="dxa"/>
            <w:gridSpan w:val="2"/>
            <w:tcBorders>
              <w:top w:val="nil"/>
              <w:left w:val="nil"/>
              <w:bottom w:val="nil"/>
              <w:right w:val="nil"/>
            </w:tcBorders>
            <w:shd w:val="clear" w:color="000000" w:fill="FFFFFF"/>
            <w:hideMark/>
          </w:tcPr>
          <w:p w14:paraId="0E967FE3" w14:textId="77777777" w:rsidR="00056761" w:rsidRPr="00056761" w:rsidRDefault="00056761" w:rsidP="006F1659">
            <w:pPr>
              <w:spacing w:line="360" w:lineRule="auto"/>
              <w:rPr>
                <w:rFonts w:ascii="Arial" w:hAnsi="Arial" w:cs="Arial"/>
                <w:color w:val="000000"/>
              </w:rPr>
            </w:pPr>
            <w:r w:rsidRPr="00056761">
              <w:rPr>
                <w:rFonts w:ascii="Arial" w:hAnsi="Arial" w:cs="Arial"/>
                <w:color w:val="000000"/>
              </w:rPr>
              <w:t>Post in 2021/22 is also 0.41 FTE, Annual Salary for 1.0 FTE would be £164,789.37. Post in 2022/23 is 0.41 FTE, Annual salary for 1.0 FTE would be £166,714.37.</w:t>
            </w:r>
          </w:p>
        </w:tc>
      </w:tr>
      <w:tr w:rsidR="00B13566" w:rsidRPr="00056761" w14:paraId="6AEFBB57" w14:textId="77777777" w:rsidTr="00B13566">
        <w:trPr>
          <w:trHeight w:val="270"/>
        </w:trPr>
        <w:tc>
          <w:tcPr>
            <w:tcW w:w="676" w:type="dxa"/>
            <w:tcBorders>
              <w:top w:val="nil"/>
              <w:left w:val="nil"/>
              <w:bottom w:val="nil"/>
              <w:right w:val="nil"/>
            </w:tcBorders>
            <w:shd w:val="clear" w:color="000000" w:fill="FFFFFF"/>
            <w:noWrap/>
            <w:hideMark/>
          </w:tcPr>
          <w:p w14:paraId="3C11F7C8" w14:textId="77777777" w:rsidR="00B13566" w:rsidRPr="00056761" w:rsidRDefault="00B13566" w:rsidP="006F1659">
            <w:pPr>
              <w:spacing w:line="360" w:lineRule="auto"/>
              <w:jc w:val="center"/>
              <w:rPr>
                <w:rFonts w:ascii="Arial" w:hAnsi="Arial" w:cs="Arial"/>
                <w:color w:val="000000"/>
              </w:rPr>
            </w:pPr>
            <w:r w:rsidRPr="00056761">
              <w:rPr>
                <w:rFonts w:ascii="Arial" w:hAnsi="Arial" w:cs="Arial"/>
                <w:color w:val="000000"/>
              </w:rPr>
              <w:t>F</w:t>
            </w:r>
          </w:p>
        </w:tc>
        <w:tc>
          <w:tcPr>
            <w:tcW w:w="11802" w:type="dxa"/>
            <w:tcBorders>
              <w:top w:val="nil"/>
              <w:left w:val="nil"/>
              <w:bottom w:val="nil"/>
              <w:right w:val="nil"/>
            </w:tcBorders>
            <w:shd w:val="clear" w:color="000000" w:fill="FFFFFF"/>
            <w:hideMark/>
          </w:tcPr>
          <w:p w14:paraId="185B931E" w14:textId="621E4C71" w:rsidR="00B13566" w:rsidRPr="00056761" w:rsidRDefault="00B13566" w:rsidP="006F1659">
            <w:pPr>
              <w:spacing w:line="360" w:lineRule="auto"/>
              <w:rPr>
                <w:rFonts w:ascii="Arial" w:hAnsi="Arial" w:cs="Arial"/>
                <w:color w:val="000000"/>
              </w:rPr>
            </w:pPr>
            <w:r w:rsidRPr="00056761">
              <w:rPr>
                <w:rFonts w:ascii="Arial" w:hAnsi="Arial" w:cs="Arial"/>
                <w:color w:val="000000"/>
              </w:rPr>
              <w:t xml:space="preserve">Post holder left post 31 July 2022. </w:t>
            </w:r>
          </w:p>
        </w:tc>
        <w:tc>
          <w:tcPr>
            <w:tcW w:w="2264" w:type="dxa"/>
            <w:tcBorders>
              <w:top w:val="nil"/>
              <w:left w:val="nil"/>
              <w:bottom w:val="nil"/>
              <w:right w:val="nil"/>
            </w:tcBorders>
            <w:shd w:val="clear" w:color="000000" w:fill="FFFFFF"/>
            <w:noWrap/>
          </w:tcPr>
          <w:p w14:paraId="34603C22" w14:textId="206C34F3" w:rsidR="00B13566" w:rsidRPr="00056761" w:rsidRDefault="00B13566" w:rsidP="006F1659">
            <w:pPr>
              <w:spacing w:line="360" w:lineRule="auto"/>
              <w:jc w:val="center"/>
              <w:rPr>
                <w:rFonts w:ascii="Arial" w:hAnsi="Arial" w:cs="Arial"/>
                <w:b/>
                <w:bCs/>
                <w:color w:val="000000"/>
              </w:rPr>
            </w:pPr>
          </w:p>
        </w:tc>
      </w:tr>
      <w:tr w:rsidR="00056761" w:rsidRPr="00056761" w14:paraId="4A8152DA" w14:textId="77777777" w:rsidTr="00B13566">
        <w:trPr>
          <w:trHeight w:val="540"/>
        </w:trPr>
        <w:tc>
          <w:tcPr>
            <w:tcW w:w="676" w:type="dxa"/>
            <w:tcBorders>
              <w:top w:val="nil"/>
              <w:left w:val="nil"/>
              <w:bottom w:val="nil"/>
              <w:right w:val="nil"/>
            </w:tcBorders>
            <w:shd w:val="clear" w:color="000000" w:fill="FFFFFF"/>
            <w:noWrap/>
            <w:hideMark/>
          </w:tcPr>
          <w:p w14:paraId="09F2F464" w14:textId="77777777" w:rsidR="00056761" w:rsidRPr="00056761" w:rsidRDefault="00056761" w:rsidP="006F1659">
            <w:pPr>
              <w:spacing w:line="360" w:lineRule="auto"/>
              <w:jc w:val="center"/>
              <w:rPr>
                <w:rFonts w:ascii="Arial" w:hAnsi="Arial" w:cs="Arial"/>
                <w:color w:val="000000"/>
              </w:rPr>
            </w:pPr>
            <w:r w:rsidRPr="00056761">
              <w:rPr>
                <w:rFonts w:ascii="Arial" w:hAnsi="Arial" w:cs="Arial"/>
                <w:color w:val="000000"/>
              </w:rPr>
              <w:t>G</w:t>
            </w:r>
          </w:p>
        </w:tc>
        <w:tc>
          <w:tcPr>
            <w:tcW w:w="14066" w:type="dxa"/>
            <w:gridSpan w:val="2"/>
            <w:tcBorders>
              <w:top w:val="nil"/>
              <w:left w:val="nil"/>
              <w:bottom w:val="nil"/>
              <w:right w:val="nil"/>
            </w:tcBorders>
            <w:shd w:val="clear" w:color="000000" w:fill="FFFFFF"/>
            <w:hideMark/>
          </w:tcPr>
          <w:p w14:paraId="48965680" w14:textId="62DEFDFA" w:rsidR="00056761" w:rsidRPr="00056761" w:rsidRDefault="00056761" w:rsidP="006F1659">
            <w:pPr>
              <w:spacing w:line="360" w:lineRule="auto"/>
              <w:rPr>
                <w:rFonts w:ascii="Arial" w:hAnsi="Arial" w:cs="Arial"/>
                <w:color w:val="000000"/>
              </w:rPr>
            </w:pPr>
            <w:r w:rsidRPr="00056761">
              <w:rPr>
                <w:rFonts w:ascii="Arial" w:hAnsi="Arial" w:cs="Arial"/>
                <w:color w:val="000000"/>
              </w:rPr>
              <w:t>Post holder commenced 26 September 2022. (2022/23: FTE salary £131,925)</w:t>
            </w:r>
            <w:r>
              <w:rPr>
                <w:rFonts w:ascii="Arial" w:hAnsi="Arial" w:cs="Arial"/>
                <w:color w:val="000000"/>
              </w:rPr>
              <w:t>.</w:t>
            </w:r>
          </w:p>
        </w:tc>
      </w:tr>
    </w:tbl>
    <w:p w14:paraId="66CCE478" w14:textId="56FB66FE" w:rsidR="00056761" w:rsidRPr="004D4FF0" w:rsidRDefault="00056761" w:rsidP="006F1659">
      <w:pPr>
        <w:spacing w:line="360" w:lineRule="auto"/>
        <w:rPr>
          <w:rFonts w:ascii="Arial" w:hAnsi="Arial" w:cs="Arial"/>
          <w:bCs/>
        </w:rPr>
        <w:sectPr w:rsidR="00056761" w:rsidRPr="004D4FF0" w:rsidSect="004833A2">
          <w:pgSz w:w="16838" w:h="11906" w:orient="landscape"/>
          <w:pgMar w:top="1080" w:right="1444" w:bottom="1416" w:left="1440" w:header="568" w:footer="567" w:gutter="0"/>
          <w:cols w:space="708"/>
          <w:docGrid w:linePitch="360"/>
        </w:sectPr>
      </w:pPr>
    </w:p>
    <w:p w14:paraId="22C55A9B" w14:textId="079E88CD" w:rsidR="00216825" w:rsidRPr="00943897" w:rsidRDefault="00672FC1" w:rsidP="006F1659">
      <w:pPr>
        <w:pStyle w:val="Heading4bold"/>
        <w:spacing w:line="360" w:lineRule="auto"/>
      </w:pPr>
      <w:r w:rsidRPr="0007572B">
        <w:lastRenderedPageBreak/>
        <w:t>Exit Costs</w:t>
      </w:r>
    </w:p>
    <w:p w14:paraId="0831BC56" w14:textId="7514AA3F" w:rsidR="00672FC1" w:rsidRDefault="00672FC1" w:rsidP="006F1659">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r w:rsidR="00A47196" w:rsidRPr="0007572B">
        <w:rPr>
          <w:rFonts w:ascii="Arial" w:hAnsi="Arial" w:cs="Arial"/>
        </w:rPr>
        <w:t>:</w:t>
      </w:r>
    </w:p>
    <w:p w14:paraId="34D423E1" w14:textId="2CE218B5" w:rsidR="0081587D" w:rsidRDefault="0081587D" w:rsidP="006F1659">
      <w:pPr>
        <w:spacing w:line="360" w:lineRule="auto"/>
        <w:rPr>
          <w:rFonts w:ascii="Arial" w:hAnsi="Arial" w:cs="Arial"/>
        </w:rPr>
      </w:pPr>
    </w:p>
    <w:p w14:paraId="78DAB1E4" w14:textId="0460E55E" w:rsidR="0081587D" w:rsidRPr="0007572B" w:rsidRDefault="00B13566" w:rsidP="006F1659">
      <w:pPr>
        <w:spacing w:line="360" w:lineRule="auto"/>
        <w:rPr>
          <w:rFonts w:ascii="Arial" w:hAnsi="Arial" w:cs="Arial"/>
        </w:rPr>
      </w:pPr>
      <w:r w:rsidRPr="00B13566">
        <w:rPr>
          <w:noProof/>
        </w:rPr>
        <w:drawing>
          <wp:inline distT="0" distB="0" distL="0" distR="0" wp14:anchorId="122396CD" wp14:editId="6949FB7F">
            <wp:extent cx="6064250" cy="10972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1097280"/>
                    </a:xfrm>
                    <a:prstGeom prst="rect">
                      <a:avLst/>
                    </a:prstGeom>
                    <a:noFill/>
                    <a:ln>
                      <a:noFill/>
                    </a:ln>
                  </pic:spPr>
                </pic:pic>
              </a:graphicData>
            </a:graphic>
          </wp:inline>
        </w:drawing>
      </w:r>
    </w:p>
    <w:p w14:paraId="7712E26A" w14:textId="77777777" w:rsidR="00A47196" w:rsidRPr="0007572B" w:rsidRDefault="00A47196" w:rsidP="006F1659">
      <w:pPr>
        <w:spacing w:line="360" w:lineRule="auto"/>
        <w:rPr>
          <w:rFonts w:ascii="Arial" w:hAnsi="Arial" w:cs="Arial"/>
          <w:b/>
          <w:sz w:val="22"/>
          <w:szCs w:val="22"/>
        </w:rPr>
      </w:pPr>
    </w:p>
    <w:p w14:paraId="4D8EBAFD" w14:textId="141C9288" w:rsidR="00026E51" w:rsidRPr="0007572B" w:rsidRDefault="00026E51" w:rsidP="006F1659">
      <w:pPr>
        <w:spacing w:line="360" w:lineRule="auto"/>
        <w:rPr>
          <w:rFonts w:ascii="Arial" w:hAnsi="Arial" w:cs="Arial"/>
          <w:b/>
          <w:sz w:val="22"/>
          <w:szCs w:val="22"/>
        </w:rPr>
      </w:pPr>
    </w:p>
    <w:p w14:paraId="0EA3E74C" w14:textId="72BE4C81" w:rsidR="007F381A" w:rsidRPr="0007572B" w:rsidRDefault="00413C79" w:rsidP="006F1659">
      <w:pPr>
        <w:pStyle w:val="Heading3greennumbered"/>
        <w:spacing w:line="360" w:lineRule="auto"/>
      </w:pPr>
      <w:bookmarkStart w:id="135" w:name="_Toc92894891"/>
      <w:bookmarkStart w:id="136" w:name="_Toc92895195"/>
      <w:bookmarkStart w:id="137" w:name="_Toc109922629"/>
      <w:r w:rsidRPr="0007572B">
        <w:t>19</w:t>
      </w:r>
      <w:r w:rsidR="007F381A" w:rsidRPr="0007572B">
        <w:t xml:space="preserve"> Capital Expenditure and Capital Financing</w:t>
      </w:r>
      <w:bookmarkEnd w:id="135"/>
      <w:bookmarkEnd w:id="136"/>
      <w:bookmarkEnd w:id="137"/>
    </w:p>
    <w:p w14:paraId="2302F007" w14:textId="77777777" w:rsidR="005403AF" w:rsidRDefault="005403AF" w:rsidP="006F1659">
      <w:pPr>
        <w:spacing w:line="360" w:lineRule="auto"/>
        <w:rPr>
          <w:rFonts w:ascii="Arial" w:hAnsi="Arial" w:cs="Arial"/>
        </w:rPr>
      </w:pPr>
    </w:p>
    <w:p w14:paraId="46AF3617" w14:textId="2F64940A" w:rsidR="0038082E" w:rsidRDefault="007F381A" w:rsidP="006F1659">
      <w:pPr>
        <w:spacing w:line="360" w:lineRule="auto"/>
        <w:rPr>
          <w:rFonts w:ascii="Arial" w:hAnsi="Arial" w:cs="Arial"/>
        </w:rPr>
      </w:pPr>
      <w:r w:rsidRPr="0007572B">
        <w:rPr>
          <w:rFonts w:ascii="Arial" w:hAnsi="Arial" w:cs="Arial"/>
        </w:rPr>
        <w:t>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below.</w:t>
      </w:r>
    </w:p>
    <w:p w14:paraId="40900F03" w14:textId="77777777" w:rsidR="00203F2A" w:rsidRDefault="00203F2A" w:rsidP="006F1659">
      <w:pPr>
        <w:spacing w:line="360" w:lineRule="auto"/>
        <w:rPr>
          <w:rFonts w:ascii="Arial" w:hAnsi="Arial" w:cs="Arial"/>
        </w:rPr>
      </w:pPr>
    </w:p>
    <w:p w14:paraId="533B93CE" w14:textId="7F13FCF5" w:rsidR="00F03115" w:rsidRDefault="005427F0" w:rsidP="006F1659">
      <w:pPr>
        <w:spacing w:line="360" w:lineRule="auto"/>
        <w:rPr>
          <w:rFonts w:ascii="Arial" w:hAnsi="Arial" w:cs="Arial"/>
        </w:rPr>
      </w:pPr>
      <w:r w:rsidRPr="005427F0">
        <w:rPr>
          <w:noProof/>
        </w:rPr>
        <w:drawing>
          <wp:inline distT="0" distB="0" distL="0" distR="0" wp14:anchorId="5A164BE4" wp14:editId="6CAE8AE9">
            <wp:extent cx="4762500" cy="3448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0" cy="3448050"/>
                    </a:xfrm>
                    <a:prstGeom prst="rect">
                      <a:avLst/>
                    </a:prstGeom>
                    <a:noFill/>
                    <a:ln>
                      <a:noFill/>
                    </a:ln>
                  </pic:spPr>
                </pic:pic>
              </a:graphicData>
            </a:graphic>
          </wp:inline>
        </w:drawing>
      </w:r>
    </w:p>
    <w:p w14:paraId="2BE9E944" w14:textId="77777777" w:rsidR="00022220" w:rsidRDefault="00022220" w:rsidP="006F1659">
      <w:pPr>
        <w:spacing w:line="360" w:lineRule="auto"/>
        <w:rPr>
          <w:rFonts w:ascii="Arial" w:hAnsi="Arial" w:cs="Arial"/>
        </w:rPr>
      </w:pPr>
    </w:p>
    <w:p w14:paraId="53BB322F" w14:textId="68DE4F21" w:rsidR="00B07451" w:rsidRDefault="00B07451" w:rsidP="006F1659">
      <w:pPr>
        <w:spacing w:line="360" w:lineRule="auto"/>
        <w:rPr>
          <w:rFonts w:ascii="Arial" w:hAnsi="Arial" w:cs="Arial"/>
        </w:rPr>
      </w:pPr>
      <w:r w:rsidRPr="00B07451">
        <w:rPr>
          <w:noProof/>
        </w:rPr>
        <w:lastRenderedPageBreak/>
        <w:drawing>
          <wp:inline distT="0" distB="0" distL="0" distR="0" wp14:anchorId="7798611E" wp14:editId="3686B519">
            <wp:extent cx="4763135" cy="7645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3135" cy="764540"/>
                    </a:xfrm>
                    <a:prstGeom prst="rect">
                      <a:avLst/>
                    </a:prstGeom>
                    <a:noFill/>
                    <a:ln>
                      <a:noFill/>
                    </a:ln>
                  </pic:spPr>
                </pic:pic>
              </a:graphicData>
            </a:graphic>
          </wp:inline>
        </w:drawing>
      </w:r>
    </w:p>
    <w:p w14:paraId="261509B9" w14:textId="723F93C9" w:rsidR="00CF2D3F" w:rsidRDefault="00CF2D3F" w:rsidP="006F1659">
      <w:pPr>
        <w:spacing w:line="360" w:lineRule="auto"/>
        <w:rPr>
          <w:rFonts w:ascii="Arial" w:hAnsi="Arial" w:cs="Arial"/>
        </w:rPr>
      </w:pPr>
    </w:p>
    <w:p w14:paraId="6B5C4002" w14:textId="7DDBD3BE" w:rsidR="00B07451" w:rsidRDefault="00B07451" w:rsidP="006F1659">
      <w:pPr>
        <w:spacing w:line="360" w:lineRule="auto"/>
        <w:rPr>
          <w:rFonts w:ascii="Arial" w:hAnsi="Arial" w:cs="Arial"/>
        </w:rPr>
      </w:pPr>
      <w:r w:rsidRPr="00B07451">
        <w:rPr>
          <w:noProof/>
        </w:rPr>
        <w:drawing>
          <wp:inline distT="0" distB="0" distL="0" distR="0" wp14:anchorId="08575BA2" wp14:editId="6804090B">
            <wp:extent cx="4763135" cy="7848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3135" cy="784860"/>
                    </a:xfrm>
                    <a:prstGeom prst="rect">
                      <a:avLst/>
                    </a:prstGeom>
                    <a:noFill/>
                    <a:ln>
                      <a:noFill/>
                    </a:ln>
                  </pic:spPr>
                </pic:pic>
              </a:graphicData>
            </a:graphic>
          </wp:inline>
        </w:drawing>
      </w:r>
    </w:p>
    <w:p w14:paraId="2A1A6737" w14:textId="77777777" w:rsidR="00B07451" w:rsidRDefault="00B07451" w:rsidP="006F1659">
      <w:pPr>
        <w:spacing w:line="360" w:lineRule="auto"/>
        <w:rPr>
          <w:rFonts w:ascii="Arial" w:hAnsi="Arial" w:cs="Arial"/>
        </w:rPr>
      </w:pPr>
    </w:p>
    <w:p w14:paraId="4D910AE8" w14:textId="4FD3BFBD" w:rsidR="007F381A" w:rsidRDefault="007F381A" w:rsidP="006F1659">
      <w:pPr>
        <w:spacing w:line="360" w:lineRule="auto"/>
        <w:rPr>
          <w:rFonts w:ascii="Arial" w:hAnsi="Arial" w:cs="Arial"/>
        </w:rPr>
      </w:pPr>
      <w:r w:rsidRPr="0007572B">
        <w:rPr>
          <w:rFonts w:ascii="Arial" w:hAnsi="Arial" w:cs="Arial"/>
        </w:rPr>
        <w:t>Many capital schemes take two or more years to complete. At the Balance Sheet date the main contractual commitments relating to ongoing schemes were as follows:</w:t>
      </w:r>
    </w:p>
    <w:p w14:paraId="27FC0020" w14:textId="77777777" w:rsidR="007A2085" w:rsidRPr="0007572B" w:rsidRDefault="007A2085" w:rsidP="006F1659">
      <w:pPr>
        <w:spacing w:line="360" w:lineRule="auto"/>
        <w:rPr>
          <w:rFonts w:ascii="Arial" w:hAnsi="Arial" w:cs="Arial"/>
        </w:rPr>
      </w:pPr>
    </w:p>
    <w:p w14:paraId="505C3794" w14:textId="4DFA26BA" w:rsidR="00215941" w:rsidRPr="0007572B" w:rsidRDefault="005B6C97" w:rsidP="006F1659">
      <w:pPr>
        <w:spacing w:line="360" w:lineRule="auto"/>
        <w:rPr>
          <w:rFonts w:ascii="Arial" w:hAnsi="Arial" w:cs="Arial"/>
          <w:b/>
        </w:rPr>
      </w:pPr>
      <w:r w:rsidRPr="005B6C97">
        <w:rPr>
          <w:noProof/>
        </w:rPr>
        <w:drawing>
          <wp:inline distT="0" distB="0" distL="0" distR="0" wp14:anchorId="54DB33F7" wp14:editId="06B44CFC">
            <wp:extent cx="4591050" cy="1035050"/>
            <wp:effectExtent l="0" t="0" r="0" b="0"/>
            <wp:docPr id="77451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1050" cy="1035050"/>
                    </a:xfrm>
                    <a:prstGeom prst="rect">
                      <a:avLst/>
                    </a:prstGeom>
                    <a:noFill/>
                    <a:ln>
                      <a:noFill/>
                    </a:ln>
                  </pic:spPr>
                </pic:pic>
              </a:graphicData>
            </a:graphic>
          </wp:inline>
        </w:drawing>
      </w:r>
    </w:p>
    <w:p w14:paraId="371A9FCD" w14:textId="67F2CC3B" w:rsidR="00FD0AAF" w:rsidRDefault="00FD0AAF" w:rsidP="006F1659">
      <w:pPr>
        <w:spacing w:line="360" w:lineRule="auto"/>
        <w:rPr>
          <w:rFonts w:ascii="Arial" w:hAnsi="Arial" w:cs="Arial"/>
          <w:b/>
          <w:sz w:val="22"/>
          <w:szCs w:val="22"/>
        </w:rPr>
      </w:pPr>
    </w:p>
    <w:p w14:paraId="6891D045" w14:textId="77777777" w:rsidR="00943897" w:rsidRPr="0007572B" w:rsidRDefault="00943897" w:rsidP="006F1659">
      <w:pPr>
        <w:spacing w:line="360" w:lineRule="auto"/>
        <w:rPr>
          <w:rFonts w:ascii="Arial" w:hAnsi="Arial" w:cs="Arial"/>
          <w:b/>
          <w:sz w:val="22"/>
          <w:szCs w:val="22"/>
        </w:rPr>
      </w:pPr>
    </w:p>
    <w:p w14:paraId="613418CF" w14:textId="5081CF32" w:rsidR="00115DCD" w:rsidRPr="0007572B" w:rsidRDefault="00413C79" w:rsidP="006F1659">
      <w:pPr>
        <w:pStyle w:val="Heading3greennumbered"/>
        <w:spacing w:line="360" w:lineRule="auto"/>
      </w:pPr>
      <w:bookmarkStart w:id="138" w:name="_Toc92894892"/>
      <w:bookmarkStart w:id="139" w:name="_Toc92895196"/>
      <w:bookmarkStart w:id="140" w:name="_Toc109922630"/>
      <w:r w:rsidRPr="0007572B">
        <w:t>20</w:t>
      </w:r>
      <w:r w:rsidR="0063513E" w:rsidRPr="0007572B">
        <w:t xml:space="preserve"> Property, Plant and Equipment Including Disposals</w:t>
      </w:r>
      <w:bookmarkEnd w:id="138"/>
      <w:bookmarkEnd w:id="139"/>
      <w:bookmarkEnd w:id="140"/>
    </w:p>
    <w:p w14:paraId="34ED8041" w14:textId="77777777" w:rsidR="005403AF" w:rsidRDefault="005403AF" w:rsidP="006F1659">
      <w:pPr>
        <w:spacing w:line="360" w:lineRule="auto"/>
        <w:rPr>
          <w:rFonts w:ascii="Arial" w:hAnsi="Arial" w:cs="Arial"/>
          <w:bCs/>
          <w:color w:val="000000"/>
          <w:lang w:val="en-US" w:eastAsia="en-GB"/>
        </w:rPr>
      </w:pPr>
    </w:p>
    <w:p w14:paraId="5EB94A61" w14:textId="77777777" w:rsidR="00556989" w:rsidRDefault="00387571" w:rsidP="006F1659">
      <w:pPr>
        <w:spacing w:line="360" w:lineRule="auto"/>
        <w:rPr>
          <w:rFonts w:ascii="Arial" w:hAnsi="Arial" w:cs="Arial"/>
          <w:bCs/>
          <w:color w:val="000000"/>
          <w:lang w:val="en-US" w:eastAsia="en-GB"/>
        </w:rPr>
      </w:pPr>
      <w:r w:rsidRPr="0007572B">
        <w:rPr>
          <w:rFonts w:ascii="Arial" w:hAnsi="Arial" w:cs="Arial"/>
          <w:bCs/>
          <w:color w:val="000000"/>
          <w:lang w:val="en-US" w:eastAsia="en-GB"/>
        </w:rPr>
        <w:t>Full det</w:t>
      </w:r>
      <w:r w:rsidR="00314193" w:rsidRPr="0007572B">
        <w:rPr>
          <w:rFonts w:ascii="Arial" w:hAnsi="Arial" w:cs="Arial"/>
          <w:bCs/>
          <w:color w:val="000000"/>
          <w:lang w:val="en-US" w:eastAsia="en-GB"/>
        </w:rPr>
        <w:t>ails of how assets are capitalis</w:t>
      </w:r>
      <w:r w:rsidRPr="0007572B">
        <w:rPr>
          <w:rFonts w:ascii="Arial" w:hAnsi="Arial" w:cs="Arial"/>
          <w:bCs/>
          <w:color w:val="000000"/>
          <w:lang w:val="en-US" w:eastAsia="en-GB"/>
        </w:rPr>
        <w:t xml:space="preserve">ed, valued, depreciated, </w:t>
      </w:r>
      <w:r w:rsidR="00556989" w:rsidRPr="0007572B">
        <w:rPr>
          <w:rFonts w:ascii="Arial" w:hAnsi="Arial" w:cs="Arial"/>
          <w:bCs/>
          <w:color w:val="000000"/>
          <w:lang w:val="en-US" w:eastAsia="en-GB"/>
        </w:rPr>
        <w:t>impaired,</w:t>
      </w:r>
      <w:r w:rsidRPr="0007572B">
        <w:rPr>
          <w:rFonts w:ascii="Arial" w:hAnsi="Arial" w:cs="Arial"/>
          <w:bCs/>
          <w:color w:val="000000"/>
          <w:lang w:val="en-US" w:eastAsia="en-GB"/>
        </w:rPr>
        <w:t xml:space="preserve"> and disposed of are provided in the accounting policies </w:t>
      </w:r>
      <w:r w:rsidR="007E5937" w:rsidRPr="0007572B">
        <w:rPr>
          <w:rFonts w:ascii="Arial" w:hAnsi="Arial" w:cs="Arial"/>
          <w:bCs/>
          <w:color w:val="000000"/>
          <w:lang w:val="en-US" w:eastAsia="en-GB"/>
        </w:rPr>
        <w:t>note</w:t>
      </w:r>
      <w:r w:rsidRPr="0007572B">
        <w:rPr>
          <w:rFonts w:ascii="Arial" w:hAnsi="Arial" w:cs="Arial"/>
          <w:bCs/>
          <w:color w:val="000000"/>
          <w:lang w:val="en-US" w:eastAsia="en-GB"/>
        </w:rPr>
        <w:t>.</w:t>
      </w:r>
    </w:p>
    <w:p w14:paraId="6581658E" w14:textId="77777777" w:rsidR="00556989" w:rsidRDefault="00556989" w:rsidP="006F1659">
      <w:pPr>
        <w:spacing w:line="360" w:lineRule="auto"/>
        <w:rPr>
          <w:rFonts w:ascii="Arial" w:hAnsi="Arial" w:cs="Arial"/>
          <w:bCs/>
          <w:color w:val="000000"/>
          <w:lang w:val="en-US" w:eastAsia="en-GB"/>
        </w:rPr>
      </w:pPr>
    </w:p>
    <w:p w14:paraId="2B06E4AE" w14:textId="77777777" w:rsidR="00941BE3" w:rsidRDefault="00941BE3" w:rsidP="00941BE3">
      <w:pPr>
        <w:spacing w:line="360" w:lineRule="auto"/>
        <w:rPr>
          <w:rFonts w:ascii="Arial" w:hAnsi="Arial" w:cs="Arial"/>
          <w:bCs/>
        </w:rPr>
      </w:pPr>
      <w:r w:rsidRPr="00120378">
        <w:rPr>
          <w:rFonts w:ascii="Arial" w:hAnsi="Arial" w:cs="Arial"/>
          <w:bCs/>
          <w:color w:val="000000"/>
          <w:lang w:val="en-US" w:eastAsia="en-GB"/>
        </w:rPr>
        <w:t>The Authority carries out a rolling programme to ensure that all property required to be measured at current value is revalued at least every 5 years. Annual desktop reviews take place in the intervening period to ensure that carrying values are not materially different from current values at the balance sheet date. All valuations were carried out</w:t>
      </w:r>
      <w:r>
        <w:rPr>
          <w:rFonts w:ascii="Arial" w:hAnsi="Arial" w:cs="Arial"/>
          <w:bCs/>
          <w:color w:val="000000"/>
          <w:lang w:val="en-US" w:eastAsia="en-GB"/>
        </w:rPr>
        <w:t xml:space="preserve"> by independent external valuers, as outlined below.</w:t>
      </w:r>
      <w:r w:rsidRPr="00064B49">
        <w:rPr>
          <w:rFonts w:ascii="Arial" w:hAnsi="Arial" w:cs="Arial"/>
          <w:bCs/>
          <w:color w:val="000000"/>
          <w:lang w:val="en-US" w:eastAsia="en-GB"/>
        </w:rPr>
        <w:t xml:space="preserve"> </w:t>
      </w:r>
      <w:r>
        <w:rPr>
          <w:rFonts w:ascii="Arial" w:hAnsi="Arial" w:cs="Arial"/>
          <w:bCs/>
          <w:color w:val="000000"/>
          <w:lang w:val="en-US" w:eastAsia="en-GB"/>
        </w:rPr>
        <w:t>T</w:t>
      </w:r>
      <w:r>
        <w:rPr>
          <w:rFonts w:ascii="Arial" w:hAnsi="Arial" w:cs="Arial"/>
          <w:bCs/>
        </w:rPr>
        <w:t>he sources of information and assumptions made by each valuer are set out in valuation certificates and reports.</w:t>
      </w:r>
    </w:p>
    <w:p w14:paraId="418FE3D0" w14:textId="77777777" w:rsidR="009B47E6" w:rsidRDefault="009B47E6" w:rsidP="00941BE3">
      <w:pPr>
        <w:spacing w:line="360" w:lineRule="auto"/>
        <w:rPr>
          <w:rFonts w:ascii="Arial" w:hAnsi="Arial" w:cs="Arial"/>
          <w:bCs/>
        </w:rPr>
      </w:pPr>
    </w:p>
    <w:p w14:paraId="30197E2F" w14:textId="658F6387" w:rsidR="009B47E6" w:rsidRPr="00CE16DE" w:rsidRDefault="00521752" w:rsidP="00941BE3">
      <w:pPr>
        <w:spacing w:line="360" w:lineRule="auto"/>
        <w:rPr>
          <w:rFonts w:ascii="Arial" w:hAnsi="Arial" w:cs="Arial"/>
          <w:bCs/>
          <w:lang w:val="en-US" w:eastAsia="en-GB"/>
        </w:rPr>
      </w:pPr>
      <w:r w:rsidRPr="00CE16DE">
        <w:rPr>
          <w:rFonts w:ascii="Arial" w:hAnsi="Arial" w:cs="Arial"/>
          <w:bCs/>
          <w:lang w:val="en-US" w:eastAsia="en-GB"/>
        </w:rPr>
        <w:t>Where there is an active market, l</w:t>
      </w:r>
      <w:r w:rsidR="00B12CA6" w:rsidRPr="00CE16DE">
        <w:rPr>
          <w:rFonts w:ascii="Arial" w:hAnsi="Arial" w:cs="Arial"/>
          <w:bCs/>
          <w:lang w:val="en-US" w:eastAsia="en-GB"/>
        </w:rPr>
        <w:t xml:space="preserve">and and buildings are valued at current value based on existing use value (EUV). This </w:t>
      </w:r>
      <w:r w:rsidRPr="00CE16DE">
        <w:rPr>
          <w:rFonts w:ascii="Arial" w:hAnsi="Arial" w:cs="Arial"/>
          <w:bCs/>
          <w:lang w:val="en-US" w:eastAsia="en-GB"/>
        </w:rPr>
        <w:t>approach looks at local</w:t>
      </w:r>
      <w:r w:rsidR="009B47E6" w:rsidRPr="00CE16DE">
        <w:rPr>
          <w:rFonts w:ascii="Arial" w:hAnsi="Arial" w:cs="Arial"/>
          <w:bCs/>
          <w:lang w:val="en-US" w:eastAsia="en-GB"/>
        </w:rPr>
        <w:t xml:space="preserve"> market conditions</w:t>
      </w:r>
      <w:r w:rsidRPr="00CE16DE">
        <w:rPr>
          <w:rFonts w:ascii="Arial" w:hAnsi="Arial" w:cs="Arial"/>
          <w:bCs/>
          <w:lang w:val="en-US" w:eastAsia="en-GB"/>
        </w:rPr>
        <w:t xml:space="preserve">, </w:t>
      </w:r>
      <w:r w:rsidR="009B47E6" w:rsidRPr="00CE16DE">
        <w:rPr>
          <w:rFonts w:ascii="Arial" w:hAnsi="Arial" w:cs="Arial"/>
          <w:bCs/>
          <w:lang w:val="en-US" w:eastAsia="en-GB"/>
        </w:rPr>
        <w:t xml:space="preserve">recent sales </w:t>
      </w:r>
      <w:r w:rsidRPr="00CE16DE">
        <w:rPr>
          <w:rFonts w:ascii="Arial" w:hAnsi="Arial" w:cs="Arial"/>
          <w:bCs/>
          <w:lang w:val="en-US" w:eastAsia="en-GB"/>
        </w:rPr>
        <w:t>data</w:t>
      </w:r>
      <w:r>
        <w:rPr>
          <w:rFonts w:ascii="Arial" w:hAnsi="Arial" w:cs="Arial"/>
          <w:bCs/>
          <w:lang w:val="en-US" w:eastAsia="en-GB"/>
        </w:rPr>
        <w:t>,</w:t>
      </w:r>
      <w:r w:rsidR="009B47E6" w:rsidRPr="00CE16DE">
        <w:rPr>
          <w:rFonts w:ascii="Arial" w:hAnsi="Arial" w:cs="Arial"/>
          <w:bCs/>
          <w:lang w:val="en-US" w:eastAsia="en-GB"/>
        </w:rPr>
        <w:t xml:space="preserve"> and other relevant information for similar assets </w:t>
      </w:r>
      <w:r w:rsidRPr="00CE16DE">
        <w:rPr>
          <w:rFonts w:ascii="Arial" w:hAnsi="Arial" w:cs="Arial"/>
          <w:bCs/>
          <w:lang w:val="en-US" w:eastAsia="en-GB"/>
        </w:rPr>
        <w:t>with</w:t>
      </w:r>
      <w:r w:rsidR="009B47E6" w:rsidRPr="00CE16DE">
        <w:rPr>
          <w:rFonts w:ascii="Arial" w:hAnsi="Arial" w:cs="Arial"/>
          <w:bCs/>
          <w:lang w:val="en-US" w:eastAsia="en-GB"/>
        </w:rPr>
        <w:t>in the local authority area. Significant inputs include yields, valuation per square metre</w:t>
      </w:r>
      <w:r w:rsidRPr="00CE16DE">
        <w:rPr>
          <w:rFonts w:ascii="Arial" w:hAnsi="Arial" w:cs="Arial"/>
          <w:bCs/>
          <w:lang w:val="en-US" w:eastAsia="en-GB"/>
        </w:rPr>
        <w:t xml:space="preserve"> and</w:t>
      </w:r>
      <w:r w:rsidR="009B47E6" w:rsidRPr="00CE16DE">
        <w:rPr>
          <w:rFonts w:ascii="Arial" w:hAnsi="Arial" w:cs="Arial"/>
          <w:bCs/>
          <w:lang w:val="en-US" w:eastAsia="en-GB"/>
        </w:rPr>
        <w:t xml:space="preserve"> rents per square metre. </w:t>
      </w:r>
    </w:p>
    <w:p w14:paraId="5DB33E9E" w14:textId="77777777" w:rsidR="009B47E6" w:rsidRDefault="009B47E6" w:rsidP="00941BE3">
      <w:pPr>
        <w:spacing w:line="360" w:lineRule="auto"/>
        <w:rPr>
          <w:rFonts w:ascii="Arial" w:hAnsi="Arial" w:cs="Arial"/>
          <w:bCs/>
          <w:color w:val="FF0000"/>
          <w:lang w:val="en-US" w:eastAsia="en-GB"/>
        </w:rPr>
      </w:pPr>
    </w:p>
    <w:p w14:paraId="71456531" w14:textId="1E582B89" w:rsidR="009B47E6" w:rsidRPr="00CE16DE" w:rsidRDefault="009B47E6" w:rsidP="00941BE3">
      <w:pPr>
        <w:spacing w:line="360" w:lineRule="auto"/>
        <w:rPr>
          <w:rFonts w:ascii="Arial" w:hAnsi="Arial" w:cs="Arial"/>
          <w:bCs/>
          <w:lang w:val="en-US" w:eastAsia="en-GB"/>
        </w:rPr>
      </w:pPr>
      <w:r w:rsidRPr="00CE16DE">
        <w:rPr>
          <w:rFonts w:ascii="Arial" w:hAnsi="Arial" w:cs="Arial"/>
          <w:bCs/>
          <w:lang w:val="en-US" w:eastAsia="en-GB"/>
        </w:rPr>
        <w:t>Where</w:t>
      </w:r>
      <w:r w:rsidR="00DE43A9" w:rsidRPr="00CE16DE">
        <w:rPr>
          <w:rFonts w:ascii="Arial" w:hAnsi="Arial" w:cs="Arial"/>
          <w:bCs/>
          <w:lang w:val="en-US" w:eastAsia="en-GB"/>
        </w:rPr>
        <w:t xml:space="preserve"> assets are of a specialis</w:t>
      </w:r>
      <w:r w:rsidR="00B12CA6">
        <w:rPr>
          <w:rFonts w:ascii="Arial" w:hAnsi="Arial" w:cs="Arial"/>
          <w:bCs/>
          <w:lang w:val="en-US" w:eastAsia="en-GB"/>
        </w:rPr>
        <w:t>t</w:t>
      </w:r>
      <w:r w:rsidR="00DE43A9" w:rsidRPr="00CE16DE">
        <w:rPr>
          <w:rFonts w:ascii="Arial" w:hAnsi="Arial" w:cs="Arial"/>
          <w:bCs/>
          <w:lang w:val="en-US" w:eastAsia="en-GB"/>
        </w:rPr>
        <w:t xml:space="preserve"> nature and</w:t>
      </w:r>
      <w:r w:rsidRPr="00CE16DE">
        <w:rPr>
          <w:rFonts w:ascii="Arial" w:hAnsi="Arial" w:cs="Arial"/>
          <w:bCs/>
          <w:lang w:val="en-US" w:eastAsia="en-GB"/>
        </w:rPr>
        <w:t xml:space="preserve"> there is no market-based evidence of current value, </w:t>
      </w:r>
      <w:r w:rsidR="00DE43A9" w:rsidRPr="00CE16DE">
        <w:rPr>
          <w:rFonts w:ascii="Arial" w:hAnsi="Arial" w:cs="Arial"/>
          <w:bCs/>
          <w:lang w:val="en-US" w:eastAsia="en-GB"/>
        </w:rPr>
        <w:t>depreciated replacement cost (</w:t>
      </w:r>
      <w:r w:rsidRPr="00CE16DE">
        <w:rPr>
          <w:rFonts w:ascii="Arial" w:hAnsi="Arial" w:cs="Arial"/>
          <w:bCs/>
          <w:lang w:val="en-US" w:eastAsia="en-GB"/>
        </w:rPr>
        <w:t>DRC</w:t>
      </w:r>
      <w:r w:rsidR="00DE43A9" w:rsidRPr="00CE16DE">
        <w:rPr>
          <w:rFonts w:ascii="Arial" w:hAnsi="Arial" w:cs="Arial"/>
          <w:bCs/>
          <w:lang w:val="en-US" w:eastAsia="en-GB"/>
        </w:rPr>
        <w:t>)</w:t>
      </w:r>
      <w:r w:rsidRPr="00CE16DE">
        <w:rPr>
          <w:rFonts w:ascii="Arial" w:hAnsi="Arial" w:cs="Arial"/>
          <w:bCs/>
          <w:lang w:val="en-US" w:eastAsia="en-GB"/>
        </w:rPr>
        <w:t xml:space="preserve"> is used as an estimate of current value. DRC uses various assumptions such as BCIS cost data, professional fees, </w:t>
      </w:r>
      <w:r w:rsidR="00B12CA6" w:rsidRPr="00CE16DE">
        <w:rPr>
          <w:rFonts w:ascii="Arial" w:hAnsi="Arial" w:cs="Arial"/>
          <w:bCs/>
          <w:lang w:val="en-US" w:eastAsia="en-GB"/>
        </w:rPr>
        <w:t xml:space="preserve">and </w:t>
      </w:r>
      <w:r w:rsidRPr="00CE16DE">
        <w:rPr>
          <w:rFonts w:ascii="Arial" w:hAnsi="Arial" w:cs="Arial"/>
          <w:bCs/>
          <w:lang w:val="en-US" w:eastAsia="en-GB"/>
        </w:rPr>
        <w:t>obsolescence</w:t>
      </w:r>
      <w:r w:rsidR="00521752">
        <w:rPr>
          <w:rFonts w:ascii="Arial" w:hAnsi="Arial" w:cs="Arial"/>
          <w:bCs/>
          <w:lang w:val="en-US" w:eastAsia="en-GB"/>
        </w:rPr>
        <w:t xml:space="preserve"> in order to calculate the asset valuation</w:t>
      </w:r>
      <w:r w:rsidRPr="00CE16DE">
        <w:rPr>
          <w:rFonts w:ascii="Arial" w:hAnsi="Arial" w:cs="Arial"/>
          <w:bCs/>
          <w:lang w:val="en-US" w:eastAsia="en-GB"/>
        </w:rPr>
        <w:t xml:space="preserve">. </w:t>
      </w:r>
    </w:p>
    <w:p w14:paraId="427FA421" w14:textId="77777777" w:rsidR="00941BE3" w:rsidRPr="00120378" w:rsidRDefault="00941BE3" w:rsidP="00941BE3">
      <w:pPr>
        <w:spacing w:line="360" w:lineRule="auto"/>
        <w:rPr>
          <w:rFonts w:ascii="Arial" w:hAnsi="Arial" w:cs="Arial"/>
          <w:bCs/>
          <w:color w:val="000000"/>
          <w:lang w:val="en-US" w:eastAsia="en-GB"/>
        </w:rPr>
      </w:pPr>
    </w:p>
    <w:p w14:paraId="35C85351" w14:textId="77777777" w:rsidR="00941BE3" w:rsidRPr="00120378" w:rsidRDefault="00941BE3" w:rsidP="00941BE3">
      <w:pPr>
        <w:spacing w:line="360" w:lineRule="auto"/>
        <w:rPr>
          <w:rFonts w:ascii="Arial" w:hAnsi="Arial" w:cs="Arial"/>
          <w:bCs/>
          <w:color w:val="000000"/>
          <w:lang w:val="en-US" w:eastAsia="en-GB"/>
        </w:rPr>
      </w:pPr>
      <w:r w:rsidRPr="00120378">
        <w:rPr>
          <w:rFonts w:ascii="Arial" w:hAnsi="Arial" w:cs="Arial"/>
          <w:bCs/>
          <w:color w:val="000000"/>
          <w:u w:val="single"/>
          <w:lang w:val="en-US" w:eastAsia="en-GB"/>
        </w:rPr>
        <w:t>Waste Assets</w:t>
      </w:r>
    </w:p>
    <w:p w14:paraId="61310F48" w14:textId="77777777" w:rsidR="00941BE3" w:rsidRPr="00120378" w:rsidRDefault="00941BE3" w:rsidP="00941BE3">
      <w:pPr>
        <w:pStyle w:val="ListParagraph"/>
        <w:numPr>
          <w:ilvl w:val="0"/>
          <w:numId w:val="29"/>
        </w:numPr>
        <w:spacing w:line="360" w:lineRule="auto"/>
        <w:rPr>
          <w:rFonts w:ascii="Arial" w:hAnsi="Arial" w:cs="Arial"/>
          <w:bCs/>
          <w:color w:val="000000"/>
          <w:sz w:val="24"/>
          <w:szCs w:val="24"/>
          <w:lang w:val="en-US"/>
        </w:rPr>
      </w:pPr>
      <w:r w:rsidRPr="00120378">
        <w:rPr>
          <w:rFonts w:ascii="Arial" w:hAnsi="Arial" w:cs="Arial"/>
          <w:bCs/>
          <w:color w:val="000000"/>
          <w:sz w:val="24"/>
          <w:szCs w:val="24"/>
          <w:lang w:val="en-US"/>
        </w:rPr>
        <w:t>Valuations were carried out by Avison Young, an independent valuer, for all land, buildings and infrastructure revaluations</w:t>
      </w:r>
      <w:r>
        <w:rPr>
          <w:rFonts w:ascii="Arial" w:hAnsi="Arial" w:cs="Arial"/>
          <w:bCs/>
          <w:color w:val="000000"/>
          <w:sz w:val="24"/>
          <w:szCs w:val="24"/>
          <w:lang w:val="en-US"/>
        </w:rPr>
        <w:t xml:space="preserve">. </w:t>
      </w:r>
      <w:r w:rsidRPr="00120378">
        <w:rPr>
          <w:rFonts w:ascii="Arial" w:hAnsi="Arial" w:cs="Arial"/>
          <w:bCs/>
          <w:color w:val="000000"/>
          <w:sz w:val="24"/>
          <w:szCs w:val="24"/>
          <w:lang w:val="en-US"/>
        </w:rPr>
        <w:t xml:space="preserve">These asset valuations </w:t>
      </w:r>
      <w:r>
        <w:rPr>
          <w:rFonts w:ascii="Arial" w:hAnsi="Arial" w:cs="Arial"/>
          <w:bCs/>
          <w:color w:val="000000"/>
          <w:sz w:val="24"/>
          <w:szCs w:val="24"/>
          <w:lang w:val="en-US"/>
        </w:rPr>
        <w:t>were carried out in accordance with the methodologies and bases for estimation set out in the professional standards of the Royal Institute of Chartered Surveyors.</w:t>
      </w:r>
    </w:p>
    <w:p w14:paraId="32243A96" w14:textId="77777777" w:rsidR="00941BE3" w:rsidRPr="00120378" w:rsidRDefault="00941BE3" w:rsidP="00941BE3">
      <w:pPr>
        <w:pStyle w:val="ListParagraph"/>
        <w:numPr>
          <w:ilvl w:val="0"/>
          <w:numId w:val="29"/>
        </w:numPr>
        <w:spacing w:line="360" w:lineRule="auto"/>
        <w:rPr>
          <w:rFonts w:ascii="Arial" w:hAnsi="Arial" w:cs="Arial"/>
          <w:bCs/>
          <w:color w:val="000000"/>
          <w:sz w:val="24"/>
          <w:szCs w:val="24"/>
          <w:lang w:val="en-US"/>
        </w:rPr>
      </w:pPr>
      <w:r w:rsidRPr="00120378">
        <w:rPr>
          <w:rFonts w:ascii="Arial" w:hAnsi="Arial" w:cs="Arial"/>
          <w:bCs/>
          <w:color w:val="000000"/>
          <w:sz w:val="24"/>
          <w:szCs w:val="24"/>
          <w:lang w:val="en-US"/>
        </w:rPr>
        <w:t xml:space="preserve">Hilco Appraisals Limited carried out plant and machinery valuations. </w:t>
      </w:r>
    </w:p>
    <w:p w14:paraId="32E868E1" w14:textId="77777777" w:rsidR="00941BE3" w:rsidRPr="00120378" w:rsidRDefault="00941BE3" w:rsidP="00941BE3">
      <w:pPr>
        <w:spacing w:line="360" w:lineRule="auto"/>
        <w:rPr>
          <w:rFonts w:ascii="Arial" w:hAnsi="Arial" w:cs="Arial"/>
          <w:bCs/>
          <w:color w:val="000000"/>
          <w:u w:val="single"/>
          <w:lang w:val="en-US"/>
        </w:rPr>
      </w:pPr>
    </w:p>
    <w:p w14:paraId="190C5828" w14:textId="77777777" w:rsidR="00941BE3" w:rsidRPr="00120378" w:rsidRDefault="00941BE3" w:rsidP="00941BE3">
      <w:pPr>
        <w:spacing w:line="360" w:lineRule="auto"/>
        <w:rPr>
          <w:rFonts w:ascii="Arial" w:hAnsi="Arial" w:cs="Arial"/>
          <w:bCs/>
          <w:color w:val="000000"/>
          <w:lang w:val="en-US"/>
        </w:rPr>
      </w:pPr>
      <w:r w:rsidRPr="00120378">
        <w:rPr>
          <w:rFonts w:ascii="Arial" w:hAnsi="Arial" w:cs="Arial"/>
          <w:bCs/>
          <w:color w:val="000000"/>
          <w:u w:val="single"/>
          <w:lang w:val="en-US"/>
        </w:rPr>
        <w:t>Other Land and Building Assets</w:t>
      </w:r>
    </w:p>
    <w:p w14:paraId="099EB6E6" w14:textId="77777777" w:rsidR="00941BE3" w:rsidRPr="00120378" w:rsidRDefault="00941BE3" w:rsidP="00941BE3">
      <w:pPr>
        <w:pStyle w:val="ListParagraph"/>
        <w:numPr>
          <w:ilvl w:val="0"/>
          <w:numId w:val="29"/>
        </w:numPr>
        <w:autoSpaceDE w:val="0"/>
        <w:autoSpaceDN w:val="0"/>
        <w:adjustRightInd w:val="0"/>
        <w:spacing w:line="360" w:lineRule="auto"/>
        <w:ind w:left="357"/>
        <w:rPr>
          <w:rFonts w:ascii="Arial" w:hAnsi="Arial" w:cs="Arial"/>
          <w:b/>
          <w:sz w:val="24"/>
          <w:szCs w:val="24"/>
        </w:rPr>
      </w:pPr>
      <w:r w:rsidRPr="00120378">
        <w:rPr>
          <w:rFonts w:ascii="Arial" w:hAnsi="Arial" w:cs="Arial"/>
          <w:bCs/>
          <w:color w:val="000000"/>
          <w:sz w:val="24"/>
          <w:szCs w:val="24"/>
          <w:lang w:val="en-US"/>
        </w:rPr>
        <w:t xml:space="preserve">Salford City Council Property Services carried out valuations of the Authority’s remaining </w:t>
      </w:r>
      <w:r>
        <w:rPr>
          <w:rFonts w:ascii="Arial" w:hAnsi="Arial" w:cs="Arial"/>
          <w:bCs/>
          <w:color w:val="000000"/>
          <w:sz w:val="24"/>
          <w:szCs w:val="24"/>
          <w:lang w:val="en-US"/>
        </w:rPr>
        <w:t xml:space="preserve">land and building </w:t>
      </w:r>
      <w:r w:rsidRPr="00120378">
        <w:rPr>
          <w:rFonts w:ascii="Arial" w:hAnsi="Arial" w:cs="Arial"/>
          <w:bCs/>
          <w:color w:val="000000"/>
          <w:sz w:val="24"/>
          <w:szCs w:val="24"/>
          <w:lang w:val="en-US"/>
        </w:rPr>
        <w:t>assets</w:t>
      </w:r>
      <w:r>
        <w:rPr>
          <w:rFonts w:ascii="Arial" w:hAnsi="Arial" w:cs="Arial"/>
          <w:bCs/>
          <w:color w:val="000000"/>
          <w:sz w:val="24"/>
          <w:szCs w:val="24"/>
          <w:lang w:val="en-US"/>
        </w:rPr>
        <w:t xml:space="preserve">, </w:t>
      </w:r>
      <w:r w:rsidRPr="00064B49">
        <w:rPr>
          <w:rFonts w:ascii="Arial" w:hAnsi="Arial" w:cs="Arial"/>
          <w:bCs/>
          <w:color w:val="000000"/>
          <w:sz w:val="24"/>
          <w:szCs w:val="24"/>
          <w:lang w:val="en-US"/>
        </w:rPr>
        <w:t>in accordance with the methodologies and bases for estimation set out in the professional standards of the Royal Institute of Chartered Surveyors.</w:t>
      </w:r>
      <w:r w:rsidRPr="00120378">
        <w:rPr>
          <w:rFonts w:ascii="Arial" w:hAnsi="Arial" w:cs="Arial"/>
          <w:bCs/>
          <w:color w:val="000000"/>
          <w:sz w:val="24"/>
          <w:szCs w:val="24"/>
          <w:lang w:val="en-US"/>
        </w:rPr>
        <w:t xml:space="preserve"> </w:t>
      </w:r>
    </w:p>
    <w:p w14:paraId="28DB4A28" w14:textId="77777777" w:rsidR="00941BE3" w:rsidRPr="00120378" w:rsidRDefault="00941BE3" w:rsidP="00941BE3">
      <w:pPr>
        <w:autoSpaceDE w:val="0"/>
        <w:autoSpaceDN w:val="0"/>
        <w:adjustRightInd w:val="0"/>
        <w:spacing w:line="360" w:lineRule="auto"/>
        <w:ind w:left="-3"/>
        <w:rPr>
          <w:rFonts w:ascii="Arial" w:hAnsi="Arial" w:cs="Arial"/>
          <w:b/>
        </w:rPr>
      </w:pPr>
    </w:p>
    <w:p w14:paraId="7FB8A7A2" w14:textId="77777777" w:rsidR="00941BE3" w:rsidRPr="00064B49" w:rsidRDefault="00941BE3" w:rsidP="00941BE3">
      <w:pPr>
        <w:spacing w:line="360" w:lineRule="auto"/>
        <w:rPr>
          <w:rFonts w:ascii="Arial" w:hAnsi="Arial" w:cs="Arial"/>
          <w:bCs/>
          <w:color w:val="000000"/>
          <w:u w:val="single"/>
          <w:lang w:val="en-US"/>
        </w:rPr>
      </w:pPr>
      <w:r w:rsidRPr="00120378">
        <w:rPr>
          <w:rFonts w:ascii="Arial" w:hAnsi="Arial" w:cs="Arial"/>
          <w:bCs/>
          <w:color w:val="000000"/>
          <w:u w:val="single"/>
          <w:lang w:val="en-US"/>
        </w:rPr>
        <w:t>Surplus Assets</w:t>
      </w:r>
    </w:p>
    <w:p w14:paraId="6A040083" w14:textId="77777777" w:rsidR="00941BE3" w:rsidRPr="00120378" w:rsidRDefault="00941BE3" w:rsidP="00941BE3">
      <w:pPr>
        <w:pStyle w:val="ListParagraph"/>
        <w:numPr>
          <w:ilvl w:val="0"/>
          <w:numId w:val="29"/>
        </w:numPr>
        <w:autoSpaceDE w:val="0"/>
        <w:autoSpaceDN w:val="0"/>
        <w:adjustRightInd w:val="0"/>
        <w:spacing w:line="360" w:lineRule="auto"/>
        <w:rPr>
          <w:rFonts w:ascii="Arial" w:hAnsi="Arial" w:cs="Arial"/>
          <w:bCs/>
          <w:sz w:val="24"/>
          <w:szCs w:val="24"/>
        </w:rPr>
      </w:pPr>
      <w:r>
        <w:rPr>
          <w:rFonts w:ascii="Arial" w:hAnsi="Arial" w:cs="Arial"/>
          <w:bCs/>
          <w:sz w:val="24"/>
          <w:szCs w:val="24"/>
        </w:rPr>
        <w:t>Salford City Council Property Services value t</w:t>
      </w:r>
      <w:r w:rsidRPr="00120378">
        <w:rPr>
          <w:rFonts w:ascii="Arial" w:hAnsi="Arial" w:cs="Arial"/>
          <w:bCs/>
          <w:sz w:val="24"/>
          <w:szCs w:val="24"/>
        </w:rPr>
        <w:t>he Authority’s surplus assets</w:t>
      </w:r>
      <w:r>
        <w:rPr>
          <w:rFonts w:ascii="Arial" w:hAnsi="Arial" w:cs="Arial"/>
          <w:bCs/>
          <w:sz w:val="24"/>
          <w:szCs w:val="24"/>
        </w:rPr>
        <w:t>, which mainly</w:t>
      </w:r>
      <w:r w:rsidRPr="00120378">
        <w:rPr>
          <w:rFonts w:ascii="Arial" w:hAnsi="Arial" w:cs="Arial"/>
          <w:bCs/>
          <w:sz w:val="24"/>
          <w:szCs w:val="24"/>
        </w:rPr>
        <w:t xml:space="preserve"> comprise </w:t>
      </w:r>
      <w:r>
        <w:rPr>
          <w:rFonts w:ascii="Arial" w:hAnsi="Arial" w:cs="Arial"/>
          <w:bCs/>
          <w:sz w:val="24"/>
          <w:szCs w:val="24"/>
        </w:rPr>
        <w:t>former operational police sites that have been vacated.</w:t>
      </w:r>
      <w:r w:rsidRPr="00120378">
        <w:rPr>
          <w:rFonts w:ascii="Arial" w:hAnsi="Arial" w:cs="Arial"/>
          <w:bCs/>
          <w:sz w:val="24"/>
          <w:szCs w:val="24"/>
        </w:rPr>
        <w:t xml:space="preserve"> </w:t>
      </w:r>
      <w:r>
        <w:rPr>
          <w:rFonts w:ascii="Arial" w:hAnsi="Arial" w:cs="Arial"/>
          <w:bCs/>
          <w:sz w:val="24"/>
          <w:szCs w:val="24"/>
        </w:rPr>
        <w:t>These assets are valued at fair value reflecting the highest and best use of the assets based on prevailing planning policy and local market factors.</w:t>
      </w:r>
      <w:r w:rsidRPr="00120378">
        <w:rPr>
          <w:rFonts w:ascii="Arial" w:hAnsi="Arial" w:cs="Arial"/>
          <w:bCs/>
          <w:sz w:val="24"/>
          <w:szCs w:val="24"/>
        </w:rPr>
        <w:t xml:space="preserve"> </w:t>
      </w:r>
    </w:p>
    <w:p w14:paraId="52A62F17" w14:textId="77777777" w:rsidR="00556989" w:rsidRPr="00556989" w:rsidRDefault="00556989" w:rsidP="006F1659">
      <w:pPr>
        <w:pStyle w:val="ListParagraph"/>
        <w:autoSpaceDE w:val="0"/>
        <w:autoSpaceDN w:val="0"/>
        <w:adjustRightInd w:val="0"/>
        <w:spacing w:line="360" w:lineRule="auto"/>
        <w:ind w:left="357"/>
        <w:rPr>
          <w:rFonts w:ascii="Arial" w:hAnsi="Arial" w:cs="Arial"/>
          <w:b/>
          <w:sz w:val="24"/>
          <w:szCs w:val="24"/>
        </w:rPr>
      </w:pPr>
    </w:p>
    <w:p w14:paraId="183154F2" w14:textId="0F88336C" w:rsidR="00E558A4" w:rsidRDefault="002C43F3" w:rsidP="006F1659">
      <w:pPr>
        <w:spacing w:line="360" w:lineRule="auto"/>
        <w:rPr>
          <w:noProof/>
        </w:rPr>
      </w:pPr>
      <w:r w:rsidRPr="002C43F3">
        <w:rPr>
          <w:noProof/>
        </w:rPr>
        <w:lastRenderedPageBreak/>
        <w:drawing>
          <wp:inline distT="0" distB="0" distL="0" distR="0" wp14:anchorId="54756822" wp14:editId="0231BC50">
            <wp:extent cx="6064250" cy="1895475"/>
            <wp:effectExtent l="0" t="0" r="0" b="9525"/>
            <wp:docPr id="555813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64250" cy="1895475"/>
                    </a:xfrm>
                    <a:prstGeom prst="rect">
                      <a:avLst/>
                    </a:prstGeom>
                    <a:noFill/>
                    <a:ln>
                      <a:noFill/>
                    </a:ln>
                  </pic:spPr>
                </pic:pic>
              </a:graphicData>
            </a:graphic>
          </wp:inline>
        </w:drawing>
      </w:r>
    </w:p>
    <w:p w14:paraId="6E83D8D7" w14:textId="09C832D8" w:rsidR="005B6C97" w:rsidRPr="0007572B" w:rsidRDefault="005B6C97" w:rsidP="006F1659">
      <w:pPr>
        <w:spacing w:line="360" w:lineRule="auto"/>
        <w:rPr>
          <w:rFonts w:ascii="Arial" w:hAnsi="Arial" w:cs="Arial"/>
          <w:b/>
          <w:sz w:val="36"/>
          <w:szCs w:val="36"/>
        </w:rPr>
        <w:sectPr w:rsidR="005B6C97" w:rsidRPr="0007572B" w:rsidSect="004833A2">
          <w:pgSz w:w="11906" w:h="16838"/>
          <w:pgMar w:top="1444" w:right="1276" w:bottom="1440" w:left="1080" w:header="568" w:footer="567" w:gutter="0"/>
          <w:cols w:space="708"/>
          <w:docGrid w:linePitch="360"/>
        </w:sectPr>
      </w:pPr>
    </w:p>
    <w:p w14:paraId="3408E279" w14:textId="51F19884" w:rsidR="00AD1DA0" w:rsidRPr="0007572B" w:rsidRDefault="00325BB0" w:rsidP="006F1659">
      <w:pPr>
        <w:spacing w:line="360" w:lineRule="auto"/>
        <w:rPr>
          <w:rFonts w:ascii="Arial" w:hAnsi="Arial" w:cs="Arial"/>
          <w:sz w:val="22"/>
          <w:szCs w:val="22"/>
        </w:rPr>
      </w:pPr>
      <w:r w:rsidRPr="00325BB0">
        <w:rPr>
          <w:noProof/>
        </w:rPr>
        <w:lastRenderedPageBreak/>
        <w:drawing>
          <wp:inline distT="0" distB="0" distL="0" distR="0" wp14:anchorId="223E241C" wp14:editId="236CCE03">
            <wp:extent cx="8964930" cy="3810635"/>
            <wp:effectExtent l="0" t="0" r="7620" b="0"/>
            <wp:docPr id="3638011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964930" cy="3810635"/>
                    </a:xfrm>
                    <a:prstGeom prst="rect">
                      <a:avLst/>
                    </a:prstGeom>
                    <a:noFill/>
                    <a:ln>
                      <a:noFill/>
                    </a:ln>
                  </pic:spPr>
                </pic:pic>
              </a:graphicData>
            </a:graphic>
          </wp:inline>
        </w:drawing>
      </w:r>
    </w:p>
    <w:p w14:paraId="7D62F22D" w14:textId="51684DEA" w:rsidR="00B2139B" w:rsidRPr="0007572B" w:rsidRDefault="00B2139B" w:rsidP="006F1659">
      <w:pPr>
        <w:spacing w:line="360" w:lineRule="auto"/>
        <w:rPr>
          <w:rFonts w:ascii="Arial" w:hAnsi="Arial" w:cs="Arial"/>
          <w:sz w:val="22"/>
          <w:szCs w:val="22"/>
        </w:rPr>
      </w:pPr>
    </w:p>
    <w:p w14:paraId="7AA429A2" w14:textId="5E0749AD" w:rsidR="00B2139B" w:rsidRPr="0007572B" w:rsidRDefault="00B2139B" w:rsidP="006F1659">
      <w:pPr>
        <w:spacing w:line="360" w:lineRule="auto"/>
        <w:rPr>
          <w:rFonts w:ascii="Arial" w:hAnsi="Arial" w:cs="Arial"/>
          <w:b/>
          <w:sz w:val="22"/>
          <w:szCs w:val="22"/>
        </w:rPr>
      </w:pPr>
    </w:p>
    <w:p w14:paraId="7985EADB" w14:textId="132624AB" w:rsidR="001A7D30" w:rsidRPr="0007572B" w:rsidRDefault="001A7D30" w:rsidP="006F1659">
      <w:pPr>
        <w:spacing w:line="360" w:lineRule="auto"/>
        <w:rPr>
          <w:rFonts w:ascii="Arial" w:hAnsi="Arial" w:cs="Arial"/>
          <w:bCs/>
        </w:rPr>
      </w:pPr>
    </w:p>
    <w:p w14:paraId="46852A34" w14:textId="77777777" w:rsidR="000960E1" w:rsidRPr="0007572B" w:rsidRDefault="000960E1" w:rsidP="006F1659">
      <w:pPr>
        <w:spacing w:line="360" w:lineRule="auto"/>
        <w:rPr>
          <w:rFonts w:ascii="Arial" w:hAnsi="Arial" w:cs="Arial"/>
          <w:bCs/>
        </w:rPr>
      </w:pPr>
    </w:p>
    <w:p w14:paraId="20B0BEC3" w14:textId="5F7655BD" w:rsidR="000960E1" w:rsidRDefault="001F7874" w:rsidP="006F1659">
      <w:pPr>
        <w:spacing w:line="360" w:lineRule="auto"/>
        <w:rPr>
          <w:rFonts w:ascii="Arial" w:hAnsi="Arial" w:cs="Arial"/>
          <w:b/>
          <w:sz w:val="36"/>
          <w:szCs w:val="36"/>
        </w:rPr>
      </w:pPr>
      <w:r w:rsidRPr="001F7874">
        <w:rPr>
          <w:noProof/>
        </w:rPr>
        <w:lastRenderedPageBreak/>
        <w:drawing>
          <wp:inline distT="0" distB="0" distL="0" distR="0" wp14:anchorId="7BCD019B" wp14:editId="4E6E8120">
            <wp:extent cx="8964930" cy="3545205"/>
            <wp:effectExtent l="0" t="0" r="7620" b="0"/>
            <wp:docPr id="102521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964930" cy="3545205"/>
                    </a:xfrm>
                    <a:prstGeom prst="rect">
                      <a:avLst/>
                    </a:prstGeom>
                    <a:noFill/>
                    <a:ln>
                      <a:noFill/>
                    </a:ln>
                  </pic:spPr>
                </pic:pic>
              </a:graphicData>
            </a:graphic>
          </wp:inline>
        </w:drawing>
      </w:r>
    </w:p>
    <w:p w14:paraId="249510E9" w14:textId="5680196B" w:rsidR="003103DC" w:rsidRDefault="003103DC" w:rsidP="006F1659">
      <w:pPr>
        <w:spacing w:line="360" w:lineRule="auto"/>
        <w:rPr>
          <w:rFonts w:ascii="Arial" w:hAnsi="Arial" w:cs="Arial"/>
          <w:b/>
          <w:sz w:val="36"/>
          <w:szCs w:val="36"/>
        </w:rPr>
      </w:pPr>
    </w:p>
    <w:p w14:paraId="56EA7B75" w14:textId="77777777" w:rsidR="004B42D8" w:rsidRDefault="004B42D8" w:rsidP="006F1659">
      <w:pPr>
        <w:spacing w:line="360" w:lineRule="auto"/>
        <w:rPr>
          <w:rFonts w:ascii="Arial" w:hAnsi="Arial" w:cs="Arial"/>
          <w:b/>
          <w:sz w:val="36"/>
          <w:szCs w:val="36"/>
        </w:rPr>
        <w:sectPr w:rsidR="004B42D8" w:rsidSect="004833A2">
          <w:pgSz w:w="16838" w:h="11906" w:orient="landscape"/>
          <w:pgMar w:top="1080" w:right="1444" w:bottom="1416" w:left="1276" w:header="568" w:footer="567" w:gutter="0"/>
          <w:cols w:space="708"/>
          <w:docGrid w:linePitch="360"/>
        </w:sectPr>
      </w:pPr>
    </w:p>
    <w:p w14:paraId="571090FA" w14:textId="1611DAAD" w:rsidR="003103DC" w:rsidRDefault="003103DC" w:rsidP="006F1659">
      <w:pPr>
        <w:spacing w:line="360" w:lineRule="auto"/>
        <w:rPr>
          <w:rFonts w:ascii="Arial" w:hAnsi="Arial" w:cs="Arial"/>
          <w:b/>
          <w:bCs/>
        </w:rPr>
      </w:pPr>
      <w:r w:rsidRPr="003103DC">
        <w:rPr>
          <w:rFonts w:ascii="Arial" w:hAnsi="Arial" w:cs="Arial"/>
          <w:b/>
          <w:bCs/>
        </w:rPr>
        <w:lastRenderedPageBreak/>
        <w:t>Movements on balances</w:t>
      </w:r>
    </w:p>
    <w:p w14:paraId="3196B245" w14:textId="77777777" w:rsidR="003103DC" w:rsidRPr="003103DC" w:rsidRDefault="003103DC" w:rsidP="006F1659">
      <w:pPr>
        <w:spacing w:line="360" w:lineRule="auto"/>
        <w:rPr>
          <w:rFonts w:ascii="Arial" w:hAnsi="Arial" w:cs="Arial"/>
        </w:rPr>
      </w:pPr>
      <w:r w:rsidRPr="003103DC">
        <w:rPr>
          <w:rFonts w:ascii="Arial" w:hAnsi="Arial" w:cs="Arial"/>
        </w:rPr>
        <w:t>In accordance with the temporary relief offered by the Update to the Code of Practice on infrastructure assets, this note does not include disclosure of gross cost and accumulated depreciation for infrastructure assets because historical reporting practices and resultant information deficits mean that this would not faithfully represent the asset position to the users of the financial statements.</w:t>
      </w:r>
    </w:p>
    <w:p w14:paraId="7D41C6AC" w14:textId="77777777" w:rsidR="003103DC" w:rsidRPr="003103DC" w:rsidRDefault="003103DC" w:rsidP="006F1659">
      <w:pPr>
        <w:spacing w:line="360" w:lineRule="auto"/>
        <w:rPr>
          <w:rFonts w:ascii="Arial" w:hAnsi="Arial" w:cs="Arial"/>
        </w:rPr>
      </w:pPr>
    </w:p>
    <w:p w14:paraId="5F6FAADF" w14:textId="7549383C" w:rsidR="003103DC" w:rsidRDefault="003103DC" w:rsidP="006F1659">
      <w:pPr>
        <w:spacing w:line="360" w:lineRule="auto"/>
        <w:rPr>
          <w:rFonts w:ascii="Arial" w:hAnsi="Arial" w:cs="Arial"/>
        </w:rPr>
      </w:pPr>
      <w:r w:rsidRPr="003103DC">
        <w:rPr>
          <w:rFonts w:ascii="Arial" w:hAnsi="Arial" w:cs="Arial"/>
        </w:rPr>
        <w:t xml:space="preserve">The authority has chosen not to disclose this information as the previously reported practices and resultant information deficits mean that gross cost and accumulated depreciation are not measured accurately and would not provide the basis for the users of the financial statements to take economic or other decisions relating to infrastructure assets. </w:t>
      </w:r>
    </w:p>
    <w:p w14:paraId="1EF1CB44" w14:textId="77777777" w:rsidR="00715C22" w:rsidRDefault="00715C22" w:rsidP="006F1659">
      <w:pPr>
        <w:spacing w:line="360" w:lineRule="auto"/>
        <w:rPr>
          <w:rFonts w:ascii="Arial" w:hAnsi="Arial" w:cs="Arial"/>
        </w:rPr>
      </w:pPr>
    </w:p>
    <w:p w14:paraId="191C6772" w14:textId="1E243843" w:rsidR="003103DC" w:rsidRDefault="00B07451" w:rsidP="006F1659">
      <w:pPr>
        <w:spacing w:line="360" w:lineRule="auto"/>
        <w:rPr>
          <w:rFonts w:ascii="Arial" w:hAnsi="Arial" w:cs="Arial"/>
        </w:rPr>
      </w:pPr>
      <w:r w:rsidRPr="00B07451">
        <w:rPr>
          <w:noProof/>
        </w:rPr>
        <w:drawing>
          <wp:inline distT="0" distB="0" distL="0" distR="0" wp14:anchorId="6F7DC294" wp14:editId="02B613DA">
            <wp:extent cx="4688205" cy="1371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88205" cy="1371600"/>
                    </a:xfrm>
                    <a:prstGeom prst="rect">
                      <a:avLst/>
                    </a:prstGeom>
                    <a:noFill/>
                    <a:ln>
                      <a:noFill/>
                    </a:ln>
                  </pic:spPr>
                </pic:pic>
              </a:graphicData>
            </a:graphic>
          </wp:inline>
        </w:drawing>
      </w:r>
    </w:p>
    <w:p w14:paraId="52AE9AED" w14:textId="68FA43BD" w:rsidR="000121F2" w:rsidRDefault="000121F2" w:rsidP="006F1659">
      <w:pPr>
        <w:spacing w:line="360" w:lineRule="auto"/>
        <w:rPr>
          <w:rFonts w:ascii="Arial" w:hAnsi="Arial" w:cs="Arial"/>
        </w:rPr>
      </w:pPr>
    </w:p>
    <w:p w14:paraId="39EFC6CA" w14:textId="6AEA23B5" w:rsidR="000121F2" w:rsidRDefault="000121F2" w:rsidP="006F1659">
      <w:pPr>
        <w:spacing w:line="360" w:lineRule="auto"/>
        <w:rPr>
          <w:rFonts w:ascii="Arial" w:hAnsi="Arial" w:cs="Arial"/>
        </w:rPr>
      </w:pPr>
      <w:r>
        <w:rPr>
          <w:rFonts w:ascii="Arial" w:hAnsi="Arial" w:cs="Arial"/>
        </w:rPr>
        <w:t>Balance Sheet reconciling note:</w:t>
      </w:r>
    </w:p>
    <w:p w14:paraId="0C1EF19D" w14:textId="77777777" w:rsidR="000121F2" w:rsidRDefault="000121F2" w:rsidP="006F1659">
      <w:pPr>
        <w:spacing w:line="360" w:lineRule="auto"/>
        <w:rPr>
          <w:rFonts w:ascii="Arial" w:hAnsi="Arial" w:cs="Arial"/>
        </w:rPr>
      </w:pPr>
    </w:p>
    <w:p w14:paraId="4920777F" w14:textId="32D5259D" w:rsidR="003103DC" w:rsidRDefault="00B13566" w:rsidP="006F1659">
      <w:pPr>
        <w:spacing w:line="360" w:lineRule="auto"/>
        <w:rPr>
          <w:rFonts w:ascii="Arial" w:hAnsi="Arial" w:cs="Arial"/>
        </w:rPr>
      </w:pPr>
      <w:r w:rsidRPr="00B13566">
        <w:rPr>
          <w:noProof/>
        </w:rPr>
        <w:drawing>
          <wp:inline distT="0" distB="0" distL="0" distR="0" wp14:anchorId="639D6A04" wp14:editId="7499295F">
            <wp:extent cx="4688840" cy="797560"/>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88840" cy="797560"/>
                    </a:xfrm>
                    <a:prstGeom prst="rect">
                      <a:avLst/>
                    </a:prstGeom>
                    <a:noFill/>
                    <a:ln>
                      <a:noFill/>
                    </a:ln>
                  </pic:spPr>
                </pic:pic>
              </a:graphicData>
            </a:graphic>
          </wp:inline>
        </w:drawing>
      </w:r>
    </w:p>
    <w:p w14:paraId="368654FB" w14:textId="4984844E" w:rsidR="003103DC" w:rsidRDefault="003103DC" w:rsidP="006F1659">
      <w:pPr>
        <w:spacing w:line="360" w:lineRule="auto"/>
        <w:rPr>
          <w:rFonts w:ascii="Arial" w:hAnsi="Arial" w:cs="Arial"/>
        </w:rPr>
      </w:pPr>
    </w:p>
    <w:p w14:paraId="1FD72E98" w14:textId="77777777" w:rsidR="00D2560A" w:rsidRDefault="00D2560A" w:rsidP="006F1659">
      <w:pPr>
        <w:spacing w:line="360" w:lineRule="auto"/>
        <w:rPr>
          <w:rFonts w:ascii="Arial" w:hAnsi="Arial" w:cs="Arial"/>
        </w:rPr>
      </w:pPr>
      <w:r w:rsidRPr="004B42D8">
        <w:rPr>
          <w:rFonts w:ascii="Arial" w:hAnsi="Arial" w:cs="Arial"/>
        </w:rPr>
        <w:t>The authority has determined in accordance with the England amendment of the Local Authorities Capital Finance and Accounting Regulations 2022</w:t>
      </w:r>
      <w:r w:rsidRPr="003103DC">
        <w:rPr>
          <w:rFonts w:ascii="Arial" w:hAnsi="Arial" w:cs="Arial"/>
        </w:rPr>
        <w:t xml:space="preserve"> that the carrying amounts to be derecognised for infrastructure assets when there is replacement expenditure is nil.</w:t>
      </w:r>
    </w:p>
    <w:p w14:paraId="6682A6D2" w14:textId="3D46A227" w:rsidR="003103DC" w:rsidRDefault="003103DC" w:rsidP="006F1659">
      <w:pPr>
        <w:spacing w:line="360" w:lineRule="auto"/>
        <w:rPr>
          <w:rFonts w:ascii="Arial" w:hAnsi="Arial" w:cs="Arial"/>
        </w:rPr>
      </w:pPr>
    </w:p>
    <w:p w14:paraId="201DCCC9" w14:textId="438D0543" w:rsidR="004B42D8" w:rsidRDefault="004B42D8" w:rsidP="006F1659">
      <w:pPr>
        <w:spacing w:line="360" w:lineRule="auto"/>
        <w:rPr>
          <w:rFonts w:ascii="Arial" w:eastAsia="Palatino Linotype" w:hAnsi="Arial" w:cs="Arial"/>
          <w:b/>
          <w:bCs/>
          <w:szCs w:val="28"/>
          <w:lang w:val="en-US"/>
        </w:rPr>
      </w:pPr>
      <w:bookmarkStart w:id="141" w:name="_Toc92894893"/>
      <w:bookmarkStart w:id="142" w:name="_Toc92895197"/>
      <w:bookmarkStart w:id="143" w:name="_Toc109922631"/>
    </w:p>
    <w:p w14:paraId="32460726" w14:textId="77777777" w:rsidR="004B42D8" w:rsidRDefault="004B42D8" w:rsidP="006F1659">
      <w:pPr>
        <w:pStyle w:val="Heading3greennumbered"/>
        <w:spacing w:line="360" w:lineRule="auto"/>
        <w:sectPr w:rsidR="004B42D8" w:rsidSect="004833A2">
          <w:pgSz w:w="11906" w:h="16838"/>
          <w:pgMar w:top="1444" w:right="1416" w:bottom="1276" w:left="1080" w:header="568" w:footer="567" w:gutter="0"/>
          <w:cols w:space="708"/>
          <w:docGrid w:linePitch="360"/>
        </w:sectPr>
      </w:pPr>
    </w:p>
    <w:p w14:paraId="4F87417C" w14:textId="4D85C685" w:rsidR="007F381A" w:rsidRPr="0007572B" w:rsidRDefault="00C01247" w:rsidP="006F1659">
      <w:pPr>
        <w:pStyle w:val="Heading3greennumbered"/>
        <w:spacing w:line="360" w:lineRule="auto"/>
      </w:pPr>
      <w:r w:rsidRPr="0007572B">
        <w:lastRenderedPageBreak/>
        <w:t>21</w:t>
      </w:r>
      <w:r w:rsidR="007F381A" w:rsidRPr="0007572B">
        <w:t xml:space="preserve"> </w:t>
      </w:r>
      <w:r w:rsidR="006301F8" w:rsidRPr="0007572B">
        <w:t>Intangible Assets</w:t>
      </w:r>
      <w:bookmarkEnd w:id="141"/>
      <w:bookmarkEnd w:id="142"/>
      <w:bookmarkEnd w:id="143"/>
    </w:p>
    <w:p w14:paraId="15508833" w14:textId="77777777" w:rsidR="004B42D8" w:rsidRDefault="004B42D8" w:rsidP="006F1659">
      <w:pPr>
        <w:spacing w:line="360" w:lineRule="auto"/>
        <w:rPr>
          <w:rFonts w:ascii="Arial" w:hAnsi="Arial" w:cs="Arial"/>
        </w:rPr>
      </w:pPr>
    </w:p>
    <w:p w14:paraId="41FDE929" w14:textId="1B61E30F" w:rsidR="006301F8" w:rsidRPr="0007572B" w:rsidRDefault="006301F8" w:rsidP="006F1659">
      <w:pPr>
        <w:spacing w:line="360" w:lineRule="auto"/>
        <w:rPr>
          <w:rFonts w:ascii="Arial" w:hAnsi="Arial" w:cs="Arial"/>
        </w:rPr>
      </w:pPr>
      <w:r w:rsidRPr="0007572B">
        <w:rPr>
          <w:rFonts w:ascii="Arial" w:hAnsi="Arial" w:cs="Arial"/>
        </w:rPr>
        <w:t xml:space="preserve">The Authority accounts for its software as intangible assets, to the extent that the software is not an integral part of a particular IT system and accounted for as part of the hardware item of property, plant and equipment. The intangible assets are purchased licenses. </w:t>
      </w:r>
    </w:p>
    <w:p w14:paraId="2858B524" w14:textId="33B48D8E" w:rsidR="006301F8" w:rsidRPr="0007572B" w:rsidRDefault="006301F8" w:rsidP="006F1659">
      <w:pPr>
        <w:spacing w:line="360" w:lineRule="auto"/>
        <w:rPr>
          <w:rFonts w:ascii="Arial" w:hAnsi="Arial" w:cs="Arial"/>
        </w:rPr>
      </w:pPr>
    </w:p>
    <w:p w14:paraId="30A74D77" w14:textId="6DC3AEB9" w:rsidR="006301F8" w:rsidRPr="0007572B" w:rsidRDefault="006301F8" w:rsidP="006F1659">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0712D08B" w14:textId="448EF4E8" w:rsidR="006301F8" w:rsidRPr="0007572B" w:rsidRDefault="006301F8" w:rsidP="006F1659">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317"/>
      </w:tblGrid>
      <w:tr w:rsidR="006301F8" w:rsidRPr="0007572B" w14:paraId="446AA16B" w14:textId="77777777" w:rsidTr="002E1BEE">
        <w:tc>
          <w:tcPr>
            <w:tcW w:w="7083" w:type="dxa"/>
          </w:tcPr>
          <w:p w14:paraId="68D2B622" w14:textId="16067371" w:rsidR="006301F8" w:rsidRPr="0007572B" w:rsidRDefault="006301F8" w:rsidP="006F1659">
            <w:pPr>
              <w:spacing w:line="360" w:lineRule="auto"/>
              <w:rPr>
                <w:rFonts w:ascii="Arial" w:hAnsi="Arial" w:cs="Arial"/>
              </w:rPr>
            </w:pPr>
            <w:r w:rsidRPr="0007572B">
              <w:rPr>
                <w:rFonts w:ascii="Arial" w:hAnsi="Arial" w:cs="Arial"/>
              </w:rPr>
              <w:t>Assets attributable to the Fire and Rescue Services</w:t>
            </w:r>
          </w:p>
        </w:tc>
        <w:tc>
          <w:tcPr>
            <w:tcW w:w="2317" w:type="dxa"/>
          </w:tcPr>
          <w:p w14:paraId="76A21E20" w14:textId="12CA62AD" w:rsidR="006301F8" w:rsidRPr="0007572B" w:rsidRDefault="002E1BEE" w:rsidP="006F1659">
            <w:pPr>
              <w:spacing w:line="360" w:lineRule="auto"/>
              <w:rPr>
                <w:rFonts w:ascii="Arial" w:hAnsi="Arial" w:cs="Arial"/>
              </w:rPr>
            </w:pPr>
            <w:r w:rsidRPr="0007572B">
              <w:rPr>
                <w:rFonts w:ascii="Arial" w:hAnsi="Arial" w:cs="Arial"/>
              </w:rPr>
              <w:t>3 to 10 years</w:t>
            </w:r>
          </w:p>
        </w:tc>
      </w:tr>
      <w:tr w:rsidR="006301F8" w:rsidRPr="0007572B" w14:paraId="36A3B856" w14:textId="77777777" w:rsidTr="002E1BEE">
        <w:tc>
          <w:tcPr>
            <w:tcW w:w="7083" w:type="dxa"/>
          </w:tcPr>
          <w:p w14:paraId="49BF6002" w14:textId="2A8F7DD4" w:rsidR="006301F8" w:rsidRPr="0007572B" w:rsidRDefault="002E1BEE" w:rsidP="006F1659">
            <w:pPr>
              <w:spacing w:line="360" w:lineRule="auto"/>
              <w:rPr>
                <w:rFonts w:ascii="Arial" w:hAnsi="Arial" w:cs="Arial"/>
              </w:rPr>
            </w:pPr>
            <w:r w:rsidRPr="0007572B">
              <w:rPr>
                <w:rFonts w:ascii="Arial" w:hAnsi="Arial" w:cs="Arial"/>
              </w:rPr>
              <w:t>Assets attributable to the Policing Service</w:t>
            </w:r>
          </w:p>
        </w:tc>
        <w:tc>
          <w:tcPr>
            <w:tcW w:w="2317" w:type="dxa"/>
          </w:tcPr>
          <w:p w14:paraId="4DD31A45" w14:textId="713BA48A" w:rsidR="006301F8" w:rsidRPr="0007572B" w:rsidRDefault="002E1BEE" w:rsidP="006F1659">
            <w:pPr>
              <w:spacing w:line="360" w:lineRule="auto"/>
              <w:rPr>
                <w:rFonts w:ascii="Arial" w:hAnsi="Arial" w:cs="Arial"/>
              </w:rPr>
            </w:pPr>
            <w:r w:rsidRPr="0007572B">
              <w:rPr>
                <w:rFonts w:ascii="Arial" w:hAnsi="Arial" w:cs="Arial"/>
              </w:rPr>
              <w:t>5 years</w:t>
            </w:r>
          </w:p>
        </w:tc>
      </w:tr>
      <w:tr w:rsidR="002E1BEE" w:rsidRPr="0007572B" w14:paraId="131E4420" w14:textId="77777777" w:rsidTr="002E1BEE">
        <w:tc>
          <w:tcPr>
            <w:tcW w:w="7083" w:type="dxa"/>
          </w:tcPr>
          <w:p w14:paraId="41E38AF7" w14:textId="3D02FE07" w:rsidR="002E1BEE" w:rsidRPr="0007572B" w:rsidRDefault="002E1BEE" w:rsidP="006F1659">
            <w:pPr>
              <w:spacing w:line="360" w:lineRule="auto"/>
              <w:rPr>
                <w:rFonts w:ascii="Arial" w:hAnsi="Arial" w:cs="Arial"/>
              </w:rPr>
            </w:pPr>
            <w:r w:rsidRPr="0007572B">
              <w:rPr>
                <w:rFonts w:ascii="Arial" w:hAnsi="Arial" w:cs="Arial"/>
              </w:rPr>
              <w:t>Assets attributable to the Waste Disposal Services</w:t>
            </w:r>
          </w:p>
        </w:tc>
        <w:tc>
          <w:tcPr>
            <w:tcW w:w="2317" w:type="dxa"/>
          </w:tcPr>
          <w:p w14:paraId="515709C2" w14:textId="30993463" w:rsidR="002E1BEE" w:rsidRPr="0007572B" w:rsidRDefault="002E1BEE" w:rsidP="006F1659">
            <w:pPr>
              <w:spacing w:line="360" w:lineRule="auto"/>
              <w:rPr>
                <w:rFonts w:ascii="Arial" w:hAnsi="Arial" w:cs="Arial"/>
              </w:rPr>
            </w:pPr>
            <w:r w:rsidRPr="0007572B">
              <w:rPr>
                <w:rFonts w:ascii="Arial" w:hAnsi="Arial" w:cs="Arial"/>
              </w:rPr>
              <w:t>5 years</w:t>
            </w:r>
          </w:p>
        </w:tc>
      </w:tr>
    </w:tbl>
    <w:p w14:paraId="3B563E13" w14:textId="6073A1C2" w:rsidR="006301F8" w:rsidRPr="0007572B" w:rsidRDefault="006301F8" w:rsidP="006F1659">
      <w:pPr>
        <w:spacing w:line="360" w:lineRule="auto"/>
        <w:rPr>
          <w:rFonts w:ascii="Arial" w:hAnsi="Arial" w:cs="Arial"/>
        </w:rPr>
      </w:pPr>
    </w:p>
    <w:p w14:paraId="4F1171A2" w14:textId="2EAB908F" w:rsidR="002E1BEE" w:rsidRPr="0007572B" w:rsidRDefault="002E1BEE" w:rsidP="006F1659">
      <w:pPr>
        <w:spacing w:line="360" w:lineRule="auto"/>
        <w:rPr>
          <w:rFonts w:ascii="Arial" w:hAnsi="Arial" w:cs="Arial"/>
        </w:rPr>
      </w:pPr>
      <w:r w:rsidRPr="0007572B">
        <w:rPr>
          <w:rFonts w:ascii="Arial" w:hAnsi="Arial" w:cs="Arial"/>
        </w:rPr>
        <w:t>The carrying amounts of intangible assets is amortised on a straight</w:t>
      </w:r>
      <w:r w:rsidR="00831A0A">
        <w:rPr>
          <w:rFonts w:ascii="Arial" w:hAnsi="Arial" w:cs="Arial"/>
        </w:rPr>
        <w:t>-</w:t>
      </w:r>
      <w:r w:rsidRPr="0007572B">
        <w:rPr>
          <w:rFonts w:ascii="Arial" w:hAnsi="Arial" w:cs="Arial"/>
        </w:rPr>
        <w:t>line basis. Amortisation has been charged to service headings in the cost of services as follows:</w:t>
      </w:r>
    </w:p>
    <w:p w14:paraId="4775CC5A" w14:textId="6B1FE40A" w:rsidR="002E1BEE" w:rsidRPr="0007572B" w:rsidRDefault="002E1BEE" w:rsidP="006F1659">
      <w:pPr>
        <w:spacing w:line="360" w:lineRule="auto"/>
        <w:rPr>
          <w:rFonts w:ascii="Arial" w:hAnsi="Arial" w:cs="Arial"/>
          <w:sz w:val="22"/>
          <w:szCs w:val="22"/>
        </w:rPr>
      </w:pPr>
    </w:p>
    <w:p w14:paraId="7864D275" w14:textId="1449FA80" w:rsidR="00D04D7B" w:rsidRPr="0007572B" w:rsidRDefault="00B07451" w:rsidP="006F1659">
      <w:pPr>
        <w:spacing w:line="360" w:lineRule="auto"/>
        <w:rPr>
          <w:rFonts w:ascii="Arial" w:hAnsi="Arial" w:cs="Arial"/>
          <w:sz w:val="22"/>
          <w:szCs w:val="22"/>
        </w:rPr>
      </w:pPr>
      <w:r w:rsidRPr="00B07451">
        <w:rPr>
          <w:noProof/>
        </w:rPr>
        <w:drawing>
          <wp:inline distT="0" distB="0" distL="0" distR="0" wp14:anchorId="13562725" wp14:editId="5787EADD">
            <wp:extent cx="3705225" cy="641350"/>
            <wp:effectExtent l="0" t="0" r="9525"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5225" cy="641350"/>
                    </a:xfrm>
                    <a:prstGeom prst="rect">
                      <a:avLst/>
                    </a:prstGeom>
                    <a:noFill/>
                    <a:ln>
                      <a:noFill/>
                    </a:ln>
                  </pic:spPr>
                </pic:pic>
              </a:graphicData>
            </a:graphic>
          </wp:inline>
        </w:drawing>
      </w:r>
    </w:p>
    <w:p w14:paraId="0D240F0F" w14:textId="77777777" w:rsidR="00D04D7B" w:rsidRPr="00D04D7B" w:rsidRDefault="00D04D7B" w:rsidP="006F1659">
      <w:pPr>
        <w:spacing w:line="360" w:lineRule="auto"/>
        <w:rPr>
          <w:rFonts w:ascii="Arial" w:hAnsi="Arial" w:cs="Arial"/>
          <w:sz w:val="22"/>
          <w:szCs w:val="22"/>
        </w:rPr>
      </w:pPr>
    </w:p>
    <w:p w14:paraId="46D3A174" w14:textId="77777777" w:rsidR="00B07451" w:rsidRDefault="00B07451" w:rsidP="006F1659">
      <w:pPr>
        <w:spacing w:line="360" w:lineRule="auto"/>
        <w:rPr>
          <w:rFonts w:ascii="Arial" w:hAnsi="Arial" w:cs="Arial"/>
        </w:rPr>
      </w:pPr>
      <w:r>
        <w:rPr>
          <w:rFonts w:ascii="Arial" w:hAnsi="Arial" w:cs="Arial"/>
        </w:rPr>
        <w:br w:type="page"/>
      </w:r>
    </w:p>
    <w:p w14:paraId="04196B9B" w14:textId="751BCEA6" w:rsidR="002E1BEE" w:rsidRDefault="002E1BEE" w:rsidP="006F1659">
      <w:pPr>
        <w:spacing w:line="360" w:lineRule="auto"/>
        <w:rPr>
          <w:rFonts w:ascii="Arial" w:hAnsi="Arial" w:cs="Arial"/>
        </w:rPr>
      </w:pPr>
      <w:r w:rsidRPr="0007572B">
        <w:rPr>
          <w:rFonts w:ascii="Arial" w:hAnsi="Arial" w:cs="Arial"/>
        </w:rPr>
        <w:lastRenderedPageBreak/>
        <w:t>The movement on intangible asset balances during the year is as follows:</w:t>
      </w:r>
    </w:p>
    <w:p w14:paraId="20858D32" w14:textId="77777777" w:rsidR="00F4439B" w:rsidRDefault="00F4439B" w:rsidP="006F1659">
      <w:pPr>
        <w:spacing w:line="360" w:lineRule="auto"/>
        <w:rPr>
          <w:rFonts w:ascii="Arial" w:hAnsi="Arial" w:cs="Arial"/>
        </w:rPr>
      </w:pPr>
    </w:p>
    <w:p w14:paraId="5C2D2670" w14:textId="364E1BDD" w:rsidR="00F95397" w:rsidRDefault="00F320F5" w:rsidP="006F1659">
      <w:pPr>
        <w:spacing w:line="360" w:lineRule="auto"/>
        <w:rPr>
          <w:rFonts w:ascii="Arial" w:hAnsi="Arial" w:cs="Arial"/>
        </w:rPr>
      </w:pPr>
      <w:r w:rsidRPr="00F320F5">
        <w:rPr>
          <w:noProof/>
        </w:rPr>
        <w:drawing>
          <wp:inline distT="0" distB="0" distL="0" distR="0" wp14:anchorId="7AFF725B" wp14:editId="6E7C6C28">
            <wp:extent cx="7997190" cy="2943860"/>
            <wp:effectExtent l="0" t="0" r="381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97190" cy="2943860"/>
                    </a:xfrm>
                    <a:prstGeom prst="rect">
                      <a:avLst/>
                    </a:prstGeom>
                    <a:noFill/>
                    <a:ln>
                      <a:noFill/>
                    </a:ln>
                  </pic:spPr>
                </pic:pic>
              </a:graphicData>
            </a:graphic>
          </wp:inline>
        </w:drawing>
      </w:r>
    </w:p>
    <w:p w14:paraId="74352874" w14:textId="77777777" w:rsidR="00F95397" w:rsidRPr="0007572B" w:rsidRDefault="00F95397" w:rsidP="006F1659">
      <w:pPr>
        <w:spacing w:line="360" w:lineRule="auto"/>
        <w:rPr>
          <w:rFonts w:ascii="Arial" w:hAnsi="Arial" w:cs="Arial"/>
        </w:rPr>
      </w:pPr>
    </w:p>
    <w:p w14:paraId="446E5516" w14:textId="5B78A0E6" w:rsidR="002E1BEE" w:rsidRPr="0007572B" w:rsidRDefault="002E1BEE" w:rsidP="006F1659">
      <w:pPr>
        <w:spacing w:line="360" w:lineRule="auto"/>
        <w:rPr>
          <w:rFonts w:ascii="Arial" w:hAnsi="Arial" w:cs="Arial"/>
          <w:sz w:val="22"/>
          <w:szCs w:val="22"/>
        </w:rPr>
      </w:pPr>
    </w:p>
    <w:p w14:paraId="35BAD77C" w14:textId="7F0F9CC5" w:rsidR="00057EEC" w:rsidRPr="0007572B" w:rsidRDefault="002E1BEE" w:rsidP="006F1659">
      <w:pPr>
        <w:spacing w:line="360" w:lineRule="auto"/>
        <w:rPr>
          <w:rFonts w:ascii="Arial" w:hAnsi="Arial" w:cs="Arial"/>
        </w:rPr>
      </w:pPr>
      <w:r w:rsidRPr="0007572B">
        <w:rPr>
          <w:rFonts w:ascii="Arial" w:hAnsi="Arial" w:cs="Arial"/>
        </w:rPr>
        <w:t xml:space="preserve">There is one capitalised software suite that is individually material to the financial statements: The Information Services Transformation Programme had a </w:t>
      </w:r>
      <w:r w:rsidR="00951938">
        <w:rPr>
          <w:rFonts w:ascii="Arial" w:hAnsi="Arial" w:cs="Arial"/>
        </w:rPr>
        <w:t xml:space="preserve">gross </w:t>
      </w:r>
      <w:r w:rsidRPr="0007572B">
        <w:rPr>
          <w:rFonts w:ascii="Arial" w:hAnsi="Arial" w:cs="Arial"/>
        </w:rPr>
        <w:t xml:space="preserve">carrying amount </w:t>
      </w:r>
      <w:r w:rsidRPr="00D04D7B">
        <w:rPr>
          <w:rFonts w:ascii="Arial" w:hAnsi="Arial" w:cs="Arial"/>
        </w:rPr>
        <w:t>of £</w:t>
      </w:r>
      <w:r w:rsidR="00B74D26" w:rsidRPr="00D04D7B">
        <w:rPr>
          <w:rFonts w:ascii="Arial" w:hAnsi="Arial" w:cs="Arial"/>
        </w:rPr>
        <w:t>2</w:t>
      </w:r>
      <w:r w:rsidR="002F037F" w:rsidRPr="00D04D7B">
        <w:rPr>
          <w:rFonts w:ascii="Arial" w:hAnsi="Arial" w:cs="Arial"/>
        </w:rPr>
        <w:t>5</w:t>
      </w:r>
      <w:r w:rsidRPr="00D04D7B">
        <w:rPr>
          <w:rFonts w:ascii="Arial" w:hAnsi="Arial" w:cs="Arial"/>
        </w:rPr>
        <w:t>.</w:t>
      </w:r>
      <w:r w:rsidR="002F037F" w:rsidRPr="00D04D7B">
        <w:rPr>
          <w:rFonts w:ascii="Arial" w:hAnsi="Arial" w:cs="Arial"/>
        </w:rPr>
        <w:t>306</w:t>
      </w:r>
      <w:r w:rsidRPr="00D04D7B">
        <w:rPr>
          <w:rFonts w:ascii="Arial" w:hAnsi="Arial" w:cs="Arial"/>
        </w:rPr>
        <w:t>m at</w:t>
      </w:r>
      <w:r w:rsidRPr="0007572B">
        <w:rPr>
          <w:rFonts w:ascii="Arial" w:hAnsi="Arial" w:cs="Arial"/>
        </w:rPr>
        <w:t xml:space="preserve"> 31 March 202</w:t>
      </w:r>
      <w:r w:rsidR="006D5A30">
        <w:rPr>
          <w:rFonts w:ascii="Arial" w:hAnsi="Arial" w:cs="Arial"/>
        </w:rPr>
        <w:t>3</w:t>
      </w:r>
      <w:r w:rsidRPr="0007572B">
        <w:rPr>
          <w:rFonts w:ascii="Arial" w:hAnsi="Arial" w:cs="Arial"/>
        </w:rPr>
        <w:t xml:space="preserve"> and a remaining amortisation period of </w:t>
      </w:r>
      <w:r w:rsidR="00D04D7B">
        <w:rPr>
          <w:rFonts w:ascii="Arial" w:hAnsi="Arial" w:cs="Arial"/>
        </w:rPr>
        <w:t xml:space="preserve">3 </w:t>
      </w:r>
      <w:r w:rsidRPr="0007572B">
        <w:rPr>
          <w:rFonts w:ascii="Arial" w:hAnsi="Arial" w:cs="Arial"/>
        </w:rPr>
        <w:t>years.</w:t>
      </w:r>
    </w:p>
    <w:p w14:paraId="42D0C996" w14:textId="77777777" w:rsidR="00CB302B" w:rsidRPr="0007572B" w:rsidRDefault="00CB302B" w:rsidP="006F1659">
      <w:pPr>
        <w:spacing w:line="360" w:lineRule="auto"/>
        <w:jc w:val="both"/>
        <w:rPr>
          <w:rFonts w:ascii="Arial" w:hAnsi="Arial" w:cs="Arial"/>
          <w:sz w:val="22"/>
          <w:szCs w:val="22"/>
        </w:rPr>
        <w:sectPr w:rsidR="00CB302B" w:rsidRPr="0007572B" w:rsidSect="004833A2">
          <w:pgSz w:w="16838" w:h="11906" w:orient="landscape"/>
          <w:pgMar w:top="1080" w:right="1444" w:bottom="1416" w:left="1276" w:header="568" w:footer="567" w:gutter="0"/>
          <w:cols w:space="708"/>
          <w:docGrid w:linePitch="360"/>
        </w:sectPr>
      </w:pPr>
    </w:p>
    <w:p w14:paraId="2ED83915" w14:textId="39EB1095" w:rsidR="006301F8" w:rsidRPr="0007572B" w:rsidRDefault="006301F8" w:rsidP="006F1659">
      <w:pPr>
        <w:pStyle w:val="Heading3greennumbered"/>
        <w:spacing w:line="360" w:lineRule="auto"/>
      </w:pPr>
      <w:bookmarkStart w:id="144" w:name="_Toc92894894"/>
      <w:bookmarkStart w:id="145" w:name="_Toc92895198"/>
      <w:bookmarkStart w:id="146" w:name="_Toc109922632"/>
      <w:r w:rsidRPr="0007572B">
        <w:lastRenderedPageBreak/>
        <w:t>22 Short and Long Term Debtors</w:t>
      </w:r>
      <w:bookmarkEnd w:id="144"/>
      <w:bookmarkEnd w:id="145"/>
      <w:bookmarkEnd w:id="146"/>
    </w:p>
    <w:p w14:paraId="77730096" w14:textId="77777777" w:rsidR="005403AF" w:rsidRPr="005403AF" w:rsidRDefault="005403AF" w:rsidP="006F1659">
      <w:pPr>
        <w:spacing w:line="360" w:lineRule="auto"/>
      </w:pPr>
    </w:p>
    <w:p w14:paraId="6ABB1988" w14:textId="782A9B52" w:rsidR="007F381A" w:rsidRPr="0007572B" w:rsidRDefault="007F381A" w:rsidP="006F1659">
      <w:pPr>
        <w:pStyle w:val="Heading4bold"/>
        <w:spacing w:line="360" w:lineRule="auto"/>
      </w:pPr>
      <w:bookmarkStart w:id="147" w:name="_Hlk138338334"/>
      <w:r w:rsidRPr="0007572B">
        <w:t>Short Term Debtors</w:t>
      </w:r>
    </w:p>
    <w:p w14:paraId="26CF68D3" w14:textId="77777777" w:rsidR="007F381A" w:rsidRPr="0007572B" w:rsidRDefault="007F381A" w:rsidP="006F1659">
      <w:pPr>
        <w:spacing w:line="360" w:lineRule="auto"/>
        <w:rPr>
          <w:rFonts w:ascii="Arial" w:hAnsi="Arial" w:cs="Arial"/>
          <w:highlight w:val="yellow"/>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will be repaid within a year.</w:t>
      </w:r>
    </w:p>
    <w:p w14:paraId="7DF52823" w14:textId="77777777" w:rsidR="007F381A" w:rsidRPr="0007572B" w:rsidRDefault="007F381A" w:rsidP="006F1659">
      <w:pPr>
        <w:spacing w:line="360" w:lineRule="auto"/>
        <w:rPr>
          <w:rFonts w:ascii="Arial" w:hAnsi="Arial" w:cs="Arial"/>
          <w:b/>
          <w:sz w:val="22"/>
          <w:szCs w:val="22"/>
        </w:rPr>
      </w:pPr>
    </w:p>
    <w:p w14:paraId="20D7F519" w14:textId="4DD66969" w:rsidR="000C5F4E" w:rsidRPr="0007572B" w:rsidRDefault="004E1021" w:rsidP="006F1659">
      <w:pPr>
        <w:spacing w:line="360" w:lineRule="auto"/>
        <w:rPr>
          <w:rFonts w:ascii="Arial" w:hAnsi="Arial" w:cs="Arial"/>
          <w:b/>
          <w:sz w:val="22"/>
          <w:szCs w:val="22"/>
        </w:rPr>
      </w:pPr>
      <w:r w:rsidRPr="004E1021">
        <w:rPr>
          <w:noProof/>
        </w:rPr>
        <w:drawing>
          <wp:inline distT="0" distB="0" distL="0" distR="0" wp14:anchorId="48C3815C" wp14:editId="15DDD83A">
            <wp:extent cx="5492027" cy="1612900"/>
            <wp:effectExtent l="0" t="0" r="0" b="6350"/>
            <wp:docPr id="953195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95704" cy="1613980"/>
                    </a:xfrm>
                    <a:prstGeom prst="rect">
                      <a:avLst/>
                    </a:prstGeom>
                    <a:noFill/>
                    <a:ln>
                      <a:noFill/>
                    </a:ln>
                  </pic:spPr>
                </pic:pic>
              </a:graphicData>
            </a:graphic>
          </wp:inline>
        </w:drawing>
      </w:r>
    </w:p>
    <w:p w14:paraId="46911DF4" w14:textId="4B64B3ED" w:rsidR="00B2139B" w:rsidRDefault="00B2139B" w:rsidP="006F1659">
      <w:pPr>
        <w:spacing w:line="360" w:lineRule="auto"/>
        <w:rPr>
          <w:rFonts w:ascii="Arial" w:hAnsi="Arial" w:cs="Arial"/>
          <w:b/>
        </w:rPr>
      </w:pPr>
      <w:bookmarkStart w:id="148" w:name="_Hlk109151992"/>
    </w:p>
    <w:p w14:paraId="71575845" w14:textId="566762BD" w:rsidR="00B85FBC" w:rsidRPr="00D04D7B" w:rsidRDefault="00B85FBC" w:rsidP="006F1659">
      <w:pPr>
        <w:spacing w:line="360" w:lineRule="auto"/>
        <w:rPr>
          <w:rFonts w:ascii="Arial" w:hAnsi="Arial" w:cs="Arial"/>
          <w:bCs/>
        </w:rPr>
      </w:pPr>
      <w:r w:rsidRPr="00D04D7B">
        <w:rPr>
          <w:rFonts w:ascii="Arial" w:hAnsi="Arial" w:cs="Arial"/>
          <w:bCs/>
        </w:rPr>
        <w:t xml:space="preserve">Other entities and individuals </w:t>
      </w:r>
      <w:r w:rsidR="00D04D7B" w:rsidRPr="00D04D7B">
        <w:rPr>
          <w:rFonts w:ascii="Arial" w:hAnsi="Arial" w:cs="Arial"/>
          <w:bCs/>
        </w:rPr>
        <w:t>include</w:t>
      </w:r>
      <w:r w:rsidRPr="00D04D7B">
        <w:rPr>
          <w:rFonts w:ascii="Arial" w:hAnsi="Arial" w:cs="Arial"/>
          <w:bCs/>
        </w:rPr>
        <w:t xml:space="preserve"> the following </w:t>
      </w:r>
      <w:r w:rsidR="00D04D7B" w:rsidRPr="00D04D7B">
        <w:rPr>
          <w:rFonts w:ascii="Arial" w:hAnsi="Arial" w:cs="Arial"/>
          <w:bCs/>
        </w:rPr>
        <w:t>short</w:t>
      </w:r>
      <w:r w:rsidR="00F3496D">
        <w:rPr>
          <w:rFonts w:ascii="Arial" w:hAnsi="Arial" w:cs="Arial"/>
          <w:bCs/>
        </w:rPr>
        <w:t xml:space="preserve"> </w:t>
      </w:r>
      <w:r w:rsidR="00D04D7B" w:rsidRPr="00D04D7B">
        <w:rPr>
          <w:rFonts w:ascii="Arial" w:hAnsi="Arial" w:cs="Arial"/>
          <w:bCs/>
        </w:rPr>
        <w:t>term</w:t>
      </w:r>
      <w:r w:rsidRPr="00D04D7B">
        <w:rPr>
          <w:rFonts w:ascii="Arial" w:hAnsi="Arial" w:cs="Arial"/>
          <w:bCs/>
        </w:rPr>
        <w:t xml:space="preserve"> debtors:</w:t>
      </w:r>
    </w:p>
    <w:p w14:paraId="6D79077A" w14:textId="77777777" w:rsidR="00D04D7B" w:rsidRPr="00D04D7B" w:rsidRDefault="00D04D7B" w:rsidP="006F1659">
      <w:pPr>
        <w:pStyle w:val="ListParagraph"/>
        <w:numPr>
          <w:ilvl w:val="0"/>
          <w:numId w:val="29"/>
        </w:numPr>
        <w:spacing w:line="360" w:lineRule="auto"/>
        <w:ind w:left="709"/>
        <w:rPr>
          <w:rFonts w:ascii="Arial" w:hAnsi="Arial" w:cs="Arial"/>
          <w:bCs/>
          <w:sz w:val="24"/>
          <w:szCs w:val="24"/>
        </w:rPr>
      </w:pPr>
      <w:r w:rsidRPr="00D04D7B">
        <w:rPr>
          <w:rFonts w:ascii="Arial" w:hAnsi="Arial" w:cs="Arial"/>
          <w:bCs/>
          <w:sz w:val="24"/>
          <w:szCs w:val="24"/>
          <w:lang w:eastAsia="en-US"/>
        </w:rPr>
        <w:t>£128m where Housing Investment Fund loans have been provided to support GM’s economic growth by supporting the delivery of new homes (£70.0m in 21/22).</w:t>
      </w:r>
    </w:p>
    <w:p w14:paraId="3785055C" w14:textId="4FBFF14A" w:rsidR="00B85FBC" w:rsidRPr="00D04D7B" w:rsidRDefault="00D04D7B" w:rsidP="006F1659">
      <w:pPr>
        <w:pStyle w:val="ListParagraph"/>
        <w:numPr>
          <w:ilvl w:val="0"/>
          <w:numId w:val="29"/>
        </w:numPr>
        <w:spacing w:line="360" w:lineRule="auto"/>
        <w:ind w:left="709"/>
        <w:rPr>
          <w:rFonts w:ascii="Arial" w:hAnsi="Arial" w:cs="Arial"/>
          <w:bCs/>
          <w:sz w:val="24"/>
          <w:szCs w:val="24"/>
        </w:rPr>
      </w:pPr>
      <w:r w:rsidRPr="00D04D7B">
        <w:rPr>
          <w:rFonts w:ascii="Arial" w:hAnsi="Arial" w:cs="Arial"/>
          <w:bCs/>
          <w:sz w:val="24"/>
          <w:szCs w:val="24"/>
        </w:rPr>
        <w:t>£10.8m where Regional Growth Fund and Growing Places Fund (GPF) monies have been recycled and loans provided for investment in businesses and commercial property projects (£6.8m in 21/22).</w:t>
      </w:r>
    </w:p>
    <w:bookmarkEnd w:id="148"/>
    <w:p w14:paraId="1743E0F4" w14:textId="5F963A8F" w:rsidR="007F381A" w:rsidRPr="0007572B" w:rsidRDefault="007F381A" w:rsidP="006F1659">
      <w:pPr>
        <w:pStyle w:val="Heading4bold"/>
        <w:spacing w:line="360" w:lineRule="auto"/>
      </w:pPr>
      <w:r w:rsidRPr="0007572B">
        <w:t>Long Term Debtors</w:t>
      </w:r>
    </w:p>
    <w:p w14:paraId="2219B49A" w14:textId="3442BEFB" w:rsidR="007F381A" w:rsidRDefault="007F381A" w:rsidP="006F1659">
      <w:pPr>
        <w:spacing w:line="360" w:lineRule="auto"/>
        <w:rPr>
          <w:rFonts w:ascii="Arial" w:hAnsi="Arial" w:cs="Arial"/>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are being repaid over various periods longer than one year.</w:t>
      </w:r>
    </w:p>
    <w:p w14:paraId="13896817" w14:textId="77777777" w:rsidR="00D04D7B" w:rsidRDefault="00D04D7B" w:rsidP="006F1659">
      <w:pPr>
        <w:spacing w:line="360" w:lineRule="auto"/>
        <w:rPr>
          <w:rFonts w:ascii="Arial" w:hAnsi="Arial" w:cs="Arial"/>
        </w:rPr>
      </w:pPr>
    </w:p>
    <w:p w14:paraId="7FA5706E" w14:textId="0744E5C1" w:rsidR="00D871C0" w:rsidRPr="0007572B" w:rsidRDefault="00D04D7B" w:rsidP="006F1659">
      <w:pPr>
        <w:spacing w:line="360" w:lineRule="auto"/>
        <w:rPr>
          <w:rFonts w:ascii="Arial" w:hAnsi="Arial" w:cs="Arial"/>
        </w:rPr>
      </w:pPr>
      <w:r w:rsidRPr="00D04D7B">
        <w:rPr>
          <w:noProof/>
        </w:rPr>
        <w:drawing>
          <wp:inline distT="0" distB="0" distL="0" distR="0" wp14:anchorId="2851FDD1" wp14:editId="070B3064">
            <wp:extent cx="5243187" cy="10858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46262" cy="1086487"/>
                    </a:xfrm>
                    <a:prstGeom prst="rect">
                      <a:avLst/>
                    </a:prstGeom>
                    <a:noFill/>
                    <a:ln>
                      <a:noFill/>
                    </a:ln>
                  </pic:spPr>
                </pic:pic>
              </a:graphicData>
            </a:graphic>
          </wp:inline>
        </w:drawing>
      </w:r>
    </w:p>
    <w:p w14:paraId="29D5179E" w14:textId="68716AED" w:rsidR="00F51726" w:rsidRDefault="00F51726" w:rsidP="006F1659">
      <w:pPr>
        <w:spacing w:line="360" w:lineRule="auto"/>
        <w:rPr>
          <w:rFonts w:ascii="Arial" w:hAnsi="Arial" w:cs="Arial"/>
          <w:b/>
        </w:rPr>
      </w:pPr>
    </w:p>
    <w:p w14:paraId="5682AC3B" w14:textId="77777777" w:rsidR="00F51726" w:rsidRDefault="00F51726" w:rsidP="006F1659">
      <w:pPr>
        <w:spacing w:line="360" w:lineRule="auto"/>
        <w:rPr>
          <w:rFonts w:ascii="Arial" w:hAnsi="Arial" w:cs="Arial"/>
          <w:bCs/>
        </w:rPr>
      </w:pPr>
    </w:p>
    <w:p w14:paraId="2334599B" w14:textId="77777777" w:rsidR="001B1F13" w:rsidRDefault="001B1F13" w:rsidP="006F1659">
      <w:pPr>
        <w:spacing w:line="360" w:lineRule="auto"/>
        <w:rPr>
          <w:rFonts w:ascii="Arial" w:hAnsi="Arial" w:cs="Arial"/>
          <w:bCs/>
        </w:rPr>
      </w:pPr>
    </w:p>
    <w:p w14:paraId="61932390" w14:textId="3A833485" w:rsidR="00F51726" w:rsidRPr="00F51726" w:rsidRDefault="00F51726" w:rsidP="006F1659">
      <w:pPr>
        <w:pStyle w:val="Heading4bold"/>
        <w:spacing w:line="360" w:lineRule="auto"/>
      </w:pPr>
      <w:r w:rsidRPr="00F51726">
        <w:lastRenderedPageBreak/>
        <w:t>Ageing Analysis of Trade Debtors</w:t>
      </w:r>
    </w:p>
    <w:p w14:paraId="64C83E1A" w14:textId="77777777" w:rsidR="00F51726" w:rsidRDefault="00F51726" w:rsidP="006F1659">
      <w:pPr>
        <w:spacing w:line="360" w:lineRule="auto"/>
        <w:rPr>
          <w:rFonts w:ascii="Arial" w:hAnsi="Arial" w:cs="Arial"/>
        </w:rPr>
      </w:pPr>
    </w:p>
    <w:p w14:paraId="71034FC6" w14:textId="2042DAFC" w:rsidR="00F51726" w:rsidRPr="001F1CDD" w:rsidRDefault="00F51726" w:rsidP="006F1659">
      <w:pPr>
        <w:spacing w:line="360" w:lineRule="auto"/>
        <w:rPr>
          <w:rFonts w:ascii="Arial" w:hAnsi="Arial" w:cs="Arial"/>
        </w:rPr>
      </w:pPr>
      <w:r w:rsidRPr="005D470D">
        <w:rPr>
          <w:rFonts w:ascii="Arial" w:hAnsi="Arial" w:cs="Arial"/>
        </w:rPr>
        <w:t>At 31 March 202</w:t>
      </w:r>
      <w:r w:rsidR="00914651">
        <w:rPr>
          <w:rFonts w:ascii="Arial" w:hAnsi="Arial" w:cs="Arial"/>
        </w:rPr>
        <w:t>3</w:t>
      </w:r>
      <w:r w:rsidRPr="005D470D">
        <w:rPr>
          <w:rFonts w:ascii="Arial" w:hAnsi="Arial" w:cs="Arial"/>
        </w:rPr>
        <w:t>, trade debtors at a nominal val</w:t>
      </w:r>
      <w:r w:rsidRPr="00D04D7B">
        <w:rPr>
          <w:rFonts w:ascii="Arial" w:hAnsi="Arial" w:cs="Arial"/>
        </w:rPr>
        <w:t>ue of £</w:t>
      </w:r>
      <w:r w:rsidR="00D04D7B" w:rsidRPr="00D04D7B">
        <w:rPr>
          <w:rFonts w:ascii="Arial" w:hAnsi="Arial" w:cs="Arial"/>
        </w:rPr>
        <w:t>194,000</w:t>
      </w:r>
      <w:r w:rsidRPr="00D04D7B">
        <w:rPr>
          <w:rFonts w:ascii="Arial" w:hAnsi="Arial" w:cs="Arial"/>
        </w:rPr>
        <w:t xml:space="preserve"> (202</w:t>
      </w:r>
      <w:r w:rsidR="00914651" w:rsidRPr="00D04D7B">
        <w:rPr>
          <w:rFonts w:ascii="Arial" w:hAnsi="Arial" w:cs="Arial"/>
        </w:rPr>
        <w:t>2</w:t>
      </w:r>
      <w:r w:rsidRPr="00D04D7B">
        <w:rPr>
          <w:rFonts w:ascii="Arial" w:hAnsi="Arial" w:cs="Arial"/>
        </w:rPr>
        <w:t>: £</w:t>
      </w:r>
      <w:r w:rsidR="00914651" w:rsidRPr="00D04D7B">
        <w:rPr>
          <w:rFonts w:ascii="Arial" w:hAnsi="Arial" w:cs="Arial"/>
        </w:rPr>
        <w:t>666</w:t>
      </w:r>
      <w:r w:rsidRPr="00D04D7B">
        <w:rPr>
          <w:rFonts w:ascii="Arial" w:hAnsi="Arial" w:cs="Arial"/>
        </w:rPr>
        <w:t>,000) were impaired.</w:t>
      </w:r>
    </w:p>
    <w:p w14:paraId="27184116" w14:textId="77777777" w:rsidR="00F51726" w:rsidRPr="001F1CDD" w:rsidRDefault="00F51726" w:rsidP="006F1659">
      <w:pPr>
        <w:spacing w:line="360" w:lineRule="auto"/>
        <w:rPr>
          <w:rFonts w:ascii="Arial" w:hAnsi="Arial" w:cs="Arial"/>
        </w:rPr>
      </w:pPr>
    </w:p>
    <w:p w14:paraId="6885C108" w14:textId="58B71A82" w:rsidR="00F51726" w:rsidRDefault="00F51726" w:rsidP="006F1659">
      <w:pPr>
        <w:spacing w:line="360" w:lineRule="auto"/>
        <w:rPr>
          <w:rFonts w:ascii="Arial" w:hAnsi="Arial" w:cs="Arial"/>
        </w:rPr>
      </w:pPr>
      <w:r w:rsidRPr="005D470D">
        <w:rPr>
          <w:rFonts w:ascii="Arial" w:hAnsi="Arial" w:cs="Arial"/>
        </w:rPr>
        <w:t>As at 31 March 202</w:t>
      </w:r>
      <w:r w:rsidR="00914651">
        <w:rPr>
          <w:rFonts w:ascii="Arial" w:hAnsi="Arial" w:cs="Arial"/>
        </w:rPr>
        <w:t>3</w:t>
      </w:r>
      <w:r w:rsidRPr="005D470D">
        <w:rPr>
          <w:rFonts w:ascii="Arial" w:hAnsi="Arial" w:cs="Arial"/>
        </w:rPr>
        <w:t>, the ageing analysis of trade debtors net of the provision</w:t>
      </w:r>
      <w:r>
        <w:rPr>
          <w:rFonts w:ascii="Arial" w:hAnsi="Arial" w:cs="Arial"/>
        </w:rPr>
        <w:t xml:space="preserve"> for impairment</w:t>
      </w:r>
      <w:r w:rsidRPr="005D470D">
        <w:rPr>
          <w:rFonts w:ascii="Arial" w:hAnsi="Arial" w:cs="Arial"/>
        </w:rPr>
        <w:t xml:space="preserve"> was as follows:</w:t>
      </w:r>
    </w:p>
    <w:p w14:paraId="6E4B3A27" w14:textId="77777777" w:rsidR="00F51726" w:rsidRDefault="00F51726" w:rsidP="006F1659">
      <w:pPr>
        <w:spacing w:line="360" w:lineRule="auto"/>
        <w:rPr>
          <w:rFonts w:ascii="Arial" w:hAnsi="Arial" w:cs="Arial"/>
        </w:rPr>
      </w:pPr>
    </w:p>
    <w:p w14:paraId="39B3ADB4" w14:textId="76E89171" w:rsidR="00D04D7B" w:rsidRDefault="00A05A20" w:rsidP="006F1659">
      <w:pPr>
        <w:spacing w:line="360" w:lineRule="auto"/>
        <w:rPr>
          <w:rFonts w:ascii="Arial" w:hAnsi="Arial" w:cs="Arial"/>
        </w:rPr>
      </w:pPr>
      <w:r w:rsidRPr="00A05A20">
        <w:rPr>
          <w:noProof/>
        </w:rPr>
        <w:drawing>
          <wp:inline distT="0" distB="0" distL="0" distR="0" wp14:anchorId="2C15038F" wp14:editId="0EEA670A">
            <wp:extent cx="6090953" cy="669851"/>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49725" cy="676314"/>
                    </a:xfrm>
                    <a:prstGeom prst="rect">
                      <a:avLst/>
                    </a:prstGeom>
                    <a:noFill/>
                    <a:ln>
                      <a:noFill/>
                    </a:ln>
                  </pic:spPr>
                </pic:pic>
              </a:graphicData>
            </a:graphic>
          </wp:inline>
        </w:drawing>
      </w:r>
    </w:p>
    <w:bookmarkEnd w:id="147"/>
    <w:p w14:paraId="0C640C0A" w14:textId="77777777" w:rsidR="00860E50" w:rsidRDefault="00860E50" w:rsidP="006F1659">
      <w:pPr>
        <w:spacing w:line="360" w:lineRule="auto"/>
        <w:rPr>
          <w:rFonts w:ascii="Arial" w:hAnsi="Arial" w:cs="Arial"/>
          <w:b/>
          <w:sz w:val="22"/>
          <w:szCs w:val="22"/>
        </w:rPr>
      </w:pPr>
    </w:p>
    <w:p w14:paraId="58DFB19D" w14:textId="77777777" w:rsidR="00D04D7B" w:rsidRPr="0007572B" w:rsidRDefault="00D04D7B" w:rsidP="006F1659">
      <w:pPr>
        <w:spacing w:line="360" w:lineRule="auto"/>
        <w:rPr>
          <w:rFonts w:ascii="Arial" w:hAnsi="Arial" w:cs="Arial"/>
          <w:b/>
          <w:sz w:val="22"/>
          <w:szCs w:val="22"/>
        </w:rPr>
      </w:pPr>
    </w:p>
    <w:p w14:paraId="4A60E112" w14:textId="433E9E48" w:rsidR="001B7888" w:rsidRPr="0007572B" w:rsidRDefault="0040301F" w:rsidP="006F1659">
      <w:pPr>
        <w:pStyle w:val="Heading3greennumbered"/>
        <w:spacing w:line="360" w:lineRule="auto"/>
      </w:pPr>
      <w:bookmarkStart w:id="149" w:name="_Toc92894895"/>
      <w:bookmarkStart w:id="150" w:name="_Toc92895199"/>
      <w:bookmarkStart w:id="151" w:name="_Toc109922633"/>
      <w:r w:rsidRPr="0007572B">
        <w:t>2</w:t>
      </w:r>
      <w:r w:rsidR="00357FDB" w:rsidRPr="0007572B">
        <w:t>3</w:t>
      </w:r>
      <w:r w:rsidR="001B7888" w:rsidRPr="0007572B">
        <w:t xml:space="preserve"> Cash and Cash Equivalents</w:t>
      </w:r>
      <w:bookmarkEnd w:id="149"/>
      <w:bookmarkEnd w:id="150"/>
      <w:bookmarkEnd w:id="151"/>
    </w:p>
    <w:p w14:paraId="5ECFC64A" w14:textId="77777777" w:rsidR="005403AF" w:rsidRDefault="005403AF" w:rsidP="006F1659">
      <w:pPr>
        <w:spacing w:line="360" w:lineRule="auto"/>
        <w:rPr>
          <w:rFonts w:ascii="Arial" w:hAnsi="Arial" w:cs="Arial"/>
        </w:rPr>
      </w:pPr>
    </w:p>
    <w:p w14:paraId="0A327A5A" w14:textId="17C0E9A3" w:rsidR="003F32BF" w:rsidRPr="0007572B" w:rsidRDefault="003F32BF" w:rsidP="006F1659">
      <w:pPr>
        <w:spacing w:line="360" w:lineRule="auto"/>
        <w:rPr>
          <w:rFonts w:ascii="Arial" w:hAnsi="Arial" w:cs="Arial"/>
        </w:rPr>
      </w:pPr>
      <w:r w:rsidRPr="0007572B">
        <w:rPr>
          <w:rFonts w:ascii="Arial" w:hAnsi="Arial" w:cs="Arial"/>
        </w:rPr>
        <w:t>The balance of cash and cash equivalents is made up of the following elements:</w:t>
      </w:r>
    </w:p>
    <w:p w14:paraId="71291CF8" w14:textId="77777777" w:rsidR="00B4518D" w:rsidRPr="0007572B" w:rsidRDefault="00B4518D" w:rsidP="006F1659">
      <w:pPr>
        <w:spacing w:line="360" w:lineRule="auto"/>
        <w:rPr>
          <w:rFonts w:ascii="Arial" w:hAnsi="Arial" w:cs="Arial"/>
        </w:rPr>
      </w:pPr>
    </w:p>
    <w:p w14:paraId="47D6B3CE" w14:textId="7AB5093B" w:rsidR="00275033" w:rsidRPr="0007572B" w:rsidRDefault="007A5365" w:rsidP="006F1659">
      <w:pPr>
        <w:pStyle w:val="ListParagraph"/>
        <w:numPr>
          <w:ilvl w:val="0"/>
          <w:numId w:val="37"/>
        </w:numPr>
        <w:spacing w:after="0" w:line="360" w:lineRule="auto"/>
        <w:rPr>
          <w:rFonts w:ascii="Arial" w:hAnsi="Arial" w:cs="Arial"/>
          <w:sz w:val="24"/>
          <w:szCs w:val="24"/>
        </w:rPr>
      </w:pPr>
      <w:r w:rsidRPr="0007572B">
        <w:rPr>
          <w:rFonts w:ascii="Arial" w:hAnsi="Arial" w:cs="Arial"/>
          <w:sz w:val="24"/>
          <w:szCs w:val="24"/>
        </w:rPr>
        <w:t xml:space="preserve">Cash is represented by </w:t>
      </w:r>
      <w:r w:rsidR="00275033" w:rsidRPr="0007572B">
        <w:rPr>
          <w:rFonts w:ascii="Arial" w:hAnsi="Arial" w:cs="Arial"/>
          <w:sz w:val="24"/>
          <w:szCs w:val="24"/>
        </w:rPr>
        <w:t>operating bank accounts (shown net of bank overdrafts), deposits wit</w:t>
      </w:r>
      <w:r w:rsidR="002706DC" w:rsidRPr="0007572B">
        <w:rPr>
          <w:rFonts w:ascii="Arial" w:hAnsi="Arial" w:cs="Arial"/>
          <w:sz w:val="24"/>
          <w:szCs w:val="24"/>
        </w:rPr>
        <w:t>h financial institutions for less than three months,</w:t>
      </w:r>
      <w:r w:rsidR="00275033" w:rsidRPr="0007572B">
        <w:rPr>
          <w:rFonts w:ascii="Arial" w:hAnsi="Arial" w:cs="Arial"/>
          <w:sz w:val="24"/>
          <w:szCs w:val="24"/>
        </w:rPr>
        <w:t xml:space="preserve"> </w:t>
      </w:r>
      <w:r w:rsidRPr="0007572B">
        <w:rPr>
          <w:rFonts w:ascii="Arial" w:hAnsi="Arial" w:cs="Arial"/>
          <w:sz w:val="24"/>
          <w:szCs w:val="24"/>
        </w:rPr>
        <w:t>cash in hand</w:t>
      </w:r>
      <w:r w:rsidR="00275033" w:rsidRPr="0007572B">
        <w:rPr>
          <w:rFonts w:ascii="Arial" w:hAnsi="Arial" w:cs="Arial"/>
          <w:sz w:val="24"/>
          <w:szCs w:val="24"/>
        </w:rPr>
        <w:t xml:space="preserve"> and </w:t>
      </w:r>
      <w:r w:rsidRPr="0007572B">
        <w:rPr>
          <w:rFonts w:ascii="Arial" w:hAnsi="Arial" w:cs="Arial"/>
          <w:sz w:val="24"/>
          <w:szCs w:val="24"/>
        </w:rPr>
        <w:t>petty cash balances</w:t>
      </w:r>
      <w:r w:rsidR="00275033" w:rsidRPr="0007572B">
        <w:rPr>
          <w:rFonts w:ascii="Arial" w:hAnsi="Arial" w:cs="Arial"/>
          <w:sz w:val="24"/>
          <w:szCs w:val="24"/>
        </w:rPr>
        <w:t>.</w:t>
      </w:r>
    </w:p>
    <w:p w14:paraId="52C60AFF" w14:textId="0573B314" w:rsidR="007A5365" w:rsidRPr="0007572B" w:rsidRDefault="007A5365" w:rsidP="006F1659">
      <w:pPr>
        <w:pStyle w:val="ListParagraph"/>
        <w:spacing w:after="0" w:line="360" w:lineRule="auto"/>
        <w:rPr>
          <w:rFonts w:ascii="Arial" w:hAnsi="Arial" w:cs="Arial"/>
          <w:sz w:val="24"/>
          <w:szCs w:val="24"/>
        </w:rPr>
      </w:pPr>
    </w:p>
    <w:p w14:paraId="72BC9254" w14:textId="2DD82A61" w:rsidR="007A5365" w:rsidRDefault="007A5365" w:rsidP="006F1659">
      <w:pPr>
        <w:pStyle w:val="ListParagraph"/>
        <w:numPr>
          <w:ilvl w:val="0"/>
          <w:numId w:val="37"/>
        </w:numPr>
        <w:spacing w:after="0" w:line="360" w:lineRule="auto"/>
        <w:rPr>
          <w:rFonts w:ascii="Arial" w:hAnsi="Arial" w:cs="Arial"/>
          <w:sz w:val="24"/>
          <w:szCs w:val="24"/>
        </w:rPr>
      </w:pPr>
      <w:r w:rsidRPr="0007572B">
        <w:rPr>
          <w:rFonts w:ascii="Arial" w:hAnsi="Arial" w:cs="Arial"/>
          <w:sz w:val="24"/>
          <w:szCs w:val="24"/>
        </w:rPr>
        <w:t xml:space="preserve">Cash equivalents </w:t>
      </w:r>
      <w:r w:rsidR="00275033" w:rsidRPr="0007572B">
        <w:rPr>
          <w:rFonts w:ascii="Arial" w:hAnsi="Arial" w:cs="Arial"/>
          <w:sz w:val="24"/>
          <w:szCs w:val="24"/>
        </w:rPr>
        <w:t>are highly liquid investments that mature in three months or less from the date of acquisition and that are readily convertible to known amounts of cash with an insignificant risk of change in value.</w:t>
      </w:r>
      <w:r w:rsidR="002706DC" w:rsidRPr="0007572B">
        <w:rPr>
          <w:rFonts w:ascii="Arial" w:hAnsi="Arial" w:cs="Arial"/>
          <w:sz w:val="24"/>
          <w:szCs w:val="24"/>
        </w:rPr>
        <w:t xml:space="preserve"> These include interest bearing call accounts and money market funds with institutions that meet our required credit ratings.</w:t>
      </w:r>
    </w:p>
    <w:p w14:paraId="58DE9C03" w14:textId="77777777" w:rsidR="00D871C0" w:rsidRPr="00D871C0" w:rsidRDefault="00D871C0" w:rsidP="006F1659">
      <w:pPr>
        <w:spacing w:line="360" w:lineRule="auto"/>
        <w:ind w:left="360"/>
        <w:rPr>
          <w:rFonts w:ascii="Arial" w:hAnsi="Arial" w:cs="Arial"/>
        </w:rPr>
      </w:pPr>
    </w:p>
    <w:p w14:paraId="247813DD" w14:textId="60A0B92A" w:rsidR="00275033" w:rsidRDefault="00D04D7B" w:rsidP="006F1659">
      <w:pPr>
        <w:pStyle w:val="ListParagraph"/>
        <w:spacing w:after="0" w:line="360" w:lineRule="auto"/>
        <w:ind w:left="360"/>
        <w:jc w:val="both"/>
        <w:rPr>
          <w:rFonts w:ascii="Arial" w:hAnsi="Arial" w:cs="Arial"/>
        </w:rPr>
      </w:pPr>
      <w:r w:rsidRPr="00D04D7B">
        <w:rPr>
          <w:noProof/>
        </w:rPr>
        <w:drawing>
          <wp:inline distT="0" distB="0" distL="0" distR="0" wp14:anchorId="006CBDC9" wp14:editId="0C8B8CAE">
            <wp:extent cx="5546725" cy="1026795"/>
            <wp:effectExtent l="0" t="0" r="0" b="190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46725" cy="1026795"/>
                    </a:xfrm>
                    <a:prstGeom prst="rect">
                      <a:avLst/>
                    </a:prstGeom>
                    <a:noFill/>
                    <a:ln>
                      <a:noFill/>
                    </a:ln>
                  </pic:spPr>
                </pic:pic>
              </a:graphicData>
            </a:graphic>
          </wp:inline>
        </w:drawing>
      </w:r>
    </w:p>
    <w:p w14:paraId="5F8C0E8A" w14:textId="5D1F3C74" w:rsidR="004D15B7" w:rsidRDefault="004D15B7" w:rsidP="006F1659">
      <w:pPr>
        <w:pStyle w:val="ListParagraph"/>
        <w:spacing w:after="0" w:line="360" w:lineRule="auto"/>
        <w:jc w:val="both"/>
        <w:rPr>
          <w:rFonts w:ascii="Arial" w:hAnsi="Arial" w:cs="Arial"/>
        </w:rPr>
      </w:pPr>
    </w:p>
    <w:p w14:paraId="125F0F8D" w14:textId="77777777" w:rsidR="00D871C0" w:rsidRPr="0007572B" w:rsidRDefault="00D871C0" w:rsidP="006F1659">
      <w:pPr>
        <w:pStyle w:val="ListParagraph"/>
        <w:spacing w:after="0" w:line="360" w:lineRule="auto"/>
        <w:jc w:val="both"/>
        <w:rPr>
          <w:rFonts w:ascii="Arial" w:hAnsi="Arial" w:cs="Arial"/>
        </w:rPr>
      </w:pPr>
    </w:p>
    <w:p w14:paraId="105972A6" w14:textId="422DCC54" w:rsidR="00D35A13" w:rsidRPr="0007572B" w:rsidRDefault="00884440" w:rsidP="006F1659">
      <w:pPr>
        <w:pStyle w:val="Heading3greennumbered"/>
        <w:spacing w:line="360" w:lineRule="auto"/>
      </w:pPr>
      <w:bookmarkStart w:id="152" w:name="_Toc92894896"/>
      <w:bookmarkStart w:id="153" w:name="_Toc92895200"/>
      <w:bookmarkStart w:id="154" w:name="_Toc109922634"/>
      <w:r w:rsidRPr="0007572B">
        <w:lastRenderedPageBreak/>
        <w:t>2</w:t>
      </w:r>
      <w:r w:rsidR="00357FDB" w:rsidRPr="0007572B">
        <w:t>4</w:t>
      </w:r>
      <w:r w:rsidR="00081DA7" w:rsidRPr="0007572B">
        <w:t xml:space="preserve"> </w:t>
      </w:r>
      <w:r w:rsidR="00641574" w:rsidRPr="0007572B">
        <w:t>Short an</w:t>
      </w:r>
      <w:r w:rsidR="007F381A" w:rsidRPr="0007572B">
        <w:t>d Long Term Creditors</w:t>
      </w:r>
      <w:bookmarkEnd w:id="152"/>
      <w:bookmarkEnd w:id="153"/>
      <w:bookmarkEnd w:id="154"/>
    </w:p>
    <w:p w14:paraId="643ABEBA" w14:textId="77777777" w:rsidR="005403AF" w:rsidRPr="005403AF" w:rsidRDefault="005403AF" w:rsidP="006F1659">
      <w:pPr>
        <w:spacing w:line="360" w:lineRule="auto"/>
      </w:pPr>
    </w:p>
    <w:p w14:paraId="78699A70" w14:textId="44113C15" w:rsidR="008D2C8E" w:rsidRPr="0007572B" w:rsidRDefault="008D2C8E" w:rsidP="006F1659">
      <w:pPr>
        <w:pStyle w:val="Heading4bold"/>
        <w:spacing w:line="360" w:lineRule="auto"/>
      </w:pPr>
      <w:r w:rsidRPr="0007572B">
        <w:t>Short Term Creditors</w:t>
      </w:r>
    </w:p>
    <w:p w14:paraId="0656B6EC" w14:textId="77777777" w:rsidR="00081DA7" w:rsidRPr="0007572B" w:rsidRDefault="0040301F" w:rsidP="006F1659">
      <w:pPr>
        <w:spacing w:line="360" w:lineRule="auto"/>
        <w:rPr>
          <w:rFonts w:ascii="Arial" w:hAnsi="Arial" w:cs="Arial"/>
        </w:rPr>
      </w:pPr>
      <w:r w:rsidRPr="0007572B">
        <w:rPr>
          <w:rFonts w:ascii="Arial" w:hAnsi="Arial" w:cs="Arial"/>
        </w:rPr>
        <w:t>The table below shows the amounts owed by the Authority but not yet paid:</w:t>
      </w:r>
    </w:p>
    <w:p w14:paraId="47B43581" w14:textId="77777777" w:rsidR="0040301F" w:rsidRPr="0007572B" w:rsidRDefault="0040301F" w:rsidP="006F1659">
      <w:pPr>
        <w:spacing w:line="360" w:lineRule="auto"/>
        <w:rPr>
          <w:rFonts w:ascii="Arial" w:hAnsi="Arial" w:cs="Arial"/>
          <w:b/>
        </w:rPr>
      </w:pPr>
    </w:p>
    <w:p w14:paraId="2668CB02" w14:textId="77777777" w:rsidR="00046148" w:rsidRDefault="00F320F5" w:rsidP="006F1659">
      <w:pPr>
        <w:spacing w:line="360" w:lineRule="auto"/>
        <w:rPr>
          <w:rFonts w:ascii="Arial" w:hAnsi="Arial" w:cs="Arial"/>
          <w:b/>
          <w:sz w:val="22"/>
          <w:szCs w:val="22"/>
        </w:rPr>
      </w:pPr>
      <w:r w:rsidRPr="00F320F5">
        <w:rPr>
          <w:noProof/>
        </w:rPr>
        <w:drawing>
          <wp:inline distT="0" distB="0" distL="0" distR="0" wp14:anchorId="4B71BDD0" wp14:editId="7CFBB3DC">
            <wp:extent cx="5264150" cy="140589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64150" cy="1405890"/>
                    </a:xfrm>
                    <a:prstGeom prst="rect">
                      <a:avLst/>
                    </a:prstGeom>
                    <a:noFill/>
                    <a:ln>
                      <a:noFill/>
                    </a:ln>
                  </pic:spPr>
                </pic:pic>
              </a:graphicData>
            </a:graphic>
          </wp:inline>
        </w:drawing>
      </w:r>
    </w:p>
    <w:p w14:paraId="00665E1C" w14:textId="77777777" w:rsidR="00F320F5" w:rsidRDefault="00F320F5" w:rsidP="006F1659">
      <w:pPr>
        <w:spacing w:line="360" w:lineRule="auto"/>
        <w:rPr>
          <w:rFonts w:ascii="Arial" w:hAnsi="Arial" w:cs="Arial"/>
          <w:b/>
          <w:sz w:val="22"/>
          <w:szCs w:val="22"/>
        </w:rPr>
      </w:pPr>
    </w:p>
    <w:p w14:paraId="054043B8" w14:textId="5F2FF169" w:rsidR="00F320F5" w:rsidRPr="0007572B" w:rsidRDefault="00F320F5" w:rsidP="006F1659">
      <w:pPr>
        <w:spacing w:line="360" w:lineRule="auto"/>
        <w:rPr>
          <w:rFonts w:ascii="Arial" w:hAnsi="Arial" w:cs="Arial"/>
          <w:b/>
          <w:sz w:val="22"/>
          <w:szCs w:val="22"/>
        </w:rPr>
        <w:sectPr w:rsidR="00F320F5" w:rsidRPr="0007572B" w:rsidSect="004833A2">
          <w:pgSz w:w="11906" w:h="16838"/>
          <w:pgMar w:top="1444" w:right="1416" w:bottom="1276" w:left="1080" w:header="568" w:footer="567" w:gutter="0"/>
          <w:cols w:space="708"/>
          <w:docGrid w:linePitch="360"/>
        </w:sectPr>
      </w:pPr>
    </w:p>
    <w:p w14:paraId="116103EB" w14:textId="4C3A0FC8" w:rsidR="00081DA7" w:rsidRPr="0007572B" w:rsidRDefault="00884440" w:rsidP="006F1659">
      <w:pPr>
        <w:pStyle w:val="Heading3greennumbered"/>
        <w:spacing w:line="360" w:lineRule="auto"/>
      </w:pPr>
      <w:bookmarkStart w:id="155" w:name="_Toc92894897"/>
      <w:bookmarkStart w:id="156" w:name="_Toc92895201"/>
      <w:bookmarkStart w:id="157" w:name="_Toc109922635"/>
      <w:r w:rsidRPr="0007572B">
        <w:lastRenderedPageBreak/>
        <w:t>2</w:t>
      </w:r>
      <w:r w:rsidR="00357FDB" w:rsidRPr="0007572B">
        <w:t>5</w:t>
      </w:r>
      <w:r w:rsidR="00081DA7" w:rsidRPr="0007572B">
        <w:t xml:space="preserve"> </w:t>
      </w:r>
      <w:r w:rsidR="007F381A" w:rsidRPr="0007572B">
        <w:t xml:space="preserve">Short and Long Term </w:t>
      </w:r>
      <w:r w:rsidR="00CE6A00" w:rsidRPr="0007572B">
        <w:t>Provisions</w:t>
      </w:r>
      <w:bookmarkEnd w:id="155"/>
      <w:bookmarkEnd w:id="156"/>
      <w:bookmarkEnd w:id="157"/>
    </w:p>
    <w:p w14:paraId="7B0B57CE" w14:textId="77777777" w:rsidR="005403AF" w:rsidRDefault="005403AF" w:rsidP="006F1659">
      <w:pPr>
        <w:spacing w:line="360" w:lineRule="auto"/>
        <w:rPr>
          <w:rFonts w:ascii="Arial" w:hAnsi="Arial" w:cs="Arial"/>
        </w:rPr>
      </w:pPr>
    </w:p>
    <w:p w14:paraId="1C73F3D2" w14:textId="5F65EBBC" w:rsidR="00081DA7" w:rsidRDefault="00F01BC1" w:rsidP="006F1659">
      <w:pPr>
        <w:spacing w:line="360" w:lineRule="auto"/>
        <w:rPr>
          <w:rFonts w:ascii="Arial" w:hAnsi="Arial" w:cs="Arial"/>
        </w:rPr>
      </w:pPr>
      <w:r w:rsidRPr="0007572B">
        <w:rPr>
          <w:rFonts w:ascii="Arial" w:hAnsi="Arial" w:cs="Arial"/>
        </w:rPr>
        <w:t>Provisions are amounts set aside by the Authority to meet the cost of a future liability, for which</w:t>
      </w:r>
      <w:r w:rsidR="00073FBD" w:rsidRPr="0007572B">
        <w:rPr>
          <w:rFonts w:ascii="Arial" w:hAnsi="Arial" w:cs="Arial"/>
        </w:rPr>
        <w:t>,</w:t>
      </w:r>
      <w:r w:rsidRPr="0007572B">
        <w:rPr>
          <w:rFonts w:ascii="Arial" w:hAnsi="Arial" w:cs="Arial"/>
        </w:rPr>
        <w:t xml:space="preserve"> the timing of payment is uncertain. In line with the Code of Practice</w:t>
      </w:r>
      <w:r w:rsidR="00073FBD" w:rsidRPr="0007572B">
        <w:rPr>
          <w:rFonts w:ascii="Arial" w:hAnsi="Arial" w:cs="Arial"/>
        </w:rPr>
        <w:t>,</w:t>
      </w:r>
      <w:r w:rsidRPr="0007572B">
        <w:rPr>
          <w:rFonts w:ascii="Arial" w:hAnsi="Arial" w:cs="Arial"/>
        </w:rPr>
        <w:t xml:space="preserve"> the provision is charged to the service revenue account in the year it is </w:t>
      </w:r>
      <w:r w:rsidR="004F5004" w:rsidRPr="0007572B">
        <w:rPr>
          <w:rFonts w:ascii="Arial" w:hAnsi="Arial" w:cs="Arial"/>
        </w:rPr>
        <w:t>established;</w:t>
      </w:r>
      <w:r w:rsidRPr="0007572B">
        <w:rPr>
          <w:rFonts w:ascii="Arial" w:hAnsi="Arial" w:cs="Arial"/>
        </w:rPr>
        <w:t xml:space="preserve"> when liability falls due it is charged directly to the provision.</w:t>
      </w:r>
    </w:p>
    <w:p w14:paraId="641164E9" w14:textId="2CC34E28" w:rsidR="008C4064" w:rsidRDefault="008C4064" w:rsidP="006F1659">
      <w:pPr>
        <w:spacing w:line="360" w:lineRule="auto"/>
        <w:rPr>
          <w:rFonts w:ascii="Arial" w:hAnsi="Arial" w:cs="Arial"/>
        </w:rPr>
      </w:pPr>
    </w:p>
    <w:p w14:paraId="5B9A1425" w14:textId="04C1E4EF" w:rsidR="008C4064" w:rsidRPr="0007572B" w:rsidRDefault="00302053" w:rsidP="006F1659">
      <w:pPr>
        <w:spacing w:line="360" w:lineRule="auto"/>
        <w:rPr>
          <w:rFonts w:ascii="Arial" w:hAnsi="Arial" w:cs="Arial"/>
        </w:rPr>
      </w:pPr>
      <w:r w:rsidRPr="00302053">
        <w:rPr>
          <w:noProof/>
        </w:rPr>
        <w:drawing>
          <wp:inline distT="0" distB="0" distL="0" distR="0" wp14:anchorId="27800493" wp14:editId="40A493AB">
            <wp:extent cx="8540115" cy="22948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40115" cy="2294890"/>
                    </a:xfrm>
                    <a:prstGeom prst="rect">
                      <a:avLst/>
                    </a:prstGeom>
                    <a:noFill/>
                    <a:ln>
                      <a:noFill/>
                    </a:ln>
                  </pic:spPr>
                </pic:pic>
              </a:graphicData>
            </a:graphic>
          </wp:inline>
        </w:drawing>
      </w:r>
    </w:p>
    <w:p w14:paraId="36FD1AD9" w14:textId="77777777" w:rsidR="000B247E" w:rsidRPr="0007572B" w:rsidRDefault="000B247E" w:rsidP="006F1659">
      <w:pPr>
        <w:spacing w:line="360" w:lineRule="auto"/>
        <w:jc w:val="both"/>
        <w:rPr>
          <w:rFonts w:ascii="Arial" w:hAnsi="Arial" w:cs="Arial"/>
          <w:lang w:eastAsia="en-GB"/>
        </w:rPr>
      </w:pPr>
    </w:p>
    <w:p w14:paraId="461D9EE0" w14:textId="7D346DD2" w:rsidR="00952201" w:rsidRDefault="00952201" w:rsidP="006F1659">
      <w:pPr>
        <w:spacing w:line="360" w:lineRule="auto"/>
        <w:jc w:val="both"/>
        <w:rPr>
          <w:rFonts w:ascii="Arial" w:hAnsi="Arial" w:cs="Arial"/>
          <w:lang w:eastAsia="en-GB"/>
        </w:rPr>
      </w:pPr>
      <w:r w:rsidRPr="0007572B">
        <w:rPr>
          <w:rFonts w:ascii="Arial" w:hAnsi="Arial" w:cs="Arial"/>
          <w:lang w:eastAsia="en-GB"/>
        </w:rPr>
        <w:t xml:space="preserve">The provisions held by the </w:t>
      </w:r>
      <w:r w:rsidR="00D952FE" w:rsidRPr="0007572B">
        <w:rPr>
          <w:rFonts w:ascii="Arial" w:hAnsi="Arial" w:cs="Arial"/>
          <w:lang w:eastAsia="en-GB"/>
        </w:rPr>
        <w:t>A</w:t>
      </w:r>
      <w:r w:rsidRPr="0007572B">
        <w:rPr>
          <w:rFonts w:ascii="Arial" w:hAnsi="Arial" w:cs="Arial"/>
          <w:lang w:eastAsia="en-GB"/>
        </w:rPr>
        <w:t>uthority are described below:</w:t>
      </w:r>
    </w:p>
    <w:p w14:paraId="5F661862" w14:textId="77777777" w:rsidR="005403AF" w:rsidRPr="0007572B" w:rsidRDefault="005403AF" w:rsidP="006F1659">
      <w:pPr>
        <w:spacing w:line="360" w:lineRule="auto"/>
        <w:jc w:val="both"/>
        <w:rPr>
          <w:rFonts w:ascii="Arial" w:hAnsi="Arial" w:cs="Arial"/>
          <w:lang w:eastAsia="en-GB"/>
        </w:rPr>
      </w:pPr>
    </w:p>
    <w:p w14:paraId="4DB33B60" w14:textId="2AA82F9E" w:rsidR="00952201" w:rsidRPr="0007572B" w:rsidRDefault="00952201" w:rsidP="006F1659">
      <w:pPr>
        <w:pStyle w:val="Heading4bold"/>
        <w:spacing w:line="360" w:lineRule="auto"/>
        <w:rPr>
          <w:lang w:eastAsia="en-GB"/>
        </w:rPr>
      </w:pPr>
      <w:r w:rsidRPr="0007572B">
        <w:rPr>
          <w:lang w:eastAsia="en-GB"/>
        </w:rPr>
        <w:t>GMCA</w:t>
      </w:r>
    </w:p>
    <w:p w14:paraId="2488E2A1" w14:textId="3C6D6638" w:rsidR="00952201" w:rsidRPr="005403AF" w:rsidRDefault="00952201" w:rsidP="006F1659">
      <w:pPr>
        <w:pStyle w:val="ListParagraph"/>
        <w:numPr>
          <w:ilvl w:val="0"/>
          <w:numId w:val="33"/>
        </w:numPr>
        <w:spacing w:after="0" w:line="360" w:lineRule="auto"/>
        <w:rPr>
          <w:rFonts w:ascii="Arial" w:hAnsi="Arial" w:cs="Arial"/>
          <w:sz w:val="24"/>
          <w:szCs w:val="24"/>
          <w:u w:val="single"/>
        </w:rPr>
      </w:pPr>
      <w:r w:rsidRPr="0007572B">
        <w:rPr>
          <w:rFonts w:ascii="Arial" w:hAnsi="Arial" w:cs="Arial"/>
          <w:sz w:val="24"/>
          <w:szCs w:val="24"/>
        </w:rPr>
        <w:t>Landcare Provision -</w:t>
      </w:r>
      <w:r w:rsidR="000B247E" w:rsidRPr="0007572B">
        <w:rPr>
          <w:rFonts w:ascii="Arial" w:hAnsi="Arial" w:cs="Arial"/>
          <w:sz w:val="24"/>
          <w:szCs w:val="24"/>
        </w:rPr>
        <w:t xml:space="preserve"> </w:t>
      </w:r>
      <w:r w:rsidRPr="0007572B">
        <w:rPr>
          <w:rFonts w:ascii="Arial" w:hAnsi="Arial" w:cs="Arial"/>
          <w:sz w:val="24"/>
          <w:szCs w:val="24"/>
        </w:rPr>
        <w:t>The GMWDA sold 18 sites to the private sector (Landcare (Manchester) Limited) in December 2012 in return for agreeing a fixed ten</w:t>
      </w:r>
      <w:r w:rsidR="004B42D8">
        <w:rPr>
          <w:rFonts w:ascii="Arial" w:hAnsi="Arial" w:cs="Arial"/>
          <w:sz w:val="24"/>
          <w:szCs w:val="24"/>
        </w:rPr>
        <w:t>-</w:t>
      </w:r>
      <w:r w:rsidRPr="0007572B">
        <w:rPr>
          <w:rFonts w:ascii="Arial" w:hAnsi="Arial" w:cs="Arial"/>
          <w:sz w:val="24"/>
          <w:szCs w:val="24"/>
        </w:rPr>
        <w:t xml:space="preserve">year contribution less potential income from part of any enhanced value (overage) from future </w:t>
      </w:r>
      <w:r w:rsidRPr="0007572B">
        <w:rPr>
          <w:rFonts w:ascii="Arial" w:hAnsi="Arial" w:cs="Arial"/>
          <w:sz w:val="24"/>
          <w:szCs w:val="24"/>
        </w:rPr>
        <w:lastRenderedPageBreak/>
        <w:t>development of the sites. The Landcare provision represents the maximum amounts that GMCA would have to pay each year, however as there is an overage clause if Landcare were to make money from one of the sites transferred to them, there is a mechanism to reduce the annual payment.</w:t>
      </w:r>
    </w:p>
    <w:p w14:paraId="3C353C9E" w14:textId="77777777" w:rsidR="005403AF" w:rsidRPr="0007572B" w:rsidRDefault="005403AF" w:rsidP="006F1659">
      <w:pPr>
        <w:pStyle w:val="ListParagraph"/>
        <w:spacing w:after="0" w:line="360" w:lineRule="auto"/>
        <w:rPr>
          <w:rFonts w:ascii="Arial" w:hAnsi="Arial" w:cs="Arial"/>
          <w:sz w:val="24"/>
          <w:szCs w:val="24"/>
          <w:u w:val="single"/>
        </w:rPr>
      </w:pPr>
    </w:p>
    <w:p w14:paraId="50AD8B82" w14:textId="77777777" w:rsidR="00952201" w:rsidRPr="0007572B" w:rsidRDefault="00952201" w:rsidP="006F1659">
      <w:pPr>
        <w:pStyle w:val="Heading4bold"/>
        <w:spacing w:line="360" w:lineRule="auto"/>
        <w:rPr>
          <w:lang w:eastAsia="en-GB"/>
        </w:rPr>
      </w:pPr>
      <w:r w:rsidRPr="0007572B">
        <w:rPr>
          <w:lang w:eastAsia="en-GB"/>
        </w:rPr>
        <w:t>Mayoral General Fund</w:t>
      </w:r>
    </w:p>
    <w:p w14:paraId="728C1C78" w14:textId="71BA5D1D" w:rsidR="00952201" w:rsidRPr="00302053" w:rsidRDefault="00952201" w:rsidP="006F1659">
      <w:pPr>
        <w:pStyle w:val="ListParagraph"/>
        <w:numPr>
          <w:ilvl w:val="0"/>
          <w:numId w:val="33"/>
        </w:numPr>
        <w:tabs>
          <w:tab w:val="left" w:pos="945"/>
        </w:tabs>
        <w:spacing w:after="0" w:line="360" w:lineRule="auto"/>
        <w:rPr>
          <w:rFonts w:ascii="Arial" w:hAnsi="Arial" w:cs="Arial"/>
          <w:sz w:val="24"/>
          <w:szCs w:val="24"/>
        </w:rPr>
      </w:pPr>
      <w:r w:rsidRPr="0007572B">
        <w:rPr>
          <w:rFonts w:ascii="Arial" w:hAnsi="Arial" w:cs="Arial"/>
          <w:sz w:val="24"/>
          <w:szCs w:val="24"/>
        </w:rPr>
        <w:t>Insurance Provision - This provision represents the value of an actuarial assessment of the remaining liability for all self-insured claims occurring in 20</w:t>
      </w:r>
      <w:r w:rsidR="00451E80" w:rsidRPr="0007572B">
        <w:rPr>
          <w:rFonts w:ascii="Arial" w:hAnsi="Arial" w:cs="Arial"/>
          <w:sz w:val="24"/>
          <w:szCs w:val="24"/>
        </w:rPr>
        <w:t>2</w:t>
      </w:r>
      <w:r w:rsidR="00302053">
        <w:rPr>
          <w:rFonts w:ascii="Arial" w:hAnsi="Arial" w:cs="Arial"/>
          <w:sz w:val="24"/>
          <w:szCs w:val="24"/>
        </w:rPr>
        <w:t>2</w:t>
      </w:r>
      <w:r w:rsidRPr="0007572B">
        <w:rPr>
          <w:rFonts w:ascii="Arial" w:hAnsi="Arial" w:cs="Arial"/>
          <w:sz w:val="24"/>
          <w:szCs w:val="24"/>
        </w:rPr>
        <w:t>/</w:t>
      </w:r>
      <w:r w:rsidR="000C19CD" w:rsidRPr="0007572B">
        <w:rPr>
          <w:rFonts w:ascii="Arial" w:hAnsi="Arial" w:cs="Arial"/>
          <w:sz w:val="24"/>
          <w:szCs w:val="24"/>
        </w:rPr>
        <w:t>2</w:t>
      </w:r>
      <w:r w:rsidR="00302053">
        <w:rPr>
          <w:rFonts w:ascii="Arial" w:hAnsi="Arial" w:cs="Arial"/>
          <w:sz w:val="24"/>
          <w:szCs w:val="24"/>
        </w:rPr>
        <w:t>3</w:t>
      </w:r>
      <w:r w:rsidRPr="00302053">
        <w:rPr>
          <w:rFonts w:ascii="Arial" w:hAnsi="Arial" w:cs="Arial"/>
        </w:rPr>
        <w:t xml:space="preserve">, all prior policy years and a prudent margin added for emerging claim types. </w:t>
      </w:r>
    </w:p>
    <w:p w14:paraId="042D25A1" w14:textId="77777777" w:rsidR="00952201" w:rsidRPr="0007572B" w:rsidRDefault="00952201" w:rsidP="006F1659">
      <w:pPr>
        <w:tabs>
          <w:tab w:val="left" w:pos="945"/>
        </w:tabs>
        <w:spacing w:line="360" w:lineRule="auto"/>
        <w:ind w:left="720"/>
        <w:rPr>
          <w:rFonts w:ascii="Arial" w:hAnsi="Arial" w:cs="Arial"/>
          <w:lang w:eastAsia="en-GB"/>
        </w:rPr>
      </w:pPr>
    </w:p>
    <w:p w14:paraId="530932AE" w14:textId="381210AB" w:rsidR="00952201" w:rsidRPr="0007572B" w:rsidRDefault="002555A0" w:rsidP="006F1659">
      <w:pPr>
        <w:pStyle w:val="ListParagraph"/>
        <w:numPr>
          <w:ilvl w:val="0"/>
          <w:numId w:val="33"/>
        </w:numPr>
        <w:tabs>
          <w:tab w:val="left" w:pos="945"/>
        </w:tabs>
        <w:spacing w:after="0" w:line="360" w:lineRule="auto"/>
        <w:rPr>
          <w:rFonts w:ascii="Arial" w:hAnsi="Arial" w:cs="Arial"/>
          <w:sz w:val="24"/>
          <w:szCs w:val="24"/>
        </w:rPr>
      </w:pPr>
      <w:r>
        <w:rPr>
          <w:rFonts w:ascii="Arial" w:hAnsi="Arial" w:cs="Arial"/>
          <w:sz w:val="24"/>
          <w:szCs w:val="24"/>
        </w:rPr>
        <w:t>Business Rates</w:t>
      </w:r>
      <w:r w:rsidR="00952201" w:rsidRPr="0007572B">
        <w:rPr>
          <w:rFonts w:ascii="Arial" w:hAnsi="Arial" w:cs="Arial"/>
          <w:sz w:val="24"/>
          <w:szCs w:val="24"/>
        </w:rPr>
        <w:t xml:space="preserve"> Appeals Provision - This is the estimated amount required to cover the cost of successful appeals against local non-domestic rateable values, where the cost of these appeals is required to be met locally.</w:t>
      </w:r>
    </w:p>
    <w:p w14:paraId="22EA28F6" w14:textId="77777777" w:rsidR="00952201" w:rsidRPr="0007572B" w:rsidRDefault="00952201" w:rsidP="006F1659">
      <w:pPr>
        <w:spacing w:line="360" w:lineRule="auto"/>
        <w:rPr>
          <w:rFonts w:ascii="Arial" w:hAnsi="Arial" w:cs="Arial"/>
          <w:u w:val="single"/>
          <w:lang w:eastAsia="en-GB"/>
        </w:rPr>
      </w:pPr>
    </w:p>
    <w:p w14:paraId="7A151AF2" w14:textId="532E5EE0" w:rsidR="00952201" w:rsidRPr="0007572B" w:rsidRDefault="00952201" w:rsidP="006F1659">
      <w:pPr>
        <w:pStyle w:val="ListParagraph"/>
        <w:numPr>
          <w:ilvl w:val="0"/>
          <w:numId w:val="33"/>
        </w:numPr>
        <w:spacing w:after="0" w:line="360" w:lineRule="auto"/>
        <w:rPr>
          <w:rFonts w:ascii="Arial" w:hAnsi="Arial" w:cs="Arial"/>
          <w:sz w:val="24"/>
          <w:szCs w:val="24"/>
        </w:rPr>
      </w:pPr>
      <w:r w:rsidRPr="0007572B">
        <w:rPr>
          <w:rFonts w:ascii="Arial" w:hAnsi="Arial" w:cs="Arial"/>
          <w:sz w:val="24"/>
          <w:szCs w:val="24"/>
        </w:rPr>
        <w:t>Bear Scotland v Fulton - The Employment Appeals Tribunal has ruled in this case that non-contractual overtime needs to be included when calculating holiday pay paid to firefighter employees. This provision is the estimated amount required to pay backdated claims.</w:t>
      </w:r>
    </w:p>
    <w:p w14:paraId="16B7B751" w14:textId="77777777" w:rsidR="00952201" w:rsidRPr="0007572B" w:rsidRDefault="00952201" w:rsidP="006F1659">
      <w:pPr>
        <w:pStyle w:val="ListParagraph"/>
        <w:spacing w:after="0" w:line="360" w:lineRule="auto"/>
        <w:rPr>
          <w:rFonts w:ascii="Arial" w:hAnsi="Arial" w:cs="Arial"/>
          <w:sz w:val="24"/>
          <w:szCs w:val="24"/>
          <w:highlight w:val="yellow"/>
        </w:rPr>
      </w:pPr>
    </w:p>
    <w:p w14:paraId="73D0A751" w14:textId="77777777" w:rsidR="00952201" w:rsidRPr="0007572B" w:rsidRDefault="00952201" w:rsidP="006F1659">
      <w:pPr>
        <w:pStyle w:val="Heading4bold"/>
        <w:spacing w:line="360" w:lineRule="auto"/>
        <w:rPr>
          <w:lang w:eastAsia="en-GB"/>
        </w:rPr>
      </w:pPr>
      <w:r w:rsidRPr="0007572B">
        <w:rPr>
          <w:lang w:eastAsia="en-GB"/>
        </w:rPr>
        <w:t>Mayoral Police Fund</w:t>
      </w:r>
    </w:p>
    <w:p w14:paraId="42969CA6" w14:textId="0CB0FFE3" w:rsidR="00952201" w:rsidRPr="0007572B" w:rsidRDefault="00952201" w:rsidP="006F1659">
      <w:pPr>
        <w:pStyle w:val="ListParagraph"/>
        <w:numPr>
          <w:ilvl w:val="0"/>
          <w:numId w:val="33"/>
        </w:numPr>
        <w:tabs>
          <w:tab w:val="left" w:pos="945"/>
        </w:tabs>
        <w:spacing w:after="0" w:line="360" w:lineRule="auto"/>
        <w:rPr>
          <w:rFonts w:ascii="Arial" w:hAnsi="Arial" w:cs="Arial"/>
          <w:sz w:val="24"/>
          <w:szCs w:val="24"/>
        </w:rPr>
      </w:pPr>
      <w:r w:rsidRPr="0007572B">
        <w:rPr>
          <w:rFonts w:ascii="Arial" w:hAnsi="Arial" w:cs="Arial"/>
          <w:sz w:val="24"/>
          <w:szCs w:val="24"/>
        </w:rPr>
        <w:t>Insurance Provision - This provision represents the value of an actuarial assessment of the remaining liability for all self-insured claims occurring in 20</w:t>
      </w:r>
      <w:r w:rsidR="009C7061" w:rsidRPr="0007572B">
        <w:rPr>
          <w:rFonts w:ascii="Arial" w:hAnsi="Arial" w:cs="Arial"/>
          <w:sz w:val="24"/>
          <w:szCs w:val="24"/>
        </w:rPr>
        <w:t>2</w:t>
      </w:r>
      <w:r w:rsidR="00302053">
        <w:rPr>
          <w:rFonts w:ascii="Arial" w:hAnsi="Arial" w:cs="Arial"/>
          <w:sz w:val="24"/>
          <w:szCs w:val="24"/>
        </w:rPr>
        <w:t>2</w:t>
      </w:r>
      <w:r w:rsidRPr="0007572B">
        <w:rPr>
          <w:rFonts w:ascii="Arial" w:hAnsi="Arial" w:cs="Arial"/>
          <w:sz w:val="24"/>
          <w:szCs w:val="24"/>
        </w:rPr>
        <w:t>/</w:t>
      </w:r>
      <w:r w:rsidR="000C19CD" w:rsidRPr="0007572B">
        <w:rPr>
          <w:rFonts w:ascii="Arial" w:hAnsi="Arial" w:cs="Arial"/>
          <w:sz w:val="24"/>
          <w:szCs w:val="24"/>
        </w:rPr>
        <w:t>2</w:t>
      </w:r>
      <w:r w:rsidR="00302053">
        <w:rPr>
          <w:rFonts w:ascii="Arial" w:hAnsi="Arial" w:cs="Arial"/>
          <w:sz w:val="24"/>
          <w:szCs w:val="24"/>
        </w:rPr>
        <w:t>3</w:t>
      </w:r>
      <w:r w:rsidRPr="0007572B">
        <w:rPr>
          <w:rFonts w:ascii="Arial" w:hAnsi="Arial" w:cs="Arial"/>
          <w:sz w:val="24"/>
          <w:szCs w:val="24"/>
        </w:rPr>
        <w:t xml:space="preserve">, all prior policy years and a prudent margin added for emerging claim types. </w:t>
      </w:r>
    </w:p>
    <w:p w14:paraId="2704768E" w14:textId="77777777" w:rsidR="00952201" w:rsidRPr="0007572B" w:rsidRDefault="00952201" w:rsidP="006F1659">
      <w:pPr>
        <w:tabs>
          <w:tab w:val="left" w:pos="945"/>
        </w:tabs>
        <w:spacing w:line="360" w:lineRule="auto"/>
        <w:ind w:left="720"/>
        <w:rPr>
          <w:rFonts w:ascii="Arial" w:hAnsi="Arial" w:cs="Arial"/>
          <w:lang w:eastAsia="en-GB"/>
        </w:rPr>
      </w:pPr>
    </w:p>
    <w:p w14:paraId="7144EECA" w14:textId="4BF1C632" w:rsidR="00952201" w:rsidRPr="0007572B" w:rsidRDefault="00952201" w:rsidP="006F1659">
      <w:pPr>
        <w:pStyle w:val="ListParagraph"/>
        <w:numPr>
          <w:ilvl w:val="0"/>
          <w:numId w:val="33"/>
        </w:numPr>
        <w:tabs>
          <w:tab w:val="left" w:pos="945"/>
        </w:tabs>
        <w:spacing w:after="0" w:line="360" w:lineRule="auto"/>
        <w:rPr>
          <w:rFonts w:ascii="Arial" w:hAnsi="Arial" w:cs="Arial"/>
          <w:sz w:val="24"/>
          <w:szCs w:val="24"/>
        </w:rPr>
      </w:pPr>
      <w:r w:rsidRPr="0007572B">
        <w:rPr>
          <w:rFonts w:ascii="Arial" w:hAnsi="Arial" w:cs="Arial"/>
          <w:sz w:val="24"/>
          <w:szCs w:val="24"/>
        </w:rPr>
        <w:t xml:space="preserve">Police Pension Lump Sum Provision - The Pensions Ombudsman determined there was an underpayment of lump sums, to pension scheme members who retired between December 2001 and August 2006. The Ombudsman concluded that </w:t>
      </w:r>
      <w:r w:rsidRPr="0007572B">
        <w:rPr>
          <w:rFonts w:ascii="Arial" w:hAnsi="Arial" w:cs="Arial"/>
          <w:sz w:val="24"/>
          <w:szCs w:val="24"/>
        </w:rPr>
        <w:lastRenderedPageBreak/>
        <w:t>commutation formulas to convert annual pensions payments to lump sums should have been updated between 2001 and 2006 and as a result</w:t>
      </w:r>
      <w:r w:rsidR="00577AA5" w:rsidRPr="0007572B">
        <w:rPr>
          <w:rFonts w:ascii="Arial" w:hAnsi="Arial" w:cs="Arial"/>
          <w:sz w:val="24"/>
          <w:szCs w:val="24"/>
        </w:rPr>
        <w:t>,</w:t>
      </w:r>
      <w:r w:rsidRPr="0007572B">
        <w:rPr>
          <w:rFonts w:ascii="Arial" w:hAnsi="Arial" w:cs="Arial"/>
          <w:sz w:val="24"/>
          <w:szCs w:val="24"/>
        </w:rPr>
        <w:t xml:space="preserve"> additional payments are due to those members who chose to commute pension for lump sum at retirement during these years. </w:t>
      </w:r>
    </w:p>
    <w:p w14:paraId="7C89A6FA" w14:textId="4DBC9B96" w:rsidR="00952201" w:rsidRPr="0007572B" w:rsidRDefault="00952201" w:rsidP="006F1659">
      <w:pPr>
        <w:pStyle w:val="ListParagraph"/>
        <w:tabs>
          <w:tab w:val="left" w:pos="945"/>
        </w:tabs>
        <w:spacing w:after="0" w:line="360" w:lineRule="auto"/>
        <w:rPr>
          <w:rFonts w:ascii="Arial" w:hAnsi="Arial" w:cs="Arial"/>
          <w:sz w:val="24"/>
          <w:szCs w:val="24"/>
        </w:rPr>
      </w:pPr>
    </w:p>
    <w:p w14:paraId="57969E5D" w14:textId="782A1222" w:rsidR="004B42D8" w:rsidRPr="00B7710C" w:rsidRDefault="004D15B7" w:rsidP="006F1659">
      <w:pPr>
        <w:pStyle w:val="ListParagraph"/>
        <w:numPr>
          <w:ilvl w:val="0"/>
          <w:numId w:val="33"/>
        </w:numPr>
        <w:tabs>
          <w:tab w:val="left" w:pos="945"/>
        </w:tabs>
        <w:spacing w:after="0" w:line="360" w:lineRule="auto"/>
        <w:rPr>
          <w:rFonts w:ascii="Arial" w:hAnsi="Arial" w:cs="Arial"/>
        </w:rPr>
        <w:sectPr w:rsidR="004B42D8" w:rsidRPr="00B7710C" w:rsidSect="004833A2">
          <w:pgSz w:w="16838" w:h="11906" w:orient="landscape"/>
          <w:pgMar w:top="1080" w:right="1444" w:bottom="1416" w:left="1276" w:header="568" w:footer="567" w:gutter="0"/>
          <w:cols w:space="708"/>
          <w:docGrid w:linePitch="360"/>
        </w:sectPr>
      </w:pPr>
      <w:r w:rsidRPr="0038082E">
        <w:rPr>
          <w:rFonts w:ascii="Arial" w:hAnsi="Arial" w:cs="Arial"/>
          <w:sz w:val="24"/>
          <w:szCs w:val="24"/>
        </w:rPr>
        <w:t>Capital Project Retentions Provision - This is a provision to hold a percentage of a projects total funding, which is retained during the contractual defects period</w:t>
      </w:r>
    </w:p>
    <w:p w14:paraId="58CC6C5A" w14:textId="7413FCBC" w:rsidR="00081DA7" w:rsidRPr="0007572B" w:rsidRDefault="00884440" w:rsidP="006F1659">
      <w:pPr>
        <w:pStyle w:val="Heading3greennumbered"/>
        <w:spacing w:line="360" w:lineRule="auto"/>
      </w:pPr>
      <w:bookmarkStart w:id="158" w:name="_Toc92894898"/>
      <w:bookmarkStart w:id="159" w:name="_Toc92895202"/>
      <w:bookmarkStart w:id="160" w:name="_Toc109922636"/>
      <w:r w:rsidRPr="0007572B">
        <w:lastRenderedPageBreak/>
        <w:t>2</w:t>
      </w:r>
      <w:r w:rsidR="00A40C51" w:rsidRPr="0007572B">
        <w:t>6</w:t>
      </w:r>
      <w:r w:rsidR="00081DA7" w:rsidRPr="0007572B">
        <w:t xml:space="preserve"> </w:t>
      </w:r>
      <w:r w:rsidR="00CE6A00" w:rsidRPr="0007572B">
        <w:t>Short and Long Term Leases including PFI</w:t>
      </w:r>
      <w:bookmarkEnd w:id="158"/>
      <w:bookmarkEnd w:id="159"/>
      <w:bookmarkEnd w:id="160"/>
    </w:p>
    <w:p w14:paraId="024BDDF5" w14:textId="77777777" w:rsidR="005403AF" w:rsidRPr="005403AF" w:rsidRDefault="005403AF" w:rsidP="006F1659">
      <w:pPr>
        <w:spacing w:line="360" w:lineRule="auto"/>
      </w:pPr>
    </w:p>
    <w:p w14:paraId="181A5C42" w14:textId="0C10F9CD" w:rsidR="00CE020E" w:rsidRPr="00D06C3B" w:rsidRDefault="00CE020E" w:rsidP="006F1659">
      <w:pPr>
        <w:pStyle w:val="Heading4bold"/>
        <w:spacing w:line="360" w:lineRule="auto"/>
      </w:pPr>
      <w:r w:rsidRPr="00D06C3B">
        <w:t xml:space="preserve">Fire Station </w:t>
      </w:r>
    </w:p>
    <w:p w14:paraId="51C60325" w14:textId="43AC1C28" w:rsidR="00C676C5" w:rsidRPr="00D06C3B" w:rsidRDefault="00C676C5" w:rsidP="006F1659">
      <w:pPr>
        <w:spacing w:line="360" w:lineRule="auto"/>
        <w:rPr>
          <w:rFonts w:ascii="Arial" w:hAnsi="Arial" w:cs="Arial"/>
        </w:rPr>
      </w:pPr>
      <w:r w:rsidRPr="00D06C3B">
        <w:rPr>
          <w:rFonts w:ascii="Arial" w:hAnsi="Arial" w:cs="Arial"/>
        </w:rPr>
        <w:t>20</w:t>
      </w:r>
      <w:r w:rsidR="00451E80" w:rsidRPr="00D06C3B">
        <w:rPr>
          <w:rFonts w:ascii="Arial" w:hAnsi="Arial" w:cs="Arial"/>
        </w:rPr>
        <w:t>2</w:t>
      </w:r>
      <w:r w:rsidR="00D06C3B" w:rsidRPr="00D06C3B">
        <w:rPr>
          <w:rFonts w:ascii="Arial" w:hAnsi="Arial" w:cs="Arial"/>
        </w:rPr>
        <w:t>2</w:t>
      </w:r>
      <w:r w:rsidRPr="00D06C3B">
        <w:rPr>
          <w:rFonts w:ascii="Arial" w:hAnsi="Arial" w:cs="Arial"/>
        </w:rPr>
        <w:t>/2</w:t>
      </w:r>
      <w:r w:rsidR="00D06C3B" w:rsidRPr="00D06C3B">
        <w:rPr>
          <w:rFonts w:ascii="Arial" w:hAnsi="Arial" w:cs="Arial"/>
        </w:rPr>
        <w:t>3</w:t>
      </w:r>
      <w:r w:rsidRPr="00D06C3B">
        <w:rPr>
          <w:rFonts w:ascii="Arial" w:hAnsi="Arial" w:cs="Arial"/>
        </w:rPr>
        <w:t xml:space="preserve"> was the twenty </w:t>
      </w:r>
      <w:r w:rsidR="00D06C3B" w:rsidRPr="00D06C3B">
        <w:rPr>
          <w:rFonts w:ascii="Arial" w:hAnsi="Arial" w:cs="Arial"/>
        </w:rPr>
        <w:t>third</w:t>
      </w:r>
      <w:r w:rsidRPr="00D06C3B">
        <w:rPr>
          <w:rFonts w:ascii="Arial" w:hAnsi="Arial" w:cs="Arial"/>
        </w:rPr>
        <w:t xml:space="preserve"> year of a 25</w:t>
      </w:r>
      <w:r w:rsidR="00542C78">
        <w:rPr>
          <w:rFonts w:ascii="Arial" w:hAnsi="Arial" w:cs="Arial"/>
        </w:rPr>
        <w:t>-</w:t>
      </w:r>
      <w:r w:rsidRPr="00D06C3B">
        <w:rPr>
          <w:rFonts w:ascii="Arial" w:hAnsi="Arial" w:cs="Arial"/>
        </w:rPr>
        <w:t xml:space="preserve">year PFI contract (ending October 2024) for the construction, maintenance and provision of a Fire Station at Stretford, along with associated equipment. </w:t>
      </w:r>
    </w:p>
    <w:p w14:paraId="209FE44F" w14:textId="77777777" w:rsidR="00C676C5" w:rsidRPr="00D06C3B" w:rsidRDefault="00C676C5" w:rsidP="006F1659">
      <w:pPr>
        <w:spacing w:line="360" w:lineRule="auto"/>
        <w:rPr>
          <w:rFonts w:ascii="Arial" w:hAnsi="Arial" w:cs="Arial"/>
        </w:rPr>
      </w:pPr>
    </w:p>
    <w:p w14:paraId="3473953C" w14:textId="1F00E589" w:rsidR="00C676C5" w:rsidRPr="00D06C3B" w:rsidRDefault="00C676C5" w:rsidP="006F1659">
      <w:pPr>
        <w:spacing w:line="360" w:lineRule="auto"/>
        <w:rPr>
          <w:rFonts w:ascii="Arial" w:hAnsi="Arial" w:cs="Arial"/>
        </w:rPr>
      </w:pPr>
      <w:r w:rsidRPr="00D06C3B">
        <w:rPr>
          <w:rFonts w:ascii="Arial" w:hAnsi="Arial" w:cs="Arial"/>
        </w:rPr>
        <w:t>The contract specifies minimum standards for the services to be provided by the contractor, with deductions from the fee payable being made if facilities are unavailable or performance is below the minimum standards. The building and equipment will be transferred to the Authority at the end of the 25</w:t>
      </w:r>
      <w:r w:rsidR="00542C78">
        <w:rPr>
          <w:rFonts w:ascii="Arial" w:hAnsi="Arial" w:cs="Arial"/>
        </w:rPr>
        <w:t>-</w:t>
      </w:r>
      <w:r w:rsidRPr="00D06C3B">
        <w:rPr>
          <w:rFonts w:ascii="Arial" w:hAnsi="Arial" w:cs="Arial"/>
        </w:rPr>
        <w:t xml:space="preserve">year contract at nil value. </w:t>
      </w:r>
    </w:p>
    <w:p w14:paraId="7690EAAD" w14:textId="77777777" w:rsidR="00C676C5" w:rsidRPr="00D06C3B" w:rsidRDefault="00C676C5" w:rsidP="006F1659">
      <w:pPr>
        <w:spacing w:line="360" w:lineRule="auto"/>
        <w:rPr>
          <w:rFonts w:ascii="Arial" w:hAnsi="Arial" w:cs="Arial"/>
        </w:rPr>
      </w:pPr>
    </w:p>
    <w:p w14:paraId="5130DCC3" w14:textId="5A5F39DC" w:rsidR="00C676C5" w:rsidRPr="00D06C3B" w:rsidRDefault="00C676C5" w:rsidP="006F1659">
      <w:pPr>
        <w:spacing w:line="360" w:lineRule="auto"/>
        <w:rPr>
          <w:rFonts w:ascii="Arial" w:hAnsi="Arial" w:cs="Arial"/>
        </w:rPr>
      </w:pPr>
      <w:r w:rsidRPr="00D06C3B">
        <w:rPr>
          <w:rFonts w:ascii="Arial" w:hAnsi="Arial" w:cs="Arial"/>
        </w:rPr>
        <w:t>Over the remaining term of the contract, the Authority is committed to making gross payments of £</w:t>
      </w:r>
      <w:r w:rsidR="00D871C0" w:rsidRPr="00D06C3B">
        <w:rPr>
          <w:rFonts w:ascii="Arial" w:hAnsi="Arial" w:cs="Arial"/>
        </w:rPr>
        <w:t>1</w:t>
      </w:r>
      <w:r w:rsidR="00AD41B8" w:rsidRPr="00D06C3B">
        <w:rPr>
          <w:rFonts w:ascii="Arial" w:hAnsi="Arial" w:cs="Arial"/>
        </w:rPr>
        <w:t>.</w:t>
      </w:r>
      <w:r w:rsidR="00D06C3B" w:rsidRPr="00D06C3B">
        <w:rPr>
          <w:rFonts w:ascii="Arial" w:hAnsi="Arial" w:cs="Arial"/>
        </w:rPr>
        <w:t>175</w:t>
      </w:r>
      <w:r w:rsidRPr="00D06C3B">
        <w:rPr>
          <w:rFonts w:ascii="Arial" w:hAnsi="Arial" w:cs="Arial"/>
        </w:rPr>
        <w:t>m (average payment per year is £0.7</w:t>
      </w:r>
      <w:r w:rsidR="00D06C3B" w:rsidRPr="00D06C3B">
        <w:rPr>
          <w:rFonts w:ascii="Arial" w:hAnsi="Arial" w:cs="Arial"/>
        </w:rPr>
        <w:t>4</w:t>
      </w:r>
      <w:r w:rsidR="00D871C0" w:rsidRPr="00D06C3B">
        <w:rPr>
          <w:rFonts w:ascii="Arial" w:hAnsi="Arial" w:cs="Arial"/>
        </w:rPr>
        <w:t>3</w:t>
      </w:r>
      <w:r w:rsidRPr="00D06C3B">
        <w:rPr>
          <w:rFonts w:ascii="Arial" w:hAnsi="Arial" w:cs="Arial"/>
        </w:rPr>
        <w:t>m). However, the net cost to the Authority after income from specific government grant is estimated at £</w:t>
      </w:r>
      <w:r w:rsidR="00AD41B8" w:rsidRPr="00D06C3B">
        <w:rPr>
          <w:rFonts w:ascii="Arial" w:hAnsi="Arial" w:cs="Arial"/>
        </w:rPr>
        <w:t>0.</w:t>
      </w:r>
      <w:r w:rsidR="00D06C3B" w:rsidRPr="00D06C3B">
        <w:rPr>
          <w:rFonts w:ascii="Arial" w:hAnsi="Arial" w:cs="Arial"/>
        </w:rPr>
        <w:t>384</w:t>
      </w:r>
      <w:r w:rsidRPr="00D06C3B">
        <w:rPr>
          <w:rFonts w:ascii="Arial" w:hAnsi="Arial" w:cs="Arial"/>
        </w:rPr>
        <w:t>m (average payment per year is £0.2</w:t>
      </w:r>
      <w:r w:rsidR="00AD41B8" w:rsidRPr="00D06C3B">
        <w:rPr>
          <w:rFonts w:ascii="Arial" w:hAnsi="Arial" w:cs="Arial"/>
        </w:rPr>
        <w:t>4</w:t>
      </w:r>
      <w:r w:rsidR="00D06C3B" w:rsidRPr="00D06C3B">
        <w:rPr>
          <w:rFonts w:ascii="Arial" w:hAnsi="Arial" w:cs="Arial"/>
        </w:rPr>
        <w:t>3</w:t>
      </w:r>
      <w:r w:rsidRPr="00D06C3B">
        <w:rPr>
          <w:rFonts w:ascii="Arial" w:hAnsi="Arial" w:cs="Arial"/>
        </w:rPr>
        <w:t xml:space="preserve">m). </w:t>
      </w:r>
    </w:p>
    <w:p w14:paraId="206CAFB7" w14:textId="77777777" w:rsidR="005403AF" w:rsidRPr="00D06C3B" w:rsidRDefault="005403AF" w:rsidP="006F1659">
      <w:pPr>
        <w:spacing w:line="360" w:lineRule="auto"/>
        <w:rPr>
          <w:rFonts w:ascii="Arial" w:hAnsi="Arial" w:cs="Arial"/>
        </w:rPr>
      </w:pPr>
    </w:p>
    <w:p w14:paraId="15248154" w14:textId="77777777" w:rsidR="00CE020E" w:rsidRPr="00D06C3B" w:rsidRDefault="00CE020E" w:rsidP="006F1659">
      <w:pPr>
        <w:pStyle w:val="Heading4bold"/>
        <w:spacing w:line="360" w:lineRule="auto"/>
      </w:pPr>
      <w:r w:rsidRPr="00D06C3B">
        <w:t xml:space="preserve">Police Stations </w:t>
      </w:r>
    </w:p>
    <w:p w14:paraId="442951FC" w14:textId="214AB89B" w:rsidR="00C676C5" w:rsidRPr="00D06C3B" w:rsidRDefault="00C676C5" w:rsidP="006F1659">
      <w:pPr>
        <w:spacing w:line="360" w:lineRule="auto"/>
        <w:rPr>
          <w:rFonts w:ascii="Arial" w:hAnsi="Arial" w:cs="Arial"/>
        </w:rPr>
      </w:pPr>
      <w:r w:rsidRPr="00D06C3B">
        <w:rPr>
          <w:rFonts w:ascii="Arial" w:hAnsi="Arial" w:cs="Arial"/>
        </w:rPr>
        <w:t>20</w:t>
      </w:r>
      <w:r w:rsidR="00451E80" w:rsidRPr="00D06C3B">
        <w:rPr>
          <w:rFonts w:ascii="Arial" w:hAnsi="Arial" w:cs="Arial"/>
        </w:rPr>
        <w:t>2</w:t>
      </w:r>
      <w:r w:rsidR="00D06C3B" w:rsidRPr="00D06C3B">
        <w:rPr>
          <w:rFonts w:ascii="Arial" w:hAnsi="Arial" w:cs="Arial"/>
        </w:rPr>
        <w:t>2</w:t>
      </w:r>
      <w:r w:rsidRPr="00D06C3B">
        <w:rPr>
          <w:rFonts w:ascii="Arial" w:hAnsi="Arial" w:cs="Arial"/>
        </w:rPr>
        <w:t>/2</w:t>
      </w:r>
      <w:r w:rsidR="00D06C3B" w:rsidRPr="00D06C3B">
        <w:rPr>
          <w:rFonts w:ascii="Arial" w:hAnsi="Arial" w:cs="Arial"/>
        </w:rPr>
        <w:t>3</w:t>
      </w:r>
      <w:r w:rsidRPr="00D06C3B">
        <w:rPr>
          <w:rFonts w:ascii="Arial" w:hAnsi="Arial" w:cs="Arial"/>
        </w:rPr>
        <w:t xml:space="preserve"> was the </w:t>
      </w:r>
      <w:r w:rsidR="00D06C3B" w:rsidRPr="00D06C3B">
        <w:rPr>
          <w:rFonts w:ascii="Arial" w:hAnsi="Arial" w:cs="Arial"/>
        </w:rPr>
        <w:t>twentieth</w:t>
      </w:r>
      <w:r w:rsidRPr="00D06C3B">
        <w:rPr>
          <w:rFonts w:ascii="Arial" w:hAnsi="Arial" w:cs="Arial"/>
        </w:rPr>
        <w:t xml:space="preserve"> year of a Private Finance Initiativ</w:t>
      </w:r>
      <w:r w:rsidR="00A6759A" w:rsidRPr="00D06C3B">
        <w:rPr>
          <w:rFonts w:ascii="Arial" w:hAnsi="Arial" w:cs="Arial"/>
        </w:rPr>
        <w:t>e (PFI) contract (ending in 2030</w:t>
      </w:r>
      <w:r w:rsidRPr="00D06C3B">
        <w:rPr>
          <w:rFonts w:ascii="Arial" w:hAnsi="Arial" w:cs="Arial"/>
        </w:rPr>
        <w:t xml:space="preserve">) for the construction and maintenance of </w:t>
      </w:r>
      <w:r w:rsidR="00D06C3B" w:rsidRPr="00D06C3B">
        <w:rPr>
          <w:rFonts w:ascii="Arial" w:hAnsi="Arial" w:cs="Arial"/>
        </w:rPr>
        <w:t>17</w:t>
      </w:r>
      <w:r w:rsidRPr="00D06C3B">
        <w:rPr>
          <w:rFonts w:ascii="Arial" w:hAnsi="Arial" w:cs="Arial"/>
        </w:rPr>
        <w:t xml:space="preserve"> Police stations across the </w:t>
      </w:r>
      <w:r w:rsidR="00CA750E" w:rsidRPr="00D06C3B">
        <w:rPr>
          <w:rFonts w:ascii="Arial" w:hAnsi="Arial" w:cs="Arial"/>
        </w:rPr>
        <w:t>GM</w:t>
      </w:r>
      <w:r w:rsidRPr="00D06C3B">
        <w:rPr>
          <w:rFonts w:ascii="Arial" w:hAnsi="Arial" w:cs="Arial"/>
        </w:rPr>
        <w:t xml:space="preserve"> area. The contractor will operate and service the stations for </w:t>
      </w:r>
      <w:r w:rsidR="00D06C3B" w:rsidRPr="00D06C3B">
        <w:rPr>
          <w:rFonts w:ascii="Arial" w:hAnsi="Arial" w:cs="Arial"/>
        </w:rPr>
        <w:t>25</w:t>
      </w:r>
      <w:r w:rsidRPr="00D06C3B">
        <w:rPr>
          <w:rFonts w:ascii="Arial" w:hAnsi="Arial" w:cs="Arial"/>
        </w:rPr>
        <w:t xml:space="preserve"> years after which ownership will revert to the Authority, to be held on behalf of the Mayor, for nil consideration. </w:t>
      </w:r>
    </w:p>
    <w:p w14:paraId="0382C8E5" w14:textId="77777777" w:rsidR="00CE020E" w:rsidRPr="00D06C3B" w:rsidRDefault="00CE020E" w:rsidP="006F1659">
      <w:pPr>
        <w:spacing w:line="360" w:lineRule="auto"/>
        <w:rPr>
          <w:rFonts w:ascii="Arial" w:hAnsi="Arial" w:cs="Arial"/>
        </w:rPr>
      </w:pPr>
    </w:p>
    <w:p w14:paraId="2DA25620" w14:textId="19DD7A77" w:rsidR="00C676C5" w:rsidRDefault="00C676C5" w:rsidP="006F1659">
      <w:pPr>
        <w:spacing w:line="360" w:lineRule="auto"/>
        <w:rPr>
          <w:rFonts w:ascii="Arial" w:hAnsi="Arial" w:cs="Arial"/>
        </w:rPr>
      </w:pPr>
      <w:r w:rsidRPr="00D06C3B">
        <w:rPr>
          <w:rFonts w:ascii="Arial" w:hAnsi="Arial" w:cs="Arial"/>
        </w:rPr>
        <w:t>Over the remaining term of the contract, the Authority is committed to making gross payments of £</w:t>
      </w:r>
      <w:r w:rsidR="00AD41B8" w:rsidRPr="00D06C3B">
        <w:rPr>
          <w:rFonts w:ascii="Arial" w:hAnsi="Arial" w:cs="Arial"/>
        </w:rPr>
        <w:t>1</w:t>
      </w:r>
      <w:r w:rsidR="00285F28" w:rsidRPr="00D06C3B">
        <w:rPr>
          <w:rFonts w:ascii="Arial" w:hAnsi="Arial" w:cs="Arial"/>
        </w:rPr>
        <w:t>2</w:t>
      </w:r>
      <w:r w:rsidR="00D06C3B" w:rsidRPr="00D06C3B">
        <w:rPr>
          <w:rFonts w:ascii="Arial" w:hAnsi="Arial" w:cs="Arial"/>
        </w:rPr>
        <w:t>5</w:t>
      </w:r>
      <w:r w:rsidR="00AD41B8" w:rsidRPr="00D06C3B">
        <w:rPr>
          <w:rFonts w:ascii="Arial" w:hAnsi="Arial" w:cs="Arial"/>
        </w:rPr>
        <w:t>.</w:t>
      </w:r>
      <w:r w:rsidR="00D06C3B" w:rsidRPr="00D06C3B">
        <w:rPr>
          <w:rFonts w:ascii="Arial" w:hAnsi="Arial" w:cs="Arial"/>
        </w:rPr>
        <w:t>227</w:t>
      </w:r>
      <w:r w:rsidRPr="00D06C3B">
        <w:rPr>
          <w:rFonts w:ascii="Arial" w:hAnsi="Arial" w:cs="Arial"/>
        </w:rPr>
        <w:t>m (average payment per year is £1</w:t>
      </w:r>
      <w:r w:rsidR="00D06C3B" w:rsidRPr="00D06C3B">
        <w:rPr>
          <w:rFonts w:ascii="Arial" w:hAnsi="Arial" w:cs="Arial"/>
        </w:rPr>
        <w:t>7</w:t>
      </w:r>
      <w:r w:rsidRPr="00D06C3B">
        <w:rPr>
          <w:rFonts w:ascii="Arial" w:hAnsi="Arial" w:cs="Arial"/>
        </w:rPr>
        <w:t>.</w:t>
      </w:r>
      <w:r w:rsidR="00D06C3B" w:rsidRPr="00D06C3B">
        <w:rPr>
          <w:rFonts w:ascii="Arial" w:hAnsi="Arial" w:cs="Arial"/>
        </w:rPr>
        <w:t>890</w:t>
      </w:r>
      <w:r w:rsidRPr="00D06C3B">
        <w:rPr>
          <w:rFonts w:ascii="Arial" w:hAnsi="Arial" w:cs="Arial"/>
        </w:rPr>
        <w:t>m). However, the net cost to the Authority after income from specific government grant is estimated at £</w:t>
      </w:r>
      <w:r w:rsidR="00285F28" w:rsidRPr="00D06C3B">
        <w:rPr>
          <w:rFonts w:ascii="Arial" w:hAnsi="Arial" w:cs="Arial"/>
        </w:rPr>
        <w:t>8</w:t>
      </w:r>
      <w:r w:rsidR="00D06C3B" w:rsidRPr="00D06C3B">
        <w:rPr>
          <w:rFonts w:ascii="Arial" w:hAnsi="Arial" w:cs="Arial"/>
        </w:rPr>
        <w:t>8</w:t>
      </w:r>
      <w:r w:rsidRPr="00D06C3B">
        <w:rPr>
          <w:rFonts w:ascii="Arial" w:hAnsi="Arial" w:cs="Arial"/>
        </w:rPr>
        <w:t>.</w:t>
      </w:r>
      <w:r w:rsidR="00285F28" w:rsidRPr="00D06C3B">
        <w:rPr>
          <w:rFonts w:ascii="Arial" w:hAnsi="Arial" w:cs="Arial"/>
        </w:rPr>
        <w:t>0</w:t>
      </w:r>
      <w:r w:rsidR="00D06C3B" w:rsidRPr="00D06C3B">
        <w:rPr>
          <w:rFonts w:ascii="Arial" w:hAnsi="Arial" w:cs="Arial"/>
        </w:rPr>
        <w:t>22</w:t>
      </w:r>
      <w:r w:rsidRPr="00D06C3B">
        <w:rPr>
          <w:rFonts w:ascii="Arial" w:hAnsi="Arial" w:cs="Arial"/>
        </w:rPr>
        <w:t>m (average payment per year is £1</w:t>
      </w:r>
      <w:r w:rsidR="00D06C3B" w:rsidRPr="00D06C3B">
        <w:rPr>
          <w:rFonts w:ascii="Arial" w:hAnsi="Arial" w:cs="Arial"/>
        </w:rPr>
        <w:t>2</w:t>
      </w:r>
      <w:r w:rsidRPr="00D06C3B">
        <w:rPr>
          <w:rFonts w:ascii="Arial" w:hAnsi="Arial" w:cs="Arial"/>
        </w:rPr>
        <w:t>.</w:t>
      </w:r>
      <w:r w:rsidR="00D06C3B" w:rsidRPr="00D06C3B">
        <w:rPr>
          <w:rFonts w:ascii="Arial" w:hAnsi="Arial" w:cs="Arial"/>
        </w:rPr>
        <w:t>575</w:t>
      </w:r>
      <w:r w:rsidRPr="00D06C3B">
        <w:rPr>
          <w:rFonts w:ascii="Arial" w:hAnsi="Arial" w:cs="Arial"/>
        </w:rPr>
        <w:t>m).</w:t>
      </w:r>
      <w:r w:rsidRPr="0007572B">
        <w:rPr>
          <w:rFonts w:ascii="Arial" w:hAnsi="Arial" w:cs="Arial"/>
        </w:rPr>
        <w:t xml:space="preserve"> </w:t>
      </w:r>
    </w:p>
    <w:p w14:paraId="795F9CB8" w14:textId="77777777" w:rsidR="005403AF" w:rsidRPr="0007572B" w:rsidRDefault="005403AF" w:rsidP="006F1659">
      <w:pPr>
        <w:spacing w:line="360" w:lineRule="auto"/>
        <w:rPr>
          <w:rFonts w:ascii="Arial" w:hAnsi="Arial" w:cs="Arial"/>
        </w:rPr>
      </w:pPr>
    </w:p>
    <w:p w14:paraId="5CC46780" w14:textId="77777777" w:rsidR="00CE020E" w:rsidRPr="0007572B" w:rsidRDefault="00CE020E" w:rsidP="006F1659">
      <w:pPr>
        <w:pStyle w:val="Heading4bold"/>
        <w:spacing w:line="360" w:lineRule="auto"/>
      </w:pPr>
      <w:r w:rsidRPr="0007572B">
        <w:t>Property Plant and Equipment</w:t>
      </w:r>
    </w:p>
    <w:p w14:paraId="75C383F8" w14:textId="640C4138" w:rsidR="00CE020E" w:rsidRDefault="00CE020E" w:rsidP="006F1659">
      <w:pPr>
        <w:spacing w:line="360" w:lineRule="auto"/>
        <w:rPr>
          <w:rFonts w:ascii="Arial" w:hAnsi="Arial" w:cs="Arial"/>
        </w:rPr>
      </w:pPr>
      <w:r w:rsidRPr="0007572B">
        <w:rPr>
          <w:rFonts w:ascii="Arial" w:hAnsi="Arial" w:cs="Arial"/>
        </w:rPr>
        <w:t xml:space="preserve">The Stations and Equipment provided under the contracts are recognised on the Authority's Balance Sheet. Movements in their value over the year are detailed in the </w:t>
      </w:r>
      <w:r w:rsidRPr="0007572B">
        <w:rPr>
          <w:rFonts w:ascii="Arial" w:hAnsi="Arial" w:cs="Arial"/>
        </w:rPr>
        <w:lastRenderedPageBreak/>
        <w:t>analysis of the movement on the Property Plant and Equipment balance in the notes to the Balance Sheet.</w:t>
      </w:r>
    </w:p>
    <w:p w14:paraId="452EDD48" w14:textId="77777777" w:rsidR="005403AF" w:rsidRPr="0007572B" w:rsidRDefault="005403AF" w:rsidP="006F1659">
      <w:pPr>
        <w:spacing w:line="360" w:lineRule="auto"/>
        <w:rPr>
          <w:rFonts w:ascii="Arial" w:hAnsi="Arial" w:cs="Arial"/>
        </w:rPr>
      </w:pPr>
    </w:p>
    <w:p w14:paraId="7A6A2AE8" w14:textId="77777777" w:rsidR="00CE020E" w:rsidRPr="0007572B" w:rsidRDefault="00CE020E" w:rsidP="006F1659">
      <w:pPr>
        <w:pStyle w:val="Heading4bold"/>
        <w:spacing w:line="360" w:lineRule="auto"/>
      </w:pPr>
      <w:r w:rsidRPr="0007572B">
        <w:t>Outstanding Liability</w:t>
      </w:r>
    </w:p>
    <w:p w14:paraId="19DE763E" w14:textId="55AF7919" w:rsidR="004F5004" w:rsidRDefault="00CE020E" w:rsidP="006F1659">
      <w:pPr>
        <w:spacing w:line="360" w:lineRule="auto"/>
        <w:rPr>
          <w:rFonts w:ascii="Arial" w:hAnsi="Arial" w:cs="Arial"/>
        </w:rPr>
      </w:pPr>
      <w:r w:rsidRPr="0007572B">
        <w:rPr>
          <w:rFonts w:ascii="Arial" w:hAnsi="Arial" w:cs="Arial"/>
        </w:rPr>
        <w:t xml:space="preserve">The PFI liability represents the </w:t>
      </w:r>
      <w:r w:rsidR="007512FA" w:rsidRPr="0007572B">
        <w:rPr>
          <w:rFonts w:ascii="Arial" w:hAnsi="Arial" w:cs="Arial"/>
        </w:rPr>
        <w:t xml:space="preserve">current </w:t>
      </w:r>
      <w:r w:rsidRPr="0007572B">
        <w:rPr>
          <w:rFonts w:ascii="Arial" w:hAnsi="Arial" w:cs="Arial"/>
        </w:rPr>
        <w:t>outstanding long term liability to the contr</w:t>
      </w:r>
      <w:r w:rsidR="00CE7425" w:rsidRPr="0007572B">
        <w:rPr>
          <w:rFonts w:ascii="Arial" w:hAnsi="Arial" w:cs="Arial"/>
        </w:rPr>
        <w:t xml:space="preserve">actor for capital expenditure. </w:t>
      </w:r>
      <w:r w:rsidR="00285F28">
        <w:rPr>
          <w:rFonts w:ascii="Arial" w:hAnsi="Arial" w:cs="Arial"/>
        </w:rPr>
        <w:t xml:space="preserve">A fair value disclosure has also been provided for the PFI liabilities in the Financial Instruments note. </w:t>
      </w:r>
      <w:r w:rsidRPr="0007572B">
        <w:rPr>
          <w:rFonts w:ascii="Arial" w:hAnsi="Arial" w:cs="Arial"/>
        </w:rPr>
        <w:t xml:space="preserve">The </w:t>
      </w:r>
      <w:r w:rsidR="007512FA" w:rsidRPr="0007572B">
        <w:rPr>
          <w:rFonts w:ascii="Arial" w:hAnsi="Arial" w:cs="Arial"/>
        </w:rPr>
        <w:t xml:space="preserve">current </w:t>
      </w:r>
      <w:r w:rsidRPr="0007572B">
        <w:rPr>
          <w:rFonts w:ascii="Arial" w:hAnsi="Arial" w:cs="Arial"/>
        </w:rPr>
        <w:t>value of the liability held under each PFI arrangement is as follows:</w:t>
      </w:r>
    </w:p>
    <w:p w14:paraId="6D8258B6" w14:textId="77777777" w:rsidR="00542C78" w:rsidRPr="0007572B" w:rsidRDefault="00542C78" w:rsidP="006F1659">
      <w:pPr>
        <w:spacing w:line="360" w:lineRule="auto"/>
        <w:rPr>
          <w:rFonts w:ascii="Arial" w:hAnsi="Arial" w:cs="Arial"/>
        </w:rPr>
      </w:pPr>
    </w:p>
    <w:p w14:paraId="0D4EAC59" w14:textId="24825EF7" w:rsidR="00451E80" w:rsidRPr="0007572B" w:rsidRDefault="00542C78" w:rsidP="006F1659">
      <w:pPr>
        <w:spacing w:line="360" w:lineRule="auto"/>
        <w:rPr>
          <w:rFonts w:ascii="Arial" w:hAnsi="Arial" w:cs="Arial"/>
        </w:rPr>
      </w:pPr>
      <w:r>
        <w:rPr>
          <w:rFonts w:ascii="Arial" w:hAnsi="Arial" w:cs="Arial"/>
        </w:rPr>
        <w:t>2022/23:</w:t>
      </w:r>
    </w:p>
    <w:p w14:paraId="16FBEE10" w14:textId="5A26B7B0" w:rsidR="00D06C3B" w:rsidRDefault="00B07451" w:rsidP="006F1659">
      <w:pPr>
        <w:spacing w:line="360" w:lineRule="auto"/>
        <w:rPr>
          <w:rFonts w:ascii="Arial" w:hAnsi="Arial" w:cs="Arial"/>
        </w:rPr>
      </w:pPr>
      <w:r w:rsidRPr="00B07451">
        <w:rPr>
          <w:noProof/>
        </w:rPr>
        <w:drawing>
          <wp:inline distT="0" distB="0" distL="0" distR="0" wp14:anchorId="498BCCEF" wp14:editId="4013FEE7">
            <wp:extent cx="5473065" cy="77089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73065" cy="770890"/>
                    </a:xfrm>
                    <a:prstGeom prst="rect">
                      <a:avLst/>
                    </a:prstGeom>
                    <a:noFill/>
                    <a:ln>
                      <a:noFill/>
                    </a:ln>
                  </pic:spPr>
                </pic:pic>
              </a:graphicData>
            </a:graphic>
          </wp:inline>
        </w:drawing>
      </w:r>
    </w:p>
    <w:p w14:paraId="775C3889" w14:textId="7C4A3FF5" w:rsidR="00302053" w:rsidRDefault="00302053" w:rsidP="006F1659">
      <w:pPr>
        <w:spacing w:line="360" w:lineRule="auto"/>
        <w:rPr>
          <w:rFonts w:ascii="Arial" w:hAnsi="Arial" w:cs="Arial"/>
        </w:rPr>
      </w:pPr>
    </w:p>
    <w:p w14:paraId="78433FFC" w14:textId="77777777" w:rsidR="00B7710C" w:rsidRDefault="00B7710C" w:rsidP="006F1659">
      <w:pPr>
        <w:spacing w:line="360" w:lineRule="auto"/>
        <w:rPr>
          <w:rFonts w:ascii="Arial" w:hAnsi="Arial" w:cs="Arial"/>
        </w:rPr>
      </w:pPr>
    </w:p>
    <w:p w14:paraId="042F682F" w14:textId="0106ADB9" w:rsidR="00542C78" w:rsidRDefault="00542C78" w:rsidP="006F1659">
      <w:pPr>
        <w:spacing w:line="360" w:lineRule="auto"/>
        <w:rPr>
          <w:rFonts w:ascii="Arial" w:hAnsi="Arial" w:cs="Arial"/>
        </w:rPr>
      </w:pPr>
      <w:r>
        <w:rPr>
          <w:rFonts w:ascii="Arial" w:hAnsi="Arial" w:cs="Arial"/>
        </w:rPr>
        <w:t>2021/2</w:t>
      </w:r>
      <w:r w:rsidR="00366EB7">
        <w:rPr>
          <w:rFonts w:ascii="Arial" w:hAnsi="Arial" w:cs="Arial"/>
        </w:rPr>
        <w:t>2</w:t>
      </w:r>
      <w:r>
        <w:rPr>
          <w:rFonts w:ascii="Arial" w:hAnsi="Arial" w:cs="Arial"/>
        </w:rPr>
        <w:t>:</w:t>
      </w:r>
    </w:p>
    <w:p w14:paraId="3563716E" w14:textId="0688E7EF" w:rsidR="00302053" w:rsidRDefault="00542C78" w:rsidP="006F1659">
      <w:pPr>
        <w:spacing w:line="360" w:lineRule="auto"/>
        <w:rPr>
          <w:rFonts w:ascii="Arial" w:hAnsi="Arial" w:cs="Arial"/>
        </w:rPr>
      </w:pPr>
      <w:r w:rsidRPr="00542C78">
        <w:rPr>
          <w:noProof/>
        </w:rPr>
        <w:drawing>
          <wp:inline distT="0" distB="0" distL="0" distR="0" wp14:anchorId="1E937D68" wp14:editId="701591D7">
            <wp:extent cx="5473065" cy="7708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73065" cy="770890"/>
                    </a:xfrm>
                    <a:prstGeom prst="rect">
                      <a:avLst/>
                    </a:prstGeom>
                    <a:noFill/>
                    <a:ln>
                      <a:noFill/>
                    </a:ln>
                  </pic:spPr>
                </pic:pic>
              </a:graphicData>
            </a:graphic>
          </wp:inline>
        </w:drawing>
      </w:r>
    </w:p>
    <w:p w14:paraId="3D3324D1" w14:textId="77777777" w:rsidR="00542C78" w:rsidRDefault="00542C78" w:rsidP="006F1659">
      <w:pPr>
        <w:spacing w:line="360" w:lineRule="auto"/>
        <w:rPr>
          <w:rFonts w:ascii="Arial" w:hAnsi="Arial" w:cs="Arial"/>
        </w:rPr>
      </w:pPr>
    </w:p>
    <w:p w14:paraId="7484BD8C" w14:textId="35679742" w:rsidR="00302053" w:rsidRPr="0007572B" w:rsidRDefault="00302053" w:rsidP="006F1659">
      <w:pPr>
        <w:spacing w:line="360" w:lineRule="auto"/>
        <w:rPr>
          <w:rFonts w:ascii="Arial" w:hAnsi="Arial" w:cs="Arial"/>
        </w:rPr>
      </w:pPr>
    </w:p>
    <w:p w14:paraId="0C4111E1" w14:textId="77777777" w:rsidR="00CE020E" w:rsidRPr="0007572B" w:rsidRDefault="00CE020E" w:rsidP="006F1659">
      <w:pPr>
        <w:pStyle w:val="Heading4bold"/>
        <w:spacing w:line="360" w:lineRule="auto"/>
      </w:pPr>
      <w:r w:rsidRPr="0007572B">
        <w:t>Central Government Grant Subsidy</w:t>
      </w:r>
    </w:p>
    <w:p w14:paraId="3757ABFF" w14:textId="535554A5" w:rsidR="00CE020E" w:rsidRDefault="00CE020E" w:rsidP="006F1659">
      <w:pPr>
        <w:spacing w:line="360" w:lineRule="auto"/>
        <w:rPr>
          <w:rFonts w:ascii="Arial" w:hAnsi="Arial" w:cs="Arial"/>
        </w:rPr>
      </w:pPr>
      <w:r w:rsidRPr="0007572B">
        <w:rPr>
          <w:rFonts w:ascii="Arial" w:hAnsi="Arial" w:cs="Arial"/>
        </w:rPr>
        <w:t>The grant received in the form of Central Government Subsidy to partly offset the cost of each PFI is credited to revenue accounts in the year of receipt.</w:t>
      </w:r>
    </w:p>
    <w:p w14:paraId="0B9D0F18" w14:textId="77777777" w:rsidR="00D4492C" w:rsidRPr="0007572B" w:rsidRDefault="00D4492C" w:rsidP="006F1659">
      <w:pPr>
        <w:spacing w:line="360" w:lineRule="auto"/>
        <w:rPr>
          <w:rFonts w:ascii="Arial" w:hAnsi="Arial" w:cs="Arial"/>
        </w:rPr>
      </w:pPr>
    </w:p>
    <w:p w14:paraId="49D5E234" w14:textId="210F4E78" w:rsidR="00CE020E" w:rsidRPr="0007572B" w:rsidRDefault="00CE020E" w:rsidP="006F1659">
      <w:pPr>
        <w:pStyle w:val="Heading4bold"/>
        <w:spacing w:line="360" w:lineRule="auto"/>
      </w:pPr>
      <w:r w:rsidRPr="0007572B">
        <w:t>Payments due under the PFI Contracts</w:t>
      </w:r>
    </w:p>
    <w:p w14:paraId="4C3B4DE3" w14:textId="77777777" w:rsidR="00285F28" w:rsidRPr="00285F28" w:rsidRDefault="00285F28" w:rsidP="006F1659">
      <w:pPr>
        <w:autoSpaceDE w:val="0"/>
        <w:autoSpaceDN w:val="0"/>
        <w:adjustRightInd w:val="0"/>
        <w:spacing w:line="360" w:lineRule="auto"/>
        <w:rPr>
          <w:rFonts w:ascii="Arial" w:hAnsi="Arial" w:cs="Arial"/>
        </w:rPr>
      </w:pPr>
      <w:r w:rsidRPr="00285F28">
        <w:rPr>
          <w:rFonts w:ascii="Arial" w:hAnsi="Arial" w:cs="Arial"/>
        </w:rPr>
        <w:t xml:space="preserve">The Authority makes monthly payments which comprise of a service charge, a repayment of liability and interest charge, a payment in respect of business rates and a payment to provide for lifecycle replacement costs (known as the 'Sinking Fund'). The payments into the sinking fund are treated initially as a prepayment by the Authority. The Service Provider throughout the contractual term will utilise the sinking fund for the repair and replacement of the premises, and fixture and fittings with the consent of the </w:t>
      </w:r>
      <w:r w:rsidRPr="00285F28">
        <w:rPr>
          <w:rFonts w:ascii="Arial" w:hAnsi="Arial" w:cs="Arial"/>
        </w:rPr>
        <w:lastRenderedPageBreak/>
        <w:t xml:space="preserve">Authority. All payments made, other than the liability and interest charge, are subject to annual inflation increases and can be reduced if the contractor fails to meet availability and performance standards in any year. The Authority on behalf of the Mayor has the right to terminate the contact only if the contractor is compensated in full for costs incurred and lost future profits. </w:t>
      </w:r>
    </w:p>
    <w:p w14:paraId="0313433A" w14:textId="77777777" w:rsidR="00CE020E" w:rsidRPr="0007572B" w:rsidRDefault="00CE020E" w:rsidP="006F1659">
      <w:pPr>
        <w:spacing w:line="360" w:lineRule="auto"/>
        <w:rPr>
          <w:rFonts w:ascii="Arial" w:hAnsi="Arial" w:cs="Arial"/>
        </w:rPr>
      </w:pPr>
    </w:p>
    <w:p w14:paraId="1506BE65" w14:textId="49E2C5CA" w:rsidR="00CE020E" w:rsidRDefault="00CE020E" w:rsidP="006F1659">
      <w:pPr>
        <w:spacing w:line="360" w:lineRule="auto"/>
        <w:rPr>
          <w:rFonts w:ascii="Arial" w:hAnsi="Arial" w:cs="Arial"/>
        </w:rPr>
      </w:pPr>
      <w:r w:rsidRPr="0007572B">
        <w:rPr>
          <w:rFonts w:ascii="Arial" w:hAnsi="Arial" w:cs="Arial"/>
        </w:rPr>
        <w:t>Future payments remaining to be made under the contracts (including an estimate of future inflation) are as follows:</w:t>
      </w:r>
    </w:p>
    <w:p w14:paraId="7BA3D276" w14:textId="784001CA" w:rsidR="00B141F0" w:rsidRPr="0007572B" w:rsidRDefault="00B141F0" w:rsidP="006F1659">
      <w:pPr>
        <w:spacing w:line="360" w:lineRule="auto"/>
        <w:rPr>
          <w:rFonts w:ascii="Arial" w:hAnsi="Arial" w:cs="Arial"/>
        </w:rPr>
      </w:pPr>
    </w:p>
    <w:p w14:paraId="096B3186" w14:textId="77777777" w:rsidR="00302053" w:rsidRDefault="00302053" w:rsidP="006F1659">
      <w:pPr>
        <w:spacing w:line="360" w:lineRule="auto"/>
        <w:rPr>
          <w:rFonts w:ascii="Arial" w:hAnsi="Arial" w:cs="Arial"/>
          <w:bCs/>
          <w:sz w:val="22"/>
          <w:szCs w:val="22"/>
        </w:rPr>
      </w:pPr>
      <w:r w:rsidRPr="00D06C3B">
        <w:rPr>
          <w:rFonts w:ascii="Arial" w:hAnsi="Arial" w:cs="Arial"/>
          <w:bCs/>
          <w:sz w:val="22"/>
          <w:szCs w:val="22"/>
        </w:rPr>
        <w:t xml:space="preserve"> </w:t>
      </w:r>
      <w:r w:rsidRPr="00302053">
        <w:rPr>
          <w:noProof/>
        </w:rPr>
        <w:drawing>
          <wp:inline distT="0" distB="0" distL="0" distR="0" wp14:anchorId="13C1D757" wp14:editId="5BDD1F8F">
            <wp:extent cx="5443004" cy="1026783"/>
            <wp:effectExtent l="0" t="0" r="5715" b="254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80489" cy="1033854"/>
                    </a:xfrm>
                    <a:prstGeom prst="rect">
                      <a:avLst/>
                    </a:prstGeom>
                    <a:noFill/>
                    <a:ln>
                      <a:noFill/>
                    </a:ln>
                  </pic:spPr>
                </pic:pic>
              </a:graphicData>
            </a:graphic>
          </wp:inline>
        </w:drawing>
      </w:r>
    </w:p>
    <w:p w14:paraId="6C74C085" w14:textId="77777777" w:rsidR="00302053" w:rsidRDefault="00302053" w:rsidP="006F1659">
      <w:pPr>
        <w:spacing w:line="360" w:lineRule="auto"/>
        <w:rPr>
          <w:rFonts w:ascii="Arial" w:hAnsi="Arial" w:cs="Arial"/>
          <w:bCs/>
          <w:sz w:val="22"/>
          <w:szCs w:val="22"/>
        </w:rPr>
      </w:pPr>
    </w:p>
    <w:p w14:paraId="74A28202" w14:textId="77777777" w:rsidR="00302053" w:rsidRDefault="00302053" w:rsidP="006F1659">
      <w:pPr>
        <w:spacing w:line="360" w:lineRule="auto"/>
        <w:rPr>
          <w:rFonts w:ascii="Arial" w:hAnsi="Arial" w:cs="Arial"/>
          <w:bCs/>
          <w:sz w:val="22"/>
          <w:szCs w:val="22"/>
        </w:rPr>
      </w:pPr>
      <w:r w:rsidRPr="00302053">
        <w:rPr>
          <w:noProof/>
        </w:rPr>
        <w:drawing>
          <wp:inline distT="0" distB="0" distL="0" distR="0" wp14:anchorId="6FFD6291" wp14:editId="1AF7997C">
            <wp:extent cx="5477510" cy="1026795"/>
            <wp:effectExtent l="0" t="0" r="8890" b="190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77510" cy="1026795"/>
                    </a:xfrm>
                    <a:prstGeom prst="rect">
                      <a:avLst/>
                    </a:prstGeom>
                    <a:noFill/>
                    <a:ln>
                      <a:noFill/>
                    </a:ln>
                  </pic:spPr>
                </pic:pic>
              </a:graphicData>
            </a:graphic>
          </wp:inline>
        </w:drawing>
      </w:r>
    </w:p>
    <w:p w14:paraId="05F4DE91" w14:textId="77777777" w:rsidR="00302053" w:rsidRDefault="00302053" w:rsidP="006F1659">
      <w:pPr>
        <w:spacing w:line="360" w:lineRule="auto"/>
        <w:rPr>
          <w:rFonts w:ascii="Arial" w:hAnsi="Arial" w:cs="Arial"/>
          <w:bCs/>
          <w:sz w:val="22"/>
          <w:szCs w:val="22"/>
        </w:rPr>
      </w:pPr>
    </w:p>
    <w:p w14:paraId="0FC59B83" w14:textId="1375209F" w:rsidR="00EB27EB" w:rsidRPr="00D06C3B" w:rsidRDefault="00302053" w:rsidP="006F1659">
      <w:pPr>
        <w:spacing w:line="360" w:lineRule="auto"/>
        <w:rPr>
          <w:rFonts w:ascii="Arial" w:hAnsi="Arial" w:cs="Arial"/>
          <w:bCs/>
          <w:sz w:val="22"/>
          <w:szCs w:val="22"/>
        </w:rPr>
      </w:pPr>
      <w:r w:rsidRPr="00302053">
        <w:rPr>
          <w:noProof/>
        </w:rPr>
        <w:drawing>
          <wp:inline distT="0" distB="0" distL="0" distR="0" wp14:anchorId="6BD5E642" wp14:editId="5C0BD1AE">
            <wp:extent cx="5503653" cy="1026795"/>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04134" cy="1026885"/>
                    </a:xfrm>
                    <a:prstGeom prst="rect">
                      <a:avLst/>
                    </a:prstGeom>
                    <a:noFill/>
                    <a:ln>
                      <a:noFill/>
                    </a:ln>
                  </pic:spPr>
                </pic:pic>
              </a:graphicData>
            </a:graphic>
          </wp:inline>
        </w:drawing>
      </w:r>
      <w:r w:rsidR="00EB27EB" w:rsidRPr="00D06C3B">
        <w:rPr>
          <w:rFonts w:ascii="Arial" w:hAnsi="Arial" w:cs="Arial"/>
          <w:bCs/>
          <w:sz w:val="22"/>
          <w:szCs w:val="22"/>
        </w:rPr>
        <w:br w:type="page"/>
      </w:r>
    </w:p>
    <w:p w14:paraId="230D87D2" w14:textId="490B9EFF" w:rsidR="00CE6A00" w:rsidRPr="0007572B" w:rsidRDefault="00884440" w:rsidP="006F1659">
      <w:pPr>
        <w:pStyle w:val="Heading3greennumbered"/>
        <w:spacing w:line="360" w:lineRule="auto"/>
      </w:pPr>
      <w:bookmarkStart w:id="161" w:name="_Toc92894899"/>
      <w:bookmarkStart w:id="162" w:name="_Toc92895203"/>
      <w:bookmarkStart w:id="163" w:name="_Toc109922637"/>
      <w:r w:rsidRPr="0007572B">
        <w:lastRenderedPageBreak/>
        <w:t>2</w:t>
      </w:r>
      <w:r w:rsidR="00D27132" w:rsidRPr="0007572B">
        <w:t>7</w:t>
      </w:r>
      <w:r w:rsidR="00CE6A00" w:rsidRPr="0007572B">
        <w:t xml:space="preserve"> Short and Long Term Deferred Liabilities</w:t>
      </w:r>
      <w:bookmarkEnd w:id="161"/>
      <w:bookmarkEnd w:id="162"/>
      <w:bookmarkEnd w:id="163"/>
    </w:p>
    <w:p w14:paraId="1D0AE597" w14:textId="77777777" w:rsidR="00D4492C" w:rsidRDefault="00D4492C" w:rsidP="006F1659">
      <w:pPr>
        <w:spacing w:line="360" w:lineRule="auto"/>
        <w:rPr>
          <w:rFonts w:ascii="Arial" w:hAnsi="Arial" w:cs="Arial"/>
        </w:rPr>
      </w:pPr>
    </w:p>
    <w:p w14:paraId="464EB2F1" w14:textId="6485AC5E" w:rsidR="002E22CF" w:rsidRPr="0007572B" w:rsidRDefault="00CE6A00" w:rsidP="006F1659">
      <w:pPr>
        <w:spacing w:line="360" w:lineRule="auto"/>
        <w:rPr>
          <w:rFonts w:ascii="Arial" w:hAnsi="Arial" w:cs="Arial"/>
        </w:rPr>
      </w:pPr>
      <w:r w:rsidRPr="0007572B">
        <w:rPr>
          <w:rFonts w:ascii="Arial" w:hAnsi="Arial" w:cs="Arial"/>
        </w:rPr>
        <w:t xml:space="preserve">This debt was created on 1 April 1986 </w:t>
      </w:r>
      <w:r w:rsidR="00E8112E" w:rsidRPr="0007572B">
        <w:rPr>
          <w:rFonts w:ascii="Arial" w:hAnsi="Arial" w:cs="Arial"/>
        </w:rPr>
        <w:t xml:space="preserve">when Greater Manchester Council was abolished and its debt was shared between </w:t>
      </w:r>
      <w:r w:rsidR="003B62A8" w:rsidRPr="0007572B">
        <w:rPr>
          <w:rFonts w:ascii="Arial" w:hAnsi="Arial" w:cs="Arial"/>
        </w:rPr>
        <w:t xml:space="preserve">the ten GM </w:t>
      </w:r>
      <w:r w:rsidR="002952F9" w:rsidRPr="0007572B">
        <w:rPr>
          <w:rFonts w:ascii="Arial" w:hAnsi="Arial" w:cs="Arial"/>
        </w:rPr>
        <w:t>Authorities</w:t>
      </w:r>
      <w:r w:rsidR="003B62A8" w:rsidRPr="0007572B">
        <w:rPr>
          <w:rFonts w:ascii="Arial" w:hAnsi="Arial" w:cs="Arial"/>
        </w:rPr>
        <w:t xml:space="preserve">, </w:t>
      </w:r>
      <w:r w:rsidR="002E22CF" w:rsidRPr="0007572B">
        <w:rPr>
          <w:rFonts w:ascii="Arial" w:hAnsi="Arial" w:cs="Arial"/>
        </w:rPr>
        <w:t xml:space="preserve">the </w:t>
      </w:r>
      <w:r w:rsidR="003B62A8" w:rsidRPr="0007572B">
        <w:rPr>
          <w:rFonts w:ascii="Arial" w:hAnsi="Arial" w:cs="Arial"/>
        </w:rPr>
        <w:t>Police</w:t>
      </w:r>
      <w:r w:rsidR="002E22CF" w:rsidRPr="0007572B">
        <w:rPr>
          <w:rFonts w:ascii="Arial" w:hAnsi="Arial" w:cs="Arial"/>
        </w:rPr>
        <w:t xml:space="preserve"> Authority</w:t>
      </w:r>
      <w:r w:rsidR="003B62A8" w:rsidRPr="0007572B">
        <w:rPr>
          <w:rFonts w:ascii="Arial" w:hAnsi="Arial" w:cs="Arial"/>
        </w:rPr>
        <w:t xml:space="preserve">, </w:t>
      </w:r>
      <w:r w:rsidR="002E22CF" w:rsidRPr="0007572B">
        <w:rPr>
          <w:rFonts w:ascii="Arial" w:hAnsi="Arial" w:cs="Arial"/>
        </w:rPr>
        <w:t xml:space="preserve">the </w:t>
      </w:r>
      <w:r w:rsidR="003B62A8" w:rsidRPr="0007572B">
        <w:rPr>
          <w:rFonts w:ascii="Arial" w:hAnsi="Arial" w:cs="Arial"/>
        </w:rPr>
        <w:t xml:space="preserve">Fire </w:t>
      </w:r>
      <w:r w:rsidR="002E22CF" w:rsidRPr="0007572B">
        <w:rPr>
          <w:rFonts w:ascii="Arial" w:hAnsi="Arial" w:cs="Arial"/>
        </w:rPr>
        <w:t>Authority</w:t>
      </w:r>
      <w:r w:rsidR="00261260" w:rsidRPr="0007572B">
        <w:rPr>
          <w:rFonts w:ascii="Arial" w:hAnsi="Arial" w:cs="Arial"/>
        </w:rPr>
        <w:t xml:space="preserve">, </w:t>
      </w:r>
      <w:r w:rsidR="000560AF" w:rsidRPr="0007572B">
        <w:rPr>
          <w:rFonts w:ascii="Arial" w:hAnsi="Arial" w:cs="Arial"/>
        </w:rPr>
        <w:t>GMWDA</w:t>
      </w:r>
      <w:r w:rsidR="002E22CF" w:rsidRPr="0007572B">
        <w:rPr>
          <w:rFonts w:ascii="Arial" w:hAnsi="Arial" w:cs="Arial"/>
        </w:rPr>
        <w:t xml:space="preserve"> </w:t>
      </w:r>
      <w:r w:rsidR="003B62A8" w:rsidRPr="0007572B">
        <w:rPr>
          <w:rFonts w:ascii="Arial" w:hAnsi="Arial" w:cs="Arial"/>
        </w:rPr>
        <w:t>and G</w:t>
      </w:r>
      <w:r w:rsidR="002E22CF" w:rsidRPr="0007572B">
        <w:rPr>
          <w:rFonts w:ascii="Arial" w:hAnsi="Arial" w:cs="Arial"/>
        </w:rPr>
        <w:t xml:space="preserve">reater </w:t>
      </w:r>
      <w:r w:rsidR="003B62A8" w:rsidRPr="0007572B">
        <w:rPr>
          <w:rFonts w:ascii="Arial" w:hAnsi="Arial" w:cs="Arial"/>
        </w:rPr>
        <w:t>M</w:t>
      </w:r>
      <w:r w:rsidR="002E22CF" w:rsidRPr="0007572B">
        <w:rPr>
          <w:rFonts w:ascii="Arial" w:hAnsi="Arial" w:cs="Arial"/>
        </w:rPr>
        <w:t>anchester</w:t>
      </w:r>
      <w:r w:rsidR="003B62A8" w:rsidRPr="0007572B">
        <w:rPr>
          <w:rFonts w:ascii="Arial" w:hAnsi="Arial" w:cs="Arial"/>
        </w:rPr>
        <w:t xml:space="preserve"> Transport.</w:t>
      </w:r>
    </w:p>
    <w:p w14:paraId="54339926" w14:textId="77777777" w:rsidR="002E22CF" w:rsidRPr="0007572B" w:rsidRDefault="002E22CF" w:rsidP="006F1659">
      <w:pPr>
        <w:spacing w:line="360" w:lineRule="auto"/>
        <w:rPr>
          <w:rFonts w:ascii="Arial" w:hAnsi="Arial" w:cs="Arial"/>
        </w:rPr>
      </w:pPr>
    </w:p>
    <w:p w14:paraId="0BDF986C" w14:textId="2AD37B75" w:rsidR="00261260" w:rsidRPr="00DC0FFE" w:rsidRDefault="002E22CF" w:rsidP="006F1659">
      <w:pPr>
        <w:spacing w:line="360" w:lineRule="auto"/>
        <w:rPr>
          <w:rFonts w:ascii="Arial" w:hAnsi="Arial" w:cs="Arial"/>
        </w:rPr>
      </w:pPr>
      <w:r w:rsidRPr="00DC0FFE">
        <w:rPr>
          <w:rFonts w:ascii="Arial" w:hAnsi="Arial" w:cs="Arial"/>
        </w:rPr>
        <w:t xml:space="preserve">The debt </w:t>
      </w:r>
      <w:r w:rsidR="00DC0FFE" w:rsidRPr="00DC0FFE">
        <w:rPr>
          <w:rFonts w:ascii="Arial" w:hAnsi="Arial" w:cs="Arial"/>
        </w:rPr>
        <w:t>was</w:t>
      </w:r>
      <w:r w:rsidR="00CE6A00" w:rsidRPr="00DC0FFE">
        <w:rPr>
          <w:rFonts w:ascii="Arial" w:hAnsi="Arial" w:cs="Arial"/>
        </w:rPr>
        <w:t xml:space="preserve"> </w:t>
      </w:r>
      <w:r w:rsidR="00DC0FFE" w:rsidRPr="00DC0FFE">
        <w:rPr>
          <w:rFonts w:ascii="Arial" w:hAnsi="Arial" w:cs="Arial"/>
        </w:rPr>
        <w:t xml:space="preserve">being repaid </w:t>
      </w:r>
      <w:r w:rsidR="00CE6A00" w:rsidRPr="00DC0FFE">
        <w:rPr>
          <w:rFonts w:ascii="Arial" w:hAnsi="Arial" w:cs="Arial"/>
        </w:rPr>
        <w:t xml:space="preserve">annually on an annuity basis over the 36 years </w:t>
      </w:r>
      <w:r w:rsidR="00DC0FFE" w:rsidRPr="00DC0FFE">
        <w:rPr>
          <w:rFonts w:ascii="Arial" w:hAnsi="Arial" w:cs="Arial"/>
        </w:rPr>
        <w:t>and the final payment was made in 21/22</w:t>
      </w:r>
      <w:r w:rsidR="00CE6A00" w:rsidRPr="00DC0FFE">
        <w:rPr>
          <w:rFonts w:ascii="Arial" w:hAnsi="Arial" w:cs="Arial"/>
        </w:rPr>
        <w:t>.</w:t>
      </w:r>
    </w:p>
    <w:p w14:paraId="7110724C" w14:textId="1EFDC978" w:rsidR="007C0CAE" w:rsidRPr="00914651" w:rsidRDefault="007C0CAE" w:rsidP="006F1659">
      <w:pPr>
        <w:spacing w:line="360" w:lineRule="auto"/>
        <w:rPr>
          <w:rFonts w:ascii="Arial" w:hAnsi="Arial" w:cs="Arial"/>
          <w:highlight w:val="yellow"/>
        </w:rPr>
      </w:pPr>
    </w:p>
    <w:p w14:paraId="0926BDD0" w14:textId="56EE73CA" w:rsidR="007C0CAE" w:rsidRPr="004A167F" w:rsidRDefault="00DC0FFE" w:rsidP="006F1659">
      <w:pPr>
        <w:spacing w:line="360" w:lineRule="auto"/>
        <w:rPr>
          <w:rFonts w:ascii="Arial" w:hAnsi="Arial" w:cs="Arial"/>
        </w:rPr>
      </w:pPr>
      <w:r w:rsidRPr="00DC0FFE">
        <w:rPr>
          <w:noProof/>
        </w:rPr>
        <w:drawing>
          <wp:inline distT="0" distB="0" distL="0" distR="0" wp14:anchorId="73B866E1" wp14:editId="5AA3BF4B">
            <wp:extent cx="5054600" cy="116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54600" cy="1163320"/>
                    </a:xfrm>
                    <a:prstGeom prst="rect">
                      <a:avLst/>
                    </a:prstGeom>
                    <a:noFill/>
                    <a:ln>
                      <a:noFill/>
                    </a:ln>
                  </pic:spPr>
                </pic:pic>
              </a:graphicData>
            </a:graphic>
          </wp:inline>
        </w:drawing>
      </w:r>
    </w:p>
    <w:p w14:paraId="1BE70C40" w14:textId="1DC4C404" w:rsidR="00E76D50" w:rsidRPr="0007572B" w:rsidRDefault="00451E80" w:rsidP="006F1659">
      <w:pPr>
        <w:spacing w:line="360" w:lineRule="auto"/>
        <w:jc w:val="both"/>
        <w:rPr>
          <w:rFonts w:ascii="Arial" w:hAnsi="Arial" w:cs="Arial"/>
          <w:b/>
          <w:sz w:val="22"/>
          <w:szCs w:val="22"/>
        </w:rPr>
      </w:pPr>
      <w:r w:rsidRPr="0007572B">
        <w:rPr>
          <w:rFonts w:ascii="Arial" w:hAnsi="Arial" w:cs="Arial"/>
          <w:sz w:val="22"/>
          <w:szCs w:val="22"/>
        </w:rPr>
        <w:t xml:space="preserve"> </w:t>
      </w:r>
    </w:p>
    <w:p w14:paraId="0D49A2D1" w14:textId="77777777" w:rsidR="00EE7212" w:rsidRPr="003F158E" w:rsidRDefault="00EE7212" w:rsidP="006F1659">
      <w:pPr>
        <w:pStyle w:val="Heading3greennumbered"/>
        <w:spacing w:line="360" w:lineRule="auto"/>
      </w:pPr>
      <w:r>
        <w:t>27a Contingent Liability</w:t>
      </w:r>
    </w:p>
    <w:p w14:paraId="5CF7DE47" w14:textId="77777777" w:rsidR="00EE7212" w:rsidRPr="00B7710C" w:rsidRDefault="00EE7212" w:rsidP="006F1659">
      <w:pPr>
        <w:spacing w:line="360" w:lineRule="auto"/>
        <w:rPr>
          <w:rFonts w:ascii="Arial" w:hAnsi="Arial" w:cs="Arial"/>
        </w:rPr>
      </w:pPr>
    </w:p>
    <w:p w14:paraId="2C172608" w14:textId="77777777" w:rsidR="00EE7212" w:rsidRPr="00EE7212" w:rsidRDefault="00EE7212" w:rsidP="006F1659">
      <w:pPr>
        <w:pStyle w:val="Heading5"/>
        <w:spacing w:line="360" w:lineRule="auto"/>
      </w:pPr>
      <w:r w:rsidRPr="00EE7212">
        <w:t xml:space="preserve">Special Retained Firefighters – Matthews Case </w:t>
      </w:r>
    </w:p>
    <w:p w14:paraId="0F1ACB63" w14:textId="77777777" w:rsidR="00EE7212" w:rsidRPr="00EE7212" w:rsidRDefault="00EE7212" w:rsidP="006F1659">
      <w:pPr>
        <w:spacing w:line="360" w:lineRule="auto"/>
      </w:pPr>
    </w:p>
    <w:p w14:paraId="11F95D93" w14:textId="77777777" w:rsidR="00EE7212" w:rsidRPr="00EE7212" w:rsidRDefault="00EE7212" w:rsidP="006F1659">
      <w:pPr>
        <w:spacing w:line="360" w:lineRule="auto"/>
        <w:rPr>
          <w:rFonts w:ascii="Arial" w:hAnsi="Arial" w:cs="Arial"/>
        </w:rPr>
      </w:pPr>
      <w:r w:rsidRPr="00EE7212">
        <w:rPr>
          <w:rFonts w:ascii="Arial" w:hAnsi="Arial" w:cs="Arial"/>
        </w:rPr>
        <w:t xml:space="preserve">In November 2018 a ruling on the legal case involving part time judges (O’Brien v Ministry of Justice) has a direct impact on the equivalent case for retained firefighters (Matthews). Home Office Ministers agreed to extend the pension entitlement to eligible retained firefighters to cover service pre-July 2000. The Memorandum of Understanding signed in March 2022 sets out the intended scope and operation of the options exercise required to enact a remedy in this case. The option exercise is expected to open sometime during or shortly after 2023/24. This options exercise will increase the pension entitlement for some current special retained members and also allow access to the scheme for additional historic retained firefighters. </w:t>
      </w:r>
    </w:p>
    <w:p w14:paraId="26878441" w14:textId="77777777" w:rsidR="00EE7212" w:rsidRPr="00EE7212" w:rsidRDefault="00EE7212" w:rsidP="006F1659">
      <w:pPr>
        <w:spacing w:line="360" w:lineRule="auto"/>
        <w:rPr>
          <w:rFonts w:ascii="Arial" w:hAnsi="Arial" w:cs="Arial"/>
        </w:rPr>
      </w:pPr>
    </w:p>
    <w:p w14:paraId="37E97FC4" w14:textId="64EE5D5D" w:rsidR="00EE7212" w:rsidRDefault="00EE7212" w:rsidP="006F1659">
      <w:pPr>
        <w:spacing w:line="360" w:lineRule="auto"/>
        <w:rPr>
          <w:rFonts w:ascii="Arial" w:hAnsi="Arial" w:cs="Arial"/>
        </w:rPr>
      </w:pPr>
      <w:r w:rsidRPr="00EE7212">
        <w:rPr>
          <w:rFonts w:ascii="Arial" w:hAnsi="Arial" w:cs="Arial"/>
        </w:rPr>
        <w:t>As at the 31</w:t>
      </w:r>
      <w:r w:rsidR="0047021A">
        <w:rPr>
          <w:rFonts w:ascii="Arial" w:hAnsi="Arial" w:cs="Arial"/>
          <w:vertAlign w:val="superscript"/>
        </w:rPr>
        <w:t xml:space="preserve"> </w:t>
      </w:r>
      <w:r w:rsidRPr="00EE7212">
        <w:rPr>
          <w:rFonts w:ascii="Arial" w:hAnsi="Arial" w:cs="Arial"/>
        </w:rPr>
        <w:t xml:space="preserve">March </w:t>
      </w:r>
      <w:r w:rsidR="0047021A">
        <w:rPr>
          <w:rFonts w:ascii="Arial" w:hAnsi="Arial" w:cs="Arial"/>
        </w:rPr>
        <w:t xml:space="preserve">2023 </w:t>
      </w:r>
      <w:r w:rsidRPr="00EE7212">
        <w:rPr>
          <w:rFonts w:ascii="Arial" w:hAnsi="Arial" w:cs="Arial"/>
        </w:rPr>
        <w:t xml:space="preserve">the Government Actuary Department has calculated an estimate, of £0.5m based on the </w:t>
      </w:r>
      <w:r>
        <w:rPr>
          <w:rFonts w:ascii="Arial" w:hAnsi="Arial" w:cs="Arial"/>
        </w:rPr>
        <w:t>2022/23</w:t>
      </w:r>
      <w:r w:rsidRPr="00EE7212">
        <w:rPr>
          <w:rFonts w:ascii="Arial" w:hAnsi="Arial" w:cs="Arial"/>
        </w:rPr>
        <w:t xml:space="preserve"> accounting assumptions for the potential additional liability which could arise following this options exercise. </w:t>
      </w:r>
    </w:p>
    <w:p w14:paraId="1309A50E" w14:textId="77777777" w:rsidR="00EE7212" w:rsidRPr="00EE7212" w:rsidRDefault="00EE7212" w:rsidP="006F1659">
      <w:pPr>
        <w:spacing w:line="360" w:lineRule="auto"/>
        <w:rPr>
          <w:rFonts w:ascii="Arial" w:hAnsi="Arial" w:cs="Arial"/>
        </w:rPr>
      </w:pPr>
    </w:p>
    <w:p w14:paraId="35B50EE0" w14:textId="44CB2802" w:rsidR="00E76D50" w:rsidRDefault="00EE7212" w:rsidP="006F1659">
      <w:pPr>
        <w:spacing w:line="360" w:lineRule="auto"/>
        <w:jc w:val="both"/>
        <w:rPr>
          <w:rFonts w:ascii="Arial" w:hAnsi="Arial" w:cs="Arial"/>
        </w:rPr>
      </w:pPr>
      <w:r w:rsidRPr="00EE7212">
        <w:rPr>
          <w:rFonts w:ascii="Arial" w:hAnsi="Arial" w:cs="Arial"/>
        </w:rPr>
        <w:lastRenderedPageBreak/>
        <w:t>However, there is very significant uncertainty in this additional liability estimate and it is very likely that actual experience for the authority will be different to the assumptions made and may be very different from the actual impact of the options exercise once it has concluded. On that basis no liability has been recognised in the 2022/23 accounts</w:t>
      </w:r>
    </w:p>
    <w:p w14:paraId="03BEB336" w14:textId="77777777" w:rsidR="00F52540" w:rsidRDefault="00F52540" w:rsidP="006F1659">
      <w:pPr>
        <w:spacing w:line="360" w:lineRule="auto"/>
        <w:jc w:val="both"/>
        <w:rPr>
          <w:rFonts w:ascii="Arial" w:hAnsi="Arial" w:cs="Arial"/>
          <w:b/>
          <w:sz w:val="22"/>
          <w:szCs w:val="22"/>
        </w:rPr>
      </w:pPr>
    </w:p>
    <w:p w14:paraId="582E5FD7" w14:textId="77777777" w:rsidR="00366EB7" w:rsidRDefault="00366EB7" w:rsidP="006F1659">
      <w:pPr>
        <w:spacing w:line="360" w:lineRule="auto"/>
        <w:rPr>
          <w:rFonts w:ascii="Arial" w:eastAsia="Palatino Linotype" w:hAnsi="Arial" w:cs="Arial"/>
          <w:b/>
          <w:bCs/>
          <w:szCs w:val="28"/>
          <w:lang w:val="en-US"/>
        </w:rPr>
      </w:pPr>
      <w:bookmarkStart w:id="164" w:name="_Toc92894900"/>
      <w:bookmarkStart w:id="165" w:name="_Toc92895204"/>
      <w:bookmarkStart w:id="166" w:name="_Toc109922638"/>
      <w:r>
        <w:br w:type="page"/>
      </w:r>
    </w:p>
    <w:p w14:paraId="689A22A1" w14:textId="6BA5F17E" w:rsidR="007C0CAE" w:rsidRPr="0007572B" w:rsidRDefault="00884440" w:rsidP="006F1659">
      <w:pPr>
        <w:pStyle w:val="Heading3greennumbered"/>
        <w:spacing w:line="360" w:lineRule="auto"/>
      </w:pPr>
      <w:r w:rsidRPr="0007572B">
        <w:lastRenderedPageBreak/>
        <w:t>2</w:t>
      </w:r>
      <w:r w:rsidR="00D27132" w:rsidRPr="0007572B">
        <w:t>8</w:t>
      </w:r>
      <w:r w:rsidR="00CE6A00" w:rsidRPr="0007572B">
        <w:t xml:space="preserve"> Unusable Reserves</w:t>
      </w:r>
      <w:bookmarkEnd w:id="164"/>
      <w:bookmarkEnd w:id="165"/>
      <w:bookmarkEnd w:id="166"/>
    </w:p>
    <w:p w14:paraId="3288E6B4" w14:textId="15B88737" w:rsidR="00261260" w:rsidRDefault="00261260" w:rsidP="006F1659">
      <w:pPr>
        <w:spacing w:line="360" w:lineRule="auto"/>
        <w:jc w:val="both"/>
        <w:rPr>
          <w:rFonts w:ascii="Arial" w:hAnsi="Arial" w:cs="Arial"/>
          <w:b/>
          <w:sz w:val="22"/>
          <w:szCs w:val="22"/>
        </w:rPr>
      </w:pPr>
    </w:p>
    <w:p w14:paraId="63281063" w14:textId="4888AEA5" w:rsidR="007C0CAE" w:rsidRDefault="001B1F13" w:rsidP="006F1659">
      <w:pPr>
        <w:spacing w:line="360" w:lineRule="auto"/>
        <w:jc w:val="both"/>
        <w:rPr>
          <w:rFonts w:ascii="Arial" w:hAnsi="Arial" w:cs="Arial"/>
          <w:b/>
          <w:sz w:val="22"/>
          <w:szCs w:val="22"/>
        </w:rPr>
      </w:pPr>
      <w:r w:rsidRPr="001B1F13">
        <w:rPr>
          <w:noProof/>
        </w:rPr>
        <w:drawing>
          <wp:inline distT="0" distB="0" distL="0" distR="0" wp14:anchorId="32C6A521" wp14:editId="516FD75D">
            <wp:extent cx="5118100" cy="1452841"/>
            <wp:effectExtent l="0" t="0" r="6350" b="0"/>
            <wp:docPr id="5738076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864" cy="1457316"/>
                    </a:xfrm>
                    <a:prstGeom prst="rect">
                      <a:avLst/>
                    </a:prstGeom>
                    <a:noFill/>
                    <a:ln>
                      <a:noFill/>
                    </a:ln>
                  </pic:spPr>
                </pic:pic>
              </a:graphicData>
            </a:graphic>
          </wp:inline>
        </w:drawing>
      </w:r>
    </w:p>
    <w:p w14:paraId="48508093" w14:textId="3D41184F" w:rsidR="00C50B58" w:rsidRPr="0007572B" w:rsidRDefault="00C50B58" w:rsidP="006F1659">
      <w:pPr>
        <w:spacing w:line="360" w:lineRule="auto"/>
        <w:rPr>
          <w:rFonts w:ascii="Arial" w:hAnsi="Arial" w:cs="Arial"/>
          <w:b/>
        </w:rPr>
      </w:pPr>
    </w:p>
    <w:p w14:paraId="2431EBE6" w14:textId="1D77A6DE" w:rsidR="007C45E2" w:rsidRPr="0007572B" w:rsidRDefault="00CE6A00" w:rsidP="006F1659">
      <w:pPr>
        <w:spacing w:line="360" w:lineRule="auto"/>
        <w:rPr>
          <w:rFonts w:ascii="Arial" w:hAnsi="Arial" w:cs="Arial"/>
        </w:rPr>
      </w:pPr>
      <w:r w:rsidRPr="0007572B">
        <w:rPr>
          <w:rFonts w:ascii="Arial" w:hAnsi="Arial" w:cs="Arial"/>
          <w:b/>
        </w:rPr>
        <w:t xml:space="preserve">The Capital Adjustment Account </w:t>
      </w:r>
      <w:r w:rsidR="00923E34" w:rsidRPr="0007572B">
        <w:rPr>
          <w:rFonts w:ascii="Arial" w:hAnsi="Arial" w:cs="Arial"/>
          <w:b/>
        </w:rPr>
        <w:t>(CAA)</w:t>
      </w:r>
      <w:r w:rsidR="00923E34" w:rsidRPr="0007572B">
        <w:rPr>
          <w:rFonts w:ascii="Arial" w:hAnsi="Arial" w:cs="Arial"/>
        </w:rPr>
        <w:t xml:space="preserve"> </w:t>
      </w:r>
      <w:r w:rsidRPr="0007572B">
        <w:rPr>
          <w:rFonts w:ascii="Arial" w:hAnsi="Arial" w:cs="Arial"/>
        </w:rPr>
        <w:t xml:space="preserve">absorbs the timing differences arising from the different arrangements for accounting for the consumption of non-current assets and for financing the acquisition, construction or enhancement of those assets under statutory provisions. </w:t>
      </w:r>
    </w:p>
    <w:p w14:paraId="2A339559" w14:textId="77777777" w:rsidR="007C45E2" w:rsidRPr="0007572B" w:rsidRDefault="007C45E2" w:rsidP="006F1659">
      <w:pPr>
        <w:spacing w:line="360" w:lineRule="auto"/>
        <w:jc w:val="both"/>
        <w:rPr>
          <w:rFonts w:ascii="Arial" w:hAnsi="Arial" w:cs="Arial"/>
        </w:rPr>
      </w:pPr>
    </w:p>
    <w:p w14:paraId="17F5330D" w14:textId="73E09E3C" w:rsidR="00CE6A00" w:rsidRDefault="00CE6A00" w:rsidP="006F1659">
      <w:pPr>
        <w:spacing w:line="360" w:lineRule="auto"/>
        <w:rPr>
          <w:rFonts w:ascii="Arial" w:hAnsi="Arial" w:cs="Arial"/>
        </w:rPr>
      </w:pPr>
      <w:r w:rsidRPr="0007572B">
        <w:rPr>
          <w:rFonts w:ascii="Arial" w:hAnsi="Arial" w:cs="Arial"/>
        </w:rPr>
        <w:t xml:space="preserve">The </w:t>
      </w:r>
      <w:r w:rsidR="00923E34" w:rsidRPr="0007572B">
        <w:rPr>
          <w:rFonts w:ascii="Arial" w:hAnsi="Arial" w:cs="Arial"/>
        </w:rPr>
        <w:t>CAA</w:t>
      </w:r>
      <w:r w:rsidRPr="0007572B">
        <w:rPr>
          <w:rFonts w:ascii="Arial" w:hAnsi="Arial" w:cs="Arial"/>
        </w:rPr>
        <w:t xml:space="preserve"> is debited with the cost of the capital grants payable to TfGM</w:t>
      </w:r>
      <w:r w:rsidR="00923E34" w:rsidRPr="0007572B">
        <w:rPr>
          <w:rFonts w:ascii="Arial" w:hAnsi="Arial" w:cs="Arial"/>
        </w:rPr>
        <w:t>,</w:t>
      </w:r>
      <w:r w:rsidRPr="0007572B">
        <w:rPr>
          <w:rFonts w:ascii="Arial" w:hAnsi="Arial" w:cs="Arial"/>
        </w:rPr>
        <w:t xml:space="preserve"> </w:t>
      </w:r>
      <w:r w:rsidR="002952F9" w:rsidRPr="0007572B">
        <w:rPr>
          <w:rFonts w:ascii="Arial" w:hAnsi="Arial" w:cs="Arial"/>
        </w:rPr>
        <w:t>GM Authorities</w:t>
      </w:r>
      <w:r w:rsidR="007C45E2" w:rsidRPr="0007572B">
        <w:rPr>
          <w:rFonts w:ascii="Arial" w:hAnsi="Arial" w:cs="Arial"/>
        </w:rPr>
        <w:t xml:space="preserve"> and other external organisations</w:t>
      </w:r>
      <w:r w:rsidR="00923E34" w:rsidRPr="0007572B">
        <w:rPr>
          <w:rFonts w:ascii="Arial" w:hAnsi="Arial" w:cs="Arial"/>
        </w:rPr>
        <w:t>,</w:t>
      </w:r>
      <w:r w:rsidRPr="0007572B">
        <w:rPr>
          <w:rFonts w:ascii="Arial" w:hAnsi="Arial" w:cs="Arial"/>
        </w:rPr>
        <w:t xml:space="preserve"> </w:t>
      </w:r>
      <w:r w:rsidR="007C45E2" w:rsidRPr="0007572B">
        <w:rPr>
          <w:rFonts w:ascii="Arial" w:hAnsi="Arial" w:cs="Arial"/>
        </w:rPr>
        <w:t>t</w:t>
      </w:r>
      <w:r w:rsidRPr="0007572B">
        <w:rPr>
          <w:rFonts w:ascii="Arial" w:hAnsi="Arial" w:cs="Arial"/>
        </w:rPr>
        <w:t xml:space="preserve">he annual depreciation charge and </w:t>
      </w:r>
      <w:r w:rsidR="00923E34" w:rsidRPr="0007572B">
        <w:rPr>
          <w:rFonts w:ascii="Arial" w:hAnsi="Arial" w:cs="Arial"/>
        </w:rPr>
        <w:t xml:space="preserve">any </w:t>
      </w:r>
      <w:r w:rsidRPr="0007572B">
        <w:rPr>
          <w:rFonts w:ascii="Arial" w:hAnsi="Arial" w:cs="Arial"/>
        </w:rPr>
        <w:t>los</w:t>
      </w:r>
      <w:r w:rsidR="007C45E2" w:rsidRPr="0007572B">
        <w:rPr>
          <w:rFonts w:ascii="Arial" w:hAnsi="Arial" w:cs="Arial"/>
        </w:rPr>
        <w:t>s on disposal of assets</w:t>
      </w:r>
      <w:r w:rsidR="00923E34" w:rsidRPr="0007572B">
        <w:rPr>
          <w:rFonts w:ascii="Arial" w:hAnsi="Arial" w:cs="Arial"/>
        </w:rPr>
        <w:t>. The CAA is</w:t>
      </w:r>
      <w:r w:rsidRPr="0007572B">
        <w:rPr>
          <w:rFonts w:ascii="Arial" w:hAnsi="Arial" w:cs="Arial"/>
        </w:rPr>
        <w:t xml:space="preserve"> credited with both the capital grants and contributions receivable and the amounts set aside by the Authority </w:t>
      </w:r>
      <w:r w:rsidR="00923E34" w:rsidRPr="0007572B">
        <w:rPr>
          <w:rFonts w:ascii="Arial" w:hAnsi="Arial" w:cs="Arial"/>
        </w:rPr>
        <w:t xml:space="preserve">to </w:t>
      </w:r>
      <w:r w:rsidR="00DA086E" w:rsidRPr="0007572B">
        <w:rPr>
          <w:rFonts w:ascii="Arial" w:hAnsi="Arial" w:cs="Arial"/>
        </w:rPr>
        <w:t xml:space="preserve">directly </w:t>
      </w:r>
      <w:r w:rsidRPr="0007572B">
        <w:rPr>
          <w:rFonts w:ascii="Arial" w:hAnsi="Arial" w:cs="Arial"/>
        </w:rPr>
        <w:t xml:space="preserve">finance </w:t>
      </w:r>
      <w:r w:rsidR="00FF27DD" w:rsidRPr="0007572B">
        <w:rPr>
          <w:rFonts w:ascii="Arial" w:hAnsi="Arial" w:cs="Arial"/>
        </w:rPr>
        <w:t xml:space="preserve">the </w:t>
      </w:r>
      <w:r w:rsidR="00DA086E" w:rsidRPr="0007572B">
        <w:rPr>
          <w:rFonts w:ascii="Arial" w:hAnsi="Arial" w:cs="Arial"/>
        </w:rPr>
        <w:t>capital</w:t>
      </w:r>
      <w:r w:rsidRPr="0007572B">
        <w:rPr>
          <w:rFonts w:ascii="Arial" w:hAnsi="Arial" w:cs="Arial"/>
        </w:rPr>
        <w:t xml:space="preserve"> costs of acquisition, construction and enhancement</w:t>
      </w:r>
      <w:r w:rsidR="007C45E2" w:rsidRPr="0007572B">
        <w:rPr>
          <w:rFonts w:ascii="Arial" w:hAnsi="Arial" w:cs="Arial"/>
        </w:rPr>
        <w:t xml:space="preserve"> of assets</w:t>
      </w:r>
      <w:r w:rsidRPr="0007572B">
        <w:rPr>
          <w:rFonts w:ascii="Arial" w:hAnsi="Arial" w:cs="Arial"/>
        </w:rPr>
        <w:t>.</w:t>
      </w:r>
    </w:p>
    <w:p w14:paraId="0B235A56" w14:textId="70A82011" w:rsidR="008249C0" w:rsidRDefault="008249C0" w:rsidP="006F1659">
      <w:pPr>
        <w:spacing w:line="360" w:lineRule="auto"/>
        <w:rPr>
          <w:rFonts w:ascii="Arial" w:hAnsi="Arial" w:cs="Arial"/>
        </w:rPr>
      </w:pPr>
    </w:p>
    <w:p w14:paraId="7B7BDA75" w14:textId="1BA5CBB3" w:rsidR="00596963" w:rsidRPr="0007572B" w:rsidRDefault="001B1F13" w:rsidP="006F1659">
      <w:pPr>
        <w:spacing w:line="360" w:lineRule="auto"/>
        <w:rPr>
          <w:rFonts w:ascii="Arial" w:hAnsi="Arial" w:cs="Arial"/>
          <w:b/>
        </w:rPr>
      </w:pPr>
      <w:r w:rsidRPr="001B1F13">
        <w:rPr>
          <w:noProof/>
        </w:rPr>
        <w:drawing>
          <wp:inline distT="0" distB="0" distL="0" distR="0" wp14:anchorId="1D8AF562" wp14:editId="22EAB106">
            <wp:extent cx="5792432" cy="3498850"/>
            <wp:effectExtent l="0" t="0" r="0" b="6350"/>
            <wp:docPr id="10609570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00037" cy="3503444"/>
                    </a:xfrm>
                    <a:prstGeom prst="rect">
                      <a:avLst/>
                    </a:prstGeom>
                    <a:noFill/>
                    <a:ln>
                      <a:noFill/>
                    </a:ln>
                  </pic:spPr>
                </pic:pic>
              </a:graphicData>
            </a:graphic>
          </wp:inline>
        </w:drawing>
      </w:r>
    </w:p>
    <w:p w14:paraId="63D6000B" w14:textId="22E37794" w:rsidR="00CE6A00" w:rsidRDefault="00CE6A00" w:rsidP="006F1659">
      <w:pPr>
        <w:spacing w:line="360" w:lineRule="auto"/>
        <w:rPr>
          <w:rFonts w:ascii="Arial" w:hAnsi="Arial" w:cs="Arial"/>
        </w:rPr>
      </w:pPr>
      <w:r w:rsidRPr="0007572B">
        <w:rPr>
          <w:rFonts w:ascii="Arial" w:hAnsi="Arial" w:cs="Arial"/>
          <w:b/>
        </w:rPr>
        <w:lastRenderedPageBreak/>
        <w:t>The Financial Instruments Adjustment Account</w:t>
      </w:r>
      <w:r w:rsidRPr="0007572B">
        <w:rPr>
          <w:rFonts w:ascii="Arial" w:hAnsi="Arial" w:cs="Arial"/>
        </w:rPr>
        <w:t xml:space="preserve"> absorbs the timing differences arising from the different arrangements for accounting for income and expenses relating to certain financial instruments and for bearing losses or benefiting from g</w:t>
      </w:r>
      <w:r w:rsidR="00DA086E" w:rsidRPr="0007572B">
        <w:rPr>
          <w:rFonts w:ascii="Arial" w:hAnsi="Arial" w:cs="Arial"/>
        </w:rPr>
        <w:t xml:space="preserve">ains per statutory provisions. </w:t>
      </w:r>
    </w:p>
    <w:p w14:paraId="0A605666" w14:textId="6E43D452" w:rsidR="008249C0" w:rsidRPr="0007572B" w:rsidRDefault="00302053" w:rsidP="006F1659">
      <w:pPr>
        <w:spacing w:line="360" w:lineRule="auto"/>
        <w:rPr>
          <w:rFonts w:ascii="Arial" w:hAnsi="Arial" w:cs="Arial"/>
        </w:rPr>
      </w:pPr>
      <w:r w:rsidRPr="00302053">
        <w:rPr>
          <w:noProof/>
        </w:rPr>
        <w:drawing>
          <wp:inline distT="0" distB="0" distL="0" distR="0" wp14:anchorId="34A0C14C" wp14:editId="5C1E6E12">
            <wp:extent cx="5975350" cy="1397000"/>
            <wp:effectExtent l="0" t="0" r="635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75350" cy="1397000"/>
                    </a:xfrm>
                    <a:prstGeom prst="rect">
                      <a:avLst/>
                    </a:prstGeom>
                    <a:noFill/>
                    <a:ln>
                      <a:noFill/>
                    </a:ln>
                  </pic:spPr>
                </pic:pic>
              </a:graphicData>
            </a:graphic>
          </wp:inline>
        </w:drawing>
      </w:r>
    </w:p>
    <w:p w14:paraId="23CC956B" w14:textId="77777777" w:rsidR="00261260" w:rsidRPr="0007572B" w:rsidRDefault="00261260" w:rsidP="006F1659">
      <w:pPr>
        <w:spacing w:line="360" w:lineRule="auto"/>
        <w:jc w:val="both"/>
        <w:rPr>
          <w:rFonts w:ascii="Arial" w:hAnsi="Arial" w:cs="Arial"/>
          <w:b/>
          <w:sz w:val="22"/>
          <w:szCs w:val="22"/>
        </w:rPr>
      </w:pPr>
    </w:p>
    <w:p w14:paraId="131CFF7E" w14:textId="477C307A" w:rsidR="008E2CB8" w:rsidRPr="0007572B" w:rsidRDefault="008E2CB8" w:rsidP="006F1659">
      <w:pPr>
        <w:spacing w:line="360" w:lineRule="auto"/>
        <w:rPr>
          <w:rFonts w:ascii="Arial" w:hAnsi="Arial" w:cs="Arial"/>
        </w:rPr>
      </w:pPr>
      <w:r w:rsidRPr="0007572B">
        <w:rPr>
          <w:rFonts w:ascii="Arial" w:hAnsi="Arial" w:cs="Arial"/>
        </w:rPr>
        <w:t xml:space="preserve">The movement in year is due to the Authority being in receipt of two loans from central government that are interest free for the purposes of </w:t>
      </w:r>
      <w:r w:rsidR="009D4BF0" w:rsidRPr="0007572B">
        <w:rPr>
          <w:rFonts w:ascii="Arial" w:hAnsi="Arial" w:cs="Arial"/>
        </w:rPr>
        <w:t>HIF and City Deal</w:t>
      </w:r>
      <w:r w:rsidRPr="0007572B">
        <w:rPr>
          <w:rFonts w:ascii="Arial" w:hAnsi="Arial" w:cs="Arial"/>
        </w:rPr>
        <w:t>. In accordance with statutory accounting requirements an effective interest rate has been calculated to enable the value of the financial assistance being provided to the GMCA on a net present value basis to be separated from the financing costs of the loan.</w:t>
      </w:r>
    </w:p>
    <w:p w14:paraId="5A824908" w14:textId="77777777" w:rsidR="008E2CB8" w:rsidRPr="0007572B" w:rsidRDefault="008E2CB8" w:rsidP="006F1659">
      <w:pPr>
        <w:spacing w:line="360" w:lineRule="auto"/>
        <w:rPr>
          <w:rFonts w:ascii="Arial" w:hAnsi="Arial" w:cs="Arial"/>
        </w:rPr>
      </w:pPr>
    </w:p>
    <w:p w14:paraId="729F8F38" w14:textId="149962AB" w:rsidR="0043331B" w:rsidRPr="0007572B" w:rsidRDefault="008E2CB8" w:rsidP="006F1659">
      <w:pPr>
        <w:spacing w:line="360" w:lineRule="auto"/>
        <w:rPr>
          <w:rFonts w:ascii="Arial" w:hAnsi="Arial" w:cs="Arial"/>
        </w:rPr>
      </w:pPr>
      <w:r w:rsidRPr="0007572B">
        <w:rPr>
          <w:rFonts w:ascii="Arial" w:hAnsi="Arial" w:cs="Arial"/>
        </w:rPr>
        <w:t>The effect of this in the accounts is to discount the value of the loans received using an interest rate at which the Authority could borrow from the Public Works Loan Board for a loan with similar terms. This will result in a lower figure for the fair value of the loan when it is initially recognised as received but each year an element of the full fair value discount will be written back. Thereby increasing the loan value on the balance sheet annually over the loan term. This will continue until the full loan value advanced is reflected in the balance sheet, which is the year repayment of the loan falls due.</w:t>
      </w:r>
    </w:p>
    <w:p w14:paraId="14C083A0" w14:textId="77777777" w:rsidR="008E2CB8" w:rsidRPr="0007572B" w:rsidRDefault="008E2CB8" w:rsidP="006F1659">
      <w:pPr>
        <w:spacing w:line="360" w:lineRule="auto"/>
        <w:rPr>
          <w:rFonts w:ascii="Arial" w:hAnsi="Arial" w:cs="Arial"/>
          <w:bCs/>
        </w:rPr>
      </w:pPr>
    </w:p>
    <w:p w14:paraId="0C6CF08E" w14:textId="78640159" w:rsidR="007C45E2" w:rsidRDefault="00CE6A00" w:rsidP="006F1659">
      <w:pPr>
        <w:spacing w:line="360" w:lineRule="auto"/>
        <w:rPr>
          <w:rFonts w:ascii="Arial" w:hAnsi="Arial" w:cs="Arial"/>
        </w:rPr>
      </w:pPr>
      <w:r w:rsidRPr="0007572B">
        <w:rPr>
          <w:rFonts w:ascii="Arial" w:hAnsi="Arial" w:cs="Arial"/>
          <w:b/>
        </w:rPr>
        <w:t>The Pension Reserve</w:t>
      </w:r>
      <w:r w:rsidRPr="0007572B">
        <w:rPr>
          <w:rFonts w:ascii="Arial" w:hAnsi="Arial" w:cs="Arial"/>
        </w:rPr>
        <w:t xml:space="preserve"> relates to the net p</w:t>
      </w:r>
      <w:r w:rsidR="007C45E2" w:rsidRPr="0007572B">
        <w:rPr>
          <w:rFonts w:ascii="Arial" w:hAnsi="Arial" w:cs="Arial"/>
        </w:rPr>
        <w:t xml:space="preserve">ension asset as at 31 March </w:t>
      </w:r>
      <w:r w:rsidR="00502211">
        <w:rPr>
          <w:rFonts w:ascii="Arial" w:hAnsi="Arial" w:cs="Arial"/>
        </w:rPr>
        <w:t>202</w:t>
      </w:r>
      <w:r w:rsidR="00914651">
        <w:rPr>
          <w:rFonts w:ascii="Arial" w:hAnsi="Arial" w:cs="Arial"/>
        </w:rPr>
        <w:t>3</w:t>
      </w:r>
      <w:r w:rsidR="0043331B" w:rsidRPr="0007572B">
        <w:rPr>
          <w:rFonts w:ascii="Arial" w:hAnsi="Arial" w:cs="Arial"/>
        </w:rPr>
        <w:t xml:space="preserve"> </w:t>
      </w:r>
      <w:r w:rsidRPr="0007572B">
        <w:rPr>
          <w:rFonts w:ascii="Arial" w:hAnsi="Arial" w:cs="Arial"/>
        </w:rPr>
        <w:t>in accordance with the actuary's report.</w:t>
      </w:r>
    </w:p>
    <w:p w14:paraId="3E57B1F5" w14:textId="4552DCCB" w:rsidR="007C0CAE" w:rsidRDefault="007C0CAE" w:rsidP="006F1659">
      <w:pPr>
        <w:spacing w:line="360" w:lineRule="auto"/>
        <w:rPr>
          <w:rFonts w:ascii="Arial" w:hAnsi="Arial" w:cs="Arial"/>
        </w:rPr>
      </w:pPr>
    </w:p>
    <w:p w14:paraId="16ED3AF4" w14:textId="42844D5F" w:rsidR="007C0CAE" w:rsidRPr="0007572B" w:rsidRDefault="001B1F13" w:rsidP="006F1659">
      <w:pPr>
        <w:spacing w:line="360" w:lineRule="auto"/>
        <w:rPr>
          <w:rFonts w:ascii="Arial" w:hAnsi="Arial" w:cs="Arial"/>
        </w:rPr>
      </w:pPr>
      <w:r w:rsidRPr="001B1F13">
        <w:rPr>
          <w:noProof/>
        </w:rPr>
        <w:drawing>
          <wp:inline distT="0" distB="0" distL="0" distR="0" wp14:anchorId="23D78452" wp14:editId="1CA62BDE">
            <wp:extent cx="5975350" cy="1239520"/>
            <wp:effectExtent l="0" t="0" r="6350" b="0"/>
            <wp:docPr id="14047052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75350" cy="1239520"/>
                    </a:xfrm>
                    <a:prstGeom prst="rect">
                      <a:avLst/>
                    </a:prstGeom>
                    <a:noFill/>
                    <a:ln>
                      <a:noFill/>
                    </a:ln>
                  </pic:spPr>
                </pic:pic>
              </a:graphicData>
            </a:graphic>
          </wp:inline>
        </w:drawing>
      </w:r>
    </w:p>
    <w:p w14:paraId="5515F276" w14:textId="77777777" w:rsidR="00943897" w:rsidRDefault="00943897" w:rsidP="006F1659">
      <w:pPr>
        <w:spacing w:line="360" w:lineRule="auto"/>
        <w:rPr>
          <w:rFonts w:ascii="Arial" w:hAnsi="Arial" w:cs="Arial"/>
          <w:b/>
        </w:rPr>
      </w:pPr>
    </w:p>
    <w:p w14:paraId="2699A3A3" w14:textId="3CEFC2EE" w:rsidR="007A2501" w:rsidRPr="0007572B" w:rsidRDefault="00746C9C" w:rsidP="006F1659">
      <w:pPr>
        <w:spacing w:line="360" w:lineRule="auto"/>
        <w:rPr>
          <w:rFonts w:ascii="Arial" w:hAnsi="Arial" w:cs="Arial"/>
        </w:rPr>
      </w:pPr>
      <w:r w:rsidRPr="0007572B">
        <w:rPr>
          <w:rFonts w:ascii="Arial" w:hAnsi="Arial" w:cs="Arial"/>
          <w:b/>
        </w:rPr>
        <w:lastRenderedPageBreak/>
        <w:t>T</w:t>
      </w:r>
      <w:r w:rsidR="007A2501" w:rsidRPr="0007572B">
        <w:rPr>
          <w:rFonts w:ascii="Arial" w:hAnsi="Arial" w:cs="Arial"/>
          <w:b/>
        </w:rPr>
        <w:t>he Revaluation Reserve</w:t>
      </w:r>
      <w:r w:rsidR="007A2501" w:rsidRPr="0007572B">
        <w:rPr>
          <w:rFonts w:ascii="Arial" w:hAnsi="Arial" w:cs="Arial"/>
        </w:rPr>
        <w:t xml:space="preserve"> contains the gains made by the Authority arising from increases in the value of Property, Plant and Equipment. The balance reduces when assets with accumulated gains are reduced through revaluation, impairment and depreciation or are disposed of.</w:t>
      </w:r>
    </w:p>
    <w:p w14:paraId="6F275FDB" w14:textId="77777777" w:rsidR="007A2501" w:rsidRPr="0007572B" w:rsidRDefault="007A2501" w:rsidP="006F1659">
      <w:pPr>
        <w:spacing w:line="360" w:lineRule="auto"/>
        <w:jc w:val="both"/>
        <w:rPr>
          <w:rFonts w:ascii="Arial" w:hAnsi="Arial" w:cs="Arial"/>
          <w:b/>
          <w:sz w:val="22"/>
          <w:szCs w:val="22"/>
        </w:rPr>
      </w:pPr>
    </w:p>
    <w:p w14:paraId="12410828" w14:textId="2AF9853E" w:rsidR="00451E80" w:rsidRDefault="00457D76" w:rsidP="006F1659">
      <w:pPr>
        <w:spacing w:line="360" w:lineRule="auto"/>
        <w:jc w:val="both"/>
        <w:rPr>
          <w:rFonts w:ascii="Arial" w:hAnsi="Arial" w:cs="Arial"/>
          <w:sz w:val="22"/>
          <w:szCs w:val="22"/>
        </w:rPr>
      </w:pPr>
      <w:r w:rsidRPr="00457D76">
        <w:rPr>
          <w:rFonts w:ascii="Arial" w:hAnsi="Arial" w:cs="Arial"/>
          <w:sz w:val="22"/>
          <w:szCs w:val="22"/>
        </w:rPr>
        <w:t xml:space="preserve"> </w:t>
      </w:r>
      <w:r w:rsidR="000361BC" w:rsidRPr="000361BC">
        <w:rPr>
          <w:noProof/>
        </w:rPr>
        <w:drawing>
          <wp:inline distT="0" distB="0" distL="0" distR="0" wp14:anchorId="1AAE976F" wp14:editId="292C7E64">
            <wp:extent cx="5911850" cy="1936750"/>
            <wp:effectExtent l="0" t="0" r="0" b="6350"/>
            <wp:docPr id="2038637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11850" cy="1936750"/>
                    </a:xfrm>
                    <a:prstGeom prst="rect">
                      <a:avLst/>
                    </a:prstGeom>
                    <a:noFill/>
                    <a:ln>
                      <a:noFill/>
                    </a:ln>
                  </pic:spPr>
                </pic:pic>
              </a:graphicData>
            </a:graphic>
          </wp:inline>
        </w:drawing>
      </w:r>
    </w:p>
    <w:p w14:paraId="4C6B5B3F" w14:textId="77777777" w:rsidR="005A5CC8" w:rsidRDefault="005A5CC8" w:rsidP="006F1659">
      <w:pPr>
        <w:spacing w:line="360" w:lineRule="auto"/>
        <w:rPr>
          <w:rFonts w:ascii="Arial" w:hAnsi="Arial" w:cs="Arial"/>
          <w:b/>
        </w:rPr>
      </w:pPr>
    </w:p>
    <w:p w14:paraId="63E2E484" w14:textId="319C18AC" w:rsidR="00084476" w:rsidRPr="0007572B" w:rsidRDefault="00084476" w:rsidP="006F1659">
      <w:pPr>
        <w:spacing w:line="360" w:lineRule="auto"/>
        <w:rPr>
          <w:rFonts w:ascii="Arial" w:hAnsi="Arial" w:cs="Arial"/>
        </w:rPr>
      </w:pPr>
      <w:r w:rsidRPr="0007572B">
        <w:rPr>
          <w:rFonts w:ascii="Arial" w:hAnsi="Arial" w:cs="Arial"/>
          <w:b/>
        </w:rPr>
        <w:t xml:space="preserve">The Financial Instruments Revaluation Reserve </w:t>
      </w:r>
      <w:r w:rsidRPr="0007572B">
        <w:rPr>
          <w:rFonts w:ascii="Arial" w:hAnsi="Arial" w:cs="Arial"/>
        </w:rPr>
        <w:t>contains the gains made by</w:t>
      </w:r>
      <w:r w:rsidRPr="0007572B">
        <w:rPr>
          <w:rFonts w:ascii="Arial" w:hAnsi="Arial" w:cs="Arial"/>
          <w:b/>
        </w:rPr>
        <w:t xml:space="preserve"> </w:t>
      </w:r>
      <w:r w:rsidRPr="0007572B">
        <w:rPr>
          <w:rFonts w:ascii="Arial" w:hAnsi="Arial" w:cs="Arial"/>
        </w:rPr>
        <w:t xml:space="preserve">the </w:t>
      </w:r>
      <w:r w:rsidR="00D952FE" w:rsidRPr="0007572B">
        <w:rPr>
          <w:rFonts w:ascii="Arial" w:hAnsi="Arial" w:cs="Arial"/>
        </w:rPr>
        <w:t>A</w:t>
      </w:r>
      <w:r w:rsidRPr="0007572B">
        <w:rPr>
          <w:rFonts w:ascii="Arial" w:hAnsi="Arial" w:cs="Arial"/>
        </w:rPr>
        <w:t xml:space="preserve">uthority arising from increases in the fair value of its investments that are measured at fair value through other comprehensive income. </w:t>
      </w:r>
    </w:p>
    <w:p w14:paraId="07CEE264" w14:textId="3DFDD30C" w:rsidR="004C6295" w:rsidRPr="0007572B" w:rsidRDefault="004C6295" w:rsidP="006F1659">
      <w:pPr>
        <w:spacing w:line="360" w:lineRule="auto"/>
        <w:rPr>
          <w:rFonts w:ascii="Arial" w:hAnsi="Arial" w:cs="Arial"/>
        </w:rPr>
      </w:pPr>
    </w:p>
    <w:p w14:paraId="5B338998" w14:textId="4E1E9F37" w:rsidR="00084476" w:rsidRPr="0007572B" w:rsidRDefault="00084476" w:rsidP="006F1659">
      <w:pPr>
        <w:spacing w:line="360" w:lineRule="auto"/>
        <w:rPr>
          <w:rFonts w:ascii="Arial" w:hAnsi="Arial" w:cs="Arial"/>
        </w:rPr>
      </w:pPr>
      <w:r w:rsidRPr="0007572B">
        <w:rPr>
          <w:rFonts w:ascii="Arial" w:hAnsi="Arial" w:cs="Arial"/>
        </w:rPr>
        <w:t>The balance is reduced when investments with accumulated gains are:</w:t>
      </w:r>
    </w:p>
    <w:p w14:paraId="633280A8" w14:textId="77777777" w:rsidR="00084476" w:rsidRPr="0007572B" w:rsidRDefault="00084476" w:rsidP="006F1659">
      <w:pPr>
        <w:spacing w:line="360" w:lineRule="auto"/>
        <w:rPr>
          <w:rFonts w:ascii="Arial" w:hAnsi="Arial" w:cs="Arial"/>
        </w:rPr>
      </w:pPr>
    </w:p>
    <w:p w14:paraId="237E9136" w14:textId="04895F4C" w:rsidR="00084476" w:rsidRPr="0007572B" w:rsidRDefault="00084476" w:rsidP="006F1659">
      <w:pPr>
        <w:pStyle w:val="ListParagraph"/>
        <w:numPr>
          <w:ilvl w:val="1"/>
          <w:numId w:val="52"/>
        </w:numPr>
        <w:spacing w:line="360" w:lineRule="auto"/>
        <w:rPr>
          <w:rFonts w:ascii="Arial" w:hAnsi="Arial" w:cs="Arial"/>
          <w:sz w:val="24"/>
          <w:szCs w:val="24"/>
        </w:rPr>
      </w:pPr>
      <w:r w:rsidRPr="0007572B">
        <w:rPr>
          <w:rFonts w:ascii="Arial" w:hAnsi="Arial" w:cs="Arial"/>
          <w:sz w:val="24"/>
          <w:szCs w:val="24"/>
        </w:rPr>
        <w:t>Revalued downwards, or impaired and gains are lost</w:t>
      </w:r>
      <w:r w:rsidR="00542C78">
        <w:rPr>
          <w:rFonts w:ascii="Arial" w:hAnsi="Arial" w:cs="Arial"/>
          <w:sz w:val="24"/>
          <w:szCs w:val="24"/>
        </w:rPr>
        <w:t>;</w:t>
      </w:r>
    </w:p>
    <w:p w14:paraId="499598D6" w14:textId="77777777" w:rsidR="00084476" w:rsidRPr="0007572B" w:rsidRDefault="00084476" w:rsidP="006F1659">
      <w:pPr>
        <w:pStyle w:val="ListParagraph"/>
        <w:numPr>
          <w:ilvl w:val="1"/>
          <w:numId w:val="52"/>
        </w:numPr>
        <w:spacing w:line="360" w:lineRule="auto"/>
        <w:rPr>
          <w:rFonts w:ascii="Arial" w:hAnsi="Arial" w:cs="Arial"/>
          <w:sz w:val="24"/>
          <w:szCs w:val="24"/>
        </w:rPr>
      </w:pPr>
      <w:r w:rsidRPr="0007572B">
        <w:rPr>
          <w:rFonts w:ascii="Arial" w:hAnsi="Arial" w:cs="Arial"/>
          <w:sz w:val="24"/>
          <w:szCs w:val="24"/>
        </w:rPr>
        <w:t>Disposed of and the gains are realised.</w:t>
      </w:r>
    </w:p>
    <w:p w14:paraId="39AE18A4" w14:textId="044D5C09" w:rsidR="006E6C8E" w:rsidRPr="0007572B" w:rsidRDefault="006E6C8E" w:rsidP="006F1659">
      <w:pPr>
        <w:spacing w:line="360" w:lineRule="auto"/>
        <w:jc w:val="both"/>
        <w:rPr>
          <w:rFonts w:ascii="Arial" w:hAnsi="Arial" w:cs="Arial"/>
          <w:b/>
          <w:sz w:val="22"/>
          <w:szCs w:val="22"/>
        </w:rPr>
      </w:pPr>
    </w:p>
    <w:p w14:paraId="3FAF67E5" w14:textId="15A947E1" w:rsidR="004254CB" w:rsidRPr="0007572B" w:rsidRDefault="00302053" w:rsidP="006F1659">
      <w:pPr>
        <w:spacing w:line="360" w:lineRule="auto"/>
        <w:jc w:val="both"/>
        <w:rPr>
          <w:rFonts w:ascii="Arial" w:hAnsi="Arial" w:cs="Arial"/>
          <w:b/>
        </w:rPr>
      </w:pPr>
      <w:r w:rsidRPr="00302053">
        <w:rPr>
          <w:noProof/>
        </w:rPr>
        <w:drawing>
          <wp:inline distT="0" distB="0" distL="0" distR="0" wp14:anchorId="51464F4F" wp14:editId="7C8F046A">
            <wp:extent cx="4925695" cy="1285240"/>
            <wp:effectExtent l="0" t="0" r="825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25695" cy="1285240"/>
                    </a:xfrm>
                    <a:prstGeom prst="rect">
                      <a:avLst/>
                    </a:prstGeom>
                    <a:noFill/>
                    <a:ln>
                      <a:noFill/>
                    </a:ln>
                  </pic:spPr>
                </pic:pic>
              </a:graphicData>
            </a:graphic>
          </wp:inline>
        </w:drawing>
      </w:r>
    </w:p>
    <w:p w14:paraId="1B8F1B63" w14:textId="061F98B2" w:rsidR="0038082E" w:rsidRDefault="0038082E" w:rsidP="006F1659">
      <w:pPr>
        <w:spacing w:line="360" w:lineRule="auto"/>
        <w:rPr>
          <w:rFonts w:ascii="Arial" w:hAnsi="Arial" w:cs="Arial"/>
          <w:b/>
        </w:rPr>
      </w:pPr>
    </w:p>
    <w:p w14:paraId="29F36C29" w14:textId="23A211BC" w:rsidR="007A2501" w:rsidRPr="0007572B" w:rsidRDefault="007A2501" w:rsidP="006F1659">
      <w:pPr>
        <w:spacing w:line="360" w:lineRule="auto"/>
        <w:rPr>
          <w:rFonts w:ascii="Arial" w:hAnsi="Arial" w:cs="Arial"/>
        </w:rPr>
      </w:pPr>
      <w:r w:rsidRPr="0007572B">
        <w:rPr>
          <w:rFonts w:ascii="Arial" w:hAnsi="Arial" w:cs="Arial"/>
          <w:b/>
        </w:rPr>
        <w:t>The Collection Fund Adjustment Account</w:t>
      </w:r>
      <w:r w:rsidRPr="0007572B">
        <w:rPr>
          <w:rFonts w:ascii="Arial" w:hAnsi="Arial" w:cs="Arial"/>
        </w:rPr>
        <w:t xml:space="preserve"> manages the differences arising from the recognition of the Authority’s portion of council tax income and national non</w:t>
      </w:r>
      <w:r w:rsidR="000C364F" w:rsidRPr="0007572B">
        <w:rPr>
          <w:rFonts w:ascii="Arial" w:hAnsi="Arial" w:cs="Arial"/>
        </w:rPr>
        <w:t>-</w:t>
      </w:r>
      <w:r w:rsidRPr="0007572B">
        <w:rPr>
          <w:rFonts w:ascii="Arial" w:hAnsi="Arial" w:cs="Arial"/>
        </w:rPr>
        <w:t>domestic rates income in the CIES as it falls due from payers compared with statutory arrangements for paying across amounts due to the Authority from billing authorities.</w:t>
      </w:r>
    </w:p>
    <w:p w14:paraId="7A892DC5" w14:textId="77777777" w:rsidR="00261260" w:rsidRPr="0007572B" w:rsidRDefault="00261260" w:rsidP="006F1659">
      <w:pPr>
        <w:spacing w:line="360" w:lineRule="auto"/>
        <w:jc w:val="both"/>
        <w:rPr>
          <w:rFonts w:ascii="Arial" w:hAnsi="Arial" w:cs="Arial"/>
          <w:b/>
        </w:rPr>
      </w:pPr>
    </w:p>
    <w:p w14:paraId="7BADC657" w14:textId="08E14FB8" w:rsidR="00B61F27" w:rsidRPr="0007572B" w:rsidRDefault="00DC0FFE" w:rsidP="006F1659">
      <w:pPr>
        <w:spacing w:line="360" w:lineRule="auto"/>
        <w:jc w:val="both"/>
        <w:rPr>
          <w:rFonts w:ascii="Arial" w:hAnsi="Arial" w:cs="Arial"/>
          <w:b/>
          <w:sz w:val="22"/>
          <w:szCs w:val="22"/>
        </w:rPr>
      </w:pPr>
      <w:r w:rsidRPr="00DC0FFE">
        <w:rPr>
          <w:noProof/>
        </w:rPr>
        <w:drawing>
          <wp:inline distT="0" distB="0" distL="0" distR="0" wp14:anchorId="0A4497CD" wp14:editId="1B37DC48">
            <wp:extent cx="5602605" cy="106217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27391" cy="1066872"/>
                    </a:xfrm>
                    <a:prstGeom prst="rect">
                      <a:avLst/>
                    </a:prstGeom>
                    <a:noFill/>
                    <a:ln>
                      <a:noFill/>
                    </a:ln>
                  </pic:spPr>
                </pic:pic>
              </a:graphicData>
            </a:graphic>
          </wp:inline>
        </w:drawing>
      </w:r>
    </w:p>
    <w:p w14:paraId="3AD80067" w14:textId="6F2C6166" w:rsidR="004254CB" w:rsidRPr="0007572B" w:rsidRDefault="004254CB" w:rsidP="006F1659">
      <w:pPr>
        <w:spacing w:line="360" w:lineRule="auto"/>
        <w:jc w:val="both"/>
        <w:rPr>
          <w:rFonts w:ascii="Arial" w:hAnsi="Arial" w:cs="Arial"/>
          <w:b/>
        </w:rPr>
      </w:pPr>
    </w:p>
    <w:p w14:paraId="48EAA31C" w14:textId="2F49DDA6" w:rsidR="007A2501" w:rsidRPr="0007572B" w:rsidRDefault="007A2501" w:rsidP="006F1659">
      <w:pPr>
        <w:spacing w:line="360" w:lineRule="auto"/>
        <w:rPr>
          <w:rFonts w:ascii="Arial" w:hAnsi="Arial" w:cs="Arial"/>
        </w:rPr>
      </w:pPr>
      <w:r w:rsidRPr="0007572B">
        <w:rPr>
          <w:rFonts w:ascii="Arial" w:hAnsi="Arial" w:cs="Arial"/>
          <w:b/>
        </w:rPr>
        <w:t>The Deferred Capital Receipts Reserve</w:t>
      </w:r>
      <w:r w:rsidR="00CB4C9A" w:rsidRPr="0007572B">
        <w:rPr>
          <w:rFonts w:ascii="Arial" w:hAnsi="Arial" w:cs="Arial"/>
        </w:rPr>
        <w:t xml:space="preserve"> holds the gains recognised on the disposal of non</w:t>
      </w:r>
      <w:r w:rsidR="00DD7CAF" w:rsidRPr="0007572B">
        <w:rPr>
          <w:rFonts w:ascii="Arial" w:hAnsi="Arial" w:cs="Arial"/>
        </w:rPr>
        <w:t>-</w:t>
      </w:r>
      <w:r w:rsidR="00CB4C9A" w:rsidRPr="0007572B">
        <w:rPr>
          <w:rFonts w:ascii="Arial" w:hAnsi="Arial" w:cs="Arial"/>
        </w:rPr>
        <w:t>current assets but for which the cash settlement has yet to take place.</w:t>
      </w:r>
    </w:p>
    <w:p w14:paraId="6C804807" w14:textId="77777777" w:rsidR="00261260" w:rsidRPr="0007572B" w:rsidRDefault="00261260" w:rsidP="006F1659">
      <w:pPr>
        <w:spacing w:line="360" w:lineRule="auto"/>
        <w:jc w:val="both"/>
        <w:rPr>
          <w:rFonts w:ascii="Arial" w:hAnsi="Arial" w:cs="Arial"/>
          <w:b/>
        </w:rPr>
      </w:pPr>
    </w:p>
    <w:p w14:paraId="67F7A60E" w14:textId="3DB0EEAE" w:rsidR="006E6C8E" w:rsidRPr="0007572B" w:rsidRDefault="00542C78" w:rsidP="006F1659">
      <w:pPr>
        <w:spacing w:line="360" w:lineRule="auto"/>
        <w:jc w:val="both"/>
        <w:rPr>
          <w:rFonts w:ascii="Arial" w:hAnsi="Arial" w:cs="Arial"/>
          <w:b/>
          <w:sz w:val="22"/>
          <w:szCs w:val="22"/>
        </w:rPr>
      </w:pPr>
      <w:r w:rsidRPr="00542C78">
        <w:rPr>
          <w:noProof/>
        </w:rPr>
        <w:drawing>
          <wp:inline distT="0" distB="0" distL="0" distR="0" wp14:anchorId="4D916FC0" wp14:editId="25B22137">
            <wp:extent cx="5602605" cy="7435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02605" cy="743585"/>
                    </a:xfrm>
                    <a:prstGeom prst="rect">
                      <a:avLst/>
                    </a:prstGeom>
                    <a:noFill/>
                    <a:ln>
                      <a:noFill/>
                    </a:ln>
                  </pic:spPr>
                </pic:pic>
              </a:graphicData>
            </a:graphic>
          </wp:inline>
        </w:drawing>
      </w:r>
    </w:p>
    <w:p w14:paraId="6315467D" w14:textId="4BE0B26F" w:rsidR="00746C9C" w:rsidRPr="0007572B" w:rsidRDefault="00746C9C" w:rsidP="006F1659">
      <w:pPr>
        <w:spacing w:line="360" w:lineRule="auto"/>
        <w:rPr>
          <w:rFonts w:ascii="Arial" w:hAnsi="Arial" w:cs="Arial"/>
          <w:sz w:val="22"/>
          <w:szCs w:val="22"/>
        </w:rPr>
      </w:pPr>
    </w:p>
    <w:p w14:paraId="50D84206" w14:textId="5C1A6062" w:rsidR="00AC4453" w:rsidRDefault="00AC4453" w:rsidP="006F1659">
      <w:pPr>
        <w:spacing w:line="360" w:lineRule="auto"/>
        <w:rPr>
          <w:rFonts w:ascii="Arial" w:eastAsia="Palatino Linotype" w:hAnsi="Arial" w:cs="Arial"/>
          <w:b/>
          <w:bCs/>
          <w:szCs w:val="28"/>
          <w:lang w:val="en-US"/>
        </w:rPr>
      </w:pPr>
      <w:bookmarkStart w:id="167" w:name="_Toc92894901"/>
      <w:bookmarkStart w:id="168" w:name="_Toc92895205"/>
    </w:p>
    <w:p w14:paraId="59E5D76A" w14:textId="77777777" w:rsidR="00366EB7" w:rsidRDefault="00366EB7" w:rsidP="006F1659">
      <w:pPr>
        <w:spacing w:line="360" w:lineRule="auto"/>
        <w:rPr>
          <w:rFonts w:ascii="Arial" w:eastAsia="Palatino Linotype" w:hAnsi="Arial" w:cs="Arial"/>
          <w:b/>
          <w:bCs/>
          <w:szCs w:val="28"/>
          <w:lang w:val="en-US"/>
        </w:rPr>
      </w:pPr>
      <w:bookmarkStart w:id="169" w:name="_Toc109922639"/>
      <w:r>
        <w:br w:type="page"/>
      </w:r>
    </w:p>
    <w:p w14:paraId="14C60ACD" w14:textId="05319320" w:rsidR="004047A3" w:rsidRPr="0007572B" w:rsidRDefault="00680267" w:rsidP="006F1659">
      <w:pPr>
        <w:pStyle w:val="Heading3greennumbered"/>
        <w:spacing w:line="360" w:lineRule="auto"/>
      </w:pPr>
      <w:r w:rsidRPr="0007572B">
        <w:lastRenderedPageBreak/>
        <w:t>2</w:t>
      </w:r>
      <w:r w:rsidR="00876B48" w:rsidRPr="0007572B">
        <w:t>9</w:t>
      </w:r>
      <w:r w:rsidR="004047A3" w:rsidRPr="0007572B">
        <w:t xml:space="preserve"> Financial Instruments</w:t>
      </w:r>
      <w:bookmarkEnd w:id="167"/>
      <w:bookmarkEnd w:id="168"/>
      <w:bookmarkEnd w:id="169"/>
    </w:p>
    <w:p w14:paraId="7E71DC98" w14:textId="77777777" w:rsidR="00D4492C" w:rsidRDefault="00D4492C" w:rsidP="006F1659">
      <w:pPr>
        <w:spacing w:line="360" w:lineRule="auto"/>
        <w:rPr>
          <w:rFonts w:ascii="Arial" w:hAnsi="Arial" w:cs="Arial"/>
        </w:rPr>
      </w:pPr>
    </w:p>
    <w:p w14:paraId="68F5CE19" w14:textId="7128AFE6" w:rsidR="00CB45BA" w:rsidRDefault="00CB45BA" w:rsidP="006F1659">
      <w:pPr>
        <w:spacing w:line="360" w:lineRule="auto"/>
        <w:rPr>
          <w:rFonts w:ascii="Arial" w:hAnsi="Arial" w:cs="Arial"/>
        </w:rPr>
      </w:pPr>
      <w:r w:rsidRPr="0007572B">
        <w:rPr>
          <w:rFonts w:ascii="Arial" w:hAnsi="Arial" w:cs="Arial"/>
        </w:rPr>
        <w:t>Financial Instruments include the financial assets and liabilities of the Authority. These appear in different sections of the Balance Sheet depending on their characteristics.</w:t>
      </w:r>
    </w:p>
    <w:p w14:paraId="40F0EDFC" w14:textId="77777777" w:rsidR="00D4492C" w:rsidRPr="0007572B" w:rsidRDefault="00D4492C" w:rsidP="006F1659">
      <w:pPr>
        <w:spacing w:line="360" w:lineRule="auto"/>
        <w:rPr>
          <w:rFonts w:ascii="Arial" w:hAnsi="Arial" w:cs="Arial"/>
        </w:rPr>
      </w:pPr>
    </w:p>
    <w:p w14:paraId="1D42A32A" w14:textId="5909EF96" w:rsidR="000E2349" w:rsidRPr="0007572B" w:rsidRDefault="000E2349" w:rsidP="006F1659">
      <w:pPr>
        <w:pStyle w:val="Heading4bold"/>
        <w:spacing w:line="360" w:lineRule="auto"/>
      </w:pPr>
      <w:r w:rsidRPr="0007572B">
        <w:t>Categories of Financial Instruments</w:t>
      </w:r>
    </w:p>
    <w:p w14:paraId="207A3330" w14:textId="77777777" w:rsidR="000E2349" w:rsidRPr="0007572B" w:rsidRDefault="000E2349" w:rsidP="006F1659">
      <w:pPr>
        <w:spacing w:line="360" w:lineRule="auto"/>
        <w:rPr>
          <w:rFonts w:ascii="Arial" w:hAnsi="Arial" w:cs="Arial"/>
        </w:rPr>
      </w:pPr>
    </w:p>
    <w:p w14:paraId="0B0A835F" w14:textId="5422BBF4" w:rsidR="000E2349" w:rsidRPr="0007572B" w:rsidRDefault="000E2349" w:rsidP="006F1659">
      <w:pPr>
        <w:spacing w:line="360" w:lineRule="auto"/>
        <w:rPr>
          <w:rFonts w:ascii="Arial" w:hAnsi="Arial" w:cs="Arial"/>
        </w:rPr>
      </w:pPr>
      <w:r w:rsidRPr="0007572B">
        <w:rPr>
          <w:rFonts w:ascii="Arial" w:hAnsi="Arial" w:cs="Arial"/>
        </w:rPr>
        <w:t xml:space="preserve">The Authority is required to classify its financial assets into one of three categories. </w:t>
      </w:r>
    </w:p>
    <w:p w14:paraId="2D5E7934" w14:textId="77777777" w:rsidR="000E2349" w:rsidRPr="0007572B" w:rsidRDefault="000E2349" w:rsidP="006F1659">
      <w:pPr>
        <w:spacing w:line="360" w:lineRule="auto"/>
        <w:jc w:val="both"/>
        <w:rPr>
          <w:rFonts w:ascii="Arial" w:hAnsi="Arial" w:cs="Arial"/>
        </w:rPr>
      </w:pPr>
    </w:p>
    <w:p w14:paraId="1C5C8161"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Financial Assets held at amortised cost. These assets relate to instruments where the amount received relating to them are solely principal and interest and they are held to generate cashflows. The amount presented in the balance sheet represents the outstanding principal plus any accrued interest. Interest credited to CIES is the amount receivable as per the instrument’s agreement.</w:t>
      </w:r>
    </w:p>
    <w:p w14:paraId="23DC36A3" w14:textId="77777777" w:rsidR="000E2349" w:rsidRPr="0007572B" w:rsidRDefault="000E2349" w:rsidP="006F1659">
      <w:pPr>
        <w:pStyle w:val="ListParagraph"/>
        <w:spacing w:line="360" w:lineRule="auto"/>
        <w:ind w:left="360"/>
        <w:rPr>
          <w:rFonts w:ascii="Arial" w:hAnsi="Arial" w:cs="Arial"/>
          <w:sz w:val="24"/>
          <w:szCs w:val="24"/>
        </w:rPr>
      </w:pPr>
    </w:p>
    <w:p w14:paraId="5228E13B"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Fair Value through Other Comprehensive Income (FVOCI). Amounts received relate to principal and interest but the business model for holding the asset includes the possibility of sale. These assets are measured and carried at fair value. All gains and losses due to changes in fair value are accounted for through a reserve account (the Financial Instruments Revaluation Reserve), with the balance debited or credited to CIES when the asset is disposed of.</w:t>
      </w:r>
    </w:p>
    <w:p w14:paraId="0555825B" w14:textId="77777777" w:rsidR="000E2349" w:rsidRPr="0007572B" w:rsidRDefault="000E2349" w:rsidP="006F1659">
      <w:pPr>
        <w:pStyle w:val="ListParagraph"/>
        <w:spacing w:line="360" w:lineRule="auto"/>
        <w:ind w:left="360"/>
        <w:rPr>
          <w:rFonts w:ascii="Arial" w:hAnsi="Arial" w:cs="Arial"/>
          <w:sz w:val="24"/>
          <w:szCs w:val="24"/>
        </w:rPr>
      </w:pPr>
    </w:p>
    <w:p w14:paraId="3C76A271"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Fair Value Through Profit and Loss (FVPL) – all other instruments where the amounts received relating to them are not principal and interest, for example dividends as part of equity instruments. These assets are measured and carried at fair value. All gains and losses due to changes in fair value (both realised and unrealised) are recognised in the CIES as they occur.</w:t>
      </w:r>
    </w:p>
    <w:p w14:paraId="4E95094F" w14:textId="6F06F671" w:rsidR="000E2349" w:rsidRDefault="000E2349" w:rsidP="006F1659">
      <w:pPr>
        <w:spacing w:line="360" w:lineRule="auto"/>
        <w:rPr>
          <w:rFonts w:ascii="Arial" w:hAnsi="Arial" w:cs="Arial"/>
        </w:rPr>
      </w:pPr>
      <w:r w:rsidRPr="0007572B">
        <w:rPr>
          <w:rFonts w:ascii="Arial" w:hAnsi="Arial" w:cs="Arial"/>
        </w:rPr>
        <w:t>The following tables show the categories of financial instruments which are carried in the Balance Sheet:</w:t>
      </w:r>
    </w:p>
    <w:p w14:paraId="79294203" w14:textId="18BD4404" w:rsidR="00EC0C92" w:rsidRDefault="00EC0C92" w:rsidP="006F1659">
      <w:pPr>
        <w:spacing w:line="360" w:lineRule="auto"/>
        <w:rPr>
          <w:rFonts w:ascii="Arial" w:hAnsi="Arial" w:cs="Arial"/>
        </w:rPr>
      </w:pPr>
    </w:p>
    <w:p w14:paraId="2FE70C3F" w14:textId="2A238368" w:rsidR="00EC0C92" w:rsidRPr="0007572B" w:rsidRDefault="00E95DDB" w:rsidP="006F1659">
      <w:pPr>
        <w:spacing w:line="360" w:lineRule="auto"/>
        <w:rPr>
          <w:rFonts w:ascii="Arial" w:hAnsi="Arial" w:cs="Arial"/>
        </w:rPr>
      </w:pPr>
      <w:r w:rsidRPr="00E95DDB">
        <w:rPr>
          <w:noProof/>
        </w:rPr>
        <w:lastRenderedPageBreak/>
        <w:drawing>
          <wp:inline distT="0" distB="0" distL="0" distR="0" wp14:anchorId="2DCA7FE8" wp14:editId="5B855935">
            <wp:extent cx="5633149" cy="1816100"/>
            <wp:effectExtent l="0" t="0" r="571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54860" cy="1823100"/>
                    </a:xfrm>
                    <a:prstGeom prst="rect">
                      <a:avLst/>
                    </a:prstGeom>
                    <a:noFill/>
                    <a:ln>
                      <a:noFill/>
                    </a:ln>
                  </pic:spPr>
                </pic:pic>
              </a:graphicData>
            </a:graphic>
          </wp:inline>
        </w:drawing>
      </w:r>
    </w:p>
    <w:p w14:paraId="0F900FA9" w14:textId="77777777" w:rsidR="000B1D0E" w:rsidRPr="0007572B" w:rsidRDefault="000B1D0E" w:rsidP="006F1659">
      <w:pPr>
        <w:spacing w:line="360" w:lineRule="auto"/>
        <w:jc w:val="both"/>
        <w:rPr>
          <w:rFonts w:ascii="Arial" w:hAnsi="Arial" w:cs="Arial"/>
        </w:rPr>
      </w:pPr>
    </w:p>
    <w:p w14:paraId="7290F92E" w14:textId="316057BB" w:rsidR="00EC0C92" w:rsidRDefault="00E95DDB" w:rsidP="006F1659">
      <w:pPr>
        <w:spacing w:line="360" w:lineRule="auto"/>
        <w:rPr>
          <w:rFonts w:ascii="Arial" w:hAnsi="Arial" w:cs="Arial"/>
          <w:sz w:val="22"/>
          <w:szCs w:val="22"/>
        </w:rPr>
      </w:pPr>
      <w:r w:rsidRPr="00E95DDB">
        <w:rPr>
          <w:noProof/>
        </w:rPr>
        <w:drawing>
          <wp:inline distT="0" distB="0" distL="0" distR="0" wp14:anchorId="4F1A8B87" wp14:editId="63C69838">
            <wp:extent cx="5975350" cy="953770"/>
            <wp:effectExtent l="0" t="0" r="635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5350" cy="953770"/>
                    </a:xfrm>
                    <a:prstGeom prst="rect">
                      <a:avLst/>
                    </a:prstGeom>
                    <a:noFill/>
                    <a:ln>
                      <a:noFill/>
                    </a:ln>
                  </pic:spPr>
                </pic:pic>
              </a:graphicData>
            </a:graphic>
          </wp:inline>
        </w:drawing>
      </w:r>
    </w:p>
    <w:p w14:paraId="7511BF81" w14:textId="77777777" w:rsidR="00EC0C92" w:rsidRDefault="00EC0C92" w:rsidP="006F1659">
      <w:pPr>
        <w:spacing w:line="360" w:lineRule="auto"/>
        <w:rPr>
          <w:rFonts w:ascii="Arial" w:hAnsi="Arial" w:cs="Arial"/>
          <w:sz w:val="22"/>
          <w:szCs w:val="22"/>
        </w:rPr>
      </w:pPr>
    </w:p>
    <w:p w14:paraId="30784658" w14:textId="7F1734F5" w:rsidR="000B1D0E" w:rsidRDefault="00302053" w:rsidP="006F1659">
      <w:pPr>
        <w:spacing w:line="360" w:lineRule="auto"/>
        <w:jc w:val="both"/>
        <w:rPr>
          <w:rFonts w:ascii="Arial" w:hAnsi="Arial" w:cs="Arial"/>
          <w:sz w:val="22"/>
          <w:szCs w:val="22"/>
        </w:rPr>
      </w:pPr>
      <w:r w:rsidRPr="00302053">
        <w:rPr>
          <w:noProof/>
        </w:rPr>
        <w:drawing>
          <wp:inline distT="0" distB="0" distL="0" distR="0" wp14:anchorId="0D87A8D6" wp14:editId="6C134D8F">
            <wp:extent cx="5975350" cy="1173480"/>
            <wp:effectExtent l="0" t="0" r="635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75350" cy="1173480"/>
                    </a:xfrm>
                    <a:prstGeom prst="rect">
                      <a:avLst/>
                    </a:prstGeom>
                    <a:noFill/>
                    <a:ln>
                      <a:noFill/>
                    </a:ln>
                  </pic:spPr>
                </pic:pic>
              </a:graphicData>
            </a:graphic>
          </wp:inline>
        </w:drawing>
      </w:r>
    </w:p>
    <w:p w14:paraId="112F6A2D" w14:textId="4C2E9099" w:rsidR="00BC6411" w:rsidRDefault="00BC6411" w:rsidP="006F1659">
      <w:pPr>
        <w:spacing w:line="360" w:lineRule="auto"/>
        <w:jc w:val="both"/>
        <w:rPr>
          <w:rFonts w:ascii="Arial" w:hAnsi="Arial" w:cs="Arial"/>
          <w:sz w:val="22"/>
          <w:szCs w:val="22"/>
        </w:rPr>
      </w:pPr>
    </w:p>
    <w:p w14:paraId="3C964428" w14:textId="7122358D" w:rsidR="00EC0C92" w:rsidRDefault="00302053" w:rsidP="006F1659">
      <w:pPr>
        <w:spacing w:line="360" w:lineRule="auto"/>
        <w:jc w:val="both"/>
        <w:rPr>
          <w:rFonts w:ascii="Arial" w:hAnsi="Arial" w:cs="Arial"/>
          <w:b/>
          <w:sz w:val="22"/>
          <w:szCs w:val="22"/>
        </w:rPr>
      </w:pPr>
      <w:r w:rsidRPr="00302053">
        <w:rPr>
          <w:noProof/>
        </w:rPr>
        <w:drawing>
          <wp:inline distT="0" distB="0" distL="0" distR="0" wp14:anchorId="551ED19B" wp14:editId="218D3BBD">
            <wp:extent cx="5975350" cy="1181100"/>
            <wp:effectExtent l="0" t="0" r="635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5350" cy="1181100"/>
                    </a:xfrm>
                    <a:prstGeom prst="rect">
                      <a:avLst/>
                    </a:prstGeom>
                    <a:noFill/>
                    <a:ln>
                      <a:noFill/>
                    </a:ln>
                  </pic:spPr>
                </pic:pic>
              </a:graphicData>
            </a:graphic>
          </wp:inline>
        </w:drawing>
      </w:r>
    </w:p>
    <w:p w14:paraId="676B2CEE" w14:textId="6CDFF20D" w:rsidR="004047A3" w:rsidRPr="0007572B" w:rsidRDefault="004047A3" w:rsidP="006F1659">
      <w:pPr>
        <w:spacing w:line="360" w:lineRule="auto"/>
        <w:rPr>
          <w:rFonts w:ascii="Arial" w:hAnsi="Arial" w:cs="Arial"/>
          <w:sz w:val="22"/>
          <w:szCs w:val="22"/>
        </w:rPr>
      </w:pPr>
    </w:p>
    <w:p w14:paraId="213BA419" w14:textId="77777777" w:rsidR="00D13C6D" w:rsidRDefault="005F4456" w:rsidP="006F1659">
      <w:pPr>
        <w:spacing w:line="360" w:lineRule="auto"/>
        <w:rPr>
          <w:rFonts w:ascii="Arial" w:hAnsi="Arial" w:cs="Arial"/>
        </w:rPr>
      </w:pPr>
      <w:r w:rsidRPr="003F33EC">
        <w:rPr>
          <w:rFonts w:ascii="Arial" w:hAnsi="Arial" w:cs="Arial"/>
        </w:rPr>
        <w:t xml:space="preserve">The Authority </w:t>
      </w:r>
      <w:r w:rsidR="00BE0E75" w:rsidRPr="003F33EC">
        <w:rPr>
          <w:rFonts w:ascii="Arial" w:hAnsi="Arial" w:cs="Arial"/>
        </w:rPr>
        <w:t>p</w:t>
      </w:r>
      <w:r w:rsidRPr="003F33EC">
        <w:rPr>
          <w:rFonts w:ascii="Arial" w:hAnsi="Arial" w:cs="Arial"/>
        </w:rPr>
        <w:t>rovided two loans to the Growth Company in 2020/21 at less than market rates of interest (these are known as soft loans)</w:t>
      </w:r>
      <w:r w:rsidR="000B5A53" w:rsidRPr="003F33EC">
        <w:rPr>
          <w:rFonts w:ascii="Arial" w:hAnsi="Arial" w:cs="Arial"/>
        </w:rPr>
        <w:t xml:space="preserve">. </w:t>
      </w:r>
    </w:p>
    <w:p w14:paraId="5A425B10" w14:textId="77777777" w:rsidR="00D13C6D" w:rsidRDefault="00D13C6D" w:rsidP="006F1659">
      <w:pPr>
        <w:spacing w:line="360" w:lineRule="auto"/>
        <w:rPr>
          <w:rFonts w:ascii="Arial" w:hAnsi="Arial" w:cs="Arial"/>
        </w:rPr>
      </w:pPr>
    </w:p>
    <w:p w14:paraId="737805C0" w14:textId="1668FFF4" w:rsidR="002E7A9F" w:rsidRPr="003F33EC" w:rsidRDefault="002E7A9F" w:rsidP="006F1659">
      <w:pPr>
        <w:pStyle w:val="ListParagraph"/>
        <w:numPr>
          <w:ilvl w:val="0"/>
          <w:numId w:val="48"/>
        </w:numPr>
        <w:spacing w:line="360" w:lineRule="auto"/>
        <w:rPr>
          <w:rFonts w:ascii="Arial" w:hAnsi="Arial" w:cs="Arial"/>
          <w:sz w:val="24"/>
          <w:szCs w:val="24"/>
        </w:rPr>
      </w:pPr>
      <w:r w:rsidRPr="003F33EC">
        <w:rPr>
          <w:rFonts w:ascii="Arial" w:hAnsi="Arial" w:cs="Arial"/>
          <w:sz w:val="24"/>
          <w:szCs w:val="24"/>
        </w:rPr>
        <w:t>a</w:t>
      </w:r>
      <w:r w:rsidR="005F4456" w:rsidRPr="003F33EC">
        <w:rPr>
          <w:rFonts w:ascii="Arial" w:hAnsi="Arial" w:cs="Arial"/>
          <w:sz w:val="24"/>
          <w:szCs w:val="24"/>
        </w:rPr>
        <w:t xml:space="preserve"> £1.5m loan for the </w:t>
      </w:r>
      <w:r w:rsidR="005F4456" w:rsidRPr="003F33EC">
        <w:rPr>
          <w:rFonts w:ascii="Arial" w:eastAsiaTheme="minorHAnsi" w:hAnsi="Arial" w:cs="Arial"/>
          <w:sz w:val="24"/>
          <w:szCs w:val="24"/>
        </w:rPr>
        <w:t>Coronavirus Business Interruption Scheme (CBILS)</w:t>
      </w:r>
      <w:r w:rsidRPr="003F33EC">
        <w:rPr>
          <w:rFonts w:ascii="Arial" w:eastAsiaTheme="minorHAnsi" w:hAnsi="Arial" w:cs="Arial"/>
          <w:sz w:val="24"/>
          <w:szCs w:val="24"/>
        </w:rPr>
        <w:t>;</w:t>
      </w:r>
      <w:r w:rsidR="005F4456" w:rsidRPr="003F33EC">
        <w:rPr>
          <w:rFonts w:ascii="Arial" w:eastAsiaTheme="minorHAnsi" w:hAnsi="Arial" w:cs="Arial"/>
          <w:sz w:val="24"/>
          <w:szCs w:val="24"/>
        </w:rPr>
        <w:t xml:space="preserve"> </w:t>
      </w:r>
      <w:r w:rsidR="005F4456" w:rsidRPr="003F33EC">
        <w:rPr>
          <w:rFonts w:ascii="Arial" w:hAnsi="Arial" w:cs="Arial"/>
          <w:sz w:val="24"/>
          <w:szCs w:val="24"/>
        </w:rPr>
        <w:t>and</w:t>
      </w:r>
    </w:p>
    <w:p w14:paraId="6D5BDDEA" w14:textId="51550E62" w:rsidR="005F4456" w:rsidRDefault="005F4456" w:rsidP="006F1659">
      <w:pPr>
        <w:pStyle w:val="ListParagraph"/>
        <w:numPr>
          <w:ilvl w:val="0"/>
          <w:numId w:val="48"/>
        </w:numPr>
        <w:spacing w:line="360" w:lineRule="auto"/>
        <w:rPr>
          <w:rFonts w:ascii="Arial" w:hAnsi="Arial" w:cs="Arial"/>
          <w:sz w:val="24"/>
          <w:szCs w:val="24"/>
        </w:rPr>
      </w:pPr>
      <w:r w:rsidRPr="003F33EC">
        <w:rPr>
          <w:rFonts w:ascii="Arial" w:hAnsi="Arial" w:cs="Arial"/>
          <w:sz w:val="24"/>
          <w:szCs w:val="24"/>
        </w:rPr>
        <w:t xml:space="preserve">a £6m loan for the Bounceback Loan Scheme, where the </w:t>
      </w:r>
      <w:r w:rsidRPr="003F33EC">
        <w:rPr>
          <w:rFonts w:ascii="Arial" w:eastAsiaTheme="minorHAnsi" w:hAnsi="Arial" w:cs="Arial"/>
          <w:sz w:val="24"/>
          <w:szCs w:val="24"/>
        </w:rPr>
        <w:t xml:space="preserve">Growth Company Business Finance </w:t>
      </w:r>
      <w:r w:rsidRPr="003F33EC">
        <w:rPr>
          <w:rFonts w:ascii="Arial" w:hAnsi="Arial" w:cs="Arial"/>
          <w:sz w:val="24"/>
          <w:szCs w:val="24"/>
        </w:rPr>
        <w:t xml:space="preserve">division </w:t>
      </w:r>
      <w:r w:rsidRPr="003F33EC">
        <w:rPr>
          <w:rFonts w:ascii="Arial" w:eastAsiaTheme="minorHAnsi" w:hAnsi="Arial" w:cs="Arial"/>
          <w:sz w:val="24"/>
          <w:szCs w:val="24"/>
        </w:rPr>
        <w:t xml:space="preserve">are administering financial support to businesses as an accredited </w:t>
      </w:r>
      <w:r w:rsidRPr="003F33EC">
        <w:rPr>
          <w:rFonts w:ascii="Arial" w:hAnsi="Arial" w:cs="Arial"/>
          <w:sz w:val="24"/>
          <w:szCs w:val="24"/>
        </w:rPr>
        <w:t xml:space="preserve">loan </w:t>
      </w:r>
      <w:r w:rsidRPr="003F33EC">
        <w:rPr>
          <w:rFonts w:ascii="Arial" w:eastAsiaTheme="minorHAnsi" w:hAnsi="Arial" w:cs="Arial"/>
          <w:sz w:val="24"/>
          <w:szCs w:val="24"/>
        </w:rPr>
        <w:t>provider</w:t>
      </w:r>
      <w:r w:rsidRPr="003F33EC">
        <w:rPr>
          <w:rFonts w:ascii="Arial" w:hAnsi="Arial" w:cs="Arial"/>
          <w:sz w:val="24"/>
          <w:szCs w:val="24"/>
        </w:rPr>
        <w:t>.</w:t>
      </w:r>
    </w:p>
    <w:p w14:paraId="08A24B36" w14:textId="77777777" w:rsidR="005A5CC8" w:rsidRDefault="005A5CC8" w:rsidP="006F1659">
      <w:pPr>
        <w:spacing w:line="360" w:lineRule="auto"/>
        <w:rPr>
          <w:rFonts w:ascii="Arial" w:hAnsi="Arial" w:cs="Arial"/>
        </w:rPr>
      </w:pPr>
    </w:p>
    <w:p w14:paraId="77B7CD38" w14:textId="77777777" w:rsidR="00507AE3" w:rsidRDefault="00507AE3" w:rsidP="006F1659">
      <w:pPr>
        <w:spacing w:line="360" w:lineRule="auto"/>
        <w:rPr>
          <w:rFonts w:ascii="Arial" w:hAnsi="Arial" w:cs="Arial"/>
        </w:rPr>
      </w:pPr>
    </w:p>
    <w:p w14:paraId="07790F87" w14:textId="48769797" w:rsidR="00D13C6D" w:rsidRDefault="00D13C6D" w:rsidP="006F1659">
      <w:pPr>
        <w:spacing w:line="360" w:lineRule="auto"/>
        <w:rPr>
          <w:rFonts w:ascii="Arial" w:hAnsi="Arial" w:cs="Arial"/>
        </w:rPr>
      </w:pPr>
      <w:r w:rsidRPr="003F33EC">
        <w:rPr>
          <w:rFonts w:ascii="Arial" w:hAnsi="Arial" w:cs="Arial"/>
        </w:rPr>
        <w:lastRenderedPageBreak/>
        <w:t>A furt</w:t>
      </w:r>
      <w:r>
        <w:rPr>
          <w:rFonts w:ascii="Arial" w:hAnsi="Arial" w:cs="Arial"/>
        </w:rPr>
        <w:t>h</w:t>
      </w:r>
      <w:r w:rsidRPr="003F33EC">
        <w:rPr>
          <w:rFonts w:ascii="Arial" w:hAnsi="Arial" w:cs="Arial"/>
        </w:rPr>
        <w:t>er soft loan was issued in 2022/23:</w:t>
      </w:r>
    </w:p>
    <w:p w14:paraId="25586FEB" w14:textId="77777777" w:rsidR="00507AE3" w:rsidRPr="003F33EC" w:rsidRDefault="00507AE3" w:rsidP="006F1659">
      <w:pPr>
        <w:spacing w:line="360" w:lineRule="auto"/>
        <w:rPr>
          <w:rFonts w:ascii="Arial" w:hAnsi="Arial" w:cs="Arial"/>
        </w:rPr>
      </w:pPr>
    </w:p>
    <w:p w14:paraId="75F352CF" w14:textId="7C2CC8CC" w:rsidR="000933D8" w:rsidRPr="00D13C6D" w:rsidRDefault="00D13C6D" w:rsidP="006F1659">
      <w:pPr>
        <w:pStyle w:val="ListParagraph"/>
        <w:numPr>
          <w:ilvl w:val="0"/>
          <w:numId w:val="48"/>
        </w:numPr>
        <w:spacing w:line="360" w:lineRule="auto"/>
        <w:rPr>
          <w:rFonts w:ascii="Arial" w:hAnsi="Arial" w:cs="Arial"/>
          <w:sz w:val="24"/>
          <w:szCs w:val="24"/>
        </w:rPr>
      </w:pPr>
      <w:r>
        <w:rPr>
          <w:rFonts w:ascii="Arial" w:hAnsi="Arial" w:cs="Arial"/>
          <w:sz w:val="24"/>
          <w:szCs w:val="24"/>
        </w:rPr>
        <w:t>a</w:t>
      </w:r>
      <w:r w:rsidR="003F33EC" w:rsidRPr="00D13C6D">
        <w:rPr>
          <w:rFonts w:ascii="Arial" w:hAnsi="Arial" w:cs="Arial"/>
          <w:sz w:val="24"/>
          <w:szCs w:val="24"/>
        </w:rPr>
        <w:t xml:space="preserve"> £0.2m </w:t>
      </w:r>
      <w:r w:rsidRPr="00D13C6D">
        <w:rPr>
          <w:rFonts w:ascii="Arial" w:hAnsi="Arial" w:cs="Arial"/>
          <w:sz w:val="24"/>
          <w:szCs w:val="24"/>
        </w:rPr>
        <w:t>convertible loan note</w:t>
      </w:r>
      <w:r w:rsidR="003F33EC" w:rsidRPr="00D13C6D">
        <w:rPr>
          <w:rFonts w:ascii="Arial" w:hAnsi="Arial" w:cs="Arial"/>
          <w:sz w:val="24"/>
          <w:szCs w:val="24"/>
        </w:rPr>
        <w:t xml:space="preserve"> </w:t>
      </w:r>
    </w:p>
    <w:p w14:paraId="4715B279" w14:textId="77777777" w:rsidR="00EC0C92" w:rsidRPr="002E7A9F" w:rsidRDefault="00EC0C92" w:rsidP="006F1659">
      <w:pPr>
        <w:pStyle w:val="ListParagraph"/>
        <w:spacing w:line="360" w:lineRule="auto"/>
        <w:rPr>
          <w:rFonts w:ascii="Arial" w:hAnsi="Arial" w:cs="Arial"/>
          <w:sz w:val="24"/>
          <w:szCs w:val="24"/>
        </w:rPr>
      </w:pPr>
    </w:p>
    <w:p w14:paraId="785D3AE3" w14:textId="61254C55" w:rsidR="005F4456" w:rsidRDefault="00E95DDB" w:rsidP="006F1659">
      <w:pPr>
        <w:spacing w:line="360" w:lineRule="auto"/>
        <w:rPr>
          <w:rFonts w:ascii="Arial" w:hAnsi="Arial" w:cs="Arial"/>
        </w:rPr>
      </w:pPr>
      <w:r w:rsidRPr="00E95DDB">
        <w:rPr>
          <w:noProof/>
        </w:rPr>
        <w:drawing>
          <wp:inline distT="0" distB="0" distL="0" distR="0" wp14:anchorId="36C3697A" wp14:editId="49872863">
            <wp:extent cx="4852670" cy="1276350"/>
            <wp:effectExtent l="0" t="0" r="508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52670" cy="1276350"/>
                    </a:xfrm>
                    <a:prstGeom prst="rect">
                      <a:avLst/>
                    </a:prstGeom>
                    <a:noFill/>
                    <a:ln>
                      <a:noFill/>
                    </a:ln>
                  </pic:spPr>
                </pic:pic>
              </a:graphicData>
            </a:graphic>
          </wp:inline>
        </w:drawing>
      </w:r>
    </w:p>
    <w:p w14:paraId="7861992D" w14:textId="77777777" w:rsidR="00EC0C92" w:rsidRPr="0007572B" w:rsidRDefault="00EC0C92" w:rsidP="006F1659">
      <w:pPr>
        <w:spacing w:line="360" w:lineRule="auto"/>
        <w:rPr>
          <w:rFonts w:ascii="Arial" w:hAnsi="Arial" w:cs="Arial"/>
        </w:rPr>
      </w:pPr>
    </w:p>
    <w:p w14:paraId="7C9B8D53" w14:textId="79FBFC4E" w:rsidR="00E95DDB" w:rsidRDefault="005F4456" w:rsidP="006F1659">
      <w:pPr>
        <w:spacing w:line="360" w:lineRule="auto"/>
      </w:pPr>
      <w:r w:rsidRPr="0007572B">
        <w:rPr>
          <w:rFonts w:ascii="Arial" w:hAnsi="Arial" w:cs="Arial"/>
        </w:rPr>
        <w:t xml:space="preserve">When the loans are made the amount of interest forgone over the life of the loan is charged to the </w:t>
      </w:r>
      <w:r w:rsidR="00577AA5" w:rsidRPr="0007572B">
        <w:rPr>
          <w:rFonts w:ascii="Arial" w:hAnsi="Arial" w:cs="Arial"/>
        </w:rPr>
        <w:t>CIES</w:t>
      </w:r>
      <w:r w:rsidRPr="0007572B">
        <w:rPr>
          <w:rFonts w:ascii="Arial" w:hAnsi="Arial" w:cs="Arial"/>
        </w:rPr>
        <w:t xml:space="preserve"> (debited to the appropriate service line) and the outstanding principal is reduced on the Balance Sheet. This represents the present value of the interest that will be forgone over the life of the loan agreement. Statutory provisions require that the impact of soft loans on the General Fund balance is the interest receivable in the year, so the amount of foregone interest is managed by a transfer from the Financial Instruments Adjustment Account to the Movement in Reserves Statement. </w:t>
      </w:r>
    </w:p>
    <w:p w14:paraId="4B4B1580" w14:textId="77777777" w:rsidR="00507AE3" w:rsidRDefault="00507AE3" w:rsidP="006F1659">
      <w:pPr>
        <w:spacing w:line="360" w:lineRule="auto"/>
        <w:rPr>
          <w:rFonts w:ascii="Arial" w:hAnsi="Arial" w:cs="Arial"/>
          <w:b/>
          <w:bCs/>
        </w:rPr>
      </w:pPr>
    </w:p>
    <w:p w14:paraId="621DC996" w14:textId="1197837A" w:rsidR="000E2349" w:rsidRPr="0007572B" w:rsidRDefault="000E2349" w:rsidP="006F1659">
      <w:pPr>
        <w:pStyle w:val="Heading4bold"/>
        <w:spacing w:line="360" w:lineRule="auto"/>
      </w:pPr>
      <w:r w:rsidRPr="0007572B">
        <w:t xml:space="preserve">Income, Expenses, </w:t>
      </w:r>
      <w:r w:rsidR="00F400A1" w:rsidRPr="0007572B">
        <w:t>G</w:t>
      </w:r>
      <w:r w:rsidRPr="0007572B">
        <w:t>ains and Losses</w:t>
      </w:r>
    </w:p>
    <w:p w14:paraId="40EA398F" w14:textId="43EC9CAA" w:rsidR="00261260" w:rsidRPr="0007572B" w:rsidRDefault="000E2349" w:rsidP="006F1659">
      <w:pPr>
        <w:spacing w:line="360" w:lineRule="auto"/>
        <w:rPr>
          <w:rFonts w:ascii="Arial" w:hAnsi="Arial" w:cs="Arial"/>
        </w:rPr>
      </w:pPr>
      <w:r w:rsidRPr="0007572B">
        <w:rPr>
          <w:rFonts w:ascii="Arial" w:hAnsi="Arial" w:cs="Arial"/>
        </w:rPr>
        <w:t>The gains and losses recognised in the Comprehensive Income and Expenditure Statement in relation to financial instruments are summarised in the table below:</w:t>
      </w:r>
    </w:p>
    <w:p w14:paraId="6742FA46" w14:textId="72222DA2" w:rsidR="000E2349" w:rsidRDefault="000E2349" w:rsidP="006F1659">
      <w:pPr>
        <w:spacing w:line="360" w:lineRule="auto"/>
        <w:jc w:val="both"/>
        <w:rPr>
          <w:rFonts w:ascii="Arial" w:hAnsi="Arial" w:cs="Arial"/>
          <w:b/>
        </w:rPr>
      </w:pPr>
    </w:p>
    <w:p w14:paraId="243D9AA9" w14:textId="1E6FFE9F" w:rsidR="00EC0C92" w:rsidRPr="0007572B" w:rsidRDefault="00E95DDB" w:rsidP="006F1659">
      <w:pPr>
        <w:spacing w:line="360" w:lineRule="auto"/>
        <w:jc w:val="both"/>
        <w:rPr>
          <w:rFonts w:ascii="Arial" w:hAnsi="Arial" w:cs="Arial"/>
          <w:b/>
        </w:rPr>
      </w:pPr>
      <w:r w:rsidRPr="00E95DDB">
        <w:rPr>
          <w:noProof/>
        </w:rPr>
        <w:drawing>
          <wp:inline distT="0" distB="0" distL="0" distR="0" wp14:anchorId="3E012EBF" wp14:editId="366D13A5">
            <wp:extent cx="5975350" cy="2242820"/>
            <wp:effectExtent l="0" t="0" r="6350" b="508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75350" cy="2242820"/>
                    </a:xfrm>
                    <a:prstGeom prst="rect">
                      <a:avLst/>
                    </a:prstGeom>
                    <a:noFill/>
                    <a:ln>
                      <a:noFill/>
                    </a:ln>
                  </pic:spPr>
                </pic:pic>
              </a:graphicData>
            </a:graphic>
          </wp:inline>
        </w:drawing>
      </w:r>
    </w:p>
    <w:p w14:paraId="0D8DA5FF" w14:textId="20F80D29" w:rsidR="006E6C8E" w:rsidRPr="0007572B" w:rsidRDefault="006E6C8E" w:rsidP="006F1659">
      <w:pPr>
        <w:spacing w:line="360" w:lineRule="auto"/>
        <w:jc w:val="both"/>
        <w:rPr>
          <w:rFonts w:ascii="Arial" w:hAnsi="Arial" w:cs="Arial"/>
          <w:b/>
          <w:sz w:val="22"/>
          <w:szCs w:val="22"/>
        </w:rPr>
      </w:pPr>
    </w:p>
    <w:p w14:paraId="27B5ACAF" w14:textId="105AA2EA" w:rsidR="006E6C8E" w:rsidRPr="0007572B" w:rsidRDefault="006E6C8E" w:rsidP="006F1659">
      <w:pPr>
        <w:spacing w:line="360" w:lineRule="auto"/>
        <w:jc w:val="both"/>
        <w:rPr>
          <w:rFonts w:ascii="Arial" w:hAnsi="Arial" w:cs="Arial"/>
          <w:b/>
        </w:rPr>
      </w:pPr>
    </w:p>
    <w:p w14:paraId="46C780EE" w14:textId="42E415B0" w:rsidR="000E2349" w:rsidRPr="0007572B" w:rsidRDefault="000E2349" w:rsidP="006F1659">
      <w:pPr>
        <w:pStyle w:val="Heading4bold"/>
        <w:spacing w:line="360" w:lineRule="auto"/>
      </w:pPr>
      <w:r w:rsidRPr="0007572B">
        <w:lastRenderedPageBreak/>
        <w:t>Fair Value of Assets &amp; Liabilities</w:t>
      </w:r>
    </w:p>
    <w:p w14:paraId="0BCCEBA4" w14:textId="77777777" w:rsidR="000E2349" w:rsidRPr="0007572B" w:rsidRDefault="000E2349" w:rsidP="006F1659">
      <w:pPr>
        <w:spacing w:line="360" w:lineRule="auto"/>
        <w:rPr>
          <w:rFonts w:ascii="Arial" w:hAnsi="Arial" w:cs="Arial"/>
        </w:rPr>
      </w:pPr>
      <w:r w:rsidRPr="0007572B">
        <w:rPr>
          <w:rFonts w:ascii="Arial" w:hAnsi="Arial" w:cs="Arial"/>
        </w:rPr>
        <w:t>Fair Value is the price that would be received to sell an asset or paid to transfer a liability in an orderly transaction between market participants at the measurement date.</w:t>
      </w:r>
    </w:p>
    <w:p w14:paraId="4F789904" w14:textId="77777777" w:rsidR="000E2349" w:rsidRPr="0007572B" w:rsidRDefault="000E2349" w:rsidP="006F1659">
      <w:pPr>
        <w:spacing w:line="360" w:lineRule="auto"/>
        <w:rPr>
          <w:rFonts w:ascii="Arial" w:hAnsi="Arial" w:cs="Arial"/>
          <w:highlight w:val="cyan"/>
        </w:rPr>
      </w:pPr>
    </w:p>
    <w:p w14:paraId="60930F42" w14:textId="3A567411" w:rsidR="000E2349" w:rsidRPr="0007572B" w:rsidRDefault="000E2349" w:rsidP="006F1659">
      <w:pPr>
        <w:spacing w:line="360" w:lineRule="auto"/>
        <w:rPr>
          <w:rFonts w:ascii="Arial" w:hAnsi="Arial" w:cs="Arial"/>
        </w:rPr>
      </w:pPr>
      <w:r w:rsidRPr="0007572B">
        <w:rPr>
          <w:rFonts w:ascii="Arial" w:hAnsi="Arial" w:cs="Arial"/>
        </w:rPr>
        <w:t>Assets and liabilities are carried at amortised cost where part of their carrying amount (as per the balance sheet) will either be written down or written up via the Comprehensive Income and Expenditure Statement over the term of the financial instrument.</w:t>
      </w:r>
    </w:p>
    <w:p w14:paraId="21AF910F" w14:textId="77777777" w:rsidR="00F201F3" w:rsidRPr="0007572B" w:rsidRDefault="00F201F3" w:rsidP="006F1659">
      <w:pPr>
        <w:spacing w:line="360" w:lineRule="auto"/>
        <w:rPr>
          <w:rFonts w:ascii="Arial" w:hAnsi="Arial" w:cs="Arial"/>
        </w:rPr>
      </w:pPr>
    </w:p>
    <w:p w14:paraId="04BD4AE5" w14:textId="75E6B7E2" w:rsidR="000E2349" w:rsidRDefault="000E2349" w:rsidP="006F1659">
      <w:pPr>
        <w:spacing w:line="360" w:lineRule="auto"/>
        <w:rPr>
          <w:rFonts w:ascii="Arial" w:hAnsi="Arial" w:cs="Arial"/>
        </w:rPr>
      </w:pPr>
      <w:r w:rsidRPr="0007572B">
        <w:rPr>
          <w:rFonts w:ascii="Arial" w:hAnsi="Arial" w:cs="Arial"/>
        </w:rPr>
        <w:t>For the purposes of the notes to the accounts, all assets and liabilities are given a fair value, although this is only shown in the balance sheet for available for sale assets. For many financial instruments the fair value will be the same as the outstanding principal amount, but for others there could be a significant difference.</w:t>
      </w:r>
    </w:p>
    <w:p w14:paraId="2F29430D" w14:textId="77777777" w:rsidR="00D4492C" w:rsidRPr="0007572B" w:rsidRDefault="00D4492C" w:rsidP="006F1659">
      <w:pPr>
        <w:spacing w:line="360" w:lineRule="auto"/>
        <w:rPr>
          <w:rFonts w:ascii="Arial" w:hAnsi="Arial" w:cs="Arial"/>
        </w:rPr>
      </w:pPr>
    </w:p>
    <w:p w14:paraId="24111FED" w14:textId="77777777" w:rsidR="000E2349" w:rsidRPr="0007572B" w:rsidRDefault="000E2349" w:rsidP="006F1659">
      <w:pPr>
        <w:pStyle w:val="Heading4bold"/>
        <w:spacing w:line="360" w:lineRule="auto"/>
      </w:pPr>
      <w:r w:rsidRPr="0007572B">
        <w:t>Fair Value Hierarchy</w:t>
      </w:r>
    </w:p>
    <w:p w14:paraId="3AB4E49C" w14:textId="77777777" w:rsidR="000E2349" w:rsidRPr="0007572B" w:rsidRDefault="000E2349" w:rsidP="006F1659">
      <w:pPr>
        <w:spacing w:line="360" w:lineRule="auto"/>
        <w:rPr>
          <w:rFonts w:ascii="Arial" w:hAnsi="Arial" w:cs="Arial"/>
          <w:lang w:val="en-US"/>
        </w:rPr>
      </w:pPr>
      <w:r w:rsidRPr="0007572B">
        <w:rPr>
          <w:rFonts w:ascii="Arial" w:hAnsi="Arial" w:cs="Arial"/>
          <w:lang w:val="en-US"/>
        </w:rPr>
        <w:t>Inputs to the valuation techniques in respect of the Authority’s fair value measurement of its assets and liabilities are categorised within the fair value hierarchy as follows:</w:t>
      </w:r>
    </w:p>
    <w:p w14:paraId="48B2FFD3" w14:textId="77777777" w:rsidR="000E2349" w:rsidRPr="0007572B" w:rsidRDefault="000E2349" w:rsidP="006F1659">
      <w:pPr>
        <w:spacing w:line="360" w:lineRule="auto"/>
        <w:rPr>
          <w:rFonts w:ascii="Arial" w:hAnsi="Arial" w:cs="Arial"/>
          <w:lang w:val="en-US"/>
        </w:rPr>
      </w:pPr>
    </w:p>
    <w:p w14:paraId="160D229D" w14:textId="1BF7F3D5"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 xml:space="preserve">Level 1 – quoted prices (unadjusted) in active markets for identical assets or liabilities that the </w:t>
      </w:r>
      <w:r w:rsidR="00D952FE" w:rsidRPr="0007572B">
        <w:rPr>
          <w:rFonts w:ascii="Arial" w:hAnsi="Arial" w:cs="Arial"/>
          <w:sz w:val="24"/>
          <w:szCs w:val="24"/>
          <w:lang w:val="en-US"/>
        </w:rPr>
        <w:t>A</w:t>
      </w:r>
      <w:r w:rsidRPr="0007572B">
        <w:rPr>
          <w:rFonts w:ascii="Arial" w:hAnsi="Arial" w:cs="Arial"/>
          <w:sz w:val="24"/>
          <w:szCs w:val="24"/>
          <w:lang w:val="en-US"/>
        </w:rPr>
        <w:t>uthority can access at the measurement date.</w:t>
      </w:r>
    </w:p>
    <w:p w14:paraId="10F5962A" w14:textId="77777777"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2 – inputs other than quoted prices included within Level 1 that are observable for the asset or liability, either directly or indirectly.</w:t>
      </w:r>
    </w:p>
    <w:p w14:paraId="388E746B" w14:textId="77777777"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3 – unobservable inputs for the asset or liability.</w:t>
      </w:r>
    </w:p>
    <w:p w14:paraId="177B391B" w14:textId="530B3A84" w:rsidR="00E95DDB" w:rsidRDefault="00E95DDB" w:rsidP="006F1659">
      <w:pPr>
        <w:spacing w:line="360" w:lineRule="auto"/>
        <w:rPr>
          <w:rFonts w:ascii="Arial" w:hAnsi="Arial" w:cs="Arial"/>
        </w:rPr>
      </w:pPr>
    </w:p>
    <w:p w14:paraId="3850DFDC" w14:textId="77777777" w:rsidR="00507AE3" w:rsidRDefault="00507AE3">
      <w:pPr>
        <w:rPr>
          <w:rFonts w:ascii="Arial" w:hAnsi="Arial" w:cs="Arial"/>
        </w:rPr>
      </w:pPr>
      <w:r>
        <w:rPr>
          <w:rFonts w:ascii="Arial" w:hAnsi="Arial" w:cs="Arial"/>
        </w:rPr>
        <w:br w:type="page"/>
      </w:r>
    </w:p>
    <w:p w14:paraId="510562D2" w14:textId="3B3340FC" w:rsidR="00C42CA7" w:rsidRPr="0007572B" w:rsidRDefault="000E2349" w:rsidP="006F1659">
      <w:pPr>
        <w:spacing w:line="360" w:lineRule="auto"/>
        <w:rPr>
          <w:rFonts w:ascii="Arial" w:hAnsi="Arial" w:cs="Arial"/>
        </w:rPr>
      </w:pPr>
      <w:r w:rsidRPr="0007572B">
        <w:rPr>
          <w:rFonts w:ascii="Arial" w:hAnsi="Arial" w:cs="Arial"/>
        </w:rPr>
        <w:lastRenderedPageBreak/>
        <w:t>Set out below is a comparison by class of the carrying amounts and fair value of the Authority's financial assets and financial liabilities:</w:t>
      </w:r>
    </w:p>
    <w:p w14:paraId="6E0A4284" w14:textId="77777777" w:rsidR="00746C9C" w:rsidRPr="0007572B" w:rsidRDefault="00746C9C" w:rsidP="006F1659">
      <w:pPr>
        <w:spacing w:line="360" w:lineRule="auto"/>
        <w:rPr>
          <w:rFonts w:ascii="Arial" w:hAnsi="Arial" w:cs="Arial"/>
        </w:rPr>
      </w:pPr>
    </w:p>
    <w:p w14:paraId="6998D316" w14:textId="70D0AF4B" w:rsidR="00EC0C92" w:rsidRDefault="00507AE3" w:rsidP="006F1659">
      <w:pPr>
        <w:spacing w:line="360" w:lineRule="auto"/>
        <w:rPr>
          <w:rFonts w:ascii="Arial" w:hAnsi="Arial" w:cs="Arial"/>
          <w:b/>
          <w:sz w:val="22"/>
          <w:szCs w:val="22"/>
        </w:rPr>
      </w:pPr>
      <w:r w:rsidRPr="00507AE3">
        <w:rPr>
          <w:noProof/>
        </w:rPr>
        <w:drawing>
          <wp:inline distT="0" distB="0" distL="0" distR="0" wp14:anchorId="2F8A9774" wp14:editId="78347329">
            <wp:extent cx="5850901" cy="2000250"/>
            <wp:effectExtent l="0" t="0" r="0" b="0"/>
            <wp:docPr id="1800373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57903" cy="2002644"/>
                    </a:xfrm>
                    <a:prstGeom prst="rect">
                      <a:avLst/>
                    </a:prstGeom>
                    <a:noFill/>
                    <a:ln>
                      <a:noFill/>
                    </a:ln>
                  </pic:spPr>
                </pic:pic>
              </a:graphicData>
            </a:graphic>
          </wp:inline>
        </w:drawing>
      </w:r>
    </w:p>
    <w:p w14:paraId="455863BA" w14:textId="62D2DCB2" w:rsidR="00084BB4" w:rsidRPr="00760B46" w:rsidRDefault="00084BB4" w:rsidP="006F1659">
      <w:pPr>
        <w:spacing w:line="360" w:lineRule="auto"/>
        <w:rPr>
          <w:rFonts w:ascii="Arial" w:hAnsi="Arial" w:cs="Arial"/>
          <w:b/>
          <w:sz w:val="22"/>
          <w:szCs w:val="22"/>
        </w:rPr>
      </w:pPr>
    </w:p>
    <w:p w14:paraId="343CFF92" w14:textId="77777777" w:rsidR="00760B46" w:rsidRPr="00CE16DE" w:rsidRDefault="00760B46" w:rsidP="00760B46">
      <w:pPr>
        <w:pStyle w:val="Heading4bold"/>
        <w:rPr>
          <w:rFonts w:eastAsia="Verdana"/>
        </w:rPr>
      </w:pPr>
      <w:r w:rsidRPr="00CE16DE">
        <w:rPr>
          <w:rFonts w:eastAsia="Verdana"/>
        </w:rPr>
        <w:t xml:space="preserve">Equity Investments </w:t>
      </w:r>
    </w:p>
    <w:p w14:paraId="23255F14" w14:textId="77777777" w:rsidR="00760B46" w:rsidRPr="00CE16DE" w:rsidRDefault="00760B46" w:rsidP="00760B46">
      <w:pPr>
        <w:spacing w:line="360" w:lineRule="auto"/>
        <w:rPr>
          <w:rFonts w:ascii="Arial" w:hAnsi="Arial" w:cs="Arial"/>
        </w:rPr>
      </w:pPr>
    </w:p>
    <w:p w14:paraId="6BBD5057" w14:textId="77777777" w:rsidR="00760B46" w:rsidRPr="00CE16DE" w:rsidRDefault="00760B46" w:rsidP="00760B46">
      <w:pPr>
        <w:spacing w:line="360" w:lineRule="auto"/>
        <w:rPr>
          <w:rFonts w:ascii="Arial" w:hAnsi="Arial" w:cs="Arial"/>
        </w:rPr>
      </w:pPr>
      <w:r w:rsidRPr="00CE16DE">
        <w:rPr>
          <w:rFonts w:ascii="Arial" w:hAnsi="Arial" w:cs="Arial"/>
        </w:rPr>
        <w:t>The Authority holds £42.286m of equity investments for a number of businesses that previously held loans plus other direct investments in 2022/23. The Authority has made the irrevocable election to designate these assets as Fair Value through Other Comprehensive Income in accordance with IFRS 9 Financial Instruments. They meet the requirements of the CIPFA code to be designated this way as they are all strategic investments and not held for trading purposes.</w:t>
      </w:r>
    </w:p>
    <w:p w14:paraId="58BFFDC9" w14:textId="77777777" w:rsidR="00760B46" w:rsidRPr="00CE16DE" w:rsidRDefault="00760B46" w:rsidP="00760B46">
      <w:pPr>
        <w:spacing w:line="360" w:lineRule="auto"/>
        <w:rPr>
          <w:rFonts w:ascii="Arial" w:hAnsi="Arial" w:cs="Arial"/>
        </w:rPr>
      </w:pPr>
    </w:p>
    <w:p w14:paraId="5877DC50" w14:textId="36100AE6" w:rsidR="00760B46" w:rsidRPr="00CE16DE" w:rsidRDefault="00760B46" w:rsidP="00760B46">
      <w:pPr>
        <w:spacing w:line="360" w:lineRule="auto"/>
        <w:rPr>
          <w:rFonts w:ascii="Arial" w:hAnsi="Arial" w:cs="Arial"/>
        </w:rPr>
      </w:pPr>
      <w:r w:rsidRPr="00CE16DE">
        <w:rPr>
          <w:rFonts w:ascii="Arial" w:hAnsi="Arial" w:cs="Arial"/>
        </w:rPr>
        <w:t xml:space="preserve">The shares </w:t>
      </w:r>
      <w:r w:rsidR="00396F57">
        <w:rPr>
          <w:rFonts w:ascii="Arial" w:hAnsi="Arial" w:cs="Arial"/>
        </w:rPr>
        <w:t xml:space="preserve">or limited partnership interests </w:t>
      </w:r>
      <w:r w:rsidRPr="00CE16DE">
        <w:rPr>
          <w:rFonts w:ascii="Arial" w:hAnsi="Arial" w:cs="Arial"/>
        </w:rPr>
        <w:t xml:space="preserve">held are not traded in active markets and are valued based on level 2 - observable input data from the companies, such as latest filed accounts and management accounting reports. There have been no transfers between input levels or changes in valuation techniques during 2022/23 for this class of asset. </w:t>
      </w:r>
    </w:p>
    <w:p w14:paraId="094BD02B" w14:textId="77777777" w:rsidR="00760B46" w:rsidRPr="00CE16DE" w:rsidRDefault="00760B46" w:rsidP="00760B46">
      <w:pPr>
        <w:spacing w:line="360" w:lineRule="auto"/>
        <w:rPr>
          <w:rFonts w:ascii="Arial" w:hAnsi="Arial" w:cs="Arial"/>
        </w:rPr>
      </w:pPr>
    </w:p>
    <w:p w14:paraId="3C7DB2B3" w14:textId="77777777" w:rsidR="00760B46" w:rsidRPr="00CE16DE" w:rsidRDefault="00760B46" w:rsidP="00760B46">
      <w:pPr>
        <w:spacing w:line="360" w:lineRule="auto"/>
        <w:rPr>
          <w:rFonts w:ascii="Arial" w:hAnsi="Arial" w:cs="Arial"/>
        </w:rPr>
      </w:pPr>
      <w:r w:rsidRPr="00CE16DE">
        <w:rPr>
          <w:rFonts w:ascii="Arial" w:hAnsi="Arial" w:cs="Arial"/>
        </w:rPr>
        <w:t>Of the 20 equity investments held, the largest balances relate to:</w:t>
      </w:r>
    </w:p>
    <w:p w14:paraId="50B99879" w14:textId="7F987654" w:rsidR="001365BE" w:rsidRDefault="00760B46" w:rsidP="00521752">
      <w:pPr>
        <w:pStyle w:val="ListParagraph"/>
        <w:numPr>
          <w:ilvl w:val="0"/>
          <w:numId w:val="91"/>
        </w:numPr>
        <w:spacing w:before="240" w:line="360" w:lineRule="auto"/>
        <w:rPr>
          <w:rFonts w:ascii="Arial" w:eastAsia="Verdana" w:hAnsi="Arial" w:cs="Arial"/>
          <w:sz w:val="24"/>
          <w:szCs w:val="24"/>
          <w:lang w:eastAsia="en-US"/>
        </w:rPr>
      </w:pPr>
      <w:r w:rsidRPr="00CE16DE">
        <w:rPr>
          <w:rFonts w:ascii="Arial" w:eastAsia="Verdana" w:hAnsi="Arial" w:cs="Arial"/>
          <w:b/>
          <w:bCs/>
          <w:sz w:val="24"/>
          <w:szCs w:val="24"/>
          <w:lang w:eastAsia="en-US"/>
        </w:rPr>
        <w:t>Stockport Interchange (£9.3m)</w:t>
      </w:r>
      <w:r w:rsidRPr="00CE16DE">
        <w:rPr>
          <w:rFonts w:ascii="Arial" w:eastAsia="Verdana" w:hAnsi="Arial" w:cs="Arial"/>
          <w:sz w:val="24"/>
          <w:szCs w:val="24"/>
          <w:lang w:eastAsia="en-US"/>
        </w:rPr>
        <w:t xml:space="preserve"> – this is an investment to support the construction of 196 apartments at Stockport Bus Interchange. The valuation is based upon detailed forecasts of the scheme, which show that the investment is expected to be returned, plus a profit on investment.</w:t>
      </w:r>
    </w:p>
    <w:p w14:paraId="5967CBEB" w14:textId="77777777" w:rsidR="001365BE" w:rsidRPr="00CE16DE" w:rsidRDefault="001365BE" w:rsidP="00CE16DE">
      <w:pPr>
        <w:pStyle w:val="ListParagraph"/>
        <w:spacing w:before="240" w:line="360" w:lineRule="auto"/>
        <w:rPr>
          <w:rFonts w:ascii="Arial" w:eastAsia="Verdana" w:hAnsi="Arial" w:cs="Arial"/>
          <w:sz w:val="24"/>
          <w:szCs w:val="24"/>
          <w:lang w:eastAsia="en-US"/>
        </w:rPr>
      </w:pPr>
    </w:p>
    <w:p w14:paraId="78C8DFA7" w14:textId="458DDD3D" w:rsidR="001365BE" w:rsidRDefault="00760B46" w:rsidP="00521752">
      <w:pPr>
        <w:pStyle w:val="ListParagraph"/>
        <w:numPr>
          <w:ilvl w:val="0"/>
          <w:numId w:val="91"/>
        </w:numPr>
        <w:spacing w:before="240" w:line="360" w:lineRule="auto"/>
        <w:rPr>
          <w:rFonts w:ascii="Arial" w:eastAsia="Verdana" w:hAnsi="Arial" w:cs="Arial"/>
          <w:sz w:val="24"/>
          <w:szCs w:val="24"/>
          <w:lang w:eastAsia="en-US"/>
        </w:rPr>
      </w:pPr>
      <w:r w:rsidRPr="00CE16DE">
        <w:rPr>
          <w:rFonts w:ascii="Arial" w:eastAsia="Verdana" w:hAnsi="Arial" w:cs="Arial"/>
          <w:b/>
          <w:bCs/>
          <w:sz w:val="24"/>
          <w:szCs w:val="24"/>
          <w:lang w:eastAsia="en-US"/>
        </w:rPr>
        <w:lastRenderedPageBreak/>
        <w:t>National Homelessness Property (£7.7m)</w:t>
      </w:r>
      <w:r w:rsidRPr="00CE16DE">
        <w:rPr>
          <w:rFonts w:ascii="Arial" w:eastAsia="Verdana" w:hAnsi="Arial" w:cs="Arial"/>
          <w:sz w:val="24"/>
          <w:szCs w:val="24"/>
          <w:lang w:eastAsia="en-US"/>
        </w:rPr>
        <w:t xml:space="preserve"> – this is an investment into National Homelessness Property Fund 2, for the acquisition and refurbishment of properties, providing people at risk of homelessness with a settled home. The valuation is based upon the </w:t>
      </w:r>
      <w:r w:rsidR="009B47E6" w:rsidRPr="00CE16DE">
        <w:rPr>
          <w:rFonts w:ascii="Arial" w:eastAsia="Verdana" w:hAnsi="Arial" w:cs="Arial"/>
          <w:sz w:val="24"/>
          <w:szCs w:val="24"/>
          <w:lang w:eastAsia="en-US"/>
        </w:rPr>
        <w:t>latest</w:t>
      </w:r>
      <w:r w:rsidRPr="00CE16DE">
        <w:rPr>
          <w:rFonts w:ascii="Arial" w:eastAsia="Verdana" w:hAnsi="Arial" w:cs="Arial"/>
          <w:sz w:val="24"/>
          <w:szCs w:val="24"/>
          <w:lang w:eastAsia="en-US"/>
        </w:rPr>
        <w:t xml:space="preserve"> National Homelessness Property 2 Trust investment report, </w:t>
      </w:r>
      <w:r w:rsidR="00396F57" w:rsidRPr="00CE16DE">
        <w:rPr>
          <w:rFonts w:ascii="Arial" w:eastAsia="Verdana" w:hAnsi="Arial" w:cs="Arial"/>
          <w:sz w:val="24"/>
          <w:szCs w:val="24"/>
          <w:lang w:eastAsia="en-US"/>
        </w:rPr>
        <w:t>including the property valuations and forecast yield</w:t>
      </w:r>
      <w:r w:rsidRPr="00CE16DE">
        <w:rPr>
          <w:rFonts w:ascii="Arial" w:eastAsia="Verdana" w:hAnsi="Arial" w:cs="Arial"/>
          <w:sz w:val="24"/>
          <w:szCs w:val="24"/>
          <w:lang w:eastAsia="en-US"/>
        </w:rPr>
        <w:t xml:space="preserve">. </w:t>
      </w:r>
    </w:p>
    <w:p w14:paraId="1B167B2B" w14:textId="77777777" w:rsidR="001365BE" w:rsidRPr="00CE16DE" w:rsidRDefault="001365BE" w:rsidP="00CE16DE">
      <w:pPr>
        <w:pStyle w:val="ListParagraph"/>
        <w:spacing w:before="240" w:line="360" w:lineRule="auto"/>
        <w:rPr>
          <w:rFonts w:ascii="Arial" w:eastAsia="Verdana" w:hAnsi="Arial" w:cs="Arial"/>
          <w:sz w:val="24"/>
          <w:szCs w:val="24"/>
          <w:lang w:eastAsia="en-US"/>
        </w:rPr>
      </w:pPr>
    </w:p>
    <w:p w14:paraId="402E469A" w14:textId="7FD9138A" w:rsidR="00760B46" w:rsidRPr="00CE16DE" w:rsidRDefault="00760B46" w:rsidP="00CE16DE">
      <w:pPr>
        <w:pStyle w:val="ListParagraph"/>
        <w:numPr>
          <w:ilvl w:val="0"/>
          <w:numId w:val="91"/>
        </w:numPr>
        <w:spacing w:before="240" w:line="360" w:lineRule="auto"/>
        <w:rPr>
          <w:rFonts w:ascii="Arial" w:hAnsi="Arial" w:cs="Arial"/>
        </w:rPr>
      </w:pPr>
      <w:r w:rsidRPr="00CE16DE">
        <w:rPr>
          <w:rFonts w:ascii="Arial" w:eastAsia="Verdana" w:hAnsi="Arial" w:cs="Arial"/>
          <w:b/>
          <w:bCs/>
          <w:sz w:val="24"/>
          <w:szCs w:val="24"/>
          <w:lang w:eastAsia="en-US"/>
        </w:rPr>
        <w:t>Life Sciences 1 (£7m)</w:t>
      </w:r>
      <w:r w:rsidRPr="00CE16DE">
        <w:rPr>
          <w:rFonts w:ascii="Arial" w:eastAsia="Verdana" w:hAnsi="Arial" w:cs="Arial"/>
          <w:sz w:val="24"/>
          <w:szCs w:val="24"/>
          <w:lang w:eastAsia="en-US"/>
        </w:rPr>
        <w:t xml:space="preserve"> – this is an investment into a fund that provides seed and early-stage venture capital investment for life sciences businesses. </w:t>
      </w:r>
      <w:r w:rsidR="002901B8" w:rsidRPr="002901B8">
        <w:rPr>
          <w:rFonts w:ascii="Arial" w:eastAsia="Verdana" w:hAnsi="Arial" w:cs="Arial"/>
          <w:sz w:val="24"/>
          <w:szCs w:val="24"/>
          <w:lang w:eastAsia="en-US"/>
        </w:rPr>
        <w:t>Investments are valued by the Manager in line with the requirements of FRS 102 and according to the International Private Equity and Venture Capital Valuation Guidelines. Where equity investments are publicly traded, the trade price will be used as the fair value. The value of unquoted equity investments is established by using measurements of values such as price of recent investments and earnings multiples. Where no reliable value can be estimated using such techniques, unquoted investments are carried at cost subject to provision for impairment where necessary.</w:t>
      </w:r>
      <w:r w:rsidR="002901B8">
        <w:rPr>
          <w:rFonts w:ascii="Arial" w:eastAsia="Verdana" w:hAnsi="Arial" w:cs="Arial"/>
          <w:sz w:val="24"/>
          <w:szCs w:val="24"/>
          <w:lang w:eastAsia="en-US"/>
        </w:rPr>
        <w:t xml:space="preserve"> </w:t>
      </w:r>
      <w:r w:rsidRPr="00CE16DE">
        <w:rPr>
          <w:rFonts w:ascii="Arial" w:eastAsia="Verdana" w:hAnsi="Arial" w:cs="Arial"/>
          <w:sz w:val="24"/>
          <w:szCs w:val="24"/>
          <w:lang w:eastAsia="en-US"/>
        </w:rPr>
        <w:t>GMCA holds a</w:t>
      </w:r>
      <w:r w:rsidR="002901B8">
        <w:rPr>
          <w:rFonts w:ascii="Arial" w:eastAsia="Verdana" w:hAnsi="Arial" w:cs="Arial"/>
          <w:sz w:val="24"/>
          <w:szCs w:val="24"/>
          <w:lang w:eastAsia="en-US"/>
        </w:rPr>
        <w:t xml:space="preserve"> mix of these investments with a</w:t>
      </w:r>
      <w:r w:rsidRPr="00CE16DE">
        <w:rPr>
          <w:rFonts w:ascii="Arial" w:eastAsia="Verdana" w:hAnsi="Arial" w:cs="Arial"/>
          <w:sz w:val="24"/>
          <w:szCs w:val="24"/>
          <w:lang w:eastAsia="en-US"/>
        </w:rPr>
        <w:t xml:space="preserve"> 32.6% share of the total fund.</w:t>
      </w:r>
      <w:r w:rsidR="009B47E6">
        <w:rPr>
          <w:rFonts w:ascii="Arial" w:eastAsia="Verdana" w:hAnsi="Arial" w:cs="Arial"/>
          <w:sz w:val="24"/>
          <w:szCs w:val="24"/>
          <w:lang w:eastAsia="en-US"/>
        </w:rPr>
        <w:t xml:space="preserve"> </w:t>
      </w:r>
    </w:p>
    <w:p w14:paraId="4A574B4D" w14:textId="77777777" w:rsidR="00760B46" w:rsidRPr="00CE16DE" w:rsidRDefault="00760B46" w:rsidP="00760B46">
      <w:pPr>
        <w:pStyle w:val="Normal0"/>
        <w:spacing w:after="120" w:line="360" w:lineRule="auto"/>
        <w:rPr>
          <w:rFonts w:ascii="Arial" w:eastAsia="Verdana" w:hAnsi="Arial" w:cs="Arial"/>
          <w:sz w:val="24"/>
          <w:szCs w:val="24"/>
          <w:lang w:val="en-GB"/>
        </w:rPr>
      </w:pPr>
    </w:p>
    <w:p w14:paraId="11F09C25" w14:textId="77777777" w:rsidR="00760B46" w:rsidRPr="00CE16DE" w:rsidRDefault="00760B46" w:rsidP="00760B46">
      <w:pPr>
        <w:pStyle w:val="Heading4bold"/>
        <w:rPr>
          <w:rFonts w:eastAsia="Verdana"/>
        </w:rPr>
      </w:pPr>
      <w:r w:rsidRPr="00CE16DE">
        <w:rPr>
          <w:rFonts w:eastAsia="Verdana"/>
        </w:rPr>
        <w:t>Other Financial Assets and Liabilities</w:t>
      </w:r>
    </w:p>
    <w:p w14:paraId="01182FE6" w14:textId="77777777" w:rsidR="00BE10B3" w:rsidRPr="0007572B" w:rsidRDefault="00BE10B3" w:rsidP="006F1659">
      <w:pPr>
        <w:spacing w:line="360" w:lineRule="auto"/>
        <w:rPr>
          <w:rFonts w:ascii="Arial" w:hAnsi="Arial" w:cs="Arial"/>
        </w:rPr>
      </w:pPr>
    </w:p>
    <w:p w14:paraId="76BC23B1" w14:textId="77777777" w:rsidR="000E2349" w:rsidRPr="0007572B" w:rsidRDefault="000E2349" w:rsidP="006F1659">
      <w:pPr>
        <w:spacing w:line="360" w:lineRule="auto"/>
        <w:rPr>
          <w:rFonts w:ascii="Arial" w:hAnsi="Arial" w:cs="Arial"/>
        </w:rPr>
      </w:pPr>
      <w:r w:rsidRPr="0007572B">
        <w:rPr>
          <w:rFonts w:ascii="Arial" w:hAnsi="Arial" w:cs="Arial"/>
        </w:rPr>
        <w:t xml:space="preserve">The fair values disclosed in the table above have been assessed using the following assumptions: </w:t>
      </w:r>
    </w:p>
    <w:p w14:paraId="2AB22DFF" w14:textId="77777777" w:rsidR="000E2349" w:rsidRPr="0007572B" w:rsidRDefault="000E2349" w:rsidP="006F1659">
      <w:pPr>
        <w:spacing w:line="360" w:lineRule="auto"/>
        <w:rPr>
          <w:rFonts w:ascii="Arial" w:hAnsi="Arial" w:cs="Arial"/>
        </w:rPr>
      </w:pPr>
    </w:p>
    <w:p w14:paraId="4D8787CC" w14:textId="499625E8" w:rsidR="000E2349" w:rsidRPr="00CA26F7"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The fair value of cash and cash equivalents, short</w:t>
      </w:r>
      <w:r w:rsidR="00F3496D">
        <w:rPr>
          <w:rFonts w:ascii="Arial" w:eastAsia="Verdana" w:hAnsi="Arial" w:cs="Arial"/>
          <w:sz w:val="24"/>
          <w:szCs w:val="24"/>
          <w:lang w:val="en-GB"/>
        </w:rPr>
        <w:t xml:space="preserve"> </w:t>
      </w:r>
      <w:r w:rsidRPr="00CA26F7">
        <w:rPr>
          <w:rFonts w:ascii="Arial" w:eastAsia="Verdana" w:hAnsi="Arial" w:cs="Arial"/>
          <w:sz w:val="24"/>
          <w:szCs w:val="24"/>
          <w:lang w:val="en-GB"/>
        </w:rPr>
        <w:t>term debtors and short</w:t>
      </w:r>
      <w:r w:rsidR="00F3496D">
        <w:rPr>
          <w:rFonts w:ascii="Arial" w:eastAsia="Verdana" w:hAnsi="Arial" w:cs="Arial"/>
          <w:sz w:val="24"/>
          <w:szCs w:val="24"/>
          <w:lang w:val="en-GB"/>
        </w:rPr>
        <w:t xml:space="preserve"> </w:t>
      </w:r>
      <w:r w:rsidRPr="00CA26F7">
        <w:rPr>
          <w:rFonts w:ascii="Arial" w:eastAsia="Verdana" w:hAnsi="Arial" w:cs="Arial"/>
          <w:sz w:val="24"/>
          <w:szCs w:val="24"/>
          <w:lang w:val="en-GB"/>
        </w:rPr>
        <w:t xml:space="preserve">term creditors is taken to be their carrying amount as this is deemed to provide a reasonable approximation in accordance with the </w:t>
      </w:r>
      <w:r w:rsidR="00F802A8" w:rsidRPr="00CA26F7">
        <w:rPr>
          <w:rFonts w:ascii="Arial" w:eastAsia="Verdana" w:hAnsi="Arial" w:cs="Arial"/>
          <w:sz w:val="24"/>
          <w:szCs w:val="24"/>
          <w:lang w:val="en-GB"/>
        </w:rPr>
        <w:t>CIPFA</w:t>
      </w:r>
      <w:r w:rsidRPr="00CA26F7">
        <w:rPr>
          <w:rFonts w:ascii="Arial" w:eastAsia="Verdana" w:hAnsi="Arial" w:cs="Arial"/>
          <w:sz w:val="24"/>
          <w:szCs w:val="24"/>
          <w:lang w:val="en-GB"/>
        </w:rPr>
        <w:t xml:space="preserve"> Code of Practice.</w:t>
      </w:r>
    </w:p>
    <w:p w14:paraId="79C37A66" w14:textId="670AD5EA" w:rsidR="000E2349" w:rsidRPr="00CA26F7" w:rsidRDefault="00B55523" w:rsidP="006F1659">
      <w:pPr>
        <w:pStyle w:val="Normal0"/>
        <w:numPr>
          <w:ilvl w:val="0"/>
          <w:numId w:val="36"/>
        </w:numPr>
        <w:spacing w:after="120" w:line="36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The fair value of soft loan short</w:t>
      </w:r>
      <w:r w:rsidR="00F3496D">
        <w:rPr>
          <w:rFonts w:ascii="Arial" w:eastAsia="Verdana" w:hAnsi="Arial" w:cs="Arial"/>
          <w:sz w:val="24"/>
          <w:szCs w:val="24"/>
          <w:lang w:val="en-GB"/>
        </w:rPr>
        <w:t xml:space="preserve"> </w:t>
      </w:r>
      <w:r w:rsidRPr="00CA26F7">
        <w:rPr>
          <w:rFonts w:ascii="Arial" w:eastAsia="Verdana" w:hAnsi="Arial" w:cs="Arial"/>
          <w:sz w:val="24"/>
          <w:szCs w:val="24"/>
          <w:lang w:val="en-GB"/>
        </w:rPr>
        <w:t>term and long</w:t>
      </w:r>
      <w:r w:rsidR="00F3496D">
        <w:rPr>
          <w:rFonts w:ascii="Arial" w:eastAsia="Verdana" w:hAnsi="Arial" w:cs="Arial"/>
          <w:sz w:val="24"/>
          <w:szCs w:val="24"/>
          <w:lang w:val="en-GB"/>
        </w:rPr>
        <w:t xml:space="preserve"> </w:t>
      </w:r>
      <w:r w:rsidRPr="00CA26F7">
        <w:rPr>
          <w:rFonts w:ascii="Arial" w:eastAsia="Verdana" w:hAnsi="Arial" w:cs="Arial"/>
          <w:sz w:val="24"/>
          <w:szCs w:val="24"/>
          <w:lang w:val="en-GB"/>
        </w:rPr>
        <w:t xml:space="preserve">term debtors has been calculated using an interest rate arrived at by taking the </w:t>
      </w:r>
      <w:r w:rsidR="00D952FE" w:rsidRPr="00CA26F7">
        <w:rPr>
          <w:rFonts w:ascii="Arial" w:eastAsia="Verdana" w:hAnsi="Arial" w:cs="Arial"/>
          <w:sz w:val="24"/>
          <w:szCs w:val="24"/>
          <w:lang w:val="en-GB"/>
        </w:rPr>
        <w:t>A</w:t>
      </w:r>
      <w:r w:rsidRPr="00CA26F7">
        <w:rPr>
          <w:rFonts w:ascii="Arial" w:eastAsia="Verdana" w:hAnsi="Arial" w:cs="Arial"/>
          <w:sz w:val="24"/>
          <w:szCs w:val="24"/>
          <w:lang w:val="en-GB"/>
        </w:rPr>
        <w:t>uthority’s prevailing cost of borrowing and adding an allowance for the risk that the loans might not be repaid.</w:t>
      </w:r>
    </w:p>
    <w:p w14:paraId="696882C3" w14:textId="77A4A369" w:rsidR="00B55523" w:rsidRPr="00CA26F7" w:rsidRDefault="00B55523" w:rsidP="006F1659">
      <w:pPr>
        <w:pStyle w:val="Normal0"/>
        <w:numPr>
          <w:ilvl w:val="0"/>
          <w:numId w:val="36"/>
        </w:numPr>
        <w:spacing w:after="120" w:line="36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The fair value of other long</w:t>
      </w:r>
      <w:r w:rsidR="00F3496D">
        <w:rPr>
          <w:rFonts w:ascii="Arial" w:eastAsia="Verdana" w:hAnsi="Arial" w:cs="Arial"/>
          <w:sz w:val="24"/>
          <w:szCs w:val="24"/>
          <w:lang w:val="en-GB"/>
        </w:rPr>
        <w:t xml:space="preserve"> </w:t>
      </w:r>
      <w:r w:rsidRPr="00CA26F7">
        <w:rPr>
          <w:rFonts w:ascii="Arial" w:eastAsia="Verdana" w:hAnsi="Arial" w:cs="Arial"/>
          <w:sz w:val="24"/>
          <w:szCs w:val="24"/>
          <w:lang w:val="en-GB"/>
        </w:rPr>
        <w:t xml:space="preserve">term debtors has been evaluated and where these relate to loan advances greater than £3m, prevailing benchmark market rates </w:t>
      </w:r>
      <w:r w:rsidRPr="00CA26F7">
        <w:rPr>
          <w:rFonts w:ascii="Arial" w:eastAsia="Verdana" w:hAnsi="Arial" w:cs="Arial"/>
          <w:sz w:val="24"/>
          <w:szCs w:val="24"/>
          <w:lang w:val="en-GB"/>
        </w:rPr>
        <w:lastRenderedPageBreak/>
        <w:t>have been applied to provide the fair value. All other long</w:t>
      </w:r>
      <w:r w:rsidR="00F3496D">
        <w:rPr>
          <w:rFonts w:ascii="Arial" w:eastAsia="Verdana" w:hAnsi="Arial" w:cs="Arial"/>
          <w:sz w:val="24"/>
          <w:szCs w:val="24"/>
          <w:lang w:val="en-GB"/>
        </w:rPr>
        <w:t xml:space="preserve"> </w:t>
      </w:r>
      <w:r w:rsidRPr="00CA26F7">
        <w:rPr>
          <w:rFonts w:ascii="Arial" w:eastAsia="Verdana" w:hAnsi="Arial" w:cs="Arial"/>
          <w:sz w:val="24"/>
          <w:szCs w:val="24"/>
          <w:lang w:val="en-GB"/>
        </w:rPr>
        <w:t>term debtors are included at their carrying value</w:t>
      </w:r>
      <w:r w:rsidR="00D024DF" w:rsidRPr="00CA26F7">
        <w:rPr>
          <w:rFonts w:ascii="Arial" w:eastAsia="Verdana" w:hAnsi="Arial" w:cs="Arial"/>
          <w:sz w:val="24"/>
          <w:szCs w:val="24"/>
          <w:lang w:val="en-GB"/>
        </w:rPr>
        <w:t>.</w:t>
      </w:r>
    </w:p>
    <w:p w14:paraId="54829931" w14:textId="33824919" w:rsidR="000E2349" w:rsidRPr="0007572B"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07572B">
        <w:rPr>
          <w:rFonts w:ascii="Arial" w:eastAsia="Verdana" w:hAnsi="Arial" w:cs="Arial"/>
          <w:sz w:val="24"/>
          <w:szCs w:val="24"/>
          <w:lang w:val="en-GB"/>
        </w:rPr>
        <w:t xml:space="preserve">Fair value for PFI schemes cannot be obtained as there is no comparable information </w:t>
      </w:r>
      <w:r w:rsidR="0022418C" w:rsidRPr="0007572B">
        <w:rPr>
          <w:rFonts w:ascii="Arial" w:eastAsia="Verdana" w:hAnsi="Arial" w:cs="Arial"/>
          <w:sz w:val="24"/>
          <w:szCs w:val="24"/>
          <w:lang w:val="en-GB"/>
        </w:rPr>
        <w:t>available,</w:t>
      </w:r>
      <w:r w:rsidRPr="0007572B">
        <w:rPr>
          <w:rFonts w:ascii="Arial" w:eastAsia="Verdana" w:hAnsi="Arial" w:cs="Arial"/>
          <w:sz w:val="24"/>
          <w:szCs w:val="24"/>
          <w:lang w:val="en-GB"/>
        </w:rPr>
        <w:t xml:space="preserve"> and these have therefore been shown at cost.</w:t>
      </w:r>
    </w:p>
    <w:p w14:paraId="5D23948B" w14:textId="3A6170A4" w:rsidR="000E2349" w:rsidRPr="003F33EC"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3F33EC">
        <w:rPr>
          <w:rFonts w:ascii="Arial" w:eastAsia="Verdana" w:hAnsi="Arial" w:cs="Arial"/>
          <w:sz w:val="24"/>
          <w:szCs w:val="24"/>
          <w:lang w:val="en-GB"/>
        </w:rPr>
        <w:t>PWLB loans – premature repayment loan rates from the PWLB have been applied to provide the fair value. In comparison, by applying PWLB new loan rates their fair value would be £</w:t>
      </w:r>
      <w:r w:rsidR="003F33EC" w:rsidRPr="003F33EC">
        <w:rPr>
          <w:rFonts w:ascii="Arial" w:eastAsia="Verdana" w:hAnsi="Arial" w:cs="Arial"/>
          <w:sz w:val="24"/>
          <w:szCs w:val="24"/>
          <w:lang w:val="en-GB"/>
        </w:rPr>
        <w:t>535</w:t>
      </w:r>
      <w:r w:rsidR="003F1F09" w:rsidRPr="003F33EC">
        <w:rPr>
          <w:rFonts w:ascii="Arial" w:eastAsia="Verdana" w:hAnsi="Arial" w:cs="Arial"/>
          <w:sz w:val="24"/>
          <w:szCs w:val="24"/>
          <w:lang w:val="en-GB"/>
        </w:rPr>
        <w:t>.</w:t>
      </w:r>
      <w:r w:rsidR="003F33EC" w:rsidRPr="003F33EC">
        <w:rPr>
          <w:rFonts w:ascii="Arial" w:eastAsia="Verdana" w:hAnsi="Arial" w:cs="Arial"/>
          <w:sz w:val="24"/>
          <w:szCs w:val="24"/>
          <w:lang w:val="en-GB"/>
        </w:rPr>
        <w:t>657</w:t>
      </w:r>
      <w:r w:rsidR="003F1F09" w:rsidRPr="003F33EC">
        <w:rPr>
          <w:rFonts w:ascii="Arial" w:eastAsia="Verdana" w:hAnsi="Arial" w:cs="Arial"/>
          <w:sz w:val="24"/>
          <w:szCs w:val="24"/>
          <w:lang w:val="en-GB"/>
        </w:rPr>
        <w:t>m</w:t>
      </w:r>
      <w:r w:rsidRPr="003F33EC">
        <w:rPr>
          <w:rFonts w:ascii="Arial" w:eastAsia="Verdana" w:hAnsi="Arial" w:cs="Arial"/>
          <w:sz w:val="24"/>
          <w:szCs w:val="24"/>
          <w:lang w:val="en-GB"/>
        </w:rPr>
        <w:t>.</w:t>
      </w:r>
    </w:p>
    <w:p w14:paraId="47B91AC7" w14:textId="62D60EAD" w:rsidR="000E2349" w:rsidRPr="003F33EC" w:rsidRDefault="000E2349" w:rsidP="006F1659">
      <w:pPr>
        <w:pStyle w:val="Normal0"/>
        <w:numPr>
          <w:ilvl w:val="0"/>
          <w:numId w:val="36"/>
        </w:numPr>
        <w:spacing w:line="360" w:lineRule="auto"/>
        <w:rPr>
          <w:rFonts w:ascii="Arial" w:eastAsia="Verdana" w:hAnsi="Arial" w:cs="Arial"/>
          <w:sz w:val="24"/>
          <w:szCs w:val="24"/>
          <w:lang w:val="en-GB"/>
        </w:rPr>
      </w:pPr>
      <w:r w:rsidRPr="003F33EC">
        <w:rPr>
          <w:rFonts w:ascii="Arial" w:eastAsia="Verdana" w:hAnsi="Arial" w:cs="Arial"/>
          <w:sz w:val="24"/>
          <w:szCs w:val="24"/>
          <w:lang w:val="en-GB"/>
        </w:rPr>
        <w:t>Non-PWLB loans – premature repayment loan rates from the PWLB have been applied to provide the fair value. In comparison, by applying PWLB new loan rates their fair value would be £</w:t>
      </w:r>
      <w:r w:rsidR="00581295">
        <w:rPr>
          <w:rFonts w:ascii="Arial" w:eastAsia="Verdana" w:hAnsi="Arial" w:cs="Arial"/>
          <w:sz w:val="24"/>
          <w:szCs w:val="24"/>
          <w:lang w:val="en-GB"/>
        </w:rPr>
        <w:t>781</w:t>
      </w:r>
      <w:r w:rsidR="003F1F09" w:rsidRPr="003F33EC">
        <w:rPr>
          <w:rFonts w:ascii="Arial" w:eastAsia="Verdana" w:hAnsi="Arial" w:cs="Arial"/>
          <w:sz w:val="24"/>
          <w:szCs w:val="24"/>
          <w:lang w:val="en-GB"/>
        </w:rPr>
        <w:t>.</w:t>
      </w:r>
      <w:r w:rsidR="00581295">
        <w:rPr>
          <w:rFonts w:ascii="Arial" w:eastAsia="Verdana" w:hAnsi="Arial" w:cs="Arial"/>
          <w:sz w:val="24"/>
          <w:szCs w:val="24"/>
          <w:lang w:val="en-GB"/>
        </w:rPr>
        <w:t>143</w:t>
      </w:r>
      <w:r w:rsidR="003F1F09" w:rsidRPr="003F33EC">
        <w:rPr>
          <w:rFonts w:ascii="Arial" w:eastAsia="Verdana" w:hAnsi="Arial" w:cs="Arial"/>
          <w:sz w:val="24"/>
          <w:szCs w:val="24"/>
          <w:lang w:val="en-GB"/>
        </w:rPr>
        <w:t>m</w:t>
      </w:r>
      <w:r w:rsidRPr="003F33EC">
        <w:rPr>
          <w:rFonts w:ascii="Arial" w:eastAsia="Verdana" w:hAnsi="Arial" w:cs="Arial"/>
          <w:sz w:val="24"/>
          <w:szCs w:val="24"/>
          <w:lang w:val="en-GB"/>
        </w:rPr>
        <w:t>.</w:t>
      </w:r>
    </w:p>
    <w:p w14:paraId="30445641" w14:textId="77777777" w:rsidR="00CF101C" w:rsidRPr="0007572B" w:rsidRDefault="00CF101C" w:rsidP="006F1659">
      <w:pPr>
        <w:pStyle w:val="Normal0"/>
        <w:spacing w:line="360" w:lineRule="auto"/>
        <w:ind w:left="720"/>
        <w:rPr>
          <w:rFonts w:ascii="Arial" w:eastAsia="Verdana" w:hAnsi="Arial" w:cs="Arial"/>
          <w:sz w:val="24"/>
          <w:szCs w:val="24"/>
          <w:lang w:val="en-GB"/>
        </w:rPr>
      </w:pPr>
    </w:p>
    <w:p w14:paraId="2B0CADC5" w14:textId="77777777" w:rsidR="000E2349" w:rsidRPr="0007572B" w:rsidRDefault="000E2349" w:rsidP="006F1659">
      <w:pPr>
        <w:pStyle w:val="Normal0"/>
        <w:numPr>
          <w:ilvl w:val="0"/>
          <w:numId w:val="36"/>
        </w:numPr>
        <w:spacing w:line="360" w:lineRule="auto"/>
        <w:rPr>
          <w:rFonts w:ascii="Arial" w:eastAsia="Verdana" w:hAnsi="Arial" w:cs="Arial"/>
          <w:sz w:val="24"/>
          <w:szCs w:val="24"/>
          <w:lang w:val="en-GB"/>
        </w:rPr>
      </w:pPr>
      <w:r w:rsidRPr="0007572B">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7D8753A0" w14:textId="77777777" w:rsidR="000E2349" w:rsidRPr="0007572B" w:rsidRDefault="000E2349" w:rsidP="006F1659">
      <w:pPr>
        <w:pStyle w:val="Normal0"/>
        <w:spacing w:line="360" w:lineRule="auto"/>
        <w:ind w:left="720" w:hanging="720"/>
        <w:rPr>
          <w:rFonts w:ascii="Arial" w:eastAsia="Verdana" w:hAnsi="Arial" w:cs="Arial"/>
          <w:sz w:val="24"/>
          <w:szCs w:val="24"/>
          <w:lang w:val="en-GB"/>
        </w:rPr>
      </w:pPr>
    </w:p>
    <w:p w14:paraId="4BA01796" w14:textId="4EF68536" w:rsidR="000E2349" w:rsidRPr="0007572B" w:rsidRDefault="000E2349" w:rsidP="006F1659">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57B5B613" w14:textId="77777777" w:rsidR="000E2349" w:rsidRPr="0007572B" w:rsidRDefault="000E2349" w:rsidP="006F1659">
      <w:pPr>
        <w:pStyle w:val="Normal0"/>
        <w:spacing w:line="360" w:lineRule="auto"/>
        <w:ind w:left="720" w:hanging="720"/>
        <w:rPr>
          <w:rFonts w:ascii="Arial" w:eastAsia="Verdana" w:hAnsi="Arial" w:cs="Arial"/>
          <w:sz w:val="24"/>
          <w:szCs w:val="24"/>
          <w:lang w:val="en-GB"/>
        </w:rPr>
      </w:pPr>
      <w:r w:rsidRPr="0007572B">
        <w:rPr>
          <w:rFonts w:ascii="Arial" w:eastAsia="Verdana" w:hAnsi="Arial" w:cs="Arial"/>
          <w:sz w:val="24"/>
          <w:szCs w:val="24"/>
          <w:lang w:val="en-GB"/>
        </w:rPr>
        <w:tab/>
      </w:r>
    </w:p>
    <w:p w14:paraId="7116D5E9" w14:textId="5DCA699D" w:rsidR="000E2349" w:rsidRPr="0007572B" w:rsidRDefault="000E2349" w:rsidP="006F1659">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141931C6" w14:textId="77777777" w:rsidR="000E2349" w:rsidRPr="0007572B" w:rsidRDefault="000E2349" w:rsidP="006F1659">
      <w:pPr>
        <w:pStyle w:val="Normal0"/>
        <w:spacing w:line="360" w:lineRule="auto"/>
        <w:rPr>
          <w:rFonts w:ascii="Arial" w:eastAsia="Verdana" w:hAnsi="Arial" w:cs="Arial"/>
          <w:sz w:val="24"/>
          <w:szCs w:val="24"/>
          <w:lang w:val="en-GB"/>
        </w:rPr>
      </w:pPr>
    </w:p>
    <w:p w14:paraId="31DDE2F0" w14:textId="6185DE77" w:rsidR="00EB27EB" w:rsidRDefault="000E2349" w:rsidP="006F1659">
      <w:pPr>
        <w:spacing w:line="360" w:lineRule="auto"/>
        <w:rPr>
          <w:rFonts w:ascii="Arial" w:eastAsia="Verdana" w:hAnsi="Arial" w:cs="Arial"/>
        </w:rPr>
      </w:pPr>
      <w:r w:rsidRPr="0007572B">
        <w:rPr>
          <w:rFonts w:ascii="Arial" w:eastAsia="Verdana" w:hAnsi="Arial" w:cs="Arial"/>
        </w:rPr>
        <w:t>Assumptions used, which do not have a material effect on the fair value evaluation are: interest is calculated using a 365 day basis; interest is paid on the maturity date; no adjustment is made to the interest value and date where a relevant date occurs on a non-working day.</w:t>
      </w:r>
    </w:p>
    <w:p w14:paraId="0C6FA25F" w14:textId="77777777" w:rsidR="00366EB7" w:rsidRDefault="00366EB7" w:rsidP="006F1659">
      <w:pPr>
        <w:spacing w:line="360" w:lineRule="auto"/>
        <w:rPr>
          <w:rFonts w:ascii="Arial" w:hAnsi="Arial" w:cs="Arial"/>
        </w:rPr>
      </w:pPr>
    </w:p>
    <w:p w14:paraId="6B9EA7C6" w14:textId="553D75D2" w:rsidR="002B3C1D" w:rsidRDefault="000E2349" w:rsidP="006F1659">
      <w:pPr>
        <w:spacing w:line="360" w:lineRule="auto"/>
        <w:rPr>
          <w:rFonts w:ascii="Arial" w:hAnsi="Arial" w:cs="Arial"/>
        </w:rPr>
      </w:pPr>
      <w:r w:rsidRPr="0007572B">
        <w:rPr>
          <w:rFonts w:ascii="Arial" w:hAnsi="Arial" w:cs="Arial"/>
        </w:rPr>
        <w:t>Loans and Borrowings are set out by type of loan and by maturity in the table below:</w:t>
      </w:r>
    </w:p>
    <w:p w14:paraId="77677A2E" w14:textId="33216540" w:rsidR="00D4492C" w:rsidRDefault="00D4492C" w:rsidP="006F1659">
      <w:pPr>
        <w:spacing w:line="360" w:lineRule="auto"/>
        <w:rPr>
          <w:rFonts w:ascii="Arial" w:hAnsi="Arial" w:cs="Arial"/>
        </w:rPr>
      </w:pPr>
    </w:p>
    <w:p w14:paraId="233617C0" w14:textId="616CE2B0" w:rsidR="000E5109" w:rsidRPr="0007572B" w:rsidRDefault="005A5CC8" w:rsidP="006F1659">
      <w:pPr>
        <w:spacing w:line="360" w:lineRule="auto"/>
        <w:rPr>
          <w:rFonts w:ascii="Arial" w:hAnsi="Arial" w:cs="Arial"/>
        </w:rPr>
      </w:pPr>
      <w:r w:rsidRPr="005A5CC8">
        <w:rPr>
          <w:noProof/>
        </w:rPr>
        <w:lastRenderedPageBreak/>
        <w:drawing>
          <wp:inline distT="0" distB="0" distL="0" distR="0" wp14:anchorId="5ACDF0AB" wp14:editId="33B0A1A6">
            <wp:extent cx="5975350" cy="4361815"/>
            <wp:effectExtent l="0" t="0" r="6350" b="635"/>
            <wp:docPr id="5166936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75350" cy="4361815"/>
                    </a:xfrm>
                    <a:prstGeom prst="rect">
                      <a:avLst/>
                    </a:prstGeom>
                    <a:noFill/>
                    <a:ln>
                      <a:noFill/>
                    </a:ln>
                  </pic:spPr>
                </pic:pic>
              </a:graphicData>
            </a:graphic>
          </wp:inline>
        </w:drawing>
      </w:r>
    </w:p>
    <w:p w14:paraId="5BB90A61" w14:textId="46037614" w:rsidR="00C70967" w:rsidRDefault="00C70967" w:rsidP="006F1659">
      <w:pPr>
        <w:spacing w:line="360" w:lineRule="auto"/>
        <w:jc w:val="both"/>
        <w:rPr>
          <w:rFonts w:ascii="Arial" w:hAnsi="Arial" w:cs="Arial"/>
          <w:b/>
          <w:sz w:val="22"/>
          <w:szCs w:val="22"/>
        </w:rPr>
      </w:pPr>
    </w:p>
    <w:p w14:paraId="7D8DD969" w14:textId="77777777" w:rsidR="00366EB7" w:rsidRDefault="00366EB7" w:rsidP="006F1659">
      <w:pPr>
        <w:spacing w:line="360" w:lineRule="auto"/>
        <w:rPr>
          <w:rFonts w:ascii="Arial" w:eastAsia="Palatino Linotype" w:hAnsi="Arial" w:cs="Arial"/>
          <w:b/>
          <w:bCs/>
          <w:szCs w:val="28"/>
          <w:lang w:val="en-US"/>
        </w:rPr>
      </w:pPr>
      <w:bookmarkStart w:id="170" w:name="_Toc92894902"/>
      <w:bookmarkStart w:id="171" w:name="_Toc92895206"/>
      <w:bookmarkStart w:id="172" w:name="_Toc109922640"/>
      <w:r>
        <w:br w:type="page"/>
      </w:r>
    </w:p>
    <w:p w14:paraId="7C5216BC" w14:textId="31B4BB9A" w:rsidR="007C64B7" w:rsidRPr="0007572B" w:rsidRDefault="00876B48" w:rsidP="006F1659">
      <w:pPr>
        <w:pStyle w:val="Heading3greennumbered"/>
        <w:spacing w:line="360" w:lineRule="auto"/>
      </w:pPr>
      <w:r w:rsidRPr="0007572B">
        <w:lastRenderedPageBreak/>
        <w:t>30</w:t>
      </w:r>
      <w:r w:rsidR="004047A3" w:rsidRPr="0007572B">
        <w:t xml:space="preserve"> Nature and Extent of Risks Arising from Financial Instruments</w:t>
      </w:r>
      <w:bookmarkEnd w:id="170"/>
      <w:bookmarkEnd w:id="171"/>
      <w:bookmarkEnd w:id="172"/>
    </w:p>
    <w:p w14:paraId="6261EE7D" w14:textId="77777777" w:rsidR="00D4492C" w:rsidRDefault="00D4492C" w:rsidP="006F1659">
      <w:pPr>
        <w:spacing w:line="360" w:lineRule="auto"/>
        <w:rPr>
          <w:rFonts w:ascii="Arial" w:eastAsiaTheme="minorHAnsi" w:hAnsi="Arial" w:cs="Arial"/>
        </w:rPr>
      </w:pPr>
    </w:p>
    <w:p w14:paraId="2214F5D2" w14:textId="171A2DF6" w:rsidR="00C802FD" w:rsidRPr="0007572B" w:rsidRDefault="00D4492C" w:rsidP="006F1659">
      <w:pPr>
        <w:spacing w:after="160" w:line="360" w:lineRule="auto"/>
        <w:rPr>
          <w:rFonts w:ascii="Arial" w:eastAsiaTheme="minorHAnsi" w:hAnsi="Arial" w:cs="Arial"/>
        </w:rPr>
      </w:pPr>
      <w:r>
        <w:rPr>
          <w:rFonts w:ascii="Arial" w:eastAsiaTheme="minorHAnsi" w:hAnsi="Arial" w:cs="Arial"/>
        </w:rPr>
        <w:t>T</w:t>
      </w:r>
      <w:r w:rsidR="00C802FD" w:rsidRPr="0007572B">
        <w:rPr>
          <w:rFonts w:ascii="Arial" w:eastAsiaTheme="minorHAnsi" w:hAnsi="Arial" w:cs="Arial"/>
        </w:rPr>
        <w:t>he Authority’s activities expose it to a variety of financial risks, the key risks are:</w:t>
      </w:r>
      <w:r w:rsidR="00C802FD" w:rsidRPr="0007572B">
        <w:rPr>
          <w:rFonts w:ascii="Arial" w:eastAsiaTheme="minorHAnsi" w:hAnsi="Arial" w:cs="Arial"/>
        </w:rPr>
        <w:tab/>
      </w:r>
    </w:p>
    <w:p w14:paraId="192736A8"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Credit Risk – the possibility that other parties might fail to pay amounts due to the Authority;</w:t>
      </w:r>
    </w:p>
    <w:p w14:paraId="10689BCF"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Liquidity Risk – the possibility that the Authority might not have funds available to meet its commitments to make payments;</w:t>
      </w:r>
    </w:p>
    <w:p w14:paraId="182E0056"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Re-financing risk – the possibility that the Authority might be requiring to renew a financial instrument on maturity at disadvantageous interest rates or terms;</w:t>
      </w:r>
    </w:p>
    <w:p w14:paraId="37CF9632" w14:textId="25C7372F" w:rsidR="00C802FD"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Market Risk – the possibility that financial loss might arise for the Authority as a result of changes in such measures as interest rates or stock market movements.</w:t>
      </w:r>
    </w:p>
    <w:p w14:paraId="31C1C36C" w14:textId="77777777" w:rsidR="00C802FD" w:rsidRPr="0007572B" w:rsidRDefault="00C802FD" w:rsidP="006F1659">
      <w:pPr>
        <w:spacing w:after="160" w:line="360" w:lineRule="auto"/>
        <w:ind w:left="720"/>
        <w:contextualSpacing/>
        <w:rPr>
          <w:rFonts w:ascii="Arial" w:eastAsiaTheme="minorHAnsi" w:hAnsi="Arial" w:cs="Arial"/>
          <w:lang w:eastAsia="en-GB"/>
        </w:rPr>
      </w:pPr>
    </w:p>
    <w:p w14:paraId="7172D61B" w14:textId="77777777" w:rsidR="00C802FD" w:rsidRPr="0007572B" w:rsidRDefault="00C802FD" w:rsidP="006F1659">
      <w:pPr>
        <w:spacing w:after="160" w:line="360" w:lineRule="auto"/>
        <w:rPr>
          <w:rFonts w:ascii="Arial" w:eastAsiaTheme="minorHAnsi" w:hAnsi="Arial" w:cs="Arial"/>
          <w:sz w:val="28"/>
          <w:szCs w:val="28"/>
        </w:rPr>
      </w:pPr>
      <w:r w:rsidRPr="0007572B">
        <w:rPr>
          <w:rFonts w:ascii="Arial" w:eastAsiaTheme="minorHAnsi" w:hAnsi="Arial" w:cs="Arial"/>
        </w:rPr>
        <w:t>The Authority’s overall risk management programme focuses on the unpredictability of financial markets and seeks to minimise potential adverse effects on the resources available to fund services.</w:t>
      </w:r>
    </w:p>
    <w:p w14:paraId="5D8CBBC6"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procedures for risk management are set out through a legal framework, based on the Local Government Act 2003 and associated regulations. These require the Authority to comply with the CIPFA Prudential Code, the CIPFA Code of Practice on Treasury Management in the Public Services and investment guidance issued through the Act. Overall these procedures require the Authority to manage risk in the following ways:</w:t>
      </w:r>
    </w:p>
    <w:p w14:paraId="7B0C7F68" w14:textId="77777777" w:rsidR="00C802FD" w:rsidRPr="0007572B" w:rsidRDefault="00C802FD" w:rsidP="006F1659">
      <w:pPr>
        <w:pStyle w:val="FIBody"/>
        <w:numPr>
          <w:ilvl w:val="0"/>
          <w:numId w:val="47"/>
        </w:numPr>
        <w:spacing w:line="360" w:lineRule="auto"/>
        <w:jc w:val="left"/>
        <w:rPr>
          <w:rFonts w:ascii="Arial" w:hAnsi="Arial"/>
          <w:color w:val="auto"/>
          <w:sz w:val="24"/>
          <w:szCs w:val="24"/>
          <w:lang w:eastAsia="en-GB"/>
        </w:rPr>
      </w:pPr>
      <w:r w:rsidRPr="0007572B">
        <w:rPr>
          <w:rFonts w:ascii="Arial" w:hAnsi="Arial"/>
          <w:color w:val="auto"/>
          <w:sz w:val="24"/>
          <w:szCs w:val="24"/>
          <w:lang w:eastAsia="en-GB"/>
        </w:rPr>
        <w:t>by formally adopting the requirements of the</w:t>
      </w:r>
      <w:r w:rsidRPr="0007572B">
        <w:rPr>
          <w:rFonts w:ascii="Arial" w:hAnsi="Arial"/>
          <w:sz w:val="24"/>
          <w:szCs w:val="24"/>
          <w:lang w:eastAsia="en-GB"/>
        </w:rPr>
        <w:t xml:space="preserve"> </w:t>
      </w:r>
      <w:r w:rsidRPr="0007572B">
        <w:rPr>
          <w:rFonts w:ascii="Arial" w:hAnsi="Arial"/>
          <w:color w:val="auto"/>
          <w:sz w:val="24"/>
          <w:szCs w:val="24"/>
          <w:lang w:eastAsia="en-GB"/>
        </w:rPr>
        <w:t>CIPFA Treasury Management</w:t>
      </w:r>
      <w:r w:rsidRPr="0007572B">
        <w:rPr>
          <w:rFonts w:ascii="Arial" w:hAnsi="Arial"/>
          <w:i/>
          <w:color w:val="auto"/>
          <w:sz w:val="24"/>
          <w:szCs w:val="24"/>
        </w:rPr>
        <w:t xml:space="preserve"> </w:t>
      </w:r>
      <w:r w:rsidRPr="0007572B">
        <w:rPr>
          <w:rFonts w:ascii="Arial" w:hAnsi="Arial"/>
          <w:color w:val="auto"/>
          <w:sz w:val="24"/>
          <w:szCs w:val="24"/>
          <w:lang w:eastAsia="en-GB"/>
        </w:rPr>
        <w:t>Code of Practice;</w:t>
      </w:r>
    </w:p>
    <w:p w14:paraId="2980A8E0" w14:textId="77777777" w:rsidR="00C802FD" w:rsidRPr="0007572B" w:rsidRDefault="00C802FD" w:rsidP="006F1659">
      <w:pPr>
        <w:pStyle w:val="FIBody"/>
        <w:numPr>
          <w:ilvl w:val="0"/>
          <w:numId w:val="47"/>
        </w:numPr>
        <w:spacing w:line="360" w:lineRule="auto"/>
        <w:jc w:val="left"/>
        <w:rPr>
          <w:rFonts w:ascii="Arial" w:hAnsi="Arial"/>
          <w:color w:val="auto"/>
          <w:sz w:val="24"/>
          <w:szCs w:val="24"/>
          <w:lang w:eastAsia="en-GB"/>
        </w:rPr>
      </w:pPr>
      <w:r w:rsidRPr="0007572B">
        <w:rPr>
          <w:rFonts w:ascii="Arial" w:hAnsi="Arial"/>
          <w:color w:val="auto"/>
          <w:sz w:val="24"/>
          <w:szCs w:val="24"/>
          <w:lang w:eastAsia="en-GB"/>
        </w:rPr>
        <w:t>by the adoption of a Treasury Policy Statement and treasury management clauses within its financial regulations/standing orders/constitution;</w:t>
      </w:r>
    </w:p>
    <w:p w14:paraId="47DB6906" w14:textId="77777777" w:rsidR="00C802FD" w:rsidRPr="0007572B" w:rsidRDefault="00C802FD" w:rsidP="006F1659">
      <w:pPr>
        <w:numPr>
          <w:ilvl w:val="0"/>
          <w:numId w:val="4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by approving annually in advance prudential indicators for the following three years limiting:</w:t>
      </w:r>
    </w:p>
    <w:p w14:paraId="4758E83E"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The Authority’s overall borrowing;</w:t>
      </w:r>
    </w:p>
    <w:p w14:paraId="38D25CEE"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in the maturity structure of its debt;</w:t>
      </w:r>
    </w:p>
    <w:p w14:paraId="7943D818"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management of interest rate exposure:</w:t>
      </w:r>
    </w:p>
    <w:p w14:paraId="3AC6156B"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to investments maturing beyond a year.</w:t>
      </w:r>
    </w:p>
    <w:p w14:paraId="5C3077B8" w14:textId="77777777" w:rsidR="00C802FD" w:rsidRPr="0007572B" w:rsidRDefault="00C802FD" w:rsidP="006F1659">
      <w:pPr>
        <w:numPr>
          <w:ilvl w:val="0"/>
          <w:numId w:val="8"/>
        </w:numPr>
        <w:spacing w:after="160" w:line="360" w:lineRule="auto"/>
        <w:ind w:left="850" w:hanging="425"/>
        <w:contextualSpacing/>
        <w:rPr>
          <w:rFonts w:ascii="Arial" w:eastAsiaTheme="minorHAnsi" w:hAnsi="Arial" w:cs="Arial"/>
          <w:lang w:eastAsia="en-GB"/>
        </w:rPr>
      </w:pPr>
      <w:r w:rsidRPr="0007572B">
        <w:rPr>
          <w:rFonts w:ascii="Arial" w:eastAsiaTheme="minorHAnsi" w:hAnsi="Arial" w:cs="Arial"/>
          <w:lang w:eastAsia="en-GB"/>
        </w:rPr>
        <w:lastRenderedPageBreak/>
        <w:t>by approving an investment strategy for the forthcoming year, setting out its criteria for both investing and selecting Investment counter parties in compliance with the Government Guidance.</w:t>
      </w:r>
    </w:p>
    <w:p w14:paraId="6FF12643" w14:textId="2AF48FC3" w:rsidR="00C802FD" w:rsidRPr="0007572B" w:rsidRDefault="00C802FD" w:rsidP="006F1659">
      <w:pPr>
        <w:pStyle w:val="FIBody"/>
        <w:spacing w:line="360" w:lineRule="auto"/>
        <w:ind w:left="0"/>
        <w:jc w:val="left"/>
        <w:rPr>
          <w:rFonts w:ascii="Arial" w:hAnsi="Arial"/>
          <w:color w:val="auto"/>
          <w:sz w:val="24"/>
          <w:szCs w:val="24"/>
          <w:lang w:eastAsia="en-GB"/>
        </w:rPr>
      </w:pPr>
      <w:r w:rsidRPr="0007572B">
        <w:rPr>
          <w:rFonts w:ascii="Arial" w:hAnsi="Arial"/>
          <w:color w:val="auto"/>
          <w:sz w:val="24"/>
          <w:szCs w:val="24"/>
          <w:lang w:eastAsia="en-GB"/>
        </w:rPr>
        <w:t>These are required to be reported and approved at or before the Authority’s annual setting of the budget or before the start of the year to which they relate. These items are reported with the annual treasury management strategy which outlines the detailed approach to managing risk in relation to the Council’s financial instrument exposure. Actual performance is also reported after each year, as is a mid-year update.</w:t>
      </w:r>
    </w:p>
    <w:p w14:paraId="1155DDB7" w14:textId="77777777" w:rsidR="00C802FD" w:rsidRPr="0007572B" w:rsidRDefault="00C802FD" w:rsidP="006F1659">
      <w:pPr>
        <w:pStyle w:val="FIBody"/>
        <w:spacing w:line="360" w:lineRule="auto"/>
        <w:ind w:left="0"/>
        <w:jc w:val="left"/>
        <w:rPr>
          <w:rFonts w:ascii="Arial" w:hAnsi="Arial"/>
          <w:color w:val="auto"/>
          <w:sz w:val="24"/>
          <w:szCs w:val="24"/>
          <w:lang w:eastAsia="en-GB"/>
        </w:rPr>
      </w:pPr>
    </w:p>
    <w:p w14:paraId="2627753F" w14:textId="6C1AA62F" w:rsidR="00C802FD" w:rsidRPr="0007572B" w:rsidRDefault="00C802FD" w:rsidP="006F1659">
      <w:pPr>
        <w:pStyle w:val="FIBody"/>
        <w:spacing w:line="360" w:lineRule="auto"/>
        <w:ind w:left="0"/>
        <w:jc w:val="left"/>
        <w:rPr>
          <w:rFonts w:ascii="Arial" w:hAnsi="Arial"/>
          <w:color w:val="auto"/>
          <w:sz w:val="24"/>
          <w:szCs w:val="24"/>
          <w:lang w:eastAsia="en-GB"/>
        </w:rPr>
      </w:pPr>
      <w:r w:rsidRPr="00874A97">
        <w:rPr>
          <w:rFonts w:ascii="Arial" w:hAnsi="Arial"/>
          <w:color w:val="auto"/>
          <w:sz w:val="24"/>
          <w:szCs w:val="24"/>
          <w:lang w:eastAsia="en-GB"/>
        </w:rPr>
        <w:t xml:space="preserve">The annual treasury management strategy which incorporates the prudential indicators was approved by the Combined Authority </w:t>
      </w:r>
      <w:r w:rsidR="00874A97" w:rsidRPr="00874A97">
        <w:rPr>
          <w:rFonts w:ascii="Arial" w:hAnsi="Arial"/>
          <w:color w:val="auto"/>
          <w:sz w:val="24"/>
          <w:szCs w:val="24"/>
          <w:lang w:eastAsia="en-GB"/>
        </w:rPr>
        <w:t xml:space="preserve">in July </w:t>
      </w:r>
      <w:r w:rsidRPr="00874A97">
        <w:rPr>
          <w:rFonts w:ascii="Arial" w:hAnsi="Arial"/>
          <w:color w:val="auto"/>
          <w:sz w:val="24"/>
          <w:szCs w:val="24"/>
          <w:lang w:eastAsia="en-GB"/>
        </w:rPr>
        <w:t>202</w:t>
      </w:r>
      <w:r w:rsidR="00874A97" w:rsidRPr="00874A97">
        <w:rPr>
          <w:rFonts w:ascii="Arial" w:hAnsi="Arial"/>
          <w:color w:val="auto"/>
          <w:sz w:val="24"/>
          <w:szCs w:val="24"/>
          <w:lang w:eastAsia="en-GB"/>
        </w:rPr>
        <w:t>3</w:t>
      </w:r>
      <w:r w:rsidRPr="0007572B">
        <w:rPr>
          <w:rFonts w:ascii="Arial" w:hAnsi="Arial"/>
          <w:color w:val="auto"/>
          <w:sz w:val="24"/>
          <w:szCs w:val="24"/>
          <w:lang w:eastAsia="en-GB"/>
        </w:rPr>
        <w:t xml:space="preserve"> and is available on the </w:t>
      </w:r>
      <w:r w:rsidR="00CA750E">
        <w:rPr>
          <w:rFonts w:ascii="Arial" w:hAnsi="Arial"/>
          <w:color w:val="auto"/>
          <w:sz w:val="24"/>
          <w:szCs w:val="24"/>
          <w:lang w:eastAsia="en-GB"/>
        </w:rPr>
        <w:t>GMCA</w:t>
      </w:r>
      <w:r w:rsidRPr="0007572B">
        <w:rPr>
          <w:rFonts w:ascii="Arial" w:hAnsi="Arial"/>
          <w:color w:val="auto"/>
          <w:sz w:val="24"/>
          <w:szCs w:val="24"/>
          <w:lang w:eastAsia="en-GB"/>
        </w:rPr>
        <w:t xml:space="preserve"> website. </w:t>
      </w:r>
    </w:p>
    <w:p w14:paraId="52C9BB77" w14:textId="77777777" w:rsidR="00C802FD" w:rsidRPr="0007572B" w:rsidRDefault="00C802FD" w:rsidP="006F1659">
      <w:pPr>
        <w:spacing w:line="360" w:lineRule="auto"/>
        <w:rPr>
          <w:rFonts w:ascii="Arial" w:eastAsiaTheme="minorHAnsi" w:hAnsi="Arial" w:cs="Arial"/>
        </w:rPr>
      </w:pPr>
    </w:p>
    <w:p w14:paraId="2029AC4F" w14:textId="2B50462D" w:rsidR="00C802FD" w:rsidRDefault="00C802FD" w:rsidP="006F1659">
      <w:pPr>
        <w:spacing w:line="360" w:lineRule="auto"/>
        <w:rPr>
          <w:rFonts w:ascii="Arial" w:eastAsiaTheme="minorHAnsi" w:hAnsi="Arial" w:cs="Arial"/>
        </w:rPr>
      </w:pPr>
      <w:r w:rsidRPr="0007572B">
        <w:rPr>
          <w:rFonts w:ascii="Arial" w:eastAsiaTheme="minorHAnsi" w:hAnsi="Arial" w:cs="Arial"/>
        </w:rPr>
        <w:t>Risk management is carried out by a central treasury team, under policies approved by the Authority in the annual treasury management strategy.</w:t>
      </w:r>
      <w:r w:rsidRPr="0007572B">
        <w:rPr>
          <w:rFonts w:ascii="Arial" w:hAnsi="Arial" w:cs="Arial"/>
          <w:sz w:val="28"/>
          <w:szCs w:val="28"/>
        </w:rPr>
        <w:t xml:space="preserve"> </w:t>
      </w:r>
      <w:r w:rsidRPr="0007572B">
        <w:rPr>
          <w:rFonts w:ascii="Arial" w:eastAsiaTheme="minorHAnsi" w:hAnsi="Arial" w:cs="Arial"/>
        </w:rPr>
        <w:t>The Authority maintains written principles for overall risk management, as well as written policies covering specific areas, such as interest rate risk, credit risk, and the investment of surplus cash through Treasury Management Practices (TMPs). These TMPs are a requirement of the Code of Practice and are reviewed periodically.</w:t>
      </w:r>
    </w:p>
    <w:p w14:paraId="41A0E7EA" w14:textId="77777777" w:rsidR="00D4492C" w:rsidRPr="0007572B" w:rsidRDefault="00D4492C" w:rsidP="006F1659">
      <w:pPr>
        <w:spacing w:line="360" w:lineRule="auto"/>
        <w:rPr>
          <w:rFonts w:ascii="Arial" w:eastAsiaTheme="minorHAnsi" w:hAnsi="Arial" w:cs="Arial"/>
        </w:rPr>
      </w:pPr>
    </w:p>
    <w:p w14:paraId="71E58A3B" w14:textId="77777777" w:rsidR="00C802FD" w:rsidRPr="0007572B" w:rsidRDefault="00C802FD" w:rsidP="006F1659">
      <w:pPr>
        <w:pStyle w:val="Heading4bold"/>
        <w:spacing w:line="360" w:lineRule="auto"/>
        <w:rPr>
          <w:rFonts w:eastAsiaTheme="minorHAnsi"/>
        </w:rPr>
      </w:pPr>
      <w:r w:rsidRPr="0007572B">
        <w:rPr>
          <w:rFonts w:eastAsiaTheme="minorHAnsi"/>
        </w:rPr>
        <w:t>Specified Investments</w:t>
      </w:r>
    </w:p>
    <w:p w14:paraId="0DF4E88E" w14:textId="77777777" w:rsidR="00C802FD" w:rsidRPr="0007572B" w:rsidRDefault="00C802FD" w:rsidP="006F1659">
      <w:pPr>
        <w:spacing w:line="360" w:lineRule="auto"/>
        <w:rPr>
          <w:rFonts w:ascii="Arial" w:eastAsiaTheme="minorHAnsi" w:hAnsi="Arial" w:cs="Arial"/>
        </w:rPr>
      </w:pPr>
    </w:p>
    <w:p w14:paraId="078A5174" w14:textId="27AB81CF"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Specified Investments are investments in sterling denomination, with maturities up to a maximum of 1 year. All specified investments meet the minimum ‘high’ ratings criteria where applicable.</w:t>
      </w:r>
    </w:p>
    <w:p w14:paraId="606375A7"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Term deposits – Other local authorities: Credit Criteria high security;</w:t>
      </w:r>
    </w:p>
    <w:p w14:paraId="62A56F71" w14:textId="3D03ED0F"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 xml:space="preserve">Term deposits – Banks and building societies; Credit Criteria </w:t>
      </w:r>
      <w:r w:rsidR="00732359">
        <w:rPr>
          <w:rFonts w:ascii="Arial" w:eastAsiaTheme="minorHAnsi" w:hAnsi="Arial" w:cs="Arial"/>
          <w:lang w:eastAsia="en-GB"/>
        </w:rPr>
        <w:t>Minimum of A-</w:t>
      </w:r>
      <w:r w:rsidRPr="0007572B">
        <w:rPr>
          <w:rFonts w:ascii="Arial" w:eastAsiaTheme="minorHAnsi" w:hAnsi="Arial" w:cs="Arial"/>
          <w:lang w:eastAsia="en-GB"/>
        </w:rPr>
        <w:t>;</w:t>
      </w:r>
    </w:p>
    <w:p w14:paraId="7FB131D7"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Debt Management Agency Deposit Facility &amp; UK Nationalised Banks – UK Government Backed;</w:t>
      </w:r>
    </w:p>
    <w:p w14:paraId="4BD2059B"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Certificates of deposits issued by banks and building societies covered by UK Government guarantees – UK Government explicit guarantee;</w:t>
      </w:r>
    </w:p>
    <w:p w14:paraId="532DF8EE"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Money Market Funds, credit criteria AAA;</w:t>
      </w:r>
    </w:p>
    <w:p w14:paraId="25B39256"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lastRenderedPageBreak/>
        <w:tab/>
        <w:t>Non-UK Banks / Building Societies – Domiciled in a country which has a minimum sovereign Long Term rating of AAA;</w:t>
      </w:r>
    </w:p>
    <w:p w14:paraId="7501B8D8"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Treasury Bills – UK Government backed;</w:t>
      </w:r>
    </w:p>
    <w:p w14:paraId="5E1D1ADF"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Covered Bonds – Credit Criteria AAA.</w:t>
      </w:r>
    </w:p>
    <w:p w14:paraId="226A007D" w14:textId="77777777" w:rsidR="00C802FD" w:rsidRPr="0007572B" w:rsidRDefault="00C802FD" w:rsidP="006F1659">
      <w:pPr>
        <w:pStyle w:val="Heading4bold"/>
        <w:spacing w:line="360" w:lineRule="auto"/>
        <w:rPr>
          <w:rFonts w:eastAsiaTheme="minorHAnsi"/>
        </w:rPr>
      </w:pPr>
      <w:r w:rsidRPr="0007572B">
        <w:rPr>
          <w:rFonts w:eastAsiaTheme="minorHAnsi"/>
        </w:rPr>
        <w:t>Non-Specified Investments</w:t>
      </w:r>
    </w:p>
    <w:p w14:paraId="57A171BB"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Non-specified investments are any other type of investment not defined as specified above. Any proposals to use any non-specified investments will be reported to members for approval.</w:t>
      </w:r>
    </w:p>
    <w:p w14:paraId="67950738" w14:textId="77777777" w:rsidR="00C802FD" w:rsidRPr="0007572B" w:rsidRDefault="00C802FD" w:rsidP="006F1659">
      <w:pPr>
        <w:pStyle w:val="Heading4bold"/>
        <w:spacing w:line="360" w:lineRule="auto"/>
        <w:rPr>
          <w:rFonts w:eastAsiaTheme="minorHAnsi"/>
        </w:rPr>
      </w:pPr>
      <w:r w:rsidRPr="0007572B">
        <w:rPr>
          <w:rFonts w:eastAsiaTheme="minorHAnsi"/>
        </w:rPr>
        <w:t>Investment Limits</w:t>
      </w:r>
    </w:p>
    <w:p w14:paraId="5B42EBF3" w14:textId="71EAA929" w:rsidR="00C802FD" w:rsidRPr="0007572B" w:rsidRDefault="00C802FD" w:rsidP="006F1659">
      <w:pPr>
        <w:spacing w:after="160" w:line="360" w:lineRule="auto"/>
        <w:jc w:val="both"/>
        <w:rPr>
          <w:rFonts w:ascii="Arial" w:eastAsiaTheme="minorHAnsi" w:hAnsi="Arial" w:cs="Arial"/>
        </w:rPr>
      </w:pPr>
      <w:r w:rsidRPr="0007572B">
        <w:rPr>
          <w:rFonts w:ascii="Arial" w:eastAsiaTheme="minorHAnsi" w:hAnsi="Arial" w:cs="Arial"/>
        </w:rPr>
        <w:t xml:space="preserve">The financial investment limits </w:t>
      </w:r>
      <w:r w:rsidR="00732359">
        <w:rPr>
          <w:rFonts w:ascii="Arial" w:eastAsiaTheme="minorHAnsi" w:hAnsi="Arial" w:cs="Arial"/>
        </w:rPr>
        <w:t>applying to institutions or investment vehicles are</w:t>
      </w:r>
      <w:r w:rsidRPr="0007572B">
        <w:rPr>
          <w:rFonts w:ascii="Arial" w:eastAsiaTheme="minorHAnsi" w:hAnsi="Arial" w:cs="Arial"/>
        </w:rPr>
        <w:t xml:space="preserve"> as follows:</w:t>
      </w:r>
    </w:p>
    <w:p w14:paraId="3162A5BD" w14:textId="25467081" w:rsidR="00C802FD" w:rsidRDefault="00C802FD" w:rsidP="006F1659">
      <w:pPr>
        <w:pStyle w:val="ListParagraph"/>
        <w:numPr>
          <w:ilvl w:val="0"/>
          <w:numId w:val="32"/>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Banks and Building Societies</w:t>
      </w:r>
      <w:r w:rsidR="00732359">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732359">
        <w:rPr>
          <w:rFonts w:ascii="Arial" w:eastAsiaTheme="minorHAnsi" w:hAnsi="Arial" w:cs="Arial"/>
          <w:sz w:val="24"/>
          <w:szCs w:val="24"/>
        </w:rPr>
        <w:t>£25m</w:t>
      </w:r>
    </w:p>
    <w:p w14:paraId="7EC2A115" w14:textId="02535691" w:rsidR="00732359" w:rsidRDefault="00732359" w:rsidP="006F1659">
      <w:pPr>
        <w:pStyle w:val="ListParagraph"/>
        <w:numPr>
          <w:ilvl w:val="0"/>
          <w:numId w:val="32"/>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CD’s or Corporate Bonds with Banks and Building </w:t>
      </w:r>
      <w:r w:rsidR="000933D8">
        <w:rPr>
          <w:rFonts w:ascii="Arial" w:eastAsiaTheme="minorHAnsi" w:hAnsi="Arial" w:cs="Arial"/>
          <w:sz w:val="24"/>
          <w:szCs w:val="24"/>
        </w:rPr>
        <w:t>Societies</w:t>
      </w:r>
      <w:r w:rsidR="000933D8">
        <w:rPr>
          <w:rFonts w:ascii="Arial" w:eastAsiaTheme="minorHAnsi" w:hAnsi="Arial" w:cs="Arial"/>
          <w:sz w:val="24"/>
          <w:szCs w:val="24"/>
        </w:rPr>
        <w:tab/>
        <w:t>£25m</w:t>
      </w:r>
    </w:p>
    <w:p w14:paraId="62D61537" w14:textId="2BDE4544" w:rsidR="00C802FD" w:rsidRPr="00732359" w:rsidRDefault="00C802FD" w:rsidP="006F1659">
      <w:pPr>
        <w:pStyle w:val="ListParagraph"/>
        <w:numPr>
          <w:ilvl w:val="0"/>
          <w:numId w:val="32"/>
        </w:numPr>
        <w:spacing w:line="360" w:lineRule="auto"/>
        <w:jc w:val="both"/>
        <w:rPr>
          <w:rFonts w:ascii="Arial" w:eastAsiaTheme="minorHAnsi" w:hAnsi="Arial" w:cs="Arial"/>
          <w:sz w:val="24"/>
          <w:szCs w:val="24"/>
        </w:rPr>
      </w:pPr>
      <w:r w:rsidRPr="00732359">
        <w:rPr>
          <w:rFonts w:ascii="Arial" w:eastAsiaTheme="minorHAnsi" w:hAnsi="Arial" w:cs="Arial"/>
        </w:rPr>
        <w:t>Debt Management Office</w:t>
      </w:r>
      <w:r w:rsidRPr="00732359">
        <w:rPr>
          <w:rFonts w:ascii="Arial" w:eastAsiaTheme="minorHAnsi" w:hAnsi="Arial" w:cs="Arial"/>
        </w:rPr>
        <w:tab/>
      </w:r>
      <w:r w:rsidRPr="00732359">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732359">
        <w:rPr>
          <w:rFonts w:ascii="Arial" w:eastAsiaTheme="minorHAnsi" w:hAnsi="Arial" w:cs="Arial"/>
        </w:rPr>
        <w:t>Unlimited</w:t>
      </w:r>
    </w:p>
    <w:p w14:paraId="49F8BF1D" w14:textId="582453AC" w:rsidR="00C802FD" w:rsidRPr="0007572B" w:rsidRDefault="000933D8" w:rsidP="006F1659">
      <w:pPr>
        <w:pStyle w:val="ListParagraph"/>
        <w:numPr>
          <w:ilvl w:val="0"/>
          <w:numId w:val="31"/>
        </w:numPr>
        <w:spacing w:line="360" w:lineRule="auto"/>
        <w:jc w:val="both"/>
        <w:rPr>
          <w:rFonts w:ascii="Arial" w:eastAsiaTheme="minorHAnsi" w:hAnsi="Arial" w:cs="Arial"/>
          <w:sz w:val="24"/>
          <w:szCs w:val="24"/>
        </w:rPr>
      </w:pPr>
      <w:r>
        <w:rPr>
          <w:rFonts w:ascii="Arial" w:eastAsiaTheme="minorHAnsi" w:hAnsi="Arial" w:cs="Arial"/>
          <w:sz w:val="24"/>
          <w:szCs w:val="24"/>
        </w:rPr>
        <w:t>Money Market Funds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£25m</w:t>
      </w:r>
      <w:r>
        <w:rPr>
          <w:rFonts w:ascii="Arial" w:eastAsiaTheme="minorHAnsi" w:hAnsi="Arial" w:cs="Arial"/>
          <w:sz w:val="24"/>
          <w:szCs w:val="24"/>
        </w:rPr>
        <w:tab/>
      </w:r>
    </w:p>
    <w:p w14:paraId="66C89718" w14:textId="405E0A98" w:rsidR="00C802FD" w:rsidRPr="0007572B" w:rsidRDefault="00C802FD" w:rsidP="006F1659">
      <w:pPr>
        <w:pStyle w:val="ListParagraph"/>
        <w:numPr>
          <w:ilvl w:val="0"/>
          <w:numId w:val="31"/>
        </w:numPr>
        <w:spacing w:after="160" w:line="360" w:lineRule="auto"/>
        <w:jc w:val="both"/>
        <w:rPr>
          <w:rFonts w:ascii="Arial" w:eastAsiaTheme="minorHAnsi" w:hAnsi="Arial" w:cs="Arial"/>
          <w:sz w:val="24"/>
          <w:szCs w:val="24"/>
        </w:rPr>
      </w:pPr>
      <w:r w:rsidRPr="0007572B">
        <w:rPr>
          <w:rFonts w:ascii="Arial" w:eastAsiaTheme="minorHAnsi" w:hAnsi="Arial" w:cs="Arial"/>
          <w:sz w:val="24"/>
          <w:szCs w:val="24"/>
        </w:rPr>
        <w:t>Other local authorities</w:t>
      </w:r>
      <w:r w:rsidRPr="0007572B">
        <w:rPr>
          <w:rFonts w:ascii="Arial" w:eastAsiaTheme="minorHAnsi" w:hAnsi="Arial" w:cs="Arial"/>
          <w:sz w:val="24"/>
          <w:szCs w:val="24"/>
        </w:rPr>
        <w:tab/>
      </w:r>
      <w:r w:rsidRPr="0007572B">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Pr="0007572B">
        <w:rPr>
          <w:rFonts w:ascii="Arial" w:eastAsiaTheme="minorHAnsi" w:hAnsi="Arial" w:cs="Arial"/>
          <w:sz w:val="24"/>
          <w:szCs w:val="24"/>
        </w:rPr>
        <w:t>£2</w:t>
      </w:r>
      <w:r w:rsidR="000933D8">
        <w:rPr>
          <w:rFonts w:ascii="Arial" w:eastAsiaTheme="minorHAnsi" w:hAnsi="Arial" w:cs="Arial"/>
          <w:sz w:val="24"/>
          <w:szCs w:val="24"/>
        </w:rPr>
        <w:t>5</w:t>
      </w:r>
      <w:r w:rsidRPr="0007572B">
        <w:rPr>
          <w:rFonts w:ascii="Arial" w:eastAsiaTheme="minorHAnsi" w:hAnsi="Arial" w:cs="Arial"/>
          <w:sz w:val="24"/>
          <w:szCs w:val="24"/>
        </w:rPr>
        <w:t>m</w:t>
      </w:r>
    </w:p>
    <w:p w14:paraId="5A8D38BC" w14:textId="77777777" w:rsidR="00C802FD" w:rsidRPr="0007572B" w:rsidRDefault="00C802FD" w:rsidP="006F1659">
      <w:pPr>
        <w:pStyle w:val="Heading4bold"/>
        <w:spacing w:line="360" w:lineRule="auto"/>
        <w:rPr>
          <w:rFonts w:eastAsiaTheme="minorHAnsi"/>
        </w:rPr>
      </w:pPr>
      <w:r w:rsidRPr="0007572B">
        <w:rPr>
          <w:rFonts w:eastAsiaTheme="minorHAnsi"/>
        </w:rPr>
        <w:t>Credit Risk</w:t>
      </w:r>
    </w:p>
    <w:p w14:paraId="32A33B90"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Credit risk arises from deposits with banks and financial institutions, as well as credit exposures to the Authority’s debtors and creditors.</w:t>
      </w:r>
    </w:p>
    <w:p w14:paraId="3B30C1E1" w14:textId="77777777" w:rsidR="00C802FD" w:rsidRPr="0007572B" w:rsidRDefault="00C802FD" w:rsidP="006F1659">
      <w:pPr>
        <w:spacing w:line="360" w:lineRule="auto"/>
        <w:rPr>
          <w:rFonts w:ascii="Arial" w:eastAsiaTheme="minorHAnsi" w:hAnsi="Arial" w:cs="Arial"/>
        </w:rPr>
      </w:pPr>
    </w:p>
    <w:p w14:paraId="588AA1EA" w14:textId="135A3639"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 xml:space="preserve">This risk is minimised through the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minimum requirements of the investment criteria outlined above. </w:t>
      </w:r>
      <w:r w:rsidRPr="000933D8">
        <w:rPr>
          <w:rFonts w:ascii="Arial" w:eastAsiaTheme="minorHAnsi" w:hAnsi="Arial" w:cs="Arial"/>
        </w:rPr>
        <w:t>All investments held as at 31 March 202</w:t>
      </w:r>
      <w:r w:rsidR="00F158E2" w:rsidRPr="000933D8">
        <w:rPr>
          <w:rFonts w:ascii="Arial" w:eastAsiaTheme="minorHAnsi" w:hAnsi="Arial" w:cs="Arial"/>
        </w:rPr>
        <w:t>3</w:t>
      </w:r>
      <w:r w:rsidRPr="000933D8">
        <w:rPr>
          <w:rFonts w:ascii="Arial" w:eastAsiaTheme="minorHAnsi" w:hAnsi="Arial" w:cs="Arial"/>
        </w:rPr>
        <w:t xml:space="preserve"> were with the HM Treasury Debt Management Office, other local authorities or UK banks and building societies.</w:t>
      </w:r>
    </w:p>
    <w:p w14:paraId="59726B4B" w14:textId="77777777" w:rsidR="00C802FD" w:rsidRPr="0007572B" w:rsidRDefault="00C802FD" w:rsidP="006F1659">
      <w:pPr>
        <w:spacing w:line="360" w:lineRule="auto"/>
        <w:rPr>
          <w:rFonts w:ascii="Arial" w:eastAsiaTheme="minorHAnsi" w:hAnsi="Arial" w:cs="Arial"/>
        </w:rPr>
      </w:pPr>
    </w:p>
    <w:p w14:paraId="521C342A" w14:textId="77777777" w:rsidR="00C802FD" w:rsidRPr="0007572B" w:rsidRDefault="00C802FD" w:rsidP="006F1659">
      <w:pPr>
        <w:spacing w:line="360" w:lineRule="auto"/>
        <w:rPr>
          <w:rFonts w:ascii="Arial" w:eastAsiaTheme="minorHAnsi" w:hAnsi="Arial" w:cs="Arial"/>
          <w:color w:val="000000" w:themeColor="text1"/>
        </w:rPr>
      </w:pPr>
      <w:r w:rsidRPr="0007572B">
        <w:rPr>
          <w:rFonts w:ascii="Arial" w:eastAsiaTheme="minorHAnsi" w:hAnsi="Arial" w:cs="Arial"/>
        </w:rPr>
        <w:lastRenderedPageBreak/>
        <w:t xml:space="preserve">The Authority has not used any non-credit rated institutions (for instance smaller building societies or bank subsidiaries where the parent has a satisfactory rating). In these circumstances, these investments would have been classified as other </w:t>
      </w:r>
      <w:r w:rsidRPr="0007572B">
        <w:rPr>
          <w:rFonts w:ascii="Arial" w:eastAsiaTheme="minorHAnsi" w:hAnsi="Arial" w:cs="Arial"/>
          <w:color w:val="000000" w:themeColor="text1"/>
        </w:rPr>
        <w:t>counterparties.</w:t>
      </w:r>
    </w:p>
    <w:p w14:paraId="1F0A18D6" w14:textId="77777777" w:rsidR="00C802FD" w:rsidRPr="0007572B" w:rsidRDefault="00C802FD" w:rsidP="006F1659">
      <w:pPr>
        <w:spacing w:line="360" w:lineRule="auto"/>
        <w:rPr>
          <w:rFonts w:ascii="Arial" w:eastAsiaTheme="minorHAnsi" w:hAnsi="Arial" w:cs="Arial"/>
          <w:color w:val="000000" w:themeColor="text1"/>
        </w:rPr>
      </w:pPr>
    </w:p>
    <w:p w14:paraId="61677A98"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following significant inputs, assumptions and estimation techniques have been used in calculating impairment loss allowances:</w:t>
      </w:r>
    </w:p>
    <w:p w14:paraId="59D7038A" w14:textId="77777777" w:rsidR="00C802FD" w:rsidRPr="0007572B" w:rsidRDefault="00C802FD" w:rsidP="006F1659">
      <w:pPr>
        <w:spacing w:line="360" w:lineRule="auto"/>
        <w:jc w:val="both"/>
        <w:rPr>
          <w:rFonts w:ascii="Arial" w:eastAsiaTheme="minorHAnsi" w:hAnsi="Arial" w:cs="Arial"/>
        </w:rPr>
      </w:pPr>
    </w:p>
    <w:p w14:paraId="28AFBBAC" w14:textId="77777777" w:rsidR="00C802FD" w:rsidRPr="0007572B" w:rsidRDefault="00C802FD" w:rsidP="006F1659">
      <w:pPr>
        <w:pStyle w:val="ListParagraph"/>
        <w:numPr>
          <w:ilvl w:val="0"/>
          <w:numId w:val="35"/>
        </w:numPr>
        <w:spacing w:line="360" w:lineRule="auto"/>
        <w:rPr>
          <w:rFonts w:ascii="Arial" w:hAnsi="Arial" w:cs="Arial"/>
          <w:sz w:val="24"/>
          <w:szCs w:val="24"/>
        </w:rPr>
      </w:pPr>
      <w:r w:rsidRPr="0007572B">
        <w:rPr>
          <w:rFonts w:ascii="Arial" w:hAnsi="Arial" w:cs="Arial"/>
          <w:sz w:val="24"/>
          <w:szCs w:val="24"/>
        </w:rPr>
        <w:t>The Authority assesses each loan it provides individually in terms of likelihood and quantum of recovery, taking a forward-looking approach to the assessment from two different aspects:</w:t>
      </w:r>
    </w:p>
    <w:p w14:paraId="78BF7698" w14:textId="77777777" w:rsidR="00C802FD" w:rsidRPr="0007572B" w:rsidRDefault="00C802FD" w:rsidP="006F1659">
      <w:pPr>
        <w:pStyle w:val="ListParagraph"/>
        <w:spacing w:line="360" w:lineRule="auto"/>
        <w:rPr>
          <w:rFonts w:ascii="Arial" w:hAnsi="Arial" w:cs="Arial"/>
          <w:sz w:val="24"/>
          <w:szCs w:val="24"/>
        </w:rPr>
      </w:pPr>
    </w:p>
    <w:p w14:paraId="64359F80" w14:textId="77777777" w:rsidR="00C802FD" w:rsidRPr="0007572B" w:rsidRDefault="00C802FD" w:rsidP="006F1659">
      <w:pPr>
        <w:pStyle w:val="ListParagraph"/>
        <w:numPr>
          <w:ilvl w:val="0"/>
          <w:numId w:val="38"/>
        </w:numPr>
        <w:spacing w:line="360" w:lineRule="auto"/>
        <w:rPr>
          <w:rFonts w:ascii="Arial" w:hAnsi="Arial" w:cs="Arial"/>
          <w:sz w:val="24"/>
          <w:szCs w:val="24"/>
        </w:rPr>
      </w:pPr>
      <w:r w:rsidRPr="0007572B">
        <w:rPr>
          <w:rFonts w:ascii="Arial" w:hAnsi="Arial" w:cs="Arial"/>
          <w:sz w:val="24"/>
          <w:szCs w:val="24"/>
        </w:rPr>
        <w:t>Performance - reviewing portfolio and management information to assess business risk from a performance perspective.</w:t>
      </w:r>
    </w:p>
    <w:p w14:paraId="1EED7D50" w14:textId="15B6B36E" w:rsidR="00C802FD" w:rsidRDefault="00C802FD" w:rsidP="006F1659">
      <w:pPr>
        <w:pStyle w:val="ListParagraph"/>
        <w:numPr>
          <w:ilvl w:val="0"/>
          <w:numId w:val="38"/>
        </w:numPr>
        <w:spacing w:line="360" w:lineRule="auto"/>
        <w:rPr>
          <w:rFonts w:ascii="Arial" w:hAnsi="Arial" w:cs="Arial"/>
          <w:sz w:val="24"/>
          <w:szCs w:val="24"/>
        </w:rPr>
      </w:pPr>
      <w:r w:rsidRPr="0007572B">
        <w:rPr>
          <w:rFonts w:ascii="Arial" w:hAnsi="Arial" w:cs="Arial"/>
          <w:sz w:val="24"/>
          <w:szCs w:val="24"/>
        </w:rPr>
        <w:t>Security</w:t>
      </w:r>
      <w:r w:rsidR="00A041A7" w:rsidRPr="0007572B">
        <w:rPr>
          <w:rFonts w:ascii="Arial" w:hAnsi="Arial" w:cs="Arial"/>
          <w:sz w:val="24"/>
          <w:szCs w:val="24"/>
        </w:rPr>
        <w:t xml:space="preserve"> </w:t>
      </w:r>
      <w:r w:rsidRPr="0007572B">
        <w:rPr>
          <w:rFonts w:ascii="Arial" w:hAnsi="Arial" w:cs="Arial"/>
          <w:sz w:val="24"/>
          <w:szCs w:val="24"/>
        </w:rPr>
        <w:t xml:space="preserve">- reviewing the strength of the Authority’s security in a loan recovery situation to allow this to be factored into the loss allowance assessment. </w:t>
      </w:r>
    </w:p>
    <w:p w14:paraId="1D0E329E" w14:textId="77777777" w:rsidR="00DE43CF" w:rsidRPr="00DE43CF" w:rsidRDefault="00DE43CF" w:rsidP="006F1659">
      <w:pPr>
        <w:spacing w:line="360" w:lineRule="auto"/>
        <w:rPr>
          <w:rFonts w:ascii="Arial" w:hAnsi="Arial" w:cs="Arial"/>
        </w:rPr>
      </w:pPr>
    </w:p>
    <w:p w14:paraId="63DD6035" w14:textId="55097FCB" w:rsidR="00EC0C92" w:rsidRDefault="00E95DDB" w:rsidP="006F1659">
      <w:pPr>
        <w:pStyle w:val="ListParagraph"/>
        <w:spacing w:line="360" w:lineRule="auto"/>
        <w:ind w:left="360"/>
        <w:rPr>
          <w:rFonts w:ascii="Arial" w:hAnsi="Arial" w:cs="Arial"/>
          <w:sz w:val="24"/>
          <w:szCs w:val="24"/>
        </w:rPr>
      </w:pPr>
      <w:r w:rsidRPr="00E95DDB">
        <w:rPr>
          <w:noProof/>
        </w:rPr>
        <w:drawing>
          <wp:inline distT="0" distB="0" distL="0" distR="0" wp14:anchorId="12C20E07" wp14:editId="4AE1A89B">
            <wp:extent cx="5975350" cy="1355725"/>
            <wp:effectExtent l="0" t="0" r="635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75350" cy="1355725"/>
                    </a:xfrm>
                    <a:prstGeom prst="rect">
                      <a:avLst/>
                    </a:prstGeom>
                    <a:noFill/>
                    <a:ln>
                      <a:noFill/>
                    </a:ln>
                  </pic:spPr>
                </pic:pic>
              </a:graphicData>
            </a:graphic>
          </wp:inline>
        </w:drawing>
      </w:r>
    </w:p>
    <w:p w14:paraId="4A82A6E1" w14:textId="20E9434B" w:rsidR="003941CA" w:rsidRPr="00A106AE" w:rsidRDefault="003941CA" w:rsidP="006F1659">
      <w:pPr>
        <w:spacing w:line="360" w:lineRule="auto"/>
        <w:rPr>
          <w:rFonts w:ascii="Arial" w:hAnsi="Arial" w:cs="Arial"/>
        </w:rPr>
      </w:pPr>
    </w:p>
    <w:p w14:paraId="7D921975" w14:textId="25EC7520" w:rsidR="00C802FD" w:rsidRPr="00176124" w:rsidRDefault="00C802FD" w:rsidP="006F1659">
      <w:pPr>
        <w:pStyle w:val="ListParagraph"/>
        <w:numPr>
          <w:ilvl w:val="0"/>
          <w:numId w:val="35"/>
        </w:numPr>
        <w:spacing w:line="360" w:lineRule="auto"/>
        <w:rPr>
          <w:rFonts w:ascii="Arial" w:eastAsiaTheme="minorHAnsi" w:hAnsi="Arial" w:cs="Arial"/>
          <w:sz w:val="24"/>
          <w:szCs w:val="24"/>
        </w:rPr>
      </w:pPr>
      <w:bookmarkStart w:id="173" w:name="_Hlk109071599"/>
      <w:r w:rsidRPr="00176124">
        <w:rPr>
          <w:rFonts w:ascii="Arial" w:eastAsiaTheme="minorHAnsi" w:hAnsi="Arial" w:cs="Arial"/>
          <w:sz w:val="24"/>
          <w:szCs w:val="24"/>
        </w:rPr>
        <w:t xml:space="preserve">The Authority’s debtors relate primarily to claims on </w:t>
      </w:r>
      <w:r w:rsidR="000713CE" w:rsidRPr="00176124">
        <w:rPr>
          <w:rFonts w:ascii="Arial" w:eastAsiaTheme="minorHAnsi" w:hAnsi="Arial" w:cs="Arial"/>
          <w:sz w:val="24"/>
          <w:szCs w:val="24"/>
        </w:rPr>
        <w:t>c</w:t>
      </w:r>
      <w:r w:rsidRPr="00176124">
        <w:rPr>
          <w:rFonts w:ascii="Arial" w:eastAsiaTheme="minorHAnsi" w:hAnsi="Arial" w:cs="Arial"/>
          <w:sz w:val="24"/>
          <w:szCs w:val="24"/>
        </w:rPr>
        <w:t xml:space="preserve">entral and </w:t>
      </w:r>
      <w:r w:rsidR="000713CE" w:rsidRPr="00176124">
        <w:rPr>
          <w:rFonts w:ascii="Arial" w:eastAsiaTheme="minorHAnsi" w:hAnsi="Arial" w:cs="Arial"/>
          <w:sz w:val="24"/>
          <w:szCs w:val="24"/>
        </w:rPr>
        <w:t>l</w:t>
      </w:r>
      <w:r w:rsidRPr="00176124">
        <w:rPr>
          <w:rFonts w:ascii="Arial" w:eastAsiaTheme="minorHAnsi" w:hAnsi="Arial" w:cs="Arial"/>
          <w:sz w:val="24"/>
          <w:szCs w:val="24"/>
        </w:rPr>
        <w:t xml:space="preserve">ocal </w:t>
      </w:r>
      <w:r w:rsidR="000713CE" w:rsidRPr="00176124">
        <w:rPr>
          <w:rFonts w:ascii="Arial" w:eastAsiaTheme="minorHAnsi" w:hAnsi="Arial" w:cs="Arial"/>
          <w:sz w:val="24"/>
          <w:szCs w:val="24"/>
        </w:rPr>
        <w:t>g</w:t>
      </w:r>
      <w:r w:rsidRPr="00176124">
        <w:rPr>
          <w:rFonts w:ascii="Arial" w:eastAsiaTheme="minorHAnsi" w:hAnsi="Arial" w:cs="Arial"/>
          <w:sz w:val="24"/>
          <w:szCs w:val="24"/>
        </w:rPr>
        <w:t xml:space="preserve">overnment departments. Other non-trade debtors include HMRC and RGF/GPF, HIF, City Deal and Growth Deal loans. </w:t>
      </w:r>
    </w:p>
    <w:bookmarkEnd w:id="173"/>
    <w:p w14:paraId="68E79829" w14:textId="77777777" w:rsidR="00C802FD" w:rsidRPr="0007572B" w:rsidRDefault="00C802FD" w:rsidP="006F1659">
      <w:pPr>
        <w:pStyle w:val="ListParagraph"/>
        <w:spacing w:line="360" w:lineRule="auto"/>
        <w:rPr>
          <w:rFonts w:ascii="Arial" w:eastAsiaTheme="minorHAnsi" w:hAnsi="Arial" w:cs="Arial"/>
          <w:sz w:val="24"/>
          <w:szCs w:val="24"/>
          <w:highlight w:val="yellow"/>
        </w:rPr>
      </w:pPr>
    </w:p>
    <w:p w14:paraId="17C54413" w14:textId="36D03C2B" w:rsidR="00C802FD" w:rsidRPr="0007572B" w:rsidRDefault="00C802FD" w:rsidP="006F1659">
      <w:pPr>
        <w:pStyle w:val="ListParagraph"/>
        <w:spacing w:line="360" w:lineRule="auto"/>
        <w:rPr>
          <w:rFonts w:ascii="Arial" w:eastAsiaTheme="minorHAnsi" w:hAnsi="Arial" w:cs="Arial"/>
          <w:sz w:val="24"/>
          <w:szCs w:val="24"/>
        </w:rPr>
      </w:pPr>
      <w:r w:rsidRPr="0007572B">
        <w:rPr>
          <w:rFonts w:ascii="Arial" w:eastAsiaTheme="minorHAnsi" w:hAnsi="Arial" w:cs="Arial"/>
          <w:sz w:val="24"/>
          <w:szCs w:val="24"/>
        </w:rPr>
        <w:t xml:space="preserve">The RGF/GPF, HIF, City Deal, Growth Deal and other stand-alone loans have had individual risk profiles assessed, resulting in a ‘lifetime expected loss </w:t>
      </w:r>
      <w:r w:rsidRPr="009D2D1A">
        <w:rPr>
          <w:rFonts w:ascii="Arial" w:eastAsiaTheme="minorHAnsi" w:hAnsi="Arial" w:cs="Arial"/>
          <w:sz w:val="24"/>
          <w:szCs w:val="24"/>
        </w:rPr>
        <w:t xml:space="preserve">allowance’ of </w:t>
      </w:r>
      <w:r w:rsidRPr="00DD2B8E">
        <w:rPr>
          <w:rFonts w:ascii="Arial" w:eastAsiaTheme="minorHAnsi" w:hAnsi="Arial" w:cs="Arial"/>
          <w:sz w:val="24"/>
          <w:szCs w:val="24"/>
        </w:rPr>
        <w:t>£</w:t>
      </w:r>
      <w:r w:rsidR="000933D8" w:rsidRPr="00DD2B8E">
        <w:rPr>
          <w:rFonts w:ascii="Arial" w:eastAsiaTheme="minorHAnsi" w:hAnsi="Arial" w:cs="Arial"/>
          <w:sz w:val="24"/>
          <w:szCs w:val="24"/>
        </w:rPr>
        <w:t>4</w:t>
      </w:r>
      <w:r w:rsidR="00046148" w:rsidRPr="00DD2B8E">
        <w:rPr>
          <w:rFonts w:ascii="Arial" w:eastAsiaTheme="minorHAnsi" w:hAnsi="Arial" w:cs="Arial"/>
          <w:sz w:val="24"/>
          <w:szCs w:val="24"/>
        </w:rPr>
        <w:t>.</w:t>
      </w:r>
      <w:r w:rsidR="000933D8" w:rsidRPr="00DD2B8E">
        <w:rPr>
          <w:rFonts w:ascii="Arial" w:eastAsiaTheme="minorHAnsi" w:hAnsi="Arial" w:cs="Arial"/>
          <w:sz w:val="24"/>
          <w:szCs w:val="24"/>
        </w:rPr>
        <w:t>264</w:t>
      </w:r>
      <w:r w:rsidRPr="00DD2B8E">
        <w:rPr>
          <w:rFonts w:ascii="Arial" w:eastAsiaTheme="minorHAnsi" w:hAnsi="Arial" w:cs="Arial"/>
          <w:sz w:val="24"/>
          <w:szCs w:val="24"/>
        </w:rPr>
        <w:t>m</w:t>
      </w:r>
      <w:r w:rsidRPr="009D2D1A">
        <w:rPr>
          <w:rFonts w:ascii="Arial" w:eastAsiaTheme="minorHAnsi" w:hAnsi="Arial" w:cs="Arial"/>
          <w:sz w:val="24"/>
          <w:szCs w:val="24"/>
        </w:rPr>
        <w:t xml:space="preserve"> being included within the accounts, as per the table above.</w:t>
      </w:r>
    </w:p>
    <w:p w14:paraId="05D144F4" w14:textId="77777777" w:rsidR="00C802FD" w:rsidRPr="0007572B" w:rsidRDefault="00C802FD" w:rsidP="006F1659">
      <w:pPr>
        <w:pStyle w:val="ListParagraph"/>
        <w:spacing w:line="360" w:lineRule="auto"/>
        <w:rPr>
          <w:rFonts w:ascii="Arial" w:eastAsiaTheme="minorHAnsi" w:hAnsi="Arial" w:cs="Arial"/>
          <w:sz w:val="24"/>
          <w:szCs w:val="24"/>
          <w:highlight w:val="yellow"/>
        </w:rPr>
      </w:pPr>
    </w:p>
    <w:p w14:paraId="484EF305" w14:textId="445B6FE8" w:rsidR="00C802FD" w:rsidRPr="0007572B" w:rsidRDefault="00C802FD" w:rsidP="006F1659">
      <w:pPr>
        <w:pStyle w:val="ListParagraph"/>
        <w:spacing w:line="360" w:lineRule="auto"/>
        <w:rPr>
          <w:rFonts w:ascii="Arial" w:eastAsiaTheme="minorHAnsi" w:hAnsi="Arial" w:cs="Arial"/>
          <w:sz w:val="24"/>
          <w:szCs w:val="24"/>
        </w:rPr>
      </w:pPr>
      <w:bookmarkStart w:id="174" w:name="_Hlk109071201"/>
      <w:r w:rsidRPr="000933D8">
        <w:rPr>
          <w:rFonts w:ascii="Arial" w:eastAsiaTheme="minorHAnsi" w:hAnsi="Arial" w:cs="Arial"/>
          <w:sz w:val="24"/>
          <w:szCs w:val="24"/>
        </w:rPr>
        <w:t>Of the total debtors past their due date for payment, the estimated exposure to default for trade debtors is £0.</w:t>
      </w:r>
      <w:r w:rsidR="0094056D" w:rsidRPr="000933D8">
        <w:rPr>
          <w:rFonts w:ascii="Arial" w:eastAsiaTheme="minorHAnsi" w:hAnsi="Arial" w:cs="Arial"/>
          <w:sz w:val="24"/>
          <w:szCs w:val="24"/>
        </w:rPr>
        <w:t>1</w:t>
      </w:r>
      <w:r w:rsidRPr="000933D8">
        <w:rPr>
          <w:rFonts w:ascii="Arial" w:eastAsiaTheme="minorHAnsi" w:hAnsi="Arial" w:cs="Arial"/>
          <w:sz w:val="24"/>
          <w:szCs w:val="24"/>
        </w:rPr>
        <w:t>m.</w:t>
      </w:r>
    </w:p>
    <w:bookmarkEnd w:id="174"/>
    <w:p w14:paraId="17CDF15E" w14:textId="77777777" w:rsidR="00C802FD" w:rsidRPr="0007572B" w:rsidRDefault="00C802FD" w:rsidP="006F1659">
      <w:pPr>
        <w:pStyle w:val="ListParagraph"/>
        <w:spacing w:line="360" w:lineRule="auto"/>
        <w:rPr>
          <w:rFonts w:ascii="Arial" w:eastAsiaTheme="minorHAnsi" w:hAnsi="Arial" w:cs="Arial"/>
          <w:sz w:val="24"/>
          <w:szCs w:val="24"/>
          <w:highlight w:val="yellow"/>
        </w:rPr>
      </w:pPr>
    </w:p>
    <w:p w14:paraId="7D3D5269" w14:textId="3CBF6E34" w:rsidR="00133E33" w:rsidRPr="00176124" w:rsidRDefault="00C802FD" w:rsidP="006F1659">
      <w:pPr>
        <w:pStyle w:val="ListParagraph"/>
        <w:numPr>
          <w:ilvl w:val="0"/>
          <w:numId w:val="34"/>
        </w:numPr>
        <w:spacing w:after="240" w:line="360" w:lineRule="auto"/>
        <w:rPr>
          <w:rFonts w:ascii="Arial" w:eastAsiaTheme="minorHAnsi" w:hAnsi="Arial" w:cs="Arial"/>
          <w:b/>
          <w:sz w:val="24"/>
          <w:szCs w:val="24"/>
        </w:rPr>
      </w:pPr>
      <w:bookmarkStart w:id="175" w:name="_Hlk109071608"/>
      <w:r w:rsidRPr="00176124">
        <w:rPr>
          <w:rFonts w:ascii="Arial" w:eastAsiaTheme="minorHAnsi" w:hAnsi="Arial" w:cs="Arial"/>
          <w:sz w:val="24"/>
          <w:szCs w:val="24"/>
        </w:rPr>
        <w:t xml:space="preserve">The Authority’s trade creditors relate primarily to </w:t>
      </w:r>
      <w:r w:rsidR="00133E33" w:rsidRPr="00176124">
        <w:rPr>
          <w:rFonts w:ascii="Arial" w:eastAsiaTheme="minorHAnsi" w:hAnsi="Arial" w:cs="Arial"/>
          <w:sz w:val="24"/>
          <w:szCs w:val="24"/>
        </w:rPr>
        <w:t>capital and revenue amounts</w:t>
      </w:r>
      <w:r w:rsidRPr="00176124">
        <w:rPr>
          <w:rFonts w:ascii="Arial" w:eastAsiaTheme="minorHAnsi" w:hAnsi="Arial" w:cs="Arial"/>
          <w:sz w:val="24"/>
          <w:szCs w:val="24"/>
        </w:rPr>
        <w:t xml:space="preserve"> payable </w:t>
      </w:r>
      <w:r w:rsidR="00133E33" w:rsidRPr="00176124">
        <w:rPr>
          <w:rFonts w:ascii="Arial" w:eastAsiaTheme="minorHAnsi" w:hAnsi="Arial" w:cs="Arial"/>
          <w:sz w:val="24"/>
          <w:szCs w:val="24"/>
        </w:rPr>
        <w:t xml:space="preserve">in relation </w:t>
      </w:r>
      <w:r w:rsidRPr="00176124">
        <w:rPr>
          <w:rFonts w:ascii="Arial" w:eastAsiaTheme="minorHAnsi" w:hAnsi="Arial" w:cs="Arial"/>
          <w:sz w:val="24"/>
          <w:szCs w:val="24"/>
        </w:rPr>
        <w:t xml:space="preserve">to </w:t>
      </w:r>
      <w:r w:rsidR="00133E33" w:rsidRPr="00176124">
        <w:rPr>
          <w:rFonts w:ascii="Arial" w:eastAsiaTheme="minorHAnsi" w:hAnsi="Arial" w:cs="Arial"/>
          <w:sz w:val="24"/>
          <w:szCs w:val="24"/>
        </w:rPr>
        <w:t xml:space="preserve">Waste Disposal and Police Fund. </w:t>
      </w:r>
    </w:p>
    <w:bookmarkEnd w:id="175"/>
    <w:p w14:paraId="028925D8" w14:textId="77777777" w:rsidR="00133E33" w:rsidRPr="0007572B" w:rsidRDefault="00133E33" w:rsidP="006F1659">
      <w:pPr>
        <w:pStyle w:val="ListParagraph"/>
        <w:spacing w:after="240" w:line="360" w:lineRule="auto"/>
        <w:rPr>
          <w:rFonts w:ascii="Arial" w:eastAsiaTheme="minorHAnsi" w:hAnsi="Arial" w:cs="Arial"/>
          <w:b/>
          <w:sz w:val="24"/>
          <w:szCs w:val="24"/>
        </w:rPr>
      </w:pPr>
    </w:p>
    <w:p w14:paraId="7A043665" w14:textId="54EDE55B" w:rsidR="00C802FD" w:rsidRDefault="00C802FD" w:rsidP="006F1659">
      <w:pPr>
        <w:pStyle w:val="Heading5"/>
        <w:spacing w:line="360" w:lineRule="auto"/>
        <w:rPr>
          <w:rFonts w:eastAsiaTheme="minorHAnsi"/>
        </w:rPr>
      </w:pPr>
      <w:r w:rsidRPr="0007572B">
        <w:rPr>
          <w:rFonts w:eastAsiaTheme="minorHAnsi"/>
        </w:rPr>
        <w:t>Credit Ratings Used:</w:t>
      </w:r>
    </w:p>
    <w:p w14:paraId="4584BCBC" w14:textId="77777777" w:rsidR="00D4492C" w:rsidRPr="00D4492C" w:rsidRDefault="00D4492C" w:rsidP="006F1659">
      <w:pPr>
        <w:spacing w:line="360" w:lineRule="auto"/>
        <w:rPr>
          <w:rFonts w:eastAsiaTheme="minorHAnsi"/>
        </w:rPr>
      </w:pPr>
    </w:p>
    <w:p w14:paraId="0EA7BC1A"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Banks and Building Societies - as a minimum, institutions must have the following Fitch (or equivalent) credit ratings (where rated):</w:t>
      </w:r>
    </w:p>
    <w:p w14:paraId="53E7EB37" w14:textId="77777777" w:rsidR="00C802FD" w:rsidRPr="0007572B" w:rsidRDefault="00C802FD" w:rsidP="006F1659">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 xml:space="preserve">Long Term </w:t>
      </w:r>
      <w:r w:rsidRPr="0007572B">
        <w:rPr>
          <w:rFonts w:ascii="Arial" w:eastAsiaTheme="minorHAnsi" w:hAnsi="Arial" w:cs="Arial"/>
          <w:lang w:eastAsia="en-GB"/>
        </w:rPr>
        <w:tab/>
        <w:t>- Fitch BBB+</w:t>
      </w:r>
    </w:p>
    <w:p w14:paraId="0337788C" w14:textId="77777777" w:rsidR="00C802FD" w:rsidRDefault="00C802FD" w:rsidP="006F1659">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Short Term</w:t>
      </w:r>
      <w:r w:rsidRPr="0007572B">
        <w:rPr>
          <w:rFonts w:ascii="Arial" w:eastAsiaTheme="minorHAnsi" w:hAnsi="Arial" w:cs="Arial"/>
          <w:lang w:eastAsia="en-GB"/>
        </w:rPr>
        <w:tab/>
        <w:t>- Fitch F2 or higher</w:t>
      </w:r>
    </w:p>
    <w:p w14:paraId="6A12EB3D" w14:textId="77777777" w:rsidR="005A5CC8" w:rsidRPr="0007572B" w:rsidRDefault="005A5CC8" w:rsidP="00CE16DE">
      <w:pPr>
        <w:spacing w:after="160" w:line="360" w:lineRule="auto"/>
        <w:contextualSpacing/>
        <w:jc w:val="both"/>
        <w:rPr>
          <w:rFonts w:ascii="Arial" w:eastAsiaTheme="minorHAnsi" w:hAnsi="Arial" w:cs="Arial"/>
          <w:lang w:eastAsia="en-GB"/>
        </w:rPr>
      </w:pPr>
    </w:p>
    <w:p w14:paraId="781B653E" w14:textId="104948A0" w:rsidR="00C802FD" w:rsidRDefault="00C802FD" w:rsidP="006F1659">
      <w:pPr>
        <w:pStyle w:val="Heading5"/>
        <w:spacing w:line="360" w:lineRule="auto"/>
        <w:rPr>
          <w:rFonts w:eastAsiaTheme="minorHAnsi"/>
        </w:rPr>
      </w:pPr>
      <w:r w:rsidRPr="0007572B">
        <w:rPr>
          <w:rFonts w:eastAsiaTheme="minorHAnsi"/>
        </w:rPr>
        <w:t>Monitoring of credit ratings:</w:t>
      </w:r>
    </w:p>
    <w:p w14:paraId="6673CACF" w14:textId="77777777" w:rsidR="00D4492C" w:rsidRPr="00D4492C" w:rsidRDefault="00D4492C" w:rsidP="006F1659">
      <w:pPr>
        <w:spacing w:line="360" w:lineRule="auto"/>
        <w:rPr>
          <w:rFonts w:eastAsiaTheme="minorHAnsi"/>
        </w:rPr>
      </w:pPr>
    </w:p>
    <w:p w14:paraId="4E07E95D"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This Authority will not use the approach of using the lowest rating from all three rating agencies to determine creditworthy counterparties. The Link Asset Services creditworthiness service uses a wider array of information than just primary ratings and by using a risk weighted scoring system does not give undue preponderance to just one agency’s ratings.</w:t>
      </w:r>
    </w:p>
    <w:p w14:paraId="20907213" w14:textId="6DA119C8"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All credit ratings will be monitored weekly. The Authority is alerted to changes to ratings of all three agencies through its use of the Link Asset Services creditworthiness service.</w:t>
      </w:r>
    </w:p>
    <w:p w14:paraId="6074FBD9" w14:textId="77777777"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If a downgrade results in the counterparty/investment scheme no longer meeting the Authority’s minimum criteria, its further use as a new investment will be withdrawn immediately;</w:t>
      </w:r>
    </w:p>
    <w:p w14:paraId="02EE8F79" w14:textId="77777777"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 addition to the use of Credit Ratings, the Authority will be advised of information in Credit Default Swap against the iTraxx benchmark and other market data on a weekly basis. Extreme market movements may result in the downgrade of an institution or removal from the Authority’s lending list;</w:t>
      </w:r>
    </w:p>
    <w:p w14:paraId="1502CE0E" w14:textId="1A724114"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 xml:space="preserve">Sole reliance will not be placed on the use of this external service. In addition this Authority will also use market data and market information, </w:t>
      </w:r>
      <w:r w:rsidR="000933D8">
        <w:rPr>
          <w:rFonts w:ascii="Arial" w:eastAsiaTheme="minorHAnsi" w:hAnsi="Arial" w:cs="Arial"/>
          <w:lang w:eastAsia="en-GB"/>
        </w:rPr>
        <w:t xml:space="preserve">as well as </w:t>
      </w:r>
      <w:r w:rsidRPr="0007572B">
        <w:rPr>
          <w:rFonts w:ascii="Arial" w:eastAsiaTheme="minorHAnsi" w:hAnsi="Arial" w:cs="Arial"/>
          <w:lang w:eastAsia="en-GB"/>
        </w:rPr>
        <w:t xml:space="preserve">information on </w:t>
      </w:r>
      <w:r w:rsidR="000933D8">
        <w:rPr>
          <w:rFonts w:ascii="Arial" w:eastAsiaTheme="minorHAnsi" w:hAnsi="Arial" w:cs="Arial"/>
          <w:lang w:eastAsia="en-GB"/>
        </w:rPr>
        <w:t xml:space="preserve">any external support for banks to </w:t>
      </w:r>
      <w:r w:rsidR="006D0611">
        <w:rPr>
          <w:rFonts w:ascii="Arial" w:eastAsiaTheme="minorHAnsi" w:hAnsi="Arial" w:cs="Arial"/>
          <w:lang w:eastAsia="en-GB"/>
        </w:rPr>
        <w:t>help</w:t>
      </w:r>
      <w:r w:rsidR="000933D8">
        <w:rPr>
          <w:rFonts w:ascii="Arial" w:eastAsiaTheme="minorHAnsi" w:hAnsi="Arial" w:cs="Arial"/>
          <w:lang w:eastAsia="en-GB"/>
        </w:rPr>
        <w:t xml:space="preserve"> support its decision-making process.</w:t>
      </w:r>
    </w:p>
    <w:p w14:paraId="432EAF6D" w14:textId="77777777" w:rsidR="00C802FD" w:rsidRPr="0007572B" w:rsidRDefault="00C802FD" w:rsidP="006F1659">
      <w:pPr>
        <w:pStyle w:val="Heading4bold"/>
        <w:spacing w:line="360" w:lineRule="auto"/>
        <w:rPr>
          <w:rFonts w:eastAsiaTheme="minorHAnsi"/>
        </w:rPr>
      </w:pPr>
      <w:r w:rsidRPr="0007572B">
        <w:rPr>
          <w:rFonts w:eastAsiaTheme="minorHAnsi"/>
        </w:rPr>
        <w:lastRenderedPageBreak/>
        <w:t>Liquidity Risk</w:t>
      </w:r>
    </w:p>
    <w:p w14:paraId="13945CF4"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manages its liquidity position through the risk management procedures above (the setting and approval of prudential indicators and the approval of the treasury and investment strategy reports), as well as through a comprehensive cash flow management system, as required by the Code of Practice. This seeks to ensure that cash is available as needed.</w:t>
      </w:r>
    </w:p>
    <w:p w14:paraId="3DBEC519" w14:textId="77777777" w:rsidR="00C802FD" w:rsidRPr="0007572B" w:rsidRDefault="00C802FD" w:rsidP="006F1659">
      <w:pPr>
        <w:spacing w:line="360" w:lineRule="auto"/>
        <w:rPr>
          <w:rFonts w:ascii="Arial" w:eastAsiaTheme="minorHAnsi" w:hAnsi="Arial" w:cs="Arial"/>
        </w:rPr>
      </w:pPr>
    </w:p>
    <w:p w14:paraId="5A9C1C5C"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If unexpected movements happen, the Authority has ready access to borrowings from the money market and the Public Works Loans Board. The Authority is also required to provide a balanced budget through the Local Government Finance Act 1992, which ensures sufficient monies are raised to cover annual expenditure. There is no significant risk that it will be unable to raise finance to meet its commitments under financial instruments.</w:t>
      </w:r>
    </w:p>
    <w:p w14:paraId="31F8CBD1" w14:textId="77777777" w:rsidR="00C802FD" w:rsidRPr="0007572B" w:rsidRDefault="00C802FD" w:rsidP="006F1659">
      <w:pPr>
        <w:spacing w:line="360" w:lineRule="auto"/>
        <w:rPr>
          <w:rFonts w:ascii="Arial" w:eastAsiaTheme="minorHAnsi" w:hAnsi="Arial" w:cs="Arial"/>
        </w:rPr>
      </w:pPr>
    </w:p>
    <w:p w14:paraId="30AFD4F6"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maintains a significant debt and investment portfolio. Whilst the cash flow procedures listed above are considered against the refinancing risk procedures, longer term risk to the Authority relates to managing the exposure to replacing financial instruments as they mature. This risk relates to both the maturing of longer term financial liabilities and longer term financial assets.</w:t>
      </w:r>
    </w:p>
    <w:p w14:paraId="6489B882" w14:textId="77777777" w:rsidR="00C802FD" w:rsidRPr="0007572B" w:rsidRDefault="00C802FD" w:rsidP="006F1659">
      <w:pPr>
        <w:spacing w:line="360" w:lineRule="auto"/>
        <w:rPr>
          <w:rFonts w:ascii="Arial" w:eastAsiaTheme="minorHAnsi" w:hAnsi="Arial" w:cs="Arial"/>
        </w:rPr>
      </w:pPr>
    </w:p>
    <w:p w14:paraId="12783696"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approved prudential indicator limits for the maturity structure of debt and the limits placed on investments placed for greater than one year in duration are the key parameters used to address this risk. The Authority approved treasury and investment strategies address the main risks and the central treasury team address the operational risks within the approved parameters. This includes:</w:t>
      </w:r>
    </w:p>
    <w:p w14:paraId="28D2C66D" w14:textId="77777777" w:rsidR="00C802FD" w:rsidRPr="0007572B" w:rsidRDefault="00C802FD" w:rsidP="006F1659">
      <w:pPr>
        <w:spacing w:line="360" w:lineRule="auto"/>
        <w:rPr>
          <w:rFonts w:ascii="Arial" w:eastAsiaTheme="minorHAnsi" w:hAnsi="Arial" w:cs="Arial"/>
        </w:rPr>
      </w:pPr>
    </w:p>
    <w:p w14:paraId="39130456" w14:textId="77777777" w:rsidR="00C802FD" w:rsidRPr="0007572B" w:rsidRDefault="00C802FD" w:rsidP="006F1659">
      <w:pPr>
        <w:numPr>
          <w:ilvl w:val="0"/>
          <w:numId w:val="11"/>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the existing debt; and</w:t>
      </w:r>
    </w:p>
    <w:p w14:paraId="299A2EAF" w14:textId="77777777" w:rsidR="00C802FD" w:rsidRPr="0007572B" w:rsidRDefault="00C802FD" w:rsidP="006F1659">
      <w:pPr>
        <w:numPr>
          <w:ilvl w:val="0"/>
          <w:numId w:val="11"/>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 and the spread of longer term investments provide stability of maturities and returns in relation to the longer term cash flow needs.</w:t>
      </w:r>
    </w:p>
    <w:p w14:paraId="1AFDC871" w14:textId="77777777" w:rsidR="00C802FD" w:rsidRPr="0007572B" w:rsidRDefault="00C802FD" w:rsidP="006F1659">
      <w:pPr>
        <w:spacing w:line="360" w:lineRule="auto"/>
        <w:rPr>
          <w:rFonts w:ascii="Arial" w:eastAsiaTheme="minorHAnsi" w:hAnsi="Arial" w:cs="Arial"/>
        </w:rPr>
      </w:pPr>
    </w:p>
    <w:p w14:paraId="14FF5ADD" w14:textId="241AFC49" w:rsidR="00C802FD" w:rsidRDefault="00C802FD" w:rsidP="006F1659">
      <w:pPr>
        <w:spacing w:after="160" w:line="360" w:lineRule="auto"/>
        <w:rPr>
          <w:rFonts w:ascii="Arial" w:eastAsiaTheme="minorHAnsi" w:hAnsi="Arial" w:cs="Arial"/>
        </w:rPr>
      </w:pPr>
      <w:r w:rsidRPr="0007572B">
        <w:rPr>
          <w:rFonts w:ascii="Arial" w:eastAsiaTheme="minorHAnsi" w:hAnsi="Arial" w:cs="Arial"/>
        </w:rPr>
        <w:lastRenderedPageBreak/>
        <w:t xml:space="preserve">The Authority has £50m lender option borrower option (LOBO) loans. These have fixed rates of </w:t>
      </w:r>
      <w:r w:rsidR="00EB430D" w:rsidRPr="0007572B">
        <w:rPr>
          <w:rFonts w:ascii="Arial" w:eastAsiaTheme="minorHAnsi" w:hAnsi="Arial" w:cs="Arial"/>
        </w:rPr>
        <w:t>interest,</w:t>
      </w:r>
      <w:r w:rsidRPr="0007572B">
        <w:rPr>
          <w:rFonts w:ascii="Arial" w:eastAsiaTheme="minorHAnsi" w:hAnsi="Arial" w:cs="Arial"/>
        </w:rPr>
        <w:t xml:space="preserve"> but the lender may seek to increase interest rates at which point the Authority has the option to repay the loan. As there is no certainty as to whether these loans will be repaid early, the Authority has treated them as fixed loans which will run to maturity. In forming this judgement the Authority has taken account of its ability to refinance through PWLB.</w:t>
      </w:r>
    </w:p>
    <w:p w14:paraId="72A545CF" w14:textId="086D002A" w:rsidR="00343260" w:rsidRPr="0007572B" w:rsidRDefault="00343260" w:rsidP="006F1659">
      <w:pPr>
        <w:spacing w:after="160" w:line="360" w:lineRule="auto"/>
        <w:rPr>
          <w:rFonts w:ascii="Arial" w:eastAsiaTheme="minorHAnsi" w:hAnsi="Arial" w:cs="Arial"/>
        </w:rPr>
      </w:pPr>
      <w:r>
        <w:rPr>
          <w:rFonts w:ascii="Arial" w:eastAsiaTheme="minorHAnsi" w:hAnsi="Arial" w:cs="Arial"/>
        </w:rPr>
        <w:t>The table below shows the liquidity risk to the Authority based on maturity analy</w:t>
      </w:r>
      <w:r w:rsidR="009D664A">
        <w:rPr>
          <w:rFonts w:ascii="Arial" w:eastAsiaTheme="minorHAnsi" w:hAnsi="Arial" w:cs="Arial"/>
        </w:rPr>
        <w:t>sis:</w:t>
      </w:r>
    </w:p>
    <w:p w14:paraId="71FAE808" w14:textId="67D76599" w:rsidR="00C802FD" w:rsidRDefault="005838F8" w:rsidP="006F1659">
      <w:pPr>
        <w:spacing w:line="360" w:lineRule="auto"/>
        <w:jc w:val="both"/>
        <w:rPr>
          <w:rFonts w:ascii="Arial" w:eastAsiaTheme="minorHAnsi" w:hAnsi="Arial" w:cs="Arial"/>
          <w:b/>
        </w:rPr>
      </w:pPr>
      <w:r w:rsidRPr="005838F8">
        <w:rPr>
          <w:rFonts w:ascii="Arial" w:eastAsiaTheme="minorHAnsi" w:hAnsi="Arial" w:cs="Arial"/>
          <w:b/>
        </w:rPr>
        <w:t xml:space="preserve"> </w:t>
      </w:r>
    </w:p>
    <w:p w14:paraId="7A675FEF" w14:textId="02EAB278" w:rsidR="005838F8" w:rsidRDefault="00EB430D" w:rsidP="006F1659">
      <w:pPr>
        <w:spacing w:line="360" w:lineRule="auto"/>
        <w:jc w:val="both"/>
        <w:rPr>
          <w:rFonts w:ascii="Arial" w:eastAsiaTheme="minorHAnsi" w:hAnsi="Arial" w:cs="Arial"/>
          <w:b/>
        </w:rPr>
      </w:pPr>
      <w:r w:rsidRPr="00EB430D">
        <w:rPr>
          <w:rFonts w:eastAsiaTheme="minorHAnsi"/>
          <w:noProof/>
        </w:rPr>
        <w:drawing>
          <wp:inline distT="0" distB="0" distL="0" distR="0" wp14:anchorId="528531A4" wp14:editId="63A66E84">
            <wp:extent cx="5579110" cy="1122680"/>
            <wp:effectExtent l="0" t="0" r="2540" b="127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579110" cy="1122680"/>
                    </a:xfrm>
                    <a:prstGeom prst="rect">
                      <a:avLst/>
                    </a:prstGeom>
                    <a:noFill/>
                    <a:ln>
                      <a:noFill/>
                    </a:ln>
                  </pic:spPr>
                </pic:pic>
              </a:graphicData>
            </a:graphic>
          </wp:inline>
        </w:drawing>
      </w:r>
    </w:p>
    <w:p w14:paraId="6376DB56" w14:textId="77777777" w:rsidR="00EB430D" w:rsidRPr="0007572B" w:rsidRDefault="00EB430D" w:rsidP="006F1659">
      <w:pPr>
        <w:spacing w:line="360" w:lineRule="auto"/>
        <w:jc w:val="both"/>
        <w:rPr>
          <w:rFonts w:ascii="Arial" w:eastAsiaTheme="minorHAnsi" w:hAnsi="Arial" w:cs="Arial"/>
          <w:b/>
        </w:rPr>
      </w:pPr>
    </w:p>
    <w:p w14:paraId="5D13DE81" w14:textId="77777777" w:rsidR="00C802FD" w:rsidRPr="0007572B" w:rsidRDefault="00C802FD" w:rsidP="006F1659">
      <w:pPr>
        <w:pStyle w:val="Heading4bold"/>
        <w:spacing w:line="360" w:lineRule="auto"/>
        <w:rPr>
          <w:rFonts w:eastAsiaTheme="minorHAnsi"/>
        </w:rPr>
      </w:pPr>
      <w:r w:rsidRPr="0007572B">
        <w:rPr>
          <w:rFonts w:eastAsiaTheme="minorHAnsi"/>
        </w:rPr>
        <w:t>Refinancing and maturity risk</w:t>
      </w:r>
    </w:p>
    <w:p w14:paraId="1DAA74E2"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maintained a significant debt and investment portfolio. Whilst the cash flow procedures were considered against the refinancing risk procedures, longer term risk to the Authority related to managing the exposure to replacing financial instruments as they mature.</w:t>
      </w:r>
    </w:p>
    <w:p w14:paraId="2F52D520" w14:textId="77777777" w:rsidR="00C802FD" w:rsidRPr="0007572B" w:rsidRDefault="00C802FD" w:rsidP="006F1659">
      <w:pPr>
        <w:spacing w:line="360" w:lineRule="auto"/>
        <w:rPr>
          <w:rFonts w:ascii="Arial" w:eastAsiaTheme="minorHAnsi" w:hAnsi="Arial" w:cs="Arial"/>
        </w:rPr>
      </w:pPr>
    </w:p>
    <w:p w14:paraId="17C6E9FE" w14:textId="77777777" w:rsidR="00C802FD" w:rsidRPr="0007572B" w:rsidRDefault="00C802FD" w:rsidP="006F1659">
      <w:p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The approved treasury indicator limits for the maturity structure of debt and the limits placed on investments placed for greater than one year in duration are the key parameters used to address this risk. The Authority approved treasury and investment strategies address the main risks, these include:</w:t>
      </w:r>
    </w:p>
    <w:p w14:paraId="450B860C" w14:textId="77777777" w:rsidR="00C802FD" w:rsidRPr="0007572B" w:rsidRDefault="00C802FD" w:rsidP="006F1659">
      <w:pPr>
        <w:spacing w:after="160" w:line="360" w:lineRule="auto"/>
        <w:contextualSpacing/>
        <w:rPr>
          <w:rFonts w:ascii="Arial" w:eastAsiaTheme="minorHAnsi" w:hAnsi="Arial" w:cs="Arial"/>
          <w:lang w:eastAsia="en-GB"/>
        </w:rPr>
      </w:pPr>
    </w:p>
    <w:p w14:paraId="66224CDA" w14:textId="77777777" w:rsidR="00C802FD" w:rsidRPr="0007572B" w:rsidRDefault="00C802FD" w:rsidP="006F1659">
      <w:pPr>
        <w:numPr>
          <w:ilvl w:val="0"/>
          <w:numId w:val="12"/>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existing debt;</w:t>
      </w:r>
    </w:p>
    <w:p w14:paraId="4CEB46DF" w14:textId="77777777" w:rsidR="00C802FD" w:rsidRPr="0007572B" w:rsidRDefault="00C802FD" w:rsidP="006F1659">
      <w:pPr>
        <w:numPr>
          <w:ilvl w:val="0"/>
          <w:numId w:val="12"/>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w:t>
      </w:r>
    </w:p>
    <w:p w14:paraId="790AC6A1" w14:textId="77777777" w:rsidR="00C802FD" w:rsidRPr="0007572B" w:rsidRDefault="00C802FD" w:rsidP="006F1659">
      <w:pPr>
        <w:pStyle w:val="ListParagraph"/>
        <w:numPr>
          <w:ilvl w:val="0"/>
          <w:numId w:val="12"/>
        </w:numPr>
        <w:spacing w:line="360" w:lineRule="auto"/>
        <w:rPr>
          <w:rFonts w:ascii="Arial" w:eastAsiaTheme="minorHAnsi" w:hAnsi="Arial" w:cs="Arial"/>
          <w:sz w:val="24"/>
          <w:szCs w:val="24"/>
        </w:rPr>
      </w:pPr>
      <w:r w:rsidRPr="0007572B">
        <w:rPr>
          <w:rFonts w:ascii="Arial" w:eastAsiaTheme="minorHAnsi" w:hAnsi="Arial" w:cs="Arial"/>
          <w:sz w:val="24"/>
          <w:szCs w:val="24"/>
        </w:rPr>
        <w:t>All trade creditors are due to be paid in less than one year.</w:t>
      </w:r>
    </w:p>
    <w:p w14:paraId="30891F53" w14:textId="77777777" w:rsidR="00C802FD" w:rsidRPr="0007572B" w:rsidRDefault="00C802FD" w:rsidP="006F1659">
      <w:pPr>
        <w:pStyle w:val="Heading4bold"/>
        <w:spacing w:line="360" w:lineRule="auto"/>
        <w:rPr>
          <w:rFonts w:eastAsiaTheme="minorHAnsi"/>
        </w:rPr>
      </w:pPr>
      <w:r w:rsidRPr="0007572B">
        <w:rPr>
          <w:rFonts w:eastAsiaTheme="minorHAnsi"/>
        </w:rPr>
        <w:lastRenderedPageBreak/>
        <w:t>Market Risk</w:t>
      </w:r>
    </w:p>
    <w:p w14:paraId="2AB0F5DF"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Authority is exposed to interest rate movements on its borrowings and investments. Movements in interest rates have a complex impact on the Authority, depending on how variable and fixed interest rates move across differing financial instrument periods. For instance, a rise in variable and fixed interest rates would have the following effects:</w:t>
      </w:r>
    </w:p>
    <w:p w14:paraId="61D54087"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variable rates – The interest expense charged to the Deficit / (Surplus) on the Provision of Services will rise;</w:t>
      </w:r>
    </w:p>
    <w:p w14:paraId="4D19770C"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fixed rates - The fair value of the borrowing liability will fall;</w:t>
      </w:r>
    </w:p>
    <w:p w14:paraId="64F8F8CD"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variable rates - The interest income credited to the Deficit / (Surplus) on the Provision of Services will rise; and</w:t>
      </w:r>
    </w:p>
    <w:p w14:paraId="3E6DAA76" w14:textId="77777777" w:rsidR="00C802FD"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fixed rates - The fair value of the assets will fall.</w:t>
      </w:r>
    </w:p>
    <w:p w14:paraId="7091BFF5" w14:textId="77777777" w:rsidR="00B519DB" w:rsidRPr="0007572B" w:rsidRDefault="00B519DB" w:rsidP="006F1659">
      <w:pPr>
        <w:spacing w:after="160" w:line="360" w:lineRule="auto"/>
        <w:ind w:left="720"/>
        <w:contextualSpacing/>
        <w:rPr>
          <w:rFonts w:ascii="Arial" w:eastAsiaTheme="minorHAnsi" w:hAnsi="Arial" w:cs="Arial"/>
          <w:lang w:eastAsia="en-GB"/>
        </w:rPr>
      </w:pPr>
    </w:p>
    <w:p w14:paraId="4EE92978"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 xml:space="preserve">Borrowings are not carried at fair value on the balance sheet, so nominal gains and losses on fixed rate borrowings would not impact on the Deficit / (Surplus) on the Provision of Services or Other Comprehensive Income and Expenditure. However, changes in interest payable and receivable on variable rate borrowings and investments will be posted to the Deficit on the Provision of Services and effect the General Fund Reserve. </w:t>
      </w:r>
    </w:p>
    <w:p w14:paraId="61E8AF91"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Authority has a number of strategies for managing interest rate risk. The Annual Treasury Management Strategy draws together Authority’s prudential indicators and its expected treasury operations, including an expectation of interest rate movements. From this Strategy, a prudential indicator is set which provides maximum limits for fixed and variable interest rate exposure. The central treasury team will monitor market interest rates and forecast interest rates within the year to adjust exposures appropriately. For instance, during periods of falling interest rates, and where economic circumstances make it favourable, fixed rate investments may be taken for longer periods to secure better long term returns.</w:t>
      </w:r>
    </w:p>
    <w:p w14:paraId="36A438C0" w14:textId="53FAED99"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Authority tries to maximise its income on temporary investment and minimise its interest costs on temporary and long</w:t>
      </w:r>
      <w:r w:rsidR="00F3496D">
        <w:rPr>
          <w:rFonts w:ascii="Arial" w:eastAsiaTheme="minorHAnsi" w:hAnsi="Arial" w:cs="Arial"/>
        </w:rPr>
        <w:t xml:space="preserve"> </w:t>
      </w:r>
      <w:r w:rsidRPr="0007572B">
        <w:rPr>
          <w:rFonts w:ascii="Arial" w:eastAsiaTheme="minorHAnsi" w:hAnsi="Arial" w:cs="Arial"/>
        </w:rPr>
        <w:t>term borrowing.</w:t>
      </w:r>
    </w:p>
    <w:p w14:paraId="5521E6E1" w14:textId="5CF74DEB" w:rsidR="00C802FD" w:rsidRDefault="00C802FD" w:rsidP="006F1659">
      <w:pPr>
        <w:spacing w:line="360" w:lineRule="auto"/>
        <w:rPr>
          <w:rFonts w:ascii="Arial" w:eastAsiaTheme="minorHAnsi" w:hAnsi="Arial" w:cs="Arial"/>
        </w:rPr>
      </w:pPr>
      <w:r w:rsidRPr="00DD2B8E">
        <w:rPr>
          <w:rFonts w:ascii="Arial" w:eastAsiaTheme="minorHAnsi" w:hAnsi="Arial" w:cs="Arial"/>
        </w:rPr>
        <w:t xml:space="preserve">The maximum interest rate increase that could be expected in the current climate is assessed at </w:t>
      </w:r>
      <w:r w:rsidR="00FF0805" w:rsidRPr="00DD2B8E">
        <w:rPr>
          <w:rFonts w:ascii="Arial" w:eastAsiaTheme="minorHAnsi" w:hAnsi="Arial" w:cs="Arial"/>
        </w:rPr>
        <w:t>2</w:t>
      </w:r>
      <w:r w:rsidRPr="00DD2B8E">
        <w:rPr>
          <w:rFonts w:ascii="Arial" w:eastAsiaTheme="minorHAnsi" w:hAnsi="Arial" w:cs="Arial"/>
        </w:rPr>
        <w:t>%.</w:t>
      </w:r>
      <w:r w:rsidRPr="0007572B">
        <w:rPr>
          <w:rFonts w:ascii="Arial" w:eastAsiaTheme="minorHAnsi" w:hAnsi="Arial" w:cs="Arial"/>
        </w:rPr>
        <w:t xml:space="preserve"> This would only apply to our net short term investments. The Authority also has a number of LOBO loans that can be called at periods. There is the risk that </w:t>
      </w:r>
      <w:r w:rsidRPr="0007572B">
        <w:rPr>
          <w:rFonts w:ascii="Arial" w:eastAsiaTheme="minorHAnsi" w:hAnsi="Arial" w:cs="Arial"/>
        </w:rPr>
        <w:lastRenderedPageBreak/>
        <w:t>these may have to be refinanced at a higher rate. The financial effect of these variable rate changes would be:</w:t>
      </w:r>
    </w:p>
    <w:p w14:paraId="167508F0" w14:textId="77777777" w:rsidR="00EC0C92" w:rsidRPr="0007572B" w:rsidRDefault="00EC0C92" w:rsidP="006F1659">
      <w:pPr>
        <w:spacing w:line="360" w:lineRule="auto"/>
        <w:rPr>
          <w:rFonts w:ascii="Arial" w:eastAsiaTheme="minorHAnsi" w:hAnsi="Arial" w:cs="Arial"/>
        </w:rPr>
      </w:pPr>
    </w:p>
    <w:p w14:paraId="57D798C6" w14:textId="21BEF35D" w:rsidR="008E4075" w:rsidRDefault="00A115A4" w:rsidP="006F1659">
      <w:pPr>
        <w:spacing w:line="360" w:lineRule="auto"/>
        <w:rPr>
          <w:rFonts w:ascii="Arial" w:hAnsi="Arial" w:cs="Arial"/>
          <w:b/>
          <w:sz w:val="22"/>
          <w:szCs w:val="22"/>
        </w:rPr>
      </w:pPr>
      <w:r w:rsidRPr="00A115A4">
        <w:rPr>
          <w:noProof/>
        </w:rPr>
        <w:drawing>
          <wp:inline distT="0" distB="0" distL="0" distR="0" wp14:anchorId="1C98E381" wp14:editId="0C25D091">
            <wp:extent cx="5575300" cy="1130300"/>
            <wp:effectExtent l="0" t="0" r="6350" b="0"/>
            <wp:docPr id="1033585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575300" cy="1130300"/>
                    </a:xfrm>
                    <a:prstGeom prst="rect">
                      <a:avLst/>
                    </a:prstGeom>
                    <a:noFill/>
                    <a:ln>
                      <a:noFill/>
                    </a:ln>
                  </pic:spPr>
                </pic:pic>
              </a:graphicData>
            </a:graphic>
          </wp:inline>
        </w:drawing>
      </w:r>
    </w:p>
    <w:p w14:paraId="11FE78D6" w14:textId="55C55DEA" w:rsidR="00E96C7E" w:rsidRDefault="00E96C7E" w:rsidP="006F1659">
      <w:pPr>
        <w:spacing w:line="360" w:lineRule="auto"/>
        <w:rPr>
          <w:rFonts w:ascii="Arial" w:hAnsi="Arial" w:cs="Arial"/>
          <w:b/>
          <w:sz w:val="22"/>
          <w:szCs w:val="22"/>
        </w:rPr>
      </w:pPr>
    </w:p>
    <w:p w14:paraId="4E3AC622" w14:textId="77777777" w:rsidR="00E96C7E" w:rsidRDefault="00E96C7E" w:rsidP="006F1659">
      <w:pPr>
        <w:spacing w:line="360" w:lineRule="auto"/>
        <w:rPr>
          <w:rFonts w:ascii="Arial" w:hAnsi="Arial" w:cs="Arial"/>
          <w:b/>
          <w:sz w:val="22"/>
          <w:szCs w:val="22"/>
        </w:rPr>
      </w:pPr>
    </w:p>
    <w:p w14:paraId="556311DC" w14:textId="77777777" w:rsidR="00323398" w:rsidRPr="00CE16DE" w:rsidRDefault="00323398" w:rsidP="00CE16DE">
      <w:pPr>
        <w:pStyle w:val="Heading4bold"/>
        <w:spacing w:line="360" w:lineRule="auto"/>
        <w:rPr>
          <w:rFonts w:eastAsiaTheme="minorHAnsi"/>
          <w:b w:val="0"/>
        </w:rPr>
      </w:pPr>
      <w:r w:rsidRPr="00CE16DE">
        <w:rPr>
          <w:rFonts w:eastAsiaTheme="minorHAnsi"/>
        </w:rPr>
        <w:t>Price Risk</w:t>
      </w:r>
    </w:p>
    <w:p w14:paraId="2FE8CCA8" w14:textId="54B1068D" w:rsidR="00323398" w:rsidRPr="00CE16DE" w:rsidRDefault="00323398" w:rsidP="00323398">
      <w:pPr>
        <w:spacing w:line="360" w:lineRule="auto"/>
        <w:rPr>
          <w:rFonts w:ascii="Arial" w:eastAsiaTheme="minorHAnsi" w:hAnsi="Arial" w:cs="Arial"/>
        </w:rPr>
        <w:sectPr w:rsidR="00323398" w:rsidRPr="00CE16DE" w:rsidSect="004833A2">
          <w:pgSz w:w="11906" w:h="16838"/>
          <w:pgMar w:top="1444" w:right="1416" w:bottom="1276" w:left="1080" w:header="568" w:footer="567" w:gutter="0"/>
          <w:cols w:space="708"/>
          <w:docGrid w:linePitch="360"/>
        </w:sectPr>
      </w:pPr>
      <w:r w:rsidRPr="00CE16DE">
        <w:rPr>
          <w:rFonts w:ascii="Arial" w:eastAsiaTheme="minorHAnsi" w:hAnsi="Arial" w:cs="Arial"/>
        </w:rPr>
        <w:t>The Authority holds £42.286m in Equity Investments and is exposed to some degree of price risk in relation to these assets. These investments are generally illiquid with no active market, but the Authority is exposed to potential losses arising from movements in the price of shares or impairments of the assets held. As the shareholdings have arisen in the acquisition of specific interests, the Authority is not in a position to limit its exposure to price movements by diversifying its portfolio. Instead, the Authority monitors factors that may cause a fall in the value of specific shareholdings and reviews observable input data from the companies, such as latest filed accounts and management accounting reports. As the investments are all classified as Equity Instruments designated at FVTOCI, all movements in price will be recognised in Other Comprehensive Income and Expenditure on the face of the Comprehensive Income and Expenditure Statement.</w:t>
      </w:r>
    </w:p>
    <w:p w14:paraId="29AA2A61" w14:textId="120A975B" w:rsidR="004047A3" w:rsidRPr="0007572B" w:rsidRDefault="00680267" w:rsidP="006F1659">
      <w:pPr>
        <w:pStyle w:val="Heading3greennumbered"/>
        <w:spacing w:line="360" w:lineRule="auto"/>
      </w:pPr>
      <w:bookmarkStart w:id="176" w:name="_Toc92894903"/>
      <w:bookmarkStart w:id="177" w:name="_Toc92895207"/>
      <w:bookmarkStart w:id="178" w:name="_Toc109922641"/>
      <w:r w:rsidRPr="0007572B">
        <w:lastRenderedPageBreak/>
        <w:t>3</w:t>
      </w:r>
      <w:r w:rsidR="00876B48" w:rsidRPr="0007572B">
        <w:t>1</w:t>
      </w:r>
      <w:r w:rsidR="004047A3" w:rsidRPr="0007572B">
        <w:t xml:space="preserve"> </w:t>
      </w:r>
      <w:r w:rsidR="00010401">
        <w:t>Related</w:t>
      </w:r>
      <w:r w:rsidR="004047A3" w:rsidRPr="0007572B">
        <w:t xml:space="preserve"> Party Transactions</w:t>
      </w:r>
      <w:bookmarkEnd w:id="176"/>
      <w:bookmarkEnd w:id="177"/>
      <w:bookmarkEnd w:id="178"/>
    </w:p>
    <w:p w14:paraId="23C46489" w14:textId="77777777" w:rsidR="00D4492C" w:rsidRDefault="00D4492C" w:rsidP="006F1659">
      <w:pPr>
        <w:spacing w:line="360" w:lineRule="auto"/>
        <w:rPr>
          <w:rFonts w:ascii="Arial" w:hAnsi="Arial" w:cs="Arial"/>
        </w:rPr>
      </w:pPr>
    </w:p>
    <w:p w14:paraId="4242A0BF" w14:textId="324B344B" w:rsidR="00F13495" w:rsidRPr="0007572B" w:rsidRDefault="00FC4B04" w:rsidP="006F1659">
      <w:pPr>
        <w:spacing w:line="360" w:lineRule="auto"/>
        <w:rPr>
          <w:rFonts w:ascii="Arial" w:hAnsi="Arial" w:cs="Arial"/>
        </w:rPr>
      </w:pPr>
      <w:r w:rsidRPr="0007572B">
        <w:rPr>
          <w:rFonts w:ascii="Arial" w:hAnsi="Arial" w:cs="Arial"/>
        </w:rPr>
        <w:t>The Authority is required to disclose material transactions with related parties</w:t>
      </w:r>
      <w:r w:rsidR="00296E9D" w:rsidRPr="0007572B">
        <w:rPr>
          <w:rFonts w:ascii="Arial" w:hAnsi="Arial" w:cs="Arial"/>
        </w:rPr>
        <w:t>. These are</w:t>
      </w:r>
      <w:r w:rsidRPr="0007572B">
        <w:rPr>
          <w:rFonts w:ascii="Arial" w:hAnsi="Arial" w:cs="Arial"/>
        </w:rPr>
        <w:t xml:space="preserve">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 </w:t>
      </w:r>
      <w:r w:rsidR="00471CCA" w:rsidRPr="0007572B">
        <w:rPr>
          <w:rFonts w:ascii="Arial" w:hAnsi="Arial" w:cs="Arial"/>
        </w:rPr>
        <w:t xml:space="preserve">In this context the organisations in which members (The Mayor and leaders of the GM </w:t>
      </w:r>
      <w:r w:rsidR="002952F9" w:rsidRPr="0007572B">
        <w:rPr>
          <w:rFonts w:ascii="Arial" w:hAnsi="Arial" w:cs="Arial"/>
        </w:rPr>
        <w:t>Authorities</w:t>
      </w:r>
      <w:r w:rsidR="00471CCA" w:rsidRPr="0007572B">
        <w:rPr>
          <w:rFonts w:ascii="Arial" w:hAnsi="Arial" w:cs="Arial"/>
        </w:rPr>
        <w:t>) and chief officers of the Authority have an influence or interest include;</w:t>
      </w:r>
    </w:p>
    <w:p w14:paraId="1CEF8CA2" w14:textId="77777777" w:rsidR="00900C7C" w:rsidRPr="0007572B" w:rsidRDefault="00900C7C" w:rsidP="006F1659">
      <w:pPr>
        <w:pStyle w:val="ListParagraph"/>
        <w:numPr>
          <w:ilvl w:val="0"/>
          <w:numId w:val="17"/>
        </w:numPr>
        <w:spacing w:line="360" w:lineRule="auto"/>
        <w:rPr>
          <w:rFonts w:ascii="Arial" w:hAnsi="Arial" w:cs="Arial"/>
          <w:sz w:val="24"/>
          <w:szCs w:val="24"/>
        </w:rPr>
      </w:pPr>
      <w:r w:rsidRPr="0007572B">
        <w:rPr>
          <w:rFonts w:ascii="Arial" w:hAnsi="Arial" w:cs="Arial"/>
          <w:sz w:val="24"/>
          <w:szCs w:val="24"/>
        </w:rPr>
        <w:t>Central Government</w:t>
      </w:r>
    </w:p>
    <w:p w14:paraId="2CF2E191" w14:textId="0A21F0D3" w:rsidR="00900C7C" w:rsidRPr="0007572B" w:rsidRDefault="00CA750E" w:rsidP="006F1659">
      <w:pPr>
        <w:pStyle w:val="ListParagraph"/>
        <w:numPr>
          <w:ilvl w:val="0"/>
          <w:numId w:val="17"/>
        </w:numPr>
        <w:spacing w:line="360" w:lineRule="auto"/>
        <w:rPr>
          <w:rFonts w:ascii="Arial" w:hAnsi="Arial" w:cs="Arial"/>
          <w:sz w:val="24"/>
          <w:szCs w:val="24"/>
        </w:rPr>
      </w:pPr>
      <w:r>
        <w:rPr>
          <w:rFonts w:ascii="Arial" w:hAnsi="Arial" w:cs="Arial"/>
          <w:sz w:val="24"/>
          <w:szCs w:val="24"/>
        </w:rPr>
        <w:t>GM</w:t>
      </w:r>
      <w:r w:rsidR="00900C7C" w:rsidRPr="0007572B">
        <w:rPr>
          <w:rFonts w:ascii="Arial" w:hAnsi="Arial" w:cs="Arial"/>
          <w:sz w:val="24"/>
          <w:szCs w:val="24"/>
        </w:rPr>
        <w:t xml:space="preserve"> Authorities</w:t>
      </w:r>
    </w:p>
    <w:p w14:paraId="7CC452C9" w14:textId="44F84EA4" w:rsidR="00A842BB" w:rsidRDefault="00A842BB" w:rsidP="006F1659">
      <w:pPr>
        <w:pStyle w:val="ListParagraph"/>
        <w:numPr>
          <w:ilvl w:val="0"/>
          <w:numId w:val="17"/>
        </w:numPr>
        <w:spacing w:line="360" w:lineRule="auto"/>
        <w:rPr>
          <w:rFonts w:ascii="Arial" w:hAnsi="Arial" w:cs="Arial"/>
          <w:sz w:val="24"/>
          <w:szCs w:val="24"/>
        </w:rPr>
      </w:pPr>
      <w:r w:rsidRPr="0007572B">
        <w:rPr>
          <w:rFonts w:ascii="Arial" w:hAnsi="Arial" w:cs="Arial"/>
          <w:sz w:val="24"/>
          <w:szCs w:val="24"/>
        </w:rPr>
        <w:t>Transport for Greater Manchester</w:t>
      </w:r>
    </w:p>
    <w:p w14:paraId="04EDCD03" w14:textId="5990169D" w:rsidR="00186C02" w:rsidRDefault="00186C02" w:rsidP="006F1659">
      <w:pPr>
        <w:pStyle w:val="ListParagraph"/>
        <w:numPr>
          <w:ilvl w:val="0"/>
          <w:numId w:val="17"/>
        </w:numPr>
        <w:spacing w:line="360" w:lineRule="auto"/>
        <w:rPr>
          <w:rFonts w:ascii="Arial" w:hAnsi="Arial" w:cs="Arial"/>
          <w:sz w:val="24"/>
          <w:szCs w:val="24"/>
        </w:rPr>
      </w:pPr>
      <w:r>
        <w:rPr>
          <w:rFonts w:ascii="Arial" w:hAnsi="Arial" w:cs="Arial"/>
          <w:sz w:val="24"/>
          <w:szCs w:val="24"/>
        </w:rPr>
        <w:t>Greater Manchester Police</w:t>
      </w:r>
    </w:p>
    <w:p w14:paraId="07C072BC" w14:textId="6136CD73" w:rsidR="00152326" w:rsidRDefault="00152326" w:rsidP="006F1659">
      <w:pPr>
        <w:pStyle w:val="ListParagraph"/>
        <w:numPr>
          <w:ilvl w:val="0"/>
          <w:numId w:val="17"/>
        </w:numPr>
        <w:spacing w:line="360" w:lineRule="auto"/>
        <w:rPr>
          <w:rFonts w:ascii="Arial" w:hAnsi="Arial" w:cs="Arial"/>
          <w:sz w:val="24"/>
          <w:szCs w:val="24"/>
        </w:rPr>
      </w:pPr>
      <w:r>
        <w:rPr>
          <w:rFonts w:ascii="Arial" w:hAnsi="Arial" w:cs="Arial"/>
          <w:sz w:val="24"/>
          <w:szCs w:val="24"/>
        </w:rPr>
        <w:t xml:space="preserve">North West Fire Control </w:t>
      </w:r>
    </w:p>
    <w:p w14:paraId="0E74A21A" w14:textId="65484C78" w:rsidR="00152326" w:rsidRDefault="00152326" w:rsidP="006F1659">
      <w:pPr>
        <w:pStyle w:val="ListParagraph"/>
        <w:numPr>
          <w:ilvl w:val="0"/>
          <w:numId w:val="17"/>
        </w:numPr>
        <w:spacing w:line="360" w:lineRule="auto"/>
        <w:rPr>
          <w:rFonts w:ascii="Arial" w:hAnsi="Arial" w:cs="Arial"/>
          <w:sz w:val="24"/>
          <w:szCs w:val="24"/>
        </w:rPr>
      </w:pPr>
      <w:r>
        <w:rPr>
          <w:rFonts w:ascii="Arial" w:hAnsi="Arial" w:cs="Arial"/>
          <w:sz w:val="24"/>
          <w:szCs w:val="24"/>
        </w:rPr>
        <w:t>Manchester Investment and Development Agency Service Limited</w:t>
      </w:r>
    </w:p>
    <w:p w14:paraId="21AA970D" w14:textId="3F3AD12B" w:rsidR="000E5AD6" w:rsidRPr="00431F6F" w:rsidRDefault="000E5AD6" w:rsidP="006F1659">
      <w:pPr>
        <w:pStyle w:val="ListParagraph"/>
        <w:numPr>
          <w:ilvl w:val="0"/>
          <w:numId w:val="17"/>
        </w:numPr>
        <w:spacing w:line="360" w:lineRule="auto"/>
        <w:rPr>
          <w:rFonts w:ascii="Arial" w:hAnsi="Arial" w:cs="Arial"/>
          <w:color w:val="000000" w:themeColor="text1"/>
          <w:sz w:val="24"/>
          <w:szCs w:val="24"/>
        </w:rPr>
      </w:pPr>
      <w:r w:rsidRPr="00431F6F">
        <w:rPr>
          <w:rFonts w:ascii="Arial" w:hAnsi="Arial" w:cs="Arial"/>
          <w:color w:val="000000" w:themeColor="text1"/>
          <w:sz w:val="24"/>
          <w:szCs w:val="24"/>
        </w:rPr>
        <w:t xml:space="preserve">Halle Concert Society </w:t>
      </w:r>
    </w:p>
    <w:p w14:paraId="67F0C32E" w14:textId="356B87E6" w:rsidR="00EA737A" w:rsidRPr="00431F6F" w:rsidRDefault="00EA737A" w:rsidP="006F1659">
      <w:pPr>
        <w:pStyle w:val="ListParagraph"/>
        <w:numPr>
          <w:ilvl w:val="0"/>
          <w:numId w:val="17"/>
        </w:numPr>
        <w:spacing w:line="360" w:lineRule="auto"/>
        <w:rPr>
          <w:rFonts w:ascii="Arial" w:hAnsi="Arial" w:cs="Arial"/>
          <w:color w:val="000000" w:themeColor="text1"/>
          <w:sz w:val="24"/>
          <w:szCs w:val="24"/>
        </w:rPr>
      </w:pPr>
      <w:r w:rsidRPr="00431F6F">
        <w:rPr>
          <w:rFonts w:ascii="Arial" w:hAnsi="Arial" w:cs="Arial"/>
          <w:color w:val="000000" w:themeColor="text1"/>
          <w:sz w:val="24"/>
          <w:szCs w:val="24"/>
        </w:rPr>
        <w:t>Greater Manchester Fund of Funds Limited Partnership</w:t>
      </w:r>
    </w:p>
    <w:p w14:paraId="12FC3BEF" w14:textId="41BC5998" w:rsidR="00EA737A" w:rsidRDefault="00EA737A" w:rsidP="006F1659">
      <w:pPr>
        <w:pStyle w:val="ListParagraph"/>
        <w:numPr>
          <w:ilvl w:val="0"/>
          <w:numId w:val="17"/>
        </w:numPr>
        <w:spacing w:line="360" w:lineRule="auto"/>
        <w:rPr>
          <w:rFonts w:ascii="Arial" w:hAnsi="Arial" w:cs="Arial"/>
          <w:color w:val="000000" w:themeColor="text1"/>
          <w:sz w:val="24"/>
          <w:szCs w:val="24"/>
        </w:rPr>
      </w:pPr>
      <w:r w:rsidRPr="00431F6F">
        <w:rPr>
          <w:rFonts w:ascii="Arial" w:hAnsi="Arial" w:cs="Arial"/>
          <w:color w:val="000000" w:themeColor="text1"/>
          <w:sz w:val="24"/>
          <w:szCs w:val="24"/>
        </w:rPr>
        <w:t>NW Evergreen Holdings Limited Partnership</w:t>
      </w:r>
    </w:p>
    <w:p w14:paraId="7B4BD0FA" w14:textId="27796A97" w:rsidR="000058B6" w:rsidRDefault="0035629E" w:rsidP="006F1659">
      <w:pPr>
        <w:pStyle w:val="ListParagraph"/>
        <w:numPr>
          <w:ilvl w:val="0"/>
          <w:numId w:val="17"/>
        </w:numPr>
        <w:spacing w:line="360" w:lineRule="auto"/>
        <w:rPr>
          <w:rFonts w:ascii="Arial" w:hAnsi="Arial" w:cs="Arial"/>
          <w:color w:val="000000" w:themeColor="text1"/>
          <w:sz w:val="24"/>
          <w:szCs w:val="24"/>
        </w:rPr>
      </w:pPr>
      <w:r>
        <w:rPr>
          <w:rFonts w:ascii="Arial" w:hAnsi="Arial" w:cs="Arial"/>
          <w:color w:val="000000" w:themeColor="text1"/>
          <w:sz w:val="24"/>
          <w:szCs w:val="24"/>
        </w:rPr>
        <w:t>Greater Manchester Evergreen 2 Limited Partnership</w:t>
      </w:r>
    </w:p>
    <w:p w14:paraId="582CD52F" w14:textId="51098024" w:rsidR="0055106B" w:rsidRDefault="0055106B" w:rsidP="006F1659">
      <w:pPr>
        <w:pStyle w:val="ListParagraph"/>
        <w:numPr>
          <w:ilvl w:val="0"/>
          <w:numId w:val="17"/>
        </w:numPr>
        <w:spacing w:line="360" w:lineRule="auto"/>
        <w:rPr>
          <w:rFonts w:ascii="Arial" w:hAnsi="Arial" w:cs="Arial"/>
          <w:color w:val="000000" w:themeColor="text1"/>
          <w:sz w:val="24"/>
          <w:szCs w:val="24"/>
        </w:rPr>
      </w:pPr>
      <w:r>
        <w:rPr>
          <w:rFonts w:ascii="Arial" w:hAnsi="Arial" w:cs="Arial"/>
          <w:color w:val="000000" w:themeColor="text1"/>
          <w:sz w:val="24"/>
          <w:szCs w:val="24"/>
        </w:rPr>
        <w:t>Manchester Camerata</w:t>
      </w:r>
    </w:p>
    <w:p w14:paraId="487EA01D" w14:textId="146DFE4F" w:rsidR="0055106B" w:rsidRDefault="0055106B" w:rsidP="006F1659">
      <w:pPr>
        <w:pStyle w:val="ListParagraph"/>
        <w:numPr>
          <w:ilvl w:val="0"/>
          <w:numId w:val="17"/>
        </w:numPr>
        <w:spacing w:line="360" w:lineRule="auto"/>
        <w:rPr>
          <w:rFonts w:ascii="Arial" w:hAnsi="Arial" w:cs="Arial"/>
          <w:color w:val="000000" w:themeColor="text1"/>
          <w:sz w:val="24"/>
          <w:szCs w:val="24"/>
        </w:rPr>
      </w:pPr>
      <w:r>
        <w:rPr>
          <w:rFonts w:ascii="Arial" w:hAnsi="Arial" w:cs="Arial"/>
          <w:color w:val="000000" w:themeColor="text1"/>
          <w:sz w:val="24"/>
          <w:szCs w:val="24"/>
        </w:rPr>
        <w:t>Hive Homes LLP</w:t>
      </w:r>
    </w:p>
    <w:p w14:paraId="575C4B87" w14:textId="756D2844" w:rsidR="0055106B" w:rsidRDefault="002063EC" w:rsidP="006F1659">
      <w:pPr>
        <w:pStyle w:val="ListParagraph"/>
        <w:numPr>
          <w:ilvl w:val="0"/>
          <w:numId w:val="17"/>
        </w:numPr>
        <w:spacing w:line="360" w:lineRule="auto"/>
        <w:rPr>
          <w:rFonts w:ascii="Arial" w:hAnsi="Arial" w:cs="Arial"/>
          <w:color w:val="000000" w:themeColor="text1"/>
          <w:sz w:val="24"/>
          <w:szCs w:val="24"/>
        </w:rPr>
      </w:pPr>
      <w:r>
        <w:rPr>
          <w:rFonts w:ascii="Arial" w:hAnsi="Arial" w:cs="Arial"/>
          <w:color w:val="000000" w:themeColor="text1"/>
          <w:sz w:val="24"/>
          <w:szCs w:val="24"/>
        </w:rPr>
        <w:t>Resonance Supported Homes</w:t>
      </w:r>
    </w:p>
    <w:p w14:paraId="00AE5F6F" w14:textId="2EE8B21B" w:rsidR="002063EC" w:rsidRDefault="002063EC" w:rsidP="006F1659">
      <w:pPr>
        <w:pStyle w:val="ListParagraph"/>
        <w:numPr>
          <w:ilvl w:val="0"/>
          <w:numId w:val="17"/>
        </w:num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National Homelessness Property</w:t>
      </w:r>
    </w:p>
    <w:p w14:paraId="5FA40DA4" w14:textId="6B9CE80C" w:rsidR="002063EC" w:rsidRPr="000058B6" w:rsidRDefault="002063EC" w:rsidP="006F1659">
      <w:pPr>
        <w:pStyle w:val="ListParagraph"/>
        <w:numPr>
          <w:ilvl w:val="0"/>
          <w:numId w:val="17"/>
        </w:numPr>
        <w:spacing w:line="360" w:lineRule="auto"/>
        <w:rPr>
          <w:rFonts w:ascii="Arial" w:hAnsi="Arial" w:cs="Arial"/>
          <w:color w:val="000000" w:themeColor="text1"/>
          <w:sz w:val="24"/>
          <w:szCs w:val="24"/>
        </w:rPr>
      </w:pPr>
      <w:r>
        <w:rPr>
          <w:rFonts w:ascii="Arial" w:hAnsi="Arial" w:cs="Arial"/>
          <w:color w:val="000000" w:themeColor="text1"/>
          <w:sz w:val="24"/>
          <w:szCs w:val="24"/>
        </w:rPr>
        <w:t>Interchange Homes LLP</w:t>
      </w:r>
    </w:p>
    <w:p w14:paraId="12AE78AD" w14:textId="77777777" w:rsidR="000058B6" w:rsidRDefault="000058B6" w:rsidP="006F1659">
      <w:pPr>
        <w:spacing w:line="360" w:lineRule="auto"/>
        <w:rPr>
          <w:rFonts w:ascii="Arial" w:hAnsi="Arial" w:cs="Arial"/>
          <w:color w:val="000000" w:themeColor="text1"/>
        </w:rPr>
      </w:pPr>
    </w:p>
    <w:p w14:paraId="095E805D" w14:textId="77777777" w:rsidR="000058B6" w:rsidRPr="0007572B" w:rsidRDefault="000058B6" w:rsidP="006F1659">
      <w:pPr>
        <w:pStyle w:val="Heading4bold"/>
        <w:spacing w:line="360" w:lineRule="auto"/>
      </w:pPr>
      <w:r w:rsidRPr="0007572B">
        <w:t>Members and Chief Officers</w:t>
      </w:r>
    </w:p>
    <w:p w14:paraId="096F1733" w14:textId="77777777" w:rsidR="000058B6" w:rsidRPr="0007572B" w:rsidRDefault="000058B6" w:rsidP="006F1659">
      <w:pPr>
        <w:spacing w:line="360" w:lineRule="auto"/>
        <w:rPr>
          <w:rFonts w:ascii="Arial" w:hAnsi="Arial" w:cs="Arial"/>
        </w:rPr>
      </w:pPr>
      <w:r w:rsidRPr="0007572B">
        <w:rPr>
          <w:rFonts w:ascii="Arial" w:hAnsi="Arial" w:cs="Arial"/>
        </w:rPr>
        <w:t xml:space="preserve">Members of the Authority (the Mayor and leaders of the GM Authorities) have direct control over the Authority's financial and operating policies. </w:t>
      </w:r>
    </w:p>
    <w:p w14:paraId="05D9C7D6" w14:textId="77777777" w:rsidR="000058B6" w:rsidRPr="0007572B" w:rsidRDefault="000058B6" w:rsidP="006F1659">
      <w:pPr>
        <w:spacing w:line="360" w:lineRule="auto"/>
        <w:rPr>
          <w:rFonts w:ascii="Arial" w:hAnsi="Arial" w:cs="Arial"/>
        </w:rPr>
      </w:pPr>
      <w:r w:rsidRPr="0007572B">
        <w:rPr>
          <w:rFonts w:ascii="Arial" w:hAnsi="Arial" w:cs="Arial"/>
        </w:rPr>
        <w:t>No members allowances are payable; the remuneration of the Mayor and Deputy Mayor for Police and Crime are disclosed in Senior Employees Remuneration note.</w:t>
      </w:r>
    </w:p>
    <w:p w14:paraId="0ED41B16" w14:textId="77777777" w:rsidR="000058B6" w:rsidRDefault="000058B6" w:rsidP="006F1659">
      <w:pPr>
        <w:spacing w:line="360" w:lineRule="auto"/>
        <w:rPr>
          <w:rFonts w:ascii="Arial" w:hAnsi="Arial" w:cs="Arial"/>
        </w:rPr>
      </w:pPr>
      <w:r w:rsidRPr="0007572B">
        <w:rPr>
          <w:rFonts w:ascii="Arial" w:hAnsi="Arial" w:cs="Arial"/>
        </w:rPr>
        <w:t>Details of member's interest, both pecuniary and non-financial are recorded in the register of member’s interest (available for public inspection).</w:t>
      </w:r>
    </w:p>
    <w:p w14:paraId="7A1FD343" w14:textId="77777777" w:rsidR="000058B6" w:rsidRPr="00431F6F" w:rsidRDefault="000058B6" w:rsidP="006F1659">
      <w:pPr>
        <w:spacing w:line="360" w:lineRule="auto"/>
        <w:rPr>
          <w:rFonts w:ascii="Arial" w:hAnsi="Arial" w:cs="Arial"/>
          <w:bCs/>
        </w:rPr>
      </w:pPr>
      <w:r w:rsidRPr="000058B6">
        <w:rPr>
          <w:rFonts w:ascii="Arial" w:hAnsi="Arial" w:cs="Arial"/>
        </w:rPr>
        <w:t>During the year the Authority reported material transactions with Halle Concerts Society and Manchester Camerata. Both related parties by virtue of common director</w:t>
      </w:r>
      <w:r w:rsidRPr="000058B6">
        <w:rPr>
          <w:rFonts w:ascii="Arial" w:hAnsi="Arial" w:cs="Arial"/>
          <w:b/>
        </w:rPr>
        <w:t xml:space="preserve">. </w:t>
      </w:r>
      <w:r w:rsidRPr="000058B6">
        <w:rPr>
          <w:rFonts w:ascii="Arial" w:hAnsi="Arial" w:cs="Arial"/>
          <w:bCs/>
        </w:rPr>
        <w:t>See below related parties’ disclosure for more detail.</w:t>
      </w:r>
      <w:r>
        <w:rPr>
          <w:rFonts w:ascii="Arial" w:hAnsi="Arial" w:cs="Arial"/>
          <w:bCs/>
        </w:rPr>
        <w:t xml:space="preserve"> </w:t>
      </w:r>
    </w:p>
    <w:p w14:paraId="35DD152B" w14:textId="77777777" w:rsidR="000058B6" w:rsidRPr="000058B6" w:rsidRDefault="000058B6" w:rsidP="006F1659">
      <w:pPr>
        <w:spacing w:line="360" w:lineRule="auto"/>
        <w:rPr>
          <w:rFonts w:ascii="Arial" w:hAnsi="Arial" w:cs="Arial"/>
          <w:color w:val="000000" w:themeColor="text1"/>
        </w:rPr>
      </w:pPr>
    </w:p>
    <w:p w14:paraId="3D92267F" w14:textId="3CCB8762" w:rsidR="00D5311B" w:rsidRPr="00431F6F" w:rsidRDefault="00900C7C" w:rsidP="006F1659">
      <w:pPr>
        <w:pStyle w:val="Heading4bold"/>
        <w:spacing w:line="360" w:lineRule="auto"/>
        <w:rPr>
          <w:color w:val="000000" w:themeColor="text1"/>
        </w:rPr>
      </w:pPr>
      <w:r w:rsidRPr="00431F6F">
        <w:rPr>
          <w:color w:val="000000" w:themeColor="text1"/>
        </w:rPr>
        <w:t>Central Government</w:t>
      </w:r>
    </w:p>
    <w:p w14:paraId="3B3BDD71" w14:textId="2BCE9705" w:rsidR="00F13495" w:rsidRPr="00431F6F" w:rsidRDefault="00F13495" w:rsidP="006F1659">
      <w:pPr>
        <w:spacing w:line="360" w:lineRule="auto"/>
        <w:rPr>
          <w:rFonts w:ascii="Arial" w:eastAsia="Calibri" w:hAnsi="Arial" w:cs="Arial"/>
          <w:color w:val="000000" w:themeColor="text1"/>
          <w:lang w:val="en-US"/>
        </w:rPr>
      </w:pPr>
      <w:r w:rsidRPr="00431F6F">
        <w:rPr>
          <w:rFonts w:ascii="Arial" w:eastAsia="Calibri" w:hAnsi="Arial" w:cs="Arial"/>
          <w:color w:val="000000" w:themeColor="text1"/>
          <w:lang w:val="en-US"/>
        </w:rPr>
        <w:t>Central Government has effective control over the general operations of the Authority. It is responsible for providing the framework within which the Authority operates and provides the majority of its funding in the form of grants and prescribes the terms of many of the transactions that the Authority has with other parties.</w:t>
      </w:r>
    </w:p>
    <w:p w14:paraId="634BE752" w14:textId="77777777" w:rsidR="00F13495" w:rsidRDefault="00F13495" w:rsidP="006F1659">
      <w:pPr>
        <w:spacing w:line="360" w:lineRule="auto"/>
        <w:rPr>
          <w:rFonts w:ascii="Arial" w:hAnsi="Arial" w:cs="Arial"/>
          <w:sz w:val="22"/>
          <w:szCs w:val="22"/>
        </w:rPr>
      </w:pPr>
    </w:p>
    <w:p w14:paraId="5EAAF160" w14:textId="4BF2727D" w:rsidR="00043063" w:rsidRPr="0007572B" w:rsidRDefault="000546CA" w:rsidP="006F1659">
      <w:pPr>
        <w:spacing w:line="360" w:lineRule="auto"/>
        <w:rPr>
          <w:rFonts w:ascii="Arial" w:hAnsi="Arial" w:cs="Arial"/>
          <w:sz w:val="22"/>
          <w:szCs w:val="22"/>
        </w:rPr>
      </w:pPr>
      <w:r w:rsidRPr="000546CA">
        <w:rPr>
          <w:noProof/>
        </w:rPr>
        <w:lastRenderedPageBreak/>
        <w:drawing>
          <wp:inline distT="0" distB="0" distL="0" distR="0" wp14:anchorId="338C6680" wp14:editId="308B018C">
            <wp:extent cx="3864610" cy="11214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64610" cy="1121410"/>
                    </a:xfrm>
                    <a:prstGeom prst="rect">
                      <a:avLst/>
                    </a:prstGeom>
                    <a:noFill/>
                    <a:ln>
                      <a:noFill/>
                    </a:ln>
                  </pic:spPr>
                </pic:pic>
              </a:graphicData>
            </a:graphic>
          </wp:inline>
        </w:drawing>
      </w:r>
    </w:p>
    <w:p w14:paraId="069CAD0E" w14:textId="77777777" w:rsidR="000058B6" w:rsidRDefault="000058B6" w:rsidP="006F1659">
      <w:pPr>
        <w:spacing w:line="360" w:lineRule="auto"/>
        <w:rPr>
          <w:rFonts w:ascii="Arial" w:hAnsi="Arial" w:cs="Arial"/>
          <w:b/>
          <w:sz w:val="22"/>
          <w:szCs w:val="22"/>
        </w:rPr>
      </w:pPr>
    </w:p>
    <w:p w14:paraId="67959FAE" w14:textId="77777777" w:rsidR="00B51434" w:rsidRPr="0007572B" w:rsidRDefault="00B51434" w:rsidP="006F1659">
      <w:pPr>
        <w:spacing w:line="360" w:lineRule="auto"/>
        <w:rPr>
          <w:rFonts w:ascii="Arial" w:hAnsi="Arial" w:cs="Arial"/>
          <w:b/>
          <w:sz w:val="22"/>
          <w:szCs w:val="22"/>
        </w:rPr>
      </w:pPr>
    </w:p>
    <w:p w14:paraId="72BFDC5B" w14:textId="6179983B" w:rsidR="00B07629" w:rsidRPr="00010401" w:rsidRDefault="00CA750E" w:rsidP="006F1659">
      <w:pPr>
        <w:pStyle w:val="Heading4bold"/>
        <w:spacing w:line="360" w:lineRule="auto"/>
      </w:pPr>
      <w:r>
        <w:t>GM</w:t>
      </w:r>
      <w:r w:rsidR="00D5311B" w:rsidRPr="0007572B">
        <w:t xml:space="preserve"> </w:t>
      </w:r>
      <w:r w:rsidR="00D5311B" w:rsidRPr="0085625D">
        <w:t>Authorities</w:t>
      </w:r>
    </w:p>
    <w:p w14:paraId="6FE3272B" w14:textId="462641E3" w:rsidR="00E96C7E" w:rsidRDefault="000546CA" w:rsidP="006F1659">
      <w:pPr>
        <w:spacing w:line="360" w:lineRule="auto"/>
        <w:rPr>
          <w:rFonts w:ascii="Arial" w:hAnsi="Arial" w:cs="Arial"/>
          <w:sz w:val="22"/>
          <w:szCs w:val="22"/>
        </w:rPr>
      </w:pPr>
      <w:r w:rsidRPr="000546CA">
        <w:rPr>
          <w:noProof/>
        </w:rPr>
        <w:drawing>
          <wp:inline distT="0" distB="0" distL="0" distR="0" wp14:anchorId="60373E3B" wp14:editId="1D976F9C">
            <wp:extent cx="8860790" cy="877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860790" cy="877570"/>
                    </a:xfrm>
                    <a:prstGeom prst="rect">
                      <a:avLst/>
                    </a:prstGeom>
                    <a:noFill/>
                    <a:ln>
                      <a:noFill/>
                    </a:ln>
                  </pic:spPr>
                </pic:pic>
              </a:graphicData>
            </a:graphic>
          </wp:inline>
        </w:drawing>
      </w:r>
    </w:p>
    <w:p w14:paraId="5264153C" w14:textId="77777777" w:rsidR="000546CA" w:rsidRPr="0007572B" w:rsidRDefault="000546CA" w:rsidP="006F1659">
      <w:pPr>
        <w:spacing w:line="360" w:lineRule="auto"/>
        <w:rPr>
          <w:rFonts w:ascii="Arial" w:hAnsi="Arial" w:cs="Arial"/>
          <w:sz w:val="22"/>
          <w:szCs w:val="22"/>
        </w:rPr>
      </w:pPr>
    </w:p>
    <w:p w14:paraId="7BA800AC" w14:textId="0F2FFBF8" w:rsidR="00043063" w:rsidRPr="0007572B" w:rsidRDefault="00A842BB" w:rsidP="006F1659">
      <w:pPr>
        <w:pStyle w:val="Heading4bold"/>
        <w:spacing w:line="360" w:lineRule="auto"/>
      </w:pPr>
      <w:r w:rsidRPr="0007572B">
        <w:t>Transport for Greater Manchester</w:t>
      </w:r>
    </w:p>
    <w:p w14:paraId="5A7D492E" w14:textId="77777777" w:rsidR="00A842BB" w:rsidRPr="0007572B" w:rsidRDefault="00A842BB" w:rsidP="006F1659">
      <w:pPr>
        <w:spacing w:line="360" w:lineRule="auto"/>
        <w:rPr>
          <w:rFonts w:ascii="Arial" w:hAnsi="Arial" w:cs="Arial"/>
        </w:rPr>
      </w:pPr>
      <w:r w:rsidRPr="0007572B">
        <w:rPr>
          <w:rFonts w:ascii="Arial" w:hAnsi="Arial" w:cs="Arial"/>
        </w:rPr>
        <w:t>The decisions of the Authority are implemented by TfGM. The net expenditure of TfGM after taking into account all sources of income and expenditure is financed by way of a revenue grant from the Authority. The corporate objectives of TfGM are derived from the Authority's policy priorities, stakeholder consultation and its principal statutory obligations.</w:t>
      </w:r>
    </w:p>
    <w:p w14:paraId="136D55FC" w14:textId="77777777" w:rsidR="00A842BB" w:rsidRPr="0007572B" w:rsidRDefault="00A842BB" w:rsidP="006F1659">
      <w:pPr>
        <w:spacing w:line="360" w:lineRule="auto"/>
        <w:rPr>
          <w:rFonts w:ascii="Arial" w:hAnsi="Arial" w:cs="Arial"/>
        </w:rPr>
      </w:pPr>
    </w:p>
    <w:p w14:paraId="64886A14" w14:textId="77777777" w:rsidR="00A842BB" w:rsidRPr="0007572B" w:rsidRDefault="00A842BB" w:rsidP="006F1659">
      <w:pPr>
        <w:spacing w:line="360" w:lineRule="auto"/>
        <w:rPr>
          <w:rFonts w:ascii="Arial" w:hAnsi="Arial" w:cs="Arial"/>
        </w:rPr>
      </w:pPr>
      <w:r w:rsidRPr="0007572B">
        <w:rPr>
          <w:rFonts w:ascii="Arial" w:hAnsi="Arial" w:cs="Arial"/>
        </w:rPr>
        <w:t xml:space="preserve">TfGM also manage the maintenance, repair and schemes of the Authority traffic signals asset base on behalf of the Authority. These transactions appear as related party expenditure and income, along with the end of year </w:t>
      </w:r>
      <w:r w:rsidR="005914B2" w:rsidRPr="0007572B">
        <w:rPr>
          <w:rFonts w:ascii="Arial" w:hAnsi="Arial" w:cs="Arial"/>
        </w:rPr>
        <w:t>balances, which</w:t>
      </w:r>
      <w:r w:rsidRPr="0007572B">
        <w:rPr>
          <w:rFonts w:ascii="Arial" w:hAnsi="Arial" w:cs="Arial"/>
        </w:rPr>
        <w:t xml:space="preserve"> are reported as follows:</w:t>
      </w:r>
    </w:p>
    <w:p w14:paraId="41652496" w14:textId="77777777" w:rsidR="00135610" w:rsidRDefault="00135610" w:rsidP="006F1659">
      <w:pPr>
        <w:spacing w:line="360" w:lineRule="auto"/>
        <w:rPr>
          <w:rFonts w:ascii="Arial" w:hAnsi="Arial" w:cs="Arial"/>
        </w:rPr>
      </w:pPr>
    </w:p>
    <w:p w14:paraId="79AFFB24" w14:textId="2717FB66" w:rsidR="00C86A99" w:rsidRPr="0007572B" w:rsidRDefault="009A33FC" w:rsidP="006F1659">
      <w:pPr>
        <w:spacing w:line="360" w:lineRule="auto"/>
        <w:rPr>
          <w:rFonts w:ascii="Arial" w:hAnsi="Arial" w:cs="Arial"/>
        </w:rPr>
      </w:pPr>
      <w:r w:rsidRPr="009A33FC">
        <w:rPr>
          <w:noProof/>
        </w:rPr>
        <w:lastRenderedPageBreak/>
        <w:drawing>
          <wp:inline distT="0" distB="0" distL="0" distR="0" wp14:anchorId="31E1BF25" wp14:editId="216126BE">
            <wp:extent cx="3864610" cy="983615"/>
            <wp:effectExtent l="0" t="0" r="2540" b="698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64610" cy="983615"/>
                    </a:xfrm>
                    <a:prstGeom prst="rect">
                      <a:avLst/>
                    </a:prstGeom>
                    <a:noFill/>
                    <a:ln>
                      <a:noFill/>
                    </a:ln>
                  </pic:spPr>
                </pic:pic>
              </a:graphicData>
            </a:graphic>
          </wp:inline>
        </w:drawing>
      </w:r>
    </w:p>
    <w:p w14:paraId="038D611F" w14:textId="77777777" w:rsidR="000546CA" w:rsidRPr="0085625D" w:rsidRDefault="000546CA" w:rsidP="006F1659">
      <w:pPr>
        <w:spacing w:line="360" w:lineRule="auto"/>
        <w:rPr>
          <w:rFonts w:ascii="Arial" w:hAnsi="Arial" w:cs="Arial"/>
        </w:rPr>
      </w:pPr>
    </w:p>
    <w:p w14:paraId="114DAD80" w14:textId="6C05CBFB" w:rsidR="00BB6C8F" w:rsidRPr="0007572B" w:rsidRDefault="00A842BB" w:rsidP="006F1659">
      <w:pPr>
        <w:pStyle w:val="Heading4bold"/>
        <w:spacing w:line="360" w:lineRule="auto"/>
      </w:pPr>
      <w:r w:rsidRPr="0007572B">
        <w:t>Greater Manchester</w:t>
      </w:r>
      <w:r w:rsidR="00186C02">
        <w:t xml:space="preserve"> Police</w:t>
      </w:r>
    </w:p>
    <w:p w14:paraId="2E035617" w14:textId="788AB9B1" w:rsidR="00974AF2" w:rsidRDefault="004103E9" w:rsidP="006F1659">
      <w:pPr>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w:t>
      </w:r>
      <w:r w:rsidR="00BD2F32" w:rsidRPr="0007572B">
        <w:rPr>
          <w:rFonts w:ascii="Arial" w:hAnsi="Arial" w:cs="Arial"/>
          <w:color w:val="000000"/>
          <w:lang w:val="en-US"/>
        </w:rPr>
        <w:t>’</w:t>
      </w:r>
      <w:r w:rsidRPr="0007572B">
        <w:rPr>
          <w:rFonts w:ascii="Arial" w:hAnsi="Arial" w:cs="Arial"/>
          <w:color w:val="000000"/>
          <w:lang w:val="en-US"/>
        </w:rPr>
        <w:t>s 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w:t>
      </w:r>
      <w:r w:rsidR="006E7C62">
        <w:rPr>
          <w:rFonts w:ascii="Arial" w:eastAsia="Calibri" w:hAnsi="Arial" w:cs="Arial"/>
          <w:color w:val="000000"/>
          <w:lang w:val="en-US"/>
        </w:rPr>
        <w:t xml:space="preserve"> This information is recorded on the face of the CIES under the Mayoral Police Fund Services heading.</w:t>
      </w:r>
    </w:p>
    <w:p w14:paraId="0DD39D72" w14:textId="77777777" w:rsidR="000546CA" w:rsidRDefault="000546CA" w:rsidP="006F1659">
      <w:pPr>
        <w:spacing w:line="360" w:lineRule="auto"/>
        <w:rPr>
          <w:rFonts w:ascii="Arial" w:eastAsia="Calibri" w:hAnsi="Arial" w:cs="Arial"/>
          <w:color w:val="000000"/>
          <w:lang w:val="en-US"/>
        </w:rPr>
      </w:pPr>
    </w:p>
    <w:p w14:paraId="5585E127" w14:textId="187C6D22" w:rsidR="00695D41" w:rsidRPr="00431F6F" w:rsidRDefault="00152326" w:rsidP="006F1659">
      <w:pPr>
        <w:pStyle w:val="Heading4bold"/>
        <w:spacing w:line="360" w:lineRule="auto"/>
        <w:rPr>
          <w:rFonts w:eastAsia="Calibri"/>
          <w:color w:val="000000" w:themeColor="text1"/>
          <w:lang w:val="en-US"/>
        </w:rPr>
      </w:pPr>
      <w:r w:rsidRPr="00431F6F">
        <w:rPr>
          <w:rFonts w:eastAsia="Calibri"/>
          <w:color w:val="000000" w:themeColor="text1"/>
          <w:lang w:val="en-US"/>
        </w:rPr>
        <w:t>North West Fire Control</w:t>
      </w:r>
      <w:r w:rsidR="00695D41" w:rsidRPr="00431F6F">
        <w:rPr>
          <w:rFonts w:eastAsia="Calibri"/>
          <w:color w:val="000000" w:themeColor="text1"/>
          <w:lang w:val="en-US"/>
        </w:rPr>
        <w:t xml:space="preserve"> Limited</w:t>
      </w:r>
    </w:p>
    <w:p w14:paraId="169AAD94" w14:textId="4D387FF6" w:rsidR="00695D41" w:rsidRPr="00431F6F" w:rsidRDefault="009578EC" w:rsidP="006F1659">
      <w:pPr>
        <w:spacing w:line="360" w:lineRule="auto"/>
        <w:rPr>
          <w:rFonts w:ascii="Arial" w:eastAsia="Calibri" w:hAnsi="Arial" w:cs="Arial"/>
          <w:color w:val="000000" w:themeColor="text1"/>
          <w:lang w:val="en-US"/>
        </w:rPr>
      </w:pPr>
      <w:bookmarkStart w:id="179" w:name="_Hlk121404892"/>
      <w:r w:rsidRPr="00431F6F">
        <w:rPr>
          <w:rFonts w:ascii="Arial" w:eastAsia="Calibri" w:hAnsi="Arial" w:cs="Arial"/>
          <w:color w:val="000000" w:themeColor="text1"/>
          <w:lang w:val="en-US"/>
        </w:rPr>
        <w:t>The Authority has the right to appoint two directors, who are councilors appointed to their respective FRAs. It has been determined that the company is governed by joint control as each authority has equal voting rights and</w:t>
      </w:r>
      <w:r w:rsidR="00695D41" w:rsidRPr="00431F6F">
        <w:rPr>
          <w:rFonts w:ascii="Arial" w:eastAsia="Calibri" w:hAnsi="Arial" w:cs="Arial"/>
          <w:color w:val="000000" w:themeColor="text1"/>
          <w:lang w:val="en-US"/>
        </w:rPr>
        <w:t xml:space="preserve"> unanimous consent exists for key decisions</w:t>
      </w:r>
      <w:r w:rsidRPr="00431F6F">
        <w:rPr>
          <w:rFonts w:ascii="Arial" w:eastAsia="Calibri" w:hAnsi="Arial" w:cs="Arial"/>
          <w:color w:val="000000" w:themeColor="text1"/>
          <w:lang w:val="en-US"/>
        </w:rPr>
        <w:t>.</w:t>
      </w:r>
    </w:p>
    <w:p w14:paraId="0B91D32B" w14:textId="745EC114" w:rsidR="004A4FE2" w:rsidRPr="00431F6F" w:rsidRDefault="004A4FE2" w:rsidP="006F1659">
      <w:pPr>
        <w:spacing w:line="360" w:lineRule="auto"/>
        <w:rPr>
          <w:rFonts w:ascii="Arial" w:eastAsia="Calibri" w:hAnsi="Arial" w:cs="Arial"/>
          <w:color w:val="000000" w:themeColor="text1"/>
          <w:lang w:val="en-US"/>
        </w:rPr>
      </w:pPr>
    </w:p>
    <w:p w14:paraId="2A073B62" w14:textId="727DF97D" w:rsidR="000546CA" w:rsidRDefault="004A4FE2" w:rsidP="006F1659">
      <w:pPr>
        <w:spacing w:line="360" w:lineRule="auto"/>
        <w:rPr>
          <w:rFonts w:ascii="Arial" w:eastAsia="Calibri" w:hAnsi="Arial" w:cs="Arial"/>
          <w:color w:val="000000" w:themeColor="text1"/>
          <w:lang w:val="en-US"/>
        </w:rPr>
      </w:pPr>
      <w:r w:rsidRPr="00431F6F">
        <w:rPr>
          <w:rFonts w:ascii="Arial" w:eastAsia="Calibri" w:hAnsi="Arial" w:cs="Arial"/>
          <w:color w:val="000000" w:themeColor="text1"/>
          <w:lang w:val="en-US"/>
        </w:rPr>
        <w:t xml:space="preserve">In 2014 The Greater Manchester Combined Authority, Cheshire Fire Authority, Cumbria County Council and Lancashire Combined Fire Authority transferred their Control Room functions into the regionalised service provided by NW </w:t>
      </w:r>
      <w:r w:rsidR="0085625D" w:rsidRPr="00431F6F">
        <w:rPr>
          <w:rFonts w:ascii="Arial" w:eastAsia="Calibri" w:hAnsi="Arial" w:cs="Arial"/>
          <w:color w:val="000000" w:themeColor="text1"/>
          <w:lang w:val="en-US"/>
        </w:rPr>
        <w:t>Fire control</w:t>
      </w:r>
      <w:r w:rsidRPr="00431F6F">
        <w:rPr>
          <w:rFonts w:ascii="Arial" w:eastAsia="Calibri" w:hAnsi="Arial" w:cs="Arial"/>
          <w:color w:val="000000" w:themeColor="text1"/>
          <w:lang w:val="en-US"/>
        </w:rPr>
        <w:t xml:space="preserve"> Limited. The cost of the service is charged out to the four FRAs on an agreed pro rata basis. </w:t>
      </w:r>
      <w:r w:rsidR="00A86C68" w:rsidRPr="00431F6F">
        <w:rPr>
          <w:rFonts w:ascii="Arial" w:eastAsia="Calibri" w:hAnsi="Arial" w:cs="Arial"/>
          <w:color w:val="000000" w:themeColor="text1"/>
          <w:lang w:val="en-US"/>
        </w:rPr>
        <w:t>R</w:t>
      </w:r>
      <w:r w:rsidRPr="00431F6F">
        <w:rPr>
          <w:rFonts w:ascii="Arial" w:eastAsia="Calibri" w:hAnsi="Arial" w:cs="Arial"/>
          <w:color w:val="000000" w:themeColor="text1"/>
          <w:lang w:val="en-US"/>
        </w:rPr>
        <w:t>elated party expenditure</w:t>
      </w:r>
      <w:r w:rsidR="00E968E1" w:rsidRPr="00431F6F">
        <w:rPr>
          <w:rFonts w:ascii="Arial" w:eastAsia="Calibri" w:hAnsi="Arial" w:cs="Arial"/>
          <w:color w:val="000000" w:themeColor="text1"/>
          <w:lang w:val="en-US"/>
        </w:rPr>
        <w:t>, income</w:t>
      </w:r>
      <w:r w:rsidRPr="00431F6F">
        <w:rPr>
          <w:rFonts w:ascii="Arial" w:eastAsia="Calibri" w:hAnsi="Arial" w:cs="Arial"/>
          <w:color w:val="000000" w:themeColor="text1"/>
          <w:lang w:val="en-US"/>
        </w:rPr>
        <w:t xml:space="preserve"> </w:t>
      </w:r>
      <w:r w:rsidR="00E968E1" w:rsidRPr="00431F6F">
        <w:rPr>
          <w:rFonts w:ascii="Arial" w:eastAsia="Calibri" w:hAnsi="Arial" w:cs="Arial"/>
          <w:color w:val="000000" w:themeColor="text1"/>
          <w:lang w:val="en-US"/>
        </w:rPr>
        <w:t xml:space="preserve">and </w:t>
      </w:r>
      <w:r w:rsidRPr="00431F6F">
        <w:rPr>
          <w:rFonts w:ascii="Arial" w:eastAsia="Calibri" w:hAnsi="Arial" w:cs="Arial"/>
          <w:color w:val="000000" w:themeColor="text1"/>
          <w:lang w:val="en-US"/>
        </w:rPr>
        <w:t>end of year balances</w:t>
      </w:r>
      <w:r w:rsidR="00A86C68" w:rsidRPr="00431F6F">
        <w:rPr>
          <w:rFonts w:ascii="Arial" w:eastAsia="Calibri" w:hAnsi="Arial" w:cs="Arial"/>
          <w:color w:val="000000" w:themeColor="text1"/>
          <w:lang w:val="en-US"/>
        </w:rPr>
        <w:t xml:space="preserve"> </w:t>
      </w:r>
      <w:r w:rsidRPr="00431F6F">
        <w:rPr>
          <w:rFonts w:ascii="Arial" w:eastAsia="Calibri" w:hAnsi="Arial" w:cs="Arial"/>
          <w:color w:val="000000" w:themeColor="text1"/>
          <w:lang w:val="en-US"/>
        </w:rPr>
        <w:t>are reported as follows:</w:t>
      </w:r>
    </w:p>
    <w:p w14:paraId="5450D511" w14:textId="77777777" w:rsidR="000546CA" w:rsidRDefault="000546CA" w:rsidP="006F1659">
      <w:pPr>
        <w:spacing w:line="360" w:lineRule="auto"/>
        <w:rPr>
          <w:rFonts w:ascii="Arial" w:eastAsia="Calibri" w:hAnsi="Arial" w:cs="Arial"/>
          <w:color w:val="000000" w:themeColor="text1"/>
          <w:lang w:val="en-US"/>
        </w:rPr>
      </w:pPr>
    </w:p>
    <w:p w14:paraId="1C40ECAA" w14:textId="77777777" w:rsidR="000546CA" w:rsidRDefault="000546CA" w:rsidP="006F1659">
      <w:pPr>
        <w:spacing w:line="360" w:lineRule="auto"/>
        <w:rPr>
          <w:rFonts w:ascii="Arial" w:eastAsia="Calibri" w:hAnsi="Arial" w:cs="Arial"/>
          <w:color w:val="000000" w:themeColor="text1"/>
          <w:lang w:val="en-US"/>
        </w:rPr>
      </w:pPr>
    </w:p>
    <w:p w14:paraId="2F065F65" w14:textId="77777777" w:rsidR="000546CA" w:rsidRDefault="000546CA" w:rsidP="006F1659">
      <w:pPr>
        <w:spacing w:line="360" w:lineRule="auto"/>
        <w:rPr>
          <w:rFonts w:ascii="Arial" w:eastAsia="Calibri" w:hAnsi="Arial" w:cs="Arial"/>
          <w:color w:val="000000" w:themeColor="text1"/>
          <w:lang w:val="en-US"/>
        </w:rPr>
      </w:pPr>
    </w:p>
    <w:p w14:paraId="54085245" w14:textId="64C9B20E" w:rsidR="000546CA" w:rsidRPr="00431F6F" w:rsidRDefault="0055106B" w:rsidP="006F1659">
      <w:pPr>
        <w:spacing w:line="360" w:lineRule="auto"/>
        <w:rPr>
          <w:rFonts w:ascii="Arial" w:eastAsia="Calibri" w:hAnsi="Arial" w:cs="Arial"/>
          <w:color w:val="000000" w:themeColor="text1"/>
          <w:lang w:val="en-US"/>
        </w:rPr>
      </w:pPr>
      <w:r w:rsidRPr="0055106B">
        <w:rPr>
          <w:rFonts w:eastAsia="Calibri"/>
          <w:noProof/>
        </w:rPr>
        <w:drawing>
          <wp:inline distT="0" distB="0" distL="0" distR="0" wp14:anchorId="70B23E1C" wp14:editId="078718A9">
            <wp:extent cx="3860800" cy="895350"/>
            <wp:effectExtent l="0" t="0" r="6350" b="0"/>
            <wp:docPr id="16877229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60800" cy="895350"/>
                    </a:xfrm>
                    <a:prstGeom prst="rect">
                      <a:avLst/>
                    </a:prstGeom>
                    <a:noFill/>
                    <a:ln>
                      <a:noFill/>
                    </a:ln>
                  </pic:spPr>
                </pic:pic>
              </a:graphicData>
            </a:graphic>
          </wp:inline>
        </w:drawing>
      </w:r>
    </w:p>
    <w:p w14:paraId="0BB4E22C" w14:textId="77777777" w:rsidR="00E96C7E" w:rsidRPr="00943897" w:rsidRDefault="00E96C7E" w:rsidP="006F1659">
      <w:pPr>
        <w:spacing w:line="360" w:lineRule="auto"/>
        <w:rPr>
          <w:rFonts w:ascii="Arial" w:eastAsia="Calibri" w:hAnsi="Arial" w:cs="Arial"/>
          <w:b/>
          <w:bCs/>
          <w:u w:val="single"/>
          <w:lang w:val="en-US"/>
        </w:rPr>
      </w:pPr>
    </w:p>
    <w:bookmarkEnd w:id="179"/>
    <w:p w14:paraId="5F436A2E" w14:textId="74379E71" w:rsidR="004A4FE2" w:rsidRPr="00431F6F" w:rsidRDefault="00144400" w:rsidP="006F1659">
      <w:pPr>
        <w:pStyle w:val="Heading4bold"/>
        <w:spacing w:line="360" w:lineRule="auto"/>
        <w:rPr>
          <w:color w:val="000000" w:themeColor="text1"/>
        </w:rPr>
      </w:pPr>
      <w:r w:rsidRPr="00431F6F">
        <w:rPr>
          <w:color w:val="000000" w:themeColor="text1"/>
        </w:rPr>
        <w:t>Manchester Investment and Development Agency Service Limited</w:t>
      </w:r>
    </w:p>
    <w:p w14:paraId="1C70A764" w14:textId="08345CA5" w:rsidR="0055161B" w:rsidRDefault="00A86C68" w:rsidP="006F1659">
      <w:pPr>
        <w:spacing w:line="360" w:lineRule="auto"/>
        <w:rPr>
          <w:rFonts w:ascii="Arial" w:eastAsia="Calibri" w:hAnsi="Arial" w:cs="Arial"/>
          <w:color w:val="000000" w:themeColor="text1"/>
          <w:lang w:val="en-US"/>
        </w:rPr>
      </w:pPr>
      <w:r w:rsidRPr="00431F6F">
        <w:rPr>
          <w:rFonts w:ascii="Arial" w:hAnsi="Arial" w:cs="Arial"/>
          <w:color w:val="000000" w:themeColor="text1"/>
        </w:rPr>
        <w:t>The Authority has direct control over the company’s financial and operating policies. The company is a related party by virtue of common directors.</w:t>
      </w:r>
      <w:r w:rsidR="0085625D" w:rsidRPr="00431F6F">
        <w:rPr>
          <w:rFonts w:ascii="Arial" w:hAnsi="Arial" w:cs="Arial"/>
          <w:color w:val="000000" w:themeColor="text1"/>
        </w:rPr>
        <w:t xml:space="preserve"> </w:t>
      </w:r>
      <w:r w:rsidRPr="00431F6F">
        <w:rPr>
          <w:rFonts w:ascii="Arial" w:eastAsia="Calibri" w:hAnsi="Arial" w:cs="Arial"/>
          <w:color w:val="000000" w:themeColor="text1"/>
          <w:lang w:val="en-US"/>
        </w:rPr>
        <w:t>Related party expenditure</w:t>
      </w:r>
      <w:r w:rsidR="00E968E1" w:rsidRPr="00431F6F">
        <w:rPr>
          <w:rFonts w:ascii="Arial" w:eastAsia="Calibri" w:hAnsi="Arial" w:cs="Arial"/>
          <w:color w:val="000000" w:themeColor="text1"/>
          <w:lang w:val="en-US"/>
        </w:rPr>
        <w:t xml:space="preserve">, income and </w:t>
      </w:r>
      <w:r w:rsidRPr="00431F6F">
        <w:rPr>
          <w:rFonts w:ascii="Arial" w:eastAsia="Calibri" w:hAnsi="Arial" w:cs="Arial"/>
          <w:color w:val="000000" w:themeColor="text1"/>
          <w:lang w:val="en-US"/>
        </w:rPr>
        <w:t>end of year balances are reported as follows:</w:t>
      </w:r>
    </w:p>
    <w:p w14:paraId="52BB5609" w14:textId="77E07141" w:rsidR="006539C3" w:rsidRDefault="006539C3" w:rsidP="006F1659">
      <w:pPr>
        <w:spacing w:line="360" w:lineRule="auto"/>
        <w:rPr>
          <w:rFonts w:ascii="Arial" w:hAnsi="Arial" w:cs="Arial"/>
          <w:b/>
          <w:bCs/>
          <w:u w:val="single"/>
        </w:rPr>
      </w:pPr>
    </w:p>
    <w:p w14:paraId="7340867A" w14:textId="28BE026F" w:rsidR="000E5AD6" w:rsidRDefault="0055106B" w:rsidP="006F1659">
      <w:pPr>
        <w:tabs>
          <w:tab w:val="left" w:pos="5051"/>
        </w:tabs>
        <w:spacing w:line="360" w:lineRule="auto"/>
        <w:rPr>
          <w:rFonts w:ascii="Arial" w:hAnsi="Arial" w:cs="Arial"/>
          <w:b/>
          <w:bCs/>
        </w:rPr>
      </w:pPr>
      <w:r w:rsidRPr="0055106B">
        <w:rPr>
          <w:noProof/>
        </w:rPr>
        <w:drawing>
          <wp:inline distT="0" distB="0" distL="0" distR="0" wp14:anchorId="48E48A0E" wp14:editId="2A7D6CA7">
            <wp:extent cx="3860800" cy="895350"/>
            <wp:effectExtent l="0" t="0" r="6350" b="0"/>
            <wp:docPr id="264226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60800" cy="895350"/>
                    </a:xfrm>
                    <a:prstGeom prst="rect">
                      <a:avLst/>
                    </a:prstGeom>
                    <a:noFill/>
                    <a:ln>
                      <a:noFill/>
                    </a:ln>
                  </pic:spPr>
                </pic:pic>
              </a:graphicData>
            </a:graphic>
          </wp:inline>
        </w:drawing>
      </w:r>
    </w:p>
    <w:p w14:paraId="373961DD" w14:textId="77777777" w:rsidR="009A33FC" w:rsidRDefault="009A33FC" w:rsidP="006F1659">
      <w:pPr>
        <w:tabs>
          <w:tab w:val="left" w:pos="5051"/>
        </w:tabs>
        <w:spacing w:line="360" w:lineRule="auto"/>
        <w:rPr>
          <w:rFonts w:ascii="Arial" w:hAnsi="Arial" w:cs="Arial"/>
          <w:b/>
          <w:bCs/>
        </w:rPr>
      </w:pPr>
    </w:p>
    <w:p w14:paraId="3391B231" w14:textId="6A24502A" w:rsidR="000E5AD6" w:rsidRPr="00431F6F" w:rsidRDefault="000E5AD6" w:rsidP="006F1659">
      <w:pPr>
        <w:pStyle w:val="Heading4bold"/>
        <w:spacing w:line="360" w:lineRule="auto"/>
        <w:rPr>
          <w:color w:val="000000" w:themeColor="text1"/>
        </w:rPr>
      </w:pPr>
      <w:bookmarkStart w:id="180" w:name="_Hlk138863532"/>
      <w:r w:rsidRPr="00431F6F">
        <w:rPr>
          <w:color w:val="000000" w:themeColor="text1"/>
        </w:rPr>
        <w:t>Halle Concerts Society</w:t>
      </w:r>
    </w:p>
    <w:bookmarkEnd w:id="180"/>
    <w:p w14:paraId="35736227" w14:textId="7FFF7ED5" w:rsidR="000E5AD6" w:rsidRPr="00431F6F" w:rsidRDefault="000E5AD6" w:rsidP="006F1659">
      <w:pPr>
        <w:spacing w:line="360" w:lineRule="auto"/>
        <w:rPr>
          <w:rFonts w:ascii="Arial" w:eastAsia="Calibri" w:hAnsi="Arial" w:cs="Arial"/>
          <w:color w:val="000000" w:themeColor="text1"/>
          <w:lang w:val="en-US"/>
        </w:rPr>
      </w:pPr>
      <w:r w:rsidRPr="00431F6F">
        <w:rPr>
          <w:rFonts w:ascii="Arial" w:hAnsi="Arial" w:cs="Arial"/>
          <w:color w:val="000000" w:themeColor="text1"/>
        </w:rPr>
        <w:t>The company is a related party by virtue of common directors</w:t>
      </w:r>
      <w:r w:rsidR="00833679">
        <w:rPr>
          <w:rFonts w:ascii="Arial" w:hAnsi="Arial" w:cs="Arial"/>
          <w:color w:val="000000" w:themeColor="text1"/>
        </w:rPr>
        <w:t xml:space="preserve"> (Nominated by the GMCA)</w:t>
      </w:r>
      <w:r w:rsidRPr="00431F6F">
        <w:rPr>
          <w:rFonts w:ascii="Arial" w:hAnsi="Arial" w:cs="Arial"/>
          <w:color w:val="000000" w:themeColor="text1"/>
        </w:rPr>
        <w:t xml:space="preserve">. </w:t>
      </w:r>
      <w:r w:rsidRPr="00431F6F">
        <w:rPr>
          <w:rFonts w:ascii="Arial" w:eastAsia="Calibri" w:hAnsi="Arial" w:cs="Arial"/>
          <w:color w:val="000000" w:themeColor="text1"/>
          <w:lang w:val="en-US"/>
        </w:rPr>
        <w:t>Related party expenditure, income and end of year balances are reported as follows:</w:t>
      </w:r>
    </w:p>
    <w:p w14:paraId="5CF417F4" w14:textId="1B47C94E" w:rsidR="006D7982" w:rsidRPr="00943897" w:rsidRDefault="006D7982" w:rsidP="006F1659">
      <w:pPr>
        <w:spacing w:line="360" w:lineRule="auto"/>
        <w:rPr>
          <w:rFonts w:ascii="Arial" w:hAnsi="Arial" w:cs="Arial"/>
          <w:u w:val="single"/>
        </w:rPr>
      </w:pPr>
    </w:p>
    <w:p w14:paraId="0A81707D" w14:textId="2522FD85" w:rsidR="000058B6" w:rsidRDefault="009A33FC" w:rsidP="006F1659">
      <w:pPr>
        <w:tabs>
          <w:tab w:val="left" w:pos="5051"/>
        </w:tabs>
        <w:spacing w:line="360" w:lineRule="auto"/>
        <w:rPr>
          <w:rFonts w:ascii="Arial" w:hAnsi="Arial" w:cs="Arial"/>
          <w:b/>
          <w:bCs/>
        </w:rPr>
      </w:pPr>
      <w:r w:rsidRPr="009A33FC">
        <w:rPr>
          <w:noProof/>
        </w:rPr>
        <w:lastRenderedPageBreak/>
        <w:drawing>
          <wp:inline distT="0" distB="0" distL="0" distR="0" wp14:anchorId="677F10F0" wp14:editId="68913173">
            <wp:extent cx="3864610" cy="897255"/>
            <wp:effectExtent l="0" t="0" r="254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64610" cy="897255"/>
                    </a:xfrm>
                    <a:prstGeom prst="rect">
                      <a:avLst/>
                    </a:prstGeom>
                    <a:noFill/>
                    <a:ln>
                      <a:noFill/>
                    </a:ln>
                  </pic:spPr>
                </pic:pic>
              </a:graphicData>
            </a:graphic>
          </wp:inline>
        </w:drawing>
      </w:r>
    </w:p>
    <w:p w14:paraId="2902F897" w14:textId="77777777" w:rsidR="00B7710C" w:rsidRPr="00943897" w:rsidRDefault="00B7710C" w:rsidP="006F1659">
      <w:pPr>
        <w:tabs>
          <w:tab w:val="left" w:pos="5051"/>
        </w:tabs>
        <w:spacing w:line="360" w:lineRule="auto"/>
        <w:rPr>
          <w:rFonts w:ascii="Arial" w:hAnsi="Arial" w:cs="Arial"/>
          <w:b/>
          <w:bCs/>
        </w:rPr>
      </w:pPr>
    </w:p>
    <w:p w14:paraId="0338688E" w14:textId="3AA1695E" w:rsidR="006533F8" w:rsidRPr="00EA737A" w:rsidRDefault="00EA737A" w:rsidP="006F1659">
      <w:pPr>
        <w:pStyle w:val="Heading4bold"/>
        <w:spacing w:line="360" w:lineRule="auto"/>
        <w:rPr>
          <w:rFonts w:eastAsia="Calibri"/>
          <w:lang w:val="en-US"/>
        </w:rPr>
      </w:pPr>
      <w:r w:rsidRPr="00EA737A">
        <w:rPr>
          <w:rFonts w:eastAsia="Calibri"/>
          <w:lang w:val="en-US"/>
        </w:rPr>
        <w:t xml:space="preserve">Greater Manchester Fund of Funds Limited Partnership </w:t>
      </w:r>
      <w:r w:rsidR="006533F8">
        <w:rPr>
          <w:rFonts w:eastAsia="Calibri"/>
          <w:lang w:val="en-US"/>
        </w:rPr>
        <w:t xml:space="preserve"> </w:t>
      </w:r>
    </w:p>
    <w:p w14:paraId="7C8B0D07" w14:textId="36C1BCA9" w:rsidR="006533F8" w:rsidRDefault="006533F8" w:rsidP="006F1659">
      <w:pPr>
        <w:spacing w:line="360" w:lineRule="auto"/>
        <w:rPr>
          <w:rFonts w:ascii="Arial" w:hAnsi="Arial" w:cs="Arial"/>
        </w:rPr>
      </w:pPr>
      <w:r w:rsidRPr="006533F8">
        <w:rPr>
          <w:rFonts w:ascii="Arial" w:hAnsi="Arial" w:cs="Arial"/>
        </w:rPr>
        <w:t xml:space="preserve">The Authority </w:t>
      </w:r>
      <w:r w:rsidR="006D7982">
        <w:rPr>
          <w:rFonts w:ascii="Arial" w:hAnsi="Arial" w:cs="Arial"/>
        </w:rPr>
        <w:t xml:space="preserve">granted Greater Manchester Fund </w:t>
      </w:r>
      <w:r w:rsidR="006D7982" w:rsidRPr="00BB6C8F">
        <w:rPr>
          <w:rFonts w:ascii="Arial" w:hAnsi="Arial" w:cs="Arial"/>
        </w:rPr>
        <w:t>of Funds LP</w:t>
      </w:r>
      <w:r w:rsidRPr="00BB6C8F">
        <w:rPr>
          <w:rFonts w:ascii="Arial" w:hAnsi="Arial" w:cs="Arial"/>
        </w:rPr>
        <w:t xml:space="preserve"> </w:t>
      </w:r>
      <w:r w:rsidR="00BB6C8F" w:rsidRPr="00BB6C8F">
        <w:rPr>
          <w:rFonts w:ascii="Arial" w:hAnsi="Arial" w:cs="Arial"/>
        </w:rPr>
        <w:t>£0</w:t>
      </w:r>
      <w:r w:rsidR="006D7982" w:rsidRPr="00BB6C8F">
        <w:rPr>
          <w:rFonts w:ascii="Arial" w:hAnsi="Arial" w:cs="Arial"/>
        </w:rPr>
        <w:t xml:space="preserve"> in 202</w:t>
      </w:r>
      <w:r w:rsidR="00BB6C8F" w:rsidRPr="00BB6C8F">
        <w:rPr>
          <w:rFonts w:ascii="Arial" w:hAnsi="Arial" w:cs="Arial"/>
        </w:rPr>
        <w:t>2</w:t>
      </w:r>
      <w:r w:rsidR="006D7982" w:rsidRPr="00BB6C8F">
        <w:rPr>
          <w:rFonts w:ascii="Arial" w:hAnsi="Arial" w:cs="Arial"/>
        </w:rPr>
        <w:t>/2</w:t>
      </w:r>
      <w:r w:rsidR="00BB6C8F" w:rsidRPr="00BB6C8F">
        <w:rPr>
          <w:rFonts w:ascii="Arial" w:hAnsi="Arial" w:cs="Arial"/>
        </w:rPr>
        <w:t>3</w:t>
      </w:r>
      <w:r w:rsidR="006D7982" w:rsidRPr="00BB6C8F">
        <w:rPr>
          <w:rFonts w:ascii="Arial" w:hAnsi="Arial" w:cs="Arial"/>
        </w:rPr>
        <w:t xml:space="preserve"> (£</w:t>
      </w:r>
      <w:r w:rsidR="00BB6C8F" w:rsidRPr="00BB6C8F">
        <w:rPr>
          <w:rFonts w:ascii="Arial" w:hAnsi="Arial" w:cs="Arial"/>
        </w:rPr>
        <w:t>100</w:t>
      </w:r>
      <w:r w:rsidR="006D7982" w:rsidRPr="00BB6C8F">
        <w:rPr>
          <w:rFonts w:ascii="Arial" w:hAnsi="Arial" w:cs="Arial"/>
        </w:rPr>
        <w:t>k in 202</w:t>
      </w:r>
      <w:r w:rsidR="00BB6C8F" w:rsidRPr="00BB6C8F">
        <w:rPr>
          <w:rFonts w:ascii="Arial" w:hAnsi="Arial" w:cs="Arial"/>
        </w:rPr>
        <w:t>1</w:t>
      </w:r>
      <w:r w:rsidR="006D7982" w:rsidRPr="00BB6C8F">
        <w:rPr>
          <w:rFonts w:ascii="Arial" w:hAnsi="Arial" w:cs="Arial"/>
        </w:rPr>
        <w:t>/2</w:t>
      </w:r>
      <w:r w:rsidR="00BB6C8F" w:rsidRPr="00BB6C8F">
        <w:rPr>
          <w:rFonts w:ascii="Arial" w:hAnsi="Arial" w:cs="Arial"/>
        </w:rPr>
        <w:t>2</w:t>
      </w:r>
      <w:r w:rsidR="006D7982" w:rsidRPr="00BB6C8F">
        <w:rPr>
          <w:rFonts w:ascii="Arial" w:hAnsi="Arial" w:cs="Arial"/>
        </w:rPr>
        <w:t>)</w:t>
      </w:r>
      <w:r w:rsidR="006D7982">
        <w:rPr>
          <w:rFonts w:ascii="Arial" w:hAnsi="Arial" w:cs="Arial"/>
        </w:rPr>
        <w:t xml:space="preserve"> </w:t>
      </w:r>
    </w:p>
    <w:p w14:paraId="022E1731" w14:textId="3D3C5259" w:rsidR="006539C3" w:rsidRDefault="006539C3" w:rsidP="006F1659">
      <w:pPr>
        <w:spacing w:line="360" w:lineRule="auto"/>
        <w:rPr>
          <w:rFonts w:ascii="Arial" w:eastAsia="Calibri" w:hAnsi="Arial" w:cs="Arial"/>
          <w:color w:val="000000"/>
          <w:lang w:val="en-US"/>
        </w:rPr>
      </w:pPr>
    </w:p>
    <w:p w14:paraId="08015159" w14:textId="03EF2DC8" w:rsidR="006D7982" w:rsidRDefault="009A33FC" w:rsidP="006F1659">
      <w:pPr>
        <w:spacing w:line="360" w:lineRule="auto"/>
        <w:rPr>
          <w:rFonts w:ascii="Arial" w:eastAsia="Calibri" w:hAnsi="Arial" w:cs="Arial"/>
          <w:color w:val="000000"/>
          <w:lang w:val="en-US"/>
        </w:rPr>
      </w:pPr>
      <w:r w:rsidRPr="009A33FC">
        <w:rPr>
          <w:rFonts w:eastAsia="Calibri"/>
          <w:noProof/>
        </w:rPr>
        <w:drawing>
          <wp:inline distT="0" distB="0" distL="0" distR="0" wp14:anchorId="720EB2CA" wp14:editId="2A5B1988">
            <wp:extent cx="3864610" cy="1026795"/>
            <wp:effectExtent l="0" t="0" r="2540" b="190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64610" cy="1026795"/>
                    </a:xfrm>
                    <a:prstGeom prst="rect">
                      <a:avLst/>
                    </a:prstGeom>
                    <a:noFill/>
                    <a:ln>
                      <a:noFill/>
                    </a:ln>
                  </pic:spPr>
                </pic:pic>
              </a:graphicData>
            </a:graphic>
          </wp:inline>
        </w:drawing>
      </w:r>
    </w:p>
    <w:p w14:paraId="3560D67A" w14:textId="77777777" w:rsidR="009A33FC" w:rsidRDefault="009A33FC" w:rsidP="006F1659">
      <w:pPr>
        <w:spacing w:line="360" w:lineRule="auto"/>
        <w:rPr>
          <w:rFonts w:ascii="Arial" w:eastAsia="Calibri" w:hAnsi="Arial" w:cs="Arial"/>
          <w:color w:val="000000"/>
          <w:lang w:val="en-US"/>
        </w:rPr>
      </w:pPr>
    </w:p>
    <w:p w14:paraId="05F3970B" w14:textId="176F0403" w:rsidR="00EA737A" w:rsidRPr="00EA737A" w:rsidRDefault="00EA737A" w:rsidP="006F1659">
      <w:pPr>
        <w:pStyle w:val="Heading4bold"/>
        <w:spacing w:line="360" w:lineRule="auto"/>
        <w:rPr>
          <w:rFonts w:eastAsia="Calibri"/>
          <w:lang w:val="en-US"/>
        </w:rPr>
      </w:pPr>
      <w:r w:rsidRPr="00EA737A">
        <w:rPr>
          <w:rFonts w:eastAsia="Calibri"/>
          <w:lang w:val="en-US"/>
        </w:rPr>
        <w:t>NW Evergreen Holdings Limited Partnership</w:t>
      </w:r>
    </w:p>
    <w:p w14:paraId="4507D56D" w14:textId="3AFDD800" w:rsidR="009A33FC" w:rsidRDefault="009A33FC" w:rsidP="006F1659">
      <w:pPr>
        <w:spacing w:line="360" w:lineRule="auto"/>
        <w:rPr>
          <w:rFonts w:ascii="Arial" w:eastAsia="Calibri" w:hAnsi="Arial" w:cs="Arial"/>
          <w:color w:val="000000"/>
          <w:lang w:val="en-US"/>
        </w:rPr>
      </w:pPr>
      <w:r w:rsidRPr="009A33FC">
        <w:rPr>
          <w:rFonts w:eastAsia="Calibri"/>
          <w:noProof/>
        </w:rPr>
        <w:drawing>
          <wp:inline distT="0" distB="0" distL="0" distR="0" wp14:anchorId="611B12D9" wp14:editId="71058112">
            <wp:extent cx="3864610" cy="905510"/>
            <wp:effectExtent l="0" t="0" r="2540" b="889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64610" cy="905510"/>
                    </a:xfrm>
                    <a:prstGeom prst="rect">
                      <a:avLst/>
                    </a:prstGeom>
                    <a:noFill/>
                    <a:ln>
                      <a:noFill/>
                    </a:ln>
                  </pic:spPr>
                </pic:pic>
              </a:graphicData>
            </a:graphic>
          </wp:inline>
        </w:drawing>
      </w:r>
    </w:p>
    <w:p w14:paraId="398F4E5F" w14:textId="77777777" w:rsidR="009A33FC" w:rsidRDefault="009A33FC" w:rsidP="006F1659">
      <w:pPr>
        <w:spacing w:line="360" w:lineRule="auto"/>
        <w:rPr>
          <w:rFonts w:ascii="Arial" w:eastAsia="Calibri" w:hAnsi="Arial" w:cs="Arial"/>
          <w:color w:val="000000"/>
          <w:lang w:val="en-US"/>
        </w:rPr>
      </w:pPr>
    </w:p>
    <w:p w14:paraId="2CAEE8AD" w14:textId="6D3826A9" w:rsidR="0035629E" w:rsidRDefault="0035629E" w:rsidP="006F1659">
      <w:pPr>
        <w:pStyle w:val="Heading4bold"/>
        <w:spacing w:line="360" w:lineRule="auto"/>
        <w:rPr>
          <w:rFonts w:eastAsia="Calibri"/>
          <w:lang w:val="en-US"/>
        </w:rPr>
      </w:pPr>
      <w:r w:rsidRPr="00431F6F">
        <w:rPr>
          <w:rFonts w:eastAsia="Calibri"/>
          <w:lang w:val="en-US"/>
        </w:rPr>
        <w:lastRenderedPageBreak/>
        <w:t>Greater Manchester Evergreen 2 Limited Partnership</w:t>
      </w:r>
    </w:p>
    <w:p w14:paraId="1E3017B5" w14:textId="60AB6EE2" w:rsidR="0035629E" w:rsidRPr="0035629E" w:rsidRDefault="0035629E" w:rsidP="006F1659">
      <w:pPr>
        <w:spacing w:line="360" w:lineRule="auto"/>
        <w:rPr>
          <w:rFonts w:ascii="Arial" w:eastAsia="Calibri" w:hAnsi="Arial" w:cs="Arial"/>
          <w:color w:val="000000"/>
          <w:lang w:val="en-US"/>
        </w:rPr>
      </w:pPr>
      <w:r w:rsidRPr="00F158E2">
        <w:rPr>
          <w:rFonts w:ascii="Arial" w:eastAsia="Calibri" w:hAnsi="Arial" w:cs="Arial"/>
          <w:color w:val="000000"/>
          <w:lang w:val="en-US"/>
        </w:rPr>
        <w:t>There were no transactions between the Authority and Greater Manchester Evergreen 2 Limited Partnership during the 2</w:t>
      </w:r>
      <w:r w:rsidR="00F158E2" w:rsidRPr="00F158E2">
        <w:rPr>
          <w:rFonts w:ascii="Arial" w:eastAsia="Calibri" w:hAnsi="Arial" w:cs="Arial"/>
          <w:color w:val="000000"/>
          <w:lang w:val="en-US"/>
        </w:rPr>
        <w:t>2</w:t>
      </w:r>
      <w:r w:rsidRPr="00F158E2">
        <w:rPr>
          <w:rFonts w:ascii="Arial" w:eastAsia="Calibri" w:hAnsi="Arial" w:cs="Arial"/>
          <w:color w:val="000000"/>
          <w:lang w:val="en-US"/>
        </w:rPr>
        <w:t>/2</w:t>
      </w:r>
      <w:r w:rsidR="00F158E2" w:rsidRPr="00F158E2">
        <w:rPr>
          <w:rFonts w:ascii="Arial" w:eastAsia="Calibri" w:hAnsi="Arial" w:cs="Arial"/>
          <w:color w:val="000000"/>
          <w:lang w:val="en-US"/>
        </w:rPr>
        <w:t>3</w:t>
      </w:r>
      <w:r w:rsidRPr="00F158E2">
        <w:rPr>
          <w:rFonts w:ascii="Arial" w:eastAsia="Calibri" w:hAnsi="Arial" w:cs="Arial"/>
          <w:color w:val="000000"/>
          <w:lang w:val="en-US"/>
        </w:rPr>
        <w:t xml:space="preserve"> financial year.</w:t>
      </w:r>
    </w:p>
    <w:p w14:paraId="63B8ADAC" w14:textId="77777777" w:rsidR="0055106B" w:rsidRDefault="0055106B" w:rsidP="006F1659">
      <w:pPr>
        <w:spacing w:line="360" w:lineRule="auto"/>
        <w:rPr>
          <w:rFonts w:ascii="Arial" w:eastAsia="Calibri" w:hAnsi="Arial" w:cs="Arial"/>
          <w:color w:val="000000"/>
          <w:lang w:val="en-US"/>
        </w:rPr>
      </w:pPr>
    </w:p>
    <w:p w14:paraId="3EEB9D97" w14:textId="77777777" w:rsidR="0055106B" w:rsidRPr="0055106B" w:rsidRDefault="0055106B" w:rsidP="0055106B">
      <w:pPr>
        <w:pStyle w:val="Heading4bold"/>
        <w:spacing w:line="360" w:lineRule="auto"/>
        <w:rPr>
          <w:rFonts w:eastAsia="Calibri"/>
          <w:lang w:val="en-US"/>
        </w:rPr>
      </w:pPr>
      <w:r w:rsidRPr="0055106B">
        <w:rPr>
          <w:rFonts w:eastAsia="Calibri"/>
          <w:lang w:val="en-US"/>
        </w:rPr>
        <w:t>Manchester Camerata</w:t>
      </w:r>
    </w:p>
    <w:p w14:paraId="7009783A" w14:textId="77777777" w:rsidR="0055106B" w:rsidRDefault="0055106B" w:rsidP="0055106B">
      <w:pPr>
        <w:pStyle w:val="Normal0"/>
        <w:rPr>
          <w:rFonts w:ascii="Arial" w:hAnsi="Arial" w:cs="Arial"/>
          <w:b/>
          <w:bCs/>
        </w:rPr>
      </w:pPr>
      <w:r w:rsidRPr="0055106B">
        <w:rPr>
          <w:noProof/>
        </w:rPr>
        <w:drawing>
          <wp:inline distT="0" distB="0" distL="0" distR="0" wp14:anchorId="36564920" wp14:editId="27401470">
            <wp:extent cx="3860800" cy="895350"/>
            <wp:effectExtent l="0" t="0" r="6350" b="0"/>
            <wp:docPr id="11846716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60800" cy="895350"/>
                    </a:xfrm>
                    <a:prstGeom prst="rect">
                      <a:avLst/>
                    </a:prstGeom>
                    <a:noFill/>
                    <a:ln>
                      <a:noFill/>
                    </a:ln>
                  </pic:spPr>
                </pic:pic>
              </a:graphicData>
            </a:graphic>
          </wp:inline>
        </w:drawing>
      </w:r>
    </w:p>
    <w:p w14:paraId="1275845E" w14:textId="77777777" w:rsidR="0055106B" w:rsidRDefault="0055106B" w:rsidP="006F1659">
      <w:pPr>
        <w:spacing w:line="360" w:lineRule="auto"/>
        <w:rPr>
          <w:rFonts w:ascii="Arial" w:eastAsia="Calibri" w:hAnsi="Arial" w:cs="Arial"/>
          <w:color w:val="000000"/>
          <w:lang w:val="en-US"/>
        </w:rPr>
      </w:pPr>
    </w:p>
    <w:p w14:paraId="6DB19E20" w14:textId="1F4F9282" w:rsidR="0055106B" w:rsidRPr="0055106B" w:rsidRDefault="0055106B" w:rsidP="0055106B">
      <w:pPr>
        <w:pStyle w:val="Heading4bold"/>
        <w:spacing w:line="360" w:lineRule="auto"/>
        <w:rPr>
          <w:rFonts w:eastAsia="Calibri"/>
          <w:color w:val="000000"/>
          <w:lang w:val="en-US"/>
        </w:rPr>
      </w:pPr>
      <w:r>
        <w:rPr>
          <w:rFonts w:eastAsia="Calibri"/>
          <w:color w:val="000000"/>
          <w:lang w:val="en-US"/>
        </w:rPr>
        <w:t>Hive Homes LLP</w:t>
      </w:r>
    </w:p>
    <w:p w14:paraId="3CAE25C0" w14:textId="152C2E9C" w:rsidR="0055106B" w:rsidRDefault="0055106B" w:rsidP="0055106B">
      <w:pPr>
        <w:pStyle w:val="Normal0"/>
        <w:rPr>
          <w:rFonts w:cs="Arial"/>
          <w:color w:val="000000"/>
        </w:rPr>
      </w:pPr>
      <w:r w:rsidRPr="0055106B">
        <w:rPr>
          <w:noProof/>
        </w:rPr>
        <w:drawing>
          <wp:inline distT="0" distB="0" distL="0" distR="0" wp14:anchorId="600E6482" wp14:editId="2D64F588">
            <wp:extent cx="3860800" cy="895350"/>
            <wp:effectExtent l="0" t="0" r="6350" b="0"/>
            <wp:docPr id="9464715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60800" cy="895350"/>
                    </a:xfrm>
                    <a:prstGeom prst="rect">
                      <a:avLst/>
                    </a:prstGeom>
                    <a:noFill/>
                    <a:ln>
                      <a:noFill/>
                    </a:ln>
                  </pic:spPr>
                </pic:pic>
              </a:graphicData>
            </a:graphic>
          </wp:inline>
        </w:drawing>
      </w:r>
    </w:p>
    <w:p w14:paraId="451A4211" w14:textId="77777777" w:rsidR="0055106B" w:rsidRDefault="0055106B" w:rsidP="006F1659">
      <w:pPr>
        <w:spacing w:line="360" w:lineRule="auto"/>
        <w:rPr>
          <w:rFonts w:ascii="Arial" w:eastAsia="Calibri" w:hAnsi="Arial" w:cs="Arial"/>
          <w:color w:val="000000"/>
          <w:lang w:val="en-US"/>
        </w:rPr>
      </w:pPr>
    </w:p>
    <w:p w14:paraId="318A73ED" w14:textId="31FE1906" w:rsidR="0055106B" w:rsidRDefault="0055106B" w:rsidP="0055106B">
      <w:pPr>
        <w:pStyle w:val="Heading4bold"/>
        <w:spacing w:line="360" w:lineRule="auto"/>
        <w:rPr>
          <w:rFonts w:eastAsia="Calibri"/>
          <w:color w:val="000000"/>
          <w:lang w:val="en-US"/>
        </w:rPr>
      </w:pPr>
      <w:r>
        <w:rPr>
          <w:rFonts w:eastAsia="Calibri"/>
          <w:color w:val="000000"/>
          <w:lang w:val="en-US"/>
        </w:rPr>
        <w:t>Resonance Supported Homes</w:t>
      </w:r>
    </w:p>
    <w:p w14:paraId="7A5638FB" w14:textId="6BDF69F8" w:rsidR="0055106B" w:rsidRDefault="0055106B" w:rsidP="0055106B">
      <w:pPr>
        <w:pStyle w:val="Normal0"/>
        <w:rPr>
          <w:color w:val="000000"/>
        </w:rPr>
      </w:pPr>
      <w:r w:rsidRPr="0055106B">
        <w:rPr>
          <w:noProof/>
        </w:rPr>
        <w:drawing>
          <wp:inline distT="0" distB="0" distL="0" distR="0" wp14:anchorId="3ED64552" wp14:editId="716286EF">
            <wp:extent cx="3860800" cy="895350"/>
            <wp:effectExtent l="0" t="0" r="6350" b="0"/>
            <wp:docPr id="4574043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60800" cy="895350"/>
                    </a:xfrm>
                    <a:prstGeom prst="rect">
                      <a:avLst/>
                    </a:prstGeom>
                    <a:noFill/>
                    <a:ln>
                      <a:noFill/>
                    </a:ln>
                  </pic:spPr>
                </pic:pic>
              </a:graphicData>
            </a:graphic>
          </wp:inline>
        </w:drawing>
      </w:r>
    </w:p>
    <w:p w14:paraId="20A8725E" w14:textId="6F4DD8D5" w:rsidR="0055106B" w:rsidRDefault="0055106B" w:rsidP="0055106B">
      <w:pPr>
        <w:pStyle w:val="Normal0"/>
        <w:rPr>
          <w:color w:val="000000"/>
        </w:rPr>
      </w:pPr>
    </w:p>
    <w:p w14:paraId="2923E5EE" w14:textId="727E0387" w:rsidR="0055106B" w:rsidRPr="0055106B" w:rsidRDefault="0055106B" w:rsidP="0055106B">
      <w:pPr>
        <w:pStyle w:val="Heading4bold"/>
        <w:spacing w:line="360" w:lineRule="auto"/>
        <w:rPr>
          <w:rFonts w:eastAsia="Calibri"/>
          <w:color w:val="000000"/>
          <w:lang w:val="en-US"/>
        </w:rPr>
      </w:pPr>
      <w:r w:rsidRPr="0055106B">
        <w:rPr>
          <w:rFonts w:eastAsia="Calibri"/>
          <w:color w:val="000000"/>
          <w:lang w:val="en-US"/>
        </w:rPr>
        <w:lastRenderedPageBreak/>
        <w:t>National Homlessness Property</w:t>
      </w:r>
    </w:p>
    <w:p w14:paraId="0B8E5531" w14:textId="00BA9681" w:rsidR="0055106B" w:rsidRDefault="0055106B" w:rsidP="0055106B">
      <w:pPr>
        <w:pStyle w:val="Normal0"/>
        <w:rPr>
          <w:color w:val="000000"/>
        </w:rPr>
      </w:pPr>
      <w:r w:rsidRPr="0055106B">
        <w:rPr>
          <w:noProof/>
        </w:rPr>
        <w:drawing>
          <wp:inline distT="0" distB="0" distL="0" distR="0" wp14:anchorId="0FF5DFA0" wp14:editId="5423E950">
            <wp:extent cx="3860800" cy="895350"/>
            <wp:effectExtent l="0" t="0" r="6350" b="0"/>
            <wp:docPr id="13977582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60800" cy="895350"/>
                    </a:xfrm>
                    <a:prstGeom prst="rect">
                      <a:avLst/>
                    </a:prstGeom>
                    <a:noFill/>
                    <a:ln>
                      <a:noFill/>
                    </a:ln>
                  </pic:spPr>
                </pic:pic>
              </a:graphicData>
            </a:graphic>
          </wp:inline>
        </w:drawing>
      </w:r>
    </w:p>
    <w:p w14:paraId="66094DCB" w14:textId="77777777" w:rsidR="0055106B" w:rsidRDefault="0055106B" w:rsidP="0055106B">
      <w:pPr>
        <w:pStyle w:val="Normal0"/>
        <w:rPr>
          <w:color w:val="000000"/>
        </w:rPr>
      </w:pPr>
    </w:p>
    <w:p w14:paraId="7A14BFAA" w14:textId="77777777" w:rsidR="0055106B" w:rsidRDefault="0055106B" w:rsidP="0055106B">
      <w:pPr>
        <w:pStyle w:val="Normal0"/>
        <w:rPr>
          <w:color w:val="000000"/>
        </w:rPr>
      </w:pPr>
    </w:p>
    <w:p w14:paraId="56EB5A3E" w14:textId="64E5BAB3" w:rsidR="0055106B" w:rsidRPr="0055106B" w:rsidRDefault="0055106B" w:rsidP="0055106B">
      <w:pPr>
        <w:pStyle w:val="Heading4bold"/>
        <w:spacing w:line="360" w:lineRule="auto"/>
        <w:rPr>
          <w:rFonts w:eastAsia="Calibri"/>
          <w:color w:val="000000"/>
          <w:lang w:val="en-US"/>
        </w:rPr>
      </w:pPr>
      <w:r w:rsidRPr="0055106B">
        <w:rPr>
          <w:rFonts w:eastAsia="Calibri"/>
          <w:color w:val="000000"/>
          <w:lang w:val="en-US"/>
        </w:rPr>
        <w:t>Interchange Homes LLP</w:t>
      </w:r>
    </w:p>
    <w:p w14:paraId="1BE037CA" w14:textId="1F3FBE7E" w:rsidR="0055106B" w:rsidRPr="00431F6F" w:rsidRDefault="008A2726" w:rsidP="006F1659">
      <w:pPr>
        <w:spacing w:line="360" w:lineRule="auto"/>
        <w:rPr>
          <w:rFonts w:ascii="Arial" w:eastAsia="Calibri" w:hAnsi="Arial" w:cs="Arial"/>
          <w:color w:val="000000"/>
          <w:lang w:val="en-US"/>
        </w:rPr>
        <w:sectPr w:rsidR="0055106B" w:rsidRPr="00431F6F" w:rsidSect="004833A2">
          <w:pgSz w:w="16838" w:h="11906" w:orient="landscape"/>
          <w:pgMar w:top="1080" w:right="1444" w:bottom="1416" w:left="1440" w:header="568" w:footer="567" w:gutter="0"/>
          <w:cols w:space="708"/>
          <w:docGrid w:linePitch="360"/>
        </w:sectPr>
      </w:pPr>
      <w:r w:rsidRPr="008A2726">
        <w:rPr>
          <w:rFonts w:eastAsia="Calibri"/>
          <w:noProof/>
        </w:rPr>
        <w:drawing>
          <wp:inline distT="0" distB="0" distL="0" distR="0" wp14:anchorId="56DB7DBB" wp14:editId="3E0B35BA">
            <wp:extent cx="3859530" cy="893445"/>
            <wp:effectExtent l="0" t="0" r="7620" b="1905"/>
            <wp:docPr id="9779490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59530" cy="893445"/>
                    </a:xfrm>
                    <a:prstGeom prst="rect">
                      <a:avLst/>
                    </a:prstGeom>
                    <a:noFill/>
                    <a:ln>
                      <a:noFill/>
                    </a:ln>
                  </pic:spPr>
                </pic:pic>
              </a:graphicData>
            </a:graphic>
          </wp:inline>
        </w:drawing>
      </w:r>
    </w:p>
    <w:p w14:paraId="4ED89540" w14:textId="20FE6649" w:rsidR="004047A3" w:rsidRPr="0007572B" w:rsidRDefault="00680267" w:rsidP="006F1659">
      <w:pPr>
        <w:pStyle w:val="Heading3greennumbered"/>
        <w:spacing w:line="360" w:lineRule="auto"/>
      </w:pPr>
      <w:bookmarkStart w:id="181" w:name="_Toc92894904"/>
      <w:bookmarkStart w:id="182" w:name="_Toc92895208"/>
      <w:bookmarkStart w:id="183" w:name="_Toc109922642"/>
      <w:r w:rsidRPr="0007572B">
        <w:lastRenderedPageBreak/>
        <w:t>3</w:t>
      </w:r>
      <w:r w:rsidR="00876B48" w:rsidRPr="0007572B">
        <w:t>2</w:t>
      </w:r>
      <w:r w:rsidR="004047A3" w:rsidRPr="0007572B">
        <w:t>a Cash Flow Statement - Adjustments to Net Cash Flows from Operating Activities</w:t>
      </w:r>
      <w:bookmarkEnd w:id="181"/>
      <w:bookmarkEnd w:id="182"/>
      <w:bookmarkEnd w:id="183"/>
    </w:p>
    <w:p w14:paraId="59571F73" w14:textId="5A6F8E16" w:rsidR="00D4492C" w:rsidRDefault="00D4492C" w:rsidP="006F1659">
      <w:pPr>
        <w:spacing w:line="360" w:lineRule="auto"/>
        <w:rPr>
          <w:rFonts w:ascii="Arial" w:hAnsi="Arial" w:cs="Arial"/>
          <w:sz w:val="22"/>
          <w:szCs w:val="22"/>
        </w:rPr>
      </w:pPr>
    </w:p>
    <w:p w14:paraId="0C597519" w14:textId="70057F70" w:rsidR="006F40D6" w:rsidRDefault="00D819A9" w:rsidP="006F1659">
      <w:pPr>
        <w:spacing w:line="360" w:lineRule="auto"/>
      </w:pPr>
      <w:r w:rsidRPr="00D819A9">
        <w:rPr>
          <w:noProof/>
        </w:rPr>
        <w:drawing>
          <wp:inline distT="0" distB="0" distL="0" distR="0" wp14:anchorId="7791BCA2" wp14:editId="63DA2E1C">
            <wp:extent cx="5111750" cy="3308350"/>
            <wp:effectExtent l="0" t="0" r="0" b="6350"/>
            <wp:docPr id="1883962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11750" cy="3308350"/>
                    </a:xfrm>
                    <a:prstGeom prst="rect">
                      <a:avLst/>
                    </a:prstGeom>
                    <a:noFill/>
                    <a:ln>
                      <a:noFill/>
                    </a:ln>
                  </pic:spPr>
                </pic:pic>
              </a:graphicData>
            </a:graphic>
          </wp:inline>
        </w:drawing>
      </w:r>
    </w:p>
    <w:p w14:paraId="08BB4DE8" w14:textId="77777777" w:rsidR="00AF17A2" w:rsidRPr="0007572B" w:rsidRDefault="00AF17A2" w:rsidP="006F1659">
      <w:pPr>
        <w:spacing w:line="360" w:lineRule="auto"/>
        <w:rPr>
          <w:rFonts w:ascii="Arial" w:hAnsi="Arial" w:cs="Arial"/>
          <w:sz w:val="22"/>
          <w:szCs w:val="22"/>
        </w:rPr>
      </w:pPr>
    </w:p>
    <w:p w14:paraId="5EA1DF0B" w14:textId="4949E062" w:rsidR="004047A3" w:rsidRPr="0007572B" w:rsidRDefault="00680267" w:rsidP="006F1659">
      <w:pPr>
        <w:pStyle w:val="Heading3greennumbered"/>
        <w:spacing w:line="360" w:lineRule="auto"/>
      </w:pPr>
      <w:bookmarkStart w:id="184" w:name="_Toc92894905"/>
      <w:bookmarkStart w:id="185" w:name="_Toc92895209"/>
      <w:bookmarkStart w:id="186" w:name="_Toc109922643"/>
      <w:r w:rsidRPr="0007572B">
        <w:t>3</w:t>
      </w:r>
      <w:r w:rsidR="00876B48" w:rsidRPr="0007572B">
        <w:t>2</w:t>
      </w:r>
      <w:r w:rsidR="004047A3" w:rsidRPr="0007572B">
        <w:t>b Cash Flow Statement - Investing Activities</w:t>
      </w:r>
      <w:bookmarkEnd w:id="184"/>
      <w:bookmarkEnd w:id="185"/>
      <w:bookmarkEnd w:id="186"/>
    </w:p>
    <w:p w14:paraId="2CA1F6C9" w14:textId="7AED0654" w:rsidR="006F40D6" w:rsidRDefault="006F40D6" w:rsidP="006F1659">
      <w:pPr>
        <w:spacing w:line="360" w:lineRule="auto"/>
        <w:jc w:val="both"/>
        <w:rPr>
          <w:rFonts w:ascii="Arial" w:hAnsi="Arial" w:cs="Arial"/>
          <w:b/>
          <w:sz w:val="22"/>
          <w:szCs w:val="22"/>
        </w:rPr>
      </w:pPr>
    </w:p>
    <w:p w14:paraId="1DDCE382" w14:textId="1552F433" w:rsidR="00D4492C" w:rsidRDefault="005A5CC8" w:rsidP="006F1659">
      <w:pPr>
        <w:spacing w:line="360" w:lineRule="auto"/>
        <w:jc w:val="both"/>
        <w:rPr>
          <w:rFonts w:ascii="Arial" w:hAnsi="Arial" w:cs="Arial"/>
          <w:b/>
          <w:sz w:val="22"/>
          <w:szCs w:val="22"/>
        </w:rPr>
      </w:pPr>
      <w:r w:rsidRPr="005A5CC8">
        <w:rPr>
          <w:noProof/>
        </w:rPr>
        <w:drawing>
          <wp:inline distT="0" distB="0" distL="0" distR="0" wp14:anchorId="5DCE83BC" wp14:editId="4D29688C">
            <wp:extent cx="5111750" cy="1054100"/>
            <wp:effectExtent l="0" t="0" r="0" b="0"/>
            <wp:docPr id="17741174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111750" cy="1054100"/>
                    </a:xfrm>
                    <a:prstGeom prst="rect">
                      <a:avLst/>
                    </a:prstGeom>
                    <a:noFill/>
                    <a:ln>
                      <a:noFill/>
                    </a:ln>
                  </pic:spPr>
                </pic:pic>
              </a:graphicData>
            </a:graphic>
          </wp:inline>
        </w:drawing>
      </w:r>
    </w:p>
    <w:p w14:paraId="792FE6AE" w14:textId="77777777" w:rsidR="00AF17A2" w:rsidRPr="0007572B" w:rsidRDefault="00AF17A2" w:rsidP="006F1659">
      <w:pPr>
        <w:spacing w:line="360" w:lineRule="auto"/>
        <w:jc w:val="both"/>
        <w:rPr>
          <w:rFonts w:ascii="Arial" w:hAnsi="Arial" w:cs="Arial"/>
          <w:b/>
          <w:sz w:val="22"/>
          <w:szCs w:val="22"/>
        </w:rPr>
      </w:pPr>
    </w:p>
    <w:p w14:paraId="2F01D7C6" w14:textId="67C71DE1" w:rsidR="00C75BFA" w:rsidRPr="0007572B" w:rsidRDefault="00680267" w:rsidP="006F1659">
      <w:pPr>
        <w:pStyle w:val="Heading3greennumbered"/>
        <w:spacing w:line="360" w:lineRule="auto"/>
      </w:pPr>
      <w:bookmarkStart w:id="187" w:name="_Toc92894906"/>
      <w:bookmarkStart w:id="188" w:name="_Toc92895210"/>
      <w:bookmarkStart w:id="189" w:name="_Toc109922644"/>
      <w:r w:rsidRPr="0007572B">
        <w:t>3</w:t>
      </w:r>
      <w:r w:rsidR="00876B48" w:rsidRPr="0007572B">
        <w:t>2</w:t>
      </w:r>
      <w:r w:rsidR="00A0024E" w:rsidRPr="0007572B">
        <w:t>c</w:t>
      </w:r>
      <w:r w:rsidR="004047A3" w:rsidRPr="0007572B">
        <w:t xml:space="preserve"> Cash Flow Statement - Financing Activities</w:t>
      </w:r>
      <w:bookmarkEnd w:id="187"/>
      <w:bookmarkEnd w:id="188"/>
      <w:bookmarkEnd w:id="189"/>
    </w:p>
    <w:p w14:paraId="008A1E44" w14:textId="77777777" w:rsidR="00D4492C" w:rsidRDefault="00D4492C" w:rsidP="006F1659">
      <w:pPr>
        <w:spacing w:line="360" w:lineRule="auto"/>
        <w:jc w:val="both"/>
        <w:rPr>
          <w:rFonts w:ascii="Arial" w:hAnsi="Arial" w:cs="Arial"/>
          <w:b/>
          <w:sz w:val="22"/>
          <w:szCs w:val="22"/>
        </w:rPr>
      </w:pPr>
    </w:p>
    <w:p w14:paraId="33456DA3" w14:textId="424FDCBB" w:rsidR="008B356D" w:rsidRDefault="00A048BB" w:rsidP="006F1659">
      <w:pPr>
        <w:spacing w:line="360" w:lineRule="auto"/>
        <w:jc w:val="both"/>
        <w:rPr>
          <w:rFonts w:ascii="Arial" w:hAnsi="Arial" w:cs="Arial"/>
          <w:b/>
          <w:sz w:val="22"/>
          <w:szCs w:val="22"/>
        </w:rPr>
      </w:pPr>
      <w:r w:rsidRPr="00A048BB">
        <w:rPr>
          <w:noProof/>
        </w:rPr>
        <w:drawing>
          <wp:inline distT="0" distB="0" distL="0" distR="0" wp14:anchorId="322791ED" wp14:editId="19CC0105">
            <wp:extent cx="5114925" cy="1038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14925" cy="1038225"/>
                    </a:xfrm>
                    <a:prstGeom prst="rect">
                      <a:avLst/>
                    </a:prstGeom>
                    <a:noFill/>
                    <a:ln>
                      <a:noFill/>
                    </a:ln>
                  </pic:spPr>
                </pic:pic>
              </a:graphicData>
            </a:graphic>
          </wp:inline>
        </w:drawing>
      </w:r>
    </w:p>
    <w:p w14:paraId="2320F0CD" w14:textId="41C2AEFB" w:rsidR="00AF17A2" w:rsidRDefault="00AF17A2" w:rsidP="006F1659">
      <w:pPr>
        <w:spacing w:line="360" w:lineRule="auto"/>
        <w:jc w:val="both"/>
        <w:rPr>
          <w:rFonts w:ascii="Arial" w:hAnsi="Arial" w:cs="Arial"/>
          <w:b/>
          <w:sz w:val="22"/>
          <w:szCs w:val="22"/>
        </w:rPr>
      </w:pPr>
    </w:p>
    <w:p w14:paraId="19F28366" w14:textId="77777777" w:rsidR="008B356D" w:rsidRPr="0007572B" w:rsidRDefault="008B356D" w:rsidP="006F1659">
      <w:pPr>
        <w:spacing w:line="360" w:lineRule="auto"/>
        <w:jc w:val="both"/>
        <w:rPr>
          <w:rFonts w:ascii="Arial" w:hAnsi="Arial" w:cs="Arial"/>
          <w:b/>
          <w:sz w:val="22"/>
          <w:szCs w:val="22"/>
        </w:rPr>
      </w:pPr>
    </w:p>
    <w:p w14:paraId="768F2858" w14:textId="77777777" w:rsidR="003C272F" w:rsidRDefault="003C272F" w:rsidP="006F1659">
      <w:pPr>
        <w:spacing w:line="360" w:lineRule="auto"/>
        <w:rPr>
          <w:rFonts w:ascii="Arial" w:eastAsia="Palatino Linotype" w:hAnsi="Arial" w:cs="Arial"/>
          <w:b/>
          <w:bCs/>
          <w:szCs w:val="28"/>
          <w:lang w:val="en-US"/>
        </w:rPr>
      </w:pPr>
      <w:bookmarkStart w:id="190" w:name="_Toc92894907"/>
      <w:bookmarkStart w:id="191" w:name="_Toc92895211"/>
      <w:bookmarkStart w:id="192" w:name="_Toc109922645"/>
      <w:r>
        <w:br w:type="page"/>
      </w:r>
    </w:p>
    <w:p w14:paraId="742709DB" w14:textId="400E102B" w:rsidR="00294E50" w:rsidRPr="0007572B" w:rsidRDefault="00294E50" w:rsidP="006F1659">
      <w:pPr>
        <w:pStyle w:val="Heading3greennumbered"/>
        <w:spacing w:line="360" w:lineRule="auto"/>
      </w:pPr>
      <w:r w:rsidRPr="00D4492C">
        <w:lastRenderedPageBreak/>
        <w:t>3</w:t>
      </w:r>
      <w:r w:rsidR="00876B48" w:rsidRPr="00D4492C">
        <w:t>2</w:t>
      </w:r>
      <w:r w:rsidRPr="00D4492C">
        <w:t>d Cash Flow Statement – Reconciliation of Liabilities Arising from Financing</w:t>
      </w:r>
      <w:r w:rsidRPr="0007572B">
        <w:t xml:space="preserve"> Activities</w:t>
      </w:r>
      <w:bookmarkEnd w:id="190"/>
      <w:bookmarkEnd w:id="191"/>
      <w:bookmarkEnd w:id="192"/>
    </w:p>
    <w:p w14:paraId="6B15FCFB" w14:textId="77777777" w:rsidR="00D4492C" w:rsidRDefault="00D4492C" w:rsidP="006F1659">
      <w:pPr>
        <w:spacing w:line="360" w:lineRule="auto"/>
        <w:rPr>
          <w:rFonts w:ascii="Arial" w:hAnsi="Arial" w:cs="Arial"/>
          <w:b/>
          <w:sz w:val="22"/>
          <w:szCs w:val="22"/>
        </w:rPr>
      </w:pPr>
    </w:p>
    <w:p w14:paraId="640CC2BC" w14:textId="51400CFA" w:rsidR="00C56469" w:rsidRDefault="00A048BB" w:rsidP="006F1659">
      <w:pPr>
        <w:spacing w:line="360" w:lineRule="auto"/>
        <w:rPr>
          <w:rFonts w:ascii="Arial" w:hAnsi="Arial" w:cs="Arial"/>
          <w:b/>
          <w:sz w:val="22"/>
          <w:szCs w:val="22"/>
        </w:rPr>
      </w:pPr>
      <w:r w:rsidRPr="00A048BB">
        <w:rPr>
          <w:noProof/>
        </w:rPr>
        <w:drawing>
          <wp:inline distT="0" distB="0" distL="0" distR="0" wp14:anchorId="0A36F1D3" wp14:editId="4C62C0C6">
            <wp:extent cx="5975350" cy="97917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75350" cy="979170"/>
                    </a:xfrm>
                    <a:prstGeom prst="rect">
                      <a:avLst/>
                    </a:prstGeom>
                    <a:noFill/>
                    <a:ln>
                      <a:noFill/>
                    </a:ln>
                  </pic:spPr>
                </pic:pic>
              </a:graphicData>
            </a:graphic>
          </wp:inline>
        </w:drawing>
      </w:r>
    </w:p>
    <w:p w14:paraId="22D356CD" w14:textId="77777777" w:rsidR="00AF17A2" w:rsidRDefault="00AF17A2" w:rsidP="006F1659">
      <w:pPr>
        <w:spacing w:line="360" w:lineRule="auto"/>
        <w:rPr>
          <w:rFonts w:ascii="Arial" w:hAnsi="Arial" w:cs="Arial"/>
          <w:b/>
          <w:sz w:val="22"/>
          <w:szCs w:val="22"/>
        </w:rPr>
      </w:pPr>
    </w:p>
    <w:p w14:paraId="00EBB311" w14:textId="767B9AA0" w:rsidR="00952982" w:rsidRDefault="00A048BB" w:rsidP="006F1659">
      <w:pPr>
        <w:spacing w:line="360" w:lineRule="auto"/>
        <w:rPr>
          <w:rFonts w:ascii="Arial" w:hAnsi="Arial" w:cs="Arial"/>
          <w:sz w:val="22"/>
          <w:szCs w:val="22"/>
        </w:rPr>
      </w:pPr>
      <w:r w:rsidRPr="00A048BB">
        <w:rPr>
          <w:noProof/>
        </w:rPr>
        <w:drawing>
          <wp:inline distT="0" distB="0" distL="0" distR="0" wp14:anchorId="021A5CCB" wp14:editId="08A5F3DC">
            <wp:extent cx="5975350" cy="1021715"/>
            <wp:effectExtent l="0" t="0" r="635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75350" cy="1021715"/>
                    </a:xfrm>
                    <a:prstGeom prst="rect">
                      <a:avLst/>
                    </a:prstGeom>
                    <a:noFill/>
                    <a:ln>
                      <a:noFill/>
                    </a:ln>
                  </pic:spPr>
                </pic:pic>
              </a:graphicData>
            </a:graphic>
          </wp:inline>
        </w:drawing>
      </w:r>
    </w:p>
    <w:p w14:paraId="56C0A1BE" w14:textId="434F3484" w:rsidR="00943897" w:rsidRDefault="00943897" w:rsidP="006F1659">
      <w:pPr>
        <w:spacing w:line="360" w:lineRule="auto"/>
        <w:rPr>
          <w:rFonts w:ascii="Arial" w:hAnsi="Arial" w:cs="Arial"/>
          <w:sz w:val="22"/>
          <w:szCs w:val="22"/>
        </w:rPr>
      </w:pPr>
    </w:p>
    <w:p w14:paraId="509E93F4" w14:textId="77777777" w:rsidR="008B356D" w:rsidRPr="0007572B" w:rsidRDefault="008B356D" w:rsidP="006F1659">
      <w:pPr>
        <w:spacing w:line="360" w:lineRule="auto"/>
        <w:rPr>
          <w:rFonts w:ascii="Arial" w:hAnsi="Arial" w:cs="Arial"/>
          <w:sz w:val="22"/>
          <w:szCs w:val="22"/>
        </w:rPr>
      </w:pPr>
    </w:p>
    <w:p w14:paraId="211131F4" w14:textId="3567B1FA" w:rsidR="004047A3" w:rsidRPr="0007572B" w:rsidRDefault="00680267" w:rsidP="006F1659">
      <w:pPr>
        <w:pStyle w:val="Heading3greennumbered"/>
        <w:spacing w:line="360" w:lineRule="auto"/>
      </w:pPr>
      <w:bookmarkStart w:id="193" w:name="_Toc92894908"/>
      <w:bookmarkStart w:id="194" w:name="_Toc92895212"/>
      <w:bookmarkStart w:id="195" w:name="_Toc109922646"/>
      <w:bookmarkStart w:id="196" w:name="_Hlk138337169"/>
      <w:r w:rsidRPr="0007572B">
        <w:t>3</w:t>
      </w:r>
      <w:r w:rsidR="00876B48" w:rsidRPr="0007572B">
        <w:t>3</w:t>
      </w:r>
      <w:r w:rsidR="004047A3" w:rsidRPr="0007572B">
        <w:t xml:space="preserve"> Defined Benefit Pension Schemes</w:t>
      </w:r>
      <w:bookmarkEnd w:id="193"/>
      <w:bookmarkEnd w:id="194"/>
      <w:bookmarkEnd w:id="195"/>
    </w:p>
    <w:p w14:paraId="4F7276DF" w14:textId="77777777" w:rsidR="00D4492C" w:rsidRDefault="00D4492C" w:rsidP="006F1659">
      <w:pPr>
        <w:spacing w:line="360" w:lineRule="auto"/>
        <w:rPr>
          <w:rFonts w:ascii="Arial" w:hAnsi="Arial" w:cs="Arial"/>
        </w:rPr>
      </w:pPr>
    </w:p>
    <w:p w14:paraId="0781269C" w14:textId="459710F6" w:rsidR="00B04A22" w:rsidRPr="006E7062" w:rsidRDefault="00B04A22" w:rsidP="006F1659">
      <w:pPr>
        <w:spacing w:line="360" w:lineRule="auto"/>
        <w:rPr>
          <w:rFonts w:ascii="Arial" w:hAnsi="Arial" w:cs="Arial"/>
        </w:rPr>
      </w:pPr>
      <w:r w:rsidRPr="006E7062">
        <w:rPr>
          <w:rFonts w:ascii="Arial" w:hAnsi="Arial" w:cs="Arial"/>
        </w:rPr>
        <w:t>As part of the terms and conditions of employment of its officers and other employees, the Authority makes contributions towards the cost of post-employment benefits. Although these benefits will not actually be payable until employees retire, the Authority has a commitment to make the payments that need to be disclosed at the time that employees earn their future entitlement.</w:t>
      </w:r>
    </w:p>
    <w:p w14:paraId="00B2EEF7" w14:textId="77777777" w:rsidR="00B04A22" w:rsidRPr="006E7062" w:rsidRDefault="00B04A22" w:rsidP="006F1659">
      <w:pPr>
        <w:spacing w:line="360" w:lineRule="auto"/>
        <w:rPr>
          <w:rFonts w:ascii="Arial" w:hAnsi="Arial" w:cs="Arial"/>
        </w:rPr>
      </w:pPr>
    </w:p>
    <w:p w14:paraId="6B86275C" w14:textId="77777777" w:rsidR="00B04A22" w:rsidRPr="006E7062" w:rsidRDefault="00B04A22" w:rsidP="006F1659">
      <w:pPr>
        <w:spacing w:line="360" w:lineRule="auto"/>
        <w:rPr>
          <w:rFonts w:ascii="Arial" w:hAnsi="Arial" w:cs="Arial"/>
        </w:rPr>
      </w:pPr>
      <w:r w:rsidRPr="006E7062">
        <w:rPr>
          <w:rFonts w:ascii="Arial" w:hAnsi="Arial" w:cs="Arial"/>
        </w:rPr>
        <w:t xml:space="preserve">Employees of the Authority are divided </w:t>
      </w:r>
      <w:r w:rsidR="000F48B9" w:rsidRPr="006E7062">
        <w:rPr>
          <w:rFonts w:ascii="Arial" w:hAnsi="Arial" w:cs="Arial"/>
        </w:rPr>
        <w:t>betwee</w:t>
      </w:r>
      <w:r w:rsidR="00E46631" w:rsidRPr="006E7062">
        <w:rPr>
          <w:rFonts w:ascii="Arial" w:hAnsi="Arial" w:cs="Arial"/>
        </w:rPr>
        <w:t xml:space="preserve">n two separate </w:t>
      </w:r>
      <w:r w:rsidR="00EF6096" w:rsidRPr="006E7062">
        <w:rPr>
          <w:rFonts w:ascii="Arial" w:hAnsi="Arial" w:cs="Arial"/>
        </w:rPr>
        <w:t xml:space="preserve">defined benefit </w:t>
      </w:r>
      <w:r w:rsidR="00E46631" w:rsidRPr="006E7062">
        <w:rPr>
          <w:rFonts w:ascii="Arial" w:hAnsi="Arial" w:cs="Arial"/>
        </w:rPr>
        <w:t>pension schemes:</w:t>
      </w:r>
    </w:p>
    <w:p w14:paraId="14A0E604" w14:textId="77777777" w:rsidR="00E46631" w:rsidRPr="006E7062" w:rsidRDefault="00E46631" w:rsidP="006F1659">
      <w:pPr>
        <w:spacing w:line="360" w:lineRule="auto"/>
        <w:rPr>
          <w:rFonts w:ascii="Arial" w:hAnsi="Arial" w:cs="Arial"/>
        </w:rPr>
      </w:pPr>
    </w:p>
    <w:p w14:paraId="7BA4F48D" w14:textId="1153E466" w:rsidR="00E46631" w:rsidRPr="006E7062" w:rsidRDefault="00E46631" w:rsidP="006F1659">
      <w:pPr>
        <w:spacing w:line="360" w:lineRule="auto"/>
        <w:rPr>
          <w:rFonts w:ascii="Arial" w:hAnsi="Arial" w:cs="Arial"/>
        </w:rPr>
      </w:pPr>
      <w:r w:rsidRPr="006E7062">
        <w:rPr>
          <w:rFonts w:ascii="Arial" w:hAnsi="Arial" w:cs="Arial"/>
          <w:b/>
        </w:rPr>
        <w:t>The Fire</w:t>
      </w:r>
      <w:r w:rsidR="001838A2" w:rsidRPr="006E7062">
        <w:rPr>
          <w:rFonts w:ascii="Arial" w:hAnsi="Arial" w:cs="Arial"/>
          <w:b/>
        </w:rPr>
        <w:t>fighters’</w:t>
      </w:r>
      <w:r w:rsidRPr="006E7062">
        <w:rPr>
          <w:rFonts w:ascii="Arial" w:hAnsi="Arial" w:cs="Arial"/>
          <w:b/>
        </w:rPr>
        <w:t xml:space="preserve"> Pension Scheme</w:t>
      </w:r>
      <w:r w:rsidRPr="006E7062">
        <w:rPr>
          <w:rFonts w:ascii="Arial" w:hAnsi="Arial" w:cs="Arial"/>
        </w:rPr>
        <w:t xml:space="preserve"> for its uniformed firefighters - this is an unfunded scheme, meaning that there are no investment assets built up to meet the pensions liabilities, and cash has to be generated to meet actual pensions payments as they eventually fall due.</w:t>
      </w:r>
    </w:p>
    <w:p w14:paraId="0246C1E8" w14:textId="77777777" w:rsidR="006E2332" w:rsidRPr="006E7062" w:rsidRDefault="006E2332" w:rsidP="006F1659">
      <w:pPr>
        <w:spacing w:line="360" w:lineRule="auto"/>
        <w:rPr>
          <w:rFonts w:ascii="Arial" w:hAnsi="Arial" w:cs="Arial"/>
        </w:rPr>
      </w:pPr>
    </w:p>
    <w:p w14:paraId="6F899E58" w14:textId="62604D1A" w:rsidR="00E46631" w:rsidRPr="006E7062" w:rsidRDefault="00E46631" w:rsidP="006F1659">
      <w:pPr>
        <w:spacing w:line="360" w:lineRule="auto"/>
        <w:rPr>
          <w:rFonts w:ascii="Arial" w:hAnsi="Arial" w:cs="Arial"/>
        </w:rPr>
      </w:pPr>
      <w:r w:rsidRPr="006E7062">
        <w:rPr>
          <w:rFonts w:ascii="Arial" w:hAnsi="Arial" w:cs="Arial"/>
          <w:b/>
        </w:rPr>
        <w:t>The Local Government Pension Scheme</w:t>
      </w:r>
      <w:r w:rsidRPr="006E7062">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w:t>
      </w:r>
      <w:r w:rsidRPr="006E7062">
        <w:rPr>
          <w:rFonts w:ascii="Arial" w:hAnsi="Arial" w:cs="Arial"/>
        </w:rPr>
        <w:lastRenderedPageBreak/>
        <w:t xml:space="preserve">The cost of retirement benefits is recognised in the Net Cost of Services when they are earned by employees, rather than when the benefits are eventually paid as pensions. However, the charge we are required to make against </w:t>
      </w:r>
      <w:r w:rsidR="00685F1C" w:rsidRPr="006E7062">
        <w:rPr>
          <w:rFonts w:ascii="Arial" w:hAnsi="Arial" w:cs="Arial"/>
        </w:rPr>
        <w:t xml:space="preserve">grant and </w:t>
      </w:r>
      <w:r w:rsidRPr="006E7062">
        <w:rPr>
          <w:rFonts w:ascii="Arial" w:hAnsi="Arial" w:cs="Arial"/>
        </w:rPr>
        <w:t xml:space="preserve">precept income is based on the cash payable in the year, so the real cost of retirement benefits is reversed out of the </w:t>
      </w:r>
      <w:r w:rsidR="006366E3" w:rsidRPr="006E7062">
        <w:rPr>
          <w:rFonts w:ascii="Arial" w:hAnsi="Arial" w:cs="Arial"/>
        </w:rPr>
        <w:t xml:space="preserve">Comprehensive </w:t>
      </w:r>
      <w:r w:rsidRPr="006E7062">
        <w:rPr>
          <w:rFonts w:ascii="Arial" w:hAnsi="Arial" w:cs="Arial"/>
        </w:rPr>
        <w:t xml:space="preserve">Income and Expenditure Account in the </w:t>
      </w:r>
      <w:r w:rsidR="006366E3" w:rsidRPr="006E7062">
        <w:rPr>
          <w:rFonts w:ascii="Arial" w:hAnsi="Arial" w:cs="Arial"/>
        </w:rPr>
        <w:t>Movement in Reserves Statement</w:t>
      </w:r>
      <w:r w:rsidRPr="006E7062">
        <w:rPr>
          <w:rFonts w:ascii="Arial" w:hAnsi="Arial" w:cs="Arial"/>
        </w:rPr>
        <w:t>.</w:t>
      </w:r>
    </w:p>
    <w:p w14:paraId="0D8C979A" w14:textId="77777777" w:rsidR="00E46631" w:rsidRPr="006E7062" w:rsidRDefault="00E46631" w:rsidP="006F1659">
      <w:pPr>
        <w:spacing w:line="360" w:lineRule="auto"/>
        <w:rPr>
          <w:rFonts w:ascii="Arial" w:hAnsi="Arial" w:cs="Arial"/>
        </w:rPr>
      </w:pPr>
    </w:p>
    <w:p w14:paraId="5939EB0B" w14:textId="36DB05FC" w:rsidR="001F2C3F" w:rsidRPr="006E7062" w:rsidRDefault="006E2332" w:rsidP="006F1659">
      <w:pPr>
        <w:spacing w:line="360" w:lineRule="auto"/>
        <w:rPr>
          <w:rFonts w:ascii="Arial" w:hAnsi="Arial" w:cs="Arial"/>
        </w:rPr>
      </w:pPr>
      <w:r w:rsidRPr="006E7062">
        <w:rPr>
          <w:rFonts w:ascii="Arial" w:hAnsi="Arial" w:cs="Arial"/>
        </w:rPr>
        <w:t>The Authority also has responsibility for the Police Pension Scheme for police officers although this scheme is administered by the Chief Constable (Greater Manchester Pol</w:t>
      </w:r>
      <w:r w:rsidR="009771BC" w:rsidRPr="006E7062">
        <w:rPr>
          <w:rFonts w:ascii="Arial" w:hAnsi="Arial" w:cs="Arial"/>
        </w:rPr>
        <w:t>ice) on behalf of the Authority</w:t>
      </w:r>
      <w:r w:rsidR="001F2C3F" w:rsidRPr="006E7062">
        <w:rPr>
          <w:rFonts w:ascii="Arial" w:hAnsi="Arial" w:cs="Arial"/>
        </w:rPr>
        <w:t xml:space="preserve">. </w:t>
      </w:r>
      <w:r w:rsidR="006A27AB" w:rsidRPr="006E7062">
        <w:rPr>
          <w:rFonts w:ascii="Arial" w:hAnsi="Arial" w:cs="Arial"/>
        </w:rPr>
        <w:t>The entries related to this scheme are disclosed in the group accounts.</w:t>
      </w:r>
      <w:r w:rsidR="001F2C3F" w:rsidRPr="006E7062">
        <w:rPr>
          <w:rFonts w:ascii="Arial" w:hAnsi="Arial" w:cs="Arial"/>
        </w:rPr>
        <w:t xml:space="preserve"> </w:t>
      </w:r>
    </w:p>
    <w:p w14:paraId="20BAF1D5" w14:textId="77777777" w:rsidR="001F2C3F" w:rsidRPr="00914651" w:rsidRDefault="001F2C3F" w:rsidP="006F1659">
      <w:pPr>
        <w:spacing w:line="360" w:lineRule="auto"/>
        <w:rPr>
          <w:rFonts w:ascii="Arial" w:hAnsi="Arial" w:cs="Arial"/>
          <w:highlight w:val="yellow"/>
        </w:rPr>
      </w:pPr>
    </w:p>
    <w:p w14:paraId="30E3E4A3" w14:textId="4682BDFB" w:rsidR="00994706" w:rsidRPr="006E7062" w:rsidRDefault="00994706" w:rsidP="006F1659">
      <w:pPr>
        <w:spacing w:line="360" w:lineRule="auto"/>
        <w:rPr>
          <w:rFonts w:ascii="Arial" w:hAnsi="Arial" w:cs="Arial"/>
        </w:rPr>
      </w:pPr>
      <w:r w:rsidRPr="006E7062">
        <w:rPr>
          <w:rFonts w:ascii="Arial" w:hAnsi="Arial" w:cs="Arial"/>
        </w:rPr>
        <w:t xml:space="preserve">In accordance with proper </w:t>
      </w:r>
      <w:r w:rsidR="009771BC" w:rsidRPr="006E7062">
        <w:rPr>
          <w:rFonts w:ascii="Arial" w:hAnsi="Arial" w:cs="Arial"/>
        </w:rPr>
        <w:t>practices,</w:t>
      </w:r>
      <w:r w:rsidRPr="006E7062">
        <w:rPr>
          <w:rFonts w:ascii="Arial" w:hAnsi="Arial" w:cs="Arial"/>
        </w:rPr>
        <w:t xml:space="preserve"> the Authority has fully complied with the International Financial Reporting Standard IAS19 (Employee Benefits). Both Pension schemes are classified as ‘defined benefit’ schemes</w:t>
      </w:r>
      <w:r w:rsidR="00160771" w:rsidRPr="006E7062">
        <w:rPr>
          <w:rFonts w:ascii="Arial" w:hAnsi="Arial" w:cs="Arial"/>
        </w:rPr>
        <w:t xml:space="preserve"> under IAS19 and the accounting principles and their effect on the Financial Statements are explained below.</w:t>
      </w:r>
    </w:p>
    <w:p w14:paraId="3DCD609D" w14:textId="77777777" w:rsidR="00171DAF" w:rsidRPr="006E7062" w:rsidRDefault="00171DAF" w:rsidP="006F1659">
      <w:pPr>
        <w:spacing w:line="360" w:lineRule="auto"/>
        <w:rPr>
          <w:rFonts w:ascii="Arial" w:hAnsi="Arial" w:cs="Arial"/>
        </w:rPr>
      </w:pPr>
      <w:r w:rsidRPr="006E7062">
        <w:rPr>
          <w:rFonts w:ascii="Arial" w:hAnsi="Arial" w:cs="Arial"/>
        </w:rPr>
        <w:t>Employer contribution rates for the current and next year for both schemes are provided below:</w:t>
      </w:r>
    </w:p>
    <w:p w14:paraId="6AE9AB38" w14:textId="77777777" w:rsidR="00D01B03" w:rsidRPr="00914651" w:rsidRDefault="00D01B03" w:rsidP="006F1659">
      <w:pPr>
        <w:spacing w:line="360" w:lineRule="auto"/>
        <w:rPr>
          <w:rFonts w:ascii="Arial" w:hAnsi="Arial" w:cs="Arial"/>
          <w:highlight w:val="yellow"/>
        </w:rPr>
      </w:pPr>
    </w:p>
    <w:p w14:paraId="0B0034AA" w14:textId="408D84A7" w:rsidR="00160771" w:rsidRPr="00914651" w:rsidRDefault="00855296" w:rsidP="006F1659">
      <w:pPr>
        <w:spacing w:line="360" w:lineRule="auto"/>
        <w:rPr>
          <w:rFonts w:ascii="Arial" w:hAnsi="Arial" w:cs="Arial"/>
          <w:highlight w:val="yellow"/>
        </w:rPr>
      </w:pPr>
      <w:r w:rsidRPr="00D67BD6">
        <w:rPr>
          <w:noProof/>
        </w:rPr>
        <w:drawing>
          <wp:inline distT="0" distB="0" distL="0" distR="0" wp14:anchorId="4E0BF417" wp14:editId="57ECF70D">
            <wp:extent cx="5975350" cy="1141730"/>
            <wp:effectExtent l="0" t="0" r="6350" b="127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75350" cy="1141730"/>
                    </a:xfrm>
                    <a:prstGeom prst="rect">
                      <a:avLst/>
                    </a:prstGeom>
                    <a:noFill/>
                    <a:ln>
                      <a:noFill/>
                    </a:ln>
                  </pic:spPr>
                </pic:pic>
              </a:graphicData>
            </a:graphic>
          </wp:inline>
        </w:drawing>
      </w:r>
    </w:p>
    <w:p w14:paraId="207D6B5A" w14:textId="7CDB768F" w:rsidR="00B070AC" w:rsidRPr="00914651" w:rsidRDefault="00B070AC" w:rsidP="006F1659">
      <w:pPr>
        <w:spacing w:line="360" w:lineRule="auto"/>
        <w:rPr>
          <w:rFonts w:ascii="Arial" w:hAnsi="Arial" w:cs="Arial"/>
          <w:highlight w:val="yellow"/>
        </w:rPr>
      </w:pPr>
    </w:p>
    <w:p w14:paraId="7FEDDBC2" w14:textId="77777777" w:rsidR="004047A3" w:rsidRPr="006E7062" w:rsidRDefault="00D00AF4" w:rsidP="006F1659">
      <w:pPr>
        <w:pStyle w:val="Heading4bold"/>
        <w:spacing w:line="360" w:lineRule="auto"/>
      </w:pPr>
      <w:r w:rsidRPr="006E7062">
        <w:t>The Local Government Pension Scheme</w:t>
      </w:r>
    </w:p>
    <w:p w14:paraId="63148E1F" w14:textId="5E52234D" w:rsidR="00864F2C" w:rsidRPr="006E7062" w:rsidRDefault="00864F2C" w:rsidP="006F1659">
      <w:pPr>
        <w:spacing w:line="360" w:lineRule="auto"/>
        <w:rPr>
          <w:rFonts w:ascii="Arial" w:hAnsi="Arial" w:cs="Arial"/>
        </w:rPr>
      </w:pPr>
      <w:r w:rsidRPr="006E7062">
        <w:rPr>
          <w:rFonts w:ascii="Arial" w:hAnsi="Arial" w:cs="Arial"/>
        </w:rPr>
        <w:t>The Authority pays an employer's contribution into the G</w:t>
      </w:r>
      <w:r w:rsidR="00CA750E" w:rsidRPr="006E7062">
        <w:rPr>
          <w:rFonts w:ascii="Arial" w:hAnsi="Arial" w:cs="Arial"/>
        </w:rPr>
        <w:t>MPF</w:t>
      </w:r>
      <w:r w:rsidRPr="006E7062">
        <w:rPr>
          <w:rFonts w:ascii="Arial" w:hAnsi="Arial" w:cs="Arial"/>
        </w:rPr>
        <w:t>, which is a fully funded defined benefits scheme administered by Tameside Metropolitan Borough Council from whom an Annual Report is available.</w:t>
      </w:r>
    </w:p>
    <w:p w14:paraId="269D23CA" w14:textId="77777777" w:rsidR="00864F2C" w:rsidRPr="006E7062" w:rsidRDefault="00864F2C" w:rsidP="006F1659">
      <w:pPr>
        <w:spacing w:line="360" w:lineRule="auto"/>
        <w:rPr>
          <w:rFonts w:ascii="Arial" w:hAnsi="Arial" w:cs="Arial"/>
        </w:rPr>
      </w:pPr>
    </w:p>
    <w:p w14:paraId="7572BEC4" w14:textId="10211C77" w:rsidR="00864F2C" w:rsidRPr="006E7062" w:rsidRDefault="00864F2C" w:rsidP="006F1659">
      <w:pPr>
        <w:spacing w:line="360" w:lineRule="auto"/>
        <w:rPr>
          <w:rFonts w:ascii="Arial" w:hAnsi="Arial" w:cs="Arial"/>
        </w:rPr>
      </w:pPr>
      <w:r w:rsidRPr="006E7062">
        <w:rPr>
          <w:rFonts w:ascii="Arial" w:hAnsi="Arial" w:cs="Arial"/>
        </w:rPr>
        <w:t xml:space="preserve">The liabilities of the </w:t>
      </w:r>
      <w:r w:rsidR="00CA750E" w:rsidRPr="006E7062">
        <w:rPr>
          <w:rFonts w:ascii="Arial" w:hAnsi="Arial" w:cs="Arial"/>
        </w:rPr>
        <w:t>GMPF</w:t>
      </w:r>
      <w:r w:rsidRPr="006E7062">
        <w:rPr>
          <w:rFonts w:ascii="Arial" w:hAnsi="Arial" w:cs="Arial"/>
        </w:rPr>
        <w:t xml:space="preserve"> attributable to the Authority are included in the Balance Sheet on an actuarial basis using the projected unit </w:t>
      </w:r>
      <w:r w:rsidR="006A27AB" w:rsidRPr="006E7062">
        <w:rPr>
          <w:rFonts w:ascii="Arial" w:hAnsi="Arial" w:cs="Arial"/>
        </w:rPr>
        <w:t xml:space="preserve">credit </w:t>
      </w:r>
      <w:r w:rsidRPr="006E7062">
        <w:rPr>
          <w:rFonts w:ascii="Arial" w:hAnsi="Arial" w:cs="Arial"/>
        </w:rPr>
        <w:t xml:space="preserve">method, i.e. an assessment of the future payments that will be made in relation to retirement benefits earned to date by </w:t>
      </w:r>
      <w:r w:rsidRPr="006E7062">
        <w:rPr>
          <w:rFonts w:ascii="Arial" w:hAnsi="Arial" w:cs="Arial"/>
        </w:rPr>
        <w:lastRenderedPageBreak/>
        <w:t>employees, based on assumptions about mortality rates, employee turnover rates and projections of projected earnings for current employees.</w:t>
      </w:r>
    </w:p>
    <w:p w14:paraId="4E0D62DB" w14:textId="77777777" w:rsidR="00864F2C" w:rsidRPr="006E7062" w:rsidRDefault="00864F2C" w:rsidP="006F1659">
      <w:pPr>
        <w:spacing w:line="360" w:lineRule="auto"/>
        <w:rPr>
          <w:rFonts w:ascii="Arial" w:hAnsi="Arial" w:cs="Arial"/>
        </w:rPr>
      </w:pPr>
    </w:p>
    <w:p w14:paraId="72965CEC" w14:textId="77777777" w:rsidR="00864F2C" w:rsidRPr="006E7062" w:rsidRDefault="00864F2C" w:rsidP="006F1659">
      <w:pPr>
        <w:spacing w:line="360" w:lineRule="auto"/>
        <w:rPr>
          <w:rFonts w:ascii="Arial" w:hAnsi="Arial" w:cs="Arial"/>
        </w:rPr>
      </w:pPr>
      <w:r w:rsidRPr="006E7062">
        <w:rPr>
          <w:rFonts w:ascii="Arial" w:hAnsi="Arial" w:cs="Arial"/>
        </w:rPr>
        <w:t>Liabilities are discounted to their value at current prices, (based on the indicative rate of return on high quality corporate bonds).</w:t>
      </w:r>
    </w:p>
    <w:p w14:paraId="0D77C31F" w14:textId="77777777" w:rsidR="00864F2C" w:rsidRPr="006E7062" w:rsidRDefault="00864F2C" w:rsidP="006F1659">
      <w:pPr>
        <w:spacing w:line="360" w:lineRule="auto"/>
        <w:rPr>
          <w:rFonts w:ascii="Arial" w:hAnsi="Arial" w:cs="Arial"/>
        </w:rPr>
      </w:pPr>
    </w:p>
    <w:p w14:paraId="468539A1" w14:textId="614DC364" w:rsidR="00864F2C" w:rsidRPr="006E7062" w:rsidRDefault="00864F2C" w:rsidP="006F1659">
      <w:pPr>
        <w:spacing w:line="360" w:lineRule="auto"/>
        <w:rPr>
          <w:rFonts w:ascii="Arial" w:hAnsi="Arial" w:cs="Arial"/>
        </w:rPr>
      </w:pPr>
      <w:r w:rsidRPr="006E7062">
        <w:rPr>
          <w:rFonts w:ascii="Arial" w:hAnsi="Arial" w:cs="Arial"/>
        </w:rPr>
        <w:t xml:space="preserve">The assets of the </w:t>
      </w:r>
      <w:r w:rsidR="00CA750E" w:rsidRPr="006E7062">
        <w:rPr>
          <w:rFonts w:ascii="Arial" w:hAnsi="Arial" w:cs="Arial"/>
        </w:rPr>
        <w:t>GMPF</w:t>
      </w:r>
      <w:r w:rsidRPr="006E7062">
        <w:rPr>
          <w:rFonts w:ascii="Arial" w:hAnsi="Arial" w:cs="Arial"/>
        </w:rPr>
        <w:t xml:space="preserve"> attributable to the Authority are included in the Balance Sheet at their fair value, as follows:</w:t>
      </w:r>
    </w:p>
    <w:p w14:paraId="0000A644" w14:textId="77777777" w:rsidR="00D5311B" w:rsidRPr="006E7062" w:rsidRDefault="00D5311B" w:rsidP="006F1659">
      <w:pPr>
        <w:spacing w:line="360" w:lineRule="auto"/>
        <w:rPr>
          <w:rFonts w:ascii="Arial" w:hAnsi="Arial" w:cs="Arial"/>
        </w:rPr>
      </w:pPr>
    </w:p>
    <w:p w14:paraId="33F72AD6"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Quoted securities – current bid price</w:t>
      </w:r>
    </w:p>
    <w:p w14:paraId="2C332D0F"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Unquoted securities – professional estimate</w:t>
      </w:r>
    </w:p>
    <w:p w14:paraId="42546D7E"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Unitised securities – current bid price</w:t>
      </w:r>
    </w:p>
    <w:p w14:paraId="3BF95AD5"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Property – market value.</w:t>
      </w:r>
    </w:p>
    <w:p w14:paraId="681E71F9" w14:textId="77777777" w:rsidR="00864F2C" w:rsidRPr="006E7062" w:rsidRDefault="00864F2C" w:rsidP="006F1659">
      <w:pPr>
        <w:spacing w:line="360" w:lineRule="auto"/>
        <w:rPr>
          <w:rFonts w:ascii="Arial" w:hAnsi="Arial" w:cs="Arial"/>
        </w:rPr>
      </w:pPr>
      <w:r w:rsidRPr="006E7062">
        <w:rPr>
          <w:rFonts w:ascii="Arial" w:hAnsi="Arial" w:cs="Arial"/>
        </w:rPr>
        <w:t>The change in the net pension’s liability is analysed into seven components:</w:t>
      </w:r>
    </w:p>
    <w:p w14:paraId="73073A11" w14:textId="77777777" w:rsidR="006E2332" w:rsidRPr="006E7062" w:rsidRDefault="006E2332" w:rsidP="006F1659">
      <w:pPr>
        <w:spacing w:line="360" w:lineRule="auto"/>
        <w:rPr>
          <w:rFonts w:ascii="Arial" w:hAnsi="Arial" w:cs="Arial"/>
        </w:rPr>
      </w:pPr>
    </w:p>
    <w:p w14:paraId="774B8B7E" w14:textId="77777777"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Current service cost</w:t>
      </w:r>
      <w:r w:rsidRPr="006E7062">
        <w:rPr>
          <w:rFonts w:ascii="Arial" w:hAnsi="Arial" w:cs="Arial"/>
          <w:sz w:val="24"/>
          <w:szCs w:val="24"/>
        </w:rPr>
        <w:t xml:space="preserve"> – the increase in liabilities as a result of years of service earned this year. This is allocated in the Comprehensive Income and Expenditure Statement to the revenue accounts of services for which the employees worked.</w:t>
      </w:r>
    </w:p>
    <w:p w14:paraId="28336194" w14:textId="4A04E708"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Past service cost</w:t>
      </w:r>
      <w:r w:rsidRPr="006E7062">
        <w:rPr>
          <w:rFonts w:ascii="Arial" w:hAnsi="Arial" w:cs="Arial"/>
          <w:sz w:val="24"/>
          <w:szCs w:val="24"/>
        </w:rPr>
        <w:t xml:space="preserve"> – the increase in liabilities arising from current year decisions whose effect relates to years of service earned in earlier years. This is debited to the surplus or deficit on the provision of services in the Comprehensive I</w:t>
      </w:r>
      <w:r w:rsidR="00744363" w:rsidRPr="006E7062">
        <w:rPr>
          <w:rFonts w:ascii="Arial" w:hAnsi="Arial" w:cs="Arial"/>
          <w:sz w:val="24"/>
          <w:szCs w:val="24"/>
        </w:rPr>
        <w:t>ncome and Expenditure Statement</w:t>
      </w:r>
      <w:r w:rsidRPr="006E7062">
        <w:rPr>
          <w:rFonts w:ascii="Arial" w:hAnsi="Arial" w:cs="Arial"/>
          <w:sz w:val="24"/>
          <w:szCs w:val="24"/>
        </w:rPr>
        <w:t>.</w:t>
      </w:r>
    </w:p>
    <w:p w14:paraId="56332788" w14:textId="77777777"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Interest cost</w:t>
      </w:r>
      <w:r w:rsidRPr="006E7062">
        <w:rPr>
          <w:rFonts w:ascii="Arial" w:hAnsi="Arial" w:cs="Arial"/>
          <w:sz w:val="24"/>
          <w:szCs w:val="24"/>
        </w:rPr>
        <w:t xml:space="preserve"> – the expected increase in the present value of liabilities during the year as they move one year closer to being paid. This is debited to Financing and Investment Income and Expenditure Line in the Comprehensive Income and Expenditure Statement.</w:t>
      </w:r>
    </w:p>
    <w:p w14:paraId="0380722A" w14:textId="77777777" w:rsidR="00864F2C" w:rsidRPr="006E7062"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G</w:t>
      </w:r>
      <w:r w:rsidR="00864F2C" w:rsidRPr="006E7062">
        <w:rPr>
          <w:rFonts w:ascii="Arial" w:hAnsi="Arial" w:cs="Arial"/>
          <w:b/>
          <w:sz w:val="24"/>
          <w:szCs w:val="24"/>
        </w:rPr>
        <w:t>ains/losses on settlements and curtailments</w:t>
      </w:r>
      <w:r w:rsidR="00864F2C" w:rsidRPr="006E7062">
        <w:rPr>
          <w:rFonts w:ascii="Arial" w:hAnsi="Arial" w:cs="Arial"/>
          <w:sz w:val="24"/>
          <w:szCs w:val="24"/>
        </w:rPr>
        <w:t xml:space="preserve"> – the result of actions to relieve the Authority of liabilities or events that reduce the expected future service or accrual of benefits of employees. This is debited or credited to the surplus or deficit on the provision of services in the Comprehensive Income and Expenditure Statement.</w:t>
      </w:r>
    </w:p>
    <w:p w14:paraId="71A85BFE" w14:textId="4D18E495" w:rsidR="00864F2C" w:rsidRPr="006E7062" w:rsidRDefault="00B33006"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Interest on scheme assets</w:t>
      </w:r>
      <w:r w:rsidR="00864F2C" w:rsidRPr="006E7062">
        <w:rPr>
          <w:rFonts w:ascii="Arial" w:hAnsi="Arial" w:cs="Arial"/>
          <w:sz w:val="24"/>
          <w:szCs w:val="24"/>
        </w:rPr>
        <w:t xml:space="preserve"> – the annual investment return on the fund assets attributable to the Authority, based on an average of the expected long</w:t>
      </w:r>
      <w:r w:rsidR="00F3496D">
        <w:rPr>
          <w:rFonts w:ascii="Arial" w:hAnsi="Arial" w:cs="Arial"/>
          <w:sz w:val="24"/>
          <w:szCs w:val="24"/>
        </w:rPr>
        <w:t xml:space="preserve"> </w:t>
      </w:r>
      <w:r w:rsidR="00864F2C" w:rsidRPr="006E7062">
        <w:rPr>
          <w:rFonts w:ascii="Arial" w:hAnsi="Arial" w:cs="Arial"/>
          <w:sz w:val="24"/>
          <w:szCs w:val="24"/>
        </w:rPr>
        <w:t xml:space="preserve">term </w:t>
      </w:r>
      <w:r w:rsidR="00864F2C" w:rsidRPr="006E7062">
        <w:rPr>
          <w:rFonts w:ascii="Arial" w:hAnsi="Arial" w:cs="Arial"/>
          <w:sz w:val="24"/>
          <w:szCs w:val="24"/>
        </w:rPr>
        <w:lastRenderedPageBreak/>
        <w:t>return. This is credited to Financing and Investment Line in the Comprehensive Income and Expenditure Statement.</w:t>
      </w:r>
    </w:p>
    <w:p w14:paraId="62DE1BF4" w14:textId="4153074F" w:rsidR="0065752F" w:rsidRPr="006E7062"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A</w:t>
      </w:r>
      <w:r w:rsidR="00864F2C" w:rsidRPr="006E7062">
        <w:rPr>
          <w:rFonts w:ascii="Arial" w:hAnsi="Arial" w:cs="Arial"/>
          <w:b/>
          <w:sz w:val="24"/>
          <w:szCs w:val="24"/>
        </w:rPr>
        <w:t>ctuarial gains and losses</w:t>
      </w:r>
      <w:r w:rsidR="00864F2C" w:rsidRPr="006E7062">
        <w:rPr>
          <w:rFonts w:ascii="Arial" w:hAnsi="Arial" w:cs="Arial"/>
          <w:sz w:val="24"/>
          <w:szCs w:val="24"/>
        </w:rPr>
        <w:t xml:space="preserve"> – changes in the net pensions liability that arise because events have not coincided with assumptions made at the last actuarial valuation or because the actuaries have updated their assumptions – debited to the Pensions Reserve. </w:t>
      </w:r>
    </w:p>
    <w:p w14:paraId="7DE34311" w14:textId="77777777" w:rsidR="00864F2C"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C</w:t>
      </w:r>
      <w:r w:rsidR="00864F2C" w:rsidRPr="006E7062">
        <w:rPr>
          <w:rFonts w:ascii="Arial" w:hAnsi="Arial" w:cs="Arial"/>
          <w:b/>
          <w:sz w:val="24"/>
          <w:szCs w:val="24"/>
        </w:rPr>
        <w:t>ontributions paid to the pension fund</w:t>
      </w:r>
      <w:r w:rsidR="00864F2C" w:rsidRPr="006E7062">
        <w:rPr>
          <w:rFonts w:ascii="Arial" w:hAnsi="Arial" w:cs="Arial"/>
          <w:sz w:val="24"/>
          <w:szCs w:val="24"/>
        </w:rPr>
        <w:t xml:space="preserve"> – cash paid as employer’s contributions to the fund.</w:t>
      </w:r>
    </w:p>
    <w:p w14:paraId="4D37CFDF" w14:textId="77777777" w:rsidR="006E7062" w:rsidRDefault="006E7062" w:rsidP="006F1659">
      <w:pPr>
        <w:pStyle w:val="ListParagraph"/>
        <w:spacing w:line="360" w:lineRule="auto"/>
        <w:rPr>
          <w:rFonts w:ascii="Arial" w:hAnsi="Arial" w:cs="Arial"/>
          <w:b/>
          <w:sz w:val="24"/>
          <w:szCs w:val="24"/>
        </w:rPr>
      </w:pPr>
    </w:p>
    <w:p w14:paraId="1347068A" w14:textId="77777777" w:rsidR="006E7062" w:rsidRPr="006E7062" w:rsidRDefault="006E7062" w:rsidP="006F1659">
      <w:pPr>
        <w:pStyle w:val="ListParagraph"/>
        <w:spacing w:line="360" w:lineRule="auto"/>
        <w:ind w:left="0"/>
        <w:rPr>
          <w:rFonts w:ascii="Arial" w:hAnsi="Arial" w:cs="Arial"/>
          <w:sz w:val="24"/>
          <w:szCs w:val="24"/>
          <w:lang w:eastAsia="en-US"/>
        </w:rPr>
      </w:pPr>
      <w:r w:rsidRPr="006E7062">
        <w:rPr>
          <w:rFonts w:ascii="Arial" w:hAnsi="Arial" w:cs="Arial"/>
          <w:sz w:val="24"/>
          <w:szCs w:val="24"/>
          <w:lang w:eastAsia="en-US"/>
        </w:rPr>
        <w:t>In 2022/23 there is an eighth component in relation to a requirement to calculate an asset ceiling. IAS19 states that where an entity has a surplus in a defined benefit pension plan, then it should measure the net defined benefit of the assets at the lower of:</w:t>
      </w:r>
    </w:p>
    <w:p w14:paraId="78C7AF3A" w14:textId="77777777" w:rsidR="006E7062" w:rsidRPr="006E7062" w:rsidRDefault="006E7062" w:rsidP="006F1659">
      <w:pPr>
        <w:pStyle w:val="ListParagraph"/>
        <w:numPr>
          <w:ilvl w:val="0"/>
          <w:numId w:val="64"/>
        </w:numPr>
        <w:spacing w:line="360" w:lineRule="auto"/>
        <w:rPr>
          <w:rFonts w:ascii="Arial" w:hAnsi="Arial" w:cs="Arial"/>
          <w:sz w:val="24"/>
          <w:szCs w:val="24"/>
          <w:lang w:eastAsia="en-US"/>
        </w:rPr>
      </w:pPr>
      <w:r w:rsidRPr="006E7062">
        <w:rPr>
          <w:rFonts w:ascii="Arial" w:hAnsi="Arial" w:cs="Arial"/>
          <w:sz w:val="24"/>
          <w:szCs w:val="24"/>
          <w:lang w:eastAsia="en-US"/>
        </w:rPr>
        <w:t>The surplus identified in the plan, or</w:t>
      </w:r>
    </w:p>
    <w:p w14:paraId="1F9A35AA" w14:textId="77777777" w:rsidR="006E7062" w:rsidRPr="006E7062" w:rsidRDefault="006E7062" w:rsidP="006F1659">
      <w:pPr>
        <w:pStyle w:val="ListParagraph"/>
        <w:numPr>
          <w:ilvl w:val="0"/>
          <w:numId w:val="64"/>
        </w:numPr>
        <w:spacing w:line="360" w:lineRule="auto"/>
        <w:rPr>
          <w:rFonts w:ascii="Arial" w:hAnsi="Arial" w:cs="Arial"/>
          <w:sz w:val="24"/>
          <w:szCs w:val="24"/>
          <w:lang w:eastAsia="en-US"/>
        </w:rPr>
      </w:pPr>
      <w:r w:rsidRPr="006E7062">
        <w:rPr>
          <w:rFonts w:ascii="Arial" w:hAnsi="Arial" w:cs="Arial"/>
          <w:sz w:val="24"/>
          <w:szCs w:val="24"/>
          <w:lang w:eastAsia="en-US"/>
        </w:rPr>
        <w:t xml:space="preserve">The asset ceiling </w:t>
      </w:r>
    </w:p>
    <w:p w14:paraId="7A097C51" w14:textId="77777777" w:rsidR="006E7062" w:rsidRPr="006E7062" w:rsidRDefault="006E7062" w:rsidP="006F1659">
      <w:pPr>
        <w:spacing w:line="360" w:lineRule="auto"/>
        <w:rPr>
          <w:rFonts w:ascii="Arial" w:hAnsi="Arial" w:cs="Arial"/>
        </w:rPr>
      </w:pPr>
      <w:r w:rsidRPr="006E7062">
        <w:rPr>
          <w:rFonts w:ascii="Arial" w:hAnsi="Arial" w:cs="Arial"/>
        </w:rPr>
        <w:t>Hymans Robertson LLP as our actuary have carried out the asset ceiling calculation for the 2022/23 accounts on the following basis:</w:t>
      </w:r>
    </w:p>
    <w:p w14:paraId="58F32D27" w14:textId="77777777" w:rsidR="006E7062" w:rsidRPr="006E7062" w:rsidRDefault="006E7062" w:rsidP="006F1659">
      <w:pPr>
        <w:spacing w:line="360" w:lineRule="auto"/>
        <w:rPr>
          <w:rFonts w:ascii="Arial" w:hAnsi="Arial" w:cs="Arial"/>
        </w:rPr>
      </w:pPr>
    </w:p>
    <w:p w14:paraId="61FCEC36" w14:textId="77777777" w:rsidR="00970BA2" w:rsidRDefault="006E7062" w:rsidP="006F1659">
      <w:pPr>
        <w:spacing w:line="360" w:lineRule="auto"/>
        <w:ind w:left="720"/>
        <w:rPr>
          <w:rFonts w:ascii="Arial" w:hAnsi="Arial" w:cs="Arial"/>
        </w:rPr>
      </w:pPr>
      <w:r w:rsidRPr="006E7062">
        <w:rPr>
          <w:rFonts w:ascii="Arial" w:hAnsi="Arial" w:cs="Arial"/>
        </w:rPr>
        <w:t xml:space="preserve">Net present value of (employer) future service costs over the future working lifetime </w:t>
      </w:r>
    </w:p>
    <w:p w14:paraId="04182995" w14:textId="08E8B1E2" w:rsidR="006E7062" w:rsidRPr="006E7062" w:rsidRDefault="006E7062" w:rsidP="006F1659">
      <w:pPr>
        <w:spacing w:line="360" w:lineRule="auto"/>
        <w:ind w:left="720"/>
        <w:rPr>
          <w:rFonts w:ascii="Arial" w:hAnsi="Arial" w:cs="Arial"/>
        </w:rPr>
      </w:pPr>
      <w:r w:rsidRPr="006E7062">
        <w:rPr>
          <w:rFonts w:ascii="Arial" w:hAnsi="Arial" w:cs="Arial"/>
        </w:rPr>
        <w:t>‘less’</w:t>
      </w:r>
    </w:p>
    <w:p w14:paraId="2DFFE8A3" w14:textId="77777777" w:rsidR="006E7062" w:rsidRPr="006E7062" w:rsidRDefault="006E7062" w:rsidP="006F1659">
      <w:pPr>
        <w:spacing w:line="360" w:lineRule="auto"/>
        <w:ind w:left="720"/>
        <w:rPr>
          <w:rFonts w:ascii="Arial" w:hAnsi="Arial" w:cs="Arial"/>
        </w:rPr>
      </w:pPr>
      <w:r w:rsidRPr="006E7062">
        <w:rPr>
          <w:rFonts w:ascii="Arial" w:hAnsi="Arial" w:cs="Arial"/>
        </w:rPr>
        <w:t>Net present value of (employer) future contributions over the future working lifetime</w:t>
      </w:r>
    </w:p>
    <w:p w14:paraId="4D8C6ED6" w14:textId="77777777" w:rsidR="006E7062" w:rsidRPr="006E7062" w:rsidRDefault="006E7062" w:rsidP="006F1659">
      <w:pPr>
        <w:pStyle w:val="ListParagraph"/>
        <w:spacing w:line="360" w:lineRule="auto"/>
        <w:ind w:left="0"/>
        <w:rPr>
          <w:rFonts w:ascii="Arial" w:hAnsi="Arial" w:cs="Arial"/>
          <w:sz w:val="24"/>
          <w:szCs w:val="24"/>
          <w:lang w:eastAsia="en-US"/>
        </w:rPr>
      </w:pPr>
    </w:p>
    <w:p w14:paraId="1F84D55F" w14:textId="1FDAFDEB" w:rsidR="006E7062" w:rsidRPr="006E7062" w:rsidRDefault="006E7062" w:rsidP="006F1659">
      <w:pPr>
        <w:pStyle w:val="ListParagraph"/>
        <w:spacing w:line="360" w:lineRule="auto"/>
        <w:ind w:left="0"/>
        <w:rPr>
          <w:rFonts w:ascii="Arial" w:hAnsi="Arial" w:cs="Arial"/>
          <w:sz w:val="24"/>
          <w:szCs w:val="24"/>
          <w:lang w:eastAsia="en-US"/>
        </w:rPr>
      </w:pPr>
      <w:r w:rsidRPr="006E7062">
        <w:rPr>
          <w:rFonts w:ascii="Arial" w:hAnsi="Arial" w:cs="Arial"/>
          <w:sz w:val="24"/>
          <w:szCs w:val="24"/>
          <w:lang w:eastAsia="en-US"/>
        </w:rPr>
        <w:t>The impact of the above has resulted in an £</w:t>
      </w:r>
      <w:r w:rsidR="00191574">
        <w:rPr>
          <w:rFonts w:ascii="Arial" w:hAnsi="Arial" w:cs="Arial"/>
          <w:sz w:val="24"/>
          <w:szCs w:val="24"/>
          <w:lang w:eastAsia="en-US"/>
        </w:rPr>
        <w:t>75.5</w:t>
      </w:r>
      <w:r w:rsidRPr="006E7062">
        <w:rPr>
          <w:rFonts w:ascii="Arial" w:hAnsi="Arial" w:cs="Arial"/>
          <w:sz w:val="24"/>
          <w:szCs w:val="24"/>
          <w:lang w:eastAsia="en-US"/>
        </w:rPr>
        <w:t xml:space="preserve">m adjustment to the accounts by applying the asset ceiling, resulting in a surplus net </w:t>
      </w:r>
      <w:r w:rsidR="00970BA2">
        <w:rPr>
          <w:rFonts w:ascii="Arial" w:hAnsi="Arial" w:cs="Arial"/>
          <w:sz w:val="24"/>
          <w:szCs w:val="24"/>
          <w:lang w:eastAsia="en-US"/>
        </w:rPr>
        <w:t xml:space="preserve">pension </w:t>
      </w:r>
      <w:r w:rsidRPr="006E7062">
        <w:rPr>
          <w:rFonts w:ascii="Arial" w:hAnsi="Arial" w:cs="Arial"/>
          <w:sz w:val="24"/>
          <w:szCs w:val="24"/>
          <w:lang w:eastAsia="en-US"/>
        </w:rPr>
        <w:t>asset of £6</w:t>
      </w:r>
      <w:r w:rsidR="00191574">
        <w:rPr>
          <w:rFonts w:ascii="Arial" w:hAnsi="Arial" w:cs="Arial"/>
          <w:sz w:val="24"/>
          <w:szCs w:val="24"/>
          <w:lang w:eastAsia="en-US"/>
        </w:rPr>
        <w:t>k</w:t>
      </w:r>
      <w:r w:rsidRPr="006E7062">
        <w:rPr>
          <w:rFonts w:ascii="Arial" w:hAnsi="Arial" w:cs="Arial"/>
          <w:sz w:val="24"/>
          <w:szCs w:val="24"/>
          <w:lang w:eastAsia="en-US"/>
        </w:rPr>
        <w:t>.</w:t>
      </w:r>
    </w:p>
    <w:p w14:paraId="1290E4CE" w14:textId="069FE293" w:rsidR="00864F2C" w:rsidRPr="006E7062" w:rsidRDefault="00864F2C" w:rsidP="006F1659">
      <w:pPr>
        <w:spacing w:line="360" w:lineRule="auto"/>
        <w:rPr>
          <w:rFonts w:ascii="Arial" w:hAnsi="Arial" w:cs="Arial"/>
        </w:rPr>
      </w:pPr>
      <w:r w:rsidRPr="006E7062">
        <w:rPr>
          <w:rFonts w:ascii="Arial" w:hAnsi="Arial" w:cs="Arial"/>
        </w:rPr>
        <w:t xml:space="preserve">In relation to retirement benefits, statutory provisions require the General Fund Balance to be charged with the amount payable by the </w:t>
      </w:r>
      <w:r w:rsidR="00C64AE4" w:rsidRPr="006E7062">
        <w:rPr>
          <w:rFonts w:ascii="Arial" w:hAnsi="Arial" w:cs="Arial"/>
        </w:rPr>
        <w:t>Authority</w:t>
      </w:r>
      <w:r w:rsidRPr="006E7062">
        <w:rPr>
          <w:rFonts w:ascii="Arial" w:hAnsi="Arial" w:cs="Arial"/>
        </w:rPr>
        <w:t xml:space="preserve">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w:t>
      </w:r>
      <w:r w:rsidRPr="006E7062">
        <w:rPr>
          <w:rFonts w:ascii="Arial" w:hAnsi="Arial" w:cs="Arial"/>
        </w:rPr>
        <w:lastRenderedPageBreak/>
        <w:t>pension fund and pensioners and any such amounts payable but unpaid at the year-end.</w:t>
      </w:r>
      <w:r w:rsidR="00C64AE4" w:rsidRPr="006E7062">
        <w:rPr>
          <w:rFonts w:ascii="Arial" w:hAnsi="Arial" w:cs="Arial"/>
        </w:rPr>
        <w:t xml:space="preserve"> </w:t>
      </w:r>
      <w:r w:rsidRPr="006E7062">
        <w:rPr>
          <w:rFonts w:ascii="Arial" w:hAnsi="Arial" w:cs="Arial"/>
        </w:rPr>
        <w:t>The negative balance that arises on the Pensions Reserve thereby measures the beneficial impact to the General Fund of being required to account for retirement benefits on the basis of cash flows rather than as benefits are earned by employees.</w:t>
      </w:r>
    </w:p>
    <w:p w14:paraId="5BA66F9A" w14:textId="77777777" w:rsidR="0065752F" w:rsidRPr="00914651" w:rsidRDefault="0065752F" w:rsidP="006F1659">
      <w:pPr>
        <w:spacing w:line="360" w:lineRule="auto"/>
        <w:rPr>
          <w:rFonts w:ascii="Arial" w:hAnsi="Arial" w:cs="Arial"/>
          <w:highlight w:val="yellow"/>
        </w:rPr>
      </w:pPr>
    </w:p>
    <w:p w14:paraId="07DF951B" w14:textId="372F9A1E" w:rsidR="00B91632" w:rsidRDefault="00864F2C" w:rsidP="006F1659">
      <w:pPr>
        <w:spacing w:line="360" w:lineRule="auto"/>
        <w:rPr>
          <w:rFonts w:ascii="Arial" w:hAnsi="Arial" w:cs="Arial"/>
        </w:rPr>
      </w:pPr>
      <w:r w:rsidRPr="006E7062">
        <w:rPr>
          <w:rFonts w:ascii="Arial" w:hAnsi="Arial" w:cs="Arial"/>
        </w:rPr>
        <w:t>Under IAS19 any obligation arising from other long</w:t>
      </w:r>
      <w:r w:rsidR="00F3496D">
        <w:rPr>
          <w:rFonts w:ascii="Arial" w:hAnsi="Arial" w:cs="Arial"/>
        </w:rPr>
        <w:t xml:space="preserve"> </w:t>
      </w:r>
      <w:r w:rsidRPr="006E7062">
        <w:rPr>
          <w:rFonts w:ascii="Arial" w:hAnsi="Arial" w:cs="Arial"/>
        </w:rPr>
        <w:t>term employee benefits that depend on length of service need to be recognised when service is rendered, which for the Authority now includes Injury Awards.</w:t>
      </w:r>
    </w:p>
    <w:p w14:paraId="07664E22" w14:textId="77777777" w:rsidR="006949CD" w:rsidRPr="006E7062" w:rsidRDefault="006949CD" w:rsidP="006F1659">
      <w:pPr>
        <w:spacing w:line="360" w:lineRule="auto"/>
        <w:rPr>
          <w:rFonts w:ascii="Arial" w:hAnsi="Arial" w:cs="Arial"/>
        </w:rPr>
      </w:pPr>
    </w:p>
    <w:p w14:paraId="2F17170C" w14:textId="4B9A84CD" w:rsidR="009771BC" w:rsidRPr="006E7062" w:rsidRDefault="009771BC" w:rsidP="006F1659">
      <w:pPr>
        <w:pStyle w:val="Heading4bold"/>
        <w:spacing w:line="360" w:lineRule="auto"/>
      </w:pPr>
      <w:r w:rsidRPr="006E7062">
        <w:t>The McCloud / Sarge</w:t>
      </w:r>
      <w:r w:rsidR="001F2C3F" w:rsidRPr="006E7062">
        <w:t>a</w:t>
      </w:r>
      <w:r w:rsidRPr="006E7062">
        <w:t>nt Judgement</w:t>
      </w:r>
    </w:p>
    <w:p w14:paraId="08B6F819" w14:textId="3EE49E3C" w:rsidR="009332EA" w:rsidRPr="006E7062" w:rsidRDefault="009332EA" w:rsidP="006F1659">
      <w:pPr>
        <w:pStyle w:val="Heading5"/>
        <w:spacing w:line="360" w:lineRule="auto"/>
        <w:rPr>
          <w:lang w:eastAsia="en-GB"/>
        </w:rPr>
      </w:pPr>
      <w:r w:rsidRPr="006E7062">
        <w:rPr>
          <w:lang w:eastAsia="en-GB"/>
        </w:rPr>
        <w:t xml:space="preserve">Firefighters </w:t>
      </w:r>
      <w:r w:rsidR="006E7062">
        <w:rPr>
          <w:lang w:eastAsia="en-GB"/>
        </w:rPr>
        <w:t>S</w:t>
      </w:r>
      <w:r w:rsidRPr="006E7062">
        <w:rPr>
          <w:lang w:eastAsia="en-GB"/>
        </w:rPr>
        <w:t>cheme</w:t>
      </w:r>
    </w:p>
    <w:p w14:paraId="116530D2" w14:textId="77777777" w:rsidR="006E7062" w:rsidRPr="006E7062" w:rsidRDefault="006E7062" w:rsidP="006F1659">
      <w:pPr>
        <w:spacing w:before="120" w:line="360" w:lineRule="auto"/>
        <w:rPr>
          <w:rFonts w:ascii="Arial" w:hAnsi="Arial" w:cs="Arial"/>
          <w:color w:val="000000"/>
          <w:szCs w:val="18"/>
          <w:lang w:eastAsia="en-GB"/>
        </w:rPr>
      </w:pPr>
      <w:r w:rsidRPr="006E7062">
        <w:rPr>
          <w:rFonts w:ascii="Arial" w:hAnsi="Arial" w:cs="Arial"/>
          <w:color w:val="000000"/>
          <w:szCs w:val="18"/>
          <w:lang w:eastAsia="en-GB"/>
        </w:rPr>
        <w:t>Claims of age discrimination were brought in relation to the terms of transitional protection by groups of firefighters and members of the Judiciary in the McCloud / Sargeant 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 The cost cap mechanism for the 2016 valuation has since been un-paused and the calculations complete, with the outcome being no changes to benefits or contributions.</w:t>
      </w:r>
    </w:p>
    <w:p w14:paraId="720EA86D" w14:textId="77777777" w:rsidR="006E7062" w:rsidRPr="006E7062" w:rsidRDefault="006E7062" w:rsidP="006F1659">
      <w:pPr>
        <w:spacing w:line="360" w:lineRule="auto"/>
        <w:rPr>
          <w:rFonts w:ascii="Arial" w:hAnsi="Arial" w:cs="Arial"/>
          <w:color w:val="000000"/>
          <w:szCs w:val="18"/>
          <w:lang w:eastAsia="en-GB"/>
        </w:rPr>
      </w:pPr>
    </w:p>
    <w:p w14:paraId="37604A05" w14:textId="045D433A" w:rsidR="006E7062" w:rsidRPr="006E7062" w:rsidRDefault="006E7062" w:rsidP="006F1659">
      <w:pPr>
        <w:spacing w:line="360" w:lineRule="auto"/>
        <w:rPr>
          <w:rFonts w:ascii="Arial" w:hAnsi="Arial" w:cs="Arial"/>
          <w:color w:val="000000"/>
          <w:szCs w:val="18"/>
          <w:lang w:eastAsia="en-GB"/>
        </w:rPr>
      </w:pPr>
      <w:r w:rsidRPr="006E7062">
        <w:rPr>
          <w:rFonts w:ascii="Arial" w:hAnsi="Arial" w:cs="Arial"/>
          <w:color w:val="000000"/>
          <w:szCs w:val="18"/>
          <w:lang w:eastAsia="en-GB"/>
        </w:rPr>
        <w:t xml:space="preserve">The treatment of the deferred choice underpin as a member cost for cost cap purposes, along with the </w:t>
      </w:r>
      <w:r w:rsidR="00970BA2">
        <w:rPr>
          <w:rFonts w:ascii="Arial" w:hAnsi="Arial" w:cs="Arial"/>
          <w:color w:val="000000"/>
          <w:szCs w:val="18"/>
          <w:lang w:eastAsia="en-GB"/>
        </w:rPr>
        <w:t>four</w:t>
      </w:r>
      <w:r w:rsidRPr="006E7062">
        <w:rPr>
          <w:rFonts w:ascii="Arial" w:hAnsi="Arial" w:cs="Arial"/>
          <w:color w:val="000000"/>
          <w:szCs w:val="18"/>
          <w:lang w:eastAsia="en-GB"/>
        </w:rPr>
        <w:t xml:space="preserve"> year spreading period, was challenged in a judicial </w:t>
      </w:r>
      <w:r w:rsidR="00970BA2">
        <w:rPr>
          <w:rFonts w:ascii="Arial" w:hAnsi="Arial" w:cs="Arial"/>
          <w:color w:val="000000"/>
          <w:szCs w:val="18"/>
          <w:lang w:eastAsia="en-GB"/>
        </w:rPr>
        <w:t>r</w:t>
      </w:r>
      <w:r w:rsidRPr="006E7062">
        <w:rPr>
          <w:rFonts w:ascii="Arial" w:hAnsi="Arial" w:cs="Arial"/>
          <w:color w:val="000000"/>
          <w:szCs w:val="18"/>
          <w:lang w:eastAsia="en-GB"/>
        </w:rPr>
        <w:t>eview which was heard in early 2023. The claims made in the Judicial Review were dismissed by the High Court, in a judgement handed down on Friday</w:t>
      </w:r>
      <w:r w:rsidR="00970BA2">
        <w:rPr>
          <w:rFonts w:ascii="Arial" w:hAnsi="Arial" w:cs="Arial"/>
          <w:color w:val="000000"/>
          <w:szCs w:val="18"/>
          <w:lang w:eastAsia="en-GB"/>
        </w:rPr>
        <w:t xml:space="preserve"> </w:t>
      </w:r>
      <w:r w:rsidRPr="006E7062">
        <w:rPr>
          <w:rFonts w:ascii="Arial" w:hAnsi="Arial" w:cs="Arial"/>
          <w:color w:val="000000"/>
          <w:szCs w:val="18"/>
          <w:lang w:eastAsia="en-GB"/>
        </w:rPr>
        <w:t>10 March 2023. No allowance has therefore been made in our accounting disclosures as at 31 March 2023.</w:t>
      </w:r>
    </w:p>
    <w:p w14:paraId="41FE1B53" w14:textId="4C6B0D9A" w:rsidR="00BC3701" w:rsidRDefault="00BC3701" w:rsidP="006F1659">
      <w:pPr>
        <w:spacing w:line="360" w:lineRule="auto"/>
        <w:rPr>
          <w:rFonts w:ascii="Arial" w:hAnsi="Arial" w:cs="Arial"/>
          <w:color w:val="000000"/>
          <w:szCs w:val="18"/>
          <w:highlight w:val="yellow"/>
          <w:lang w:eastAsia="en-GB"/>
        </w:rPr>
      </w:pPr>
    </w:p>
    <w:p w14:paraId="79B14215" w14:textId="77777777" w:rsidR="006E7062" w:rsidRPr="006E7062" w:rsidRDefault="006E7062" w:rsidP="006F1659">
      <w:pPr>
        <w:pStyle w:val="Heading5"/>
        <w:spacing w:line="360" w:lineRule="auto"/>
        <w:rPr>
          <w:lang w:eastAsia="en-GB"/>
        </w:rPr>
      </w:pPr>
      <w:r w:rsidRPr="006E7062">
        <w:rPr>
          <w:lang w:eastAsia="en-GB"/>
        </w:rPr>
        <w:t>McCloud Remedy</w:t>
      </w:r>
    </w:p>
    <w:p w14:paraId="20412587" w14:textId="77777777" w:rsidR="006E7062" w:rsidRPr="006E7062" w:rsidRDefault="006E7062" w:rsidP="006F1659">
      <w:pPr>
        <w:spacing w:before="120" w:line="360" w:lineRule="auto"/>
        <w:rPr>
          <w:rFonts w:ascii="Arial" w:hAnsi="Arial" w:cs="Arial"/>
          <w:color w:val="000000"/>
          <w:szCs w:val="18"/>
          <w:lang w:eastAsia="en-GB"/>
        </w:rPr>
      </w:pPr>
      <w:r w:rsidRPr="006E7062">
        <w:rPr>
          <w:rFonts w:ascii="Arial" w:hAnsi="Arial" w:cs="Arial"/>
          <w:color w:val="000000"/>
          <w:szCs w:val="18"/>
          <w:lang w:eastAsia="en-GB"/>
        </w:rPr>
        <w:t xml:space="preserve">The McCloud remedy window ran from 01 April 2015 to 31 March 2022. Eligible members will be able to elect which scheme they wish to receive benefits from for this period. Due to the differing benefits structures we expect the majority of eligible </w:t>
      </w:r>
      <w:r w:rsidRPr="006E7062">
        <w:rPr>
          <w:rFonts w:ascii="Arial" w:hAnsi="Arial" w:cs="Arial"/>
          <w:color w:val="000000"/>
          <w:szCs w:val="18"/>
          <w:lang w:eastAsia="en-GB"/>
        </w:rPr>
        <w:lastRenderedPageBreak/>
        <w:t>members to elect to take legacy scheme (1992 Scheme or 2006 Scheme) benefits for the remedy period.</w:t>
      </w:r>
    </w:p>
    <w:p w14:paraId="7E49764B" w14:textId="77777777" w:rsidR="006E7062" w:rsidRPr="006E7062" w:rsidRDefault="006E7062" w:rsidP="006F1659">
      <w:pPr>
        <w:spacing w:line="360" w:lineRule="auto"/>
        <w:rPr>
          <w:rFonts w:ascii="Arial" w:hAnsi="Arial" w:cs="Arial"/>
          <w:color w:val="000000"/>
          <w:szCs w:val="18"/>
          <w:lang w:eastAsia="en-GB"/>
        </w:rPr>
      </w:pPr>
    </w:p>
    <w:p w14:paraId="634C1BAC" w14:textId="77777777" w:rsidR="006E7062" w:rsidRPr="006E7062" w:rsidRDefault="006E7062" w:rsidP="006F1659">
      <w:pPr>
        <w:spacing w:line="360" w:lineRule="auto"/>
        <w:rPr>
          <w:rFonts w:ascii="Arial" w:hAnsi="Arial" w:cs="Arial"/>
          <w:color w:val="000000"/>
          <w:szCs w:val="18"/>
          <w:lang w:eastAsia="en-GB"/>
        </w:rPr>
      </w:pPr>
      <w:r w:rsidRPr="006E7062">
        <w:rPr>
          <w:rFonts w:ascii="Arial" w:hAnsi="Arial" w:cs="Arial"/>
          <w:color w:val="000000"/>
          <w:szCs w:val="18"/>
          <w:lang w:eastAsia="en-GB"/>
        </w:rPr>
        <w:t>An allowance for the McCloud remedy was first included in 2018/19 disclosures as a past service cost for four years remedy service from 2015-2019. This past service cost was attributed proportionally to the 1992 and 2006 schemes. For subsequent years to 2021/22 an allowance was made in the 2015 service costs for the annual accrual of additional remedy service.</w:t>
      </w:r>
    </w:p>
    <w:p w14:paraId="79CE7C35" w14:textId="77777777" w:rsidR="006E7062" w:rsidRPr="006E7062" w:rsidRDefault="006E7062" w:rsidP="006F1659">
      <w:pPr>
        <w:spacing w:line="360" w:lineRule="auto"/>
        <w:rPr>
          <w:rFonts w:ascii="Arial" w:hAnsi="Arial" w:cs="Arial"/>
          <w:color w:val="000000"/>
          <w:szCs w:val="18"/>
          <w:lang w:eastAsia="en-GB"/>
        </w:rPr>
      </w:pPr>
    </w:p>
    <w:p w14:paraId="017FFE96" w14:textId="77777777" w:rsidR="006E7062" w:rsidRPr="00902F34" w:rsidRDefault="006E7062" w:rsidP="006F1659">
      <w:pPr>
        <w:spacing w:line="360" w:lineRule="auto"/>
        <w:rPr>
          <w:rFonts w:ascii="Arial" w:hAnsi="Arial" w:cs="Arial"/>
          <w:color w:val="000000"/>
          <w:szCs w:val="18"/>
          <w:lang w:eastAsia="en-GB"/>
        </w:rPr>
      </w:pPr>
      <w:r w:rsidRPr="006E7062">
        <w:rPr>
          <w:rFonts w:ascii="Arial" w:hAnsi="Arial" w:cs="Arial"/>
          <w:color w:val="000000"/>
          <w:szCs w:val="18"/>
          <w:lang w:eastAsia="en-GB"/>
        </w:rPr>
        <w:t>Now that the remedy window is closed all McCloud related liabilities for eligible members for the period 2019 to 2022 have been moved to the associated legacy scheme. This means all McCloud liabilities are held with the legacy scheme we expect benefits to be paid from. This has led to a past service cost of £32m added to the 1992 Scheme and a past service cost of £3m in the 2006 Scheme. As these liabilities are no longer held within the 2015 Scheme, we have a past service gain of £35m.</w:t>
      </w:r>
    </w:p>
    <w:p w14:paraId="770443FD" w14:textId="77777777" w:rsidR="006E7062" w:rsidRPr="00914651" w:rsidRDefault="006E7062" w:rsidP="006F1659">
      <w:pPr>
        <w:spacing w:line="360" w:lineRule="auto"/>
        <w:rPr>
          <w:rFonts w:ascii="Arial" w:hAnsi="Arial" w:cs="Arial"/>
          <w:color w:val="000000"/>
          <w:szCs w:val="18"/>
          <w:highlight w:val="yellow"/>
          <w:lang w:eastAsia="en-GB"/>
        </w:rPr>
      </w:pPr>
    </w:p>
    <w:p w14:paraId="70647E35" w14:textId="1E80B731" w:rsidR="005A4DB9" w:rsidRPr="00F52540" w:rsidRDefault="005A4DB9" w:rsidP="006F1659">
      <w:pPr>
        <w:pStyle w:val="Heading5"/>
        <w:spacing w:line="360" w:lineRule="auto"/>
        <w:rPr>
          <w:lang w:eastAsia="en-GB"/>
        </w:rPr>
      </w:pPr>
      <w:r w:rsidRPr="00F52540">
        <w:rPr>
          <w:lang w:eastAsia="en-GB"/>
        </w:rPr>
        <w:t>Local Government Schemes</w:t>
      </w:r>
    </w:p>
    <w:p w14:paraId="6D1337DD" w14:textId="77777777" w:rsidR="00F52540" w:rsidRPr="00F52540" w:rsidRDefault="00F52540" w:rsidP="006F1659">
      <w:pPr>
        <w:spacing w:line="360" w:lineRule="auto"/>
        <w:rPr>
          <w:rFonts w:ascii="Arial" w:hAnsi="Arial" w:cs="Arial"/>
          <w:color w:val="000000"/>
          <w:sz w:val="22"/>
          <w:szCs w:val="16"/>
          <w:lang w:eastAsia="en-GB"/>
        </w:rPr>
      </w:pPr>
    </w:p>
    <w:p w14:paraId="265C1DB2" w14:textId="77777777" w:rsidR="00F52540" w:rsidRPr="00F52540" w:rsidRDefault="00F52540" w:rsidP="006F1659">
      <w:pPr>
        <w:spacing w:line="360" w:lineRule="auto"/>
        <w:rPr>
          <w:rFonts w:ascii="Arial" w:hAnsi="Arial" w:cs="Arial"/>
          <w:color w:val="000000"/>
          <w:szCs w:val="18"/>
          <w:lang w:eastAsia="en-GB"/>
        </w:rPr>
      </w:pPr>
      <w:bookmarkStart w:id="197" w:name="_Hlk139295578"/>
      <w:r w:rsidRPr="00F52540">
        <w:rPr>
          <w:rFonts w:ascii="Arial" w:hAnsi="Arial" w:cs="Arial"/>
          <w:color w:val="000000"/>
          <w:szCs w:val="18"/>
          <w:lang w:eastAsia="en-GB"/>
        </w:rPr>
        <w:t>The Actuary has allowed for the McCloud judgement in the calculation of the latest triennial funding valuation results as at 31 March 2022. The Employer’s triennial funding valuation results are used as the starting point for the accounting roll forward calculations and therefore an allowance is included in the balance sheet.</w:t>
      </w:r>
    </w:p>
    <w:bookmarkEnd w:id="197"/>
    <w:p w14:paraId="30675DC3" w14:textId="77777777" w:rsidR="00F52540" w:rsidRPr="00F52540" w:rsidRDefault="00F52540" w:rsidP="006F1659">
      <w:pPr>
        <w:spacing w:line="360" w:lineRule="auto"/>
        <w:rPr>
          <w:rFonts w:ascii="Arial" w:hAnsi="Arial" w:cs="Arial"/>
          <w:color w:val="000000"/>
          <w:sz w:val="22"/>
          <w:szCs w:val="16"/>
          <w:lang w:eastAsia="en-GB"/>
        </w:rPr>
      </w:pPr>
    </w:p>
    <w:p w14:paraId="13F2092F" w14:textId="77777777" w:rsidR="00F52540" w:rsidRDefault="00F52540" w:rsidP="006F1659">
      <w:pPr>
        <w:spacing w:line="360" w:lineRule="auto"/>
        <w:rPr>
          <w:rFonts w:ascii="Arial" w:hAnsi="Arial" w:cs="Arial"/>
          <w:color w:val="000000"/>
          <w:sz w:val="22"/>
          <w:szCs w:val="16"/>
          <w:highlight w:val="yellow"/>
          <w:lang w:eastAsia="en-GB"/>
        </w:rPr>
      </w:pPr>
    </w:p>
    <w:p w14:paraId="72802F40" w14:textId="77777777" w:rsidR="00F52540" w:rsidRDefault="00F52540" w:rsidP="006F1659">
      <w:pPr>
        <w:spacing w:line="360" w:lineRule="auto"/>
        <w:rPr>
          <w:rFonts w:ascii="Arial" w:hAnsi="Arial" w:cs="Arial"/>
          <w:color w:val="000000"/>
          <w:sz w:val="22"/>
          <w:szCs w:val="16"/>
          <w:highlight w:val="yellow"/>
          <w:lang w:eastAsia="en-GB"/>
        </w:rPr>
      </w:pPr>
    </w:p>
    <w:p w14:paraId="42E2870E" w14:textId="0B682595" w:rsidR="00F52540" w:rsidRPr="00914651" w:rsidRDefault="00F52540" w:rsidP="006F1659">
      <w:pPr>
        <w:spacing w:line="360" w:lineRule="auto"/>
        <w:rPr>
          <w:rFonts w:ascii="Arial" w:hAnsi="Arial" w:cs="Arial"/>
          <w:color w:val="000000"/>
          <w:sz w:val="22"/>
          <w:szCs w:val="16"/>
          <w:highlight w:val="yellow"/>
          <w:lang w:eastAsia="en-GB"/>
        </w:rPr>
        <w:sectPr w:rsidR="00F52540" w:rsidRPr="00914651" w:rsidSect="004833A2">
          <w:pgSz w:w="11906" w:h="16838"/>
          <w:pgMar w:top="1444" w:right="1416" w:bottom="1440" w:left="1080" w:header="568" w:footer="567" w:gutter="0"/>
          <w:cols w:space="708"/>
          <w:docGrid w:linePitch="360"/>
        </w:sectPr>
      </w:pPr>
    </w:p>
    <w:p w14:paraId="1EC19528" w14:textId="0C051242" w:rsidR="005A5CC8" w:rsidRPr="00914651" w:rsidRDefault="00FA2195" w:rsidP="006F1659">
      <w:pPr>
        <w:pStyle w:val="Heading4bold"/>
        <w:spacing w:line="360" w:lineRule="auto"/>
        <w:rPr>
          <w:highlight w:val="yellow"/>
        </w:rPr>
      </w:pPr>
      <w:r w:rsidRPr="00855296">
        <w:lastRenderedPageBreak/>
        <w:t>Comprehensive Income and Expenditure Statement</w:t>
      </w:r>
    </w:p>
    <w:p w14:paraId="65667D65" w14:textId="0DB0F6FC" w:rsidR="00D4492C" w:rsidRDefault="00002AAA" w:rsidP="006F1659">
      <w:pPr>
        <w:spacing w:line="360" w:lineRule="auto"/>
        <w:rPr>
          <w:rFonts w:ascii="Arial" w:hAnsi="Arial" w:cs="Arial"/>
          <w:sz w:val="22"/>
          <w:szCs w:val="22"/>
          <w:highlight w:val="yellow"/>
        </w:rPr>
      </w:pPr>
      <w:r w:rsidRPr="00CE16DE">
        <w:rPr>
          <w:noProof/>
        </w:rPr>
        <w:drawing>
          <wp:inline distT="0" distB="0" distL="0" distR="0" wp14:anchorId="010CC194" wp14:editId="3DE6800F">
            <wp:extent cx="9177020" cy="2945130"/>
            <wp:effectExtent l="0" t="0" r="5080" b="7620"/>
            <wp:docPr id="191985835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77020" cy="2945130"/>
                    </a:xfrm>
                    <a:prstGeom prst="rect">
                      <a:avLst/>
                    </a:prstGeom>
                    <a:noFill/>
                    <a:ln>
                      <a:noFill/>
                    </a:ln>
                  </pic:spPr>
                </pic:pic>
              </a:graphicData>
            </a:graphic>
          </wp:inline>
        </w:drawing>
      </w:r>
    </w:p>
    <w:p w14:paraId="3EAD526C" w14:textId="77777777" w:rsidR="00002AAA" w:rsidRDefault="00002AAA" w:rsidP="006F1659">
      <w:pPr>
        <w:spacing w:line="360" w:lineRule="auto"/>
        <w:rPr>
          <w:rFonts w:ascii="Arial" w:hAnsi="Arial" w:cs="Arial"/>
          <w:sz w:val="22"/>
          <w:szCs w:val="22"/>
          <w:highlight w:val="yellow"/>
        </w:rPr>
      </w:pPr>
    </w:p>
    <w:p w14:paraId="4B13AD76" w14:textId="77777777" w:rsidR="006949CD" w:rsidRPr="00914651" w:rsidRDefault="006949CD" w:rsidP="006F1659">
      <w:pPr>
        <w:spacing w:line="360" w:lineRule="auto"/>
        <w:rPr>
          <w:rFonts w:ascii="Arial" w:hAnsi="Arial" w:cs="Arial"/>
          <w:sz w:val="22"/>
          <w:szCs w:val="22"/>
          <w:highlight w:val="yellow"/>
        </w:rPr>
      </w:pPr>
    </w:p>
    <w:p w14:paraId="71AD0CCD" w14:textId="0746E9CB" w:rsidR="00F20CA5" w:rsidRPr="006949CD" w:rsidRDefault="00FA2195" w:rsidP="006949CD">
      <w:pPr>
        <w:pStyle w:val="Heading4bold"/>
        <w:spacing w:line="360" w:lineRule="auto"/>
      </w:pPr>
      <w:r w:rsidRPr="00855296">
        <w:t>Movement in Reserves Statement</w:t>
      </w:r>
    </w:p>
    <w:p w14:paraId="71571E58" w14:textId="32725E55" w:rsidR="006A27AB" w:rsidRPr="0007572B" w:rsidRDefault="00855296" w:rsidP="006F1659">
      <w:pPr>
        <w:spacing w:line="360" w:lineRule="auto"/>
        <w:jc w:val="both"/>
        <w:rPr>
          <w:rFonts w:ascii="Arial" w:hAnsi="Arial" w:cs="Arial"/>
          <w:b/>
          <w:sz w:val="22"/>
          <w:szCs w:val="22"/>
        </w:rPr>
      </w:pPr>
      <w:r w:rsidRPr="00855296">
        <w:rPr>
          <w:noProof/>
        </w:rPr>
        <w:drawing>
          <wp:inline distT="0" distB="0" distL="0" distR="0" wp14:anchorId="03A12173" wp14:editId="68A6EFB0">
            <wp:extent cx="9177020" cy="982345"/>
            <wp:effectExtent l="0" t="0" r="5080" b="825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177020" cy="982345"/>
                    </a:xfrm>
                    <a:prstGeom prst="rect">
                      <a:avLst/>
                    </a:prstGeom>
                    <a:noFill/>
                    <a:ln>
                      <a:noFill/>
                    </a:ln>
                  </pic:spPr>
                </pic:pic>
              </a:graphicData>
            </a:graphic>
          </wp:inline>
        </w:drawing>
      </w:r>
    </w:p>
    <w:p w14:paraId="162857E7" w14:textId="77777777" w:rsidR="008D7ACA" w:rsidRPr="0007572B" w:rsidRDefault="008D7ACA" w:rsidP="006F1659">
      <w:pPr>
        <w:spacing w:line="360" w:lineRule="auto"/>
        <w:rPr>
          <w:rFonts w:ascii="Arial" w:hAnsi="Arial" w:cs="Arial"/>
          <w:b/>
          <w:sz w:val="22"/>
          <w:szCs w:val="22"/>
        </w:rPr>
      </w:pPr>
      <w:r w:rsidRPr="0007572B">
        <w:rPr>
          <w:rFonts w:ascii="Arial" w:hAnsi="Arial" w:cs="Arial"/>
          <w:b/>
          <w:sz w:val="22"/>
          <w:szCs w:val="22"/>
        </w:rPr>
        <w:br w:type="page"/>
      </w:r>
    </w:p>
    <w:p w14:paraId="16D0FEE0" w14:textId="1E71FDF5" w:rsidR="00FA2195" w:rsidRPr="00855296" w:rsidRDefault="00FA2195" w:rsidP="006F1659">
      <w:pPr>
        <w:pStyle w:val="Heading4bold"/>
        <w:spacing w:line="360" w:lineRule="auto"/>
      </w:pPr>
      <w:r w:rsidRPr="00855296">
        <w:lastRenderedPageBreak/>
        <w:t>Pensions Assets and Liabilities Recognised in the Balance Sheet</w:t>
      </w:r>
    </w:p>
    <w:p w14:paraId="6ACE8827" w14:textId="77777777" w:rsidR="00FA2195" w:rsidRPr="00855296" w:rsidRDefault="00FA2195" w:rsidP="006F1659">
      <w:pPr>
        <w:spacing w:line="360" w:lineRule="auto"/>
        <w:rPr>
          <w:rFonts w:ascii="Arial" w:hAnsi="Arial" w:cs="Arial"/>
        </w:rPr>
      </w:pPr>
      <w:r w:rsidRPr="00855296">
        <w:rPr>
          <w:rFonts w:ascii="Arial" w:hAnsi="Arial" w:cs="Arial"/>
        </w:rPr>
        <w:t>The amount included in the Balance Sheet arising from the Authority’s obligation in respect of its defined benefit plans is as follows:</w:t>
      </w:r>
    </w:p>
    <w:p w14:paraId="104A2387" w14:textId="77777777" w:rsidR="00FA2195" w:rsidRPr="00855296" w:rsidRDefault="00FA2195" w:rsidP="006F1659">
      <w:pPr>
        <w:spacing w:line="360" w:lineRule="auto"/>
        <w:jc w:val="both"/>
        <w:rPr>
          <w:rFonts w:ascii="Arial" w:hAnsi="Arial" w:cs="Arial"/>
        </w:rPr>
      </w:pPr>
    </w:p>
    <w:p w14:paraId="0925D52E" w14:textId="66F4287A" w:rsidR="000B3072" w:rsidRPr="00914651" w:rsidRDefault="00002AAA" w:rsidP="006F1659">
      <w:pPr>
        <w:spacing w:line="360" w:lineRule="auto"/>
        <w:jc w:val="both"/>
        <w:rPr>
          <w:rFonts w:ascii="Arial" w:hAnsi="Arial" w:cs="Arial"/>
          <w:sz w:val="22"/>
          <w:szCs w:val="22"/>
          <w:highlight w:val="yellow"/>
        </w:rPr>
      </w:pPr>
      <w:r w:rsidRPr="00CE16DE">
        <w:rPr>
          <w:noProof/>
        </w:rPr>
        <w:drawing>
          <wp:inline distT="0" distB="0" distL="0" distR="0" wp14:anchorId="75F1AF9E" wp14:editId="6DFAA97B">
            <wp:extent cx="9177020" cy="828675"/>
            <wp:effectExtent l="0" t="0" r="5080" b="9525"/>
            <wp:docPr id="132733414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177020" cy="828675"/>
                    </a:xfrm>
                    <a:prstGeom prst="rect">
                      <a:avLst/>
                    </a:prstGeom>
                    <a:noFill/>
                    <a:ln>
                      <a:noFill/>
                    </a:ln>
                    <a:effectLst/>
                  </pic:spPr>
                </pic:pic>
              </a:graphicData>
            </a:graphic>
          </wp:inline>
        </w:drawing>
      </w:r>
    </w:p>
    <w:p w14:paraId="58408DB9" w14:textId="2C752C66" w:rsidR="00FA2195" w:rsidRPr="00855296" w:rsidRDefault="00FA2195" w:rsidP="006F1659">
      <w:pPr>
        <w:spacing w:line="360" w:lineRule="auto"/>
        <w:jc w:val="both"/>
        <w:rPr>
          <w:rFonts w:ascii="Arial" w:hAnsi="Arial" w:cs="Arial"/>
          <w:sz w:val="22"/>
          <w:szCs w:val="22"/>
        </w:rPr>
      </w:pPr>
    </w:p>
    <w:p w14:paraId="57324190" w14:textId="0CD78312" w:rsidR="00B91632" w:rsidRPr="00855296" w:rsidRDefault="00B91632" w:rsidP="006F1659">
      <w:pPr>
        <w:spacing w:line="360" w:lineRule="auto"/>
        <w:jc w:val="both"/>
        <w:rPr>
          <w:rFonts w:ascii="Arial" w:hAnsi="Arial" w:cs="Arial"/>
          <w:b/>
          <w:sz w:val="22"/>
          <w:szCs w:val="22"/>
        </w:rPr>
      </w:pPr>
    </w:p>
    <w:p w14:paraId="29F2643B" w14:textId="5163025A" w:rsidR="00F20CA5" w:rsidRPr="00855296" w:rsidRDefault="00B91632" w:rsidP="006F1659">
      <w:pPr>
        <w:pStyle w:val="Heading4bold"/>
        <w:spacing w:line="360" w:lineRule="auto"/>
      </w:pPr>
      <w:r w:rsidRPr="00855296">
        <w:t>R</w:t>
      </w:r>
      <w:r w:rsidR="00F20CA5" w:rsidRPr="00855296">
        <w:t>econciliation of the present value of the scheme liabilities (Defined Benefit Obligations)</w:t>
      </w:r>
    </w:p>
    <w:p w14:paraId="52FC0592" w14:textId="3FC1C2F6" w:rsidR="00FA2195" w:rsidRPr="00914651" w:rsidRDefault="00002AAA" w:rsidP="006F1659">
      <w:pPr>
        <w:spacing w:line="360" w:lineRule="auto"/>
        <w:jc w:val="both"/>
        <w:rPr>
          <w:rFonts w:ascii="Arial" w:hAnsi="Arial" w:cs="Arial"/>
          <w:sz w:val="22"/>
          <w:szCs w:val="22"/>
          <w:highlight w:val="yellow"/>
        </w:rPr>
      </w:pPr>
      <w:r w:rsidRPr="00CE16DE">
        <w:rPr>
          <w:noProof/>
        </w:rPr>
        <w:drawing>
          <wp:inline distT="0" distB="0" distL="0" distR="0" wp14:anchorId="33C526B0" wp14:editId="295FB1F2">
            <wp:extent cx="9177020" cy="1945640"/>
            <wp:effectExtent l="0" t="0" r="5080" b="0"/>
            <wp:docPr id="14472069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177020" cy="1945640"/>
                    </a:xfrm>
                    <a:prstGeom prst="rect">
                      <a:avLst/>
                    </a:prstGeom>
                    <a:noFill/>
                    <a:ln>
                      <a:noFill/>
                    </a:ln>
                  </pic:spPr>
                </pic:pic>
              </a:graphicData>
            </a:graphic>
          </wp:inline>
        </w:drawing>
      </w:r>
    </w:p>
    <w:p w14:paraId="3AA47B2E" w14:textId="77777777" w:rsidR="00874A97" w:rsidRDefault="00874A97" w:rsidP="006F1659">
      <w:pPr>
        <w:spacing w:line="360" w:lineRule="auto"/>
        <w:rPr>
          <w:rFonts w:ascii="Arial" w:hAnsi="Arial" w:cs="Arial"/>
          <w:b/>
          <w:bCs/>
        </w:rPr>
      </w:pPr>
      <w:r>
        <w:br w:type="page"/>
      </w:r>
    </w:p>
    <w:p w14:paraId="23ED6194" w14:textId="5B8C9106" w:rsidR="00F20CA5" w:rsidRPr="00855296" w:rsidRDefault="00F20CA5" w:rsidP="006F1659">
      <w:pPr>
        <w:pStyle w:val="Heading4bold"/>
        <w:spacing w:line="360" w:lineRule="auto"/>
      </w:pPr>
      <w:r w:rsidRPr="00855296">
        <w:lastRenderedPageBreak/>
        <w:t>Reconciliation of movements in the fair value of the scheme assets</w:t>
      </w:r>
    </w:p>
    <w:p w14:paraId="74BECF23" w14:textId="07612DC3" w:rsidR="00B070AC" w:rsidRPr="0007572B" w:rsidRDefault="00002AAA" w:rsidP="006F1659">
      <w:pPr>
        <w:spacing w:line="360" w:lineRule="auto"/>
        <w:jc w:val="both"/>
        <w:rPr>
          <w:rFonts w:ascii="Arial" w:hAnsi="Arial" w:cs="Arial"/>
          <w:sz w:val="22"/>
          <w:szCs w:val="22"/>
        </w:rPr>
      </w:pPr>
      <w:r w:rsidRPr="00002AAA">
        <w:rPr>
          <w:noProof/>
        </w:rPr>
        <w:drawing>
          <wp:inline distT="0" distB="0" distL="0" distR="0" wp14:anchorId="4E0B046C" wp14:editId="79AF33C0">
            <wp:extent cx="5588000" cy="1707940"/>
            <wp:effectExtent l="0" t="0" r="0" b="6985"/>
            <wp:docPr id="3695894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598826" cy="1711249"/>
                    </a:xfrm>
                    <a:prstGeom prst="rect">
                      <a:avLst/>
                    </a:prstGeom>
                    <a:noFill/>
                    <a:ln>
                      <a:noFill/>
                    </a:ln>
                  </pic:spPr>
                </pic:pic>
              </a:graphicData>
            </a:graphic>
          </wp:inline>
        </w:drawing>
      </w:r>
    </w:p>
    <w:p w14:paraId="46BBDE96" w14:textId="77777777" w:rsidR="006A27AB" w:rsidRPr="0007572B" w:rsidRDefault="006A27AB" w:rsidP="006F1659">
      <w:pPr>
        <w:spacing w:line="360" w:lineRule="auto"/>
        <w:jc w:val="both"/>
        <w:rPr>
          <w:rFonts w:ascii="Arial" w:hAnsi="Arial" w:cs="Arial"/>
          <w:sz w:val="22"/>
          <w:szCs w:val="22"/>
        </w:rPr>
      </w:pPr>
    </w:p>
    <w:p w14:paraId="03B8ACD5" w14:textId="17C5E8B2" w:rsidR="00F97A29" w:rsidRPr="00855296" w:rsidRDefault="00F97A29" w:rsidP="006F1659">
      <w:pPr>
        <w:pStyle w:val="Heading4bold"/>
        <w:spacing w:line="360" w:lineRule="auto"/>
      </w:pPr>
      <w:r w:rsidRPr="00855296">
        <w:t>Local Government Pension Scheme assets comprised:</w:t>
      </w:r>
    </w:p>
    <w:p w14:paraId="2333BC5E" w14:textId="77777777" w:rsidR="00935680" w:rsidRDefault="00855296" w:rsidP="006F1659">
      <w:pPr>
        <w:spacing w:line="360" w:lineRule="auto"/>
        <w:jc w:val="both"/>
        <w:rPr>
          <w:rFonts w:ascii="Arial" w:hAnsi="Arial" w:cs="Arial"/>
          <w:sz w:val="22"/>
          <w:szCs w:val="22"/>
        </w:rPr>
      </w:pPr>
      <w:r w:rsidRPr="00855296">
        <w:rPr>
          <w:noProof/>
        </w:rPr>
        <w:drawing>
          <wp:inline distT="0" distB="0" distL="0" distR="0" wp14:anchorId="23005E15" wp14:editId="7A7879B7">
            <wp:extent cx="9177020" cy="2997835"/>
            <wp:effectExtent l="0" t="0" r="508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177020" cy="2997835"/>
                    </a:xfrm>
                    <a:prstGeom prst="rect">
                      <a:avLst/>
                    </a:prstGeom>
                    <a:noFill/>
                    <a:ln>
                      <a:noFill/>
                    </a:ln>
                  </pic:spPr>
                </pic:pic>
              </a:graphicData>
            </a:graphic>
          </wp:inline>
        </w:drawing>
      </w:r>
    </w:p>
    <w:p w14:paraId="7B2908D7" w14:textId="362555E0" w:rsidR="00133863" w:rsidRDefault="00133863" w:rsidP="006F1659">
      <w:pPr>
        <w:spacing w:line="360" w:lineRule="auto"/>
        <w:rPr>
          <w:rFonts w:ascii="Arial" w:hAnsi="Arial" w:cs="Arial"/>
        </w:rPr>
      </w:pPr>
      <w:r w:rsidRPr="00133863">
        <w:rPr>
          <w:rFonts w:ascii="Arial" w:hAnsi="Arial" w:cs="Arial"/>
        </w:rPr>
        <w:lastRenderedPageBreak/>
        <w:t>The total assets of £305,276k in the table above do not match the closing fair value of scheme assets in the Reconciliation of Movements in Fair Value of the Scheme Assets table. The variance of £</w:t>
      </w:r>
      <w:r w:rsidR="00002AAA">
        <w:rPr>
          <w:rFonts w:ascii="Arial" w:hAnsi="Arial" w:cs="Arial"/>
        </w:rPr>
        <w:t>75.5</w:t>
      </w:r>
      <w:r w:rsidRPr="00133863">
        <w:rPr>
          <w:rFonts w:ascii="Arial" w:hAnsi="Arial" w:cs="Arial"/>
        </w:rPr>
        <w:t>m is due to the effect of applying the asset ceiling.</w:t>
      </w:r>
    </w:p>
    <w:p w14:paraId="277F592B" w14:textId="77777777" w:rsidR="00874A97" w:rsidRDefault="00874A97" w:rsidP="006F1659">
      <w:pPr>
        <w:spacing w:line="360" w:lineRule="auto"/>
        <w:rPr>
          <w:rFonts w:ascii="Arial" w:hAnsi="Arial" w:cs="Arial"/>
        </w:rPr>
      </w:pPr>
    </w:p>
    <w:p w14:paraId="411F3253" w14:textId="77777777" w:rsidR="00874A97" w:rsidRPr="00641FB1" w:rsidRDefault="00874A97" w:rsidP="006F1659">
      <w:pPr>
        <w:spacing w:line="360" w:lineRule="auto"/>
        <w:rPr>
          <w:rFonts w:ascii="Arial" w:hAnsi="Arial" w:cs="Arial"/>
        </w:rPr>
        <w:sectPr w:rsidR="00874A97" w:rsidRPr="00641FB1" w:rsidSect="004833A2">
          <w:pgSz w:w="16838" w:h="11906" w:orient="landscape"/>
          <w:pgMar w:top="1080" w:right="946" w:bottom="1276" w:left="1440" w:header="283" w:footer="567" w:gutter="0"/>
          <w:cols w:space="708"/>
          <w:docGrid w:linePitch="360"/>
        </w:sectPr>
      </w:pPr>
    </w:p>
    <w:p w14:paraId="3FEFD8CF" w14:textId="77777777" w:rsidR="00E27F3B" w:rsidRPr="00133863" w:rsidRDefault="00727FB0" w:rsidP="006F1659">
      <w:pPr>
        <w:pStyle w:val="Heading4bold"/>
        <w:spacing w:line="360" w:lineRule="auto"/>
      </w:pPr>
      <w:r w:rsidRPr="00133863">
        <w:lastRenderedPageBreak/>
        <w:t>Bas</w:t>
      </w:r>
      <w:r w:rsidR="00E27F3B" w:rsidRPr="00133863">
        <w:t>is for Estimating Assets and Liabilities</w:t>
      </w:r>
    </w:p>
    <w:p w14:paraId="6F5D4893" w14:textId="4E6A941A" w:rsidR="00E27F3B" w:rsidRPr="00133863" w:rsidRDefault="00E27F3B" w:rsidP="006F1659">
      <w:pPr>
        <w:spacing w:line="360" w:lineRule="auto"/>
        <w:rPr>
          <w:rFonts w:ascii="Arial" w:hAnsi="Arial" w:cs="Arial"/>
        </w:rPr>
      </w:pPr>
      <w:r w:rsidRPr="00133863">
        <w:rPr>
          <w:rFonts w:ascii="Arial" w:hAnsi="Arial" w:cs="Arial"/>
        </w:rPr>
        <w:t xml:space="preserve">Liabilities have been assessed on an actuarial basis using the projected unit </w:t>
      </w:r>
      <w:r w:rsidR="005A4DB9" w:rsidRPr="00133863">
        <w:rPr>
          <w:rFonts w:ascii="Arial" w:hAnsi="Arial" w:cs="Arial"/>
        </w:rPr>
        <w:t xml:space="preserve">credit </w:t>
      </w:r>
      <w:r w:rsidRPr="00133863">
        <w:rPr>
          <w:rFonts w:ascii="Arial" w:hAnsi="Arial" w:cs="Arial"/>
        </w:rPr>
        <w:t>method, an estimate of the pensions that will be payable in future years dependent on assumptions about mortality rates, salary levels etc.</w:t>
      </w:r>
    </w:p>
    <w:p w14:paraId="68B62543" w14:textId="77777777" w:rsidR="00E27F3B" w:rsidRPr="00133863" w:rsidRDefault="00E27F3B" w:rsidP="006F1659">
      <w:pPr>
        <w:spacing w:line="360" w:lineRule="auto"/>
        <w:rPr>
          <w:rFonts w:ascii="Arial" w:hAnsi="Arial" w:cs="Arial"/>
        </w:rPr>
      </w:pPr>
    </w:p>
    <w:p w14:paraId="6CC39DA5" w14:textId="780048E1" w:rsidR="002E7A9F" w:rsidRPr="00133863" w:rsidRDefault="002E7A9F" w:rsidP="006F1659">
      <w:pPr>
        <w:spacing w:line="360" w:lineRule="auto"/>
        <w:rPr>
          <w:rFonts w:ascii="Arial" w:hAnsi="Arial" w:cs="Arial"/>
        </w:rPr>
      </w:pPr>
      <w:bookmarkStart w:id="198" w:name="_Hlk109202978"/>
      <w:r w:rsidRPr="00133863">
        <w:rPr>
          <w:rFonts w:ascii="Arial" w:hAnsi="Arial" w:cs="Arial"/>
        </w:rPr>
        <w:t xml:space="preserve">The Local Government Pension Scheme liabilities have been estimated by Hymans Robertson LLP, an independent firm of actuaries, estimates being based on the latest full </w:t>
      </w:r>
      <w:r w:rsidR="00931CD4">
        <w:rPr>
          <w:rFonts w:ascii="Arial" w:hAnsi="Arial" w:cs="Arial"/>
        </w:rPr>
        <w:t xml:space="preserve">triennial </w:t>
      </w:r>
      <w:r w:rsidRPr="00133863">
        <w:rPr>
          <w:rFonts w:ascii="Arial" w:hAnsi="Arial" w:cs="Arial"/>
        </w:rPr>
        <w:t>valuation of the scheme as at 31 March 20</w:t>
      </w:r>
      <w:r w:rsidR="00B91126" w:rsidRPr="00133863">
        <w:rPr>
          <w:rFonts w:ascii="Arial" w:hAnsi="Arial" w:cs="Arial"/>
        </w:rPr>
        <w:t>2</w:t>
      </w:r>
      <w:r w:rsidR="00970BA2">
        <w:rPr>
          <w:rFonts w:ascii="Arial" w:hAnsi="Arial" w:cs="Arial"/>
        </w:rPr>
        <w:t>2</w:t>
      </w:r>
      <w:r w:rsidRPr="00133863">
        <w:rPr>
          <w:rFonts w:ascii="Arial" w:hAnsi="Arial" w:cs="Arial"/>
        </w:rPr>
        <w:t xml:space="preserve">. The Firefighters’ Pension Scheme liabilities have been assessed by the Government Actuary’s Department (GAD) based on data supplied for the </w:t>
      </w:r>
      <w:r w:rsidR="0082510F">
        <w:rPr>
          <w:rFonts w:ascii="Arial" w:hAnsi="Arial" w:cs="Arial"/>
        </w:rPr>
        <w:t xml:space="preserve">31 March </w:t>
      </w:r>
      <w:r w:rsidRPr="00133863">
        <w:rPr>
          <w:rFonts w:ascii="Arial" w:hAnsi="Arial" w:cs="Arial"/>
        </w:rPr>
        <w:t>202</w:t>
      </w:r>
      <w:r w:rsidR="004C7CAF">
        <w:rPr>
          <w:rFonts w:ascii="Arial" w:hAnsi="Arial" w:cs="Arial"/>
        </w:rPr>
        <w:t>0</w:t>
      </w:r>
      <w:r w:rsidRPr="00133863">
        <w:rPr>
          <w:rFonts w:ascii="Arial" w:hAnsi="Arial" w:cs="Arial"/>
        </w:rPr>
        <w:t xml:space="preserve"> </w:t>
      </w:r>
      <w:r w:rsidR="00931CD4">
        <w:rPr>
          <w:rFonts w:ascii="Arial" w:hAnsi="Arial" w:cs="Arial"/>
        </w:rPr>
        <w:t xml:space="preserve">full </w:t>
      </w:r>
      <w:r w:rsidRPr="00133863">
        <w:rPr>
          <w:rFonts w:ascii="Arial" w:hAnsi="Arial" w:cs="Arial"/>
        </w:rPr>
        <w:t>valuation.</w:t>
      </w:r>
    </w:p>
    <w:bookmarkEnd w:id="198"/>
    <w:p w14:paraId="27B82789" w14:textId="77777777" w:rsidR="00E27F3B" w:rsidRPr="00133863" w:rsidRDefault="00E27F3B" w:rsidP="006F1659">
      <w:pPr>
        <w:spacing w:line="360" w:lineRule="auto"/>
        <w:rPr>
          <w:rFonts w:ascii="Arial" w:hAnsi="Arial" w:cs="Arial"/>
        </w:rPr>
      </w:pPr>
    </w:p>
    <w:p w14:paraId="5ED16F89" w14:textId="46088DD0" w:rsidR="00E27F3B" w:rsidRPr="00133863" w:rsidRDefault="00E27F3B" w:rsidP="006F1659">
      <w:pPr>
        <w:spacing w:line="360" w:lineRule="auto"/>
        <w:rPr>
          <w:rFonts w:ascii="Arial" w:hAnsi="Arial" w:cs="Arial"/>
        </w:rPr>
      </w:pPr>
      <w:r w:rsidRPr="00133863">
        <w:rPr>
          <w:rFonts w:ascii="Arial" w:hAnsi="Arial" w:cs="Arial"/>
        </w:rPr>
        <w:t>The significant assumptions used by the actuary have been:</w:t>
      </w:r>
    </w:p>
    <w:p w14:paraId="51354B83" w14:textId="049ED076" w:rsidR="002558A0" w:rsidRPr="00914651" w:rsidRDefault="002558A0" w:rsidP="006F1659">
      <w:pPr>
        <w:spacing w:line="360" w:lineRule="auto"/>
        <w:rPr>
          <w:rFonts w:ascii="Arial" w:hAnsi="Arial" w:cs="Arial"/>
          <w:highlight w:val="yellow"/>
        </w:rPr>
      </w:pPr>
    </w:p>
    <w:p w14:paraId="5BAFF99C" w14:textId="515C4984" w:rsidR="002558A0" w:rsidRPr="00914651" w:rsidRDefault="00002AAA" w:rsidP="006F1659">
      <w:pPr>
        <w:spacing w:line="360" w:lineRule="auto"/>
        <w:rPr>
          <w:rFonts w:ascii="Arial" w:hAnsi="Arial" w:cs="Arial"/>
          <w:highlight w:val="yellow"/>
        </w:rPr>
      </w:pPr>
      <w:r w:rsidRPr="00CE16DE">
        <w:rPr>
          <w:noProof/>
        </w:rPr>
        <w:drawing>
          <wp:inline distT="0" distB="0" distL="0" distR="0" wp14:anchorId="3DA66A14" wp14:editId="35970677">
            <wp:extent cx="5975350" cy="1281430"/>
            <wp:effectExtent l="0" t="0" r="6350" b="0"/>
            <wp:docPr id="111076467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75350" cy="1281430"/>
                    </a:xfrm>
                    <a:prstGeom prst="rect">
                      <a:avLst/>
                    </a:prstGeom>
                    <a:noFill/>
                    <a:ln>
                      <a:noFill/>
                    </a:ln>
                  </pic:spPr>
                </pic:pic>
              </a:graphicData>
            </a:graphic>
          </wp:inline>
        </w:drawing>
      </w:r>
    </w:p>
    <w:p w14:paraId="594C5F25" w14:textId="0C742C24" w:rsidR="008D077F" w:rsidRPr="00914651" w:rsidRDefault="008D077F" w:rsidP="006F1659">
      <w:pPr>
        <w:spacing w:line="360" w:lineRule="auto"/>
        <w:rPr>
          <w:rFonts w:ascii="Arial" w:hAnsi="Arial" w:cs="Arial"/>
          <w:b/>
          <w:sz w:val="22"/>
          <w:szCs w:val="22"/>
          <w:highlight w:val="yellow"/>
        </w:rPr>
      </w:pPr>
    </w:p>
    <w:p w14:paraId="679B0A39" w14:textId="77777777" w:rsidR="00E27F3B" w:rsidRPr="00133863" w:rsidRDefault="00E27F3B" w:rsidP="006F1659">
      <w:pPr>
        <w:spacing w:line="360" w:lineRule="auto"/>
        <w:rPr>
          <w:rFonts w:ascii="Arial" w:hAnsi="Arial" w:cs="Arial"/>
        </w:rPr>
      </w:pPr>
      <w:r w:rsidRPr="00133863">
        <w:rPr>
          <w:rFonts w:ascii="Arial" w:hAnsi="Arial" w:cs="Arial"/>
        </w:rPr>
        <w:t>*Life Expectancy is based on the Fund’s VitaCurves.</w:t>
      </w:r>
    </w:p>
    <w:p w14:paraId="41E42C16" w14:textId="77777777" w:rsidR="00E27F3B" w:rsidRPr="00133863" w:rsidRDefault="00E27F3B" w:rsidP="006F1659">
      <w:pPr>
        <w:spacing w:line="360" w:lineRule="auto"/>
        <w:rPr>
          <w:rFonts w:ascii="Arial" w:hAnsi="Arial" w:cs="Arial"/>
        </w:rPr>
      </w:pPr>
    </w:p>
    <w:p w14:paraId="5AB7BF88" w14:textId="77777777" w:rsidR="00133863" w:rsidRPr="00133863" w:rsidRDefault="00133863" w:rsidP="006F1659">
      <w:pPr>
        <w:spacing w:line="360" w:lineRule="auto"/>
        <w:rPr>
          <w:rFonts w:ascii="Arial" w:hAnsi="Arial" w:cs="Arial"/>
          <w:strike/>
        </w:rPr>
      </w:pPr>
      <w:r w:rsidRPr="00133863">
        <w:rPr>
          <w:rFonts w:ascii="Arial" w:hAnsi="Arial" w:cs="Arial"/>
        </w:rPr>
        <w:t xml:space="preserve">An allowance is included for future retirements to elect to take 50% of the maximum additional tax-free cash up to the HMRC limits. </w:t>
      </w:r>
    </w:p>
    <w:p w14:paraId="58F44804" w14:textId="77777777" w:rsidR="00E27F3B" w:rsidRPr="00133863" w:rsidRDefault="00E27F3B" w:rsidP="006F1659">
      <w:pPr>
        <w:spacing w:line="360" w:lineRule="auto"/>
        <w:rPr>
          <w:rFonts w:ascii="Arial" w:hAnsi="Arial" w:cs="Arial"/>
        </w:rPr>
      </w:pPr>
    </w:p>
    <w:p w14:paraId="2E7BB1EC" w14:textId="52E085BE" w:rsidR="00E27F3B" w:rsidRPr="00133863" w:rsidRDefault="00E27F3B" w:rsidP="006F1659">
      <w:pPr>
        <w:spacing w:line="360" w:lineRule="auto"/>
        <w:rPr>
          <w:rFonts w:ascii="Arial" w:hAnsi="Arial" w:cs="Arial"/>
        </w:rPr>
      </w:pPr>
      <w:r w:rsidRPr="00133863">
        <w:rPr>
          <w:rFonts w:ascii="Arial" w:hAnsi="Arial" w:cs="Arial"/>
        </w:rPr>
        <w:t xml:space="preserve">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assumptions may be interrelated. The estimations in the sensitivity analysis have followed the accounting policies for the scheme, i.e. on an actuarial basis using the projected unit credit method. The methods </w:t>
      </w:r>
      <w:r w:rsidRPr="00133863">
        <w:rPr>
          <w:rFonts w:ascii="Arial" w:hAnsi="Arial" w:cs="Arial"/>
        </w:rPr>
        <w:lastRenderedPageBreak/>
        <w:t>and types of assumptions used in preparing the sensitivity analysis below did not change from those used in the previous period.</w:t>
      </w:r>
    </w:p>
    <w:p w14:paraId="0A779C4C" w14:textId="77777777" w:rsidR="005F371A" w:rsidRPr="00133863" w:rsidRDefault="005F371A" w:rsidP="006F1659">
      <w:pPr>
        <w:spacing w:line="360" w:lineRule="auto"/>
        <w:rPr>
          <w:rFonts w:ascii="Arial" w:hAnsi="Arial" w:cs="Arial"/>
        </w:rPr>
      </w:pPr>
    </w:p>
    <w:p w14:paraId="0FE5D567" w14:textId="72076F53" w:rsidR="008D077F" w:rsidRPr="00B7710C" w:rsidRDefault="00E27F3B" w:rsidP="006F1659">
      <w:pPr>
        <w:pStyle w:val="Heading4bold"/>
        <w:spacing w:line="360" w:lineRule="auto"/>
      </w:pPr>
      <w:r w:rsidRPr="00133863">
        <w:t>Sensitivity Analysis</w:t>
      </w:r>
    </w:p>
    <w:p w14:paraId="38987DCD" w14:textId="2CD01246" w:rsidR="008D077F" w:rsidRDefault="00855296" w:rsidP="006F1659">
      <w:pPr>
        <w:spacing w:line="360" w:lineRule="auto"/>
        <w:rPr>
          <w:rFonts w:ascii="Arial" w:hAnsi="Arial" w:cs="Arial"/>
          <w:b/>
          <w:sz w:val="22"/>
          <w:szCs w:val="22"/>
        </w:rPr>
      </w:pPr>
      <w:r w:rsidRPr="00855296">
        <w:rPr>
          <w:noProof/>
        </w:rPr>
        <w:drawing>
          <wp:inline distT="0" distB="0" distL="0" distR="0" wp14:anchorId="50BCB3C7" wp14:editId="0E4A78FD">
            <wp:extent cx="5975350" cy="1141730"/>
            <wp:effectExtent l="0" t="0" r="6350" b="127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75350" cy="1141730"/>
                    </a:xfrm>
                    <a:prstGeom prst="rect">
                      <a:avLst/>
                    </a:prstGeom>
                    <a:noFill/>
                    <a:ln>
                      <a:noFill/>
                    </a:ln>
                  </pic:spPr>
                </pic:pic>
              </a:graphicData>
            </a:graphic>
          </wp:inline>
        </w:drawing>
      </w:r>
    </w:p>
    <w:p w14:paraId="4BE6CAE7" w14:textId="77777777" w:rsidR="00B91126" w:rsidRPr="0007572B" w:rsidRDefault="00B91126" w:rsidP="006F1659">
      <w:pPr>
        <w:spacing w:line="360" w:lineRule="auto"/>
        <w:rPr>
          <w:rFonts w:ascii="Arial" w:hAnsi="Arial" w:cs="Arial"/>
          <w:b/>
          <w:sz w:val="22"/>
          <w:szCs w:val="22"/>
        </w:rPr>
      </w:pPr>
    </w:p>
    <w:p w14:paraId="015FB93A" w14:textId="5A1042A6" w:rsidR="006A27AB" w:rsidRPr="0007572B" w:rsidRDefault="006A27AB" w:rsidP="006F1659">
      <w:pPr>
        <w:spacing w:line="360" w:lineRule="auto"/>
        <w:rPr>
          <w:rFonts w:ascii="Arial" w:hAnsi="Arial" w:cs="Arial"/>
        </w:rPr>
      </w:pPr>
    </w:p>
    <w:p w14:paraId="5C98D24E" w14:textId="2049A41F" w:rsidR="00B91126" w:rsidRDefault="00855296" w:rsidP="006F1659">
      <w:pPr>
        <w:spacing w:line="360" w:lineRule="auto"/>
        <w:rPr>
          <w:rFonts w:ascii="Arial" w:hAnsi="Arial" w:cs="Arial"/>
        </w:rPr>
      </w:pPr>
      <w:r w:rsidRPr="00855296">
        <w:rPr>
          <w:noProof/>
        </w:rPr>
        <w:drawing>
          <wp:inline distT="0" distB="0" distL="0" distR="0" wp14:anchorId="73348E29" wp14:editId="2251BD3A">
            <wp:extent cx="5975350" cy="1141730"/>
            <wp:effectExtent l="0" t="0" r="6350" b="127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75350" cy="1141730"/>
                    </a:xfrm>
                    <a:prstGeom prst="rect">
                      <a:avLst/>
                    </a:prstGeom>
                    <a:noFill/>
                    <a:ln>
                      <a:noFill/>
                    </a:ln>
                  </pic:spPr>
                </pic:pic>
              </a:graphicData>
            </a:graphic>
          </wp:inline>
        </w:drawing>
      </w:r>
    </w:p>
    <w:p w14:paraId="70639844" w14:textId="77777777" w:rsidR="00855296" w:rsidRDefault="00855296" w:rsidP="006F1659">
      <w:pPr>
        <w:spacing w:line="360" w:lineRule="auto"/>
        <w:rPr>
          <w:rFonts w:ascii="Arial" w:hAnsi="Arial" w:cs="Arial"/>
        </w:rPr>
      </w:pPr>
    </w:p>
    <w:p w14:paraId="26A77000" w14:textId="2CCDC85E" w:rsidR="00E27F3B" w:rsidRPr="0007572B" w:rsidRDefault="00CE7425" w:rsidP="006F1659">
      <w:pPr>
        <w:spacing w:line="360" w:lineRule="auto"/>
        <w:rPr>
          <w:rFonts w:ascii="Arial" w:hAnsi="Arial" w:cs="Arial"/>
        </w:rPr>
      </w:pPr>
      <w:r w:rsidRPr="00133863">
        <w:rPr>
          <w:rFonts w:ascii="Arial" w:hAnsi="Arial" w:cs="Arial"/>
        </w:rPr>
        <w:t xml:space="preserve">As at the date of the most recent valuation, the duration of the Employer’s funded liabilities is </w:t>
      </w:r>
      <w:r w:rsidR="00133863" w:rsidRPr="00133863">
        <w:rPr>
          <w:rFonts w:ascii="Arial" w:hAnsi="Arial" w:cs="Arial"/>
        </w:rPr>
        <w:t xml:space="preserve">19 </w:t>
      </w:r>
      <w:r w:rsidRPr="00133863">
        <w:rPr>
          <w:rFonts w:ascii="Arial" w:hAnsi="Arial" w:cs="Arial"/>
        </w:rPr>
        <w:t>years</w:t>
      </w:r>
      <w:r w:rsidR="00E27F3B" w:rsidRPr="00133863">
        <w:rPr>
          <w:rFonts w:ascii="Arial" w:hAnsi="Arial" w:cs="Arial"/>
        </w:rPr>
        <w:t>.</w:t>
      </w:r>
    </w:p>
    <w:p w14:paraId="008081FA" w14:textId="77777777" w:rsidR="008F12E4" w:rsidRPr="0007572B" w:rsidRDefault="008F12E4" w:rsidP="006F1659">
      <w:pPr>
        <w:spacing w:line="360" w:lineRule="auto"/>
        <w:rPr>
          <w:rFonts w:ascii="Arial" w:hAnsi="Arial" w:cs="Arial"/>
          <w:b/>
        </w:rPr>
      </w:pPr>
    </w:p>
    <w:p w14:paraId="5D06FC5B" w14:textId="39AA88DA" w:rsidR="00E27F3B" w:rsidRDefault="00E27F3B" w:rsidP="006F1659">
      <w:pPr>
        <w:spacing w:line="360" w:lineRule="auto"/>
        <w:rPr>
          <w:rFonts w:ascii="Arial" w:hAnsi="Arial" w:cs="Arial"/>
        </w:rPr>
      </w:pPr>
      <w:r w:rsidRPr="00133863">
        <w:rPr>
          <w:rFonts w:ascii="Arial" w:hAnsi="Arial" w:cs="Arial"/>
        </w:rPr>
        <w:t xml:space="preserve">The weighted average duration of the defined benefit obligation for the </w:t>
      </w:r>
      <w:r w:rsidR="001838A2" w:rsidRPr="00133863">
        <w:rPr>
          <w:rFonts w:ascii="Arial" w:hAnsi="Arial" w:cs="Arial"/>
        </w:rPr>
        <w:t>f</w:t>
      </w:r>
      <w:r w:rsidRPr="00133863">
        <w:rPr>
          <w:rFonts w:ascii="Arial" w:hAnsi="Arial" w:cs="Arial"/>
        </w:rPr>
        <w:t>irefighter</w:t>
      </w:r>
      <w:r w:rsidR="001838A2" w:rsidRPr="00133863">
        <w:rPr>
          <w:rFonts w:ascii="Arial" w:hAnsi="Arial" w:cs="Arial"/>
        </w:rPr>
        <w:t>s’</w:t>
      </w:r>
      <w:r w:rsidRPr="00133863">
        <w:rPr>
          <w:rFonts w:ascii="Arial" w:hAnsi="Arial" w:cs="Arial"/>
        </w:rPr>
        <w:t xml:space="preserve"> sc</w:t>
      </w:r>
      <w:r w:rsidR="00CE7425" w:rsidRPr="00133863">
        <w:rPr>
          <w:rFonts w:ascii="Arial" w:hAnsi="Arial" w:cs="Arial"/>
        </w:rPr>
        <w:t xml:space="preserve">heme members is approximately </w:t>
      </w:r>
      <w:r w:rsidR="009C7D9F" w:rsidRPr="00133863">
        <w:rPr>
          <w:rFonts w:ascii="Arial" w:hAnsi="Arial" w:cs="Arial"/>
        </w:rPr>
        <w:t>1</w:t>
      </w:r>
      <w:r w:rsidR="00133863" w:rsidRPr="00133863">
        <w:rPr>
          <w:rFonts w:ascii="Arial" w:hAnsi="Arial" w:cs="Arial"/>
        </w:rPr>
        <w:t xml:space="preserve">5 </w:t>
      </w:r>
      <w:r w:rsidRPr="00133863">
        <w:rPr>
          <w:rFonts w:ascii="Arial" w:hAnsi="Arial" w:cs="Arial"/>
        </w:rPr>
        <w:t>years.</w:t>
      </w:r>
    </w:p>
    <w:p w14:paraId="73D99D5F" w14:textId="77777777" w:rsidR="005F371A" w:rsidRPr="0007572B" w:rsidRDefault="005F371A" w:rsidP="006F1659">
      <w:pPr>
        <w:spacing w:line="360" w:lineRule="auto"/>
        <w:rPr>
          <w:rFonts w:ascii="Arial" w:hAnsi="Arial" w:cs="Arial"/>
        </w:rPr>
      </w:pPr>
    </w:p>
    <w:p w14:paraId="1A480AFA" w14:textId="0B08469E" w:rsidR="00E27F3B" w:rsidRPr="00FD6425" w:rsidRDefault="00E27F3B" w:rsidP="006F1659">
      <w:pPr>
        <w:pStyle w:val="Heading4bold"/>
        <w:spacing w:line="360" w:lineRule="auto"/>
      </w:pPr>
      <w:bookmarkStart w:id="199" w:name="_Hlk109158448"/>
      <w:r w:rsidRPr="00FD6425">
        <w:t>Impact on Authority’s cash flow – Local Government Pension Scheme</w:t>
      </w:r>
    </w:p>
    <w:p w14:paraId="7C01D42C" w14:textId="77777777" w:rsidR="00133863" w:rsidRDefault="00133863" w:rsidP="006F1659">
      <w:pPr>
        <w:spacing w:line="360" w:lineRule="auto"/>
        <w:rPr>
          <w:rFonts w:ascii="Arial" w:hAnsi="Arial" w:cs="Arial"/>
        </w:rPr>
      </w:pPr>
      <w:r w:rsidRPr="00133863">
        <w:rPr>
          <w:rFonts w:ascii="Arial" w:hAnsi="Arial" w:cs="Arial"/>
        </w:rPr>
        <w:t xml:space="preserve">The objectives of the scheme are to keep employer’s contributions at as constant a rate as possible and agree a funding strategy to ensure future employers contributions meet the Administering Authority’s funding objectives. </w:t>
      </w:r>
    </w:p>
    <w:p w14:paraId="6D3590B8" w14:textId="77777777" w:rsidR="00133863" w:rsidRDefault="00133863" w:rsidP="006F1659">
      <w:pPr>
        <w:spacing w:line="360" w:lineRule="auto"/>
        <w:rPr>
          <w:rFonts w:ascii="Arial" w:hAnsi="Arial" w:cs="Arial"/>
        </w:rPr>
      </w:pPr>
    </w:p>
    <w:p w14:paraId="3AFDE30C" w14:textId="77777777" w:rsidR="00133863" w:rsidRPr="003F158E" w:rsidRDefault="00133863" w:rsidP="006F1659">
      <w:pPr>
        <w:spacing w:line="360" w:lineRule="auto"/>
        <w:rPr>
          <w:rFonts w:ascii="Arial" w:hAnsi="Arial" w:cs="Arial"/>
        </w:rPr>
      </w:pPr>
      <w:r w:rsidRPr="007A66C9">
        <w:rPr>
          <w:rFonts w:ascii="Arial" w:hAnsi="Arial" w:cs="Arial"/>
        </w:rPr>
        <w:t>Following the latest triennial valuation completed on 31 March 2022, the LGPS was assessed as being 104% funded. Funding levels are monitored on an annual basis.</w:t>
      </w:r>
      <w:r w:rsidRPr="003F158E">
        <w:rPr>
          <w:rFonts w:ascii="Arial" w:hAnsi="Arial" w:cs="Arial"/>
        </w:rPr>
        <w:t xml:space="preserve"> </w:t>
      </w:r>
    </w:p>
    <w:p w14:paraId="38FC151B" w14:textId="77777777" w:rsidR="00133863" w:rsidRDefault="00133863" w:rsidP="006F1659">
      <w:pPr>
        <w:spacing w:line="360" w:lineRule="auto"/>
        <w:rPr>
          <w:rFonts w:ascii="Arial" w:hAnsi="Arial" w:cs="Arial"/>
        </w:rPr>
      </w:pPr>
    </w:p>
    <w:p w14:paraId="39C28D2B" w14:textId="330F897F" w:rsidR="00133863" w:rsidRDefault="00133863" w:rsidP="006F1659">
      <w:pPr>
        <w:spacing w:line="360" w:lineRule="auto"/>
        <w:rPr>
          <w:rFonts w:ascii="Arial" w:hAnsi="Arial" w:cs="Arial"/>
        </w:rPr>
      </w:pPr>
      <w:r>
        <w:rPr>
          <w:rFonts w:ascii="Arial" w:hAnsi="Arial" w:cs="Arial"/>
        </w:rPr>
        <w:t xml:space="preserve">The funding objectives of the scheme are set out in the </w:t>
      </w:r>
      <w:r w:rsidR="00EE3005">
        <w:rPr>
          <w:rFonts w:ascii="Arial" w:hAnsi="Arial" w:cs="Arial"/>
        </w:rPr>
        <w:t xml:space="preserve">GMPF </w:t>
      </w:r>
      <w:r>
        <w:rPr>
          <w:rFonts w:ascii="Arial" w:hAnsi="Arial" w:cs="Arial"/>
        </w:rPr>
        <w:t xml:space="preserve">Funding Strategy Statement (FSS) and are to achieve and maintain a solvency funding level of 100% of liabilities (the solvency funding target). In line with the FSS, where a shortfall exists at </w:t>
      </w:r>
      <w:r>
        <w:rPr>
          <w:rFonts w:ascii="Arial" w:hAnsi="Arial" w:cs="Arial"/>
        </w:rPr>
        <w:lastRenderedPageBreak/>
        <w:t>the effective date of the valuation a deficit recovery plan will be put in place which require additional contributions to correct the shortfall. Equally, where there is a surplus, it is usually appropriate to offset this against contribution for future services, in which case contribution reductions will be put in place to allow for this.</w:t>
      </w:r>
    </w:p>
    <w:p w14:paraId="1814BD0F" w14:textId="77777777" w:rsidR="00E764E3" w:rsidRDefault="00E764E3" w:rsidP="006F1659">
      <w:pPr>
        <w:spacing w:line="360" w:lineRule="auto"/>
        <w:rPr>
          <w:rFonts w:ascii="Arial" w:hAnsi="Arial" w:cs="Arial"/>
        </w:rPr>
      </w:pPr>
    </w:p>
    <w:p w14:paraId="76819F4B" w14:textId="77777777" w:rsidR="00E764E3" w:rsidRPr="00E764E3" w:rsidRDefault="00E764E3" w:rsidP="006F1659">
      <w:pPr>
        <w:spacing w:line="360" w:lineRule="auto"/>
        <w:rPr>
          <w:rFonts w:ascii="Arial" w:hAnsi="Arial" w:cs="Arial"/>
        </w:rPr>
      </w:pPr>
      <w:r w:rsidRPr="00E764E3">
        <w:rPr>
          <w:rFonts w:ascii="Arial" w:hAnsi="Arial" w:cs="Arial"/>
        </w:rPr>
        <w:t>The scheme has taken account of the national changes to the scheme under the Public Pensions Services Act 2013. Under the Act, the Local Government Pension Scheme in England and Wales and other main existing public service schemes may not provide benefits in relation to service after 31 March 2014 (or service after 31 March 2015 for other main existing public service pension schemes in England and Wales). The Act provides for scheme regulations to be made within a common framework, to establish new career average revalued earnings schemes to pay pensions and other benefits.</w:t>
      </w:r>
    </w:p>
    <w:p w14:paraId="3D50768B" w14:textId="77777777" w:rsidR="005F371A" w:rsidRPr="00944D15" w:rsidRDefault="005F371A" w:rsidP="006F1659">
      <w:pPr>
        <w:spacing w:line="360" w:lineRule="auto"/>
        <w:rPr>
          <w:rFonts w:ascii="Arial" w:hAnsi="Arial" w:cs="Arial"/>
          <w:highlight w:val="yellow"/>
        </w:rPr>
      </w:pPr>
    </w:p>
    <w:p w14:paraId="079E80B1" w14:textId="16757399" w:rsidR="00A4227C" w:rsidRPr="002B7650" w:rsidRDefault="00A4227C" w:rsidP="006F1659">
      <w:pPr>
        <w:pStyle w:val="Heading4bold"/>
        <w:spacing w:line="360" w:lineRule="auto"/>
      </w:pPr>
      <w:r w:rsidRPr="002B7650">
        <w:t>Authority contribution to pension schemes</w:t>
      </w:r>
    </w:p>
    <w:p w14:paraId="7A77EC93" w14:textId="14676BFC" w:rsidR="00615DE1" w:rsidRDefault="00A4227C" w:rsidP="006F1659">
      <w:pPr>
        <w:spacing w:line="360" w:lineRule="auto"/>
        <w:rPr>
          <w:rFonts w:ascii="Arial" w:hAnsi="Arial" w:cs="Arial"/>
        </w:rPr>
      </w:pPr>
      <w:bookmarkStart w:id="200" w:name="_Hlk139960993"/>
      <w:r w:rsidRPr="001A58C6">
        <w:rPr>
          <w:rFonts w:ascii="Arial" w:hAnsi="Arial" w:cs="Arial"/>
        </w:rPr>
        <w:t>The Authority expects to pay £</w:t>
      </w:r>
      <w:r w:rsidR="00133863" w:rsidRPr="001A58C6">
        <w:rPr>
          <w:rFonts w:ascii="Arial" w:hAnsi="Arial" w:cs="Arial"/>
        </w:rPr>
        <w:t>13.451m</w:t>
      </w:r>
      <w:r w:rsidRPr="001A58C6">
        <w:rPr>
          <w:rFonts w:ascii="Arial" w:hAnsi="Arial" w:cs="Arial"/>
        </w:rPr>
        <w:t xml:space="preserve"> to the Firefighters</w:t>
      </w:r>
      <w:r w:rsidR="001838A2" w:rsidRPr="001A58C6">
        <w:rPr>
          <w:rFonts w:ascii="Arial" w:hAnsi="Arial" w:cs="Arial"/>
        </w:rPr>
        <w:t>’</w:t>
      </w:r>
      <w:r w:rsidRPr="001A58C6">
        <w:rPr>
          <w:rFonts w:ascii="Arial" w:hAnsi="Arial" w:cs="Arial"/>
        </w:rPr>
        <w:t xml:space="preserve"> Pension Scheme and £</w:t>
      </w:r>
      <w:r w:rsidR="00133863" w:rsidRPr="001A58C6">
        <w:rPr>
          <w:rFonts w:ascii="Arial" w:hAnsi="Arial" w:cs="Arial"/>
        </w:rPr>
        <w:t>6.727m</w:t>
      </w:r>
      <w:r w:rsidRPr="001A58C6">
        <w:rPr>
          <w:rFonts w:ascii="Arial" w:hAnsi="Arial" w:cs="Arial"/>
        </w:rPr>
        <w:t xml:space="preserve"> to the Local Government Pension Scheme in </w:t>
      </w:r>
      <w:r w:rsidR="00133863" w:rsidRPr="001A58C6">
        <w:rPr>
          <w:rFonts w:ascii="Arial" w:hAnsi="Arial" w:cs="Arial"/>
        </w:rPr>
        <w:t>202</w:t>
      </w:r>
      <w:r w:rsidR="001A58C6" w:rsidRPr="001A58C6">
        <w:rPr>
          <w:rFonts w:ascii="Arial" w:hAnsi="Arial" w:cs="Arial"/>
        </w:rPr>
        <w:t>3</w:t>
      </w:r>
      <w:r w:rsidR="00133863" w:rsidRPr="001A58C6">
        <w:rPr>
          <w:rFonts w:ascii="Arial" w:hAnsi="Arial" w:cs="Arial"/>
        </w:rPr>
        <w:t>/2</w:t>
      </w:r>
      <w:r w:rsidR="001A58C6" w:rsidRPr="001A58C6">
        <w:rPr>
          <w:rFonts w:ascii="Arial" w:hAnsi="Arial" w:cs="Arial"/>
        </w:rPr>
        <w:t>4</w:t>
      </w:r>
      <w:r w:rsidRPr="001A58C6">
        <w:rPr>
          <w:rFonts w:ascii="Arial" w:hAnsi="Arial" w:cs="Arial"/>
        </w:rPr>
        <w:t>.</w:t>
      </w:r>
      <w:bookmarkEnd w:id="199"/>
    </w:p>
    <w:bookmarkEnd w:id="196"/>
    <w:bookmarkEnd w:id="200"/>
    <w:p w14:paraId="11A2BE7E" w14:textId="77777777" w:rsidR="00943897" w:rsidRPr="0007572B" w:rsidRDefault="00943897" w:rsidP="006F1659">
      <w:pPr>
        <w:spacing w:line="360" w:lineRule="auto"/>
        <w:rPr>
          <w:rFonts w:ascii="Arial" w:hAnsi="Arial" w:cs="Arial"/>
        </w:rPr>
      </w:pPr>
    </w:p>
    <w:p w14:paraId="04F7C91E" w14:textId="0D6DFB89" w:rsidR="00322755" w:rsidRPr="0007572B" w:rsidRDefault="003C3CE4" w:rsidP="006F1659">
      <w:pPr>
        <w:pStyle w:val="Heading3greennumbered"/>
        <w:spacing w:line="360" w:lineRule="auto"/>
      </w:pPr>
      <w:bookmarkStart w:id="201" w:name="_Toc92894909"/>
      <w:bookmarkStart w:id="202" w:name="_Toc92895213"/>
      <w:bookmarkStart w:id="203" w:name="_Toc109922647"/>
      <w:r w:rsidRPr="0007572B">
        <w:t xml:space="preserve">34 </w:t>
      </w:r>
      <w:r w:rsidR="00322755" w:rsidRPr="0007572B">
        <w:t>Mayoral General Fund</w:t>
      </w:r>
      <w:bookmarkEnd w:id="201"/>
      <w:bookmarkEnd w:id="202"/>
      <w:bookmarkEnd w:id="203"/>
    </w:p>
    <w:p w14:paraId="72D9976F" w14:textId="77777777" w:rsidR="005F371A" w:rsidRDefault="005F371A" w:rsidP="006F1659">
      <w:pPr>
        <w:autoSpaceDE w:val="0"/>
        <w:autoSpaceDN w:val="0"/>
        <w:spacing w:line="360" w:lineRule="auto"/>
        <w:rPr>
          <w:rFonts w:ascii="Arial" w:hAnsi="Arial" w:cs="Arial"/>
          <w:color w:val="000000"/>
          <w:lang w:val="en-US"/>
        </w:rPr>
      </w:pPr>
    </w:p>
    <w:p w14:paraId="4B228AC3" w14:textId="7B248D78" w:rsidR="00322755" w:rsidRPr="0007572B" w:rsidRDefault="00322755" w:rsidP="006F1659">
      <w:pPr>
        <w:autoSpaceDE w:val="0"/>
        <w:autoSpaceDN w:val="0"/>
        <w:spacing w:line="360" w:lineRule="auto"/>
        <w:rPr>
          <w:rFonts w:ascii="Arial" w:hAnsi="Arial" w:cs="Arial"/>
          <w:color w:val="000000"/>
          <w:lang w:val="en-US"/>
        </w:rPr>
      </w:pPr>
      <w:r w:rsidRPr="0007572B">
        <w:rPr>
          <w:rFonts w:ascii="Arial" w:hAnsi="Arial" w:cs="Arial"/>
          <w:color w:val="000000"/>
          <w:lang w:val="en-US"/>
        </w:rPr>
        <w:t xml:space="preserve">The functions of the </w:t>
      </w:r>
      <w:r w:rsidR="00150CDE" w:rsidRPr="0007572B">
        <w:rPr>
          <w:rFonts w:ascii="Arial" w:hAnsi="Arial" w:cs="Arial"/>
          <w:color w:val="000000"/>
          <w:lang w:val="en-US"/>
        </w:rPr>
        <w:t>Greater Manchester Fire and Rescue Authority (</w:t>
      </w:r>
      <w:r w:rsidRPr="0007572B">
        <w:rPr>
          <w:rFonts w:ascii="Arial" w:hAnsi="Arial" w:cs="Arial"/>
          <w:color w:val="000000"/>
          <w:lang w:val="en-US"/>
        </w:rPr>
        <w:t>GMFRA</w:t>
      </w:r>
      <w:r w:rsidR="00150CDE" w:rsidRPr="0007572B">
        <w:rPr>
          <w:rFonts w:ascii="Arial" w:hAnsi="Arial" w:cs="Arial"/>
          <w:color w:val="000000"/>
          <w:lang w:val="en-US"/>
        </w:rPr>
        <w:t>)</w:t>
      </w:r>
      <w:r w:rsidRPr="0007572B">
        <w:rPr>
          <w:rFonts w:ascii="Arial" w:hAnsi="Arial" w:cs="Arial"/>
          <w:color w:val="000000"/>
          <w:lang w:val="en-US"/>
        </w:rPr>
        <w:t xml:space="preserve"> that are exercisable in relation to the area of the Authority were transferred by Parliamentary Order to the GMCA with effect from 8 May 2017. The GMCA is the Fire and Rescue Authority for the area and the Fire and Rescue functions of the GMCA are exercisable by the elected Mayor with all staff, properties, rights and liabilities transferring to the Authority.</w:t>
      </w:r>
    </w:p>
    <w:p w14:paraId="2C2FE7FB" w14:textId="77777777" w:rsidR="00322755" w:rsidRPr="0007572B" w:rsidRDefault="00322755" w:rsidP="006F1659">
      <w:pPr>
        <w:autoSpaceDE w:val="0"/>
        <w:autoSpaceDN w:val="0"/>
        <w:spacing w:line="360" w:lineRule="auto"/>
        <w:rPr>
          <w:rFonts w:ascii="Arial" w:eastAsia="Calibri" w:hAnsi="Arial" w:cs="Arial"/>
          <w:color w:val="000000"/>
          <w:lang w:val="en-US"/>
        </w:rPr>
      </w:pPr>
      <w:r w:rsidRPr="0007572B">
        <w:rPr>
          <w:rFonts w:ascii="Arial" w:eastAsia="Calibri" w:hAnsi="Arial" w:cs="Arial"/>
          <w:color w:val="000000"/>
          <w:lang w:val="en-US"/>
        </w:rPr>
        <w:t>Under the Order, all functions and decisions relating to such properties, rights and liabilities are to be exercised and made by the Mayor. Any payments and receipts arising from such properties, rights and liabilities are to be paid from and into the Mayoral General Fund.</w:t>
      </w:r>
    </w:p>
    <w:p w14:paraId="44E344BA" w14:textId="77777777" w:rsidR="00322755" w:rsidRPr="0007572B" w:rsidRDefault="00322755" w:rsidP="006F1659">
      <w:pPr>
        <w:autoSpaceDE w:val="0"/>
        <w:autoSpaceDN w:val="0"/>
        <w:spacing w:line="360" w:lineRule="auto"/>
        <w:rPr>
          <w:rFonts w:ascii="Arial" w:eastAsia="Calibri" w:hAnsi="Arial" w:cs="Arial"/>
          <w:color w:val="000000"/>
          <w:lang w:val="en-US"/>
        </w:rPr>
      </w:pPr>
    </w:p>
    <w:p w14:paraId="0D493389" w14:textId="7C69D6A5" w:rsidR="00AC4453" w:rsidRPr="00615DE1" w:rsidRDefault="00322755" w:rsidP="006F1659">
      <w:pPr>
        <w:spacing w:line="360" w:lineRule="auto"/>
        <w:rPr>
          <w:rFonts w:ascii="Arial" w:hAnsi="Arial" w:cs="Arial"/>
        </w:rPr>
      </w:pPr>
      <w:r w:rsidRPr="0007572B">
        <w:rPr>
          <w:rFonts w:ascii="Arial" w:hAnsi="Arial" w:cs="Arial"/>
        </w:rPr>
        <w:t>The statements below set out the movements in the Mayoral General Fund and assets deployed for fire</w:t>
      </w:r>
      <w:r w:rsidR="00215A6A" w:rsidRPr="0007572B">
        <w:rPr>
          <w:rFonts w:ascii="Arial" w:hAnsi="Arial" w:cs="Arial"/>
        </w:rPr>
        <w:t xml:space="preserve"> and rescue services for </w:t>
      </w:r>
      <w:r w:rsidR="00336734" w:rsidRPr="0007572B">
        <w:rPr>
          <w:rFonts w:ascii="Arial" w:hAnsi="Arial" w:cs="Arial"/>
        </w:rPr>
        <w:t>20</w:t>
      </w:r>
      <w:r w:rsidR="00F02D7B" w:rsidRPr="0007572B">
        <w:rPr>
          <w:rFonts w:ascii="Arial" w:hAnsi="Arial" w:cs="Arial"/>
        </w:rPr>
        <w:t>2</w:t>
      </w:r>
      <w:r w:rsidR="00353B6F">
        <w:rPr>
          <w:rFonts w:ascii="Arial" w:hAnsi="Arial" w:cs="Arial"/>
        </w:rPr>
        <w:t>2</w:t>
      </w:r>
      <w:r w:rsidR="00215A6A" w:rsidRPr="0007572B">
        <w:rPr>
          <w:rFonts w:ascii="Arial" w:hAnsi="Arial" w:cs="Arial"/>
        </w:rPr>
        <w:t>/</w:t>
      </w:r>
      <w:r w:rsidR="00336734" w:rsidRPr="0007572B">
        <w:rPr>
          <w:rFonts w:ascii="Arial" w:hAnsi="Arial" w:cs="Arial"/>
        </w:rPr>
        <w:t>2</w:t>
      </w:r>
      <w:r w:rsidR="00353B6F">
        <w:rPr>
          <w:rFonts w:ascii="Arial" w:hAnsi="Arial" w:cs="Arial"/>
        </w:rPr>
        <w:t>3</w:t>
      </w:r>
      <w:r w:rsidR="00215A6A" w:rsidRPr="0007572B">
        <w:rPr>
          <w:rFonts w:ascii="Arial" w:hAnsi="Arial" w:cs="Arial"/>
        </w:rPr>
        <w:t>:</w:t>
      </w:r>
    </w:p>
    <w:p w14:paraId="7B5DA9A0" w14:textId="475C50B9" w:rsidR="00771E5E" w:rsidRPr="0007572B" w:rsidRDefault="00322755" w:rsidP="006F1659">
      <w:pPr>
        <w:pStyle w:val="Heading4bold"/>
        <w:spacing w:line="360" w:lineRule="auto"/>
      </w:pPr>
      <w:r w:rsidRPr="00855296">
        <w:lastRenderedPageBreak/>
        <w:t>Mayoral General Fund Income and Expenditure:</w:t>
      </w:r>
    </w:p>
    <w:p w14:paraId="7D82A113" w14:textId="0DC77F5E" w:rsidR="00615DE1" w:rsidRDefault="008B72DF" w:rsidP="006F1659">
      <w:pPr>
        <w:spacing w:line="360" w:lineRule="auto"/>
        <w:rPr>
          <w:rFonts w:ascii="Arial" w:hAnsi="Arial" w:cs="Arial"/>
          <w:b/>
          <w:sz w:val="22"/>
          <w:szCs w:val="22"/>
        </w:rPr>
      </w:pPr>
      <w:r w:rsidRPr="008B72DF">
        <w:rPr>
          <w:noProof/>
        </w:rPr>
        <w:drawing>
          <wp:inline distT="0" distB="0" distL="0" distR="0" wp14:anchorId="754121C7" wp14:editId="17A3E4E6">
            <wp:extent cx="5975350" cy="3868420"/>
            <wp:effectExtent l="0" t="0" r="6350" b="0"/>
            <wp:docPr id="13132998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75350" cy="3868420"/>
                    </a:xfrm>
                    <a:prstGeom prst="rect">
                      <a:avLst/>
                    </a:prstGeom>
                    <a:noFill/>
                    <a:ln>
                      <a:noFill/>
                    </a:ln>
                  </pic:spPr>
                </pic:pic>
              </a:graphicData>
            </a:graphic>
          </wp:inline>
        </w:drawing>
      </w:r>
    </w:p>
    <w:p w14:paraId="47D4504C" w14:textId="77777777" w:rsidR="00615DE1" w:rsidRPr="00615DE1" w:rsidRDefault="00615DE1" w:rsidP="006F1659">
      <w:pPr>
        <w:spacing w:line="360" w:lineRule="auto"/>
        <w:rPr>
          <w:rFonts w:ascii="Arial" w:hAnsi="Arial" w:cs="Arial"/>
          <w:b/>
          <w:sz w:val="22"/>
          <w:szCs w:val="22"/>
        </w:rPr>
      </w:pPr>
    </w:p>
    <w:p w14:paraId="5429126B" w14:textId="227855DC" w:rsidR="00322755" w:rsidRPr="0007572B" w:rsidRDefault="00322755" w:rsidP="006F1659">
      <w:pPr>
        <w:pStyle w:val="Heading4bold"/>
        <w:spacing w:line="360" w:lineRule="auto"/>
      </w:pPr>
      <w:r w:rsidRPr="0007572B">
        <w:t>Movement in Mayoral General Fund Reserves:</w:t>
      </w:r>
    </w:p>
    <w:p w14:paraId="13D7E6FD" w14:textId="550E235F" w:rsidR="00322755" w:rsidRDefault="00322755"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1A6FD4D9" w14:textId="75C7E2A2" w:rsidR="00771E5E" w:rsidRDefault="00771E5E" w:rsidP="006F1659">
      <w:pPr>
        <w:spacing w:line="360" w:lineRule="auto"/>
        <w:rPr>
          <w:rFonts w:ascii="Arial" w:hAnsi="Arial" w:cs="Arial"/>
        </w:rPr>
      </w:pPr>
    </w:p>
    <w:p w14:paraId="3A3E5E6F" w14:textId="3541DA5F" w:rsidR="00247E04" w:rsidRPr="00615DE1" w:rsidRDefault="0077384E" w:rsidP="006F1659">
      <w:pPr>
        <w:spacing w:line="360" w:lineRule="auto"/>
        <w:rPr>
          <w:rFonts w:ascii="Arial" w:hAnsi="Arial" w:cs="Arial"/>
        </w:rPr>
        <w:sectPr w:rsidR="00247E04" w:rsidRPr="00615DE1" w:rsidSect="004833A2">
          <w:pgSz w:w="11906" w:h="16838"/>
          <w:pgMar w:top="946" w:right="1416" w:bottom="1440" w:left="1080" w:header="283" w:footer="567" w:gutter="0"/>
          <w:cols w:space="708"/>
          <w:docGrid w:linePitch="360"/>
        </w:sectPr>
      </w:pPr>
      <w:r w:rsidRPr="0077384E">
        <w:rPr>
          <w:noProof/>
        </w:rPr>
        <w:drawing>
          <wp:inline distT="0" distB="0" distL="0" distR="0" wp14:anchorId="13CA208B" wp14:editId="38E145DC">
            <wp:extent cx="4889500" cy="2463800"/>
            <wp:effectExtent l="0" t="0" r="6350" b="0"/>
            <wp:docPr id="1857682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889500" cy="2463800"/>
                    </a:xfrm>
                    <a:prstGeom prst="rect">
                      <a:avLst/>
                    </a:prstGeom>
                    <a:noFill/>
                    <a:ln>
                      <a:noFill/>
                    </a:ln>
                  </pic:spPr>
                </pic:pic>
              </a:graphicData>
            </a:graphic>
          </wp:inline>
        </w:drawing>
      </w:r>
    </w:p>
    <w:p w14:paraId="1FEF668B" w14:textId="77777777" w:rsidR="00322755" w:rsidRPr="0007572B" w:rsidRDefault="00322755" w:rsidP="006F1659">
      <w:pPr>
        <w:pStyle w:val="Heading4bold"/>
        <w:spacing w:line="360" w:lineRule="auto"/>
      </w:pPr>
      <w:r w:rsidRPr="0007572B">
        <w:lastRenderedPageBreak/>
        <w:t>Assets deployed in provision of Mayoral Fire and Rescue Services:</w:t>
      </w:r>
    </w:p>
    <w:p w14:paraId="79DF5430" w14:textId="77777777" w:rsidR="00577AA5" w:rsidRPr="0007572B" w:rsidRDefault="00577AA5" w:rsidP="006F1659">
      <w:pPr>
        <w:spacing w:line="360" w:lineRule="auto"/>
        <w:rPr>
          <w:rFonts w:ascii="Arial" w:hAnsi="Arial" w:cs="Arial"/>
        </w:rPr>
      </w:pPr>
    </w:p>
    <w:p w14:paraId="328584DB" w14:textId="43979819" w:rsidR="005A4EFC" w:rsidRPr="0007572B" w:rsidRDefault="005A4EFC" w:rsidP="006F1659">
      <w:pPr>
        <w:spacing w:line="360" w:lineRule="auto"/>
        <w:rPr>
          <w:rFonts w:ascii="Arial" w:hAnsi="Arial" w:cs="Arial"/>
        </w:rPr>
      </w:pPr>
    </w:p>
    <w:p w14:paraId="3FF08564" w14:textId="080F8028" w:rsidR="00E15B96" w:rsidRPr="0007572B" w:rsidRDefault="009F58E8" w:rsidP="006F1659">
      <w:pPr>
        <w:spacing w:line="360" w:lineRule="auto"/>
        <w:rPr>
          <w:rFonts w:ascii="Arial" w:hAnsi="Arial" w:cs="Arial"/>
        </w:rPr>
        <w:sectPr w:rsidR="00E15B96" w:rsidRPr="0007572B" w:rsidSect="004833A2">
          <w:pgSz w:w="16838" w:h="11906" w:orient="landscape"/>
          <w:pgMar w:top="1080" w:right="946" w:bottom="1416" w:left="1440" w:header="283" w:footer="567" w:gutter="0"/>
          <w:cols w:space="708"/>
          <w:docGrid w:linePitch="360"/>
        </w:sectPr>
      </w:pPr>
      <w:r w:rsidRPr="009F58E8">
        <w:rPr>
          <w:noProof/>
        </w:rPr>
        <w:drawing>
          <wp:inline distT="0" distB="0" distL="0" distR="0" wp14:anchorId="36768A52" wp14:editId="74EC9991">
            <wp:extent cx="9177020" cy="3173730"/>
            <wp:effectExtent l="0" t="0" r="5080" b="762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177020" cy="3173730"/>
                    </a:xfrm>
                    <a:prstGeom prst="rect">
                      <a:avLst/>
                    </a:prstGeom>
                    <a:noFill/>
                    <a:ln>
                      <a:noFill/>
                    </a:ln>
                  </pic:spPr>
                </pic:pic>
              </a:graphicData>
            </a:graphic>
          </wp:inline>
        </w:drawing>
      </w:r>
    </w:p>
    <w:p w14:paraId="30E13344" w14:textId="5B5762A7" w:rsidR="00D1577F" w:rsidRPr="0007572B" w:rsidRDefault="003C3CE4" w:rsidP="006F1659">
      <w:pPr>
        <w:pStyle w:val="Heading3greennumbered"/>
        <w:spacing w:line="360" w:lineRule="auto"/>
      </w:pPr>
      <w:bookmarkStart w:id="204" w:name="_Toc92894910"/>
      <w:bookmarkStart w:id="205" w:name="_Toc92895214"/>
      <w:bookmarkStart w:id="206" w:name="_Toc109922648"/>
      <w:r w:rsidRPr="0007572B">
        <w:lastRenderedPageBreak/>
        <w:t xml:space="preserve">35 </w:t>
      </w:r>
      <w:r w:rsidR="00D1577F" w:rsidRPr="0007572B">
        <w:t>Mayoral Police Fund</w:t>
      </w:r>
      <w:bookmarkEnd w:id="204"/>
      <w:bookmarkEnd w:id="205"/>
      <w:bookmarkEnd w:id="206"/>
    </w:p>
    <w:p w14:paraId="038D331F" w14:textId="77777777" w:rsidR="005F371A" w:rsidRDefault="005F371A" w:rsidP="006F1659">
      <w:pPr>
        <w:autoSpaceDE w:val="0"/>
        <w:autoSpaceDN w:val="0"/>
        <w:adjustRightInd w:val="0"/>
        <w:spacing w:line="360" w:lineRule="auto"/>
        <w:rPr>
          <w:rFonts w:ascii="Arial" w:hAnsi="Arial" w:cs="Arial"/>
        </w:rPr>
      </w:pPr>
    </w:p>
    <w:p w14:paraId="0BD0D190" w14:textId="5086F5B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 xml:space="preserve">The functions of the Greater Manchester Police and Crime Commissioner (PCC) were transferred by Parliamentary Order to the elected Mayor of Greater Manchester with effect from 8 May 2017. </w:t>
      </w:r>
    </w:p>
    <w:p w14:paraId="65043DB4" w14:textId="77777777" w:rsidR="00D1577F" w:rsidRPr="0007572B" w:rsidRDefault="00D1577F" w:rsidP="006F1659">
      <w:pPr>
        <w:autoSpaceDE w:val="0"/>
        <w:autoSpaceDN w:val="0"/>
        <w:adjustRightInd w:val="0"/>
        <w:spacing w:line="360" w:lineRule="auto"/>
        <w:rPr>
          <w:rFonts w:ascii="Arial" w:hAnsi="Arial" w:cs="Arial"/>
        </w:rPr>
      </w:pPr>
    </w:p>
    <w:p w14:paraId="6EC00BAA" w14:textId="7777777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Under Section 3 of the Order “the Mayor is to be treated, in relation to the Mayor’s PCC functions, as a Police and Crime Commissioner for the purposes of all Police and Crime Commissioner enactments, wherever passed or made, subject to schedule 1 of the Order”.</w:t>
      </w:r>
    </w:p>
    <w:p w14:paraId="588C5A77" w14:textId="77777777" w:rsidR="00D1577F" w:rsidRPr="0007572B" w:rsidRDefault="00D1577F" w:rsidP="006F1659">
      <w:pPr>
        <w:autoSpaceDE w:val="0"/>
        <w:autoSpaceDN w:val="0"/>
        <w:adjustRightInd w:val="0"/>
        <w:spacing w:line="360" w:lineRule="auto"/>
        <w:rPr>
          <w:rFonts w:ascii="Arial" w:hAnsi="Arial" w:cs="Arial"/>
        </w:rPr>
      </w:pPr>
    </w:p>
    <w:p w14:paraId="1B775BAD" w14:textId="3116445E"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 xml:space="preserve">The transfer of the PCC functions to the Elected Mayor means that the legal entity known as the Greater Manchester Police and Crime Commissioner ceased to exist as of 8 May 2017. All properties, rights and liabilities (including contracts of employment) transferred to the GMCA on 8 May 2017. </w:t>
      </w:r>
    </w:p>
    <w:p w14:paraId="4D04CA86" w14:textId="77777777" w:rsidR="00D1577F" w:rsidRPr="0007572B" w:rsidRDefault="00D1577F" w:rsidP="006F1659">
      <w:pPr>
        <w:autoSpaceDE w:val="0"/>
        <w:autoSpaceDN w:val="0"/>
        <w:adjustRightInd w:val="0"/>
        <w:spacing w:line="360" w:lineRule="auto"/>
        <w:rPr>
          <w:rFonts w:ascii="Arial" w:hAnsi="Arial" w:cs="Arial"/>
        </w:rPr>
      </w:pPr>
    </w:p>
    <w:p w14:paraId="4BDA45E1" w14:textId="7777777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Under the Order, all functions and decisions relating to such properties, rights and liabilities are to be exercised and made by the Mayor. Any receipts arising from such properties, rights and liabilities are to be paid into the Police Fund kept by the mayor by virtue of section 21 of the Police Reform and Social Responsibility Act 2011.</w:t>
      </w:r>
    </w:p>
    <w:p w14:paraId="0FB7A25B" w14:textId="77777777" w:rsidR="00D1577F" w:rsidRPr="0007572B" w:rsidRDefault="00D1577F" w:rsidP="006F1659">
      <w:pPr>
        <w:autoSpaceDE w:val="0"/>
        <w:autoSpaceDN w:val="0"/>
        <w:adjustRightInd w:val="0"/>
        <w:spacing w:line="360" w:lineRule="auto"/>
        <w:rPr>
          <w:rFonts w:ascii="Arial" w:hAnsi="Arial" w:cs="Arial"/>
          <w:color w:val="000000"/>
          <w:lang w:val="en-US"/>
        </w:rPr>
      </w:pPr>
    </w:p>
    <w:p w14:paraId="12DC39D4" w14:textId="77777777" w:rsidR="00D1577F" w:rsidRPr="0007572B" w:rsidRDefault="00D1577F" w:rsidP="006F1659">
      <w:pPr>
        <w:autoSpaceDE w:val="0"/>
        <w:autoSpaceDN w:val="0"/>
        <w:adjustRightInd w:val="0"/>
        <w:spacing w:line="360" w:lineRule="auto"/>
        <w:rPr>
          <w:rFonts w:ascii="Arial" w:hAnsi="Arial" w:cs="Arial"/>
          <w:color w:val="000000"/>
          <w:lang w:val="en-US"/>
        </w:rPr>
      </w:pPr>
      <w:r w:rsidRPr="0007572B">
        <w:rPr>
          <w:rFonts w:ascii="Arial" w:hAnsi="Arial" w:cs="Arial"/>
          <w:color w:val="000000"/>
          <w:lang w:val="en-US"/>
        </w:rPr>
        <w:t>The Chief Constable of Greater Manchester Police (GMP) Statement of Accounts has been consolidated into GMCA’s group accounts since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25A33968" w14:textId="77777777" w:rsidR="00D1577F" w:rsidRPr="0007572B" w:rsidRDefault="00D1577F" w:rsidP="006F1659">
      <w:pPr>
        <w:autoSpaceDE w:val="0"/>
        <w:autoSpaceDN w:val="0"/>
        <w:adjustRightInd w:val="0"/>
        <w:spacing w:line="360" w:lineRule="auto"/>
        <w:rPr>
          <w:rFonts w:ascii="Arial" w:hAnsi="Arial" w:cs="Arial"/>
          <w:color w:val="000000"/>
          <w:lang w:val="en-US"/>
        </w:rPr>
      </w:pPr>
    </w:p>
    <w:p w14:paraId="01DE17E3" w14:textId="54C0C424" w:rsidR="00D1577F" w:rsidRPr="0007572B" w:rsidRDefault="00D1577F" w:rsidP="006F1659">
      <w:pPr>
        <w:autoSpaceDE w:val="0"/>
        <w:autoSpaceDN w:val="0"/>
        <w:adjustRightInd w:val="0"/>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GMCA, under sole instruction from the Mayor, is responsible for the finances of the Mayoral Police Fund including assets, liabilities and reserves. The GMCA has responsibility for entering into contracts and establishing the contractual framework under which the Chief Constable’s officers and staff operate.</w:t>
      </w:r>
      <w:r w:rsidRPr="0007572B">
        <w:rPr>
          <w:rFonts w:ascii="Arial" w:eastAsia="Calibri" w:hAnsi="Arial" w:cs="Arial"/>
          <w:color w:val="000000"/>
          <w:lang w:val="en-US"/>
        </w:rPr>
        <w:t xml:space="preserve"> The GMCA receives all income and funding and makes all the payments for the policing activity from the Mayoral Police Fund. The movement on the Police Fund is disclosed in </w:t>
      </w:r>
      <w:r w:rsidR="00463AF0">
        <w:rPr>
          <w:rFonts w:ascii="Arial" w:eastAsia="Calibri" w:hAnsi="Arial" w:cs="Arial"/>
          <w:color w:val="000000"/>
          <w:lang w:val="en-US"/>
        </w:rPr>
        <w:t>N</w:t>
      </w:r>
      <w:r w:rsidR="00B075B2" w:rsidRPr="0007572B">
        <w:rPr>
          <w:rFonts w:ascii="Arial" w:eastAsia="Calibri" w:hAnsi="Arial" w:cs="Arial"/>
          <w:color w:val="000000"/>
          <w:lang w:val="en-US"/>
        </w:rPr>
        <w:t>ote 35</w:t>
      </w:r>
      <w:r w:rsidRPr="0007572B">
        <w:rPr>
          <w:rFonts w:ascii="Arial" w:eastAsia="Calibri" w:hAnsi="Arial" w:cs="Arial"/>
          <w:color w:val="000000"/>
          <w:lang w:val="en-US"/>
        </w:rPr>
        <w:t>.</w:t>
      </w:r>
    </w:p>
    <w:p w14:paraId="40470F6B" w14:textId="77777777" w:rsidR="00D1577F" w:rsidRPr="0007572B" w:rsidRDefault="00D1577F" w:rsidP="006F1659">
      <w:pPr>
        <w:autoSpaceDE w:val="0"/>
        <w:autoSpaceDN w:val="0"/>
        <w:spacing w:line="360" w:lineRule="auto"/>
        <w:rPr>
          <w:rFonts w:ascii="Arial" w:hAnsi="Arial" w:cs="Arial"/>
          <w:color w:val="000000"/>
          <w:lang w:val="en-US"/>
        </w:rPr>
      </w:pPr>
    </w:p>
    <w:p w14:paraId="01275F4F" w14:textId="279CBC0A" w:rsidR="00D1577F" w:rsidRPr="0007572B" w:rsidRDefault="00D1577F" w:rsidP="006F1659">
      <w:pPr>
        <w:autoSpaceDE w:val="0"/>
        <w:autoSpaceDN w:val="0"/>
        <w:spacing w:line="360" w:lineRule="auto"/>
        <w:rPr>
          <w:rFonts w:ascii="Arial" w:hAnsi="Arial" w:cs="Arial"/>
        </w:rPr>
      </w:pPr>
      <w:r w:rsidRPr="0007572B">
        <w:rPr>
          <w:rFonts w:ascii="Arial" w:hAnsi="Arial" w:cs="Arial"/>
          <w:color w:val="000000"/>
          <w:lang w:val="en-US"/>
        </w:rPr>
        <w:lastRenderedPageBreak/>
        <w:t xml:space="preserve">In compliance with legislation, the Police Fund is accounted for in the group accounts of the GMCA. In the interests of </w:t>
      </w:r>
      <w:r w:rsidR="00F02D7B" w:rsidRPr="0007572B">
        <w:rPr>
          <w:rFonts w:ascii="Arial" w:hAnsi="Arial" w:cs="Arial"/>
          <w:color w:val="000000"/>
          <w:lang w:val="en-US"/>
        </w:rPr>
        <w:t>transparency,</w:t>
      </w:r>
      <w:r w:rsidRPr="0007572B">
        <w:rPr>
          <w:rFonts w:ascii="Arial" w:hAnsi="Arial" w:cs="Arial"/>
          <w:color w:val="000000"/>
          <w:lang w:val="en-US"/>
        </w:rPr>
        <w:t xml:space="preserve"> t</w:t>
      </w:r>
      <w:r w:rsidRPr="0007572B">
        <w:rPr>
          <w:rFonts w:ascii="Arial" w:hAnsi="Arial" w:cs="Arial"/>
        </w:rPr>
        <w:t>he statements below set out how the Police Fund was spent and funded, movements in the Mayoral Police Fund reserves and assets deployed for policing in 20</w:t>
      </w:r>
      <w:r w:rsidR="00F02D7B" w:rsidRPr="0007572B">
        <w:rPr>
          <w:rFonts w:ascii="Arial" w:hAnsi="Arial" w:cs="Arial"/>
        </w:rPr>
        <w:t>2</w:t>
      </w:r>
      <w:r w:rsidR="00353B6F">
        <w:rPr>
          <w:rFonts w:ascii="Arial" w:hAnsi="Arial" w:cs="Arial"/>
        </w:rPr>
        <w:t>2</w:t>
      </w:r>
      <w:r w:rsidRPr="0007572B">
        <w:rPr>
          <w:rFonts w:ascii="Arial" w:hAnsi="Arial" w:cs="Arial"/>
        </w:rPr>
        <w:t>/2</w:t>
      </w:r>
      <w:r w:rsidR="00353B6F">
        <w:rPr>
          <w:rFonts w:ascii="Arial" w:hAnsi="Arial" w:cs="Arial"/>
        </w:rPr>
        <w:t>3</w:t>
      </w:r>
      <w:r w:rsidRPr="0007572B">
        <w:rPr>
          <w:rFonts w:ascii="Arial" w:hAnsi="Arial" w:cs="Arial"/>
        </w:rPr>
        <w:t>.</w:t>
      </w:r>
    </w:p>
    <w:p w14:paraId="263CB859" w14:textId="6CDF52FA" w:rsidR="00D1577F" w:rsidRPr="0007572B" w:rsidRDefault="00D1577F" w:rsidP="006F1659">
      <w:pPr>
        <w:spacing w:line="360" w:lineRule="auto"/>
        <w:rPr>
          <w:rFonts w:ascii="Arial" w:hAnsi="Arial" w:cs="Arial"/>
          <w:b/>
          <w:sz w:val="22"/>
          <w:szCs w:val="22"/>
        </w:rPr>
      </w:pPr>
    </w:p>
    <w:p w14:paraId="7DD5DE68" w14:textId="77777777" w:rsidR="00520F77" w:rsidRDefault="00D1577F" w:rsidP="006F1659">
      <w:pPr>
        <w:pStyle w:val="Heading4bold"/>
        <w:spacing w:line="360" w:lineRule="auto"/>
        <w:rPr>
          <w:b w:val="0"/>
          <w:bCs w:val="0"/>
        </w:rPr>
      </w:pPr>
      <w:r w:rsidRPr="0007572B">
        <w:t>Police Fund Income and Expenditur</w:t>
      </w:r>
      <w:r w:rsidR="001B1DE6" w:rsidRPr="0007572B">
        <w:t>e</w:t>
      </w:r>
      <w:r w:rsidRPr="0007572B">
        <w:t>:</w:t>
      </w:r>
      <w:r w:rsidR="00520F77" w:rsidRPr="00520F77">
        <w:rPr>
          <w:b w:val="0"/>
          <w:bCs w:val="0"/>
        </w:rPr>
        <w:t xml:space="preserve"> </w:t>
      </w:r>
    </w:p>
    <w:p w14:paraId="165BB9AF" w14:textId="084EC02D" w:rsidR="00520F77" w:rsidRDefault="00BD06A8" w:rsidP="00DF2CD7">
      <w:pPr>
        <w:spacing w:line="360" w:lineRule="auto"/>
      </w:pPr>
      <w:r w:rsidRPr="00BD06A8">
        <w:rPr>
          <w:noProof/>
        </w:rPr>
        <w:drawing>
          <wp:inline distT="0" distB="0" distL="0" distR="0" wp14:anchorId="5743BA34" wp14:editId="7C4147CF">
            <wp:extent cx="5746750" cy="4156313"/>
            <wp:effectExtent l="0" t="0" r="6350" b="0"/>
            <wp:docPr id="2049007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762411" cy="4167640"/>
                    </a:xfrm>
                    <a:prstGeom prst="rect">
                      <a:avLst/>
                    </a:prstGeom>
                    <a:noFill/>
                    <a:ln>
                      <a:noFill/>
                    </a:ln>
                  </pic:spPr>
                </pic:pic>
              </a:graphicData>
            </a:graphic>
          </wp:inline>
        </w:drawing>
      </w:r>
    </w:p>
    <w:p w14:paraId="02223E0A" w14:textId="2AF83A83" w:rsidR="00AC4453" w:rsidRDefault="00AC4453" w:rsidP="006F1659">
      <w:pPr>
        <w:spacing w:line="360" w:lineRule="auto"/>
        <w:rPr>
          <w:rFonts w:ascii="Arial" w:hAnsi="Arial" w:cs="Arial"/>
          <w:b/>
          <w:bCs/>
        </w:rPr>
      </w:pPr>
    </w:p>
    <w:p w14:paraId="4B3DE6F6" w14:textId="4E7F3BB4" w:rsidR="00D1577F" w:rsidRPr="0007572B" w:rsidRDefault="00D1577F" w:rsidP="006F1659">
      <w:pPr>
        <w:pStyle w:val="Heading4bold"/>
        <w:spacing w:line="360" w:lineRule="auto"/>
      </w:pPr>
      <w:r w:rsidRPr="0007572B">
        <w:t>Movement in Mayoral Police Fund Reserves:</w:t>
      </w:r>
    </w:p>
    <w:p w14:paraId="3D991538" w14:textId="77777777" w:rsidR="00D1577F" w:rsidRPr="0007572B" w:rsidRDefault="00D1577F"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7CAEB846" w14:textId="7A182972" w:rsidR="00D1577F" w:rsidRPr="0007572B" w:rsidRDefault="00D1577F" w:rsidP="006F1659">
      <w:pPr>
        <w:spacing w:line="360" w:lineRule="auto"/>
        <w:rPr>
          <w:rFonts w:ascii="Arial" w:hAnsi="Arial" w:cs="Arial"/>
          <w:b/>
        </w:rPr>
      </w:pPr>
    </w:p>
    <w:p w14:paraId="0BFAF8D2" w14:textId="48BFFCDE" w:rsidR="0056706E" w:rsidRPr="0007572B" w:rsidRDefault="00911130" w:rsidP="006F1659">
      <w:pPr>
        <w:tabs>
          <w:tab w:val="left" w:pos="2716"/>
        </w:tabs>
        <w:spacing w:line="360" w:lineRule="auto"/>
        <w:rPr>
          <w:rFonts w:ascii="Arial" w:hAnsi="Arial" w:cs="Arial"/>
          <w:b/>
          <w:sz w:val="22"/>
          <w:szCs w:val="22"/>
        </w:rPr>
      </w:pPr>
      <w:r w:rsidRPr="00911130">
        <w:rPr>
          <w:noProof/>
        </w:rPr>
        <w:drawing>
          <wp:inline distT="0" distB="0" distL="0" distR="0" wp14:anchorId="563B8F4E" wp14:editId="341DDFA5">
            <wp:extent cx="4800600" cy="1294749"/>
            <wp:effectExtent l="0" t="0" r="0" b="127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826463" cy="1301724"/>
                    </a:xfrm>
                    <a:prstGeom prst="rect">
                      <a:avLst/>
                    </a:prstGeom>
                    <a:noFill/>
                    <a:ln>
                      <a:noFill/>
                    </a:ln>
                  </pic:spPr>
                </pic:pic>
              </a:graphicData>
            </a:graphic>
          </wp:inline>
        </w:drawing>
      </w:r>
      <w:r w:rsidR="00160E07">
        <w:rPr>
          <w:rFonts w:ascii="Arial" w:hAnsi="Arial" w:cs="Arial"/>
          <w:b/>
          <w:sz w:val="22"/>
          <w:szCs w:val="22"/>
        </w:rPr>
        <w:tab/>
      </w:r>
    </w:p>
    <w:p w14:paraId="1A5058E1" w14:textId="77777777" w:rsidR="00D1577F" w:rsidRPr="0007572B" w:rsidRDefault="00D1577F" w:rsidP="006F1659">
      <w:pPr>
        <w:spacing w:after="160" w:line="360" w:lineRule="auto"/>
        <w:rPr>
          <w:rFonts w:ascii="Arial" w:hAnsi="Arial" w:cs="Arial"/>
          <w:b/>
          <w:color w:val="000000"/>
          <w:sz w:val="22"/>
          <w:szCs w:val="22"/>
          <w:lang w:val="en-US"/>
        </w:rPr>
        <w:sectPr w:rsidR="00D1577F" w:rsidRPr="0007572B" w:rsidSect="004833A2">
          <w:pgSz w:w="11906" w:h="16838"/>
          <w:pgMar w:top="947" w:right="851" w:bottom="1440" w:left="851" w:header="284" w:footer="567" w:gutter="0"/>
          <w:cols w:space="708"/>
          <w:docGrid w:linePitch="360"/>
        </w:sectPr>
      </w:pPr>
    </w:p>
    <w:p w14:paraId="176E7486" w14:textId="77777777" w:rsidR="00D1577F" w:rsidRPr="0007572B" w:rsidRDefault="00D1577F" w:rsidP="006F1659">
      <w:pPr>
        <w:pStyle w:val="Heading4bold"/>
        <w:spacing w:line="360" w:lineRule="auto"/>
        <w:rPr>
          <w:lang w:val="en-US"/>
        </w:rPr>
      </w:pPr>
      <w:r w:rsidRPr="0007572B">
        <w:rPr>
          <w:lang w:val="en-US"/>
        </w:rPr>
        <w:lastRenderedPageBreak/>
        <w:t>Assets deployed in the provision of Policing Services:</w:t>
      </w:r>
    </w:p>
    <w:p w14:paraId="037908C8" w14:textId="6F277592" w:rsidR="00D1577F" w:rsidRPr="0007572B" w:rsidRDefault="00D1577F" w:rsidP="006F1659">
      <w:pPr>
        <w:spacing w:line="360" w:lineRule="auto"/>
        <w:rPr>
          <w:rFonts w:ascii="Arial" w:hAnsi="Arial" w:cs="Arial"/>
          <w:b/>
          <w:sz w:val="22"/>
          <w:szCs w:val="22"/>
        </w:rPr>
      </w:pPr>
    </w:p>
    <w:p w14:paraId="06327A87" w14:textId="0EB54E09" w:rsidR="00CD68B8" w:rsidRDefault="00911130" w:rsidP="006F1659">
      <w:pPr>
        <w:spacing w:line="360" w:lineRule="auto"/>
        <w:rPr>
          <w:noProof/>
        </w:rPr>
      </w:pPr>
      <w:r w:rsidRPr="00911130">
        <w:rPr>
          <w:noProof/>
        </w:rPr>
        <w:drawing>
          <wp:inline distT="0" distB="0" distL="0" distR="0" wp14:anchorId="6B4C18B4" wp14:editId="49D9EDF6">
            <wp:extent cx="9177020" cy="3159760"/>
            <wp:effectExtent l="0" t="0" r="5080" b="254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177020" cy="3159760"/>
                    </a:xfrm>
                    <a:prstGeom prst="rect">
                      <a:avLst/>
                    </a:prstGeom>
                    <a:noFill/>
                    <a:ln>
                      <a:noFill/>
                    </a:ln>
                  </pic:spPr>
                </pic:pic>
              </a:graphicData>
            </a:graphic>
          </wp:inline>
        </w:drawing>
      </w:r>
    </w:p>
    <w:p w14:paraId="03C2819A" w14:textId="77777777" w:rsidR="00CD68B8" w:rsidRDefault="00CD68B8" w:rsidP="006F1659">
      <w:pPr>
        <w:spacing w:line="360" w:lineRule="auto"/>
        <w:rPr>
          <w:noProof/>
        </w:rPr>
      </w:pPr>
    </w:p>
    <w:p w14:paraId="57D64219" w14:textId="1E32E1CF" w:rsidR="0056706E" w:rsidRPr="0007572B" w:rsidRDefault="0056706E" w:rsidP="006F1659">
      <w:pPr>
        <w:spacing w:line="360" w:lineRule="auto"/>
        <w:rPr>
          <w:rFonts w:ascii="Arial" w:hAnsi="Arial" w:cs="Arial"/>
          <w:b/>
          <w:sz w:val="22"/>
          <w:szCs w:val="22"/>
        </w:rPr>
      </w:pPr>
    </w:p>
    <w:p w14:paraId="5E0EF686" w14:textId="4F6ACCEB" w:rsidR="00C01234" w:rsidRPr="0007572B" w:rsidRDefault="00C01234" w:rsidP="006F1659">
      <w:pPr>
        <w:spacing w:line="360" w:lineRule="auto"/>
        <w:rPr>
          <w:rFonts w:ascii="Arial" w:hAnsi="Arial" w:cs="Arial"/>
          <w:b/>
        </w:rPr>
      </w:pPr>
    </w:p>
    <w:p w14:paraId="470A9825" w14:textId="396475FB" w:rsidR="00C01234" w:rsidRPr="0007572B" w:rsidRDefault="00C01234" w:rsidP="006F1659">
      <w:pPr>
        <w:spacing w:line="360" w:lineRule="auto"/>
        <w:rPr>
          <w:rFonts w:ascii="Arial" w:hAnsi="Arial" w:cs="Arial"/>
          <w:b/>
          <w:sz w:val="40"/>
          <w:szCs w:val="40"/>
        </w:rPr>
        <w:sectPr w:rsidR="00C01234" w:rsidRPr="0007572B" w:rsidSect="004833A2">
          <w:headerReference w:type="default" r:id="rId114"/>
          <w:pgSz w:w="16838" w:h="11906" w:orient="landscape"/>
          <w:pgMar w:top="1080" w:right="946" w:bottom="1416" w:left="1440" w:header="283" w:footer="567" w:gutter="0"/>
          <w:cols w:space="708"/>
          <w:docGrid w:linePitch="360"/>
        </w:sectPr>
      </w:pPr>
    </w:p>
    <w:p w14:paraId="637E0CFC" w14:textId="77777777" w:rsidR="00C01234" w:rsidRPr="0007572B" w:rsidRDefault="00C01234" w:rsidP="006F1659">
      <w:pPr>
        <w:pStyle w:val="Heading4bold"/>
        <w:spacing w:line="360" w:lineRule="auto"/>
      </w:pPr>
      <w:r w:rsidRPr="0007572B">
        <w:lastRenderedPageBreak/>
        <w:t>Police Fund Intangible Assets:</w:t>
      </w:r>
    </w:p>
    <w:p w14:paraId="75C51721" w14:textId="210D8676" w:rsidR="00C01234" w:rsidRDefault="00C01234"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1EEC228E" w14:textId="47777720" w:rsidR="00990A8F" w:rsidRDefault="00160E07"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r w:rsidRPr="00160E07">
        <w:rPr>
          <w:noProof/>
        </w:rPr>
        <w:drawing>
          <wp:inline distT="0" distB="0" distL="0" distR="0" wp14:anchorId="4F2EFC9F" wp14:editId="0E1B0738">
            <wp:extent cx="5975350" cy="255270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975350" cy="2552700"/>
                    </a:xfrm>
                    <a:prstGeom prst="rect">
                      <a:avLst/>
                    </a:prstGeom>
                    <a:noFill/>
                    <a:ln>
                      <a:noFill/>
                    </a:ln>
                  </pic:spPr>
                </pic:pic>
              </a:graphicData>
            </a:graphic>
          </wp:inline>
        </w:drawing>
      </w:r>
    </w:p>
    <w:p w14:paraId="1B4D7D49" w14:textId="77777777" w:rsidR="00990A8F" w:rsidRPr="0007572B" w:rsidRDefault="00990A8F"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04CDE850" w14:textId="10B46318" w:rsidR="0056706E" w:rsidRPr="0007572B" w:rsidRDefault="0056706E"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251554C3" w14:textId="3EB23A0A" w:rsidR="00C01234" w:rsidRPr="0007572B" w:rsidRDefault="00C01234"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32F65A3A" w14:textId="77777777" w:rsidR="00C01234" w:rsidRPr="0007572B" w:rsidRDefault="00C01234" w:rsidP="006F1659">
      <w:pPr>
        <w:spacing w:line="360" w:lineRule="auto"/>
        <w:rPr>
          <w:rFonts w:ascii="Arial" w:hAnsi="Arial" w:cs="Arial"/>
          <w:b/>
          <w:sz w:val="22"/>
          <w:szCs w:val="22"/>
        </w:rPr>
      </w:pPr>
      <w:r w:rsidRPr="0007572B">
        <w:rPr>
          <w:rFonts w:ascii="Arial" w:hAnsi="Arial" w:cs="Arial"/>
          <w:b/>
          <w:sz w:val="22"/>
          <w:szCs w:val="22"/>
        </w:rPr>
        <w:br w:type="page"/>
      </w:r>
    </w:p>
    <w:p w14:paraId="7C09EF50" w14:textId="39613FE4" w:rsidR="00293CC5" w:rsidRPr="0007572B" w:rsidRDefault="00293CC5" w:rsidP="006F1659">
      <w:pPr>
        <w:pStyle w:val="Heaading2green"/>
        <w:spacing w:line="360" w:lineRule="auto"/>
      </w:pPr>
      <w:bookmarkStart w:id="207" w:name="_Toc109922649"/>
      <w:bookmarkStart w:id="208" w:name="_Hlk138337209"/>
      <w:r w:rsidRPr="0007572B">
        <w:lastRenderedPageBreak/>
        <w:t>Firefighters’ Pension Fund</w:t>
      </w:r>
      <w:bookmarkEnd w:id="207"/>
    </w:p>
    <w:p w14:paraId="6079CDA8" w14:textId="77777777" w:rsidR="005F371A" w:rsidRPr="005F371A" w:rsidRDefault="005F371A" w:rsidP="006F1659">
      <w:pPr>
        <w:spacing w:line="360" w:lineRule="auto"/>
        <w:rPr>
          <w:rFonts w:ascii="Arial" w:hAnsi="Arial" w:cs="Arial"/>
        </w:rPr>
      </w:pPr>
    </w:p>
    <w:p w14:paraId="323DBAEF" w14:textId="2A405A95" w:rsidR="00293CC5" w:rsidRPr="005F371A" w:rsidRDefault="00293CC5" w:rsidP="006F1659">
      <w:pPr>
        <w:spacing w:line="360" w:lineRule="auto"/>
        <w:rPr>
          <w:rFonts w:ascii="Arial" w:hAnsi="Arial" w:cs="Arial"/>
        </w:rPr>
      </w:pPr>
      <w:r w:rsidRPr="005F371A">
        <w:rPr>
          <w:rFonts w:ascii="Arial" w:hAnsi="Arial" w:cs="Arial"/>
        </w:rPr>
        <w:t>There is a requirement in the Code of Practice to produce a Pension Fund Account and Net Assets Statement in respect of the Firefighter’s Pension Scheme. The purpose of the Fund is to provide a basis for demonstrating the balance of cash based transactions taking place over the year and for identifying the arrangements needed to close the balance for the year. The primary objective is to separate the cost of providing pensions from the cost of running services.</w:t>
      </w:r>
    </w:p>
    <w:p w14:paraId="0539231E" w14:textId="77777777" w:rsidR="00293CC5" w:rsidRPr="0007572B" w:rsidRDefault="00293CC5" w:rsidP="006F1659">
      <w:pPr>
        <w:spacing w:line="360" w:lineRule="auto"/>
        <w:rPr>
          <w:rFonts w:ascii="Arial" w:hAnsi="Arial" w:cs="Arial"/>
          <w:sz w:val="28"/>
          <w:szCs w:val="28"/>
        </w:rPr>
      </w:pPr>
    </w:p>
    <w:p w14:paraId="7C04E387" w14:textId="242C3BAC" w:rsidR="00293CC5" w:rsidRDefault="00293CC5" w:rsidP="006F1659">
      <w:pPr>
        <w:spacing w:line="360" w:lineRule="auto"/>
        <w:rPr>
          <w:rFonts w:ascii="Arial" w:hAnsi="Arial" w:cs="Arial"/>
        </w:rPr>
      </w:pPr>
      <w:r w:rsidRPr="0007572B">
        <w:rPr>
          <w:rFonts w:ascii="Arial" w:hAnsi="Arial" w:cs="Arial"/>
        </w:rPr>
        <w:t>This is an unfunded scheme, which is administered in accordance with Home Office regulations. For such schemes as there are no investment assets, IAS19 requires recognition of the liability and pension reserve in the Balance Sheet and transactions in the Income and Expenditure Account for movements in the liability and reserve.</w:t>
      </w:r>
    </w:p>
    <w:p w14:paraId="28BAD9A7" w14:textId="42979F07" w:rsidR="00823103" w:rsidRPr="0007572B" w:rsidRDefault="00823103" w:rsidP="006F1659">
      <w:pPr>
        <w:pStyle w:val="Heading3"/>
        <w:spacing w:line="360" w:lineRule="auto"/>
      </w:pPr>
      <w:bookmarkStart w:id="209" w:name="_Toc92894912"/>
      <w:bookmarkStart w:id="210" w:name="_Toc92895216"/>
      <w:bookmarkStart w:id="211" w:name="_Toc109922650"/>
      <w:r>
        <w:t>Firefighters’ Pension Fund Account</w:t>
      </w:r>
      <w:bookmarkEnd w:id="209"/>
      <w:bookmarkEnd w:id="210"/>
      <w:bookmarkEnd w:id="211"/>
    </w:p>
    <w:p w14:paraId="6299A3A2" w14:textId="734A51F4" w:rsidR="00293CC5" w:rsidRDefault="00293CC5" w:rsidP="006F1659">
      <w:pPr>
        <w:spacing w:line="360" w:lineRule="auto"/>
        <w:rPr>
          <w:rFonts w:ascii="Arial" w:hAnsi="Arial" w:cs="Arial"/>
        </w:rPr>
      </w:pPr>
    </w:p>
    <w:p w14:paraId="0536ED5D" w14:textId="48A77055" w:rsidR="00990A8F" w:rsidRDefault="00410CDF" w:rsidP="006F1659">
      <w:pPr>
        <w:spacing w:line="360" w:lineRule="auto"/>
        <w:rPr>
          <w:rFonts w:ascii="Arial" w:hAnsi="Arial" w:cs="Arial"/>
        </w:rPr>
      </w:pPr>
      <w:r w:rsidRPr="00410CDF">
        <w:rPr>
          <w:rFonts w:ascii="Arial" w:hAnsi="Arial" w:cs="Arial"/>
        </w:rPr>
        <w:t xml:space="preserve"> </w:t>
      </w:r>
      <w:r w:rsidR="004A79D6" w:rsidRPr="004A79D6">
        <w:rPr>
          <w:noProof/>
        </w:rPr>
        <w:drawing>
          <wp:inline distT="0" distB="0" distL="0" distR="0" wp14:anchorId="3470696C" wp14:editId="606C7186">
            <wp:extent cx="5010150" cy="2668787"/>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26493" cy="2677493"/>
                    </a:xfrm>
                    <a:prstGeom prst="rect">
                      <a:avLst/>
                    </a:prstGeom>
                    <a:noFill/>
                    <a:ln>
                      <a:noFill/>
                    </a:ln>
                  </pic:spPr>
                </pic:pic>
              </a:graphicData>
            </a:graphic>
          </wp:inline>
        </w:drawing>
      </w:r>
    </w:p>
    <w:p w14:paraId="3A6EAF11" w14:textId="77777777" w:rsidR="00990A8F" w:rsidRPr="0007572B" w:rsidRDefault="00990A8F" w:rsidP="006F1659">
      <w:pPr>
        <w:spacing w:line="360" w:lineRule="auto"/>
        <w:rPr>
          <w:rFonts w:ascii="Arial" w:hAnsi="Arial" w:cs="Arial"/>
        </w:rPr>
      </w:pPr>
    </w:p>
    <w:p w14:paraId="313AD74B" w14:textId="77777777" w:rsidR="00293CC5" w:rsidRPr="0007572B" w:rsidRDefault="00293CC5" w:rsidP="006F1659">
      <w:pPr>
        <w:pStyle w:val="Heading3"/>
        <w:spacing w:line="360" w:lineRule="auto"/>
      </w:pPr>
      <w:bookmarkStart w:id="212" w:name="_Toc92894913"/>
      <w:bookmarkStart w:id="213" w:name="_Toc92895217"/>
      <w:bookmarkStart w:id="214" w:name="_Toc109922651"/>
      <w:r w:rsidRPr="0007572B">
        <w:t>Net asset statement</w:t>
      </w:r>
      <w:bookmarkEnd w:id="212"/>
      <w:bookmarkEnd w:id="213"/>
      <w:bookmarkEnd w:id="214"/>
    </w:p>
    <w:p w14:paraId="39622041" w14:textId="13544FDB" w:rsidR="00293CC5" w:rsidRDefault="00293CC5" w:rsidP="006F1659">
      <w:pPr>
        <w:spacing w:line="360" w:lineRule="auto"/>
        <w:rPr>
          <w:rFonts w:ascii="Arial" w:hAnsi="Arial" w:cs="Arial"/>
        </w:rPr>
      </w:pPr>
    </w:p>
    <w:p w14:paraId="248852DC" w14:textId="71691DF8" w:rsidR="00600DE2" w:rsidRDefault="004A79D6" w:rsidP="006F1659">
      <w:pPr>
        <w:spacing w:line="360" w:lineRule="auto"/>
        <w:rPr>
          <w:rFonts w:ascii="Arial" w:hAnsi="Arial" w:cs="Arial"/>
        </w:rPr>
      </w:pPr>
      <w:r w:rsidRPr="004A79D6">
        <w:rPr>
          <w:noProof/>
        </w:rPr>
        <w:drawing>
          <wp:inline distT="0" distB="0" distL="0" distR="0" wp14:anchorId="34ACB94D" wp14:editId="63D3DA45">
            <wp:extent cx="5143500" cy="95357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166224" cy="957783"/>
                    </a:xfrm>
                    <a:prstGeom prst="rect">
                      <a:avLst/>
                    </a:prstGeom>
                    <a:noFill/>
                    <a:ln>
                      <a:noFill/>
                    </a:ln>
                  </pic:spPr>
                </pic:pic>
              </a:graphicData>
            </a:graphic>
          </wp:inline>
        </w:drawing>
      </w:r>
    </w:p>
    <w:p w14:paraId="29DBAC2C" w14:textId="6E4E97F1" w:rsidR="00293CC5" w:rsidRPr="0007572B" w:rsidRDefault="00293CC5" w:rsidP="006F1659">
      <w:pPr>
        <w:spacing w:line="360" w:lineRule="auto"/>
        <w:rPr>
          <w:rFonts w:ascii="Arial" w:hAnsi="Arial" w:cs="Arial"/>
        </w:rPr>
      </w:pPr>
    </w:p>
    <w:p w14:paraId="2FDDD2D7" w14:textId="12EF340E" w:rsidR="00293CC5" w:rsidRPr="0007572B" w:rsidRDefault="00293CC5" w:rsidP="006F1659">
      <w:pPr>
        <w:spacing w:line="360" w:lineRule="auto"/>
        <w:rPr>
          <w:rFonts w:ascii="Arial" w:hAnsi="Arial" w:cs="Arial"/>
        </w:rPr>
      </w:pPr>
      <w:r w:rsidRPr="0007572B">
        <w:rPr>
          <w:rFonts w:ascii="Arial" w:hAnsi="Arial" w:cs="Arial"/>
        </w:rPr>
        <w:t xml:space="preserve">The funding arrangements for the Firefighters’ Pension Scheme in England changed on 1 April 2006. Before 1 April 2006 these schemes did not have a percentage of pensionable pay type of employer’s contribution - rather each </w:t>
      </w:r>
      <w:r w:rsidR="00D952FE" w:rsidRPr="0007572B">
        <w:rPr>
          <w:rFonts w:ascii="Arial" w:hAnsi="Arial" w:cs="Arial"/>
        </w:rPr>
        <w:t>a</w:t>
      </w:r>
      <w:r w:rsidRPr="0007572B">
        <w:rPr>
          <w:rFonts w:ascii="Arial" w:hAnsi="Arial" w:cs="Arial"/>
        </w:rPr>
        <w:t xml:space="preserve">uthority was responsible for paying the pensions of its own former employees on a pay as you go basis. Under the new arrangements the schemes remain unfunded but Authorities will pay an employer’s pension contribution based on a percentage of pay into the Pension Fund. Each </w:t>
      </w:r>
      <w:r w:rsidR="00D952FE" w:rsidRPr="0007572B">
        <w:rPr>
          <w:rFonts w:ascii="Arial" w:hAnsi="Arial" w:cs="Arial"/>
        </w:rPr>
        <w:t>a</w:t>
      </w:r>
      <w:r w:rsidRPr="0007572B">
        <w:rPr>
          <w:rFonts w:ascii="Arial" w:hAnsi="Arial" w:cs="Arial"/>
        </w:rPr>
        <w:t>uthority in England is required by legislation to operate a Pension Fund and the amounts that must be paid into and out of the Fund are specified by regulation under the Firefighters’ Pension Scheme (Amendment) (England) Order 2006.</w:t>
      </w:r>
    </w:p>
    <w:p w14:paraId="6BEE47B6" w14:textId="77777777" w:rsidR="00293CC5" w:rsidRPr="0007572B" w:rsidRDefault="00293CC5" w:rsidP="006F1659">
      <w:pPr>
        <w:spacing w:line="360" w:lineRule="auto"/>
        <w:rPr>
          <w:rFonts w:ascii="Arial" w:hAnsi="Arial" w:cs="Arial"/>
        </w:rPr>
      </w:pPr>
    </w:p>
    <w:p w14:paraId="2F420781" w14:textId="1957DA11" w:rsidR="00293CC5" w:rsidRPr="0007572B" w:rsidRDefault="00293CC5" w:rsidP="006F1659">
      <w:pPr>
        <w:spacing w:line="360" w:lineRule="auto"/>
        <w:rPr>
          <w:rFonts w:ascii="Arial" w:hAnsi="Arial" w:cs="Arial"/>
        </w:rPr>
      </w:pPr>
      <w:r w:rsidRPr="0007572B">
        <w:rPr>
          <w:rFonts w:ascii="Arial" w:hAnsi="Arial" w:cs="Arial"/>
        </w:rPr>
        <w:t xml:space="preserve">Employees’ and employers’ contribution levels are based on percentages of pensionable pay set nationally by the Government Actuary Department (GAD) and are subject to </w:t>
      </w:r>
      <w:r w:rsidRPr="000E6B9C">
        <w:rPr>
          <w:rFonts w:ascii="Arial" w:hAnsi="Arial" w:cs="Arial"/>
        </w:rPr>
        <w:t>revaluation</w:t>
      </w:r>
      <w:r w:rsidR="00970BA2">
        <w:rPr>
          <w:rFonts w:ascii="Arial" w:hAnsi="Arial" w:cs="Arial"/>
        </w:rPr>
        <w:t xml:space="preserve"> every four years</w:t>
      </w:r>
      <w:r w:rsidRPr="000E6B9C">
        <w:rPr>
          <w:rFonts w:ascii="Arial" w:hAnsi="Arial" w:cs="Arial"/>
        </w:rPr>
        <w:t>.</w:t>
      </w:r>
    </w:p>
    <w:p w14:paraId="1326B968" w14:textId="77777777" w:rsidR="00293CC5" w:rsidRPr="0007572B" w:rsidRDefault="00293CC5" w:rsidP="006F1659">
      <w:pPr>
        <w:spacing w:line="360" w:lineRule="auto"/>
        <w:rPr>
          <w:rFonts w:ascii="Arial" w:hAnsi="Arial" w:cs="Arial"/>
        </w:rPr>
      </w:pPr>
    </w:p>
    <w:p w14:paraId="72BD31A0" w14:textId="77777777" w:rsidR="000E6B9C" w:rsidRPr="0007572B" w:rsidRDefault="000E6B9C" w:rsidP="006F1659">
      <w:pPr>
        <w:spacing w:line="360" w:lineRule="auto"/>
        <w:rPr>
          <w:rFonts w:ascii="Arial" w:hAnsi="Arial" w:cs="Arial"/>
        </w:rPr>
      </w:pPr>
      <w:r w:rsidRPr="000E6B9C">
        <w:rPr>
          <w:rFonts w:ascii="Arial" w:hAnsi="Arial" w:cs="Arial"/>
        </w:rPr>
        <w:t>The latest valuation was carried out based on data as at 31 March 2020. This has then been rolled forward to reflect the position as at 31 March 2023. In particular allowing for service accrued between 1 April 2020 and 31 March 2023 and known pension and salary increases that would have applied.</w:t>
      </w:r>
    </w:p>
    <w:p w14:paraId="4FE3D708" w14:textId="77777777" w:rsidR="000E6B9C" w:rsidRDefault="000E6B9C" w:rsidP="006F1659">
      <w:pPr>
        <w:spacing w:line="360" w:lineRule="auto"/>
        <w:rPr>
          <w:rFonts w:ascii="Arial" w:hAnsi="Arial" w:cs="Arial"/>
        </w:rPr>
      </w:pPr>
    </w:p>
    <w:p w14:paraId="4FA38094" w14:textId="04947F49" w:rsidR="00293CC5" w:rsidRPr="0007572B" w:rsidRDefault="00293CC5" w:rsidP="006F1659">
      <w:pPr>
        <w:spacing w:line="360" w:lineRule="auto"/>
        <w:rPr>
          <w:rFonts w:ascii="Arial" w:hAnsi="Arial" w:cs="Arial"/>
        </w:rPr>
      </w:pPr>
      <w:r w:rsidRPr="0007572B">
        <w:rPr>
          <w:rFonts w:ascii="Arial" w:hAnsi="Arial" w:cs="Arial"/>
        </w:rPr>
        <w:t>There are no investment assets and the fund is balanced to nil each year by receipt of pension top-up grant from the Home Office or by paying over any surplus to the Home Office. The fund’s financial statements do not take into account liabilities to pay pensions and other benefits after the period end.</w:t>
      </w:r>
    </w:p>
    <w:p w14:paraId="4E8897A4" w14:textId="77777777" w:rsidR="00293CC5" w:rsidRPr="0007572B" w:rsidRDefault="00293CC5" w:rsidP="006F1659">
      <w:pPr>
        <w:spacing w:line="360" w:lineRule="auto"/>
        <w:rPr>
          <w:rFonts w:ascii="Arial" w:hAnsi="Arial" w:cs="Arial"/>
        </w:rPr>
      </w:pPr>
    </w:p>
    <w:p w14:paraId="692E3B4D" w14:textId="77777777" w:rsidR="00293CC5" w:rsidRPr="0007572B" w:rsidRDefault="00293CC5" w:rsidP="006F1659">
      <w:pPr>
        <w:spacing w:line="360" w:lineRule="auto"/>
        <w:rPr>
          <w:rFonts w:ascii="Arial" w:hAnsi="Arial" w:cs="Arial"/>
        </w:rPr>
      </w:pPr>
      <w:r w:rsidRPr="0007572B">
        <w:rPr>
          <w:rFonts w:ascii="Arial" w:hAnsi="Arial" w:cs="Arial"/>
        </w:rPr>
        <w:t>The accounting policies adopted for the production of the pension fund account are in line with recommended practice and follow those that apply to the Authority’s primary statements.</w:t>
      </w:r>
    </w:p>
    <w:p w14:paraId="2DA5F92D" w14:textId="77777777" w:rsidR="00293CC5" w:rsidRPr="0007572B" w:rsidRDefault="00293CC5" w:rsidP="006F1659">
      <w:pPr>
        <w:pStyle w:val="AGS-Bullets"/>
        <w:numPr>
          <w:ilvl w:val="0"/>
          <w:numId w:val="0"/>
        </w:numPr>
        <w:spacing w:line="360" w:lineRule="auto"/>
        <w:rPr>
          <w:sz w:val="24"/>
          <w:szCs w:val="24"/>
        </w:rPr>
      </w:pPr>
    </w:p>
    <w:p w14:paraId="03C7BADE" w14:textId="3334650D" w:rsidR="002A74DB" w:rsidRPr="0007572B" w:rsidRDefault="00293CC5" w:rsidP="006F1659">
      <w:pPr>
        <w:pStyle w:val="AGS-Bullets"/>
        <w:numPr>
          <w:ilvl w:val="0"/>
          <w:numId w:val="0"/>
        </w:numPr>
        <w:spacing w:line="360" w:lineRule="auto"/>
        <w:rPr>
          <w:sz w:val="24"/>
          <w:szCs w:val="24"/>
        </w:rPr>
      </w:pPr>
      <w:r w:rsidRPr="0007572B">
        <w:rPr>
          <w:sz w:val="24"/>
          <w:szCs w:val="24"/>
        </w:rPr>
        <w:t xml:space="preserve">The Fund’s financial statements do not take into account liabilities to pay pensions after 31 March </w:t>
      </w:r>
      <w:r w:rsidR="00502211">
        <w:rPr>
          <w:sz w:val="24"/>
          <w:szCs w:val="24"/>
        </w:rPr>
        <w:t>202</w:t>
      </w:r>
      <w:r w:rsidR="00353B6F">
        <w:rPr>
          <w:sz w:val="24"/>
          <w:szCs w:val="24"/>
        </w:rPr>
        <w:t>3</w:t>
      </w:r>
      <w:r w:rsidRPr="0007572B">
        <w:rPr>
          <w:sz w:val="24"/>
          <w:szCs w:val="24"/>
        </w:rPr>
        <w:t>. Liabilities to pay future payments are included in the IAS19 charges and notes to the Financial Statements.</w:t>
      </w:r>
      <w:bookmarkEnd w:id="208"/>
    </w:p>
    <w:p w14:paraId="775803CB" w14:textId="77777777" w:rsidR="00795BE0" w:rsidRPr="0007572B" w:rsidRDefault="00293CC5" w:rsidP="006F1659">
      <w:pPr>
        <w:pStyle w:val="BodyText"/>
        <w:spacing w:line="360" w:lineRule="auto"/>
        <w:rPr>
          <w:b/>
          <w:sz w:val="40"/>
          <w:szCs w:val="40"/>
        </w:rPr>
      </w:pPr>
      <w:r w:rsidRPr="0007572B">
        <w:rPr>
          <w:b/>
          <w:sz w:val="40"/>
          <w:szCs w:val="40"/>
        </w:rPr>
        <w:br w:type="page"/>
      </w:r>
    </w:p>
    <w:p w14:paraId="069676F7" w14:textId="77777777" w:rsidR="00795BE0" w:rsidRDefault="00795BE0" w:rsidP="006F1659">
      <w:pPr>
        <w:spacing w:line="360" w:lineRule="auto"/>
        <w:rPr>
          <w:rFonts w:ascii="Arial" w:hAnsi="Arial" w:cs="Arial"/>
          <w:b/>
          <w:sz w:val="40"/>
          <w:szCs w:val="40"/>
        </w:rPr>
      </w:pPr>
    </w:p>
    <w:p w14:paraId="555E8AB7" w14:textId="77777777" w:rsidR="00795BE0" w:rsidRDefault="00795BE0" w:rsidP="006F1659">
      <w:pPr>
        <w:spacing w:line="360" w:lineRule="auto"/>
        <w:rPr>
          <w:rFonts w:ascii="Arial" w:hAnsi="Arial" w:cs="Arial"/>
          <w:b/>
          <w:sz w:val="40"/>
          <w:szCs w:val="40"/>
        </w:rPr>
      </w:pPr>
    </w:p>
    <w:p w14:paraId="26FC7609" w14:textId="77777777" w:rsidR="00795BE0" w:rsidRDefault="00795BE0" w:rsidP="006F1659">
      <w:pPr>
        <w:spacing w:line="360" w:lineRule="auto"/>
        <w:rPr>
          <w:rFonts w:ascii="Arial" w:hAnsi="Arial" w:cs="Arial"/>
          <w:b/>
          <w:sz w:val="40"/>
          <w:szCs w:val="40"/>
        </w:rPr>
      </w:pPr>
    </w:p>
    <w:p w14:paraId="3E48EBCB" w14:textId="77777777" w:rsidR="00795BE0" w:rsidRDefault="00795BE0" w:rsidP="006F1659">
      <w:pPr>
        <w:spacing w:line="360" w:lineRule="auto"/>
        <w:rPr>
          <w:rFonts w:ascii="Arial" w:hAnsi="Arial" w:cs="Arial"/>
          <w:b/>
          <w:sz w:val="40"/>
          <w:szCs w:val="40"/>
        </w:rPr>
      </w:pPr>
    </w:p>
    <w:p w14:paraId="0E8AB140" w14:textId="77777777" w:rsidR="00795BE0" w:rsidRDefault="00795BE0" w:rsidP="006F1659">
      <w:pPr>
        <w:spacing w:line="360" w:lineRule="auto"/>
        <w:rPr>
          <w:rFonts w:ascii="Arial" w:hAnsi="Arial" w:cs="Arial"/>
          <w:b/>
          <w:sz w:val="40"/>
          <w:szCs w:val="40"/>
        </w:rPr>
      </w:pPr>
    </w:p>
    <w:p w14:paraId="79BEAA4E" w14:textId="77777777" w:rsidR="00795BE0" w:rsidRDefault="00795BE0" w:rsidP="006F1659">
      <w:pPr>
        <w:spacing w:line="360" w:lineRule="auto"/>
        <w:rPr>
          <w:rFonts w:ascii="Arial" w:hAnsi="Arial" w:cs="Arial"/>
          <w:b/>
          <w:sz w:val="40"/>
          <w:szCs w:val="40"/>
        </w:rPr>
      </w:pPr>
    </w:p>
    <w:p w14:paraId="22986C2C" w14:textId="77777777" w:rsidR="00795BE0" w:rsidRPr="0007572B" w:rsidRDefault="00795BE0" w:rsidP="006F1659">
      <w:pPr>
        <w:spacing w:line="360" w:lineRule="auto"/>
        <w:rPr>
          <w:rFonts w:ascii="Arial" w:hAnsi="Arial" w:cs="Arial"/>
          <w:b/>
          <w:sz w:val="40"/>
          <w:szCs w:val="40"/>
        </w:rPr>
      </w:pPr>
    </w:p>
    <w:p w14:paraId="4C7A94F2" w14:textId="77777777" w:rsidR="00795BE0" w:rsidRPr="005F371A" w:rsidRDefault="00795BE0" w:rsidP="006F1659">
      <w:pPr>
        <w:pStyle w:val="Heading1"/>
        <w:spacing w:line="360" w:lineRule="auto"/>
        <w:jc w:val="center"/>
      </w:pPr>
      <w:bookmarkStart w:id="215" w:name="_Toc92895218"/>
      <w:bookmarkStart w:id="216" w:name="_Toc109922652"/>
      <w:r w:rsidRPr="005F371A">
        <w:t>Greater Manchester Combined Authority</w:t>
      </w:r>
      <w:r>
        <w:t xml:space="preserve"> - Group Accounts</w:t>
      </w:r>
      <w:bookmarkEnd w:id="215"/>
      <w:bookmarkEnd w:id="216"/>
    </w:p>
    <w:p w14:paraId="15B0F443" w14:textId="77777777" w:rsidR="00795BE0" w:rsidRPr="0007572B" w:rsidRDefault="00795BE0" w:rsidP="006F1659">
      <w:pPr>
        <w:spacing w:line="360" w:lineRule="auto"/>
        <w:rPr>
          <w:rFonts w:ascii="Arial" w:hAnsi="Arial" w:cs="Arial"/>
          <w:b/>
          <w:sz w:val="22"/>
          <w:szCs w:val="22"/>
        </w:rPr>
      </w:pPr>
    </w:p>
    <w:p w14:paraId="40977AD8" w14:textId="77777777" w:rsidR="00795BE0" w:rsidRPr="0007572B" w:rsidRDefault="00795BE0" w:rsidP="006F1659">
      <w:pPr>
        <w:spacing w:line="360" w:lineRule="auto"/>
        <w:rPr>
          <w:rFonts w:ascii="Arial" w:hAnsi="Arial" w:cs="Arial"/>
          <w:b/>
          <w:sz w:val="22"/>
          <w:szCs w:val="22"/>
        </w:rPr>
      </w:pPr>
      <w:r w:rsidRPr="0007572B">
        <w:rPr>
          <w:rFonts w:ascii="Arial" w:hAnsi="Arial" w:cs="Arial"/>
          <w:b/>
          <w:sz w:val="22"/>
          <w:szCs w:val="22"/>
        </w:rPr>
        <w:br w:type="page"/>
      </w:r>
    </w:p>
    <w:p w14:paraId="0E507568" w14:textId="77777777" w:rsidR="00795BE0" w:rsidRPr="0007572B" w:rsidRDefault="00795BE0" w:rsidP="006F1659">
      <w:pPr>
        <w:pStyle w:val="Heading2green"/>
        <w:spacing w:line="360" w:lineRule="auto"/>
      </w:pPr>
      <w:bookmarkStart w:id="217" w:name="_Toc92895219"/>
      <w:bookmarkStart w:id="218" w:name="_Toc109922653"/>
      <w:r w:rsidRPr="0007572B">
        <w:lastRenderedPageBreak/>
        <w:t>Introduction</w:t>
      </w:r>
      <w:bookmarkEnd w:id="217"/>
      <w:bookmarkEnd w:id="218"/>
    </w:p>
    <w:p w14:paraId="3FB4CE74" w14:textId="77777777" w:rsidR="00795BE0" w:rsidRPr="0007572B" w:rsidRDefault="00795BE0" w:rsidP="006F1659">
      <w:pPr>
        <w:pStyle w:val="Heading3"/>
        <w:spacing w:line="360" w:lineRule="auto"/>
        <w:rPr>
          <w:lang w:val="en-US"/>
        </w:rPr>
      </w:pPr>
      <w:bookmarkStart w:id="219" w:name="_Toc92894916"/>
      <w:bookmarkStart w:id="220" w:name="_Toc92895220"/>
      <w:bookmarkStart w:id="221" w:name="_Toc109922654"/>
      <w:r w:rsidRPr="0007572B">
        <w:rPr>
          <w:lang w:val="en-US"/>
        </w:rPr>
        <w:t>Background</w:t>
      </w:r>
      <w:bookmarkEnd w:id="219"/>
      <w:bookmarkEnd w:id="220"/>
      <w:bookmarkEnd w:id="221"/>
    </w:p>
    <w:p w14:paraId="16611069"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The Accounting Code of Practice requires that where an authority has material financial interests and a significant level of control over one or more entities, it should prepare Group Accounts. The aim of these statements is to give an overall picture of the Authority’s financial activities and the resources employed in carrying out those activities.</w:t>
      </w:r>
    </w:p>
    <w:p w14:paraId="24BF3E93" w14:textId="77777777" w:rsidR="00795BE0" w:rsidRPr="0007572B" w:rsidRDefault="00795BE0" w:rsidP="006F1659">
      <w:pPr>
        <w:spacing w:line="360" w:lineRule="auto"/>
        <w:rPr>
          <w:rFonts w:ascii="Arial" w:hAnsi="Arial" w:cs="Arial"/>
          <w:color w:val="000000"/>
          <w:lang w:val="en-US"/>
        </w:rPr>
      </w:pPr>
    </w:p>
    <w:p w14:paraId="57D04A3E"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 xml:space="preserve">The Group Accounts comprise the following key financial statements (with appropriate disclosures): </w:t>
      </w:r>
    </w:p>
    <w:p w14:paraId="6CBD193E" w14:textId="77777777" w:rsidR="00795BE0" w:rsidRPr="0007572B" w:rsidRDefault="00795BE0" w:rsidP="006F1659">
      <w:pPr>
        <w:spacing w:line="360" w:lineRule="auto"/>
        <w:rPr>
          <w:rFonts w:ascii="Arial" w:hAnsi="Arial" w:cs="Arial"/>
          <w:color w:val="000000"/>
          <w:lang w:val="en-US"/>
        </w:rPr>
      </w:pPr>
    </w:p>
    <w:p w14:paraId="2D7E4EDE" w14:textId="64A44B52"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Comprehensive Income and Expenditure </w:t>
      </w:r>
      <w:r w:rsidR="000B7231" w:rsidRPr="0007572B">
        <w:rPr>
          <w:rFonts w:ascii="Arial" w:hAnsi="Arial" w:cs="Arial"/>
          <w:color w:val="000000"/>
          <w:lang w:val="en-US"/>
        </w:rPr>
        <w:t>Statement.</w:t>
      </w:r>
    </w:p>
    <w:p w14:paraId="61A4717D" w14:textId="7615724B"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Movement in Reserves </w:t>
      </w:r>
      <w:r w:rsidR="000B7231" w:rsidRPr="0007572B">
        <w:rPr>
          <w:rFonts w:ascii="Arial" w:hAnsi="Arial" w:cs="Arial"/>
          <w:color w:val="000000"/>
          <w:lang w:val="en-US"/>
        </w:rPr>
        <w:t>Statement.</w:t>
      </w:r>
    </w:p>
    <w:p w14:paraId="7CA2B640" w14:textId="23209960"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Balance </w:t>
      </w:r>
      <w:r w:rsidR="000B7231" w:rsidRPr="0007572B">
        <w:rPr>
          <w:rFonts w:ascii="Arial" w:hAnsi="Arial" w:cs="Arial"/>
          <w:color w:val="000000"/>
          <w:lang w:val="en-US"/>
        </w:rPr>
        <w:t>Sheet.</w:t>
      </w:r>
    </w:p>
    <w:p w14:paraId="0936C065" w14:textId="77777777"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Group Cash Flow Statement.</w:t>
      </w:r>
    </w:p>
    <w:p w14:paraId="147FA202" w14:textId="77777777" w:rsidR="00795BE0" w:rsidRPr="005F371A" w:rsidRDefault="00795BE0" w:rsidP="006F1659">
      <w:pPr>
        <w:pStyle w:val="Heading3"/>
        <w:spacing w:line="360" w:lineRule="auto"/>
      </w:pPr>
      <w:bookmarkStart w:id="222" w:name="_Toc92894917"/>
      <w:bookmarkStart w:id="223" w:name="_Toc92895221"/>
      <w:bookmarkStart w:id="224" w:name="_Toc109922655"/>
      <w:r w:rsidRPr="005F371A">
        <w:t>The Greater Manchester Combined Authority Group:</w:t>
      </w:r>
      <w:bookmarkEnd w:id="222"/>
      <w:bookmarkEnd w:id="223"/>
      <w:bookmarkEnd w:id="224"/>
    </w:p>
    <w:p w14:paraId="7F76ECDB"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A review of the entities related to the Authority has taken place and the conclusions are provided below:</w:t>
      </w:r>
    </w:p>
    <w:p w14:paraId="10698E5D" w14:textId="77777777" w:rsidR="00795BE0" w:rsidRDefault="00795BE0" w:rsidP="006F1659">
      <w:pPr>
        <w:pStyle w:val="Heading3"/>
        <w:spacing w:line="360" w:lineRule="auto"/>
      </w:pPr>
      <w:bookmarkStart w:id="225" w:name="_Toc92894918"/>
      <w:bookmarkStart w:id="226" w:name="_Toc92895222"/>
      <w:bookmarkStart w:id="227" w:name="_Toc109922656"/>
      <w:r w:rsidRPr="005F371A">
        <w:t>Bodies Consolidated:</w:t>
      </w:r>
      <w:bookmarkEnd w:id="225"/>
      <w:bookmarkEnd w:id="226"/>
      <w:bookmarkEnd w:id="227"/>
    </w:p>
    <w:p w14:paraId="3C87428D" w14:textId="77777777" w:rsidR="00795BE0" w:rsidRPr="005F371A" w:rsidRDefault="00795BE0" w:rsidP="006F1659">
      <w:pPr>
        <w:spacing w:line="360" w:lineRule="auto"/>
      </w:pPr>
    </w:p>
    <w:p w14:paraId="2C1100FA" w14:textId="77777777" w:rsidR="00795BE0" w:rsidRPr="0007572B" w:rsidRDefault="00795BE0" w:rsidP="006F1659">
      <w:pPr>
        <w:pStyle w:val="Heading4bold"/>
        <w:spacing w:line="360" w:lineRule="auto"/>
        <w:rPr>
          <w:lang w:val="en-US"/>
        </w:rPr>
      </w:pPr>
      <w:r w:rsidRPr="0007572B">
        <w:rPr>
          <w:lang w:val="en-US"/>
        </w:rPr>
        <w:t>Chief Constable of Greater Manchester Police (GMP)</w:t>
      </w:r>
    </w:p>
    <w:p w14:paraId="235F43EC"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GMP is to continue to be included in the Authority’s group accounts.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18BD8B0E" w14:textId="77777777" w:rsidR="00795BE0" w:rsidRPr="0007572B" w:rsidRDefault="00795BE0" w:rsidP="006F1659">
      <w:pPr>
        <w:spacing w:line="360" w:lineRule="auto"/>
        <w:rPr>
          <w:rFonts w:ascii="Arial" w:hAnsi="Arial" w:cs="Arial"/>
          <w:color w:val="000000"/>
          <w:lang w:val="en-US"/>
        </w:rPr>
      </w:pPr>
    </w:p>
    <w:p w14:paraId="3A8C5527" w14:textId="77777777" w:rsidR="00795BE0" w:rsidRDefault="00795BE0" w:rsidP="006F1659">
      <w:pPr>
        <w:spacing w:line="360" w:lineRule="auto"/>
        <w:rPr>
          <w:rFonts w:ascii="Arial" w:eastAsia="Calibri" w:hAnsi="Arial" w:cs="Arial"/>
          <w:color w:val="000000"/>
          <w:lang w:val="en-US"/>
        </w:rPr>
      </w:pPr>
      <w:r w:rsidRPr="0007572B">
        <w:rPr>
          <w:rFonts w:ascii="Arial" w:hAnsi="Arial" w:cs="Arial"/>
          <w:color w:val="000000"/>
          <w:lang w:val="en-US"/>
        </w:rPr>
        <w:t xml:space="preserve">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w:t>
      </w:r>
      <w:r w:rsidRPr="0007572B">
        <w:rPr>
          <w:rFonts w:ascii="Arial" w:hAnsi="Arial" w:cs="Arial"/>
          <w:color w:val="000000"/>
          <w:lang w:val="en-US"/>
        </w:rPr>
        <w:lastRenderedPageBreak/>
        <w:t>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 Details of the Mayoral Police Fund are disclosed in </w:t>
      </w:r>
      <w:r>
        <w:rPr>
          <w:rFonts w:ascii="Arial" w:eastAsia="Calibri" w:hAnsi="Arial" w:cs="Arial"/>
          <w:color w:val="000000"/>
          <w:lang w:val="en-US"/>
        </w:rPr>
        <w:t xml:space="preserve">the </w:t>
      </w:r>
      <w:r w:rsidRPr="0007572B">
        <w:rPr>
          <w:rFonts w:ascii="Arial" w:eastAsia="Calibri" w:hAnsi="Arial" w:cs="Arial"/>
          <w:color w:val="000000"/>
          <w:lang w:val="en-US"/>
        </w:rPr>
        <w:t>note</w:t>
      </w:r>
      <w:r>
        <w:rPr>
          <w:rFonts w:ascii="Arial" w:eastAsia="Calibri" w:hAnsi="Arial" w:cs="Arial"/>
          <w:color w:val="000000"/>
          <w:lang w:val="en-US"/>
        </w:rPr>
        <w:t>s to the single entity statements</w:t>
      </w:r>
      <w:r w:rsidRPr="0007572B">
        <w:rPr>
          <w:rFonts w:ascii="Arial" w:eastAsia="Calibri" w:hAnsi="Arial" w:cs="Arial"/>
          <w:color w:val="000000"/>
          <w:lang w:val="en-US"/>
        </w:rPr>
        <w:t>.</w:t>
      </w:r>
    </w:p>
    <w:p w14:paraId="34AB946F" w14:textId="77777777" w:rsidR="00795BE0" w:rsidRDefault="00795BE0" w:rsidP="006F1659">
      <w:pPr>
        <w:spacing w:line="360" w:lineRule="auto"/>
        <w:rPr>
          <w:rFonts w:ascii="Arial" w:eastAsia="Calibri" w:hAnsi="Arial" w:cs="Arial"/>
          <w:color w:val="000000"/>
          <w:lang w:val="en-US"/>
        </w:rPr>
      </w:pPr>
    </w:p>
    <w:p w14:paraId="356A22F1" w14:textId="77777777" w:rsidR="00795BE0" w:rsidRPr="0007572B" w:rsidRDefault="00795BE0" w:rsidP="006F1659">
      <w:pPr>
        <w:pStyle w:val="Heading4bold"/>
        <w:spacing w:line="360" w:lineRule="auto"/>
        <w:rPr>
          <w:lang w:val="en-US"/>
        </w:rPr>
      </w:pPr>
      <w:r w:rsidRPr="0007572B">
        <w:rPr>
          <w:lang w:val="en-US"/>
        </w:rPr>
        <w:t>Transport for Greater Manchester (TfGM)</w:t>
      </w:r>
    </w:p>
    <w:p w14:paraId="43CB4F5E" w14:textId="77777777" w:rsidR="00795BE0" w:rsidRDefault="00795BE0" w:rsidP="006F1659">
      <w:pPr>
        <w:spacing w:line="360" w:lineRule="auto"/>
        <w:rPr>
          <w:rFonts w:ascii="Arial" w:hAnsi="Arial" w:cs="Arial"/>
          <w:color w:val="000000"/>
          <w:lang w:val="en-US"/>
        </w:rPr>
      </w:pPr>
      <w:r w:rsidRPr="0007572B">
        <w:rPr>
          <w:rFonts w:ascii="Arial" w:hAnsi="Arial" w:cs="Arial"/>
          <w:color w:val="000000"/>
          <w:lang w:val="en-US"/>
        </w:rPr>
        <w:t xml:space="preserve">TfGM is to continue to be included in the Authority’s group accounts. The Authority and/or the Mayor sets local public transport policy and is responsible for deciding how funds are spent on supporting and improving Greater Manchester’s public transport network. The decisions of the Authority and/or the Mayor are implemented by TfGM and TfGM is responsible for implementing the policies of the Authority. </w:t>
      </w:r>
    </w:p>
    <w:p w14:paraId="69B09E7D" w14:textId="77777777" w:rsidR="00795BE0" w:rsidRDefault="00795BE0" w:rsidP="006F1659">
      <w:pPr>
        <w:spacing w:line="360" w:lineRule="auto"/>
        <w:rPr>
          <w:rFonts w:ascii="Arial" w:hAnsi="Arial" w:cs="Arial"/>
          <w:color w:val="000000"/>
          <w:lang w:val="en-US"/>
        </w:rPr>
      </w:pPr>
    </w:p>
    <w:p w14:paraId="37BD1D58"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r>
        <w:rPr>
          <w:rFonts w:ascii="Arial" w:hAnsi="Arial" w:cs="Arial"/>
          <w:color w:val="000000"/>
          <w:lang w:val="en-US"/>
        </w:rPr>
        <w:t xml:space="preserve"> </w:t>
      </w:r>
    </w:p>
    <w:p w14:paraId="6D1B7D13" w14:textId="77777777" w:rsidR="00795BE0" w:rsidRDefault="00795BE0" w:rsidP="006F1659">
      <w:pPr>
        <w:spacing w:line="360" w:lineRule="auto"/>
        <w:rPr>
          <w:rFonts w:ascii="Arial" w:hAnsi="Arial" w:cs="Arial"/>
          <w:color w:val="000000"/>
          <w:lang w:val="en-US"/>
        </w:rPr>
      </w:pPr>
    </w:p>
    <w:p w14:paraId="529A4660" w14:textId="77777777" w:rsidR="00795BE0" w:rsidRPr="0007572B" w:rsidRDefault="00795BE0" w:rsidP="006F1659">
      <w:pPr>
        <w:spacing w:line="360" w:lineRule="auto"/>
        <w:rPr>
          <w:rFonts w:ascii="Arial" w:hAnsi="Arial" w:cs="Arial"/>
          <w:color w:val="000000"/>
          <w:lang w:val="en-US"/>
        </w:rPr>
      </w:pPr>
      <w:r>
        <w:rPr>
          <w:rFonts w:ascii="Arial" w:hAnsi="Arial" w:cs="Arial"/>
        </w:rPr>
        <w:t>A</w:t>
      </w:r>
      <w:r w:rsidRPr="0007572B">
        <w:rPr>
          <w:rFonts w:ascii="Arial" w:hAnsi="Arial" w:cs="Arial"/>
          <w:bCs/>
          <w:lang w:eastAsia="en-GB"/>
        </w:rPr>
        <w:t>lthough transport related borrowing sits on the GMCA balance sheet, all the transport assets sit on TFGM's balance sheet. GMCA carries sufficient reserves in respect of each of its functions to provide resilience in the event of volatility in its various funding sources</w:t>
      </w:r>
      <w:r>
        <w:rPr>
          <w:rFonts w:ascii="Arial" w:hAnsi="Arial" w:cs="Arial"/>
          <w:bCs/>
          <w:lang w:eastAsia="en-GB"/>
        </w:rPr>
        <w:t>. D</w:t>
      </w:r>
      <w:r w:rsidRPr="0007572B">
        <w:rPr>
          <w:rFonts w:ascii="Arial" w:hAnsi="Arial" w:cs="Arial"/>
          <w:color w:val="000000"/>
          <w:lang w:val="en-US"/>
        </w:rPr>
        <w:t>etails of transactions with TfGM are included in the related parties note.</w:t>
      </w:r>
    </w:p>
    <w:p w14:paraId="038AB01D" w14:textId="77777777" w:rsidR="00795BE0" w:rsidRPr="0007572B" w:rsidRDefault="00795BE0" w:rsidP="006F1659">
      <w:pPr>
        <w:spacing w:line="360" w:lineRule="auto"/>
        <w:rPr>
          <w:rFonts w:ascii="Arial" w:hAnsi="Arial" w:cs="Arial"/>
          <w:color w:val="000000"/>
          <w:lang w:val="en-US"/>
        </w:rPr>
      </w:pPr>
    </w:p>
    <w:p w14:paraId="7A92F6D6" w14:textId="225360EF" w:rsidR="00795BE0" w:rsidRDefault="00795BE0" w:rsidP="006F1659">
      <w:pPr>
        <w:spacing w:line="360" w:lineRule="auto"/>
        <w:rPr>
          <w:rFonts w:ascii="Arial" w:hAnsi="Arial" w:cs="Arial"/>
        </w:rPr>
      </w:pPr>
      <w:r w:rsidRPr="0007572B">
        <w:rPr>
          <w:rFonts w:ascii="Arial" w:hAnsi="Arial" w:cs="Arial"/>
        </w:rPr>
        <w:t>The Accounts of TfGM are prepared in accordance with the Accounts and Audit (England) Regulations 2015. These require the Accounts to be prepared in accordance with the Code of Practice on Local Authority Accounting in the United Kingdom (The Code)</w:t>
      </w:r>
      <w:r w:rsidR="00DE43A9" w:rsidRPr="00DE43A9">
        <w:rPr>
          <w:rFonts w:ascii="Arial" w:hAnsi="Arial" w:cs="Arial"/>
          <w:bCs/>
          <w:lang w:eastAsia="en-GB"/>
        </w:rPr>
        <w:t xml:space="preserve"> </w:t>
      </w:r>
      <w:r w:rsidR="00DE43A9">
        <w:rPr>
          <w:rFonts w:ascii="Arial" w:hAnsi="Arial" w:cs="Arial"/>
          <w:bCs/>
          <w:lang w:eastAsia="en-GB"/>
        </w:rPr>
        <w:t>and update to the 2022/23 Code and Specifications for Future Codes for Infrastructure Assets published in November 2022</w:t>
      </w:r>
      <w:r w:rsidRPr="0007572B">
        <w:rPr>
          <w:rFonts w:ascii="Arial" w:hAnsi="Arial" w:cs="Arial"/>
        </w:rPr>
        <w:t>.</w:t>
      </w:r>
      <w:r>
        <w:rPr>
          <w:rFonts w:ascii="Arial" w:hAnsi="Arial" w:cs="Arial"/>
        </w:rPr>
        <w:t xml:space="preserve"> </w:t>
      </w:r>
    </w:p>
    <w:p w14:paraId="099F6E03" w14:textId="444C30A5" w:rsidR="005B26A1" w:rsidRDefault="005B26A1" w:rsidP="006F1659">
      <w:pPr>
        <w:spacing w:line="360" w:lineRule="auto"/>
        <w:rPr>
          <w:rFonts w:ascii="Arial" w:hAnsi="Arial" w:cs="Arial"/>
        </w:rPr>
      </w:pPr>
    </w:p>
    <w:p w14:paraId="0368EE3F" w14:textId="2E0C314F" w:rsidR="005B26A1" w:rsidRPr="005B26A1" w:rsidRDefault="005B26A1" w:rsidP="006F1659">
      <w:pPr>
        <w:pStyle w:val="Heading4bold"/>
        <w:spacing w:line="360" w:lineRule="auto"/>
        <w:rPr>
          <w:lang w:val="en-US"/>
        </w:rPr>
      </w:pPr>
      <w:r w:rsidRPr="005B26A1">
        <w:rPr>
          <w:lang w:val="en-US"/>
        </w:rPr>
        <w:t>Greater Manchester Evergreen 2 Limited Partnership (GME2LP)</w:t>
      </w:r>
    </w:p>
    <w:p w14:paraId="731479AF" w14:textId="7D4C4006" w:rsidR="00795BE0" w:rsidRDefault="005B26A1" w:rsidP="006F1659">
      <w:pPr>
        <w:spacing w:line="360" w:lineRule="auto"/>
        <w:rPr>
          <w:rFonts w:ascii="Arial" w:hAnsi="Arial" w:cs="Arial"/>
          <w:bCs/>
          <w:lang w:eastAsia="en-GB"/>
        </w:rPr>
      </w:pPr>
      <w:r w:rsidRPr="00FE41DD">
        <w:rPr>
          <w:rFonts w:ascii="Arial" w:hAnsi="Arial" w:cs="Arial"/>
        </w:rPr>
        <w:t>Evergreen 2</w:t>
      </w:r>
      <w:r>
        <w:rPr>
          <w:rFonts w:ascii="Arial" w:hAnsi="Arial" w:cs="Arial"/>
        </w:rPr>
        <w:t xml:space="preserve"> </w:t>
      </w:r>
      <w:r w:rsidRPr="00FE41DD">
        <w:rPr>
          <w:rFonts w:ascii="Arial" w:hAnsi="Arial" w:cs="Arial"/>
        </w:rPr>
        <w:t xml:space="preserve">was incorporated on 20 February 2017 under England's 2014-20 </w:t>
      </w:r>
      <w:r>
        <w:rPr>
          <w:rFonts w:ascii="Arial" w:hAnsi="Arial" w:cs="Arial"/>
        </w:rPr>
        <w:t xml:space="preserve">ERDF </w:t>
      </w:r>
      <w:r w:rsidRPr="00FE41DD">
        <w:rPr>
          <w:rFonts w:ascii="Arial" w:hAnsi="Arial" w:cs="Arial"/>
        </w:rPr>
        <w:t>Operational Programme and is solely a Greater Manchester fund.</w:t>
      </w:r>
      <w:r>
        <w:rPr>
          <w:rFonts w:ascii="Arial" w:hAnsi="Arial" w:cs="Arial"/>
        </w:rPr>
        <w:t xml:space="preserve"> </w:t>
      </w:r>
      <w:r w:rsidRPr="0007572B">
        <w:rPr>
          <w:rFonts w:ascii="Arial" w:hAnsi="Arial" w:cs="Arial"/>
          <w:bCs/>
          <w:lang w:eastAsia="en-GB"/>
        </w:rPr>
        <w:t>The accounts included in the 2</w:t>
      </w:r>
      <w:r w:rsidR="00353B6F">
        <w:rPr>
          <w:rFonts w:ascii="Arial" w:hAnsi="Arial" w:cs="Arial"/>
          <w:bCs/>
          <w:lang w:eastAsia="en-GB"/>
        </w:rPr>
        <w:t>2</w:t>
      </w:r>
      <w:r w:rsidRPr="0007572B">
        <w:rPr>
          <w:rFonts w:ascii="Arial" w:hAnsi="Arial" w:cs="Arial"/>
          <w:bCs/>
          <w:lang w:eastAsia="en-GB"/>
        </w:rPr>
        <w:t>/2</w:t>
      </w:r>
      <w:r w:rsidR="00353B6F">
        <w:rPr>
          <w:rFonts w:ascii="Arial" w:hAnsi="Arial" w:cs="Arial"/>
          <w:bCs/>
          <w:lang w:eastAsia="en-GB"/>
        </w:rPr>
        <w:t>3</w:t>
      </w:r>
      <w:r w:rsidRPr="0007572B">
        <w:rPr>
          <w:rFonts w:ascii="Arial" w:hAnsi="Arial" w:cs="Arial"/>
          <w:bCs/>
          <w:lang w:eastAsia="en-GB"/>
        </w:rPr>
        <w:t xml:space="preserve">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w:t>
      </w:r>
      <w:r w:rsidR="00353B6F">
        <w:rPr>
          <w:rFonts w:ascii="Arial" w:hAnsi="Arial" w:cs="Arial"/>
          <w:bCs/>
          <w:lang w:eastAsia="en-GB"/>
        </w:rPr>
        <w:t>3</w:t>
      </w:r>
      <w:r w:rsidRPr="0007572B">
        <w:rPr>
          <w:rFonts w:ascii="Arial" w:hAnsi="Arial" w:cs="Arial"/>
          <w:bCs/>
          <w:lang w:eastAsia="en-GB"/>
        </w:rPr>
        <w:t>.</w:t>
      </w:r>
    </w:p>
    <w:p w14:paraId="4C084E28" w14:textId="75AB3D94" w:rsidR="005B26A1" w:rsidRDefault="005B26A1" w:rsidP="006F1659">
      <w:pPr>
        <w:spacing w:line="360" w:lineRule="auto"/>
        <w:rPr>
          <w:rFonts w:ascii="Arial" w:hAnsi="Arial" w:cs="Arial"/>
          <w:bCs/>
          <w:lang w:eastAsia="en-GB"/>
        </w:rPr>
      </w:pPr>
    </w:p>
    <w:p w14:paraId="002F1059" w14:textId="77777777" w:rsidR="005B26A1" w:rsidRDefault="005B26A1" w:rsidP="006F1659">
      <w:pPr>
        <w:spacing w:line="360" w:lineRule="auto"/>
        <w:rPr>
          <w:rFonts w:ascii="Arial" w:hAnsi="Arial" w:cs="Arial"/>
        </w:rPr>
      </w:pPr>
      <w:r w:rsidRPr="00230784">
        <w:rPr>
          <w:rFonts w:ascii="Arial" w:hAnsi="Arial" w:cs="Arial"/>
        </w:rPr>
        <w:lastRenderedPageBreak/>
        <w:t xml:space="preserve">All intra-group trading, balances and unrealised gains and losses as at the end of the period are eliminated in full. </w:t>
      </w:r>
    </w:p>
    <w:p w14:paraId="389432DE" w14:textId="77777777" w:rsidR="005B26A1" w:rsidRPr="0007572B" w:rsidRDefault="005B26A1" w:rsidP="006F1659">
      <w:pPr>
        <w:spacing w:line="360" w:lineRule="auto"/>
        <w:rPr>
          <w:rFonts w:ascii="Arial" w:hAnsi="Arial" w:cs="Arial"/>
        </w:rPr>
      </w:pPr>
    </w:p>
    <w:p w14:paraId="738D17D8" w14:textId="77777777" w:rsidR="00795BE0" w:rsidRPr="0007572B" w:rsidRDefault="00795BE0" w:rsidP="006F1659">
      <w:pPr>
        <w:pStyle w:val="Heading4bold"/>
        <w:spacing w:line="360" w:lineRule="auto"/>
        <w:rPr>
          <w:lang w:val="en-US"/>
        </w:rPr>
      </w:pPr>
      <w:r w:rsidRPr="0007572B">
        <w:rPr>
          <w:lang w:val="en-US"/>
        </w:rPr>
        <w:t>NW Evergreen Holdings Limited Partnership (NWEH)</w:t>
      </w:r>
    </w:p>
    <w:p w14:paraId="06D8C19E" w14:textId="4FCC8FB4" w:rsidR="00795BE0" w:rsidRDefault="00795BE0" w:rsidP="006F1659">
      <w:pPr>
        <w:spacing w:line="360" w:lineRule="auto"/>
        <w:rPr>
          <w:rFonts w:ascii="Arial" w:hAnsi="Arial" w:cs="Arial"/>
          <w:bCs/>
          <w:lang w:eastAsia="en-GB"/>
        </w:rPr>
      </w:pPr>
      <w:r w:rsidRPr="0007572B">
        <w:rPr>
          <w:rFonts w:ascii="Arial" w:hAnsi="Arial" w:cs="Arial"/>
          <w:color w:val="000000"/>
          <w:lang w:val="en-US"/>
        </w:rPr>
        <w:t>NWEH is to continue to be included in the Authority’s group accounts. In September 2016 the Authority established NWEH to act as a holding fund for earlier tranches of ERDF funding</w:t>
      </w:r>
      <w:r>
        <w:rPr>
          <w:rFonts w:ascii="Arial" w:hAnsi="Arial" w:cs="Arial"/>
          <w:color w:val="000000"/>
          <w:lang w:val="en-US"/>
        </w:rPr>
        <w:t xml:space="preserve"> </w:t>
      </w:r>
      <w:r w:rsidRPr="0007572B">
        <w:rPr>
          <w:rFonts w:ascii="Arial" w:hAnsi="Arial" w:cs="Arial"/>
          <w:bCs/>
          <w:lang w:eastAsia="en-GB"/>
        </w:rPr>
        <w:t>to support investment opportunities in properties in the North West</w:t>
      </w:r>
      <w:r w:rsidRPr="0007572B">
        <w:rPr>
          <w:rFonts w:ascii="Arial" w:hAnsi="Arial" w:cs="Arial"/>
          <w:color w:val="000000"/>
          <w:lang w:val="en-US"/>
        </w:rPr>
        <w:t xml:space="preserve">. The Fund has received significant funding from ERDF and will invest in sub funds that provide opportunities to identify, research and negotiate investment opportunities in properties in the North West of England. </w:t>
      </w:r>
      <w:r w:rsidRPr="0007572B">
        <w:rPr>
          <w:rFonts w:ascii="Arial" w:hAnsi="Arial" w:cs="Arial"/>
          <w:bCs/>
          <w:lang w:eastAsia="en-GB"/>
        </w:rPr>
        <w:t>The accounts included in the 2</w:t>
      </w:r>
      <w:r w:rsidR="00353B6F">
        <w:rPr>
          <w:rFonts w:ascii="Arial" w:hAnsi="Arial" w:cs="Arial"/>
          <w:bCs/>
          <w:lang w:eastAsia="en-GB"/>
        </w:rPr>
        <w:t>2</w:t>
      </w:r>
      <w:r w:rsidRPr="0007572B">
        <w:rPr>
          <w:rFonts w:ascii="Arial" w:hAnsi="Arial" w:cs="Arial"/>
          <w:bCs/>
          <w:lang w:eastAsia="en-GB"/>
        </w:rPr>
        <w:t>/2</w:t>
      </w:r>
      <w:r w:rsidR="00353B6F">
        <w:rPr>
          <w:rFonts w:ascii="Arial" w:hAnsi="Arial" w:cs="Arial"/>
          <w:bCs/>
          <w:lang w:eastAsia="en-GB"/>
        </w:rPr>
        <w:t>3</w:t>
      </w:r>
      <w:r w:rsidRPr="0007572B">
        <w:rPr>
          <w:rFonts w:ascii="Arial" w:hAnsi="Arial" w:cs="Arial"/>
          <w:bCs/>
          <w:lang w:eastAsia="en-GB"/>
        </w:rPr>
        <w:t xml:space="preserve"> group accounts are for the </w:t>
      </w:r>
      <w:r>
        <w:rPr>
          <w:rFonts w:ascii="Arial" w:hAnsi="Arial" w:cs="Arial"/>
          <w:bCs/>
          <w:lang w:eastAsia="en-GB"/>
        </w:rPr>
        <w:t>period ending</w:t>
      </w:r>
      <w:r w:rsidRPr="0007572B">
        <w:rPr>
          <w:rFonts w:ascii="Arial" w:hAnsi="Arial" w:cs="Arial"/>
          <w:bCs/>
          <w:lang w:eastAsia="en-GB"/>
        </w:rPr>
        <w:t xml:space="preserve"> 31 </w:t>
      </w:r>
      <w:r>
        <w:rPr>
          <w:rFonts w:ascii="Arial" w:hAnsi="Arial" w:cs="Arial"/>
          <w:bCs/>
          <w:lang w:eastAsia="en-GB"/>
        </w:rPr>
        <w:t>March 202</w:t>
      </w:r>
      <w:r w:rsidR="00353B6F">
        <w:rPr>
          <w:rFonts w:ascii="Arial" w:hAnsi="Arial" w:cs="Arial"/>
          <w:bCs/>
          <w:lang w:eastAsia="en-GB"/>
        </w:rPr>
        <w:t>3</w:t>
      </w:r>
      <w:r w:rsidRPr="0007572B">
        <w:rPr>
          <w:rFonts w:ascii="Arial" w:hAnsi="Arial" w:cs="Arial"/>
          <w:bCs/>
          <w:lang w:eastAsia="en-GB"/>
        </w:rPr>
        <w:t>.</w:t>
      </w:r>
    </w:p>
    <w:p w14:paraId="44887F86" w14:textId="77777777" w:rsidR="00795BE0" w:rsidRPr="0071193A" w:rsidRDefault="00795BE0" w:rsidP="006F1659">
      <w:pPr>
        <w:spacing w:line="360" w:lineRule="auto"/>
        <w:rPr>
          <w:rFonts w:ascii="Arial" w:hAnsi="Arial" w:cs="Arial"/>
          <w:color w:val="000000"/>
          <w:lang w:val="en-US"/>
        </w:rPr>
      </w:pPr>
    </w:p>
    <w:p w14:paraId="43910934" w14:textId="77777777" w:rsidR="00795BE0" w:rsidRPr="0007572B" w:rsidRDefault="00795BE0" w:rsidP="006F1659">
      <w:pPr>
        <w:pStyle w:val="Heading4bold"/>
        <w:spacing w:line="360" w:lineRule="auto"/>
        <w:rPr>
          <w:lang w:val="en-US"/>
        </w:rPr>
      </w:pPr>
      <w:r w:rsidRPr="0007572B">
        <w:rPr>
          <w:lang w:val="en-US"/>
        </w:rPr>
        <w:t>Greater Manchester Fund of Funds Limited Partnership (FoFLP)</w:t>
      </w:r>
    </w:p>
    <w:p w14:paraId="2E1ADB58" w14:textId="64846DA3"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In November 2016 the Authority established FoFLP to act as a holding fund for ERDF funding</w:t>
      </w:r>
      <w:r w:rsidRPr="0007572B">
        <w:rPr>
          <w:rFonts w:ascii="Arial" w:hAnsi="Arial" w:cs="Arial"/>
          <w:bCs/>
          <w:lang w:eastAsia="en-GB"/>
        </w:rPr>
        <w:t>.</w:t>
      </w:r>
      <w:r w:rsidRPr="0007572B">
        <w:rPr>
          <w:rFonts w:ascii="Arial" w:hAnsi="Arial" w:cs="Arial"/>
          <w:color w:val="000000"/>
          <w:lang w:val="en-US"/>
        </w:rPr>
        <w:t xml:space="preserve"> FoFLP will invest in sub funds that seek to support the shift towards a low carbon economy and for research and innovation.</w:t>
      </w:r>
      <w:r>
        <w:rPr>
          <w:rFonts w:ascii="Arial" w:hAnsi="Arial" w:cs="Arial"/>
          <w:color w:val="000000"/>
          <w:lang w:val="en-US"/>
        </w:rPr>
        <w:t xml:space="preserve"> </w:t>
      </w:r>
      <w:r w:rsidRPr="0007572B">
        <w:rPr>
          <w:rFonts w:ascii="Arial" w:hAnsi="Arial" w:cs="Arial"/>
          <w:bCs/>
          <w:lang w:eastAsia="en-GB"/>
        </w:rPr>
        <w:t>The accounts included in the 2</w:t>
      </w:r>
      <w:r w:rsidR="00353B6F">
        <w:rPr>
          <w:rFonts w:ascii="Arial" w:hAnsi="Arial" w:cs="Arial"/>
          <w:bCs/>
          <w:lang w:eastAsia="en-GB"/>
        </w:rPr>
        <w:t>2</w:t>
      </w:r>
      <w:r w:rsidRPr="0007572B">
        <w:rPr>
          <w:rFonts w:ascii="Arial" w:hAnsi="Arial" w:cs="Arial"/>
          <w:bCs/>
          <w:lang w:eastAsia="en-GB"/>
        </w:rPr>
        <w:t>/2</w:t>
      </w:r>
      <w:r w:rsidR="00353B6F">
        <w:rPr>
          <w:rFonts w:ascii="Arial" w:hAnsi="Arial" w:cs="Arial"/>
          <w:bCs/>
          <w:lang w:eastAsia="en-GB"/>
        </w:rPr>
        <w:t>3</w:t>
      </w:r>
      <w:r w:rsidRPr="0007572B">
        <w:rPr>
          <w:rFonts w:ascii="Arial" w:hAnsi="Arial" w:cs="Arial"/>
          <w:bCs/>
          <w:lang w:eastAsia="en-GB"/>
        </w:rPr>
        <w:t xml:space="preserve">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w:t>
      </w:r>
      <w:r w:rsidR="00353B6F">
        <w:rPr>
          <w:rFonts w:ascii="Arial" w:hAnsi="Arial" w:cs="Arial"/>
          <w:bCs/>
          <w:lang w:eastAsia="en-GB"/>
        </w:rPr>
        <w:t>3</w:t>
      </w:r>
      <w:r w:rsidRPr="0007572B">
        <w:rPr>
          <w:rFonts w:ascii="Arial" w:hAnsi="Arial" w:cs="Arial"/>
          <w:bCs/>
          <w:lang w:eastAsia="en-GB"/>
        </w:rPr>
        <w:t>.</w:t>
      </w:r>
    </w:p>
    <w:p w14:paraId="575D956F" w14:textId="77777777" w:rsidR="00795BE0" w:rsidRPr="00230784" w:rsidRDefault="00795BE0" w:rsidP="006F1659">
      <w:pPr>
        <w:spacing w:line="360" w:lineRule="auto"/>
        <w:rPr>
          <w:rFonts w:ascii="Arial" w:hAnsi="Arial" w:cs="Arial"/>
          <w:color w:val="000000"/>
          <w:lang w:val="en-US"/>
        </w:rPr>
      </w:pPr>
    </w:p>
    <w:p w14:paraId="3C3AB4B1" w14:textId="77777777" w:rsidR="00795BE0" w:rsidRDefault="00795BE0" w:rsidP="006F1659">
      <w:pPr>
        <w:spacing w:line="360" w:lineRule="auto"/>
        <w:rPr>
          <w:rFonts w:ascii="Arial" w:hAnsi="Arial" w:cs="Arial"/>
        </w:rPr>
      </w:pPr>
      <w:r w:rsidRPr="00230784">
        <w:rPr>
          <w:rFonts w:ascii="Arial" w:hAnsi="Arial" w:cs="Arial"/>
        </w:rPr>
        <w:t xml:space="preserve">All intra-group trading, balances and unrealised gains and losses as at the end of the period are eliminated in full. </w:t>
      </w:r>
    </w:p>
    <w:p w14:paraId="3332BD53" w14:textId="77777777" w:rsidR="00795BE0" w:rsidRPr="0007572B" w:rsidRDefault="00795BE0" w:rsidP="006F1659">
      <w:pPr>
        <w:pStyle w:val="Heading3"/>
        <w:spacing w:line="360" w:lineRule="auto"/>
      </w:pPr>
      <w:bookmarkStart w:id="228" w:name="_Toc92894919"/>
      <w:bookmarkStart w:id="229" w:name="_Toc92895223"/>
      <w:bookmarkStart w:id="230" w:name="_Toc109922657"/>
      <w:r w:rsidRPr="0007572B">
        <w:t>Basis of Preparation of the Group Accounts</w:t>
      </w:r>
      <w:bookmarkEnd w:id="228"/>
      <w:bookmarkEnd w:id="229"/>
      <w:bookmarkEnd w:id="230"/>
    </w:p>
    <w:p w14:paraId="3C95D685" w14:textId="34C9AA79" w:rsidR="00795BE0" w:rsidRPr="0007572B" w:rsidRDefault="00795BE0" w:rsidP="006F1659">
      <w:pPr>
        <w:spacing w:line="360" w:lineRule="auto"/>
        <w:rPr>
          <w:rFonts w:ascii="Arial" w:hAnsi="Arial" w:cs="Arial"/>
        </w:rPr>
      </w:pPr>
      <w:r w:rsidRPr="0007572B">
        <w:rPr>
          <w:rFonts w:ascii="Arial" w:hAnsi="Arial" w:cs="Arial"/>
        </w:rPr>
        <w:t xml:space="preserve">The group accounts have been prepared on a historical cost basis, except for certain property assets that are measured at </w:t>
      </w:r>
      <w:r w:rsidR="001E1A08">
        <w:rPr>
          <w:rFonts w:ascii="Arial" w:hAnsi="Arial" w:cs="Arial"/>
        </w:rPr>
        <w:t>current</w:t>
      </w:r>
      <w:r w:rsidRPr="0007572B">
        <w:rPr>
          <w:rFonts w:ascii="Arial" w:hAnsi="Arial" w:cs="Arial"/>
        </w:rPr>
        <w:t xml:space="preserve"> value, in accordance with the Code. The group accounts have been prepared on a going concern basis.</w:t>
      </w:r>
    </w:p>
    <w:p w14:paraId="5B537D16" w14:textId="77777777" w:rsidR="00795BE0" w:rsidRPr="00950EAF" w:rsidRDefault="00795BE0" w:rsidP="006F1659">
      <w:pPr>
        <w:pStyle w:val="Heading3"/>
        <w:spacing w:line="360" w:lineRule="auto"/>
      </w:pPr>
      <w:bookmarkStart w:id="231" w:name="_Toc92894920"/>
      <w:bookmarkStart w:id="232" w:name="_Toc92895224"/>
      <w:bookmarkStart w:id="233" w:name="_Toc109922658"/>
      <w:r w:rsidRPr="00950EAF">
        <w:t>Statement of Compliance with IFRS</w:t>
      </w:r>
      <w:bookmarkEnd w:id="231"/>
      <w:bookmarkEnd w:id="232"/>
      <w:bookmarkEnd w:id="233"/>
    </w:p>
    <w:p w14:paraId="2CF2ADDA" w14:textId="65F94D5C" w:rsidR="00795BE0" w:rsidRPr="0007572B" w:rsidRDefault="00795BE0" w:rsidP="006F1659">
      <w:pPr>
        <w:spacing w:line="360" w:lineRule="auto"/>
        <w:rPr>
          <w:rFonts w:ascii="Arial" w:hAnsi="Arial" w:cs="Arial"/>
        </w:rPr>
      </w:pPr>
      <w:r w:rsidRPr="0007572B">
        <w:rPr>
          <w:rFonts w:ascii="Arial" w:hAnsi="Arial" w:cs="Arial"/>
        </w:rPr>
        <w:t>In accordance with the CIPFA Code of Practice on Local Authority Accounting in the United Kingdom</w:t>
      </w:r>
      <w:r w:rsidR="00DE43A9">
        <w:rPr>
          <w:rFonts w:ascii="Arial" w:hAnsi="Arial" w:cs="Arial"/>
        </w:rPr>
        <w:t xml:space="preserve"> </w:t>
      </w:r>
      <w:r w:rsidR="00DE43A9">
        <w:rPr>
          <w:rFonts w:ascii="Arial" w:hAnsi="Arial" w:cs="Arial"/>
          <w:bCs/>
          <w:lang w:eastAsia="en-GB"/>
        </w:rPr>
        <w:t>and update to the 2022/23 Code and Specifications for Future Codes for Infrastructure Assets published in November 2022</w:t>
      </w:r>
      <w:r w:rsidRPr="0007572B">
        <w:rPr>
          <w:rFonts w:ascii="Arial" w:hAnsi="Arial" w:cs="Arial"/>
        </w:rPr>
        <w:t>, TfGM has adopted all aspects of the Code other than as follows:</w:t>
      </w:r>
    </w:p>
    <w:p w14:paraId="75045D82" w14:textId="470E1BF5" w:rsidR="00795BE0" w:rsidRDefault="00795BE0" w:rsidP="006F1659">
      <w:pPr>
        <w:spacing w:line="360" w:lineRule="auto"/>
        <w:rPr>
          <w:rFonts w:ascii="Arial" w:hAnsi="Arial" w:cs="Arial"/>
        </w:rPr>
      </w:pPr>
    </w:p>
    <w:p w14:paraId="03535E93" w14:textId="77777777" w:rsidR="00FD2C8C" w:rsidRPr="0007572B" w:rsidRDefault="00FD2C8C" w:rsidP="006F1659">
      <w:pPr>
        <w:spacing w:line="360" w:lineRule="auto"/>
        <w:rPr>
          <w:rFonts w:ascii="Arial" w:hAnsi="Arial" w:cs="Arial"/>
        </w:rPr>
      </w:pPr>
    </w:p>
    <w:p w14:paraId="438431D9" w14:textId="77777777" w:rsidR="00795BE0" w:rsidRPr="00A0464D" w:rsidRDefault="00795BE0" w:rsidP="006F1659">
      <w:pPr>
        <w:numPr>
          <w:ilvl w:val="0"/>
          <w:numId w:val="58"/>
        </w:numPr>
        <w:spacing w:line="360" w:lineRule="auto"/>
        <w:rPr>
          <w:rFonts w:ascii="Arial" w:hAnsi="Arial" w:cs="Arial"/>
        </w:rPr>
      </w:pPr>
      <w:r w:rsidRPr="00A0464D">
        <w:rPr>
          <w:rFonts w:ascii="Arial" w:hAnsi="Arial" w:cs="Arial"/>
        </w:rPr>
        <w:lastRenderedPageBreak/>
        <w:t>Deregulation Reserve. IFRS 5 would treat the deregulation of bus services in 1986 as a discontinued operation, leading to the write off of any costs connected with deregulation. However, the Transport Act of 1985 allowed any costs incurred on deregulation to be transferred to a specific reserve, called the ‘Deregulation Reserve’. TfGM has adopted a policy of amortising the Deregulation Reserve over 30 years.</w:t>
      </w:r>
    </w:p>
    <w:p w14:paraId="417921C8" w14:textId="77777777" w:rsidR="00795BE0" w:rsidRPr="0007572B" w:rsidRDefault="00795BE0" w:rsidP="006F1659">
      <w:pPr>
        <w:spacing w:line="360" w:lineRule="auto"/>
        <w:jc w:val="both"/>
        <w:rPr>
          <w:rFonts w:ascii="Arial" w:hAnsi="Arial" w:cs="Arial"/>
          <w:sz w:val="22"/>
          <w:szCs w:val="22"/>
        </w:rPr>
      </w:pPr>
    </w:p>
    <w:p w14:paraId="5F11C83A" w14:textId="77777777" w:rsidR="00795BE0" w:rsidRPr="0007572B" w:rsidRDefault="00795BE0" w:rsidP="006F1659">
      <w:pPr>
        <w:spacing w:after="120" w:line="360" w:lineRule="auto"/>
        <w:jc w:val="both"/>
        <w:rPr>
          <w:rFonts w:ascii="Arial" w:hAnsi="Arial" w:cs="Arial"/>
          <w:sz w:val="22"/>
        </w:rPr>
      </w:pPr>
    </w:p>
    <w:p w14:paraId="483B395A" w14:textId="77777777" w:rsidR="00795BE0" w:rsidRPr="0007572B" w:rsidRDefault="00795BE0" w:rsidP="006F1659">
      <w:pPr>
        <w:spacing w:line="360" w:lineRule="auto"/>
        <w:rPr>
          <w:rFonts w:ascii="Arial" w:hAnsi="Arial" w:cs="Arial"/>
          <w:sz w:val="22"/>
        </w:rPr>
        <w:sectPr w:rsidR="00795BE0" w:rsidRPr="0007572B" w:rsidSect="004833A2">
          <w:headerReference w:type="default" r:id="rId118"/>
          <w:pgSz w:w="11906" w:h="16838"/>
          <w:pgMar w:top="946" w:right="1416" w:bottom="1440" w:left="1080" w:header="283" w:footer="567" w:gutter="0"/>
          <w:cols w:space="708"/>
          <w:docGrid w:linePitch="360"/>
        </w:sectPr>
      </w:pPr>
    </w:p>
    <w:p w14:paraId="23141B32" w14:textId="77777777" w:rsidR="00795BE0" w:rsidRPr="0007572B" w:rsidRDefault="00795BE0" w:rsidP="006F1659">
      <w:pPr>
        <w:spacing w:line="360" w:lineRule="auto"/>
        <w:jc w:val="center"/>
        <w:rPr>
          <w:rFonts w:ascii="Arial" w:hAnsi="Arial" w:cs="Arial"/>
          <w:b/>
          <w:sz w:val="40"/>
          <w:szCs w:val="40"/>
        </w:rPr>
      </w:pPr>
    </w:p>
    <w:p w14:paraId="55641D69" w14:textId="77777777" w:rsidR="00795BE0" w:rsidRPr="0007572B" w:rsidRDefault="00795BE0" w:rsidP="006F1659">
      <w:pPr>
        <w:spacing w:line="360" w:lineRule="auto"/>
        <w:jc w:val="center"/>
        <w:rPr>
          <w:rFonts w:ascii="Arial" w:hAnsi="Arial" w:cs="Arial"/>
          <w:b/>
          <w:sz w:val="40"/>
          <w:szCs w:val="40"/>
        </w:rPr>
      </w:pPr>
    </w:p>
    <w:p w14:paraId="7CC93396" w14:textId="77777777" w:rsidR="00795BE0" w:rsidRPr="0007572B" w:rsidRDefault="00795BE0" w:rsidP="006F1659">
      <w:pPr>
        <w:spacing w:line="360" w:lineRule="auto"/>
        <w:jc w:val="center"/>
        <w:rPr>
          <w:rFonts w:ascii="Arial" w:hAnsi="Arial" w:cs="Arial"/>
          <w:b/>
          <w:sz w:val="40"/>
          <w:szCs w:val="40"/>
        </w:rPr>
      </w:pPr>
    </w:p>
    <w:p w14:paraId="4DCCF7A7" w14:textId="77777777" w:rsidR="00795BE0" w:rsidRPr="0007572B" w:rsidRDefault="00795BE0" w:rsidP="006F1659">
      <w:pPr>
        <w:spacing w:line="360" w:lineRule="auto"/>
        <w:jc w:val="center"/>
        <w:rPr>
          <w:rFonts w:ascii="Arial" w:hAnsi="Arial" w:cs="Arial"/>
          <w:b/>
          <w:sz w:val="40"/>
          <w:szCs w:val="40"/>
        </w:rPr>
      </w:pPr>
    </w:p>
    <w:p w14:paraId="4B45ACBD" w14:textId="77777777" w:rsidR="00795BE0" w:rsidRPr="0007572B" w:rsidRDefault="00795BE0" w:rsidP="006F1659">
      <w:pPr>
        <w:pStyle w:val="Heading1"/>
        <w:spacing w:line="360" w:lineRule="auto"/>
        <w:jc w:val="center"/>
      </w:pPr>
      <w:bookmarkStart w:id="234" w:name="_Toc92895225"/>
      <w:bookmarkStart w:id="235" w:name="_Toc109922659"/>
      <w:r w:rsidRPr="0007572B">
        <w:t>Greater Manchester Combined Authority</w:t>
      </w:r>
      <w:r>
        <w:t xml:space="preserve"> – Group Financial Statements</w:t>
      </w:r>
      <w:bookmarkEnd w:id="234"/>
      <w:bookmarkEnd w:id="235"/>
    </w:p>
    <w:p w14:paraId="4B00BE27" w14:textId="77777777" w:rsidR="00795BE0" w:rsidRPr="0007572B" w:rsidRDefault="00795BE0" w:rsidP="006F1659">
      <w:pPr>
        <w:spacing w:line="360" w:lineRule="auto"/>
        <w:jc w:val="center"/>
        <w:rPr>
          <w:rFonts w:ascii="Arial" w:hAnsi="Arial" w:cs="Arial"/>
          <w:b/>
          <w:sz w:val="40"/>
          <w:szCs w:val="40"/>
        </w:rPr>
      </w:pPr>
    </w:p>
    <w:p w14:paraId="768BC2CB" w14:textId="77777777" w:rsidR="00795BE0" w:rsidRPr="0007572B" w:rsidRDefault="00795BE0" w:rsidP="006F1659">
      <w:pPr>
        <w:spacing w:line="360" w:lineRule="auto"/>
        <w:jc w:val="center"/>
        <w:rPr>
          <w:rFonts w:ascii="Arial" w:hAnsi="Arial" w:cs="Arial"/>
          <w:b/>
          <w:sz w:val="40"/>
          <w:szCs w:val="40"/>
        </w:rPr>
      </w:pPr>
    </w:p>
    <w:p w14:paraId="6ABCE3C6" w14:textId="77777777" w:rsidR="00795BE0" w:rsidRPr="0007572B" w:rsidRDefault="00795BE0" w:rsidP="006F1659">
      <w:pPr>
        <w:spacing w:line="360" w:lineRule="auto"/>
        <w:jc w:val="center"/>
        <w:rPr>
          <w:rFonts w:ascii="Arial" w:hAnsi="Arial" w:cs="Arial"/>
          <w:b/>
          <w:sz w:val="40"/>
          <w:szCs w:val="40"/>
        </w:rPr>
      </w:pPr>
    </w:p>
    <w:p w14:paraId="6B7B10D9" w14:textId="77777777" w:rsidR="00795BE0" w:rsidRPr="0007572B" w:rsidRDefault="00795BE0" w:rsidP="006F1659">
      <w:pPr>
        <w:spacing w:line="360" w:lineRule="auto"/>
        <w:jc w:val="center"/>
        <w:rPr>
          <w:rFonts w:ascii="Arial" w:hAnsi="Arial" w:cs="Arial"/>
          <w:b/>
          <w:sz w:val="40"/>
          <w:szCs w:val="40"/>
        </w:rPr>
      </w:pPr>
    </w:p>
    <w:p w14:paraId="6B424094" w14:textId="77777777" w:rsidR="00795BE0" w:rsidRPr="0007572B" w:rsidRDefault="00795BE0" w:rsidP="006F1659">
      <w:pPr>
        <w:spacing w:line="360" w:lineRule="auto"/>
        <w:jc w:val="center"/>
        <w:rPr>
          <w:rFonts w:ascii="Arial" w:hAnsi="Arial" w:cs="Arial"/>
          <w:b/>
          <w:sz w:val="40"/>
          <w:szCs w:val="40"/>
        </w:rPr>
      </w:pPr>
    </w:p>
    <w:p w14:paraId="67B44F65" w14:textId="77777777" w:rsidR="00795BE0" w:rsidRPr="0007572B" w:rsidRDefault="00795BE0" w:rsidP="006F1659">
      <w:pPr>
        <w:spacing w:line="360" w:lineRule="auto"/>
        <w:rPr>
          <w:rFonts w:ascii="Arial" w:hAnsi="Arial" w:cs="Arial"/>
          <w:sz w:val="22"/>
        </w:rPr>
      </w:pPr>
      <w:r w:rsidRPr="0007572B">
        <w:rPr>
          <w:rFonts w:ascii="Arial" w:hAnsi="Arial" w:cs="Arial"/>
          <w:sz w:val="22"/>
        </w:rPr>
        <w:br w:type="page"/>
      </w:r>
    </w:p>
    <w:p w14:paraId="0B56C99C" w14:textId="77777777" w:rsidR="00795BE0" w:rsidRPr="0007572B" w:rsidRDefault="00795BE0" w:rsidP="006F1659">
      <w:pPr>
        <w:pStyle w:val="Heading3green"/>
        <w:spacing w:line="360" w:lineRule="auto"/>
      </w:pPr>
      <w:bookmarkStart w:id="236" w:name="_Toc92895226"/>
      <w:bookmarkStart w:id="237" w:name="_Toc109922660"/>
      <w:r w:rsidRPr="0007572B">
        <w:lastRenderedPageBreak/>
        <w:t>Group Comprehensive Income and Expenditure Statement</w:t>
      </w:r>
      <w:bookmarkEnd w:id="236"/>
      <w:bookmarkEnd w:id="237"/>
    </w:p>
    <w:p w14:paraId="1B811913" w14:textId="77777777" w:rsidR="00795BE0" w:rsidRPr="0007572B" w:rsidRDefault="00795BE0" w:rsidP="006F1659">
      <w:pPr>
        <w:spacing w:line="360" w:lineRule="auto"/>
        <w:jc w:val="both"/>
        <w:rPr>
          <w:rFonts w:ascii="Arial" w:hAnsi="Arial" w:cs="Arial"/>
        </w:rPr>
      </w:pPr>
    </w:p>
    <w:p w14:paraId="42ABB89B" w14:textId="77777777" w:rsidR="00795BE0" w:rsidRDefault="00795BE0" w:rsidP="006F1659">
      <w:pPr>
        <w:spacing w:line="360" w:lineRule="auto"/>
        <w:rPr>
          <w:rFonts w:ascii="Arial" w:hAnsi="Arial" w:cs="Arial"/>
        </w:rPr>
      </w:pPr>
      <w:r w:rsidRPr="0007572B">
        <w:rPr>
          <w:rFonts w:ascii="Arial" w:hAnsi="Arial" w:cs="Arial"/>
        </w:rPr>
        <w:t>This statement shows the Group accounting cost of providing services, rather than the amount set out in legislation that is chargeable to precepts, levies, taxation and grant income. The taxation position is shown in the Movement in Reserves Statement and the Expenditure and Funding Analysis.</w:t>
      </w:r>
    </w:p>
    <w:p w14:paraId="2793F2B1" w14:textId="77777777" w:rsidR="00911130" w:rsidRPr="0007572B" w:rsidRDefault="00911130" w:rsidP="006F1659">
      <w:pPr>
        <w:spacing w:line="360" w:lineRule="auto"/>
        <w:rPr>
          <w:rFonts w:ascii="Arial" w:hAnsi="Arial" w:cs="Arial"/>
        </w:rPr>
      </w:pPr>
    </w:p>
    <w:p w14:paraId="50D5EFD2" w14:textId="7110198E" w:rsidR="00795BE0" w:rsidRPr="0007572B" w:rsidRDefault="00DA5B73" w:rsidP="006F1659">
      <w:pPr>
        <w:spacing w:line="360" w:lineRule="auto"/>
        <w:jc w:val="both"/>
        <w:rPr>
          <w:rFonts w:ascii="Arial" w:hAnsi="Arial" w:cs="Arial"/>
          <w:b/>
          <w:highlight w:val="yellow"/>
        </w:rPr>
      </w:pPr>
      <w:r w:rsidRPr="00DA5B73">
        <w:rPr>
          <w:noProof/>
        </w:rPr>
        <w:drawing>
          <wp:inline distT="0" distB="0" distL="0" distR="0" wp14:anchorId="00AF866E" wp14:editId="6A2B240D">
            <wp:extent cx="5975350" cy="3518535"/>
            <wp:effectExtent l="0" t="0" r="6350" b="5715"/>
            <wp:docPr id="10545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75350" cy="3518535"/>
                    </a:xfrm>
                    <a:prstGeom prst="rect">
                      <a:avLst/>
                    </a:prstGeom>
                    <a:noFill/>
                    <a:ln>
                      <a:noFill/>
                    </a:ln>
                  </pic:spPr>
                </pic:pic>
              </a:graphicData>
            </a:graphic>
          </wp:inline>
        </w:drawing>
      </w:r>
    </w:p>
    <w:p w14:paraId="46F7495A" w14:textId="265AA5F9" w:rsidR="00795BE0" w:rsidRDefault="00795BE0" w:rsidP="006F1659">
      <w:pPr>
        <w:spacing w:line="360" w:lineRule="auto"/>
        <w:jc w:val="both"/>
        <w:rPr>
          <w:rFonts w:ascii="Arial" w:hAnsi="Arial" w:cs="Arial"/>
        </w:rPr>
      </w:pPr>
    </w:p>
    <w:p w14:paraId="17C5E248" w14:textId="77777777" w:rsidR="00795BE0" w:rsidRPr="0007572B" w:rsidRDefault="00795BE0"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4E705D5" wp14:editId="4DD78DD3">
            <wp:extent cx="1117600" cy="614680"/>
            <wp:effectExtent l="0" t="0" r="6350" b="0"/>
            <wp:docPr id="59" name="Picture 5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ignature of Steve Wilson, Greater Manchester Combined Authority Treasurer "/>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1D869CCE" w14:textId="77777777" w:rsidR="00795BE0" w:rsidRPr="0007572B" w:rsidRDefault="00795BE0" w:rsidP="006F1659">
      <w:pPr>
        <w:spacing w:line="360" w:lineRule="auto"/>
        <w:jc w:val="both"/>
        <w:rPr>
          <w:rFonts w:ascii="Arial" w:hAnsi="Arial" w:cs="Arial"/>
          <w:b/>
        </w:rPr>
      </w:pPr>
      <w:r w:rsidRPr="0007572B">
        <w:rPr>
          <w:rFonts w:ascii="Arial" w:hAnsi="Arial" w:cs="Arial"/>
          <w:b/>
        </w:rPr>
        <w:t>Steve Wilson</w:t>
      </w:r>
    </w:p>
    <w:p w14:paraId="503A4A99" w14:textId="77777777" w:rsidR="00795BE0" w:rsidRPr="0007572B" w:rsidRDefault="00795BE0" w:rsidP="006F1659">
      <w:pPr>
        <w:spacing w:line="360" w:lineRule="auto"/>
        <w:jc w:val="both"/>
        <w:rPr>
          <w:rFonts w:ascii="Arial" w:hAnsi="Arial" w:cs="Arial"/>
          <w:b/>
        </w:rPr>
      </w:pPr>
      <w:r w:rsidRPr="0007572B">
        <w:rPr>
          <w:rFonts w:ascii="Arial" w:hAnsi="Arial" w:cs="Arial"/>
          <w:b/>
        </w:rPr>
        <w:t>Greater Manchester Combined Authority Treasurer</w:t>
      </w:r>
    </w:p>
    <w:p w14:paraId="674CBF86" w14:textId="7298A5AD" w:rsidR="00795BE0" w:rsidRPr="0007572B" w:rsidRDefault="00795BE0" w:rsidP="006F1659">
      <w:pPr>
        <w:spacing w:line="360" w:lineRule="auto"/>
        <w:jc w:val="both"/>
        <w:rPr>
          <w:rFonts w:ascii="Arial" w:hAnsi="Arial" w:cs="Arial"/>
        </w:rPr>
      </w:pPr>
      <w:r w:rsidRPr="0007572B">
        <w:rPr>
          <w:rFonts w:ascii="Arial" w:hAnsi="Arial" w:cs="Arial"/>
          <w:b/>
        </w:rPr>
        <w:t xml:space="preserve">Date: </w:t>
      </w:r>
      <w:r w:rsidR="00454112">
        <w:rPr>
          <w:rFonts w:ascii="Arial" w:hAnsi="Arial" w:cs="Arial"/>
          <w:b/>
        </w:rPr>
        <w:t>02 December 2024</w:t>
      </w:r>
    </w:p>
    <w:p w14:paraId="065C5FC2" w14:textId="77777777" w:rsidR="00795BE0" w:rsidRPr="0007572B" w:rsidRDefault="00795BE0" w:rsidP="006F1659">
      <w:pPr>
        <w:spacing w:line="360" w:lineRule="auto"/>
        <w:jc w:val="both"/>
        <w:rPr>
          <w:rFonts w:ascii="Arial" w:hAnsi="Arial" w:cs="Arial"/>
          <w:b/>
          <w:sz w:val="22"/>
          <w:szCs w:val="22"/>
        </w:rPr>
      </w:pPr>
    </w:p>
    <w:p w14:paraId="20D2546B" w14:textId="77777777" w:rsidR="00795BE0" w:rsidRPr="0007572B" w:rsidRDefault="00795BE0" w:rsidP="006F1659">
      <w:pPr>
        <w:spacing w:line="360" w:lineRule="auto"/>
        <w:jc w:val="both"/>
        <w:rPr>
          <w:rFonts w:ascii="Arial" w:hAnsi="Arial" w:cs="Arial"/>
          <w:b/>
          <w:sz w:val="22"/>
          <w:szCs w:val="22"/>
        </w:rPr>
      </w:pPr>
    </w:p>
    <w:p w14:paraId="3FFD5687" w14:textId="77777777" w:rsidR="00795BE0" w:rsidRPr="0007572B" w:rsidRDefault="00795BE0" w:rsidP="006F1659">
      <w:pPr>
        <w:spacing w:line="360" w:lineRule="auto"/>
        <w:rPr>
          <w:rFonts w:ascii="Arial" w:hAnsi="Arial" w:cs="Arial"/>
          <w:sz w:val="22"/>
        </w:rPr>
      </w:pPr>
    </w:p>
    <w:p w14:paraId="74ED41B8" w14:textId="77777777" w:rsidR="00795BE0" w:rsidRPr="0007572B" w:rsidRDefault="00795BE0" w:rsidP="006F1659">
      <w:pPr>
        <w:spacing w:line="360" w:lineRule="auto"/>
        <w:rPr>
          <w:rFonts w:ascii="Arial" w:hAnsi="Arial" w:cs="Arial"/>
          <w:sz w:val="22"/>
        </w:rPr>
      </w:pPr>
    </w:p>
    <w:p w14:paraId="4CFF3763" w14:textId="77777777" w:rsidR="00795BE0" w:rsidRPr="0007572B" w:rsidRDefault="00795BE0" w:rsidP="006F1659">
      <w:pPr>
        <w:spacing w:line="360" w:lineRule="auto"/>
        <w:rPr>
          <w:rFonts w:ascii="Arial" w:hAnsi="Arial" w:cs="Arial"/>
          <w:sz w:val="22"/>
        </w:rPr>
        <w:sectPr w:rsidR="00795BE0" w:rsidRPr="0007572B" w:rsidSect="004833A2">
          <w:pgSz w:w="11906" w:h="16838"/>
          <w:pgMar w:top="946" w:right="1416" w:bottom="1440" w:left="1080" w:header="283" w:footer="567" w:gutter="0"/>
          <w:cols w:space="708"/>
          <w:docGrid w:linePitch="360"/>
        </w:sectPr>
      </w:pPr>
    </w:p>
    <w:p w14:paraId="75FCC16E" w14:textId="77777777" w:rsidR="00795BE0" w:rsidRPr="0007572B" w:rsidRDefault="00795BE0" w:rsidP="006F1659">
      <w:pPr>
        <w:pStyle w:val="Heading3green"/>
        <w:spacing w:line="360" w:lineRule="auto"/>
      </w:pPr>
      <w:bookmarkStart w:id="238" w:name="_Toc92895227"/>
      <w:bookmarkStart w:id="239" w:name="_Toc109922661"/>
      <w:r w:rsidRPr="0007572B">
        <w:lastRenderedPageBreak/>
        <w:t>Group Movement in Reserves Statement</w:t>
      </w:r>
      <w:bookmarkEnd w:id="238"/>
      <w:bookmarkEnd w:id="239"/>
    </w:p>
    <w:p w14:paraId="7C958B73" w14:textId="77777777" w:rsidR="00795BE0" w:rsidRPr="0007572B" w:rsidRDefault="00795BE0" w:rsidP="006F1659">
      <w:pPr>
        <w:spacing w:line="360" w:lineRule="auto"/>
        <w:jc w:val="both"/>
        <w:rPr>
          <w:rFonts w:ascii="Arial" w:hAnsi="Arial" w:cs="Arial"/>
        </w:rPr>
      </w:pPr>
    </w:p>
    <w:p w14:paraId="1013A999" w14:textId="77777777" w:rsidR="00795BE0" w:rsidRPr="0007572B" w:rsidRDefault="00795BE0" w:rsidP="006F1659">
      <w:pPr>
        <w:spacing w:line="360" w:lineRule="auto"/>
        <w:rPr>
          <w:rFonts w:ascii="Arial" w:hAnsi="Arial" w:cs="Arial"/>
          <w:b/>
        </w:rPr>
      </w:pPr>
      <w:r w:rsidRPr="0007572B">
        <w:rPr>
          <w:rFonts w:ascii="Arial" w:hAnsi="Arial" w:cs="Arial"/>
        </w:rPr>
        <w:t>This statement shows the movement in year on the different reserves held by the Authority Group. This is analysed into usable and unusable reserves.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7ED5942E" w14:textId="7463E672" w:rsidR="00795BE0" w:rsidRPr="00DA5B73" w:rsidRDefault="00795BE0" w:rsidP="006F1659">
      <w:pPr>
        <w:spacing w:line="360" w:lineRule="auto"/>
        <w:jc w:val="both"/>
        <w:rPr>
          <w:rFonts w:ascii="Arial" w:hAnsi="Arial" w:cs="Arial"/>
        </w:rPr>
      </w:pPr>
      <w:r w:rsidRPr="0007572B">
        <w:rPr>
          <w:rFonts w:ascii="Arial" w:hAnsi="Arial" w:cs="Arial"/>
        </w:rPr>
        <w:t>Further details of usable reserves can be found in the relevant associated notes.</w:t>
      </w:r>
    </w:p>
    <w:p w14:paraId="62A2B559" w14:textId="61FDDD75" w:rsidR="00795BE0" w:rsidRPr="0007572B" w:rsidRDefault="00795BE0" w:rsidP="006F1659">
      <w:pPr>
        <w:spacing w:line="360" w:lineRule="auto"/>
        <w:jc w:val="both"/>
        <w:rPr>
          <w:rFonts w:ascii="Arial" w:hAnsi="Arial" w:cs="Arial"/>
          <w:b/>
        </w:rPr>
      </w:pPr>
    </w:p>
    <w:p w14:paraId="1714154A" w14:textId="1DBD4750" w:rsidR="00795BE0" w:rsidRPr="0007572B" w:rsidRDefault="001162C8" w:rsidP="006F1659">
      <w:pPr>
        <w:spacing w:line="360" w:lineRule="auto"/>
        <w:jc w:val="both"/>
        <w:rPr>
          <w:rFonts w:ascii="Arial" w:hAnsi="Arial" w:cs="Arial"/>
          <w:b/>
        </w:rPr>
      </w:pPr>
      <w:r w:rsidRPr="001162C8">
        <w:rPr>
          <w:noProof/>
        </w:rPr>
        <w:drawing>
          <wp:inline distT="0" distB="0" distL="0" distR="0" wp14:anchorId="2D4B8FBD" wp14:editId="77EFB07A">
            <wp:extent cx="9177020" cy="2885440"/>
            <wp:effectExtent l="0" t="0" r="5080" b="0"/>
            <wp:docPr id="2050271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177020" cy="2885440"/>
                    </a:xfrm>
                    <a:prstGeom prst="rect">
                      <a:avLst/>
                    </a:prstGeom>
                    <a:noFill/>
                    <a:ln>
                      <a:noFill/>
                    </a:ln>
                  </pic:spPr>
                </pic:pic>
              </a:graphicData>
            </a:graphic>
          </wp:inline>
        </w:drawing>
      </w:r>
    </w:p>
    <w:p w14:paraId="78817851" w14:textId="77777777" w:rsidR="00795BE0" w:rsidRPr="0007572B" w:rsidRDefault="00795BE0" w:rsidP="006F1659">
      <w:pPr>
        <w:spacing w:line="360" w:lineRule="auto"/>
        <w:jc w:val="both"/>
        <w:rPr>
          <w:rFonts w:ascii="Arial" w:hAnsi="Arial" w:cs="Arial"/>
          <w:b/>
          <w:sz w:val="22"/>
          <w:szCs w:val="22"/>
        </w:rPr>
      </w:pPr>
    </w:p>
    <w:p w14:paraId="19F1C3B9" w14:textId="77777777" w:rsidR="00795BE0" w:rsidRPr="0007572B" w:rsidRDefault="00795BE0" w:rsidP="006F1659">
      <w:pPr>
        <w:spacing w:line="360" w:lineRule="auto"/>
        <w:rPr>
          <w:rFonts w:ascii="Arial" w:hAnsi="Arial" w:cs="Arial"/>
          <w:sz w:val="22"/>
        </w:rPr>
        <w:sectPr w:rsidR="00795BE0" w:rsidRPr="0007572B" w:rsidSect="004833A2">
          <w:pgSz w:w="16838" w:h="11906" w:orient="landscape"/>
          <w:pgMar w:top="1080" w:right="946" w:bottom="1416" w:left="1440" w:header="283" w:footer="567" w:gutter="0"/>
          <w:cols w:space="708"/>
          <w:docGrid w:linePitch="360"/>
        </w:sectPr>
      </w:pPr>
    </w:p>
    <w:p w14:paraId="6AEE5344" w14:textId="77777777" w:rsidR="00795BE0" w:rsidRPr="0007572B" w:rsidRDefault="00795BE0" w:rsidP="006F1659">
      <w:pPr>
        <w:pStyle w:val="Heading3green"/>
        <w:spacing w:line="360" w:lineRule="auto"/>
      </w:pPr>
      <w:bookmarkStart w:id="240" w:name="_Toc92895228"/>
      <w:bookmarkStart w:id="241" w:name="_Toc109922662"/>
      <w:r w:rsidRPr="0007572B">
        <w:lastRenderedPageBreak/>
        <w:t>Group Balance Sheet</w:t>
      </w:r>
      <w:bookmarkEnd w:id="240"/>
      <w:bookmarkEnd w:id="241"/>
    </w:p>
    <w:p w14:paraId="53FD4758" w14:textId="77777777" w:rsidR="00795BE0" w:rsidRPr="0007572B" w:rsidRDefault="00795BE0" w:rsidP="006F1659">
      <w:pPr>
        <w:spacing w:line="360" w:lineRule="auto"/>
        <w:jc w:val="both"/>
        <w:rPr>
          <w:rFonts w:ascii="Arial" w:hAnsi="Arial" w:cs="Arial"/>
        </w:rPr>
      </w:pPr>
    </w:p>
    <w:p w14:paraId="36A6EDAF" w14:textId="77777777" w:rsidR="00795BE0" w:rsidRPr="0007572B" w:rsidRDefault="00795BE0" w:rsidP="006F1659">
      <w:pPr>
        <w:spacing w:line="360" w:lineRule="auto"/>
        <w:rPr>
          <w:rFonts w:ascii="Arial" w:hAnsi="Arial" w:cs="Arial"/>
          <w:b/>
        </w:rPr>
      </w:pPr>
      <w:r w:rsidRPr="0007572B">
        <w:rPr>
          <w:rFonts w:ascii="Arial" w:hAnsi="Arial" w:cs="Arial"/>
        </w:rPr>
        <w:t>The Balance Sheet shows the value of assets and liabilities recognised by the Authority Group.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6F045FB5" w14:textId="20B676CF" w:rsidR="005A2C77" w:rsidRDefault="00795BE0" w:rsidP="006F1659">
      <w:pPr>
        <w:spacing w:line="360" w:lineRule="auto"/>
        <w:jc w:val="both"/>
        <w:rPr>
          <w:rFonts w:ascii="Arial" w:hAnsi="Arial" w:cs="Arial"/>
        </w:rPr>
      </w:pPr>
      <w:r w:rsidRPr="0007572B">
        <w:rPr>
          <w:rFonts w:ascii="Arial" w:hAnsi="Arial" w:cs="Arial"/>
        </w:rPr>
        <w:t>Further details of balance sheet items can be found in the relevant associated notes.</w:t>
      </w:r>
    </w:p>
    <w:p w14:paraId="21E52EA2" w14:textId="77777777" w:rsidR="00911920" w:rsidRPr="0007572B" w:rsidRDefault="00911920" w:rsidP="006F1659">
      <w:pPr>
        <w:spacing w:line="360" w:lineRule="auto"/>
        <w:jc w:val="both"/>
        <w:rPr>
          <w:rFonts w:ascii="Arial" w:hAnsi="Arial" w:cs="Arial"/>
        </w:rPr>
      </w:pPr>
    </w:p>
    <w:p w14:paraId="601EA333" w14:textId="4A1EC0AE" w:rsidR="00795BE0" w:rsidRPr="0007572B" w:rsidRDefault="00DA5B73" w:rsidP="006F1659">
      <w:pPr>
        <w:spacing w:line="360" w:lineRule="auto"/>
        <w:jc w:val="both"/>
        <w:rPr>
          <w:rFonts w:ascii="Arial" w:hAnsi="Arial" w:cs="Arial"/>
          <w:b/>
        </w:rPr>
      </w:pPr>
      <w:r w:rsidRPr="00DA5B73">
        <w:rPr>
          <w:noProof/>
        </w:rPr>
        <w:drawing>
          <wp:inline distT="0" distB="0" distL="0" distR="0" wp14:anchorId="0004CB17" wp14:editId="28E5DACD">
            <wp:extent cx="4667250" cy="5211955"/>
            <wp:effectExtent l="0" t="0" r="0" b="8255"/>
            <wp:docPr id="12026337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685319" cy="5232133"/>
                    </a:xfrm>
                    <a:prstGeom prst="rect">
                      <a:avLst/>
                    </a:prstGeom>
                    <a:noFill/>
                    <a:ln>
                      <a:noFill/>
                    </a:ln>
                  </pic:spPr>
                </pic:pic>
              </a:graphicData>
            </a:graphic>
          </wp:inline>
        </w:drawing>
      </w:r>
    </w:p>
    <w:p w14:paraId="1267C195" w14:textId="77777777" w:rsidR="00795BE0" w:rsidRPr="0007572B" w:rsidRDefault="00795BE0"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6168C280" wp14:editId="0AFA8318">
            <wp:extent cx="1117600" cy="614680"/>
            <wp:effectExtent l="0" t="0" r="6350" b="0"/>
            <wp:docPr id="15" name="Picture 15"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Steve Wilson, Greater Manchester Combined Authority Treasurer "/>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317A33BE" w14:textId="77777777" w:rsidR="00795BE0" w:rsidRPr="0007572B" w:rsidRDefault="00795BE0" w:rsidP="006F1659">
      <w:pPr>
        <w:spacing w:line="360" w:lineRule="auto"/>
        <w:jc w:val="both"/>
        <w:rPr>
          <w:rFonts w:ascii="Arial" w:hAnsi="Arial" w:cs="Arial"/>
          <w:b/>
        </w:rPr>
      </w:pPr>
      <w:r w:rsidRPr="0007572B">
        <w:rPr>
          <w:rFonts w:ascii="Arial" w:hAnsi="Arial" w:cs="Arial"/>
          <w:b/>
        </w:rPr>
        <w:t>Steve Wilson</w:t>
      </w:r>
    </w:p>
    <w:p w14:paraId="381FC5DB" w14:textId="77777777" w:rsidR="00795BE0" w:rsidRPr="0007572B" w:rsidRDefault="00795BE0" w:rsidP="006F1659">
      <w:pPr>
        <w:spacing w:line="360" w:lineRule="auto"/>
        <w:jc w:val="both"/>
        <w:rPr>
          <w:rFonts w:ascii="Arial" w:hAnsi="Arial" w:cs="Arial"/>
          <w:b/>
        </w:rPr>
      </w:pPr>
      <w:r w:rsidRPr="0007572B">
        <w:rPr>
          <w:rFonts w:ascii="Arial" w:hAnsi="Arial" w:cs="Arial"/>
          <w:b/>
        </w:rPr>
        <w:t>Greater Manchester Combined Authority Treasurer</w:t>
      </w:r>
    </w:p>
    <w:p w14:paraId="35F6477D" w14:textId="2F09A0D4" w:rsidR="00795BE0" w:rsidRPr="0007572B" w:rsidRDefault="00795BE0" w:rsidP="006F1659">
      <w:pPr>
        <w:spacing w:line="360" w:lineRule="auto"/>
        <w:rPr>
          <w:rFonts w:ascii="Arial" w:hAnsi="Arial" w:cs="Arial"/>
          <w:b/>
          <w:sz w:val="28"/>
          <w:szCs w:val="28"/>
        </w:rPr>
      </w:pPr>
      <w:r w:rsidRPr="0007572B">
        <w:rPr>
          <w:rFonts w:ascii="Arial" w:hAnsi="Arial" w:cs="Arial"/>
          <w:b/>
        </w:rPr>
        <w:t>Date:</w:t>
      </w:r>
      <w:r>
        <w:rPr>
          <w:rFonts w:ascii="Arial" w:hAnsi="Arial" w:cs="Arial"/>
          <w:b/>
        </w:rPr>
        <w:t xml:space="preserve"> </w:t>
      </w:r>
      <w:r w:rsidRPr="0007572B">
        <w:rPr>
          <w:rFonts w:ascii="Arial" w:hAnsi="Arial" w:cs="Arial"/>
          <w:b/>
        </w:rPr>
        <w:t xml:space="preserve"> </w:t>
      </w:r>
      <w:r w:rsidR="00454112">
        <w:rPr>
          <w:rFonts w:ascii="Arial" w:hAnsi="Arial" w:cs="Arial"/>
          <w:b/>
        </w:rPr>
        <w:t>02 December 2024</w:t>
      </w:r>
      <w:r w:rsidRPr="0007572B">
        <w:rPr>
          <w:rFonts w:ascii="Arial" w:hAnsi="Arial" w:cs="Arial"/>
          <w:b/>
          <w:sz w:val="28"/>
          <w:szCs w:val="28"/>
        </w:rPr>
        <w:br w:type="page"/>
      </w:r>
    </w:p>
    <w:p w14:paraId="44215396" w14:textId="77777777" w:rsidR="00795BE0" w:rsidRPr="0007572B" w:rsidRDefault="00795BE0" w:rsidP="006F1659">
      <w:pPr>
        <w:pStyle w:val="Heading3green"/>
        <w:spacing w:line="360" w:lineRule="auto"/>
      </w:pPr>
      <w:bookmarkStart w:id="242" w:name="_Toc92895229"/>
      <w:bookmarkStart w:id="243" w:name="_Toc109922663"/>
      <w:r w:rsidRPr="0007572B">
        <w:lastRenderedPageBreak/>
        <w:t>Group Cash Flow Statement</w:t>
      </w:r>
      <w:bookmarkEnd w:id="242"/>
      <w:bookmarkEnd w:id="243"/>
    </w:p>
    <w:p w14:paraId="4D907EC7" w14:textId="77777777" w:rsidR="00795BE0" w:rsidRPr="0007572B" w:rsidRDefault="00795BE0" w:rsidP="006F1659">
      <w:pPr>
        <w:spacing w:line="360" w:lineRule="auto"/>
        <w:jc w:val="both"/>
        <w:rPr>
          <w:rFonts w:ascii="Arial" w:hAnsi="Arial" w:cs="Arial"/>
        </w:rPr>
      </w:pPr>
    </w:p>
    <w:p w14:paraId="3B5C779A" w14:textId="77777777" w:rsidR="00795BE0" w:rsidRPr="0007572B" w:rsidRDefault="00795BE0" w:rsidP="006F1659">
      <w:pPr>
        <w:spacing w:line="360" w:lineRule="auto"/>
        <w:rPr>
          <w:rFonts w:ascii="Arial" w:hAnsi="Arial" w:cs="Arial"/>
        </w:rPr>
      </w:pPr>
      <w:r w:rsidRPr="0007572B">
        <w:rPr>
          <w:rFonts w:ascii="Arial" w:hAnsi="Arial" w:cs="Arial"/>
        </w:rPr>
        <w:t>The cash flow statement shows the changes in cash and cash equivalents of the Authority Group during the reporting period. The statement shows how the Group generates and uses cash equivalents by classifying cash flows as operating, investing and financing activities. The amount of net cash flows arising from the operating activities is a key indicator of the extent to which the operations of the Group are funded by way of precepts, levies, contributions and grant income. Investing activities represent the extent to which cash outflows have been made for resources which are intended to contribute to future service delivery. Cash flows arising from financing activities are useful in predicting claims on future cash flows by providers of capital (i.e. borrowing) to the Group.</w:t>
      </w:r>
    </w:p>
    <w:p w14:paraId="65652A95" w14:textId="77777777" w:rsidR="00795BE0" w:rsidRPr="0007572B" w:rsidRDefault="00795BE0" w:rsidP="006F1659">
      <w:pPr>
        <w:spacing w:line="360" w:lineRule="auto"/>
        <w:jc w:val="both"/>
        <w:rPr>
          <w:rFonts w:ascii="Arial" w:hAnsi="Arial" w:cs="Arial"/>
        </w:rPr>
      </w:pPr>
    </w:p>
    <w:p w14:paraId="751F7596" w14:textId="074B0B7A" w:rsidR="00795BE0" w:rsidRPr="0007572B" w:rsidRDefault="00FE7AFF" w:rsidP="006F1659">
      <w:pPr>
        <w:spacing w:line="360" w:lineRule="auto"/>
        <w:jc w:val="both"/>
        <w:rPr>
          <w:rFonts w:ascii="Arial" w:hAnsi="Arial" w:cs="Arial"/>
        </w:rPr>
      </w:pPr>
      <w:r w:rsidRPr="00FE7AFF">
        <w:rPr>
          <w:noProof/>
        </w:rPr>
        <w:drawing>
          <wp:inline distT="0" distB="0" distL="0" distR="0" wp14:anchorId="73E4D0D2" wp14:editId="793D6CA7">
            <wp:extent cx="5975350" cy="2449195"/>
            <wp:effectExtent l="0" t="0" r="6350" b="8255"/>
            <wp:docPr id="651996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975350" cy="2449195"/>
                    </a:xfrm>
                    <a:prstGeom prst="rect">
                      <a:avLst/>
                    </a:prstGeom>
                    <a:noFill/>
                    <a:ln>
                      <a:noFill/>
                    </a:ln>
                  </pic:spPr>
                </pic:pic>
              </a:graphicData>
            </a:graphic>
          </wp:inline>
        </w:drawing>
      </w:r>
    </w:p>
    <w:p w14:paraId="52EEE511" w14:textId="77777777" w:rsidR="00795BE0" w:rsidRPr="0007572B" w:rsidRDefault="00795BE0" w:rsidP="006F1659">
      <w:pPr>
        <w:spacing w:line="360" w:lineRule="auto"/>
        <w:jc w:val="both"/>
        <w:rPr>
          <w:rFonts w:ascii="Arial" w:hAnsi="Arial" w:cs="Arial"/>
        </w:rPr>
      </w:pPr>
    </w:p>
    <w:p w14:paraId="31D69478" w14:textId="77777777" w:rsidR="00795BE0" w:rsidRPr="0007572B" w:rsidRDefault="00795BE0" w:rsidP="006F1659">
      <w:pPr>
        <w:spacing w:line="360" w:lineRule="auto"/>
        <w:jc w:val="both"/>
        <w:rPr>
          <w:rFonts w:ascii="Arial" w:hAnsi="Arial" w:cs="Arial"/>
          <w:b/>
          <w:sz w:val="22"/>
          <w:szCs w:val="22"/>
          <w:highlight w:val="yellow"/>
        </w:rPr>
      </w:pPr>
    </w:p>
    <w:p w14:paraId="100A8A86" w14:textId="77777777" w:rsidR="00795BE0" w:rsidRPr="0007572B" w:rsidRDefault="00795BE0" w:rsidP="006F1659">
      <w:pPr>
        <w:spacing w:line="360" w:lineRule="auto"/>
        <w:rPr>
          <w:rFonts w:ascii="Arial" w:hAnsi="Arial" w:cs="Arial"/>
          <w:sz w:val="22"/>
        </w:rPr>
      </w:pPr>
      <w:r w:rsidRPr="0007572B">
        <w:rPr>
          <w:rFonts w:ascii="Arial" w:hAnsi="Arial" w:cs="Arial"/>
          <w:sz w:val="22"/>
        </w:rPr>
        <w:br w:type="page"/>
      </w:r>
    </w:p>
    <w:p w14:paraId="7F7102BA" w14:textId="77777777" w:rsidR="00795BE0" w:rsidRPr="0007572B" w:rsidRDefault="00795BE0" w:rsidP="006F1659">
      <w:pPr>
        <w:spacing w:line="360" w:lineRule="auto"/>
        <w:rPr>
          <w:rFonts w:ascii="Arial" w:hAnsi="Arial" w:cs="Arial"/>
          <w:sz w:val="22"/>
        </w:rPr>
      </w:pPr>
    </w:p>
    <w:p w14:paraId="2D82A7C9" w14:textId="77777777" w:rsidR="00795BE0" w:rsidRDefault="00795BE0" w:rsidP="006F1659">
      <w:pPr>
        <w:spacing w:line="360" w:lineRule="auto"/>
        <w:jc w:val="center"/>
        <w:rPr>
          <w:rFonts w:ascii="Arial" w:hAnsi="Arial" w:cs="Arial"/>
          <w:b/>
          <w:sz w:val="40"/>
          <w:szCs w:val="40"/>
        </w:rPr>
      </w:pPr>
    </w:p>
    <w:p w14:paraId="086B9A92" w14:textId="77777777" w:rsidR="00795BE0" w:rsidRDefault="00795BE0" w:rsidP="006F1659">
      <w:pPr>
        <w:spacing w:line="360" w:lineRule="auto"/>
        <w:jc w:val="center"/>
        <w:rPr>
          <w:rFonts w:ascii="Arial" w:hAnsi="Arial" w:cs="Arial"/>
          <w:b/>
          <w:sz w:val="40"/>
          <w:szCs w:val="40"/>
        </w:rPr>
      </w:pPr>
    </w:p>
    <w:p w14:paraId="231590A2" w14:textId="77777777" w:rsidR="00795BE0" w:rsidRDefault="00795BE0" w:rsidP="006F1659">
      <w:pPr>
        <w:spacing w:line="360" w:lineRule="auto"/>
        <w:jc w:val="center"/>
        <w:rPr>
          <w:rFonts w:ascii="Arial" w:hAnsi="Arial" w:cs="Arial"/>
          <w:b/>
          <w:sz w:val="40"/>
          <w:szCs w:val="40"/>
        </w:rPr>
      </w:pPr>
    </w:p>
    <w:p w14:paraId="0D5A562B" w14:textId="77777777" w:rsidR="00795BE0" w:rsidRDefault="00795BE0" w:rsidP="006F1659">
      <w:pPr>
        <w:spacing w:line="360" w:lineRule="auto"/>
        <w:jc w:val="center"/>
        <w:rPr>
          <w:rFonts w:ascii="Arial" w:hAnsi="Arial" w:cs="Arial"/>
          <w:b/>
          <w:sz w:val="40"/>
          <w:szCs w:val="40"/>
        </w:rPr>
      </w:pPr>
    </w:p>
    <w:p w14:paraId="5DA875C1" w14:textId="77777777" w:rsidR="00795BE0" w:rsidRPr="0007572B" w:rsidRDefault="00795BE0" w:rsidP="006F1659">
      <w:pPr>
        <w:spacing w:line="360" w:lineRule="auto"/>
        <w:jc w:val="center"/>
        <w:rPr>
          <w:rFonts w:ascii="Arial" w:hAnsi="Arial" w:cs="Arial"/>
          <w:b/>
          <w:sz w:val="40"/>
          <w:szCs w:val="40"/>
        </w:rPr>
      </w:pPr>
    </w:p>
    <w:p w14:paraId="22BA478E" w14:textId="77777777" w:rsidR="00795BE0" w:rsidRPr="0007572B" w:rsidRDefault="00795BE0" w:rsidP="006F1659">
      <w:pPr>
        <w:spacing w:line="360" w:lineRule="auto"/>
        <w:jc w:val="center"/>
        <w:rPr>
          <w:rFonts w:ascii="Arial" w:hAnsi="Arial" w:cs="Arial"/>
          <w:b/>
          <w:sz w:val="40"/>
          <w:szCs w:val="40"/>
        </w:rPr>
      </w:pPr>
    </w:p>
    <w:p w14:paraId="5F57CF47" w14:textId="77777777" w:rsidR="00795BE0" w:rsidRPr="0007572B" w:rsidRDefault="00795BE0" w:rsidP="006F1659">
      <w:pPr>
        <w:pStyle w:val="Heading1"/>
        <w:spacing w:line="360" w:lineRule="auto"/>
        <w:jc w:val="center"/>
      </w:pPr>
      <w:bookmarkStart w:id="244" w:name="_Toc92895230"/>
      <w:bookmarkStart w:id="245" w:name="_Toc109922664"/>
      <w:r>
        <w:t>Notes to the Group Financial Statements</w:t>
      </w:r>
      <w:bookmarkEnd w:id="244"/>
      <w:bookmarkEnd w:id="245"/>
    </w:p>
    <w:p w14:paraId="46B7B594" w14:textId="77777777" w:rsidR="00795BE0" w:rsidRDefault="00795BE0" w:rsidP="006F1659">
      <w:pPr>
        <w:spacing w:line="360" w:lineRule="auto"/>
        <w:jc w:val="center"/>
        <w:rPr>
          <w:rFonts w:ascii="Arial" w:hAnsi="Arial" w:cs="Arial"/>
          <w:b/>
          <w:sz w:val="40"/>
          <w:szCs w:val="40"/>
        </w:rPr>
      </w:pPr>
    </w:p>
    <w:p w14:paraId="10BDBFFE" w14:textId="77777777" w:rsidR="00795BE0" w:rsidRPr="0007572B" w:rsidRDefault="00795BE0" w:rsidP="006F1659">
      <w:pPr>
        <w:spacing w:line="360" w:lineRule="auto"/>
        <w:jc w:val="center"/>
        <w:rPr>
          <w:rFonts w:ascii="Arial" w:hAnsi="Arial" w:cs="Arial"/>
          <w:b/>
          <w:sz w:val="40"/>
          <w:szCs w:val="40"/>
        </w:rPr>
      </w:pPr>
    </w:p>
    <w:p w14:paraId="5A7B22DA" w14:textId="77777777" w:rsidR="00795BE0" w:rsidRPr="0007572B" w:rsidRDefault="00795BE0" w:rsidP="006F1659">
      <w:pPr>
        <w:spacing w:line="360" w:lineRule="auto"/>
        <w:rPr>
          <w:rFonts w:ascii="Arial" w:hAnsi="Arial" w:cs="Arial"/>
          <w:sz w:val="22"/>
        </w:rPr>
      </w:pPr>
    </w:p>
    <w:p w14:paraId="40F4EC26" w14:textId="77777777" w:rsidR="00795BE0" w:rsidRPr="0007572B" w:rsidRDefault="00795BE0" w:rsidP="006F1659">
      <w:pPr>
        <w:spacing w:line="360" w:lineRule="auto"/>
        <w:rPr>
          <w:rFonts w:ascii="Arial" w:hAnsi="Arial" w:cs="Arial"/>
          <w:sz w:val="22"/>
        </w:rPr>
        <w:sectPr w:rsidR="00795BE0" w:rsidRPr="0007572B" w:rsidSect="004833A2">
          <w:pgSz w:w="11906" w:h="16838"/>
          <w:pgMar w:top="946" w:right="1416" w:bottom="1440" w:left="1080" w:header="283" w:footer="567" w:gutter="0"/>
          <w:cols w:space="708"/>
          <w:docGrid w:linePitch="360"/>
        </w:sectPr>
      </w:pPr>
    </w:p>
    <w:p w14:paraId="0F143750" w14:textId="77777777" w:rsidR="00795BE0" w:rsidRPr="0007572B" w:rsidRDefault="00795BE0" w:rsidP="006F1659">
      <w:pPr>
        <w:pStyle w:val="Heading3greennumbered"/>
        <w:spacing w:line="360" w:lineRule="auto"/>
      </w:pPr>
      <w:bookmarkStart w:id="246" w:name="_Toc92894927"/>
      <w:bookmarkStart w:id="247" w:name="_Toc92895231"/>
      <w:bookmarkStart w:id="248" w:name="_Toc109922665"/>
      <w:r w:rsidRPr="0007572B">
        <w:lastRenderedPageBreak/>
        <w:t>36 Group Accounting Policies</w:t>
      </w:r>
      <w:bookmarkEnd w:id="246"/>
      <w:bookmarkEnd w:id="247"/>
      <w:bookmarkEnd w:id="248"/>
      <w:r w:rsidRPr="0007572B">
        <w:t xml:space="preserve"> </w:t>
      </w:r>
    </w:p>
    <w:p w14:paraId="159AB2CF" w14:textId="77777777" w:rsidR="00795BE0" w:rsidRDefault="00795BE0" w:rsidP="00DF2CD7">
      <w:pPr>
        <w:spacing w:line="360" w:lineRule="auto"/>
      </w:pPr>
    </w:p>
    <w:p w14:paraId="6ACA7242" w14:textId="77777777" w:rsidR="00795BE0" w:rsidRPr="0007572B" w:rsidRDefault="00795BE0" w:rsidP="006F1659">
      <w:pPr>
        <w:pStyle w:val="Heading4bold"/>
        <w:spacing w:line="360" w:lineRule="auto"/>
      </w:pPr>
      <w:r w:rsidRPr="0007572B">
        <w:t>36.1 Consolidation Method</w:t>
      </w:r>
    </w:p>
    <w:p w14:paraId="738E3D9E" w14:textId="77777777" w:rsidR="00795BE0" w:rsidRDefault="00795BE0" w:rsidP="006F1659">
      <w:pPr>
        <w:spacing w:line="360" w:lineRule="auto"/>
        <w:rPr>
          <w:rFonts w:ascii="Arial" w:hAnsi="Arial" w:cs="Arial"/>
        </w:rPr>
      </w:pPr>
      <w:r w:rsidRPr="0007572B">
        <w:rPr>
          <w:rFonts w:ascii="Arial" w:hAnsi="Arial" w:cs="Arial"/>
        </w:rPr>
        <w:t xml:space="preserve">The Accounts of all subsidiary group entities are consolidated on a line by line basis with corresponding consolidation adjustments to remove inter group transactions and balances. </w:t>
      </w:r>
    </w:p>
    <w:p w14:paraId="32DEC91D" w14:textId="77777777" w:rsidR="00795BE0" w:rsidRPr="0007572B" w:rsidRDefault="00795BE0" w:rsidP="006F1659">
      <w:pPr>
        <w:spacing w:line="360" w:lineRule="auto"/>
        <w:rPr>
          <w:rFonts w:ascii="Arial" w:hAnsi="Arial" w:cs="Arial"/>
        </w:rPr>
      </w:pPr>
    </w:p>
    <w:p w14:paraId="27D63AF9" w14:textId="77777777" w:rsidR="00795BE0" w:rsidRPr="00353B6F" w:rsidRDefault="00795BE0" w:rsidP="006F1659">
      <w:pPr>
        <w:pStyle w:val="8TfGMStandardDocumentText"/>
        <w:spacing w:line="360" w:lineRule="auto"/>
        <w:jc w:val="left"/>
        <w:rPr>
          <w:rFonts w:ascii="Arial" w:eastAsiaTheme="minorHAnsi" w:hAnsi="Arial"/>
          <w:sz w:val="24"/>
          <w:szCs w:val="22"/>
        </w:rPr>
      </w:pPr>
      <w:r w:rsidRPr="00353B6F">
        <w:rPr>
          <w:rFonts w:ascii="Arial" w:hAnsi="Arial"/>
          <w:sz w:val="24"/>
          <w:szCs w:val="22"/>
        </w:rPr>
        <w:t xml:space="preserve">The </w:t>
      </w:r>
      <w:r w:rsidRPr="00353B6F">
        <w:rPr>
          <w:rFonts w:ascii="Arial" w:eastAsiaTheme="minorHAnsi" w:hAnsi="Arial"/>
          <w:sz w:val="24"/>
          <w:szCs w:val="22"/>
        </w:rPr>
        <w:t>accounting policies of the group entities are consistent with the Authority. The following accounting policies are in addition to the single entity policies detailed in note 1 of these statements.</w:t>
      </w:r>
    </w:p>
    <w:p w14:paraId="60A12956" w14:textId="77777777" w:rsidR="00795BE0" w:rsidRPr="00CB14E2" w:rsidRDefault="00795BE0" w:rsidP="006F1659">
      <w:pPr>
        <w:pStyle w:val="Heading4bold"/>
        <w:spacing w:line="360" w:lineRule="auto"/>
        <w:rPr>
          <w:rFonts w:eastAsiaTheme="minorHAnsi"/>
        </w:rPr>
      </w:pPr>
      <w:r w:rsidRPr="00CB14E2">
        <w:rPr>
          <w:rFonts w:eastAsiaTheme="minorHAnsi"/>
        </w:rPr>
        <w:t>36.2 Investment properties</w:t>
      </w:r>
    </w:p>
    <w:p w14:paraId="21BBC201" w14:textId="379DBFD2" w:rsidR="00795BE0" w:rsidRPr="00CB14E2" w:rsidRDefault="00795BE0" w:rsidP="006F1659">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initially recognised at cost, including direct transaction costs. They are subsequently revalued annually in accordance with the fair value model, reflecting market conditions at the balance sheet date. Where a fair value cannot be obtained the cost model will be used in IAS 16. Any surplus or deficit arising from any change in fair value is recognised in the Comprehensive Income and Expenditure Statement in the period in which it arises.</w:t>
      </w:r>
    </w:p>
    <w:p w14:paraId="3B0E5A35" w14:textId="0DD140F7" w:rsidR="00795BE0" w:rsidRDefault="00795BE0" w:rsidP="006F1659">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not depreciated. They are de-recognised when disposed of, or when no future economic use is expected. The difference between net proceeds and carrying value is recognised in the Comprehensive Income and Expenditure Statement in the period of de-recognition.</w:t>
      </w:r>
    </w:p>
    <w:p w14:paraId="6854B50E" w14:textId="502D8651" w:rsidR="00595F05" w:rsidRPr="00CB14E2" w:rsidRDefault="00595F05" w:rsidP="006F1659">
      <w:pPr>
        <w:pStyle w:val="Heading4bold"/>
        <w:spacing w:line="360" w:lineRule="auto"/>
        <w:rPr>
          <w:rFonts w:eastAsiaTheme="minorHAnsi"/>
        </w:rPr>
      </w:pPr>
      <w:r w:rsidRPr="00CB14E2">
        <w:rPr>
          <w:rFonts w:eastAsiaTheme="minorHAnsi"/>
        </w:rPr>
        <w:t>36.</w:t>
      </w:r>
      <w:r>
        <w:rPr>
          <w:rFonts w:eastAsiaTheme="minorHAnsi"/>
        </w:rPr>
        <w:t>3</w:t>
      </w:r>
      <w:r w:rsidRPr="00CB14E2">
        <w:rPr>
          <w:rFonts w:eastAsiaTheme="minorHAnsi"/>
        </w:rPr>
        <w:t xml:space="preserve"> </w:t>
      </w:r>
      <w:r>
        <w:rPr>
          <w:rFonts w:eastAsiaTheme="minorHAnsi"/>
        </w:rPr>
        <w:t>Infrastructure Assets</w:t>
      </w:r>
    </w:p>
    <w:p w14:paraId="63261153" w14:textId="77777777" w:rsidR="00595F05" w:rsidRPr="00431F6F" w:rsidRDefault="00595F05" w:rsidP="006F1659">
      <w:pPr>
        <w:spacing w:line="360" w:lineRule="auto"/>
        <w:rPr>
          <w:rFonts w:ascii="Arial" w:hAnsi="Arial" w:cs="Arial"/>
        </w:rPr>
      </w:pPr>
      <w:r w:rsidRPr="00431F6F">
        <w:rPr>
          <w:rFonts w:ascii="Arial" w:eastAsiaTheme="minorHAnsi" w:hAnsi="Arial" w:cs="Arial"/>
        </w:rPr>
        <w:t>TfGM’s infrastructure assets are stated at cost less accumulated depreciation. TfGM’s policy is to write off the carrying value of all assets, other than freehold land, on a straight-line basis over their estimated remaining useful lives.</w:t>
      </w:r>
    </w:p>
    <w:p w14:paraId="46738334" w14:textId="77777777" w:rsidR="00595F05" w:rsidRPr="00431F6F" w:rsidRDefault="00595F05" w:rsidP="006F1659">
      <w:pPr>
        <w:pStyle w:val="8TfGMStandardDocumentText"/>
        <w:spacing w:line="360" w:lineRule="auto"/>
        <w:jc w:val="left"/>
        <w:rPr>
          <w:rFonts w:ascii="Arial" w:eastAsiaTheme="minorHAnsi" w:hAnsi="Arial"/>
          <w:sz w:val="24"/>
          <w:lang w:eastAsia="en-US"/>
        </w:rPr>
      </w:pPr>
      <w:r w:rsidRPr="00431F6F">
        <w:rPr>
          <w:rFonts w:ascii="Arial" w:eastAsiaTheme="minorHAnsi" w:hAnsi="Arial"/>
          <w:sz w:val="24"/>
          <w:lang w:eastAsia="en-US"/>
        </w:rPr>
        <w:t>The range of estimated useful lives for infrastructure assets is 3 to 50 years and includes a number of categories of assets relating to the Metrolink network, Interchanges and Bus Stations, the Leigh to Ellenbrook Guided busway and cycle hubs.</w:t>
      </w:r>
    </w:p>
    <w:p w14:paraId="587D4ADD" w14:textId="77777777" w:rsidR="00595F05" w:rsidRPr="00431F6F" w:rsidRDefault="00595F05" w:rsidP="006F1659">
      <w:pPr>
        <w:pStyle w:val="8TfGMStandardDocumentText"/>
        <w:spacing w:line="360" w:lineRule="auto"/>
        <w:rPr>
          <w:rFonts w:ascii="Arial" w:eastAsiaTheme="minorHAnsi" w:hAnsi="Arial"/>
          <w:sz w:val="24"/>
          <w:lang w:eastAsia="en-US"/>
        </w:rPr>
      </w:pPr>
      <w:r w:rsidRPr="00431F6F">
        <w:rPr>
          <w:rFonts w:ascii="Arial" w:eastAsiaTheme="minorHAnsi" w:hAnsi="Arial"/>
          <w:sz w:val="24"/>
          <w:lang w:eastAsia="en-US"/>
        </w:rPr>
        <w:t>Further details of the asset lives within this category are:</w:t>
      </w:r>
    </w:p>
    <w:p w14:paraId="59ADEC7B" w14:textId="74690852"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Civil structures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25 to 50 years</w:t>
      </w:r>
    </w:p>
    <w:p w14:paraId="00560F9E" w14:textId="2B6B6BC6"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lastRenderedPageBreak/>
        <w:t xml:space="preserve">Stations and stop infrastructure </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 xml:space="preserve">10 to </w:t>
      </w:r>
      <w:r w:rsidR="009343E2">
        <w:rPr>
          <w:rFonts w:eastAsiaTheme="minorHAnsi"/>
          <w:sz w:val="24"/>
        </w:rPr>
        <w:t>3</w:t>
      </w:r>
      <w:r w:rsidRPr="00431F6F">
        <w:rPr>
          <w:rFonts w:eastAsiaTheme="minorHAnsi"/>
          <w:sz w:val="24"/>
        </w:rPr>
        <w:t>0 years</w:t>
      </w:r>
    </w:p>
    <w:p w14:paraId="00A1C737" w14:textId="1A718700"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Track and track bed</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20 to 30 years</w:t>
      </w:r>
    </w:p>
    <w:p w14:paraId="59643FE7" w14:textId="77777777"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Ticket machines, information points and validators</w:t>
      </w:r>
      <w:r w:rsidRPr="00431F6F">
        <w:rPr>
          <w:rFonts w:eastAsiaTheme="minorHAnsi"/>
          <w:sz w:val="24"/>
        </w:rPr>
        <w:tab/>
        <w:t>5 to 20 years</w:t>
      </w:r>
    </w:p>
    <w:p w14:paraId="75F46E99" w14:textId="329684DF"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Overhead power lines</w:t>
      </w:r>
      <w:r w:rsidRPr="00431F6F">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20 to 30 years</w:t>
      </w:r>
    </w:p>
    <w:p w14:paraId="3D43D566" w14:textId="28718603"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Signalling/telecoms</w:t>
      </w:r>
      <w:r w:rsidRPr="00431F6F">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15 to 20 years</w:t>
      </w:r>
    </w:p>
    <w:p w14:paraId="6E5E8098" w14:textId="2696BE75"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Metrolink trams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30 years</w:t>
      </w:r>
    </w:p>
    <w:p w14:paraId="3A783F8E" w14:textId="6A05D866"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Metrolink Plant and Equipment</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3 to 35 years</w:t>
      </w:r>
    </w:p>
    <w:p w14:paraId="322AF9A3" w14:textId="7EF2F6FF"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Guided Busway and infrastructure</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50 years</w:t>
      </w:r>
    </w:p>
    <w:p w14:paraId="35B7ADE5" w14:textId="663D07A1"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Park and Ride and infrastructure</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40 years</w:t>
      </w:r>
    </w:p>
    <w:p w14:paraId="6296EF33" w14:textId="4ADD218D"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Bus Station and internal fittings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40 years</w:t>
      </w:r>
    </w:p>
    <w:p w14:paraId="53635C88" w14:textId="6D2A1D45"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Electric vehicle charging points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years</w:t>
      </w:r>
    </w:p>
    <w:p w14:paraId="25E1A18D" w14:textId="00AFE547"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Bike hire assets and cycle hubs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years</w:t>
      </w:r>
    </w:p>
    <w:p w14:paraId="30A785C9" w14:textId="39D4A94A"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4</w:t>
      </w:r>
      <w:r w:rsidRPr="0007572B">
        <w:rPr>
          <w:rFonts w:eastAsiaTheme="minorHAnsi"/>
        </w:rPr>
        <w:t xml:space="preserve"> Inventories</w:t>
      </w:r>
    </w:p>
    <w:p w14:paraId="25C44464" w14:textId="77777777" w:rsidR="00795BE0" w:rsidRDefault="00795BE0" w:rsidP="006F1659">
      <w:pPr>
        <w:spacing w:after="160" w:line="360" w:lineRule="auto"/>
        <w:rPr>
          <w:rFonts w:ascii="Arial" w:eastAsiaTheme="minorHAnsi" w:hAnsi="Arial" w:cs="Arial"/>
        </w:rPr>
      </w:pPr>
      <w:r w:rsidRPr="0007572B">
        <w:rPr>
          <w:rFonts w:ascii="Arial" w:eastAsiaTheme="minorHAnsi" w:hAnsi="Arial" w:cs="Arial"/>
        </w:rPr>
        <w:t>Inventories are carried at the lower of cost (including costs incurred in bringing the inventory to its present location, such as freight) and net realisable value, determined on a first in first out basis.</w:t>
      </w:r>
    </w:p>
    <w:p w14:paraId="75807808" w14:textId="2E6F5918"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5</w:t>
      </w:r>
      <w:r w:rsidRPr="0007572B">
        <w:rPr>
          <w:rFonts w:eastAsiaTheme="minorHAnsi"/>
        </w:rPr>
        <w:t xml:space="preserve"> Passenger Transport Facilities</w:t>
      </w:r>
    </w:p>
    <w:p w14:paraId="5C89C497" w14:textId="53010645"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As part of its statutory duties, the Group is responsible for meeting the costs of upgrading public passenger transport facilities in the Greater Manchester area, including railway and highways infrastructure. The expenditure incurred is offset by equivalent grants received from the Authority and other parties, which for the year ended 31 March 202</w:t>
      </w:r>
      <w:r w:rsidR="00353B6F">
        <w:rPr>
          <w:rFonts w:ascii="Arial" w:eastAsiaTheme="minorHAnsi" w:hAnsi="Arial" w:cs="Arial"/>
        </w:rPr>
        <w:t>3</w:t>
      </w:r>
      <w:r>
        <w:rPr>
          <w:rFonts w:ascii="Arial" w:eastAsiaTheme="minorHAnsi" w:hAnsi="Arial" w:cs="Arial"/>
        </w:rPr>
        <w:t xml:space="preserve"> </w:t>
      </w:r>
      <w:r w:rsidRPr="00B93355">
        <w:rPr>
          <w:rFonts w:ascii="Arial" w:eastAsiaTheme="minorHAnsi" w:hAnsi="Arial" w:cs="Arial"/>
        </w:rPr>
        <w:t xml:space="preserve">amounted to </w:t>
      </w:r>
      <w:r w:rsidRPr="008169B1">
        <w:rPr>
          <w:rFonts w:ascii="Arial" w:eastAsiaTheme="minorHAnsi" w:hAnsi="Arial" w:cs="Arial"/>
        </w:rPr>
        <w:t>£</w:t>
      </w:r>
      <w:r w:rsidR="008169B1" w:rsidRPr="008169B1">
        <w:rPr>
          <w:rFonts w:ascii="Arial" w:eastAsiaTheme="minorHAnsi" w:hAnsi="Arial" w:cs="Arial"/>
        </w:rPr>
        <w:t>11.9</w:t>
      </w:r>
      <w:r w:rsidRPr="008169B1">
        <w:rPr>
          <w:rFonts w:ascii="Arial" w:eastAsiaTheme="minorHAnsi" w:hAnsi="Arial" w:cs="Arial"/>
        </w:rPr>
        <w:t>m (</w:t>
      </w:r>
      <w:r>
        <w:rPr>
          <w:rFonts w:ascii="Arial" w:eastAsiaTheme="minorHAnsi" w:hAnsi="Arial" w:cs="Arial"/>
        </w:rPr>
        <w:t>202</w:t>
      </w:r>
      <w:r w:rsidR="00353B6F">
        <w:rPr>
          <w:rFonts w:ascii="Arial" w:eastAsiaTheme="minorHAnsi" w:hAnsi="Arial" w:cs="Arial"/>
        </w:rPr>
        <w:t>1</w:t>
      </w:r>
      <w:r>
        <w:rPr>
          <w:rFonts w:ascii="Arial" w:eastAsiaTheme="minorHAnsi" w:hAnsi="Arial" w:cs="Arial"/>
        </w:rPr>
        <w:t>/2</w:t>
      </w:r>
      <w:r w:rsidR="00353B6F">
        <w:rPr>
          <w:rFonts w:ascii="Arial" w:eastAsiaTheme="minorHAnsi" w:hAnsi="Arial" w:cs="Arial"/>
        </w:rPr>
        <w:t>2</w:t>
      </w:r>
      <w:r w:rsidRPr="00B93355">
        <w:rPr>
          <w:rFonts w:ascii="Arial" w:eastAsiaTheme="minorHAnsi" w:hAnsi="Arial" w:cs="Arial"/>
        </w:rPr>
        <w:t>: £</w:t>
      </w:r>
      <w:r w:rsidR="00353B6F">
        <w:rPr>
          <w:rFonts w:ascii="Arial" w:eastAsiaTheme="minorHAnsi" w:hAnsi="Arial" w:cs="Arial"/>
        </w:rPr>
        <w:t>5.</w:t>
      </w:r>
      <w:r>
        <w:rPr>
          <w:rFonts w:ascii="Arial" w:eastAsiaTheme="minorHAnsi" w:hAnsi="Arial" w:cs="Arial"/>
        </w:rPr>
        <w:t>1</w:t>
      </w:r>
      <w:r w:rsidRPr="00B93355">
        <w:rPr>
          <w:rFonts w:ascii="Arial" w:eastAsiaTheme="minorHAnsi" w:hAnsi="Arial" w:cs="Arial"/>
        </w:rPr>
        <w:t>m).</w:t>
      </w:r>
    </w:p>
    <w:p w14:paraId="2C47AE19"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Once completed, ownership of these assets vests in Network Rail, rail operating companies, Highways England, the Authority or the local authority as appropriate.</w:t>
      </w:r>
    </w:p>
    <w:p w14:paraId="54EEB55F" w14:textId="77777777" w:rsidR="00795BE0" w:rsidRPr="0007572B" w:rsidRDefault="00795BE0" w:rsidP="006F1659">
      <w:pPr>
        <w:spacing w:after="160" w:line="360" w:lineRule="auto"/>
        <w:rPr>
          <w:rFonts w:ascii="Arial" w:eastAsiaTheme="minorHAnsi" w:hAnsi="Arial" w:cs="Arial"/>
          <w:highlight w:val="yellow"/>
        </w:rPr>
      </w:pPr>
      <w:r w:rsidRPr="0007572B">
        <w:rPr>
          <w:rFonts w:ascii="Arial" w:eastAsiaTheme="minorHAnsi" w:hAnsi="Arial" w:cs="Arial"/>
        </w:rPr>
        <w:t>Both the costs and the grant income are recognised within the Comprehensive Income and Expenditure Statement.</w:t>
      </w:r>
    </w:p>
    <w:p w14:paraId="64B0D181" w14:textId="00B9C610"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6</w:t>
      </w:r>
      <w:r w:rsidRPr="0007572B">
        <w:rPr>
          <w:rFonts w:eastAsiaTheme="minorHAnsi"/>
        </w:rPr>
        <w:t xml:space="preserve"> Lease Income</w:t>
      </w:r>
    </w:p>
    <w:p w14:paraId="6E623374"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Amounts receivable under finance leases are stated net of interest allocated to future periods. Interest is allocated to accounting periods to produce a constant periodic rate of return on the remaining net investment.</w:t>
      </w:r>
    </w:p>
    <w:p w14:paraId="485CD111" w14:textId="77777777" w:rsidR="00795BE0" w:rsidRPr="0007572B" w:rsidRDefault="00795BE0" w:rsidP="006F1659">
      <w:pPr>
        <w:spacing w:after="160" w:line="360" w:lineRule="auto"/>
        <w:rPr>
          <w:rFonts w:ascii="Arial" w:eastAsiaTheme="minorHAnsi" w:hAnsi="Arial" w:cs="Arial"/>
          <w:highlight w:val="yellow"/>
        </w:rPr>
      </w:pPr>
      <w:r w:rsidRPr="0007572B">
        <w:rPr>
          <w:rFonts w:ascii="Arial" w:eastAsiaTheme="minorHAnsi" w:hAnsi="Arial" w:cs="Arial"/>
        </w:rPr>
        <w:t xml:space="preserve">Rentals receivable under operating leases, and secondary rentals received and retained by the Group under finance leases, are credited to income as they arise. </w:t>
      </w:r>
      <w:r w:rsidRPr="0007572B">
        <w:rPr>
          <w:rFonts w:ascii="Arial" w:eastAsiaTheme="minorHAnsi" w:hAnsi="Arial" w:cs="Arial"/>
        </w:rPr>
        <w:lastRenderedPageBreak/>
        <w:t>Any premia or incentives within the lease are recognised as income on an equal basis over the term of the lease.</w:t>
      </w:r>
    </w:p>
    <w:p w14:paraId="2BCD509E" w14:textId="71F00D34"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7</w:t>
      </w:r>
      <w:r w:rsidRPr="0007572B">
        <w:rPr>
          <w:rFonts w:eastAsiaTheme="minorHAnsi"/>
        </w:rPr>
        <w:t xml:space="preserve"> Lease Expenditure</w:t>
      </w:r>
    </w:p>
    <w:p w14:paraId="7E9A9643"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Assets held under finance leases where the Group retains substantially all the risks and benefits of ownership are capitalised in the balance sheet at the lower of the fair value of the asset and the net present value of the minimum lease payments; the assets are then depreciated over their useful economic lives.</w:t>
      </w:r>
    </w:p>
    <w:p w14:paraId="0B837284" w14:textId="77777777" w:rsidR="00795BE0" w:rsidRPr="00FB1945" w:rsidRDefault="00795BE0" w:rsidP="006F1659">
      <w:pPr>
        <w:spacing w:after="160" w:line="360" w:lineRule="auto"/>
        <w:rPr>
          <w:rFonts w:ascii="Arial" w:eastAsiaTheme="minorHAnsi" w:hAnsi="Arial" w:cs="Arial"/>
        </w:rPr>
      </w:pPr>
      <w:r w:rsidRPr="0007572B">
        <w:rPr>
          <w:rFonts w:ascii="Arial" w:eastAsiaTheme="minorHAnsi" w:hAnsi="Arial" w:cs="Arial"/>
          <w:sz w:val="22"/>
          <w:szCs w:val="22"/>
        </w:rPr>
        <w:t xml:space="preserve">The lease obligations are recognised as a financial liability. The interest element of the rental obligations is charged to the Comprehensive Income and Expenditure Statement over the </w:t>
      </w:r>
      <w:r w:rsidRPr="00FB1945">
        <w:rPr>
          <w:rFonts w:ascii="Arial" w:eastAsiaTheme="minorHAnsi" w:hAnsi="Arial" w:cs="Arial"/>
        </w:rPr>
        <w:t>period of the lease and represents a constant proportion of the balance of capital repayments outstanding.</w:t>
      </w:r>
    </w:p>
    <w:p w14:paraId="4CCCF444" w14:textId="2137895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Rentals paid under operating leases are charged to expenditure on a straight</w:t>
      </w:r>
      <w:r w:rsidR="00831A0A">
        <w:rPr>
          <w:rFonts w:ascii="Arial" w:eastAsiaTheme="minorHAnsi" w:hAnsi="Arial" w:cs="Arial"/>
        </w:rPr>
        <w:t>-</w:t>
      </w:r>
      <w:r w:rsidRPr="0007572B">
        <w:rPr>
          <w:rFonts w:ascii="Arial" w:eastAsiaTheme="minorHAnsi" w:hAnsi="Arial" w:cs="Arial"/>
        </w:rPr>
        <w:t>line basis over the term of the lease, recognising on an equal basis the impact of any premia or incentives.</w:t>
      </w:r>
    </w:p>
    <w:p w14:paraId="6DC3A506" w14:textId="6A9CA0F3"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8</w:t>
      </w:r>
      <w:r w:rsidRPr="0007572B">
        <w:rPr>
          <w:rFonts w:eastAsiaTheme="minorHAnsi"/>
        </w:rPr>
        <w:t xml:space="preserve"> Agency Services</w:t>
      </w:r>
    </w:p>
    <w:p w14:paraId="059ECC99"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 xml:space="preserve">Transactions are excluded from the Group’s financial statements for all agency relationships. As stipulated by the Code, the Group is acting as an agent in situations when the Group does not control the specified goods or services being provided by another party, before they are transferred to the customer. </w:t>
      </w:r>
    </w:p>
    <w:p w14:paraId="381BAEF9"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All services are reviewed to determine who controls the right to the underlying goods or services and when this is not deemed to be the Group, the transactions have been excluded from the financial statements.</w:t>
      </w:r>
    </w:p>
    <w:p w14:paraId="19145270" w14:textId="15D77C05" w:rsidR="00795BE0" w:rsidRPr="0007572B" w:rsidRDefault="00795BE0" w:rsidP="006F1659">
      <w:pPr>
        <w:pStyle w:val="Heading4bold"/>
        <w:spacing w:line="360" w:lineRule="auto"/>
      </w:pPr>
      <w:r w:rsidRPr="0007572B">
        <w:t>36.</w:t>
      </w:r>
      <w:r w:rsidR="00595F05">
        <w:t>9</w:t>
      </w:r>
      <w:r w:rsidRPr="0007572B">
        <w:t xml:space="preserve"> Benefits Payable during Employment </w:t>
      </w:r>
    </w:p>
    <w:p w14:paraId="3BAB4D35" w14:textId="4DF9FDF3" w:rsidR="00795BE0" w:rsidRPr="0007572B" w:rsidRDefault="00795BE0" w:rsidP="006F1659">
      <w:pPr>
        <w:spacing w:after="160" w:line="360" w:lineRule="auto"/>
        <w:rPr>
          <w:rFonts w:ascii="Arial" w:hAnsi="Arial" w:cs="Arial"/>
        </w:rPr>
      </w:pPr>
      <w:r w:rsidRPr="0007572B">
        <w:rPr>
          <w:rFonts w:ascii="Arial" w:hAnsi="Arial" w:cs="Arial"/>
        </w:rPr>
        <w:t>Short</w:t>
      </w:r>
      <w:r w:rsidR="00F3496D">
        <w:rPr>
          <w:rFonts w:ascii="Arial" w:hAnsi="Arial" w:cs="Arial"/>
        </w:rPr>
        <w:t xml:space="preserve"> </w:t>
      </w:r>
      <w:r w:rsidRPr="0007572B">
        <w:rPr>
          <w:rFonts w:ascii="Arial" w:hAnsi="Arial" w:cs="Arial"/>
        </w:rPr>
        <w:t xml:space="preserve">term employee benefits are those due to be settled wholly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Group. </w:t>
      </w:r>
      <w:r w:rsidR="00A47E39">
        <w:rPr>
          <w:rFonts w:ascii="Arial" w:hAnsi="Arial" w:cs="Arial"/>
        </w:rPr>
        <w:t>Where material, a</w:t>
      </w:r>
      <w:r w:rsidRPr="0007572B">
        <w:rPr>
          <w:rFonts w:ascii="Arial" w:hAnsi="Arial" w:cs="Arial"/>
        </w:rPr>
        <w:t xml:space="preserve">n accrual is made for the cost of holiday entitlements (or any form of leave, e.g. time off in lieu) earned by employees but not taken before the year-end which employees can carry forward into the next financial year. The accrual is made at the wage and salary rates applicable </w:t>
      </w:r>
      <w:r w:rsidRPr="0007572B">
        <w:rPr>
          <w:rFonts w:ascii="Arial" w:hAnsi="Arial" w:cs="Arial"/>
        </w:rPr>
        <w:lastRenderedPageBreak/>
        <w:t>in the following accounting year, being the period in which the employee takes the benefit. The accrual is charged to Surplus or Deficit on the Provision of Services, but then reversed out through the Movement in Reserves Statement so that holiday entitlements are charged to revenue in the financial year in which the holiday absence occurs.</w:t>
      </w:r>
    </w:p>
    <w:p w14:paraId="35BDBEC6" w14:textId="77777777" w:rsidR="00795BE0" w:rsidRPr="0007572B" w:rsidRDefault="00795BE0" w:rsidP="006F1659">
      <w:pPr>
        <w:spacing w:after="160" w:line="360" w:lineRule="auto"/>
        <w:rPr>
          <w:rFonts w:ascii="Arial" w:eastAsiaTheme="minorHAnsi" w:hAnsi="Arial" w:cs="Arial"/>
        </w:rPr>
      </w:pPr>
      <w:r w:rsidRPr="0007572B">
        <w:rPr>
          <w:rFonts w:ascii="Arial" w:hAnsi="Arial" w:cs="Arial"/>
        </w:rPr>
        <w:t>The group accumulated absences are entirely attributable to Greater Manchester Police. The single entity accounts do not include an adjustment for employee benefits for reasons of materiality. The Greater Manchester Police accrual was material to their accounts and has therefore been included in the group figures.</w:t>
      </w:r>
    </w:p>
    <w:p w14:paraId="4B4C8793" w14:textId="32FC418D" w:rsidR="00795BE0" w:rsidRPr="0007572B" w:rsidRDefault="00795BE0" w:rsidP="006F1659">
      <w:pPr>
        <w:pStyle w:val="Heading4bold"/>
        <w:spacing w:line="360" w:lineRule="auto"/>
      </w:pPr>
      <w:r w:rsidRPr="0007572B">
        <w:t>36.</w:t>
      </w:r>
      <w:r w:rsidR="00595F05">
        <w:t>10</w:t>
      </w:r>
      <w:r w:rsidRPr="0007572B">
        <w:t xml:space="preserve"> Post-Employment Benefits – Pensions</w:t>
      </w:r>
    </w:p>
    <w:p w14:paraId="51F9DD7B" w14:textId="1D2A953A" w:rsidR="00795BE0" w:rsidRDefault="00795BE0" w:rsidP="006F1659">
      <w:pPr>
        <w:spacing w:line="360" w:lineRule="auto"/>
        <w:rPr>
          <w:rFonts w:ascii="Arial" w:hAnsi="Arial" w:cs="Arial"/>
        </w:rPr>
      </w:pPr>
      <w:r w:rsidRPr="0007572B">
        <w:rPr>
          <w:rFonts w:ascii="Arial" w:hAnsi="Arial" w:cs="Arial"/>
        </w:rPr>
        <w:t>Employees of the Group are members of three separate pension schemes</w:t>
      </w:r>
      <w:r>
        <w:rPr>
          <w:rFonts w:ascii="Arial" w:hAnsi="Arial" w:cs="Arial"/>
        </w:rPr>
        <w:t xml:space="preserve">. These are explained in more detail in the single entity accounts. Police Officers are covered by the </w:t>
      </w:r>
      <w:r w:rsidRPr="006B1E72">
        <w:rPr>
          <w:rFonts w:ascii="Arial" w:hAnsi="Arial" w:cs="Arial"/>
        </w:rPr>
        <w:t>Police Pension Scheme administered by XPS Administration on behalf of the Chief Constable</w:t>
      </w:r>
      <w:r>
        <w:rPr>
          <w:rFonts w:ascii="Arial" w:hAnsi="Arial" w:cs="Arial"/>
        </w:rPr>
        <w:t>. This</w:t>
      </w:r>
      <w:r w:rsidRPr="0007572B">
        <w:rPr>
          <w:rFonts w:ascii="Arial" w:hAnsi="Arial" w:cs="Arial"/>
        </w:rPr>
        <w:t xml:space="preserve"> scheme provide</w:t>
      </w:r>
      <w:r>
        <w:rPr>
          <w:rFonts w:ascii="Arial" w:hAnsi="Arial" w:cs="Arial"/>
        </w:rPr>
        <w:t>s</w:t>
      </w:r>
      <w:r w:rsidRPr="0007572B">
        <w:rPr>
          <w:rFonts w:ascii="Arial" w:hAnsi="Arial" w:cs="Arial"/>
        </w:rPr>
        <w:t xml:space="preserve"> defined benefits to members (retirement lump sums and pensions) earned as a police officer.</w:t>
      </w:r>
    </w:p>
    <w:p w14:paraId="05AB81CE" w14:textId="77777777" w:rsidR="00795BE0" w:rsidRPr="0007572B" w:rsidRDefault="00795BE0" w:rsidP="006F1659">
      <w:pPr>
        <w:spacing w:line="360" w:lineRule="auto"/>
        <w:rPr>
          <w:rFonts w:ascii="Arial" w:hAnsi="Arial" w:cs="Arial"/>
        </w:rPr>
      </w:pPr>
    </w:p>
    <w:p w14:paraId="79B291AB" w14:textId="126B90DF" w:rsidR="00795BE0" w:rsidRPr="0007572B" w:rsidRDefault="00795BE0" w:rsidP="006F1659">
      <w:pPr>
        <w:pStyle w:val="Heading4bold"/>
        <w:spacing w:line="360" w:lineRule="auto"/>
      </w:pPr>
      <w:r w:rsidRPr="0007572B">
        <w:t>36.1</w:t>
      </w:r>
      <w:r w:rsidR="00595F05">
        <w:t>1</w:t>
      </w:r>
      <w:r w:rsidRPr="0007572B">
        <w:t xml:space="preserve"> </w:t>
      </w:r>
      <w:r>
        <w:t>T</w:t>
      </w:r>
      <w:r w:rsidRPr="0007572B">
        <w:t>he Police Pension Scheme</w:t>
      </w:r>
    </w:p>
    <w:p w14:paraId="45FF90DE" w14:textId="77777777" w:rsidR="00795BE0" w:rsidRPr="0007572B" w:rsidRDefault="00795BE0" w:rsidP="006F1659">
      <w:pPr>
        <w:spacing w:after="120" w:line="360" w:lineRule="auto"/>
        <w:rPr>
          <w:rFonts w:ascii="Arial" w:hAnsi="Arial" w:cs="Arial"/>
        </w:rPr>
      </w:pPr>
      <w:r>
        <w:rPr>
          <w:rFonts w:ascii="Arial" w:hAnsi="Arial" w:cs="Arial"/>
        </w:rPr>
        <w:t>This scheme is a</w:t>
      </w:r>
      <w:r w:rsidRPr="0007572B">
        <w:rPr>
          <w:rFonts w:ascii="Arial" w:hAnsi="Arial" w:cs="Arial"/>
        </w:rPr>
        <w:t xml:space="preserve"> defined benefit scheme, the rules of which are set out in Police Pension Regulations. The scheme </w:t>
      </w:r>
      <w:r>
        <w:rPr>
          <w:rFonts w:ascii="Arial" w:hAnsi="Arial" w:cs="Arial"/>
        </w:rPr>
        <w:t>is</w:t>
      </w:r>
      <w:r w:rsidRPr="0007572B">
        <w:rPr>
          <w:rFonts w:ascii="Arial" w:hAnsi="Arial" w:cs="Arial"/>
        </w:rPr>
        <w:t xml:space="preserve"> wholly unfunded. No investment assets have been built up to meet liabilities and cash ha</w:t>
      </w:r>
      <w:r>
        <w:rPr>
          <w:rFonts w:ascii="Arial" w:hAnsi="Arial" w:cs="Arial"/>
        </w:rPr>
        <w:t>s</w:t>
      </w:r>
      <w:r w:rsidRPr="0007572B">
        <w:rPr>
          <w:rFonts w:ascii="Arial" w:hAnsi="Arial" w:cs="Arial"/>
        </w:rPr>
        <w:t xml:space="preserve"> to be generated from employee and employer contributions to meet actual pension payments as they fall due.</w:t>
      </w:r>
    </w:p>
    <w:p w14:paraId="7865639F" w14:textId="77777777" w:rsidR="00795BE0" w:rsidRPr="0007572B" w:rsidRDefault="00795BE0" w:rsidP="006F1659">
      <w:pPr>
        <w:spacing w:after="120" w:line="360" w:lineRule="auto"/>
        <w:rPr>
          <w:rFonts w:ascii="Arial" w:hAnsi="Arial" w:cs="Arial"/>
        </w:rPr>
      </w:pPr>
      <w:r w:rsidRPr="0007572B">
        <w:rPr>
          <w:rFonts w:ascii="Arial" w:hAnsi="Arial" w:cs="Arial"/>
        </w:rPr>
        <w:t>The Chief Constable as employer, and police officers as members, pay pension contribution</w:t>
      </w:r>
      <w:r>
        <w:rPr>
          <w:rFonts w:ascii="Arial" w:hAnsi="Arial" w:cs="Arial"/>
        </w:rPr>
        <w:t>s</w:t>
      </w:r>
      <w:r w:rsidRPr="0007572B">
        <w:rPr>
          <w:rFonts w:ascii="Arial" w:hAnsi="Arial" w:cs="Arial"/>
        </w:rPr>
        <w:t xml:space="preserve"> based on a percentage of pensionable pay into the Police Pension Fund Account. Pension benefits are paid out of the Pension Fund Accounts.</w:t>
      </w:r>
    </w:p>
    <w:p w14:paraId="64ABB5D5" w14:textId="01196AFF" w:rsidR="00795BE0" w:rsidRPr="0007572B" w:rsidRDefault="00795BE0" w:rsidP="006F1659">
      <w:pPr>
        <w:spacing w:after="120" w:line="360" w:lineRule="auto"/>
        <w:rPr>
          <w:rFonts w:ascii="Arial" w:hAnsi="Arial" w:cs="Arial"/>
        </w:rPr>
      </w:pPr>
      <w:r w:rsidRPr="0007572B">
        <w:rPr>
          <w:rFonts w:ascii="Arial" w:hAnsi="Arial" w:cs="Arial"/>
        </w:rPr>
        <w:t>The amounts payable into and out of the Pension Fund Account are specified by regulations. Any surplus or deficit on the Pension Fund Accounts must be transferred to or from the Authority and ultimately repaid to or received from the Home Office.</w:t>
      </w:r>
    </w:p>
    <w:p w14:paraId="2A6B9BF3" w14:textId="77777777" w:rsidR="00795BE0" w:rsidRPr="0007572B" w:rsidRDefault="00795BE0" w:rsidP="006F1659">
      <w:pPr>
        <w:spacing w:after="120" w:line="360" w:lineRule="auto"/>
        <w:rPr>
          <w:rFonts w:ascii="Arial" w:hAnsi="Arial" w:cs="Arial"/>
        </w:rPr>
      </w:pPr>
      <w:r w:rsidRPr="0007572B">
        <w:rPr>
          <w:rFonts w:ascii="Arial" w:hAnsi="Arial" w:cs="Arial"/>
        </w:rPr>
        <w:t xml:space="preserve">Injury awards are not part of </w:t>
      </w:r>
      <w:r>
        <w:rPr>
          <w:rFonts w:ascii="Arial" w:hAnsi="Arial" w:cs="Arial"/>
        </w:rPr>
        <w:t xml:space="preserve">the </w:t>
      </w:r>
      <w:r w:rsidRPr="0007572B">
        <w:rPr>
          <w:rFonts w:ascii="Arial" w:hAnsi="Arial" w:cs="Arial"/>
        </w:rPr>
        <w:t>pension scheme and are charged directly to the Comprehensive Income and Expenditure Statement. However, liabilities in respect of injury awards are disclosed as part of the overall pension liability.</w:t>
      </w:r>
    </w:p>
    <w:p w14:paraId="2DE43B23" w14:textId="6F22C05B" w:rsidR="00795BE0" w:rsidRPr="00C10207" w:rsidRDefault="00795BE0" w:rsidP="006F1659">
      <w:pPr>
        <w:spacing w:line="360" w:lineRule="auto"/>
        <w:jc w:val="both"/>
        <w:rPr>
          <w:rFonts w:ascii="Arial" w:hAnsi="Arial" w:cs="Arial"/>
        </w:rPr>
        <w:sectPr w:rsidR="00795BE0" w:rsidRPr="00C10207" w:rsidSect="004833A2">
          <w:pgSz w:w="11906" w:h="16838"/>
          <w:pgMar w:top="946" w:right="1416" w:bottom="1440" w:left="1418" w:header="283" w:footer="567" w:gutter="0"/>
          <w:cols w:space="708"/>
          <w:docGrid w:linePitch="360"/>
        </w:sectPr>
      </w:pPr>
      <w:r w:rsidRPr="0007572B">
        <w:rPr>
          <w:rFonts w:ascii="Arial" w:hAnsi="Arial" w:cs="Arial"/>
        </w:rPr>
        <w:t>Other than references to assets, th</w:t>
      </w:r>
      <w:r>
        <w:rPr>
          <w:rFonts w:ascii="Arial" w:hAnsi="Arial" w:cs="Arial"/>
        </w:rPr>
        <w:t>is</w:t>
      </w:r>
      <w:r w:rsidRPr="0007572B">
        <w:rPr>
          <w:rFonts w:ascii="Arial" w:hAnsi="Arial" w:cs="Arial"/>
        </w:rPr>
        <w:t xml:space="preserve"> scheme </w:t>
      </w:r>
      <w:r>
        <w:rPr>
          <w:rFonts w:ascii="Arial" w:hAnsi="Arial" w:cs="Arial"/>
        </w:rPr>
        <w:t>is</w:t>
      </w:r>
      <w:r w:rsidRPr="0007572B">
        <w:rPr>
          <w:rFonts w:ascii="Arial" w:hAnsi="Arial" w:cs="Arial"/>
        </w:rPr>
        <w:t xml:space="preserve"> accounted for in the same way as the Local Government Pension Scheme</w:t>
      </w:r>
      <w:bookmarkStart w:id="249" w:name="_Hlk61858772"/>
    </w:p>
    <w:p w14:paraId="2A54434C" w14:textId="77777777" w:rsidR="00795BE0" w:rsidRPr="0007572B" w:rsidRDefault="00795BE0" w:rsidP="006F1659">
      <w:pPr>
        <w:pStyle w:val="Heading3greennumbered"/>
        <w:spacing w:line="360" w:lineRule="auto"/>
      </w:pPr>
      <w:bookmarkStart w:id="250" w:name="_Toc92894928"/>
      <w:bookmarkStart w:id="251" w:name="_Toc92895232"/>
      <w:bookmarkStart w:id="252" w:name="_Toc109922666"/>
      <w:bookmarkEnd w:id="249"/>
      <w:r w:rsidRPr="0007572B">
        <w:lastRenderedPageBreak/>
        <w:t>37a Group Expenditure and Funding Analysis</w:t>
      </w:r>
      <w:bookmarkEnd w:id="250"/>
      <w:bookmarkEnd w:id="251"/>
      <w:bookmarkEnd w:id="252"/>
    </w:p>
    <w:p w14:paraId="7DA68B9A" w14:textId="77777777" w:rsidR="00795BE0" w:rsidRPr="0007572B" w:rsidRDefault="00795BE0" w:rsidP="006F1659">
      <w:pPr>
        <w:spacing w:line="360" w:lineRule="auto"/>
        <w:rPr>
          <w:rFonts w:ascii="Arial" w:hAnsi="Arial" w:cs="Arial"/>
        </w:rPr>
      </w:pPr>
    </w:p>
    <w:p w14:paraId="7946A0B5" w14:textId="2A5E6EA2" w:rsidR="00795BE0" w:rsidRDefault="00795BE0" w:rsidP="006F1659">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local authorities in comparison to those resources consumed or earned by local authorities in accordance with generally accepted accounting practices. It also shows how the expenditure is allocated between Directorates. Income and expenditure accounted for under generally accepted accounting practice is presented more fully in the Comprehensive Income and Expenditure Statement. </w:t>
      </w:r>
    </w:p>
    <w:p w14:paraId="280401FF" w14:textId="40B0E97A" w:rsidR="00795BE0" w:rsidRDefault="00795BE0" w:rsidP="006F1659">
      <w:pPr>
        <w:spacing w:line="360" w:lineRule="auto"/>
        <w:rPr>
          <w:rFonts w:ascii="Arial" w:hAnsi="Arial" w:cs="Arial"/>
          <w:b/>
          <w:bCs/>
          <w:color w:val="000000" w:themeColor="text1"/>
          <w:sz w:val="26"/>
          <w:szCs w:val="26"/>
        </w:rPr>
      </w:pPr>
    </w:p>
    <w:p w14:paraId="06A1A67F" w14:textId="3246C1A2" w:rsidR="00C10207" w:rsidRDefault="00DA5B73" w:rsidP="006F1659">
      <w:pPr>
        <w:spacing w:line="360" w:lineRule="auto"/>
        <w:rPr>
          <w:rFonts w:ascii="Arial" w:hAnsi="Arial" w:cs="Arial"/>
          <w:b/>
          <w:bCs/>
          <w:color w:val="000000" w:themeColor="text1"/>
          <w:sz w:val="26"/>
          <w:szCs w:val="26"/>
        </w:rPr>
      </w:pPr>
      <w:r w:rsidRPr="00DA5B73">
        <w:rPr>
          <w:noProof/>
        </w:rPr>
        <w:drawing>
          <wp:inline distT="0" distB="0" distL="0" distR="0" wp14:anchorId="6A1843BA" wp14:editId="2EB0089A">
            <wp:extent cx="9080500" cy="3517900"/>
            <wp:effectExtent l="0" t="0" r="6350" b="6350"/>
            <wp:docPr id="1209390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080500" cy="3517900"/>
                    </a:xfrm>
                    <a:prstGeom prst="rect">
                      <a:avLst/>
                    </a:prstGeom>
                    <a:noFill/>
                    <a:ln>
                      <a:noFill/>
                    </a:ln>
                  </pic:spPr>
                </pic:pic>
              </a:graphicData>
            </a:graphic>
          </wp:inline>
        </w:drawing>
      </w:r>
    </w:p>
    <w:p w14:paraId="468BE308" w14:textId="77777777" w:rsidR="00C10207" w:rsidRDefault="00C10207" w:rsidP="006F1659">
      <w:pPr>
        <w:spacing w:line="360" w:lineRule="auto"/>
        <w:rPr>
          <w:rFonts w:ascii="Arial" w:hAnsi="Arial" w:cs="Arial"/>
          <w:b/>
          <w:bCs/>
          <w:color w:val="000000" w:themeColor="text1"/>
          <w:sz w:val="26"/>
          <w:szCs w:val="26"/>
        </w:rPr>
      </w:pPr>
    </w:p>
    <w:p w14:paraId="3CCD5FEA" w14:textId="77777777" w:rsidR="00795BE0" w:rsidRPr="0007572B" w:rsidRDefault="00795BE0" w:rsidP="006F1659">
      <w:pPr>
        <w:pStyle w:val="Heading3greennumbered"/>
        <w:spacing w:line="360" w:lineRule="auto"/>
      </w:pPr>
      <w:bookmarkStart w:id="253" w:name="_Toc92894929"/>
      <w:bookmarkStart w:id="254" w:name="_Toc92895233"/>
      <w:bookmarkStart w:id="255" w:name="_Toc109922667"/>
      <w:r w:rsidRPr="0007572B">
        <w:lastRenderedPageBreak/>
        <w:t>37b Note to the Group Expenditure and Funding Analysis</w:t>
      </w:r>
      <w:bookmarkEnd w:id="253"/>
      <w:bookmarkEnd w:id="254"/>
      <w:bookmarkEnd w:id="255"/>
    </w:p>
    <w:p w14:paraId="2DE56A67" w14:textId="77777777" w:rsidR="00795BE0" w:rsidRPr="0007572B" w:rsidRDefault="00795BE0" w:rsidP="006F1659">
      <w:pPr>
        <w:spacing w:line="360" w:lineRule="auto"/>
        <w:jc w:val="both"/>
        <w:rPr>
          <w:rFonts w:ascii="Arial" w:hAnsi="Arial" w:cs="Arial"/>
          <w:b/>
          <w:highlight w:val="yellow"/>
        </w:rPr>
      </w:pPr>
    </w:p>
    <w:p w14:paraId="552FB574" w14:textId="0E104D6D" w:rsidR="00795BE0" w:rsidRPr="0007572B" w:rsidRDefault="005A2C77" w:rsidP="006F1659">
      <w:pPr>
        <w:spacing w:line="360" w:lineRule="auto"/>
        <w:jc w:val="both"/>
        <w:rPr>
          <w:rFonts w:ascii="Arial" w:hAnsi="Arial" w:cs="Arial"/>
        </w:rPr>
      </w:pPr>
      <w:r w:rsidRPr="005A2C77">
        <w:rPr>
          <w:noProof/>
        </w:rPr>
        <w:drawing>
          <wp:inline distT="0" distB="0" distL="0" distR="0" wp14:anchorId="22B361E1" wp14:editId="0B14BE62">
            <wp:extent cx="9029700" cy="2609850"/>
            <wp:effectExtent l="0" t="0" r="0" b="0"/>
            <wp:docPr id="2576667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029700" cy="2609850"/>
                    </a:xfrm>
                    <a:prstGeom prst="rect">
                      <a:avLst/>
                    </a:prstGeom>
                    <a:noFill/>
                    <a:ln>
                      <a:noFill/>
                    </a:ln>
                  </pic:spPr>
                </pic:pic>
              </a:graphicData>
            </a:graphic>
          </wp:inline>
        </w:drawing>
      </w:r>
    </w:p>
    <w:p w14:paraId="2250FA49" w14:textId="77777777" w:rsidR="00795BE0" w:rsidRPr="0007572B" w:rsidRDefault="00795BE0" w:rsidP="006F1659">
      <w:pPr>
        <w:spacing w:line="360" w:lineRule="auto"/>
        <w:jc w:val="both"/>
        <w:rPr>
          <w:rFonts w:ascii="Arial" w:hAnsi="Arial" w:cs="Arial"/>
          <w:b/>
        </w:rPr>
      </w:pPr>
    </w:p>
    <w:p w14:paraId="179E7F84" w14:textId="77777777" w:rsidR="00795BE0" w:rsidRPr="0007572B" w:rsidRDefault="00795BE0" w:rsidP="006F1659">
      <w:pPr>
        <w:pStyle w:val="ListParagraph"/>
        <w:numPr>
          <w:ilvl w:val="0"/>
          <w:numId w:val="55"/>
        </w:numPr>
        <w:spacing w:before="120" w:after="0" w:line="360" w:lineRule="auto"/>
        <w:ind w:left="284" w:hanging="284"/>
        <w:rPr>
          <w:rFonts w:ascii="Arial" w:hAnsi="Arial" w:cs="Arial"/>
          <w:sz w:val="24"/>
          <w:szCs w:val="24"/>
        </w:rPr>
      </w:pPr>
      <w:r w:rsidRPr="0007572B">
        <w:rPr>
          <w:rFonts w:ascii="Arial" w:hAnsi="Arial" w:cs="Arial"/>
          <w:sz w:val="24"/>
          <w:szCs w:val="24"/>
        </w:rPr>
        <w:t>Adjustments for capital purposes include revenue expenditure funded from capital under statute, depreciation and impairment, gain/loss on disposal of non-current assets, capital grants and contributions, minimum revenue provision and revenue contribution to capital outlay.</w:t>
      </w:r>
    </w:p>
    <w:p w14:paraId="368E98E3" w14:textId="77777777" w:rsidR="00795BE0" w:rsidRPr="0007572B" w:rsidRDefault="00795BE0" w:rsidP="006F1659">
      <w:pPr>
        <w:pStyle w:val="ListParagraph"/>
        <w:numPr>
          <w:ilvl w:val="0"/>
          <w:numId w:val="55"/>
        </w:numPr>
        <w:spacing w:line="360" w:lineRule="auto"/>
        <w:ind w:left="284" w:hanging="284"/>
        <w:rPr>
          <w:rFonts w:ascii="Arial" w:hAnsi="Arial" w:cs="Arial"/>
          <w:sz w:val="24"/>
          <w:szCs w:val="24"/>
        </w:rPr>
      </w:pPr>
      <w:r w:rsidRPr="0007572B">
        <w:rPr>
          <w:rFonts w:ascii="Arial" w:hAnsi="Arial" w:cs="Arial"/>
          <w:sz w:val="24"/>
          <w:szCs w:val="24"/>
        </w:rPr>
        <w:t>Pension adjustments include employer's contribution to the pension scheme and retirement benefits per IAS 19.</w:t>
      </w:r>
    </w:p>
    <w:p w14:paraId="178BFD35" w14:textId="77777777" w:rsidR="00795BE0" w:rsidRPr="0007572B" w:rsidRDefault="00795BE0" w:rsidP="006F1659">
      <w:pPr>
        <w:pStyle w:val="ListParagraph"/>
        <w:numPr>
          <w:ilvl w:val="0"/>
          <w:numId w:val="55"/>
        </w:numPr>
        <w:spacing w:line="360" w:lineRule="auto"/>
        <w:ind w:left="284" w:hanging="284"/>
        <w:rPr>
          <w:rFonts w:ascii="Arial" w:hAnsi="Arial" w:cs="Arial"/>
          <w:sz w:val="24"/>
          <w:szCs w:val="24"/>
        </w:rPr>
      </w:pPr>
      <w:r w:rsidRPr="0007572B">
        <w:rPr>
          <w:rFonts w:ascii="Arial" w:hAnsi="Arial" w:cs="Arial"/>
          <w:sz w:val="24"/>
          <w:szCs w:val="24"/>
        </w:rPr>
        <w:t xml:space="preserve">Other adjustments include </w:t>
      </w:r>
      <w:r w:rsidRPr="00795BE0">
        <w:rPr>
          <w:rFonts w:ascii="Arial" w:hAnsi="Arial" w:cs="Arial"/>
          <w:sz w:val="24"/>
          <w:szCs w:val="24"/>
        </w:rPr>
        <w:t>contributions to capital bad debt provision and</w:t>
      </w:r>
      <w:r w:rsidRPr="0007572B">
        <w:rPr>
          <w:rFonts w:ascii="Arial" w:hAnsi="Arial" w:cs="Arial"/>
          <w:sz w:val="24"/>
          <w:szCs w:val="24"/>
        </w:rPr>
        <w:t xml:space="preserve"> available for sale financial instruments.</w:t>
      </w:r>
    </w:p>
    <w:p w14:paraId="707D8B54" w14:textId="77777777" w:rsidR="00795BE0" w:rsidRPr="0007572B" w:rsidRDefault="00795BE0" w:rsidP="006F1659">
      <w:pPr>
        <w:spacing w:line="360" w:lineRule="auto"/>
        <w:rPr>
          <w:rFonts w:ascii="Arial" w:hAnsi="Arial" w:cs="Arial"/>
          <w:b/>
          <w:sz w:val="22"/>
          <w:szCs w:val="22"/>
        </w:rPr>
        <w:sectPr w:rsidR="00795BE0" w:rsidRPr="0007572B" w:rsidSect="004833A2">
          <w:pgSz w:w="16838" w:h="11906" w:orient="landscape"/>
          <w:pgMar w:top="1418" w:right="946" w:bottom="1416" w:left="1440" w:header="283" w:footer="567" w:gutter="0"/>
          <w:cols w:space="708"/>
          <w:docGrid w:linePitch="360"/>
        </w:sectPr>
      </w:pPr>
    </w:p>
    <w:p w14:paraId="1B5714BF" w14:textId="77777777" w:rsidR="00795BE0" w:rsidRPr="0007572B" w:rsidRDefault="00795BE0" w:rsidP="006F1659">
      <w:pPr>
        <w:pStyle w:val="Heading3greennumbered"/>
        <w:spacing w:line="360" w:lineRule="auto"/>
      </w:pPr>
      <w:bookmarkStart w:id="256" w:name="_Toc92894930"/>
      <w:bookmarkStart w:id="257" w:name="_Toc92895234"/>
      <w:bookmarkStart w:id="258" w:name="_Toc109922668"/>
      <w:r w:rsidRPr="0007572B">
        <w:lastRenderedPageBreak/>
        <w:t>38 Group Adjustments between Accounting Basis and Funding Basis under Regulations</w:t>
      </w:r>
      <w:bookmarkEnd w:id="256"/>
      <w:bookmarkEnd w:id="257"/>
      <w:bookmarkEnd w:id="258"/>
    </w:p>
    <w:p w14:paraId="76C3A758" w14:textId="77777777" w:rsidR="00795BE0" w:rsidRDefault="00795BE0" w:rsidP="006F1659">
      <w:pPr>
        <w:spacing w:line="360" w:lineRule="auto"/>
        <w:rPr>
          <w:rFonts w:ascii="Arial" w:hAnsi="Arial" w:cs="Arial"/>
        </w:rPr>
      </w:pPr>
    </w:p>
    <w:p w14:paraId="202D297E" w14:textId="5ED60824" w:rsidR="00795BE0" w:rsidRPr="0007572B" w:rsidRDefault="00795BE0" w:rsidP="006F1659">
      <w:pPr>
        <w:spacing w:line="360" w:lineRule="auto"/>
        <w:rPr>
          <w:rFonts w:ascii="Arial" w:hAnsi="Arial" w:cs="Arial"/>
          <w:b/>
          <w:highlight w:val="yellow"/>
        </w:rPr>
      </w:pPr>
      <w:r w:rsidRPr="0007572B">
        <w:rPr>
          <w:rFonts w:ascii="Arial" w:hAnsi="Arial" w:cs="Arial"/>
        </w:rPr>
        <w:t>This note details the adjustments that are made to the total comprehensive income and expenditure recognised by the Group in the year in accordance with proper accounting practice to the resources that are specified by statutory provisions as being available to meet future capital and revenue expenditure.</w:t>
      </w:r>
    </w:p>
    <w:p w14:paraId="7F9D8243" w14:textId="0694323B" w:rsidR="00795BE0" w:rsidRPr="0007572B" w:rsidRDefault="00795BE0" w:rsidP="006F1659">
      <w:pPr>
        <w:spacing w:line="360" w:lineRule="auto"/>
        <w:rPr>
          <w:rFonts w:ascii="Arial" w:hAnsi="Arial" w:cs="Arial"/>
          <w:b/>
        </w:rPr>
      </w:pPr>
    </w:p>
    <w:p w14:paraId="589B4D15" w14:textId="54032B31" w:rsidR="00795BE0" w:rsidRPr="0007572B" w:rsidRDefault="005A2C77" w:rsidP="006F1659">
      <w:pPr>
        <w:spacing w:line="360" w:lineRule="auto"/>
        <w:rPr>
          <w:rFonts w:ascii="Arial" w:hAnsi="Arial" w:cs="Arial"/>
          <w:b/>
        </w:rPr>
      </w:pPr>
      <w:r w:rsidRPr="005A2C77">
        <w:rPr>
          <w:noProof/>
        </w:rPr>
        <w:drawing>
          <wp:inline distT="0" distB="0" distL="0" distR="0" wp14:anchorId="0D338DB6" wp14:editId="04FCCDE3">
            <wp:extent cx="9177020" cy="3692525"/>
            <wp:effectExtent l="0" t="0" r="5080" b="3175"/>
            <wp:docPr id="5668540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177020" cy="3692525"/>
                    </a:xfrm>
                    <a:prstGeom prst="rect">
                      <a:avLst/>
                    </a:prstGeom>
                    <a:noFill/>
                    <a:ln>
                      <a:noFill/>
                    </a:ln>
                  </pic:spPr>
                </pic:pic>
              </a:graphicData>
            </a:graphic>
          </wp:inline>
        </w:drawing>
      </w:r>
    </w:p>
    <w:p w14:paraId="58E90B80" w14:textId="77777777" w:rsidR="00795BE0" w:rsidRPr="0007572B" w:rsidRDefault="00795BE0" w:rsidP="006F1659">
      <w:pPr>
        <w:spacing w:line="360" w:lineRule="auto"/>
        <w:jc w:val="both"/>
        <w:rPr>
          <w:rFonts w:ascii="Arial" w:hAnsi="Arial" w:cs="Arial"/>
          <w:b/>
          <w:sz w:val="22"/>
          <w:szCs w:val="22"/>
        </w:rPr>
      </w:pPr>
    </w:p>
    <w:p w14:paraId="7F6B046A" w14:textId="77777777" w:rsidR="00795BE0" w:rsidRPr="0007572B" w:rsidRDefault="00795BE0" w:rsidP="006F1659">
      <w:pPr>
        <w:spacing w:line="360" w:lineRule="auto"/>
        <w:rPr>
          <w:rFonts w:ascii="Arial" w:hAnsi="Arial" w:cs="Arial"/>
          <w:b/>
          <w:sz w:val="22"/>
          <w:szCs w:val="22"/>
        </w:rPr>
      </w:pPr>
    </w:p>
    <w:p w14:paraId="47954B52" w14:textId="77777777" w:rsidR="00795BE0" w:rsidRPr="0007572B" w:rsidRDefault="00795BE0" w:rsidP="006F1659">
      <w:pPr>
        <w:spacing w:line="360" w:lineRule="auto"/>
        <w:rPr>
          <w:rFonts w:ascii="Arial" w:hAnsi="Arial" w:cs="Arial"/>
          <w:b/>
          <w:sz w:val="22"/>
          <w:szCs w:val="22"/>
        </w:rPr>
        <w:sectPr w:rsidR="00795BE0" w:rsidRPr="0007572B" w:rsidSect="004833A2">
          <w:pgSz w:w="16838" w:h="11906" w:orient="landscape"/>
          <w:pgMar w:top="1080" w:right="946" w:bottom="1416" w:left="1440" w:header="283" w:footer="567" w:gutter="0"/>
          <w:cols w:space="708"/>
          <w:docGrid w:linePitch="360"/>
        </w:sectPr>
      </w:pPr>
    </w:p>
    <w:p w14:paraId="45776985" w14:textId="77777777" w:rsidR="00795BE0" w:rsidRPr="0007572B" w:rsidRDefault="00795BE0" w:rsidP="006F1659">
      <w:pPr>
        <w:pStyle w:val="Heading3greennumbered"/>
        <w:spacing w:line="360" w:lineRule="auto"/>
      </w:pPr>
      <w:bookmarkStart w:id="259" w:name="_Toc92894931"/>
      <w:bookmarkStart w:id="260" w:name="_Toc92895235"/>
      <w:bookmarkStart w:id="261" w:name="_Toc109922669"/>
      <w:r w:rsidRPr="0007572B">
        <w:lastRenderedPageBreak/>
        <w:t>39 Transfers (to)/from Group Earmarked Reserves</w:t>
      </w:r>
      <w:bookmarkEnd w:id="259"/>
      <w:bookmarkEnd w:id="260"/>
      <w:bookmarkEnd w:id="261"/>
    </w:p>
    <w:p w14:paraId="11180044" w14:textId="77777777" w:rsidR="00795BE0" w:rsidRDefault="00795BE0" w:rsidP="006F1659">
      <w:pPr>
        <w:spacing w:line="360" w:lineRule="auto"/>
        <w:rPr>
          <w:rFonts w:ascii="Arial" w:hAnsi="Arial" w:cs="Arial"/>
        </w:rPr>
      </w:pPr>
    </w:p>
    <w:p w14:paraId="7DE80115" w14:textId="57A0A8AB" w:rsidR="00795BE0" w:rsidRPr="00DE7BF5" w:rsidRDefault="00795BE0"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reserves to meet General Fund expenditure.</w:t>
      </w:r>
    </w:p>
    <w:p w14:paraId="487E8B86" w14:textId="5D358ABA" w:rsidR="00795BE0" w:rsidRDefault="00795BE0" w:rsidP="006F1659">
      <w:pPr>
        <w:spacing w:line="360" w:lineRule="auto"/>
        <w:rPr>
          <w:rFonts w:ascii="Arial" w:hAnsi="Arial" w:cs="Arial"/>
          <w:b/>
          <w:sz w:val="22"/>
          <w:szCs w:val="22"/>
        </w:rPr>
      </w:pPr>
    </w:p>
    <w:p w14:paraId="2B5EDA70" w14:textId="3C659731" w:rsidR="000E74C3" w:rsidRPr="0007572B" w:rsidRDefault="00DA5B73" w:rsidP="006F1659">
      <w:pPr>
        <w:spacing w:line="360" w:lineRule="auto"/>
        <w:rPr>
          <w:rFonts w:ascii="Arial" w:hAnsi="Arial" w:cs="Arial"/>
          <w:b/>
          <w:sz w:val="22"/>
          <w:szCs w:val="22"/>
        </w:rPr>
      </w:pPr>
      <w:r w:rsidRPr="00DA5B73">
        <w:rPr>
          <w:noProof/>
        </w:rPr>
        <w:drawing>
          <wp:inline distT="0" distB="0" distL="0" distR="0" wp14:anchorId="299DA1FA" wp14:editId="558A4332">
            <wp:extent cx="5975350" cy="6830060"/>
            <wp:effectExtent l="0" t="0" r="6350" b="8890"/>
            <wp:docPr id="5435439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75350" cy="6830060"/>
                    </a:xfrm>
                    <a:prstGeom prst="rect">
                      <a:avLst/>
                    </a:prstGeom>
                    <a:noFill/>
                    <a:ln>
                      <a:noFill/>
                    </a:ln>
                  </pic:spPr>
                </pic:pic>
              </a:graphicData>
            </a:graphic>
          </wp:inline>
        </w:drawing>
      </w:r>
    </w:p>
    <w:p w14:paraId="4400D76B" w14:textId="77777777" w:rsidR="000E74C3" w:rsidRDefault="000E74C3" w:rsidP="006F1659">
      <w:pPr>
        <w:spacing w:line="360" w:lineRule="auto"/>
        <w:rPr>
          <w:rFonts w:ascii="Arial" w:eastAsia="Palatino Linotype" w:hAnsi="Arial" w:cs="Arial"/>
          <w:b/>
          <w:bCs/>
          <w:szCs w:val="28"/>
          <w:lang w:val="en-US"/>
        </w:rPr>
      </w:pPr>
      <w:bookmarkStart w:id="262" w:name="_Toc92894932"/>
      <w:bookmarkStart w:id="263" w:name="_Toc92895236"/>
      <w:bookmarkStart w:id="264" w:name="_Toc109922670"/>
      <w:r>
        <w:br w:type="page"/>
      </w:r>
    </w:p>
    <w:p w14:paraId="39BB6820" w14:textId="1D62C65D" w:rsidR="00795BE0" w:rsidRPr="0007572B" w:rsidRDefault="00795BE0" w:rsidP="006F1659">
      <w:pPr>
        <w:pStyle w:val="Heading3greennumbered"/>
        <w:spacing w:line="360" w:lineRule="auto"/>
      </w:pPr>
      <w:r w:rsidRPr="0007572B">
        <w:lastRenderedPageBreak/>
        <w:t>39 Transfers (to)/from Group Earmarked Reserves (Continued)</w:t>
      </w:r>
      <w:bookmarkEnd w:id="262"/>
      <w:bookmarkEnd w:id="263"/>
      <w:bookmarkEnd w:id="264"/>
    </w:p>
    <w:p w14:paraId="72C6C5D5" w14:textId="77777777" w:rsidR="000E74C3" w:rsidRDefault="000E74C3" w:rsidP="006F1659">
      <w:pPr>
        <w:spacing w:line="360" w:lineRule="auto"/>
        <w:jc w:val="both"/>
        <w:rPr>
          <w:rFonts w:ascii="Arial" w:hAnsi="Arial" w:cs="Arial"/>
        </w:rPr>
      </w:pPr>
    </w:p>
    <w:p w14:paraId="242AA7EC" w14:textId="19B1FA93" w:rsidR="00DE7BF5" w:rsidRDefault="00DA5B73" w:rsidP="006F1659">
      <w:pPr>
        <w:spacing w:line="360" w:lineRule="auto"/>
        <w:jc w:val="both"/>
        <w:rPr>
          <w:rFonts w:ascii="Arial" w:hAnsi="Arial" w:cs="Arial"/>
        </w:rPr>
      </w:pPr>
      <w:r w:rsidRPr="00DA5B73">
        <w:rPr>
          <w:noProof/>
        </w:rPr>
        <w:drawing>
          <wp:inline distT="0" distB="0" distL="0" distR="0" wp14:anchorId="6CE757EE" wp14:editId="41CC48C4">
            <wp:extent cx="5975350" cy="7414895"/>
            <wp:effectExtent l="0" t="0" r="6350" b="0"/>
            <wp:docPr id="799226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75350" cy="7414895"/>
                    </a:xfrm>
                    <a:prstGeom prst="rect">
                      <a:avLst/>
                    </a:prstGeom>
                    <a:noFill/>
                    <a:ln>
                      <a:noFill/>
                    </a:ln>
                  </pic:spPr>
                </pic:pic>
              </a:graphicData>
            </a:graphic>
          </wp:inline>
        </w:drawing>
      </w:r>
    </w:p>
    <w:p w14:paraId="28291CBA" w14:textId="77777777" w:rsidR="000E74C3" w:rsidRDefault="000E74C3" w:rsidP="006F1659">
      <w:pPr>
        <w:spacing w:line="360" w:lineRule="auto"/>
        <w:jc w:val="both"/>
        <w:rPr>
          <w:rFonts w:ascii="Arial" w:hAnsi="Arial" w:cs="Arial"/>
        </w:rPr>
      </w:pPr>
    </w:p>
    <w:p w14:paraId="1CB65755" w14:textId="77777777" w:rsidR="000E74C3" w:rsidRDefault="000E74C3" w:rsidP="006F1659">
      <w:pPr>
        <w:spacing w:line="360" w:lineRule="auto"/>
        <w:rPr>
          <w:rFonts w:ascii="Arial" w:eastAsia="Palatino Linotype" w:hAnsi="Arial" w:cs="Arial"/>
          <w:b/>
          <w:bCs/>
          <w:szCs w:val="28"/>
          <w:lang w:val="en-US"/>
        </w:rPr>
      </w:pPr>
      <w:r>
        <w:br w:type="page"/>
      </w:r>
    </w:p>
    <w:p w14:paraId="424CE55D" w14:textId="1B07FE60" w:rsidR="000E74C3" w:rsidRPr="0007572B" w:rsidRDefault="000E74C3" w:rsidP="006F1659">
      <w:pPr>
        <w:pStyle w:val="Heading3greennumbered"/>
        <w:spacing w:line="360" w:lineRule="auto"/>
      </w:pPr>
      <w:r w:rsidRPr="0007572B">
        <w:lastRenderedPageBreak/>
        <w:t>39 Transfers (to)/from Group Earmarked Reserves (Continued)</w:t>
      </w:r>
    </w:p>
    <w:p w14:paraId="1539CFA3" w14:textId="77777777" w:rsidR="000E74C3" w:rsidRDefault="000E74C3" w:rsidP="006F1659">
      <w:pPr>
        <w:spacing w:line="360" w:lineRule="auto"/>
        <w:jc w:val="both"/>
        <w:rPr>
          <w:rFonts w:ascii="Arial" w:hAnsi="Arial" w:cs="Arial"/>
        </w:rPr>
      </w:pPr>
    </w:p>
    <w:p w14:paraId="5545F32C" w14:textId="4E201081" w:rsidR="00795BE0" w:rsidRDefault="00DA5B73" w:rsidP="006F1659">
      <w:pPr>
        <w:spacing w:line="360" w:lineRule="auto"/>
        <w:jc w:val="both"/>
        <w:rPr>
          <w:rFonts w:ascii="Arial" w:hAnsi="Arial" w:cs="Arial"/>
        </w:rPr>
      </w:pPr>
      <w:r w:rsidRPr="00DA5B73">
        <w:rPr>
          <w:noProof/>
        </w:rPr>
        <w:drawing>
          <wp:inline distT="0" distB="0" distL="0" distR="0" wp14:anchorId="50EDADB1" wp14:editId="6A4DEE84">
            <wp:extent cx="5975350" cy="3543935"/>
            <wp:effectExtent l="0" t="0" r="6350" b="0"/>
            <wp:docPr id="4332725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975350" cy="3543935"/>
                    </a:xfrm>
                    <a:prstGeom prst="rect">
                      <a:avLst/>
                    </a:prstGeom>
                    <a:noFill/>
                    <a:ln>
                      <a:noFill/>
                    </a:ln>
                  </pic:spPr>
                </pic:pic>
              </a:graphicData>
            </a:graphic>
          </wp:inline>
        </w:drawing>
      </w:r>
    </w:p>
    <w:p w14:paraId="394CA8B7" w14:textId="093DC15B" w:rsidR="00795BE0" w:rsidRDefault="00795BE0" w:rsidP="006F1659">
      <w:pPr>
        <w:spacing w:line="360" w:lineRule="auto"/>
        <w:jc w:val="both"/>
        <w:rPr>
          <w:rFonts w:ascii="Arial" w:hAnsi="Arial" w:cs="Arial"/>
        </w:rPr>
      </w:pPr>
    </w:p>
    <w:p w14:paraId="435AB5DB" w14:textId="77777777" w:rsidR="000E74C3" w:rsidRPr="0007572B" w:rsidRDefault="000E74C3" w:rsidP="006F1659">
      <w:pPr>
        <w:spacing w:line="360" w:lineRule="auto"/>
        <w:jc w:val="both"/>
        <w:rPr>
          <w:rFonts w:ascii="Arial" w:hAnsi="Arial" w:cs="Arial"/>
        </w:rPr>
      </w:pPr>
    </w:p>
    <w:p w14:paraId="4CF133F2" w14:textId="77777777" w:rsidR="00795BE0" w:rsidRPr="0007572B" w:rsidRDefault="00795BE0" w:rsidP="006F1659">
      <w:pPr>
        <w:pStyle w:val="Heading3greennumbered"/>
        <w:spacing w:line="360" w:lineRule="auto"/>
      </w:pPr>
      <w:bookmarkStart w:id="265" w:name="_Toc92894933"/>
      <w:bookmarkStart w:id="266" w:name="_Toc92895237"/>
      <w:bookmarkStart w:id="267" w:name="_Toc109922671"/>
      <w:r>
        <w:t>40</w:t>
      </w:r>
      <w:r w:rsidRPr="0007572B">
        <w:t xml:space="preserve"> Purpose of Group Earmarked Reserves</w:t>
      </w:r>
      <w:bookmarkEnd w:id="265"/>
      <w:bookmarkEnd w:id="266"/>
      <w:bookmarkEnd w:id="267"/>
    </w:p>
    <w:p w14:paraId="5C629EFB" w14:textId="77777777" w:rsidR="00795BE0" w:rsidRDefault="00795BE0" w:rsidP="006F1659">
      <w:pPr>
        <w:spacing w:line="360" w:lineRule="auto"/>
        <w:rPr>
          <w:rFonts w:ascii="Arial" w:hAnsi="Arial" w:cs="Arial"/>
        </w:rPr>
      </w:pPr>
    </w:p>
    <w:p w14:paraId="4E79FBBE" w14:textId="77777777" w:rsidR="00795BE0" w:rsidRPr="0007572B" w:rsidRDefault="00795BE0" w:rsidP="006F1659">
      <w:pPr>
        <w:spacing w:line="360" w:lineRule="auto"/>
        <w:rPr>
          <w:rFonts w:ascii="Arial" w:hAnsi="Arial" w:cs="Arial"/>
        </w:rPr>
      </w:pPr>
      <w:r w:rsidRPr="0007572B">
        <w:rPr>
          <w:rFonts w:ascii="Arial" w:hAnsi="Arial" w:cs="Arial"/>
        </w:rPr>
        <w:t xml:space="preserve">The purpose of the Authority’s earmarked reserves is set out in </w:t>
      </w:r>
      <w:r>
        <w:rPr>
          <w:rFonts w:ascii="Arial" w:hAnsi="Arial" w:cs="Arial"/>
        </w:rPr>
        <w:t xml:space="preserve">the </w:t>
      </w:r>
      <w:r w:rsidRPr="0007572B">
        <w:rPr>
          <w:rFonts w:ascii="Arial" w:hAnsi="Arial" w:cs="Arial"/>
        </w:rPr>
        <w:t>note</w:t>
      </w:r>
      <w:r>
        <w:rPr>
          <w:rFonts w:ascii="Arial" w:hAnsi="Arial" w:cs="Arial"/>
        </w:rPr>
        <w:t>s to the single entity accounts</w:t>
      </w:r>
      <w:r w:rsidRPr="0007572B">
        <w:rPr>
          <w:rFonts w:ascii="Arial" w:hAnsi="Arial" w:cs="Arial"/>
        </w:rPr>
        <w:t>. The purpose of other group reserves is set out below:</w:t>
      </w:r>
    </w:p>
    <w:p w14:paraId="38BB8BD4" w14:textId="77777777" w:rsidR="00795BE0" w:rsidRPr="0007572B" w:rsidRDefault="00795BE0" w:rsidP="006F1659">
      <w:pPr>
        <w:spacing w:line="360" w:lineRule="auto"/>
        <w:rPr>
          <w:rFonts w:ascii="Arial" w:hAnsi="Arial" w:cs="Arial"/>
        </w:rPr>
      </w:pPr>
    </w:p>
    <w:p w14:paraId="0DF01BC3" w14:textId="77777777" w:rsidR="00795BE0" w:rsidRPr="00A4694D" w:rsidRDefault="00795BE0" w:rsidP="006F1659">
      <w:pPr>
        <w:spacing w:line="360" w:lineRule="auto"/>
        <w:rPr>
          <w:rFonts w:ascii="Arial" w:hAnsi="Arial" w:cs="Arial"/>
        </w:rPr>
      </w:pPr>
      <w:bookmarkStart w:id="268" w:name="_Hlk76896645"/>
      <w:r w:rsidRPr="00A4694D">
        <w:rPr>
          <w:rFonts w:ascii="Arial" w:hAnsi="Arial" w:cs="Arial"/>
        </w:rPr>
        <w:t>Transport for Greater Manchester Reserves</w:t>
      </w:r>
    </w:p>
    <w:p w14:paraId="4F65AFDA"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Revenue Grants Unapplied Reserve – Manchester Airport Contribution to the Metrolink extension to the airport;</w:t>
      </w:r>
    </w:p>
    <w:p w14:paraId="0B1817E3"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Property Reserve – surpluses arising from 2 Piccadilly Place to be reinvested in property activity;</w:t>
      </w:r>
    </w:p>
    <w:p w14:paraId="36592333"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Metrolink Reserve – funding set aside for Metrolink Service Enhancements;</w:t>
      </w:r>
    </w:p>
    <w:p w14:paraId="14A83D29"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Joint Road Safety Group Reserve – surpluses arising from JRSG activity;</w:t>
      </w:r>
    </w:p>
    <w:p w14:paraId="153F1B60"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Concessionary Fares Reserve – surpluses of reimbursed income set aside for future investment;</w:t>
      </w:r>
    </w:p>
    <w:p w14:paraId="3109DE4F"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Capital Grants Unapplied Reserve – grants for specific capital schemes to be applied in future years.</w:t>
      </w:r>
    </w:p>
    <w:bookmarkEnd w:id="268"/>
    <w:p w14:paraId="62A24B86" w14:textId="77777777" w:rsidR="00795BE0" w:rsidRPr="0007572B" w:rsidRDefault="00795BE0" w:rsidP="006F1659">
      <w:pPr>
        <w:spacing w:line="360" w:lineRule="auto"/>
        <w:rPr>
          <w:rFonts w:ascii="Arial" w:hAnsi="Arial" w:cs="Arial"/>
        </w:rPr>
      </w:pPr>
      <w:r w:rsidRPr="0007572B">
        <w:rPr>
          <w:rFonts w:ascii="Arial" w:hAnsi="Arial" w:cs="Arial"/>
        </w:rPr>
        <w:lastRenderedPageBreak/>
        <w:t>NW Evergreen Holdings Reserve</w:t>
      </w:r>
    </w:p>
    <w:p w14:paraId="073830D2" w14:textId="77777777" w:rsidR="00795BE0" w:rsidRPr="0007572B" w:rsidRDefault="00795BE0" w:rsidP="006F1659">
      <w:pPr>
        <w:pStyle w:val="ListParagraph"/>
        <w:numPr>
          <w:ilvl w:val="0"/>
          <w:numId w:val="60"/>
        </w:numPr>
        <w:spacing w:line="360" w:lineRule="auto"/>
        <w:rPr>
          <w:rFonts w:ascii="Arial" w:hAnsi="Arial" w:cs="Arial"/>
          <w:sz w:val="24"/>
          <w:szCs w:val="24"/>
        </w:rPr>
      </w:pPr>
      <w:r w:rsidRPr="0007572B">
        <w:rPr>
          <w:rFonts w:ascii="Arial" w:hAnsi="Arial" w:cs="Arial"/>
          <w:sz w:val="24"/>
          <w:szCs w:val="24"/>
        </w:rPr>
        <w:t>Includes grant monies novated to NW Evergreen for investment in city areas.</w:t>
      </w:r>
    </w:p>
    <w:p w14:paraId="11B5934D" w14:textId="77777777" w:rsidR="00795BE0" w:rsidRPr="0007572B" w:rsidRDefault="00795BE0" w:rsidP="006F1659">
      <w:pPr>
        <w:spacing w:line="360" w:lineRule="auto"/>
        <w:rPr>
          <w:rFonts w:ascii="Arial" w:hAnsi="Arial" w:cs="Arial"/>
        </w:rPr>
      </w:pPr>
      <w:r w:rsidRPr="0007572B">
        <w:rPr>
          <w:rFonts w:ascii="Arial" w:hAnsi="Arial" w:cs="Arial"/>
        </w:rPr>
        <w:t>Fund of Funds Reserve</w:t>
      </w:r>
    </w:p>
    <w:p w14:paraId="4FE9CADD" w14:textId="26B4F6DD" w:rsidR="000E74C3" w:rsidRPr="00CE16DE" w:rsidRDefault="00795BE0" w:rsidP="000E0E76">
      <w:pPr>
        <w:pStyle w:val="ListParagraph"/>
        <w:numPr>
          <w:ilvl w:val="0"/>
          <w:numId w:val="60"/>
        </w:numPr>
        <w:spacing w:line="360" w:lineRule="auto"/>
        <w:rPr>
          <w:rFonts w:ascii="Arial" w:eastAsia="Palatino Linotype" w:hAnsi="Arial" w:cs="Arial"/>
          <w:b/>
          <w:bCs/>
          <w:szCs w:val="28"/>
          <w:lang w:val="en-US"/>
        </w:rPr>
      </w:pPr>
      <w:r w:rsidRPr="005A2C77">
        <w:rPr>
          <w:rFonts w:ascii="Arial" w:hAnsi="Arial" w:cs="Arial"/>
          <w:sz w:val="24"/>
          <w:szCs w:val="24"/>
        </w:rPr>
        <w:t>Includes funding from European Regional Development Fund held for investment in low carbon and energy efficiency initiatives</w:t>
      </w:r>
      <w:r w:rsidR="00BF1014" w:rsidRPr="005A2C77">
        <w:rPr>
          <w:rFonts w:ascii="Arial" w:hAnsi="Arial" w:cs="Arial"/>
          <w:sz w:val="24"/>
          <w:szCs w:val="24"/>
        </w:rPr>
        <w:t>.</w:t>
      </w:r>
      <w:bookmarkStart w:id="269" w:name="_Toc92894934"/>
      <w:bookmarkStart w:id="270" w:name="_Toc92895238"/>
      <w:bookmarkStart w:id="271" w:name="_Toc109922672"/>
    </w:p>
    <w:p w14:paraId="1E5D9BDD" w14:textId="77777777" w:rsidR="005A2C77" w:rsidRPr="00CE16DE" w:rsidRDefault="005A2C77" w:rsidP="005A2C77">
      <w:pPr>
        <w:spacing w:line="360" w:lineRule="auto"/>
        <w:rPr>
          <w:rFonts w:ascii="Arial" w:eastAsia="Palatino Linotype" w:hAnsi="Arial" w:cs="Arial"/>
          <w:b/>
          <w:bCs/>
          <w:szCs w:val="28"/>
          <w:lang w:val="en-US"/>
        </w:rPr>
      </w:pPr>
    </w:p>
    <w:p w14:paraId="2E46FF84" w14:textId="1A412309" w:rsidR="00795BE0" w:rsidRPr="0007572B" w:rsidRDefault="00795BE0" w:rsidP="006F1659">
      <w:pPr>
        <w:pStyle w:val="Heading3greennumbered"/>
        <w:spacing w:line="360" w:lineRule="auto"/>
      </w:pPr>
      <w:r w:rsidRPr="0007572B">
        <w:t>4</w:t>
      </w:r>
      <w:r>
        <w:t>1</w:t>
      </w:r>
      <w:r w:rsidRPr="0007572B">
        <w:t xml:space="preserve"> Group Nature of Income and Expenditure</w:t>
      </w:r>
      <w:bookmarkEnd w:id="269"/>
      <w:bookmarkEnd w:id="270"/>
      <w:bookmarkEnd w:id="271"/>
    </w:p>
    <w:p w14:paraId="74C54504" w14:textId="77777777" w:rsidR="00795BE0" w:rsidRDefault="00795BE0" w:rsidP="006F1659">
      <w:pPr>
        <w:spacing w:line="360" w:lineRule="auto"/>
        <w:rPr>
          <w:rFonts w:ascii="Arial" w:hAnsi="Arial" w:cs="Arial"/>
        </w:rPr>
      </w:pPr>
    </w:p>
    <w:p w14:paraId="5D18156D" w14:textId="5DEED135" w:rsidR="00795BE0" w:rsidRDefault="00795BE0" w:rsidP="006F1659">
      <w:pPr>
        <w:spacing w:line="360" w:lineRule="auto"/>
        <w:rPr>
          <w:rFonts w:ascii="Arial" w:hAnsi="Arial" w:cs="Arial"/>
        </w:rPr>
      </w:pPr>
      <w:r w:rsidRPr="0007572B">
        <w:rPr>
          <w:rFonts w:ascii="Arial" w:hAnsi="Arial" w:cs="Arial"/>
        </w:rPr>
        <w:t>The nature of the Group’s income and expenditure is outlined in the table below:</w:t>
      </w:r>
    </w:p>
    <w:p w14:paraId="2DDCD145" w14:textId="77777777" w:rsidR="006F400A" w:rsidRPr="00C10207" w:rsidRDefault="006F400A" w:rsidP="006F1659">
      <w:pPr>
        <w:spacing w:line="360" w:lineRule="auto"/>
        <w:rPr>
          <w:rFonts w:ascii="Arial" w:hAnsi="Arial" w:cs="Arial"/>
        </w:rPr>
      </w:pPr>
    </w:p>
    <w:p w14:paraId="2AB20918" w14:textId="5EE9C863" w:rsidR="003B46BF" w:rsidRDefault="00DA5B73" w:rsidP="006F1659">
      <w:pPr>
        <w:spacing w:line="360" w:lineRule="auto"/>
        <w:rPr>
          <w:rFonts w:ascii="Arial" w:hAnsi="Arial" w:cs="Arial"/>
          <w:b/>
          <w:sz w:val="22"/>
          <w:szCs w:val="22"/>
        </w:rPr>
      </w:pPr>
      <w:r w:rsidRPr="00DA5B73">
        <w:rPr>
          <w:noProof/>
        </w:rPr>
        <w:drawing>
          <wp:inline distT="0" distB="0" distL="0" distR="0" wp14:anchorId="01D6E027" wp14:editId="283D9E2C">
            <wp:extent cx="5499100" cy="3308350"/>
            <wp:effectExtent l="0" t="0" r="6350" b="6350"/>
            <wp:docPr id="19197174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499100" cy="3308350"/>
                    </a:xfrm>
                    <a:prstGeom prst="rect">
                      <a:avLst/>
                    </a:prstGeom>
                    <a:noFill/>
                    <a:ln>
                      <a:noFill/>
                    </a:ln>
                  </pic:spPr>
                </pic:pic>
              </a:graphicData>
            </a:graphic>
          </wp:inline>
        </w:drawing>
      </w:r>
    </w:p>
    <w:p w14:paraId="0D33C91C" w14:textId="77777777" w:rsidR="003B46BF" w:rsidRDefault="003B46BF" w:rsidP="006F1659">
      <w:pPr>
        <w:spacing w:line="360" w:lineRule="auto"/>
        <w:rPr>
          <w:rFonts w:ascii="Arial" w:hAnsi="Arial" w:cs="Arial"/>
          <w:b/>
          <w:sz w:val="22"/>
          <w:szCs w:val="22"/>
        </w:rPr>
      </w:pPr>
    </w:p>
    <w:p w14:paraId="4EB52AC6" w14:textId="0B13AF2B" w:rsidR="00795BE0" w:rsidRPr="00647034" w:rsidRDefault="00795BE0" w:rsidP="006F1659">
      <w:pPr>
        <w:spacing w:line="360" w:lineRule="auto"/>
        <w:rPr>
          <w:rFonts w:ascii="Arial" w:hAnsi="Arial" w:cs="Arial"/>
          <w:b/>
        </w:rPr>
      </w:pPr>
      <w:r w:rsidRPr="0007572B">
        <w:rPr>
          <w:rFonts w:ascii="Arial" w:hAnsi="Arial" w:cs="Arial"/>
          <w:b/>
          <w:sz w:val="22"/>
          <w:szCs w:val="22"/>
        </w:rPr>
        <w:br w:type="page"/>
      </w:r>
    </w:p>
    <w:p w14:paraId="1736D196" w14:textId="77777777" w:rsidR="00795BE0" w:rsidRPr="0007572B" w:rsidRDefault="00795BE0" w:rsidP="006F1659">
      <w:pPr>
        <w:pStyle w:val="Heading3greennumbered"/>
        <w:spacing w:line="360" w:lineRule="auto"/>
      </w:pPr>
      <w:bookmarkStart w:id="272" w:name="_Toc92894935"/>
      <w:bookmarkStart w:id="273" w:name="_Toc92895239"/>
      <w:bookmarkStart w:id="274" w:name="_Toc109922673"/>
      <w:r w:rsidRPr="0007572B">
        <w:lastRenderedPageBreak/>
        <w:t>42 Group Financing and Investment Expenditure and Income</w:t>
      </w:r>
      <w:bookmarkEnd w:id="272"/>
      <w:bookmarkEnd w:id="273"/>
      <w:bookmarkEnd w:id="274"/>
    </w:p>
    <w:p w14:paraId="2D13314C" w14:textId="77777777" w:rsidR="00795BE0" w:rsidRDefault="00795BE0" w:rsidP="006F1659">
      <w:pPr>
        <w:spacing w:line="360" w:lineRule="auto"/>
        <w:rPr>
          <w:rFonts w:ascii="Arial" w:hAnsi="Arial" w:cs="Arial"/>
        </w:rPr>
      </w:pPr>
    </w:p>
    <w:p w14:paraId="2EBBD280" w14:textId="46F62268" w:rsidR="00DE7BF5" w:rsidRDefault="00DA5B73" w:rsidP="006F1659">
      <w:pPr>
        <w:spacing w:line="360" w:lineRule="auto"/>
        <w:rPr>
          <w:rFonts w:ascii="Arial" w:hAnsi="Arial" w:cs="Arial"/>
        </w:rPr>
      </w:pPr>
      <w:r w:rsidRPr="00DA5B73">
        <w:rPr>
          <w:noProof/>
        </w:rPr>
        <w:drawing>
          <wp:inline distT="0" distB="0" distL="0" distR="0" wp14:anchorId="2DFE63D9" wp14:editId="4843E03A">
            <wp:extent cx="4927600" cy="1301750"/>
            <wp:effectExtent l="0" t="0" r="6350" b="0"/>
            <wp:docPr id="3307438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927600" cy="1301750"/>
                    </a:xfrm>
                    <a:prstGeom prst="rect">
                      <a:avLst/>
                    </a:prstGeom>
                    <a:noFill/>
                    <a:ln>
                      <a:noFill/>
                    </a:ln>
                  </pic:spPr>
                </pic:pic>
              </a:graphicData>
            </a:graphic>
          </wp:inline>
        </w:drawing>
      </w:r>
    </w:p>
    <w:p w14:paraId="7C1F29F8" w14:textId="77777777" w:rsidR="00DA5B73" w:rsidRPr="0007572B" w:rsidRDefault="00DA5B73" w:rsidP="006F1659">
      <w:pPr>
        <w:spacing w:line="360" w:lineRule="auto"/>
        <w:rPr>
          <w:rFonts w:ascii="Arial" w:hAnsi="Arial" w:cs="Arial"/>
        </w:rPr>
      </w:pPr>
    </w:p>
    <w:p w14:paraId="29BD1503" w14:textId="27536FD6" w:rsidR="00795BE0" w:rsidRPr="0007572B" w:rsidRDefault="00DA5B73" w:rsidP="006F1659">
      <w:pPr>
        <w:spacing w:line="360" w:lineRule="auto"/>
        <w:rPr>
          <w:rFonts w:ascii="Arial" w:hAnsi="Arial" w:cs="Arial"/>
          <w:b/>
          <w:szCs w:val="28"/>
        </w:rPr>
      </w:pPr>
      <w:r w:rsidRPr="00DA5B73">
        <w:rPr>
          <w:noProof/>
        </w:rPr>
        <w:drawing>
          <wp:inline distT="0" distB="0" distL="0" distR="0" wp14:anchorId="219FC5B1" wp14:editId="046B66CD">
            <wp:extent cx="4927600" cy="1206500"/>
            <wp:effectExtent l="0" t="0" r="6350" b="0"/>
            <wp:docPr id="9748685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927600" cy="1206500"/>
                    </a:xfrm>
                    <a:prstGeom prst="rect">
                      <a:avLst/>
                    </a:prstGeom>
                    <a:noFill/>
                    <a:ln>
                      <a:noFill/>
                    </a:ln>
                  </pic:spPr>
                </pic:pic>
              </a:graphicData>
            </a:graphic>
          </wp:inline>
        </w:drawing>
      </w:r>
    </w:p>
    <w:p w14:paraId="223E72DF" w14:textId="50C98869" w:rsidR="00F65B75" w:rsidRDefault="00F65B75" w:rsidP="006F1659">
      <w:pPr>
        <w:spacing w:line="360" w:lineRule="auto"/>
        <w:rPr>
          <w:rFonts w:ascii="Arial" w:hAnsi="Arial" w:cs="Arial"/>
          <w:b/>
          <w:szCs w:val="28"/>
        </w:rPr>
      </w:pPr>
    </w:p>
    <w:p w14:paraId="061336D7" w14:textId="68C1D827" w:rsidR="00795BE0" w:rsidRPr="00C10207" w:rsidRDefault="00795BE0" w:rsidP="006F1659">
      <w:pPr>
        <w:pStyle w:val="Heading3greennumbered"/>
        <w:spacing w:line="360" w:lineRule="auto"/>
      </w:pPr>
      <w:bookmarkStart w:id="275" w:name="_Toc92894936"/>
      <w:bookmarkStart w:id="276" w:name="_Toc92895240"/>
      <w:bookmarkStart w:id="277" w:name="_Toc109922674"/>
      <w:r w:rsidRPr="0007572B">
        <w:t>43 Group Taxation and Non-Specific Grant Income</w:t>
      </w:r>
      <w:bookmarkEnd w:id="275"/>
      <w:bookmarkEnd w:id="276"/>
      <w:bookmarkEnd w:id="277"/>
    </w:p>
    <w:p w14:paraId="60F9D0F0" w14:textId="3F0D5B78" w:rsidR="00795BE0" w:rsidRPr="0007572B" w:rsidRDefault="00795BE0" w:rsidP="006F1659">
      <w:pPr>
        <w:spacing w:line="360" w:lineRule="auto"/>
        <w:rPr>
          <w:rFonts w:ascii="Arial" w:hAnsi="Arial" w:cs="Arial"/>
          <w:b/>
        </w:rPr>
      </w:pPr>
    </w:p>
    <w:p w14:paraId="6AD16C87" w14:textId="642AC8AA" w:rsidR="00795BE0" w:rsidRPr="0007572B" w:rsidRDefault="005A2C77" w:rsidP="006F1659">
      <w:pPr>
        <w:spacing w:line="360" w:lineRule="auto"/>
        <w:rPr>
          <w:rFonts w:ascii="Arial" w:hAnsi="Arial" w:cs="Arial"/>
          <w:b/>
          <w:sz w:val="22"/>
          <w:szCs w:val="22"/>
        </w:rPr>
      </w:pPr>
      <w:r w:rsidRPr="005A2C77">
        <w:rPr>
          <w:noProof/>
        </w:rPr>
        <w:drawing>
          <wp:inline distT="0" distB="0" distL="0" distR="0" wp14:anchorId="528ABCDD" wp14:editId="4AF9566D">
            <wp:extent cx="5232400" cy="4578350"/>
            <wp:effectExtent l="0" t="0" r="6350" b="0"/>
            <wp:docPr id="18949151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232400" cy="4578350"/>
                    </a:xfrm>
                    <a:prstGeom prst="rect">
                      <a:avLst/>
                    </a:prstGeom>
                    <a:noFill/>
                    <a:ln>
                      <a:noFill/>
                    </a:ln>
                  </pic:spPr>
                </pic:pic>
              </a:graphicData>
            </a:graphic>
          </wp:inline>
        </w:drawing>
      </w:r>
      <w:r w:rsidR="00795BE0" w:rsidRPr="0007572B">
        <w:rPr>
          <w:rFonts w:ascii="Arial" w:hAnsi="Arial" w:cs="Arial"/>
          <w:b/>
          <w:sz w:val="22"/>
          <w:szCs w:val="22"/>
        </w:rPr>
        <w:br w:type="page"/>
      </w:r>
    </w:p>
    <w:p w14:paraId="7F3D5766" w14:textId="77777777" w:rsidR="00795BE0" w:rsidRPr="0007572B" w:rsidRDefault="00795BE0" w:rsidP="006F1659">
      <w:pPr>
        <w:pStyle w:val="Heading3greennumbered"/>
        <w:spacing w:line="360" w:lineRule="auto"/>
      </w:pPr>
      <w:bookmarkStart w:id="278" w:name="_Toc92894937"/>
      <w:bookmarkStart w:id="279" w:name="_Toc92895241"/>
      <w:bookmarkStart w:id="280" w:name="_Toc109922675"/>
      <w:r w:rsidRPr="0007572B">
        <w:lastRenderedPageBreak/>
        <w:t>44 Group External Audit Fees</w:t>
      </w:r>
      <w:bookmarkEnd w:id="278"/>
      <w:bookmarkEnd w:id="279"/>
      <w:bookmarkEnd w:id="280"/>
    </w:p>
    <w:p w14:paraId="6F4ED4AB" w14:textId="77777777" w:rsidR="00795BE0" w:rsidRDefault="00795BE0" w:rsidP="006F1659">
      <w:pPr>
        <w:spacing w:line="360" w:lineRule="auto"/>
        <w:rPr>
          <w:rFonts w:ascii="Arial" w:hAnsi="Arial" w:cs="Arial"/>
        </w:rPr>
      </w:pPr>
    </w:p>
    <w:p w14:paraId="3E41A4A0" w14:textId="77777777" w:rsidR="00795BE0" w:rsidRPr="0007572B" w:rsidRDefault="00795BE0" w:rsidP="006F1659">
      <w:pPr>
        <w:spacing w:line="360" w:lineRule="auto"/>
        <w:rPr>
          <w:rFonts w:ascii="Arial" w:hAnsi="Arial" w:cs="Arial"/>
        </w:rPr>
      </w:pPr>
      <w:r w:rsidRPr="0007572B">
        <w:rPr>
          <w:rFonts w:ascii="Arial" w:hAnsi="Arial" w:cs="Arial"/>
        </w:rPr>
        <w:t>The Group has incurred the following External Audit costs in relation to the audit of the Statement of Accounts and certification of grant claims.</w:t>
      </w:r>
    </w:p>
    <w:p w14:paraId="77555561" w14:textId="6C6E215F" w:rsidR="00795BE0" w:rsidRDefault="00795BE0" w:rsidP="006F1659">
      <w:pPr>
        <w:spacing w:line="360" w:lineRule="auto"/>
      </w:pPr>
    </w:p>
    <w:p w14:paraId="0F42ADCD" w14:textId="22B85878" w:rsidR="007547C9" w:rsidRPr="0007572B" w:rsidRDefault="001F7874" w:rsidP="006F1659">
      <w:pPr>
        <w:spacing w:line="360" w:lineRule="auto"/>
        <w:rPr>
          <w:rFonts w:ascii="Arial" w:hAnsi="Arial" w:cs="Arial"/>
        </w:rPr>
      </w:pPr>
      <w:r w:rsidRPr="001F7874">
        <w:rPr>
          <w:noProof/>
        </w:rPr>
        <w:drawing>
          <wp:inline distT="0" distB="0" distL="0" distR="0" wp14:anchorId="3458327F" wp14:editId="63286A62">
            <wp:extent cx="5975350" cy="986790"/>
            <wp:effectExtent l="0" t="0" r="6350" b="3810"/>
            <wp:docPr id="1174389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75350" cy="986790"/>
                    </a:xfrm>
                    <a:prstGeom prst="rect">
                      <a:avLst/>
                    </a:prstGeom>
                    <a:noFill/>
                    <a:ln>
                      <a:noFill/>
                    </a:ln>
                  </pic:spPr>
                </pic:pic>
              </a:graphicData>
            </a:graphic>
          </wp:inline>
        </w:drawing>
      </w:r>
    </w:p>
    <w:p w14:paraId="25B6F413" w14:textId="77777777" w:rsidR="00795BE0" w:rsidRPr="0007572B" w:rsidRDefault="00795BE0" w:rsidP="006F1659">
      <w:pPr>
        <w:spacing w:line="360" w:lineRule="auto"/>
        <w:jc w:val="both"/>
        <w:rPr>
          <w:rFonts w:ascii="Arial" w:hAnsi="Arial" w:cs="Arial"/>
          <w:b/>
        </w:rPr>
      </w:pPr>
    </w:p>
    <w:p w14:paraId="76BE48E0" w14:textId="77777777" w:rsidR="00795BE0" w:rsidRPr="007A6E96" w:rsidRDefault="00795BE0" w:rsidP="006F1659">
      <w:pPr>
        <w:pStyle w:val="Heading3greennumbered"/>
        <w:spacing w:line="360" w:lineRule="auto"/>
      </w:pPr>
      <w:bookmarkStart w:id="281" w:name="_Toc92894938"/>
      <w:bookmarkStart w:id="282" w:name="_Toc92895242"/>
      <w:bookmarkStart w:id="283" w:name="_Toc109922676"/>
      <w:r w:rsidRPr="007A6E96">
        <w:t>45 Group Officer Remuneration</w:t>
      </w:r>
      <w:bookmarkEnd w:id="281"/>
      <w:bookmarkEnd w:id="282"/>
      <w:bookmarkEnd w:id="283"/>
    </w:p>
    <w:p w14:paraId="7CFEC09E" w14:textId="77777777" w:rsidR="00795BE0" w:rsidRDefault="00795BE0" w:rsidP="006F1659">
      <w:pPr>
        <w:spacing w:line="360" w:lineRule="auto"/>
        <w:rPr>
          <w:rFonts w:ascii="Arial" w:hAnsi="Arial" w:cs="Arial"/>
          <w:b/>
        </w:rPr>
      </w:pPr>
    </w:p>
    <w:p w14:paraId="5430685B" w14:textId="77777777" w:rsidR="00795BE0" w:rsidRPr="0007572B" w:rsidRDefault="00795BE0" w:rsidP="006F1659">
      <w:pPr>
        <w:pStyle w:val="Heading4bold"/>
        <w:spacing w:line="360" w:lineRule="auto"/>
      </w:pPr>
      <w:r w:rsidRPr="0007572B">
        <w:t>Officers Remuneration above £50,000</w:t>
      </w:r>
    </w:p>
    <w:p w14:paraId="516D3850" w14:textId="2BFD6D89" w:rsidR="00795BE0" w:rsidRDefault="00795BE0" w:rsidP="006F1659">
      <w:pPr>
        <w:spacing w:line="360" w:lineRule="auto"/>
        <w:rPr>
          <w:rFonts w:ascii="Arial" w:hAnsi="Arial" w:cs="Arial"/>
          <w:b/>
        </w:rPr>
      </w:pPr>
      <w:r w:rsidRPr="0007572B">
        <w:rPr>
          <w:rFonts w:ascii="Arial" w:hAnsi="Arial" w:cs="Arial"/>
        </w:rPr>
        <w:t>The number of employees (including senior officer) receiving more than £50,000 remuneration for the year (excluding employer's pension contributions) were as follows</w:t>
      </w:r>
      <w:r w:rsidRPr="0007572B">
        <w:rPr>
          <w:rFonts w:ascii="Arial" w:hAnsi="Arial" w:cs="Arial"/>
          <w:bCs/>
        </w:rPr>
        <w:t>:</w:t>
      </w:r>
    </w:p>
    <w:p w14:paraId="4F756E76" w14:textId="345FDE96" w:rsidR="00795BE0" w:rsidRPr="0007572B" w:rsidRDefault="006A04DD" w:rsidP="006F1659">
      <w:pPr>
        <w:spacing w:line="360" w:lineRule="auto"/>
        <w:rPr>
          <w:rFonts w:ascii="Arial" w:hAnsi="Arial" w:cs="Arial"/>
          <w:b/>
        </w:rPr>
      </w:pPr>
      <w:r w:rsidRPr="006A04DD">
        <w:rPr>
          <w:rFonts w:ascii="Arial" w:hAnsi="Arial" w:cs="Arial"/>
          <w:b/>
        </w:rPr>
        <w:t xml:space="preserve"> </w:t>
      </w:r>
      <w:r w:rsidRPr="006A04DD">
        <w:rPr>
          <w:noProof/>
        </w:rPr>
        <w:drawing>
          <wp:inline distT="0" distB="0" distL="0" distR="0" wp14:anchorId="510742FF" wp14:editId="15ECE8BC">
            <wp:extent cx="5975350" cy="4301490"/>
            <wp:effectExtent l="0" t="0" r="6350" b="3810"/>
            <wp:docPr id="7252297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75350" cy="4301490"/>
                    </a:xfrm>
                    <a:prstGeom prst="rect">
                      <a:avLst/>
                    </a:prstGeom>
                    <a:noFill/>
                    <a:ln>
                      <a:noFill/>
                    </a:ln>
                  </pic:spPr>
                </pic:pic>
              </a:graphicData>
            </a:graphic>
          </wp:inline>
        </w:drawing>
      </w:r>
    </w:p>
    <w:p w14:paraId="66162B4E" w14:textId="77777777" w:rsidR="00795BE0" w:rsidRPr="0007572B" w:rsidRDefault="00795BE0" w:rsidP="006F1659">
      <w:pPr>
        <w:spacing w:line="360" w:lineRule="auto"/>
        <w:rPr>
          <w:rFonts w:ascii="Arial" w:hAnsi="Arial" w:cs="Arial"/>
        </w:rPr>
      </w:pPr>
    </w:p>
    <w:p w14:paraId="7B882BCB" w14:textId="0E7F5A35" w:rsidR="00795BE0" w:rsidRDefault="00795BE0" w:rsidP="006F1659">
      <w:pPr>
        <w:spacing w:line="360" w:lineRule="auto"/>
        <w:rPr>
          <w:rFonts w:ascii="Arial" w:hAnsi="Arial" w:cs="Arial"/>
          <w:b/>
        </w:rPr>
        <w:sectPr w:rsidR="00795BE0" w:rsidSect="004833A2">
          <w:pgSz w:w="11906" w:h="16838"/>
          <w:pgMar w:top="946" w:right="1416" w:bottom="1440" w:left="1080" w:header="283" w:footer="567" w:gutter="0"/>
          <w:cols w:space="708"/>
          <w:docGrid w:linePitch="360"/>
        </w:sectPr>
      </w:pPr>
    </w:p>
    <w:p w14:paraId="07569475" w14:textId="77777777" w:rsidR="00795BE0" w:rsidRPr="0007572B" w:rsidRDefault="00795BE0" w:rsidP="006F1659">
      <w:pPr>
        <w:pStyle w:val="Heading4bold"/>
        <w:spacing w:line="360" w:lineRule="auto"/>
      </w:pPr>
      <w:r w:rsidRPr="0007572B">
        <w:lastRenderedPageBreak/>
        <w:t>Senior Officers Remuneration</w:t>
      </w:r>
    </w:p>
    <w:p w14:paraId="73A92859" w14:textId="1BEA6915" w:rsidR="00731725" w:rsidRPr="0007572B" w:rsidRDefault="00795BE0" w:rsidP="006F1659">
      <w:pPr>
        <w:spacing w:line="360" w:lineRule="auto"/>
        <w:rPr>
          <w:rFonts w:ascii="Arial" w:hAnsi="Arial" w:cs="Arial"/>
          <w:sz w:val="28"/>
          <w:szCs w:val="28"/>
        </w:rPr>
      </w:pPr>
      <w:r w:rsidRPr="0007572B">
        <w:rPr>
          <w:rFonts w:ascii="Arial" w:hAnsi="Arial" w:cs="Arial"/>
        </w:rPr>
        <w:t>Employees are classed as senior officer employees when they received a salary in excess of £150,000 (disclosed by name) or received a salary in excess of £50,000 and reported to a Head of Paid Service for any of the group entities. In addition the salaries for the Mayor, Deputy Mayor for Police and Crime and the Director of the Mayor’s Office are disclosed.</w:t>
      </w:r>
      <w:r w:rsidRPr="0007572B">
        <w:rPr>
          <w:rFonts w:ascii="Arial" w:hAnsi="Arial" w:cs="Arial"/>
          <w:sz w:val="28"/>
          <w:szCs w:val="28"/>
        </w:rPr>
        <w:t xml:space="preserve"> </w:t>
      </w:r>
    </w:p>
    <w:p w14:paraId="35D8C936" w14:textId="020DCD0F" w:rsidR="00795BE0" w:rsidRPr="0007572B" w:rsidRDefault="00795BE0" w:rsidP="006F1659">
      <w:pPr>
        <w:spacing w:line="360" w:lineRule="auto"/>
        <w:rPr>
          <w:rFonts w:ascii="Arial" w:hAnsi="Arial" w:cs="Arial"/>
          <w:b/>
        </w:rPr>
      </w:pPr>
    </w:p>
    <w:p w14:paraId="09FBF062" w14:textId="1E41A9D3" w:rsidR="00795BE0" w:rsidRDefault="00AC5888" w:rsidP="006F1659">
      <w:pPr>
        <w:spacing w:line="360" w:lineRule="auto"/>
        <w:rPr>
          <w:rFonts w:ascii="Arial" w:hAnsi="Arial" w:cs="Arial"/>
          <w:b/>
          <w:sz w:val="22"/>
          <w:szCs w:val="22"/>
        </w:rPr>
      </w:pPr>
      <w:r w:rsidRPr="00AC5888">
        <w:rPr>
          <w:noProof/>
        </w:rPr>
        <w:drawing>
          <wp:inline distT="0" distB="0" distL="0" distR="0" wp14:anchorId="5F1406D2" wp14:editId="69F6A713">
            <wp:extent cx="9177020" cy="3678555"/>
            <wp:effectExtent l="0" t="0" r="5080" b="0"/>
            <wp:docPr id="707244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177020" cy="3678555"/>
                    </a:xfrm>
                    <a:prstGeom prst="rect">
                      <a:avLst/>
                    </a:prstGeom>
                    <a:noFill/>
                    <a:ln>
                      <a:noFill/>
                    </a:ln>
                  </pic:spPr>
                </pic:pic>
              </a:graphicData>
            </a:graphic>
          </wp:inline>
        </w:drawing>
      </w:r>
    </w:p>
    <w:p w14:paraId="45176653" w14:textId="77777777" w:rsidR="004833A2" w:rsidRDefault="004833A2" w:rsidP="006F1659">
      <w:pPr>
        <w:spacing w:line="360" w:lineRule="auto"/>
        <w:rPr>
          <w:rFonts w:ascii="Arial" w:hAnsi="Arial" w:cs="Arial"/>
          <w:b/>
          <w:sz w:val="22"/>
          <w:szCs w:val="22"/>
        </w:rPr>
      </w:pPr>
    </w:p>
    <w:tbl>
      <w:tblPr>
        <w:tblW w:w="14442" w:type="dxa"/>
        <w:tblLook w:val="04A0" w:firstRow="1" w:lastRow="0" w:firstColumn="1" w:lastColumn="0" w:noHBand="0" w:noVBand="1"/>
      </w:tblPr>
      <w:tblGrid>
        <w:gridCol w:w="632"/>
        <w:gridCol w:w="13810"/>
      </w:tblGrid>
      <w:tr w:rsidR="004833A2" w:rsidRPr="004833A2" w14:paraId="62B79563" w14:textId="77777777" w:rsidTr="00F42EFE">
        <w:trPr>
          <w:trHeight w:val="270"/>
        </w:trPr>
        <w:tc>
          <w:tcPr>
            <w:tcW w:w="632" w:type="dxa"/>
            <w:shd w:val="clear" w:color="000000" w:fill="FFFFFF"/>
            <w:noWrap/>
            <w:hideMark/>
          </w:tcPr>
          <w:p w14:paraId="412E4858" w14:textId="77777777" w:rsidR="004833A2" w:rsidRPr="004833A2" w:rsidRDefault="004833A2" w:rsidP="006F1659">
            <w:pPr>
              <w:spacing w:line="360" w:lineRule="auto"/>
              <w:jc w:val="center"/>
              <w:rPr>
                <w:rFonts w:ascii="Arial" w:hAnsi="Arial" w:cs="Arial"/>
                <w:color w:val="000000"/>
                <w:lang w:eastAsia="en-GB"/>
              </w:rPr>
            </w:pPr>
            <w:r w:rsidRPr="004833A2">
              <w:rPr>
                <w:rFonts w:ascii="Arial" w:hAnsi="Arial" w:cs="Arial"/>
                <w:color w:val="000000"/>
              </w:rPr>
              <w:t>A</w:t>
            </w:r>
          </w:p>
        </w:tc>
        <w:tc>
          <w:tcPr>
            <w:tcW w:w="13810" w:type="dxa"/>
            <w:shd w:val="clear" w:color="000000" w:fill="FFFFFF"/>
            <w:noWrap/>
            <w:hideMark/>
          </w:tcPr>
          <w:p w14:paraId="279A3A34" w14:textId="0F4A9573" w:rsidR="004833A2" w:rsidRPr="004833A2" w:rsidRDefault="004833A2" w:rsidP="006F1659">
            <w:pPr>
              <w:spacing w:line="360" w:lineRule="auto"/>
              <w:rPr>
                <w:rFonts w:ascii="Arial" w:hAnsi="Arial" w:cs="Arial"/>
                <w:color w:val="000000"/>
              </w:rPr>
            </w:pPr>
            <w:r w:rsidRPr="004833A2">
              <w:rPr>
                <w:rFonts w:ascii="Arial" w:hAnsi="Arial" w:cs="Arial"/>
                <w:color w:val="000000"/>
              </w:rPr>
              <w:t>Post holder commenced 9 January 2023. (2022/23: FTE salary £89,900)</w:t>
            </w:r>
            <w:r w:rsidR="00A0464D">
              <w:rPr>
                <w:rFonts w:ascii="Arial" w:hAnsi="Arial" w:cs="Arial"/>
                <w:color w:val="000000"/>
              </w:rPr>
              <w:t>.</w:t>
            </w:r>
          </w:p>
        </w:tc>
      </w:tr>
      <w:tr w:rsidR="004833A2" w:rsidRPr="004833A2" w14:paraId="07B6240B" w14:textId="77777777" w:rsidTr="00F42EFE">
        <w:trPr>
          <w:trHeight w:val="510"/>
        </w:trPr>
        <w:tc>
          <w:tcPr>
            <w:tcW w:w="632" w:type="dxa"/>
            <w:shd w:val="clear" w:color="000000" w:fill="FFFFFF"/>
            <w:noWrap/>
            <w:hideMark/>
          </w:tcPr>
          <w:p w14:paraId="37EACF28"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lastRenderedPageBreak/>
              <w:t>B</w:t>
            </w:r>
          </w:p>
        </w:tc>
        <w:tc>
          <w:tcPr>
            <w:tcW w:w="13810" w:type="dxa"/>
            <w:shd w:val="clear" w:color="000000" w:fill="FFFFFF"/>
            <w:hideMark/>
          </w:tcPr>
          <w:p w14:paraId="43FACDCE" w14:textId="2103DCFC" w:rsidR="004833A2" w:rsidRPr="004833A2" w:rsidRDefault="004833A2" w:rsidP="006F1659">
            <w:pPr>
              <w:spacing w:line="360" w:lineRule="auto"/>
              <w:rPr>
                <w:rFonts w:ascii="Arial" w:hAnsi="Arial" w:cs="Arial"/>
                <w:color w:val="000000"/>
              </w:rPr>
            </w:pPr>
            <w:r w:rsidRPr="004833A2">
              <w:rPr>
                <w:rFonts w:ascii="Arial" w:hAnsi="Arial" w:cs="Arial"/>
                <w:color w:val="000000"/>
              </w:rPr>
              <w:t xml:space="preserve">Post holder stepped down as Deputy Mayor </w:t>
            </w:r>
            <w:r w:rsidR="00A0464D">
              <w:rPr>
                <w:rFonts w:ascii="Arial" w:hAnsi="Arial" w:cs="Arial"/>
                <w:color w:val="000000"/>
              </w:rPr>
              <w:t>on</w:t>
            </w:r>
            <w:r w:rsidRPr="004833A2">
              <w:rPr>
                <w:rFonts w:ascii="Arial" w:hAnsi="Arial" w:cs="Arial"/>
                <w:color w:val="000000"/>
              </w:rPr>
              <w:t xml:space="preserve"> 8 January 2023 (FTE salary £89,900). Commenced new role as Assistant Deputy Mayor 0.50 FTE (FTE salary £89,900) from 9 January 2023, supporting establishment of new Deputy Mayor for Police and Crime.</w:t>
            </w:r>
          </w:p>
        </w:tc>
      </w:tr>
      <w:tr w:rsidR="004833A2" w:rsidRPr="004833A2" w14:paraId="191DFACF" w14:textId="77777777" w:rsidTr="00F42EFE">
        <w:trPr>
          <w:trHeight w:val="540"/>
        </w:trPr>
        <w:tc>
          <w:tcPr>
            <w:tcW w:w="632" w:type="dxa"/>
            <w:shd w:val="clear" w:color="000000" w:fill="FFFFFF"/>
            <w:noWrap/>
            <w:hideMark/>
          </w:tcPr>
          <w:p w14:paraId="7191630E"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C</w:t>
            </w:r>
          </w:p>
        </w:tc>
        <w:tc>
          <w:tcPr>
            <w:tcW w:w="13810" w:type="dxa"/>
            <w:shd w:val="clear" w:color="000000" w:fill="FFFFFF"/>
            <w:hideMark/>
          </w:tcPr>
          <w:p w14:paraId="0A3B1EEC" w14:textId="420472DC" w:rsidR="004833A2" w:rsidRPr="004833A2" w:rsidRDefault="004833A2" w:rsidP="006F1659">
            <w:pPr>
              <w:spacing w:line="360" w:lineRule="auto"/>
              <w:rPr>
                <w:rFonts w:ascii="Arial" w:hAnsi="Arial" w:cs="Arial"/>
                <w:color w:val="000000"/>
              </w:rPr>
            </w:pPr>
            <w:r w:rsidRPr="004833A2">
              <w:rPr>
                <w:rFonts w:ascii="Arial" w:hAnsi="Arial" w:cs="Arial"/>
                <w:color w:val="000000"/>
              </w:rPr>
              <w:t>The GMCA received a contribution of £115,682.88 (2021/22: £114,720.42) for the Chief Executive also performing the duties of Chief Executive at Transport for Greater Manchester during 2022/23. 50% of Basic Pay and Employers NI.</w:t>
            </w:r>
          </w:p>
        </w:tc>
      </w:tr>
      <w:tr w:rsidR="004833A2" w:rsidRPr="004833A2" w14:paraId="19ABF239" w14:textId="77777777" w:rsidTr="00F42EFE">
        <w:trPr>
          <w:trHeight w:val="540"/>
        </w:trPr>
        <w:tc>
          <w:tcPr>
            <w:tcW w:w="632" w:type="dxa"/>
            <w:shd w:val="clear" w:color="000000" w:fill="FFFFFF"/>
            <w:noWrap/>
            <w:hideMark/>
          </w:tcPr>
          <w:p w14:paraId="2E2B9E15"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D</w:t>
            </w:r>
          </w:p>
        </w:tc>
        <w:tc>
          <w:tcPr>
            <w:tcW w:w="13810" w:type="dxa"/>
            <w:shd w:val="clear" w:color="000000" w:fill="FFFFFF"/>
            <w:hideMark/>
          </w:tcPr>
          <w:p w14:paraId="11F25B79" w14:textId="22E31E9E" w:rsidR="004833A2" w:rsidRPr="004833A2" w:rsidRDefault="004833A2" w:rsidP="006F1659">
            <w:pPr>
              <w:spacing w:line="360" w:lineRule="auto"/>
              <w:rPr>
                <w:rFonts w:ascii="Arial" w:hAnsi="Arial" w:cs="Arial"/>
                <w:color w:val="000000"/>
              </w:rPr>
            </w:pPr>
            <w:r w:rsidRPr="004833A2">
              <w:rPr>
                <w:rFonts w:ascii="Arial" w:hAnsi="Arial" w:cs="Arial"/>
                <w:color w:val="000000"/>
              </w:rPr>
              <w:t>The GMCA received a contribution of £15,000 for the Treasurer performing duties of Executive lead for finance and investment at Greater Manchester Health and Social Care Partnership during 2022/23 (2021/22: £60,000) This contribution is included in the Treasurers Total Remuneration figure.</w:t>
            </w:r>
          </w:p>
        </w:tc>
      </w:tr>
      <w:tr w:rsidR="004833A2" w:rsidRPr="004833A2" w14:paraId="209D6A42" w14:textId="77777777" w:rsidTr="00F42EFE">
        <w:trPr>
          <w:trHeight w:val="290"/>
        </w:trPr>
        <w:tc>
          <w:tcPr>
            <w:tcW w:w="632" w:type="dxa"/>
            <w:shd w:val="clear" w:color="000000" w:fill="FFFFFF"/>
            <w:noWrap/>
            <w:hideMark/>
          </w:tcPr>
          <w:p w14:paraId="74783032"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E</w:t>
            </w:r>
          </w:p>
        </w:tc>
        <w:tc>
          <w:tcPr>
            <w:tcW w:w="13810" w:type="dxa"/>
            <w:shd w:val="clear" w:color="000000" w:fill="FFFFFF"/>
            <w:noWrap/>
            <w:hideMark/>
          </w:tcPr>
          <w:p w14:paraId="6663E036" w14:textId="7E1A496B" w:rsidR="004833A2" w:rsidRPr="004833A2" w:rsidRDefault="004833A2" w:rsidP="006F1659">
            <w:pPr>
              <w:spacing w:line="360" w:lineRule="auto"/>
              <w:rPr>
                <w:rFonts w:ascii="Arial" w:hAnsi="Arial" w:cs="Arial"/>
                <w:color w:val="000000"/>
              </w:rPr>
            </w:pPr>
            <w:r w:rsidRPr="004833A2">
              <w:rPr>
                <w:rFonts w:ascii="Arial" w:hAnsi="Arial" w:cs="Arial"/>
                <w:color w:val="000000"/>
              </w:rPr>
              <w:t>Post in 2021/22 is also 0.41 FTE, Annual Salary for 1.0 FTE would be £164,789.37. Post in 2022/23 is 0.41 FTE, Annual salary for 1.0 FTE would be £166,714.37.</w:t>
            </w:r>
          </w:p>
        </w:tc>
      </w:tr>
      <w:tr w:rsidR="004833A2" w:rsidRPr="004833A2" w14:paraId="726415F4" w14:textId="77777777" w:rsidTr="00F42EFE">
        <w:trPr>
          <w:trHeight w:val="270"/>
        </w:trPr>
        <w:tc>
          <w:tcPr>
            <w:tcW w:w="632" w:type="dxa"/>
            <w:shd w:val="clear" w:color="000000" w:fill="FFFFFF"/>
            <w:noWrap/>
            <w:hideMark/>
          </w:tcPr>
          <w:p w14:paraId="52023C5E"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F</w:t>
            </w:r>
          </w:p>
        </w:tc>
        <w:tc>
          <w:tcPr>
            <w:tcW w:w="13810" w:type="dxa"/>
            <w:shd w:val="clear" w:color="000000" w:fill="FFFFFF"/>
            <w:noWrap/>
            <w:hideMark/>
          </w:tcPr>
          <w:p w14:paraId="5124231E" w14:textId="7FFE4340" w:rsidR="004833A2" w:rsidRPr="004833A2" w:rsidRDefault="004833A2" w:rsidP="006F1659">
            <w:pPr>
              <w:spacing w:line="360" w:lineRule="auto"/>
              <w:rPr>
                <w:rFonts w:ascii="Arial" w:hAnsi="Arial" w:cs="Arial"/>
                <w:color w:val="000000"/>
              </w:rPr>
            </w:pPr>
            <w:r w:rsidRPr="004833A2">
              <w:rPr>
                <w:rFonts w:ascii="Arial" w:hAnsi="Arial" w:cs="Arial"/>
                <w:color w:val="000000"/>
              </w:rPr>
              <w:t>Post holder left post 31 July 2022.</w:t>
            </w:r>
          </w:p>
        </w:tc>
      </w:tr>
      <w:tr w:rsidR="004833A2" w:rsidRPr="004833A2" w14:paraId="0573A82D" w14:textId="77777777" w:rsidTr="00F42EFE">
        <w:trPr>
          <w:trHeight w:val="290"/>
        </w:trPr>
        <w:tc>
          <w:tcPr>
            <w:tcW w:w="632" w:type="dxa"/>
            <w:shd w:val="clear" w:color="000000" w:fill="FFFFFF"/>
            <w:noWrap/>
            <w:hideMark/>
          </w:tcPr>
          <w:p w14:paraId="04AB2C9A"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G</w:t>
            </w:r>
          </w:p>
        </w:tc>
        <w:tc>
          <w:tcPr>
            <w:tcW w:w="13810" w:type="dxa"/>
            <w:shd w:val="clear" w:color="000000" w:fill="FFFFFF"/>
            <w:noWrap/>
            <w:hideMark/>
          </w:tcPr>
          <w:p w14:paraId="71026F45" w14:textId="006F02F6" w:rsidR="004833A2" w:rsidRPr="004833A2" w:rsidRDefault="004833A2" w:rsidP="006F1659">
            <w:pPr>
              <w:spacing w:line="360" w:lineRule="auto"/>
              <w:rPr>
                <w:rFonts w:ascii="Arial" w:hAnsi="Arial" w:cs="Arial"/>
                <w:color w:val="000000"/>
              </w:rPr>
            </w:pPr>
            <w:r w:rsidRPr="004833A2">
              <w:rPr>
                <w:rFonts w:ascii="Arial" w:hAnsi="Arial" w:cs="Arial"/>
                <w:color w:val="000000"/>
              </w:rPr>
              <w:t>Post holder commenced 26 September 2022. (2022/23: FTE salary £131,925)</w:t>
            </w:r>
          </w:p>
        </w:tc>
      </w:tr>
      <w:tr w:rsidR="004833A2" w:rsidRPr="004833A2" w14:paraId="2A1393B8" w14:textId="77777777" w:rsidTr="00F42EFE">
        <w:trPr>
          <w:trHeight w:val="270"/>
        </w:trPr>
        <w:tc>
          <w:tcPr>
            <w:tcW w:w="632" w:type="dxa"/>
            <w:shd w:val="clear" w:color="000000" w:fill="FFFFFF"/>
            <w:noWrap/>
            <w:hideMark/>
          </w:tcPr>
          <w:p w14:paraId="41076E6F"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H</w:t>
            </w:r>
          </w:p>
        </w:tc>
        <w:tc>
          <w:tcPr>
            <w:tcW w:w="13810" w:type="dxa"/>
            <w:shd w:val="clear" w:color="000000" w:fill="FFFFFF"/>
            <w:noWrap/>
            <w:hideMark/>
          </w:tcPr>
          <w:p w14:paraId="2911C732" w14:textId="2E3AD9C3" w:rsidR="004833A2" w:rsidRPr="004833A2" w:rsidRDefault="004833A2" w:rsidP="006F1659">
            <w:pPr>
              <w:spacing w:line="360" w:lineRule="auto"/>
              <w:rPr>
                <w:rFonts w:ascii="Arial" w:hAnsi="Arial" w:cs="Arial"/>
                <w:color w:val="000000"/>
              </w:rPr>
            </w:pPr>
            <w:r w:rsidRPr="004833A2">
              <w:rPr>
                <w:rFonts w:ascii="Arial" w:hAnsi="Arial" w:cs="Arial"/>
                <w:color w:val="000000"/>
              </w:rPr>
              <w:t>Chief Constable appointed in May 2021</w:t>
            </w:r>
            <w:r>
              <w:rPr>
                <w:rFonts w:ascii="Arial" w:hAnsi="Arial" w:cs="Arial"/>
                <w:color w:val="000000"/>
              </w:rPr>
              <w:t>.</w:t>
            </w:r>
          </w:p>
        </w:tc>
      </w:tr>
      <w:tr w:rsidR="004833A2" w:rsidRPr="004833A2" w14:paraId="77D610CA" w14:textId="77777777" w:rsidTr="00F42EFE">
        <w:trPr>
          <w:trHeight w:val="290"/>
        </w:trPr>
        <w:tc>
          <w:tcPr>
            <w:tcW w:w="632" w:type="dxa"/>
            <w:shd w:val="clear" w:color="000000" w:fill="FFFFFF"/>
            <w:noWrap/>
            <w:hideMark/>
          </w:tcPr>
          <w:p w14:paraId="4C16C96B"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I</w:t>
            </w:r>
          </w:p>
        </w:tc>
        <w:tc>
          <w:tcPr>
            <w:tcW w:w="13810" w:type="dxa"/>
            <w:shd w:val="clear" w:color="000000" w:fill="FFFFFF"/>
            <w:noWrap/>
            <w:hideMark/>
          </w:tcPr>
          <w:p w14:paraId="7A5DB42D" w14:textId="22C0E702" w:rsidR="004833A2" w:rsidRPr="004833A2" w:rsidRDefault="004833A2" w:rsidP="006F1659">
            <w:pPr>
              <w:spacing w:line="360" w:lineRule="auto"/>
              <w:rPr>
                <w:rFonts w:ascii="Arial" w:hAnsi="Arial" w:cs="Arial"/>
                <w:color w:val="000000"/>
              </w:rPr>
            </w:pPr>
            <w:r w:rsidRPr="004833A2">
              <w:rPr>
                <w:rFonts w:ascii="Arial" w:hAnsi="Arial" w:cs="Arial"/>
                <w:color w:val="000000"/>
              </w:rPr>
              <w:t>Acting Chief Constable to May 2021</w:t>
            </w:r>
            <w:r>
              <w:rPr>
                <w:rFonts w:ascii="Arial" w:hAnsi="Arial" w:cs="Arial"/>
                <w:color w:val="000000"/>
              </w:rPr>
              <w:t>.</w:t>
            </w:r>
          </w:p>
        </w:tc>
      </w:tr>
      <w:tr w:rsidR="004833A2" w:rsidRPr="004833A2" w14:paraId="19382662" w14:textId="77777777" w:rsidTr="00F42EFE">
        <w:trPr>
          <w:trHeight w:val="290"/>
        </w:trPr>
        <w:tc>
          <w:tcPr>
            <w:tcW w:w="632" w:type="dxa"/>
            <w:shd w:val="clear" w:color="000000" w:fill="FFFFFF"/>
            <w:noWrap/>
            <w:hideMark/>
          </w:tcPr>
          <w:p w14:paraId="6A4F0BB1"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J</w:t>
            </w:r>
          </w:p>
        </w:tc>
        <w:tc>
          <w:tcPr>
            <w:tcW w:w="13810" w:type="dxa"/>
            <w:shd w:val="clear" w:color="000000" w:fill="FFFFFF"/>
            <w:noWrap/>
            <w:hideMark/>
          </w:tcPr>
          <w:p w14:paraId="0626CAA1" w14:textId="5D6AF10C" w:rsidR="004833A2" w:rsidRPr="004833A2" w:rsidRDefault="004833A2" w:rsidP="006F1659">
            <w:pPr>
              <w:spacing w:line="360" w:lineRule="auto"/>
              <w:rPr>
                <w:rFonts w:ascii="Arial" w:hAnsi="Arial" w:cs="Arial"/>
                <w:color w:val="000000"/>
              </w:rPr>
            </w:pPr>
            <w:r w:rsidRPr="004833A2">
              <w:rPr>
                <w:rFonts w:ascii="Arial" w:hAnsi="Arial" w:cs="Arial"/>
                <w:color w:val="000000"/>
              </w:rPr>
              <w:t>Deputy Chief Constable retired in October 2021</w:t>
            </w:r>
            <w:r>
              <w:rPr>
                <w:rFonts w:ascii="Arial" w:hAnsi="Arial" w:cs="Arial"/>
                <w:color w:val="000000"/>
              </w:rPr>
              <w:t>.</w:t>
            </w:r>
          </w:p>
        </w:tc>
      </w:tr>
      <w:tr w:rsidR="004833A2" w:rsidRPr="004833A2" w14:paraId="3A5BD159" w14:textId="77777777" w:rsidTr="00F42EFE">
        <w:trPr>
          <w:trHeight w:val="270"/>
        </w:trPr>
        <w:tc>
          <w:tcPr>
            <w:tcW w:w="632" w:type="dxa"/>
            <w:shd w:val="clear" w:color="000000" w:fill="FFFFFF"/>
            <w:noWrap/>
            <w:hideMark/>
          </w:tcPr>
          <w:p w14:paraId="1A25314E"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K</w:t>
            </w:r>
          </w:p>
        </w:tc>
        <w:tc>
          <w:tcPr>
            <w:tcW w:w="13810" w:type="dxa"/>
            <w:shd w:val="clear" w:color="000000" w:fill="FFFFFF"/>
            <w:noWrap/>
            <w:hideMark/>
          </w:tcPr>
          <w:p w14:paraId="64EEDB31" w14:textId="6AAE3179" w:rsidR="004833A2" w:rsidRPr="004833A2" w:rsidRDefault="004833A2" w:rsidP="006F1659">
            <w:pPr>
              <w:spacing w:line="360" w:lineRule="auto"/>
              <w:rPr>
                <w:rFonts w:ascii="Arial" w:hAnsi="Arial" w:cs="Arial"/>
                <w:color w:val="000000"/>
              </w:rPr>
            </w:pPr>
            <w:r w:rsidRPr="004833A2">
              <w:rPr>
                <w:rFonts w:ascii="Arial" w:hAnsi="Arial" w:cs="Arial"/>
                <w:color w:val="000000"/>
              </w:rPr>
              <w:t>Deputy Chief Constable appointed in September 2021</w:t>
            </w:r>
            <w:r>
              <w:rPr>
                <w:rFonts w:ascii="Arial" w:hAnsi="Arial" w:cs="Arial"/>
                <w:color w:val="000000"/>
              </w:rPr>
              <w:t>.</w:t>
            </w:r>
          </w:p>
        </w:tc>
      </w:tr>
      <w:tr w:rsidR="004833A2" w:rsidRPr="004833A2" w14:paraId="41B38EC3" w14:textId="77777777" w:rsidTr="00F42EFE">
        <w:trPr>
          <w:trHeight w:val="290"/>
        </w:trPr>
        <w:tc>
          <w:tcPr>
            <w:tcW w:w="632" w:type="dxa"/>
            <w:shd w:val="clear" w:color="000000" w:fill="FFFFFF"/>
            <w:noWrap/>
            <w:hideMark/>
          </w:tcPr>
          <w:p w14:paraId="6F7B2868"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L</w:t>
            </w:r>
          </w:p>
        </w:tc>
        <w:tc>
          <w:tcPr>
            <w:tcW w:w="13810" w:type="dxa"/>
            <w:shd w:val="clear" w:color="000000" w:fill="FFFFFF"/>
            <w:noWrap/>
            <w:hideMark/>
          </w:tcPr>
          <w:p w14:paraId="5E280E25" w14:textId="37ACE02D" w:rsidR="004833A2" w:rsidRPr="004833A2" w:rsidRDefault="004833A2" w:rsidP="006F1659">
            <w:pPr>
              <w:spacing w:line="360" w:lineRule="auto"/>
              <w:rPr>
                <w:rFonts w:ascii="Arial" w:hAnsi="Arial" w:cs="Arial"/>
                <w:color w:val="000000"/>
              </w:rPr>
            </w:pPr>
            <w:r w:rsidRPr="004833A2">
              <w:rPr>
                <w:rFonts w:ascii="Arial" w:hAnsi="Arial" w:cs="Arial"/>
                <w:color w:val="000000"/>
              </w:rPr>
              <w:t>Acting Deputy Chief Constable to August 2021</w:t>
            </w:r>
            <w:r>
              <w:rPr>
                <w:rFonts w:ascii="Arial" w:hAnsi="Arial" w:cs="Arial"/>
                <w:color w:val="000000"/>
              </w:rPr>
              <w:t>.</w:t>
            </w:r>
          </w:p>
        </w:tc>
      </w:tr>
      <w:tr w:rsidR="004833A2" w:rsidRPr="004833A2" w14:paraId="5178E350" w14:textId="77777777" w:rsidTr="00F42EFE">
        <w:trPr>
          <w:trHeight w:val="270"/>
        </w:trPr>
        <w:tc>
          <w:tcPr>
            <w:tcW w:w="632" w:type="dxa"/>
            <w:shd w:val="clear" w:color="000000" w:fill="FFFFFF"/>
            <w:noWrap/>
            <w:hideMark/>
          </w:tcPr>
          <w:p w14:paraId="2078A935"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M</w:t>
            </w:r>
          </w:p>
        </w:tc>
        <w:tc>
          <w:tcPr>
            <w:tcW w:w="13810" w:type="dxa"/>
            <w:shd w:val="clear" w:color="000000" w:fill="FFFFFF"/>
            <w:noWrap/>
            <w:hideMark/>
          </w:tcPr>
          <w:p w14:paraId="14927400" w14:textId="7E20E36E"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Constable left in January 2022</w:t>
            </w:r>
            <w:r>
              <w:rPr>
                <w:rFonts w:ascii="Arial" w:hAnsi="Arial" w:cs="Arial"/>
                <w:color w:val="000000"/>
              </w:rPr>
              <w:t>.</w:t>
            </w:r>
          </w:p>
        </w:tc>
      </w:tr>
      <w:tr w:rsidR="004833A2" w:rsidRPr="004833A2" w14:paraId="62E3D944" w14:textId="77777777" w:rsidTr="00F42EFE">
        <w:trPr>
          <w:trHeight w:val="290"/>
        </w:trPr>
        <w:tc>
          <w:tcPr>
            <w:tcW w:w="632" w:type="dxa"/>
            <w:shd w:val="clear" w:color="000000" w:fill="FFFFFF"/>
            <w:noWrap/>
            <w:hideMark/>
          </w:tcPr>
          <w:p w14:paraId="25B56090"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N</w:t>
            </w:r>
          </w:p>
        </w:tc>
        <w:tc>
          <w:tcPr>
            <w:tcW w:w="13810" w:type="dxa"/>
            <w:shd w:val="clear" w:color="000000" w:fill="FFFFFF"/>
            <w:noWrap/>
            <w:hideMark/>
          </w:tcPr>
          <w:p w14:paraId="2B4721AE" w14:textId="4EC1DEEF"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Constable retired in September 2021</w:t>
            </w:r>
            <w:r>
              <w:rPr>
                <w:rFonts w:ascii="Arial" w:hAnsi="Arial" w:cs="Arial"/>
                <w:color w:val="000000"/>
              </w:rPr>
              <w:t>.</w:t>
            </w:r>
          </w:p>
        </w:tc>
      </w:tr>
      <w:tr w:rsidR="004833A2" w:rsidRPr="004833A2" w14:paraId="6B5D91CE" w14:textId="77777777" w:rsidTr="00F42EFE">
        <w:trPr>
          <w:trHeight w:val="290"/>
        </w:trPr>
        <w:tc>
          <w:tcPr>
            <w:tcW w:w="632" w:type="dxa"/>
            <w:shd w:val="clear" w:color="000000" w:fill="FFFFFF"/>
            <w:noWrap/>
            <w:hideMark/>
          </w:tcPr>
          <w:p w14:paraId="5A12E35D"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O</w:t>
            </w:r>
          </w:p>
        </w:tc>
        <w:tc>
          <w:tcPr>
            <w:tcW w:w="13810" w:type="dxa"/>
            <w:shd w:val="clear" w:color="000000" w:fill="FFFFFF"/>
            <w:noWrap/>
            <w:hideMark/>
          </w:tcPr>
          <w:p w14:paraId="58B32349" w14:textId="7E9246EB"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Constable retired in October 2021</w:t>
            </w:r>
            <w:r>
              <w:rPr>
                <w:rFonts w:ascii="Arial" w:hAnsi="Arial" w:cs="Arial"/>
                <w:color w:val="000000"/>
              </w:rPr>
              <w:t>.</w:t>
            </w:r>
          </w:p>
        </w:tc>
      </w:tr>
      <w:tr w:rsidR="004833A2" w:rsidRPr="004833A2" w14:paraId="2D022964" w14:textId="77777777" w:rsidTr="00F42EFE">
        <w:trPr>
          <w:trHeight w:val="290"/>
        </w:trPr>
        <w:tc>
          <w:tcPr>
            <w:tcW w:w="632" w:type="dxa"/>
            <w:shd w:val="clear" w:color="000000" w:fill="FFFFFF"/>
            <w:noWrap/>
            <w:hideMark/>
          </w:tcPr>
          <w:p w14:paraId="7FAF6BBE"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P</w:t>
            </w:r>
          </w:p>
        </w:tc>
        <w:tc>
          <w:tcPr>
            <w:tcW w:w="13810" w:type="dxa"/>
            <w:shd w:val="clear" w:color="000000" w:fill="FFFFFF"/>
            <w:noWrap/>
            <w:hideMark/>
          </w:tcPr>
          <w:p w14:paraId="2846539B" w14:textId="4CB7AC3E" w:rsidR="004833A2" w:rsidRPr="004833A2" w:rsidRDefault="004833A2" w:rsidP="006F1659">
            <w:pPr>
              <w:spacing w:line="360" w:lineRule="auto"/>
              <w:rPr>
                <w:rFonts w:ascii="Arial" w:hAnsi="Arial" w:cs="Arial"/>
                <w:color w:val="000000"/>
              </w:rPr>
            </w:pPr>
            <w:r w:rsidRPr="004833A2">
              <w:rPr>
                <w:rFonts w:ascii="Arial" w:hAnsi="Arial" w:cs="Arial"/>
                <w:color w:val="000000"/>
              </w:rPr>
              <w:t>Acting Assistant Chief Constable appointed in October 2021</w:t>
            </w:r>
            <w:r>
              <w:rPr>
                <w:rFonts w:ascii="Arial" w:hAnsi="Arial" w:cs="Arial"/>
                <w:color w:val="000000"/>
              </w:rPr>
              <w:t>.</w:t>
            </w:r>
          </w:p>
        </w:tc>
      </w:tr>
      <w:tr w:rsidR="004833A2" w:rsidRPr="004833A2" w14:paraId="10DCD005" w14:textId="77777777" w:rsidTr="00F42EFE">
        <w:trPr>
          <w:trHeight w:val="290"/>
        </w:trPr>
        <w:tc>
          <w:tcPr>
            <w:tcW w:w="632" w:type="dxa"/>
            <w:shd w:val="clear" w:color="000000" w:fill="FFFFFF"/>
            <w:noWrap/>
            <w:hideMark/>
          </w:tcPr>
          <w:p w14:paraId="46FAB120"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Q</w:t>
            </w:r>
          </w:p>
        </w:tc>
        <w:tc>
          <w:tcPr>
            <w:tcW w:w="13810" w:type="dxa"/>
            <w:shd w:val="clear" w:color="000000" w:fill="FFFFFF"/>
            <w:noWrap/>
            <w:hideMark/>
          </w:tcPr>
          <w:p w14:paraId="09620815" w14:textId="3D579E91" w:rsidR="004833A2" w:rsidRPr="004833A2" w:rsidRDefault="004833A2" w:rsidP="006F1659">
            <w:pPr>
              <w:spacing w:line="360" w:lineRule="auto"/>
              <w:rPr>
                <w:rFonts w:ascii="Arial" w:hAnsi="Arial" w:cs="Arial"/>
                <w:color w:val="000000"/>
              </w:rPr>
            </w:pPr>
            <w:r w:rsidRPr="004833A2">
              <w:rPr>
                <w:rFonts w:ascii="Arial" w:hAnsi="Arial" w:cs="Arial"/>
                <w:color w:val="000000"/>
              </w:rPr>
              <w:t>Acting Assistant Chief Constable appointed in December 2021. Retired in October 2022</w:t>
            </w:r>
            <w:r>
              <w:rPr>
                <w:rFonts w:ascii="Arial" w:hAnsi="Arial" w:cs="Arial"/>
                <w:color w:val="000000"/>
              </w:rPr>
              <w:t>.</w:t>
            </w:r>
          </w:p>
        </w:tc>
      </w:tr>
      <w:tr w:rsidR="004833A2" w:rsidRPr="004833A2" w14:paraId="3F63499C" w14:textId="77777777" w:rsidTr="00F42EFE">
        <w:trPr>
          <w:trHeight w:val="290"/>
        </w:trPr>
        <w:tc>
          <w:tcPr>
            <w:tcW w:w="632" w:type="dxa"/>
            <w:shd w:val="clear" w:color="000000" w:fill="FFFFFF"/>
            <w:noWrap/>
            <w:hideMark/>
          </w:tcPr>
          <w:p w14:paraId="022500C0"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lastRenderedPageBreak/>
              <w:t>R</w:t>
            </w:r>
          </w:p>
        </w:tc>
        <w:tc>
          <w:tcPr>
            <w:tcW w:w="13810" w:type="dxa"/>
            <w:shd w:val="clear" w:color="000000" w:fill="FFFFFF"/>
            <w:noWrap/>
            <w:hideMark/>
          </w:tcPr>
          <w:p w14:paraId="1B058F9D" w14:textId="656AE48F"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Constable appointed in September 2021</w:t>
            </w:r>
            <w:r>
              <w:rPr>
                <w:rFonts w:ascii="Arial" w:hAnsi="Arial" w:cs="Arial"/>
                <w:color w:val="000000"/>
              </w:rPr>
              <w:t>.</w:t>
            </w:r>
          </w:p>
        </w:tc>
      </w:tr>
      <w:tr w:rsidR="004833A2" w:rsidRPr="004833A2" w14:paraId="66B90708" w14:textId="77777777" w:rsidTr="00F42EFE">
        <w:trPr>
          <w:trHeight w:val="270"/>
        </w:trPr>
        <w:tc>
          <w:tcPr>
            <w:tcW w:w="632" w:type="dxa"/>
            <w:shd w:val="clear" w:color="000000" w:fill="FFFFFF"/>
            <w:noWrap/>
            <w:hideMark/>
          </w:tcPr>
          <w:p w14:paraId="5F0BBBC3"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S</w:t>
            </w:r>
          </w:p>
        </w:tc>
        <w:tc>
          <w:tcPr>
            <w:tcW w:w="13810" w:type="dxa"/>
            <w:shd w:val="clear" w:color="000000" w:fill="FFFFFF"/>
            <w:noWrap/>
            <w:hideMark/>
          </w:tcPr>
          <w:p w14:paraId="173BA86C" w14:textId="50CF3184"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Constable appointed in February 2022</w:t>
            </w:r>
            <w:r>
              <w:rPr>
                <w:rFonts w:ascii="Arial" w:hAnsi="Arial" w:cs="Arial"/>
                <w:color w:val="000000"/>
              </w:rPr>
              <w:t>.</w:t>
            </w:r>
          </w:p>
        </w:tc>
      </w:tr>
      <w:tr w:rsidR="004833A2" w:rsidRPr="004833A2" w14:paraId="3DD6EACD" w14:textId="77777777" w:rsidTr="00F42EFE">
        <w:trPr>
          <w:trHeight w:val="290"/>
        </w:trPr>
        <w:tc>
          <w:tcPr>
            <w:tcW w:w="632" w:type="dxa"/>
            <w:shd w:val="clear" w:color="000000" w:fill="FFFFFF"/>
            <w:noWrap/>
            <w:hideMark/>
          </w:tcPr>
          <w:p w14:paraId="634FA8E7"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T</w:t>
            </w:r>
          </w:p>
        </w:tc>
        <w:tc>
          <w:tcPr>
            <w:tcW w:w="13810" w:type="dxa"/>
            <w:shd w:val="clear" w:color="000000" w:fill="FFFFFF"/>
            <w:noWrap/>
            <w:hideMark/>
          </w:tcPr>
          <w:p w14:paraId="79F16C5B" w14:textId="37AB808D"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Constable appointed in January 2023</w:t>
            </w:r>
            <w:r>
              <w:rPr>
                <w:rFonts w:ascii="Arial" w:hAnsi="Arial" w:cs="Arial"/>
                <w:color w:val="000000"/>
              </w:rPr>
              <w:t>.</w:t>
            </w:r>
          </w:p>
        </w:tc>
      </w:tr>
      <w:tr w:rsidR="004833A2" w:rsidRPr="004833A2" w14:paraId="72B3BDBF" w14:textId="77777777" w:rsidTr="00F42EFE">
        <w:trPr>
          <w:trHeight w:val="290"/>
        </w:trPr>
        <w:tc>
          <w:tcPr>
            <w:tcW w:w="632" w:type="dxa"/>
            <w:shd w:val="clear" w:color="000000" w:fill="FFFFFF"/>
            <w:noWrap/>
            <w:hideMark/>
          </w:tcPr>
          <w:p w14:paraId="78FA8B2B"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U</w:t>
            </w:r>
          </w:p>
        </w:tc>
        <w:tc>
          <w:tcPr>
            <w:tcW w:w="13810" w:type="dxa"/>
            <w:shd w:val="clear" w:color="000000" w:fill="FFFFFF"/>
            <w:noWrap/>
            <w:hideMark/>
          </w:tcPr>
          <w:p w14:paraId="4638236C" w14:textId="496F74C4"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Officer retired in May 2021</w:t>
            </w:r>
            <w:r>
              <w:rPr>
                <w:rFonts w:ascii="Arial" w:hAnsi="Arial" w:cs="Arial"/>
                <w:color w:val="000000"/>
              </w:rPr>
              <w:t>.</w:t>
            </w:r>
          </w:p>
        </w:tc>
      </w:tr>
      <w:tr w:rsidR="004833A2" w:rsidRPr="004833A2" w14:paraId="6BF58AD5" w14:textId="77777777" w:rsidTr="00F42EFE">
        <w:trPr>
          <w:trHeight w:val="270"/>
        </w:trPr>
        <w:tc>
          <w:tcPr>
            <w:tcW w:w="632" w:type="dxa"/>
            <w:shd w:val="clear" w:color="000000" w:fill="FFFFFF"/>
            <w:noWrap/>
            <w:hideMark/>
          </w:tcPr>
          <w:p w14:paraId="74834E95"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V</w:t>
            </w:r>
          </w:p>
        </w:tc>
        <w:tc>
          <w:tcPr>
            <w:tcW w:w="13810" w:type="dxa"/>
            <w:shd w:val="clear" w:color="000000" w:fill="FFFFFF"/>
            <w:noWrap/>
            <w:hideMark/>
          </w:tcPr>
          <w:p w14:paraId="165F9576" w14:textId="53DF7159" w:rsidR="004833A2" w:rsidRPr="004833A2" w:rsidRDefault="004833A2" w:rsidP="006F1659">
            <w:pPr>
              <w:spacing w:line="360" w:lineRule="auto"/>
              <w:rPr>
                <w:rFonts w:ascii="Arial" w:hAnsi="Arial" w:cs="Arial"/>
                <w:color w:val="000000"/>
              </w:rPr>
            </w:pPr>
            <w:r w:rsidRPr="004833A2">
              <w:rPr>
                <w:rFonts w:ascii="Arial" w:hAnsi="Arial" w:cs="Arial"/>
                <w:color w:val="000000"/>
              </w:rPr>
              <w:t>Assistant Chief Officer and Chief Resources Officer appointed as a temporary consultant in May 2021. Assistant Chief Officer and Chief Resources Officer left in November 2022</w:t>
            </w:r>
            <w:r>
              <w:rPr>
                <w:rFonts w:ascii="Arial" w:hAnsi="Arial" w:cs="Arial"/>
                <w:color w:val="000000"/>
              </w:rPr>
              <w:t>.</w:t>
            </w:r>
          </w:p>
        </w:tc>
      </w:tr>
      <w:tr w:rsidR="004833A2" w:rsidRPr="004833A2" w14:paraId="121B17BB" w14:textId="77777777" w:rsidTr="00F42EFE">
        <w:trPr>
          <w:trHeight w:val="270"/>
        </w:trPr>
        <w:tc>
          <w:tcPr>
            <w:tcW w:w="632" w:type="dxa"/>
            <w:shd w:val="clear" w:color="000000" w:fill="FFFFFF"/>
            <w:noWrap/>
            <w:hideMark/>
          </w:tcPr>
          <w:p w14:paraId="45DC0BB5"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W</w:t>
            </w:r>
          </w:p>
        </w:tc>
        <w:tc>
          <w:tcPr>
            <w:tcW w:w="13810" w:type="dxa"/>
            <w:shd w:val="clear" w:color="000000" w:fill="FFFFFF"/>
            <w:noWrap/>
            <w:hideMark/>
          </w:tcPr>
          <w:p w14:paraId="03DEB6E5" w14:textId="3E0C3D9F" w:rsidR="004833A2" w:rsidRPr="004833A2" w:rsidRDefault="004833A2" w:rsidP="006F1659">
            <w:pPr>
              <w:spacing w:line="360" w:lineRule="auto"/>
              <w:rPr>
                <w:rFonts w:ascii="Arial" w:hAnsi="Arial" w:cs="Arial"/>
              </w:rPr>
            </w:pPr>
            <w:r w:rsidRPr="004833A2">
              <w:rPr>
                <w:rFonts w:ascii="Arial" w:hAnsi="Arial" w:cs="Arial"/>
                <w:color w:val="000000"/>
              </w:rPr>
              <w:t>Director of Finance - Assistant Chief Officer appointed in March 2022. Director of Finance - Appointed Temporary Chief Resources Officer in November 2022</w:t>
            </w:r>
            <w:r>
              <w:rPr>
                <w:rFonts w:ascii="Arial" w:hAnsi="Arial" w:cs="Arial"/>
                <w:color w:val="000000"/>
              </w:rPr>
              <w:t>.</w:t>
            </w:r>
          </w:p>
        </w:tc>
      </w:tr>
      <w:tr w:rsidR="004833A2" w:rsidRPr="004833A2" w14:paraId="7B35927D" w14:textId="77777777" w:rsidTr="00F42EFE">
        <w:trPr>
          <w:trHeight w:val="270"/>
        </w:trPr>
        <w:tc>
          <w:tcPr>
            <w:tcW w:w="632" w:type="dxa"/>
            <w:shd w:val="clear" w:color="000000" w:fill="FFFFFF"/>
            <w:noWrap/>
            <w:hideMark/>
          </w:tcPr>
          <w:p w14:paraId="346A1EAD"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X</w:t>
            </w:r>
          </w:p>
        </w:tc>
        <w:tc>
          <w:tcPr>
            <w:tcW w:w="13810" w:type="dxa"/>
            <w:shd w:val="clear" w:color="000000" w:fill="FFFFFF"/>
            <w:noWrap/>
            <w:hideMark/>
          </w:tcPr>
          <w:p w14:paraId="0AA1C600" w14:textId="76A4D1E1" w:rsidR="004833A2" w:rsidRPr="004833A2" w:rsidRDefault="004833A2" w:rsidP="006F1659">
            <w:pPr>
              <w:spacing w:line="360" w:lineRule="auto"/>
              <w:rPr>
                <w:rFonts w:ascii="Arial" w:hAnsi="Arial" w:cs="Arial"/>
                <w:color w:val="000000"/>
              </w:rPr>
            </w:pPr>
            <w:r w:rsidRPr="004833A2">
              <w:rPr>
                <w:rFonts w:ascii="Arial" w:hAnsi="Arial" w:cs="Arial"/>
                <w:color w:val="000000"/>
              </w:rPr>
              <w:t>Director of IT &amp; Digital - Assistant Chief Officer appointed in December 2022</w:t>
            </w:r>
            <w:r>
              <w:rPr>
                <w:rFonts w:ascii="Arial" w:hAnsi="Arial" w:cs="Arial"/>
                <w:color w:val="000000"/>
              </w:rPr>
              <w:t>.</w:t>
            </w:r>
          </w:p>
        </w:tc>
      </w:tr>
      <w:tr w:rsidR="004833A2" w:rsidRPr="004833A2" w14:paraId="18E99F1D" w14:textId="77777777" w:rsidTr="00F42EFE">
        <w:trPr>
          <w:trHeight w:val="270"/>
        </w:trPr>
        <w:tc>
          <w:tcPr>
            <w:tcW w:w="632" w:type="dxa"/>
            <w:shd w:val="clear" w:color="000000" w:fill="FFFFFF"/>
            <w:noWrap/>
            <w:hideMark/>
          </w:tcPr>
          <w:p w14:paraId="5141B0DB" w14:textId="77777777" w:rsidR="004833A2" w:rsidRPr="004833A2" w:rsidRDefault="004833A2" w:rsidP="006F1659">
            <w:pPr>
              <w:spacing w:line="360" w:lineRule="auto"/>
              <w:jc w:val="center"/>
              <w:rPr>
                <w:rFonts w:ascii="Arial" w:hAnsi="Arial" w:cs="Arial"/>
                <w:color w:val="000000"/>
              </w:rPr>
            </w:pPr>
            <w:r w:rsidRPr="004833A2">
              <w:rPr>
                <w:rFonts w:ascii="Arial" w:hAnsi="Arial" w:cs="Arial"/>
                <w:color w:val="000000"/>
              </w:rPr>
              <w:t>Y</w:t>
            </w:r>
          </w:p>
        </w:tc>
        <w:tc>
          <w:tcPr>
            <w:tcW w:w="13810" w:type="dxa"/>
            <w:shd w:val="clear" w:color="000000" w:fill="FFFFFF"/>
            <w:noWrap/>
            <w:hideMark/>
          </w:tcPr>
          <w:p w14:paraId="41774D9F" w14:textId="2C148BC4" w:rsidR="004833A2" w:rsidRPr="004833A2" w:rsidRDefault="004833A2" w:rsidP="006F1659">
            <w:pPr>
              <w:spacing w:line="360" w:lineRule="auto"/>
              <w:rPr>
                <w:rFonts w:ascii="Arial" w:hAnsi="Arial" w:cs="Arial"/>
                <w:color w:val="000000"/>
              </w:rPr>
            </w:pPr>
            <w:r w:rsidRPr="004833A2">
              <w:rPr>
                <w:rFonts w:ascii="Arial" w:hAnsi="Arial" w:cs="Arial"/>
                <w:color w:val="000000"/>
              </w:rPr>
              <w:t>Director of HR Assistant Chief Officer appointed in March 2023</w:t>
            </w:r>
            <w:r>
              <w:rPr>
                <w:rFonts w:ascii="Arial" w:hAnsi="Arial" w:cs="Arial"/>
                <w:color w:val="000000"/>
              </w:rPr>
              <w:t>.</w:t>
            </w:r>
          </w:p>
        </w:tc>
      </w:tr>
    </w:tbl>
    <w:p w14:paraId="5463F741" w14:textId="77777777" w:rsidR="004833A2" w:rsidRDefault="004833A2" w:rsidP="006F1659">
      <w:pPr>
        <w:spacing w:line="360" w:lineRule="auto"/>
        <w:rPr>
          <w:rFonts w:ascii="Arial" w:hAnsi="Arial" w:cs="Arial"/>
          <w:b/>
          <w:sz w:val="22"/>
          <w:szCs w:val="22"/>
        </w:rPr>
      </w:pPr>
    </w:p>
    <w:p w14:paraId="58ABF64E" w14:textId="2E63D3CF" w:rsidR="004833A2" w:rsidRPr="0007572B" w:rsidRDefault="004833A2" w:rsidP="006F1659">
      <w:pPr>
        <w:spacing w:line="360" w:lineRule="auto"/>
        <w:rPr>
          <w:rFonts w:ascii="Arial" w:hAnsi="Arial" w:cs="Arial"/>
          <w:b/>
          <w:sz w:val="22"/>
          <w:szCs w:val="22"/>
        </w:rPr>
        <w:sectPr w:rsidR="004833A2" w:rsidRPr="0007572B" w:rsidSect="004833A2">
          <w:pgSz w:w="16838" w:h="11906" w:orient="landscape"/>
          <w:pgMar w:top="1080" w:right="946" w:bottom="1416" w:left="1440" w:header="283" w:footer="567" w:gutter="0"/>
          <w:cols w:space="708"/>
          <w:docGrid w:linePitch="360"/>
        </w:sectPr>
      </w:pPr>
    </w:p>
    <w:p w14:paraId="5814F86F" w14:textId="77777777" w:rsidR="00795BE0" w:rsidRPr="0007572B" w:rsidRDefault="00795BE0" w:rsidP="006F1659">
      <w:pPr>
        <w:pStyle w:val="Heading4bold"/>
        <w:spacing w:line="360" w:lineRule="auto"/>
      </w:pPr>
      <w:r w:rsidRPr="0007572B">
        <w:lastRenderedPageBreak/>
        <w:t>Exit Costs</w:t>
      </w:r>
    </w:p>
    <w:p w14:paraId="378B9BF5" w14:textId="77777777" w:rsidR="00795BE0" w:rsidRPr="0007572B" w:rsidRDefault="00795BE0" w:rsidP="006F1659">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p>
    <w:p w14:paraId="01EAD37C" w14:textId="77777777" w:rsidR="00795BE0" w:rsidRPr="0007572B" w:rsidRDefault="00795BE0" w:rsidP="006F1659">
      <w:pPr>
        <w:spacing w:line="360" w:lineRule="auto"/>
        <w:rPr>
          <w:rFonts w:ascii="Arial" w:hAnsi="Arial" w:cs="Arial"/>
          <w:b/>
          <w:highlight w:val="yellow"/>
        </w:rPr>
      </w:pPr>
    </w:p>
    <w:p w14:paraId="65468582" w14:textId="26FF0590" w:rsidR="00795BE0" w:rsidRDefault="001C464D" w:rsidP="006F1659">
      <w:pPr>
        <w:spacing w:line="360" w:lineRule="auto"/>
        <w:rPr>
          <w:rFonts w:ascii="Arial" w:hAnsi="Arial" w:cs="Arial"/>
          <w:b/>
        </w:rPr>
      </w:pPr>
      <w:r w:rsidRPr="001C464D">
        <w:rPr>
          <w:noProof/>
        </w:rPr>
        <w:drawing>
          <wp:inline distT="0" distB="0" distL="0" distR="0" wp14:anchorId="44C0CFF0" wp14:editId="58A2EC61">
            <wp:extent cx="5975350" cy="1784350"/>
            <wp:effectExtent l="0" t="0" r="6350" b="6350"/>
            <wp:docPr id="2136855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75350" cy="1784350"/>
                    </a:xfrm>
                    <a:prstGeom prst="rect">
                      <a:avLst/>
                    </a:prstGeom>
                    <a:noFill/>
                    <a:ln>
                      <a:noFill/>
                    </a:ln>
                  </pic:spPr>
                </pic:pic>
              </a:graphicData>
            </a:graphic>
          </wp:inline>
        </w:drawing>
      </w:r>
    </w:p>
    <w:p w14:paraId="698C3E06" w14:textId="77777777" w:rsidR="001C464D" w:rsidRPr="007547C9" w:rsidRDefault="001C464D" w:rsidP="006F1659">
      <w:pPr>
        <w:spacing w:line="360" w:lineRule="auto"/>
        <w:rPr>
          <w:rFonts w:ascii="Arial" w:hAnsi="Arial" w:cs="Arial"/>
          <w:b/>
        </w:rPr>
      </w:pPr>
    </w:p>
    <w:p w14:paraId="4EDB16E9" w14:textId="2A3BD8A0" w:rsidR="00B71273" w:rsidRDefault="00B71273" w:rsidP="006F1659">
      <w:pPr>
        <w:spacing w:line="360" w:lineRule="auto"/>
        <w:rPr>
          <w:rFonts w:ascii="Arial" w:hAnsi="Arial" w:cs="Arial"/>
        </w:rPr>
      </w:pPr>
      <w:r w:rsidRPr="00B71273">
        <w:rPr>
          <w:rFonts w:ascii="Arial" w:hAnsi="Arial" w:cs="Arial"/>
        </w:rPr>
        <w:t>GMCA - See Single Entity note 18c for detail on GMCA exit packages.</w:t>
      </w:r>
      <w:r>
        <w:rPr>
          <w:rFonts w:ascii="Arial" w:hAnsi="Arial" w:cs="Arial"/>
        </w:rPr>
        <w:t xml:space="preserve"> </w:t>
      </w:r>
    </w:p>
    <w:p w14:paraId="24F327FD" w14:textId="6B8C6F9C" w:rsidR="00B71273" w:rsidRDefault="00B71273" w:rsidP="006F1659">
      <w:pPr>
        <w:spacing w:line="360" w:lineRule="auto"/>
        <w:rPr>
          <w:rFonts w:ascii="Arial" w:hAnsi="Arial" w:cs="Arial"/>
        </w:rPr>
      </w:pPr>
      <w:r w:rsidRPr="00B71273">
        <w:rPr>
          <w:rFonts w:ascii="Arial" w:hAnsi="Arial" w:cs="Arial"/>
        </w:rPr>
        <w:t>GMP - The Chief Constable terminated 6 employee contracts in 2022/23, incurring liabilities of £</w:t>
      </w:r>
      <w:r w:rsidR="00CE16DE">
        <w:rPr>
          <w:rFonts w:ascii="Arial" w:hAnsi="Arial" w:cs="Arial"/>
        </w:rPr>
        <w:t>482</w:t>
      </w:r>
      <w:r w:rsidRPr="00B71273">
        <w:rPr>
          <w:rFonts w:ascii="Arial" w:hAnsi="Arial" w:cs="Arial"/>
        </w:rPr>
        <w:t>,</w:t>
      </w:r>
      <w:r w:rsidR="00CE16DE">
        <w:rPr>
          <w:rFonts w:ascii="Arial" w:hAnsi="Arial" w:cs="Arial"/>
        </w:rPr>
        <w:t>69</w:t>
      </w:r>
      <w:r w:rsidRPr="00B71273">
        <w:rPr>
          <w:rFonts w:ascii="Arial" w:hAnsi="Arial" w:cs="Arial"/>
        </w:rPr>
        <w:t xml:space="preserve">5 (4 in 2021/22 costing £177,688). These amounts relate to redundancy pay, pay in lieu of notice and pension strain. </w:t>
      </w:r>
    </w:p>
    <w:p w14:paraId="0AFF8890" w14:textId="7186E8B3" w:rsidR="00B71273" w:rsidRPr="00B71273" w:rsidRDefault="00B71273" w:rsidP="006F1659">
      <w:pPr>
        <w:spacing w:line="360" w:lineRule="auto"/>
        <w:rPr>
          <w:rFonts w:ascii="Arial" w:hAnsi="Arial" w:cs="Arial"/>
        </w:rPr>
      </w:pPr>
      <w:r w:rsidRPr="00B71273">
        <w:rPr>
          <w:rFonts w:ascii="Arial" w:hAnsi="Arial" w:cs="Arial"/>
        </w:rPr>
        <w:t>TfGM  - The majority of the increase in exit packages is due to the voluntary severance scheme that was launched in 2022/23, as a result of the requirement to make ongoing budgetary savings.</w:t>
      </w:r>
    </w:p>
    <w:p w14:paraId="15EC9E75" w14:textId="77777777" w:rsidR="00795BE0" w:rsidRPr="0007572B" w:rsidRDefault="00795BE0" w:rsidP="006F1659">
      <w:pPr>
        <w:spacing w:line="360" w:lineRule="auto"/>
        <w:rPr>
          <w:rFonts w:ascii="Arial" w:hAnsi="Arial" w:cs="Arial"/>
          <w:b/>
          <w:highlight w:val="yellow"/>
        </w:rPr>
      </w:pPr>
    </w:p>
    <w:p w14:paraId="3187ACD8" w14:textId="77777777" w:rsidR="00795BE0" w:rsidRPr="0007572B" w:rsidRDefault="00795BE0" w:rsidP="006F1659">
      <w:pPr>
        <w:pStyle w:val="Heading3greennumbered"/>
        <w:spacing w:line="360" w:lineRule="auto"/>
      </w:pPr>
      <w:bookmarkStart w:id="284" w:name="_Toc92894939"/>
      <w:bookmarkStart w:id="285" w:name="_Toc92895243"/>
      <w:bookmarkStart w:id="286" w:name="_Toc109922677"/>
      <w:r w:rsidRPr="0007572B">
        <w:t>46 Group Capital and Lease Commitments</w:t>
      </w:r>
      <w:bookmarkEnd w:id="284"/>
      <w:bookmarkEnd w:id="285"/>
      <w:bookmarkEnd w:id="286"/>
    </w:p>
    <w:p w14:paraId="3CFEB91B" w14:textId="77777777" w:rsidR="00795BE0" w:rsidRDefault="00795BE0" w:rsidP="006F1659">
      <w:pPr>
        <w:spacing w:line="360" w:lineRule="auto"/>
        <w:rPr>
          <w:rFonts w:ascii="Arial" w:hAnsi="Arial" w:cs="Arial"/>
        </w:rPr>
      </w:pPr>
    </w:p>
    <w:p w14:paraId="13100419" w14:textId="0E2DE6F5" w:rsidR="00795BE0" w:rsidRPr="0007572B" w:rsidRDefault="005B6C97" w:rsidP="006F1659">
      <w:pPr>
        <w:spacing w:line="360" w:lineRule="auto"/>
        <w:rPr>
          <w:rFonts w:ascii="Arial" w:hAnsi="Arial" w:cs="Arial"/>
        </w:rPr>
      </w:pPr>
      <w:r w:rsidRPr="005B6C97">
        <w:rPr>
          <w:noProof/>
        </w:rPr>
        <w:drawing>
          <wp:inline distT="0" distB="0" distL="0" distR="0" wp14:anchorId="119710B3" wp14:editId="2CD8A490">
            <wp:extent cx="5391150" cy="1054100"/>
            <wp:effectExtent l="0" t="0" r="0" b="0"/>
            <wp:docPr id="1631402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391150" cy="1054100"/>
                    </a:xfrm>
                    <a:prstGeom prst="rect">
                      <a:avLst/>
                    </a:prstGeom>
                    <a:noFill/>
                    <a:ln>
                      <a:noFill/>
                    </a:ln>
                  </pic:spPr>
                </pic:pic>
              </a:graphicData>
            </a:graphic>
          </wp:inline>
        </w:drawing>
      </w:r>
    </w:p>
    <w:p w14:paraId="6879EAE7" w14:textId="77777777" w:rsidR="00795BE0" w:rsidRPr="0007572B" w:rsidRDefault="00795BE0" w:rsidP="006F1659">
      <w:pPr>
        <w:spacing w:line="360" w:lineRule="auto"/>
        <w:ind w:left="2" w:right="4073" w:firstLine="10"/>
        <w:rPr>
          <w:rFonts w:ascii="Arial" w:eastAsia="Calibri" w:hAnsi="Arial" w:cs="Arial"/>
        </w:rPr>
      </w:pPr>
    </w:p>
    <w:p w14:paraId="2835861F" w14:textId="719E93A2" w:rsidR="00795BE0" w:rsidRPr="0007572B" w:rsidRDefault="00795BE0" w:rsidP="006F1659">
      <w:pPr>
        <w:spacing w:line="360" w:lineRule="auto"/>
        <w:ind w:right="95" w:firstLine="10"/>
        <w:rPr>
          <w:rFonts w:ascii="Arial" w:eastAsia="Calibri" w:hAnsi="Arial" w:cs="Arial"/>
          <w:spacing w:val="-1"/>
        </w:rPr>
      </w:pPr>
      <w:r w:rsidRPr="0007572B">
        <w:rPr>
          <w:rFonts w:ascii="Arial" w:eastAsia="Calibri" w:hAnsi="Arial" w:cs="Arial"/>
          <w:spacing w:val="-1"/>
        </w:rPr>
        <w:t>The key commitments for 202</w:t>
      </w:r>
      <w:r w:rsidR="00845B32">
        <w:rPr>
          <w:rFonts w:ascii="Arial" w:eastAsia="Calibri" w:hAnsi="Arial" w:cs="Arial"/>
          <w:spacing w:val="-1"/>
        </w:rPr>
        <w:t>2</w:t>
      </w:r>
      <w:r w:rsidRPr="0007572B">
        <w:rPr>
          <w:rFonts w:ascii="Arial" w:eastAsia="Calibri" w:hAnsi="Arial" w:cs="Arial"/>
          <w:spacing w:val="-1"/>
        </w:rPr>
        <w:t>/2</w:t>
      </w:r>
      <w:r w:rsidR="00845B32">
        <w:rPr>
          <w:rFonts w:ascii="Arial" w:eastAsia="Calibri" w:hAnsi="Arial" w:cs="Arial"/>
          <w:spacing w:val="-1"/>
        </w:rPr>
        <w:t>3</w:t>
      </w:r>
      <w:r w:rsidRPr="0007572B">
        <w:rPr>
          <w:rFonts w:ascii="Arial" w:eastAsia="Calibri" w:hAnsi="Arial" w:cs="Arial"/>
          <w:spacing w:val="-1"/>
        </w:rPr>
        <w:t xml:space="preserve"> are in relation to the </w:t>
      </w:r>
      <w:r w:rsidR="00B71273">
        <w:rPr>
          <w:rFonts w:ascii="Arial" w:eastAsia="Calibri" w:hAnsi="Arial" w:cs="Arial"/>
          <w:spacing w:val="-1"/>
        </w:rPr>
        <w:t>TfGM</w:t>
      </w:r>
      <w:r w:rsidRPr="0007572B">
        <w:rPr>
          <w:rFonts w:ascii="Arial" w:eastAsia="Calibri" w:hAnsi="Arial" w:cs="Arial"/>
          <w:spacing w:val="-1"/>
        </w:rPr>
        <w:t xml:space="preserve"> and the following projects:</w:t>
      </w:r>
    </w:p>
    <w:p w14:paraId="286723D0" w14:textId="77777777" w:rsidR="00795BE0" w:rsidRPr="003318BC" w:rsidRDefault="00795BE0" w:rsidP="006F1659">
      <w:pPr>
        <w:spacing w:line="360" w:lineRule="auto"/>
        <w:ind w:right="4071" w:firstLine="11"/>
        <w:rPr>
          <w:rFonts w:ascii="Arial" w:eastAsia="Calibri" w:hAnsi="Arial" w:cs="Arial"/>
          <w:sz w:val="20"/>
          <w:szCs w:val="20"/>
        </w:rPr>
      </w:pPr>
    </w:p>
    <w:p w14:paraId="18470C5B" w14:textId="24704AFD" w:rsidR="00795BE0" w:rsidRDefault="00795BE0" w:rsidP="006F1659">
      <w:pPr>
        <w:pStyle w:val="ListParagraph"/>
        <w:numPr>
          <w:ilvl w:val="0"/>
          <w:numId w:val="61"/>
        </w:numPr>
        <w:snapToGrid w:val="0"/>
        <w:spacing w:after="0" w:line="360" w:lineRule="auto"/>
        <w:rPr>
          <w:rFonts w:ascii="Arial" w:hAnsi="Arial" w:cs="Arial"/>
          <w:sz w:val="24"/>
          <w:szCs w:val="24"/>
        </w:rPr>
      </w:pPr>
      <w:r w:rsidRPr="00B71273">
        <w:rPr>
          <w:rFonts w:ascii="Arial" w:hAnsi="Arial" w:cs="Arial"/>
          <w:sz w:val="24"/>
          <w:szCs w:val="24"/>
        </w:rPr>
        <w:t>Stockport Interchange / Mixed Use Scheme £</w:t>
      </w:r>
      <w:r w:rsidR="00B71273" w:rsidRPr="00B71273">
        <w:rPr>
          <w:rFonts w:ascii="Arial" w:hAnsi="Arial" w:cs="Arial"/>
          <w:sz w:val="24"/>
          <w:szCs w:val="24"/>
        </w:rPr>
        <w:t>43.9</w:t>
      </w:r>
      <w:r w:rsidR="00845B32" w:rsidRPr="00B71273">
        <w:rPr>
          <w:rFonts w:ascii="Arial" w:hAnsi="Arial" w:cs="Arial"/>
          <w:sz w:val="24"/>
          <w:szCs w:val="24"/>
        </w:rPr>
        <w:t>m</w:t>
      </w:r>
      <w:r w:rsidRPr="00B71273">
        <w:rPr>
          <w:rFonts w:ascii="Arial" w:hAnsi="Arial" w:cs="Arial"/>
          <w:sz w:val="24"/>
          <w:szCs w:val="24"/>
        </w:rPr>
        <w:t xml:space="preserve"> (202</w:t>
      </w:r>
      <w:r w:rsidR="00845B32" w:rsidRPr="00B71273">
        <w:rPr>
          <w:rFonts w:ascii="Arial" w:hAnsi="Arial" w:cs="Arial"/>
          <w:sz w:val="24"/>
          <w:szCs w:val="24"/>
        </w:rPr>
        <w:t>1</w:t>
      </w:r>
      <w:r w:rsidRPr="00B71273">
        <w:rPr>
          <w:rFonts w:ascii="Arial" w:hAnsi="Arial" w:cs="Arial"/>
          <w:sz w:val="24"/>
          <w:szCs w:val="24"/>
        </w:rPr>
        <w:t>/2</w:t>
      </w:r>
      <w:r w:rsidR="00845B32" w:rsidRPr="00B71273">
        <w:rPr>
          <w:rFonts w:ascii="Arial" w:hAnsi="Arial" w:cs="Arial"/>
          <w:sz w:val="24"/>
          <w:szCs w:val="24"/>
        </w:rPr>
        <w:t>2</w:t>
      </w:r>
      <w:r w:rsidRPr="00B71273">
        <w:rPr>
          <w:rFonts w:ascii="Arial" w:hAnsi="Arial" w:cs="Arial"/>
          <w:sz w:val="24"/>
          <w:szCs w:val="24"/>
        </w:rPr>
        <w:t>: £</w:t>
      </w:r>
      <w:r w:rsidR="00845B32" w:rsidRPr="00B71273">
        <w:rPr>
          <w:rFonts w:ascii="Arial" w:hAnsi="Arial" w:cs="Arial"/>
          <w:sz w:val="24"/>
          <w:szCs w:val="24"/>
        </w:rPr>
        <w:t>87.1</w:t>
      </w:r>
      <w:r w:rsidRPr="00B71273">
        <w:rPr>
          <w:rFonts w:ascii="Arial" w:hAnsi="Arial" w:cs="Arial"/>
          <w:sz w:val="24"/>
          <w:szCs w:val="24"/>
        </w:rPr>
        <w:t>m). This is in respect of the construction of a new interchange inclusive of a park podium, link bridge and residential apartments; and</w:t>
      </w:r>
    </w:p>
    <w:p w14:paraId="34EFA0C1" w14:textId="77777777" w:rsidR="00B71273" w:rsidRPr="00B71273" w:rsidRDefault="00B71273" w:rsidP="006F1659">
      <w:pPr>
        <w:pStyle w:val="ListParagraph"/>
        <w:snapToGrid w:val="0"/>
        <w:spacing w:after="0" w:line="360" w:lineRule="auto"/>
        <w:rPr>
          <w:rFonts w:ascii="Arial" w:hAnsi="Arial" w:cs="Arial"/>
          <w:sz w:val="24"/>
          <w:szCs w:val="24"/>
        </w:rPr>
      </w:pPr>
    </w:p>
    <w:p w14:paraId="17D5A028" w14:textId="6CA558ED" w:rsidR="00795BE0" w:rsidRPr="003318BC" w:rsidRDefault="00B71273" w:rsidP="006F1659">
      <w:pPr>
        <w:pStyle w:val="ListParagraph"/>
        <w:numPr>
          <w:ilvl w:val="0"/>
          <w:numId w:val="61"/>
        </w:numPr>
        <w:snapToGrid w:val="0"/>
        <w:spacing w:after="0" w:line="360" w:lineRule="auto"/>
        <w:rPr>
          <w:rFonts w:ascii="Arial" w:hAnsi="Arial" w:cs="Arial"/>
        </w:rPr>
      </w:pPr>
      <w:r w:rsidRPr="00B71273">
        <w:rPr>
          <w:rFonts w:ascii="Arial" w:hAnsi="Arial" w:cs="Arial"/>
          <w:sz w:val="24"/>
          <w:szCs w:val="24"/>
        </w:rPr>
        <w:lastRenderedPageBreak/>
        <w:t>Zero Emission Bus Scheme £25.8m (2021/22: £nil). This project relates to the purchase of 100 zero emission buses.</w:t>
      </w:r>
    </w:p>
    <w:p w14:paraId="74EA45F7" w14:textId="77777777" w:rsidR="003318BC" w:rsidRPr="003318BC" w:rsidRDefault="003318BC" w:rsidP="006F1659">
      <w:pPr>
        <w:snapToGrid w:val="0"/>
        <w:spacing w:line="360" w:lineRule="auto"/>
        <w:rPr>
          <w:rFonts w:ascii="Arial" w:hAnsi="Arial" w:cs="Arial"/>
        </w:rPr>
      </w:pPr>
    </w:p>
    <w:p w14:paraId="70DD04E4" w14:textId="53D4F136" w:rsidR="003318BC" w:rsidRDefault="005A2C77" w:rsidP="006F1659">
      <w:pPr>
        <w:tabs>
          <w:tab w:val="left" w:pos="720"/>
        </w:tabs>
        <w:spacing w:line="360" w:lineRule="auto"/>
        <w:ind w:left="721" w:right="54" w:hanging="360"/>
        <w:rPr>
          <w:rFonts w:ascii="Arial" w:eastAsia="Calibri" w:hAnsi="Arial" w:cs="Arial"/>
        </w:rPr>
      </w:pPr>
      <w:r w:rsidRPr="005A2C77">
        <w:rPr>
          <w:rFonts w:eastAsia="Calibri"/>
          <w:noProof/>
        </w:rPr>
        <w:drawing>
          <wp:inline distT="0" distB="0" distL="0" distR="0" wp14:anchorId="39F70B6C" wp14:editId="75A56197">
            <wp:extent cx="5391150" cy="2025650"/>
            <wp:effectExtent l="0" t="0" r="0" b="0"/>
            <wp:docPr id="4946080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391150" cy="2025650"/>
                    </a:xfrm>
                    <a:prstGeom prst="rect">
                      <a:avLst/>
                    </a:prstGeom>
                    <a:noFill/>
                    <a:ln>
                      <a:noFill/>
                    </a:ln>
                  </pic:spPr>
                </pic:pic>
              </a:graphicData>
            </a:graphic>
          </wp:inline>
        </w:drawing>
      </w:r>
    </w:p>
    <w:p w14:paraId="7B007CA1" w14:textId="5864AFF2" w:rsidR="00795BE0" w:rsidRPr="00647034" w:rsidRDefault="00795BE0" w:rsidP="006F1659">
      <w:pPr>
        <w:tabs>
          <w:tab w:val="left" w:pos="720"/>
        </w:tabs>
        <w:spacing w:line="360" w:lineRule="auto"/>
        <w:ind w:left="360" w:right="54" w:hanging="360"/>
        <w:rPr>
          <w:rFonts w:ascii="Arial" w:eastAsia="Calibri" w:hAnsi="Arial" w:cs="Arial"/>
        </w:rPr>
        <w:sectPr w:rsidR="00795BE0" w:rsidRPr="00647034" w:rsidSect="004833A2">
          <w:pgSz w:w="11906" w:h="16838"/>
          <w:pgMar w:top="946" w:right="1416" w:bottom="1440" w:left="1080" w:header="283" w:footer="567" w:gutter="0"/>
          <w:cols w:space="708"/>
          <w:docGrid w:linePitch="360"/>
        </w:sectPr>
      </w:pPr>
    </w:p>
    <w:p w14:paraId="5CBA2413" w14:textId="77777777" w:rsidR="00795BE0" w:rsidRPr="0007572B" w:rsidRDefault="00795BE0" w:rsidP="006F1659">
      <w:pPr>
        <w:spacing w:line="360" w:lineRule="auto"/>
        <w:rPr>
          <w:rFonts w:ascii="Arial" w:hAnsi="Arial" w:cs="Arial"/>
          <w:b/>
          <w:sz w:val="22"/>
          <w:szCs w:val="22"/>
        </w:rPr>
      </w:pPr>
    </w:p>
    <w:p w14:paraId="6C06C2D8" w14:textId="77777777" w:rsidR="00795BE0" w:rsidRPr="0007572B" w:rsidRDefault="00795BE0" w:rsidP="006F1659">
      <w:pPr>
        <w:pStyle w:val="Heading3greennumbered"/>
        <w:spacing w:line="360" w:lineRule="auto"/>
      </w:pPr>
      <w:bookmarkStart w:id="287" w:name="_Toc92894940"/>
      <w:bookmarkStart w:id="288" w:name="_Toc92895244"/>
      <w:bookmarkStart w:id="289" w:name="_Toc109922678"/>
      <w:r w:rsidRPr="0007572B">
        <w:t>47 Group Property, Plant and Equipment</w:t>
      </w:r>
      <w:bookmarkEnd w:id="287"/>
      <w:bookmarkEnd w:id="288"/>
      <w:bookmarkEnd w:id="289"/>
      <w:r w:rsidRPr="0007572B">
        <w:t xml:space="preserve"> </w:t>
      </w:r>
    </w:p>
    <w:p w14:paraId="5A6DBF6B" w14:textId="77777777" w:rsidR="00795BE0" w:rsidRDefault="00795BE0" w:rsidP="006F1659">
      <w:pPr>
        <w:spacing w:line="360" w:lineRule="auto"/>
        <w:rPr>
          <w:rFonts w:ascii="Arial" w:hAnsi="Arial" w:cs="Arial"/>
        </w:rPr>
      </w:pPr>
    </w:p>
    <w:p w14:paraId="3F555BE4" w14:textId="77777777" w:rsidR="00795BE0" w:rsidRPr="0007572B" w:rsidRDefault="00795BE0" w:rsidP="006F1659">
      <w:pPr>
        <w:spacing w:line="360" w:lineRule="auto"/>
        <w:rPr>
          <w:rFonts w:ascii="Arial" w:hAnsi="Arial" w:cs="Arial"/>
        </w:rPr>
      </w:pPr>
      <w:r w:rsidRPr="0007572B">
        <w:rPr>
          <w:rFonts w:ascii="Arial" w:hAnsi="Arial" w:cs="Arial"/>
        </w:rPr>
        <w:t>Property, plant and equipment is reported as either capitalised assets available for use or as assets under construction. An analysis of the movements are contained in the tables below:</w:t>
      </w:r>
    </w:p>
    <w:p w14:paraId="16741669" w14:textId="779F500F" w:rsidR="00795BE0" w:rsidRPr="0007572B" w:rsidRDefault="00795BE0" w:rsidP="006F1659">
      <w:pPr>
        <w:spacing w:line="360" w:lineRule="auto"/>
        <w:rPr>
          <w:rFonts w:ascii="Arial" w:hAnsi="Arial" w:cs="Arial"/>
        </w:rPr>
      </w:pPr>
    </w:p>
    <w:p w14:paraId="7E8C842C" w14:textId="0E62C9EE" w:rsidR="00795BE0" w:rsidRPr="0007572B" w:rsidRDefault="00325BB0" w:rsidP="006F1659">
      <w:pPr>
        <w:spacing w:line="360" w:lineRule="auto"/>
        <w:rPr>
          <w:rFonts w:ascii="Arial" w:hAnsi="Arial" w:cs="Arial"/>
        </w:rPr>
      </w:pPr>
      <w:r w:rsidRPr="00325BB0">
        <w:rPr>
          <w:noProof/>
        </w:rPr>
        <w:drawing>
          <wp:inline distT="0" distB="0" distL="0" distR="0" wp14:anchorId="32EA9284" wp14:editId="7BAC82C4">
            <wp:extent cx="9176385" cy="3834765"/>
            <wp:effectExtent l="0" t="0" r="5715" b="0"/>
            <wp:docPr id="3318665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176385" cy="3834765"/>
                    </a:xfrm>
                    <a:prstGeom prst="rect">
                      <a:avLst/>
                    </a:prstGeom>
                    <a:noFill/>
                    <a:ln>
                      <a:noFill/>
                    </a:ln>
                  </pic:spPr>
                </pic:pic>
              </a:graphicData>
            </a:graphic>
          </wp:inline>
        </w:drawing>
      </w:r>
    </w:p>
    <w:p w14:paraId="0AF86518" w14:textId="417068FD" w:rsidR="00795BE0" w:rsidRPr="0007572B" w:rsidRDefault="00D536E5" w:rsidP="006F1659">
      <w:pPr>
        <w:spacing w:line="360" w:lineRule="auto"/>
        <w:rPr>
          <w:rFonts w:ascii="Arial" w:hAnsi="Arial" w:cs="Arial"/>
        </w:rPr>
      </w:pPr>
      <w:r>
        <w:rPr>
          <w:rFonts w:ascii="Arial" w:hAnsi="Arial" w:cs="Arial"/>
        </w:rPr>
        <w:br w:type="page"/>
      </w:r>
    </w:p>
    <w:p w14:paraId="178DE8D9" w14:textId="7A6246EF" w:rsidR="003103DC" w:rsidRDefault="00414118" w:rsidP="006F1659">
      <w:pPr>
        <w:spacing w:line="360" w:lineRule="auto"/>
        <w:rPr>
          <w:rFonts w:ascii="Arial" w:hAnsi="Arial" w:cs="Arial"/>
          <w:b/>
          <w:bCs/>
        </w:rPr>
      </w:pPr>
      <w:r w:rsidRPr="00414118">
        <w:rPr>
          <w:noProof/>
        </w:rPr>
        <w:lastRenderedPageBreak/>
        <w:drawing>
          <wp:inline distT="0" distB="0" distL="0" distR="0" wp14:anchorId="22C7A515" wp14:editId="7A698D4B">
            <wp:extent cx="9176385" cy="3763010"/>
            <wp:effectExtent l="0" t="0" r="5715" b="8890"/>
            <wp:docPr id="2617204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176385" cy="3763010"/>
                    </a:xfrm>
                    <a:prstGeom prst="rect">
                      <a:avLst/>
                    </a:prstGeom>
                    <a:noFill/>
                    <a:ln>
                      <a:noFill/>
                    </a:ln>
                  </pic:spPr>
                </pic:pic>
              </a:graphicData>
            </a:graphic>
          </wp:inline>
        </w:drawing>
      </w:r>
    </w:p>
    <w:p w14:paraId="55A01D27" w14:textId="77777777" w:rsidR="003103DC" w:rsidRDefault="003103DC" w:rsidP="006F1659">
      <w:pPr>
        <w:spacing w:line="360" w:lineRule="auto"/>
        <w:rPr>
          <w:rFonts w:ascii="Arial" w:hAnsi="Arial" w:cs="Arial"/>
          <w:b/>
          <w:bCs/>
        </w:rPr>
      </w:pPr>
    </w:p>
    <w:p w14:paraId="5BE618D4" w14:textId="7BFC720A" w:rsidR="003103DC" w:rsidRDefault="003103DC" w:rsidP="006F1659">
      <w:pPr>
        <w:spacing w:line="360" w:lineRule="auto"/>
        <w:rPr>
          <w:rFonts w:ascii="Arial" w:hAnsi="Arial" w:cs="Arial"/>
          <w:b/>
          <w:bCs/>
        </w:rPr>
      </w:pPr>
      <w:r w:rsidRPr="003103DC">
        <w:rPr>
          <w:rFonts w:ascii="Arial" w:hAnsi="Arial" w:cs="Arial"/>
          <w:b/>
          <w:bCs/>
        </w:rPr>
        <w:t>Movements on balances</w:t>
      </w:r>
    </w:p>
    <w:p w14:paraId="2553750D" w14:textId="77777777" w:rsidR="003103DC" w:rsidRPr="003103DC" w:rsidRDefault="003103DC" w:rsidP="006F1659">
      <w:pPr>
        <w:spacing w:line="360" w:lineRule="auto"/>
        <w:rPr>
          <w:rFonts w:ascii="Arial" w:hAnsi="Arial" w:cs="Arial"/>
          <w:b/>
          <w:bCs/>
        </w:rPr>
      </w:pPr>
    </w:p>
    <w:p w14:paraId="0DBE4D1E" w14:textId="77777777" w:rsidR="003103DC" w:rsidRPr="003103DC" w:rsidRDefault="003103DC" w:rsidP="006F1659">
      <w:pPr>
        <w:spacing w:line="360" w:lineRule="auto"/>
        <w:rPr>
          <w:rFonts w:ascii="Arial" w:hAnsi="Arial" w:cs="Arial"/>
        </w:rPr>
      </w:pPr>
      <w:r w:rsidRPr="003103DC">
        <w:rPr>
          <w:rFonts w:ascii="Arial" w:hAnsi="Arial" w:cs="Arial"/>
        </w:rPr>
        <w:t>In accordance with the temporary relief offered by the Update to the Code of Practice on infrastructure assets, this note does not include disclosure of gross cost and accumulated depreciation for infrastructure assets because historical reporting practices and resultant information deficits mean that this would not faithfully represent the asset position to the users of the financial statements.</w:t>
      </w:r>
    </w:p>
    <w:p w14:paraId="58A11FC2" w14:textId="77777777" w:rsidR="003103DC" w:rsidRPr="003103DC" w:rsidRDefault="003103DC" w:rsidP="006F1659">
      <w:pPr>
        <w:spacing w:line="360" w:lineRule="auto"/>
        <w:rPr>
          <w:rFonts w:ascii="Arial" w:hAnsi="Arial" w:cs="Arial"/>
        </w:rPr>
      </w:pPr>
    </w:p>
    <w:p w14:paraId="384C4798" w14:textId="1D59B415" w:rsidR="003103DC" w:rsidRDefault="003103DC" w:rsidP="006F1659">
      <w:pPr>
        <w:spacing w:line="360" w:lineRule="auto"/>
        <w:rPr>
          <w:rFonts w:ascii="Arial" w:hAnsi="Arial" w:cs="Arial"/>
        </w:rPr>
      </w:pPr>
      <w:r w:rsidRPr="003103DC">
        <w:rPr>
          <w:rFonts w:ascii="Arial" w:hAnsi="Arial" w:cs="Arial"/>
        </w:rPr>
        <w:lastRenderedPageBreak/>
        <w:t xml:space="preserve">The authority has chosen not to disclose this information </w:t>
      </w:r>
      <w:r w:rsidR="00912B96" w:rsidRPr="00912B96">
        <w:rPr>
          <w:rFonts w:ascii="Arial" w:hAnsi="Arial" w:cs="Arial"/>
        </w:rPr>
        <w:t xml:space="preserve">in the Single Entity accounts </w:t>
      </w:r>
      <w:r w:rsidRPr="003103DC">
        <w:rPr>
          <w:rFonts w:ascii="Arial" w:hAnsi="Arial" w:cs="Arial"/>
        </w:rPr>
        <w:t xml:space="preserve">as the previously reported practices and resultant information deficits mean that gross cost and accumulated depreciation are not measured accurately and would not provide the basis for the users of the financial statements to take economic or other decisions relating to infrastructure assets. </w:t>
      </w:r>
    </w:p>
    <w:p w14:paraId="155E3DA2" w14:textId="5B6F2593" w:rsidR="00912B96" w:rsidRDefault="00912B96" w:rsidP="006F1659">
      <w:pPr>
        <w:spacing w:line="360" w:lineRule="auto"/>
        <w:rPr>
          <w:rFonts w:ascii="Arial" w:hAnsi="Arial" w:cs="Arial"/>
        </w:rPr>
      </w:pPr>
    </w:p>
    <w:p w14:paraId="57A9EDF9" w14:textId="03072E20" w:rsidR="00912B96" w:rsidRPr="00E40C58" w:rsidRDefault="00912B96" w:rsidP="006F1659">
      <w:pPr>
        <w:spacing w:line="360" w:lineRule="auto"/>
        <w:rPr>
          <w:rFonts w:ascii="Arial" w:hAnsi="Arial" w:cs="Arial"/>
        </w:rPr>
      </w:pPr>
      <w:r w:rsidRPr="00912B96">
        <w:rPr>
          <w:rFonts w:ascii="Arial" w:hAnsi="Arial" w:cs="Arial"/>
        </w:rPr>
        <w:t>TfGM did not adopt the temporary relief in their accounts and show the gross cost and accumulated depreciation for infrastructure assets in full within the Property, Plant and Equipment note.</w:t>
      </w:r>
      <w:r w:rsidR="00E40C58">
        <w:rPr>
          <w:rFonts w:ascii="Arial" w:hAnsi="Arial" w:cs="Arial"/>
        </w:rPr>
        <w:t xml:space="preserve"> </w:t>
      </w:r>
      <w:r w:rsidRPr="00912B96">
        <w:rPr>
          <w:rFonts w:ascii="Arial" w:hAnsi="Arial" w:cs="Arial"/>
        </w:rPr>
        <w:t>Therefore consolidation adjustments have been made in the Group Accounts to adopt a consistent approach and the infrastructure column has been removed from the TfGM Property, Plant and Equipment note as if they had adopted the temporary relief. The net book value and in-year movements for infrastructure at group level are disclosed in the table below.</w:t>
      </w:r>
    </w:p>
    <w:p w14:paraId="6CF9F1E0" w14:textId="77777777" w:rsidR="003103DC" w:rsidRDefault="003103DC" w:rsidP="006F1659">
      <w:pPr>
        <w:spacing w:line="360" w:lineRule="auto"/>
        <w:rPr>
          <w:rFonts w:ascii="Arial" w:hAnsi="Arial" w:cs="Arial"/>
        </w:rPr>
      </w:pPr>
    </w:p>
    <w:p w14:paraId="4BC11A62" w14:textId="4B5BAB80" w:rsidR="003103DC" w:rsidRDefault="00186F50" w:rsidP="006F1659">
      <w:pPr>
        <w:spacing w:line="360" w:lineRule="auto"/>
        <w:rPr>
          <w:rFonts w:ascii="Arial" w:hAnsi="Arial" w:cs="Arial"/>
        </w:rPr>
      </w:pPr>
      <w:r w:rsidRPr="00186F50">
        <w:rPr>
          <w:noProof/>
        </w:rPr>
        <w:drawing>
          <wp:inline distT="0" distB="0" distL="0" distR="0" wp14:anchorId="6883A530" wp14:editId="63B5AA85">
            <wp:extent cx="5321300" cy="1638300"/>
            <wp:effectExtent l="0" t="0" r="0" b="0"/>
            <wp:docPr id="5235892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321300" cy="1638300"/>
                    </a:xfrm>
                    <a:prstGeom prst="rect">
                      <a:avLst/>
                    </a:prstGeom>
                    <a:noFill/>
                    <a:ln>
                      <a:noFill/>
                    </a:ln>
                  </pic:spPr>
                </pic:pic>
              </a:graphicData>
            </a:graphic>
          </wp:inline>
        </w:drawing>
      </w:r>
    </w:p>
    <w:p w14:paraId="291C1E5A" w14:textId="77777777" w:rsidR="00931BA5" w:rsidRDefault="00931BA5" w:rsidP="006F1659">
      <w:pPr>
        <w:spacing w:line="360" w:lineRule="auto"/>
        <w:rPr>
          <w:rFonts w:ascii="Arial" w:hAnsi="Arial" w:cs="Arial"/>
        </w:rPr>
      </w:pPr>
    </w:p>
    <w:p w14:paraId="52E02A61" w14:textId="662C7592" w:rsidR="00931BA5" w:rsidRDefault="00931BA5" w:rsidP="006F1659">
      <w:pPr>
        <w:spacing w:line="360" w:lineRule="auto"/>
        <w:rPr>
          <w:rFonts w:ascii="Arial" w:hAnsi="Arial" w:cs="Arial"/>
        </w:rPr>
      </w:pPr>
      <w:r>
        <w:rPr>
          <w:rFonts w:ascii="Arial" w:hAnsi="Arial" w:cs="Arial"/>
        </w:rPr>
        <w:t>Balance Sheet Reconciling note:</w:t>
      </w:r>
    </w:p>
    <w:p w14:paraId="13AFC490" w14:textId="77777777" w:rsidR="003318BC" w:rsidRDefault="003318BC" w:rsidP="006F1659">
      <w:pPr>
        <w:spacing w:line="360" w:lineRule="auto"/>
        <w:rPr>
          <w:rFonts w:ascii="Arial" w:hAnsi="Arial" w:cs="Arial"/>
        </w:rPr>
      </w:pPr>
    </w:p>
    <w:p w14:paraId="4A1DECC1" w14:textId="675FFB4E" w:rsidR="003103DC" w:rsidRDefault="00186F50" w:rsidP="006F1659">
      <w:pPr>
        <w:spacing w:line="360" w:lineRule="auto"/>
        <w:rPr>
          <w:rFonts w:ascii="Arial" w:hAnsi="Arial" w:cs="Arial"/>
        </w:rPr>
      </w:pPr>
      <w:r w:rsidRPr="00186F50">
        <w:rPr>
          <w:noProof/>
        </w:rPr>
        <w:drawing>
          <wp:inline distT="0" distB="0" distL="0" distR="0" wp14:anchorId="21BAD9C1" wp14:editId="2D3863F8">
            <wp:extent cx="5321300" cy="800100"/>
            <wp:effectExtent l="0" t="0" r="0" b="0"/>
            <wp:docPr id="706714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321300" cy="800100"/>
                    </a:xfrm>
                    <a:prstGeom prst="rect">
                      <a:avLst/>
                    </a:prstGeom>
                    <a:noFill/>
                    <a:ln>
                      <a:noFill/>
                    </a:ln>
                  </pic:spPr>
                </pic:pic>
              </a:graphicData>
            </a:graphic>
          </wp:inline>
        </w:drawing>
      </w:r>
    </w:p>
    <w:p w14:paraId="79108911" w14:textId="77777777" w:rsidR="003103DC" w:rsidRDefault="003103DC" w:rsidP="006F1659">
      <w:pPr>
        <w:spacing w:line="360" w:lineRule="auto"/>
        <w:rPr>
          <w:rFonts w:ascii="Arial" w:hAnsi="Arial" w:cs="Arial"/>
        </w:rPr>
      </w:pPr>
    </w:p>
    <w:p w14:paraId="0A675308" w14:textId="58764E19" w:rsidR="00E40C58" w:rsidRDefault="003103DC" w:rsidP="006F1659">
      <w:pPr>
        <w:spacing w:line="360" w:lineRule="auto"/>
        <w:rPr>
          <w:rFonts w:ascii="Arial" w:hAnsi="Arial" w:cs="Arial"/>
        </w:rPr>
      </w:pPr>
      <w:bookmarkStart w:id="290" w:name="_Hlk128048175"/>
      <w:r w:rsidRPr="003103DC">
        <w:rPr>
          <w:rFonts w:ascii="Arial" w:hAnsi="Arial" w:cs="Arial"/>
        </w:rPr>
        <w:t xml:space="preserve">The </w:t>
      </w:r>
      <w:r w:rsidR="00144404">
        <w:rPr>
          <w:rFonts w:ascii="Arial" w:hAnsi="Arial" w:cs="Arial"/>
        </w:rPr>
        <w:t>A</w:t>
      </w:r>
      <w:r w:rsidRPr="003103DC">
        <w:rPr>
          <w:rFonts w:ascii="Arial" w:hAnsi="Arial" w:cs="Arial"/>
        </w:rPr>
        <w:t xml:space="preserve">uthority has </w:t>
      </w:r>
      <w:r w:rsidRPr="00144404">
        <w:rPr>
          <w:rFonts w:ascii="Arial" w:hAnsi="Arial" w:cs="Arial"/>
        </w:rPr>
        <w:t xml:space="preserve">determined in accordance with </w:t>
      </w:r>
      <w:r w:rsidR="00D2560A" w:rsidRPr="00144404">
        <w:rPr>
          <w:rFonts w:ascii="Arial" w:hAnsi="Arial" w:cs="Arial"/>
        </w:rPr>
        <w:t xml:space="preserve">the England amendment </w:t>
      </w:r>
      <w:r w:rsidRPr="00144404">
        <w:rPr>
          <w:rFonts w:ascii="Arial" w:hAnsi="Arial" w:cs="Arial"/>
        </w:rPr>
        <w:t>of the Local Authorit</w:t>
      </w:r>
      <w:r w:rsidR="00144404" w:rsidRPr="00144404">
        <w:rPr>
          <w:rFonts w:ascii="Arial" w:hAnsi="Arial" w:cs="Arial"/>
        </w:rPr>
        <w:t>y</w:t>
      </w:r>
      <w:r w:rsidRPr="00144404">
        <w:rPr>
          <w:rFonts w:ascii="Arial" w:hAnsi="Arial" w:cs="Arial"/>
        </w:rPr>
        <w:t xml:space="preserve"> </w:t>
      </w:r>
      <w:r w:rsidR="00144404" w:rsidRPr="00144404">
        <w:rPr>
          <w:rFonts w:ascii="Arial" w:hAnsi="Arial" w:cs="Arial"/>
        </w:rPr>
        <w:t>(</w:t>
      </w:r>
      <w:r w:rsidRPr="00144404">
        <w:rPr>
          <w:rFonts w:ascii="Arial" w:hAnsi="Arial" w:cs="Arial"/>
        </w:rPr>
        <w:t>Capital Finance and Accounting</w:t>
      </w:r>
      <w:r w:rsidR="00144404" w:rsidRPr="00144404">
        <w:rPr>
          <w:rFonts w:ascii="Arial" w:hAnsi="Arial" w:cs="Arial"/>
        </w:rPr>
        <w:t>)</w:t>
      </w:r>
      <w:r w:rsidR="00D2560A" w:rsidRPr="00144404">
        <w:rPr>
          <w:rFonts w:ascii="Arial" w:hAnsi="Arial" w:cs="Arial"/>
        </w:rPr>
        <w:t xml:space="preserve"> </w:t>
      </w:r>
      <w:r w:rsidR="00144404" w:rsidRPr="00144404">
        <w:rPr>
          <w:rFonts w:ascii="Arial" w:hAnsi="Arial" w:cs="Arial"/>
        </w:rPr>
        <w:t xml:space="preserve">(Amendment) </w:t>
      </w:r>
      <w:r w:rsidRPr="00144404">
        <w:rPr>
          <w:rFonts w:ascii="Arial" w:hAnsi="Arial" w:cs="Arial"/>
        </w:rPr>
        <w:t>Regulations 2022 that the carrying amounts to be derecognised for infrastructure assets when there is replacement expenditure is nil.</w:t>
      </w:r>
    </w:p>
    <w:p w14:paraId="15DB4A6A" w14:textId="7C1DACE2" w:rsidR="00795BE0" w:rsidRPr="0007572B" w:rsidRDefault="00E40C58" w:rsidP="006F1659">
      <w:pPr>
        <w:spacing w:line="360" w:lineRule="auto"/>
        <w:rPr>
          <w:rFonts w:ascii="Arial" w:hAnsi="Arial" w:cs="Arial"/>
          <w:b/>
        </w:rPr>
      </w:pPr>
      <w:r>
        <w:rPr>
          <w:rFonts w:ascii="Arial" w:hAnsi="Arial" w:cs="Arial"/>
        </w:rPr>
        <w:br w:type="page"/>
      </w:r>
      <w:bookmarkEnd w:id="290"/>
    </w:p>
    <w:p w14:paraId="18C27A02" w14:textId="77777777" w:rsidR="00795BE0" w:rsidRPr="0007572B" w:rsidRDefault="00795BE0" w:rsidP="006F1659">
      <w:pPr>
        <w:spacing w:line="360" w:lineRule="auto"/>
        <w:rPr>
          <w:rFonts w:ascii="Arial" w:hAnsi="Arial" w:cs="Arial"/>
          <w:sz w:val="22"/>
          <w:szCs w:val="22"/>
        </w:rPr>
        <w:sectPr w:rsidR="00795BE0" w:rsidRPr="0007572B" w:rsidSect="004833A2">
          <w:pgSz w:w="16838" w:h="11906" w:orient="landscape"/>
          <w:pgMar w:top="1077" w:right="947" w:bottom="1418" w:left="1440" w:header="284" w:footer="567" w:gutter="0"/>
          <w:cols w:space="708"/>
          <w:docGrid w:linePitch="360"/>
        </w:sectPr>
      </w:pPr>
    </w:p>
    <w:p w14:paraId="77CF6CB9" w14:textId="77777777" w:rsidR="00795BE0" w:rsidRPr="0007572B" w:rsidRDefault="00795BE0" w:rsidP="006F1659">
      <w:pPr>
        <w:pStyle w:val="Heading3greennumbered"/>
        <w:spacing w:line="360" w:lineRule="auto"/>
      </w:pPr>
      <w:bookmarkStart w:id="291" w:name="_Toc92894941"/>
      <w:bookmarkStart w:id="292" w:name="_Toc92895245"/>
      <w:bookmarkStart w:id="293" w:name="_Toc109922679"/>
      <w:bookmarkStart w:id="294" w:name="_Hlk109658869"/>
      <w:r w:rsidRPr="0007572B">
        <w:lastRenderedPageBreak/>
        <w:t>47 Group Property, Plant and Equipment Valuations</w:t>
      </w:r>
      <w:bookmarkEnd w:id="291"/>
      <w:bookmarkEnd w:id="292"/>
      <w:bookmarkEnd w:id="293"/>
    </w:p>
    <w:p w14:paraId="6B8AF8C7" w14:textId="77777777" w:rsidR="00795BE0" w:rsidRDefault="00795BE0" w:rsidP="006F1659">
      <w:pPr>
        <w:spacing w:line="360" w:lineRule="auto"/>
        <w:rPr>
          <w:rFonts w:ascii="Arial" w:hAnsi="Arial" w:cs="Arial"/>
        </w:rPr>
      </w:pPr>
    </w:p>
    <w:p w14:paraId="4D76E8FF" w14:textId="77777777" w:rsidR="00795BE0" w:rsidRPr="00BD07AE" w:rsidRDefault="00795BE0" w:rsidP="006F1659">
      <w:pPr>
        <w:spacing w:line="360" w:lineRule="auto"/>
        <w:rPr>
          <w:rFonts w:ascii="Arial" w:hAnsi="Arial" w:cs="Arial"/>
        </w:rPr>
      </w:pPr>
      <w:r>
        <w:rPr>
          <w:rFonts w:ascii="Arial" w:hAnsi="Arial" w:cs="Arial"/>
        </w:rPr>
        <w:t xml:space="preserve">Details relating to GMCA property, plant and equipment are provided in note 20 to the single </w:t>
      </w:r>
      <w:r w:rsidRPr="00BD07AE">
        <w:rPr>
          <w:rFonts w:ascii="Arial" w:hAnsi="Arial" w:cs="Arial"/>
        </w:rPr>
        <w:t xml:space="preserve">entity financial statements. </w:t>
      </w:r>
    </w:p>
    <w:p w14:paraId="65D55E78" w14:textId="77777777" w:rsidR="00795BE0" w:rsidRPr="00BD07AE" w:rsidRDefault="00795BE0" w:rsidP="006F1659">
      <w:pPr>
        <w:spacing w:line="360" w:lineRule="auto"/>
        <w:rPr>
          <w:rFonts w:ascii="Arial" w:hAnsi="Arial" w:cs="Arial"/>
        </w:rPr>
      </w:pPr>
    </w:p>
    <w:p w14:paraId="459607A5" w14:textId="080231C7" w:rsidR="00795BE0" w:rsidRPr="00BD07AE" w:rsidRDefault="00795BE0" w:rsidP="006F1659">
      <w:pPr>
        <w:spacing w:line="360" w:lineRule="auto"/>
        <w:rPr>
          <w:rFonts w:ascii="Arial" w:hAnsi="Arial" w:cs="Arial"/>
        </w:rPr>
      </w:pPr>
      <w:r w:rsidRPr="00BD07AE">
        <w:rPr>
          <w:rFonts w:ascii="Arial" w:hAnsi="Arial" w:cs="Arial"/>
        </w:rPr>
        <w:t>Within the Group, TfGM carries out a rolling programme that ensures that all Property, Plant and Equipment required to be measured at current value is revalued at least every five years. Valuations of land and buildings were carried out in accordance with the methodologies and bases for estimation set out in the professional standards of the Royal Institution of Chartered Surveyors. The current values for these properties have been based on existing use values and these were re-valued as at 31 March 20</w:t>
      </w:r>
      <w:r w:rsidR="00BD07AE" w:rsidRPr="00BD07AE">
        <w:rPr>
          <w:rFonts w:ascii="Arial" w:hAnsi="Arial" w:cs="Arial"/>
        </w:rPr>
        <w:t>2</w:t>
      </w:r>
      <w:r w:rsidR="00845B32">
        <w:rPr>
          <w:rFonts w:ascii="Arial" w:hAnsi="Arial" w:cs="Arial"/>
        </w:rPr>
        <w:t>3</w:t>
      </w:r>
      <w:r w:rsidRPr="00BD07AE">
        <w:rPr>
          <w:rFonts w:ascii="Arial" w:hAnsi="Arial" w:cs="Arial"/>
        </w:rPr>
        <w:t xml:space="preserve">. </w:t>
      </w:r>
    </w:p>
    <w:p w14:paraId="27B02DEB" w14:textId="77777777" w:rsidR="00795BE0" w:rsidRPr="00BD07AE" w:rsidRDefault="00795BE0" w:rsidP="006F1659">
      <w:pPr>
        <w:spacing w:line="360" w:lineRule="auto"/>
        <w:rPr>
          <w:rFonts w:ascii="Arial" w:hAnsi="Arial" w:cs="Arial"/>
        </w:rPr>
      </w:pPr>
    </w:p>
    <w:p w14:paraId="2CDE5635" w14:textId="77777777" w:rsidR="00795BE0" w:rsidRPr="00BD07AE" w:rsidRDefault="00795BE0" w:rsidP="006F1659">
      <w:pPr>
        <w:spacing w:line="360" w:lineRule="auto"/>
        <w:rPr>
          <w:rFonts w:ascii="Arial" w:hAnsi="Arial" w:cs="Arial"/>
        </w:rPr>
      </w:pPr>
      <w:r w:rsidRPr="00BD07AE">
        <w:rPr>
          <w:rFonts w:ascii="Arial" w:hAnsi="Arial" w:cs="Arial"/>
        </w:rPr>
        <w:t xml:space="preserve">A number of surplus properties were identified in 2015/16 and in accordance with the code were revalued at fair value. The fair value for the properties has been based on the market approach using current market conditions and recent sales prices and other relevant information for similar assets in the local area. Market conditions are such that similar properties are actively purchased and sold and the level of observable inputs are significant, leading to the properties being categorised at Level 2 in the fair value hierarchy. </w:t>
      </w:r>
    </w:p>
    <w:p w14:paraId="689DEDD1" w14:textId="77777777" w:rsidR="00795BE0" w:rsidRPr="00BD07AE" w:rsidRDefault="00795BE0" w:rsidP="006F1659">
      <w:pPr>
        <w:spacing w:line="360" w:lineRule="auto"/>
        <w:rPr>
          <w:rFonts w:ascii="Arial" w:hAnsi="Arial" w:cs="Arial"/>
        </w:rPr>
      </w:pPr>
    </w:p>
    <w:p w14:paraId="0DB95E78" w14:textId="4A032AAC" w:rsidR="00795BE0" w:rsidRPr="00BD07AE" w:rsidRDefault="00795BE0" w:rsidP="006F1659">
      <w:pPr>
        <w:spacing w:line="360" w:lineRule="auto"/>
        <w:rPr>
          <w:rFonts w:ascii="Arial" w:hAnsi="Arial" w:cs="Arial"/>
        </w:rPr>
      </w:pPr>
      <w:r w:rsidRPr="00BD07AE">
        <w:rPr>
          <w:rFonts w:ascii="Arial" w:hAnsi="Arial" w:cs="Arial"/>
        </w:rPr>
        <w:t xml:space="preserve">In estimating the fair value of TfGM’s surplus properties, the highest and best use of the properties is their current </w:t>
      </w:r>
      <w:r w:rsidRPr="00144404">
        <w:rPr>
          <w:rFonts w:ascii="Arial" w:hAnsi="Arial" w:cs="Arial"/>
        </w:rPr>
        <w:t xml:space="preserve">use. </w:t>
      </w:r>
      <w:r w:rsidR="00BD07AE" w:rsidRPr="00144404">
        <w:rPr>
          <w:rFonts w:ascii="Arial" w:hAnsi="Arial" w:cs="Arial"/>
        </w:rPr>
        <w:t>These were revalued in 202</w:t>
      </w:r>
      <w:r w:rsidR="00144404" w:rsidRPr="00144404">
        <w:rPr>
          <w:rFonts w:ascii="Arial" w:hAnsi="Arial" w:cs="Arial"/>
        </w:rPr>
        <w:t>2</w:t>
      </w:r>
      <w:r w:rsidR="00BD07AE" w:rsidRPr="00144404">
        <w:rPr>
          <w:rFonts w:ascii="Arial" w:hAnsi="Arial" w:cs="Arial"/>
        </w:rPr>
        <w:t>/2</w:t>
      </w:r>
      <w:r w:rsidR="00144404" w:rsidRPr="00144404">
        <w:rPr>
          <w:rFonts w:ascii="Arial" w:hAnsi="Arial" w:cs="Arial"/>
        </w:rPr>
        <w:t>3</w:t>
      </w:r>
      <w:r w:rsidR="00BD07AE" w:rsidRPr="00144404">
        <w:rPr>
          <w:rFonts w:ascii="Arial" w:hAnsi="Arial" w:cs="Arial"/>
        </w:rPr>
        <w:t>, however due to the value of the properties and the minimal movements the changes in valuations have not been updated in the financial statements.</w:t>
      </w:r>
      <w:r w:rsidR="00BD07AE" w:rsidRPr="00BD07AE">
        <w:rPr>
          <w:rFonts w:ascii="Arial" w:hAnsi="Arial" w:cs="Arial"/>
        </w:rPr>
        <w:t xml:space="preserve"> </w:t>
      </w:r>
    </w:p>
    <w:p w14:paraId="1B69D885" w14:textId="77777777" w:rsidR="00795BE0" w:rsidRPr="00BD07AE" w:rsidRDefault="00795BE0" w:rsidP="006F1659">
      <w:pPr>
        <w:spacing w:line="360" w:lineRule="auto"/>
        <w:rPr>
          <w:rFonts w:ascii="Arial" w:hAnsi="Arial" w:cs="Arial"/>
        </w:rPr>
      </w:pPr>
    </w:p>
    <w:p w14:paraId="46A41F43" w14:textId="77777777" w:rsidR="00795BE0" w:rsidRPr="00BD07AE" w:rsidRDefault="00795BE0" w:rsidP="006F1659">
      <w:pPr>
        <w:spacing w:line="360" w:lineRule="auto"/>
        <w:rPr>
          <w:rFonts w:ascii="Arial" w:hAnsi="Arial" w:cs="Arial"/>
        </w:rPr>
      </w:pPr>
      <w:r w:rsidRPr="00BD07AE">
        <w:rPr>
          <w:rFonts w:ascii="Arial" w:hAnsi="Arial" w:cs="Arial"/>
        </w:rPr>
        <w:t>All TFGM valuations were carried out by Leslie Roberts &amp; Co Ltd, in accordance with the methodologies and bases for estimation set out in the professional standards of the Royal Institution of Chartered Surveyors. TfGM’s valuation experts work closely with finance officers reporting directly to the chief financial officer on a regular basis regarding all valuation matters.</w:t>
      </w:r>
    </w:p>
    <w:p w14:paraId="215028FB" w14:textId="77777777" w:rsidR="00795BE0" w:rsidRPr="00BD07AE" w:rsidRDefault="00795BE0" w:rsidP="006F1659">
      <w:pPr>
        <w:spacing w:line="360" w:lineRule="auto"/>
        <w:rPr>
          <w:rFonts w:ascii="Arial" w:hAnsi="Arial" w:cs="Arial"/>
        </w:rPr>
      </w:pPr>
    </w:p>
    <w:p w14:paraId="1DBD5E4E" w14:textId="0F60DB4F" w:rsidR="00F42EFE" w:rsidRDefault="002C43F3" w:rsidP="006F1659">
      <w:pPr>
        <w:spacing w:line="360" w:lineRule="auto"/>
      </w:pPr>
      <w:bookmarkStart w:id="295" w:name="_Toc92894942"/>
      <w:bookmarkStart w:id="296" w:name="_Toc92895246"/>
      <w:bookmarkEnd w:id="294"/>
      <w:r w:rsidRPr="002C43F3">
        <w:rPr>
          <w:noProof/>
        </w:rPr>
        <w:lastRenderedPageBreak/>
        <w:drawing>
          <wp:inline distT="0" distB="0" distL="0" distR="0" wp14:anchorId="09A655B5" wp14:editId="6FD4E41C">
            <wp:extent cx="5975350" cy="1878965"/>
            <wp:effectExtent l="0" t="0" r="6350" b="6985"/>
            <wp:docPr id="1986036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75350" cy="1878965"/>
                    </a:xfrm>
                    <a:prstGeom prst="rect">
                      <a:avLst/>
                    </a:prstGeom>
                    <a:noFill/>
                    <a:ln>
                      <a:noFill/>
                    </a:ln>
                  </pic:spPr>
                </pic:pic>
              </a:graphicData>
            </a:graphic>
          </wp:inline>
        </w:drawing>
      </w:r>
    </w:p>
    <w:p w14:paraId="229C335E" w14:textId="4B7D3740" w:rsidR="00795BE0" w:rsidRDefault="00795BE0" w:rsidP="006F1659">
      <w:pPr>
        <w:spacing w:line="360" w:lineRule="auto"/>
        <w:rPr>
          <w:rFonts w:ascii="Arial" w:eastAsia="Palatino Linotype" w:hAnsi="Arial" w:cs="Arial"/>
          <w:b/>
          <w:bCs/>
          <w:szCs w:val="28"/>
          <w:lang w:val="en-US"/>
        </w:rPr>
      </w:pPr>
      <w:r>
        <w:br w:type="page"/>
      </w:r>
    </w:p>
    <w:p w14:paraId="5D6B745D" w14:textId="77777777" w:rsidR="00795BE0" w:rsidRPr="0007572B" w:rsidRDefault="00795BE0" w:rsidP="006F1659">
      <w:pPr>
        <w:pStyle w:val="Heading3greennumbered"/>
        <w:spacing w:line="360" w:lineRule="auto"/>
      </w:pPr>
      <w:bookmarkStart w:id="297" w:name="_Toc109922680"/>
      <w:r w:rsidRPr="0007572B">
        <w:lastRenderedPageBreak/>
        <w:t>48 Group Intangible Assets</w:t>
      </w:r>
      <w:bookmarkEnd w:id="295"/>
      <w:bookmarkEnd w:id="296"/>
      <w:bookmarkEnd w:id="297"/>
    </w:p>
    <w:p w14:paraId="7E5BFE1B" w14:textId="77777777" w:rsidR="00795BE0" w:rsidRDefault="00795BE0" w:rsidP="006F1659">
      <w:pPr>
        <w:spacing w:line="360" w:lineRule="auto"/>
        <w:rPr>
          <w:rFonts w:ascii="Arial" w:hAnsi="Arial" w:cs="Arial"/>
        </w:rPr>
      </w:pPr>
    </w:p>
    <w:p w14:paraId="2A304859" w14:textId="77777777" w:rsidR="00795BE0" w:rsidRPr="0007572B" w:rsidRDefault="00795BE0" w:rsidP="006F1659">
      <w:pPr>
        <w:spacing w:line="360" w:lineRule="auto"/>
        <w:rPr>
          <w:rFonts w:ascii="Arial" w:hAnsi="Arial" w:cs="Arial"/>
        </w:rPr>
      </w:pPr>
      <w:r w:rsidRPr="0007572B">
        <w:rPr>
          <w:rFonts w:ascii="Arial" w:hAnsi="Arial" w:cs="Arial"/>
        </w:rPr>
        <w:t xml:space="preserve">The </w:t>
      </w:r>
      <w:r>
        <w:rPr>
          <w:rFonts w:ascii="Arial" w:hAnsi="Arial" w:cs="Arial"/>
        </w:rPr>
        <w:t>Group</w:t>
      </w:r>
      <w:r w:rsidRPr="0007572B">
        <w:rPr>
          <w:rFonts w:ascii="Arial" w:hAnsi="Arial" w:cs="Arial"/>
        </w:rPr>
        <w:t xml:space="preserve"> accounts for its software as intangible assets, to the extent that the software is not an integral part of a particular IT system and accounted for as part of the hardware item of property, plant and equipment. The intangible assets are purchased licenses</w:t>
      </w:r>
      <w:r>
        <w:rPr>
          <w:rFonts w:ascii="Arial" w:hAnsi="Arial" w:cs="Arial"/>
        </w:rPr>
        <w:t xml:space="preserve"> and internally generated software</w:t>
      </w:r>
      <w:r w:rsidRPr="0007572B">
        <w:rPr>
          <w:rFonts w:ascii="Arial" w:hAnsi="Arial" w:cs="Arial"/>
        </w:rPr>
        <w:t xml:space="preserve">. </w:t>
      </w:r>
    </w:p>
    <w:p w14:paraId="19543F99" w14:textId="77777777" w:rsidR="00795BE0" w:rsidRPr="0007572B" w:rsidRDefault="00795BE0" w:rsidP="006F1659">
      <w:pPr>
        <w:spacing w:line="360" w:lineRule="auto"/>
        <w:rPr>
          <w:rFonts w:ascii="Arial" w:hAnsi="Arial" w:cs="Arial"/>
        </w:rPr>
      </w:pPr>
    </w:p>
    <w:p w14:paraId="50188C13" w14:textId="77777777" w:rsidR="00795BE0" w:rsidRPr="0007572B" w:rsidRDefault="00795BE0" w:rsidP="006F1659">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58C29748" w14:textId="77777777" w:rsidR="00795BE0" w:rsidRPr="0007572B" w:rsidRDefault="00795BE0" w:rsidP="006F1659">
      <w:pPr>
        <w:spacing w:line="360" w:lineRule="auto"/>
        <w:rPr>
          <w:rFonts w:ascii="Arial" w:hAnsi="Arial" w:cs="Arial"/>
        </w:rPr>
      </w:pPr>
    </w:p>
    <w:tbl>
      <w:tblPr>
        <w:tblStyle w:val="TableGrid"/>
        <w:tblW w:w="0" w:type="auto"/>
        <w:tblLook w:val="04A0" w:firstRow="1" w:lastRow="0" w:firstColumn="1" w:lastColumn="0" w:noHBand="0" w:noVBand="1"/>
      </w:tblPr>
      <w:tblGrid>
        <w:gridCol w:w="5524"/>
        <w:gridCol w:w="3876"/>
      </w:tblGrid>
      <w:tr w:rsidR="00795BE0" w14:paraId="18142C6E" w14:textId="77777777" w:rsidTr="00D323EE">
        <w:tc>
          <w:tcPr>
            <w:tcW w:w="5524" w:type="dxa"/>
          </w:tcPr>
          <w:p w14:paraId="3C3291F4"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Fire and Rescue Service</w:t>
            </w:r>
          </w:p>
        </w:tc>
        <w:tc>
          <w:tcPr>
            <w:tcW w:w="3876" w:type="dxa"/>
          </w:tcPr>
          <w:p w14:paraId="7B160D96" w14:textId="77777777" w:rsidR="00795BE0" w:rsidRDefault="00795BE0" w:rsidP="006F1659">
            <w:pPr>
              <w:spacing w:line="360" w:lineRule="auto"/>
              <w:rPr>
                <w:rFonts w:ascii="Arial" w:hAnsi="Arial" w:cs="Arial"/>
                <w:sz w:val="22"/>
                <w:szCs w:val="22"/>
              </w:rPr>
            </w:pPr>
            <w:r>
              <w:rPr>
                <w:rFonts w:ascii="Arial" w:hAnsi="Arial" w:cs="Arial"/>
                <w:sz w:val="22"/>
                <w:szCs w:val="22"/>
              </w:rPr>
              <w:t>3 to 10 years</w:t>
            </w:r>
          </w:p>
        </w:tc>
      </w:tr>
      <w:tr w:rsidR="00795BE0" w14:paraId="274DBE31" w14:textId="77777777" w:rsidTr="00D323EE">
        <w:tc>
          <w:tcPr>
            <w:tcW w:w="5524" w:type="dxa"/>
          </w:tcPr>
          <w:p w14:paraId="58F93207"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Policing Service</w:t>
            </w:r>
          </w:p>
        </w:tc>
        <w:tc>
          <w:tcPr>
            <w:tcW w:w="3876" w:type="dxa"/>
          </w:tcPr>
          <w:p w14:paraId="6B012DFA" w14:textId="77777777" w:rsidR="00795BE0" w:rsidRDefault="00795BE0" w:rsidP="006F1659">
            <w:pPr>
              <w:spacing w:line="360" w:lineRule="auto"/>
              <w:rPr>
                <w:rFonts w:ascii="Arial" w:hAnsi="Arial" w:cs="Arial"/>
                <w:sz w:val="22"/>
                <w:szCs w:val="22"/>
              </w:rPr>
            </w:pPr>
            <w:r>
              <w:rPr>
                <w:rFonts w:ascii="Arial" w:hAnsi="Arial" w:cs="Arial"/>
                <w:sz w:val="22"/>
                <w:szCs w:val="22"/>
              </w:rPr>
              <w:t>5 years</w:t>
            </w:r>
          </w:p>
        </w:tc>
      </w:tr>
      <w:tr w:rsidR="00795BE0" w14:paraId="7F7CD559" w14:textId="77777777" w:rsidTr="00D323EE">
        <w:tc>
          <w:tcPr>
            <w:tcW w:w="5524" w:type="dxa"/>
          </w:tcPr>
          <w:p w14:paraId="6C8626B4"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Waste Disposal Service</w:t>
            </w:r>
          </w:p>
        </w:tc>
        <w:tc>
          <w:tcPr>
            <w:tcW w:w="3876" w:type="dxa"/>
          </w:tcPr>
          <w:p w14:paraId="7187BD7A" w14:textId="77777777" w:rsidR="00795BE0" w:rsidRDefault="00795BE0" w:rsidP="006F1659">
            <w:pPr>
              <w:spacing w:line="360" w:lineRule="auto"/>
              <w:rPr>
                <w:rFonts w:ascii="Arial" w:hAnsi="Arial" w:cs="Arial"/>
                <w:sz w:val="22"/>
                <w:szCs w:val="22"/>
              </w:rPr>
            </w:pPr>
            <w:r>
              <w:rPr>
                <w:rFonts w:ascii="Arial" w:hAnsi="Arial" w:cs="Arial"/>
                <w:sz w:val="22"/>
                <w:szCs w:val="22"/>
              </w:rPr>
              <w:t>5 years</w:t>
            </w:r>
          </w:p>
        </w:tc>
      </w:tr>
      <w:tr w:rsidR="00795BE0" w14:paraId="5FF420D0" w14:textId="77777777" w:rsidTr="00D323EE">
        <w:tc>
          <w:tcPr>
            <w:tcW w:w="5524" w:type="dxa"/>
          </w:tcPr>
          <w:p w14:paraId="7311A40D"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TfGM</w:t>
            </w:r>
          </w:p>
        </w:tc>
        <w:tc>
          <w:tcPr>
            <w:tcW w:w="3876" w:type="dxa"/>
          </w:tcPr>
          <w:p w14:paraId="06CF7625" w14:textId="5BE37EB7" w:rsidR="00795BE0" w:rsidRDefault="009C22BA" w:rsidP="006F1659">
            <w:pPr>
              <w:spacing w:line="360" w:lineRule="auto"/>
              <w:rPr>
                <w:rFonts w:ascii="Arial" w:hAnsi="Arial" w:cs="Arial"/>
                <w:sz w:val="22"/>
                <w:szCs w:val="22"/>
              </w:rPr>
            </w:pPr>
            <w:r>
              <w:rPr>
                <w:rFonts w:ascii="Arial" w:hAnsi="Arial" w:cs="Arial"/>
                <w:sz w:val="22"/>
                <w:szCs w:val="22"/>
              </w:rPr>
              <w:t xml:space="preserve">3 </w:t>
            </w:r>
            <w:r w:rsidR="00795BE0">
              <w:rPr>
                <w:rFonts w:ascii="Arial" w:hAnsi="Arial" w:cs="Arial"/>
                <w:sz w:val="22"/>
                <w:szCs w:val="22"/>
              </w:rPr>
              <w:t>to 5 years</w:t>
            </w:r>
          </w:p>
        </w:tc>
      </w:tr>
    </w:tbl>
    <w:p w14:paraId="339BAE52" w14:textId="77777777" w:rsidR="00795BE0" w:rsidRPr="0007572B" w:rsidRDefault="00795BE0" w:rsidP="006F1659">
      <w:pPr>
        <w:spacing w:line="360" w:lineRule="auto"/>
        <w:rPr>
          <w:rFonts w:ascii="Arial" w:hAnsi="Arial" w:cs="Arial"/>
          <w:sz w:val="22"/>
          <w:szCs w:val="22"/>
        </w:rPr>
      </w:pPr>
    </w:p>
    <w:p w14:paraId="7222DF7F" w14:textId="074B4DED" w:rsidR="00DC52FE" w:rsidRDefault="00795BE0" w:rsidP="006F1659">
      <w:pPr>
        <w:spacing w:line="360" w:lineRule="auto"/>
        <w:rPr>
          <w:rFonts w:ascii="Arial" w:hAnsi="Arial" w:cs="Arial"/>
        </w:rPr>
      </w:pPr>
      <w:r w:rsidRPr="0007572B">
        <w:rPr>
          <w:rFonts w:ascii="Arial" w:hAnsi="Arial" w:cs="Arial"/>
        </w:rPr>
        <w:t>The carrying amounts of intangible assets is amortised on a straight-line basis. Amortisation has been charged to service headings in the cost of services as follows:</w:t>
      </w:r>
    </w:p>
    <w:p w14:paraId="1E45EF6C" w14:textId="77777777" w:rsidR="00DC52FE" w:rsidRDefault="00DC52FE" w:rsidP="006F1659">
      <w:pPr>
        <w:spacing w:line="360" w:lineRule="auto"/>
        <w:rPr>
          <w:rFonts w:ascii="Arial" w:hAnsi="Arial" w:cs="Arial"/>
        </w:rPr>
      </w:pPr>
    </w:p>
    <w:p w14:paraId="336EA53E" w14:textId="2082CC65" w:rsidR="00DC52FE" w:rsidRDefault="00DC52FE" w:rsidP="006F1659">
      <w:pPr>
        <w:spacing w:line="360" w:lineRule="auto"/>
        <w:rPr>
          <w:rFonts w:ascii="Arial" w:hAnsi="Arial" w:cs="Arial"/>
        </w:rPr>
      </w:pPr>
      <w:r w:rsidRPr="00DC52FE">
        <w:rPr>
          <w:noProof/>
        </w:rPr>
        <w:drawing>
          <wp:inline distT="0" distB="0" distL="0" distR="0" wp14:anchorId="6D401E1C" wp14:editId="3D0A41E9">
            <wp:extent cx="2654300" cy="836682"/>
            <wp:effectExtent l="0" t="0" r="0" b="1905"/>
            <wp:docPr id="13224122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657966" cy="837838"/>
                    </a:xfrm>
                    <a:prstGeom prst="rect">
                      <a:avLst/>
                    </a:prstGeom>
                    <a:noFill/>
                    <a:ln>
                      <a:noFill/>
                    </a:ln>
                  </pic:spPr>
                </pic:pic>
              </a:graphicData>
            </a:graphic>
          </wp:inline>
        </w:drawing>
      </w:r>
    </w:p>
    <w:p w14:paraId="71BAAEBB" w14:textId="77777777" w:rsidR="00795BE0" w:rsidRDefault="00795BE0" w:rsidP="006F1659">
      <w:pPr>
        <w:spacing w:line="360" w:lineRule="auto"/>
        <w:rPr>
          <w:rFonts w:ascii="Arial" w:hAnsi="Arial" w:cs="Arial"/>
        </w:rPr>
      </w:pPr>
    </w:p>
    <w:p w14:paraId="2CE9A880" w14:textId="77777777" w:rsidR="00795BE0" w:rsidRPr="0007572B" w:rsidRDefault="00795BE0" w:rsidP="006F1659">
      <w:pPr>
        <w:spacing w:line="360" w:lineRule="auto"/>
        <w:rPr>
          <w:rFonts w:ascii="Arial" w:hAnsi="Arial" w:cs="Arial"/>
        </w:rPr>
      </w:pPr>
      <w:r w:rsidRPr="0007572B">
        <w:rPr>
          <w:rFonts w:ascii="Arial" w:hAnsi="Arial" w:cs="Arial"/>
        </w:rPr>
        <w:t>The movement on intangible asset balances during the year is as follows:</w:t>
      </w:r>
    </w:p>
    <w:p w14:paraId="1AF1FEA9" w14:textId="77777777" w:rsidR="00795BE0" w:rsidRDefault="00795BE0" w:rsidP="006F1659">
      <w:pPr>
        <w:spacing w:line="360" w:lineRule="auto"/>
        <w:rPr>
          <w:rFonts w:ascii="Arial" w:hAnsi="Arial" w:cs="Arial"/>
        </w:rPr>
      </w:pPr>
    </w:p>
    <w:p w14:paraId="7B069571" w14:textId="0C5BB881" w:rsidR="00795BE0" w:rsidRPr="0007572B" w:rsidRDefault="00F42EFE" w:rsidP="006F1659">
      <w:pPr>
        <w:spacing w:line="360" w:lineRule="auto"/>
        <w:rPr>
          <w:rFonts w:ascii="Arial" w:hAnsi="Arial" w:cs="Arial"/>
        </w:rPr>
      </w:pPr>
      <w:r w:rsidRPr="00F42EFE">
        <w:rPr>
          <w:noProof/>
        </w:rPr>
        <w:drawing>
          <wp:inline distT="0" distB="0" distL="0" distR="0" wp14:anchorId="50D5D95E" wp14:editId="6AC22154">
            <wp:extent cx="5975350" cy="2381250"/>
            <wp:effectExtent l="0" t="0" r="635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975350" cy="2381250"/>
                    </a:xfrm>
                    <a:prstGeom prst="rect">
                      <a:avLst/>
                    </a:prstGeom>
                    <a:noFill/>
                    <a:ln>
                      <a:noFill/>
                    </a:ln>
                  </pic:spPr>
                </pic:pic>
              </a:graphicData>
            </a:graphic>
          </wp:inline>
        </w:drawing>
      </w:r>
    </w:p>
    <w:p w14:paraId="07514BB5" w14:textId="77777777" w:rsidR="00795BE0" w:rsidRDefault="00795BE0" w:rsidP="006F1659">
      <w:pPr>
        <w:spacing w:line="360" w:lineRule="auto"/>
        <w:rPr>
          <w:rFonts w:ascii="Arial" w:hAnsi="Arial" w:cs="Arial"/>
        </w:rPr>
      </w:pPr>
    </w:p>
    <w:p w14:paraId="19295D95" w14:textId="40CA46D6" w:rsidR="00795BE0" w:rsidRPr="0007572B" w:rsidRDefault="00795BE0" w:rsidP="006F1659">
      <w:pPr>
        <w:spacing w:line="360" w:lineRule="auto"/>
        <w:rPr>
          <w:rFonts w:ascii="Arial" w:hAnsi="Arial" w:cs="Arial"/>
        </w:rPr>
      </w:pPr>
      <w:r w:rsidRPr="0007572B">
        <w:rPr>
          <w:rFonts w:ascii="Arial" w:hAnsi="Arial" w:cs="Arial"/>
        </w:rPr>
        <w:t xml:space="preserve">There is one capitalised software suite that is individually material to the financial statements: The Information Services Transformation Programme had a </w:t>
      </w:r>
      <w:r w:rsidR="00F84681">
        <w:rPr>
          <w:rFonts w:ascii="Arial" w:hAnsi="Arial" w:cs="Arial"/>
        </w:rPr>
        <w:t xml:space="preserve">gross </w:t>
      </w:r>
      <w:r w:rsidRPr="0007572B">
        <w:rPr>
          <w:rFonts w:ascii="Arial" w:hAnsi="Arial" w:cs="Arial"/>
        </w:rPr>
        <w:t xml:space="preserve">carrying amount </w:t>
      </w:r>
      <w:r w:rsidRPr="00E4417E">
        <w:rPr>
          <w:rFonts w:ascii="Arial" w:hAnsi="Arial" w:cs="Arial"/>
        </w:rPr>
        <w:t>of £2</w:t>
      </w:r>
      <w:r w:rsidR="0043503F" w:rsidRPr="00E4417E">
        <w:rPr>
          <w:rFonts w:ascii="Arial" w:hAnsi="Arial" w:cs="Arial"/>
        </w:rPr>
        <w:t>5</w:t>
      </w:r>
      <w:r w:rsidRPr="00E4417E">
        <w:rPr>
          <w:rFonts w:ascii="Arial" w:hAnsi="Arial" w:cs="Arial"/>
        </w:rPr>
        <w:t>.</w:t>
      </w:r>
      <w:r w:rsidR="0043503F" w:rsidRPr="00E4417E">
        <w:rPr>
          <w:rFonts w:ascii="Arial" w:hAnsi="Arial" w:cs="Arial"/>
        </w:rPr>
        <w:t>30</w:t>
      </w:r>
      <w:r w:rsidRPr="00E4417E">
        <w:rPr>
          <w:rFonts w:ascii="Arial" w:hAnsi="Arial" w:cs="Arial"/>
        </w:rPr>
        <w:t>6m at 31 March 202</w:t>
      </w:r>
      <w:r w:rsidR="00845B32" w:rsidRPr="00E4417E">
        <w:rPr>
          <w:rFonts w:ascii="Arial" w:hAnsi="Arial" w:cs="Arial"/>
        </w:rPr>
        <w:t>3</w:t>
      </w:r>
      <w:r w:rsidRPr="00E4417E">
        <w:rPr>
          <w:rFonts w:ascii="Arial" w:hAnsi="Arial" w:cs="Arial"/>
        </w:rPr>
        <w:t xml:space="preserve"> and remaining amortisation period of </w:t>
      </w:r>
      <w:r w:rsidR="00E4417E" w:rsidRPr="00E4417E">
        <w:rPr>
          <w:rFonts w:ascii="Arial" w:hAnsi="Arial" w:cs="Arial"/>
        </w:rPr>
        <w:t>3</w:t>
      </w:r>
      <w:r w:rsidRPr="00E4417E">
        <w:rPr>
          <w:rFonts w:ascii="Arial" w:hAnsi="Arial" w:cs="Arial"/>
        </w:rPr>
        <w:t xml:space="preserve"> years.</w:t>
      </w:r>
    </w:p>
    <w:p w14:paraId="62F7EB0D" w14:textId="77777777" w:rsidR="00795BE0" w:rsidRPr="0007572B" w:rsidRDefault="00795BE0" w:rsidP="006F1659">
      <w:pPr>
        <w:spacing w:line="360" w:lineRule="auto"/>
        <w:rPr>
          <w:rFonts w:ascii="Arial" w:hAnsi="Arial" w:cs="Arial"/>
        </w:rPr>
      </w:pPr>
    </w:p>
    <w:p w14:paraId="5C014E54" w14:textId="7396F50E" w:rsidR="00795BE0" w:rsidRPr="0007572B" w:rsidRDefault="00795BE0" w:rsidP="006F1659">
      <w:pPr>
        <w:spacing w:line="360" w:lineRule="auto"/>
        <w:rPr>
          <w:rFonts w:ascii="Arial" w:hAnsi="Arial" w:cs="Arial"/>
        </w:rPr>
      </w:pPr>
      <w:r w:rsidRPr="00E4417E">
        <w:rPr>
          <w:rFonts w:ascii="Arial" w:hAnsi="Arial" w:cs="Arial"/>
        </w:rPr>
        <w:t>Internally generated assets relate to TFGM and for 202</w:t>
      </w:r>
      <w:r w:rsidR="00845B32" w:rsidRPr="00E4417E">
        <w:rPr>
          <w:rFonts w:ascii="Arial" w:hAnsi="Arial" w:cs="Arial"/>
        </w:rPr>
        <w:t>2</w:t>
      </w:r>
      <w:r w:rsidRPr="00E4417E">
        <w:rPr>
          <w:rFonts w:ascii="Arial" w:hAnsi="Arial" w:cs="Arial"/>
        </w:rPr>
        <w:t>/2</w:t>
      </w:r>
      <w:r w:rsidR="00845B32" w:rsidRPr="00E4417E">
        <w:rPr>
          <w:rFonts w:ascii="Arial" w:hAnsi="Arial" w:cs="Arial"/>
        </w:rPr>
        <w:t>3</w:t>
      </w:r>
      <w:r w:rsidRPr="00E4417E">
        <w:rPr>
          <w:rFonts w:ascii="Arial" w:hAnsi="Arial" w:cs="Arial"/>
        </w:rPr>
        <w:t xml:space="preserve"> </w:t>
      </w:r>
      <w:r w:rsidR="0043503F" w:rsidRPr="00E4417E">
        <w:rPr>
          <w:rFonts w:ascii="Arial" w:hAnsi="Arial" w:cs="Arial"/>
        </w:rPr>
        <w:t>relate to the Clean Air Plan</w:t>
      </w:r>
      <w:r w:rsidR="00E4417E" w:rsidRPr="00E4417E">
        <w:rPr>
          <w:rFonts w:ascii="Arial" w:hAnsi="Arial" w:cs="Arial"/>
        </w:rPr>
        <w:t xml:space="preserve">, </w:t>
      </w:r>
      <w:r w:rsidR="0043503F" w:rsidRPr="00E4417E">
        <w:rPr>
          <w:rFonts w:ascii="Arial" w:hAnsi="Arial" w:cs="Arial"/>
        </w:rPr>
        <w:t>Bus Franchising Programme</w:t>
      </w:r>
      <w:r w:rsidR="00E4417E" w:rsidRPr="00E4417E">
        <w:rPr>
          <w:rFonts w:ascii="Arial" w:hAnsi="Arial" w:cs="Arial"/>
        </w:rPr>
        <w:t>s and Metrolink Communications Network</w:t>
      </w:r>
      <w:r w:rsidRPr="00E4417E">
        <w:rPr>
          <w:rFonts w:ascii="Arial" w:hAnsi="Arial" w:cs="Arial"/>
        </w:rPr>
        <w:t>.</w:t>
      </w:r>
    </w:p>
    <w:p w14:paraId="1FF8FE35" w14:textId="77777777" w:rsidR="00795BE0" w:rsidRDefault="00795BE0" w:rsidP="006F1659">
      <w:pPr>
        <w:spacing w:line="360" w:lineRule="auto"/>
        <w:rPr>
          <w:rFonts w:ascii="Arial" w:eastAsia="Palatino Linotype" w:hAnsi="Arial" w:cs="Arial"/>
          <w:b/>
          <w:bCs/>
          <w:szCs w:val="28"/>
          <w:lang w:val="en-US"/>
        </w:rPr>
      </w:pPr>
      <w:bookmarkStart w:id="298" w:name="_Toc92894943"/>
      <w:bookmarkStart w:id="299" w:name="_Toc92895247"/>
    </w:p>
    <w:p w14:paraId="2E3CF37F" w14:textId="77777777" w:rsidR="00795BE0" w:rsidRPr="0007572B" w:rsidRDefault="00795BE0" w:rsidP="006F1659">
      <w:pPr>
        <w:pStyle w:val="Heading3greennumbered"/>
        <w:spacing w:line="360" w:lineRule="auto"/>
      </w:pPr>
      <w:bookmarkStart w:id="300" w:name="_Toc109922681"/>
      <w:r w:rsidRPr="0007572B">
        <w:t>49 Group Short and Long Term Debtors and Payments in Advance</w:t>
      </w:r>
      <w:bookmarkEnd w:id="298"/>
      <w:bookmarkEnd w:id="299"/>
      <w:bookmarkEnd w:id="300"/>
    </w:p>
    <w:p w14:paraId="73562A79" w14:textId="77777777" w:rsidR="00795BE0" w:rsidRDefault="00795BE0" w:rsidP="006F1659">
      <w:pPr>
        <w:spacing w:line="360" w:lineRule="auto"/>
        <w:rPr>
          <w:rFonts w:ascii="Arial" w:hAnsi="Arial" w:cs="Arial"/>
          <w:b/>
        </w:rPr>
      </w:pPr>
    </w:p>
    <w:p w14:paraId="4BA84DE8" w14:textId="5FFD0158" w:rsidR="00795BE0" w:rsidRPr="0007572B" w:rsidRDefault="007474A4" w:rsidP="006F1659">
      <w:pPr>
        <w:spacing w:line="360" w:lineRule="auto"/>
        <w:rPr>
          <w:rFonts w:ascii="Arial" w:hAnsi="Arial" w:cs="Arial"/>
          <w:b/>
          <w:highlight w:val="yellow"/>
        </w:rPr>
      </w:pPr>
      <w:r w:rsidRPr="007474A4">
        <w:rPr>
          <w:noProof/>
        </w:rPr>
        <w:drawing>
          <wp:inline distT="0" distB="0" distL="0" distR="0" wp14:anchorId="3F0759B4" wp14:editId="76660A59">
            <wp:extent cx="5975350" cy="895350"/>
            <wp:effectExtent l="0" t="0" r="635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975350" cy="895350"/>
                    </a:xfrm>
                    <a:prstGeom prst="rect">
                      <a:avLst/>
                    </a:prstGeom>
                    <a:noFill/>
                    <a:ln>
                      <a:noFill/>
                    </a:ln>
                  </pic:spPr>
                </pic:pic>
              </a:graphicData>
            </a:graphic>
          </wp:inline>
        </w:drawing>
      </w:r>
    </w:p>
    <w:p w14:paraId="12C19121" w14:textId="77777777" w:rsidR="00795BE0" w:rsidRPr="0007572B" w:rsidRDefault="00795BE0" w:rsidP="006F1659">
      <w:pPr>
        <w:spacing w:line="360" w:lineRule="auto"/>
        <w:rPr>
          <w:rFonts w:ascii="Arial" w:hAnsi="Arial" w:cs="Arial"/>
          <w:b/>
        </w:rPr>
      </w:pPr>
    </w:p>
    <w:p w14:paraId="26E95C48" w14:textId="6A7D5321" w:rsidR="00795BE0" w:rsidRDefault="00486642" w:rsidP="006F1659">
      <w:pPr>
        <w:spacing w:line="360" w:lineRule="auto"/>
        <w:rPr>
          <w:rFonts w:ascii="Arial" w:hAnsi="Arial" w:cs="Arial"/>
          <w:b/>
        </w:rPr>
      </w:pPr>
      <w:r w:rsidRPr="00486642">
        <w:rPr>
          <w:noProof/>
        </w:rPr>
        <w:drawing>
          <wp:inline distT="0" distB="0" distL="0" distR="0" wp14:anchorId="5B3241E6" wp14:editId="0355EBA9">
            <wp:extent cx="5969000" cy="1403350"/>
            <wp:effectExtent l="0" t="0" r="0" b="6350"/>
            <wp:docPr id="1186947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969000" cy="1403350"/>
                    </a:xfrm>
                    <a:prstGeom prst="rect">
                      <a:avLst/>
                    </a:prstGeom>
                    <a:noFill/>
                    <a:ln>
                      <a:noFill/>
                    </a:ln>
                  </pic:spPr>
                </pic:pic>
              </a:graphicData>
            </a:graphic>
          </wp:inline>
        </w:drawing>
      </w:r>
    </w:p>
    <w:p w14:paraId="29D207D9" w14:textId="77777777" w:rsidR="00EF5F08" w:rsidRDefault="00EF5F08" w:rsidP="006F1659">
      <w:pPr>
        <w:spacing w:line="360" w:lineRule="auto"/>
        <w:rPr>
          <w:rFonts w:ascii="Arial" w:hAnsi="Arial" w:cs="Arial"/>
          <w:b/>
        </w:rPr>
      </w:pPr>
    </w:p>
    <w:p w14:paraId="2C422504" w14:textId="4CF94ADE" w:rsidR="00EF5F08" w:rsidRPr="00EF5F08" w:rsidRDefault="00EF5F08" w:rsidP="006F1659">
      <w:pPr>
        <w:pStyle w:val="Heading4bold"/>
        <w:spacing w:line="360" w:lineRule="auto"/>
      </w:pPr>
      <w:r w:rsidRPr="00F51726">
        <w:t>Ageing Analysis of Trade Debtors</w:t>
      </w:r>
    </w:p>
    <w:p w14:paraId="6185FFF5" w14:textId="19712849" w:rsidR="00795BE0" w:rsidRDefault="00F42EFE" w:rsidP="006F1659">
      <w:pPr>
        <w:spacing w:line="360" w:lineRule="auto"/>
        <w:rPr>
          <w:rFonts w:ascii="Arial" w:hAnsi="Arial" w:cs="Arial"/>
          <w:b/>
        </w:rPr>
      </w:pPr>
      <w:r w:rsidRPr="00F42EFE">
        <w:rPr>
          <w:noProof/>
        </w:rPr>
        <w:drawing>
          <wp:inline distT="0" distB="0" distL="0" distR="0" wp14:anchorId="68E245F6" wp14:editId="3B111576">
            <wp:extent cx="4272280" cy="658495"/>
            <wp:effectExtent l="0" t="0" r="0" b="825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272280" cy="658495"/>
                    </a:xfrm>
                    <a:prstGeom prst="rect">
                      <a:avLst/>
                    </a:prstGeom>
                    <a:noFill/>
                    <a:ln>
                      <a:noFill/>
                    </a:ln>
                  </pic:spPr>
                </pic:pic>
              </a:graphicData>
            </a:graphic>
          </wp:inline>
        </w:drawing>
      </w:r>
    </w:p>
    <w:p w14:paraId="6553F72C" w14:textId="77777777" w:rsidR="00DB5E63" w:rsidRDefault="00DB5E63" w:rsidP="006F1659">
      <w:pPr>
        <w:spacing w:line="360" w:lineRule="auto"/>
        <w:rPr>
          <w:rFonts w:ascii="Arial" w:hAnsi="Arial" w:cs="Arial"/>
          <w:b/>
        </w:rPr>
      </w:pPr>
    </w:p>
    <w:p w14:paraId="2CC87B1C" w14:textId="77777777" w:rsidR="00DB5E63" w:rsidRPr="0007572B" w:rsidRDefault="00DB5E63" w:rsidP="006F1659">
      <w:pPr>
        <w:spacing w:line="360" w:lineRule="auto"/>
        <w:rPr>
          <w:rFonts w:ascii="Arial" w:hAnsi="Arial" w:cs="Arial"/>
          <w:b/>
        </w:rPr>
      </w:pPr>
    </w:p>
    <w:p w14:paraId="6CB956FB" w14:textId="77777777" w:rsidR="00795BE0" w:rsidRPr="0007572B" w:rsidRDefault="00795BE0" w:rsidP="006F1659">
      <w:pPr>
        <w:pStyle w:val="Heading3greennumbered"/>
        <w:spacing w:line="360" w:lineRule="auto"/>
      </w:pPr>
      <w:bookmarkStart w:id="301" w:name="_Toc92894944"/>
      <w:bookmarkStart w:id="302" w:name="_Toc92895248"/>
      <w:bookmarkStart w:id="303" w:name="_Toc109922682"/>
      <w:r w:rsidRPr="0007572B">
        <w:t>50 Group Cash and Cash Equivalents</w:t>
      </w:r>
      <w:bookmarkEnd w:id="301"/>
      <w:bookmarkEnd w:id="302"/>
      <w:bookmarkEnd w:id="303"/>
    </w:p>
    <w:p w14:paraId="1D4ADA7D" w14:textId="77777777" w:rsidR="00795BE0" w:rsidRDefault="00795BE0" w:rsidP="006F1659">
      <w:pPr>
        <w:spacing w:line="360" w:lineRule="auto"/>
        <w:rPr>
          <w:rFonts w:ascii="Arial" w:hAnsi="Arial" w:cs="Arial"/>
          <w:b/>
        </w:rPr>
      </w:pPr>
    </w:p>
    <w:p w14:paraId="5A171283" w14:textId="5B97809C" w:rsidR="007474A4" w:rsidRDefault="00EF5F08" w:rsidP="006F1659">
      <w:pPr>
        <w:spacing w:line="360" w:lineRule="auto"/>
      </w:pPr>
      <w:r w:rsidRPr="00EF5F08">
        <w:t xml:space="preserve"> </w:t>
      </w:r>
      <w:r w:rsidR="00186F50" w:rsidRPr="00186F50">
        <w:rPr>
          <w:noProof/>
        </w:rPr>
        <w:drawing>
          <wp:inline distT="0" distB="0" distL="0" distR="0" wp14:anchorId="4E172E71" wp14:editId="7DAFC7F8">
            <wp:extent cx="3975100" cy="895350"/>
            <wp:effectExtent l="0" t="0" r="6350" b="0"/>
            <wp:docPr id="9041450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975100" cy="895350"/>
                    </a:xfrm>
                    <a:prstGeom prst="rect">
                      <a:avLst/>
                    </a:prstGeom>
                    <a:noFill/>
                    <a:ln>
                      <a:noFill/>
                    </a:ln>
                  </pic:spPr>
                </pic:pic>
              </a:graphicData>
            </a:graphic>
          </wp:inline>
        </w:drawing>
      </w:r>
    </w:p>
    <w:p w14:paraId="534A1110" w14:textId="4D0A698F" w:rsidR="00F42EFE" w:rsidRDefault="00F42EFE" w:rsidP="006F1659">
      <w:pPr>
        <w:spacing w:line="360" w:lineRule="auto"/>
        <w:rPr>
          <w:rFonts w:ascii="Arial" w:eastAsia="Palatino Linotype" w:hAnsi="Arial" w:cs="Arial"/>
          <w:b/>
          <w:bCs/>
          <w:szCs w:val="28"/>
          <w:lang w:val="en-US"/>
        </w:rPr>
      </w:pPr>
      <w:bookmarkStart w:id="304" w:name="_Toc92894945"/>
      <w:bookmarkStart w:id="305" w:name="_Toc92895249"/>
      <w:bookmarkStart w:id="306" w:name="_Toc109922683"/>
    </w:p>
    <w:p w14:paraId="215483FE" w14:textId="252338E3" w:rsidR="00795BE0" w:rsidRPr="0007572B" w:rsidRDefault="00795BE0" w:rsidP="006F1659">
      <w:pPr>
        <w:pStyle w:val="Heading3greennumbered"/>
        <w:spacing w:line="360" w:lineRule="auto"/>
      </w:pPr>
      <w:r w:rsidRPr="0007572B">
        <w:lastRenderedPageBreak/>
        <w:t>51 Group Short Term Creditors</w:t>
      </w:r>
      <w:bookmarkEnd w:id="304"/>
      <w:bookmarkEnd w:id="305"/>
      <w:bookmarkEnd w:id="306"/>
    </w:p>
    <w:p w14:paraId="6B362301" w14:textId="77777777" w:rsidR="00647034" w:rsidRDefault="00647034" w:rsidP="006F1659">
      <w:pPr>
        <w:spacing w:line="360" w:lineRule="auto"/>
        <w:rPr>
          <w:rFonts w:ascii="Arial" w:hAnsi="Arial" w:cs="Arial"/>
          <w:noProof/>
          <w:sz w:val="28"/>
          <w:szCs w:val="28"/>
          <w:lang w:eastAsia="en-GB"/>
        </w:rPr>
      </w:pPr>
    </w:p>
    <w:p w14:paraId="3C3F25F8" w14:textId="45B6F030" w:rsidR="00795BE0" w:rsidRDefault="002C19C9" w:rsidP="006F1659">
      <w:pPr>
        <w:spacing w:line="360" w:lineRule="auto"/>
        <w:rPr>
          <w:rFonts w:ascii="Arial" w:hAnsi="Arial" w:cs="Arial"/>
          <w:noProof/>
          <w:sz w:val="28"/>
          <w:szCs w:val="28"/>
          <w:lang w:eastAsia="en-GB"/>
        </w:rPr>
      </w:pPr>
      <w:r w:rsidRPr="002C19C9">
        <w:rPr>
          <w:noProof/>
        </w:rPr>
        <w:drawing>
          <wp:inline distT="0" distB="0" distL="0" distR="0" wp14:anchorId="42BAF163" wp14:editId="2A6026A2">
            <wp:extent cx="5384800" cy="1403350"/>
            <wp:effectExtent l="0" t="0" r="6350" b="6350"/>
            <wp:docPr id="15045437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384800" cy="1403350"/>
                    </a:xfrm>
                    <a:prstGeom prst="rect">
                      <a:avLst/>
                    </a:prstGeom>
                    <a:noFill/>
                    <a:ln>
                      <a:noFill/>
                    </a:ln>
                  </pic:spPr>
                </pic:pic>
              </a:graphicData>
            </a:graphic>
          </wp:inline>
        </w:drawing>
      </w:r>
    </w:p>
    <w:p w14:paraId="5CBA547D" w14:textId="77777777" w:rsidR="007474A4" w:rsidRPr="00647034" w:rsidRDefault="007474A4" w:rsidP="006F1659">
      <w:pPr>
        <w:spacing w:line="360" w:lineRule="auto"/>
        <w:rPr>
          <w:rFonts w:ascii="Arial" w:hAnsi="Arial" w:cs="Arial"/>
          <w:noProof/>
          <w:sz w:val="28"/>
          <w:szCs w:val="28"/>
          <w:lang w:eastAsia="en-GB"/>
        </w:rPr>
      </w:pPr>
    </w:p>
    <w:p w14:paraId="5DA05E9A" w14:textId="77777777" w:rsidR="00795BE0" w:rsidRPr="0007572B" w:rsidRDefault="00795BE0" w:rsidP="006F1659">
      <w:pPr>
        <w:pStyle w:val="Heading3greennumbered"/>
        <w:spacing w:line="360" w:lineRule="auto"/>
      </w:pPr>
      <w:bookmarkStart w:id="307" w:name="_Toc92894946"/>
      <w:bookmarkStart w:id="308" w:name="_Toc92895250"/>
      <w:bookmarkStart w:id="309" w:name="_Toc109922684"/>
      <w:r w:rsidRPr="0007572B">
        <w:t>52 Group Short and Long Term Provisions</w:t>
      </w:r>
      <w:bookmarkEnd w:id="307"/>
      <w:bookmarkEnd w:id="308"/>
      <w:bookmarkEnd w:id="309"/>
    </w:p>
    <w:p w14:paraId="6C5A2D08" w14:textId="77777777" w:rsidR="00795BE0" w:rsidRDefault="00795BE0" w:rsidP="006F1659">
      <w:pPr>
        <w:spacing w:line="360" w:lineRule="auto"/>
        <w:rPr>
          <w:rFonts w:ascii="Arial" w:hAnsi="Arial" w:cs="Arial"/>
        </w:rPr>
      </w:pPr>
    </w:p>
    <w:p w14:paraId="5A7E8C1B" w14:textId="64FE9C1F" w:rsidR="00795BE0" w:rsidRPr="0007572B" w:rsidRDefault="00795BE0" w:rsidP="006F1659">
      <w:pPr>
        <w:spacing w:line="360" w:lineRule="auto"/>
        <w:rPr>
          <w:rFonts w:ascii="Arial" w:hAnsi="Arial" w:cs="Arial"/>
        </w:rPr>
      </w:pPr>
      <w:r w:rsidRPr="0007572B">
        <w:rPr>
          <w:rFonts w:ascii="Arial" w:hAnsi="Arial" w:cs="Arial"/>
        </w:rPr>
        <w:t>Provisions are established to meet liabilities or losses which are likely or certain to be incurred, but the amounts or timings are uncertain. Provisions provided as at 31 March 202</w:t>
      </w:r>
      <w:r w:rsidR="00845B32">
        <w:rPr>
          <w:rFonts w:ascii="Arial" w:hAnsi="Arial" w:cs="Arial"/>
        </w:rPr>
        <w:t>3</w:t>
      </w:r>
      <w:r w:rsidRPr="0007572B">
        <w:rPr>
          <w:rFonts w:ascii="Arial" w:hAnsi="Arial" w:cs="Arial"/>
        </w:rPr>
        <w:t xml:space="preserve"> relate to (a) capital works, (b) insurance excesses,</w:t>
      </w:r>
      <w:r w:rsidR="00EF116E">
        <w:rPr>
          <w:rFonts w:ascii="Arial" w:hAnsi="Arial" w:cs="Arial"/>
        </w:rPr>
        <w:t xml:space="preserve"> </w:t>
      </w:r>
      <w:r w:rsidR="00B54132">
        <w:rPr>
          <w:rFonts w:ascii="Arial" w:hAnsi="Arial" w:cs="Arial"/>
        </w:rPr>
        <w:t xml:space="preserve">(c) </w:t>
      </w:r>
      <w:r w:rsidRPr="0007572B">
        <w:rPr>
          <w:rFonts w:ascii="Arial" w:hAnsi="Arial" w:cs="Arial"/>
        </w:rPr>
        <w:t>an onerous lease</w:t>
      </w:r>
      <w:r w:rsidR="00EF116E">
        <w:rPr>
          <w:rFonts w:ascii="Arial" w:hAnsi="Arial" w:cs="Arial"/>
        </w:rPr>
        <w:t xml:space="preserve"> and (d) </w:t>
      </w:r>
      <w:r w:rsidR="00463AF0">
        <w:rPr>
          <w:rFonts w:ascii="Arial" w:hAnsi="Arial" w:cs="Arial"/>
        </w:rPr>
        <w:t>Landcare</w:t>
      </w:r>
      <w:r w:rsidR="00EF116E">
        <w:rPr>
          <w:rFonts w:ascii="Arial" w:hAnsi="Arial" w:cs="Arial"/>
        </w:rPr>
        <w:t xml:space="preserve"> provision</w:t>
      </w:r>
      <w:r w:rsidRPr="0007572B">
        <w:rPr>
          <w:rFonts w:ascii="Arial" w:hAnsi="Arial" w:cs="Arial"/>
        </w:rPr>
        <w:t>.</w:t>
      </w:r>
    </w:p>
    <w:p w14:paraId="43D1DFEB" w14:textId="722ECE31" w:rsidR="00795BE0" w:rsidRDefault="00795BE0" w:rsidP="006F1659">
      <w:pPr>
        <w:spacing w:line="360" w:lineRule="auto"/>
        <w:rPr>
          <w:rFonts w:ascii="Arial" w:hAnsi="Arial" w:cs="Arial"/>
          <w:b/>
        </w:rPr>
      </w:pPr>
    </w:p>
    <w:p w14:paraId="08A91475" w14:textId="6FB2509A" w:rsidR="004C15B8" w:rsidRPr="0007572B" w:rsidRDefault="0061311B" w:rsidP="006F1659">
      <w:pPr>
        <w:spacing w:line="360" w:lineRule="auto"/>
        <w:rPr>
          <w:rFonts w:ascii="Arial" w:hAnsi="Arial" w:cs="Arial"/>
          <w:b/>
        </w:rPr>
      </w:pPr>
      <w:r w:rsidRPr="0061311B">
        <w:rPr>
          <w:noProof/>
        </w:rPr>
        <w:drawing>
          <wp:inline distT="0" distB="0" distL="0" distR="0" wp14:anchorId="589F782B" wp14:editId="05DC39C2">
            <wp:extent cx="5975350" cy="3176270"/>
            <wp:effectExtent l="0" t="0" r="6350" b="508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975350" cy="3176270"/>
                    </a:xfrm>
                    <a:prstGeom prst="rect">
                      <a:avLst/>
                    </a:prstGeom>
                    <a:noFill/>
                    <a:ln>
                      <a:noFill/>
                    </a:ln>
                  </pic:spPr>
                </pic:pic>
              </a:graphicData>
            </a:graphic>
          </wp:inline>
        </w:drawing>
      </w:r>
    </w:p>
    <w:p w14:paraId="65881ABA" w14:textId="3AB19E24" w:rsidR="00795BE0" w:rsidRDefault="00E66BDC" w:rsidP="006F1659">
      <w:pPr>
        <w:spacing w:line="360" w:lineRule="auto"/>
        <w:rPr>
          <w:rFonts w:ascii="Arial" w:hAnsi="Arial" w:cs="Arial"/>
          <w:b/>
        </w:rPr>
      </w:pPr>
      <w:r w:rsidRPr="00E66BDC">
        <w:rPr>
          <w:rFonts w:ascii="Arial" w:hAnsi="Arial" w:cs="Arial"/>
          <w:b/>
        </w:rPr>
        <w:t xml:space="preserve"> </w:t>
      </w:r>
    </w:p>
    <w:p w14:paraId="3176420A" w14:textId="77777777" w:rsidR="00795BE0" w:rsidRPr="0007572B" w:rsidRDefault="00795BE0" w:rsidP="006F1659">
      <w:pPr>
        <w:spacing w:line="360" w:lineRule="auto"/>
        <w:jc w:val="both"/>
        <w:rPr>
          <w:rFonts w:ascii="Arial" w:hAnsi="Arial" w:cs="Arial"/>
          <w:b/>
          <w:u w:val="single"/>
          <w:lang w:eastAsia="en-GB"/>
        </w:rPr>
      </w:pPr>
    </w:p>
    <w:p w14:paraId="20D045C3" w14:textId="09754C3F" w:rsidR="00795BE0" w:rsidRDefault="00795BE0" w:rsidP="006F1659">
      <w:pPr>
        <w:pStyle w:val="ListParagraph"/>
        <w:numPr>
          <w:ilvl w:val="0"/>
          <w:numId w:val="62"/>
        </w:numPr>
        <w:spacing w:after="0" w:line="360" w:lineRule="auto"/>
        <w:rPr>
          <w:rFonts w:ascii="Arial" w:hAnsi="Arial" w:cs="Arial"/>
          <w:sz w:val="24"/>
          <w:szCs w:val="24"/>
        </w:rPr>
      </w:pPr>
      <w:bookmarkStart w:id="310" w:name="_Hlk107235867"/>
      <w:r>
        <w:rPr>
          <w:rFonts w:ascii="Arial" w:hAnsi="Arial" w:cs="Arial"/>
          <w:sz w:val="24"/>
          <w:szCs w:val="24"/>
        </w:rPr>
        <w:t xml:space="preserve">Capital Works - </w:t>
      </w:r>
      <w:r w:rsidRPr="000A2EDF">
        <w:rPr>
          <w:rFonts w:ascii="Arial" w:hAnsi="Arial" w:cs="Arial"/>
          <w:sz w:val="24"/>
          <w:szCs w:val="24"/>
        </w:rPr>
        <w:t>Costs for works arising for land acquired</w:t>
      </w:r>
      <w:r w:rsidRPr="000A2EDF" w:rsidDel="001F1EF1">
        <w:rPr>
          <w:rFonts w:ascii="Arial" w:hAnsi="Arial" w:cs="Arial"/>
          <w:sz w:val="24"/>
          <w:szCs w:val="24"/>
        </w:rPr>
        <w:t xml:space="preserve"> </w:t>
      </w:r>
      <w:r w:rsidRPr="000A2EDF">
        <w:rPr>
          <w:rFonts w:ascii="Arial" w:hAnsi="Arial" w:cs="Arial"/>
          <w:sz w:val="24"/>
          <w:szCs w:val="24"/>
        </w:rPr>
        <w:t>in the ordinary course of delivering TfGM’s capital programme, where the amount of payment is uncertain</w:t>
      </w:r>
      <w:r w:rsidR="00D26387">
        <w:rPr>
          <w:rFonts w:ascii="Arial" w:hAnsi="Arial" w:cs="Arial"/>
          <w:sz w:val="24"/>
          <w:szCs w:val="24"/>
        </w:rPr>
        <w:t>.</w:t>
      </w:r>
    </w:p>
    <w:p w14:paraId="7111124B" w14:textId="77777777" w:rsidR="00795BE0" w:rsidRDefault="00795BE0" w:rsidP="006F1659">
      <w:pPr>
        <w:pStyle w:val="ListParagraph"/>
        <w:spacing w:after="0" w:line="360" w:lineRule="auto"/>
        <w:rPr>
          <w:rFonts w:ascii="Arial" w:hAnsi="Arial" w:cs="Arial"/>
          <w:sz w:val="24"/>
          <w:szCs w:val="24"/>
        </w:rPr>
      </w:pPr>
    </w:p>
    <w:p w14:paraId="36F7B9E3" w14:textId="73FACB13" w:rsidR="00795BE0" w:rsidRDefault="00795BE0" w:rsidP="006F1659">
      <w:pPr>
        <w:pStyle w:val="ListParagraph"/>
        <w:numPr>
          <w:ilvl w:val="0"/>
          <w:numId w:val="62"/>
        </w:numPr>
        <w:spacing w:after="0" w:line="360" w:lineRule="auto"/>
        <w:rPr>
          <w:rFonts w:ascii="Arial" w:hAnsi="Arial" w:cs="Arial"/>
          <w:sz w:val="24"/>
          <w:szCs w:val="24"/>
        </w:rPr>
      </w:pPr>
      <w:r>
        <w:rPr>
          <w:rFonts w:ascii="Arial" w:hAnsi="Arial" w:cs="Arial"/>
          <w:sz w:val="24"/>
          <w:szCs w:val="24"/>
        </w:rPr>
        <w:lastRenderedPageBreak/>
        <w:t xml:space="preserve">Insurance Excess - </w:t>
      </w:r>
      <w:r w:rsidRPr="00E5256C">
        <w:rPr>
          <w:rFonts w:ascii="Arial" w:hAnsi="Arial" w:cs="Arial"/>
          <w:sz w:val="24"/>
          <w:szCs w:val="24"/>
        </w:rPr>
        <w:t>Excesses on Public Liability claims, arising from minor accidents to the public, and Employers Liability claims for work related illnesses that were potentially incurred prior to the transfer of TfGM’s bus operations following the implementation of the Transport Act 1985</w:t>
      </w:r>
      <w:r w:rsidR="00D26387">
        <w:rPr>
          <w:rFonts w:ascii="Arial" w:hAnsi="Arial" w:cs="Arial"/>
          <w:sz w:val="24"/>
          <w:szCs w:val="24"/>
        </w:rPr>
        <w:t>.</w:t>
      </w:r>
    </w:p>
    <w:p w14:paraId="58A31001" w14:textId="77777777" w:rsidR="00795BE0" w:rsidRPr="00E5256C" w:rsidRDefault="00795BE0" w:rsidP="006F1659">
      <w:pPr>
        <w:pStyle w:val="ListParagraph"/>
        <w:spacing w:line="360" w:lineRule="auto"/>
        <w:rPr>
          <w:rFonts w:ascii="Arial" w:hAnsi="Arial" w:cs="Arial"/>
          <w:sz w:val="24"/>
          <w:szCs w:val="24"/>
        </w:rPr>
      </w:pPr>
    </w:p>
    <w:p w14:paraId="02A9EEB4" w14:textId="28E9922A" w:rsidR="00795BE0" w:rsidRDefault="00795BE0" w:rsidP="006F1659">
      <w:pPr>
        <w:pStyle w:val="ListParagraph"/>
        <w:numPr>
          <w:ilvl w:val="0"/>
          <w:numId w:val="62"/>
        </w:numPr>
        <w:spacing w:after="0" w:line="360" w:lineRule="auto"/>
        <w:rPr>
          <w:rFonts w:ascii="Arial" w:hAnsi="Arial" w:cs="Arial"/>
          <w:sz w:val="24"/>
          <w:szCs w:val="24"/>
        </w:rPr>
      </w:pPr>
      <w:r w:rsidRPr="00E5256C">
        <w:rPr>
          <w:rFonts w:ascii="Arial" w:hAnsi="Arial" w:cs="Arial"/>
          <w:sz w:val="24"/>
          <w:szCs w:val="24"/>
        </w:rPr>
        <w:t>Onerous lease</w:t>
      </w:r>
      <w:r>
        <w:rPr>
          <w:rFonts w:ascii="Arial" w:hAnsi="Arial" w:cs="Arial"/>
          <w:sz w:val="24"/>
          <w:szCs w:val="24"/>
        </w:rPr>
        <w:t xml:space="preserve"> -</w:t>
      </w:r>
      <w:r w:rsidRPr="00E5256C">
        <w:rPr>
          <w:rFonts w:ascii="Arial" w:hAnsi="Arial" w:cs="Arial"/>
          <w:sz w:val="24"/>
          <w:szCs w:val="24"/>
        </w:rPr>
        <w:t xml:space="preserve"> Future lease costs of a property held on a long</w:t>
      </w:r>
      <w:r w:rsidR="00F3496D">
        <w:rPr>
          <w:rFonts w:ascii="Arial" w:hAnsi="Arial" w:cs="Arial"/>
          <w:sz w:val="24"/>
          <w:szCs w:val="24"/>
        </w:rPr>
        <w:t xml:space="preserve"> </w:t>
      </w:r>
      <w:r w:rsidRPr="00E5256C">
        <w:rPr>
          <w:rFonts w:ascii="Arial" w:hAnsi="Arial" w:cs="Arial"/>
          <w:sz w:val="24"/>
          <w:szCs w:val="24"/>
        </w:rPr>
        <w:t>term lease by TfGM</w:t>
      </w:r>
      <w:r w:rsidR="00D26387">
        <w:rPr>
          <w:rFonts w:ascii="Arial" w:hAnsi="Arial" w:cs="Arial"/>
          <w:sz w:val="24"/>
          <w:szCs w:val="24"/>
        </w:rPr>
        <w:t>.</w:t>
      </w:r>
    </w:p>
    <w:p w14:paraId="3B0ECE8C" w14:textId="77777777" w:rsidR="00EF116E" w:rsidRPr="00EF116E" w:rsidRDefault="00EF116E" w:rsidP="006F1659">
      <w:pPr>
        <w:pStyle w:val="ListParagraph"/>
        <w:spacing w:line="360" w:lineRule="auto"/>
        <w:rPr>
          <w:rFonts w:ascii="Arial" w:hAnsi="Arial" w:cs="Arial"/>
          <w:sz w:val="24"/>
          <w:szCs w:val="24"/>
        </w:rPr>
      </w:pPr>
    </w:p>
    <w:p w14:paraId="3F6C421F" w14:textId="115CF6A4" w:rsidR="00EF116E" w:rsidRDefault="00EF116E" w:rsidP="006F1659">
      <w:pPr>
        <w:pStyle w:val="ListParagraph"/>
        <w:numPr>
          <w:ilvl w:val="0"/>
          <w:numId w:val="62"/>
        </w:numPr>
        <w:spacing w:after="0" w:line="360" w:lineRule="auto"/>
        <w:rPr>
          <w:rFonts w:ascii="Arial" w:hAnsi="Arial" w:cs="Arial"/>
          <w:sz w:val="24"/>
          <w:szCs w:val="24"/>
        </w:rPr>
      </w:pPr>
      <w:r w:rsidRPr="00271082">
        <w:rPr>
          <w:rFonts w:ascii="Arial" w:hAnsi="Arial" w:cs="Arial"/>
          <w:sz w:val="24"/>
          <w:szCs w:val="24"/>
        </w:rPr>
        <w:t>Landcare Provision - The GMWDA sold 18 sites to the private sector (Landcare (Manchester) Limited) in December 2012 in return for agreeing a fixed ten year contribution less potential income from part of any enhanced value (overage) from future development of the sites. The Landcare provision represents the maximum amounts that GMCA would have to pay each year, however as there is an overage clause if Landcare were to make money from one of the sites transferred to them, there is a mechanism to reduce the annual payment.</w:t>
      </w:r>
    </w:p>
    <w:bookmarkEnd w:id="310"/>
    <w:p w14:paraId="57568625" w14:textId="77777777" w:rsidR="00795BE0" w:rsidRDefault="00795BE0" w:rsidP="006F1659">
      <w:pPr>
        <w:spacing w:line="360" w:lineRule="auto"/>
        <w:jc w:val="both"/>
        <w:rPr>
          <w:rFonts w:ascii="Arial" w:hAnsi="Arial" w:cs="Arial"/>
          <w:b/>
          <w:sz w:val="22"/>
          <w:szCs w:val="22"/>
        </w:rPr>
      </w:pPr>
    </w:p>
    <w:p w14:paraId="13CC5B9D" w14:textId="77777777" w:rsidR="00BD2CF6" w:rsidRPr="0007572B" w:rsidRDefault="00BD2CF6" w:rsidP="006F1659">
      <w:pPr>
        <w:spacing w:line="360" w:lineRule="auto"/>
        <w:jc w:val="both"/>
        <w:rPr>
          <w:rFonts w:ascii="Arial" w:hAnsi="Arial" w:cs="Arial"/>
          <w:b/>
          <w:sz w:val="22"/>
          <w:szCs w:val="22"/>
        </w:rPr>
      </w:pPr>
    </w:p>
    <w:p w14:paraId="2D6514C8" w14:textId="77777777" w:rsidR="00795BE0" w:rsidRPr="0007572B" w:rsidRDefault="00795BE0" w:rsidP="006F1659">
      <w:pPr>
        <w:pStyle w:val="Heading3greennumbered"/>
        <w:spacing w:line="360" w:lineRule="auto"/>
      </w:pPr>
      <w:bookmarkStart w:id="311" w:name="_Toc92894947"/>
      <w:bookmarkStart w:id="312" w:name="_Toc92895251"/>
      <w:bookmarkStart w:id="313" w:name="_Toc109922685"/>
      <w:r w:rsidRPr="0007572B">
        <w:t>53 Group Unusable Reserves</w:t>
      </w:r>
      <w:bookmarkEnd w:id="311"/>
      <w:bookmarkEnd w:id="312"/>
      <w:bookmarkEnd w:id="313"/>
    </w:p>
    <w:p w14:paraId="19DB003F" w14:textId="034A786C" w:rsidR="00795BE0" w:rsidRDefault="00795BE0" w:rsidP="006F1659">
      <w:pPr>
        <w:spacing w:line="360" w:lineRule="auto"/>
        <w:rPr>
          <w:rFonts w:ascii="Arial" w:hAnsi="Arial" w:cs="Arial"/>
          <w:b/>
        </w:rPr>
      </w:pPr>
    </w:p>
    <w:p w14:paraId="5AFA6834" w14:textId="12AC2556" w:rsidR="004C15B8" w:rsidRDefault="00186F50" w:rsidP="006F1659">
      <w:pPr>
        <w:spacing w:line="360" w:lineRule="auto"/>
        <w:rPr>
          <w:rFonts w:ascii="Arial" w:hAnsi="Arial" w:cs="Arial"/>
          <w:b/>
        </w:rPr>
      </w:pPr>
      <w:r w:rsidRPr="00186F50">
        <w:rPr>
          <w:noProof/>
        </w:rPr>
        <w:drawing>
          <wp:inline distT="0" distB="0" distL="0" distR="0" wp14:anchorId="17785455" wp14:editId="1883C869">
            <wp:extent cx="5543550" cy="1670050"/>
            <wp:effectExtent l="0" t="0" r="0" b="6350"/>
            <wp:docPr id="133179895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543550" cy="1670050"/>
                    </a:xfrm>
                    <a:prstGeom prst="rect">
                      <a:avLst/>
                    </a:prstGeom>
                    <a:noFill/>
                    <a:ln>
                      <a:noFill/>
                    </a:ln>
                  </pic:spPr>
                </pic:pic>
              </a:graphicData>
            </a:graphic>
          </wp:inline>
        </w:drawing>
      </w:r>
    </w:p>
    <w:p w14:paraId="3E63497E" w14:textId="5B9BB57D" w:rsidR="00AC6E9D" w:rsidRDefault="00AC6E9D" w:rsidP="006F1659">
      <w:pPr>
        <w:spacing w:line="360" w:lineRule="auto"/>
        <w:rPr>
          <w:rFonts w:ascii="Arial" w:hAnsi="Arial" w:cs="Arial"/>
          <w:b/>
        </w:rPr>
      </w:pPr>
    </w:p>
    <w:p w14:paraId="3E1B3994" w14:textId="77777777" w:rsidR="00795BE0" w:rsidRPr="0007572B" w:rsidRDefault="00795BE0" w:rsidP="006F1659">
      <w:pPr>
        <w:pStyle w:val="Heading4bold"/>
        <w:spacing w:line="360" w:lineRule="auto"/>
      </w:pPr>
      <w:r w:rsidRPr="0007572B">
        <w:t>Capital Adjustment Account</w:t>
      </w:r>
    </w:p>
    <w:p w14:paraId="357CC60C" w14:textId="36E8C7B1" w:rsidR="00795BE0" w:rsidRDefault="00795BE0" w:rsidP="006F1659">
      <w:pPr>
        <w:spacing w:line="360" w:lineRule="auto"/>
        <w:rPr>
          <w:rFonts w:ascii="Arial" w:hAnsi="Arial" w:cs="Arial"/>
        </w:rPr>
      </w:pPr>
      <w:r w:rsidRPr="0007572B">
        <w:rPr>
          <w:rFonts w:ascii="Arial" w:hAnsi="Arial" w:cs="Arial"/>
        </w:rPr>
        <w:t xml:space="preserve">The Capital Adjustment Account absorbs the timing differences arising from the different arrangements for accounting for the consumption of non-current assets and for financing the acquisition, </w:t>
      </w:r>
      <w:r w:rsidR="008B7E93" w:rsidRPr="0007572B">
        <w:rPr>
          <w:rFonts w:ascii="Arial" w:hAnsi="Arial" w:cs="Arial"/>
        </w:rPr>
        <w:t>construction,</w:t>
      </w:r>
      <w:r w:rsidRPr="0007572B">
        <w:rPr>
          <w:rFonts w:ascii="Arial" w:hAnsi="Arial" w:cs="Arial"/>
        </w:rPr>
        <w:t xml:space="preserve"> or enhancement of those assets under statutory provisions.</w:t>
      </w:r>
    </w:p>
    <w:p w14:paraId="60C9EB67" w14:textId="77777777" w:rsidR="003D03A4" w:rsidRPr="0007572B" w:rsidRDefault="003D03A4" w:rsidP="006F1659">
      <w:pPr>
        <w:spacing w:line="360" w:lineRule="auto"/>
        <w:rPr>
          <w:rFonts w:ascii="Arial" w:hAnsi="Arial" w:cs="Arial"/>
        </w:rPr>
      </w:pPr>
    </w:p>
    <w:p w14:paraId="0EC687B0" w14:textId="6BA27B5B" w:rsidR="00795BE0" w:rsidRDefault="001F7874" w:rsidP="006F1659">
      <w:pPr>
        <w:spacing w:line="360" w:lineRule="auto"/>
        <w:rPr>
          <w:rFonts w:ascii="Arial" w:hAnsi="Arial" w:cs="Arial"/>
        </w:rPr>
      </w:pPr>
      <w:r w:rsidRPr="001F7874">
        <w:rPr>
          <w:noProof/>
        </w:rPr>
        <w:lastRenderedPageBreak/>
        <w:drawing>
          <wp:inline distT="0" distB="0" distL="0" distR="0" wp14:anchorId="71A03902" wp14:editId="59FDF67B">
            <wp:extent cx="5975350" cy="4470400"/>
            <wp:effectExtent l="0" t="0" r="6350" b="6350"/>
            <wp:docPr id="8419928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975350" cy="4470400"/>
                    </a:xfrm>
                    <a:prstGeom prst="rect">
                      <a:avLst/>
                    </a:prstGeom>
                    <a:noFill/>
                    <a:ln>
                      <a:noFill/>
                    </a:ln>
                  </pic:spPr>
                </pic:pic>
              </a:graphicData>
            </a:graphic>
          </wp:inline>
        </w:drawing>
      </w:r>
    </w:p>
    <w:p w14:paraId="1D470BD1" w14:textId="4748A2C8" w:rsidR="001174F5" w:rsidRDefault="001174F5" w:rsidP="006F1659">
      <w:pPr>
        <w:spacing w:line="360" w:lineRule="auto"/>
        <w:rPr>
          <w:rFonts w:ascii="Arial" w:hAnsi="Arial" w:cs="Arial"/>
          <w:b/>
          <w:bCs/>
        </w:rPr>
      </w:pPr>
    </w:p>
    <w:p w14:paraId="2716A6E3" w14:textId="6AA6D505" w:rsidR="00795BE0" w:rsidRPr="0007572B" w:rsidRDefault="00795BE0" w:rsidP="006F1659">
      <w:pPr>
        <w:pStyle w:val="Heading4bold"/>
        <w:spacing w:line="360" w:lineRule="auto"/>
      </w:pPr>
      <w:r w:rsidRPr="0007572B">
        <w:t>Pensions Reserve</w:t>
      </w:r>
    </w:p>
    <w:p w14:paraId="2B0D1275" w14:textId="3451682B" w:rsidR="00795BE0" w:rsidRDefault="00795BE0" w:rsidP="006F1659">
      <w:pPr>
        <w:spacing w:line="360" w:lineRule="auto"/>
        <w:rPr>
          <w:rFonts w:ascii="Arial" w:hAnsi="Arial" w:cs="Arial"/>
        </w:rPr>
      </w:pPr>
      <w:r w:rsidRPr="0007572B">
        <w:rPr>
          <w:rFonts w:ascii="Arial" w:hAnsi="Arial" w:cs="Arial"/>
        </w:rPr>
        <w:t>This relates to the net pension asset as at 31 March 202</w:t>
      </w:r>
      <w:r w:rsidR="00845B32">
        <w:rPr>
          <w:rFonts w:ascii="Arial" w:hAnsi="Arial" w:cs="Arial"/>
        </w:rPr>
        <w:t>3</w:t>
      </w:r>
      <w:r w:rsidRPr="0007572B">
        <w:rPr>
          <w:rFonts w:ascii="Arial" w:hAnsi="Arial" w:cs="Arial"/>
        </w:rPr>
        <w:t xml:space="preserve"> in accordance with the actuary's report. Further details are shown in note </w:t>
      </w:r>
      <w:r w:rsidR="00E416F6">
        <w:rPr>
          <w:rFonts w:ascii="Arial" w:hAnsi="Arial" w:cs="Arial"/>
        </w:rPr>
        <w:t>59</w:t>
      </w:r>
      <w:r w:rsidRPr="0007572B">
        <w:rPr>
          <w:rFonts w:ascii="Arial" w:hAnsi="Arial" w:cs="Arial"/>
        </w:rPr>
        <w:t>.</w:t>
      </w:r>
    </w:p>
    <w:p w14:paraId="296311AE" w14:textId="0ED1081E" w:rsidR="004C15B8" w:rsidRDefault="004C15B8" w:rsidP="006F1659">
      <w:pPr>
        <w:spacing w:line="360" w:lineRule="auto"/>
        <w:rPr>
          <w:rFonts w:ascii="Arial" w:hAnsi="Arial" w:cs="Arial"/>
        </w:rPr>
      </w:pPr>
    </w:p>
    <w:p w14:paraId="0CBE192B" w14:textId="44A9AE9A" w:rsidR="00625C81" w:rsidRDefault="00DC52FE" w:rsidP="006F1659">
      <w:pPr>
        <w:spacing w:line="360" w:lineRule="auto"/>
      </w:pPr>
      <w:r w:rsidRPr="00DC52FE">
        <w:rPr>
          <w:noProof/>
        </w:rPr>
        <w:drawing>
          <wp:inline distT="0" distB="0" distL="0" distR="0" wp14:anchorId="5E0FF68E" wp14:editId="534AAA6D">
            <wp:extent cx="5975350" cy="1161415"/>
            <wp:effectExtent l="0" t="0" r="6350" b="635"/>
            <wp:docPr id="20793514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975350" cy="1161415"/>
                    </a:xfrm>
                    <a:prstGeom prst="rect">
                      <a:avLst/>
                    </a:prstGeom>
                    <a:noFill/>
                    <a:ln>
                      <a:noFill/>
                    </a:ln>
                  </pic:spPr>
                </pic:pic>
              </a:graphicData>
            </a:graphic>
          </wp:inline>
        </w:drawing>
      </w:r>
    </w:p>
    <w:p w14:paraId="4767F7B4" w14:textId="77777777" w:rsidR="00625C81" w:rsidRDefault="00625C81" w:rsidP="006F1659">
      <w:pPr>
        <w:spacing w:line="360" w:lineRule="auto"/>
      </w:pPr>
    </w:p>
    <w:p w14:paraId="3E4B167E" w14:textId="73D82DF5" w:rsidR="00795BE0" w:rsidRPr="007474A4" w:rsidRDefault="00795BE0" w:rsidP="006F1659">
      <w:pPr>
        <w:pStyle w:val="Heading4bold"/>
        <w:spacing w:line="360" w:lineRule="auto"/>
      </w:pPr>
      <w:r w:rsidRPr="0007572B">
        <w:lastRenderedPageBreak/>
        <w:t>Revaluation Reserve</w:t>
      </w:r>
    </w:p>
    <w:p w14:paraId="66F1EECA" w14:textId="7E2D1A38" w:rsidR="00A04862" w:rsidRDefault="001174F5" w:rsidP="006F1659">
      <w:pPr>
        <w:spacing w:line="360" w:lineRule="auto"/>
        <w:rPr>
          <w:rFonts w:ascii="Arial" w:hAnsi="Arial" w:cs="Arial"/>
          <w:b/>
        </w:rPr>
      </w:pPr>
      <w:r w:rsidRPr="001174F5">
        <w:rPr>
          <w:noProof/>
        </w:rPr>
        <w:drawing>
          <wp:inline distT="0" distB="0" distL="0" distR="0" wp14:anchorId="41FD0785" wp14:editId="0DA8CF52">
            <wp:extent cx="5975350" cy="183642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975350" cy="1836420"/>
                    </a:xfrm>
                    <a:prstGeom prst="rect">
                      <a:avLst/>
                    </a:prstGeom>
                    <a:noFill/>
                    <a:ln>
                      <a:noFill/>
                    </a:ln>
                  </pic:spPr>
                </pic:pic>
              </a:graphicData>
            </a:graphic>
          </wp:inline>
        </w:drawing>
      </w:r>
    </w:p>
    <w:p w14:paraId="2AE509FC" w14:textId="77777777" w:rsidR="00AC6E9D" w:rsidRPr="0007572B" w:rsidRDefault="00AC6E9D" w:rsidP="006F1659">
      <w:pPr>
        <w:spacing w:line="360" w:lineRule="auto"/>
        <w:rPr>
          <w:rFonts w:ascii="Arial" w:hAnsi="Arial" w:cs="Arial"/>
          <w:b/>
        </w:rPr>
      </w:pPr>
    </w:p>
    <w:p w14:paraId="327EB6E5" w14:textId="77777777" w:rsidR="00795BE0" w:rsidRPr="0007572B" w:rsidRDefault="00795BE0" w:rsidP="006F1659">
      <w:pPr>
        <w:pStyle w:val="Heading4bold"/>
        <w:spacing w:line="360" w:lineRule="auto"/>
      </w:pPr>
      <w:r w:rsidRPr="0007572B">
        <w:t>Accumulated Absences Reserve</w:t>
      </w:r>
    </w:p>
    <w:p w14:paraId="423B4D74" w14:textId="2AD8C740" w:rsidR="00795BE0" w:rsidRPr="0007572B" w:rsidRDefault="00625C81" w:rsidP="006F1659">
      <w:pPr>
        <w:spacing w:line="360" w:lineRule="auto"/>
        <w:rPr>
          <w:rFonts w:ascii="Arial" w:hAnsi="Arial" w:cs="Arial"/>
          <w:b/>
        </w:rPr>
      </w:pPr>
      <w:r w:rsidRPr="00625C81">
        <w:rPr>
          <w:noProof/>
        </w:rPr>
        <w:drawing>
          <wp:inline distT="0" distB="0" distL="0" distR="0" wp14:anchorId="091CCFEF" wp14:editId="4A295EBF">
            <wp:extent cx="5975350" cy="1256030"/>
            <wp:effectExtent l="0" t="0" r="6350" b="127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975350" cy="1256030"/>
                    </a:xfrm>
                    <a:prstGeom prst="rect">
                      <a:avLst/>
                    </a:prstGeom>
                    <a:noFill/>
                    <a:ln>
                      <a:noFill/>
                    </a:ln>
                  </pic:spPr>
                </pic:pic>
              </a:graphicData>
            </a:graphic>
          </wp:inline>
        </w:drawing>
      </w:r>
    </w:p>
    <w:p w14:paraId="2A7E33B5" w14:textId="77777777" w:rsidR="00795BE0" w:rsidRPr="0007572B" w:rsidRDefault="00795BE0" w:rsidP="006F1659">
      <w:pPr>
        <w:spacing w:line="360" w:lineRule="auto"/>
        <w:rPr>
          <w:rFonts w:ascii="Arial" w:hAnsi="Arial" w:cs="Arial"/>
          <w:b/>
        </w:rPr>
      </w:pPr>
    </w:p>
    <w:p w14:paraId="469264B8" w14:textId="77777777" w:rsidR="00795BE0" w:rsidRPr="0007572B" w:rsidRDefault="00795BE0" w:rsidP="006F1659">
      <w:pPr>
        <w:pStyle w:val="Heading4bold"/>
        <w:spacing w:line="360" w:lineRule="auto"/>
      </w:pPr>
      <w:r w:rsidRPr="0007572B">
        <w:t>Deregulation Reserve</w:t>
      </w:r>
    </w:p>
    <w:p w14:paraId="792EC8FF" w14:textId="77777777" w:rsidR="00795BE0" w:rsidRPr="0007572B" w:rsidRDefault="00795BE0" w:rsidP="006F1659">
      <w:pPr>
        <w:spacing w:line="360" w:lineRule="auto"/>
        <w:rPr>
          <w:rFonts w:ascii="Arial" w:hAnsi="Arial" w:cs="Arial"/>
        </w:rPr>
      </w:pPr>
      <w:r w:rsidRPr="0007572B">
        <w:rPr>
          <w:rFonts w:ascii="Arial" w:hAnsi="Arial" w:cs="Arial"/>
        </w:rPr>
        <w:t>The Deregulation Reserve represents payments and losses incurred by TfGM with respect to deregulation on 25 October 1986, which were not charged to profit and loss.</w:t>
      </w:r>
    </w:p>
    <w:p w14:paraId="12E1DCE5" w14:textId="77777777" w:rsidR="00795BE0" w:rsidRPr="0007572B" w:rsidRDefault="00795BE0" w:rsidP="006F1659">
      <w:pPr>
        <w:spacing w:line="360" w:lineRule="auto"/>
        <w:rPr>
          <w:rFonts w:ascii="Arial" w:hAnsi="Arial" w:cs="Arial"/>
          <w:b/>
        </w:rPr>
      </w:pPr>
    </w:p>
    <w:p w14:paraId="30BA2DD6" w14:textId="302237EC" w:rsidR="00795BE0" w:rsidRPr="0007572B" w:rsidRDefault="00186F50" w:rsidP="006F1659">
      <w:pPr>
        <w:spacing w:line="360" w:lineRule="auto"/>
        <w:rPr>
          <w:rFonts w:ascii="Arial" w:hAnsi="Arial" w:cs="Arial"/>
          <w:b/>
          <w:sz w:val="22"/>
          <w:szCs w:val="22"/>
        </w:rPr>
      </w:pPr>
      <w:r w:rsidRPr="00186F50">
        <w:rPr>
          <w:noProof/>
        </w:rPr>
        <w:drawing>
          <wp:inline distT="0" distB="0" distL="0" distR="0" wp14:anchorId="751BB4D5" wp14:editId="3B5467E3">
            <wp:extent cx="5010150" cy="641350"/>
            <wp:effectExtent l="0" t="0" r="0" b="6350"/>
            <wp:docPr id="168647380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00795BE0" w:rsidRPr="0007572B">
        <w:rPr>
          <w:rFonts w:ascii="Arial" w:hAnsi="Arial" w:cs="Arial"/>
          <w:b/>
          <w:sz w:val="22"/>
          <w:szCs w:val="22"/>
        </w:rPr>
        <w:br w:type="page"/>
      </w:r>
    </w:p>
    <w:p w14:paraId="717D31D9" w14:textId="77777777" w:rsidR="00795BE0" w:rsidRPr="0007572B" w:rsidRDefault="00795BE0" w:rsidP="006F1659">
      <w:pPr>
        <w:pStyle w:val="Heading3greennumbered"/>
        <w:spacing w:line="360" w:lineRule="auto"/>
      </w:pPr>
      <w:bookmarkStart w:id="314" w:name="_Toc92894948"/>
      <w:bookmarkStart w:id="315" w:name="_Toc92895252"/>
      <w:bookmarkStart w:id="316" w:name="_Toc109922686"/>
      <w:r w:rsidRPr="0007572B">
        <w:lastRenderedPageBreak/>
        <w:t>5</w:t>
      </w:r>
      <w:r>
        <w:t>4</w:t>
      </w:r>
      <w:r w:rsidRPr="0007572B">
        <w:t xml:space="preserve"> Group Contingent Liabilities</w:t>
      </w:r>
      <w:bookmarkEnd w:id="314"/>
      <w:bookmarkEnd w:id="315"/>
      <w:bookmarkEnd w:id="316"/>
    </w:p>
    <w:p w14:paraId="6AEE5122" w14:textId="77777777" w:rsidR="00795BE0" w:rsidRDefault="00795BE0" w:rsidP="006F1659">
      <w:pPr>
        <w:spacing w:line="360" w:lineRule="auto"/>
        <w:rPr>
          <w:rFonts w:ascii="Arial" w:hAnsi="Arial" w:cs="Arial"/>
          <w:b/>
          <w:bCs/>
        </w:rPr>
      </w:pPr>
    </w:p>
    <w:p w14:paraId="57B4D2FD" w14:textId="20B67FAB" w:rsidR="001C7C79" w:rsidRPr="00287D6E" w:rsidRDefault="001C7C79" w:rsidP="006F1659">
      <w:pPr>
        <w:pStyle w:val="Heading4bold"/>
        <w:spacing w:after="0" w:line="360" w:lineRule="auto"/>
      </w:pPr>
      <w:bookmarkStart w:id="317" w:name="_Hlk109673158"/>
      <w:r w:rsidRPr="00287D6E">
        <w:t>Contingent Liabilities relating to GMP</w:t>
      </w:r>
      <w:r w:rsidR="00256B04" w:rsidRPr="00287D6E">
        <w:t>:</w:t>
      </w:r>
    </w:p>
    <w:p w14:paraId="0FD44D52" w14:textId="77777777" w:rsidR="001C7C79" w:rsidRPr="00287D6E" w:rsidRDefault="001C7C79" w:rsidP="006F1659">
      <w:pPr>
        <w:pStyle w:val="Normal0"/>
        <w:spacing w:line="360" w:lineRule="auto"/>
        <w:rPr>
          <w:rFonts w:ascii="Arial" w:hAnsi="Arial" w:cs="Arial"/>
          <w:sz w:val="24"/>
          <w:szCs w:val="24"/>
        </w:rPr>
      </w:pPr>
    </w:p>
    <w:p w14:paraId="53AB7691" w14:textId="7CDD7A96" w:rsidR="00795BE0" w:rsidRPr="00287D6E" w:rsidRDefault="00795BE0" w:rsidP="006F1659">
      <w:pPr>
        <w:pStyle w:val="Heading4bold"/>
        <w:spacing w:after="0" w:line="360" w:lineRule="auto"/>
      </w:pPr>
      <w:r w:rsidRPr="00287D6E">
        <w:t>McCloud / Sargeant Compensation Claims</w:t>
      </w:r>
    </w:p>
    <w:p w14:paraId="73F08432" w14:textId="77777777" w:rsidR="00795BE0" w:rsidRPr="00287D6E" w:rsidRDefault="00795BE0" w:rsidP="006F1659">
      <w:pPr>
        <w:spacing w:line="360" w:lineRule="auto"/>
        <w:rPr>
          <w:rFonts w:ascii="Arial" w:hAnsi="Arial" w:cs="Arial"/>
        </w:rPr>
      </w:pPr>
    </w:p>
    <w:p w14:paraId="0A73CA0C" w14:textId="77777777" w:rsidR="00F06E01" w:rsidRPr="00287D6E" w:rsidRDefault="00795BE0" w:rsidP="006F1659">
      <w:pPr>
        <w:spacing w:line="360" w:lineRule="auto"/>
        <w:rPr>
          <w:rFonts w:ascii="Arial" w:hAnsi="Arial" w:cs="Arial"/>
        </w:rPr>
      </w:pPr>
      <w:r w:rsidRPr="00287D6E">
        <w:rPr>
          <w:rFonts w:ascii="Arial" w:hAnsi="Arial" w:cs="Arial"/>
        </w:rPr>
        <w:t>Claimants have lodged claims</w:t>
      </w:r>
      <w:r w:rsidR="00F06E01" w:rsidRPr="00287D6E">
        <w:rPr>
          <w:rFonts w:ascii="Arial" w:hAnsi="Arial" w:cs="Arial"/>
        </w:rPr>
        <w:t xml:space="preserve"> for compensation under two active sets of litigation, Aarons and Penningtons. </w:t>
      </w:r>
    </w:p>
    <w:p w14:paraId="7E5F1483" w14:textId="77777777" w:rsidR="00F06E01" w:rsidRPr="00287D6E" w:rsidRDefault="00F06E01" w:rsidP="006F1659">
      <w:pPr>
        <w:spacing w:line="360" w:lineRule="auto"/>
        <w:rPr>
          <w:rFonts w:ascii="Arial" w:hAnsi="Arial" w:cs="Arial"/>
        </w:rPr>
      </w:pPr>
    </w:p>
    <w:bookmarkEnd w:id="317"/>
    <w:p w14:paraId="0F8F88DD" w14:textId="1A8064F0" w:rsidR="00795BE0" w:rsidRPr="00287D6E" w:rsidRDefault="00F06E01" w:rsidP="006F1659">
      <w:pPr>
        <w:spacing w:line="360" w:lineRule="auto"/>
        <w:rPr>
          <w:rFonts w:ascii="Arial" w:hAnsi="Arial" w:cs="Arial"/>
          <w:b/>
          <w:bCs/>
        </w:rPr>
      </w:pPr>
      <w:r w:rsidRPr="00287D6E">
        <w:rPr>
          <w:rFonts w:ascii="Arial" w:hAnsi="Arial" w:cs="Arial"/>
          <w:b/>
          <w:bCs/>
        </w:rPr>
        <w:t>Aarons and Ors</w:t>
      </w:r>
    </w:p>
    <w:p w14:paraId="4AAD1BA9" w14:textId="394C5C98" w:rsidR="00F06E01" w:rsidRPr="00287D6E" w:rsidRDefault="00F06E01" w:rsidP="006F1659">
      <w:pPr>
        <w:spacing w:line="360" w:lineRule="auto"/>
        <w:rPr>
          <w:rFonts w:ascii="Arial" w:hAnsi="Arial" w:cs="Arial"/>
        </w:rPr>
      </w:pPr>
      <w:r w:rsidRPr="00287D6E">
        <w:rPr>
          <w:rFonts w:ascii="Arial" w:hAnsi="Arial" w:cs="Arial"/>
        </w:rPr>
        <w:t xml:space="preserve">Government Legal Department settled the injury to feelings claims for Aaron on behalf of Chief Officers without seeking any financial contributions. Pecuniary loss claims </w:t>
      </w:r>
      <w:r w:rsidR="00287D6E" w:rsidRPr="00287D6E">
        <w:rPr>
          <w:rFonts w:ascii="Arial" w:hAnsi="Arial" w:cs="Arial"/>
        </w:rPr>
        <w:t>have been stayed until the remedy is brought into force from 1 October 2023.</w:t>
      </w:r>
      <w:r w:rsidRPr="00287D6E">
        <w:rPr>
          <w:rFonts w:ascii="Arial" w:hAnsi="Arial" w:cs="Arial"/>
        </w:rPr>
        <w:t xml:space="preserve"> The settlement of the injury to feelings for Aarons sets a helpful precedent, and therefore no liability in respect of compensation claims is recognised in these accounts.</w:t>
      </w:r>
    </w:p>
    <w:p w14:paraId="282172B9" w14:textId="263ADAF5" w:rsidR="00F06E01" w:rsidRPr="00287D6E" w:rsidRDefault="00F06E01" w:rsidP="006F1659">
      <w:pPr>
        <w:spacing w:line="360" w:lineRule="auto"/>
        <w:rPr>
          <w:rFonts w:ascii="Arial" w:hAnsi="Arial" w:cs="Arial"/>
        </w:rPr>
      </w:pPr>
    </w:p>
    <w:p w14:paraId="3AEEA1E0" w14:textId="0A6A6F8E" w:rsidR="00F06E01" w:rsidRPr="00287D6E" w:rsidRDefault="00F06E01" w:rsidP="006F1659">
      <w:pPr>
        <w:spacing w:line="360" w:lineRule="auto"/>
        <w:rPr>
          <w:rFonts w:ascii="Arial" w:hAnsi="Arial" w:cs="Arial"/>
          <w:b/>
          <w:bCs/>
        </w:rPr>
      </w:pPr>
      <w:r w:rsidRPr="00287D6E">
        <w:rPr>
          <w:rFonts w:ascii="Arial" w:hAnsi="Arial" w:cs="Arial"/>
          <w:b/>
          <w:bCs/>
        </w:rPr>
        <w:t>Penningtons</w:t>
      </w:r>
    </w:p>
    <w:p w14:paraId="30465CE6" w14:textId="057E18D9" w:rsidR="00F06E01" w:rsidRPr="00287D6E" w:rsidRDefault="00F06E01" w:rsidP="006F1659">
      <w:pPr>
        <w:spacing w:line="360" w:lineRule="auto"/>
        <w:rPr>
          <w:rFonts w:ascii="Arial" w:hAnsi="Arial" w:cs="Arial"/>
        </w:rPr>
      </w:pPr>
      <w:r w:rsidRPr="00287D6E">
        <w:rPr>
          <w:rFonts w:ascii="Arial" w:hAnsi="Arial" w:cs="Arial"/>
        </w:rPr>
        <w:t>As at 31 March 202</w:t>
      </w:r>
      <w:r w:rsidR="00287D6E" w:rsidRPr="00287D6E">
        <w:rPr>
          <w:rFonts w:ascii="Arial" w:hAnsi="Arial" w:cs="Arial"/>
        </w:rPr>
        <w:t>3</w:t>
      </w:r>
      <w:r w:rsidRPr="00287D6E">
        <w:rPr>
          <w:rFonts w:ascii="Arial" w:hAnsi="Arial" w:cs="Arial"/>
        </w:rPr>
        <w:t>, it is not possible to reliably estimate the extent or likelihood of these claims being successful, and therefore no liability in respect of compensation claim</w:t>
      </w:r>
      <w:r w:rsidR="001C7C79" w:rsidRPr="00287D6E">
        <w:rPr>
          <w:rFonts w:ascii="Arial" w:hAnsi="Arial" w:cs="Arial"/>
        </w:rPr>
        <w:t>s</w:t>
      </w:r>
      <w:r w:rsidRPr="00287D6E">
        <w:rPr>
          <w:rFonts w:ascii="Arial" w:hAnsi="Arial" w:cs="Arial"/>
        </w:rPr>
        <w:t xml:space="preserve"> is recognised in these accounts.</w:t>
      </w:r>
    </w:p>
    <w:p w14:paraId="36F4160A" w14:textId="4CFE4364" w:rsidR="00F06E01" w:rsidRPr="00845B32" w:rsidRDefault="00F06E01" w:rsidP="006F1659">
      <w:pPr>
        <w:spacing w:line="360" w:lineRule="auto"/>
        <w:rPr>
          <w:rFonts w:ascii="Arial" w:hAnsi="Arial" w:cs="Arial"/>
          <w:highlight w:val="yellow"/>
        </w:rPr>
      </w:pPr>
    </w:p>
    <w:p w14:paraId="108247DA" w14:textId="77777777" w:rsidR="00795BE0" w:rsidRPr="00287D6E" w:rsidRDefault="00795BE0" w:rsidP="006F1659">
      <w:pPr>
        <w:pStyle w:val="Heading4bold"/>
        <w:spacing w:after="0" w:line="360" w:lineRule="auto"/>
      </w:pPr>
      <w:r w:rsidRPr="00287D6E">
        <w:t>Contingent Liabilities relating to TfGM</w:t>
      </w:r>
    </w:p>
    <w:p w14:paraId="10974535" w14:textId="0F916448" w:rsidR="00186F50" w:rsidRPr="00186F50" w:rsidRDefault="00795BE0" w:rsidP="00186F50">
      <w:pPr>
        <w:pStyle w:val="2TfGMHeading2"/>
        <w:numPr>
          <w:ilvl w:val="0"/>
          <w:numId w:val="0"/>
        </w:numPr>
        <w:spacing w:before="0" w:after="0" w:line="360" w:lineRule="auto"/>
        <w:jc w:val="left"/>
        <w:rPr>
          <w:rFonts w:ascii="Arial" w:hAnsi="Arial"/>
          <w:sz w:val="24"/>
          <w:lang w:eastAsia="en-US"/>
        </w:rPr>
      </w:pPr>
      <w:r w:rsidRPr="00287D6E">
        <w:rPr>
          <w:rFonts w:ascii="Arial" w:hAnsi="Arial"/>
          <w:sz w:val="24"/>
          <w:lang w:eastAsia="en-US"/>
        </w:rPr>
        <w:t xml:space="preserve">A contingent liability exists in relation to a claim received from a third party for damages. There are ongoing court proceedings and liability is denied. Due to this, the final amount payable, if any, in relation to this claim is uncertain. The </w:t>
      </w:r>
      <w:r w:rsidR="002D2E99" w:rsidRPr="00287D6E">
        <w:rPr>
          <w:rFonts w:ascii="Arial" w:hAnsi="Arial"/>
          <w:sz w:val="24"/>
          <w:lang w:eastAsia="en-US"/>
        </w:rPr>
        <w:t xml:space="preserve">Directors of TfGM </w:t>
      </w:r>
      <w:r w:rsidRPr="00287D6E">
        <w:rPr>
          <w:rFonts w:ascii="Arial" w:hAnsi="Arial"/>
          <w:sz w:val="24"/>
          <w:lang w:eastAsia="en-US"/>
        </w:rPr>
        <w:t>consider that the provision of additional information could be prejudicial to its position in resolving this matter.</w:t>
      </w:r>
    </w:p>
    <w:p w14:paraId="39F886B2" w14:textId="77777777" w:rsidR="00256B04" w:rsidRDefault="00256B04" w:rsidP="006F1659">
      <w:pPr>
        <w:spacing w:line="360" w:lineRule="auto"/>
        <w:rPr>
          <w:rFonts w:ascii="Arial" w:hAnsi="Arial" w:cs="Arial"/>
          <w:b/>
          <w:bCs/>
          <w:color w:val="000000" w:themeColor="text1"/>
          <w:sz w:val="26"/>
          <w:szCs w:val="26"/>
        </w:rPr>
      </w:pPr>
    </w:p>
    <w:p w14:paraId="635996D7" w14:textId="77777777" w:rsidR="00186F50" w:rsidRDefault="00186F50" w:rsidP="006F1659">
      <w:pPr>
        <w:pStyle w:val="Heading3greennumbered"/>
        <w:spacing w:line="360" w:lineRule="auto"/>
        <w:sectPr w:rsidR="00186F50" w:rsidSect="004833A2">
          <w:pgSz w:w="11906" w:h="16838"/>
          <w:pgMar w:top="946" w:right="1416" w:bottom="1440" w:left="1080" w:header="283" w:footer="567" w:gutter="0"/>
          <w:cols w:space="708"/>
          <w:docGrid w:linePitch="360"/>
        </w:sectPr>
      </w:pPr>
      <w:bookmarkStart w:id="318" w:name="_Toc92894949"/>
      <w:bookmarkStart w:id="319" w:name="_Toc92895253"/>
      <w:bookmarkStart w:id="320" w:name="_Toc109922687"/>
    </w:p>
    <w:p w14:paraId="119C9A9B" w14:textId="77777777" w:rsidR="00795BE0" w:rsidRPr="0007572B" w:rsidRDefault="00795BE0" w:rsidP="006F1659">
      <w:pPr>
        <w:pStyle w:val="Heading3greennumbered"/>
        <w:spacing w:line="360" w:lineRule="auto"/>
      </w:pPr>
      <w:r w:rsidRPr="0007572B">
        <w:lastRenderedPageBreak/>
        <w:t>5</w:t>
      </w:r>
      <w:r>
        <w:t>5</w:t>
      </w:r>
      <w:r w:rsidRPr="0007572B">
        <w:t xml:space="preserve"> Group Financial Instruments</w:t>
      </w:r>
      <w:bookmarkEnd w:id="318"/>
      <w:bookmarkEnd w:id="319"/>
      <w:bookmarkEnd w:id="320"/>
    </w:p>
    <w:p w14:paraId="3FE3F524" w14:textId="77777777" w:rsidR="00795BE0" w:rsidRDefault="00795BE0" w:rsidP="006F1659">
      <w:pPr>
        <w:spacing w:line="360" w:lineRule="auto"/>
        <w:rPr>
          <w:rFonts w:ascii="Arial" w:hAnsi="Arial" w:cs="Arial"/>
          <w:b/>
        </w:rPr>
      </w:pPr>
    </w:p>
    <w:p w14:paraId="27402ED6" w14:textId="77777777" w:rsidR="00795BE0" w:rsidRPr="0007572B" w:rsidRDefault="00795BE0" w:rsidP="006F1659">
      <w:pPr>
        <w:pStyle w:val="Heading4bold"/>
        <w:spacing w:line="360" w:lineRule="auto"/>
      </w:pPr>
      <w:r w:rsidRPr="0007572B">
        <w:t>Categories of Financial Instruments</w:t>
      </w:r>
    </w:p>
    <w:p w14:paraId="64518987" w14:textId="37FA8D83" w:rsidR="00795BE0" w:rsidRDefault="00795BE0" w:rsidP="006F1659">
      <w:pPr>
        <w:spacing w:line="360" w:lineRule="auto"/>
        <w:rPr>
          <w:rFonts w:ascii="Arial" w:hAnsi="Arial" w:cs="Arial"/>
        </w:rPr>
      </w:pPr>
      <w:r w:rsidRPr="0007572B">
        <w:rPr>
          <w:rFonts w:ascii="Arial" w:hAnsi="Arial" w:cs="Arial"/>
        </w:rPr>
        <w:t>The tables below show the categories of financial instruments which are carried in the Balance Sheet:</w:t>
      </w:r>
    </w:p>
    <w:p w14:paraId="375F7284" w14:textId="77777777" w:rsidR="00112434" w:rsidRDefault="00112434" w:rsidP="006F1659">
      <w:pPr>
        <w:spacing w:line="360" w:lineRule="auto"/>
        <w:rPr>
          <w:rFonts w:ascii="Arial" w:hAnsi="Arial" w:cs="Arial"/>
        </w:rPr>
      </w:pPr>
    </w:p>
    <w:p w14:paraId="50EC6EEA" w14:textId="782317C8" w:rsidR="0044773C" w:rsidRPr="0007572B" w:rsidRDefault="00186F50" w:rsidP="006F1659">
      <w:pPr>
        <w:spacing w:line="360" w:lineRule="auto"/>
        <w:rPr>
          <w:rFonts w:ascii="Arial" w:hAnsi="Arial" w:cs="Arial"/>
        </w:rPr>
      </w:pPr>
      <w:r w:rsidRPr="00186F50">
        <w:rPr>
          <w:noProof/>
        </w:rPr>
        <w:drawing>
          <wp:inline distT="0" distB="0" distL="0" distR="0" wp14:anchorId="4798A6B4" wp14:editId="3E059B49">
            <wp:extent cx="7296150" cy="1609725"/>
            <wp:effectExtent l="0" t="0" r="0" b="9525"/>
            <wp:docPr id="14589055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7296150" cy="1609725"/>
                    </a:xfrm>
                    <a:prstGeom prst="rect">
                      <a:avLst/>
                    </a:prstGeom>
                    <a:noFill/>
                    <a:ln>
                      <a:noFill/>
                    </a:ln>
                  </pic:spPr>
                </pic:pic>
              </a:graphicData>
            </a:graphic>
          </wp:inline>
        </w:drawing>
      </w:r>
    </w:p>
    <w:p w14:paraId="1D20F99B" w14:textId="6332E8E7" w:rsidR="0044773C" w:rsidRDefault="0044773C" w:rsidP="006F1659">
      <w:pPr>
        <w:spacing w:line="360" w:lineRule="auto"/>
        <w:rPr>
          <w:rFonts w:ascii="Arial" w:hAnsi="Arial" w:cs="Arial"/>
          <w:b/>
        </w:rPr>
      </w:pPr>
    </w:p>
    <w:p w14:paraId="2A90327E" w14:textId="77777777" w:rsidR="006D40E9" w:rsidRPr="00AE6A99" w:rsidRDefault="006D40E9" w:rsidP="006F1659">
      <w:pPr>
        <w:spacing w:line="360" w:lineRule="auto"/>
        <w:rPr>
          <w:rFonts w:ascii="Arial" w:hAnsi="Arial" w:cs="Arial"/>
          <w:b/>
        </w:rPr>
      </w:pPr>
    </w:p>
    <w:p w14:paraId="046E1EE6" w14:textId="14C17B34" w:rsidR="00795BE0" w:rsidRDefault="00186F50" w:rsidP="006F1659">
      <w:pPr>
        <w:spacing w:line="360" w:lineRule="auto"/>
        <w:rPr>
          <w:rFonts w:ascii="Arial" w:hAnsi="Arial" w:cs="Arial"/>
          <w:noProof/>
          <w:sz w:val="28"/>
          <w:szCs w:val="28"/>
        </w:rPr>
      </w:pPr>
      <w:r w:rsidRPr="00186F50">
        <w:rPr>
          <w:noProof/>
        </w:rPr>
        <w:drawing>
          <wp:inline distT="0" distB="0" distL="0" distR="0" wp14:anchorId="3B1F06FF" wp14:editId="6E162D88">
            <wp:extent cx="9177020" cy="1011555"/>
            <wp:effectExtent l="0" t="0" r="5080" b="0"/>
            <wp:docPr id="152796046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177020" cy="1011555"/>
                    </a:xfrm>
                    <a:prstGeom prst="rect">
                      <a:avLst/>
                    </a:prstGeom>
                    <a:noFill/>
                    <a:ln>
                      <a:noFill/>
                    </a:ln>
                  </pic:spPr>
                </pic:pic>
              </a:graphicData>
            </a:graphic>
          </wp:inline>
        </w:drawing>
      </w:r>
    </w:p>
    <w:p w14:paraId="715F3319" w14:textId="77777777" w:rsidR="00DE7BF5" w:rsidRDefault="00DE7BF5" w:rsidP="006F1659">
      <w:pPr>
        <w:spacing w:line="360" w:lineRule="auto"/>
        <w:rPr>
          <w:rFonts w:ascii="Arial" w:hAnsi="Arial" w:cs="Arial"/>
          <w:noProof/>
          <w:sz w:val="28"/>
          <w:szCs w:val="28"/>
        </w:rPr>
      </w:pPr>
    </w:p>
    <w:p w14:paraId="1C39F0A0" w14:textId="77777777" w:rsidR="006D40E9" w:rsidRDefault="006D40E9" w:rsidP="006F1659">
      <w:pPr>
        <w:spacing w:line="360" w:lineRule="auto"/>
        <w:rPr>
          <w:rFonts w:ascii="Arial" w:hAnsi="Arial" w:cs="Arial"/>
          <w:noProof/>
          <w:sz w:val="28"/>
          <w:szCs w:val="28"/>
        </w:rPr>
      </w:pPr>
    </w:p>
    <w:p w14:paraId="3507C9ED" w14:textId="77777777" w:rsidR="006D40E9" w:rsidRDefault="006D40E9" w:rsidP="006F1659">
      <w:pPr>
        <w:spacing w:line="360" w:lineRule="auto"/>
        <w:rPr>
          <w:rFonts w:ascii="Arial" w:hAnsi="Arial" w:cs="Arial"/>
          <w:noProof/>
          <w:sz w:val="28"/>
          <w:szCs w:val="28"/>
        </w:rPr>
      </w:pPr>
    </w:p>
    <w:p w14:paraId="00BF5DA2" w14:textId="77777777" w:rsidR="006D40E9" w:rsidRDefault="006D40E9" w:rsidP="006F1659">
      <w:pPr>
        <w:spacing w:line="360" w:lineRule="auto"/>
        <w:rPr>
          <w:rFonts w:ascii="Arial" w:hAnsi="Arial" w:cs="Arial"/>
          <w:noProof/>
          <w:sz w:val="28"/>
          <w:szCs w:val="28"/>
        </w:rPr>
      </w:pPr>
    </w:p>
    <w:p w14:paraId="36D7D051" w14:textId="77777777" w:rsidR="006D40E9" w:rsidRDefault="006D40E9" w:rsidP="006F1659">
      <w:pPr>
        <w:spacing w:line="360" w:lineRule="auto"/>
        <w:rPr>
          <w:rFonts w:ascii="Arial" w:hAnsi="Arial" w:cs="Arial"/>
          <w:noProof/>
          <w:sz w:val="28"/>
          <w:szCs w:val="28"/>
        </w:rPr>
      </w:pPr>
    </w:p>
    <w:p w14:paraId="3C597FC6" w14:textId="77777777" w:rsidR="006D40E9" w:rsidRDefault="006D40E9" w:rsidP="006F1659">
      <w:pPr>
        <w:spacing w:line="360" w:lineRule="auto"/>
        <w:rPr>
          <w:rFonts w:ascii="Arial" w:hAnsi="Arial" w:cs="Arial"/>
          <w:noProof/>
          <w:sz w:val="28"/>
          <w:szCs w:val="28"/>
        </w:rPr>
      </w:pPr>
    </w:p>
    <w:p w14:paraId="7D517708" w14:textId="77777777" w:rsidR="006D40E9" w:rsidRPr="0007572B" w:rsidRDefault="006D40E9" w:rsidP="006F1659">
      <w:pPr>
        <w:spacing w:line="360" w:lineRule="auto"/>
        <w:rPr>
          <w:rFonts w:ascii="Arial" w:hAnsi="Arial" w:cs="Arial"/>
          <w:noProof/>
          <w:sz w:val="28"/>
          <w:szCs w:val="28"/>
        </w:rPr>
      </w:pPr>
    </w:p>
    <w:p w14:paraId="0FA412FB" w14:textId="3E3FC809" w:rsidR="00795BE0" w:rsidRDefault="006D40E9" w:rsidP="006F1659">
      <w:pPr>
        <w:spacing w:line="360" w:lineRule="auto"/>
        <w:rPr>
          <w:rFonts w:ascii="Arial" w:hAnsi="Arial" w:cs="Arial"/>
        </w:rPr>
      </w:pPr>
      <w:r w:rsidRPr="006D40E9">
        <w:rPr>
          <w:noProof/>
        </w:rPr>
        <w:drawing>
          <wp:inline distT="0" distB="0" distL="0" distR="0" wp14:anchorId="14F0C229" wp14:editId="7629A27D">
            <wp:extent cx="9177020" cy="1351280"/>
            <wp:effectExtent l="0" t="0" r="5080" b="1270"/>
            <wp:docPr id="17944347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177020" cy="1351280"/>
                    </a:xfrm>
                    <a:prstGeom prst="rect">
                      <a:avLst/>
                    </a:prstGeom>
                    <a:noFill/>
                    <a:ln>
                      <a:noFill/>
                    </a:ln>
                  </pic:spPr>
                </pic:pic>
              </a:graphicData>
            </a:graphic>
          </wp:inline>
        </w:drawing>
      </w:r>
    </w:p>
    <w:p w14:paraId="0E9475BC" w14:textId="77777777" w:rsidR="0044773C" w:rsidRDefault="0044773C" w:rsidP="006F1659">
      <w:pPr>
        <w:spacing w:line="360" w:lineRule="auto"/>
        <w:rPr>
          <w:rFonts w:ascii="Arial" w:hAnsi="Arial" w:cs="Arial"/>
        </w:rPr>
      </w:pPr>
    </w:p>
    <w:p w14:paraId="5C32CA36" w14:textId="77777777" w:rsidR="006D40E9" w:rsidRPr="0007572B" w:rsidRDefault="006D40E9" w:rsidP="006F1659">
      <w:pPr>
        <w:spacing w:line="360" w:lineRule="auto"/>
        <w:rPr>
          <w:rFonts w:ascii="Arial" w:hAnsi="Arial" w:cs="Arial"/>
        </w:rPr>
      </w:pPr>
    </w:p>
    <w:p w14:paraId="1107F608" w14:textId="01979CC5" w:rsidR="00795BE0" w:rsidRPr="0007572B" w:rsidRDefault="006D40E9" w:rsidP="006F1659">
      <w:pPr>
        <w:spacing w:line="360" w:lineRule="auto"/>
        <w:rPr>
          <w:rFonts w:ascii="Arial" w:hAnsi="Arial" w:cs="Arial"/>
        </w:rPr>
      </w:pPr>
      <w:r w:rsidRPr="006D40E9">
        <w:rPr>
          <w:noProof/>
        </w:rPr>
        <w:drawing>
          <wp:inline distT="0" distB="0" distL="0" distR="0" wp14:anchorId="47DE4A19" wp14:editId="656252DA">
            <wp:extent cx="9177020" cy="1654175"/>
            <wp:effectExtent l="0" t="0" r="5080" b="3175"/>
            <wp:docPr id="57133937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9177020" cy="1654175"/>
                    </a:xfrm>
                    <a:prstGeom prst="rect">
                      <a:avLst/>
                    </a:prstGeom>
                    <a:noFill/>
                    <a:ln>
                      <a:noFill/>
                    </a:ln>
                  </pic:spPr>
                </pic:pic>
              </a:graphicData>
            </a:graphic>
          </wp:inline>
        </w:drawing>
      </w:r>
    </w:p>
    <w:p w14:paraId="79764DD2" w14:textId="77777777" w:rsidR="00795BE0" w:rsidRPr="0007572B" w:rsidRDefault="00795BE0" w:rsidP="006F1659">
      <w:pPr>
        <w:spacing w:line="360" w:lineRule="auto"/>
        <w:rPr>
          <w:rFonts w:ascii="Arial" w:hAnsi="Arial" w:cs="Arial"/>
        </w:rPr>
      </w:pPr>
    </w:p>
    <w:p w14:paraId="7EFCA12D" w14:textId="77777777" w:rsidR="00186F50" w:rsidRDefault="00186F50" w:rsidP="006F1659">
      <w:pPr>
        <w:pStyle w:val="Heading4bold"/>
        <w:spacing w:after="0" w:line="360" w:lineRule="auto"/>
        <w:sectPr w:rsidR="00186F50" w:rsidSect="00186F50">
          <w:pgSz w:w="16838" w:h="11906" w:orient="landscape"/>
          <w:pgMar w:top="1080" w:right="946" w:bottom="1416" w:left="1440" w:header="283" w:footer="567" w:gutter="0"/>
          <w:cols w:space="708"/>
          <w:docGrid w:linePitch="360"/>
        </w:sectPr>
      </w:pPr>
    </w:p>
    <w:p w14:paraId="39F2B60B" w14:textId="77777777" w:rsidR="00795BE0" w:rsidRDefault="00795BE0" w:rsidP="006F1659">
      <w:pPr>
        <w:pStyle w:val="Heading4bold"/>
        <w:spacing w:after="0" w:line="360" w:lineRule="auto"/>
      </w:pPr>
      <w:r w:rsidRPr="0007572B">
        <w:lastRenderedPageBreak/>
        <w:t>Income, Expenses, Gains and Losses</w:t>
      </w:r>
    </w:p>
    <w:p w14:paraId="00A5D6A5" w14:textId="77777777" w:rsidR="001174F5" w:rsidRPr="0007572B" w:rsidRDefault="001174F5" w:rsidP="00DF2CD7">
      <w:pPr>
        <w:spacing w:line="360" w:lineRule="auto"/>
      </w:pPr>
    </w:p>
    <w:p w14:paraId="2F3E9B10" w14:textId="77777777" w:rsidR="00795BE0" w:rsidRPr="0007572B" w:rsidRDefault="00795BE0" w:rsidP="006F1659">
      <w:pPr>
        <w:spacing w:line="360" w:lineRule="auto"/>
        <w:rPr>
          <w:rFonts w:ascii="Arial" w:hAnsi="Arial" w:cs="Arial"/>
          <w:sz w:val="22"/>
          <w:szCs w:val="22"/>
        </w:rPr>
      </w:pPr>
      <w:r w:rsidRPr="0007572B">
        <w:rPr>
          <w:rFonts w:ascii="Arial" w:hAnsi="Arial" w:cs="Arial"/>
          <w:sz w:val="22"/>
          <w:szCs w:val="22"/>
        </w:rPr>
        <w:t>The gains and losses recognised in the Group Comprehensive Income and Expenditure Statement in relation to financial instruments are summarised in the table below:</w:t>
      </w:r>
    </w:p>
    <w:p w14:paraId="0FCF9134" w14:textId="77777777" w:rsidR="00795BE0" w:rsidRPr="0007572B" w:rsidRDefault="00795BE0" w:rsidP="006F1659">
      <w:pPr>
        <w:spacing w:line="360" w:lineRule="auto"/>
        <w:rPr>
          <w:rFonts w:ascii="Arial" w:hAnsi="Arial" w:cs="Arial"/>
          <w:b/>
          <w:sz w:val="22"/>
          <w:szCs w:val="22"/>
          <w:highlight w:val="yellow"/>
        </w:rPr>
      </w:pPr>
    </w:p>
    <w:p w14:paraId="4A8E2CA3" w14:textId="2E488808" w:rsidR="00112434" w:rsidRDefault="001174F5" w:rsidP="006F1659">
      <w:pPr>
        <w:spacing w:line="360" w:lineRule="auto"/>
        <w:rPr>
          <w:rFonts w:ascii="Arial" w:hAnsi="Arial" w:cs="Arial"/>
          <w:sz w:val="22"/>
          <w:szCs w:val="22"/>
        </w:rPr>
      </w:pPr>
      <w:r w:rsidRPr="001174F5">
        <w:rPr>
          <w:noProof/>
        </w:rPr>
        <w:drawing>
          <wp:inline distT="0" distB="0" distL="0" distR="0" wp14:anchorId="4238B3C8" wp14:editId="4AFDE69A">
            <wp:extent cx="5975350" cy="1990090"/>
            <wp:effectExtent l="0" t="0" r="635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975350" cy="1990090"/>
                    </a:xfrm>
                    <a:prstGeom prst="rect">
                      <a:avLst/>
                    </a:prstGeom>
                    <a:noFill/>
                    <a:ln>
                      <a:noFill/>
                    </a:ln>
                  </pic:spPr>
                </pic:pic>
              </a:graphicData>
            </a:graphic>
          </wp:inline>
        </w:drawing>
      </w:r>
    </w:p>
    <w:p w14:paraId="12757A3B" w14:textId="77777777" w:rsidR="00DE7BF5" w:rsidRDefault="00DE7BF5" w:rsidP="006F1659">
      <w:pPr>
        <w:spacing w:line="360" w:lineRule="auto"/>
        <w:rPr>
          <w:rFonts w:ascii="Arial" w:hAnsi="Arial" w:cs="Arial"/>
          <w:sz w:val="22"/>
          <w:szCs w:val="22"/>
        </w:rPr>
      </w:pPr>
    </w:p>
    <w:p w14:paraId="3D5FA2F7" w14:textId="77777777" w:rsidR="00DE7BF5" w:rsidRPr="00112434" w:rsidRDefault="00DE7BF5" w:rsidP="006F1659">
      <w:pPr>
        <w:spacing w:line="360" w:lineRule="auto"/>
        <w:rPr>
          <w:rFonts w:ascii="Arial" w:hAnsi="Arial" w:cs="Arial"/>
          <w:sz w:val="22"/>
          <w:szCs w:val="22"/>
        </w:rPr>
      </w:pPr>
    </w:p>
    <w:p w14:paraId="3CE99096" w14:textId="57C0E63B" w:rsidR="00795BE0" w:rsidRPr="0007572B" w:rsidRDefault="00795BE0" w:rsidP="006F1659">
      <w:pPr>
        <w:pStyle w:val="Heading4bold"/>
        <w:spacing w:after="0" w:line="360" w:lineRule="auto"/>
      </w:pPr>
      <w:r w:rsidRPr="0007572B">
        <w:t>Fair Value of Assets and Liabilities</w:t>
      </w:r>
    </w:p>
    <w:p w14:paraId="675C8C6D" w14:textId="77777777" w:rsidR="00795BE0" w:rsidRPr="0007572B" w:rsidRDefault="00795BE0" w:rsidP="006F1659">
      <w:pPr>
        <w:spacing w:line="360" w:lineRule="auto"/>
        <w:rPr>
          <w:rFonts w:ascii="Arial" w:hAnsi="Arial" w:cs="Arial"/>
          <w:sz w:val="22"/>
          <w:szCs w:val="22"/>
        </w:rPr>
      </w:pPr>
    </w:p>
    <w:p w14:paraId="64842BCE" w14:textId="2F40B224" w:rsidR="00795BE0" w:rsidRDefault="00795BE0" w:rsidP="006F1659">
      <w:pPr>
        <w:spacing w:line="360" w:lineRule="auto"/>
        <w:rPr>
          <w:rFonts w:ascii="Arial" w:hAnsi="Arial" w:cs="Arial"/>
          <w:sz w:val="22"/>
          <w:szCs w:val="22"/>
        </w:rPr>
      </w:pPr>
      <w:r w:rsidRPr="0007572B">
        <w:rPr>
          <w:rFonts w:ascii="Arial" w:hAnsi="Arial" w:cs="Arial"/>
          <w:sz w:val="22"/>
          <w:szCs w:val="22"/>
        </w:rPr>
        <w:t>Set out below is a comparison by class of the carrying amounts and fair value of the Group financial assets and financial liabilities:</w:t>
      </w:r>
    </w:p>
    <w:p w14:paraId="5FFED7FB" w14:textId="77777777" w:rsidR="00431940" w:rsidRDefault="00431940" w:rsidP="006F1659">
      <w:pPr>
        <w:spacing w:line="360" w:lineRule="auto"/>
        <w:rPr>
          <w:rFonts w:ascii="Arial" w:hAnsi="Arial" w:cs="Arial"/>
          <w:sz w:val="22"/>
          <w:szCs w:val="22"/>
        </w:rPr>
      </w:pPr>
    </w:p>
    <w:p w14:paraId="3776846E" w14:textId="60ECB527" w:rsidR="0044773C" w:rsidRPr="0007572B" w:rsidRDefault="00E66352" w:rsidP="006F1659">
      <w:pPr>
        <w:spacing w:line="360" w:lineRule="auto"/>
        <w:rPr>
          <w:rFonts w:ascii="Arial" w:hAnsi="Arial" w:cs="Arial"/>
          <w:sz w:val="22"/>
          <w:szCs w:val="22"/>
        </w:rPr>
      </w:pPr>
      <w:r w:rsidRPr="00E66352">
        <w:rPr>
          <w:noProof/>
        </w:rPr>
        <w:drawing>
          <wp:inline distT="0" distB="0" distL="0" distR="0" wp14:anchorId="4933F103" wp14:editId="624AEE34">
            <wp:extent cx="5975350" cy="2160270"/>
            <wp:effectExtent l="0" t="0" r="6350" b="0"/>
            <wp:docPr id="670402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975350" cy="2160270"/>
                    </a:xfrm>
                    <a:prstGeom prst="rect">
                      <a:avLst/>
                    </a:prstGeom>
                    <a:noFill/>
                    <a:ln>
                      <a:noFill/>
                    </a:ln>
                  </pic:spPr>
                </pic:pic>
              </a:graphicData>
            </a:graphic>
          </wp:inline>
        </w:drawing>
      </w:r>
    </w:p>
    <w:p w14:paraId="3D91617E" w14:textId="3F66AE47" w:rsidR="00795BE0" w:rsidRDefault="00795BE0" w:rsidP="006F1659">
      <w:pPr>
        <w:spacing w:line="360" w:lineRule="auto"/>
        <w:rPr>
          <w:rFonts w:ascii="Arial" w:hAnsi="Arial" w:cs="Arial"/>
          <w:noProof/>
          <w:sz w:val="22"/>
          <w:szCs w:val="22"/>
          <w:lang w:eastAsia="en-GB"/>
        </w:rPr>
      </w:pPr>
    </w:p>
    <w:p w14:paraId="2627248B" w14:textId="65266277" w:rsidR="00795BE0" w:rsidRPr="00C41280" w:rsidRDefault="00795BE0" w:rsidP="006F1659">
      <w:pPr>
        <w:spacing w:line="360" w:lineRule="auto"/>
        <w:rPr>
          <w:rFonts w:ascii="Arial" w:hAnsi="Arial" w:cs="Arial"/>
          <w:highlight w:val="yellow"/>
        </w:rPr>
      </w:pPr>
      <w:r w:rsidRPr="006A2C2B">
        <w:rPr>
          <w:rFonts w:ascii="Arial" w:hAnsi="Arial" w:cs="Arial"/>
        </w:rPr>
        <w:t xml:space="preserve">The Authority holds </w:t>
      </w:r>
      <w:r w:rsidRPr="00581295">
        <w:rPr>
          <w:rFonts w:ascii="Arial" w:hAnsi="Arial" w:cs="Arial"/>
        </w:rPr>
        <w:t>£</w:t>
      </w:r>
      <w:r w:rsidR="00396731" w:rsidRPr="00581295">
        <w:rPr>
          <w:rFonts w:ascii="Arial" w:hAnsi="Arial" w:cs="Arial"/>
        </w:rPr>
        <w:t>4</w:t>
      </w:r>
      <w:r w:rsidR="00581295" w:rsidRPr="00581295">
        <w:rPr>
          <w:rFonts w:ascii="Arial" w:hAnsi="Arial" w:cs="Arial"/>
        </w:rPr>
        <w:t>6</w:t>
      </w:r>
      <w:r w:rsidR="0061311B">
        <w:rPr>
          <w:rFonts w:ascii="Arial" w:hAnsi="Arial" w:cs="Arial"/>
        </w:rPr>
        <w:t>.</w:t>
      </w:r>
      <w:r w:rsidR="00581295" w:rsidRPr="00581295">
        <w:rPr>
          <w:rFonts w:ascii="Arial" w:hAnsi="Arial" w:cs="Arial"/>
        </w:rPr>
        <w:t>736</w:t>
      </w:r>
      <w:r w:rsidR="00396731" w:rsidRPr="00581295">
        <w:rPr>
          <w:rFonts w:ascii="Arial" w:hAnsi="Arial" w:cs="Arial"/>
        </w:rPr>
        <w:t>m</w:t>
      </w:r>
      <w:r w:rsidRPr="006A2C2B">
        <w:rPr>
          <w:rFonts w:ascii="Arial" w:hAnsi="Arial" w:cs="Arial"/>
        </w:rPr>
        <w:t xml:space="preserve"> in equity investments:</w:t>
      </w:r>
    </w:p>
    <w:p w14:paraId="46B1B346" w14:textId="77777777" w:rsidR="00795BE0" w:rsidRPr="00C41280" w:rsidRDefault="00795BE0" w:rsidP="006F1659">
      <w:pPr>
        <w:spacing w:line="360" w:lineRule="auto"/>
        <w:rPr>
          <w:rFonts w:ascii="Arial" w:hAnsi="Arial" w:cs="Arial"/>
          <w:highlight w:val="yellow"/>
        </w:rPr>
      </w:pPr>
    </w:p>
    <w:p w14:paraId="2A3768E9" w14:textId="3EEFA4A9" w:rsidR="00795BE0" w:rsidRPr="00581295" w:rsidRDefault="00795BE0" w:rsidP="006F1659">
      <w:pPr>
        <w:spacing w:line="360" w:lineRule="auto"/>
        <w:rPr>
          <w:rFonts w:ascii="Arial" w:hAnsi="Arial" w:cs="Arial"/>
        </w:rPr>
      </w:pPr>
      <w:r w:rsidRPr="00581295">
        <w:rPr>
          <w:rFonts w:ascii="Arial" w:hAnsi="Arial" w:cs="Arial"/>
        </w:rPr>
        <w:t>£4</w:t>
      </w:r>
      <w:r w:rsidR="00581295" w:rsidRPr="00581295">
        <w:rPr>
          <w:rFonts w:ascii="Arial" w:hAnsi="Arial" w:cs="Arial"/>
        </w:rPr>
        <w:t>2</w:t>
      </w:r>
      <w:r w:rsidRPr="00581295">
        <w:rPr>
          <w:rFonts w:ascii="Arial" w:hAnsi="Arial" w:cs="Arial"/>
        </w:rPr>
        <w:t>.</w:t>
      </w:r>
      <w:r w:rsidR="00581295" w:rsidRPr="00581295">
        <w:rPr>
          <w:rFonts w:ascii="Arial" w:hAnsi="Arial" w:cs="Arial"/>
        </w:rPr>
        <w:t>286</w:t>
      </w:r>
      <w:r w:rsidRPr="00581295">
        <w:rPr>
          <w:rFonts w:ascii="Arial" w:hAnsi="Arial" w:cs="Arial"/>
        </w:rPr>
        <w:t>m</w:t>
      </w:r>
      <w:r w:rsidRPr="006A2C2B">
        <w:rPr>
          <w:rFonts w:ascii="Arial" w:hAnsi="Arial" w:cs="Arial"/>
        </w:rPr>
        <w:t xml:space="preserve"> within the single entity accounts relates to a number of businesses that either previously held loans with the Authority and which have converted to equity investments or are a direct equity investment. These shares are not traded in active markets. The shares are valued based on level 2 - observable input data from the companies, such as </w:t>
      </w:r>
      <w:r w:rsidRPr="006A2C2B">
        <w:rPr>
          <w:rFonts w:ascii="Arial" w:hAnsi="Arial" w:cs="Arial"/>
        </w:rPr>
        <w:lastRenderedPageBreak/>
        <w:t xml:space="preserve">latest filed accounts and management accounting reports. </w:t>
      </w:r>
      <w:r w:rsidRPr="00581295">
        <w:rPr>
          <w:rFonts w:ascii="Arial" w:hAnsi="Arial" w:cs="Arial"/>
        </w:rPr>
        <w:t>There have been no transfers between input levels or changes in valuation techniques during 202</w:t>
      </w:r>
      <w:r w:rsidR="00845B32" w:rsidRPr="00581295">
        <w:rPr>
          <w:rFonts w:ascii="Arial" w:hAnsi="Arial" w:cs="Arial"/>
        </w:rPr>
        <w:t>2</w:t>
      </w:r>
      <w:r w:rsidRPr="00581295">
        <w:rPr>
          <w:rFonts w:ascii="Arial" w:hAnsi="Arial" w:cs="Arial"/>
        </w:rPr>
        <w:t>/2</w:t>
      </w:r>
      <w:r w:rsidR="00845B32" w:rsidRPr="00581295">
        <w:rPr>
          <w:rFonts w:ascii="Arial" w:hAnsi="Arial" w:cs="Arial"/>
        </w:rPr>
        <w:t>3</w:t>
      </w:r>
      <w:r w:rsidRPr="00581295">
        <w:rPr>
          <w:rFonts w:ascii="Arial" w:hAnsi="Arial" w:cs="Arial"/>
        </w:rPr>
        <w:t xml:space="preserve"> for this class of asset.</w:t>
      </w:r>
    </w:p>
    <w:p w14:paraId="2E1B77BE" w14:textId="77777777" w:rsidR="00795BE0" w:rsidRPr="00882716" w:rsidRDefault="00795BE0" w:rsidP="006F1659">
      <w:pPr>
        <w:spacing w:line="360" w:lineRule="auto"/>
        <w:rPr>
          <w:rFonts w:ascii="Arial" w:hAnsi="Arial" w:cs="Arial"/>
        </w:rPr>
      </w:pPr>
    </w:p>
    <w:p w14:paraId="6ECD7E6D" w14:textId="501E1351" w:rsidR="00795BE0" w:rsidRPr="00882716" w:rsidRDefault="00795BE0" w:rsidP="006F1659">
      <w:pPr>
        <w:spacing w:line="360" w:lineRule="auto"/>
        <w:rPr>
          <w:rFonts w:ascii="Arial" w:hAnsi="Arial" w:cs="Arial"/>
        </w:rPr>
      </w:pPr>
      <w:bookmarkStart w:id="321" w:name="_Hlk109073824"/>
      <w:r w:rsidRPr="00581295">
        <w:rPr>
          <w:rFonts w:ascii="Arial" w:hAnsi="Arial" w:cs="Arial"/>
        </w:rPr>
        <w:t>£</w:t>
      </w:r>
      <w:r w:rsidR="00396731" w:rsidRPr="00581295">
        <w:rPr>
          <w:rFonts w:ascii="Arial" w:hAnsi="Arial" w:cs="Arial"/>
        </w:rPr>
        <w:t>4</w:t>
      </w:r>
      <w:r w:rsidR="000A7F0E">
        <w:rPr>
          <w:rFonts w:ascii="Arial" w:hAnsi="Arial" w:cs="Arial"/>
        </w:rPr>
        <w:t>.</w:t>
      </w:r>
      <w:r w:rsidR="00396731" w:rsidRPr="00581295">
        <w:rPr>
          <w:rFonts w:ascii="Arial" w:hAnsi="Arial" w:cs="Arial"/>
        </w:rPr>
        <w:t>4</w:t>
      </w:r>
      <w:r w:rsidR="00581295" w:rsidRPr="00581295">
        <w:rPr>
          <w:rFonts w:ascii="Arial" w:hAnsi="Arial" w:cs="Arial"/>
        </w:rPr>
        <w:t>50</w:t>
      </w:r>
      <w:r w:rsidR="00396731" w:rsidRPr="00581295">
        <w:rPr>
          <w:rFonts w:ascii="Arial" w:hAnsi="Arial" w:cs="Arial"/>
        </w:rPr>
        <w:t>m</w:t>
      </w:r>
      <w:r w:rsidRPr="00581295">
        <w:rPr>
          <w:rFonts w:ascii="Arial" w:hAnsi="Arial" w:cs="Arial"/>
        </w:rPr>
        <w:t xml:space="preserve"> of TfGM long</w:t>
      </w:r>
      <w:r w:rsidR="00F3496D">
        <w:rPr>
          <w:rFonts w:ascii="Arial" w:hAnsi="Arial" w:cs="Arial"/>
        </w:rPr>
        <w:t xml:space="preserve"> </w:t>
      </w:r>
      <w:r w:rsidRPr="00581295">
        <w:rPr>
          <w:rFonts w:ascii="Arial" w:hAnsi="Arial" w:cs="Arial"/>
        </w:rPr>
        <w:t xml:space="preserve">term investments evaluated based on level </w:t>
      </w:r>
      <w:r w:rsidR="009343E2">
        <w:rPr>
          <w:rFonts w:ascii="Arial" w:hAnsi="Arial" w:cs="Arial"/>
        </w:rPr>
        <w:t>2</w:t>
      </w:r>
      <w:r w:rsidRPr="00581295">
        <w:rPr>
          <w:rFonts w:ascii="Arial" w:hAnsi="Arial" w:cs="Arial"/>
        </w:rPr>
        <w:t xml:space="preserve"> – </w:t>
      </w:r>
      <w:r w:rsidR="009343E2">
        <w:rPr>
          <w:rFonts w:ascii="Arial" w:hAnsi="Arial" w:cs="Arial"/>
        </w:rPr>
        <w:t xml:space="preserve">significant </w:t>
      </w:r>
      <w:r w:rsidRPr="00581295">
        <w:rPr>
          <w:rFonts w:ascii="Arial" w:hAnsi="Arial" w:cs="Arial"/>
        </w:rPr>
        <w:t>observable inputs for the asset</w:t>
      </w:r>
      <w:r w:rsidR="009343E2">
        <w:rPr>
          <w:rFonts w:ascii="Arial" w:hAnsi="Arial" w:cs="Arial"/>
        </w:rPr>
        <w:t>. There have been no changes in valuation technique during the financial year.</w:t>
      </w:r>
    </w:p>
    <w:bookmarkEnd w:id="321"/>
    <w:p w14:paraId="5C780399" w14:textId="77777777" w:rsidR="00795BE0" w:rsidRPr="00E12104" w:rsidRDefault="00795BE0" w:rsidP="006F1659">
      <w:pPr>
        <w:spacing w:line="360" w:lineRule="auto"/>
        <w:rPr>
          <w:rFonts w:ascii="Arial" w:hAnsi="Arial" w:cs="Arial"/>
        </w:rPr>
      </w:pPr>
    </w:p>
    <w:p w14:paraId="032EE2EC" w14:textId="639D7E58" w:rsidR="00795BE0" w:rsidRPr="00924B0A" w:rsidRDefault="00795BE0" w:rsidP="006F1659">
      <w:pPr>
        <w:spacing w:line="360" w:lineRule="auto"/>
        <w:rPr>
          <w:rFonts w:ascii="Arial" w:hAnsi="Arial" w:cs="Arial"/>
        </w:rPr>
      </w:pPr>
      <w:r w:rsidRPr="00924B0A">
        <w:rPr>
          <w:rFonts w:ascii="Arial" w:hAnsi="Arial" w:cs="Arial"/>
        </w:rPr>
        <w:t>Other Financial Assets and Financial Liabilities are carried in the balance sheet at amortised cost, with carrying values as disclosed above. Their fair values disclosed in the table below have been assessed by calculating the present value of the cash flows that will take place over the remaining term of the instruments, using the following assumptions</w:t>
      </w:r>
      <w:r w:rsidR="0061311B">
        <w:rPr>
          <w:rFonts w:ascii="Arial" w:hAnsi="Arial" w:cs="Arial"/>
        </w:rPr>
        <w:t>:</w:t>
      </w:r>
    </w:p>
    <w:p w14:paraId="38C41F26" w14:textId="77777777" w:rsidR="00795BE0" w:rsidRPr="00C41280" w:rsidRDefault="00795BE0" w:rsidP="006F1659">
      <w:pPr>
        <w:spacing w:line="360" w:lineRule="auto"/>
        <w:rPr>
          <w:rFonts w:ascii="Arial" w:hAnsi="Arial" w:cs="Arial"/>
          <w:highlight w:val="yellow"/>
        </w:rPr>
      </w:pPr>
    </w:p>
    <w:p w14:paraId="56EBBD1D" w14:textId="66B9B7CB" w:rsidR="00795BE0" w:rsidRPr="00924B0A" w:rsidRDefault="00795BE0" w:rsidP="006F1659">
      <w:pPr>
        <w:pStyle w:val="Normal0"/>
        <w:numPr>
          <w:ilvl w:val="0"/>
          <w:numId w:val="56"/>
        </w:numPr>
        <w:spacing w:line="360" w:lineRule="auto"/>
        <w:rPr>
          <w:rFonts w:ascii="Arial" w:eastAsia="Verdana" w:hAnsi="Arial" w:cs="Arial"/>
          <w:sz w:val="24"/>
          <w:szCs w:val="24"/>
          <w:lang w:val="en-GB"/>
        </w:rPr>
      </w:pPr>
      <w:r w:rsidRPr="00924B0A">
        <w:rPr>
          <w:rFonts w:ascii="Arial" w:eastAsia="Verdana" w:hAnsi="Arial" w:cs="Arial"/>
          <w:sz w:val="24"/>
          <w:szCs w:val="24"/>
          <w:lang w:val="en-GB"/>
        </w:rPr>
        <w:t>The fair value of cash and cash equivalents (which includes other investments), short</w:t>
      </w:r>
      <w:r w:rsidR="00F3496D">
        <w:rPr>
          <w:rFonts w:ascii="Arial" w:eastAsia="Verdana" w:hAnsi="Arial" w:cs="Arial"/>
          <w:sz w:val="24"/>
          <w:szCs w:val="24"/>
          <w:lang w:val="en-GB"/>
        </w:rPr>
        <w:t xml:space="preserve"> </w:t>
      </w:r>
      <w:r w:rsidRPr="00924B0A">
        <w:rPr>
          <w:rFonts w:ascii="Arial" w:eastAsia="Verdana" w:hAnsi="Arial" w:cs="Arial"/>
          <w:sz w:val="24"/>
          <w:szCs w:val="24"/>
          <w:lang w:val="en-GB"/>
        </w:rPr>
        <w:t>term debtors and short</w:t>
      </w:r>
      <w:r w:rsidR="00F3496D">
        <w:rPr>
          <w:rFonts w:ascii="Arial" w:eastAsia="Verdana" w:hAnsi="Arial" w:cs="Arial"/>
          <w:sz w:val="24"/>
          <w:szCs w:val="24"/>
          <w:lang w:val="en-GB"/>
        </w:rPr>
        <w:t xml:space="preserve"> </w:t>
      </w:r>
      <w:r w:rsidRPr="00924B0A">
        <w:rPr>
          <w:rFonts w:ascii="Arial" w:eastAsia="Verdana" w:hAnsi="Arial" w:cs="Arial"/>
          <w:sz w:val="24"/>
          <w:szCs w:val="24"/>
          <w:lang w:val="en-GB"/>
        </w:rPr>
        <w:t>term creditors is taken to be their carrying amount as this is deemed to provide a reasonable approximation in accordance with the CIPFA Code of Practice.</w:t>
      </w:r>
    </w:p>
    <w:p w14:paraId="2CC2D6E1" w14:textId="77777777" w:rsidR="00795BE0" w:rsidRPr="000E1954" w:rsidRDefault="00795BE0" w:rsidP="006F1659">
      <w:pPr>
        <w:pStyle w:val="Normal0"/>
        <w:spacing w:line="360" w:lineRule="auto"/>
        <w:ind w:left="720"/>
        <w:rPr>
          <w:rFonts w:ascii="Arial" w:eastAsia="Verdana" w:hAnsi="Arial" w:cs="Arial"/>
          <w:sz w:val="24"/>
          <w:szCs w:val="24"/>
          <w:lang w:val="en-GB"/>
        </w:rPr>
      </w:pPr>
    </w:p>
    <w:p w14:paraId="49BA4B4E" w14:textId="10FC8962" w:rsidR="00795BE0" w:rsidRPr="000E1954" w:rsidRDefault="00795BE0" w:rsidP="006F1659">
      <w:pPr>
        <w:pStyle w:val="Normal0"/>
        <w:numPr>
          <w:ilvl w:val="0"/>
          <w:numId w:val="36"/>
        </w:numPr>
        <w:spacing w:line="360" w:lineRule="auto"/>
        <w:rPr>
          <w:rFonts w:ascii="Arial" w:eastAsia="Verdana" w:hAnsi="Arial" w:cs="Arial"/>
          <w:sz w:val="24"/>
          <w:szCs w:val="24"/>
          <w:lang w:val="en-GB"/>
        </w:rPr>
      </w:pPr>
      <w:r w:rsidRPr="000E1954">
        <w:rPr>
          <w:rFonts w:ascii="Arial" w:eastAsia="Verdana" w:hAnsi="Arial" w:cs="Arial"/>
          <w:sz w:val="24"/>
          <w:szCs w:val="24"/>
          <w:lang w:val="en-GB"/>
        </w:rPr>
        <w:t>The fair value of long</w:t>
      </w:r>
      <w:r w:rsidR="00F3496D">
        <w:rPr>
          <w:rFonts w:ascii="Arial" w:eastAsia="Verdana" w:hAnsi="Arial" w:cs="Arial"/>
          <w:sz w:val="24"/>
          <w:szCs w:val="24"/>
          <w:lang w:val="en-GB"/>
        </w:rPr>
        <w:t xml:space="preserve"> </w:t>
      </w:r>
      <w:r w:rsidRPr="000E1954">
        <w:rPr>
          <w:rFonts w:ascii="Arial" w:eastAsia="Verdana" w:hAnsi="Arial" w:cs="Arial"/>
          <w:sz w:val="24"/>
          <w:szCs w:val="24"/>
          <w:lang w:val="en-GB"/>
        </w:rPr>
        <w:t>term debtors within the single entity accounts has been evaluated and where these relate to loan advances greater than £3m, prevailing benchmark market rates have been applied to provide the fair value. All other long</w:t>
      </w:r>
      <w:r w:rsidR="00F3496D">
        <w:rPr>
          <w:rFonts w:ascii="Arial" w:eastAsia="Verdana" w:hAnsi="Arial" w:cs="Arial"/>
          <w:sz w:val="24"/>
          <w:szCs w:val="24"/>
          <w:lang w:val="en-GB"/>
        </w:rPr>
        <w:t xml:space="preserve"> </w:t>
      </w:r>
      <w:r w:rsidRPr="000E1954">
        <w:rPr>
          <w:rFonts w:ascii="Arial" w:eastAsia="Verdana" w:hAnsi="Arial" w:cs="Arial"/>
          <w:sz w:val="24"/>
          <w:szCs w:val="24"/>
          <w:lang w:val="en-GB"/>
        </w:rPr>
        <w:t xml:space="preserve">term debtors are included at their carrying value. </w:t>
      </w:r>
    </w:p>
    <w:p w14:paraId="0AE7D9D0" w14:textId="77777777" w:rsidR="00795BE0" w:rsidRPr="00C41280" w:rsidRDefault="00795BE0" w:rsidP="006F1659">
      <w:pPr>
        <w:pStyle w:val="Normal0"/>
        <w:spacing w:line="360" w:lineRule="auto"/>
        <w:ind w:left="720"/>
        <w:rPr>
          <w:rFonts w:ascii="Arial" w:eastAsia="Verdana" w:hAnsi="Arial" w:cs="Arial"/>
          <w:sz w:val="24"/>
          <w:szCs w:val="24"/>
          <w:highlight w:val="yellow"/>
          <w:lang w:val="en-GB"/>
        </w:rPr>
      </w:pPr>
    </w:p>
    <w:p w14:paraId="7B9BB84E" w14:textId="77777777" w:rsidR="00795BE0" w:rsidRPr="00342B6D" w:rsidRDefault="00795BE0" w:rsidP="006F1659">
      <w:pPr>
        <w:pStyle w:val="Normal0"/>
        <w:numPr>
          <w:ilvl w:val="0"/>
          <w:numId w:val="3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 xml:space="preserve">Fair value for deferred liabilities in the single entity accounts in relation to the historical Greater Manchester Loan Fund is held at cost as this debt is not tradeable in any principal or alternative market. </w:t>
      </w:r>
    </w:p>
    <w:p w14:paraId="1FFA8DEF" w14:textId="77777777" w:rsidR="00795BE0" w:rsidRPr="00342B6D" w:rsidRDefault="00795BE0" w:rsidP="006F1659">
      <w:pPr>
        <w:spacing w:line="360" w:lineRule="auto"/>
        <w:rPr>
          <w:rFonts w:ascii="Arial" w:hAnsi="Arial" w:cs="Arial"/>
        </w:rPr>
      </w:pPr>
    </w:p>
    <w:p w14:paraId="6A23DE91" w14:textId="77777777" w:rsidR="00795BE0" w:rsidRPr="00342B6D" w:rsidRDefault="00795BE0" w:rsidP="006F1659">
      <w:pPr>
        <w:pStyle w:val="Normal0"/>
        <w:numPr>
          <w:ilvl w:val="0"/>
          <w:numId w:val="3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Fair value for PFI schemes cannot be obtained as there is no comparable information available, and these have therefore been shown at cost.</w:t>
      </w:r>
    </w:p>
    <w:p w14:paraId="7D1E4B38" w14:textId="77777777" w:rsidR="00795BE0" w:rsidRPr="00C41280" w:rsidRDefault="00795BE0" w:rsidP="006F1659">
      <w:pPr>
        <w:pStyle w:val="Normal0"/>
        <w:spacing w:line="360" w:lineRule="auto"/>
        <w:ind w:left="720"/>
        <w:rPr>
          <w:rFonts w:ascii="Arial" w:eastAsia="Verdana" w:hAnsi="Arial" w:cs="Arial"/>
          <w:sz w:val="24"/>
          <w:szCs w:val="24"/>
          <w:highlight w:val="yellow"/>
          <w:lang w:val="en-GB"/>
        </w:rPr>
      </w:pPr>
    </w:p>
    <w:p w14:paraId="0E38AECA" w14:textId="5F8ADD95" w:rsidR="00795BE0" w:rsidRPr="0022418C" w:rsidRDefault="00795BE0" w:rsidP="006F1659">
      <w:pPr>
        <w:numPr>
          <w:ilvl w:val="0"/>
          <w:numId w:val="56"/>
        </w:numPr>
        <w:spacing w:line="360" w:lineRule="auto"/>
        <w:rPr>
          <w:rFonts w:ascii="Arial" w:hAnsi="Arial" w:cs="Arial"/>
        </w:rPr>
      </w:pPr>
      <w:bookmarkStart w:id="322" w:name="_Hlk109072659"/>
      <w:r w:rsidRPr="0022418C">
        <w:rPr>
          <w:rFonts w:ascii="Arial" w:hAnsi="Arial" w:cs="Arial"/>
        </w:rPr>
        <w:t xml:space="preserve">For loans from the PWLB, premature repayment rates from the PWLB have been applied to provide the fair value; by applying new loan rates their fair value would be </w:t>
      </w:r>
      <w:r w:rsidRPr="00A2072D">
        <w:rPr>
          <w:rFonts w:ascii="Arial" w:hAnsi="Arial" w:cs="Arial"/>
        </w:rPr>
        <w:t>£</w:t>
      </w:r>
      <w:r w:rsidR="00581295" w:rsidRPr="00581295">
        <w:rPr>
          <w:rFonts w:ascii="Arial" w:hAnsi="Arial" w:cs="Arial"/>
        </w:rPr>
        <w:t>553.375m</w:t>
      </w:r>
      <w:r w:rsidRPr="00581295">
        <w:rPr>
          <w:rFonts w:ascii="Arial" w:hAnsi="Arial" w:cs="Arial"/>
        </w:rPr>
        <w:t>.</w:t>
      </w:r>
    </w:p>
    <w:p w14:paraId="2F963035" w14:textId="77777777" w:rsidR="00795BE0" w:rsidRPr="00C41280" w:rsidRDefault="00795BE0" w:rsidP="006F1659">
      <w:pPr>
        <w:spacing w:line="360" w:lineRule="auto"/>
        <w:ind w:left="720"/>
        <w:rPr>
          <w:rFonts w:ascii="Arial" w:hAnsi="Arial" w:cs="Arial"/>
          <w:highlight w:val="yellow"/>
        </w:rPr>
      </w:pPr>
    </w:p>
    <w:p w14:paraId="2FC43D44" w14:textId="5ABC4DF6" w:rsidR="00795BE0" w:rsidRPr="000F0CEB" w:rsidRDefault="00795BE0" w:rsidP="006F1659">
      <w:pPr>
        <w:numPr>
          <w:ilvl w:val="0"/>
          <w:numId w:val="56"/>
        </w:numPr>
        <w:spacing w:line="360" w:lineRule="auto"/>
        <w:rPr>
          <w:rFonts w:ascii="Arial" w:hAnsi="Arial" w:cs="Arial"/>
        </w:rPr>
      </w:pPr>
      <w:r w:rsidRPr="000F0CEB">
        <w:rPr>
          <w:rFonts w:ascii="Arial" w:hAnsi="Arial" w:cs="Arial"/>
        </w:rPr>
        <w:lastRenderedPageBreak/>
        <w:t>For non-PWLB loans payable, premature repayment rates have been applied to provide the fair value; by applying new loan rates their fair value would be £</w:t>
      </w:r>
      <w:r w:rsidR="00581295" w:rsidRPr="00581295">
        <w:rPr>
          <w:rFonts w:ascii="Arial" w:hAnsi="Arial" w:cs="Arial"/>
        </w:rPr>
        <w:t>811,751m</w:t>
      </w:r>
      <w:r w:rsidRPr="00581295">
        <w:rPr>
          <w:rFonts w:ascii="Arial" w:hAnsi="Arial" w:cs="Arial"/>
        </w:rPr>
        <w:t>.</w:t>
      </w:r>
    </w:p>
    <w:bookmarkEnd w:id="322"/>
    <w:p w14:paraId="166F35A5" w14:textId="77777777" w:rsidR="00795BE0" w:rsidRPr="00C41280" w:rsidRDefault="00795BE0" w:rsidP="006F1659">
      <w:pPr>
        <w:spacing w:line="360" w:lineRule="auto"/>
        <w:ind w:left="720"/>
        <w:rPr>
          <w:rFonts w:ascii="Arial" w:hAnsi="Arial" w:cs="Arial"/>
          <w:highlight w:val="yellow"/>
        </w:rPr>
      </w:pPr>
    </w:p>
    <w:p w14:paraId="4369A98C" w14:textId="77777777" w:rsidR="00795BE0" w:rsidRPr="00342B6D" w:rsidRDefault="00795BE0" w:rsidP="006F1659">
      <w:pPr>
        <w:pStyle w:val="Normal0"/>
        <w:numPr>
          <w:ilvl w:val="0"/>
          <w:numId w:val="5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479A38F3" w14:textId="77777777" w:rsidR="00795BE0" w:rsidRPr="00C41280" w:rsidRDefault="00795BE0" w:rsidP="006F1659">
      <w:pPr>
        <w:pStyle w:val="Normal0"/>
        <w:spacing w:line="360" w:lineRule="auto"/>
        <w:rPr>
          <w:rFonts w:ascii="Arial" w:eastAsia="Verdana" w:hAnsi="Arial" w:cs="Arial"/>
          <w:sz w:val="24"/>
          <w:szCs w:val="24"/>
          <w:highlight w:val="yellow"/>
          <w:lang w:val="en-GB"/>
        </w:rPr>
      </w:pPr>
    </w:p>
    <w:p w14:paraId="02879AFF" w14:textId="77777777" w:rsidR="00795BE0" w:rsidRPr="00342B6D" w:rsidRDefault="00795BE0" w:rsidP="006F1659">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2751DE83" w14:textId="77777777" w:rsidR="00795BE0" w:rsidRPr="00342B6D" w:rsidRDefault="00795BE0" w:rsidP="006F1659">
      <w:pPr>
        <w:pStyle w:val="Normal0"/>
        <w:spacing w:line="360" w:lineRule="auto"/>
        <w:ind w:left="720"/>
        <w:rPr>
          <w:rFonts w:ascii="Arial" w:eastAsia="Verdana" w:hAnsi="Arial" w:cs="Arial"/>
          <w:sz w:val="24"/>
          <w:szCs w:val="24"/>
          <w:lang w:val="en-GB"/>
        </w:rPr>
      </w:pPr>
    </w:p>
    <w:p w14:paraId="0AD21213" w14:textId="77777777" w:rsidR="00795BE0" w:rsidRPr="00342B6D" w:rsidRDefault="00795BE0" w:rsidP="006F1659">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380C1C26" w14:textId="77777777" w:rsidR="00795BE0" w:rsidRPr="00C41280" w:rsidRDefault="00795BE0" w:rsidP="006F1659">
      <w:pPr>
        <w:pStyle w:val="Normal0"/>
        <w:spacing w:line="360" w:lineRule="auto"/>
        <w:ind w:left="360"/>
        <w:rPr>
          <w:rFonts w:ascii="Arial" w:eastAsia="Verdana" w:hAnsi="Arial" w:cs="Arial"/>
          <w:sz w:val="24"/>
          <w:szCs w:val="24"/>
          <w:highlight w:val="yellow"/>
          <w:lang w:val="en-GB"/>
        </w:rPr>
      </w:pPr>
    </w:p>
    <w:p w14:paraId="43A0AEF4" w14:textId="77777777" w:rsidR="00795BE0" w:rsidRPr="00342B6D" w:rsidRDefault="00795BE0" w:rsidP="006F1659">
      <w:pPr>
        <w:spacing w:line="360" w:lineRule="auto"/>
        <w:ind w:left="360"/>
        <w:rPr>
          <w:rFonts w:ascii="Arial" w:hAnsi="Arial" w:cs="Arial"/>
        </w:rPr>
      </w:pPr>
      <w:r w:rsidRPr="00342B6D">
        <w:rPr>
          <w:rFonts w:ascii="Arial" w:eastAsia="Verdana" w:hAnsi="Arial" w:cs="Arial"/>
        </w:rPr>
        <w:t>Assumptions used, which do not have a material effect on the fair value evaluation are</w:t>
      </w:r>
      <w:r>
        <w:rPr>
          <w:rFonts w:ascii="Arial" w:eastAsia="Verdana" w:hAnsi="Arial" w:cs="Arial"/>
        </w:rPr>
        <w:t>;</w:t>
      </w:r>
      <w:r w:rsidRPr="00342B6D">
        <w:rPr>
          <w:rFonts w:ascii="Arial" w:eastAsia="Verdana" w:hAnsi="Arial" w:cs="Arial"/>
        </w:rPr>
        <w:t xml:space="preserve"> interest is calculated using a 365-day basis; interest is paid on the maturity date; no adjustment is made to the interest value and date where a relevant date occurs on a non-working day.</w:t>
      </w:r>
    </w:p>
    <w:p w14:paraId="553109FC" w14:textId="13E58DFA" w:rsidR="0061311B" w:rsidRDefault="0061311B" w:rsidP="006F1659">
      <w:pPr>
        <w:spacing w:line="360" w:lineRule="auto"/>
        <w:rPr>
          <w:rFonts w:ascii="Arial" w:hAnsi="Arial" w:cs="Arial"/>
        </w:rPr>
      </w:pPr>
    </w:p>
    <w:p w14:paraId="5234624D" w14:textId="2C04F4D3" w:rsidR="00795BE0" w:rsidRDefault="00795BE0" w:rsidP="006F1659">
      <w:pPr>
        <w:spacing w:line="360" w:lineRule="auto"/>
        <w:ind w:left="360"/>
        <w:rPr>
          <w:rFonts w:ascii="Arial" w:hAnsi="Arial" w:cs="Arial"/>
        </w:rPr>
      </w:pPr>
      <w:r w:rsidRPr="00342B6D">
        <w:rPr>
          <w:rFonts w:ascii="Arial" w:hAnsi="Arial" w:cs="Arial"/>
        </w:rPr>
        <w:t>Loans and Borrowings of the Group are set out by type of loan and by maturity in the table below:</w:t>
      </w:r>
    </w:p>
    <w:p w14:paraId="109B3C37" w14:textId="77777777" w:rsidR="002201A2" w:rsidRPr="0007572B" w:rsidRDefault="002201A2" w:rsidP="006F1659">
      <w:pPr>
        <w:spacing w:line="360" w:lineRule="auto"/>
        <w:ind w:left="360"/>
        <w:rPr>
          <w:rFonts w:ascii="Arial" w:hAnsi="Arial" w:cs="Arial"/>
        </w:rPr>
      </w:pPr>
    </w:p>
    <w:p w14:paraId="3EAC089A" w14:textId="18FBA3A4" w:rsidR="00795BE0" w:rsidRPr="0007572B" w:rsidRDefault="00795BE0" w:rsidP="006F1659">
      <w:pPr>
        <w:spacing w:line="360" w:lineRule="auto"/>
        <w:rPr>
          <w:rFonts w:ascii="Arial" w:hAnsi="Arial" w:cs="Arial"/>
        </w:rPr>
      </w:pPr>
    </w:p>
    <w:p w14:paraId="68D2D39C" w14:textId="0B08E154" w:rsidR="00795BE0" w:rsidRPr="0007572B" w:rsidRDefault="007B17DD" w:rsidP="006F1659">
      <w:pPr>
        <w:spacing w:line="360" w:lineRule="auto"/>
        <w:rPr>
          <w:rFonts w:ascii="Arial" w:hAnsi="Arial" w:cs="Arial"/>
          <w:b/>
          <w:sz w:val="22"/>
          <w:szCs w:val="22"/>
        </w:rPr>
      </w:pPr>
      <w:r w:rsidRPr="007B17DD">
        <w:rPr>
          <w:noProof/>
        </w:rPr>
        <w:lastRenderedPageBreak/>
        <w:drawing>
          <wp:inline distT="0" distB="0" distL="0" distR="0" wp14:anchorId="5F640F78" wp14:editId="0BF78B5A">
            <wp:extent cx="5975350" cy="3955415"/>
            <wp:effectExtent l="0" t="0" r="6350" b="6985"/>
            <wp:docPr id="205103810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975350" cy="3955415"/>
                    </a:xfrm>
                    <a:prstGeom prst="rect">
                      <a:avLst/>
                    </a:prstGeom>
                    <a:noFill/>
                    <a:ln>
                      <a:noFill/>
                    </a:ln>
                  </pic:spPr>
                </pic:pic>
              </a:graphicData>
            </a:graphic>
          </wp:inline>
        </w:drawing>
      </w:r>
    </w:p>
    <w:p w14:paraId="32A7A275" w14:textId="76A165BC" w:rsidR="00882716" w:rsidRDefault="00882716" w:rsidP="006F1659">
      <w:pPr>
        <w:spacing w:line="360" w:lineRule="auto"/>
      </w:pPr>
      <w:bookmarkStart w:id="323" w:name="_Toc92894950"/>
      <w:bookmarkStart w:id="324" w:name="_Toc92895254"/>
    </w:p>
    <w:p w14:paraId="3DB53FF0" w14:textId="77777777" w:rsidR="006D40E9" w:rsidRDefault="006D40E9" w:rsidP="006F1659">
      <w:pPr>
        <w:spacing w:line="360" w:lineRule="auto"/>
        <w:rPr>
          <w:rFonts w:ascii="Arial" w:eastAsia="Palatino Linotype" w:hAnsi="Arial" w:cs="Arial"/>
          <w:b/>
          <w:bCs/>
          <w:szCs w:val="28"/>
          <w:lang w:val="en-US"/>
        </w:rPr>
      </w:pPr>
    </w:p>
    <w:p w14:paraId="7B0CF570" w14:textId="2B24824E" w:rsidR="00795BE0" w:rsidRPr="0007572B" w:rsidRDefault="00795BE0" w:rsidP="006F1659">
      <w:pPr>
        <w:pStyle w:val="Heading3greennumbered"/>
        <w:spacing w:line="360" w:lineRule="auto"/>
      </w:pPr>
      <w:bookmarkStart w:id="325" w:name="_Toc109922688"/>
      <w:r w:rsidRPr="0007572B">
        <w:t>5</w:t>
      </w:r>
      <w:r>
        <w:t>6</w:t>
      </w:r>
      <w:r w:rsidRPr="0007572B">
        <w:t xml:space="preserve"> Group Nature and Extent of Risks arising from Financial Instruments</w:t>
      </w:r>
      <w:bookmarkEnd w:id="323"/>
      <w:bookmarkEnd w:id="324"/>
      <w:bookmarkEnd w:id="325"/>
    </w:p>
    <w:p w14:paraId="3B30CDDD" w14:textId="77777777" w:rsidR="00795BE0" w:rsidRDefault="00795BE0" w:rsidP="006F1659">
      <w:pPr>
        <w:spacing w:line="360" w:lineRule="auto"/>
        <w:rPr>
          <w:rFonts w:ascii="Arial" w:eastAsiaTheme="minorHAnsi" w:hAnsi="Arial" w:cs="Arial"/>
        </w:rPr>
      </w:pPr>
    </w:p>
    <w:p w14:paraId="7B628796" w14:textId="77D4F59D" w:rsidR="006D40E9"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The Authority’s risks are explained in note 30, this narrative covers the risk associated with TfGM, NWEH</w:t>
      </w:r>
      <w:r w:rsidR="008B1A29">
        <w:rPr>
          <w:rFonts w:ascii="Arial" w:eastAsiaTheme="minorHAnsi" w:hAnsi="Arial" w:cs="Arial"/>
        </w:rPr>
        <w:t>,</w:t>
      </w:r>
      <w:r w:rsidRPr="0007572B">
        <w:rPr>
          <w:rFonts w:ascii="Arial" w:eastAsiaTheme="minorHAnsi" w:hAnsi="Arial" w:cs="Arial"/>
          <w:color w:val="FF0000"/>
        </w:rPr>
        <w:t xml:space="preserve"> </w:t>
      </w:r>
      <w:r w:rsidRPr="0007572B">
        <w:rPr>
          <w:rFonts w:ascii="Arial" w:eastAsiaTheme="minorHAnsi" w:hAnsi="Arial" w:cs="Arial"/>
        </w:rPr>
        <w:t xml:space="preserve">FoFLP </w:t>
      </w:r>
      <w:r w:rsidR="008B1A29">
        <w:rPr>
          <w:rFonts w:ascii="Arial" w:eastAsiaTheme="minorHAnsi" w:hAnsi="Arial" w:cs="Arial"/>
        </w:rPr>
        <w:t xml:space="preserve">and </w:t>
      </w:r>
      <w:r w:rsidR="002B049C">
        <w:rPr>
          <w:rFonts w:ascii="Arial" w:eastAsiaTheme="minorHAnsi" w:hAnsi="Arial" w:cs="Arial"/>
        </w:rPr>
        <w:t>GME2</w:t>
      </w:r>
      <w:r w:rsidR="008B1A29" w:rsidRPr="008B1A29">
        <w:rPr>
          <w:rFonts w:ascii="Arial" w:eastAsiaTheme="minorHAnsi" w:hAnsi="Arial" w:cs="Arial"/>
        </w:rPr>
        <w:t xml:space="preserve">LP </w:t>
      </w:r>
      <w:r w:rsidRPr="008B1A29">
        <w:rPr>
          <w:rFonts w:ascii="Arial" w:eastAsiaTheme="minorHAnsi" w:hAnsi="Arial" w:cs="Arial"/>
        </w:rPr>
        <w:t xml:space="preserve">financial </w:t>
      </w:r>
      <w:r w:rsidRPr="0007572B">
        <w:rPr>
          <w:rFonts w:ascii="Arial" w:eastAsiaTheme="minorHAnsi" w:hAnsi="Arial" w:cs="Arial"/>
        </w:rPr>
        <w:t>instruments.</w:t>
      </w:r>
    </w:p>
    <w:p w14:paraId="3DE05118" w14:textId="77777777" w:rsidR="00795BE0" w:rsidRPr="0007572B" w:rsidRDefault="00795BE0" w:rsidP="006F1659">
      <w:pPr>
        <w:pStyle w:val="Heading4bold"/>
        <w:spacing w:line="360" w:lineRule="auto"/>
        <w:rPr>
          <w:rFonts w:eastAsiaTheme="minorHAnsi"/>
        </w:rPr>
      </w:pPr>
      <w:r w:rsidRPr="0007572B">
        <w:rPr>
          <w:rFonts w:eastAsiaTheme="minorHAnsi"/>
        </w:rPr>
        <w:t>Risk Factors</w:t>
      </w:r>
    </w:p>
    <w:p w14:paraId="6193E7CC" w14:textId="77777777" w:rsidR="00795BE0" w:rsidRPr="00716403" w:rsidRDefault="00795BE0" w:rsidP="006F1659">
      <w:pPr>
        <w:pStyle w:val="Heading5underline"/>
        <w:spacing w:line="360" w:lineRule="auto"/>
      </w:pPr>
      <w:r w:rsidRPr="00716403">
        <w:t>TfGM</w:t>
      </w:r>
    </w:p>
    <w:p w14:paraId="02307466" w14:textId="77777777" w:rsidR="00795BE0" w:rsidRPr="00A333FE" w:rsidRDefault="00795BE0" w:rsidP="006F1659">
      <w:pPr>
        <w:spacing w:line="360" w:lineRule="auto"/>
        <w:rPr>
          <w:rFonts w:ascii="Arial" w:eastAsiaTheme="minorHAnsi" w:hAnsi="Arial" w:cs="Arial"/>
        </w:rPr>
      </w:pPr>
      <w:r w:rsidRPr="00A333FE">
        <w:rPr>
          <w:rFonts w:ascii="Arial" w:eastAsiaTheme="minorHAnsi" w:hAnsi="Arial" w:cs="Arial"/>
        </w:rPr>
        <w:t xml:space="preserve">TfGM has a credit risk management policy that establishes guidelines and processes for credit risk assessments conducted on customer accounts, via a licence to Companywatch. Assessments consider historic financial information and an overall financial health score based on cashflow, balance sheet liquidity, and income and expenditure analysis. </w:t>
      </w:r>
    </w:p>
    <w:p w14:paraId="17EE2720" w14:textId="77777777" w:rsidR="00795BE0" w:rsidRPr="000162E7" w:rsidRDefault="00795BE0" w:rsidP="006F1659">
      <w:pPr>
        <w:spacing w:line="360" w:lineRule="auto"/>
        <w:rPr>
          <w:rFonts w:ascii="Arial" w:eastAsiaTheme="minorHAnsi" w:hAnsi="Arial" w:cs="Arial"/>
          <w:highlight w:val="yellow"/>
        </w:rPr>
      </w:pPr>
    </w:p>
    <w:p w14:paraId="265FC7B4" w14:textId="2521A727" w:rsidR="00795BE0" w:rsidRPr="0007572B" w:rsidRDefault="00795BE0" w:rsidP="006F1659">
      <w:pPr>
        <w:spacing w:line="360" w:lineRule="auto"/>
        <w:rPr>
          <w:rFonts w:ascii="Arial" w:hAnsi="Arial" w:cs="Arial"/>
        </w:rPr>
      </w:pPr>
      <w:r w:rsidRPr="00AE4811">
        <w:rPr>
          <w:rFonts w:ascii="Arial" w:eastAsiaTheme="minorHAnsi" w:hAnsi="Arial" w:cs="Arial"/>
        </w:rPr>
        <w:t xml:space="preserve">As at 31 March </w:t>
      </w:r>
      <w:r>
        <w:rPr>
          <w:rFonts w:ascii="Arial" w:eastAsiaTheme="minorHAnsi" w:hAnsi="Arial" w:cs="Arial"/>
        </w:rPr>
        <w:t>202</w:t>
      </w:r>
      <w:r w:rsidR="00845B32">
        <w:rPr>
          <w:rFonts w:ascii="Arial" w:eastAsiaTheme="minorHAnsi" w:hAnsi="Arial" w:cs="Arial"/>
        </w:rPr>
        <w:t>3</w:t>
      </w:r>
      <w:r w:rsidRPr="00AE4811">
        <w:rPr>
          <w:rFonts w:ascii="Arial" w:eastAsiaTheme="minorHAnsi" w:hAnsi="Arial" w:cs="Arial"/>
        </w:rPr>
        <w:t>,</w:t>
      </w:r>
      <w:r w:rsidRPr="0007572B">
        <w:rPr>
          <w:rFonts w:ascii="Arial" w:eastAsiaTheme="minorHAnsi" w:hAnsi="Arial" w:cs="Arial"/>
        </w:rPr>
        <w:t xml:space="preserve"> </w:t>
      </w:r>
      <w:r w:rsidRPr="00A77BA2">
        <w:rPr>
          <w:rFonts w:ascii="Arial" w:eastAsiaTheme="minorHAnsi" w:hAnsi="Arial" w:cs="Arial"/>
        </w:rPr>
        <w:t xml:space="preserve">a </w:t>
      </w:r>
      <w:r w:rsidRPr="00E4417E">
        <w:rPr>
          <w:rFonts w:ascii="Arial" w:eastAsiaTheme="minorHAnsi" w:hAnsi="Arial" w:cs="Arial"/>
        </w:rPr>
        <w:t>substantial proportion of the total debtors relate to central government and local authority bodies which are deemed to be low credit risk</w:t>
      </w:r>
      <w:r w:rsidRPr="00E4417E">
        <w:rPr>
          <w:rFonts w:ascii="Arial" w:hAnsi="Arial" w:cs="Arial"/>
        </w:rPr>
        <w:t>.</w:t>
      </w:r>
    </w:p>
    <w:p w14:paraId="437CFD09" w14:textId="77777777" w:rsidR="00795BE0" w:rsidRPr="0007572B" w:rsidRDefault="00795BE0" w:rsidP="006F1659">
      <w:pPr>
        <w:spacing w:line="360" w:lineRule="auto"/>
        <w:rPr>
          <w:rFonts w:ascii="Arial" w:eastAsiaTheme="minorHAnsi" w:hAnsi="Arial" w:cs="Arial"/>
        </w:rPr>
      </w:pPr>
      <w:r w:rsidRPr="0007572B">
        <w:rPr>
          <w:rFonts w:ascii="Arial" w:eastAsiaTheme="minorHAnsi" w:hAnsi="Arial" w:cs="Arial"/>
        </w:rPr>
        <w:t xml:space="preserve"> </w:t>
      </w:r>
    </w:p>
    <w:p w14:paraId="2D042866" w14:textId="33EC8349" w:rsidR="00795BE0" w:rsidRPr="00E4417E" w:rsidRDefault="00795BE0" w:rsidP="006F1659">
      <w:pPr>
        <w:spacing w:line="360" w:lineRule="auto"/>
        <w:rPr>
          <w:rFonts w:ascii="Arial" w:eastAsiaTheme="minorHAnsi" w:hAnsi="Arial" w:cs="Arial"/>
        </w:rPr>
      </w:pPr>
      <w:r w:rsidRPr="00E4417E">
        <w:rPr>
          <w:rFonts w:ascii="Arial" w:eastAsiaTheme="minorHAnsi" w:hAnsi="Arial" w:cs="Arial"/>
        </w:rPr>
        <w:lastRenderedPageBreak/>
        <w:t>The remaining £2</w:t>
      </w:r>
      <w:r w:rsidR="00E4417E" w:rsidRPr="00E4417E">
        <w:rPr>
          <w:rFonts w:ascii="Arial" w:eastAsiaTheme="minorHAnsi" w:hAnsi="Arial" w:cs="Arial"/>
        </w:rPr>
        <w:t>6</w:t>
      </w:r>
      <w:r w:rsidRPr="00E4417E">
        <w:rPr>
          <w:rFonts w:ascii="Arial" w:eastAsiaTheme="minorHAnsi" w:hAnsi="Arial" w:cs="Arial"/>
        </w:rPr>
        <w:t>.</w:t>
      </w:r>
      <w:r w:rsidR="00E4417E" w:rsidRPr="00E4417E">
        <w:rPr>
          <w:rFonts w:ascii="Arial" w:eastAsiaTheme="minorHAnsi" w:hAnsi="Arial" w:cs="Arial"/>
        </w:rPr>
        <w:t>2</w:t>
      </w:r>
      <w:r w:rsidRPr="00E4417E">
        <w:rPr>
          <w:rFonts w:ascii="Arial" w:eastAsiaTheme="minorHAnsi" w:hAnsi="Arial" w:cs="Arial"/>
        </w:rPr>
        <w:t>m of debtors relate to other entities and individuals, including</w:t>
      </w:r>
      <w:r w:rsidR="00235431" w:rsidRPr="00E4417E">
        <w:rPr>
          <w:rFonts w:ascii="Arial" w:eastAsiaTheme="minorHAnsi" w:hAnsi="Arial" w:cs="Arial"/>
        </w:rPr>
        <w:t xml:space="preserve"> £8.</w:t>
      </w:r>
      <w:r w:rsidR="00E4417E" w:rsidRPr="00E4417E">
        <w:rPr>
          <w:rFonts w:ascii="Arial" w:eastAsiaTheme="minorHAnsi" w:hAnsi="Arial" w:cs="Arial"/>
        </w:rPr>
        <w:t>2</w:t>
      </w:r>
      <w:r w:rsidR="00235431" w:rsidRPr="00E4417E">
        <w:rPr>
          <w:rFonts w:ascii="Arial" w:eastAsiaTheme="minorHAnsi" w:hAnsi="Arial" w:cs="Arial"/>
        </w:rPr>
        <w:t>m trade debtors, of which</w:t>
      </w:r>
      <w:r w:rsidRPr="00E4417E">
        <w:rPr>
          <w:rFonts w:ascii="Arial" w:eastAsiaTheme="minorHAnsi" w:hAnsi="Arial" w:cs="Arial"/>
        </w:rPr>
        <w:t xml:space="preserve"> </w:t>
      </w:r>
      <w:r w:rsidR="00E4417E" w:rsidRPr="00E4417E">
        <w:rPr>
          <w:rFonts w:ascii="Arial" w:eastAsiaTheme="minorHAnsi" w:hAnsi="Arial" w:cs="Arial"/>
        </w:rPr>
        <w:t>3</w:t>
      </w:r>
      <w:r w:rsidRPr="00E4417E">
        <w:rPr>
          <w:rFonts w:ascii="Arial" w:eastAsiaTheme="minorHAnsi" w:hAnsi="Arial" w:cs="Arial"/>
        </w:rPr>
        <w:t>6% are past due, with 7</w:t>
      </w:r>
      <w:r w:rsidR="00E4417E" w:rsidRPr="00E4417E">
        <w:rPr>
          <w:rFonts w:ascii="Arial" w:eastAsiaTheme="minorHAnsi" w:hAnsi="Arial" w:cs="Arial"/>
        </w:rPr>
        <w:t>5</w:t>
      </w:r>
      <w:r w:rsidRPr="00E4417E">
        <w:rPr>
          <w:rFonts w:ascii="Arial" w:eastAsiaTheme="minorHAnsi" w:hAnsi="Arial" w:cs="Arial"/>
        </w:rPr>
        <w:t>% of these being in the more than 30 days past due category.</w:t>
      </w:r>
    </w:p>
    <w:p w14:paraId="138E9AA3" w14:textId="77777777" w:rsidR="00795BE0" w:rsidRPr="00235431" w:rsidRDefault="00795BE0" w:rsidP="006F1659">
      <w:pPr>
        <w:spacing w:line="360" w:lineRule="auto"/>
        <w:rPr>
          <w:rFonts w:ascii="Arial" w:eastAsiaTheme="minorHAnsi" w:hAnsi="Arial" w:cs="Arial"/>
          <w:highlight w:val="yellow"/>
        </w:rPr>
      </w:pPr>
    </w:p>
    <w:p w14:paraId="60CF20ED" w14:textId="77777777" w:rsidR="00795BE0" w:rsidRPr="000162E7" w:rsidRDefault="00795BE0" w:rsidP="006F1659">
      <w:pPr>
        <w:spacing w:after="160" w:line="360" w:lineRule="auto"/>
        <w:rPr>
          <w:rFonts w:ascii="Arial" w:eastAsiaTheme="minorHAnsi" w:hAnsi="Arial" w:cs="Arial"/>
        </w:rPr>
      </w:pPr>
      <w:r w:rsidRPr="000162E7">
        <w:rPr>
          <w:rFonts w:ascii="Arial" w:eastAsiaTheme="minorHAnsi" w:hAnsi="Arial" w:cs="Arial"/>
        </w:rPr>
        <w:t>A prudent view is taken in respect of impairment of trade debtors.</w:t>
      </w:r>
    </w:p>
    <w:p w14:paraId="052F0968" w14:textId="77777777" w:rsidR="00795BE0" w:rsidRPr="000162E7" w:rsidRDefault="00795BE0" w:rsidP="006F1659">
      <w:pPr>
        <w:spacing w:after="160" w:line="360" w:lineRule="auto"/>
        <w:rPr>
          <w:rFonts w:ascii="Arial" w:eastAsiaTheme="minorHAnsi" w:hAnsi="Arial" w:cs="Arial"/>
        </w:rPr>
      </w:pPr>
      <w:r w:rsidRPr="000162E7">
        <w:rPr>
          <w:rFonts w:ascii="Arial" w:eastAsiaTheme="minorHAnsi" w:hAnsi="Arial" w:cs="Arial"/>
        </w:rPr>
        <w:t>TfGM bears no interest rate risk in relation to loans and borrowings, as all existing loans are at a fixed rate. Where required, short term funding for working capital is provided by GMCA at zero interest.</w:t>
      </w:r>
    </w:p>
    <w:p w14:paraId="78887E12" w14:textId="77777777" w:rsidR="00795BE0" w:rsidRPr="000162E7" w:rsidRDefault="00795BE0" w:rsidP="006F1659">
      <w:pPr>
        <w:spacing w:after="160" w:line="360" w:lineRule="auto"/>
        <w:rPr>
          <w:rFonts w:ascii="Arial" w:eastAsiaTheme="minorHAnsi" w:hAnsi="Arial" w:cs="Arial"/>
        </w:rPr>
      </w:pPr>
      <w:r w:rsidRPr="000162E7">
        <w:rPr>
          <w:rFonts w:ascii="Arial" w:eastAsiaTheme="minorHAnsi" w:hAnsi="Arial" w:cs="Arial"/>
        </w:rPr>
        <w:t>Currency risk is not a significant factor for TfGM, as it ensures that substantially all financial assets and liabilities are contracted for in sterling. The value of contracts denominated in Euros is not material.</w:t>
      </w:r>
    </w:p>
    <w:p w14:paraId="27596796" w14:textId="77777777" w:rsidR="00795BE0" w:rsidRPr="000162E7" w:rsidRDefault="00795BE0" w:rsidP="006F1659">
      <w:pPr>
        <w:spacing w:after="160" w:line="360" w:lineRule="auto"/>
        <w:rPr>
          <w:rFonts w:ascii="Arial" w:eastAsiaTheme="minorHAnsi" w:hAnsi="Arial" w:cs="Arial"/>
        </w:rPr>
      </w:pPr>
      <w:r w:rsidRPr="000162E7">
        <w:rPr>
          <w:rFonts w:ascii="Arial" w:eastAsiaTheme="minorHAnsi" w:hAnsi="Arial" w:cs="Arial"/>
        </w:rPr>
        <w:t>Equity price risk is not a factor for TfGM since it holds no tradable investments.</w:t>
      </w:r>
    </w:p>
    <w:p w14:paraId="2BE7A076" w14:textId="35AB6DA5" w:rsidR="00795BE0" w:rsidRPr="0007572B" w:rsidRDefault="00795BE0" w:rsidP="006F1659">
      <w:pPr>
        <w:spacing w:after="160" w:line="360" w:lineRule="auto"/>
        <w:rPr>
          <w:rFonts w:ascii="Arial" w:eastAsiaTheme="minorHAnsi" w:hAnsi="Arial" w:cs="Arial"/>
        </w:rPr>
      </w:pPr>
      <w:r w:rsidRPr="002E200A">
        <w:rPr>
          <w:rFonts w:ascii="Arial" w:eastAsiaTheme="minorHAnsi" w:hAnsi="Arial" w:cs="Arial"/>
        </w:rPr>
        <w:t>Risks are managed in accordance with the Annual Governance Statement. Management of TfGM’s cash balances and funding requirements is undertaken by the daily assessment of available funds for short</w:t>
      </w:r>
      <w:r w:rsidR="00F3496D">
        <w:rPr>
          <w:rFonts w:ascii="Arial" w:eastAsiaTheme="minorHAnsi" w:hAnsi="Arial" w:cs="Arial"/>
        </w:rPr>
        <w:t xml:space="preserve"> </w:t>
      </w:r>
      <w:r w:rsidRPr="002E200A">
        <w:rPr>
          <w:rFonts w:ascii="Arial" w:eastAsiaTheme="minorHAnsi" w:hAnsi="Arial" w:cs="Arial"/>
        </w:rPr>
        <w:t>term deposits; and the regular preparation of detailed treasury and cash flow forecasts which are reviewed by the Head of Finance and the Director of Finance and Corporate Services. Where necessary, mitigating actions are taken and agreement is sought from GMCA officers if further funding is required to cover, for example, short term cash flow requirements arising from the timing difference between expenditure and grant monies being applied for and received.</w:t>
      </w:r>
    </w:p>
    <w:p w14:paraId="7003A6D5" w14:textId="26622C7D" w:rsidR="00795BE0" w:rsidRDefault="00795BE0" w:rsidP="006F1659">
      <w:pPr>
        <w:pStyle w:val="Heading5underline"/>
        <w:spacing w:line="360" w:lineRule="auto"/>
      </w:pPr>
      <w:r w:rsidRPr="0007572B">
        <w:t>NWEH</w:t>
      </w:r>
      <w:r w:rsidR="00C42A8A">
        <w:t xml:space="preserve">, </w:t>
      </w:r>
      <w:r w:rsidRPr="0007572B">
        <w:t>FoFLP</w:t>
      </w:r>
      <w:r w:rsidR="00C42A8A">
        <w:t xml:space="preserve"> </w:t>
      </w:r>
      <w:r w:rsidR="00C42A8A" w:rsidRPr="002B049C">
        <w:t xml:space="preserve">and </w:t>
      </w:r>
      <w:r w:rsidR="00C42A8A" w:rsidRPr="002B049C">
        <w:rPr>
          <w:rFonts w:cs="Arial"/>
        </w:rPr>
        <w:t>GME2LP</w:t>
      </w:r>
      <w:r w:rsidRPr="002B049C">
        <w:t xml:space="preserve"> </w:t>
      </w:r>
      <w:r w:rsidRPr="0007572B">
        <w:t>(LPs)</w:t>
      </w:r>
    </w:p>
    <w:p w14:paraId="57241CA8"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The LPs’ principal risks are liquidity, credit and capital management, for which risk management programmes are in place to limit the adverse effect of such risks in their financial position.</w:t>
      </w:r>
    </w:p>
    <w:p w14:paraId="1F6C4CCC" w14:textId="77777777" w:rsidR="00795BE0" w:rsidRPr="00716403" w:rsidRDefault="00795BE0" w:rsidP="006F1659">
      <w:pPr>
        <w:pStyle w:val="Heading5underline"/>
        <w:spacing w:line="360" w:lineRule="auto"/>
        <w:rPr>
          <w:w w:val="100"/>
        </w:rPr>
      </w:pPr>
      <w:r w:rsidRPr="00716403">
        <w:rPr>
          <w:w w:val="100"/>
        </w:rPr>
        <w:t>Liquidity risk</w:t>
      </w:r>
    </w:p>
    <w:p w14:paraId="18CAF9F1" w14:textId="549F474A" w:rsidR="00795BE0" w:rsidRDefault="00795BE0" w:rsidP="006F1659">
      <w:pPr>
        <w:spacing w:after="160" w:line="360" w:lineRule="auto"/>
        <w:rPr>
          <w:rFonts w:ascii="Arial" w:eastAsiaTheme="minorHAnsi" w:hAnsi="Arial" w:cs="Arial"/>
        </w:rPr>
      </w:pPr>
      <w:r w:rsidRPr="0007572B">
        <w:rPr>
          <w:rFonts w:ascii="Arial" w:eastAsiaTheme="minorHAnsi" w:hAnsi="Arial" w:cs="Arial"/>
        </w:rPr>
        <w:t xml:space="preserve">Liquidity risk is the risk that the LPs will have difficulty in meeting their obligations as and when they fall due. The LPs’ approach to liquidity is to utilise cash flow forecasting to ensure that they will always have sufficient liquidity to meet liabilities as and when they fall due without incurring unacceptable credit risk or risking damage to the LPs’ reputations. </w:t>
      </w:r>
    </w:p>
    <w:p w14:paraId="7D7EB8CC" w14:textId="77777777" w:rsidR="008B1A29" w:rsidRPr="0007572B" w:rsidRDefault="008B1A29" w:rsidP="006F1659">
      <w:pPr>
        <w:spacing w:after="160" w:line="360" w:lineRule="auto"/>
        <w:rPr>
          <w:rFonts w:ascii="Arial" w:eastAsiaTheme="minorHAnsi" w:hAnsi="Arial" w:cs="Arial"/>
        </w:rPr>
      </w:pPr>
    </w:p>
    <w:p w14:paraId="3DE33F22" w14:textId="77777777" w:rsidR="00795BE0" w:rsidRPr="0007572B" w:rsidRDefault="00795BE0" w:rsidP="006F1659">
      <w:pPr>
        <w:pStyle w:val="Heading5underline"/>
        <w:spacing w:line="360" w:lineRule="auto"/>
      </w:pPr>
      <w:r w:rsidRPr="0007572B">
        <w:lastRenderedPageBreak/>
        <w:t>Credit risk</w:t>
      </w:r>
    </w:p>
    <w:p w14:paraId="51F9D81D"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Credit risk arises for the funds from both deposits with banks and credit exposures to borrowers.</w:t>
      </w:r>
    </w:p>
    <w:p w14:paraId="78E4A56D" w14:textId="4E151D41" w:rsidR="00795BE0" w:rsidRPr="003D3B7D" w:rsidRDefault="00795BE0" w:rsidP="006F1659">
      <w:pPr>
        <w:spacing w:line="360" w:lineRule="auto"/>
        <w:rPr>
          <w:rFonts w:ascii="Arial" w:eastAsiaTheme="minorHAnsi" w:hAnsi="Arial" w:cs="Arial"/>
        </w:rPr>
      </w:pPr>
      <w:r w:rsidRPr="0007572B">
        <w:rPr>
          <w:rFonts w:ascii="Arial" w:eastAsiaTheme="minorHAnsi" w:hAnsi="Arial" w:cs="Arial"/>
        </w:rPr>
        <w:t xml:space="preserve">The LPs’ credit risk in relation to bank deposits is minimised by following the GMCA’s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w:t>
      </w:r>
      <w:r w:rsidRPr="00ED0268">
        <w:rPr>
          <w:rFonts w:ascii="Arial" w:eastAsiaTheme="minorHAnsi" w:hAnsi="Arial" w:cs="Arial"/>
        </w:rPr>
        <w:t xml:space="preserve">minimum requirements of the investment criteria outlined in </w:t>
      </w:r>
      <w:r w:rsidRPr="003D3B7D">
        <w:rPr>
          <w:rFonts w:ascii="Arial" w:eastAsiaTheme="minorHAnsi" w:hAnsi="Arial" w:cs="Arial"/>
        </w:rPr>
        <w:t>Note 30. All investments held as at 31 March 202</w:t>
      </w:r>
      <w:r w:rsidR="00845B32" w:rsidRPr="003D3B7D">
        <w:rPr>
          <w:rFonts w:ascii="Arial" w:eastAsiaTheme="minorHAnsi" w:hAnsi="Arial" w:cs="Arial"/>
        </w:rPr>
        <w:t>3</w:t>
      </w:r>
      <w:r w:rsidRPr="003D3B7D">
        <w:rPr>
          <w:rFonts w:ascii="Arial" w:eastAsiaTheme="minorHAnsi" w:hAnsi="Arial" w:cs="Arial"/>
        </w:rPr>
        <w:t xml:space="preserve"> were with the HM Treasury Debt Management Office, other local authorities or UK banks and building societies. </w:t>
      </w:r>
    </w:p>
    <w:p w14:paraId="76AB3F14" w14:textId="77777777" w:rsidR="00795BE0" w:rsidRPr="003D3B7D" w:rsidRDefault="00795BE0" w:rsidP="006F1659">
      <w:pPr>
        <w:spacing w:line="360" w:lineRule="auto"/>
        <w:rPr>
          <w:rFonts w:ascii="Arial" w:eastAsiaTheme="minorHAnsi" w:hAnsi="Arial" w:cs="Arial"/>
        </w:rPr>
      </w:pPr>
    </w:p>
    <w:p w14:paraId="229FE578" w14:textId="77777777" w:rsidR="00795BE0" w:rsidRPr="003D3B7D" w:rsidRDefault="00795BE0" w:rsidP="006F1659">
      <w:pPr>
        <w:spacing w:after="160" w:line="360" w:lineRule="auto"/>
        <w:rPr>
          <w:rFonts w:ascii="Arial" w:eastAsiaTheme="minorHAnsi" w:hAnsi="Arial" w:cs="Arial"/>
        </w:rPr>
      </w:pPr>
      <w:r w:rsidRPr="003D3B7D">
        <w:rPr>
          <w:rFonts w:ascii="Arial" w:eastAsiaTheme="minorHAnsi" w:hAnsi="Arial" w:cs="Arial"/>
        </w:rPr>
        <w:t>The Authority has not used any non-credit rated institutions (for instance smaller building societies or bank subsidiaries where the parent has a satisfactory rating).</w:t>
      </w:r>
    </w:p>
    <w:p w14:paraId="6B32E22A" w14:textId="77777777" w:rsidR="00795BE0" w:rsidRPr="003D3B7D" w:rsidRDefault="00795BE0" w:rsidP="006F1659">
      <w:pPr>
        <w:spacing w:after="160" w:line="360" w:lineRule="auto"/>
        <w:rPr>
          <w:rFonts w:ascii="Arial" w:eastAsiaTheme="minorHAnsi" w:hAnsi="Arial" w:cs="Arial"/>
        </w:rPr>
      </w:pPr>
      <w:r w:rsidRPr="003D3B7D">
        <w:rPr>
          <w:rFonts w:ascii="Arial" w:eastAsiaTheme="minorHAnsi" w:hAnsi="Arial" w:cs="Arial"/>
        </w:rPr>
        <w:t>The purpose of the LPs is to provide short term funding into urban development projects in the North-West via their sub-funds. This provides credit risk in relation to each borrower and project. The LPs manage this risk by setting agreed investment parameters under the Contingent Loan Agreements and the Investment Adviser and Operator Agreements in place, with detailed due diligence undertaken for all borrowers and projects.</w:t>
      </w:r>
    </w:p>
    <w:p w14:paraId="1A1B6098" w14:textId="558BAA5F" w:rsidR="00795BE0" w:rsidRPr="0007572B" w:rsidRDefault="00795BE0" w:rsidP="006F1659">
      <w:pPr>
        <w:spacing w:after="160" w:line="360" w:lineRule="auto"/>
        <w:rPr>
          <w:rFonts w:ascii="Arial" w:eastAsiaTheme="minorHAnsi" w:hAnsi="Arial" w:cs="Arial"/>
        </w:rPr>
      </w:pPr>
      <w:r w:rsidRPr="003D3B7D">
        <w:rPr>
          <w:rFonts w:ascii="Arial" w:eastAsiaTheme="minorHAnsi" w:hAnsi="Arial" w:cs="Arial"/>
        </w:rPr>
        <w:t>Each investment is subject to approval by the investment funds’ board, in addition to CBRE’s investment board as Investment Adviser to the funds. These are predominantly senior loans and as such carry prudent loan to values secured on tangible real estate assets. CBRE, in its capacity as Investment Adviser and Operator, monitor the projects throughout the loan term, reporting progress to the board and providing recommendations as appropriate. No defaults have been suffered by the funds to date, and none of the loans as at 31 March 202</w:t>
      </w:r>
      <w:r w:rsidR="00845B32" w:rsidRPr="003D3B7D">
        <w:rPr>
          <w:rFonts w:ascii="Arial" w:eastAsiaTheme="minorHAnsi" w:hAnsi="Arial" w:cs="Arial"/>
        </w:rPr>
        <w:t>3</w:t>
      </w:r>
      <w:r w:rsidRPr="003D3B7D">
        <w:rPr>
          <w:rFonts w:ascii="Arial" w:eastAsiaTheme="minorHAnsi" w:hAnsi="Arial" w:cs="Arial"/>
        </w:rPr>
        <w:t xml:space="preserve"> were in default.</w:t>
      </w:r>
    </w:p>
    <w:p w14:paraId="27555A19" w14:textId="77777777" w:rsidR="00795BE0" w:rsidRPr="0007572B" w:rsidRDefault="00795BE0" w:rsidP="006F1659">
      <w:pPr>
        <w:pStyle w:val="Heading5underline"/>
        <w:spacing w:line="360" w:lineRule="auto"/>
      </w:pPr>
      <w:r w:rsidRPr="0007572B">
        <w:t>Capital management</w:t>
      </w:r>
    </w:p>
    <w:p w14:paraId="106E3160"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The LPs’ finance their operations through the management of working capital and ultimately from the support of their partners if required.</w:t>
      </w:r>
    </w:p>
    <w:p w14:paraId="48068F74" w14:textId="77777777" w:rsidR="00795BE0" w:rsidRPr="0007572B" w:rsidRDefault="00795BE0" w:rsidP="006F1659">
      <w:pPr>
        <w:pStyle w:val="Heading4bold"/>
        <w:spacing w:line="360" w:lineRule="auto"/>
        <w:rPr>
          <w:rFonts w:eastAsiaTheme="minorHAnsi"/>
        </w:rPr>
      </w:pPr>
      <w:r w:rsidRPr="0007572B">
        <w:rPr>
          <w:rFonts w:eastAsiaTheme="minorHAnsi"/>
        </w:rPr>
        <w:lastRenderedPageBreak/>
        <w:t>Hedging Instruments</w:t>
      </w:r>
    </w:p>
    <w:p w14:paraId="3EBA3D11" w14:textId="2BFC2EE3" w:rsidR="00795BE0" w:rsidRDefault="00795BE0" w:rsidP="006F1659">
      <w:pPr>
        <w:spacing w:after="160" w:line="360" w:lineRule="auto"/>
        <w:rPr>
          <w:rFonts w:ascii="Arial" w:eastAsiaTheme="minorHAnsi" w:hAnsi="Arial" w:cs="Arial"/>
        </w:rPr>
      </w:pPr>
      <w:r w:rsidRPr="0007572B">
        <w:rPr>
          <w:rFonts w:ascii="Arial" w:eastAsiaTheme="minorHAnsi" w:hAnsi="Arial" w:cs="Arial"/>
        </w:rPr>
        <w:t>Neither TfGM, NWEH</w:t>
      </w:r>
      <w:r w:rsidR="00C42A8A">
        <w:rPr>
          <w:rFonts w:ascii="Arial" w:eastAsiaTheme="minorHAnsi" w:hAnsi="Arial" w:cs="Arial"/>
        </w:rPr>
        <w:t xml:space="preserve">, </w:t>
      </w:r>
      <w:r w:rsidRPr="0007572B">
        <w:rPr>
          <w:rFonts w:ascii="Arial" w:eastAsiaTheme="minorHAnsi" w:hAnsi="Arial" w:cs="Arial"/>
        </w:rPr>
        <w:t>FoFLP</w:t>
      </w:r>
      <w:r w:rsidR="00C42A8A">
        <w:rPr>
          <w:rFonts w:ascii="Arial" w:eastAsiaTheme="minorHAnsi" w:hAnsi="Arial" w:cs="Arial"/>
        </w:rPr>
        <w:t xml:space="preserve"> </w:t>
      </w:r>
      <w:r w:rsidR="00C42A8A" w:rsidRPr="002B049C">
        <w:rPr>
          <w:rFonts w:ascii="Arial" w:eastAsiaTheme="minorHAnsi" w:hAnsi="Arial" w:cs="Arial"/>
        </w:rPr>
        <w:t>nor GME2LP</w:t>
      </w:r>
      <w:r w:rsidRPr="002B049C">
        <w:rPr>
          <w:rFonts w:ascii="Arial" w:eastAsiaTheme="minorHAnsi" w:hAnsi="Arial" w:cs="Arial"/>
        </w:rPr>
        <w:t xml:space="preserve"> </w:t>
      </w:r>
      <w:r w:rsidRPr="0007572B">
        <w:rPr>
          <w:rFonts w:ascii="Arial" w:eastAsiaTheme="minorHAnsi" w:hAnsi="Arial" w:cs="Arial"/>
        </w:rPr>
        <w:t>hold any financial instruments that could be classified as hedging instruments.</w:t>
      </w:r>
    </w:p>
    <w:p w14:paraId="76C83899" w14:textId="77777777" w:rsidR="0066778F" w:rsidRDefault="0066778F" w:rsidP="006F1659">
      <w:pPr>
        <w:spacing w:after="160" w:line="360" w:lineRule="auto"/>
        <w:rPr>
          <w:rFonts w:ascii="Arial" w:eastAsiaTheme="minorHAnsi" w:hAnsi="Arial" w:cs="Arial"/>
        </w:rPr>
      </w:pPr>
    </w:p>
    <w:p w14:paraId="17E006B6" w14:textId="77777777" w:rsidR="00E4417E" w:rsidRDefault="00E4417E" w:rsidP="006F1659">
      <w:pPr>
        <w:spacing w:line="360" w:lineRule="auto"/>
        <w:rPr>
          <w:rFonts w:ascii="Arial" w:eastAsia="Palatino Linotype" w:hAnsi="Arial" w:cs="Arial"/>
          <w:b/>
          <w:bCs/>
          <w:szCs w:val="28"/>
          <w:lang w:val="en-US"/>
        </w:rPr>
      </w:pPr>
      <w:bookmarkStart w:id="326" w:name="_Toc92894951"/>
      <w:bookmarkStart w:id="327" w:name="_Toc92895255"/>
      <w:bookmarkStart w:id="328" w:name="_Toc109922689"/>
      <w:r>
        <w:br w:type="page"/>
      </w:r>
    </w:p>
    <w:p w14:paraId="09C58C8C" w14:textId="137558E5" w:rsidR="00795BE0" w:rsidRPr="0007572B" w:rsidRDefault="00795BE0" w:rsidP="006F1659">
      <w:pPr>
        <w:pStyle w:val="Heading3greennumbered"/>
        <w:spacing w:line="360" w:lineRule="auto"/>
      </w:pPr>
      <w:r w:rsidRPr="0007572B">
        <w:lastRenderedPageBreak/>
        <w:t>5</w:t>
      </w:r>
      <w:r>
        <w:t>7</w:t>
      </w:r>
      <w:r w:rsidRPr="0007572B">
        <w:t xml:space="preserve"> Group Related Party Transactions</w:t>
      </w:r>
      <w:bookmarkEnd w:id="326"/>
      <w:bookmarkEnd w:id="327"/>
      <w:bookmarkEnd w:id="328"/>
    </w:p>
    <w:p w14:paraId="7AAD8264" w14:textId="77777777" w:rsidR="00795BE0" w:rsidRPr="0007572B" w:rsidRDefault="00795BE0" w:rsidP="006F1659">
      <w:pPr>
        <w:spacing w:line="360" w:lineRule="auto"/>
        <w:rPr>
          <w:rFonts w:ascii="Arial" w:hAnsi="Arial" w:cs="Arial"/>
        </w:rPr>
      </w:pPr>
    </w:p>
    <w:p w14:paraId="6D70249F" w14:textId="77777777" w:rsidR="00795BE0" w:rsidRPr="0007572B" w:rsidRDefault="00795BE0" w:rsidP="006F1659">
      <w:pPr>
        <w:spacing w:line="360" w:lineRule="auto"/>
        <w:rPr>
          <w:rFonts w:ascii="Arial" w:eastAsiaTheme="minorHAnsi" w:hAnsi="Arial" w:cs="Arial"/>
        </w:rPr>
      </w:pPr>
      <w:r w:rsidRPr="0007572B">
        <w:rPr>
          <w:rFonts w:ascii="Arial" w:hAnsi="Arial" w:cs="Arial"/>
        </w:rPr>
        <w:t>The</w:t>
      </w:r>
      <w:r w:rsidRPr="0007572B">
        <w:rPr>
          <w:rFonts w:ascii="Arial" w:eastAsiaTheme="minorHAnsi" w:hAnsi="Arial" w:cs="Arial"/>
        </w:rPr>
        <w:t xml:space="preserve"> Group is required to disclose material transactions with related parties - bodies or individuals that have the potential to control or influence the Group or to be controlled or influenced by the Group. </w:t>
      </w:r>
    </w:p>
    <w:p w14:paraId="0239CFFE" w14:textId="77777777" w:rsidR="00795BE0" w:rsidRPr="0007572B" w:rsidRDefault="00795BE0" w:rsidP="006F1659">
      <w:pPr>
        <w:spacing w:line="360" w:lineRule="auto"/>
        <w:rPr>
          <w:rFonts w:ascii="Arial" w:eastAsiaTheme="minorHAnsi" w:hAnsi="Arial" w:cs="Arial"/>
        </w:rPr>
      </w:pPr>
    </w:p>
    <w:p w14:paraId="7876DB49" w14:textId="0FEF0D63" w:rsidR="00464DD2" w:rsidRDefault="00795BE0" w:rsidP="006F1659">
      <w:pPr>
        <w:spacing w:line="360" w:lineRule="auto"/>
        <w:rPr>
          <w:rFonts w:ascii="Arial" w:hAnsi="Arial" w:cs="Arial"/>
        </w:rPr>
      </w:pPr>
      <w:r w:rsidRPr="0007572B">
        <w:rPr>
          <w:rFonts w:ascii="Arial" w:hAnsi="Arial" w:cs="Arial"/>
        </w:rPr>
        <w:t>Transactions and balances between the Authority and its related parties are disclosed in note 31.</w:t>
      </w:r>
      <w:r w:rsidR="0010781E">
        <w:rPr>
          <w:rFonts w:ascii="Arial" w:hAnsi="Arial" w:cs="Arial"/>
        </w:rPr>
        <w:t xml:space="preserve"> Transactions between the Authority and those included within the group have been removed on consolidation.</w:t>
      </w:r>
    </w:p>
    <w:p w14:paraId="07B7B44F" w14:textId="31B221B7" w:rsidR="00795BE0" w:rsidRDefault="00795BE0" w:rsidP="006F1659">
      <w:pPr>
        <w:spacing w:line="360" w:lineRule="auto"/>
        <w:rPr>
          <w:rFonts w:ascii="Arial" w:eastAsia="Palatino Linotype" w:hAnsi="Arial"/>
          <w:b/>
          <w:lang w:val="en-US"/>
        </w:rPr>
      </w:pPr>
      <w:bookmarkStart w:id="329" w:name="_Toc92894952"/>
      <w:bookmarkStart w:id="330" w:name="_Toc92895256"/>
    </w:p>
    <w:p w14:paraId="37F02F7B" w14:textId="30B8E2A0" w:rsidR="00AC7857" w:rsidRDefault="00464DD2" w:rsidP="00CE16DE">
      <w:pPr>
        <w:pStyle w:val="Heading4bold"/>
        <w:spacing w:after="0" w:line="360" w:lineRule="auto"/>
      </w:pPr>
      <w:r w:rsidRPr="00741CBC">
        <w:t>T</w:t>
      </w:r>
      <w:r w:rsidR="00AC7857">
        <w:t>FG</w:t>
      </w:r>
      <w:r w:rsidRPr="00741CBC">
        <w:t>M</w:t>
      </w:r>
    </w:p>
    <w:p w14:paraId="699593ED" w14:textId="620C488E" w:rsidR="00AC7857" w:rsidRPr="00741CBC" w:rsidRDefault="00AC7857" w:rsidP="006F1659">
      <w:pPr>
        <w:spacing w:line="360" w:lineRule="auto"/>
        <w:rPr>
          <w:rFonts w:ascii="Arial" w:hAnsi="Arial" w:cs="Arial"/>
        </w:rPr>
      </w:pPr>
      <w:r>
        <w:rPr>
          <w:rFonts w:ascii="Arial" w:hAnsi="Arial" w:cs="Arial"/>
        </w:rPr>
        <w:t xml:space="preserve">Greater Manchester Accessible Transport Limited and Piccadilly Triangle Developments are subsidiaries of TFGM, see below for related party transactions. </w:t>
      </w:r>
    </w:p>
    <w:p w14:paraId="28BB07DF" w14:textId="77777777" w:rsidR="00464DD2" w:rsidRDefault="00464DD2" w:rsidP="006F1659">
      <w:pPr>
        <w:spacing w:line="360" w:lineRule="auto"/>
        <w:rPr>
          <w:rFonts w:ascii="Arial" w:hAnsi="Arial" w:cs="Arial"/>
        </w:rPr>
      </w:pPr>
    </w:p>
    <w:p w14:paraId="2A29BF4B" w14:textId="77777777" w:rsidR="00464DD2" w:rsidRPr="00196AB4" w:rsidRDefault="00464DD2" w:rsidP="006F1659">
      <w:pPr>
        <w:pStyle w:val="Heading4bold"/>
        <w:spacing w:line="360" w:lineRule="auto"/>
      </w:pPr>
      <w:r w:rsidRPr="00196AB4">
        <w:t>Greater Manchester Accessible Transport Limited</w:t>
      </w:r>
      <w:r>
        <w:t xml:space="preserve"> (GMATL) </w:t>
      </w:r>
    </w:p>
    <w:p w14:paraId="1E9C6C73" w14:textId="42FB396B" w:rsidR="00464DD2" w:rsidRDefault="00AC7857" w:rsidP="006F1659">
      <w:pPr>
        <w:spacing w:line="360" w:lineRule="auto"/>
        <w:rPr>
          <w:rFonts w:ascii="Arial" w:hAnsi="Arial" w:cs="Arial"/>
        </w:rPr>
      </w:pPr>
      <w:r>
        <w:rPr>
          <w:rFonts w:ascii="Arial" w:hAnsi="Arial" w:cs="Arial"/>
        </w:rPr>
        <w:t>Subsidiary of TFGM, r</w:t>
      </w:r>
      <w:r w:rsidR="00464DD2" w:rsidRPr="00196AB4">
        <w:rPr>
          <w:rFonts w:ascii="Arial" w:hAnsi="Arial" w:cs="Arial"/>
        </w:rPr>
        <w:t>elated party by virtue of shared group</w:t>
      </w:r>
    </w:p>
    <w:p w14:paraId="71F94733" w14:textId="77777777" w:rsidR="00464DD2" w:rsidRDefault="00464DD2" w:rsidP="006F1659">
      <w:pPr>
        <w:spacing w:line="360" w:lineRule="auto"/>
        <w:rPr>
          <w:rFonts w:ascii="Arial" w:hAnsi="Arial" w:cs="Arial"/>
        </w:rPr>
      </w:pPr>
    </w:p>
    <w:p w14:paraId="7E7DC933" w14:textId="6C0418EF" w:rsidR="00464DD2" w:rsidRDefault="00080B54" w:rsidP="006F1659">
      <w:pPr>
        <w:spacing w:line="360" w:lineRule="auto"/>
        <w:rPr>
          <w:rFonts w:ascii="Arial" w:hAnsi="Arial" w:cs="Arial"/>
        </w:rPr>
      </w:pPr>
      <w:r w:rsidRPr="00080B54">
        <w:rPr>
          <w:noProof/>
        </w:rPr>
        <w:drawing>
          <wp:inline distT="0" distB="0" distL="0" distR="0" wp14:anchorId="45B6A99E" wp14:editId="6337BABF">
            <wp:extent cx="3115310" cy="1350645"/>
            <wp:effectExtent l="0" t="0" r="889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115310" cy="1350645"/>
                    </a:xfrm>
                    <a:prstGeom prst="rect">
                      <a:avLst/>
                    </a:prstGeom>
                    <a:noFill/>
                    <a:ln>
                      <a:noFill/>
                    </a:ln>
                  </pic:spPr>
                </pic:pic>
              </a:graphicData>
            </a:graphic>
          </wp:inline>
        </w:drawing>
      </w:r>
    </w:p>
    <w:p w14:paraId="77E6E17A" w14:textId="77777777" w:rsidR="00080B54" w:rsidRDefault="00080B54" w:rsidP="006F1659">
      <w:pPr>
        <w:spacing w:line="360" w:lineRule="auto"/>
        <w:rPr>
          <w:rFonts w:ascii="Arial" w:hAnsi="Arial" w:cs="Arial"/>
        </w:rPr>
      </w:pPr>
    </w:p>
    <w:p w14:paraId="3A9C9760" w14:textId="77777777" w:rsidR="00464DD2" w:rsidRPr="00741CBC" w:rsidRDefault="00464DD2" w:rsidP="006F1659">
      <w:pPr>
        <w:pStyle w:val="Heading4bold"/>
        <w:spacing w:line="360" w:lineRule="auto"/>
      </w:pPr>
      <w:r w:rsidRPr="00741CBC">
        <w:t>Piccadilly Triangle Developments</w:t>
      </w:r>
      <w:r>
        <w:t xml:space="preserve"> LLP</w:t>
      </w:r>
    </w:p>
    <w:p w14:paraId="2468135F" w14:textId="05AC9B7D" w:rsidR="00464DD2" w:rsidRDefault="00AC7857" w:rsidP="006F1659">
      <w:pPr>
        <w:spacing w:line="360" w:lineRule="auto"/>
        <w:rPr>
          <w:rFonts w:ascii="Arial" w:hAnsi="Arial" w:cs="Arial"/>
        </w:rPr>
      </w:pPr>
      <w:r>
        <w:rPr>
          <w:rFonts w:ascii="Arial" w:hAnsi="Arial" w:cs="Arial"/>
        </w:rPr>
        <w:t xml:space="preserve">Subsidiary of TFGM, related party by virtue of shared group. </w:t>
      </w:r>
      <w:r w:rsidR="00464DD2">
        <w:rPr>
          <w:rFonts w:ascii="Arial" w:hAnsi="Arial" w:cs="Arial"/>
        </w:rPr>
        <w:t>T</w:t>
      </w:r>
      <w:r w:rsidR="00464DD2" w:rsidRPr="00741CBC">
        <w:rPr>
          <w:rFonts w:ascii="Arial" w:hAnsi="Arial" w:cs="Arial"/>
        </w:rPr>
        <w:t>fGM and Manchester City Council are partners in Piccadilly Triangle Developments LLP (PTD LLP). TfGM has a 50% share of PTD LLP. This partnership is for the development of an area of land in Manchester, which commenced in May 2005</w:t>
      </w:r>
    </w:p>
    <w:p w14:paraId="0DA648E7" w14:textId="77777777" w:rsidR="00464DD2" w:rsidRDefault="00464DD2" w:rsidP="006F1659">
      <w:pPr>
        <w:spacing w:line="360" w:lineRule="auto"/>
        <w:rPr>
          <w:rFonts w:ascii="Arial" w:hAnsi="Arial" w:cs="Arial"/>
        </w:rPr>
      </w:pPr>
    </w:p>
    <w:p w14:paraId="4777BB3A" w14:textId="022B02CB" w:rsidR="00AC7857" w:rsidRDefault="00080B54" w:rsidP="006F1659">
      <w:pPr>
        <w:spacing w:line="360" w:lineRule="auto"/>
        <w:rPr>
          <w:rFonts w:ascii="Arial" w:hAnsi="Arial" w:cs="Arial"/>
        </w:rPr>
      </w:pPr>
      <w:r w:rsidRPr="00080B54">
        <w:rPr>
          <w:noProof/>
        </w:rPr>
        <w:lastRenderedPageBreak/>
        <w:drawing>
          <wp:inline distT="0" distB="0" distL="0" distR="0" wp14:anchorId="680524D1" wp14:editId="53F1E6AB">
            <wp:extent cx="3115310" cy="1350645"/>
            <wp:effectExtent l="0" t="0" r="8890" b="190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115310" cy="1350645"/>
                    </a:xfrm>
                    <a:prstGeom prst="rect">
                      <a:avLst/>
                    </a:prstGeom>
                    <a:noFill/>
                    <a:ln>
                      <a:noFill/>
                    </a:ln>
                  </pic:spPr>
                </pic:pic>
              </a:graphicData>
            </a:graphic>
          </wp:inline>
        </w:drawing>
      </w:r>
    </w:p>
    <w:p w14:paraId="2B44F4AE" w14:textId="77777777" w:rsidR="00AC7857" w:rsidRDefault="00AC7857" w:rsidP="006F1659">
      <w:pPr>
        <w:spacing w:line="360" w:lineRule="auto"/>
        <w:rPr>
          <w:rFonts w:ascii="Arial" w:hAnsi="Arial" w:cs="Arial"/>
        </w:rPr>
      </w:pPr>
    </w:p>
    <w:p w14:paraId="2974E8EB" w14:textId="7857580F" w:rsidR="00464DD2" w:rsidRPr="00741CBC" w:rsidRDefault="00464DD2" w:rsidP="00CE16DE">
      <w:pPr>
        <w:pStyle w:val="Heading4bold"/>
        <w:spacing w:after="0" w:line="360" w:lineRule="auto"/>
      </w:pPr>
      <w:r w:rsidRPr="00741CBC">
        <w:t>GMP</w:t>
      </w:r>
    </w:p>
    <w:p w14:paraId="05184E33" w14:textId="77777777" w:rsidR="00464DD2" w:rsidRDefault="00464DD2" w:rsidP="006F1659">
      <w:pPr>
        <w:pStyle w:val="Heading4bold"/>
        <w:spacing w:line="360" w:lineRule="auto"/>
      </w:pPr>
      <w:r>
        <w:t xml:space="preserve">Senior Police officers and Senior Employees  </w:t>
      </w:r>
    </w:p>
    <w:p w14:paraId="107CB14E" w14:textId="77777777" w:rsidR="00464DD2" w:rsidRPr="008F61D1" w:rsidRDefault="00464DD2" w:rsidP="006F1659">
      <w:pPr>
        <w:spacing w:line="360" w:lineRule="auto"/>
        <w:jc w:val="both"/>
        <w:rPr>
          <w:rFonts w:ascii="Arial" w:hAnsi="Arial" w:cs="Arial"/>
        </w:rPr>
      </w:pPr>
      <w:r w:rsidRPr="008F61D1">
        <w:rPr>
          <w:rFonts w:ascii="Arial" w:hAnsi="Arial" w:cs="Arial"/>
        </w:rPr>
        <w:t xml:space="preserve">Senior officers and staff were asked to declare any material, financial transactions with the Chief Constable by themselves, by their close family, or by any organisation in which they or their close family have a controlling interest. </w:t>
      </w:r>
    </w:p>
    <w:p w14:paraId="1AAAA859" w14:textId="77777777" w:rsidR="00464DD2" w:rsidRPr="008F61D1" w:rsidRDefault="00464DD2" w:rsidP="006F1659">
      <w:pPr>
        <w:spacing w:line="360" w:lineRule="auto"/>
        <w:jc w:val="both"/>
        <w:rPr>
          <w:rFonts w:ascii="Arial" w:hAnsi="Arial" w:cs="Arial"/>
        </w:rPr>
      </w:pPr>
    </w:p>
    <w:p w14:paraId="19C42A12" w14:textId="6036EB02" w:rsidR="00464DD2" w:rsidRPr="00FC3C2B" w:rsidRDefault="00FC3C2B" w:rsidP="006F1659">
      <w:pPr>
        <w:pStyle w:val="Default"/>
        <w:spacing w:line="360" w:lineRule="auto"/>
        <w:rPr>
          <w:color w:val="auto"/>
          <w:lang w:eastAsia="en-US"/>
        </w:rPr>
      </w:pPr>
      <w:r w:rsidRPr="00FC3C2B">
        <w:rPr>
          <w:color w:val="auto"/>
          <w:lang w:eastAsia="en-US"/>
        </w:rPr>
        <w:t>A payment for 11 annual insurance levies totalling £28,125 was made to the Chief Police Officers Staff Association during 2022/23 (9 were paid in 2021/22 totalling £23,850), of which an Assistant Chief Officer is a Director and Secretary. The organisation arranges the legal expenses insurance for Chief Police Officers and staff. The Assistant Chief Officer did not take part in any discussion, decision or administration relating to the payments.</w:t>
      </w:r>
    </w:p>
    <w:p w14:paraId="151F0B18" w14:textId="77777777" w:rsidR="00FC3C2B" w:rsidRPr="00431F6F" w:rsidRDefault="00FC3C2B" w:rsidP="006F1659">
      <w:pPr>
        <w:pStyle w:val="Default"/>
        <w:spacing w:line="360" w:lineRule="auto"/>
        <w:rPr>
          <w:rFonts w:eastAsia="Palatino Linotype"/>
          <w:b/>
          <w:lang w:val="en-US"/>
        </w:rPr>
      </w:pPr>
    </w:p>
    <w:p w14:paraId="34ECD9E1" w14:textId="3F879AA6" w:rsidR="0010781E" w:rsidRDefault="0010781E" w:rsidP="006F1659">
      <w:pPr>
        <w:spacing w:line="360" w:lineRule="auto"/>
        <w:rPr>
          <w:rFonts w:ascii="Arial" w:eastAsia="Palatino Linotype" w:hAnsi="Arial" w:cs="Arial"/>
          <w:b/>
          <w:bCs/>
          <w:szCs w:val="28"/>
          <w:lang w:val="en-US"/>
        </w:rPr>
      </w:pPr>
      <w:bookmarkStart w:id="331" w:name="_Toc109922690"/>
    </w:p>
    <w:p w14:paraId="661352DB" w14:textId="77777777" w:rsidR="00DC52FE" w:rsidRDefault="00DC52FE">
      <w:pPr>
        <w:rPr>
          <w:rFonts w:ascii="Arial" w:eastAsia="Palatino Linotype" w:hAnsi="Arial" w:cs="Arial"/>
          <w:b/>
          <w:bCs/>
          <w:szCs w:val="28"/>
          <w:lang w:val="en-US"/>
        </w:rPr>
      </w:pPr>
      <w:r>
        <w:br w:type="page"/>
      </w:r>
    </w:p>
    <w:p w14:paraId="2D8CEF4D" w14:textId="1FB461A9" w:rsidR="00795BE0" w:rsidRPr="00B11466" w:rsidRDefault="00795BE0" w:rsidP="006F1659">
      <w:pPr>
        <w:pStyle w:val="Heading3greennumbered"/>
        <w:spacing w:line="360" w:lineRule="auto"/>
      </w:pPr>
      <w:r w:rsidRPr="00B11466">
        <w:t>5</w:t>
      </w:r>
      <w:r>
        <w:t>8</w:t>
      </w:r>
      <w:r w:rsidRPr="00B11466">
        <w:t>a Group Cash Flow Statement - Adjustments to Net Cash Flows from Operating Activities</w:t>
      </w:r>
      <w:bookmarkEnd w:id="329"/>
      <w:bookmarkEnd w:id="330"/>
      <w:bookmarkEnd w:id="331"/>
    </w:p>
    <w:p w14:paraId="12C52415" w14:textId="77777777" w:rsidR="00795BE0" w:rsidRPr="0007572B" w:rsidRDefault="00795BE0" w:rsidP="006F1659">
      <w:pPr>
        <w:spacing w:line="360" w:lineRule="auto"/>
        <w:rPr>
          <w:rFonts w:ascii="Arial" w:hAnsi="Arial" w:cs="Arial"/>
        </w:rPr>
      </w:pPr>
    </w:p>
    <w:p w14:paraId="3005FB91" w14:textId="230BA328" w:rsidR="00795BE0" w:rsidRDefault="00795BE0" w:rsidP="006F1659">
      <w:pPr>
        <w:spacing w:line="360" w:lineRule="auto"/>
        <w:rPr>
          <w:rFonts w:ascii="Arial" w:hAnsi="Arial" w:cs="Arial"/>
        </w:rPr>
      </w:pPr>
      <w:r w:rsidRPr="0007572B">
        <w:rPr>
          <w:rFonts w:ascii="Arial" w:hAnsi="Arial" w:cs="Arial"/>
        </w:rPr>
        <w:t>The cash flows for operating activities include the following items:</w:t>
      </w:r>
    </w:p>
    <w:p w14:paraId="62F8C085" w14:textId="4604738E" w:rsidR="00C93D72" w:rsidRDefault="00FE7AFF" w:rsidP="006F1659">
      <w:pPr>
        <w:spacing w:line="360" w:lineRule="auto"/>
        <w:rPr>
          <w:rFonts w:ascii="Arial" w:hAnsi="Arial" w:cs="Arial"/>
        </w:rPr>
      </w:pPr>
      <w:r w:rsidRPr="00FE7AFF">
        <w:rPr>
          <w:noProof/>
        </w:rPr>
        <w:drawing>
          <wp:inline distT="0" distB="0" distL="0" distR="0" wp14:anchorId="571BE2A5" wp14:editId="0F7CE907">
            <wp:extent cx="5314950" cy="3708400"/>
            <wp:effectExtent l="0" t="0" r="0" b="6350"/>
            <wp:docPr id="2074758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314950" cy="3708400"/>
                    </a:xfrm>
                    <a:prstGeom prst="rect">
                      <a:avLst/>
                    </a:prstGeom>
                    <a:noFill/>
                    <a:ln>
                      <a:noFill/>
                    </a:ln>
                  </pic:spPr>
                </pic:pic>
              </a:graphicData>
            </a:graphic>
          </wp:inline>
        </w:drawing>
      </w:r>
    </w:p>
    <w:p w14:paraId="107EF898" w14:textId="023AB7EF" w:rsidR="009844DE" w:rsidRPr="0007572B" w:rsidRDefault="009844DE" w:rsidP="006F1659">
      <w:pPr>
        <w:spacing w:line="360" w:lineRule="auto"/>
        <w:rPr>
          <w:rFonts w:ascii="Arial" w:hAnsi="Arial" w:cs="Arial"/>
        </w:rPr>
      </w:pPr>
    </w:p>
    <w:p w14:paraId="5DC8EFC1" w14:textId="2EB5C608" w:rsidR="000E09F5" w:rsidRPr="00E07E42" w:rsidRDefault="000E09F5" w:rsidP="006F1659">
      <w:pPr>
        <w:spacing w:line="360" w:lineRule="auto"/>
        <w:rPr>
          <w:rFonts w:ascii="Arial" w:hAnsi="Arial" w:cs="Arial"/>
          <w:b/>
          <w:highlight w:val="yellow"/>
        </w:rPr>
      </w:pPr>
    </w:p>
    <w:p w14:paraId="407AB523" w14:textId="77777777" w:rsidR="001174F5" w:rsidRDefault="001174F5" w:rsidP="006F1659">
      <w:pPr>
        <w:spacing w:line="360" w:lineRule="auto"/>
        <w:rPr>
          <w:rFonts w:ascii="Arial" w:eastAsia="Palatino Linotype" w:hAnsi="Arial" w:cs="Arial"/>
          <w:b/>
          <w:bCs/>
          <w:szCs w:val="28"/>
          <w:lang w:val="en-US"/>
        </w:rPr>
      </w:pPr>
      <w:bookmarkStart w:id="332" w:name="_Toc92894953"/>
      <w:bookmarkStart w:id="333" w:name="_Toc92895257"/>
      <w:bookmarkStart w:id="334" w:name="_Toc109922691"/>
      <w:r>
        <w:br w:type="page"/>
      </w:r>
    </w:p>
    <w:p w14:paraId="6FB8DCC5" w14:textId="538F6DF8" w:rsidR="00795BE0" w:rsidRPr="0007572B" w:rsidRDefault="00795BE0" w:rsidP="006F1659">
      <w:pPr>
        <w:pStyle w:val="Heading3greennumbered"/>
        <w:spacing w:line="360" w:lineRule="auto"/>
      </w:pPr>
      <w:r w:rsidRPr="0007572B">
        <w:t>5</w:t>
      </w:r>
      <w:r>
        <w:t>8</w:t>
      </w:r>
      <w:r w:rsidRPr="0007572B">
        <w:t>b Group Cash Flow Statement - Investing Activities</w:t>
      </w:r>
      <w:bookmarkEnd w:id="332"/>
      <w:bookmarkEnd w:id="333"/>
      <w:bookmarkEnd w:id="334"/>
    </w:p>
    <w:p w14:paraId="21FA6F99" w14:textId="42E80A3C" w:rsidR="00795BE0" w:rsidRDefault="00795BE0" w:rsidP="006F1659">
      <w:pPr>
        <w:spacing w:line="360" w:lineRule="auto"/>
        <w:rPr>
          <w:rFonts w:ascii="Arial" w:hAnsi="Arial" w:cs="Arial"/>
          <w:b/>
          <w:highlight w:val="yellow"/>
        </w:rPr>
      </w:pPr>
    </w:p>
    <w:p w14:paraId="5ADD74C4" w14:textId="4DEC987D" w:rsidR="00D417B7" w:rsidRDefault="00FE7AFF" w:rsidP="006F1659">
      <w:pPr>
        <w:spacing w:line="360" w:lineRule="auto"/>
        <w:rPr>
          <w:rFonts w:ascii="Arial" w:hAnsi="Arial" w:cs="Arial"/>
          <w:b/>
          <w:highlight w:val="yellow"/>
        </w:rPr>
      </w:pPr>
      <w:r w:rsidRPr="00FE7AFF">
        <w:rPr>
          <w:noProof/>
        </w:rPr>
        <w:drawing>
          <wp:inline distT="0" distB="0" distL="0" distR="0" wp14:anchorId="7A55C7BF" wp14:editId="582992AB">
            <wp:extent cx="5314950" cy="1422400"/>
            <wp:effectExtent l="0" t="0" r="0" b="6350"/>
            <wp:docPr id="839064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14950" cy="1422400"/>
                    </a:xfrm>
                    <a:prstGeom prst="rect">
                      <a:avLst/>
                    </a:prstGeom>
                    <a:noFill/>
                    <a:ln>
                      <a:noFill/>
                    </a:ln>
                  </pic:spPr>
                </pic:pic>
              </a:graphicData>
            </a:graphic>
          </wp:inline>
        </w:drawing>
      </w:r>
    </w:p>
    <w:p w14:paraId="1E710590" w14:textId="77777777" w:rsidR="00D417B7" w:rsidRPr="0007572B" w:rsidRDefault="00D417B7" w:rsidP="006F1659">
      <w:pPr>
        <w:spacing w:line="360" w:lineRule="auto"/>
        <w:rPr>
          <w:rFonts w:ascii="Arial" w:hAnsi="Arial" w:cs="Arial"/>
          <w:b/>
          <w:highlight w:val="yellow"/>
        </w:rPr>
      </w:pPr>
    </w:p>
    <w:p w14:paraId="273A1A5A" w14:textId="77777777" w:rsidR="00795BE0" w:rsidRPr="0007572B" w:rsidRDefault="00795BE0" w:rsidP="006F1659">
      <w:pPr>
        <w:pStyle w:val="Heading3greennumbered"/>
        <w:spacing w:line="360" w:lineRule="auto"/>
      </w:pPr>
      <w:bookmarkStart w:id="335" w:name="_Toc92894954"/>
      <w:bookmarkStart w:id="336" w:name="_Toc92895258"/>
      <w:bookmarkStart w:id="337" w:name="_Toc109922692"/>
      <w:r w:rsidRPr="0007572B">
        <w:t>5</w:t>
      </w:r>
      <w:r>
        <w:t>8</w:t>
      </w:r>
      <w:r w:rsidRPr="0007572B">
        <w:t>c Group Cash Flow Statement - Financing Activities</w:t>
      </w:r>
      <w:bookmarkEnd w:id="335"/>
      <w:bookmarkEnd w:id="336"/>
      <w:bookmarkEnd w:id="337"/>
    </w:p>
    <w:p w14:paraId="7B11AE3B" w14:textId="77777777" w:rsidR="00795BE0" w:rsidRPr="0007572B" w:rsidRDefault="00795BE0" w:rsidP="006F1659">
      <w:pPr>
        <w:spacing w:line="360" w:lineRule="auto"/>
        <w:rPr>
          <w:rFonts w:ascii="Arial" w:hAnsi="Arial" w:cs="Arial"/>
          <w:b/>
        </w:rPr>
      </w:pPr>
    </w:p>
    <w:p w14:paraId="70560ED5" w14:textId="0DDB30F5" w:rsidR="00795BE0" w:rsidRPr="0007572B" w:rsidRDefault="003A4391" w:rsidP="006F1659">
      <w:pPr>
        <w:spacing w:line="360" w:lineRule="auto"/>
        <w:rPr>
          <w:rFonts w:ascii="Arial" w:hAnsi="Arial" w:cs="Arial"/>
          <w:b/>
        </w:rPr>
      </w:pPr>
      <w:r w:rsidRPr="003A4391">
        <w:rPr>
          <w:noProof/>
        </w:rPr>
        <w:drawing>
          <wp:inline distT="0" distB="0" distL="0" distR="0" wp14:anchorId="1E6E1D3D" wp14:editId="6035DFE5">
            <wp:extent cx="5324475" cy="11906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324475" cy="1190625"/>
                    </a:xfrm>
                    <a:prstGeom prst="rect">
                      <a:avLst/>
                    </a:prstGeom>
                    <a:noFill/>
                    <a:ln>
                      <a:noFill/>
                    </a:ln>
                  </pic:spPr>
                </pic:pic>
              </a:graphicData>
            </a:graphic>
          </wp:inline>
        </w:drawing>
      </w:r>
    </w:p>
    <w:p w14:paraId="3083F5E5" w14:textId="616D2FA1" w:rsidR="00795BE0" w:rsidRPr="0007572B" w:rsidRDefault="00795BE0" w:rsidP="006F1659">
      <w:pPr>
        <w:spacing w:line="360" w:lineRule="auto"/>
        <w:rPr>
          <w:rFonts w:ascii="Arial" w:hAnsi="Arial" w:cs="Arial"/>
          <w:noProof/>
          <w:sz w:val="28"/>
          <w:szCs w:val="28"/>
          <w:lang w:eastAsia="en-GB"/>
        </w:rPr>
      </w:pPr>
    </w:p>
    <w:p w14:paraId="517D170D" w14:textId="74A05B74" w:rsidR="00795BE0" w:rsidRDefault="00795BE0" w:rsidP="006F1659">
      <w:pPr>
        <w:spacing w:line="360" w:lineRule="auto"/>
        <w:rPr>
          <w:rFonts w:ascii="Arial" w:eastAsia="Palatino Linotype" w:hAnsi="Arial" w:cs="Arial"/>
          <w:b/>
          <w:bCs/>
          <w:szCs w:val="28"/>
          <w:lang w:val="en-US"/>
        </w:rPr>
      </w:pPr>
      <w:bookmarkStart w:id="338" w:name="_Toc92894955"/>
      <w:bookmarkStart w:id="339" w:name="_Toc92895259"/>
    </w:p>
    <w:p w14:paraId="46EA24CA" w14:textId="77777777" w:rsidR="00795BE0" w:rsidRPr="00B11466" w:rsidRDefault="00795BE0" w:rsidP="006F1659">
      <w:pPr>
        <w:pStyle w:val="Heading3greennumbered"/>
        <w:spacing w:line="360" w:lineRule="auto"/>
      </w:pPr>
      <w:bookmarkStart w:id="340" w:name="_Toc109922693"/>
      <w:r w:rsidRPr="00B11466">
        <w:t>5</w:t>
      </w:r>
      <w:r>
        <w:t>8</w:t>
      </w:r>
      <w:r w:rsidRPr="00B11466">
        <w:t>d Group Cash Flow Statement – Reconciliation of Liabilities Arising from Financing Activities</w:t>
      </w:r>
      <w:bookmarkEnd w:id="338"/>
      <w:bookmarkEnd w:id="339"/>
      <w:bookmarkEnd w:id="340"/>
    </w:p>
    <w:p w14:paraId="1F9235C6" w14:textId="77777777" w:rsidR="00795BE0" w:rsidRDefault="00795BE0" w:rsidP="006F1659">
      <w:pPr>
        <w:spacing w:line="360" w:lineRule="auto"/>
        <w:rPr>
          <w:rFonts w:ascii="Arial" w:hAnsi="Arial" w:cs="Arial"/>
          <w:b/>
        </w:rPr>
      </w:pPr>
    </w:p>
    <w:p w14:paraId="624233AF" w14:textId="234A79F8" w:rsidR="003A3F65" w:rsidRDefault="003A4391" w:rsidP="006F1659">
      <w:pPr>
        <w:spacing w:line="360" w:lineRule="auto"/>
        <w:rPr>
          <w:rFonts w:ascii="Arial" w:hAnsi="Arial" w:cs="Arial"/>
          <w:b/>
        </w:rPr>
      </w:pPr>
      <w:r w:rsidRPr="003A4391">
        <w:rPr>
          <w:noProof/>
        </w:rPr>
        <w:drawing>
          <wp:inline distT="0" distB="0" distL="0" distR="0" wp14:anchorId="4D8D1C5B" wp14:editId="59859564">
            <wp:extent cx="5975350" cy="949960"/>
            <wp:effectExtent l="0" t="0" r="635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975350" cy="949960"/>
                    </a:xfrm>
                    <a:prstGeom prst="rect">
                      <a:avLst/>
                    </a:prstGeom>
                    <a:noFill/>
                    <a:ln>
                      <a:noFill/>
                    </a:ln>
                  </pic:spPr>
                </pic:pic>
              </a:graphicData>
            </a:graphic>
          </wp:inline>
        </w:drawing>
      </w:r>
    </w:p>
    <w:p w14:paraId="78EF955D" w14:textId="3AD5241E" w:rsidR="003A3F65" w:rsidRDefault="003A3F65" w:rsidP="006F1659">
      <w:pPr>
        <w:spacing w:line="360" w:lineRule="auto"/>
        <w:rPr>
          <w:rFonts w:ascii="Arial" w:hAnsi="Arial" w:cs="Arial"/>
          <w:b/>
        </w:rPr>
      </w:pPr>
    </w:p>
    <w:p w14:paraId="47259EFB" w14:textId="726392F5" w:rsidR="00795BE0" w:rsidRDefault="003A4391" w:rsidP="006F1659">
      <w:pPr>
        <w:spacing w:line="360" w:lineRule="auto"/>
        <w:rPr>
          <w:rFonts w:ascii="Arial" w:hAnsi="Arial" w:cs="Arial"/>
          <w:b/>
        </w:rPr>
      </w:pPr>
      <w:r w:rsidRPr="003A4391">
        <w:rPr>
          <w:noProof/>
        </w:rPr>
        <w:drawing>
          <wp:inline distT="0" distB="0" distL="0" distR="0" wp14:anchorId="4A5BA003" wp14:editId="609B3427">
            <wp:extent cx="5975350" cy="103441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975350" cy="1034415"/>
                    </a:xfrm>
                    <a:prstGeom prst="rect">
                      <a:avLst/>
                    </a:prstGeom>
                    <a:noFill/>
                    <a:ln>
                      <a:noFill/>
                    </a:ln>
                  </pic:spPr>
                </pic:pic>
              </a:graphicData>
            </a:graphic>
          </wp:inline>
        </w:drawing>
      </w:r>
    </w:p>
    <w:p w14:paraId="0950E9EA" w14:textId="77777777" w:rsidR="00795BE0" w:rsidRPr="0007572B" w:rsidRDefault="00795BE0" w:rsidP="006F1659">
      <w:pPr>
        <w:spacing w:line="360" w:lineRule="auto"/>
        <w:rPr>
          <w:rFonts w:ascii="Arial" w:hAnsi="Arial" w:cs="Arial"/>
          <w:b/>
        </w:rPr>
      </w:pPr>
    </w:p>
    <w:p w14:paraId="002A6A9D" w14:textId="7F2F90FA"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p>
    <w:p w14:paraId="7648A9C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p>
    <w:p w14:paraId="5CA61F9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sectPr w:rsidR="00795BE0" w:rsidRPr="0007572B" w:rsidSect="004833A2">
          <w:pgSz w:w="11906" w:h="16838"/>
          <w:pgMar w:top="946" w:right="1416" w:bottom="1440" w:left="1080" w:header="283" w:footer="567" w:gutter="0"/>
          <w:cols w:space="708"/>
          <w:docGrid w:linePitch="360"/>
        </w:sectPr>
      </w:pPr>
    </w:p>
    <w:p w14:paraId="6C16EC73" w14:textId="77777777" w:rsidR="00795BE0" w:rsidRPr="0007572B" w:rsidRDefault="00795BE0" w:rsidP="006F1659">
      <w:pPr>
        <w:pStyle w:val="Heading3greennumbered"/>
        <w:spacing w:line="360" w:lineRule="auto"/>
      </w:pPr>
      <w:bookmarkStart w:id="341" w:name="_Toc92894956"/>
      <w:bookmarkStart w:id="342" w:name="_Toc92895260"/>
      <w:bookmarkStart w:id="343" w:name="_Toc109922694"/>
      <w:r>
        <w:t>59</w:t>
      </w:r>
      <w:r w:rsidRPr="0007572B">
        <w:t xml:space="preserve"> Group Defined Benefit Pension Schemes</w:t>
      </w:r>
      <w:bookmarkEnd w:id="341"/>
      <w:bookmarkEnd w:id="342"/>
      <w:bookmarkEnd w:id="343"/>
    </w:p>
    <w:p w14:paraId="4679D6A3" w14:textId="77777777" w:rsidR="00795BE0" w:rsidRDefault="00795BE0" w:rsidP="006F1659">
      <w:pPr>
        <w:spacing w:line="360" w:lineRule="auto"/>
        <w:rPr>
          <w:rFonts w:ascii="Arial" w:hAnsi="Arial" w:cs="Arial"/>
        </w:rPr>
      </w:pPr>
    </w:p>
    <w:p w14:paraId="4B2C038E" w14:textId="77777777" w:rsidR="00795BE0" w:rsidRPr="0007572B" w:rsidRDefault="00795BE0" w:rsidP="006F1659">
      <w:pPr>
        <w:spacing w:line="360" w:lineRule="auto"/>
        <w:rPr>
          <w:rFonts w:ascii="Arial" w:hAnsi="Arial" w:cs="Arial"/>
        </w:rPr>
      </w:pPr>
      <w:r w:rsidRPr="0007572B">
        <w:rPr>
          <w:rFonts w:ascii="Arial" w:hAnsi="Arial" w:cs="Arial"/>
        </w:rPr>
        <w:t>Employees of the Group are divided between two separate defined benefit pension schemes:</w:t>
      </w:r>
    </w:p>
    <w:p w14:paraId="72913E57" w14:textId="77777777" w:rsidR="00795BE0" w:rsidRPr="0007572B" w:rsidRDefault="00795BE0" w:rsidP="006F1659">
      <w:pPr>
        <w:spacing w:line="360" w:lineRule="auto"/>
        <w:rPr>
          <w:rFonts w:ascii="Arial" w:hAnsi="Arial" w:cs="Arial"/>
        </w:rPr>
      </w:pPr>
    </w:p>
    <w:p w14:paraId="4911950D" w14:textId="77777777" w:rsidR="00795BE0" w:rsidRPr="0007572B" w:rsidRDefault="00795BE0" w:rsidP="006F1659">
      <w:pPr>
        <w:spacing w:line="360" w:lineRule="auto"/>
        <w:rPr>
          <w:rFonts w:ascii="Arial" w:hAnsi="Arial" w:cs="Arial"/>
        </w:rPr>
      </w:pPr>
      <w:r w:rsidRPr="0007572B">
        <w:rPr>
          <w:rFonts w:ascii="Arial" w:hAnsi="Arial" w:cs="Arial"/>
          <w:b/>
        </w:rPr>
        <w:t xml:space="preserve">The </w:t>
      </w:r>
      <w:r>
        <w:rPr>
          <w:rFonts w:ascii="Arial" w:hAnsi="Arial" w:cs="Arial"/>
          <w:b/>
        </w:rPr>
        <w:t xml:space="preserve">Fire Service Pension Scheme and the </w:t>
      </w:r>
      <w:r w:rsidRPr="0007572B">
        <w:rPr>
          <w:rFonts w:ascii="Arial" w:hAnsi="Arial" w:cs="Arial"/>
          <w:b/>
        </w:rPr>
        <w:t>Police Service Pension Scheme</w:t>
      </w:r>
      <w:r w:rsidRPr="0007572B">
        <w:rPr>
          <w:rFonts w:ascii="Arial" w:hAnsi="Arial" w:cs="Arial"/>
        </w:rPr>
        <w:t xml:space="preserve"> for its uniformed </w:t>
      </w:r>
      <w:r>
        <w:rPr>
          <w:rFonts w:ascii="Arial" w:hAnsi="Arial" w:cs="Arial"/>
        </w:rPr>
        <w:t xml:space="preserve">firefighters and </w:t>
      </w:r>
      <w:r w:rsidRPr="0007572B">
        <w:rPr>
          <w:rFonts w:ascii="Arial" w:hAnsi="Arial" w:cs="Arial"/>
        </w:rPr>
        <w:t xml:space="preserve">police officers </w:t>
      </w:r>
      <w:r>
        <w:rPr>
          <w:rFonts w:ascii="Arial" w:hAnsi="Arial" w:cs="Arial"/>
        </w:rPr>
        <w:t>–</w:t>
      </w:r>
      <w:r w:rsidRPr="0007572B">
        <w:rPr>
          <w:rFonts w:ascii="Arial" w:hAnsi="Arial" w:cs="Arial"/>
        </w:rPr>
        <w:t xml:space="preserve"> </w:t>
      </w:r>
      <w:r>
        <w:rPr>
          <w:rFonts w:ascii="Arial" w:hAnsi="Arial" w:cs="Arial"/>
        </w:rPr>
        <w:t xml:space="preserve">these are separate but similar unfunded schemes, </w:t>
      </w:r>
      <w:r w:rsidRPr="0007572B">
        <w:rPr>
          <w:rFonts w:ascii="Arial" w:hAnsi="Arial" w:cs="Arial"/>
        </w:rPr>
        <w:t>meaning that there are no investment assets built up to meet the pensions liabilities, and cash has to be generated to meet actual pensions payments as they eventually fall due.</w:t>
      </w:r>
    </w:p>
    <w:p w14:paraId="429000E5" w14:textId="77777777" w:rsidR="00795BE0" w:rsidRPr="0007572B" w:rsidRDefault="00795BE0" w:rsidP="006F1659">
      <w:pPr>
        <w:spacing w:line="360" w:lineRule="auto"/>
        <w:rPr>
          <w:rFonts w:ascii="Arial" w:hAnsi="Arial" w:cs="Arial"/>
        </w:rPr>
      </w:pPr>
    </w:p>
    <w:p w14:paraId="297F1D9F" w14:textId="77777777" w:rsidR="00795BE0" w:rsidRDefault="00795BE0" w:rsidP="006F1659">
      <w:pPr>
        <w:spacing w:line="360" w:lineRule="auto"/>
        <w:rPr>
          <w:rFonts w:ascii="Arial" w:hAnsi="Arial" w:cs="Arial"/>
        </w:rPr>
      </w:pPr>
      <w:r w:rsidRPr="0007572B">
        <w:rPr>
          <w:rFonts w:ascii="Arial" w:hAnsi="Arial" w:cs="Arial"/>
          <w:b/>
        </w:rPr>
        <w:t>The Local Government Pension Scheme</w:t>
      </w:r>
      <w:r w:rsidRPr="0007572B">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earned by employees, rather than when the benefits are eventually paid as pensions. However, the charge we are required to make against grant and precept income is based on the cash payable in the year, so the real cost of retirement benefits is reversed out of the Comprehensive Income and Expenditure Account in the Movement in Reserves Statement.</w:t>
      </w:r>
    </w:p>
    <w:p w14:paraId="0CA01ABB" w14:textId="77777777" w:rsidR="00795BE0" w:rsidRPr="0007572B" w:rsidRDefault="00795BE0" w:rsidP="006F1659">
      <w:pPr>
        <w:spacing w:line="360" w:lineRule="auto"/>
        <w:rPr>
          <w:rFonts w:ascii="Arial" w:hAnsi="Arial" w:cs="Arial"/>
        </w:rPr>
      </w:pPr>
    </w:p>
    <w:p w14:paraId="752E33B9" w14:textId="77777777" w:rsidR="00795BE0" w:rsidRPr="003378D4" w:rsidRDefault="00795BE0" w:rsidP="006F1659">
      <w:pPr>
        <w:pStyle w:val="Heading4bold"/>
        <w:spacing w:line="360" w:lineRule="auto"/>
      </w:pPr>
      <w:bookmarkStart w:id="344" w:name="_Hlk140163989"/>
      <w:r w:rsidRPr="003378D4">
        <w:t>McCloud / Sargeant Judgement</w:t>
      </w:r>
    </w:p>
    <w:p w14:paraId="08833E77" w14:textId="77777777" w:rsidR="00795BE0" w:rsidRPr="003378D4" w:rsidRDefault="00795BE0" w:rsidP="006F1659">
      <w:pPr>
        <w:spacing w:line="360" w:lineRule="auto"/>
        <w:rPr>
          <w:rFonts w:ascii="Arial" w:hAnsi="Arial" w:cs="Arial"/>
          <w:b/>
        </w:rPr>
      </w:pPr>
    </w:p>
    <w:p w14:paraId="2E001141" w14:textId="77777777" w:rsidR="00795BE0" w:rsidRPr="00CC5475" w:rsidRDefault="00795BE0" w:rsidP="006F1659">
      <w:pPr>
        <w:pStyle w:val="Heading5"/>
        <w:spacing w:line="360" w:lineRule="auto"/>
      </w:pPr>
      <w:r w:rsidRPr="00CC5475">
        <w:t>Firefighters and Police Officers schemes</w:t>
      </w:r>
    </w:p>
    <w:p w14:paraId="53A2C307" w14:textId="77777777" w:rsidR="00795BE0" w:rsidRPr="00845B32" w:rsidRDefault="00795BE0" w:rsidP="006F1659">
      <w:pPr>
        <w:pStyle w:val="Default"/>
        <w:spacing w:line="360" w:lineRule="auto"/>
        <w:rPr>
          <w:b/>
          <w:color w:val="auto"/>
          <w:szCs w:val="18"/>
          <w:highlight w:val="yellow"/>
        </w:rPr>
      </w:pPr>
    </w:p>
    <w:p w14:paraId="543A03A3" w14:textId="77777777" w:rsidR="00CC5475" w:rsidRDefault="00CC5475" w:rsidP="006F1659">
      <w:pPr>
        <w:spacing w:line="360" w:lineRule="auto"/>
        <w:rPr>
          <w:rFonts w:ascii="Arial" w:hAnsi="Arial" w:cs="Arial"/>
          <w:color w:val="000000"/>
          <w:szCs w:val="18"/>
          <w:lang w:eastAsia="en-GB"/>
        </w:rPr>
      </w:pPr>
      <w:r w:rsidRPr="00CC5475">
        <w:rPr>
          <w:rFonts w:ascii="Arial" w:hAnsi="Arial" w:cs="Arial"/>
          <w:color w:val="000000"/>
          <w:szCs w:val="18"/>
          <w:lang w:eastAsia="en-GB"/>
        </w:rPr>
        <w:t>Claims of age discrimination were brought in relation to the terms of transitional protection by groups of firefighters and members of the Judiciary in the McCloud / Sargeant 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 The cost cap mechanism for the 2016 valuation has since been un-paused and the calculations complete, with the outcome being no changes to benefits or contributions.</w:t>
      </w:r>
    </w:p>
    <w:p w14:paraId="3BC821C8" w14:textId="77777777" w:rsidR="00CC5475" w:rsidRDefault="00CC5475" w:rsidP="006F1659">
      <w:pPr>
        <w:spacing w:line="360" w:lineRule="auto"/>
        <w:rPr>
          <w:rFonts w:ascii="Arial" w:hAnsi="Arial" w:cs="Arial"/>
          <w:color w:val="000000"/>
          <w:szCs w:val="18"/>
          <w:lang w:eastAsia="en-GB"/>
        </w:rPr>
      </w:pPr>
    </w:p>
    <w:p w14:paraId="3E41C3E0" w14:textId="77777777" w:rsidR="00CC5475" w:rsidRPr="00CC5475" w:rsidRDefault="00CC5475" w:rsidP="006F1659">
      <w:pPr>
        <w:spacing w:line="360" w:lineRule="auto"/>
        <w:rPr>
          <w:rFonts w:ascii="Arial" w:hAnsi="Arial" w:cs="Arial"/>
          <w:color w:val="000000"/>
          <w:szCs w:val="18"/>
          <w:lang w:eastAsia="en-GB"/>
        </w:rPr>
      </w:pPr>
      <w:r w:rsidRPr="00CC5475">
        <w:rPr>
          <w:rFonts w:ascii="Arial" w:hAnsi="Arial" w:cs="Arial"/>
          <w:color w:val="000000"/>
          <w:szCs w:val="18"/>
          <w:lang w:eastAsia="en-GB"/>
        </w:rPr>
        <w:t>The treatment of the deferred choice underpin as a member cost for cost cap purposes, along with the 4 year spreading period, was challenged in a judicial Review which was heard in early 2023. The claims made in the Judicial Review were dismissed by the High Court, in a judgement handed down on Friday10 March 2023. No allowance has therefore been made in our accounting disclosures as at 31 March 2023.</w:t>
      </w:r>
    </w:p>
    <w:p w14:paraId="496574AE" w14:textId="77777777" w:rsidR="00CC5475" w:rsidRDefault="00CC5475" w:rsidP="006F1659">
      <w:pPr>
        <w:pStyle w:val="Default"/>
        <w:spacing w:line="360" w:lineRule="auto"/>
        <w:rPr>
          <w:bCs/>
          <w:color w:val="auto"/>
          <w:szCs w:val="18"/>
        </w:rPr>
      </w:pPr>
    </w:p>
    <w:p w14:paraId="58EE8CD2" w14:textId="3317247A" w:rsidR="00CC5475" w:rsidRPr="00CC5475" w:rsidRDefault="00CC5475" w:rsidP="006F1659">
      <w:pPr>
        <w:spacing w:line="360" w:lineRule="auto"/>
        <w:rPr>
          <w:rFonts w:ascii="Arial" w:hAnsi="Arial" w:cs="Arial"/>
          <w:color w:val="000000"/>
          <w:szCs w:val="18"/>
          <w:lang w:eastAsia="en-GB"/>
        </w:rPr>
      </w:pPr>
      <w:r w:rsidRPr="00CC5475">
        <w:rPr>
          <w:rFonts w:ascii="Arial" w:hAnsi="Arial" w:cs="Arial"/>
          <w:color w:val="000000"/>
          <w:szCs w:val="18"/>
          <w:lang w:eastAsia="en-GB"/>
        </w:rPr>
        <w:t>The McCloud remedy window ran from 01 April 2015 to 31 March 2022. Eligible members will be able to elect which scheme they wish to receive benefits from for this period. Due to the differing benefits structures we expect the majority of eligible members to elect to take legacy scheme (1987 Scheme, 1992 Scheme or 2006 Scheme) benefits for the remedy period.</w:t>
      </w:r>
    </w:p>
    <w:p w14:paraId="529D42A8" w14:textId="77777777" w:rsidR="00CC5475" w:rsidRPr="00CC5475" w:rsidRDefault="00CC5475" w:rsidP="006F1659">
      <w:pPr>
        <w:spacing w:line="360" w:lineRule="auto"/>
        <w:rPr>
          <w:rFonts w:ascii="Arial" w:hAnsi="Arial" w:cs="Arial"/>
          <w:color w:val="000000"/>
          <w:szCs w:val="18"/>
          <w:lang w:eastAsia="en-GB"/>
        </w:rPr>
      </w:pPr>
    </w:p>
    <w:p w14:paraId="76131639" w14:textId="796771CF" w:rsidR="00CC5475" w:rsidRPr="00CC5475" w:rsidRDefault="00CC5475" w:rsidP="006F1659">
      <w:pPr>
        <w:spacing w:line="360" w:lineRule="auto"/>
        <w:rPr>
          <w:rFonts w:ascii="Arial" w:hAnsi="Arial" w:cs="Arial"/>
          <w:color w:val="000000"/>
          <w:szCs w:val="18"/>
          <w:lang w:eastAsia="en-GB"/>
        </w:rPr>
      </w:pPr>
      <w:r w:rsidRPr="00CC5475">
        <w:rPr>
          <w:rFonts w:ascii="Arial" w:hAnsi="Arial" w:cs="Arial"/>
          <w:color w:val="000000"/>
          <w:szCs w:val="18"/>
          <w:lang w:eastAsia="en-GB"/>
        </w:rPr>
        <w:t>An allowance for the McCloud remedy was first included in 2018/19 disclosures as a past service cost for four years remedy service from 2015-2019. This past service cost was attributed proportionally to the legacy schemes. For subsequent years to 2021/22 an allowance was made in the 2015 service costs for the annual accrual of additional remedy service.</w:t>
      </w:r>
    </w:p>
    <w:p w14:paraId="407AF2DC" w14:textId="77777777" w:rsidR="00CC5475" w:rsidRPr="009279D6" w:rsidRDefault="00CC5475" w:rsidP="006F1659">
      <w:pPr>
        <w:spacing w:line="360" w:lineRule="auto"/>
        <w:rPr>
          <w:rFonts w:ascii="Arial" w:hAnsi="Arial" w:cs="Arial"/>
          <w:color w:val="000000"/>
          <w:szCs w:val="18"/>
          <w:highlight w:val="green"/>
          <w:lang w:eastAsia="en-GB"/>
        </w:rPr>
      </w:pPr>
    </w:p>
    <w:p w14:paraId="47C3AAAD" w14:textId="64B1E094" w:rsidR="00CC5475" w:rsidRPr="00902F34" w:rsidRDefault="00CC5475" w:rsidP="006F1659">
      <w:pPr>
        <w:spacing w:line="360" w:lineRule="auto"/>
        <w:rPr>
          <w:rFonts w:ascii="Arial" w:hAnsi="Arial" w:cs="Arial"/>
          <w:color w:val="000000"/>
          <w:szCs w:val="18"/>
          <w:lang w:eastAsia="en-GB"/>
        </w:rPr>
      </w:pPr>
      <w:r w:rsidRPr="005E6F94">
        <w:rPr>
          <w:rFonts w:ascii="Arial" w:hAnsi="Arial" w:cs="Arial"/>
          <w:color w:val="000000"/>
          <w:szCs w:val="18"/>
          <w:lang w:eastAsia="en-GB"/>
        </w:rPr>
        <w:t>Now that the remedy window is closed all McCloud related liabilities for eligible members for the period 2019 to 2022 have been moved to the associated legacy scheme. This means all McCloud liabilities are held with the legacy scheme we expect benefits to be paid from. This has led to a past service cost of £97m</w:t>
      </w:r>
      <w:r w:rsidR="005E6F94" w:rsidRPr="005E6F94">
        <w:rPr>
          <w:rFonts w:ascii="Arial" w:hAnsi="Arial" w:cs="Arial"/>
          <w:color w:val="000000"/>
          <w:szCs w:val="18"/>
          <w:lang w:eastAsia="en-GB"/>
        </w:rPr>
        <w:t xml:space="preserve"> added to the 1987 Scheme, </w:t>
      </w:r>
      <w:r w:rsidRPr="005E6F94">
        <w:rPr>
          <w:rFonts w:ascii="Arial" w:hAnsi="Arial" w:cs="Arial"/>
          <w:color w:val="000000"/>
          <w:szCs w:val="18"/>
          <w:lang w:eastAsia="en-GB"/>
        </w:rPr>
        <w:t>£32m added to the 1992 Scheme and £</w:t>
      </w:r>
      <w:r w:rsidR="005E6F94" w:rsidRPr="005E6F94">
        <w:rPr>
          <w:rFonts w:ascii="Arial" w:hAnsi="Arial" w:cs="Arial"/>
          <w:color w:val="000000"/>
          <w:szCs w:val="18"/>
          <w:lang w:eastAsia="en-GB"/>
        </w:rPr>
        <w:t>10</w:t>
      </w:r>
      <w:r w:rsidRPr="005E6F94">
        <w:rPr>
          <w:rFonts w:ascii="Arial" w:hAnsi="Arial" w:cs="Arial"/>
          <w:color w:val="000000"/>
          <w:szCs w:val="18"/>
          <w:lang w:eastAsia="en-GB"/>
        </w:rPr>
        <w:t>m</w:t>
      </w:r>
      <w:r w:rsidR="005E6F94" w:rsidRPr="005E6F94">
        <w:rPr>
          <w:rFonts w:ascii="Arial" w:hAnsi="Arial" w:cs="Arial"/>
          <w:color w:val="000000"/>
          <w:szCs w:val="18"/>
          <w:lang w:eastAsia="en-GB"/>
        </w:rPr>
        <w:t xml:space="preserve"> to</w:t>
      </w:r>
      <w:r w:rsidRPr="005E6F94">
        <w:rPr>
          <w:rFonts w:ascii="Arial" w:hAnsi="Arial" w:cs="Arial"/>
          <w:color w:val="000000"/>
          <w:szCs w:val="18"/>
          <w:lang w:eastAsia="en-GB"/>
        </w:rPr>
        <w:t xml:space="preserve"> the 2006 Scheme. As these liabilities are no longer held within the 2015 Scheme, we have a past service gain of £</w:t>
      </w:r>
      <w:r w:rsidR="005E6F94" w:rsidRPr="005E6F94">
        <w:rPr>
          <w:rFonts w:ascii="Arial" w:hAnsi="Arial" w:cs="Arial"/>
          <w:color w:val="000000"/>
          <w:szCs w:val="18"/>
          <w:lang w:eastAsia="en-GB"/>
        </w:rPr>
        <w:t>139</w:t>
      </w:r>
      <w:r w:rsidRPr="005E6F94">
        <w:rPr>
          <w:rFonts w:ascii="Arial" w:hAnsi="Arial" w:cs="Arial"/>
          <w:color w:val="000000"/>
          <w:szCs w:val="18"/>
          <w:lang w:eastAsia="en-GB"/>
        </w:rPr>
        <w:t>m.</w:t>
      </w:r>
    </w:p>
    <w:p w14:paraId="485BDFFC" w14:textId="77777777" w:rsidR="00CC5475" w:rsidRDefault="00CC5475" w:rsidP="006F1659">
      <w:pPr>
        <w:pStyle w:val="Default"/>
        <w:spacing w:line="360" w:lineRule="auto"/>
        <w:rPr>
          <w:bCs/>
          <w:color w:val="auto"/>
          <w:szCs w:val="18"/>
        </w:rPr>
      </w:pPr>
    </w:p>
    <w:p w14:paraId="2CC04189" w14:textId="77777777" w:rsidR="00795BE0" w:rsidRPr="0007572B" w:rsidRDefault="00795BE0" w:rsidP="006F1659">
      <w:pPr>
        <w:pStyle w:val="Heading5"/>
        <w:spacing w:line="360" w:lineRule="auto"/>
      </w:pPr>
      <w:r w:rsidRPr="0007572B">
        <w:t>Local Government Scheme</w:t>
      </w:r>
    </w:p>
    <w:p w14:paraId="58EA9364" w14:textId="77777777" w:rsidR="00CC5475" w:rsidRDefault="00CC5475" w:rsidP="006F1659">
      <w:pPr>
        <w:spacing w:line="360" w:lineRule="auto"/>
        <w:rPr>
          <w:rFonts w:ascii="Arial" w:hAnsi="Arial" w:cs="Arial"/>
          <w:color w:val="000000"/>
        </w:rPr>
      </w:pPr>
    </w:p>
    <w:p w14:paraId="20F96734" w14:textId="79DD4E42" w:rsidR="00CC5475" w:rsidRDefault="00CC5475" w:rsidP="006F1659">
      <w:pPr>
        <w:spacing w:line="360" w:lineRule="auto"/>
        <w:rPr>
          <w:rFonts w:ascii="Arial" w:hAnsi="Arial" w:cs="Arial"/>
          <w:color w:val="000000"/>
        </w:rPr>
      </w:pPr>
      <w:r w:rsidRPr="00CC5475">
        <w:rPr>
          <w:rFonts w:ascii="Arial" w:hAnsi="Arial" w:cs="Arial"/>
          <w:color w:val="000000"/>
        </w:rPr>
        <w:t>The Local Government Pension Scheme liabilities for 2019/20 reflected the estimated increased liabilities arising from the McCloud/Sargeant judgement. These estimates have been rolled forward and are included within in the 2022/23 pension scheme liability. The impact of an increase in scheme liabilities arising from the McCloud judgment has been measured through the 2022 pension valuation process concluded in March 2023, which determines employer and employee contribution rates.</w:t>
      </w:r>
    </w:p>
    <w:p w14:paraId="370C5D37" w14:textId="77777777" w:rsidR="00DF2CD7" w:rsidRPr="00CC5475" w:rsidRDefault="00DF2CD7" w:rsidP="006F1659">
      <w:pPr>
        <w:spacing w:line="360" w:lineRule="auto"/>
        <w:rPr>
          <w:rFonts w:ascii="Arial" w:hAnsi="Arial" w:cs="Arial"/>
          <w:color w:val="000000"/>
        </w:rPr>
      </w:pPr>
    </w:p>
    <w:bookmarkEnd w:id="344"/>
    <w:p w14:paraId="1AE03824" w14:textId="129225F2" w:rsidR="00795BE0" w:rsidRDefault="00795BE0" w:rsidP="006F1659">
      <w:pPr>
        <w:pStyle w:val="Heading4bold"/>
        <w:spacing w:line="360" w:lineRule="auto"/>
      </w:pPr>
      <w:r w:rsidRPr="0007572B">
        <w:t>Group Comprehensive Income and Expenditure Statement</w:t>
      </w:r>
    </w:p>
    <w:p w14:paraId="5C0F8A06" w14:textId="74F5B779" w:rsidR="000C53A4" w:rsidRDefault="00DC52FE" w:rsidP="00DF2CD7">
      <w:pPr>
        <w:spacing w:line="360" w:lineRule="auto"/>
      </w:pPr>
      <w:r w:rsidRPr="00DC52FE">
        <w:rPr>
          <w:noProof/>
        </w:rPr>
        <w:drawing>
          <wp:inline distT="0" distB="0" distL="0" distR="0" wp14:anchorId="7F1986AA" wp14:editId="29D9F4AD">
            <wp:extent cx="9177020" cy="2830830"/>
            <wp:effectExtent l="0" t="0" r="5080" b="7620"/>
            <wp:docPr id="81711129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177020" cy="2830830"/>
                    </a:xfrm>
                    <a:prstGeom prst="rect">
                      <a:avLst/>
                    </a:prstGeom>
                    <a:noFill/>
                    <a:ln>
                      <a:noFill/>
                    </a:ln>
                  </pic:spPr>
                </pic:pic>
              </a:graphicData>
            </a:graphic>
          </wp:inline>
        </w:drawing>
      </w:r>
    </w:p>
    <w:p w14:paraId="0B7369E9" w14:textId="77777777" w:rsidR="00974D40" w:rsidRDefault="00974D40" w:rsidP="00DF2CD7">
      <w:pPr>
        <w:spacing w:line="360" w:lineRule="auto"/>
      </w:pPr>
    </w:p>
    <w:p w14:paraId="3FA577DF" w14:textId="05F7B8A6" w:rsidR="00795BE0" w:rsidRDefault="00795BE0" w:rsidP="006F1659">
      <w:pPr>
        <w:pStyle w:val="Heading4bold"/>
        <w:spacing w:line="360" w:lineRule="auto"/>
      </w:pPr>
      <w:r w:rsidRPr="0007572B">
        <w:t>Group Movement in Reserves Statement</w:t>
      </w:r>
    </w:p>
    <w:p w14:paraId="0C79C1DE" w14:textId="2ADBB1A1" w:rsidR="000C53A4" w:rsidRPr="0007572B" w:rsidRDefault="00DC52FE" w:rsidP="00DF2CD7">
      <w:pPr>
        <w:spacing w:line="360" w:lineRule="auto"/>
      </w:pPr>
      <w:r w:rsidRPr="00DC52FE">
        <w:rPr>
          <w:noProof/>
        </w:rPr>
        <w:drawing>
          <wp:inline distT="0" distB="0" distL="0" distR="0" wp14:anchorId="6F10F415" wp14:editId="03916260">
            <wp:extent cx="8991600" cy="1001072"/>
            <wp:effectExtent l="0" t="0" r="0" b="8890"/>
            <wp:docPr id="205020298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9058779" cy="1008551"/>
                    </a:xfrm>
                    <a:prstGeom prst="rect">
                      <a:avLst/>
                    </a:prstGeom>
                    <a:noFill/>
                    <a:ln>
                      <a:noFill/>
                    </a:ln>
                  </pic:spPr>
                </pic:pic>
              </a:graphicData>
            </a:graphic>
          </wp:inline>
        </w:drawing>
      </w:r>
    </w:p>
    <w:p w14:paraId="3BF01F90" w14:textId="0E44D402" w:rsidR="00974D40" w:rsidRDefault="00974D40" w:rsidP="006F1659">
      <w:pPr>
        <w:spacing w:line="360" w:lineRule="auto"/>
        <w:rPr>
          <w:rFonts w:ascii="Arial" w:hAnsi="Arial" w:cs="Arial"/>
          <w:b/>
          <w:bCs/>
        </w:rPr>
      </w:pPr>
    </w:p>
    <w:p w14:paraId="0167877D" w14:textId="24892228" w:rsidR="00795BE0" w:rsidRDefault="00795BE0" w:rsidP="006F1659">
      <w:pPr>
        <w:pStyle w:val="Heading4bold"/>
        <w:spacing w:line="360" w:lineRule="auto"/>
      </w:pPr>
      <w:r w:rsidRPr="0007572B">
        <w:t>Group Pensions Assets and Liabilities Recognised in the Balance Sheet</w:t>
      </w:r>
    </w:p>
    <w:p w14:paraId="0D5200EE" w14:textId="711B9619" w:rsidR="000C53A4" w:rsidRPr="00DF2CD7" w:rsidRDefault="00DC52FE" w:rsidP="00DF2CD7">
      <w:pPr>
        <w:spacing w:line="360" w:lineRule="auto"/>
        <w:rPr>
          <w:rFonts w:ascii="Arial" w:hAnsi="Arial" w:cs="Arial"/>
          <w:b/>
          <w:bCs/>
          <w:color w:val="000000"/>
          <w:lang w:eastAsia="en-GB"/>
        </w:rPr>
      </w:pPr>
      <w:r w:rsidRPr="00DF2CD7">
        <w:rPr>
          <w:rFonts w:ascii="Arial" w:hAnsi="Arial" w:cs="Arial"/>
          <w:b/>
          <w:bCs/>
          <w:noProof/>
          <w:color w:val="000000"/>
          <w:lang w:eastAsia="en-GB"/>
        </w:rPr>
        <w:drawing>
          <wp:inline distT="0" distB="0" distL="0" distR="0" wp14:anchorId="34BF43DD" wp14:editId="439A199B">
            <wp:extent cx="8972550" cy="1014472"/>
            <wp:effectExtent l="0" t="0" r="0" b="0"/>
            <wp:docPr id="113628566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009817" cy="1018686"/>
                    </a:xfrm>
                    <a:prstGeom prst="rect">
                      <a:avLst/>
                    </a:prstGeom>
                    <a:noFill/>
                    <a:ln>
                      <a:noFill/>
                    </a:ln>
                  </pic:spPr>
                </pic:pic>
              </a:graphicData>
            </a:graphic>
          </wp:inline>
        </w:drawing>
      </w:r>
    </w:p>
    <w:p w14:paraId="319B6B8F" w14:textId="77777777" w:rsidR="00974D40" w:rsidRDefault="00974D40" w:rsidP="00DF2CD7">
      <w:pPr>
        <w:spacing w:line="360" w:lineRule="auto"/>
      </w:pPr>
    </w:p>
    <w:p w14:paraId="759D8228" w14:textId="76BEB277" w:rsidR="00D417B7" w:rsidRPr="00DF2CD7" w:rsidRDefault="00795BE0" w:rsidP="00DF2CD7">
      <w:pPr>
        <w:pStyle w:val="Heading4bold"/>
        <w:spacing w:line="360" w:lineRule="auto"/>
      </w:pPr>
      <w:r w:rsidRPr="0007572B">
        <w:t>Group Reconciliation of the present value of the scheme liabilities (Defined Benefit Obligations)</w:t>
      </w:r>
    </w:p>
    <w:p w14:paraId="50E224C3" w14:textId="1C02B9C1" w:rsidR="008F3BF9" w:rsidRDefault="00DC52FE" w:rsidP="006F1659">
      <w:pPr>
        <w:spacing w:line="360" w:lineRule="auto"/>
        <w:rPr>
          <w:rFonts w:ascii="Arial" w:hAnsi="Arial" w:cs="Arial"/>
          <w:b/>
          <w:bCs/>
          <w:color w:val="000000"/>
          <w:lang w:eastAsia="en-GB"/>
        </w:rPr>
      </w:pPr>
      <w:r w:rsidRPr="00DC52FE">
        <w:rPr>
          <w:noProof/>
        </w:rPr>
        <w:drawing>
          <wp:inline distT="0" distB="0" distL="0" distR="0" wp14:anchorId="3C5F1931" wp14:editId="5C2B5EC0">
            <wp:extent cx="9001125" cy="2136926"/>
            <wp:effectExtent l="0" t="0" r="0" b="0"/>
            <wp:docPr id="39477988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9011117" cy="2139298"/>
                    </a:xfrm>
                    <a:prstGeom prst="rect">
                      <a:avLst/>
                    </a:prstGeom>
                    <a:noFill/>
                    <a:ln>
                      <a:noFill/>
                    </a:ln>
                  </pic:spPr>
                </pic:pic>
              </a:graphicData>
            </a:graphic>
          </wp:inline>
        </w:drawing>
      </w:r>
    </w:p>
    <w:p w14:paraId="388FCE4F" w14:textId="77777777" w:rsidR="000C53A4" w:rsidRDefault="000C53A4" w:rsidP="006F1659">
      <w:pPr>
        <w:spacing w:line="360" w:lineRule="auto"/>
        <w:rPr>
          <w:rFonts w:ascii="Arial" w:hAnsi="Arial" w:cs="Arial"/>
          <w:b/>
          <w:bCs/>
          <w:color w:val="000000"/>
          <w:lang w:eastAsia="en-GB"/>
        </w:rPr>
      </w:pPr>
    </w:p>
    <w:p w14:paraId="2D7B640C" w14:textId="4E0EC4E8" w:rsidR="00795BE0" w:rsidRDefault="00795BE0" w:rsidP="006F1659">
      <w:pPr>
        <w:pStyle w:val="Heading4bold"/>
        <w:spacing w:line="360" w:lineRule="auto"/>
      </w:pPr>
      <w:r w:rsidRPr="0007572B">
        <w:t>Reconciliation of movements in the fair value of the scheme assets</w:t>
      </w:r>
    </w:p>
    <w:p w14:paraId="48E9B518" w14:textId="12AFAD40" w:rsidR="00A11F6D" w:rsidRPr="00DF2CD7" w:rsidRDefault="00DC52FE" w:rsidP="00DF2CD7">
      <w:pPr>
        <w:spacing w:line="360" w:lineRule="auto"/>
        <w:rPr>
          <w:rFonts w:ascii="Arial" w:hAnsi="Arial" w:cs="Arial"/>
          <w:b/>
          <w:sz w:val="22"/>
          <w:szCs w:val="22"/>
        </w:rPr>
      </w:pPr>
      <w:r w:rsidRPr="00DF2CD7">
        <w:rPr>
          <w:rFonts w:ascii="Arial" w:hAnsi="Arial" w:cs="Arial"/>
          <w:b/>
          <w:noProof/>
          <w:sz w:val="22"/>
          <w:szCs w:val="22"/>
        </w:rPr>
        <w:drawing>
          <wp:inline distT="0" distB="0" distL="0" distR="0" wp14:anchorId="39039EAB" wp14:editId="446F0426">
            <wp:extent cx="5492750" cy="2235200"/>
            <wp:effectExtent l="0" t="0" r="0" b="0"/>
            <wp:docPr id="72886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492750" cy="2235200"/>
                    </a:xfrm>
                    <a:prstGeom prst="rect">
                      <a:avLst/>
                    </a:prstGeom>
                    <a:noFill/>
                    <a:ln>
                      <a:noFill/>
                    </a:ln>
                  </pic:spPr>
                </pic:pic>
              </a:graphicData>
            </a:graphic>
          </wp:inline>
        </w:drawing>
      </w:r>
    </w:p>
    <w:p w14:paraId="738D3573" w14:textId="079EFDB4" w:rsidR="000C53A4" w:rsidRPr="0066778F" w:rsidRDefault="000C53A4" w:rsidP="006F1659">
      <w:pPr>
        <w:spacing w:line="360" w:lineRule="auto"/>
        <w:rPr>
          <w:rFonts w:ascii="Arial" w:hAnsi="Arial" w:cs="Arial"/>
          <w:b/>
          <w:sz w:val="22"/>
          <w:szCs w:val="22"/>
        </w:rPr>
      </w:pPr>
    </w:p>
    <w:p w14:paraId="43C4EC46" w14:textId="16760238" w:rsidR="00795BE0" w:rsidRDefault="00795BE0" w:rsidP="006F1659">
      <w:pPr>
        <w:pStyle w:val="Heading4bold"/>
        <w:spacing w:line="360" w:lineRule="auto"/>
      </w:pPr>
      <w:r w:rsidRPr="0007572B">
        <w:t>Local Government Pension Scheme assets comprised:</w:t>
      </w:r>
    </w:p>
    <w:p w14:paraId="483FE29A" w14:textId="5D30CC40" w:rsidR="00D417B7" w:rsidRPr="00DF2CD7" w:rsidRDefault="00930F6A" w:rsidP="00DF2CD7">
      <w:pPr>
        <w:spacing w:line="360" w:lineRule="auto"/>
        <w:rPr>
          <w:rFonts w:ascii="Arial" w:hAnsi="Arial" w:cs="Arial"/>
        </w:rPr>
      </w:pPr>
      <w:r w:rsidRPr="00DF2CD7">
        <w:rPr>
          <w:rFonts w:ascii="Arial" w:hAnsi="Arial" w:cs="Arial"/>
          <w:noProof/>
        </w:rPr>
        <w:drawing>
          <wp:inline distT="0" distB="0" distL="0" distR="0" wp14:anchorId="2A301A85" wp14:editId="435946EE">
            <wp:extent cx="9177020" cy="3613150"/>
            <wp:effectExtent l="0" t="0" r="5080" b="6350"/>
            <wp:docPr id="59066789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9177020" cy="3613150"/>
                    </a:xfrm>
                    <a:prstGeom prst="rect">
                      <a:avLst/>
                    </a:prstGeom>
                    <a:noFill/>
                    <a:ln>
                      <a:noFill/>
                    </a:ln>
                  </pic:spPr>
                </pic:pic>
              </a:graphicData>
            </a:graphic>
          </wp:inline>
        </w:drawing>
      </w:r>
    </w:p>
    <w:p w14:paraId="04809386" w14:textId="4060E854" w:rsidR="00B51301" w:rsidRPr="00DF2CD7" w:rsidRDefault="00B51301" w:rsidP="00DF2CD7">
      <w:pPr>
        <w:spacing w:line="360" w:lineRule="auto"/>
        <w:rPr>
          <w:rFonts w:ascii="Arial" w:hAnsi="Arial" w:cs="Arial"/>
        </w:rPr>
      </w:pPr>
      <w:r>
        <w:rPr>
          <w:rFonts w:ascii="Arial" w:hAnsi="Arial" w:cs="Arial"/>
        </w:rPr>
        <w:t>The total assets of £1,789m in the table above do not match the closing fair value of scheme assets in the Reconciliation of Movements in Fair Value of the Scheme Assets table. The variance of £2</w:t>
      </w:r>
      <w:r w:rsidR="00930F6A">
        <w:rPr>
          <w:rFonts w:ascii="Arial" w:hAnsi="Arial" w:cs="Arial"/>
        </w:rPr>
        <w:t>60.2</w:t>
      </w:r>
      <w:r>
        <w:rPr>
          <w:rFonts w:ascii="Arial" w:hAnsi="Arial" w:cs="Arial"/>
        </w:rPr>
        <w:t>m is due to the effect of applying the asset ceiling for the GMCA and GMP.</w:t>
      </w:r>
    </w:p>
    <w:p w14:paraId="49CCEEE3" w14:textId="77777777" w:rsidR="00795BE0" w:rsidRDefault="00795BE0" w:rsidP="006F1659">
      <w:pPr>
        <w:spacing w:line="360" w:lineRule="auto"/>
        <w:rPr>
          <w:rFonts w:ascii="Arial" w:hAnsi="Arial" w:cs="Arial"/>
          <w:b/>
          <w:sz w:val="22"/>
          <w:szCs w:val="22"/>
        </w:rPr>
      </w:pPr>
    </w:p>
    <w:p w14:paraId="74A90E78" w14:textId="0D509FA1" w:rsidR="0080212E" w:rsidRPr="0007572B" w:rsidRDefault="0080212E" w:rsidP="006F1659">
      <w:pPr>
        <w:spacing w:line="360" w:lineRule="auto"/>
        <w:rPr>
          <w:rFonts w:ascii="Arial" w:hAnsi="Arial" w:cs="Arial"/>
          <w:b/>
          <w:sz w:val="22"/>
          <w:szCs w:val="22"/>
        </w:rPr>
        <w:sectPr w:rsidR="0080212E" w:rsidRPr="0007572B" w:rsidSect="004833A2">
          <w:pgSz w:w="16838" w:h="11906" w:orient="landscape"/>
          <w:pgMar w:top="1080" w:right="946" w:bottom="1416" w:left="1440" w:header="283" w:footer="567" w:gutter="0"/>
          <w:cols w:space="708"/>
          <w:docGrid w:linePitch="360"/>
        </w:sectPr>
      </w:pPr>
    </w:p>
    <w:p w14:paraId="149D1805" w14:textId="7FDB6CE4" w:rsidR="00795BE0" w:rsidRPr="0007572B" w:rsidRDefault="00795BE0" w:rsidP="006F1659">
      <w:pPr>
        <w:pStyle w:val="Heading4bold"/>
        <w:spacing w:line="360" w:lineRule="auto"/>
        <w:rPr>
          <w:lang w:eastAsia="en-GB"/>
        </w:rPr>
      </w:pPr>
      <w:r w:rsidRPr="0007572B">
        <w:t>Assumptions</w:t>
      </w:r>
    </w:p>
    <w:p w14:paraId="7F5936B5" w14:textId="4202B528" w:rsidR="00795BE0" w:rsidRPr="0007572B" w:rsidRDefault="00DB44AC" w:rsidP="006F1659">
      <w:pPr>
        <w:spacing w:line="360" w:lineRule="auto"/>
        <w:rPr>
          <w:rFonts w:ascii="Arial" w:hAnsi="Arial" w:cs="Arial"/>
          <w:b/>
          <w:sz w:val="22"/>
          <w:szCs w:val="22"/>
        </w:rPr>
      </w:pPr>
      <w:r w:rsidRPr="00DB44AC">
        <w:rPr>
          <w:noProof/>
        </w:rPr>
        <w:drawing>
          <wp:inline distT="0" distB="0" distL="0" distR="0" wp14:anchorId="0DC00B41" wp14:editId="7CF125F7">
            <wp:extent cx="9177020" cy="1607820"/>
            <wp:effectExtent l="0" t="0" r="5080" b="0"/>
            <wp:docPr id="1023663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9177020" cy="1607820"/>
                    </a:xfrm>
                    <a:prstGeom prst="rect">
                      <a:avLst/>
                    </a:prstGeom>
                    <a:noFill/>
                    <a:ln>
                      <a:noFill/>
                    </a:ln>
                  </pic:spPr>
                </pic:pic>
              </a:graphicData>
            </a:graphic>
          </wp:inline>
        </w:drawing>
      </w:r>
    </w:p>
    <w:p w14:paraId="5AF58CF6" w14:textId="60BDB774" w:rsidR="0011520F" w:rsidRDefault="0011520F">
      <w:pPr>
        <w:rPr>
          <w:rFonts w:ascii="Arial" w:hAnsi="Arial" w:cs="Arial"/>
          <w:b/>
          <w:bCs/>
        </w:rPr>
      </w:pPr>
    </w:p>
    <w:p w14:paraId="36EB7EB5" w14:textId="3BB5B0C3" w:rsidR="00795BE0" w:rsidRPr="00DF2CD7" w:rsidRDefault="00795BE0" w:rsidP="00DF2CD7">
      <w:pPr>
        <w:pStyle w:val="Heading4bold"/>
        <w:spacing w:line="360" w:lineRule="auto"/>
      </w:pPr>
      <w:r w:rsidRPr="0007572B">
        <w:t>Sensitivity Analysis</w:t>
      </w:r>
    </w:p>
    <w:p w14:paraId="0368C1B2" w14:textId="79B0C1D2" w:rsidR="00795BE0" w:rsidRPr="0007572B" w:rsidRDefault="009D14F9" w:rsidP="006F1659">
      <w:pPr>
        <w:spacing w:line="360" w:lineRule="auto"/>
        <w:rPr>
          <w:rFonts w:ascii="Arial" w:hAnsi="Arial" w:cs="Arial"/>
          <w:b/>
          <w:sz w:val="22"/>
          <w:szCs w:val="22"/>
        </w:rPr>
        <w:sectPr w:rsidR="00795BE0" w:rsidRPr="0007572B" w:rsidSect="004833A2">
          <w:pgSz w:w="16838" w:h="11906" w:orient="landscape"/>
          <w:pgMar w:top="1080" w:right="946" w:bottom="1416" w:left="1440" w:header="283" w:footer="567" w:gutter="0"/>
          <w:cols w:space="708"/>
          <w:docGrid w:linePitch="360"/>
        </w:sectPr>
      </w:pPr>
      <w:r w:rsidRPr="009D14F9">
        <w:rPr>
          <w:noProof/>
        </w:rPr>
        <w:drawing>
          <wp:inline distT="0" distB="0" distL="0" distR="0" wp14:anchorId="38317B10" wp14:editId="379BF961">
            <wp:extent cx="5842365" cy="3343275"/>
            <wp:effectExtent l="0" t="0" r="6350" b="0"/>
            <wp:docPr id="787731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864474" cy="3355927"/>
                    </a:xfrm>
                    <a:prstGeom prst="rect">
                      <a:avLst/>
                    </a:prstGeom>
                    <a:noFill/>
                    <a:ln>
                      <a:noFill/>
                    </a:ln>
                  </pic:spPr>
                </pic:pic>
              </a:graphicData>
            </a:graphic>
          </wp:inline>
        </w:drawing>
      </w:r>
    </w:p>
    <w:p w14:paraId="64DB7844" w14:textId="77777777" w:rsidR="00795BE0" w:rsidRPr="0007572B" w:rsidRDefault="00795BE0" w:rsidP="006F1659">
      <w:pPr>
        <w:pStyle w:val="Heading2green"/>
        <w:spacing w:line="360" w:lineRule="auto"/>
      </w:pPr>
      <w:bookmarkStart w:id="345" w:name="_Toc92895261"/>
      <w:bookmarkStart w:id="346" w:name="_Toc109922695"/>
      <w:r w:rsidRPr="0007572B">
        <w:t>Police Pension Fund</w:t>
      </w:r>
      <w:bookmarkEnd w:id="345"/>
      <w:bookmarkEnd w:id="346"/>
    </w:p>
    <w:p w14:paraId="52A1C828" w14:textId="77777777" w:rsidR="00795BE0" w:rsidRDefault="00795BE0" w:rsidP="006F1659">
      <w:pPr>
        <w:spacing w:line="360" w:lineRule="auto"/>
        <w:rPr>
          <w:rFonts w:ascii="Arial" w:hAnsi="Arial" w:cs="Arial"/>
        </w:rPr>
      </w:pPr>
    </w:p>
    <w:p w14:paraId="23887F40" w14:textId="77777777" w:rsidR="00795BE0" w:rsidRPr="0007572B" w:rsidRDefault="00795BE0" w:rsidP="006F1659">
      <w:pPr>
        <w:spacing w:line="360" w:lineRule="auto"/>
        <w:rPr>
          <w:rFonts w:ascii="Arial" w:hAnsi="Arial" w:cs="Arial"/>
        </w:rPr>
      </w:pPr>
      <w:r w:rsidRPr="0007572B">
        <w:rPr>
          <w:rFonts w:ascii="Arial" w:hAnsi="Arial" w:cs="Arial"/>
        </w:rPr>
        <w:t>The Police Pension Scheme is unfunded. Both employer and employee pension contributions are based on a percentage of pay, which is paid into the Pension Fund. The amounts that must be paid into and out of the Pension Fund are specified by the Police Pension Fund Regulations 2007 and do not include injury awards.</w:t>
      </w:r>
    </w:p>
    <w:p w14:paraId="46867020" w14:textId="77777777" w:rsidR="00795BE0" w:rsidRPr="0007572B" w:rsidRDefault="00795BE0" w:rsidP="006F1659">
      <w:pPr>
        <w:pStyle w:val="Heading3"/>
        <w:spacing w:line="360" w:lineRule="auto"/>
      </w:pPr>
      <w:bookmarkStart w:id="347" w:name="_Toc92894958"/>
      <w:bookmarkStart w:id="348" w:name="_Toc92895262"/>
      <w:bookmarkStart w:id="349" w:name="_Toc109922696"/>
      <w:r w:rsidRPr="0007572B">
        <w:t>Police Pension Fund Account</w:t>
      </w:r>
      <w:bookmarkEnd w:id="347"/>
      <w:bookmarkEnd w:id="348"/>
      <w:bookmarkEnd w:id="349"/>
    </w:p>
    <w:p w14:paraId="2E88461B" w14:textId="77777777" w:rsidR="00795BE0" w:rsidRPr="0007572B" w:rsidRDefault="00795BE0" w:rsidP="006F1659">
      <w:pPr>
        <w:spacing w:line="360" w:lineRule="auto"/>
        <w:rPr>
          <w:rFonts w:ascii="Arial" w:hAnsi="Arial" w:cs="Arial"/>
          <w:sz w:val="28"/>
          <w:szCs w:val="28"/>
        </w:rPr>
      </w:pPr>
    </w:p>
    <w:p w14:paraId="3CF6426A" w14:textId="1A852C47" w:rsidR="00795BE0" w:rsidRPr="0007572B" w:rsidRDefault="00A409E3" w:rsidP="006F1659">
      <w:pPr>
        <w:spacing w:line="360" w:lineRule="auto"/>
        <w:rPr>
          <w:rFonts w:ascii="Arial" w:hAnsi="Arial" w:cs="Arial"/>
          <w:sz w:val="28"/>
          <w:szCs w:val="28"/>
        </w:rPr>
      </w:pPr>
      <w:r w:rsidRPr="00A409E3">
        <w:rPr>
          <w:noProof/>
        </w:rPr>
        <w:drawing>
          <wp:inline distT="0" distB="0" distL="0" distR="0" wp14:anchorId="7736D6F9" wp14:editId="44840C71">
            <wp:extent cx="5892800" cy="383730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892800" cy="3837305"/>
                    </a:xfrm>
                    <a:prstGeom prst="rect">
                      <a:avLst/>
                    </a:prstGeom>
                    <a:noFill/>
                    <a:ln>
                      <a:noFill/>
                    </a:ln>
                  </pic:spPr>
                </pic:pic>
              </a:graphicData>
            </a:graphic>
          </wp:inline>
        </w:drawing>
      </w:r>
    </w:p>
    <w:p w14:paraId="4E5EB6B9" w14:textId="77777777" w:rsidR="00795BE0" w:rsidRPr="0007572B" w:rsidRDefault="00795BE0" w:rsidP="006F1659">
      <w:pPr>
        <w:spacing w:line="360" w:lineRule="auto"/>
        <w:rPr>
          <w:rFonts w:ascii="Arial" w:hAnsi="Arial" w:cs="Arial"/>
          <w:sz w:val="18"/>
          <w:szCs w:val="18"/>
        </w:rPr>
      </w:pPr>
    </w:p>
    <w:p w14:paraId="2294A55C" w14:textId="77777777" w:rsidR="00795BE0" w:rsidRPr="0007572B" w:rsidRDefault="00795BE0" w:rsidP="006F1659">
      <w:pPr>
        <w:pStyle w:val="Heading3"/>
        <w:spacing w:line="360" w:lineRule="auto"/>
      </w:pPr>
      <w:bookmarkStart w:id="350" w:name="_Toc92894959"/>
      <w:bookmarkStart w:id="351" w:name="_Toc92895263"/>
      <w:bookmarkStart w:id="352" w:name="_Toc109922697"/>
      <w:r w:rsidRPr="0007572B">
        <w:t>Net asset statement</w:t>
      </w:r>
      <w:bookmarkEnd w:id="350"/>
      <w:bookmarkEnd w:id="351"/>
      <w:bookmarkEnd w:id="352"/>
    </w:p>
    <w:p w14:paraId="3B987F35" w14:textId="77777777" w:rsidR="00795BE0" w:rsidRPr="0007572B" w:rsidRDefault="00795BE0" w:rsidP="006F1659">
      <w:pPr>
        <w:spacing w:line="360" w:lineRule="auto"/>
        <w:rPr>
          <w:rFonts w:ascii="Arial" w:hAnsi="Arial" w:cs="Arial"/>
          <w:sz w:val="18"/>
          <w:szCs w:val="18"/>
        </w:rPr>
      </w:pPr>
    </w:p>
    <w:p w14:paraId="6454E45A" w14:textId="79BF5A4E" w:rsidR="00795BE0" w:rsidRPr="0007572B" w:rsidRDefault="00A409E3" w:rsidP="006F1659">
      <w:pPr>
        <w:spacing w:line="360" w:lineRule="auto"/>
        <w:rPr>
          <w:rFonts w:ascii="Arial" w:hAnsi="Arial" w:cs="Arial"/>
          <w:sz w:val="18"/>
          <w:szCs w:val="18"/>
        </w:rPr>
      </w:pPr>
      <w:r w:rsidRPr="00A409E3">
        <w:rPr>
          <w:noProof/>
        </w:rPr>
        <w:drawing>
          <wp:inline distT="0" distB="0" distL="0" distR="0" wp14:anchorId="51B65E13" wp14:editId="17E53F12">
            <wp:extent cx="5892800" cy="63246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892800" cy="632460"/>
                    </a:xfrm>
                    <a:prstGeom prst="rect">
                      <a:avLst/>
                    </a:prstGeom>
                    <a:noFill/>
                    <a:ln>
                      <a:noFill/>
                    </a:ln>
                  </pic:spPr>
                </pic:pic>
              </a:graphicData>
            </a:graphic>
          </wp:inline>
        </w:drawing>
      </w:r>
    </w:p>
    <w:p w14:paraId="27C93134" w14:textId="31933F5C" w:rsidR="00795BE0" w:rsidRDefault="00795BE0" w:rsidP="006F1659">
      <w:pPr>
        <w:spacing w:line="360" w:lineRule="auto"/>
        <w:rPr>
          <w:rFonts w:ascii="Arial" w:hAnsi="Arial" w:cs="Arial"/>
          <w:b/>
          <w:bCs/>
          <w:sz w:val="26"/>
          <w:szCs w:val="26"/>
        </w:rPr>
      </w:pPr>
      <w:bookmarkStart w:id="353" w:name="_Toc92894960"/>
      <w:bookmarkStart w:id="354" w:name="_Toc92895264"/>
    </w:p>
    <w:p w14:paraId="412FADEB" w14:textId="77777777" w:rsidR="00930F6A" w:rsidRDefault="00930F6A" w:rsidP="006F1659">
      <w:pPr>
        <w:spacing w:line="360" w:lineRule="auto"/>
        <w:rPr>
          <w:rFonts w:ascii="Arial" w:hAnsi="Arial" w:cs="Arial"/>
          <w:b/>
          <w:bCs/>
          <w:sz w:val="26"/>
          <w:szCs w:val="26"/>
        </w:rPr>
      </w:pPr>
    </w:p>
    <w:p w14:paraId="70029A42" w14:textId="77777777" w:rsidR="00930F6A" w:rsidRDefault="00930F6A" w:rsidP="006F1659">
      <w:pPr>
        <w:spacing w:line="360" w:lineRule="auto"/>
        <w:rPr>
          <w:rFonts w:ascii="Arial" w:hAnsi="Arial" w:cs="Arial"/>
          <w:b/>
          <w:bCs/>
          <w:sz w:val="26"/>
          <w:szCs w:val="26"/>
        </w:rPr>
      </w:pPr>
    </w:p>
    <w:p w14:paraId="6C716FEE" w14:textId="77777777" w:rsidR="00795BE0" w:rsidRPr="0007572B" w:rsidRDefault="00795BE0" w:rsidP="006F1659">
      <w:pPr>
        <w:pStyle w:val="Heading3"/>
        <w:spacing w:line="360" w:lineRule="auto"/>
      </w:pPr>
      <w:bookmarkStart w:id="355" w:name="_Toc109922698"/>
      <w:r w:rsidRPr="0007572B">
        <w:t>Contribution rates</w:t>
      </w:r>
      <w:bookmarkEnd w:id="353"/>
      <w:bookmarkEnd w:id="354"/>
      <w:bookmarkEnd w:id="355"/>
    </w:p>
    <w:p w14:paraId="56DFE7B5" w14:textId="77777777" w:rsidR="00795BE0" w:rsidRPr="0007572B" w:rsidRDefault="00795BE0" w:rsidP="006F1659">
      <w:pPr>
        <w:spacing w:line="360" w:lineRule="auto"/>
        <w:rPr>
          <w:rFonts w:ascii="Arial" w:hAnsi="Arial" w:cs="Arial"/>
          <w:b/>
        </w:rPr>
      </w:pPr>
    </w:p>
    <w:p w14:paraId="66C8FA78" w14:textId="5C8F91B9" w:rsidR="00795BE0" w:rsidRPr="0007572B" w:rsidRDefault="00A409E3" w:rsidP="006F1659">
      <w:pPr>
        <w:spacing w:line="360" w:lineRule="auto"/>
        <w:rPr>
          <w:rFonts w:ascii="Arial" w:hAnsi="Arial" w:cs="Arial"/>
          <w:b/>
          <w:u w:val="single"/>
        </w:rPr>
      </w:pPr>
      <w:r w:rsidRPr="00A409E3">
        <w:rPr>
          <w:noProof/>
        </w:rPr>
        <w:drawing>
          <wp:inline distT="0" distB="0" distL="0" distR="0" wp14:anchorId="1A7976BD" wp14:editId="5316EECC">
            <wp:extent cx="5892800" cy="113347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892800" cy="1133475"/>
                    </a:xfrm>
                    <a:prstGeom prst="rect">
                      <a:avLst/>
                    </a:prstGeom>
                    <a:noFill/>
                    <a:ln>
                      <a:noFill/>
                    </a:ln>
                  </pic:spPr>
                </pic:pic>
              </a:graphicData>
            </a:graphic>
          </wp:inline>
        </w:drawing>
      </w:r>
    </w:p>
    <w:p w14:paraId="473DC721" w14:textId="77777777" w:rsidR="00795BE0" w:rsidRPr="0007572B" w:rsidRDefault="00795BE0" w:rsidP="006F1659">
      <w:pPr>
        <w:spacing w:line="360" w:lineRule="auto"/>
        <w:rPr>
          <w:rFonts w:ascii="Arial" w:hAnsi="Arial" w:cs="Arial"/>
          <w:b/>
          <w:u w:val="single"/>
        </w:rPr>
      </w:pPr>
    </w:p>
    <w:p w14:paraId="280D084B" w14:textId="77777777" w:rsidR="00795BE0" w:rsidRPr="0007572B" w:rsidRDefault="00795BE0" w:rsidP="006F1659">
      <w:pPr>
        <w:pStyle w:val="Heading3"/>
        <w:spacing w:line="360" w:lineRule="auto"/>
      </w:pPr>
      <w:bookmarkStart w:id="356" w:name="_Toc92894961"/>
      <w:bookmarkStart w:id="357" w:name="_Toc92895265"/>
      <w:bookmarkStart w:id="358" w:name="_Toc109922699"/>
      <w:r w:rsidRPr="0007572B">
        <w:t>Notes to the Police Pension Fund Account and Net Assets Statement</w:t>
      </w:r>
      <w:bookmarkEnd w:id="356"/>
      <w:bookmarkEnd w:id="357"/>
      <w:bookmarkEnd w:id="358"/>
    </w:p>
    <w:p w14:paraId="1703EDC8" w14:textId="77777777" w:rsidR="00795BE0" w:rsidRPr="0007572B" w:rsidRDefault="00795BE0" w:rsidP="006F1659">
      <w:pPr>
        <w:spacing w:line="360" w:lineRule="auto"/>
        <w:ind w:left="142" w:hanging="142"/>
        <w:rPr>
          <w:rFonts w:ascii="Arial" w:hAnsi="Arial" w:cs="Arial"/>
        </w:rPr>
      </w:pPr>
    </w:p>
    <w:p w14:paraId="0CC5BE8B"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The Fund was established under the Police Pension Fund Regulations 2007 (SI 2007 no. 1932) and is administered and managed by the Chief Constable.</w:t>
      </w:r>
    </w:p>
    <w:p w14:paraId="192B8668" w14:textId="77777777" w:rsidR="00795BE0" w:rsidRPr="0007572B" w:rsidRDefault="00795BE0" w:rsidP="006F1659">
      <w:pPr>
        <w:pStyle w:val="AGS-Bullets"/>
        <w:numPr>
          <w:ilvl w:val="0"/>
          <w:numId w:val="0"/>
        </w:numPr>
        <w:spacing w:line="360" w:lineRule="auto"/>
        <w:ind w:left="360"/>
        <w:rPr>
          <w:sz w:val="24"/>
          <w:szCs w:val="24"/>
        </w:rPr>
      </w:pPr>
    </w:p>
    <w:p w14:paraId="35D00831"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The Police Pension Scheme is an unfunded, defined benefit scheme. There are no investment assets. The fund is balanced to nil each year by a transfer from Greater Manchester Combined Authority, which is reclaimed from Central Government.</w:t>
      </w:r>
    </w:p>
    <w:p w14:paraId="08D7136D" w14:textId="77777777" w:rsidR="00795BE0" w:rsidRPr="0007572B" w:rsidRDefault="00795BE0" w:rsidP="006F1659">
      <w:pPr>
        <w:pStyle w:val="AGS-Bullets"/>
        <w:numPr>
          <w:ilvl w:val="0"/>
          <w:numId w:val="0"/>
        </w:numPr>
        <w:spacing w:line="360" w:lineRule="auto"/>
        <w:rPr>
          <w:sz w:val="24"/>
          <w:szCs w:val="24"/>
        </w:rPr>
      </w:pPr>
    </w:p>
    <w:p w14:paraId="3E10E4FC" w14:textId="5FB0F711" w:rsidR="00795BE0" w:rsidRPr="0007572B" w:rsidRDefault="00795BE0" w:rsidP="006F1659">
      <w:pPr>
        <w:spacing w:line="360" w:lineRule="auto"/>
        <w:rPr>
          <w:rFonts w:ascii="Arial" w:hAnsi="Arial" w:cs="Arial"/>
        </w:rPr>
      </w:pPr>
      <w:r w:rsidRPr="0007572B">
        <w:rPr>
          <w:rFonts w:ascii="Arial" w:hAnsi="Arial" w:cs="Arial"/>
        </w:rPr>
        <w:t xml:space="preserve">Employer and employee contributions are paid into the Fund based on a percentage of pensionable pay set nationally by the Home Office and subject to revaluation </w:t>
      </w:r>
      <w:r w:rsidR="00970BA2">
        <w:rPr>
          <w:rFonts w:ascii="Arial" w:hAnsi="Arial" w:cs="Arial"/>
        </w:rPr>
        <w:t xml:space="preserve">every four years </w:t>
      </w:r>
      <w:r w:rsidRPr="0007572B">
        <w:rPr>
          <w:rFonts w:ascii="Arial" w:hAnsi="Arial" w:cs="Arial"/>
        </w:rPr>
        <w:t>by the Government Actuary Department. (See the contribution rates table above).</w:t>
      </w:r>
    </w:p>
    <w:p w14:paraId="292D6DB7" w14:textId="77777777" w:rsidR="00795BE0" w:rsidRPr="0007572B" w:rsidRDefault="00795BE0" w:rsidP="006F1659">
      <w:pPr>
        <w:pStyle w:val="AGS-Bullets"/>
        <w:numPr>
          <w:ilvl w:val="0"/>
          <w:numId w:val="0"/>
        </w:numPr>
        <w:spacing w:line="360" w:lineRule="auto"/>
        <w:rPr>
          <w:sz w:val="24"/>
          <w:szCs w:val="24"/>
        </w:rPr>
      </w:pPr>
    </w:p>
    <w:p w14:paraId="4ED6DAF9"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Benefits payable to scheme members are made from the Fund with the exception of injury awards, which are payable from revenue funds, as are administrative costs. Inward transfer values are paid into the Fund and outward transfer values are paid from the Fund.</w:t>
      </w:r>
    </w:p>
    <w:p w14:paraId="239B65F7" w14:textId="77777777" w:rsidR="00795BE0" w:rsidRPr="0007572B" w:rsidRDefault="00795BE0" w:rsidP="006F1659">
      <w:pPr>
        <w:pStyle w:val="AGS-Bullets"/>
        <w:numPr>
          <w:ilvl w:val="0"/>
          <w:numId w:val="0"/>
        </w:numPr>
        <w:spacing w:line="360" w:lineRule="auto"/>
        <w:rPr>
          <w:sz w:val="24"/>
          <w:szCs w:val="24"/>
        </w:rPr>
      </w:pPr>
    </w:p>
    <w:p w14:paraId="1BA3709A" w14:textId="252EC3BC" w:rsidR="00795BE0" w:rsidRPr="0007572B" w:rsidRDefault="00795BE0" w:rsidP="006F1659">
      <w:pPr>
        <w:pStyle w:val="AGS-Bullets"/>
        <w:numPr>
          <w:ilvl w:val="0"/>
          <w:numId w:val="0"/>
        </w:numPr>
        <w:spacing w:line="360" w:lineRule="auto"/>
        <w:rPr>
          <w:sz w:val="24"/>
          <w:szCs w:val="24"/>
        </w:rPr>
      </w:pPr>
      <w:r w:rsidRPr="0007572B">
        <w:rPr>
          <w:sz w:val="24"/>
          <w:szCs w:val="24"/>
        </w:rPr>
        <w:t xml:space="preserve">The fund is balanced to zero each year. If income to the fund exceeds </w:t>
      </w:r>
      <w:r w:rsidR="000B7231" w:rsidRPr="0007572B">
        <w:rPr>
          <w:sz w:val="24"/>
          <w:szCs w:val="24"/>
        </w:rPr>
        <w:t>expenditure,</w:t>
      </w:r>
      <w:r w:rsidRPr="0007572B">
        <w:rPr>
          <w:sz w:val="24"/>
          <w:szCs w:val="24"/>
        </w:rPr>
        <w:t xml:space="preserve"> then the excess is paid to Greater Manchester Combined Authority. If expenditure exceeds </w:t>
      </w:r>
      <w:r w:rsidR="000B7231" w:rsidRPr="0007572B">
        <w:rPr>
          <w:sz w:val="24"/>
          <w:szCs w:val="24"/>
        </w:rPr>
        <w:t>income,</w:t>
      </w:r>
      <w:r w:rsidRPr="0007572B">
        <w:rPr>
          <w:sz w:val="24"/>
          <w:szCs w:val="24"/>
        </w:rPr>
        <w:t xml:space="preserve"> then Greater Manchester Combined Authority must fund the deficit. Greater Manchester Combined Authority pays any excess income to the Home Office and receives Police Pension Fund top up grant from the Home Office to fund any deficit.</w:t>
      </w:r>
    </w:p>
    <w:p w14:paraId="68237C70" w14:textId="77777777" w:rsidR="00795BE0" w:rsidRPr="0007572B" w:rsidRDefault="00795BE0" w:rsidP="006F1659">
      <w:pPr>
        <w:pStyle w:val="AGS-Bullets"/>
        <w:numPr>
          <w:ilvl w:val="0"/>
          <w:numId w:val="0"/>
        </w:numPr>
        <w:spacing w:line="360" w:lineRule="auto"/>
        <w:rPr>
          <w:sz w:val="24"/>
          <w:szCs w:val="24"/>
        </w:rPr>
      </w:pPr>
    </w:p>
    <w:p w14:paraId="3469D33E"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The contributions receivable from the employer shown in the account are debited to the Chief Constable’s Comprehensive Income and Expenditure Statement. The additional contribution from Greater Manchester Combined Authority is debited in its accounts together with a matching grant from the Home Office.</w:t>
      </w:r>
    </w:p>
    <w:p w14:paraId="5AD9C358" w14:textId="77777777" w:rsidR="00795BE0" w:rsidRPr="0007572B" w:rsidRDefault="00795BE0" w:rsidP="006F1659">
      <w:pPr>
        <w:pStyle w:val="AGS-Bullets"/>
        <w:numPr>
          <w:ilvl w:val="0"/>
          <w:numId w:val="0"/>
        </w:numPr>
        <w:spacing w:line="360" w:lineRule="auto"/>
        <w:rPr>
          <w:sz w:val="24"/>
          <w:szCs w:val="24"/>
        </w:rPr>
      </w:pPr>
    </w:p>
    <w:p w14:paraId="6F27EE4B" w14:textId="17375CAC" w:rsidR="00795BE0" w:rsidRPr="0007572B" w:rsidRDefault="00795BE0" w:rsidP="006F1659">
      <w:pPr>
        <w:pStyle w:val="AGS-Bullets"/>
        <w:numPr>
          <w:ilvl w:val="0"/>
          <w:numId w:val="0"/>
        </w:numPr>
        <w:spacing w:line="360" w:lineRule="auto"/>
        <w:rPr>
          <w:sz w:val="24"/>
          <w:szCs w:val="24"/>
        </w:rPr>
      </w:pPr>
      <w:r w:rsidRPr="0007572B">
        <w:rPr>
          <w:sz w:val="24"/>
          <w:szCs w:val="24"/>
        </w:rPr>
        <w:t xml:space="preserve">The amount of Home Office grant outstanding at 31 March </w:t>
      </w:r>
      <w:r>
        <w:rPr>
          <w:sz w:val="24"/>
          <w:szCs w:val="24"/>
        </w:rPr>
        <w:t>202</w:t>
      </w:r>
      <w:r w:rsidR="00845B32">
        <w:rPr>
          <w:sz w:val="24"/>
          <w:szCs w:val="24"/>
        </w:rPr>
        <w:t>3</w:t>
      </w:r>
      <w:r w:rsidRPr="0007572B">
        <w:rPr>
          <w:sz w:val="24"/>
          <w:szCs w:val="24"/>
        </w:rPr>
        <w:t xml:space="preserve"> has been accrued and is shown in Greater Manchester Combined Authority’s Consolidated Balance Sheet.</w:t>
      </w:r>
    </w:p>
    <w:p w14:paraId="69ED9F97" w14:textId="77777777" w:rsidR="00795BE0" w:rsidRPr="0007572B" w:rsidRDefault="00795BE0" w:rsidP="006F1659">
      <w:pPr>
        <w:pStyle w:val="AGS-Bullets"/>
        <w:numPr>
          <w:ilvl w:val="0"/>
          <w:numId w:val="0"/>
        </w:numPr>
        <w:spacing w:line="360" w:lineRule="auto"/>
        <w:rPr>
          <w:sz w:val="24"/>
          <w:szCs w:val="24"/>
        </w:rPr>
      </w:pPr>
    </w:p>
    <w:p w14:paraId="5C1056DE" w14:textId="6B204490" w:rsidR="00795BE0" w:rsidRPr="0007572B" w:rsidRDefault="00795BE0" w:rsidP="006F1659">
      <w:pPr>
        <w:pStyle w:val="AGS-Bullets"/>
        <w:numPr>
          <w:ilvl w:val="0"/>
          <w:numId w:val="0"/>
        </w:numPr>
        <w:spacing w:line="360" w:lineRule="auto"/>
        <w:rPr>
          <w:sz w:val="24"/>
          <w:szCs w:val="24"/>
        </w:rPr>
      </w:pPr>
      <w:r w:rsidRPr="0007572B">
        <w:rPr>
          <w:sz w:val="24"/>
          <w:szCs w:val="24"/>
        </w:rPr>
        <w:t xml:space="preserve">The Fund’s financial statements do not take into account liabilities to pay pensions after 31 March </w:t>
      </w:r>
      <w:r>
        <w:rPr>
          <w:sz w:val="24"/>
          <w:szCs w:val="24"/>
        </w:rPr>
        <w:t>202</w:t>
      </w:r>
      <w:r w:rsidR="00845B32">
        <w:rPr>
          <w:sz w:val="24"/>
          <w:szCs w:val="24"/>
        </w:rPr>
        <w:t>3</w:t>
      </w:r>
      <w:r w:rsidRPr="0007572B">
        <w:rPr>
          <w:sz w:val="24"/>
          <w:szCs w:val="24"/>
        </w:rPr>
        <w:t>. Liabilities to pay future payments are included in the IAS19 charges and notes to the Financial Statements.</w:t>
      </w:r>
    </w:p>
    <w:p w14:paraId="79E17BE1" w14:textId="77777777" w:rsidR="00795BE0" w:rsidRPr="0007572B" w:rsidRDefault="00795BE0" w:rsidP="006F1659">
      <w:pPr>
        <w:pStyle w:val="AGS-Bullets"/>
        <w:numPr>
          <w:ilvl w:val="0"/>
          <w:numId w:val="0"/>
        </w:numPr>
        <w:spacing w:line="360" w:lineRule="auto"/>
        <w:rPr>
          <w:sz w:val="24"/>
          <w:szCs w:val="24"/>
        </w:rPr>
      </w:pPr>
    </w:p>
    <w:p w14:paraId="5A5A62E5" w14:textId="77777777" w:rsidR="00795BE0" w:rsidRPr="0007572B" w:rsidRDefault="00795BE0" w:rsidP="006F1659">
      <w:pPr>
        <w:spacing w:line="360" w:lineRule="auto"/>
        <w:rPr>
          <w:rFonts w:ascii="Arial" w:hAnsi="Arial" w:cs="Arial"/>
        </w:rPr>
      </w:pPr>
      <w:r w:rsidRPr="0007572B">
        <w:rPr>
          <w:rFonts w:ascii="Arial" w:hAnsi="Arial" w:cs="Arial"/>
        </w:rPr>
        <w:t>The Fund’s Accounting Policies are set out in the notes to the Financial Statements.</w:t>
      </w:r>
    </w:p>
    <w:p w14:paraId="5890C448" w14:textId="77777777" w:rsidR="00795BE0" w:rsidRPr="0007572B" w:rsidRDefault="00795BE0" w:rsidP="006F1659">
      <w:pPr>
        <w:spacing w:line="360" w:lineRule="auto"/>
        <w:rPr>
          <w:rFonts w:ascii="Arial" w:hAnsi="Arial" w:cs="Arial"/>
        </w:rPr>
      </w:pPr>
      <w:r w:rsidRPr="0007572B">
        <w:rPr>
          <w:rFonts w:ascii="Arial" w:hAnsi="Arial" w:cs="Arial"/>
        </w:rPr>
        <w:br w:type="page"/>
      </w:r>
    </w:p>
    <w:p w14:paraId="44C6D6DF" w14:textId="77777777" w:rsidR="00795BE0" w:rsidRPr="0007572B" w:rsidRDefault="00795BE0" w:rsidP="006F1659">
      <w:pPr>
        <w:pStyle w:val="Heading2green"/>
        <w:spacing w:line="360" w:lineRule="auto"/>
      </w:pPr>
      <w:bookmarkStart w:id="359" w:name="_Toc92895266"/>
      <w:bookmarkStart w:id="360" w:name="_Toc109922700"/>
      <w:r w:rsidRPr="0007572B">
        <w:t>Glossary of Financial Terms</w:t>
      </w:r>
      <w:bookmarkEnd w:id="359"/>
      <w:bookmarkEnd w:id="360"/>
    </w:p>
    <w:p w14:paraId="1B2E0540" w14:textId="77777777" w:rsidR="00795BE0" w:rsidRPr="0007572B" w:rsidRDefault="00795BE0" w:rsidP="006F1659">
      <w:pPr>
        <w:pStyle w:val="Heading3"/>
        <w:spacing w:line="360" w:lineRule="auto"/>
      </w:pPr>
      <w:bookmarkStart w:id="361" w:name="_Toc92894963"/>
      <w:bookmarkStart w:id="362" w:name="_Toc92895267"/>
      <w:bookmarkStart w:id="363" w:name="_Toc109922701"/>
      <w:r w:rsidRPr="0007572B">
        <w:t>Accounting Policies</w:t>
      </w:r>
      <w:bookmarkEnd w:id="361"/>
      <w:bookmarkEnd w:id="362"/>
      <w:bookmarkEnd w:id="363"/>
    </w:p>
    <w:p w14:paraId="4F8C32B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eastAsiaTheme="minorHAnsi" w:hAnsi="Arial" w:cs="Arial"/>
        </w:rPr>
      </w:pPr>
      <w:r w:rsidRPr="0007572B">
        <w:rPr>
          <w:rFonts w:ascii="Arial" w:hAnsi="Arial" w:cs="Arial"/>
          <w:color w:val="000000"/>
        </w:rPr>
        <w:t>Within</w:t>
      </w:r>
      <w:r w:rsidRPr="0007572B">
        <w:rPr>
          <w:rFonts w:ascii="Arial" w:eastAsiaTheme="minorHAnsi" w:hAnsi="Arial" w:cs="Arial"/>
        </w:rPr>
        <w:t xml:space="preserve"> the range of possible methods of accounting, a policy is a statement of the actual methods chosen locally and used to prepare these accounts.</w:t>
      </w:r>
    </w:p>
    <w:p w14:paraId="5082F88A" w14:textId="77777777" w:rsidR="00795BE0" w:rsidRPr="0007572B" w:rsidRDefault="00795BE0" w:rsidP="006F1659">
      <w:pPr>
        <w:pStyle w:val="Heading3"/>
        <w:spacing w:line="360" w:lineRule="auto"/>
      </w:pPr>
      <w:bookmarkStart w:id="364" w:name="_Toc92894964"/>
      <w:bookmarkStart w:id="365" w:name="_Toc92895268"/>
      <w:bookmarkStart w:id="366" w:name="_Toc109922702"/>
      <w:r w:rsidRPr="0007572B">
        <w:t>Accruals</w:t>
      </w:r>
      <w:bookmarkEnd w:id="364"/>
      <w:bookmarkEnd w:id="365"/>
      <w:bookmarkEnd w:id="366"/>
    </w:p>
    <w:p w14:paraId="4B85A05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eastAsiaTheme="minorHAnsi" w:hAnsi="Arial" w:cs="Arial"/>
        </w:rPr>
      </w:pPr>
      <w:r w:rsidRPr="0007572B">
        <w:rPr>
          <w:rFonts w:ascii="Arial" w:hAnsi="Arial" w:cs="Arial"/>
          <w:color w:val="000000"/>
        </w:rPr>
        <w:t>The concept that income and expenditure are recognised as they are earned or incurred, not</w:t>
      </w:r>
      <w:r w:rsidRPr="0007572B">
        <w:rPr>
          <w:rFonts w:ascii="Arial" w:eastAsiaTheme="minorHAnsi" w:hAnsi="Arial" w:cs="Arial"/>
        </w:rPr>
        <w:t xml:space="preserve"> as money is received or paid.</w:t>
      </w:r>
    </w:p>
    <w:p w14:paraId="6065447B" w14:textId="77777777" w:rsidR="00795BE0" w:rsidRPr="0007572B" w:rsidRDefault="00795BE0" w:rsidP="006F1659">
      <w:pPr>
        <w:pStyle w:val="Heading3"/>
        <w:spacing w:line="360" w:lineRule="auto"/>
      </w:pPr>
      <w:bookmarkStart w:id="367" w:name="_Toc92894965"/>
      <w:bookmarkStart w:id="368" w:name="_Toc92895269"/>
      <w:bookmarkStart w:id="369" w:name="_Toc109922703"/>
      <w:r w:rsidRPr="0007572B">
        <w:t>Actuarial Gains and Losses</w:t>
      </w:r>
      <w:bookmarkEnd w:id="367"/>
      <w:bookmarkEnd w:id="368"/>
      <w:bookmarkEnd w:id="369"/>
    </w:p>
    <w:p w14:paraId="28010D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rPr>
      </w:pPr>
      <w:r w:rsidRPr="0007572B">
        <w:rPr>
          <w:rFonts w:ascii="Arial" w:hAnsi="Arial" w:cs="Arial"/>
        </w:rPr>
        <w:t>This Re-measurement of the net defined benefit liability comprises actuarial gains and losses, the return on plan assets and any change in the effect of the asset ceiling. Actuarial gains and losses are changes in the present value of the defined benefit obligation arising from the effects of differences between the previous actuarial assumptions and what has occurred and the effects of changes in the actuarial assumptions</w:t>
      </w:r>
    </w:p>
    <w:p w14:paraId="4B7C747A" w14:textId="77777777" w:rsidR="00795BE0" w:rsidRPr="0007572B" w:rsidRDefault="00795BE0" w:rsidP="006F1659">
      <w:pPr>
        <w:pStyle w:val="Heading3"/>
        <w:spacing w:line="360" w:lineRule="auto"/>
      </w:pPr>
      <w:bookmarkStart w:id="370" w:name="_Toc92894966"/>
      <w:bookmarkStart w:id="371" w:name="_Toc92895270"/>
      <w:bookmarkStart w:id="372" w:name="_Toc109922704"/>
      <w:r w:rsidRPr="0007572B">
        <w:t>Agency Services</w:t>
      </w:r>
      <w:bookmarkEnd w:id="370"/>
      <w:bookmarkEnd w:id="371"/>
      <w:bookmarkEnd w:id="372"/>
    </w:p>
    <w:p w14:paraId="008D4C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Services that are performed by or for another authority or public body, where the authority responsible for the service reimburses the authority carrying out the work for the cost of that work.</w:t>
      </w:r>
    </w:p>
    <w:p w14:paraId="47C9390E" w14:textId="77777777" w:rsidR="00795BE0" w:rsidRPr="0007572B" w:rsidRDefault="00795BE0" w:rsidP="006F1659">
      <w:pPr>
        <w:pStyle w:val="Heading3"/>
        <w:spacing w:line="360" w:lineRule="auto"/>
      </w:pPr>
      <w:bookmarkStart w:id="373" w:name="_Toc92894967"/>
      <w:bookmarkStart w:id="374" w:name="_Toc92895271"/>
      <w:bookmarkStart w:id="375" w:name="_Toc109922705"/>
      <w:r w:rsidRPr="0007572B">
        <w:t>Amortisation</w:t>
      </w:r>
      <w:bookmarkEnd w:id="373"/>
      <w:bookmarkEnd w:id="374"/>
      <w:bookmarkEnd w:id="375"/>
    </w:p>
    <w:p w14:paraId="0D9EB85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charge to the comprehensive income and expenditure statement spread over a number of years.</w:t>
      </w:r>
    </w:p>
    <w:p w14:paraId="1D128FEA" w14:textId="77777777" w:rsidR="00795BE0" w:rsidRPr="0007572B" w:rsidRDefault="00795BE0" w:rsidP="006F1659">
      <w:pPr>
        <w:pStyle w:val="Heading3"/>
        <w:spacing w:line="360" w:lineRule="auto"/>
      </w:pPr>
      <w:bookmarkStart w:id="376" w:name="_Toc92894968"/>
      <w:bookmarkStart w:id="377" w:name="_Toc92895272"/>
      <w:bookmarkStart w:id="378" w:name="_Toc109922706"/>
      <w:r w:rsidRPr="0007572B">
        <w:t>Assets</w:t>
      </w:r>
      <w:bookmarkEnd w:id="376"/>
      <w:bookmarkEnd w:id="377"/>
      <w:bookmarkEnd w:id="378"/>
    </w:p>
    <w:p w14:paraId="6C27C13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Items of worth that are measurable in terms of value. Current assets are ones that may change in value on a day-to-day basis (i.e. inventory). Non-current assets are assets that yield benefit to the Authority and Group for a period of more than one year (i.e. Metrolink trams).</w:t>
      </w:r>
    </w:p>
    <w:p w14:paraId="4C2C90E8" w14:textId="77777777" w:rsidR="00795BE0" w:rsidRPr="0007572B" w:rsidRDefault="00795BE0" w:rsidP="006F1659">
      <w:pPr>
        <w:pStyle w:val="Heading3"/>
        <w:spacing w:line="360" w:lineRule="auto"/>
      </w:pPr>
      <w:bookmarkStart w:id="379" w:name="_Toc92894969"/>
      <w:bookmarkStart w:id="380" w:name="_Toc92895273"/>
      <w:bookmarkStart w:id="381" w:name="_Toc109922707"/>
      <w:r w:rsidRPr="0007572B">
        <w:t>Assets Held for Sale</w:t>
      </w:r>
      <w:bookmarkEnd w:id="379"/>
      <w:bookmarkEnd w:id="380"/>
      <w:bookmarkEnd w:id="381"/>
    </w:p>
    <w:p w14:paraId="64BFEF04"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Assets which are being actively marketed and expected to sell within the next 12 months. </w:t>
      </w:r>
    </w:p>
    <w:p w14:paraId="32416B62" w14:textId="77777777" w:rsidR="00795BE0" w:rsidRPr="0007572B" w:rsidRDefault="00795BE0" w:rsidP="006F1659">
      <w:pPr>
        <w:pStyle w:val="Heading3"/>
        <w:spacing w:line="360" w:lineRule="auto"/>
      </w:pPr>
      <w:bookmarkStart w:id="382" w:name="_Toc92894970"/>
      <w:bookmarkStart w:id="383" w:name="_Toc92895274"/>
      <w:bookmarkStart w:id="384" w:name="_Toc109922708"/>
      <w:r w:rsidRPr="0007572B">
        <w:t>Bad (and doubtful) debts</w:t>
      </w:r>
      <w:bookmarkEnd w:id="382"/>
      <w:bookmarkEnd w:id="383"/>
      <w:bookmarkEnd w:id="384"/>
    </w:p>
    <w:p w14:paraId="12C15CE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Debts/income which may be uneconomic to collect or un-enforceable.</w:t>
      </w:r>
    </w:p>
    <w:p w14:paraId="1F15DCA4" w14:textId="77777777" w:rsidR="00795BE0" w:rsidRPr="0007572B" w:rsidRDefault="00795BE0" w:rsidP="006F1659">
      <w:pPr>
        <w:pStyle w:val="Heading3"/>
        <w:spacing w:line="360" w:lineRule="auto"/>
      </w:pPr>
      <w:bookmarkStart w:id="385" w:name="_Toc92894971"/>
      <w:bookmarkStart w:id="386" w:name="_Toc92895275"/>
      <w:bookmarkStart w:id="387" w:name="_Toc109922709"/>
      <w:r w:rsidRPr="0007572B">
        <w:t>Balances</w:t>
      </w:r>
      <w:bookmarkEnd w:id="385"/>
      <w:bookmarkEnd w:id="386"/>
      <w:bookmarkEnd w:id="387"/>
    </w:p>
    <w:p w14:paraId="24BE477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reserves of the Authority and Group, which include the accumulated surplus of income over expenditure.</w:t>
      </w:r>
    </w:p>
    <w:p w14:paraId="32C74E95" w14:textId="77777777" w:rsidR="00795BE0" w:rsidRPr="0007572B" w:rsidRDefault="00795BE0" w:rsidP="006F1659">
      <w:pPr>
        <w:pStyle w:val="Heading3"/>
        <w:spacing w:line="360" w:lineRule="auto"/>
      </w:pPr>
      <w:bookmarkStart w:id="388" w:name="_Toc92894972"/>
      <w:bookmarkStart w:id="389" w:name="_Toc92895276"/>
      <w:bookmarkStart w:id="390" w:name="_Toc109922710"/>
      <w:r w:rsidRPr="0007572B">
        <w:t>Balance sheet</w:t>
      </w:r>
      <w:bookmarkEnd w:id="388"/>
      <w:bookmarkEnd w:id="389"/>
      <w:bookmarkEnd w:id="390"/>
    </w:p>
    <w:p w14:paraId="231E7B2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statement of the recorded assets, liabilities and other balances at the end of an accounting period.</w:t>
      </w:r>
    </w:p>
    <w:p w14:paraId="63666206" w14:textId="77777777" w:rsidR="00795BE0" w:rsidRPr="0007572B" w:rsidRDefault="00795BE0" w:rsidP="006F1659">
      <w:pPr>
        <w:pStyle w:val="Heading3"/>
        <w:spacing w:line="360" w:lineRule="auto"/>
      </w:pPr>
      <w:bookmarkStart w:id="391" w:name="_Toc92894973"/>
      <w:bookmarkStart w:id="392" w:name="_Toc92895277"/>
      <w:bookmarkStart w:id="393" w:name="_Toc109922711"/>
      <w:r w:rsidRPr="0007572B">
        <w:t>Budget</w:t>
      </w:r>
      <w:bookmarkEnd w:id="391"/>
      <w:bookmarkEnd w:id="392"/>
      <w:bookmarkEnd w:id="393"/>
    </w:p>
    <w:p w14:paraId="69CB737E" w14:textId="77777777" w:rsidR="00795BE0" w:rsidRPr="0007572B" w:rsidRDefault="00795BE0" w:rsidP="006F1659">
      <w:pPr>
        <w:tabs>
          <w:tab w:val="left" w:pos="180"/>
        </w:tabs>
        <w:spacing w:after="160" w:line="360" w:lineRule="auto"/>
        <w:rPr>
          <w:rFonts w:ascii="Arial" w:eastAsiaTheme="minorHAnsi" w:hAnsi="Arial" w:cs="Arial"/>
        </w:rPr>
      </w:pPr>
      <w:r w:rsidRPr="0007572B">
        <w:rPr>
          <w:rFonts w:ascii="Arial" w:eastAsiaTheme="minorHAnsi" w:hAnsi="Arial" w:cs="Arial"/>
        </w:rPr>
        <w:t>A statement defining in financial terms the Authority's plans over a specified period. The budget is prepared as part of the process of setting the precept.</w:t>
      </w:r>
    </w:p>
    <w:p w14:paraId="3D1A9785" w14:textId="77777777" w:rsidR="00795BE0" w:rsidRPr="0007572B" w:rsidRDefault="00795BE0" w:rsidP="006F1659">
      <w:pPr>
        <w:pStyle w:val="Heading3"/>
        <w:spacing w:line="360" w:lineRule="auto"/>
      </w:pPr>
      <w:bookmarkStart w:id="394" w:name="_Toc92894974"/>
      <w:bookmarkStart w:id="395" w:name="_Toc92895278"/>
      <w:bookmarkStart w:id="396" w:name="_Toc109922712"/>
      <w:r w:rsidRPr="0007572B">
        <w:t>Capital Adjustment Account</w:t>
      </w:r>
      <w:bookmarkEnd w:id="394"/>
      <w:bookmarkEnd w:id="395"/>
      <w:bookmarkEnd w:id="396"/>
    </w:p>
    <w:p w14:paraId="40338EA0" w14:textId="77777777" w:rsidR="00795BE0" w:rsidRPr="0007572B" w:rsidRDefault="00795BE0" w:rsidP="006F1659">
      <w:pPr>
        <w:tabs>
          <w:tab w:val="left" w:pos="180"/>
        </w:tabs>
        <w:spacing w:line="360" w:lineRule="auto"/>
        <w:rPr>
          <w:rFonts w:ascii="Arial" w:hAnsi="Arial" w:cs="Arial"/>
        </w:rPr>
      </w:pPr>
      <w:r w:rsidRPr="0007572B">
        <w:rPr>
          <w:rFonts w:ascii="Arial" w:hAnsi="Arial" w:cs="Arial"/>
        </w:rPr>
        <w:t>This provides a balancing mechanism between the different rates at which assets are depreciated under the Code and are financed through the capital control system.</w:t>
      </w:r>
    </w:p>
    <w:p w14:paraId="14F36AA4" w14:textId="77777777" w:rsidR="00795BE0" w:rsidRPr="0007572B" w:rsidRDefault="00795BE0" w:rsidP="006F1659">
      <w:pPr>
        <w:pStyle w:val="Heading3"/>
        <w:spacing w:line="360" w:lineRule="auto"/>
      </w:pPr>
      <w:bookmarkStart w:id="397" w:name="_Toc92894975"/>
      <w:bookmarkStart w:id="398" w:name="_Toc92895279"/>
      <w:bookmarkStart w:id="399" w:name="_Toc109922713"/>
      <w:r w:rsidRPr="0007572B">
        <w:t>Capital Expenditure</w:t>
      </w:r>
      <w:bookmarkEnd w:id="397"/>
      <w:bookmarkEnd w:id="398"/>
      <w:bookmarkEnd w:id="399"/>
    </w:p>
    <w:p w14:paraId="594ED93D" w14:textId="04354C8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Expenditure on the acquisition or enhancement of property, plant and equipment that have a long</w:t>
      </w:r>
      <w:r w:rsidR="00F3496D">
        <w:rPr>
          <w:rFonts w:ascii="Arial" w:hAnsi="Arial" w:cs="Arial"/>
          <w:color w:val="000000"/>
        </w:rPr>
        <w:t xml:space="preserve"> </w:t>
      </w:r>
      <w:r w:rsidRPr="0007572B">
        <w:rPr>
          <w:rFonts w:ascii="Arial" w:hAnsi="Arial" w:cs="Arial"/>
          <w:color w:val="000000"/>
        </w:rPr>
        <w:t>term value to the Authority and Group. This includes grants or advances paid to third parties to assist them in acquiring or enhancing their own property, plant and equipment.</w:t>
      </w:r>
    </w:p>
    <w:p w14:paraId="40F0D3D3" w14:textId="77777777" w:rsidR="00795BE0" w:rsidRPr="0007572B" w:rsidRDefault="00795BE0" w:rsidP="006F1659">
      <w:pPr>
        <w:pStyle w:val="Heading3"/>
        <w:spacing w:line="360" w:lineRule="auto"/>
      </w:pPr>
      <w:bookmarkStart w:id="400" w:name="_Toc92894976"/>
      <w:bookmarkStart w:id="401" w:name="_Toc92895280"/>
      <w:bookmarkStart w:id="402" w:name="_Toc109922714"/>
      <w:r w:rsidRPr="0007572B">
        <w:t>Capital Financing Costs</w:t>
      </w:r>
      <w:bookmarkEnd w:id="400"/>
      <w:bookmarkEnd w:id="401"/>
      <w:bookmarkEnd w:id="402"/>
    </w:p>
    <w:p w14:paraId="71FB173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Each service is charged with an annual capital charge to reflect the cost of non-current assets used in the provision of services.</w:t>
      </w:r>
    </w:p>
    <w:p w14:paraId="48B7C4AC" w14:textId="77777777" w:rsidR="00795BE0" w:rsidRPr="0007572B" w:rsidRDefault="00795BE0" w:rsidP="006F1659">
      <w:pPr>
        <w:pStyle w:val="Heading3"/>
        <w:spacing w:line="360" w:lineRule="auto"/>
      </w:pPr>
      <w:bookmarkStart w:id="403" w:name="_Toc92894977"/>
      <w:bookmarkStart w:id="404" w:name="_Toc92895281"/>
      <w:bookmarkStart w:id="405" w:name="_Toc109922715"/>
      <w:r w:rsidRPr="0007572B">
        <w:t>Capital Financing Requirements</w:t>
      </w:r>
      <w:bookmarkEnd w:id="403"/>
      <w:bookmarkEnd w:id="404"/>
      <w:bookmarkEnd w:id="405"/>
    </w:p>
    <w:p w14:paraId="4D00CC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measures the underlying need to borrow to finance capital expenditure.</w:t>
      </w:r>
    </w:p>
    <w:p w14:paraId="32BED2C2" w14:textId="77777777" w:rsidR="00795BE0" w:rsidRPr="0007572B" w:rsidRDefault="00795BE0" w:rsidP="006F1659">
      <w:pPr>
        <w:pStyle w:val="Heading3"/>
        <w:spacing w:line="360" w:lineRule="auto"/>
      </w:pPr>
      <w:bookmarkStart w:id="406" w:name="_Toc92894978"/>
      <w:bookmarkStart w:id="407" w:name="_Toc92895282"/>
      <w:bookmarkStart w:id="408" w:name="_Toc109922716"/>
      <w:r w:rsidRPr="0007572B">
        <w:t>Capital Grants</w:t>
      </w:r>
      <w:bookmarkEnd w:id="406"/>
      <w:bookmarkEnd w:id="407"/>
      <w:bookmarkEnd w:id="408"/>
    </w:p>
    <w:p w14:paraId="5DA82BF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Grants received towards capital expenditure either generally or for a particular project.</w:t>
      </w:r>
    </w:p>
    <w:p w14:paraId="17ABE4F3" w14:textId="77777777" w:rsidR="00795BE0" w:rsidRPr="0007572B" w:rsidRDefault="00795BE0" w:rsidP="006F1659">
      <w:pPr>
        <w:pStyle w:val="Heading3"/>
        <w:spacing w:line="360" w:lineRule="auto"/>
      </w:pPr>
      <w:bookmarkStart w:id="409" w:name="_Toc92894979"/>
      <w:bookmarkStart w:id="410" w:name="_Toc92895283"/>
      <w:bookmarkStart w:id="411" w:name="_Toc109922717"/>
      <w:r w:rsidRPr="0007572B">
        <w:t>Capital Grants Unapplied</w:t>
      </w:r>
      <w:bookmarkEnd w:id="409"/>
      <w:bookmarkEnd w:id="410"/>
      <w:bookmarkEnd w:id="411"/>
    </w:p>
    <w:p w14:paraId="387AEA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Proceeds received from Government Grants, Other Grants and Contributions, which have not yet been used to finance capital expenditure.</w:t>
      </w:r>
    </w:p>
    <w:p w14:paraId="5E855733" w14:textId="77777777" w:rsidR="00795BE0" w:rsidRPr="0007572B" w:rsidRDefault="00795BE0" w:rsidP="006F1659">
      <w:pPr>
        <w:pStyle w:val="Heading3"/>
        <w:spacing w:line="360" w:lineRule="auto"/>
      </w:pPr>
      <w:bookmarkStart w:id="412" w:name="_Toc92894980"/>
      <w:bookmarkStart w:id="413" w:name="_Toc92895284"/>
      <w:bookmarkStart w:id="414" w:name="_Toc109922718"/>
      <w:r w:rsidRPr="0007572B">
        <w:t>Capital Receipts</w:t>
      </w:r>
      <w:bookmarkEnd w:id="412"/>
      <w:bookmarkEnd w:id="413"/>
      <w:bookmarkEnd w:id="414"/>
    </w:p>
    <w:p w14:paraId="3C6F24E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Money received from the sale of property, plant and equipment or repayment of a capital advance.</w:t>
      </w:r>
    </w:p>
    <w:p w14:paraId="0EE7A8E8" w14:textId="77777777" w:rsidR="00795BE0" w:rsidRPr="0007572B" w:rsidRDefault="00795BE0" w:rsidP="006F1659">
      <w:pPr>
        <w:pStyle w:val="Heading3"/>
        <w:spacing w:line="360" w:lineRule="auto"/>
      </w:pPr>
      <w:bookmarkStart w:id="415" w:name="_Toc92894981"/>
      <w:bookmarkStart w:id="416" w:name="_Toc92895285"/>
      <w:bookmarkStart w:id="417" w:name="_Toc109922719"/>
      <w:r w:rsidRPr="0007572B">
        <w:t>Carrying Amount</w:t>
      </w:r>
      <w:bookmarkEnd w:id="415"/>
      <w:bookmarkEnd w:id="416"/>
      <w:bookmarkEnd w:id="417"/>
    </w:p>
    <w:p w14:paraId="684790D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balance sheet value recorded of an asset or a liability.</w:t>
      </w:r>
    </w:p>
    <w:p w14:paraId="1C8C69AA" w14:textId="77777777" w:rsidR="00795BE0" w:rsidRPr="0007572B" w:rsidRDefault="00795BE0" w:rsidP="006F1659">
      <w:pPr>
        <w:pStyle w:val="Heading3"/>
        <w:spacing w:line="360" w:lineRule="auto"/>
      </w:pPr>
      <w:bookmarkStart w:id="418" w:name="_Toc92894982"/>
      <w:bookmarkStart w:id="419" w:name="_Toc92895286"/>
      <w:bookmarkStart w:id="420" w:name="_Toc109922720"/>
      <w:r w:rsidRPr="0007572B">
        <w:t>Cash and Cash Equivalents</w:t>
      </w:r>
      <w:bookmarkEnd w:id="418"/>
      <w:bookmarkEnd w:id="419"/>
      <w:bookmarkEnd w:id="420"/>
    </w:p>
    <w:p w14:paraId="51BE6544" w14:textId="0FA3DE21"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comprises cash in hand, cash overdrawn and short</w:t>
      </w:r>
      <w:r w:rsidR="00F3496D">
        <w:rPr>
          <w:rFonts w:ascii="Arial" w:hAnsi="Arial" w:cs="Arial"/>
          <w:color w:val="000000"/>
        </w:rPr>
        <w:t xml:space="preserve"> </w:t>
      </w:r>
      <w:r w:rsidRPr="0007572B">
        <w:rPr>
          <w:rFonts w:ascii="Arial" w:hAnsi="Arial" w:cs="Arial"/>
          <w:color w:val="000000"/>
        </w:rPr>
        <w:t>term investments, which are readily convertible into known amounts of cash.</w:t>
      </w:r>
    </w:p>
    <w:p w14:paraId="103FB8A0" w14:textId="77777777" w:rsidR="00795BE0" w:rsidRPr="0007572B" w:rsidRDefault="00795BE0" w:rsidP="006F1659">
      <w:pPr>
        <w:pStyle w:val="Heading3"/>
        <w:spacing w:line="360" w:lineRule="auto"/>
      </w:pPr>
      <w:bookmarkStart w:id="421" w:name="_Toc92894983"/>
      <w:bookmarkStart w:id="422" w:name="_Toc92895287"/>
      <w:bookmarkStart w:id="423" w:name="_Toc109922721"/>
      <w:r w:rsidRPr="0007572B">
        <w:t>CIPFA (The Chartered Institute of Public Finance and Accountancy)</w:t>
      </w:r>
      <w:bookmarkEnd w:id="421"/>
      <w:bookmarkEnd w:id="422"/>
      <w:bookmarkEnd w:id="423"/>
    </w:p>
    <w:p w14:paraId="779A7A3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CIPFA is the leading professional accountancy body for public services.</w:t>
      </w:r>
    </w:p>
    <w:p w14:paraId="7C4F4A45" w14:textId="77777777" w:rsidR="00795BE0" w:rsidRPr="0007572B" w:rsidRDefault="00795BE0" w:rsidP="006F1659">
      <w:pPr>
        <w:pStyle w:val="Heading3"/>
        <w:spacing w:line="360" w:lineRule="auto"/>
      </w:pPr>
      <w:bookmarkStart w:id="424" w:name="_Toc92894984"/>
      <w:bookmarkStart w:id="425" w:name="_Toc92895288"/>
      <w:bookmarkStart w:id="426" w:name="_Toc109922722"/>
      <w:r w:rsidRPr="0007572B">
        <w:t>Consolidated</w:t>
      </w:r>
      <w:bookmarkEnd w:id="424"/>
      <w:bookmarkEnd w:id="425"/>
      <w:bookmarkEnd w:id="426"/>
    </w:p>
    <w:p w14:paraId="08E145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Added together with adjustments to avoid double counting of income, expenditure or to avoid exaggeration.</w:t>
      </w:r>
    </w:p>
    <w:p w14:paraId="4536489B" w14:textId="77777777" w:rsidR="00795BE0" w:rsidRPr="0007572B" w:rsidRDefault="00795BE0" w:rsidP="006F1659">
      <w:pPr>
        <w:pStyle w:val="Heading3"/>
        <w:spacing w:line="360" w:lineRule="auto"/>
      </w:pPr>
      <w:bookmarkStart w:id="427" w:name="_Toc92894985"/>
      <w:bookmarkStart w:id="428" w:name="_Toc92895289"/>
      <w:bookmarkStart w:id="429" w:name="_Toc109922723"/>
      <w:r w:rsidRPr="0007572B">
        <w:t>Contingent Assets</w:t>
      </w:r>
      <w:bookmarkEnd w:id="427"/>
      <w:bookmarkEnd w:id="428"/>
      <w:bookmarkEnd w:id="429"/>
    </w:p>
    <w:p w14:paraId="4E8C2AFD" w14:textId="72BE4222"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Sums due from individuals or organisations that may arise in the </w:t>
      </w:r>
      <w:r w:rsidR="000B7231" w:rsidRPr="0007572B">
        <w:rPr>
          <w:rFonts w:ascii="Arial" w:hAnsi="Arial" w:cs="Arial"/>
          <w:color w:val="000000"/>
        </w:rPr>
        <w:t>future,</w:t>
      </w:r>
      <w:r w:rsidRPr="0007572B">
        <w:rPr>
          <w:rFonts w:ascii="Arial" w:hAnsi="Arial" w:cs="Arial"/>
          <w:color w:val="000000"/>
        </w:rPr>
        <w:t xml:space="preserve"> but which cannot be determined in advance.</w:t>
      </w:r>
    </w:p>
    <w:p w14:paraId="725A0D17" w14:textId="77777777" w:rsidR="00795BE0" w:rsidRPr="0007572B" w:rsidRDefault="00795BE0" w:rsidP="006F1659">
      <w:pPr>
        <w:pStyle w:val="Heading3"/>
        <w:spacing w:line="360" w:lineRule="auto"/>
      </w:pPr>
      <w:bookmarkStart w:id="430" w:name="_Toc92894986"/>
      <w:bookmarkStart w:id="431" w:name="_Toc92895290"/>
      <w:bookmarkStart w:id="432" w:name="_Toc109922724"/>
      <w:r w:rsidRPr="0007572B">
        <w:t>Contingent Liabilities</w:t>
      </w:r>
      <w:bookmarkEnd w:id="430"/>
      <w:bookmarkEnd w:id="431"/>
      <w:bookmarkEnd w:id="432"/>
    </w:p>
    <w:p w14:paraId="03B51BC0" w14:textId="0A160C2B"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Sums due to individuals or organisations that may arise in the </w:t>
      </w:r>
      <w:r w:rsidR="000B7231" w:rsidRPr="0007572B">
        <w:rPr>
          <w:rFonts w:ascii="Arial" w:hAnsi="Arial" w:cs="Arial"/>
          <w:color w:val="000000"/>
        </w:rPr>
        <w:t>future,</w:t>
      </w:r>
      <w:r w:rsidRPr="0007572B">
        <w:rPr>
          <w:rFonts w:ascii="Arial" w:hAnsi="Arial" w:cs="Arial"/>
          <w:color w:val="000000"/>
        </w:rPr>
        <w:t xml:space="preserve"> but which cannot be determined in advance.</w:t>
      </w:r>
    </w:p>
    <w:p w14:paraId="55F659E8" w14:textId="77777777" w:rsidR="00795BE0" w:rsidRPr="0007572B" w:rsidRDefault="00795BE0" w:rsidP="006F1659">
      <w:pPr>
        <w:pStyle w:val="Heading3"/>
        <w:spacing w:line="360" w:lineRule="auto"/>
      </w:pPr>
      <w:bookmarkStart w:id="433" w:name="_Toc92894987"/>
      <w:bookmarkStart w:id="434" w:name="_Toc92895291"/>
      <w:bookmarkStart w:id="435" w:name="_Toc109922725"/>
      <w:r w:rsidRPr="0007572B">
        <w:t>Creditors</w:t>
      </w:r>
      <w:bookmarkEnd w:id="433"/>
      <w:bookmarkEnd w:id="434"/>
      <w:bookmarkEnd w:id="435"/>
    </w:p>
    <w:p w14:paraId="66E40C3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owed by the Authority and Group for goods and services provided by the balance sheet date, where payment has not been made at that date.</w:t>
      </w:r>
    </w:p>
    <w:p w14:paraId="55B5B29C" w14:textId="77777777" w:rsidR="00795BE0" w:rsidRPr="0007572B" w:rsidRDefault="00795BE0" w:rsidP="006F1659">
      <w:pPr>
        <w:pStyle w:val="Heading3"/>
        <w:spacing w:line="360" w:lineRule="auto"/>
      </w:pPr>
      <w:bookmarkStart w:id="436" w:name="_Toc92894988"/>
      <w:bookmarkStart w:id="437" w:name="_Toc92895292"/>
      <w:bookmarkStart w:id="438" w:name="_Toc109922726"/>
      <w:r w:rsidRPr="0007572B">
        <w:t>Current Assets</w:t>
      </w:r>
      <w:bookmarkEnd w:id="436"/>
      <w:bookmarkEnd w:id="437"/>
      <w:bookmarkEnd w:id="438"/>
    </w:p>
    <w:p w14:paraId="3691E49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asset where the value changes because the volume held varies from day to day, for example, stock. It is reasonable to expect that these assets will either be consumed or realised during the next accounting period.</w:t>
      </w:r>
    </w:p>
    <w:p w14:paraId="15FB2723" w14:textId="77777777" w:rsidR="00795BE0" w:rsidRPr="0007572B" w:rsidRDefault="00795BE0" w:rsidP="006F1659">
      <w:pPr>
        <w:pStyle w:val="Heading3"/>
        <w:spacing w:line="360" w:lineRule="auto"/>
      </w:pPr>
      <w:bookmarkStart w:id="439" w:name="_Toc92894989"/>
      <w:bookmarkStart w:id="440" w:name="_Toc92895293"/>
      <w:bookmarkStart w:id="441" w:name="_Toc109922727"/>
      <w:r w:rsidRPr="0007572B">
        <w:t>Current Liabilities</w:t>
      </w:r>
      <w:bookmarkEnd w:id="439"/>
      <w:bookmarkEnd w:id="440"/>
      <w:bookmarkEnd w:id="441"/>
    </w:p>
    <w:p w14:paraId="5F19189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amount which will become payable or could be called in within the next accounting period.</w:t>
      </w:r>
    </w:p>
    <w:p w14:paraId="60D25A5C" w14:textId="77777777" w:rsidR="00795BE0" w:rsidRPr="0007572B" w:rsidRDefault="00795BE0" w:rsidP="006F1659">
      <w:pPr>
        <w:pStyle w:val="Heading3"/>
        <w:spacing w:line="360" w:lineRule="auto"/>
      </w:pPr>
      <w:bookmarkStart w:id="442" w:name="_Toc92894990"/>
      <w:bookmarkStart w:id="443" w:name="_Toc92895294"/>
      <w:bookmarkStart w:id="444" w:name="_Toc109922728"/>
      <w:r w:rsidRPr="0007572B">
        <w:t>Current Service Cost</w:t>
      </w:r>
      <w:bookmarkEnd w:id="442"/>
      <w:bookmarkEnd w:id="443"/>
      <w:bookmarkEnd w:id="444"/>
      <w:r w:rsidRPr="0007572B">
        <w:t xml:space="preserve"> </w:t>
      </w:r>
    </w:p>
    <w:p w14:paraId="00E16A0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increase in present value of a defined benefit pension scheme’s liabilities expected to arise from employee service in the current financial year.</w:t>
      </w:r>
    </w:p>
    <w:p w14:paraId="62ACF930" w14:textId="77777777" w:rsidR="00795BE0" w:rsidRPr="0007572B" w:rsidRDefault="00795BE0" w:rsidP="006F1659">
      <w:pPr>
        <w:pStyle w:val="Heading3"/>
        <w:spacing w:line="360" w:lineRule="auto"/>
      </w:pPr>
      <w:bookmarkStart w:id="445" w:name="_Toc92894991"/>
      <w:bookmarkStart w:id="446" w:name="_Toc92895295"/>
      <w:bookmarkStart w:id="447" w:name="_Toc109922729"/>
      <w:r w:rsidRPr="0007572B">
        <w:t>Curtailments</w:t>
      </w:r>
      <w:bookmarkEnd w:id="445"/>
      <w:bookmarkEnd w:id="446"/>
      <w:bookmarkEnd w:id="447"/>
    </w:p>
    <w:p w14:paraId="20E0893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For a defined benefit pension scheme, an event that reduces the expected years of future service of present employees or reduces the accrual of defined benefits for a number of employees for some or all of their future service.</w:t>
      </w:r>
    </w:p>
    <w:p w14:paraId="60FC118A" w14:textId="77777777" w:rsidR="00795BE0" w:rsidRPr="0007572B" w:rsidRDefault="00795BE0" w:rsidP="006F1659">
      <w:pPr>
        <w:pStyle w:val="Heading3"/>
        <w:spacing w:line="360" w:lineRule="auto"/>
      </w:pPr>
      <w:bookmarkStart w:id="448" w:name="_Toc92894992"/>
      <w:bookmarkStart w:id="449" w:name="_Toc92895296"/>
      <w:bookmarkStart w:id="450" w:name="_Toc109922730"/>
      <w:r w:rsidRPr="0007572B">
        <w:t>Debtors</w:t>
      </w:r>
      <w:bookmarkEnd w:id="448"/>
      <w:bookmarkEnd w:id="449"/>
      <w:bookmarkEnd w:id="450"/>
    </w:p>
    <w:p w14:paraId="4139B4D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Sums of money owed to the Authority and Group at the balance sheet date but not received at that date.</w:t>
      </w:r>
    </w:p>
    <w:p w14:paraId="5DDAC663" w14:textId="77777777" w:rsidR="00795BE0" w:rsidRPr="0007572B" w:rsidRDefault="00795BE0" w:rsidP="006F1659">
      <w:pPr>
        <w:pStyle w:val="Heading3"/>
        <w:spacing w:line="360" w:lineRule="auto"/>
      </w:pPr>
      <w:bookmarkStart w:id="451" w:name="_Toc92894993"/>
      <w:bookmarkStart w:id="452" w:name="_Toc92895297"/>
      <w:bookmarkStart w:id="453" w:name="_Toc109922731"/>
      <w:r w:rsidRPr="0007572B">
        <w:t>Deferred Capital Receipts</w:t>
      </w:r>
      <w:bookmarkEnd w:id="451"/>
      <w:bookmarkEnd w:id="452"/>
      <w:bookmarkEnd w:id="453"/>
    </w:p>
    <w:p w14:paraId="2CF9A59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derived from asset sales, which will be received in instalments over a period of years.</w:t>
      </w:r>
    </w:p>
    <w:p w14:paraId="0052AC10" w14:textId="77777777" w:rsidR="00795BE0" w:rsidRPr="0007572B" w:rsidRDefault="00795BE0" w:rsidP="006F1659">
      <w:pPr>
        <w:pStyle w:val="Heading3"/>
        <w:spacing w:line="360" w:lineRule="auto"/>
      </w:pPr>
      <w:bookmarkStart w:id="454" w:name="_Toc92894994"/>
      <w:bookmarkStart w:id="455" w:name="_Toc92895298"/>
      <w:bookmarkStart w:id="456" w:name="_Toc109922732"/>
      <w:r w:rsidRPr="0007572B">
        <w:t>Defined Benefit Pension Scheme</w:t>
      </w:r>
      <w:bookmarkEnd w:id="454"/>
      <w:bookmarkEnd w:id="455"/>
      <w:bookmarkEnd w:id="456"/>
    </w:p>
    <w:p w14:paraId="7E9F8E3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14:paraId="4A20D5B6" w14:textId="77777777" w:rsidR="00795BE0" w:rsidRPr="0007572B" w:rsidRDefault="00795BE0" w:rsidP="006F1659">
      <w:pPr>
        <w:pStyle w:val="Heading3"/>
        <w:spacing w:line="360" w:lineRule="auto"/>
      </w:pPr>
      <w:bookmarkStart w:id="457" w:name="_Toc92894995"/>
      <w:bookmarkStart w:id="458" w:name="_Toc92895299"/>
      <w:bookmarkStart w:id="459" w:name="_Toc109922733"/>
      <w:r w:rsidRPr="0007572B">
        <w:t>Defined Benefit Contribution Scheme</w:t>
      </w:r>
      <w:bookmarkEnd w:id="457"/>
      <w:bookmarkEnd w:id="458"/>
      <w:bookmarkEnd w:id="459"/>
    </w:p>
    <w:p w14:paraId="68B392A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 pension or other retirement benefit scheme into which an employer pays regular contributions fixed as an amount or percentage of pay and will have no legal or constructive obligation to pay further contributions if the scheme does not have sufficient assets to pay all employee benefits relating to employee service in the current and prior periods.</w:t>
      </w:r>
    </w:p>
    <w:p w14:paraId="4C0D6A28" w14:textId="77777777" w:rsidR="00795BE0" w:rsidRPr="0007572B" w:rsidRDefault="00795BE0" w:rsidP="006F1659">
      <w:pPr>
        <w:pStyle w:val="Heading3"/>
        <w:spacing w:line="360" w:lineRule="auto"/>
      </w:pPr>
      <w:bookmarkStart w:id="460" w:name="_Toc92894996"/>
      <w:bookmarkStart w:id="461" w:name="_Toc92895300"/>
      <w:bookmarkStart w:id="462" w:name="_Toc109922734"/>
      <w:r w:rsidRPr="0007572B">
        <w:t>Depreciation</w:t>
      </w:r>
      <w:bookmarkEnd w:id="460"/>
      <w:bookmarkEnd w:id="461"/>
      <w:bookmarkEnd w:id="462"/>
    </w:p>
    <w:p w14:paraId="39AE4C6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measure of the wearing out, consumption or other reduction in the useful economic life of property, plant and equipment.</w:t>
      </w:r>
    </w:p>
    <w:p w14:paraId="6EB7183C" w14:textId="77777777" w:rsidR="00795BE0" w:rsidRPr="0007572B" w:rsidRDefault="00795BE0" w:rsidP="006F1659">
      <w:pPr>
        <w:pStyle w:val="Heading3"/>
        <w:spacing w:line="360" w:lineRule="auto"/>
      </w:pPr>
      <w:bookmarkStart w:id="463" w:name="_Toc92894997"/>
      <w:bookmarkStart w:id="464" w:name="_Toc92895301"/>
      <w:bookmarkStart w:id="465" w:name="_Toc109922735"/>
      <w:r w:rsidRPr="0007572B">
        <w:t>Remeasurement of the Net Defined Benefit Liability</w:t>
      </w:r>
      <w:bookmarkEnd w:id="463"/>
      <w:bookmarkEnd w:id="464"/>
      <w:bookmarkEnd w:id="465"/>
    </w:p>
    <w:p w14:paraId="0129B4CE"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Remeasurement of the Net Defined Benefit Liability (asset) comprises:</w:t>
      </w:r>
    </w:p>
    <w:p w14:paraId="3809F1D1"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a) actuarial gains and losses</w:t>
      </w:r>
    </w:p>
    <w:p w14:paraId="708EB47E"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b) the return on plan assets, excluding amounts included in net interest on the net defined benefit liability (asset), and</w:t>
      </w:r>
    </w:p>
    <w:p w14:paraId="2DAF3BB6"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c) any change in the effect of the asset ceiling, excluding amounts included in net interest on the net defined benefit liability (asset).</w:t>
      </w:r>
    </w:p>
    <w:p w14:paraId="36928B5C" w14:textId="77777777" w:rsidR="00795BE0" w:rsidRPr="0007572B" w:rsidRDefault="00795BE0" w:rsidP="006F1659">
      <w:pPr>
        <w:pStyle w:val="Heading3"/>
        <w:spacing w:line="360" w:lineRule="auto"/>
      </w:pPr>
      <w:bookmarkStart w:id="466" w:name="_Toc92894998"/>
      <w:bookmarkStart w:id="467" w:name="_Toc92895302"/>
      <w:bookmarkStart w:id="468" w:name="_Toc109922736"/>
      <w:r w:rsidRPr="0007572B">
        <w:t>Expenditure</w:t>
      </w:r>
      <w:bookmarkEnd w:id="466"/>
      <w:bookmarkEnd w:id="467"/>
      <w:bookmarkEnd w:id="468"/>
    </w:p>
    <w:p w14:paraId="2EF924E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paid by the Authority and Group for goods received or services rendered of either a capital or revenue nature. This does not necessarily involve a cash payment - expenditure is deemed to have been incurred once the goods or services have been received even if they have not been paid for.</w:t>
      </w:r>
    </w:p>
    <w:p w14:paraId="2708D17D" w14:textId="77777777" w:rsidR="00795BE0" w:rsidRPr="0007572B" w:rsidRDefault="00795BE0" w:rsidP="006F1659">
      <w:pPr>
        <w:pStyle w:val="Heading3"/>
        <w:spacing w:line="360" w:lineRule="auto"/>
      </w:pPr>
      <w:bookmarkStart w:id="469" w:name="_Toc92894999"/>
      <w:bookmarkStart w:id="470" w:name="_Toc92895303"/>
      <w:bookmarkStart w:id="471" w:name="_Toc109922737"/>
      <w:r w:rsidRPr="0007572B">
        <w:t>External Audit</w:t>
      </w:r>
      <w:bookmarkEnd w:id="469"/>
      <w:bookmarkEnd w:id="470"/>
      <w:bookmarkEnd w:id="471"/>
    </w:p>
    <w:p w14:paraId="185964A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independent examination of the activities and accounts of local authorities to ensure the accounts have been prepared in accordance with legislative requirements and proper practices and to ensure the Authority has made proper arrangements to secure value for money in its use of resources.</w:t>
      </w:r>
    </w:p>
    <w:p w14:paraId="38773602" w14:textId="77777777" w:rsidR="00795BE0" w:rsidRPr="0007572B" w:rsidRDefault="00795BE0" w:rsidP="006F1659">
      <w:pPr>
        <w:pStyle w:val="Heading3"/>
        <w:spacing w:line="360" w:lineRule="auto"/>
      </w:pPr>
      <w:bookmarkStart w:id="472" w:name="_Toc92895000"/>
      <w:bookmarkStart w:id="473" w:name="_Toc92895304"/>
      <w:bookmarkStart w:id="474" w:name="_Toc109922738"/>
      <w:r w:rsidRPr="0007572B">
        <w:t>Fair Value</w:t>
      </w:r>
      <w:bookmarkEnd w:id="472"/>
      <w:bookmarkEnd w:id="473"/>
      <w:bookmarkEnd w:id="474"/>
    </w:p>
    <w:p w14:paraId="505FAE5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fair value of an asset is the price at which it could be exchanged in an arm’s length transaction.</w:t>
      </w:r>
    </w:p>
    <w:p w14:paraId="01AF06C3" w14:textId="77777777" w:rsidR="00795BE0" w:rsidRPr="0007572B" w:rsidRDefault="00795BE0" w:rsidP="006F1659">
      <w:pPr>
        <w:pStyle w:val="Heading3"/>
        <w:spacing w:line="360" w:lineRule="auto"/>
      </w:pPr>
      <w:bookmarkStart w:id="475" w:name="_Toc92895001"/>
      <w:bookmarkStart w:id="476" w:name="_Toc92895305"/>
      <w:bookmarkStart w:id="477" w:name="_Toc109922739"/>
      <w:r w:rsidRPr="0007572B">
        <w:t>Fees and Charges</w:t>
      </w:r>
      <w:bookmarkEnd w:id="475"/>
      <w:bookmarkEnd w:id="476"/>
      <w:bookmarkEnd w:id="477"/>
    </w:p>
    <w:p w14:paraId="32A3163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Income arising from the provision of services, e.g. the use of premises.</w:t>
      </w:r>
    </w:p>
    <w:p w14:paraId="35974E37" w14:textId="77777777" w:rsidR="00795BE0" w:rsidRPr="0007572B" w:rsidRDefault="00795BE0" w:rsidP="006F1659">
      <w:pPr>
        <w:pStyle w:val="Heading3"/>
        <w:spacing w:line="360" w:lineRule="auto"/>
      </w:pPr>
      <w:bookmarkStart w:id="478" w:name="_Toc92895002"/>
      <w:bookmarkStart w:id="479" w:name="_Toc92895306"/>
      <w:bookmarkStart w:id="480" w:name="_Toc109922740"/>
      <w:r w:rsidRPr="0007572B">
        <w:t>Finance Lease</w:t>
      </w:r>
      <w:bookmarkEnd w:id="478"/>
      <w:bookmarkEnd w:id="479"/>
      <w:bookmarkEnd w:id="480"/>
    </w:p>
    <w:p w14:paraId="08A05A7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 xml:space="preserve">A finance lease is one that transfers substantially all the risks and rewards of ownership of items of property, plant and equipment to a lessee. </w:t>
      </w:r>
    </w:p>
    <w:p w14:paraId="0ABC4455" w14:textId="77777777" w:rsidR="00795BE0" w:rsidRPr="0007572B" w:rsidRDefault="00795BE0" w:rsidP="006F1659">
      <w:pPr>
        <w:pStyle w:val="Heading3"/>
        <w:spacing w:line="360" w:lineRule="auto"/>
      </w:pPr>
      <w:bookmarkStart w:id="481" w:name="_Toc92895003"/>
      <w:bookmarkStart w:id="482" w:name="_Toc92895307"/>
      <w:bookmarkStart w:id="483" w:name="_Toc109922741"/>
      <w:r w:rsidRPr="0007572B">
        <w:t>Financial Instruments</w:t>
      </w:r>
      <w:bookmarkEnd w:id="481"/>
      <w:bookmarkEnd w:id="482"/>
      <w:bookmarkEnd w:id="483"/>
    </w:p>
    <w:p w14:paraId="739618F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This is any contract that gives rise to a financial asset of one entity and a financial liability or equity of another. The term covers both financial assets (e.g. loans receivable) and financial liabilities (e.g. borrowings).</w:t>
      </w:r>
    </w:p>
    <w:p w14:paraId="60489C63" w14:textId="77777777" w:rsidR="00795BE0" w:rsidRPr="0007572B" w:rsidRDefault="00795BE0" w:rsidP="006F1659">
      <w:pPr>
        <w:pStyle w:val="Heading3"/>
        <w:spacing w:line="360" w:lineRule="auto"/>
      </w:pPr>
      <w:bookmarkStart w:id="484" w:name="_Toc92895004"/>
      <w:bookmarkStart w:id="485" w:name="_Toc92895308"/>
      <w:bookmarkStart w:id="486" w:name="_Toc109922742"/>
      <w:r w:rsidRPr="0007572B">
        <w:t>Historical Cost</w:t>
      </w:r>
      <w:bookmarkEnd w:id="484"/>
      <w:bookmarkEnd w:id="485"/>
      <w:bookmarkEnd w:id="486"/>
    </w:p>
    <w:p w14:paraId="5CA4681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actual cost of assets, goods or services, at the time of their acquisition.</w:t>
      </w:r>
    </w:p>
    <w:p w14:paraId="2A3A2A4D" w14:textId="77777777" w:rsidR="00795BE0" w:rsidRPr="0007572B" w:rsidRDefault="00795BE0" w:rsidP="006F1659">
      <w:pPr>
        <w:pStyle w:val="Heading3"/>
        <w:spacing w:line="360" w:lineRule="auto"/>
      </w:pPr>
      <w:bookmarkStart w:id="487" w:name="_Toc92895005"/>
      <w:bookmarkStart w:id="488" w:name="_Toc92895309"/>
      <w:bookmarkStart w:id="489" w:name="_Toc109922743"/>
      <w:r w:rsidRPr="0007572B">
        <w:t>Impairment</w:t>
      </w:r>
      <w:bookmarkEnd w:id="487"/>
      <w:bookmarkEnd w:id="488"/>
      <w:bookmarkEnd w:id="489"/>
    </w:p>
    <w:p w14:paraId="14758DB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reduction in the value of a property, plant and equipment below its carrying amount in the balance sheet.</w:t>
      </w:r>
    </w:p>
    <w:p w14:paraId="7CC957E0" w14:textId="77777777" w:rsidR="00795BE0" w:rsidRPr="0007572B" w:rsidRDefault="00795BE0" w:rsidP="006F1659">
      <w:pPr>
        <w:pStyle w:val="Heading3"/>
        <w:spacing w:line="360" w:lineRule="auto"/>
      </w:pPr>
      <w:bookmarkStart w:id="490" w:name="_Toc92895006"/>
      <w:bookmarkStart w:id="491" w:name="_Toc92895310"/>
      <w:bookmarkStart w:id="492" w:name="_Toc109922744"/>
      <w:r w:rsidRPr="0007572B">
        <w:t>Income</w:t>
      </w:r>
      <w:bookmarkEnd w:id="490"/>
      <w:bookmarkEnd w:id="491"/>
      <w:bookmarkEnd w:id="492"/>
    </w:p>
    <w:p w14:paraId="533D1C64"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due to the Authority and Group for goods supplied or services rendered of either a capital or revenue nature. This does not necessarily involve cash being received - income is deemed to have been earned once the goods or services have been supplied even if the cash has not been received.</w:t>
      </w:r>
    </w:p>
    <w:p w14:paraId="6A771772" w14:textId="77777777" w:rsidR="00795BE0" w:rsidRPr="0007572B" w:rsidRDefault="00795BE0" w:rsidP="006F1659">
      <w:pPr>
        <w:pStyle w:val="Heading3"/>
        <w:spacing w:line="360" w:lineRule="auto"/>
      </w:pPr>
      <w:bookmarkStart w:id="493" w:name="_Toc92895007"/>
      <w:bookmarkStart w:id="494" w:name="_Toc92895311"/>
      <w:bookmarkStart w:id="495" w:name="_Toc109922745"/>
      <w:r w:rsidRPr="0007572B">
        <w:t>Infrastructure Assets</w:t>
      </w:r>
      <w:bookmarkEnd w:id="493"/>
      <w:bookmarkEnd w:id="494"/>
      <w:bookmarkEnd w:id="495"/>
      <w:r w:rsidRPr="0007572B">
        <w:t xml:space="preserve"> </w:t>
      </w:r>
    </w:p>
    <w:p w14:paraId="75CB58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inalienable assets, expenditure on which is recoverable only by continued use of the asset created. Examples of such assets are traffic signals.</w:t>
      </w:r>
    </w:p>
    <w:p w14:paraId="15117896" w14:textId="77777777" w:rsidR="00795BE0" w:rsidRPr="0007572B" w:rsidRDefault="00795BE0" w:rsidP="006F1659">
      <w:pPr>
        <w:pStyle w:val="Heading3"/>
        <w:spacing w:line="360" w:lineRule="auto"/>
      </w:pPr>
      <w:bookmarkStart w:id="496" w:name="_Toc92895008"/>
      <w:bookmarkStart w:id="497" w:name="_Toc92895312"/>
      <w:bookmarkStart w:id="498" w:name="_Toc109922746"/>
      <w:r w:rsidRPr="0007572B">
        <w:t>Intangible Assets</w:t>
      </w:r>
      <w:bookmarkEnd w:id="496"/>
      <w:bookmarkEnd w:id="497"/>
      <w:bookmarkEnd w:id="498"/>
    </w:p>
    <w:p w14:paraId="5A4BD81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assets that have no physical substance, for example, the purchase of computer software licences.</w:t>
      </w:r>
    </w:p>
    <w:p w14:paraId="2AAE2D78" w14:textId="77777777" w:rsidR="00795BE0" w:rsidRPr="0007572B" w:rsidRDefault="00795BE0" w:rsidP="006F1659">
      <w:pPr>
        <w:pStyle w:val="Heading3"/>
        <w:spacing w:line="360" w:lineRule="auto"/>
      </w:pPr>
      <w:bookmarkStart w:id="499" w:name="_Toc92895009"/>
      <w:bookmarkStart w:id="500" w:name="_Toc92895313"/>
      <w:bookmarkStart w:id="501" w:name="_Toc109922747"/>
      <w:r w:rsidRPr="0007572B">
        <w:t>Interest Cost (Pensions)</w:t>
      </w:r>
      <w:bookmarkEnd w:id="499"/>
      <w:bookmarkEnd w:id="500"/>
      <w:bookmarkEnd w:id="501"/>
    </w:p>
    <w:p w14:paraId="77132E2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For a defined benefit scheme, the expected increase during the period in the present value of the scheme liabilities because the benefits are one period closer to settlement.</w:t>
      </w:r>
    </w:p>
    <w:p w14:paraId="35DDAA84" w14:textId="77777777" w:rsidR="00795BE0" w:rsidRPr="0007572B" w:rsidRDefault="00795BE0" w:rsidP="006F1659">
      <w:pPr>
        <w:pStyle w:val="Heading3"/>
        <w:spacing w:line="360" w:lineRule="auto"/>
      </w:pPr>
      <w:bookmarkStart w:id="502" w:name="_Toc92895010"/>
      <w:bookmarkStart w:id="503" w:name="_Toc92895314"/>
      <w:bookmarkStart w:id="504" w:name="_Toc109922748"/>
      <w:r w:rsidRPr="0007572B">
        <w:t>International Financial Reporting Standards (IFRS)</w:t>
      </w:r>
      <w:bookmarkEnd w:id="502"/>
      <w:bookmarkEnd w:id="503"/>
      <w:bookmarkEnd w:id="504"/>
    </w:p>
    <w:p w14:paraId="13E34D9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These are statements prepared by the International Accounting Standards Board to ensure consistency in accountancy matters. Many of these standards now apply to local authorities and any departure from these must be disclosed in the published accounts.</w:t>
      </w:r>
    </w:p>
    <w:p w14:paraId="12255AB4" w14:textId="77777777" w:rsidR="00795BE0" w:rsidRPr="0007572B" w:rsidRDefault="00795BE0" w:rsidP="006F1659">
      <w:pPr>
        <w:pStyle w:val="Heading3"/>
        <w:spacing w:line="360" w:lineRule="auto"/>
      </w:pPr>
      <w:bookmarkStart w:id="505" w:name="_Toc92895011"/>
      <w:bookmarkStart w:id="506" w:name="_Toc92895315"/>
      <w:bookmarkStart w:id="507" w:name="_Toc109922749"/>
      <w:r w:rsidRPr="0007572B">
        <w:t>Inventory</w:t>
      </w:r>
      <w:bookmarkEnd w:id="505"/>
      <w:bookmarkEnd w:id="506"/>
      <w:bookmarkEnd w:id="507"/>
    </w:p>
    <w:p w14:paraId="3E1556A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Raw materials and consumable items the Authority’s Group has purchased to use on a continuing basis and has not used by the end of the financial year.</w:t>
      </w:r>
    </w:p>
    <w:p w14:paraId="53A90A8C" w14:textId="77777777" w:rsidR="00795BE0" w:rsidRPr="0007572B" w:rsidRDefault="00795BE0" w:rsidP="006F1659">
      <w:pPr>
        <w:pStyle w:val="Heading3"/>
        <w:spacing w:line="360" w:lineRule="auto"/>
      </w:pPr>
      <w:bookmarkStart w:id="508" w:name="_Toc92895012"/>
      <w:bookmarkStart w:id="509" w:name="_Toc92895316"/>
      <w:bookmarkStart w:id="510" w:name="_Toc109922750"/>
      <w:r w:rsidRPr="0007572B">
        <w:t>Investment Properties</w:t>
      </w:r>
      <w:bookmarkEnd w:id="508"/>
      <w:bookmarkEnd w:id="509"/>
      <w:bookmarkEnd w:id="510"/>
    </w:p>
    <w:p w14:paraId="17066F3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property or land that is held solely to earn rentals or for capital appreciation or both.</w:t>
      </w:r>
    </w:p>
    <w:p w14:paraId="6CE50FA1" w14:textId="77777777" w:rsidR="00795BE0" w:rsidRPr="0007572B" w:rsidRDefault="00795BE0" w:rsidP="006F1659">
      <w:pPr>
        <w:pStyle w:val="Heading3"/>
        <w:spacing w:line="360" w:lineRule="auto"/>
      </w:pPr>
      <w:bookmarkStart w:id="511" w:name="_Toc92895013"/>
      <w:bookmarkStart w:id="512" w:name="_Toc92895317"/>
      <w:bookmarkStart w:id="513" w:name="_Toc109922751"/>
      <w:r w:rsidRPr="0007572B">
        <w:t>Investments</w:t>
      </w:r>
      <w:bookmarkEnd w:id="511"/>
      <w:bookmarkEnd w:id="512"/>
      <w:bookmarkEnd w:id="513"/>
    </w:p>
    <w:p w14:paraId="2A95895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Items such as company shares, other securities and money deposited with financial institutions (other than bank current accounts).</w:t>
      </w:r>
    </w:p>
    <w:p w14:paraId="45C310E5" w14:textId="77777777" w:rsidR="00795BE0" w:rsidRPr="0007572B" w:rsidRDefault="00795BE0" w:rsidP="006F1659">
      <w:pPr>
        <w:pStyle w:val="Heading3"/>
        <w:spacing w:line="360" w:lineRule="auto"/>
      </w:pPr>
      <w:bookmarkStart w:id="514" w:name="_Toc92895014"/>
      <w:bookmarkStart w:id="515" w:name="_Toc92895318"/>
      <w:bookmarkStart w:id="516" w:name="_Toc109922752"/>
      <w:r w:rsidRPr="0007572B">
        <w:t>Liabilities</w:t>
      </w:r>
      <w:bookmarkEnd w:id="514"/>
      <w:bookmarkEnd w:id="515"/>
      <w:bookmarkEnd w:id="516"/>
    </w:p>
    <w:p w14:paraId="676BFAC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due to individuals or organisations that will have to be paid at some time in the future. Current liabilities are usually payable within one year of the balance sheet date.</w:t>
      </w:r>
    </w:p>
    <w:p w14:paraId="348193F8" w14:textId="3282B775" w:rsidR="00795BE0" w:rsidRPr="0007572B" w:rsidRDefault="00795BE0" w:rsidP="006F1659">
      <w:pPr>
        <w:pStyle w:val="Heading3"/>
        <w:spacing w:line="360" w:lineRule="auto"/>
      </w:pPr>
      <w:bookmarkStart w:id="517" w:name="_Toc92895015"/>
      <w:bookmarkStart w:id="518" w:name="_Toc92895319"/>
      <w:bookmarkStart w:id="519" w:name="_Toc109922753"/>
      <w:r w:rsidRPr="0007572B">
        <w:t>Long</w:t>
      </w:r>
      <w:r w:rsidR="00F3496D">
        <w:t xml:space="preserve"> </w:t>
      </w:r>
      <w:r w:rsidRPr="0007572B">
        <w:t>term Contracts</w:t>
      </w:r>
      <w:bookmarkEnd w:id="517"/>
      <w:bookmarkEnd w:id="518"/>
      <w:bookmarkEnd w:id="519"/>
    </w:p>
    <w:p w14:paraId="6A16507B"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contract entered into for the design, manufacture or construction of a single substantial asset or service where the time taken to complete the contract is such that the contract activity falls into different accounting periods.</w:t>
      </w:r>
    </w:p>
    <w:p w14:paraId="751A7225" w14:textId="77777777" w:rsidR="00795BE0" w:rsidRPr="0007572B" w:rsidRDefault="00795BE0" w:rsidP="006F1659">
      <w:pPr>
        <w:pStyle w:val="Heading3"/>
        <w:spacing w:line="360" w:lineRule="auto"/>
      </w:pPr>
      <w:bookmarkStart w:id="520" w:name="_Toc92895016"/>
      <w:bookmarkStart w:id="521" w:name="_Toc92895320"/>
      <w:bookmarkStart w:id="522" w:name="_Toc109922754"/>
      <w:r w:rsidRPr="0007572B">
        <w:t>Material</w:t>
      </w:r>
      <w:bookmarkEnd w:id="520"/>
      <w:bookmarkEnd w:id="521"/>
      <w:bookmarkEnd w:id="522"/>
    </w:p>
    <w:p w14:paraId="1299F22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concept that any omission from or inaccuracy in the statements of account should not be large enough to affect the understanding of those statements by a reader.</w:t>
      </w:r>
    </w:p>
    <w:p w14:paraId="36EA72B1" w14:textId="77777777" w:rsidR="00795BE0" w:rsidRPr="0007572B" w:rsidRDefault="00795BE0" w:rsidP="006F1659">
      <w:pPr>
        <w:pStyle w:val="Heading3"/>
        <w:spacing w:line="360" w:lineRule="auto"/>
      </w:pPr>
      <w:bookmarkStart w:id="523" w:name="_Toc92895017"/>
      <w:bookmarkStart w:id="524" w:name="_Toc92895321"/>
      <w:bookmarkStart w:id="525" w:name="_Toc109922755"/>
      <w:r w:rsidRPr="0007572B">
        <w:t>Minimum Revenue Provision (MRP)</w:t>
      </w:r>
      <w:bookmarkEnd w:id="523"/>
      <w:bookmarkEnd w:id="524"/>
      <w:bookmarkEnd w:id="525"/>
    </w:p>
    <w:p w14:paraId="5B3ECB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is the amount that is charged to the Authority's Movement in Reserves Statement each year and set aside as a provision for credit liabilities.</w:t>
      </w:r>
    </w:p>
    <w:p w14:paraId="1314364C" w14:textId="77777777" w:rsidR="00795BE0" w:rsidRPr="0007572B" w:rsidRDefault="00795BE0" w:rsidP="006F1659">
      <w:pPr>
        <w:pStyle w:val="Heading3"/>
        <w:spacing w:line="360" w:lineRule="auto"/>
      </w:pPr>
      <w:bookmarkStart w:id="526" w:name="_Toc92895018"/>
      <w:bookmarkStart w:id="527" w:name="_Toc92895322"/>
      <w:bookmarkStart w:id="528" w:name="_Toc109922756"/>
      <w:r w:rsidRPr="0007572B">
        <w:t>Net Book Value</w:t>
      </w:r>
      <w:bookmarkEnd w:id="526"/>
      <w:bookmarkEnd w:id="527"/>
      <w:bookmarkEnd w:id="528"/>
    </w:p>
    <w:p w14:paraId="0973B31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amount at which non-current assets are included in the balance sheet, i.e. their historical cost or current cost less the cumulative depreciation.</w:t>
      </w:r>
    </w:p>
    <w:p w14:paraId="36A94228" w14:textId="77777777" w:rsidR="00795BE0" w:rsidRPr="0007572B" w:rsidRDefault="00795BE0" w:rsidP="006F1659">
      <w:pPr>
        <w:pStyle w:val="Heading3"/>
        <w:spacing w:line="360" w:lineRule="auto"/>
      </w:pPr>
      <w:bookmarkStart w:id="529" w:name="_Toc92895019"/>
      <w:bookmarkStart w:id="530" w:name="_Toc92895323"/>
      <w:bookmarkStart w:id="531" w:name="_Toc109922757"/>
      <w:r w:rsidRPr="0007572B">
        <w:t>Net Realisable Value</w:t>
      </w:r>
      <w:bookmarkEnd w:id="529"/>
      <w:bookmarkEnd w:id="530"/>
      <w:bookmarkEnd w:id="531"/>
    </w:p>
    <w:p w14:paraId="165BCE1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open market value of the asset in its existing use (or open market value in the case of non-operational assets), less the expenses to be incurred in realising the asset.</w:t>
      </w:r>
    </w:p>
    <w:p w14:paraId="5AFE7F8E" w14:textId="77777777" w:rsidR="00795BE0" w:rsidRPr="0007572B" w:rsidRDefault="00795BE0" w:rsidP="006F1659">
      <w:pPr>
        <w:pStyle w:val="Heading3"/>
        <w:spacing w:line="360" w:lineRule="auto"/>
      </w:pPr>
      <w:bookmarkStart w:id="532" w:name="_Toc92895020"/>
      <w:bookmarkStart w:id="533" w:name="_Toc92895324"/>
      <w:bookmarkStart w:id="534" w:name="_Toc109922758"/>
      <w:r w:rsidRPr="0007572B">
        <w:t>Non-Current Assets</w:t>
      </w:r>
      <w:bookmarkEnd w:id="532"/>
      <w:bookmarkEnd w:id="533"/>
      <w:bookmarkEnd w:id="534"/>
    </w:p>
    <w:p w14:paraId="707048B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Assets which have value to the Authority for more than one year. These can be tangible (e.g. land, buildings, equipment) or intangible (e.g. Software or licences) assets.</w:t>
      </w:r>
    </w:p>
    <w:p w14:paraId="1EA1B3E6" w14:textId="77777777" w:rsidR="00795BE0" w:rsidRPr="0007572B" w:rsidRDefault="00795BE0" w:rsidP="006F1659">
      <w:pPr>
        <w:pStyle w:val="Heading3"/>
        <w:spacing w:line="360" w:lineRule="auto"/>
      </w:pPr>
      <w:bookmarkStart w:id="535" w:name="_Toc92895021"/>
      <w:bookmarkStart w:id="536" w:name="_Toc92895325"/>
      <w:bookmarkStart w:id="537" w:name="_Toc109922759"/>
      <w:r w:rsidRPr="0007572B">
        <w:t>Non-Operational Assets</w:t>
      </w:r>
      <w:bookmarkEnd w:id="535"/>
      <w:bookmarkEnd w:id="536"/>
      <w:bookmarkEnd w:id="537"/>
    </w:p>
    <w:p w14:paraId="3C7F534D"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Non-current assets held by the Authority but not directly occupied, used or consumed in the delivery of services. Examples of non-operational assets are investment properties and assets that are surplus to requirements pending sale or redevelopment.</w:t>
      </w:r>
    </w:p>
    <w:p w14:paraId="7BAB7527" w14:textId="77777777" w:rsidR="00795BE0" w:rsidRPr="0007572B" w:rsidRDefault="00795BE0" w:rsidP="006F1659">
      <w:pPr>
        <w:pStyle w:val="Heading3"/>
        <w:spacing w:line="360" w:lineRule="auto"/>
      </w:pPr>
      <w:bookmarkStart w:id="538" w:name="_Toc92895022"/>
      <w:bookmarkStart w:id="539" w:name="_Toc92895326"/>
      <w:bookmarkStart w:id="540" w:name="_Toc109922760"/>
      <w:r>
        <w:t>Business Rates</w:t>
      </w:r>
      <w:bookmarkEnd w:id="538"/>
      <w:bookmarkEnd w:id="539"/>
      <w:bookmarkEnd w:id="540"/>
    </w:p>
    <w:p w14:paraId="7BBA649B" w14:textId="306F9373"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These are a levy on business properties based on a national rate in the pound applied to the ‘rateable value’ of the property. The </w:t>
      </w:r>
      <w:r w:rsidR="00EC49BA">
        <w:rPr>
          <w:rFonts w:ascii="Arial" w:hAnsi="Arial" w:cs="Arial"/>
          <w:color w:val="000000"/>
        </w:rPr>
        <w:t>g</w:t>
      </w:r>
      <w:r w:rsidRPr="0007572B">
        <w:rPr>
          <w:rFonts w:ascii="Arial" w:hAnsi="Arial" w:cs="Arial"/>
          <w:color w:val="000000"/>
        </w:rPr>
        <w:t xml:space="preserve">overnment determines that national rate poundage, local authorities collect the sums due, with distribution made in accordance with rules governing the </w:t>
      </w:r>
      <w:r>
        <w:rPr>
          <w:rFonts w:ascii="Arial" w:hAnsi="Arial" w:cs="Arial"/>
          <w:color w:val="000000"/>
        </w:rPr>
        <w:t>b</w:t>
      </w:r>
      <w:r w:rsidRPr="0007572B">
        <w:rPr>
          <w:rFonts w:ascii="Arial" w:hAnsi="Arial" w:cs="Arial"/>
          <w:color w:val="000000"/>
        </w:rPr>
        <w:t xml:space="preserve">usiness </w:t>
      </w:r>
      <w:r>
        <w:rPr>
          <w:rFonts w:ascii="Arial" w:hAnsi="Arial" w:cs="Arial"/>
          <w:color w:val="000000"/>
        </w:rPr>
        <w:t>r</w:t>
      </w:r>
      <w:r w:rsidRPr="0007572B">
        <w:rPr>
          <w:rFonts w:ascii="Arial" w:hAnsi="Arial" w:cs="Arial"/>
          <w:color w:val="000000"/>
        </w:rPr>
        <w:t>ates retention scheme.</w:t>
      </w:r>
    </w:p>
    <w:p w14:paraId="38B28FDC" w14:textId="77777777" w:rsidR="00795BE0" w:rsidRPr="0007572B" w:rsidRDefault="00795BE0" w:rsidP="006F1659">
      <w:pPr>
        <w:pStyle w:val="Heading3"/>
        <w:spacing w:line="360" w:lineRule="auto"/>
      </w:pPr>
      <w:bookmarkStart w:id="541" w:name="_Toc92895023"/>
      <w:bookmarkStart w:id="542" w:name="_Toc92895327"/>
      <w:bookmarkStart w:id="543" w:name="_Toc109922761"/>
      <w:r w:rsidRPr="0007572B">
        <w:t>Operating Lease</w:t>
      </w:r>
      <w:bookmarkEnd w:id="541"/>
      <w:bookmarkEnd w:id="542"/>
      <w:bookmarkEnd w:id="543"/>
    </w:p>
    <w:p w14:paraId="3545C70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 lease other than a finance lease.</w:t>
      </w:r>
    </w:p>
    <w:p w14:paraId="50F07AA2" w14:textId="77777777" w:rsidR="00795BE0" w:rsidRPr="0007572B" w:rsidRDefault="00795BE0" w:rsidP="006F1659">
      <w:pPr>
        <w:pStyle w:val="Heading3"/>
        <w:spacing w:line="360" w:lineRule="auto"/>
      </w:pPr>
      <w:bookmarkStart w:id="544" w:name="_Toc92895024"/>
      <w:bookmarkStart w:id="545" w:name="_Toc92895328"/>
      <w:bookmarkStart w:id="546" w:name="_Toc109922762"/>
      <w:r w:rsidRPr="0007572B">
        <w:t>Past Service Cost</w:t>
      </w:r>
      <w:bookmarkEnd w:id="544"/>
      <w:bookmarkEnd w:id="545"/>
      <w:bookmarkEnd w:id="546"/>
    </w:p>
    <w:p w14:paraId="349D69B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For a defined benefit pension scheme, the increase in present value of the scheme liabilities related to employee service in prior periods arising in the current period as a result of the introduction of, or improvement to, retirement benefits.</w:t>
      </w:r>
    </w:p>
    <w:p w14:paraId="15ECD17F" w14:textId="77777777" w:rsidR="00795BE0" w:rsidRPr="0007572B" w:rsidRDefault="00795BE0" w:rsidP="006F1659">
      <w:pPr>
        <w:pStyle w:val="Heading3"/>
        <w:spacing w:line="360" w:lineRule="auto"/>
      </w:pPr>
      <w:bookmarkStart w:id="547" w:name="_Toc92895025"/>
      <w:bookmarkStart w:id="548" w:name="_Toc92895329"/>
      <w:bookmarkStart w:id="549" w:name="_Toc109922763"/>
      <w:r w:rsidRPr="0007572B">
        <w:t>Payments in Advance</w:t>
      </w:r>
      <w:bookmarkEnd w:id="547"/>
      <w:bookmarkEnd w:id="548"/>
      <w:bookmarkEnd w:id="549"/>
    </w:p>
    <w:p w14:paraId="392DA3F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actually paid in an accounting period prior to the period in which they are due</w:t>
      </w:r>
    </w:p>
    <w:p w14:paraId="26F828BA" w14:textId="77777777" w:rsidR="00795BE0" w:rsidRPr="0007572B" w:rsidRDefault="00795BE0" w:rsidP="006F1659">
      <w:pPr>
        <w:pStyle w:val="Heading3"/>
        <w:spacing w:line="360" w:lineRule="auto"/>
      </w:pPr>
      <w:bookmarkStart w:id="550" w:name="_Toc92895026"/>
      <w:bookmarkStart w:id="551" w:name="_Toc92895330"/>
      <w:bookmarkStart w:id="552" w:name="_Toc109922764"/>
      <w:r w:rsidRPr="0007572B">
        <w:t>Pension Funds</w:t>
      </w:r>
      <w:bookmarkEnd w:id="550"/>
      <w:bookmarkEnd w:id="551"/>
      <w:bookmarkEnd w:id="552"/>
    </w:p>
    <w:p w14:paraId="193F33ED"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Authority is required to set up a separate fund from the rest of its operation for transactions relating to firefighters’ and police pension arrangements. The funds are balanced to nil each year by the receipt of a pensions top-up grant from the Department for Communities and Local Government.</w:t>
      </w:r>
    </w:p>
    <w:p w14:paraId="28B7C219" w14:textId="77777777" w:rsidR="00795BE0" w:rsidRPr="0007572B" w:rsidRDefault="00795BE0" w:rsidP="006F1659">
      <w:pPr>
        <w:pStyle w:val="Heading3"/>
        <w:spacing w:line="360" w:lineRule="auto"/>
      </w:pPr>
      <w:bookmarkStart w:id="553" w:name="_Toc92895027"/>
      <w:bookmarkStart w:id="554" w:name="_Toc92895331"/>
      <w:bookmarkStart w:id="555" w:name="_Toc109922765"/>
      <w:r w:rsidRPr="0007572B">
        <w:t>Precept</w:t>
      </w:r>
      <w:bookmarkEnd w:id="553"/>
      <w:bookmarkEnd w:id="554"/>
      <w:bookmarkEnd w:id="555"/>
    </w:p>
    <w:p w14:paraId="2C9DF8F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amount of money levied by one authority (the precepting authority) which is collected by another authority (the collecting authority) as part of the council tax. The Authority is the precepting authority and the GM Authorities are the collecting authorities.</w:t>
      </w:r>
    </w:p>
    <w:p w14:paraId="43662627" w14:textId="77777777" w:rsidR="00795BE0" w:rsidRPr="0007572B" w:rsidRDefault="00795BE0" w:rsidP="006F1659">
      <w:pPr>
        <w:pStyle w:val="Heading3"/>
        <w:spacing w:line="360" w:lineRule="auto"/>
      </w:pPr>
      <w:bookmarkStart w:id="556" w:name="_Toc92895028"/>
      <w:bookmarkStart w:id="557" w:name="_Toc92895332"/>
      <w:bookmarkStart w:id="558" w:name="_Toc109922766"/>
      <w:r w:rsidRPr="0007572B">
        <w:t>Prior Year Adjustments</w:t>
      </w:r>
      <w:bookmarkEnd w:id="556"/>
      <w:bookmarkEnd w:id="557"/>
      <w:bookmarkEnd w:id="558"/>
    </w:p>
    <w:p w14:paraId="40D2860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Material adjustments to the accounts of earlier years arising from changes in accounting policies or from the correction of fundamental errors. They do not include normal recurring corrections or adjustments of accounting estimates made in prior years.</w:t>
      </w:r>
    </w:p>
    <w:p w14:paraId="676B940D" w14:textId="77777777" w:rsidR="00795BE0" w:rsidRPr="0007572B" w:rsidRDefault="00795BE0" w:rsidP="006F1659">
      <w:pPr>
        <w:pStyle w:val="Heading3"/>
        <w:spacing w:line="360" w:lineRule="auto"/>
      </w:pPr>
      <w:bookmarkStart w:id="559" w:name="_Toc92895029"/>
      <w:bookmarkStart w:id="560" w:name="_Toc92895333"/>
      <w:bookmarkStart w:id="561" w:name="_Toc109922767"/>
      <w:r w:rsidRPr="0007572B">
        <w:t>Private Finance Initiative (PFI)</w:t>
      </w:r>
      <w:bookmarkEnd w:id="559"/>
      <w:bookmarkEnd w:id="560"/>
      <w:bookmarkEnd w:id="561"/>
    </w:p>
    <w:p w14:paraId="251B9FB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partnership between the private and public sectors that uses private sector financing to provide public sector assets. The partnership has to meet certain criteria to qualify for Central Government subsidy.</w:t>
      </w:r>
    </w:p>
    <w:p w14:paraId="2FCA5BDD" w14:textId="77777777" w:rsidR="00795BE0" w:rsidRPr="0007572B" w:rsidRDefault="00795BE0" w:rsidP="006F1659">
      <w:pPr>
        <w:pStyle w:val="Heading3"/>
        <w:spacing w:line="360" w:lineRule="auto"/>
      </w:pPr>
      <w:bookmarkStart w:id="562" w:name="_Toc92895030"/>
      <w:bookmarkStart w:id="563" w:name="_Toc92895334"/>
      <w:bookmarkStart w:id="564" w:name="_Toc109922768"/>
      <w:r w:rsidRPr="0007572B">
        <w:t>Provisions</w:t>
      </w:r>
      <w:bookmarkEnd w:id="562"/>
      <w:bookmarkEnd w:id="563"/>
      <w:bookmarkEnd w:id="564"/>
    </w:p>
    <w:p w14:paraId="0132EBDB"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sums set aside to meet liabilities or losses that have been incurred but where the amount and/or timing of such costs are uncertain.</w:t>
      </w:r>
    </w:p>
    <w:p w14:paraId="198ED760" w14:textId="77777777" w:rsidR="00795BE0" w:rsidRPr="0007572B" w:rsidRDefault="00795BE0" w:rsidP="006F1659">
      <w:pPr>
        <w:pStyle w:val="Heading3"/>
        <w:spacing w:line="360" w:lineRule="auto"/>
      </w:pPr>
      <w:bookmarkStart w:id="565" w:name="_Toc92895031"/>
      <w:bookmarkStart w:id="566" w:name="_Toc92895335"/>
      <w:bookmarkStart w:id="567" w:name="_Toc109922769"/>
      <w:r w:rsidRPr="0007572B">
        <w:t>Public Works Loan Board (PWLB)</w:t>
      </w:r>
      <w:bookmarkEnd w:id="565"/>
      <w:bookmarkEnd w:id="566"/>
      <w:bookmarkEnd w:id="567"/>
    </w:p>
    <w:p w14:paraId="17E934CD" w14:textId="7CC25410"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 </w:t>
      </w:r>
      <w:r w:rsidR="00EC49BA">
        <w:rPr>
          <w:rFonts w:ascii="Arial" w:hAnsi="Arial" w:cs="Arial"/>
          <w:color w:val="000000"/>
        </w:rPr>
        <w:t>g</w:t>
      </w:r>
      <w:r w:rsidRPr="0007572B">
        <w:rPr>
          <w:rFonts w:ascii="Arial" w:hAnsi="Arial" w:cs="Arial"/>
          <w:color w:val="000000"/>
        </w:rPr>
        <w:t>overnment agency that lends money to local authorities. Local authorities are able to borrow some or all of their requirements to finance capital expenditure from this source.</w:t>
      </w:r>
    </w:p>
    <w:p w14:paraId="689B60EB" w14:textId="77777777" w:rsidR="00795BE0" w:rsidRPr="0007572B" w:rsidRDefault="00795BE0" w:rsidP="006F1659">
      <w:pPr>
        <w:pStyle w:val="Heading3"/>
        <w:spacing w:line="360" w:lineRule="auto"/>
      </w:pPr>
      <w:bookmarkStart w:id="568" w:name="_Toc92895032"/>
      <w:bookmarkStart w:id="569" w:name="_Toc92895336"/>
      <w:bookmarkStart w:id="570" w:name="_Toc109922770"/>
      <w:r w:rsidRPr="0007572B">
        <w:t>Receipts in Advance</w:t>
      </w:r>
      <w:bookmarkEnd w:id="568"/>
      <w:bookmarkEnd w:id="569"/>
      <w:bookmarkEnd w:id="570"/>
    </w:p>
    <w:p w14:paraId="2BE201A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Amounts actually received in an accounting period prior to the period in which they are due.</w:t>
      </w:r>
    </w:p>
    <w:p w14:paraId="186669F1" w14:textId="77777777" w:rsidR="00795BE0" w:rsidRPr="0007572B" w:rsidRDefault="00795BE0" w:rsidP="006F1659">
      <w:pPr>
        <w:pStyle w:val="Heading3"/>
        <w:spacing w:line="360" w:lineRule="auto"/>
      </w:pPr>
      <w:bookmarkStart w:id="571" w:name="_Toc92895033"/>
      <w:bookmarkStart w:id="572" w:name="_Toc92895337"/>
      <w:bookmarkStart w:id="573" w:name="_Toc109922771"/>
      <w:r w:rsidRPr="0007572B">
        <w:t>Residual Value</w:t>
      </w:r>
      <w:bookmarkEnd w:id="571"/>
      <w:bookmarkEnd w:id="572"/>
      <w:bookmarkEnd w:id="573"/>
    </w:p>
    <w:p w14:paraId="2BFB093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 net realisable value of property, plant or equipment at the end of its useful life. </w:t>
      </w:r>
    </w:p>
    <w:p w14:paraId="589D1B1B" w14:textId="77777777" w:rsidR="00795BE0" w:rsidRPr="0007572B" w:rsidRDefault="00795BE0" w:rsidP="006F1659">
      <w:pPr>
        <w:pStyle w:val="Heading3"/>
        <w:spacing w:line="360" w:lineRule="auto"/>
      </w:pPr>
      <w:bookmarkStart w:id="574" w:name="_Toc92895034"/>
      <w:bookmarkStart w:id="575" w:name="_Toc92895338"/>
      <w:bookmarkStart w:id="576" w:name="_Toc109922772"/>
      <w:r w:rsidRPr="0007572B">
        <w:t>Reserves</w:t>
      </w:r>
      <w:bookmarkEnd w:id="574"/>
      <w:bookmarkEnd w:id="575"/>
      <w:bookmarkEnd w:id="576"/>
    </w:p>
    <w:p w14:paraId="1E25C76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sums set aside to meet possible future costs where there is no certainty about whether or not these costs will be incurred.</w:t>
      </w:r>
    </w:p>
    <w:p w14:paraId="2A5EB5A6" w14:textId="77777777" w:rsidR="00795BE0" w:rsidRPr="0007572B" w:rsidRDefault="00795BE0" w:rsidP="006F1659">
      <w:pPr>
        <w:pStyle w:val="Heading3"/>
        <w:spacing w:line="360" w:lineRule="auto"/>
      </w:pPr>
      <w:bookmarkStart w:id="577" w:name="_Toc92895035"/>
      <w:bookmarkStart w:id="578" w:name="_Toc92895339"/>
      <w:bookmarkStart w:id="579" w:name="_Toc109922773"/>
      <w:r w:rsidRPr="0007572B">
        <w:t>Revenue Contributions</w:t>
      </w:r>
      <w:bookmarkEnd w:id="577"/>
      <w:bookmarkEnd w:id="578"/>
      <w:bookmarkEnd w:id="579"/>
    </w:p>
    <w:p w14:paraId="0E6B59E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 method of financing capital expenditure directly from revenue. </w:t>
      </w:r>
    </w:p>
    <w:p w14:paraId="4763C589" w14:textId="77777777" w:rsidR="00795BE0" w:rsidRPr="0007572B" w:rsidRDefault="00795BE0" w:rsidP="006F1659">
      <w:pPr>
        <w:pStyle w:val="Heading3"/>
        <w:spacing w:line="360" w:lineRule="auto"/>
      </w:pPr>
      <w:bookmarkStart w:id="580" w:name="_Toc92895036"/>
      <w:bookmarkStart w:id="581" w:name="_Toc92895340"/>
      <w:bookmarkStart w:id="582" w:name="_Toc109922774"/>
      <w:r w:rsidRPr="0007572B">
        <w:t>Revenue Expenditure</w:t>
      </w:r>
      <w:bookmarkEnd w:id="580"/>
      <w:bookmarkEnd w:id="581"/>
      <w:bookmarkEnd w:id="582"/>
    </w:p>
    <w:p w14:paraId="599DE67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Expenditure incurred on the day-to-day running of the Authority and Group. This mainly includes staff recharge costs, general running expenses and capital financing costs.</w:t>
      </w:r>
    </w:p>
    <w:p w14:paraId="199F714C" w14:textId="77777777" w:rsidR="00795BE0" w:rsidRPr="0007572B" w:rsidRDefault="00795BE0" w:rsidP="006F1659">
      <w:pPr>
        <w:pStyle w:val="Heading3"/>
        <w:spacing w:line="360" w:lineRule="auto"/>
      </w:pPr>
      <w:bookmarkStart w:id="583" w:name="_Toc92895037"/>
      <w:bookmarkStart w:id="584" w:name="_Toc92895341"/>
      <w:bookmarkStart w:id="585" w:name="_Toc109922775"/>
      <w:r w:rsidRPr="0007572B">
        <w:t>Revenue Expenditure Funded from Capital Under Statute (REFCUS)</w:t>
      </w:r>
      <w:bookmarkEnd w:id="583"/>
      <w:bookmarkEnd w:id="584"/>
      <w:bookmarkEnd w:id="585"/>
    </w:p>
    <w:p w14:paraId="14CA331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These are items of capital expenditure that do not result in, or remain matched by, the Authority’s property, plant and equipment. </w:t>
      </w:r>
    </w:p>
    <w:p w14:paraId="2C1617CD" w14:textId="77777777" w:rsidR="00795BE0" w:rsidRPr="0007572B" w:rsidRDefault="00795BE0" w:rsidP="006F1659">
      <w:pPr>
        <w:pStyle w:val="Heading3"/>
        <w:spacing w:line="360" w:lineRule="auto"/>
      </w:pPr>
      <w:bookmarkStart w:id="586" w:name="_Toc92895038"/>
      <w:bookmarkStart w:id="587" w:name="_Toc92895342"/>
      <w:bookmarkStart w:id="588" w:name="_Toc109922776"/>
      <w:r w:rsidRPr="0007572B">
        <w:t>Settlement</w:t>
      </w:r>
      <w:bookmarkEnd w:id="586"/>
      <w:bookmarkEnd w:id="587"/>
      <w:bookmarkEnd w:id="588"/>
    </w:p>
    <w:p w14:paraId="669BDA4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irrevocable action that relieves the employer of the primary responsibility for a pension obligation and eliminates significant risks relating to the obligations and the assets used to effect the settlement</w:t>
      </w:r>
    </w:p>
    <w:p w14:paraId="0411C896" w14:textId="77777777" w:rsidR="00795BE0" w:rsidRPr="0007572B" w:rsidRDefault="00795BE0" w:rsidP="006F1659">
      <w:pPr>
        <w:pStyle w:val="Heading3"/>
        <w:spacing w:line="360" w:lineRule="auto"/>
      </w:pPr>
      <w:bookmarkStart w:id="589" w:name="_Toc92895039"/>
      <w:bookmarkStart w:id="590" w:name="_Toc92895343"/>
      <w:bookmarkStart w:id="591" w:name="_Toc109922777"/>
      <w:r w:rsidRPr="0007572B">
        <w:t>Unfunded Pension Scheme</w:t>
      </w:r>
      <w:bookmarkEnd w:id="589"/>
      <w:bookmarkEnd w:id="590"/>
      <w:bookmarkEnd w:id="591"/>
    </w:p>
    <w:p w14:paraId="3948E07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is one in which liabilities for pension benefits are charged to the employer's revenue account in the year in which they arise and are not financed from investments held. The Authority operates such a scheme for its firefighters.</w:t>
      </w:r>
    </w:p>
    <w:p w14:paraId="3BD7CAA9" w14:textId="77777777" w:rsidR="00795BE0" w:rsidRPr="0007572B" w:rsidRDefault="00795BE0" w:rsidP="006F1659">
      <w:pPr>
        <w:spacing w:line="360" w:lineRule="auto"/>
        <w:rPr>
          <w:rFonts w:ascii="Arial" w:hAnsi="Arial" w:cs="Arial"/>
          <w:color w:val="000000"/>
        </w:rPr>
      </w:pPr>
    </w:p>
    <w:sectPr w:rsidR="00795BE0" w:rsidRPr="0007572B" w:rsidSect="004833A2">
      <w:pgSz w:w="11940" w:h="16860"/>
      <w:pgMar w:top="920" w:right="154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6D6D5" w14:textId="77777777" w:rsidR="00A443D0" w:rsidRDefault="00A443D0">
      <w:r>
        <w:separator/>
      </w:r>
    </w:p>
  </w:endnote>
  <w:endnote w:type="continuationSeparator" w:id="0">
    <w:p w14:paraId="6CE591ED" w14:textId="77777777" w:rsidR="00A443D0" w:rsidRDefault="00A443D0">
      <w:r>
        <w:continuationSeparator/>
      </w:r>
    </w:p>
  </w:endnote>
  <w:endnote w:type="continuationNotice" w:id="1">
    <w:p w14:paraId="3EFDDEA9" w14:textId="77777777" w:rsidR="00A443D0" w:rsidRDefault="00A4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 Lola">
    <w:altName w:val="Cambria"/>
    <w:panose1 w:val="00000000000000000000"/>
    <w:charset w:val="00"/>
    <w:family w:val="roman"/>
    <w:notTrueType/>
    <w:pitch w:val="default"/>
    <w:sig w:usb0="00000003" w:usb1="00000000" w:usb2="00000000" w:usb3="00000000" w:csb0="00000001" w:csb1="00000000"/>
  </w:font>
  <w:font w:name="FS Lola Medium">
    <w:altName w:val="Cambria"/>
    <w:panose1 w:val="00000000000000000000"/>
    <w:charset w:val="00"/>
    <w:family w:val="roman"/>
    <w:notTrueType/>
    <w:pitch w:val="default"/>
    <w:sig w:usb0="00000003" w:usb1="00000000" w:usb2="00000000" w:usb3="00000000" w:csb0="00000001" w:csb1="00000000"/>
  </w:font>
  <w:font w:name="Colfax-Medium">
    <w:altName w:val="Times New Roman"/>
    <w:panose1 w:val="00000000000000000000"/>
    <w:charset w:val="00"/>
    <w:family w:val="roman"/>
    <w:notTrueType/>
    <w:pitch w:val="default"/>
  </w:font>
  <w:font w:name="ヒラギノ角ゴ Pro W3">
    <w:altName w:val="Arial Unicode MS"/>
    <w:charset w:val="80"/>
    <w:family w:val="auto"/>
    <w:pitch w:val="variable"/>
    <w:sig w:usb0="E00002FF" w:usb1="7AC7FFFF" w:usb2="00000012" w:usb3="00000000" w:csb0="0002000D" w:csb1="00000000"/>
  </w:font>
  <w:font w:name="Poppins Light">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6F70C" w14:textId="30F7DEC4" w:rsidR="00E83847" w:rsidRDefault="00E8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7CC">
      <w:rPr>
        <w:rStyle w:val="PageNumber"/>
        <w:noProof/>
      </w:rPr>
      <w:t>1</w:t>
    </w:r>
    <w:r>
      <w:rPr>
        <w:rStyle w:val="PageNumber"/>
      </w:rPr>
      <w:fldChar w:fldCharType="end"/>
    </w:r>
  </w:p>
  <w:p w14:paraId="1CE040FB" w14:textId="77777777" w:rsidR="00E83847" w:rsidRDefault="00E8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A7EE" w14:textId="77777777" w:rsidR="00E83847" w:rsidRDefault="00E83847" w:rsidP="00DD5B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319908"/>
      <w:docPartObj>
        <w:docPartGallery w:val="Page Numbers (Bottom of Page)"/>
        <w:docPartUnique/>
      </w:docPartObj>
    </w:sdtPr>
    <w:sdtEndPr>
      <w:rPr>
        <w:noProof/>
      </w:rPr>
    </w:sdtEndPr>
    <w:sdtContent>
      <w:p w14:paraId="2D1B0F10" w14:textId="0776DF4E" w:rsidR="00E83847" w:rsidRDefault="00E83847" w:rsidP="007C2B5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F4451" w14:textId="77777777" w:rsidR="00A443D0" w:rsidRDefault="00A443D0">
      <w:r>
        <w:separator/>
      </w:r>
    </w:p>
  </w:footnote>
  <w:footnote w:type="continuationSeparator" w:id="0">
    <w:p w14:paraId="4DB477D6" w14:textId="77777777" w:rsidR="00A443D0" w:rsidRDefault="00A443D0">
      <w:r>
        <w:continuationSeparator/>
      </w:r>
    </w:p>
  </w:footnote>
  <w:footnote w:type="continuationNotice" w:id="1">
    <w:p w14:paraId="7438AC2E" w14:textId="77777777" w:rsidR="00A443D0" w:rsidRDefault="00A4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6DD1" w14:textId="77777777" w:rsidR="00E83847" w:rsidRPr="00DA344C" w:rsidRDefault="00E83847" w:rsidP="00DA3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C2A9" w14:textId="1DE2231E" w:rsidR="00E83847" w:rsidRDefault="00E83847" w:rsidP="008064FB">
    <w:pPr>
      <w:pStyle w:val="Header"/>
      <w:jc w:val="center"/>
      <w:rPr>
        <w:rFonts w:ascii="Verdana" w:hAnsi="Verdana"/>
        <w:sz w:val="20"/>
        <w:szCs w:val="20"/>
      </w:rPr>
    </w:pPr>
    <w:r w:rsidRPr="00F556DF">
      <w:rPr>
        <w:rFonts w:ascii="Verdana" w:hAnsi="Verdana"/>
        <w:sz w:val="20"/>
        <w:szCs w:val="20"/>
      </w:rPr>
      <w:t xml:space="preserve">Greater Manchester Combined Authority </w:t>
    </w:r>
    <w:r w:rsidR="00454112">
      <w:rPr>
        <w:rFonts w:ascii="Verdana" w:hAnsi="Verdana"/>
        <w:sz w:val="20"/>
        <w:szCs w:val="20"/>
      </w:rPr>
      <w:t>Audited</w:t>
    </w:r>
    <w:r>
      <w:rPr>
        <w:rFonts w:ascii="Verdana" w:hAnsi="Verdana"/>
        <w:sz w:val="20"/>
        <w:szCs w:val="20"/>
      </w:rPr>
      <w:t xml:space="preserve"> </w:t>
    </w:r>
    <w:r w:rsidRPr="00F556DF">
      <w:rPr>
        <w:rFonts w:ascii="Verdana" w:hAnsi="Verdana"/>
        <w:sz w:val="20"/>
        <w:szCs w:val="20"/>
      </w:rPr>
      <w:t>Statement of Accounts 20</w:t>
    </w:r>
    <w:r>
      <w:rPr>
        <w:rFonts w:ascii="Verdana" w:hAnsi="Verdana"/>
        <w:sz w:val="20"/>
        <w:szCs w:val="20"/>
      </w:rPr>
      <w:t>2</w:t>
    </w:r>
    <w:r w:rsidR="00F951A0">
      <w:rPr>
        <w:rFonts w:ascii="Verdana" w:hAnsi="Verdana"/>
        <w:sz w:val="20"/>
        <w:szCs w:val="20"/>
      </w:rPr>
      <w:t>2</w:t>
    </w:r>
    <w:r w:rsidRPr="00F556DF">
      <w:rPr>
        <w:rFonts w:ascii="Verdana" w:hAnsi="Verdana"/>
        <w:sz w:val="20"/>
        <w:szCs w:val="20"/>
      </w:rPr>
      <w:t>/2</w:t>
    </w:r>
    <w:r w:rsidR="00F951A0">
      <w:rPr>
        <w:rFonts w:ascii="Verdana" w:hAnsi="Verdana"/>
        <w:sz w:val="20"/>
        <w:szCs w:val="20"/>
      </w:rPr>
      <w:t>3</w:t>
    </w:r>
  </w:p>
  <w:p w14:paraId="289E4CA0" w14:textId="5BEE5883" w:rsidR="00B53098" w:rsidRDefault="00B53098" w:rsidP="00B53098">
    <w:pPr>
      <w:pStyle w:val="Header"/>
      <w:rPr>
        <w:rFonts w:ascii="Verdana" w:hAnsi="Verdana"/>
        <w:sz w:val="20"/>
        <w:szCs w:val="20"/>
      </w:rPr>
    </w:pPr>
    <w:r>
      <w:rPr>
        <w:rFonts w:ascii="Verdana" w:hAnsi="Verdana"/>
        <w:sz w:val="20"/>
        <w:szCs w:val="20"/>
      </w:rPr>
      <w:tab/>
    </w:r>
  </w:p>
  <w:p w14:paraId="087B5458" w14:textId="77777777" w:rsidR="00E83847" w:rsidRPr="00F556DF" w:rsidRDefault="00E83847" w:rsidP="008064FB">
    <w:pPr>
      <w:pStyle w:val="Header"/>
      <w:jc w:val="center"/>
      <w:rPr>
        <w:rFonts w:ascii="Verdana" w:hAnsi="Verdana"/>
        <w:sz w:val="20"/>
        <w:szCs w:val="20"/>
      </w:rPr>
    </w:pPr>
  </w:p>
  <w:p w14:paraId="475DBDB6" w14:textId="77777777" w:rsidR="00E83847" w:rsidRPr="008064FB" w:rsidRDefault="00E83847" w:rsidP="00DA6CE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1E0E" w14:textId="17E6CB47" w:rsidR="00E83847" w:rsidRPr="008064FB" w:rsidRDefault="00E83847" w:rsidP="008064FB">
    <w:pPr>
      <w:pStyle w:val="Header"/>
      <w:jc w:val="center"/>
      <w:rPr>
        <w:sz w:val="20"/>
        <w:szCs w:val="20"/>
      </w:rPr>
    </w:pPr>
    <w:r w:rsidRPr="008064FB">
      <w:rPr>
        <w:sz w:val="20"/>
        <w:szCs w:val="20"/>
      </w:rPr>
      <w:t xml:space="preserve">Greater Manchester Combined Authority </w:t>
    </w:r>
    <w:r w:rsidR="009D2D1A">
      <w:rPr>
        <w:sz w:val="20"/>
        <w:szCs w:val="20"/>
      </w:rPr>
      <w:t>Draft</w:t>
    </w:r>
    <w:r>
      <w:rPr>
        <w:sz w:val="20"/>
        <w:szCs w:val="20"/>
      </w:rPr>
      <w:t xml:space="preserve"> </w:t>
    </w:r>
    <w:r w:rsidRPr="008064FB">
      <w:rPr>
        <w:sz w:val="20"/>
        <w:szCs w:val="20"/>
      </w:rPr>
      <w:t>Statement of Accounts 20</w:t>
    </w:r>
    <w:r>
      <w:rPr>
        <w:sz w:val="20"/>
        <w:szCs w:val="20"/>
      </w:rPr>
      <w:t>2</w:t>
    </w:r>
    <w:r w:rsidR="00A5327B">
      <w:rPr>
        <w:sz w:val="20"/>
        <w:szCs w:val="20"/>
      </w:rPr>
      <w:t>2</w:t>
    </w:r>
    <w:r>
      <w:rPr>
        <w:sz w:val="20"/>
        <w:szCs w:val="20"/>
      </w:rPr>
      <w:t>/2</w:t>
    </w:r>
    <w:r w:rsidR="00A5327B">
      <w:rPr>
        <w:sz w:val="20"/>
        <w:szCs w:val="20"/>
      </w:rPr>
      <w:t>3</w:t>
    </w:r>
  </w:p>
  <w:p w14:paraId="57D0C6A4" w14:textId="77777777" w:rsidR="00E83847" w:rsidRPr="008064FB" w:rsidRDefault="00E83847" w:rsidP="00DA6CEE">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81A5" w14:textId="08A28B60" w:rsidR="00795BE0" w:rsidRPr="008064FB" w:rsidRDefault="00795BE0" w:rsidP="008064FB">
    <w:pPr>
      <w:pStyle w:val="Header"/>
      <w:jc w:val="center"/>
      <w:rPr>
        <w:sz w:val="20"/>
        <w:szCs w:val="20"/>
      </w:rPr>
    </w:pPr>
    <w:r w:rsidRPr="008064FB">
      <w:rPr>
        <w:sz w:val="20"/>
        <w:szCs w:val="20"/>
      </w:rPr>
      <w:t xml:space="preserve">Greater Manchester Combined Authority </w:t>
    </w:r>
    <w:r>
      <w:rPr>
        <w:sz w:val="20"/>
        <w:szCs w:val="20"/>
      </w:rPr>
      <w:t xml:space="preserve">Draft </w:t>
    </w:r>
    <w:r w:rsidRPr="008064FB">
      <w:rPr>
        <w:sz w:val="20"/>
        <w:szCs w:val="20"/>
      </w:rPr>
      <w:t>Statement of Accounts 20</w:t>
    </w:r>
    <w:r>
      <w:rPr>
        <w:sz w:val="20"/>
        <w:szCs w:val="20"/>
      </w:rPr>
      <w:t>2</w:t>
    </w:r>
    <w:r w:rsidR="00A5327B">
      <w:rPr>
        <w:sz w:val="20"/>
        <w:szCs w:val="20"/>
      </w:rPr>
      <w:t>2</w:t>
    </w:r>
    <w:r>
      <w:rPr>
        <w:sz w:val="20"/>
        <w:szCs w:val="20"/>
      </w:rPr>
      <w:t>/2</w:t>
    </w:r>
    <w:r w:rsidR="00A5327B">
      <w:rPr>
        <w:sz w:val="20"/>
        <w:szCs w:val="20"/>
      </w:rPr>
      <w:t>3</w:t>
    </w:r>
  </w:p>
  <w:p w14:paraId="460D9EB6" w14:textId="77777777" w:rsidR="00795BE0" w:rsidRPr="008064FB" w:rsidRDefault="00795BE0" w:rsidP="00DA6CE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C9A505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hybridMultilevel"/>
    <w:tmpl w:val="CB66AAC8"/>
    <w:lvl w:ilvl="0" w:tplc="9FF4E77A">
      <w:start w:val="1"/>
      <w:numFmt w:val="bullet"/>
      <w:lvlText w:val=""/>
      <w:lvlJc w:val="left"/>
      <w:pPr>
        <w:ind w:left="1110" w:hanging="360"/>
      </w:pPr>
      <w:rPr>
        <w:rFonts w:ascii="Symbol" w:hAnsi="Symbol" w:hint="default"/>
      </w:rPr>
    </w:lvl>
    <w:lvl w:ilvl="1" w:tplc="FA308570">
      <w:start w:val="1"/>
      <w:numFmt w:val="bullet"/>
      <w:lvlText w:val="o"/>
      <w:lvlJc w:val="left"/>
      <w:pPr>
        <w:ind w:left="1830" w:hanging="360"/>
      </w:pPr>
      <w:rPr>
        <w:rFonts w:ascii="Courier New" w:hAnsi="Courier New" w:cs="Courier New" w:hint="default"/>
      </w:rPr>
    </w:lvl>
    <w:lvl w:ilvl="2" w:tplc="BFFC999C">
      <w:start w:val="1"/>
      <w:numFmt w:val="bullet"/>
      <w:lvlText w:val=""/>
      <w:lvlJc w:val="left"/>
      <w:pPr>
        <w:ind w:left="2550" w:hanging="360"/>
      </w:pPr>
      <w:rPr>
        <w:rFonts w:ascii="Wingdings" w:hAnsi="Wingdings" w:hint="default"/>
      </w:rPr>
    </w:lvl>
    <w:lvl w:ilvl="3" w:tplc="9CC0F4F0">
      <w:start w:val="1"/>
      <w:numFmt w:val="bullet"/>
      <w:lvlText w:val=""/>
      <w:lvlJc w:val="left"/>
      <w:pPr>
        <w:ind w:left="3270" w:hanging="360"/>
      </w:pPr>
      <w:rPr>
        <w:rFonts w:ascii="Symbol" w:hAnsi="Symbol" w:hint="default"/>
      </w:rPr>
    </w:lvl>
    <w:lvl w:ilvl="4" w:tplc="31FCF9CC">
      <w:start w:val="1"/>
      <w:numFmt w:val="bullet"/>
      <w:lvlText w:val="o"/>
      <w:lvlJc w:val="left"/>
      <w:pPr>
        <w:ind w:left="3990" w:hanging="360"/>
      </w:pPr>
      <w:rPr>
        <w:rFonts w:ascii="Courier New" w:hAnsi="Courier New" w:cs="Courier New" w:hint="default"/>
      </w:rPr>
    </w:lvl>
    <w:lvl w:ilvl="5" w:tplc="B588AA30">
      <w:start w:val="1"/>
      <w:numFmt w:val="bullet"/>
      <w:lvlText w:val=""/>
      <w:lvlJc w:val="left"/>
      <w:pPr>
        <w:ind w:left="4710" w:hanging="360"/>
      </w:pPr>
      <w:rPr>
        <w:rFonts w:ascii="Wingdings" w:hAnsi="Wingdings" w:hint="default"/>
      </w:rPr>
    </w:lvl>
    <w:lvl w:ilvl="6" w:tplc="A4028FCA">
      <w:start w:val="1"/>
      <w:numFmt w:val="bullet"/>
      <w:lvlText w:val=""/>
      <w:lvlJc w:val="left"/>
      <w:pPr>
        <w:ind w:left="5430" w:hanging="360"/>
      </w:pPr>
      <w:rPr>
        <w:rFonts w:ascii="Symbol" w:hAnsi="Symbol" w:hint="default"/>
      </w:rPr>
    </w:lvl>
    <w:lvl w:ilvl="7" w:tplc="ACF01292">
      <w:start w:val="1"/>
      <w:numFmt w:val="bullet"/>
      <w:lvlText w:val="o"/>
      <w:lvlJc w:val="left"/>
      <w:pPr>
        <w:ind w:left="6150" w:hanging="360"/>
      </w:pPr>
      <w:rPr>
        <w:rFonts w:ascii="Courier New" w:hAnsi="Courier New" w:cs="Courier New" w:hint="default"/>
      </w:rPr>
    </w:lvl>
    <w:lvl w:ilvl="8" w:tplc="EED64BEE">
      <w:start w:val="1"/>
      <w:numFmt w:val="bullet"/>
      <w:lvlText w:val=""/>
      <w:lvlJc w:val="left"/>
      <w:pPr>
        <w:ind w:left="6870" w:hanging="360"/>
      </w:pPr>
      <w:rPr>
        <w:rFonts w:ascii="Wingdings" w:hAnsi="Wingdings" w:hint="default"/>
      </w:rPr>
    </w:lvl>
  </w:abstractNum>
  <w:abstractNum w:abstractNumId="2" w15:restartNumberingAfterBreak="0">
    <w:nsid w:val="0000000C"/>
    <w:multiLevelType w:val="hybridMultilevel"/>
    <w:tmpl w:val="15FCA580"/>
    <w:lvl w:ilvl="0" w:tplc="A770FF78">
      <w:start w:val="1"/>
      <w:numFmt w:val="bullet"/>
      <w:lvlText w:val=""/>
      <w:lvlJc w:val="left"/>
      <w:pPr>
        <w:ind w:left="1080" w:hanging="360"/>
      </w:pPr>
      <w:rPr>
        <w:rFonts w:ascii="Symbol" w:hAnsi="Symbol" w:hint="default"/>
      </w:rPr>
    </w:lvl>
    <w:lvl w:ilvl="1" w:tplc="2A3E01BE">
      <w:numFmt w:val="bullet"/>
      <w:lvlText w:val="·"/>
      <w:lvlJc w:val="left"/>
      <w:pPr>
        <w:ind w:left="1800" w:hanging="360"/>
      </w:pPr>
      <w:rPr>
        <w:rFonts w:ascii="Arial" w:eastAsia="Times New Roman" w:hAnsi="Arial" w:cs="Arial" w:hint="default"/>
      </w:rPr>
    </w:lvl>
    <w:lvl w:ilvl="2" w:tplc="4914EE2E">
      <w:start w:val="1"/>
      <w:numFmt w:val="bullet"/>
      <w:lvlText w:val=""/>
      <w:lvlJc w:val="left"/>
      <w:pPr>
        <w:ind w:left="2520" w:hanging="360"/>
      </w:pPr>
      <w:rPr>
        <w:rFonts w:ascii="Wingdings" w:hAnsi="Wingdings" w:hint="default"/>
      </w:rPr>
    </w:lvl>
    <w:lvl w:ilvl="3" w:tplc="0C14BE28">
      <w:start w:val="1"/>
      <w:numFmt w:val="bullet"/>
      <w:lvlText w:val=""/>
      <w:lvlJc w:val="left"/>
      <w:pPr>
        <w:ind w:left="3240" w:hanging="360"/>
      </w:pPr>
      <w:rPr>
        <w:rFonts w:ascii="Symbol" w:hAnsi="Symbol" w:hint="default"/>
      </w:rPr>
    </w:lvl>
    <w:lvl w:ilvl="4" w:tplc="9D80BAE6">
      <w:start w:val="1"/>
      <w:numFmt w:val="bullet"/>
      <w:lvlText w:val="o"/>
      <w:lvlJc w:val="left"/>
      <w:pPr>
        <w:ind w:left="3960" w:hanging="360"/>
      </w:pPr>
      <w:rPr>
        <w:rFonts w:ascii="Courier New" w:hAnsi="Courier New" w:cs="Courier New" w:hint="default"/>
      </w:rPr>
    </w:lvl>
    <w:lvl w:ilvl="5" w:tplc="7B5CE9C0">
      <w:start w:val="1"/>
      <w:numFmt w:val="bullet"/>
      <w:lvlText w:val=""/>
      <w:lvlJc w:val="left"/>
      <w:pPr>
        <w:ind w:left="4680" w:hanging="360"/>
      </w:pPr>
      <w:rPr>
        <w:rFonts w:ascii="Wingdings" w:hAnsi="Wingdings" w:hint="default"/>
      </w:rPr>
    </w:lvl>
    <w:lvl w:ilvl="6" w:tplc="085C2220">
      <w:start w:val="1"/>
      <w:numFmt w:val="bullet"/>
      <w:lvlText w:val=""/>
      <w:lvlJc w:val="left"/>
      <w:pPr>
        <w:ind w:left="5400" w:hanging="360"/>
      </w:pPr>
      <w:rPr>
        <w:rFonts w:ascii="Symbol" w:hAnsi="Symbol" w:hint="default"/>
      </w:rPr>
    </w:lvl>
    <w:lvl w:ilvl="7" w:tplc="7ED417FC">
      <w:start w:val="1"/>
      <w:numFmt w:val="bullet"/>
      <w:lvlText w:val="o"/>
      <w:lvlJc w:val="left"/>
      <w:pPr>
        <w:ind w:left="6120" w:hanging="360"/>
      </w:pPr>
      <w:rPr>
        <w:rFonts w:ascii="Courier New" w:hAnsi="Courier New" w:cs="Courier New" w:hint="default"/>
      </w:rPr>
    </w:lvl>
    <w:lvl w:ilvl="8" w:tplc="72500502">
      <w:start w:val="1"/>
      <w:numFmt w:val="bullet"/>
      <w:lvlText w:val=""/>
      <w:lvlJc w:val="left"/>
      <w:pPr>
        <w:ind w:left="6840" w:hanging="360"/>
      </w:pPr>
      <w:rPr>
        <w:rFonts w:ascii="Wingdings" w:hAnsi="Wingdings" w:hint="default"/>
      </w:rPr>
    </w:lvl>
  </w:abstractNum>
  <w:abstractNum w:abstractNumId="3" w15:restartNumberingAfterBreak="0">
    <w:nsid w:val="0000000E"/>
    <w:multiLevelType w:val="hybridMultilevel"/>
    <w:tmpl w:val="5C081DB6"/>
    <w:lvl w:ilvl="0" w:tplc="E77E77DC">
      <w:start w:val="1"/>
      <w:numFmt w:val="bullet"/>
      <w:lvlText w:val=""/>
      <w:lvlJc w:val="left"/>
      <w:pPr>
        <w:ind w:left="945" w:hanging="585"/>
      </w:pPr>
      <w:rPr>
        <w:rFonts w:ascii="Symbol" w:hAnsi="Symbol" w:hint="default"/>
      </w:rPr>
    </w:lvl>
    <w:lvl w:ilvl="1" w:tplc="C340E9B8">
      <w:start w:val="1"/>
      <w:numFmt w:val="bullet"/>
      <w:lvlText w:val=""/>
      <w:lvlJc w:val="left"/>
      <w:pPr>
        <w:ind w:left="1710" w:hanging="630"/>
      </w:pPr>
      <w:rPr>
        <w:rFonts w:ascii="Symbol" w:hAnsi="Symbol" w:hint="default"/>
      </w:rPr>
    </w:lvl>
    <w:lvl w:ilvl="2" w:tplc="BD26D1A0">
      <w:start w:val="1"/>
      <w:numFmt w:val="bullet"/>
      <w:lvlText w:val=""/>
      <w:lvlJc w:val="left"/>
      <w:pPr>
        <w:ind w:left="2160" w:hanging="360"/>
      </w:pPr>
      <w:rPr>
        <w:rFonts w:ascii="Wingdings" w:hAnsi="Wingdings" w:hint="default"/>
      </w:rPr>
    </w:lvl>
    <w:lvl w:ilvl="3" w:tplc="7E66944C">
      <w:start w:val="1"/>
      <w:numFmt w:val="bullet"/>
      <w:lvlText w:val=""/>
      <w:lvlJc w:val="left"/>
      <w:pPr>
        <w:ind w:left="2880" w:hanging="360"/>
      </w:pPr>
      <w:rPr>
        <w:rFonts w:ascii="Symbol" w:hAnsi="Symbol" w:hint="default"/>
      </w:rPr>
    </w:lvl>
    <w:lvl w:ilvl="4" w:tplc="BFBAF184">
      <w:start w:val="1"/>
      <w:numFmt w:val="bullet"/>
      <w:lvlText w:val="o"/>
      <w:lvlJc w:val="left"/>
      <w:pPr>
        <w:ind w:left="3600" w:hanging="360"/>
      </w:pPr>
      <w:rPr>
        <w:rFonts w:ascii="Courier New" w:hAnsi="Courier New" w:cs="Courier New" w:hint="default"/>
      </w:rPr>
    </w:lvl>
    <w:lvl w:ilvl="5" w:tplc="0C1A8BD2">
      <w:start w:val="1"/>
      <w:numFmt w:val="bullet"/>
      <w:lvlText w:val=""/>
      <w:lvlJc w:val="left"/>
      <w:pPr>
        <w:ind w:left="4320" w:hanging="360"/>
      </w:pPr>
      <w:rPr>
        <w:rFonts w:ascii="Wingdings" w:hAnsi="Wingdings" w:hint="default"/>
      </w:rPr>
    </w:lvl>
    <w:lvl w:ilvl="6" w:tplc="7D42C4EC">
      <w:start w:val="1"/>
      <w:numFmt w:val="bullet"/>
      <w:lvlText w:val=""/>
      <w:lvlJc w:val="left"/>
      <w:pPr>
        <w:ind w:left="5040" w:hanging="360"/>
      </w:pPr>
      <w:rPr>
        <w:rFonts w:ascii="Symbol" w:hAnsi="Symbol" w:hint="default"/>
      </w:rPr>
    </w:lvl>
    <w:lvl w:ilvl="7" w:tplc="0D62A720">
      <w:start w:val="1"/>
      <w:numFmt w:val="bullet"/>
      <w:lvlText w:val="o"/>
      <w:lvlJc w:val="left"/>
      <w:pPr>
        <w:ind w:left="5760" w:hanging="360"/>
      </w:pPr>
      <w:rPr>
        <w:rFonts w:ascii="Courier New" w:hAnsi="Courier New" w:cs="Courier New" w:hint="default"/>
      </w:rPr>
    </w:lvl>
    <w:lvl w:ilvl="8" w:tplc="F8849EFC">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D5AA9470"/>
    <w:lvl w:ilvl="0" w:tplc="40320894">
      <w:start w:val="1"/>
      <w:numFmt w:val="bullet"/>
      <w:lvlText w:val=""/>
      <w:lvlJc w:val="left"/>
      <w:pPr>
        <w:ind w:left="720" w:hanging="360"/>
      </w:pPr>
      <w:rPr>
        <w:rFonts w:ascii="Symbol" w:hAnsi="Symbol" w:hint="default"/>
      </w:rPr>
    </w:lvl>
    <w:lvl w:ilvl="1" w:tplc="8C32C630">
      <w:start w:val="1"/>
      <w:numFmt w:val="bullet"/>
      <w:lvlText w:val="o"/>
      <w:lvlJc w:val="left"/>
      <w:pPr>
        <w:ind w:left="1440" w:hanging="360"/>
      </w:pPr>
      <w:rPr>
        <w:rFonts w:ascii="Courier New" w:hAnsi="Courier New" w:cs="Courier New" w:hint="default"/>
      </w:rPr>
    </w:lvl>
    <w:lvl w:ilvl="2" w:tplc="933E49D4">
      <w:start w:val="1"/>
      <w:numFmt w:val="bullet"/>
      <w:lvlText w:val=""/>
      <w:lvlJc w:val="left"/>
      <w:pPr>
        <w:ind w:left="2160" w:hanging="360"/>
      </w:pPr>
      <w:rPr>
        <w:rFonts w:ascii="Wingdings" w:hAnsi="Wingdings" w:hint="default"/>
      </w:rPr>
    </w:lvl>
    <w:lvl w:ilvl="3" w:tplc="A5E8682A">
      <w:start w:val="1"/>
      <w:numFmt w:val="bullet"/>
      <w:lvlText w:val=""/>
      <w:lvlJc w:val="left"/>
      <w:pPr>
        <w:ind w:left="2880" w:hanging="360"/>
      </w:pPr>
      <w:rPr>
        <w:rFonts w:ascii="Symbol" w:hAnsi="Symbol" w:hint="default"/>
      </w:rPr>
    </w:lvl>
    <w:lvl w:ilvl="4" w:tplc="8FAAE0EC">
      <w:start w:val="1"/>
      <w:numFmt w:val="bullet"/>
      <w:lvlText w:val="o"/>
      <w:lvlJc w:val="left"/>
      <w:pPr>
        <w:ind w:left="3600" w:hanging="360"/>
      </w:pPr>
      <w:rPr>
        <w:rFonts w:ascii="Courier New" w:hAnsi="Courier New" w:cs="Courier New" w:hint="default"/>
      </w:rPr>
    </w:lvl>
    <w:lvl w:ilvl="5" w:tplc="65BEA2C2">
      <w:start w:val="1"/>
      <w:numFmt w:val="bullet"/>
      <w:lvlText w:val=""/>
      <w:lvlJc w:val="left"/>
      <w:pPr>
        <w:ind w:left="4320" w:hanging="360"/>
      </w:pPr>
      <w:rPr>
        <w:rFonts w:ascii="Wingdings" w:hAnsi="Wingdings" w:hint="default"/>
      </w:rPr>
    </w:lvl>
    <w:lvl w:ilvl="6" w:tplc="8A543C78">
      <w:start w:val="1"/>
      <w:numFmt w:val="bullet"/>
      <w:lvlText w:val=""/>
      <w:lvlJc w:val="left"/>
      <w:pPr>
        <w:ind w:left="5040" w:hanging="360"/>
      </w:pPr>
      <w:rPr>
        <w:rFonts w:ascii="Symbol" w:hAnsi="Symbol" w:hint="default"/>
      </w:rPr>
    </w:lvl>
    <w:lvl w:ilvl="7" w:tplc="4BD811D4">
      <w:start w:val="1"/>
      <w:numFmt w:val="bullet"/>
      <w:lvlText w:val="o"/>
      <w:lvlJc w:val="left"/>
      <w:pPr>
        <w:ind w:left="5760" w:hanging="360"/>
      </w:pPr>
      <w:rPr>
        <w:rFonts w:ascii="Courier New" w:hAnsi="Courier New" w:cs="Courier New" w:hint="default"/>
      </w:rPr>
    </w:lvl>
    <w:lvl w:ilvl="8" w:tplc="37EE2C26">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82A8CE96"/>
    <w:lvl w:ilvl="0" w:tplc="E38C133A">
      <w:start w:val="1"/>
      <w:numFmt w:val="bullet"/>
      <w:lvlText w:val=""/>
      <w:lvlJc w:val="left"/>
      <w:pPr>
        <w:ind w:left="720" w:hanging="360"/>
      </w:pPr>
      <w:rPr>
        <w:rFonts w:ascii="Symbol" w:hAnsi="Symbol" w:hint="default"/>
      </w:rPr>
    </w:lvl>
    <w:lvl w:ilvl="1" w:tplc="EC0083F0">
      <w:start w:val="1"/>
      <w:numFmt w:val="bullet"/>
      <w:lvlText w:val="o"/>
      <w:lvlJc w:val="left"/>
      <w:pPr>
        <w:ind w:left="1440" w:hanging="360"/>
      </w:pPr>
      <w:rPr>
        <w:rFonts w:ascii="Courier New" w:hAnsi="Courier New" w:cs="Courier New" w:hint="default"/>
      </w:rPr>
    </w:lvl>
    <w:lvl w:ilvl="2" w:tplc="35FC6304">
      <w:start w:val="1"/>
      <w:numFmt w:val="bullet"/>
      <w:lvlText w:val=""/>
      <w:lvlJc w:val="left"/>
      <w:pPr>
        <w:ind w:left="2160" w:hanging="360"/>
      </w:pPr>
      <w:rPr>
        <w:rFonts w:ascii="Wingdings" w:hAnsi="Wingdings" w:hint="default"/>
      </w:rPr>
    </w:lvl>
    <w:lvl w:ilvl="3" w:tplc="038A069A">
      <w:start w:val="1"/>
      <w:numFmt w:val="bullet"/>
      <w:lvlText w:val=""/>
      <w:lvlJc w:val="left"/>
      <w:pPr>
        <w:ind w:left="2880" w:hanging="360"/>
      </w:pPr>
      <w:rPr>
        <w:rFonts w:ascii="Symbol" w:hAnsi="Symbol" w:hint="default"/>
      </w:rPr>
    </w:lvl>
    <w:lvl w:ilvl="4" w:tplc="9D7406C0">
      <w:start w:val="1"/>
      <w:numFmt w:val="bullet"/>
      <w:lvlText w:val="o"/>
      <w:lvlJc w:val="left"/>
      <w:pPr>
        <w:ind w:left="3600" w:hanging="360"/>
      </w:pPr>
      <w:rPr>
        <w:rFonts w:ascii="Courier New" w:hAnsi="Courier New" w:cs="Courier New" w:hint="default"/>
      </w:rPr>
    </w:lvl>
    <w:lvl w:ilvl="5" w:tplc="44FABE2E">
      <w:start w:val="1"/>
      <w:numFmt w:val="bullet"/>
      <w:lvlText w:val=""/>
      <w:lvlJc w:val="left"/>
      <w:pPr>
        <w:ind w:left="4320" w:hanging="360"/>
      </w:pPr>
      <w:rPr>
        <w:rFonts w:ascii="Wingdings" w:hAnsi="Wingdings" w:hint="default"/>
      </w:rPr>
    </w:lvl>
    <w:lvl w:ilvl="6" w:tplc="92AC3444">
      <w:start w:val="1"/>
      <w:numFmt w:val="bullet"/>
      <w:lvlText w:val=""/>
      <w:lvlJc w:val="left"/>
      <w:pPr>
        <w:ind w:left="5040" w:hanging="360"/>
      </w:pPr>
      <w:rPr>
        <w:rFonts w:ascii="Symbol" w:hAnsi="Symbol" w:hint="default"/>
      </w:rPr>
    </w:lvl>
    <w:lvl w:ilvl="7" w:tplc="622A5080">
      <w:start w:val="1"/>
      <w:numFmt w:val="bullet"/>
      <w:lvlText w:val="o"/>
      <w:lvlJc w:val="left"/>
      <w:pPr>
        <w:ind w:left="5760" w:hanging="360"/>
      </w:pPr>
      <w:rPr>
        <w:rFonts w:ascii="Courier New" w:hAnsi="Courier New" w:cs="Courier New" w:hint="default"/>
      </w:rPr>
    </w:lvl>
    <w:lvl w:ilvl="8" w:tplc="B33A4CD4">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53FC8216"/>
    <w:lvl w:ilvl="0" w:tplc="27B81F04">
      <w:start w:val="1"/>
      <w:numFmt w:val="bullet"/>
      <w:lvlText w:val=""/>
      <w:lvlJc w:val="left"/>
      <w:pPr>
        <w:ind w:left="780" w:hanging="360"/>
      </w:pPr>
      <w:rPr>
        <w:rFonts w:ascii="Symbol" w:hAnsi="Symbol" w:hint="default"/>
      </w:rPr>
    </w:lvl>
    <w:lvl w:ilvl="1" w:tplc="68724E78">
      <w:start w:val="1"/>
      <w:numFmt w:val="bullet"/>
      <w:lvlText w:val="o"/>
      <w:lvlJc w:val="left"/>
      <w:pPr>
        <w:ind w:left="1500" w:hanging="360"/>
      </w:pPr>
      <w:rPr>
        <w:rFonts w:ascii="Courier New" w:hAnsi="Courier New" w:cs="Courier New" w:hint="default"/>
      </w:rPr>
    </w:lvl>
    <w:lvl w:ilvl="2" w:tplc="C688D904">
      <w:start w:val="1"/>
      <w:numFmt w:val="bullet"/>
      <w:lvlText w:val=""/>
      <w:lvlJc w:val="left"/>
      <w:pPr>
        <w:ind w:left="2220" w:hanging="360"/>
      </w:pPr>
      <w:rPr>
        <w:rFonts w:ascii="Wingdings" w:hAnsi="Wingdings" w:hint="default"/>
      </w:rPr>
    </w:lvl>
    <w:lvl w:ilvl="3" w:tplc="122CA37E">
      <w:start w:val="1"/>
      <w:numFmt w:val="bullet"/>
      <w:lvlText w:val=""/>
      <w:lvlJc w:val="left"/>
      <w:pPr>
        <w:ind w:left="2940" w:hanging="360"/>
      </w:pPr>
      <w:rPr>
        <w:rFonts w:ascii="Symbol" w:hAnsi="Symbol" w:hint="default"/>
      </w:rPr>
    </w:lvl>
    <w:lvl w:ilvl="4" w:tplc="A366FB8C">
      <w:start w:val="1"/>
      <w:numFmt w:val="bullet"/>
      <w:lvlText w:val="o"/>
      <w:lvlJc w:val="left"/>
      <w:pPr>
        <w:ind w:left="3660" w:hanging="360"/>
      </w:pPr>
      <w:rPr>
        <w:rFonts w:ascii="Courier New" w:hAnsi="Courier New" w:cs="Courier New" w:hint="default"/>
      </w:rPr>
    </w:lvl>
    <w:lvl w:ilvl="5" w:tplc="DD443656">
      <w:start w:val="1"/>
      <w:numFmt w:val="bullet"/>
      <w:lvlText w:val=""/>
      <w:lvlJc w:val="left"/>
      <w:pPr>
        <w:ind w:left="4380" w:hanging="360"/>
      </w:pPr>
      <w:rPr>
        <w:rFonts w:ascii="Wingdings" w:hAnsi="Wingdings" w:hint="default"/>
      </w:rPr>
    </w:lvl>
    <w:lvl w:ilvl="6" w:tplc="C86A3A90">
      <w:start w:val="1"/>
      <w:numFmt w:val="bullet"/>
      <w:lvlText w:val=""/>
      <w:lvlJc w:val="left"/>
      <w:pPr>
        <w:ind w:left="5100" w:hanging="360"/>
      </w:pPr>
      <w:rPr>
        <w:rFonts w:ascii="Symbol" w:hAnsi="Symbol" w:hint="default"/>
      </w:rPr>
    </w:lvl>
    <w:lvl w:ilvl="7" w:tplc="2E783C78">
      <w:start w:val="1"/>
      <w:numFmt w:val="bullet"/>
      <w:lvlText w:val="o"/>
      <w:lvlJc w:val="left"/>
      <w:pPr>
        <w:ind w:left="5820" w:hanging="360"/>
      </w:pPr>
      <w:rPr>
        <w:rFonts w:ascii="Courier New" w:hAnsi="Courier New" w:cs="Courier New" w:hint="default"/>
      </w:rPr>
    </w:lvl>
    <w:lvl w:ilvl="8" w:tplc="3D24DA12">
      <w:start w:val="1"/>
      <w:numFmt w:val="bullet"/>
      <w:lvlText w:val=""/>
      <w:lvlJc w:val="left"/>
      <w:pPr>
        <w:ind w:left="6540" w:hanging="360"/>
      </w:pPr>
      <w:rPr>
        <w:rFonts w:ascii="Wingdings" w:hAnsi="Wingdings" w:hint="default"/>
      </w:rPr>
    </w:lvl>
  </w:abstractNum>
  <w:abstractNum w:abstractNumId="7" w15:restartNumberingAfterBreak="0">
    <w:nsid w:val="00000012"/>
    <w:multiLevelType w:val="hybridMultilevel"/>
    <w:tmpl w:val="9CFABFF0"/>
    <w:lvl w:ilvl="0" w:tplc="EBA2681E">
      <w:start w:val="1"/>
      <w:numFmt w:val="bullet"/>
      <w:lvlText w:val=""/>
      <w:lvlJc w:val="left"/>
      <w:pPr>
        <w:ind w:left="855" w:hanging="360"/>
      </w:pPr>
      <w:rPr>
        <w:rFonts w:ascii="Symbol" w:hAnsi="Symbol" w:hint="default"/>
      </w:rPr>
    </w:lvl>
    <w:lvl w:ilvl="1" w:tplc="9C6E9D48">
      <w:start w:val="1"/>
      <w:numFmt w:val="bullet"/>
      <w:lvlText w:val="o"/>
      <w:lvlJc w:val="left"/>
      <w:pPr>
        <w:ind w:left="1575" w:hanging="360"/>
      </w:pPr>
      <w:rPr>
        <w:rFonts w:ascii="Courier New" w:hAnsi="Courier New" w:cs="Courier New" w:hint="default"/>
      </w:rPr>
    </w:lvl>
    <w:lvl w:ilvl="2" w:tplc="56DA7E48">
      <w:start w:val="1"/>
      <w:numFmt w:val="bullet"/>
      <w:lvlText w:val=""/>
      <w:lvlJc w:val="left"/>
      <w:pPr>
        <w:ind w:left="2295" w:hanging="360"/>
      </w:pPr>
      <w:rPr>
        <w:rFonts w:ascii="Wingdings" w:hAnsi="Wingdings" w:hint="default"/>
      </w:rPr>
    </w:lvl>
    <w:lvl w:ilvl="3" w:tplc="1DC21432">
      <w:start w:val="1"/>
      <w:numFmt w:val="bullet"/>
      <w:lvlText w:val=""/>
      <w:lvlJc w:val="left"/>
      <w:pPr>
        <w:ind w:left="3015" w:hanging="360"/>
      </w:pPr>
      <w:rPr>
        <w:rFonts w:ascii="Symbol" w:hAnsi="Symbol" w:hint="default"/>
      </w:rPr>
    </w:lvl>
    <w:lvl w:ilvl="4" w:tplc="426CACA0">
      <w:start w:val="1"/>
      <w:numFmt w:val="bullet"/>
      <w:lvlText w:val="o"/>
      <w:lvlJc w:val="left"/>
      <w:pPr>
        <w:ind w:left="3735" w:hanging="360"/>
      </w:pPr>
      <w:rPr>
        <w:rFonts w:ascii="Courier New" w:hAnsi="Courier New" w:cs="Courier New" w:hint="default"/>
      </w:rPr>
    </w:lvl>
    <w:lvl w:ilvl="5" w:tplc="1D824734">
      <w:start w:val="1"/>
      <w:numFmt w:val="bullet"/>
      <w:lvlText w:val=""/>
      <w:lvlJc w:val="left"/>
      <w:pPr>
        <w:ind w:left="4455" w:hanging="360"/>
      </w:pPr>
      <w:rPr>
        <w:rFonts w:ascii="Wingdings" w:hAnsi="Wingdings" w:hint="default"/>
      </w:rPr>
    </w:lvl>
    <w:lvl w:ilvl="6" w:tplc="105ABD14">
      <w:start w:val="1"/>
      <w:numFmt w:val="bullet"/>
      <w:lvlText w:val=""/>
      <w:lvlJc w:val="left"/>
      <w:pPr>
        <w:ind w:left="5175" w:hanging="360"/>
      </w:pPr>
      <w:rPr>
        <w:rFonts w:ascii="Symbol" w:hAnsi="Symbol" w:hint="default"/>
      </w:rPr>
    </w:lvl>
    <w:lvl w:ilvl="7" w:tplc="32321234">
      <w:start w:val="1"/>
      <w:numFmt w:val="bullet"/>
      <w:lvlText w:val="o"/>
      <w:lvlJc w:val="left"/>
      <w:pPr>
        <w:ind w:left="5895" w:hanging="360"/>
      </w:pPr>
      <w:rPr>
        <w:rFonts w:ascii="Courier New" w:hAnsi="Courier New" w:cs="Courier New" w:hint="default"/>
      </w:rPr>
    </w:lvl>
    <w:lvl w:ilvl="8" w:tplc="B27A6FFA">
      <w:start w:val="1"/>
      <w:numFmt w:val="bullet"/>
      <w:lvlText w:val=""/>
      <w:lvlJc w:val="left"/>
      <w:pPr>
        <w:ind w:left="6615" w:hanging="360"/>
      </w:pPr>
      <w:rPr>
        <w:rFonts w:ascii="Wingdings" w:hAnsi="Wingdings" w:hint="default"/>
      </w:rPr>
    </w:lvl>
  </w:abstractNum>
  <w:abstractNum w:abstractNumId="8" w15:restartNumberingAfterBreak="0">
    <w:nsid w:val="00000013"/>
    <w:multiLevelType w:val="hybridMultilevel"/>
    <w:tmpl w:val="4308ED98"/>
    <w:lvl w:ilvl="0" w:tplc="0DF00D3C">
      <w:start w:val="1"/>
      <w:numFmt w:val="bullet"/>
      <w:lvlText w:val=""/>
      <w:lvlJc w:val="left"/>
      <w:pPr>
        <w:ind w:left="1440" w:hanging="360"/>
      </w:pPr>
      <w:rPr>
        <w:rFonts w:ascii="Symbol" w:hAnsi="Symbol" w:hint="default"/>
      </w:rPr>
    </w:lvl>
    <w:lvl w:ilvl="1" w:tplc="29AE7DA0">
      <w:start w:val="1"/>
      <w:numFmt w:val="bullet"/>
      <w:lvlText w:val="o"/>
      <w:lvlJc w:val="left"/>
      <w:pPr>
        <w:ind w:left="2160" w:hanging="360"/>
      </w:pPr>
      <w:rPr>
        <w:rFonts w:ascii="Courier New" w:hAnsi="Courier New" w:cs="Courier New" w:hint="default"/>
      </w:rPr>
    </w:lvl>
    <w:lvl w:ilvl="2" w:tplc="C61C9D22">
      <w:start w:val="1"/>
      <w:numFmt w:val="bullet"/>
      <w:lvlText w:val=""/>
      <w:lvlJc w:val="left"/>
      <w:pPr>
        <w:ind w:left="2880" w:hanging="360"/>
      </w:pPr>
      <w:rPr>
        <w:rFonts w:ascii="Wingdings" w:hAnsi="Wingdings" w:hint="default"/>
      </w:rPr>
    </w:lvl>
    <w:lvl w:ilvl="3" w:tplc="9E76C6B2">
      <w:start w:val="1"/>
      <w:numFmt w:val="bullet"/>
      <w:lvlText w:val=""/>
      <w:lvlJc w:val="left"/>
      <w:pPr>
        <w:ind w:left="3600" w:hanging="360"/>
      </w:pPr>
      <w:rPr>
        <w:rFonts w:ascii="Symbol" w:hAnsi="Symbol" w:hint="default"/>
      </w:rPr>
    </w:lvl>
    <w:lvl w:ilvl="4" w:tplc="57A26D92">
      <w:start w:val="1"/>
      <w:numFmt w:val="bullet"/>
      <w:lvlText w:val="o"/>
      <w:lvlJc w:val="left"/>
      <w:pPr>
        <w:ind w:left="4320" w:hanging="360"/>
      </w:pPr>
      <w:rPr>
        <w:rFonts w:ascii="Courier New" w:hAnsi="Courier New" w:cs="Courier New" w:hint="default"/>
      </w:rPr>
    </w:lvl>
    <w:lvl w:ilvl="5" w:tplc="02F83C18">
      <w:start w:val="1"/>
      <w:numFmt w:val="bullet"/>
      <w:lvlText w:val=""/>
      <w:lvlJc w:val="left"/>
      <w:pPr>
        <w:ind w:left="5040" w:hanging="360"/>
      </w:pPr>
      <w:rPr>
        <w:rFonts w:ascii="Wingdings" w:hAnsi="Wingdings" w:hint="default"/>
      </w:rPr>
    </w:lvl>
    <w:lvl w:ilvl="6" w:tplc="DBDC3DFC">
      <w:start w:val="1"/>
      <w:numFmt w:val="bullet"/>
      <w:lvlText w:val=""/>
      <w:lvlJc w:val="left"/>
      <w:pPr>
        <w:ind w:left="5760" w:hanging="360"/>
      </w:pPr>
      <w:rPr>
        <w:rFonts w:ascii="Symbol" w:hAnsi="Symbol" w:hint="default"/>
      </w:rPr>
    </w:lvl>
    <w:lvl w:ilvl="7" w:tplc="5058D754">
      <w:start w:val="1"/>
      <w:numFmt w:val="bullet"/>
      <w:lvlText w:val="o"/>
      <w:lvlJc w:val="left"/>
      <w:pPr>
        <w:ind w:left="6480" w:hanging="360"/>
      </w:pPr>
      <w:rPr>
        <w:rFonts w:ascii="Courier New" w:hAnsi="Courier New" w:cs="Courier New" w:hint="default"/>
      </w:rPr>
    </w:lvl>
    <w:lvl w:ilvl="8" w:tplc="3A589B72">
      <w:start w:val="1"/>
      <w:numFmt w:val="bullet"/>
      <w:lvlText w:val=""/>
      <w:lvlJc w:val="left"/>
      <w:pPr>
        <w:ind w:left="7200" w:hanging="360"/>
      </w:pPr>
      <w:rPr>
        <w:rFonts w:ascii="Wingdings" w:hAnsi="Wingdings" w:hint="default"/>
      </w:rPr>
    </w:lvl>
  </w:abstractNum>
  <w:abstractNum w:abstractNumId="9" w15:restartNumberingAfterBreak="0">
    <w:nsid w:val="00000015"/>
    <w:multiLevelType w:val="hybridMultilevel"/>
    <w:tmpl w:val="CDBC297A"/>
    <w:lvl w:ilvl="0" w:tplc="E59C27FC">
      <w:start w:val="1"/>
      <w:numFmt w:val="bullet"/>
      <w:lvlText w:val=""/>
      <w:lvlJc w:val="left"/>
      <w:pPr>
        <w:ind w:left="720" w:hanging="360"/>
      </w:pPr>
      <w:rPr>
        <w:rFonts w:ascii="Symbol" w:hAnsi="Symbol" w:hint="default"/>
      </w:rPr>
    </w:lvl>
    <w:lvl w:ilvl="1" w:tplc="3B28BE6A">
      <w:start w:val="1"/>
      <w:numFmt w:val="bullet"/>
      <w:lvlText w:val="o"/>
      <w:lvlJc w:val="left"/>
      <w:pPr>
        <w:ind w:left="1440" w:hanging="360"/>
      </w:pPr>
      <w:rPr>
        <w:rFonts w:ascii="Courier New" w:hAnsi="Courier New" w:cs="Courier New" w:hint="default"/>
      </w:rPr>
    </w:lvl>
    <w:lvl w:ilvl="2" w:tplc="8B606AC2">
      <w:start w:val="1"/>
      <w:numFmt w:val="bullet"/>
      <w:lvlText w:val=""/>
      <w:lvlJc w:val="left"/>
      <w:pPr>
        <w:ind w:left="2160" w:hanging="360"/>
      </w:pPr>
      <w:rPr>
        <w:rFonts w:ascii="Wingdings" w:hAnsi="Wingdings" w:hint="default"/>
      </w:rPr>
    </w:lvl>
    <w:lvl w:ilvl="3" w:tplc="262A64EE">
      <w:start w:val="1"/>
      <w:numFmt w:val="bullet"/>
      <w:lvlText w:val=""/>
      <w:lvlJc w:val="left"/>
      <w:pPr>
        <w:ind w:left="2880" w:hanging="360"/>
      </w:pPr>
      <w:rPr>
        <w:rFonts w:ascii="Symbol" w:hAnsi="Symbol" w:hint="default"/>
      </w:rPr>
    </w:lvl>
    <w:lvl w:ilvl="4" w:tplc="70BEA502">
      <w:start w:val="1"/>
      <w:numFmt w:val="bullet"/>
      <w:lvlText w:val="o"/>
      <w:lvlJc w:val="left"/>
      <w:pPr>
        <w:ind w:left="3600" w:hanging="360"/>
      </w:pPr>
      <w:rPr>
        <w:rFonts w:ascii="Courier New" w:hAnsi="Courier New" w:cs="Courier New" w:hint="default"/>
      </w:rPr>
    </w:lvl>
    <w:lvl w:ilvl="5" w:tplc="BC9E6E94">
      <w:start w:val="1"/>
      <w:numFmt w:val="bullet"/>
      <w:lvlText w:val=""/>
      <w:lvlJc w:val="left"/>
      <w:pPr>
        <w:ind w:left="4320" w:hanging="360"/>
      </w:pPr>
      <w:rPr>
        <w:rFonts w:ascii="Wingdings" w:hAnsi="Wingdings" w:hint="default"/>
      </w:rPr>
    </w:lvl>
    <w:lvl w:ilvl="6" w:tplc="ADE6061A">
      <w:start w:val="1"/>
      <w:numFmt w:val="bullet"/>
      <w:lvlText w:val=""/>
      <w:lvlJc w:val="left"/>
      <w:pPr>
        <w:ind w:left="5040" w:hanging="360"/>
      </w:pPr>
      <w:rPr>
        <w:rFonts w:ascii="Symbol" w:hAnsi="Symbol" w:hint="default"/>
      </w:rPr>
    </w:lvl>
    <w:lvl w:ilvl="7" w:tplc="7E805B50">
      <w:start w:val="1"/>
      <w:numFmt w:val="bullet"/>
      <w:lvlText w:val="o"/>
      <w:lvlJc w:val="left"/>
      <w:pPr>
        <w:ind w:left="5760" w:hanging="360"/>
      </w:pPr>
      <w:rPr>
        <w:rFonts w:ascii="Courier New" w:hAnsi="Courier New" w:cs="Courier New" w:hint="default"/>
      </w:rPr>
    </w:lvl>
    <w:lvl w:ilvl="8" w:tplc="9FD07C22">
      <w:start w:val="1"/>
      <w:numFmt w:val="bullet"/>
      <w:lvlText w:val=""/>
      <w:lvlJc w:val="left"/>
      <w:pPr>
        <w:ind w:left="6480" w:hanging="360"/>
      </w:pPr>
      <w:rPr>
        <w:rFonts w:ascii="Wingdings" w:hAnsi="Wingdings" w:hint="default"/>
      </w:rPr>
    </w:lvl>
  </w:abstractNum>
  <w:abstractNum w:abstractNumId="10" w15:restartNumberingAfterBreak="0">
    <w:nsid w:val="00000017"/>
    <w:multiLevelType w:val="hybridMultilevel"/>
    <w:tmpl w:val="B9987896"/>
    <w:lvl w:ilvl="0" w:tplc="62AA9D24">
      <w:start w:val="1"/>
      <w:numFmt w:val="bullet"/>
      <w:lvlText w:val=""/>
      <w:lvlJc w:val="left"/>
      <w:pPr>
        <w:ind w:left="720" w:hanging="360"/>
      </w:pPr>
      <w:rPr>
        <w:rFonts w:ascii="Symbol" w:hAnsi="Symbol" w:hint="default"/>
      </w:rPr>
    </w:lvl>
    <w:lvl w:ilvl="1" w:tplc="1F94B844">
      <w:start w:val="1"/>
      <w:numFmt w:val="bullet"/>
      <w:lvlText w:val="o"/>
      <w:lvlJc w:val="left"/>
      <w:pPr>
        <w:ind w:left="1440" w:hanging="360"/>
      </w:pPr>
      <w:rPr>
        <w:rFonts w:ascii="Courier New" w:hAnsi="Courier New" w:cs="Courier New" w:hint="default"/>
      </w:rPr>
    </w:lvl>
    <w:lvl w:ilvl="2" w:tplc="9EBAC1BE">
      <w:start w:val="1"/>
      <w:numFmt w:val="bullet"/>
      <w:lvlText w:val=""/>
      <w:lvlJc w:val="left"/>
      <w:pPr>
        <w:ind w:left="2160" w:hanging="360"/>
      </w:pPr>
      <w:rPr>
        <w:rFonts w:ascii="Wingdings" w:hAnsi="Wingdings" w:hint="default"/>
      </w:rPr>
    </w:lvl>
    <w:lvl w:ilvl="3" w:tplc="23AA758E">
      <w:start w:val="1"/>
      <w:numFmt w:val="bullet"/>
      <w:lvlText w:val=""/>
      <w:lvlJc w:val="left"/>
      <w:pPr>
        <w:ind w:left="2880" w:hanging="360"/>
      </w:pPr>
      <w:rPr>
        <w:rFonts w:ascii="Symbol" w:hAnsi="Symbol" w:hint="default"/>
      </w:rPr>
    </w:lvl>
    <w:lvl w:ilvl="4" w:tplc="555AD266">
      <w:start w:val="1"/>
      <w:numFmt w:val="bullet"/>
      <w:lvlText w:val="o"/>
      <w:lvlJc w:val="left"/>
      <w:pPr>
        <w:ind w:left="3600" w:hanging="360"/>
      </w:pPr>
      <w:rPr>
        <w:rFonts w:ascii="Courier New" w:hAnsi="Courier New" w:cs="Courier New" w:hint="default"/>
      </w:rPr>
    </w:lvl>
    <w:lvl w:ilvl="5" w:tplc="1E948686">
      <w:start w:val="1"/>
      <w:numFmt w:val="bullet"/>
      <w:lvlText w:val=""/>
      <w:lvlJc w:val="left"/>
      <w:pPr>
        <w:ind w:left="4320" w:hanging="360"/>
      </w:pPr>
      <w:rPr>
        <w:rFonts w:ascii="Wingdings" w:hAnsi="Wingdings" w:hint="default"/>
      </w:rPr>
    </w:lvl>
    <w:lvl w:ilvl="6" w:tplc="5F9EAD36">
      <w:start w:val="1"/>
      <w:numFmt w:val="bullet"/>
      <w:lvlText w:val=""/>
      <w:lvlJc w:val="left"/>
      <w:pPr>
        <w:ind w:left="5040" w:hanging="360"/>
      </w:pPr>
      <w:rPr>
        <w:rFonts w:ascii="Symbol" w:hAnsi="Symbol" w:hint="default"/>
      </w:rPr>
    </w:lvl>
    <w:lvl w:ilvl="7" w:tplc="A30EC606">
      <w:start w:val="1"/>
      <w:numFmt w:val="bullet"/>
      <w:lvlText w:val="o"/>
      <w:lvlJc w:val="left"/>
      <w:pPr>
        <w:ind w:left="5760" w:hanging="360"/>
      </w:pPr>
      <w:rPr>
        <w:rFonts w:ascii="Courier New" w:hAnsi="Courier New" w:cs="Courier New" w:hint="default"/>
      </w:rPr>
    </w:lvl>
    <w:lvl w:ilvl="8" w:tplc="83FA6B9E">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hybridMultilevel"/>
    <w:tmpl w:val="F88E00EE"/>
    <w:lvl w:ilvl="0" w:tplc="61268A56">
      <w:start w:val="1"/>
      <w:numFmt w:val="bullet"/>
      <w:lvlText w:val=""/>
      <w:lvlJc w:val="left"/>
      <w:pPr>
        <w:ind w:left="720" w:hanging="360"/>
      </w:pPr>
      <w:rPr>
        <w:rFonts w:ascii="Symbol" w:hAnsi="Symbol" w:hint="default"/>
      </w:rPr>
    </w:lvl>
    <w:lvl w:ilvl="1" w:tplc="9BBACC0A">
      <w:start w:val="1"/>
      <w:numFmt w:val="bullet"/>
      <w:lvlText w:val="o"/>
      <w:lvlJc w:val="left"/>
      <w:pPr>
        <w:ind w:left="1440" w:hanging="360"/>
      </w:pPr>
      <w:rPr>
        <w:rFonts w:ascii="Courier New" w:hAnsi="Courier New" w:cs="Courier New" w:hint="default"/>
      </w:rPr>
    </w:lvl>
    <w:lvl w:ilvl="2" w:tplc="0FBE6154">
      <w:start w:val="1"/>
      <w:numFmt w:val="bullet"/>
      <w:lvlText w:val=""/>
      <w:lvlJc w:val="left"/>
      <w:pPr>
        <w:ind w:left="2160" w:hanging="360"/>
      </w:pPr>
      <w:rPr>
        <w:rFonts w:ascii="Wingdings" w:hAnsi="Wingdings" w:hint="default"/>
      </w:rPr>
    </w:lvl>
    <w:lvl w:ilvl="3" w:tplc="4A260BCE">
      <w:start w:val="1"/>
      <w:numFmt w:val="bullet"/>
      <w:lvlText w:val=""/>
      <w:lvlJc w:val="left"/>
      <w:pPr>
        <w:ind w:left="2880" w:hanging="360"/>
      </w:pPr>
      <w:rPr>
        <w:rFonts w:ascii="Symbol" w:hAnsi="Symbol" w:hint="default"/>
      </w:rPr>
    </w:lvl>
    <w:lvl w:ilvl="4" w:tplc="63449BC6">
      <w:start w:val="1"/>
      <w:numFmt w:val="bullet"/>
      <w:lvlText w:val="o"/>
      <w:lvlJc w:val="left"/>
      <w:pPr>
        <w:ind w:left="3600" w:hanging="360"/>
      </w:pPr>
      <w:rPr>
        <w:rFonts w:ascii="Courier New" w:hAnsi="Courier New" w:cs="Courier New" w:hint="default"/>
      </w:rPr>
    </w:lvl>
    <w:lvl w:ilvl="5" w:tplc="7144C61C">
      <w:start w:val="1"/>
      <w:numFmt w:val="bullet"/>
      <w:lvlText w:val=""/>
      <w:lvlJc w:val="left"/>
      <w:pPr>
        <w:ind w:left="4320" w:hanging="360"/>
      </w:pPr>
      <w:rPr>
        <w:rFonts w:ascii="Wingdings" w:hAnsi="Wingdings" w:hint="default"/>
      </w:rPr>
    </w:lvl>
    <w:lvl w:ilvl="6" w:tplc="DCBCBFBC">
      <w:start w:val="1"/>
      <w:numFmt w:val="bullet"/>
      <w:lvlText w:val=""/>
      <w:lvlJc w:val="left"/>
      <w:pPr>
        <w:ind w:left="5040" w:hanging="360"/>
      </w:pPr>
      <w:rPr>
        <w:rFonts w:ascii="Symbol" w:hAnsi="Symbol" w:hint="default"/>
      </w:rPr>
    </w:lvl>
    <w:lvl w:ilvl="7" w:tplc="054C771C">
      <w:start w:val="1"/>
      <w:numFmt w:val="bullet"/>
      <w:lvlText w:val="o"/>
      <w:lvlJc w:val="left"/>
      <w:pPr>
        <w:ind w:left="5760" w:hanging="360"/>
      </w:pPr>
      <w:rPr>
        <w:rFonts w:ascii="Courier New" w:hAnsi="Courier New" w:cs="Courier New" w:hint="default"/>
      </w:rPr>
    </w:lvl>
    <w:lvl w:ilvl="8" w:tplc="E9B66DD6">
      <w:start w:val="1"/>
      <w:numFmt w:val="bullet"/>
      <w:lvlText w:val=""/>
      <w:lvlJc w:val="left"/>
      <w:pPr>
        <w:ind w:left="6480" w:hanging="360"/>
      </w:pPr>
      <w:rPr>
        <w:rFonts w:ascii="Wingdings" w:hAnsi="Wingdings" w:hint="default"/>
      </w:rPr>
    </w:lvl>
  </w:abstractNum>
  <w:abstractNum w:abstractNumId="12" w15:restartNumberingAfterBreak="0">
    <w:nsid w:val="0000001A"/>
    <w:multiLevelType w:val="hybridMultilevel"/>
    <w:tmpl w:val="F266B458"/>
    <w:lvl w:ilvl="0" w:tplc="1C704A4E">
      <w:start w:val="1"/>
      <w:numFmt w:val="bullet"/>
      <w:lvlText w:val=""/>
      <w:lvlJc w:val="left"/>
      <w:pPr>
        <w:ind w:left="720" w:hanging="360"/>
      </w:pPr>
      <w:rPr>
        <w:rFonts w:ascii="Symbol" w:hAnsi="Symbol" w:hint="default"/>
      </w:rPr>
    </w:lvl>
    <w:lvl w:ilvl="1" w:tplc="EC9A703C">
      <w:start w:val="1"/>
      <w:numFmt w:val="bullet"/>
      <w:lvlText w:val="o"/>
      <w:lvlJc w:val="left"/>
      <w:pPr>
        <w:ind w:left="1440" w:hanging="360"/>
      </w:pPr>
      <w:rPr>
        <w:rFonts w:ascii="Courier New" w:hAnsi="Courier New" w:cs="Courier New" w:hint="default"/>
      </w:rPr>
    </w:lvl>
    <w:lvl w:ilvl="2" w:tplc="07B60D4A">
      <w:start w:val="1"/>
      <w:numFmt w:val="bullet"/>
      <w:lvlText w:val=""/>
      <w:lvlJc w:val="left"/>
      <w:pPr>
        <w:ind w:left="2160" w:hanging="360"/>
      </w:pPr>
      <w:rPr>
        <w:rFonts w:ascii="Wingdings" w:hAnsi="Wingdings" w:hint="default"/>
      </w:rPr>
    </w:lvl>
    <w:lvl w:ilvl="3" w:tplc="53C06722">
      <w:start w:val="1"/>
      <w:numFmt w:val="bullet"/>
      <w:lvlText w:val=""/>
      <w:lvlJc w:val="left"/>
      <w:pPr>
        <w:ind w:left="2880" w:hanging="360"/>
      </w:pPr>
      <w:rPr>
        <w:rFonts w:ascii="Symbol" w:hAnsi="Symbol" w:hint="default"/>
      </w:rPr>
    </w:lvl>
    <w:lvl w:ilvl="4" w:tplc="F47A6C24">
      <w:start w:val="1"/>
      <w:numFmt w:val="bullet"/>
      <w:lvlText w:val="o"/>
      <w:lvlJc w:val="left"/>
      <w:pPr>
        <w:ind w:left="3600" w:hanging="360"/>
      </w:pPr>
      <w:rPr>
        <w:rFonts w:ascii="Courier New" w:hAnsi="Courier New" w:cs="Courier New" w:hint="default"/>
      </w:rPr>
    </w:lvl>
    <w:lvl w:ilvl="5" w:tplc="287C998A">
      <w:start w:val="1"/>
      <w:numFmt w:val="bullet"/>
      <w:lvlText w:val=""/>
      <w:lvlJc w:val="left"/>
      <w:pPr>
        <w:ind w:left="4320" w:hanging="360"/>
      </w:pPr>
      <w:rPr>
        <w:rFonts w:ascii="Wingdings" w:hAnsi="Wingdings" w:hint="default"/>
      </w:rPr>
    </w:lvl>
    <w:lvl w:ilvl="6" w:tplc="CD50291A">
      <w:start w:val="1"/>
      <w:numFmt w:val="bullet"/>
      <w:lvlText w:val=""/>
      <w:lvlJc w:val="left"/>
      <w:pPr>
        <w:ind w:left="5040" w:hanging="360"/>
      </w:pPr>
      <w:rPr>
        <w:rFonts w:ascii="Symbol" w:hAnsi="Symbol" w:hint="default"/>
      </w:rPr>
    </w:lvl>
    <w:lvl w:ilvl="7" w:tplc="44E0BB6C">
      <w:start w:val="1"/>
      <w:numFmt w:val="bullet"/>
      <w:lvlText w:val="o"/>
      <w:lvlJc w:val="left"/>
      <w:pPr>
        <w:ind w:left="5760" w:hanging="360"/>
      </w:pPr>
      <w:rPr>
        <w:rFonts w:ascii="Courier New" w:hAnsi="Courier New" w:cs="Courier New" w:hint="default"/>
      </w:rPr>
    </w:lvl>
    <w:lvl w:ilvl="8" w:tplc="D08E6794">
      <w:start w:val="1"/>
      <w:numFmt w:val="bullet"/>
      <w:lvlText w:val=""/>
      <w:lvlJc w:val="left"/>
      <w:pPr>
        <w:ind w:left="6480" w:hanging="360"/>
      </w:pPr>
      <w:rPr>
        <w:rFonts w:ascii="Wingdings" w:hAnsi="Wingdings" w:hint="default"/>
      </w:rPr>
    </w:lvl>
  </w:abstractNum>
  <w:abstractNum w:abstractNumId="13" w15:restartNumberingAfterBreak="0">
    <w:nsid w:val="000D10E5"/>
    <w:multiLevelType w:val="hybridMultilevel"/>
    <w:tmpl w:val="7390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69716F"/>
    <w:multiLevelType w:val="hybridMultilevel"/>
    <w:tmpl w:val="234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6F0B6B"/>
    <w:multiLevelType w:val="hybridMultilevel"/>
    <w:tmpl w:val="9F52805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069F2C01"/>
    <w:multiLevelType w:val="multilevel"/>
    <w:tmpl w:val="52E0CBCA"/>
    <w:lvl w:ilvl="0">
      <w:start w:val="1"/>
      <w:numFmt w:val="decimal"/>
      <w:pStyle w:val="Body"/>
      <w:lvlText w:val="%1."/>
      <w:lvlJc w:val="left"/>
      <w:pPr>
        <w:ind w:left="360" w:hanging="360"/>
      </w:pPr>
    </w:lvl>
    <w:lvl w:ilvl="1">
      <w:start w:val="1"/>
      <w:numFmt w:val="decimal"/>
      <w:isLgl/>
      <w:lvlText w:val="%1.%2"/>
      <w:lvlJc w:val="left"/>
      <w:pPr>
        <w:ind w:left="473"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231" w:hanging="1440"/>
      </w:pPr>
      <w:rPr>
        <w:rFonts w:hint="default"/>
      </w:rPr>
    </w:lvl>
    <w:lvl w:ilvl="8">
      <w:start w:val="1"/>
      <w:numFmt w:val="decimal"/>
      <w:isLgl/>
      <w:lvlText w:val="%1.%2.%3.%4.%5.%6.%7.%8.%9"/>
      <w:lvlJc w:val="left"/>
      <w:pPr>
        <w:ind w:left="2704" w:hanging="1800"/>
      </w:pPr>
      <w:rPr>
        <w:rFonts w:hint="default"/>
      </w:rPr>
    </w:lvl>
  </w:abstractNum>
  <w:abstractNum w:abstractNumId="17" w15:restartNumberingAfterBreak="0">
    <w:nsid w:val="0827686B"/>
    <w:multiLevelType w:val="hybridMultilevel"/>
    <w:tmpl w:val="5074FF6C"/>
    <w:lvl w:ilvl="0" w:tplc="EDE65A7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8392F05"/>
    <w:multiLevelType w:val="hybridMultilevel"/>
    <w:tmpl w:val="C55CF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A6D29F1"/>
    <w:multiLevelType w:val="hybridMultilevel"/>
    <w:tmpl w:val="727E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B126EAC"/>
    <w:multiLevelType w:val="hybridMultilevel"/>
    <w:tmpl w:val="16F4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492F54"/>
    <w:multiLevelType w:val="hybridMultilevel"/>
    <w:tmpl w:val="B052C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BC36E1B"/>
    <w:multiLevelType w:val="hybridMultilevel"/>
    <w:tmpl w:val="A496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955DBA"/>
    <w:multiLevelType w:val="hybridMultilevel"/>
    <w:tmpl w:val="2846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4C1562"/>
    <w:multiLevelType w:val="hybridMultilevel"/>
    <w:tmpl w:val="2CC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7F00E7"/>
    <w:multiLevelType w:val="hybridMultilevel"/>
    <w:tmpl w:val="5904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A81A1F"/>
    <w:multiLevelType w:val="hybridMultilevel"/>
    <w:tmpl w:val="8EBA079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14053EF4"/>
    <w:multiLevelType w:val="multilevel"/>
    <w:tmpl w:val="81D092B6"/>
    <w:lvl w:ilvl="0">
      <w:start w:val="1"/>
      <w:numFmt w:val="decimal"/>
      <w:lvlText w:val="%1."/>
      <w:lvlJc w:val="left"/>
      <w:pPr>
        <w:ind w:left="360" w:hanging="360"/>
      </w:pPr>
      <w:rPr>
        <w:rFonts w:hint="default"/>
      </w:rPr>
    </w:lvl>
    <w:lvl w:ilvl="1">
      <w:start w:val="1"/>
      <w:numFmt w:val="decimal"/>
      <w:pStyle w:val="AGS-Bullets"/>
      <w:lvlText w:val="%1.%2"/>
      <w:lvlJc w:val="left"/>
      <w:pPr>
        <w:ind w:left="360" w:hanging="360"/>
      </w:pPr>
      <w:rPr>
        <w:rFonts w:ascii="Calibri" w:hAnsi="Calibri" w:hint="default"/>
        <w:b w:val="0"/>
        <w:i w:val="0"/>
        <w:strike w:val="0"/>
        <w:color w:val="auto"/>
      </w:rPr>
    </w:lvl>
    <w:lvl w:ilvl="2">
      <w:start w:val="1"/>
      <w:numFmt w:val="lowerRoman"/>
      <w:lvlText w:val="(%3)"/>
      <w:lvlJc w:val="left"/>
      <w:pPr>
        <w:ind w:left="1287" w:hanging="720"/>
      </w:pPr>
      <w:rPr>
        <w:rFonts w:asciiTheme="majorHAnsi" w:eastAsia="Times New Roman" w:hAnsiTheme="majorHAnsi" w:cs="Calibri"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140F3732"/>
    <w:multiLevelType w:val="hybridMultilevel"/>
    <w:tmpl w:val="5ACCD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14C877BB"/>
    <w:multiLevelType w:val="hybridMultilevel"/>
    <w:tmpl w:val="25D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4D97022"/>
    <w:multiLevelType w:val="hybridMultilevel"/>
    <w:tmpl w:val="396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514374"/>
    <w:multiLevelType w:val="hybridMultilevel"/>
    <w:tmpl w:val="BC78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407300"/>
    <w:multiLevelType w:val="hybridMultilevel"/>
    <w:tmpl w:val="D9C8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AC01DE"/>
    <w:multiLevelType w:val="hybridMultilevel"/>
    <w:tmpl w:val="8DE4D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604C11"/>
    <w:multiLevelType w:val="hybridMultilevel"/>
    <w:tmpl w:val="599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9E69AA"/>
    <w:multiLevelType w:val="multilevel"/>
    <w:tmpl w:val="3118C848"/>
    <w:numStyleLink w:val="TfGMList"/>
  </w:abstractNum>
  <w:abstractNum w:abstractNumId="36" w15:restartNumberingAfterBreak="0">
    <w:nsid w:val="259F0CF6"/>
    <w:multiLevelType w:val="hybridMultilevel"/>
    <w:tmpl w:val="B9AC6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BC48F1"/>
    <w:multiLevelType w:val="hybridMultilevel"/>
    <w:tmpl w:val="0A7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6E02A9"/>
    <w:multiLevelType w:val="hybridMultilevel"/>
    <w:tmpl w:val="A3F6A534"/>
    <w:lvl w:ilvl="0" w:tplc="BBD0AFB8">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A930B23"/>
    <w:multiLevelType w:val="hybridMultilevel"/>
    <w:tmpl w:val="F628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E55663"/>
    <w:multiLevelType w:val="hybridMultilevel"/>
    <w:tmpl w:val="C072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447955"/>
    <w:multiLevelType w:val="hybridMultilevel"/>
    <w:tmpl w:val="7B000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C1D1C60"/>
    <w:multiLevelType w:val="hybridMultilevel"/>
    <w:tmpl w:val="9DE2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603F9C"/>
    <w:multiLevelType w:val="hybridMultilevel"/>
    <w:tmpl w:val="0CE4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EB1A20"/>
    <w:multiLevelType w:val="hybridMultilevel"/>
    <w:tmpl w:val="D17E866A"/>
    <w:lvl w:ilvl="0" w:tplc="C14E8280">
      <w:start w:val="1"/>
      <w:numFmt w:val="bullet"/>
      <w:lvlText w:val=""/>
      <w:lvlJc w:val="left"/>
      <w:pPr>
        <w:tabs>
          <w:tab w:val="num" w:pos="1512"/>
        </w:tabs>
        <w:ind w:left="1512"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6C97E2D"/>
    <w:multiLevelType w:val="hybridMultilevel"/>
    <w:tmpl w:val="9472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416C9C"/>
    <w:multiLevelType w:val="hybridMultilevel"/>
    <w:tmpl w:val="D416D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3883344A"/>
    <w:multiLevelType w:val="hybridMultilevel"/>
    <w:tmpl w:val="4FD4F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B37D6A"/>
    <w:multiLevelType w:val="hybridMultilevel"/>
    <w:tmpl w:val="2E38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9844F89"/>
    <w:multiLevelType w:val="hybridMultilevel"/>
    <w:tmpl w:val="D3CA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F50C67"/>
    <w:multiLevelType w:val="hybridMultilevel"/>
    <w:tmpl w:val="08C0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9C0D52"/>
    <w:multiLevelType w:val="hybridMultilevel"/>
    <w:tmpl w:val="3870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B72294"/>
    <w:multiLevelType w:val="hybridMultilevel"/>
    <w:tmpl w:val="4EDCC5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EA33A75"/>
    <w:multiLevelType w:val="hybridMultilevel"/>
    <w:tmpl w:val="BC8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427602"/>
    <w:multiLevelType w:val="hybridMultilevel"/>
    <w:tmpl w:val="E2F8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635958"/>
    <w:multiLevelType w:val="hybridMultilevel"/>
    <w:tmpl w:val="7614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3A026B"/>
    <w:multiLevelType w:val="hybridMultilevel"/>
    <w:tmpl w:val="CB0E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E8028D"/>
    <w:multiLevelType w:val="multilevel"/>
    <w:tmpl w:val="1952E0AA"/>
    <w:styleLink w:val="AGMAList"/>
    <w:lvl w:ilvl="0">
      <w:start w:val="1"/>
      <w:numFmt w:val="decimal"/>
      <w:pStyle w:val="1AGMAHeading1"/>
      <w:lvlText w:val="%1."/>
      <w:lvlJc w:val="left"/>
      <w:pPr>
        <w:ind w:left="851" w:hanging="851"/>
      </w:pPr>
      <w:rPr>
        <w:rFonts w:ascii="Arial" w:hAnsi="Arial" w:cs="Times New Roman" w:hint="default"/>
        <w:b/>
        <w:i w:val="0"/>
        <w:sz w:val="24"/>
      </w:rPr>
    </w:lvl>
    <w:lvl w:ilvl="1">
      <w:start w:val="1"/>
      <w:numFmt w:val="decimal"/>
      <w:pStyle w:val="2AGMAHeading2"/>
      <w:lvlText w:val="%1.%2"/>
      <w:lvlJc w:val="left"/>
      <w:pPr>
        <w:ind w:left="851" w:hanging="851"/>
      </w:pPr>
      <w:rPr>
        <w:rFonts w:ascii="Arial" w:hAnsi="Arial" w:cs="Times New Roman" w:hint="default"/>
        <w:b w:val="0"/>
        <w:i w:val="0"/>
        <w:sz w:val="24"/>
      </w:rPr>
    </w:lvl>
    <w:lvl w:ilvl="2">
      <w:start w:val="1"/>
      <w:numFmt w:val="decimal"/>
      <w:pStyle w:val="3AGMAHeading3"/>
      <w:lvlText w:val="%1.%2.%3"/>
      <w:lvlJc w:val="left"/>
      <w:pPr>
        <w:ind w:left="851" w:hanging="851"/>
      </w:pPr>
      <w:rPr>
        <w:rFonts w:ascii="Arial" w:hAnsi="Arial" w:cs="Times New Roman" w:hint="default"/>
        <w:b w:val="0"/>
        <w:i w:val="0"/>
        <w:sz w:val="24"/>
      </w:rPr>
    </w:lvl>
    <w:lvl w:ilvl="3">
      <w:start w:val="1"/>
      <w:numFmt w:val="bullet"/>
      <w:pStyle w:val="4AGMABullet1"/>
      <w:lvlText w:val=""/>
      <w:lvlJc w:val="left"/>
      <w:pPr>
        <w:ind w:left="1134" w:hanging="283"/>
      </w:pPr>
      <w:rPr>
        <w:rFonts w:ascii="Symbol" w:hAnsi="Symbol" w:hint="default"/>
        <w:color w:val="auto"/>
      </w:rPr>
    </w:lvl>
    <w:lvl w:ilvl="4">
      <w:start w:val="1"/>
      <w:numFmt w:val="bullet"/>
      <w:pStyle w:val="5AGMABullet2"/>
      <w:lvlText w:val=""/>
      <w:lvlJc w:val="left"/>
      <w:pPr>
        <w:ind w:left="1418" w:hanging="284"/>
      </w:pPr>
      <w:rPr>
        <w:rFonts w:ascii="Symbol" w:hAnsi="Symbol" w:hint="default"/>
      </w:rPr>
    </w:lvl>
    <w:lvl w:ilvl="5">
      <w:start w:val="1"/>
      <w:numFmt w:val="lowerRoman"/>
      <w:pStyle w:val="6AGMARecommendations"/>
      <w:lvlText w:val="(%6)"/>
      <w:lvlJc w:val="left"/>
      <w:pPr>
        <w:ind w:left="1077" w:hanging="226"/>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448C6BF4"/>
    <w:multiLevelType w:val="hybridMultilevel"/>
    <w:tmpl w:val="B9FA3780"/>
    <w:lvl w:ilvl="0" w:tplc="2FCE7DCA">
      <w:numFmt w:val="bullet"/>
      <w:lvlText w:val="•"/>
      <w:lvlJc w:val="left"/>
      <w:pPr>
        <w:ind w:left="720" w:hanging="360"/>
      </w:pPr>
      <w:rPr>
        <w:rFonts w:ascii="Verdana" w:eastAsia="Verdana" w:hAnsi="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4D14545"/>
    <w:multiLevelType w:val="hybridMultilevel"/>
    <w:tmpl w:val="6C7C2838"/>
    <w:lvl w:ilvl="0" w:tplc="08090001">
      <w:start w:val="1"/>
      <w:numFmt w:val="bullet"/>
      <w:lvlText w:val=""/>
      <w:lvlJc w:val="left"/>
      <w:pPr>
        <w:tabs>
          <w:tab w:val="num" w:pos="720"/>
        </w:tabs>
        <w:ind w:left="720" w:hanging="360"/>
      </w:pPr>
      <w:rPr>
        <w:rFonts w:ascii="Symbol" w:hAnsi="Symbol" w:hint="default"/>
      </w:rPr>
    </w:lvl>
    <w:lvl w:ilvl="1" w:tplc="5B88F83C">
      <w:numFmt w:val="bullet"/>
      <w:lvlText w:val="•"/>
      <w:lvlJc w:val="left"/>
      <w:pPr>
        <w:ind w:left="1440" w:hanging="360"/>
      </w:pPr>
      <w:rPr>
        <w:rFonts w:ascii="Arial" w:eastAsia="Arial"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7AD6B2F"/>
    <w:multiLevelType w:val="hybridMultilevel"/>
    <w:tmpl w:val="79A8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0A3EE4"/>
    <w:multiLevelType w:val="hybridMultilevel"/>
    <w:tmpl w:val="AFC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D8E0CF8"/>
    <w:multiLevelType w:val="hybridMultilevel"/>
    <w:tmpl w:val="63FC514E"/>
    <w:lvl w:ilvl="0" w:tplc="08090001">
      <w:start w:val="1"/>
      <w:numFmt w:val="bullet"/>
      <w:lvlText w:val=""/>
      <w:lvlJc w:val="left"/>
      <w:pPr>
        <w:ind w:left="3712" w:hanging="360"/>
      </w:pPr>
      <w:rPr>
        <w:rFonts w:ascii="Symbol" w:hAnsi="Symbol" w:hint="default"/>
      </w:rPr>
    </w:lvl>
    <w:lvl w:ilvl="1" w:tplc="08090003" w:tentative="1">
      <w:start w:val="1"/>
      <w:numFmt w:val="bullet"/>
      <w:lvlText w:val="o"/>
      <w:lvlJc w:val="left"/>
      <w:pPr>
        <w:ind w:left="4432" w:hanging="360"/>
      </w:pPr>
      <w:rPr>
        <w:rFonts w:ascii="Courier New" w:hAnsi="Courier New" w:cs="Courier New" w:hint="default"/>
      </w:rPr>
    </w:lvl>
    <w:lvl w:ilvl="2" w:tplc="08090005" w:tentative="1">
      <w:start w:val="1"/>
      <w:numFmt w:val="bullet"/>
      <w:lvlText w:val=""/>
      <w:lvlJc w:val="left"/>
      <w:pPr>
        <w:ind w:left="5152" w:hanging="360"/>
      </w:pPr>
      <w:rPr>
        <w:rFonts w:ascii="Wingdings" w:hAnsi="Wingdings" w:hint="default"/>
      </w:rPr>
    </w:lvl>
    <w:lvl w:ilvl="3" w:tplc="08090001" w:tentative="1">
      <w:start w:val="1"/>
      <w:numFmt w:val="bullet"/>
      <w:lvlText w:val=""/>
      <w:lvlJc w:val="left"/>
      <w:pPr>
        <w:ind w:left="5872" w:hanging="360"/>
      </w:pPr>
      <w:rPr>
        <w:rFonts w:ascii="Symbol" w:hAnsi="Symbol" w:hint="default"/>
      </w:rPr>
    </w:lvl>
    <w:lvl w:ilvl="4" w:tplc="08090003" w:tentative="1">
      <w:start w:val="1"/>
      <w:numFmt w:val="bullet"/>
      <w:lvlText w:val="o"/>
      <w:lvlJc w:val="left"/>
      <w:pPr>
        <w:ind w:left="6592" w:hanging="360"/>
      </w:pPr>
      <w:rPr>
        <w:rFonts w:ascii="Courier New" w:hAnsi="Courier New" w:cs="Courier New" w:hint="default"/>
      </w:rPr>
    </w:lvl>
    <w:lvl w:ilvl="5" w:tplc="08090005" w:tentative="1">
      <w:start w:val="1"/>
      <w:numFmt w:val="bullet"/>
      <w:lvlText w:val=""/>
      <w:lvlJc w:val="left"/>
      <w:pPr>
        <w:ind w:left="7312" w:hanging="360"/>
      </w:pPr>
      <w:rPr>
        <w:rFonts w:ascii="Wingdings" w:hAnsi="Wingdings" w:hint="default"/>
      </w:rPr>
    </w:lvl>
    <w:lvl w:ilvl="6" w:tplc="08090001" w:tentative="1">
      <w:start w:val="1"/>
      <w:numFmt w:val="bullet"/>
      <w:lvlText w:val=""/>
      <w:lvlJc w:val="left"/>
      <w:pPr>
        <w:ind w:left="8032" w:hanging="360"/>
      </w:pPr>
      <w:rPr>
        <w:rFonts w:ascii="Symbol" w:hAnsi="Symbol" w:hint="default"/>
      </w:rPr>
    </w:lvl>
    <w:lvl w:ilvl="7" w:tplc="08090003" w:tentative="1">
      <w:start w:val="1"/>
      <w:numFmt w:val="bullet"/>
      <w:lvlText w:val="o"/>
      <w:lvlJc w:val="left"/>
      <w:pPr>
        <w:ind w:left="8752" w:hanging="360"/>
      </w:pPr>
      <w:rPr>
        <w:rFonts w:ascii="Courier New" w:hAnsi="Courier New" w:cs="Courier New" w:hint="default"/>
      </w:rPr>
    </w:lvl>
    <w:lvl w:ilvl="8" w:tplc="08090005" w:tentative="1">
      <w:start w:val="1"/>
      <w:numFmt w:val="bullet"/>
      <w:lvlText w:val=""/>
      <w:lvlJc w:val="left"/>
      <w:pPr>
        <w:ind w:left="9472" w:hanging="360"/>
      </w:pPr>
      <w:rPr>
        <w:rFonts w:ascii="Wingdings" w:hAnsi="Wingdings" w:hint="default"/>
      </w:rPr>
    </w:lvl>
  </w:abstractNum>
  <w:abstractNum w:abstractNumId="63" w15:restartNumberingAfterBreak="0">
    <w:nsid w:val="4EC3545C"/>
    <w:multiLevelType w:val="hybridMultilevel"/>
    <w:tmpl w:val="560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FFA7B49"/>
    <w:multiLevelType w:val="hybridMultilevel"/>
    <w:tmpl w:val="EA5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3C177A"/>
    <w:multiLevelType w:val="multilevel"/>
    <w:tmpl w:val="3118C848"/>
    <w:styleLink w:val="TfGMList"/>
    <w:lvl w:ilvl="0">
      <w:start w:val="1"/>
      <w:numFmt w:val="decimal"/>
      <w:pStyle w:val="1TfGMHeading1"/>
      <w:lvlText w:val="%1"/>
      <w:lvlJc w:val="left"/>
      <w:pPr>
        <w:ind w:left="851" w:hanging="851"/>
      </w:pPr>
      <w:rPr>
        <w:rFonts w:ascii="Calibri" w:hAnsi="Calibri" w:hint="default"/>
        <w:b/>
        <w:sz w:val="26"/>
      </w:rPr>
    </w:lvl>
    <w:lvl w:ilvl="1">
      <w:start w:val="1"/>
      <w:numFmt w:val="decimal"/>
      <w:pStyle w:val="2TfGMHeading2"/>
      <w:lvlText w:val="%1.%2"/>
      <w:lvlJc w:val="left"/>
      <w:pPr>
        <w:ind w:left="851" w:hanging="851"/>
      </w:pPr>
      <w:rPr>
        <w:rFonts w:ascii="Calibri" w:hAnsi="Calibri" w:hint="default"/>
        <w:sz w:val="26"/>
      </w:rPr>
    </w:lvl>
    <w:lvl w:ilvl="2">
      <w:start w:val="1"/>
      <w:numFmt w:val="decimal"/>
      <w:pStyle w:val="3TfGMHeading3"/>
      <w:lvlText w:val="%1.%2.%3"/>
      <w:lvlJc w:val="left"/>
      <w:pPr>
        <w:ind w:left="851" w:hanging="851"/>
      </w:pPr>
      <w:rPr>
        <w:rFonts w:ascii="Calibri" w:hAnsi="Calibri" w:hint="default"/>
        <w:sz w:val="26"/>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66" w15:restartNumberingAfterBreak="0">
    <w:nsid w:val="52BF1FA8"/>
    <w:multiLevelType w:val="hybridMultilevel"/>
    <w:tmpl w:val="70C8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541A233A"/>
    <w:multiLevelType w:val="hybridMultilevel"/>
    <w:tmpl w:val="29C8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561D49"/>
    <w:multiLevelType w:val="hybridMultilevel"/>
    <w:tmpl w:val="3384C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48E1566"/>
    <w:multiLevelType w:val="hybridMultilevel"/>
    <w:tmpl w:val="3F04F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6734E93"/>
    <w:multiLevelType w:val="hybridMultilevel"/>
    <w:tmpl w:val="E522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70E73FA"/>
    <w:multiLevelType w:val="hybridMultilevel"/>
    <w:tmpl w:val="3536E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7231BD1"/>
    <w:multiLevelType w:val="hybridMultilevel"/>
    <w:tmpl w:val="9C8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8255EE8"/>
    <w:multiLevelType w:val="hybridMultilevel"/>
    <w:tmpl w:val="5964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97067DE"/>
    <w:multiLevelType w:val="hybridMultilevel"/>
    <w:tmpl w:val="E28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1C1FC3"/>
    <w:multiLevelType w:val="hybridMultilevel"/>
    <w:tmpl w:val="762C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3D0C2F"/>
    <w:multiLevelType w:val="multilevel"/>
    <w:tmpl w:val="C47A0EFA"/>
    <w:lvl w:ilvl="0">
      <w:start w:val="1"/>
      <w:numFmt w:val="decimal"/>
      <w:pStyle w:val="Heading2numbered"/>
      <w:lvlText w:val="%1."/>
      <w:lvlJc w:val="left"/>
      <w:pPr>
        <w:ind w:left="720" w:hanging="360"/>
      </w:pPr>
    </w:lvl>
    <w:lvl w:ilvl="1">
      <w:start w:val="1"/>
      <w:numFmt w:val="decimal"/>
      <w:pStyle w:val="Heading3Numbered"/>
      <w:lvlText w:val="%1.%2."/>
      <w:lvlJc w:val="left"/>
      <w:pPr>
        <w:ind w:left="1152" w:hanging="432"/>
      </w:pPr>
    </w:lvl>
    <w:lvl w:ilvl="2">
      <w:start w:val="1"/>
      <w:numFmt w:val="decimal"/>
      <w:pStyle w:val="Heading4Numbered"/>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7" w15:restartNumberingAfterBreak="0">
    <w:nsid w:val="5C590D02"/>
    <w:multiLevelType w:val="hybridMultilevel"/>
    <w:tmpl w:val="D20A75F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623F4963"/>
    <w:multiLevelType w:val="hybridMultilevel"/>
    <w:tmpl w:val="FFFFFFFF"/>
    <w:styleLink w:val="ImportedStyle16"/>
    <w:lvl w:ilvl="0" w:tplc="2FECF79E">
      <w:start w:val="1"/>
      <w:numFmt w:val="bullet"/>
      <w:lvlText w:val="•"/>
      <w:lvlJc w:val="left"/>
      <w:pPr>
        <w:ind w:left="3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9E51AA">
      <w:start w:val="1"/>
      <w:numFmt w:val="bullet"/>
      <w:lvlText w:val="o"/>
      <w:lvlJc w:val="left"/>
      <w:pPr>
        <w:ind w:left="10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B680F8C">
      <w:start w:val="1"/>
      <w:numFmt w:val="bullet"/>
      <w:lvlText w:val="▪"/>
      <w:lvlJc w:val="left"/>
      <w:pPr>
        <w:ind w:left="18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922BA6A">
      <w:start w:val="1"/>
      <w:numFmt w:val="bullet"/>
      <w:lvlText w:val="▪"/>
      <w:lvlJc w:val="left"/>
      <w:pPr>
        <w:ind w:left="25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1C2A65A">
      <w:start w:val="1"/>
      <w:numFmt w:val="bullet"/>
      <w:lvlText w:val="▪"/>
      <w:lvlJc w:val="left"/>
      <w:pPr>
        <w:ind w:left="324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CF264BE">
      <w:start w:val="1"/>
      <w:numFmt w:val="bullet"/>
      <w:lvlText w:val="▪"/>
      <w:lvlJc w:val="left"/>
      <w:pPr>
        <w:ind w:left="396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E2B132">
      <w:start w:val="1"/>
      <w:numFmt w:val="bullet"/>
      <w:lvlText w:val="▪"/>
      <w:lvlJc w:val="left"/>
      <w:pPr>
        <w:ind w:left="46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C7C1D14">
      <w:start w:val="1"/>
      <w:numFmt w:val="bullet"/>
      <w:lvlText w:val="▪"/>
      <w:lvlJc w:val="left"/>
      <w:pPr>
        <w:ind w:left="54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93A4148">
      <w:start w:val="1"/>
      <w:numFmt w:val="bullet"/>
      <w:lvlText w:val="▪"/>
      <w:lvlJc w:val="left"/>
      <w:pPr>
        <w:ind w:left="61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63823C14"/>
    <w:multiLevelType w:val="hybridMultilevel"/>
    <w:tmpl w:val="574A2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48B6854"/>
    <w:multiLevelType w:val="hybridMultilevel"/>
    <w:tmpl w:val="465458E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1" w15:restartNumberingAfterBreak="0">
    <w:nsid w:val="65E24940"/>
    <w:multiLevelType w:val="hybridMultilevel"/>
    <w:tmpl w:val="B7A60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5F94DEA"/>
    <w:multiLevelType w:val="hybridMultilevel"/>
    <w:tmpl w:val="A29A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B97FF5"/>
    <w:multiLevelType w:val="hybridMultilevel"/>
    <w:tmpl w:val="CC04319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6B915FF6"/>
    <w:multiLevelType w:val="hybridMultilevel"/>
    <w:tmpl w:val="4EDCC5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92631F"/>
    <w:multiLevelType w:val="hybridMultilevel"/>
    <w:tmpl w:val="CAC46C68"/>
    <w:lvl w:ilvl="0" w:tplc="5FB417A4">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3F1699"/>
    <w:multiLevelType w:val="hybridMultilevel"/>
    <w:tmpl w:val="4A64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922033"/>
    <w:multiLevelType w:val="hybridMultilevel"/>
    <w:tmpl w:val="DFAE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187C34"/>
    <w:multiLevelType w:val="hybridMultilevel"/>
    <w:tmpl w:val="A782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B9E2C49"/>
    <w:multiLevelType w:val="hybridMultilevel"/>
    <w:tmpl w:val="71704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DAC7436"/>
    <w:multiLevelType w:val="hybridMultilevel"/>
    <w:tmpl w:val="282EF5B0"/>
    <w:lvl w:ilvl="0" w:tplc="08090001">
      <w:start w:val="1"/>
      <w:numFmt w:val="bullet"/>
      <w:lvlText w:val=""/>
      <w:lvlJc w:val="left"/>
      <w:pPr>
        <w:ind w:left="1211" w:hanging="360"/>
      </w:pPr>
      <w:rPr>
        <w:rFonts w:ascii="Symbol" w:hAnsi="Symbol" w:hint="default"/>
      </w:rPr>
    </w:lvl>
    <w:lvl w:ilvl="1" w:tplc="08090001">
      <w:start w:val="1"/>
      <w:numFmt w:val="bullet"/>
      <w:lvlText w:val=""/>
      <w:lvlJc w:val="left"/>
      <w:pPr>
        <w:ind w:left="2171" w:hanging="600"/>
      </w:pPr>
      <w:rPr>
        <w:rFonts w:ascii="Symbol" w:hAnsi="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1" w15:restartNumberingAfterBreak="0">
    <w:nsid w:val="7DE16EA5"/>
    <w:multiLevelType w:val="hybridMultilevel"/>
    <w:tmpl w:val="E44C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12071">
    <w:abstractNumId w:val="68"/>
  </w:num>
  <w:num w:numId="2" w16cid:durableId="377053215">
    <w:abstractNumId w:val="33"/>
  </w:num>
  <w:num w:numId="3" w16cid:durableId="2139570541">
    <w:abstractNumId w:val="59"/>
  </w:num>
  <w:num w:numId="4" w16cid:durableId="451483274">
    <w:abstractNumId w:val="79"/>
  </w:num>
  <w:num w:numId="5" w16cid:durableId="1142890935">
    <w:abstractNumId w:val="57"/>
  </w:num>
  <w:num w:numId="6" w16cid:durableId="820853645">
    <w:abstractNumId w:val="78"/>
  </w:num>
  <w:num w:numId="7" w16cid:durableId="53237741">
    <w:abstractNumId w:val="30"/>
  </w:num>
  <w:num w:numId="8" w16cid:durableId="198472768">
    <w:abstractNumId w:val="15"/>
  </w:num>
  <w:num w:numId="9" w16cid:durableId="87502297">
    <w:abstractNumId w:val="83"/>
  </w:num>
  <w:num w:numId="10" w16cid:durableId="701590638">
    <w:abstractNumId w:val="40"/>
  </w:num>
  <w:num w:numId="11" w16cid:durableId="1414552142">
    <w:abstractNumId w:val="74"/>
  </w:num>
  <w:num w:numId="12" w16cid:durableId="1159879896">
    <w:abstractNumId w:val="61"/>
  </w:num>
  <w:num w:numId="13" w16cid:durableId="965618357">
    <w:abstractNumId w:val="69"/>
  </w:num>
  <w:num w:numId="14" w16cid:durableId="940796510">
    <w:abstractNumId w:val="36"/>
  </w:num>
  <w:num w:numId="15" w16cid:durableId="1749495192">
    <w:abstractNumId w:val="42"/>
  </w:num>
  <w:num w:numId="16" w16cid:durableId="370034002">
    <w:abstractNumId w:val="73"/>
  </w:num>
  <w:num w:numId="17" w16cid:durableId="118501280">
    <w:abstractNumId w:val="24"/>
  </w:num>
  <w:num w:numId="18" w16cid:durableId="122969418">
    <w:abstractNumId w:val="1"/>
  </w:num>
  <w:num w:numId="19" w16cid:durableId="633098913">
    <w:abstractNumId w:val="2"/>
  </w:num>
  <w:num w:numId="20" w16cid:durableId="2076973928">
    <w:abstractNumId w:val="3"/>
  </w:num>
  <w:num w:numId="21" w16cid:durableId="1490948680">
    <w:abstractNumId w:val="4"/>
  </w:num>
  <w:num w:numId="22" w16cid:durableId="1480611947">
    <w:abstractNumId w:val="5"/>
  </w:num>
  <w:num w:numId="23" w16cid:durableId="124588706">
    <w:abstractNumId w:val="6"/>
  </w:num>
  <w:num w:numId="24" w16cid:durableId="1657996993">
    <w:abstractNumId w:val="7"/>
  </w:num>
  <w:num w:numId="25" w16cid:durableId="764619599">
    <w:abstractNumId w:val="8"/>
  </w:num>
  <w:num w:numId="26" w16cid:durableId="1128860632">
    <w:abstractNumId w:val="9"/>
  </w:num>
  <w:num w:numId="27" w16cid:durableId="157310983">
    <w:abstractNumId w:val="10"/>
  </w:num>
  <w:num w:numId="28" w16cid:durableId="54359645">
    <w:abstractNumId w:val="27"/>
  </w:num>
  <w:num w:numId="29" w16cid:durableId="1753354439">
    <w:abstractNumId w:val="18"/>
  </w:num>
  <w:num w:numId="30" w16cid:durableId="1060832575">
    <w:abstractNumId w:val="67"/>
  </w:num>
  <w:num w:numId="31" w16cid:durableId="2091003600">
    <w:abstractNumId w:val="23"/>
  </w:num>
  <w:num w:numId="32" w16cid:durableId="1349914591">
    <w:abstractNumId w:val="72"/>
  </w:num>
  <w:num w:numId="33" w16cid:durableId="1225069312">
    <w:abstractNumId w:val="84"/>
  </w:num>
  <w:num w:numId="34" w16cid:durableId="2062631676">
    <w:abstractNumId w:val="34"/>
  </w:num>
  <w:num w:numId="35" w16cid:durableId="775829382">
    <w:abstractNumId w:val="32"/>
  </w:num>
  <w:num w:numId="36" w16cid:durableId="318461927">
    <w:abstractNumId w:val="58"/>
  </w:num>
  <w:num w:numId="37" w16cid:durableId="364914551">
    <w:abstractNumId w:val="31"/>
  </w:num>
  <w:num w:numId="38" w16cid:durableId="1959406298">
    <w:abstractNumId w:val="17"/>
  </w:num>
  <w:num w:numId="39" w16cid:durableId="2083331569">
    <w:abstractNumId w:val="44"/>
  </w:num>
  <w:num w:numId="40" w16cid:durableId="229001940">
    <w:abstractNumId w:val="0"/>
  </w:num>
  <w:num w:numId="41" w16cid:durableId="216598392">
    <w:abstractNumId w:val="70"/>
  </w:num>
  <w:num w:numId="42" w16cid:durableId="340813562">
    <w:abstractNumId w:val="88"/>
  </w:num>
  <w:num w:numId="43" w16cid:durableId="1053039127">
    <w:abstractNumId w:val="90"/>
  </w:num>
  <w:num w:numId="44" w16cid:durableId="624852635">
    <w:abstractNumId w:val="51"/>
  </w:num>
  <w:num w:numId="45" w16cid:durableId="453064024">
    <w:abstractNumId w:val="38"/>
  </w:num>
  <w:num w:numId="46" w16cid:durableId="682167400">
    <w:abstractNumId w:val="85"/>
  </w:num>
  <w:num w:numId="47" w16cid:durableId="2095323221">
    <w:abstractNumId w:val="46"/>
  </w:num>
  <w:num w:numId="48" w16cid:durableId="1642464541">
    <w:abstractNumId w:val="37"/>
  </w:num>
  <w:num w:numId="49" w16cid:durableId="963804502">
    <w:abstractNumId w:val="65"/>
  </w:num>
  <w:num w:numId="50" w16cid:durableId="226190706">
    <w:abstractNumId w:val="35"/>
    <w:lvlOverride w:ilvl="0">
      <w:lvl w:ilvl="0">
        <w:start w:val="1"/>
        <w:numFmt w:val="decimal"/>
        <w:pStyle w:val="1TfGMHeading1"/>
        <w:lvlText w:val="%1"/>
        <w:lvlJc w:val="left"/>
        <w:pPr>
          <w:ind w:left="851" w:hanging="851"/>
        </w:pPr>
        <w:rPr>
          <w:rFonts w:ascii="Calibri" w:hAnsi="Calibri" w:hint="default"/>
          <w:b/>
          <w:sz w:val="20"/>
        </w:rPr>
      </w:lvl>
    </w:lvlOverride>
    <w:lvlOverride w:ilvl="1">
      <w:lvl w:ilvl="1">
        <w:start w:val="1"/>
        <w:numFmt w:val="decimal"/>
        <w:pStyle w:val="2TfGMHeading2"/>
        <w:lvlText w:val="%1.%2"/>
        <w:lvlJc w:val="left"/>
        <w:pPr>
          <w:ind w:left="851" w:hanging="851"/>
        </w:pPr>
        <w:rPr>
          <w:rFonts w:ascii="Calibri" w:hAnsi="Calibri" w:hint="default"/>
          <w:sz w:val="20"/>
        </w:rPr>
      </w:lvl>
    </w:lvlOverride>
    <w:lvlOverride w:ilvl="2">
      <w:lvl w:ilvl="2">
        <w:start w:val="1"/>
        <w:numFmt w:val="decimal"/>
        <w:pStyle w:val="3TfGMHeading3"/>
        <w:lvlText w:val="%1.%2.%3"/>
        <w:lvlJc w:val="left"/>
        <w:pPr>
          <w:ind w:left="851" w:hanging="851"/>
        </w:pPr>
        <w:rPr>
          <w:rFonts w:ascii="Calibri" w:hAnsi="Calibri" w:hint="default"/>
          <w:sz w:val="26"/>
        </w:rPr>
      </w:lvl>
    </w:lvlOverride>
    <w:lvlOverride w:ilvl="3">
      <w:lvl w:ilvl="3">
        <w:start w:val="1"/>
        <w:numFmt w:val="bullet"/>
        <w:pStyle w:val="4TfGMBullet1"/>
        <w:lvlText w:val=""/>
        <w:lvlJc w:val="left"/>
        <w:pPr>
          <w:ind w:left="567" w:firstLine="510"/>
        </w:pPr>
        <w:rPr>
          <w:rFonts w:ascii="Symbol" w:hAnsi="Symbol" w:hint="default"/>
          <w:color w:val="auto"/>
          <w:sz w:val="26"/>
        </w:rPr>
      </w:lvl>
    </w:lvlOverride>
    <w:lvlOverride w:ilvl="4">
      <w:lvl w:ilvl="4">
        <w:start w:val="1"/>
        <w:numFmt w:val="bullet"/>
        <w:pStyle w:val="5TfGMBullet2"/>
        <w:lvlText w:val=""/>
        <w:lvlJc w:val="left"/>
        <w:pPr>
          <w:ind w:left="567" w:firstLine="851"/>
        </w:pPr>
        <w:rPr>
          <w:rFonts w:ascii="Symbol" w:hAnsi="Symbol" w:hint="default"/>
          <w:sz w:val="26"/>
        </w:rPr>
      </w:lvl>
    </w:lvlOverride>
    <w:lvlOverride w:ilvl="5">
      <w:lvl w:ilvl="5">
        <w:start w:val="1"/>
        <w:numFmt w:val="lowerRoman"/>
        <w:pStyle w:val="6TfGMRecommendations"/>
        <w:lvlText w:val="%6)"/>
        <w:lvlJc w:val="left"/>
        <w:pPr>
          <w:ind w:left="567" w:firstLine="510"/>
        </w:pPr>
        <w:rPr>
          <w:rFonts w:ascii="Calibri" w:hAnsi="Calibri" w:hint="default"/>
          <w:sz w:val="26"/>
        </w:rPr>
      </w:lvl>
    </w:lvlOverride>
    <w:lvlOverride w:ilvl="6">
      <w:lvl w:ilvl="6">
        <w:start w:val="1"/>
        <w:numFmt w:val="none"/>
        <w:lvlText w:val=""/>
        <w:lvlJc w:val="left"/>
        <w:pPr>
          <w:ind w:left="851" w:firstLine="31918"/>
        </w:pPr>
        <w:rPr>
          <w:rFonts w:ascii="Calibri" w:hAnsi="Calibri" w:hint="default"/>
          <w:sz w:val="26"/>
        </w:rPr>
      </w:lvl>
    </w:lvlOverride>
    <w:lvlOverride w:ilvl="7">
      <w:lvl w:ilvl="7">
        <w:start w:val="1"/>
        <w:numFmt w:val="lowerLetter"/>
        <w:lvlText w:val="%8."/>
        <w:lvlJc w:val="left"/>
        <w:pPr>
          <w:ind w:left="12960" w:hanging="360"/>
        </w:pPr>
        <w:rPr>
          <w:rFonts w:hint="default"/>
        </w:rPr>
      </w:lvl>
    </w:lvlOverride>
    <w:lvlOverride w:ilvl="8">
      <w:lvl w:ilvl="8">
        <w:start w:val="1"/>
        <w:numFmt w:val="lowerRoman"/>
        <w:lvlText w:val="%9."/>
        <w:lvlJc w:val="left"/>
        <w:pPr>
          <w:ind w:left="13320" w:hanging="360"/>
        </w:pPr>
        <w:rPr>
          <w:rFonts w:hint="default"/>
        </w:rPr>
      </w:lvl>
    </w:lvlOverride>
  </w:num>
  <w:num w:numId="51" w16cid:durableId="956452335">
    <w:abstractNumId w:val="16"/>
  </w:num>
  <w:num w:numId="52" w16cid:durableId="1215432743">
    <w:abstractNumId w:val="77"/>
  </w:num>
  <w:num w:numId="53" w16cid:durableId="1001395988">
    <w:abstractNumId w:val="11"/>
  </w:num>
  <w:num w:numId="54" w16cid:durableId="112136868">
    <w:abstractNumId w:val="12"/>
  </w:num>
  <w:num w:numId="55" w16cid:durableId="153180819">
    <w:abstractNumId w:val="71"/>
  </w:num>
  <w:num w:numId="56" w16cid:durableId="238758054">
    <w:abstractNumId w:val="13"/>
  </w:num>
  <w:num w:numId="57" w16cid:durableId="840774208">
    <w:abstractNumId w:val="87"/>
  </w:num>
  <w:num w:numId="58" w16cid:durableId="1882597565">
    <w:abstractNumId w:val="25"/>
  </w:num>
  <w:num w:numId="59" w16cid:durableId="350033793">
    <w:abstractNumId w:val="64"/>
  </w:num>
  <w:num w:numId="60" w16cid:durableId="1979411790">
    <w:abstractNumId w:val="49"/>
  </w:num>
  <w:num w:numId="61" w16cid:durableId="75381536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0691430">
    <w:abstractNumId w:val="52"/>
  </w:num>
  <w:num w:numId="63" w16cid:durableId="1518351813">
    <w:abstractNumId w:val="20"/>
  </w:num>
  <w:num w:numId="64" w16cid:durableId="1090007050">
    <w:abstractNumId w:val="41"/>
  </w:num>
  <w:num w:numId="65" w16cid:durableId="1328747298">
    <w:abstractNumId w:val="50"/>
  </w:num>
  <w:num w:numId="66" w16cid:durableId="1095200947">
    <w:abstractNumId w:val="29"/>
  </w:num>
  <w:num w:numId="67" w16cid:durableId="1675259279">
    <w:abstractNumId w:val="14"/>
  </w:num>
  <w:num w:numId="68" w16cid:durableId="1671561516">
    <w:abstractNumId w:val="89"/>
  </w:num>
  <w:num w:numId="69" w16cid:durableId="753821928">
    <w:abstractNumId w:val="28"/>
  </w:num>
  <w:num w:numId="70" w16cid:durableId="646785436">
    <w:abstractNumId w:val="86"/>
  </w:num>
  <w:num w:numId="71" w16cid:durableId="1842430703">
    <w:abstractNumId w:val="26"/>
  </w:num>
  <w:num w:numId="72" w16cid:durableId="500589408">
    <w:abstractNumId w:val="21"/>
  </w:num>
  <w:num w:numId="73" w16cid:durableId="910165597">
    <w:abstractNumId w:val="80"/>
  </w:num>
  <w:num w:numId="74" w16cid:durableId="1507480552">
    <w:abstractNumId w:val="47"/>
  </w:num>
  <w:num w:numId="75" w16cid:durableId="879244683">
    <w:abstractNumId w:val="43"/>
  </w:num>
  <w:num w:numId="76" w16cid:durableId="1474981048">
    <w:abstractNumId w:val="76"/>
  </w:num>
  <w:num w:numId="77" w16cid:durableId="329066339">
    <w:abstractNumId w:val="62"/>
  </w:num>
  <w:num w:numId="78" w16cid:durableId="1190682282">
    <w:abstractNumId w:val="19"/>
  </w:num>
  <w:num w:numId="79" w16cid:durableId="1781602312">
    <w:abstractNumId w:val="91"/>
  </w:num>
  <w:num w:numId="80" w16cid:durableId="796144625">
    <w:abstractNumId w:val="39"/>
  </w:num>
  <w:num w:numId="81" w16cid:durableId="1634093243">
    <w:abstractNumId w:val="63"/>
  </w:num>
  <w:num w:numId="82" w16cid:durableId="1264916513">
    <w:abstractNumId w:val="53"/>
  </w:num>
  <w:num w:numId="83" w16cid:durableId="1425490473">
    <w:abstractNumId w:val="56"/>
  </w:num>
  <w:num w:numId="84" w16cid:durableId="1820414953">
    <w:abstractNumId w:val="54"/>
  </w:num>
  <w:num w:numId="85" w16cid:durableId="1397238361">
    <w:abstractNumId w:val="55"/>
  </w:num>
  <w:num w:numId="86" w16cid:durableId="1103382920">
    <w:abstractNumId w:val="22"/>
  </w:num>
  <w:num w:numId="87" w16cid:durableId="980766211">
    <w:abstractNumId w:val="60"/>
  </w:num>
  <w:num w:numId="88" w16cid:durableId="1806508868">
    <w:abstractNumId w:val="81"/>
  </w:num>
  <w:num w:numId="89" w16cid:durableId="1713337943">
    <w:abstractNumId w:val="45"/>
  </w:num>
  <w:num w:numId="90" w16cid:durableId="1680811409">
    <w:abstractNumId w:val="82"/>
  </w:num>
  <w:num w:numId="91" w16cid:durableId="1509247706">
    <w:abstractNumId w:val="75"/>
  </w:num>
  <w:num w:numId="92" w16cid:durableId="1546798269">
    <w:abstractNumId w:val="4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00"/>
    <w:rsid w:val="000008C1"/>
    <w:rsid w:val="00001147"/>
    <w:rsid w:val="000014B1"/>
    <w:rsid w:val="00002622"/>
    <w:rsid w:val="000026DC"/>
    <w:rsid w:val="00002AAA"/>
    <w:rsid w:val="00002D6A"/>
    <w:rsid w:val="00003377"/>
    <w:rsid w:val="000037B3"/>
    <w:rsid w:val="00003CD3"/>
    <w:rsid w:val="00003F30"/>
    <w:rsid w:val="000058B6"/>
    <w:rsid w:val="00006751"/>
    <w:rsid w:val="00006ADD"/>
    <w:rsid w:val="00006FCC"/>
    <w:rsid w:val="000071D7"/>
    <w:rsid w:val="00007437"/>
    <w:rsid w:val="000100D5"/>
    <w:rsid w:val="0001019F"/>
    <w:rsid w:val="00010401"/>
    <w:rsid w:val="000113E7"/>
    <w:rsid w:val="0001170B"/>
    <w:rsid w:val="000121F2"/>
    <w:rsid w:val="000140CC"/>
    <w:rsid w:val="00014212"/>
    <w:rsid w:val="000148D8"/>
    <w:rsid w:val="00014DE7"/>
    <w:rsid w:val="000162E7"/>
    <w:rsid w:val="00016686"/>
    <w:rsid w:val="00016C24"/>
    <w:rsid w:val="00020DA9"/>
    <w:rsid w:val="0002190C"/>
    <w:rsid w:val="00021D5A"/>
    <w:rsid w:val="00022220"/>
    <w:rsid w:val="0002416A"/>
    <w:rsid w:val="0002432F"/>
    <w:rsid w:val="000254B5"/>
    <w:rsid w:val="00025CB7"/>
    <w:rsid w:val="00026E51"/>
    <w:rsid w:val="00027BE1"/>
    <w:rsid w:val="00027C2E"/>
    <w:rsid w:val="00027EC2"/>
    <w:rsid w:val="00027F3A"/>
    <w:rsid w:val="00030B86"/>
    <w:rsid w:val="00031A22"/>
    <w:rsid w:val="000329D6"/>
    <w:rsid w:val="00032DA3"/>
    <w:rsid w:val="00032ED6"/>
    <w:rsid w:val="0003428E"/>
    <w:rsid w:val="0003456C"/>
    <w:rsid w:val="000361BC"/>
    <w:rsid w:val="000407DD"/>
    <w:rsid w:val="00040A1A"/>
    <w:rsid w:val="00041DAE"/>
    <w:rsid w:val="00043063"/>
    <w:rsid w:val="00044067"/>
    <w:rsid w:val="000442D5"/>
    <w:rsid w:val="000451CA"/>
    <w:rsid w:val="00045882"/>
    <w:rsid w:val="000459AB"/>
    <w:rsid w:val="00046148"/>
    <w:rsid w:val="00046A7D"/>
    <w:rsid w:val="00050D41"/>
    <w:rsid w:val="00050D81"/>
    <w:rsid w:val="00050EC4"/>
    <w:rsid w:val="000525BE"/>
    <w:rsid w:val="00052C64"/>
    <w:rsid w:val="00052C74"/>
    <w:rsid w:val="0005360C"/>
    <w:rsid w:val="00053A7C"/>
    <w:rsid w:val="00053E1A"/>
    <w:rsid w:val="000546CA"/>
    <w:rsid w:val="000560AF"/>
    <w:rsid w:val="00056761"/>
    <w:rsid w:val="00057EEC"/>
    <w:rsid w:val="0006241B"/>
    <w:rsid w:val="00062B2C"/>
    <w:rsid w:val="0006366E"/>
    <w:rsid w:val="00064376"/>
    <w:rsid w:val="0006490A"/>
    <w:rsid w:val="0006524E"/>
    <w:rsid w:val="0006685C"/>
    <w:rsid w:val="00067560"/>
    <w:rsid w:val="000713CE"/>
    <w:rsid w:val="0007272A"/>
    <w:rsid w:val="00072FCF"/>
    <w:rsid w:val="000731D7"/>
    <w:rsid w:val="00073770"/>
    <w:rsid w:val="0007382A"/>
    <w:rsid w:val="00073BDC"/>
    <w:rsid w:val="00073E55"/>
    <w:rsid w:val="00073FBD"/>
    <w:rsid w:val="000740BC"/>
    <w:rsid w:val="0007442E"/>
    <w:rsid w:val="00074FAB"/>
    <w:rsid w:val="00075218"/>
    <w:rsid w:val="0007558E"/>
    <w:rsid w:val="0007572B"/>
    <w:rsid w:val="000767D4"/>
    <w:rsid w:val="000767F9"/>
    <w:rsid w:val="00076DF7"/>
    <w:rsid w:val="00077DB3"/>
    <w:rsid w:val="00080228"/>
    <w:rsid w:val="000805FA"/>
    <w:rsid w:val="00080B54"/>
    <w:rsid w:val="000811AC"/>
    <w:rsid w:val="00081545"/>
    <w:rsid w:val="00081DA7"/>
    <w:rsid w:val="00081F87"/>
    <w:rsid w:val="00082940"/>
    <w:rsid w:val="00084130"/>
    <w:rsid w:val="00084476"/>
    <w:rsid w:val="00084BB4"/>
    <w:rsid w:val="00085C04"/>
    <w:rsid w:val="00085FBD"/>
    <w:rsid w:val="00086043"/>
    <w:rsid w:val="00086FA1"/>
    <w:rsid w:val="000874EF"/>
    <w:rsid w:val="000877BA"/>
    <w:rsid w:val="00090E63"/>
    <w:rsid w:val="000915B2"/>
    <w:rsid w:val="00092735"/>
    <w:rsid w:val="00093337"/>
    <w:rsid w:val="000933D8"/>
    <w:rsid w:val="00093A5F"/>
    <w:rsid w:val="000945A1"/>
    <w:rsid w:val="000945AF"/>
    <w:rsid w:val="00094A78"/>
    <w:rsid w:val="0009565D"/>
    <w:rsid w:val="00095C18"/>
    <w:rsid w:val="000960E1"/>
    <w:rsid w:val="000963D2"/>
    <w:rsid w:val="000A0695"/>
    <w:rsid w:val="000A0F4F"/>
    <w:rsid w:val="000A258D"/>
    <w:rsid w:val="000A2EDF"/>
    <w:rsid w:val="000A630A"/>
    <w:rsid w:val="000A68A4"/>
    <w:rsid w:val="000A6E69"/>
    <w:rsid w:val="000A728F"/>
    <w:rsid w:val="000A7AB6"/>
    <w:rsid w:val="000A7F0E"/>
    <w:rsid w:val="000B14D0"/>
    <w:rsid w:val="000B1D0E"/>
    <w:rsid w:val="000B247E"/>
    <w:rsid w:val="000B3072"/>
    <w:rsid w:val="000B32B0"/>
    <w:rsid w:val="000B3FD2"/>
    <w:rsid w:val="000B4A7E"/>
    <w:rsid w:val="000B5A53"/>
    <w:rsid w:val="000B67F1"/>
    <w:rsid w:val="000B6E49"/>
    <w:rsid w:val="000B7231"/>
    <w:rsid w:val="000B7486"/>
    <w:rsid w:val="000B7B21"/>
    <w:rsid w:val="000C0ECB"/>
    <w:rsid w:val="000C19CD"/>
    <w:rsid w:val="000C19F2"/>
    <w:rsid w:val="000C230B"/>
    <w:rsid w:val="000C2D30"/>
    <w:rsid w:val="000C2F94"/>
    <w:rsid w:val="000C364F"/>
    <w:rsid w:val="000C3CF7"/>
    <w:rsid w:val="000C4B28"/>
    <w:rsid w:val="000C53A4"/>
    <w:rsid w:val="000C5A5E"/>
    <w:rsid w:val="000C5F4E"/>
    <w:rsid w:val="000C6B2A"/>
    <w:rsid w:val="000C7D8A"/>
    <w:rsid w:val="000D11BC"/>
    <w:rsid w:val="000D1F38"/>
    <w:rsid w:val="000D3910"/>
    <w:rsid w:val="000D4E4E"/>
    <w:rsid w:val="000D4E56"/>
    <w:rsid w:val="000D5882"/>
    <w:rsid w:val="000D6A7A"/>
    <w:rsid w:val="000D7E38"/>
    <w:rsid w:val="000D7F53"/>
    <w:rsid w:val="000E09F5"/>
    <w:rsid w:val="000E0AE8"/>
    <w:rsid w:val="000E15E4"/>
    <w:rsid w:val="000E18CB"/>
    <w:rsid w:val="000E1954"/>
    <w:rsid w:val="000E2349"/>
    <w:rsid w:val="000E2A08"/>
    <w:rsid w:val="000E36EC"/>
    <w:rsid w:val="000E46C3"/>
    <w:rsid w:val="000E5109"/>
    <w:rsid w:val="000E5378"/>
    <w:rsid w:val="000E57F2"/>
    <w:rsid w:val="000E5AD6"/>
    <w:rsid w:val="000E6B9C"/>
    <w:rsid w:val="000E706D"/>
    <w:rsid w:val="000E74C3"/>
    <w:rsid w:val="000E7CD3"/>
    <w:rsid w:val="000E7DA0"/>
    <w:rsid w:val="000E7F37"/>
    <w:rsid w:val="000F0CEB"/>
    <w:rsid w:val="000F1EB5"/>
    <w:rsid w:val="000F2BC6"/>
    <w:rsid w:val="000F2D9A"/>
    <w:rsid w:val="000F3752"/>
    <w:rsid w:val="000F4716"/>
    <w:rsid w:val="000F48B9"/>
    <w:rsid w:val="000F6434"/>
    <w:rsid w:val="000F64EB"/>
    <w:rsid w:val="00100674"/>
    <w:rsid w:val="00100C95"/>
    <w:rsid w:val="001026CC"/>
    <w:rsid w:val="00102E58"/>
    <w:rsid w:val="00103DD7"/>
    <w:rsid w:val="00105404"/>
    <w:rsid w:val="001056D1"/>
    <w:rsid w:val="00106061"/>
    <w:rsid w:val="00106B37"/>
    <w:rsid w:val="0010757F"/>
    <w:rsid w:val="0010781E"/>
    <w:rsid w:val="00110ACA"/>
    <w:rsid w:val="00112434"/>
    <w:rsid w:val="00112F30"/>
    <w:rsid w:val="00112F51"/>
    <w:rsid w:val="001131BA"/>
    <w:rsid w:val="00113F1C"/>
    <w:rsid w:val="00114815"/>
    <w:rsid w:val="00114BDA"/>
    <w:rsid w:val="00114D57"/>
    <w:rsid w:val="0011520F"/>
    <w:rsid w:val="00115670"/>
    <w:rsid w:val="00115DCD"/>
    <w:rsid w:val="001162A2"/>
    <w:rsid w:val="001162C8"/>
    <w:rsid w:val="001174F5"/>
    <w:rsid w:val="0012135A"/>
    <w:rsid w:val="0012253E"/>
    <w:rsid w:val="00122A4E"/>
    <w:rsid w:val="00122CC1"/>
    <w:rsid w:val="00122CC7"/>
    <w:rsid w:val="00122ECC"/>
    <w:rsid w:val="00123598"/>
    <w:rsid w:val="00123CF2"/>
    <w:rsid w:val="00123DA1"/>
    <w:rsid w:val="00123E80"/>
    <w:rsid w:val="00124E12"/>
    <w:rsid w:val="00125398"/>
    <w:rsid w:val="00126747"/>
    <w:rsid w:val="001267EE"/>
    <w:rsid w:val="00126B18"/>
    <w:rsid w:val="00126BFE"/>
    <w:rsid w:val="00127201"/>
    <w:rsid w:val="00130913"/>
    <w:rsid w:val="00130F88"/>
    <w:rsid w:val="00131BA5"/>
    <w:rsid w:val="00131DE6"/>
    <w:rsid w:val="00131FED"/>
    <w:rsid w:val="0013221C"/>
    <w:rsid w:val="00133863"/>
    <w:rsid w:val="00133E33"/>
    <w:rsid w:val="00135610"/>
    <w:rsid w:val="00135E29"/>
    <w:rsid w:val="00136014"/>
    <w:rsid w:val="0013619D"/>
    <w:rsid w:val="001365BE"/>
    <w:rsid w:val="001366B9"/>
    <w:rsid w:val="00137D04"/>
    <w:rsid w:val="001416DC"/>
    <w:rsid w:val="0014202A"/>
    <w:rsid w:val="00142A03"/>
    <w:rsid w:val="00144400"/>
    <w:rsid w:val="00144404"/>
    <w:rsid w:val="001446CC"/>
    <w:rsid w:val="00144BB8"/>
    <w:rsid w:val="00144C23"/>
    <w:rsid w:val="00144E9F"/>
    <w:rsid w:val="001456FE"/>
    <w:rsid w:val="00145C13"/>
    <w:rsid w:val="001468DD"/>
    <w:rsid w:val="0014763F"/>
    <w:rsid w:val="00147906"/>
    <w:rsid w:val="00150CDE"/>
    <w:rsid w:val="00150E0B"/>
    <w:rsid w:val="001513E1"/>
    <w:rsid w:val="001513F6"/>
    <w:rsid w:val="0015228D"/>
    <w:rsid w:val="00152326"/>
    <w:rsid w:val="00152412"/>
    <w:rsid w:val="001525B0"/>
    <w:rsid w:val="00152638"/>
    <w:rsid w:val="00153EF1"/>
    <w:rsid w:val="00154EDF"/>
    <w:rsid w:val="00155621"/>
    <w:rsid w:val="001557D9"/>
    <w:rsid w:val="001558C1"/>
    <w:rsid w:val="0015682A"/>
    <w:rsid w:val="00156EAA"/>
    <w:rsid w:val="00160771"/>
    <w:rsid w:val="00160785"/>
    <w:rsid w:val="00160E07"/>
    <w:rsid w:val="00161AD9"/>
    <w:rsid w:val="00163E12"/>
    <w:rsid w:val="001649F6"/>
    <w:rsid w:val="00164A5F"/>
    <w:rsid w:val="00165CEE"/>
    <w:rsid w:val="00166F8F"/>
    <w:rsid w:val="00170115"/>
    <w:rsid w:val="0017061D"/>
    <w:rsid w:val="00171330"/>
    <w:rsid w:val="00171DAF"/>
    <w:rsid w:val="0017271E"/>
    <w:rsid w:val="00173546"/>
    <w:rsid w:val="00176124"/>
    <w:rsid w:val="00176317"/>
    <w:rsid w:val="0017725A"/>
    <w:rsid w:val="0017778E"/>
    <w:rsid w:val="00180CC0"/>
    <w:rsid w:val="00181143"/>
    <w:rsid w:val="001819D9"/>
    <w:rsid w:val="00181A50"/>
    <w:rsid w:val="00182284"/>
    <w:rsid w:val="00182392"/>
    <w:rsid w:val="0018253E"/>
    <w:rsid w:val="001826CE"/>
    <w:rsid w:val="001838A2"/>
    <w:rsid w:val="00184362"/>
    <w:rsid w:val="001859D8"/>
    <w:rsid w:val="00186278"/>
    <w:rsid w:val="001867BA"/>
    <w:rsid w:val="00186C02"/>
    <w:rsid w:val="00186F50"/>
    <w:rsid w:val="001876BD"/>
    <w:rsid w:val="00187C9F"/>
    <w:rsid w:val="001901D8"/>
    <w:rsid w:val="00190FF1"/>
    <w:rsid w:val="00191294"/>
    <w:rsid w:val="00191574"/>
    <w:rsid w:val="0019189C"/>
    <w:rsid w:val="00192CB0"/>
    <w:rsid w:val="00192EC4"/>
    <w:rsid w:val="001930C7"/>
    <w:rsid w:val="001937E4"/>
    <w:rsid w:val="0019391D"/>
    <w:rsid w:val="00193F02"/>
    <w:rsid w:val="001943BF"/>
    <w:rsid w:val="0019544B"/>
    <w:rsid w:val="001969DD"/>
    <w:rsid w:val="00197529"/>
    <w:rsid w:val="001A1195"/>
    <w:rsid w:val="001A1273"/>
    <w:rsid w:val="001A16CB"/>
    <w:rsid w:val="001A1EC9"/>
    <w:rsid w:val="001A3595"/>
    <w:rsid w:val="001A3736"/>
    <w:rsid w:val="001A454E"/>
    <w:rsid w:val="001A5055"/>
    <w:rsid w:val="001A58C6"/>
    <w:rsid w:val="001A62A5"/>
    <w:rsid w:val="001A74B2"/>
    <w:rsid w:val="001A791D"/>
    <w:rsid w:val="001A7D30"/>
    <w:rsid w:val="001B0760"/>
    <w:rsid w:val="001B0BAB"/>
    <w:rsid w:val="001B1330"/>
    <w:rsid w:val="001B1DE6"/>
    <w:rsid w:val="001B1F13"/>
    <w:rsid w:val="001B2BD9"/>
    <w:rsid w:val="001B4436"/>
    <w:rsid w:val="001B4593"/>
    <w:rsid w:val="001B478E"/>
    <w:rsid w:val="001B6D1C"/>
    <w:rsid w:val="001B7888"/>
    <w:rsid w:val="001C1565"/>
    <w:rsid w:val="001C1AA1"/>
    <w:rsid w:val="001C348B"/>
    <w:rsid w:val="001C3A4B"/>
    <w:rsid w:val="001C464D"/>
    <w:rsid w:val="001C49A0"/>
    <w:rsid w:val="001C59EE"/>
    <w:rsid w:val="001C5CB8"/>
    <w:rsid w:val="001C5DE1"/>
    <w:rsid w:val="001C5FFB"/>
    <w:rsid w:val="001C626B"/>
    <w:rsid w:val="001C6ACD"/>
    <w:rsid w:val="001C7AD8"/>
    <w:rsid w:val="001C7C79"/>
    <w:rsid w:val="001D1053"/>
    <w:rsid w:val="001D2055"/>
    <w:rsid w:val="001D2242"/>
    <w:rsid w:val="001D23EA"/>
    <w:rsid w:val="001D278E"/>
    <w:rsid w:val="001D4791"/>
    <w:rsid w:val="001D47A1"/>
    <w:rsid w:val="001D4868"/>
    <w:rsid w:val="001D4BAF"/>
    <w:rsid w:val="001D5319"/>
    <w:rsid w:val="001D5FF9"/>
    <w:rsid w:val="001D6744"/>
    <w:rsid w:val="001D69B8"/>
    <w:rsid w:val="001D6B41"/>
    <w:rsid w:val="001D735D"/>
    <w:rsid w:val="001D7507"/>
    <w:rsid w:val="001E052C"/>
    <w:rsid w:val="001E0C92"/>
    <w:rsid w:val="001E1831"/>
    <w:rsid w:val="001E1A08"/>
    <w:rsid w:val="001E2659"/>
    <w:rsid w:val="001E2EE1"/>
    <w:rsid w:val="001E30AB"/>
    <w:rsid w:val="001E3540"/>
    <w:rsid w:val="001E40DE"/>
    <w:rsid w:val="001E470D"/>
    <w:rsid w:val="001E50D6"/>
    <w:rsid w:val="001E581A"/>
    <w:rsid w:val="001E6778"/>
    <w:rsid w:val="001F0259"/>
    <w:rsid w:val="001F0E0C"/>
    <w:rsid w:val="001F1CDD"/>
    <w:rsid w:val="001F2C3F"/>
    <w:rsid w:val="001F2EE6"/>
    <w:rsid w:val="001F31F2"/>
    <w:rsid w:val="001F3CE0"/>
    <w:rsid w:val="001F692E"/>
    <w:rsid w:val="001F6973"/>
    <w:rsid w:val="001F6FEF"/>
    <w:rsid w:val="001F7616"/>
    <w:rsid w:val="001F7874"/>
    <w:rsid w:val="001F7D88"/>
    <w:rsid w:val="00201027"/>
    <w:rsid w:val="00201AD1"/>
    <w:rsid w:val="002020AA"/>
    <w:rsid w:val="00202C5F"/>
    <w:rsid w:val="00203B09"/>
    <w:rsid w:val="00203F2A"/>
    <w:rsid w:val="0020483D"/>
    <w:rsid w:val="00204D0B"/>
    <w:rsid w:val="00204E54"/>
    <w:rsid w:val="00204F33"/>
    <w:rsid w:val="0020516D"/>
    <w:rsid w:val="002061DD"/>
    <w:rsid w:val="002063EC"/>
    <w:rsid w:val="00206DF3"/>
    <w:rsid w:val="00206F03"/>
    <w:rsid w:val="002103AC"/>
    <w:rsid w:val="00212C0B"/>
    <w:rsid w:val="002138F0"/>
    <w:rsid w:val="00214CB1"/>
    <w:rsid w:val="00215616"/>
    <w:rsid w:val="00215941"/>
    <w:rsid w:val="00215A6A"/>
    <w:rsid w:val="00216825"/>
    <w:rsid w:val="00216971"/>
    <w:rsid w:val="00216D69"/>
    <w:rsid w:val="00217C9D"/>
    <w:rsid w:val="002201A2"/>
    <w:rsid w:val="002213B4"/>
    <w:rsid w:val="002217DB"/>
    <w:rsid w:val="00221C18"/>
    <w:rsid w:val="00223B59"/>
    <w:rsid w:val="0022418C"/>
    <w:rsid w:val="00225F11"/>
    <w:rsid w:val="002265D2"/>
    <w:rsid w:val="00226BA8"/>
    <w:rsid w:val="002270C7"/>
    <w:rsid w:val="00227DEA"/>
    <w:rsid w:val="002305C6"/>
    <w:rsid w:val="00230784"/>
    <w:rsid w:val="00231013"/>
    <w:rsid w:val="00231EC2"/>
    <w:rsid w:val="002326BD"/>
    <w:rsid w:val="0023425C"/>
    <w:rsid w:val="00235431"/>
    <w:rsid w:val="00236570"/>
    <w:rsid w:val="00236F88"/>
    <w:rsid w:val="002409D7"/>
    <w:rsid w:val="00240FAF"/>
    <w:rsid w:val="00242325"/>
    <w:rsid w:val="00243254"/>
    <w:rsid w:val="00243427"/>
    <w:rsid w:val="0024378D"/>
    <w:rsid w:val="0024576A"/>
    <w:rsid w:val="00245D50"/>
    <w:rsid w:val="00246B1A"/>
    <w:rsid w:val="00247E04"/>
    <w:rsid w:val="002510FA"/>
    <w:rsid w:val="00252539"/>
    <w:rsid w:val="00253110"/>
    <w:rsid w:val="00254030"/>
    <w:rsid w:val="002555A0"/>
    <w:rsid w:val="00255813"/>
    <w:rsid w:val="002558A0"/>
    <w:rsid w:val="00255A94"/>
    <w:rsid w:val="00256B04"/>
    <w:rsid w:val="0026070D"/>
    <w:rsid w:val="00260876"/>
    <w:rsid w:val="00260A2B"/>
    <w:rsid w:val="00260BAF"/>
    <w:rsid w:val="00260FAE"/>
    <w:rsid w:val="00261260"/>
    <w:rsid w:val="00261307"/>
    <w:rsid w:val="00261631"/>
    <w:rsid w:val="00261CE2"/>
    <w:rsid w:val="00262377"/>
    <w:rsid w:val="00263339"/>
    <w:rsid w:val="00263783"/>
    <w:rsid w:val="00263B3D"/>
    <w:rsid w:val="00264715"/>
    <w:rsid w:val="00265D05"/>
    <w:rsid w:val="0026647A"/>
    <w:rsid w:val="00266B23"/>
    <w:rsid w:val="00267033"/>
    <w:rsid w:val="00267675"/>
    <w:rsid w:val="00267803"/>
    <w:rsid w:val="00267A25"/>
    <w:rsid w:val="00267BF9"/>
    <w:rsid w:val="002706DC"/>
    <w:rsid w:val="00270FE4"/>
    <w:rsid w:val="00271956"/>
    <w:rsid w:val="0027341C"/>
    <w:rsid w:val="002735A0"/>
    <w:rsid w:val="00275033"/>
    <w:rsid w:val="00276378"/>
    <w:rsid w:val="0027782F"/>
    <w:rsid w:val="00277A16"/>
    <w:rsid w:val="00281085"/>
    <w:rsid w:val="002810BB"/>
    <w:rsid w:val="00281348"/>
    <w:rsid w:val="002816D7"/>
    <w:rsid w:val="00281BE5"/>
    <w:rsid w:val="00282FEE"/>
    <w:rsid w:val="00283DF3"/>
    <w:rsid w:val="00285F28"/>
    <w:rsid w:val="00287411"/>
    <w:rsid w:val="00287D6E"/>
    <w:rsid w:val="002901B8"/>
    <w:rsid w:val="00290F44"/>
    <w:rsid w:val="002914CC"/>
    <w:rsid w:val="002914EF"/>
    <w:rsid w:val="002919EB"/>
    <w:rsid w:val="00291C64"/>
    <w:rsid w:val="00293CC5"/>
    <w:rsid w:val="002942E7"/>
    <w:rsid w:val="00294E50"/>
    <w:rsid w:val="002952F9"/>
    <w:rsid w:val="00296CD9"/>
    <w:rsid w:val="00296E9D"/>
    <w:rsid w:val="00296F78"/>
    <w:rsid w:val="002A0152"/>
    <w:rsid w:val="002A18FB"/>
    <w:rsid w:val="002A1987"/>
    <w:rsid w:val="002A19B3"/>
    <w:rsid w:val="002A1BED"/>
    <w:rsid w:val="002A2D22"/>
    <w:rsid w:val="002A5193"/>
    <w:rsid w:val="002A5D88"/>
    <w:rsid w:val="002A6212"/>
    <w:rsid w:val="002A6573"/>
    <w:rsid w:val="002A65CE"/>
    <w:rsid w:val="002A6C4C"/>
    <w:rsid w:val="002A74DB"/>
    <w:rsid w:val="002A799E"/>
    <w:rsid w:val="002A7CF3"/>
    <w:rsid w:val="002B00AF"/>
    <w:rsid w:val="002B049C"/>
    <w:rsid w:val="002B38D1"/>
    <w:rsid w:val="002B3C1D"/>
    <w:rsid w:val="002B5482"/>
    <w:rsid w:val="002B759B"/>
    <w:rsid w:val="002B7650"/>
    <w:rsid w:val="002C113C"/>
    <w:rsid w:val="002C19C9"/>
    <w:rsid w:val="002C21D2"/>
    <w:rsid w:val="002C2649"/>
    <w:rsid w:val="002C3062"/>
    <w:rsid w:val="002C36DB"/>
    <w:rsid w:val="002C3C28"/>
    <w:rsid w:val="002C411B"/>
    <w:rsid w:val="002C413A"/>
    <w:rsid w:val="002C43F3"/>
    <w:rsid w:val="002C48AD"/>
    <w:rsid w:val="002C4B67"/>
    <w:rsid w:val="002C5006"/>
    <w:rsid w:val="002C5479"/>
    <w:rsid w:val="002C641A"/>
    <w:rsid w:val="002C772E"/>
    <w:rsid w:val="002D2913"/>
    <w:rsid w:val="002D2E99"/>
    <w:rsid w:val="002D2F17"/>
    <w:rsid w:val="002D3571"/>
    <w:rsid w:val="002D358A"/>
    <w:rsid w:val="002D40FF"/>
    <w:rsid w:val="002D41AB"/>
    <w:rsid w:val="002D4A42"/>
    <w:rsid w:val="002D4B06"/>
    <w:rsid w:val="002D6356"/>
    <w:rsid w:val="002D68EA"/>
    <w:rsid w:val="002D76CD"/>
    <w:rsid w:val="002E0B9F"/>
    <w:rsid w:val="002E0E9D"/>
    <w:rsid w:val="002E10EA"/>
    <w:rsid w:val="002E18E5"/>
    <w:rsid w:val="002E1BEE"/>
    <w:rsid w:val="002E1DEA"/>
    <w:rsid w:val="002E200A"/>
    <w:rsid w:val="002E22CF"/>
    <w:rsid w:val="002E36E6"/>
    <w:rsid w:val="002E4EEE"/>
    <w:rsid w:val="002E56A4"/>
    <w:rsid w:val="002E5D9D"/>
    <w:rsid w:val="002E76FA"/>
    <w:rsid w:val="002E79D3"/>
    <w:rsid w:val="002E7A9F"/>
    <w:rsid w:val="002F037F"/>
    <w:rsid w:val="002F083C"/>
    <w:rsid w:val="002F25D4"/>
    <w:rsid w:val="002F2A52"/>
    <w:rsid w:val="002F46D8"/>
    <w:rsid w:val="002F5EDD"/>
    <w:rsid w:val="00300686"/>
    <w:rsid w:val="00300D64"/>
    <w:rsid w:val="00301A65"/>
    <w:rsid w:val="00302053"/>
    <w:rsid w:val="00305C7A"/>
    <w:rsid w:val="003061E0"/>
    <w:rsid w:val="00306657"/>
    <w:rsid w:val="0030674D"/>
    <w:rsid w:val="0030753F"/>
    <w:rsid w:val="003103DC"/>
    <w:rsid w:val="003109CE"/>
    <w:rsid w:val="003117AB"/>
    <w:rsid w:val="00311AE7"/>
    <w:rsid w:val="00314193"/>
    <w:rsid w:val="00314A95"/>
    <w:rsid w:val="00315FD6"/>
    <w:rsid w:val="003161FC"/>
    <w:rsid w:val="003166DA"/>
    <w:rsid w:val="0031699E"/>
    <w:rsid w:val="00317709"/>
    <w:rsid w:val="00317E52"/>
    <w:rsid w:val="00320ADB"/>
    <w:rsid w:val="00320E1C"/>
    <w:rsid w:val="00321EB6"/>
    <w:rsid w:val="00322179"/>
    <w:rsid w:val="0032236D"/>
    <w:rsid w:val="00322485"/>
    <w:rsid w:val="00322755"/>
    <w:rsid w:val="00323398"/>
    <w:rsid w:val="00323BE3"/>
    <w:rsid w:val="0032476E"/>
    <w:rsid w:val="00324A39"/>
    <w:rsid w:val="003251F3"/>
    <w:rsid w:val="00325BB0"/>
    <w:rsid w:val="003262C5"/>
    <w:rsid w:val="0032642E"/>
    <w:rsid w:val="00327BDC"/>
    <w:rsid w:val="003313B0"/>
    <w:rsid w:val="003314BE"/>
    <w:rsid w:val="003318BC"/>
    <w:rsid w:val="00333273"/>
    <w:rsid w:val="003332EC"/>
    <w:rsid w:val="00334B82"/>
    <w:rsid w:val="003366E1"/>
    <w:rsid w:val="00336734"/>
    <w:rsid w:val="00336C9F"/>
    <w:rsid w:val="00336D63"/>
    <w:rsid w:val="003378D4"/>
    <w:rsid w:val="00337A59"/>
    <w:rsid w:val="00337C1A"/>
    <w:rsid w:val="00340252"/>
    <w:rsid w:val="00340F0A"/>
    <w:rsid w:val="00342B6D"/>
    <w:rsid w:val="00343260"/>
    <w:rsid w:val="0034379B"/>
    <w:rsid w:val="003439C3"/>
    <w:rsid w:val="00344898"/>
    <w:rsid w:val="003455E5"/>
    <w:rsid w:val="00345AFF"/>
    <w:rsid w:val="00345EB7"/>
    <w:rsid w:val="00345FB8"/>
    <w:rsid w:val="00346123"/>
    <w:rsid w:val="00347677"/>
    <w:rsid w:val="00347879"/>
    <w:rsid w:val="00350F78"/>
    <w:rsid w:val="00351717"/>
    <w:rsid w:val="00352866"/>
    <w:rsid w:val="003531BD"/>
    <w:rsid w:val="0035322B"/>
    <w:rsid w:val="003537DF"/>
    <w:rsid w:val="003539BC"/>
    <w:rsid w:val="00353B6F"/>
    <w:rsid w:val="003543D4"/>
    <w:rsid w:val="003544D1"/>
    <w:rsid w:val="0035486D"/>
    <w:rsid w:val="0035629E"/>
    <w:rsid w:val="003565C7"/>
    <w:rsid w:val="00356A8F"/>
    <w:rsid w:val="00356F92"/>
    <w:rsid w:val="0035752C"/>
    <w:rsid w:val="00357FDB"/>
    <w:rsid w:val="00361995"/>
    <w:rsid w:val="003623B2"/>
    <w:rsid w:val="00362815"/>
    <w:rsid w:val="00364082"/>
    <w:rsid w:val="00364A5B"/>
    <w:rsid w:val="00365515"/>
    <w:rsid w:val="00365E9B"/>
    <w:rsid w:val="00366EB7"/>
    <w:rsid w:val="00367C72"/>
    <w:rsid w:val="00367E38"/>
    <w:rsid w:val="00370B6B"/>
    <w:rsid w:val="00371A6D"/>
    <w:rsid w:val="00372292"/>
    <w:rsid w:val="00373365"/>
    <w:rsid w:val="003741C8"/>
    <w:rsid w:val="00375977"/>
    <w:rsid w:val="00376627"/>
    <w:rsid w:val="00377E35"/>
    <w:rsid w:val="0038082E"/>
    <w:rsid w:val="0038153E"/>
    <w:rsid w:val="0038217D"/>
    <w:rsid w:val="00383E2B"/>
    <w:rsid w:val="00384F95"/>
    <w:rsid w:val="003865F0"/>
    <w:rsid w:val="00386A4F"/>
    <w:rsid w:val="00386B1F"/>
    <w:rsid w:val="00387436"/>
    <w:rsid w:val="00387571"/>
    <w:rsid w:val="003877F1"/>
    <w:rsid w:val="00387C38"/>
    <w:rsid w:val="003923B6"/>
    <w:rsid w:val="00392774"/>
    <w:rsid w:val="00392BE2"/>
    <w:rsid w:val="003941CA"/>
    <w:rsid w:val="003949B8"/>
    <w:rsid w:val="00394A58"/>
    <w:rsid w:val="00395E70"/>
    <w:rsid w:val="00396731"/>
    <w:rsid w:val="00396F57"/>
    <w:rsid w:val="003975A7"/>
    <w:rsid w:val="00397854"/>
    <w:rsid w:val="003A2C31"/>
    <w:rsid w:val="003A31EF"/>
    <w:rsid w:val="003A3296"/>
    <w:rsid w:val="003A363A"/>
    <w:rsid w:val="003A36B1"/>
    <w:rsid w:val="003A3F65"/>
    <w:rsid w:val="003A4391"/>
    <w:rsid w:val="003A46ED"/>
    <w:rsid w:val="003A641D"/>
    <w:rsid w:val="003A6BBA"/>
    <w:rsid w:val="003B018E"/>
    <w:rsid w:val="003B01B5"/>
    <w:rsid w:val="003B0A92"/>
    <w:rsid w:val="003B15CE"/>
    <w:rsid w:val="003B3921"/>
    <w:rsid w:val="003B44CC"/>
    <w:rsid w:val="003B46BF"/>
    <w:rsid w:val="003B4D5B"/>
    <w:rsid w:val="003B5460"/>
    <w:rsid w:val="003B62A8"/>
    <w:rsid w:val="003C15F7"/>
    <w:rsid w:val="003C21E6"/>
    <w:rsid w:val="003C272F"/>
    <w:rsid w:val="003C37CC"/>
    <w:rsid w:val="003C3CBC"/>
    <w:rsid w:val="003C3CE4"/>
    <w:rsid w:val="003C489B"/>
    <w:rsid w:val="003C5C4E"/>
    <w:rsid w:val="003C6654"/>
    <w:rsid w:val="003D03A4"/>
    <w:rsid w:val="003D0AA7"/>
    <w:rsid w:val="003D0DED"/>
    <w:rsid w:val="003D1325"/>
    <w:rsid w:val="003D29CB"/>
    <w:rsid w:val="003D2CD5"/>
    <w:rsid w:val="003D3B7D"/>
    <w:rsid w:val="003D57AF"/>
    <w:rsid w:val="003D5A05"/>
    <w:rsid w:val="003E1E05"/>
    <w:rsid w:val="003E20A2"/>
    <w:rsid w:val="003E22F1"/>
    <w:rsid w:val="003E27B6"/>
    <w:rsid w:val="003E4069"/>
    <w:rsid w:val="003E4C16"/>
    <w:rsid w:val="003E69FE"/>
    <w:rsid w:val="003E7B25"/>
    <w:rsid w:val="003F1F09"/>
    <w:rsid w:val="003F32BF"/>
    <w:rsid w:val="003F33EC"/>
    <w:rsid w:val="003F3CF2"/>
    <w:rsid w:val="003F6CDC"/>
    <w:rsid w:val="003F6FBC"/>
    <w:rsid w:val="0040243D"/>
    <w:rsid w:val="004028D3"/>
    <w:rsid w:val="0040301F"/>
    <w:rsid w:val="004042BA"/>
    <w:rsid w:val="004047A3"/>
    <w:rsid w:val="00404D5B"/>
    <w:rsid w:val="00404EEA"/>
    <w:rsid w:val="00405761"/>
    <w:rsid w:val="00406277"/>
    <w:rsid w:val="00406A62"/>
    <w:rsid w:val="00406FBB"/>
    <w:rsid w:val="0040773A"/>
    <w:rsid w:val="0041014A"/>
    <w:rsid w:val="004103E9"/>
    <w:rsid w:val="00410CDF"/>
    <w:rsid w:val="00413894"/>
    <w:rsid w:val="00413C79"/>
    <w:rsid w:val="00413CC3"/>
    <w:rsid w:val="00414118"/>
    <w:rsid w:val="0041436B"/>
    <w:rsid w:val="00414515"/>
    <w:rsid w:val="00414538"/>
    <w:rsid w:val="00414F94"/>
    <w:rsid w:val="00415308"/>
    <w:rsid w:val="00415AD6"/>
    <w:rsid w:val="00416D4A"/>
    <w:rsid w:val="00417350"/>
    <w:rsid w:val="00417E04"/>
    <w:rsid w:val="004210DB"/>
    <w:rsid w:val="004219F1"/>
    <w:rsid w:val="0042270C"/>
    <w:rsid w:val="00423B0A"/>
    <w:rsid w:val="004254CB"/>
    <w:rsid w:val="004261BF"/>
    <w:rsid w:val="0042690D"/>
    <w:rsid w:val="004277A6"/>
    <w:rsid w:val="00427F33"/>
    <w:rsid w:val="004300C4"/>
    <w:rsid w:val="004311A4"/>
    <w:rsid w:val="00431940"/>
    <w:rsid w:val="00431D87"/>
    <w:rsid w:val="00431DA3"/>
    <w:rsid w:val="00431F6F"/>
    <w:rsid w:val="0043245A"/>
    <w:rsid w:val="00432D92"/>
    <w:rsid w:val="00432E3E"/>
    <w:rsid w:val="0043331B"/>
    <w:rsid w:val="004334C8"/>
    <w:rsid w:val="0043503F"/>
    <w:rsid w:val="00436A00"/>
    <w:rsid w:val="004371A7"/>
    <w:rsid w:val="00437C52"/>
    <w:rsid w:val="004404B8"/>
    <w:rsid w:val="004407D7"/>
    <w:rsid w:val="004418BB"/>
    <w:rsid w:val="00441C42"/>
    <w:rsid w:val="004420AF"/>
    <w:rsid w:val="00442C9E"/>
    <w:rsid w:val="00442F1B"/>
    <w:rsid w:val="00443D5C"/>
    <w:rsid w:val="00445D2B"/>
    <w:rsid w:val="004466F7"/>
    <w:rsid w:val="00446D99"/>
    <w:rsid w:val="0044773C"/>
    <w:rsid w:val="00447F22"/>
    <w:rsid w:val="004505C0"/>
    <w:rsid w:val="00451128"/>
    <w:rsid w:val="004511A1"/>
    <w:rsid w:val="00451E80"/>
    <w:rsid w:val="00452795"/>
    <w:rsid w:val="00454112"/>
    <w:rsid w:val="00455368"/>
    <w:rsid w:val="004554F4"/>
    <w:rsid w:val="00455E34"/>
    <w:rsid w:val="00457B77"/>
    <w:rsid w:val="00457D76"/>
    <w:rsid w:val="00460DE1"/>
    <w:rsid w:val="004611C5"/>
    <w:rsid w:val="0046128B"/>
    <w:rsid w:val="00461DC1"/>
    <w:rsid w:val="00462E88"/>
    <w:rsid w:val="00463AF0"/>
    <w:rsid w:val="004641F4"/>
    <w:rsid w:val="00464A86"/>
    <w:rsid w:val="00464DD2"/>
    <w:rsid w:val="00465416"/>
    <w:rsid w:val="00465662"/>
    <w:rsid w:val="00465E32"/>
    <w:rsid w:val="00465FFB"/>
    <w:rsid w:val="00466E30"/>
    <w:rsid w:val="0047021A"/>
    <w:rsid w:val="0047078D"/>
    <w:rsid w:val="00470A78"/>
    <w:rsid w:val="004716C5"/>
    <w:rsid w:val="00471A15"/>
    <w:rsid w:val="00471CCA"/>
    <w:rsid w:val="004726F0"/>
    <w:rsid w:val="00472E2F"/>
    <w:rsid w:val="00474D1F"/>
    <w:rsid w:val="00474E8D"/>
    <w:rsid w:val="00475816"/>
    <w:rsid w:val="00475A3D"/>
    <w:rsid w:val="00475DF4"/>
    <w:rsid w:val="00476CC7"/>
    <w:rsid w:val="00482031"/>
    <w:rsid w:val="004833A2"/>
    <w:rsid w:val="0048373A"/>
    <w:rsid w:val="004844EC"/>
    <w:rsid w:val="00484A56"/>
    <w:rsid w:val="00486642"/>
    <w:rsid w:val="00486E78"/>
    <w:rsid w:val="00487AB5"/>
    <w:rsid w:val="00487DB2"/>
    <w:rsid w:val="00490231"/>
    <w:rsid w:val="004903C5"/>
    <w:rsid w:val="0049058A"/>
    <w:rsid w:val="00490C00"/>
    <w:rsid w:val="00493476"/>
    <w:rsid w:val="004944B7"/>
    <w:rsid w:val="004948D5"/>
    <w:rsid w:val="00494F71"/>
    <w:rsid w:val="00495FFD"/>
    <w:rsid w:val="004970AF"/>
    <w:rsid w:val="004A0A00"/>
    <w:rsid w:val="004A0EA0"/>
    <w:rsid w:val="004A167F"/>
    <w:rsid w:val="004A1B08"/>
    <w:rsid w:val="004A1E00"/>
    <w:rsid w:val="004A2119"/>
    <w:rsid w:val="004A21E5"/>
    <w:rsid w:val="004A2572"/>
    <w:rsid w:val="004A32D4"/>
    <w:rsid w:val="004A4FE2"/>
    <w:rsid w:val="004A508B"/>
    <w:rsid w:val="004A5459"/>
    <w:rsid w:val="004A79D6"/>
    <w:rsid w:val="004B17B4"/>
    <w:rsid w:val="004B1BB7"/>
    <w:rsid w:val="004B1FD8"/>
    <w:rsid w:val="004B28AE"/>
    <w:rsid w:val="004B4083"/>
    <w:rsid w:val="004B42D8"/>
    <w:rsid w:val="004B43FB"/>
    <w:rsid w:val="004B483A"/>
    <w:rsid w:val="004B4C2E"/>
    <w:rsid w:val="004B519B"/>
    <w:rsid w:val="004B679E"/>
    <w:rsid w:val="004B70CE"/>
    <w:rsid w:val="004B71ED"/>
    <w:rsid w:val="004B7F14"/>
    <w:rsid w:val="004C0814"/>
    <w:rsid w:val="004C15B8"/>
    <w:rsid w:val="004C310E"/>
    <w:rsid w:val="004C38B1"/>
    <w:rsid w:val="004C5297"/>
    <w:rsid w:val="004C6295"/>
    <w:rsid w:val="004C7CAF"/>
    <w:rsid w:val="004C7E94"/>
    <w:rsid w:val="004D0520"/>
    <w:rsid w:val="004D15B7"/>
    <w:rsid w:val="004D1848"/>
    <w:rsid w:val="004D1A81"/>
    <w:rsid w:val="004D1E0D"/>
    <w:rsid w:val="004D275D"/>
    <w:rsid w:val="004D2865"/>
    <w:rsid w:val="004D4F57"/>
    <w:rsid w:val="004D4FF0"/>
    <w:rsid w:val="004D531F"/>
    <w:rsid w:val="004D5F1A"/>
    <w:rsid w:val="004E1021"/>
    <w:rsid w:val="004E11FD"/>
    <w:rsid w:val="004E2A1D"/>
    <w:rsid w:val="004E50F0"/>
    <w:rsid w:val="004E552A"/>
    <w:rsid w:val="004E570A"/>
    <w:rsid w:val="004E616C"/>
    <w:rsid w:val="004E6C8F"/>
    <w:rsid w:val="004E73DF"/>
    <w:rsid w:val="004E7B0B"/>
    <w:rsid w:val="004E7B4B"/>
    <w:rsid w:val="004E7E62"/>
    <w:rsid w:val="004F137A"/>
    <w:rsid w:val="004F14AA"/>
    <w:rsid w:val="004F1EB1"/>
    <w:rsid w:val="004F3065"/>
    <w:rsid w:val="004F306C"/>
    <w:rsid w:val="004F5004"/>
    <w:rsid w:val="004F5B36"/>
    <w:rsid w:val="004F7B72"/>
    <w:rsid w:val="00500110"/>
    <w:rsid w:val="00500299"/>
    <w:rsid w:val="00501135"/>
    <w:rsid w:val="0050161B"/>
    <w:rsid w:val="00501A3A"/>
    <w:rsid w:val="00501D98"/>
    <w:rsid w:val="0050202D"/>
    <w:rsid w:val="00502211"/>
    <w:rsid w:val="00502339"/>
    <w:rsid w:val="0050323A"/>
    <w:rsid w:val="00503BC1"/>
    <w:rsid w:val="005054B7"/>
    <w:rsid w:val="00505947"/>
    <w:rsid w:val="00506BE7"/>
    <w:rsid w:val="0050750F"/>
    <w:rsid w:val="00507AE3"/>
    <w:rsid w:val="00507B97"/>
    <w:rsid w:val="00511A8D"/>
    <w:rsid w:val="0051201B"/>
    <w:rsid w:val="00512CF5"/>
    <w:rsid w:val="00513B48"/>
    <w:rsid w:val="0051484F"/>
    <w:rsid w:val="00515457"/>
    <w:rsid w:val="00515CEF"/>
    <w:rsid w:val="00520F77"/>
    <w:rsid w:val="005211A9"/>
    <w:rsid w:val="0052156E"/>
    <w:rsid w:val="00521752"/>
    <w:rsid w:val="00521842"/>
    <w:rsid w:val="005220CB"/>
    <w:rsid w:val="00522FBC"/>
    <w:rsid w:val="005250DB"/>
    <w:rsid w:val="00525E5C"/>
    <w:rsid w:val="00526289"/>
    <w:rsid w:val="00526973"/>
    <w:rsid w:val="00527516"/>
    <w:rsid w:val="00527F29"/>
    <w:rsid w:val="005305F8"/>
    <w:rsid w:val="005309BB"/>
    <w:rsid w:val="00530FFA"/>
    <w:rsid w:val="00531512"/>
    <w:rsid w:val="0053162E"/>
    <w:rsid w:val="00532CF5"/>
    <w:rsid w:val="00533FE1"/>
    <w:rsid w:val="00535970"/>
    <w:rsid w:val="005403AF"/>
    <w:rsid w:val="00541790"/>
    <w:rsid w:val="00541F54"/>
    <w:rsid w:val="005427F0"/>
    <w:rsid w:val="00542C78"/>
    <w:rsid w:val="0054308A"/>
    <w:rsid w:val="00543B15"/>
    <w:rsid w:val="00543D95"/>
    <w:rsid w:val="005459E2"/>
    <w:rsid w:val="00546F11"/>
    <w:rsid w:val="0055106B"/>
    <w:rsid w:val="005514FF"/>
    <w:rsid w:val="0055161B"/>
    <w:rsid w:val="0055182B"/>
    <w:rsid w:val="00551DCC"/>
    <w:rsid w:val="005521DC"/>
    <w:rsid w:val="00552B4E"/>
    <w:rsid w:val="00552C0D"/>
    <w:rsid w:val="00553560"/>
    <w:rsid w:val="00553F1C"/>
    <w:rsid w:val="00555109"/>
    <w:rsid w:val="0055554A"/>
    <w:rsid w:val="00555E68"/>
    <w:rsid w:val="00556989"/>
    <w:rsid w:val="00557828"/>
    <w:rsid w:val="00560057"/>
    <w:rsid w:val="005602D7"/>
    <w:rsid w:val="0056108F"/>
    <w:rsid w:val="00564E77"/>
    <w:rsid w:val="0056516E"/>
    <w:rsid w:val="00565209"/>
    <w:rsid w:val="005660AF"/>
    <w:rsid w:val="0056706E"/>
    <w:rsid w:val="00567680"/>
    <w:rsid w:val="00567801"/>
    <w:rsid w:val="00567CBB"/>
    <w:rsid w:val="00567EAA"/>
    <w:rsid w:val="00570027"/>
    <w:rsid w:val="00571049"/>
    <w:rsid w:val="00571B67"/>
    <w:rsid w:val="00571C19"/>
    <w:rsid w:val="00571CE5"/>
    <w:rsid w:val="00572BAE"/>
    <w:rsid w:val="00572ECA"/>
    <w:rsid w:val="005737E5"/>
    <w:rsid w:val="00575573"/>
    <w:rsid w:val="005764D1"/>
    <w:rsid w:val="00576958"/>
    <w:rsid w:val="00576993"/>
    <w:rsid w:val="00576A21"/>
    <w:rsid w:val="005775D9"/>
    <w:rsid w:val="00577AA5"/>
    <w:rsid w:val="005800C9"/>
    <w:rsid w:val="00581295"/>
    <w:rsid w:val="005814E2"/>
    <w:rsid w:val="00582177"/>
    <w:rsid w:val="0058272F"/>
    <w:rsid w:val="005838F8"/>
    <w:rsid w:val="00584258"/>
    <w:rsid w:val="0058440C"/>
    <w:rsid w:val="00584860"/>
    <w:rsid w:val="00585DBB"/>
    <w:rsid w:val="00586AF4"/>
    <w:rsid w:val="0058713C"/>
    <w:rsid w:val="0059095B"/>
    <w:rsid w:val="00590C24"/>
    <w:rsid w:val="005914B2"/>
    <w:rsid w:val="00592A2E"/>
    <w:rsid w:val="00593738"/>
    <w:rsid w:val="00594113"/>
    <w:rsid w:val="005949D1"/>
    <w:rsid w:val="00595212"/>
    <w:rsid w:val="00595F05"/>
    <w:rsid w:val="00596963"/>
    <w:rsid w:val="005972E8"/>
    <w:rsid w:val="005A021D"/>
    <w:rsid w:val="005A0274"/>
    <w:rsid w:val="005A1F62"/>
    <w:rsid w:val="005A2649"/>
    <w:rsid w:val="005A2C77"/>
    <w:rsid w:val="005A34DA"/>
    <w:rsid w:val="005A4DB9"/>
    <w:rsid w:val="005A4EFC"/>
    <w:rsid w:val="005A5731"/>
    <w:rsid w:val="005A59A9"/>
    <w:rsid w:val="005A5CC8"/>
    <w:rsid w:val="005A601C"/>
    <w:rsid w:val="005A6C1D"/>
    <w:rsid w:val="005B0CC8"/>
    <w:rsid w:val="005B1B6B"/>
    <w:rsid w:val="005B25F0"/>
    <w:rsid w:val="005B26A1"/>
    <w:rsid w:val="005B2B3D"/>
    <w:rsid w:val="005B39A0"/>
    <w:rsid w:val="005B4139"/>
    <w:rsid w:val="005B6C97"/>
    <w:rsid w:val="005B730A"/>
    <w:rsid w:val="005B7B8F"/>
    <w:rsid w:val="005C3C01"/>
    <w:rsid w:val="005C3F1C"/>
    <w:rsid w:val="005C42E4"/>
    <w:rsid w:val="005C57C8"/>
    <w:rsid w:val="005C6D68"/>
    <w:rsid w:val="005C6F4C"/>
    <w:rsid w:val="005C7048"/>
    <w:rsid w:val="005D0823"/>
    <w:rsid w:val="005D1A33"/>
    <w:rsid w:val="005D1F47"/>
    <w:rsid w:val="005D1F85"/>
    <w:rsid w:val="005D37FB"/>
    <w:rsid w:val="005D4E2A"/>
    <w:rsid w:val="005D4E9A"/>
    <w:rsid w:val="005D5957"/>
    <w:rsid w:val="005D60DB"/>
    <w:rsid w:val="005D6366"/>
    <w:rsid w:val="005D6EE2"/>
    <w:rsid w:val="005D7367"/>
    <w:rsid w:val="005E300D"/>
    <w:rsid w:val="005E6F94"/>
    <w:rsid w:val="005E771A"/>
    <w:rsid w:val="005F01B4"/>
    <w:rsid w:val="005F1354"/>
    <w:rsid w:val="005F16B1"/>
    <w:rsid w:val="005F1921"/>
    <w:rsid w:val="005F1C30"/>
    <w:rsid w:val="005F2CA6"/>
    <w:rsid w:val="005F3210"/>
    <w:rsid w:val="005F371A"/>
    <w:rsid w:val="005F3DFC"/>
    <w:rsid w:val="005F4324"/>
    <w:rsid w:val="005F4456"/>
    <w:rsid w:val="005F5527"/>
    <w:rsid w:val="005F5DE4"/>
    <w:rsid w:val="005F619C"/>
    <w:rsid w:val="006004B8"/>
    <w:rsid w:val="006008F1"/>
    <w:rsid w:val="00600DE2"/>
    <w:rsid w:val="006014FB"/>
    <w:rsid w:val="00601DBA"/>
    <w:rsid w:val="00602BFE"/>
    <w:rsid w:val="006050F9"/>
    <w:rsid w:val="0060522D"/>
    <w:rsid w:val="0060687C"/>
    <w:rsid w:val="00606E4A"/>
    <w:rsid w:val="00607034"/>
    <w:rsid w:val="0060751C"/>
    <w:rsid w:val="00610A34"/>
    <w:rsid w:val="00611320"/>
    <w:rsid w:val="00611F61"/>
    <w:rsid w:val="006128A0"/>
    <w:rsid w:val="00612C4E"/>
    <w:rsid w:val="0061311B"/>
    <w:rsid w:val="006132E7"/>
    <w:rsid w:val="00613AF6"/>
    <w:rsid w:val="00613DE8"/>
    <w:rsid w:val="00614735"/>
    <w:rsid w:val="00615156"/>
    <w:rsid w:val="0061599E"/>
    <w:rsid w:val="006159A1"/>
    <w:rsid w:val="00615DE1"/>
    <w:rsid w:val="00615FB7"/>
    <w:rsid w:val="00617B8F"/>
    <w:rsid w:val="00620974"/>
    <w:rsid w:val="006219CE"/>
    <w:rsid w:val="00622393"/>
    <w:rsid w:val="00622983"/>
    <w:rsid w:val="00623228"/>
    <w:rsid w:val="00623550"/>
    <w:rsid w:val="00623ED3"/>
    <w:rsid w:val="006257E7"/>
    <w:rsid w:val="00625974"/>
    <w:rsid w:val="00625C81"/>
    <w:rsid w:val="006269E0"/>
    <w:rsid w:val="0062785B"/>
    <w:rsid w:val="00627BE3"/>
    <w:rsid w:val="006301F8"/>
    <w:rsid w:val="00631CAD"/>
    <w:rsid w:val="006323F0"/>
    <w:rsid w:val="006334E1"/>
    <w:rsid w:val="006334F8"/>
    <w:rsid w:val="00633BBB"/>
    <w:rsid w:val="00634F9A"/>
    <w:rsid w:val="0063513E"/>
    <w:rsid w:val="006366E3"/>
    <w:rsid w:val="006368A0"/>
    <w:rsid w:val="00640182"/>
    <w:rsid w:val="006402CF"/>
    <w:rsid w:val="0064114E"/>
    <w:rsid w:val="00641547"/>
    <w:rsid w:val="00641574"/>
    <w:rsid w:val="006418CF"/>
    <w:rsid w:val="00641FF6"/>
    <w:rsid w:val="00647034"/>
    <w:rsid w:val="00650433"/>
    <w:rsid w:val="00650534"/>
    <w:rsid w:val="006506FA"/>
    <w:rsid w:val="00651A93"/>
    <w:rsid w:val="00652FA4"/>
    <w:rsid w:val="006533F8"/>
    <w:rsid w:val="00653414"/>
    <w:rsid w:val="006539C3"/>
    <w:rsid w:val="00653D50"/>
    <w:rsid w:val="00655251"/>
    <w:rsid w:val="00655E4C"/>
    <w:rsid w:val="00656B99"/>
    <w:rsid w:val="0065752F"/>
    <w:rsid w:val="00660726"/>
    <w:rsid w:val="00663BC6"/>
    <w:rsid w:val="006640D1"/>
    <w:rsid w:val="00664A8C"/>
    <w:rsid w:val="006655A7"/>
    <w:rsid w:val="00665FB8"/>
    <w:rsid w:val="0066778F"/>
    <w:rsid w:val="006679B5"/>
    <w:rsid w:val="00667C71"/>
    <w:rsid w:val="0067120E"/>
    <w:rsid w:val="00671D4C"/>
    <w:rsid w:val="006721E7"/>
    <w:rsid w:val="00672A8E"/>
    <w:rsid w:val="00672FC1"/>
    <w:rsid w:val="0067370B"/>
    <w:rsid w:val="006737E3"/>
    <w:rsid w:val="006756B4"/>
    <w:rsid w:val="00675D0D"/>
    <w:rsid w:val="00676D0D"/>
    <w:rsid w:val="00677A80"/>
    <w:rsid w:val="00680267"/>
    <w:rsid w:val="00682195"/>
    <w:rsid w:val="00685D5B"/>
    <w:rsid w:val="00685E1C"/>
    <w:rsid w:val="00685F1C"/>
    <w:rsid w:val="00687F9E"/>
    <w:rsid w:val="00690211"/>
    <w:rsid w:val="0069092B"/>
    <w:rsid w:val="006926AB"/>
    <w:rsid w:val="00692F29"/>
    <w:rsid w:val="0069372A"/>
    <w:rsid w:val="0069416A"/>
    <w:rsid w:val="0069432D"/>
    <w:rsid w:val="0069450B"/>
    <w:rsid w:val="006949CD"/>
    <w:rsid w:val="00695D41"/>
    <w:rsid w:val="006962C5"/>
    <w:rsid w:val="00696B43"/>
    <w:rsid w:val="00697480"/>
    <w:rsid w:val="0069749D"/>
    <w:rsid w:val="00697508"/>
    <w:rsid w:val="00697721"/>
    <w:rsid w:val="0069780F"/>
    <w:rsid w:val="006A04DD"/>
    <w:rsid w:val="006A0802"/>
    <w:rsid w:val="006A156C"/>
    <w:rsid w:val="006A1983"/>
    <w:rsid w:val="006A209B"/>
    <w:rsid w:val="006A27AB"/>
    <w:rsid w:val="006A2C2B"/>
    <w:rsid w:val="006A2C41"/>
    <w:rsid w:val="006A2E5F"/>
    <w:rsid w:val="006A3069"/>
    <w:rsid w:val="006A3772"/>
    <w:rsid w:val="006A3FA2"/>
    <w:rsid w:val="006A425C"/>
    <w:rsid w:val="006A5604"/>
    <w:rsid w:val="006A7474"/>
    <w:rsid w:val="006A7580"/>
    <w:rsid w:val="006A7A2D"/>
    <w:rsid w:val="006A7CB8"/>
    <w:rsid w:val="006B0C59"/>
    <w:rsid w:val="006B1E72"/>
    <w:rsid w:val="006B2563"/>
    <w:rsid w:val="006B342F"/>
    <w:rsid w:val="006B3C25"/>
    <w:rsid w:val="006B59CA"/>
    <w:rsid w:val="006B7039"/>
    <w:rsid w:val="006B71C2"/>
    <w:rsid w:val="006C2940"/>
    <w:rsid w:val="006C449A"/>
    <w:rsid w:val="006C4B27"/>
    <w:rsid w:val="006C5186"/>
    <w:rsid w:val="006C7B57"/>
    <w:rsid w:val="006C7BDA"/>
    <w:rsid w:val="006D0611"/>
    <w:rsid w:val="006D1366"/>
    <w:rsid w:val="006D2181"/>
    <w:rsid w:val="006D2710"/>
    <w:rsid w:val="006D3385"/>
    <w:rsid w:val="006D38BD"/>
    <w:rsid w:val="006D40E9"/>
    <w:rsid w:val="006D59B2"/>
    <w:rsid w:val="006D5A30"/>
    <w:rsid w:val="006D7982"/>
    <w:rsid w:val="006E0BF0"/>
    <w:rsid w:val="006E0C9A"/>
    <w:rsid w:val="006E108D"/>
    <w:rsid w:val="006E1394"/>
    <w:rsid w:val="006E2332"/>
    <w:rsid w:val="006E28AB"/>
    <w:rsid w:val="006E294E"/>
    <w:rsid w:val="006E2CA8"/>
    <w:rsid w:val="006E339D"/>
    <w:rsid w:val="006E4A95"/>
    <w:rsid w:val="006E616E"/>
    <w:rsid w:val="006E6C8E"/>
    <w:rsid w:val="006E7062"/>
    <w:rsid w:val="006E737B"/>
    <w:rsid w:val="006E754E"/>
    <w:rsid w:val="006E7C62"/>
    <w:rsid w:val="006F0A94"/>
    <w:rsid w:val="006F1659"/>
    <w:rsid w:val="006F1CCD"/>
    <w:rsid w:val="006F2589"/>
    <w:rsid w:val="006F26C7"/>
    <w:rsid w:val="006F400A"/>
    <w:rsid w:val="006F40D6"/>
    <w:rsid w:val="006F416E"/>
    <w:rsid w:val="006F4C01"/>
    <w:rsid w:val="006F56A7"/>
    <w:rsid w:val="006F57EA"/>
    <w:rsid w:val="006F5BBD"/>
    <w:rsid w:val="006F5CE0"/>
    <w:rsid w:val="006F782B"/>
    <w:rsid w:val="006F7BF0"/>
    <w:rsid w:val="00700E24"/>
    <w:rsid w:val="007012A7"/>
    <w:rsid w:val="00702761"/>
    <w:rsid w:val="00702909"/>
    <w:rsid w:val="00706297"/>
    <w:rsid w:val="00706843"/>
    <w:rsid w:val="0071000D"/>
    <w:rsid w:val="007101FD"/>
    <w:rsid w:val="00711336"/>
    <w:rsid w:val="007114B8"/>
    <w:rsid w:val="0071193A"/>
    <w:rsid w:val="007120A1"/>
    <w:rsid w:val="007120D9"/>
    <w:rsid w:val="00712935"/>
    <w:rsid w:val="00713EDC"/>
    <w:rsid w:val="00713F7F"/>
    <w:rsid w:val="00715C22"/>
    <w:rsid w:val="00716403"/>
    <w:rsid w:val="00716A39"/>
    <w:rsid w:val="00720784"/>
    <w:rsid w:val="00721E7A"/>
    <w:rsid w:val="00722D40"/>
    <w:rsid w:val="007234FA"/>
    <w:rsid w:val="00724DE4"/>
    <w:rsid w:val="00725E3C"/>
    <w:rsid w:val="0072796A"/>
    <w:rsid w:val="00727FB0"/>
    <w:rsid w:val="00730AF8"/>
    <w:rsid w:val="00731725"/>
    <w:rsid w:val="00731FC3"/>
    <w:rsid w:val="00732359"/>
    <w:rsid w:val="00735807"/>
    <w:rsid w:val="00736046"/>
    <w:rsid w:val="007360BC"/>
    <w:rsid w:val="007376E2"/>
    <w:rsid w:val="007402A1"/>
    <w:rsid w:val="00740595"/>
    <w:rsid w:val="00740996"/>
    <w:rsid w:val="007416B3"/>
    <w:rsid w:val="00741E75"/>
    <w:rsid w:val="00742A3A"/>
    <w:rsid w:val="00742E6F"/>
    <w:rsid w:val="00744363"/>
    <w:rsid w:val="007444D1"/>
    <w:rsid w:val="007445E7"/>
    <w:rsid w:val="00744B75"/>
    <w:rsid w:val="0074597D"/>
    <w:rsid w:val="00745F34"/>
    <w:rsid w:val="00746C9C"/>
    <w:rsid w:val="00746F6B"/>
    <w:rsid w:val="007474A4"/>
    <w:rsid w:val="00747587"/>
    <w:rsid w:val="007477F7"/>
    <w:rsid w:val="00747A4E"/>
    <w:rsid w:val="007510F5"/>
    <w:rsid w:val="007512FA"/>
    <w:rsid w:val="0075175B"/>
    <w:rsid w:val="00751D53"/>
    <w:rsid w:val="00753900"/>
    <w:rsid w:val="00754750"/>
    <w:rsid w:val="007547C9"/>
    <w:rsid w:val="00754D73"/>
    <w:rsid w:val="007556F4"/>
    <w:rsid w:val="00755EA4"/>
    <w:rsid w:val="00756131"/>
    <w:rsid w:val="00756D1F"/>
    <w:rsid w:val="007575E1"/>
    <w:rsid w:val="00757FC3"/>
    <w:rsid w:val="007609F4"/>
    <w:rsid w:val="00760B46"/>
    <w:rsid w:val="007612D5"/>
    <w:rsid w:val="00761957"/>
    <w:rsid w:val="007625B4"/>
    <w:rsid w:val="007629A1"/>
    <w:rsid w:val="0076348A"/>
    <w:rsid w:val="00763511"/>
    <w:rsid w:val="00764100"/>
    <w:rsid w:val="00764CCD"/>
    <w:rsid w:val="00765877"/>
    <w:rsid w:val="00765D26"/>
    <w:rsid w:val="00766864"/>
    <w:rsid w:val="00766D45"/>
    <w:rsid w:val="00767773"/>
    <w:rsid w:val="00767BDD"/>
    <w:rsid w:val="0077198A"/>
    <w:rsid w:val="00771AC6"/>
    <w:rsid w:val="00771BD3"/>
    <w:rsid w:val="00771E5E"/>
    <w:rsid w:val="007721F5"/>
    <w:rsid w:val="0077384E"/>
    <w:rsid w:val="00773D95"/>
    <w:rsid w:val="007744F6"/>
    <w:rsid w:val="00775981"/>
    <w:rsid w:val="007759B8"/>
    <w:rsid w:val="00776CC6"/>
    <w:rsid w:val="00776DD2"/>
    <w:rsid w:val="00777DD4"/>
    <w:rsid w:val="00780BDC"/>
    <w:rsid w:val="007858B6"/>
    <w:rsid w:val="00785A67"/>
    <w:rsid w:val="0078639F"/>
    <w:rsid w:val="007871A5"/>
    <w:rsid w:val="00792349"/>
    <w:rsid w:val="00793037"/>
    <w:rsid w:val="0079381D"/>
    <w:rsid w:val="007938BA"/>
    <w:rsid w:val="0079409A"/>
    <w:rsid w:val="00794B6D"/>
    <w:rsid w:val="00794CE5"/>
    <w:rsid w:val="0079577C"/>
    <w:rsid w:val="00795BE0"/>
    <w:rsid w:val="00795E11"/>
    <w:rsid w:val="00795E46"/>
    <w:rsid w:val="00796777"/>
    <w:rsid w:val="00796C6F"/>
    <w:rsid w:val="00796FBA"/>
    <w:rsid w:val="007A1C84"/>
    <w:rsid w:val="007A2085"/>
    <w:rsid w:val="007A2501"/>
    <w:rsid w:val="007A37B2"/>
    <w:rsid w:val="007A3BBC"/>
    <w:rsid w:val="007A5365"/>
    <w:rsid w:val="007A6E96"/>
    <w:rsid w:val="007A711E"/>
    <w:rsid w:val="007A7747"/>
    <w:rsid w:val="007A7A72"/>
    <w:rsid w:val="007A7DCC"/>
    <w:rsid w:val="007B0FA5"/>
    <w:rsid w:val="007B1051"/>
    <w:rsid w:val="007B17DD"/>
    <w:rsid w:val="007B3A7A"/>
    <w:rsid w:val="007B4AF8"/>
    <w:rsid w:val="007B4CF2"/>
    <w:rsid w:val="007B567F"/>
    <w:rsid w:val="007B6EAC"/>
    <w:rsid w:val="007B7CB8"/>
    <w:rsid w:val="007C0750"/>
    <w:rsid w:val="007C0CAE"/>
    <w:rsid w:val="007C2136"/>
    <w:rsid w:val="007C2B58"/>
    <w:rsid w:val="007C45E2"/>
    <w:rsid w:val="007C4F54"/>
    <w:rsid w:val="007C64B7"/>
    <w:rsid w:val="007C7C98"/>
    <w:rsid w:val="007C7E27"/>
    <w:rsid w:val="007D09A6"/>
    <w:rsid w:val="007D1678"/>
    <w:rsid w:val="007D2F13"/>
    <w:rsid w:val="007D46F9"/>
    <w:rsid w:val="007D591F"/>
    <w:rsid w:val="007D5BD7"/>
    <w:rsid w:val="007D6C76"/>
    <w:rsid w:val="007E0EF3"/>
    <w:rsid w:val="007E3F63"/>
    <w:rsid w:val="007E40CE"/>
    <w:rsid w:val="007E4DDF"/>
    <w:rsid w:val="007E4ED3"/>
    <w:rsid w:val="007E5937"/>
    <w:rsid w:val="007E675D"/>
    <w:rsid w:val="007E791E"/>
    <w:rsid w:val="007F0BED"/>
    <w:rsid w:val="007F154A"/>
    <w:rsid w:val="007F2080"/>
    <w:rsid w:val="007F371B"/>
    <w:rsid w:val="007F381A"/>
    <w:rsid w:val="007F40D2"/>
    <w:rsid w:val="007F474B"/>
    <w:rsid w:val="007F4F06"/>
    <w:rsid w:val="007F7217"/>
    <w:rsid w:val="007F78D0"/>
    <w:rsid w:val="00801C0D"/>
    <w:rsid w:val="00802122"/>
    <w:rsid w:val="0080212E"/>
    <w:rsid w:val="00802596"/>
    <w:rsid w:val="008028C1"/>
    <w:rsid w:val="008060EE"/>
    <w:rsid w:val="008064FB"/>
    <w:rsid w:val="00806535"/>
    <w:rsid w:val="0080660E"/>
    <w:rsid w:val="00806DD0"/>
    <w:rsid w:val="00807F6C"/>
    <w:rsid w:val="0081020C"/>
    <w:rsid w:val="008111AE"/>
    <w:rsid w:val="00812DBD"/>
    <w:rsid w:val="00813669"/>
    <w:rsid w:val="00814B5C"/>
    <w:rsid w:val="008157F1"/>
    <w:rsid w:val="0081587D"/>
    <w:rsid w:val="008166BF"/>
    <w:rsid w:val="008169B1"/>
    <w:rsid w:val="00816A69"/>
    <w:rsid w:val="0081728A"/>
    <w:rsid w:val="00817530"/>
    <w:rsid w:val="00820D5B"/>
    <w:rsid w:val="00822338"/>
    <w:rsid w:val="00822DE2"/>
    <w:rsid w:val="00823103"/>
    <w:rsid w:val="0082314D"/>
    <w:rsid w:val="008249C0"/>
    <w:rsid w:val="00824FE2"/>
    <w:rsid w:val="0082510F"/>
    <w:rsid w:val="00826230"/>
    <w:rsid w:val="008267BC"/>
    <w:rsid w:val="008278C5"/>
    <w:rsid w:val="00827EEA"/>
    <w:rsid w:val="00831A0A"/>
    <w:rsid w:val="00831E1B"/>
    <w:rsid w:val="00833679"/>
    <w:rsid w:val="00833B21"/>
    <w:rsid w:val="00833D07"/>
    <w:rsid w:val="008349BD"/>
    <w:rsid w:val="00834CE3"/>
    <w:rsid w:val="00835DD8"/>
    <w:rsid w:val="008373B0"/>
    <w:rsid w:val="00837502"/>
    <w:rsid w:val="0083780A"/>
    <w:rsid w:val="008413E6"/>
    <w:rsid w:val="00841450"/>
    <w:rsid w:val="0084156E"/>
    <w:rsid w:val="00841739"/>
    <w:rsid w:val="00843031"/>
    <w:rsid w:val="008439DF"/>
    <w:rsid w:val="008446B3"/>
    <w:rsid w:val="00844729"/>
    <w:rsid w:val="00844B69"/>
    <w:rsid w:val="00844BE9"/>
    <w:rsid w:val="00844CE8"/>
    <w:rsid w:val="00845B32"/>
    <w:rsid w:val="00846C38"/>
    <w:rsid w:val="00846F1D"/>
    <w:rsid w:val="0085136B"/>
    <w:rsid w:val="008523BE"/>
    <w:rsid w:val="00852E3A"/>
    <w:rsid w:val="00853080"/>
    <w:rsid w:val="008551B6"/>
    <w:rsid w:val="00855296"/>
    <w:rsid w:val="008555AB"/>
    <w:rsid w:val="0085625D"/>
    <w:rsid w:val="00857515"/>
    <w:rsid w:val="00860E50"/>
    <w:rsid w:val="00860F33"/>
    <w:rsid w:val="00862936"/>
    <w:rsid w:val="00862B30"/>
    <w:rsid w:val="00863346"/>
    <w:rsid w:val="00863EF6"/>
    <w:rsid w:val="00864474"/>
    <w:rsid w:val="00864617"/>
    <w:rsid w:val="008649F9"/>
    <w:rsid w:val="00864F2C"/>
    <w:rsid w:val="008664B6"/>
    <w:rsid w:val="0086765F"/>
    <w:rsid w:val="00867D36"/>
    <w:rsid w:val="00870623"/>
    <w:rsid w:val="008711FF"/>
    <w:rsid w:val="00872257"/>
    <w:rsid w:val="00872573"/>
    <w:rsid w:val="008729B6"/>
    <w:rsid w:val="00872C16"/>
    <w:rsid w:val="008735D6"/>
    <w:rsid w:val="008743A7"/>
    <w:rsid w:val="00874A97"/>
    <w:rsid w:val="008752E8"/>
    <w:rsid w:val="00875309"/>
    <w:rsid w:val="00875E2D"/>
    <w:rsid w:val="00876B48"/>
    <w:rsid w:val="00876E4C"/>
    <w:rsid w:val="0088218B"/>
    <w:rsid w:val="00882283"/>
    <w:rsid w:val="00882716"/>
    <w:rsid w:val="00884440"/>
    <w:rsid w:val="00884D7A"/>
    <w:rsid w:val="0088539C"/>
    <w:rsid w:val="00885591"/>
    <w:rsid w:val="00885FF6"/>
    <w:rsid w:val="00886DC3"/>
    <w:rsid w:val="008902ED"/>
    <w:rsid w:val="0089095F"/>
    <w:rsid w:val="00890A6B"/>
    <w:rsid w:val="00890DAA"/>
    <w:rsid w:val="0089236E"/>
    <w:rsid w:val="00892EDC"/>
    <w:rsid w:val="008939BD"/>
    <w:rsid w:val="00893B42"/>
    <w:rsid w:val="0089440B"/>
    <w:rsid w:val="00895072"/>
    <w:rsid w:val="00897793"/>
    <w:rsid w:val="008A0A69"/>
    <w:rsid w:val="008A1583"/>
    <w:rsid w:val="008A1801"/>
    <w:rsid w:val="008A1C84"/>
    <w:rsid w:val="008A21C8"/>
    <w:rsid w:val="008A2447"/>
    <w:rsid w:val="008A2726"/>
    <w:rsid w:val="008A2937"/>
    <w:rsid w:val="008A37F1"/>
    <w:rsid w:val="008A3D2A"/>
    <w:rsid w:val="008A40F2"/>
    <w:rsid w:val="008A593A"/>
    <w:rsid w:val="008A6C8C"/>
    <w:rsid w:val="008A7789"/>
    <w:rsid w:val="008B016E"/>
    <w:rsid w:val="008B02D7"/>
    <w:rsid w:val="008B052D"/>
    <w:rsid w:val="008B10EB"/>
    <w:rsid w:val="008B1A29"/>
    <w:rsid w:val="008B249B"/>
    <w:rsid w:val="008B25DA"/>
    <w:rsid w:val="008B3083"/>
    <w:rsid w:val="008B356D"/>
    <w:rsid w:val="008B36C4"/>
    <w:rsid w:val="008B40F2"/>
    <w:rsid w:val="008B65F9"/>
    <w:rsid w:val="008B6AF2"/>
    <w:rsid w:val="008B72DF"/>
    <w:rsid w:val="008B7DA1"/>
    <w:rsid w:val="008B7E93"/>
    <w:rsid w:val="008C0473"/>
    <w:rsid w:val="008C0738"/>
    <w:rsid w:val="008C0D2A"/>
    <w:rsid w:val="008C1CB1"/>
    <w:rsid w:val="008C2889"/>
    <w:rsid w:val="008C3B0C"/>
    <w:rsid w:val="008C4064"/>
    <w:rsid w:val="008C482C"/>
    <w:rsid w:val="008C5F76"/>
    <w:rsid w:val="008C682F"/>
    <w:rsid w:val="008D027F"/>
    <w:rsid w:val="008D077F"/>
    <w:rsid w:val="008D0C11"/>
    <w:rsid w:val="008D1C0E"/>
    <w:rsid w:val="008D2C8E"/>
    <w:rsid w:val="008D2DA5"/>
    <w:rsid w:val="008D3134"/>
    <w:rsid w:val="008D3B14"/>
    <w:rsid w:val="008D55C3"/>
    <w:rsid w:val="008D6F49"/>
    <w:rsid w:val="008D6F60"/>
    <w:rsid w:val="008D7ACA"/>
    <w:rsid w:val="008E0264"/>
    <w:rsid w:val="008E1240"/>
    <w:rsid w:val="008E1780"/>
    <w:rsid w:val="008E18C5"/>
    <w:rsid w:val="008E1BF5"/>
    <w:rsid w:val="008E2A0D"/>
    <w:rsid w:val="008E2CB8"/>
    <w:rsid w:val="008E3497"/>
    <w:rsid w:val="008E4075"/>
    <w:rsid w:val="008E4356"/>
    <w:rsid w:val="008E50FC"/>
    <w:rsid w:val="008E544B"/>
    <w:rsid w:val="008E577F"/>
    <w:rsid w:val="008E57C6"/>
    <w:rsid w:val="008E7BD7"/>
    <w:rsid w:val="008F12E4"/>
    <w:rsid w:val="008F330E"/>
    <w:rsid w:val="008F392D"/>
    <w:rsid w:val="008F3BF9"/>
    <w:rsid w:val="008F4A98"/>
    <w:rsid w:val="008F5AFA"/>
    <w:rsid w:val="008F6931"/>
    <w:rsid w:val="008F6A36"/>
    <w:rsid w:val="008F727E"/>
    <w:rsid w:val="008F7B59"/>
    <w:rsid w:val="009006F5"/>
    <w:rsid w:val="00900C7C"/>
    <w:rsid w:val="0090138C"/>
    <w:rsid w:val="009022D5"/>
    <w:rsid w:val="009032D9"/>
    <w:rsid w:val="00903D02"/>
    <w:rsid w:val="0090498E"/>
    <w:rsid w:val="00905AAC"/>
    <w:rsid w:val="00905E4B"/>
    <w:rsid w:val="00906184"/>
    <w:rsid w:val="009079BA"/>
    <w:rsid w:val="009102B6"/>
    <w:rsid w:val="00910772"/>
    <w:rsid w:val="009110EC"/>
    <w:rsid w:val="00911130"/>
    <w:rsid w:val="00911920"/>
    <w:rsid w:val="00911E04"/>
    <w:rsid w:val="00911EAA"/>
    <w:rsid w:val="009121BA"/>
    <w:rsid w:val="009126D2"/>
    <w:rsid w:val="00912B96"/>
    <w:rsid w:val="00912ED4"/>
    <w:rsid w:val="00913118"/>
    <w:rsid w:val="00913548"/>
    <w:rsid w:val="00914651"/>
    <w:rsid w:val="009159D3"/>
    <w:rsid w:val="00916D13"/>
    <w:rsid w:val="0091741C"/>
    <w:rsid w:val="00920402"/>
    <w:rsid w:val="00920D46"/>
    <w:rsid w:val="009215D0"/>
    <w:rsid w:val="00922B84"/>
    <w:rsid w:val="009231AC"/>
    <w:rsid w:val="00923735"/>
    <w:rsid w:val="00923E34"/>
    <w:rsid w:val="00923E75"/>
    <w:rsid w:val="00923EED"/>
    <w:rsid w:val="009240A9"/>
    <w:rsid w:val="00924375"/>
    <w:rsid w:val="00924B0A"/>
    <w:rsid w:val="00924E51"/>
    <w:rsid w:val="0092597A"/>
    <w:rsid w:val="00926018"/>
    <w:rsid w:val="009260BE"/>
    <w:rsid w:val="00927741"/>
    <w:rsid w:val="00927C84"/>
    <w:rsid w:val="00927CF5"/>
    <w:rsid w:val="00930E71"/>
    <w:rsid w:val="00930F6A"/>
    <w:rsid w:val="00931BA5"/>
    <w:rsid w:val="00931CD4"/>
    <w:rsid w:val="00932C40"/>
    <w:rsid w:val="009332EA"/>
    <w:rsid w:val="009343E2"/>
    <w:rsid w:val="00934F50"/>
    <w:rsid w:val="00935157"/>
    <w:rsid w:val="009352BB"/>
    <w:rsid w:val="00935680"/>
    <w:rsid w:val="00935849"/>
    <w:rsid w:val="00936026"/>
    <w:rsid w:val="0093637C"/>
    <w:rsid w:val="009367E1"/>
    <w:rsid w:val="009375B5"/>
    <w:rsid w:val="0094056D"/>
    <w:rsid w:val="00940D2C"/>
    <w:rsid w:val="00941BE3"/>
    <w:rsid w:val="00942055"/>
    <w:rsid w:val="00942643"/>
    <w:rsid w:val="00943154"/>
    <w:rsid w:val="00943897"/>
    <w:rsid w:val="00943C5B"/>
    <w:rsid w:val="00943EE0"/>
    <w:rsid w:val="00943F46"/>
    <w:rsid w:val="00944D15"/>
    <w:rsid w:val="00945A5D"/>
    <w:rsid w:val="009502C1"/>
    <w:rsid w:val="00950A2E"/>
    <w:rsid w:val="00950EAF"/>
    <w:rsid w:val="00951291"/>
    <w:rsid w:val="009518CD"/>
    <w:rsid w:val="00951938"/>
    <w:rsid w:val="00952201"/>
    <w:rsid w:val="009525EC"/>
    <w:rsid w:val="00952982"/>
    <w:rsid w:val="00953288"/>
    <w:rsid w:val="009533F7"/>
    <w:rsid w:val="0095384C"/>
    <w:rsid w:val="00953EE2"/>
    <w:rsid w:val="0095519B"/>
    <w:rsid w:val="009563BC"/>
    <w:rsid w:val="00956A1D"/>
    <w:rsid w:val="00956C3E"/>
    <w:rsid w:val="009573CB"/>
    <w:rsid w:val="009578EC"/>
    <w:rsid w:val="00957F80"/>
    <w:rsid w:val="009609BB"/>
    <w:rsid w:val="009615B5"/>
    <w:rsid w:val="00966500"/>
    <w:rsid w:val="00970BA2"/>
    <w:rsid w:val="00970D94"/>
    <w:rsid w:val="009712DE"/>
    <w:rsid w:val="00971D36"/>
    <w:rsid w:val="00972ACF"/>
    <w:rsid w:val="00972EC1"/>
    <w:rsid w:val="00973896"/>
    <w:rsid w:val="00973D1F"/>
    <w:rsid w:val="00974AF2"/>
    <w:rsid w:val="00974CA9"/>
    <w:rsid w:val="00974D40"/>
    <w:rsid w:val="0097605E"/>
    <w:rsid w:val="009771BC"/>
    <w:rsid w:val="009771F9"/>
    <w:rsid w:val="00977446"/>
    <w:rsid w:val="00977A81"/>
    <w:rsid w:val="009802D8"/>
    <w:rsid w:val="00981486"/>
    <w:rsid w:val="00981DBA"/>
    <w:rsid w:val="00982819"/>
    <w:rsid w:val="00982993"/>
    <w:rsid w:val="00982B95"/>
    <w:rsid w:val="00982F34"/>
    <w:rsid w:val="009842CD"/>
    <w:rsid w:val="009844DE"/>
    <w:rsid w:val="00984528"/>
    <w:rsid w:val="00984FC7"/>
    <w:rsid w:val="00985B7E"/>
    <w:rsid w:val="00986057"/>
    <w:rsid w:val="00986A8C"/>
    <w:rsid w:val="00986BB0"/>
    <w:rsid w:val="00990743"/>
    <w:rsid w:val="00990A8F"/>
    <w:rsid w:val="00990F1E"/>
    <w:rsid w:val="009925CF"/>
    <w:rsid w:val="00994314"/>
    <w:rsid w:val="00994706"/>
    <w:rsid w:val="00994975"/>
    <w:rsid w:val="00994C6B"/>
    <w:rsid w:val="00994EAE"/>
    <w:rsid w:val="00995724"/>
    <w:rsid w:val="00995773"/>
    <w:rsid w:val="00995A1C"/>
    <w:rsid w:val="00996C0B"/>
    <w:rsid w:val="009A04A7"/>
    <w:rsid w:val="009A144F"/>
    <w:rsid w:val="009A1B7F"/>
    <w:rsid w:val="009A26A2"/>
    <w:rsid w:val="009A2DEA"/>
    <w:rsid w:val="009A33FC"/>
    <w:rsid w:val="009A4817"/>
    <w:rsid w:val="009A4C08"/>
    <w:rsid w:val="009A4FBD"/>
    <w:rsid w:val="009A7095"/>
    <w:rsid w:val="009A751B"/>
    <w:rsid w:val="009A7D38"/>
    <w:rsid w:val="009B1276"/>
    <w:rsid w:val="009B194C"/>
    <w:rsid w:val="009B2008"/>
    <w:rsid w:val="009B40C0"/>
    <w:rsid w:val="009B463D"/>
    <w:rsid w:val="009B47E6"/>
    <w:rsid w:val="009B48C8"/>
    <w:rsid w:val="009B5F80"/>
    <w:rsid w:val="009B6EF4"/>
    <w:rsid w:val="009B7BE7"/>
    <w:rsid w:val="009C096E"/>
    <w:rsid w:val="009C22BA"/>
    <w:rsid w:val="009C39CB"/>
    <w:rsid w:val="009C450B"/>
    <w:rsid w:val="009C51B0"/>
    <w:rsid w:val="009C5AAB"/>
    <w:rsid w:val="009C7030"/>
    <w:rsid w:val="009C7061"/>
    <w:rsid w:val="009C7135"/>
    <w:rsid w:val="009C7D9F"/>
    <w:rsid w:val="009D035B"/>
    <w:rsid w:val="009D0BC9"/>
    <w:rsid w:val="009D0CED"/>
    <w:rsid w:val="009D14F9"/>
    <w:rsid w:val="009D1596"/>
    <w:rsid w:val="009D250F"/>
    <w:rsid w:val="009D2973"/>
    <w:rsid w:val="009D2D1A"/>
    <w:rsid w:val="009D2EC7"/>
    <w:rsid w:val="009D35B7"/>
    <w:rsid w:val="009D3A5D"/>
    <w:rsid w:val="009D3F59"/>
    <w:rsid w:val="009D4BF0"/>
    <w:rsid w:val="009D5C9A"/>
    <w:rsid w:val="009D664A"/>
    <w:rsid w:val="009D6F36"/>
    <w:rsid w:val="009D6FD6"/>
    <w:rsid w:val="009D75A5"/>
    <w:rsid w:val="009D79B4"/>
    <w:rsid w:val="009E0091"/>
    <w:rsid w:val="009E0327"/>
    <w:rsid w:val="009E09BD"/>
    <w:rsid w:val="009E4264"/>
    <w:rsid w:val="009E4920"/>
    <w:rsid w:val="009E4EF6"/>
    <w:rsid w:val="009E5C77"/>
    <w:rsid w:val="009E6023"/>
    <w:rsid w:val="009E60DD"/>
    <w:rsid w:val="009E7472"/>
    <w:rsid w:val="009F03CF"/>
    <w:rsid w:val="009F0D5F"/>
    <w:rsid w:val="009F17EF"/>
    <w:rsid w:val="009F2026"/>
    <w:rsid w:val="009F299D"/>
    <w:rsid w:val="009F2EA3"/>
    <w:rsid w:val="009F3037"/>
    <w:rsid w:val="009F41A0"/>
    <w:rsid w:val="009F53F8"/>
    <w:rsid w:val="009F58E8"/>
    <w:rsid w:val="009F6965"/>
    <w:rsid w:val="009F7265"/>
    <w:rsid w:val="009F7D0A"/>
    <w:rsid w:val="00A0024E"/>
    <w:rsid w:val="00A013EE"/>
    <w:rsid w:val="00A01617"/>
    <w:rsid w:val="00A028E4"/>
    <w:rsid w:val="00A02A7A"/>
    <w:rsid w:val="00A039AC"/>
    <w:rsid w:val="00A041A7"/>
    <w:rsid w:val="00A0464D"/>
    <w:rsid w:val="00A04862"/>
    <w:rsid w:val="00A048BB"/>
    <w:rsid w:val="00A04B7B"/>
    <w:rsid w:val="00A05A20"/>
    <w:rsid w:val="00A064B3"/>
    <w:rsid w:val="00A06CB5"/>
    <w:rsid w:val="00A06FE6"/>
    <w:rsid w:val="00A0708C"/>
    <w:rsid w:val="00A1006A"/>
    <w:rsid w:val="00A106AE"/>
    <w:rsid w:val="00A10A20"/>
    <w:rsid w:val="00A10D1A"/>
    <w:rsid w:val="00A115A4"/>
    <w:rsid w:val="00A11F6D"/>
    <w:rsid w:val="00A131D4"/>
    <w:rsid w:val="00A13652"/>
    <w:rsid w:val="00A136CF"/>
    <w:rsid w:val="00A15472"/>
    <w:rsid w:val="00A157AD"/>
    <w:rsid w:val="00A15B8C"/>
    <w:rsid w:val="00A16486"/>
    <w:rsid w:val="00A164B8"/>
    <w:rsid w:val="00A167D4"/>
    <w:rsid w:val="00A16916"/>
    <w:rsid w:val="00A16957"/>
    <w:rsid w:val="00A16F1A"/>
    <w:rsid w:val="00A17B26"/>
    <w:rsid w:val="00A2072D"/>
    <w:rsid w:val="00A2236C"/>
    <w:rsid w:val="00A22877"/>
    <w:rsid w:val="00A233C0"/>
    <w:rsid w:val="00A25B3E"/>
    <w:rsid w:val="00A26C10"/>
    <w:rsid w:val="00A27388"/>
    <w:rsid w:val="00A27862"/>
    <w:rsid w:val="00A31293"/>
    <w:rsid w:val="00A31ADC"/>
    <w:rsid w:val="00A325D3"/>
    <w:rsid w:val="00A32B6E"/>
    <w:rsid w:val="00A32E8C"/>
    <w:rsid w:val="00A333FE"/>
    <w:rsid w:val="00A334F6"/>
    <w:rsid w:val="00A33A27"/>
    <w:rsid w:val="00A347F5"/>
    <w:rsid w:val="00A35150"/>
    <w:rsid w:val="00A35BC8"/>
    <w:rsid w:val="00A403CB"/>
    <w:rsid w:val="00A409E3"/>
    <w:rsid w:val="00A40C51"/>
    <w:rsid w:val="00A40CE6"/>
    <w:rsid w:val="00A40E9C"/>
    <w:rsid w:val="00A4186F"/>
    <w:rsid w:val="00A4227C"/>
    <w:rsid w:val="00A42574"/>
    <w:rsid w:val="00A426BD"/>
    <w:rsid w:val="00A42CA3"/>
    <w:rsid w:val="00A443D0"/>
    <w:rsid w:val="00A44CB7"/>
    <w:rsid w:val="00A4524D"/>
    <w:rsid w:val="00A4618F"/>
    <w:rsid w:val="00A4694D"/>
    <w:rsid w:val="00A47196"/>
    <w:rsid w:val="00A47281"/>
    <w:rsid w:val="00A47375"/>
    <w:rsid w:val="00A475A7"/>
    <w:rsid w:val="00A47E39"/>
    <w:rsid w:val="00A47FD8"/>
    <w:rsid w:val="00A506A6"/>
    <w:rsid w:val="00A53067"/>
    <w:rsid w:val="00A5309E"/>
    <w:rsid w:val="00A5327B"/>
    <w:rsid w:val="00A5406B"/>
    <w:rsid w:val="00A54D5B"/>
    <w:rsid w:val="00A56919"/>
    <w:rsid w:val="00A57257"/>
    <w:rsid w:val="00A60570"/>
    <w:rsid w:val="00A60BF0"/>
    <w:rsid w:val="00A61028"/>
    <w:rsid w:val="00A61063"/>
    <w:rsid w:val="00A61B71"/>
    <w:rsid w:val="00A61C08"/>
    <w:rsid w:val="00A61C69"/>
    <w:rsid w:val="00A621BB"/>
    <w:rsid w:val="00A632FA"/>
    <w:rsid w:val="00A64E8E"/>
    <w:rsid w:val="00A655C3"/>
    <w:rsid w:val="00A655D4"/>
    <w:rsid w:val="00A6572A"/>
    <w:rsid w:val="00A657E2"/>
    <w:rsid w:val="00A65D0A"/>
    <w:rsid w:val="00A661D0"/>
    <w:rsid w:val="00A664A1"/>
    <w:rsid w:val="00A66508"/>
    <w:rsid w:val="00A66975"/>
    <w:rsid w:val="00A66F7E"/>
    <w:rsid w:val="00A66FFF"/>
    <w:rsid w:val="00A6759A"/>
    <w:rsid w:val="00A6788D"/>
    <w:rsid w:val="00A7123C"/>
    <w:rsid w:val="00A71303"/>
    <w:rsid w:val="00A73A6B"/>
    <w:rsid w:val="00A749CA"/>
    <w:rsid w:val="00A74CCE"/>
    <w:rsid w:val="00A75266"/>
    <w:rsid w:val="00A75441"/>
    <w:rsid w:val="00A77B09"/>
    <w:rsid w:val="00A77BA2"/>
    <w:rsid w:val="00A80371"/>
    <w:rsid w:val="00A810B6"/>
    <w:rsid w:val="00A81EEE"/>
    <w:rsid w:val="00A83450"/>
    <w:rsid w:val="00A842BB"/>
    <w:rsid w:val="00A847F5"/>
    <w:rsid w:val="00A84BDB"/>
    <w:rsid w:val="00A84CBB"/>
    <w:rsid w:val="00A850E4"/>
    <w:rsid w:val="00A856B7"/>
    <w:rsid w:val="00A85C07"/>
    <w:rsid w:val="00A86912"/>
    <w:rsid w:val="00A86A17"/>
    <w:rsid w:val="00A86C68"/>
    <w:rsid w:val="00A90ECA"/>
    <w:rsid w:val="00A92BA1"/>
    <w:rsid w:val="00A92BAD"/>
    <w:rsid w:val="00A93397"/>
    <w:rsid w:val="00A94B38"/>
    <w:rsid w:val="00A94CC9"/>
    <w:rsid w:val="00A951F1"/>
    <w:rsid w:val="00AA0452"/>
    <w:rsid w:val="00AA1AE9"/>
    <w:rsid w:val="00AA2E19"/>
    <w:rsid w:val="00AA3041"/>
    <w:rsid w:val="00AA3449"/>
    <w:rsid w:val="00AA5C98"/>
    <w:rsid w:val="00AA62ED"/>
    <w:rsid w:val="00AA66F9"/>
    <w:rsid w:val="00AA6845"/>
    <w:rsid w:val="00AA795F"/>
    <w:rsid w:val="00AA7B2F"/>
    <w:rsid w:val="00AB0E75"/>
    <w:rsid w:val="00AB145B"/>
    <w:rsid w:val="00AB15CB"/>
    <w:rsid w:val="00AB2267"/>
    <w:rsid w:val="00AB44FE"/>
    <w:rsid w:val="00AB450E"/>
    <w:rsid w:val="00AB47EB"/>
    <w:rsid w:val="00AB4B7B"/>
    <w:rsid w:val="00AB6319"/>
    <w:rsid w:val="00AB68F8"/>
    <w:rsid w:val="00AC02DA"/>
    <w:rsid w:val="00AC09FB"/>
    <w:rsid w:val="00AC1C6A"/>
    <w:rsid w:val="00AC2005"/>
    <w:rsid w:val="00AC2245"/>
    <w:rsid w:val="00AC23B0"/>
    <w:rsid w:val="00AC2C37"/>
    <w:rsid w:val="00AC315F"/>
    <w:rsid w:val="00AC3552"/>
    <w:rsid w:val="00AC38C5"/>
    <w:rsid w:val="00AC39DD"/>
    <w:rsid w:val="00AC4453"/>
    <w:rsid w:val="00AC44DD"/>
    <w:rsid w:val="00AC5506"/>
    <w:rsid w:val="00AC5888"/>
    <w:rsid w:val="00AC6E9D"/>
    <w:rsid w:val="00AC7857"/>
    <w:rsid w:val="00AD0EA6"/>
    <w:rsid w:val="00AD1547"/>
    <w:rsid w:val="00AD1DA0"/>
    <w:rsid w:val="00AD2D07"/>
    <w:rsid w:val="00AD2E7A"/>
    <w:rsid w:val="00AD302A"/>
    <w:rsid w:val="00AD41B8"/>
    <w:rsid w:val="00AD47F8"/>
    <w:rsid w:val="00AD4F4E"/>
    <w:rsid w:val="00AD52E0"/>
    <w:rsid w:val="00AD5C22"/>
    <w:rsid w:val="00AE18AD"/>
    <w:rsid w:val="00AE2A09"/>
    <w:rsid w:val="00AE2DB1"/>
    <w:rsid w:val="00AE331B"/>
    <w:rsid w:val="00AE3A8B"/>
    <w:rsid w:val="00AE3BA1"/>
    <w:rsid w:val="00AE4310"/>
    <w:rsid w:val="00AE4811"/>
    <w:rsid w:val="00AE492B"/>
    <w:rsid w:val="00AE6A99"/>
    <w:rsid w:val="00AE6B10"/>
    <w:rsid w:val="00AE6E7B"/>
    <w:rsid w:val="00AE708A"/>
    <w:rsid w:val="00AE7A59"/>
    <w:rsid w:val="00AF0CC6"/>
    <w:rsid w:val="00AF0D29"/>
    <w:rsid w:val="00AF1740"/>
    <w:rsid w:val="00AF17A2"/>
    <w:rsid w:val="00AF181F"/>
    <w:rsid w:val="00AF25F7"/>
    <w:rsid w:val="00AF37B0"/>
    <w:rsid w:val="00B00671"/>
    <w:rsid w:val="00B006C9"/>
    <w:rsid w:val="00B00931"/>
    <w:rsid w:val="00B03A8E"/>
    <w:rsid w:val="00B04457"/>
    <w:rsid w:val="00B04889"/>
    <w:rsid w:val="00B04A22"/>
    <w:rsid w:val="00B05BD9"/>
    <w:rsid w:val="00B060B3"/>
    <w:rsid w:val="00B0613A"/>
    <w:rsid w:val="00B070AC"/>
    <w:rsid w:val="00B07451"/>
    <w:rsid w:val="00B075B2"/>
    <w:rsid w:val="00B075C2"/>
    <w:rsid w:val="00B07629"/>
    <w:rsid w:val="00B10156"/>
    <w:rsid w:val="00B10289"/>
    <w:rsid w:val="00B1030A"/>
    <w:rsid w:val="00B10D4F"/>
    <w:rsid w:val="00B11466"/>
    <w:rsid w:val="00B1172D"/>
    <w:rsid w:val="00B118DB"/>
    <w:rsid w:val="00B120AF"/>
    <w:rsid w:val="00B1230A"/>
    <w:rsid w:val="00B12CA6"/>
    <w:rsid w:val="00B12CBE"/>
    <w:rsid w:val="00B13447"/>
    <w:rsid w:val="00B13465"/>
    <w:rsid w:val="00B13566"/>
    <w:rsid w:val="00B136FB"/>
    <w:rsid w:val="00B14197"/>
    <w:rsid w:val="00B141F0"/>
    <w:rsid w:val="00B1434D"/>
    <w:rsid w:val="00B173FF"/>
    <w:rsid w:val="00B178AB"/>
    <w:rsid w:val="00B207E2"/>
    <w:rsid w:val="00B2139B"/>
    <w:rsid w:val="00B213BF"/>
    <w:rsid w:val="00B21ABA"/>
    <w:rsid w:val="00B222F8"/>
    <w:rsid w:val="00B245A7"/>
    <w:rsid w:val="00B25EF0"/>
    <w:rsid w:val="00B266FC"/>
    <w:rsid w:val="00B30DEA"/>
    <w:rsid w:val="00B321FD"/>
    <w:rsid w:val="00B3230A"/>
    <w:rsid w:val="00B325FC"/>
    <w:rsid w:val="00B329D0"/>
    <w:rsid w:val="00B32F8A"/>
    <w:rsid w:val="00B33006"/>
    <w:rsid w:val="00B33D53"/>
    <w:rsid w:val="00B35D0C"/>
    <w:rsid w:val="00B36B71"/>
    <w:rsid w:val="00B36BC5"/>
    <w:rsid w:val="00B36E46"/>
    <w:rsid w:val="00B37398"/>
    <w:rsid w:val="00B37735"/>
    <w:rsid w:val="00B37A8A"/>
    <w:rsid w:val="00B37D86"/>
    <w:rsid w:val="00B42DDE"/>
    <w:rsid w:val="00B43CE1"/>
    <w:rsid w:val="00B4518D"/>
    <w:rsid w:val="00B46CB2"/>
    <w:rsid w:val="00B5110B"/>
    <w:rsid w:val="00B51301"/>
    <w:rsid w:val="00B51434"/>
    <w:rsid w:val="00B5160D"/>
    <w:rsid w:val="00B519DB"/>
    <w:rsid w:val="00B51D3A"/>
    <w:rsid w:val="00B51F59"/>
    <w:rsid w:val="00B5262B"/>
    <w:rsid w:val="00B527D2"/>
    <w:rsid w:val="00B52CFE"/>
    <w:rsid w:val="00B53098"/>
    <w:rsid w:val="00B537B7"/>
    <w:rsid w:val="00B54132"/>
    <w:rsid w:val="00B54154"/>
    <w:rsid w:val="00B55523"/>
    <w:rsid w:val="00B55D2A"/>
    <w:rsid w:val="00B55D99"/>
    <w:rsid w:val="00B56BAD"/>
    <w:rsid w:val="00B57290"/>
    <w:rsid w:val="00B57353"/>
    <w:rsid w:val="00B57678"/>
    <w:rsid w:val="00B60170"/>
    <w:rsid w:val="00B60BE9"/>
    <w:rsid w:val="00B613C3"/>
    <w:rsid w:val="00B61616"/>
    <w:rsid w:val="00B61F27"/>
    <w:rsid w:val="00B647E1"/>
    <w:rsid w:val="00B64D7C"/>
    <w:rsid w:val="00B6571B"/>
    <w:rsid w:val="00B65DD2"/>
    <w:rsid w:val="00B66F43"/>
    <w:rsid w:val="00B67BBA"/>
    <w:rsid w:val="00B70390"/>
    <w:rsid w:val="00B711EF"/>
    <w:rsid w:val="00B71273"/>
    <w:rsid w:val="00B723CD"/>
    <w:rsid w:val="00B74D26"/>
    <w:rsid w:val="00B75FC2"/>
    <w:rsid w:val="00B76ED8"/>
    <w:rsid w:val="00B7710C"/>
    <w:rsid w:val="00B806F7"/>
    <w:rsid w:val="00B80995"/>
    <w:rsid w:val="00B82CEA"/>
    <w:rsid w:val="00B84C7D"/>
    <w:rsid w:val="00B850C6"/>
    <w:rsid w:val="00B857B5"/>
    <w:rsid w:val="00B85F22"/>
    <w:rsid w:val="00B85FBC"/>
    <w:rsid w:val="00B86BE8"/>
    <w:rsid w:val="00B86CD5"/>
    <w:rsid w:val="00B86D38"/>
    <w:rsid w:val="00B86E10"/>
    <w:rsid w:val="00B908DC"/>
    <w:rsid w:val="00B91126"/>
    <w:rsid w:val="00B9114B"/>
    <w:rsid w:val="00B91632"/>
    <w:rsid w:val="00B9173C"/>
    <w:rsid w:val="00B9247A"/>
    <w:rsid w:val="00B93355"/>
    <w:rsid w:val="00B938CC"/>
    <w:rsid w:val="00B94071"/>
    <w:rsid w:val="00B95113"/>
    <w:rsid w:val="00B95A78"/>
    <w:rsid w:val="00B95B98"/>
    <w:rsid w:val="00B95EF0"/>
    <w:rsid w:val="00B963F6"/>
    <w:rsid w:val="00B965F3"/>
    <w:rsid w:val="00B96B2F"/>
    <w:rsid w:val="00B96EBC"/>
    <w:rsid w:val="00BA08FE"/>
    <w:rsid w:val="00BA2212"/>
    <w:rsid w:val="00BA2378"/>
    <w:rsid w:val="00BA2543"/>
    <w:rsid w:val="00BA365E"/>
    <w:rsid w:val="00BA367D"/>
    <w:rsid w:val="00BA3C91"/>
    <w:rsid w:val="00BA5306"/>
    <w:rsid w:val="00BA60ED"/>
    <w:rsid w:val="00BA7443"/>
    <w:rsid w:val="00BA756E"/>
    <w:rsid w:val="00BA7933"/>
    <w:rsid w:val="00BA7AB1"/>
    <w:rsid w:val="00BB0191"/>
    <w:rsid w:val="00BB02C7"/>
    <w:rsid w:val="00BB1644"/>
    <w:rsid w:val="00BB260B"/>
    <w:rsid w:val="00BB4282"/>
    <w:rsid w:val="00BB4C1F"/>
    <w:rsid w:val="00BB4FA3"/>
    <w:rsid w:val="00BB5199"/>
    <w:rsid w:val="00BB5753"/>
    <w:rsid w:val="00BB6C8F"/>
    <w:rsid w:val="00BB6CE2"/>
    <w:rsid w:val="00BB7299"/>
    <w:rsid w:val="00BB7627"/>
    <w:rsid w:val="00BB786D"/>
    <w:rsid w:val="00BC0563"/>
    <w:rsid w:val="00BC0D7C"/>
    <w:rsid w:val="00BC1335"/>
    <w:rsid w:val="00BC2210"/>
    <w:rsid w:val="00BC3078"/>
    <w:rsid w:val="00BC345C"/>
    <w:rsid w:val="00BC3701"/>
    <w:rsid w:val="00BC44B7"/>
    <w:rsid w:val="00BC4F0C"/>
    <w:rsid w:val="00BC54CF"/>
    <w:rsid w:val="00BC6411"/>
    <w:rsid w:val="00BC716D"/>
    <w:rsid w:val="00BC7779"/>
    <w:rsid w:val="00BC7F1D"/>
    <w:rsid w:val="00BD06A8"/>
    <w:rsid w:val="00BD07AE"/>
    <w:rsid w:val="00BD1DD7"/>
    <w:rsid w:val="00BD1DD9"/>
    <w:rsid w:val="00BD2CF6"/>
    <w:rsid w:val="00BD2F32"/>
    <w:rsid w:val="00BD34D4"/>
    <w:rsid w:val="00BD3D04"/>
    <w:rsid w:val="00BD51D0"/>
    <w:rsid w:val="00BD5AC2"/>
    <w:rsid w:val="00BD6774"/>
    <w:rsid w:val="00BD79AE"/>
    <w:rsid w:val="00BE0973"/>
    <w:rsid w:val="00BE0E75"/>
    <w:rsid w:val="00BE10B3"/>
    <w:rsid w:val="00BE1768"/>
    <w:rsid w:val="00BE3566"/>
    <w:rsid w:val="00BE35F9"/>
    <w:rsid w:val="00BE36DF"/>
    <w:rsid w:val="00BE3B00"/>
    <w:rsid w:val="00BE3CAA"/>
    <w:rsid w:val="00BE3D1C"/>
    <w:rsid w:val="00BE3FCA"/>
    <w:rsid w:val="00BE420C"/>
    <w:rsid w:val="00BE494D"/>
    <w:rsid w:val="00BE4EFE"/>
    <w:rsid w:val="00BE6A2C"/>
    <w:rsid w:val="00BE70A8"/>
    <w:rsid w:val="00BE7266"/>
    <w:rsid w:val="00BF1014"/>
    <w:rsid w:val="00BF153B"/>
    <w:rsid w:val="00BF1F57"/>
    <w:rsid w:val="00BF1FC7"/>
    <w:rsid w:val="00BF2172"/>
    <w:rsid w:val="00BF2183"/>
    <w:rsid w:val="00BF22AB"/>
    <w:rsid w:val="00BF2319"/>
    <w:rsid w:val="00BF2B4C"/>
    <w:rsid w:val="00BF2E52"/>
    <w:rsid w:val="00BF335D"/>
    <w:rsid w:val="00BF46FF"/>
    <w:rsid w:val="00BF48BB"/>
    <w:rsid w:val="00BF53C5"/>
    <w:rsid w:val="00BF5459"/>
    <w:rsid w:val="00BF559C"/>
    <w:rsid w:val="00BF58F9"/>
    <w:rsid w:val="00BF5B07"/>
    <w:rsid w:val="00BF5B1E"/>
    <w:rsid w:val="00BF60BA"/>
    <w:rsid w:val="00BF6148"/>
    <w:rsid w:val="00BF62C0"/>
    <w:rsid w:val="00BF67F6"/>
    <w:rsid w:val="00BF79D2"/>
    <w:rsid w:val="00C005E6"/>
    <w:rsid w:val="00C00C63"/>
    <w:rsid w:val="00C01234"/>
    <w:rsid w:val="00C01247"/>
    <w:rsid w:val="00C028B4"/>
    <w:rsid w:val="00C04DEC"/>
    <w:rsid w:val="00C05650"/>
    <w:rsid w:val="00C05D11"/>
    <w:rsid w:val="00C06A2E"/>
    <w:rsid w:val="00C06A3D"/>
    <w:rsid w:val="00C10207"/>
    <w:rsid w:val="00C121E8"/>
    <w:rsid w:val="00C131A3"/>
    <w:rsid w:val="00C13533"/>
    <w:rsid w:val="00C13696"/>
    <w:rsid w:val="00C1425C"/>
    <w:rsid w:val="00C1505C"/>
    <w:rsid w:val="00C160CC"/>
    <w:rsid w:val="00C16BAC"/>
    <w:rsid w:val="00C222A7"/>
    <w:rsid w:val="00C22307"/>
    <w:rsid w:val="00C24BDF"/>
    <w:rsid w:val="00C25C86"/>
    <w:rsid w:val="00C26DA5"/>
    <w:rsid w:val="00C302DA"/>
    <w:rsid w:val="00C317BD"/>
    <w:rsid w:val="00C35099"/>
    <w:rsid w:val="00C35CA7"/>
    <w:rsid w:val="00C3658F"/>
    <w:rsid w:val="00C40C9B"/>
    <w:rsid w:val="00C41280"/>
    <w:rsid w:val="00C41685"/>
    <w:rsid w:val="00C41D0E"/>
    <w:rsid w:val="00C42057"/>
    <w:rsid w:val="00C42604"/>
    <w:rsid w:val="00C42A8A"/>
    <w:rsid w:val="00C42CA7"/>
    <w:rsid w:val="00C43157"/>
    <w:rsid w:val="00C43397"/>
    <w:rsid w:val="00C4383C"/>
    <w:rsid w:val="00C44022"/>
    <w:rsid w:val="00C44A98"/>
    <w:rsid w:val="00C457AF"/>
    <w:rsid w:val="00C45E0F"/>
    <w:rsid w:val="00C462BB"/>
    <w:rsid w:val="00C470EA"/>
    <w:rsid w:val="00C47331"/>
    <w:rsid w:val="00C47341"/>
    <w:rsid w:val="00C47CC6"/>
    <w:rsid w:val="00C50B58"/>
    <w:rsid w:val="00C5321C"/>
    <w:rsid w:val="00C551EA"/>
    <w:rsid w:val="00C55DE2"/>
    <w:rsid w:val="00C561F1"/>
    <w:rsid w:val="00C56469"/>
    <w:rsid w:val="00C57D8B"/>
    <w:rsid w:val="00C6126C"/>
    <w:rsid w:val="00C61808"/>
    <w:rsid w:val="00C619D0"/>
    <w:rsid w:val="00C61BB7"/>
    <w:rsid w:val="00C626DB"/>
    <w:rsid w:val="00C62DEE"/>
    <w:rsid w:val="00C64AE4"/>
    <w:rsid w:val="00C65107"/>
    <w:rsid w:val="00C66048"/>
    <w:rsid w:val="00C66921"/>
    <w:rsid w:val="00C66C51"/>
    <w:rsid w:val="00C66F6C"/>
    <w:rsid w:val="00C671BA"/>
    <w:rsid w:val="00C67457"/>
    <w:rsid w:val="00C676C5"/>
    <w:rsid w:val="00C706EE"/>
    <w:rsid w:val="00C70967"/>
    <w:rsid w:val="00C71B0C"/>
    <w:rsid w:val="00C7204E"/>
    <w:rsid w:val="00C72E68"/>
    <w:rsid w:val="00C72ED7"/>
    <w:rsid w:val="00C73DB6"/>
    <w:rsid w:val="00C73F43"/>
    <w:rsid w:val="00C75439"/>
    <w:rsid w:val="00C7547D"/>
    <w:rsid w:val="00C75BFA"/>
    <w:rsid w:val="00C76D66"/>
    <w:rsid w:val="00C802FD"/>
    <w:rsid w:val="00C82074"/>
    <w:rsid w:val="00C82675"/>
    <w:rsid w:val="00C84708"/>
    <w:rsid w:val="00C85908"/>
    <w:rsid w:val="00C85F9F"/>
    <w:rsid w:val="00C8634E"/>
    <w:rsid w:val="00C86A99"/>
    <w:rsid w:val="00C86D96"/>
    <w:rsid w:val="00C90076"/>
    <w:rsid w:val="00C90529"/>
    <w:rsid w:val="00C9067E"/>
    <w:rsid w:val="00C908B3"/>
    <w:rsid w:val="00C911FC"/>
    <w:rsid w:val="00C91641"/>
    <w:rsid w:val="00C9193D"/>
    <w:rsid w:val="00C93D72"/>
    <w:rsid w:val="00C93F6F"/>
    <w:rsid w:val="00C94AE1"/>
    <w:rsid w:val="00C94D99"/>
    <w:rsid w:val="00C96C4C"/>
    <w:rsid w:val="00C97E89"/>
    <w:rsid w:val="00CA00D8"/>
    <w:rsid w:val="00CA0D0A"/>
    <w:rsid w:val="00CA1281"/>
    <w:rsid w:val="00CA236A"/>
    <w:rsid w:val="00CA26F7"/>
    <w:rsid w:val="00CA2A58"/>
    <w:rsid w:val="00CA3482"/>
    <w:rsid w:val="00CA6390"/>
    <w:rsid w:val="00CA67F8"/>
    <w:rsid w:val="00CA69A2"/>
    <w:rsid w:val="00CA71C2"/>
    <w:rsid w:val="00CA750E"/>
    <w:rsid w:val="00CB14E2"/>
    <w:rsid w:val="00CB19DF"/>
    <w:rsid w:val="00CB1FDD"/>
    <w:rsid w:val="00CB302B"/>
    <w:rsid w:val="00CB33BA"/>
    <w:rsid w:val="00CB356D"/>
    <w:rsid w:val="00CB45BA"/>
    <w:rsid w:val="00CB4A8E"/>
    <w:rsid w:val="00CB4C9A"/>
    <w:rsid w:val="00CB4F58"/>
    <w:rsid w:val="00CB6604"/>
    <w:rsid w:val="00CB66BB"/>
    <w:rsid w:val="00CB67FA"/>
    <w:rsid w:val="00CB7932"/>
    <w:rsid w:val="00CC1597"/>
    <w:rsid w:val="00CC337D"/>
    <w:rsid w:val="00CC364C"/>
    <w:rsid w:val="00CC5310"/>
    <w:rsid w:val="00CC5475"/>
    <w:rsid w:val="00CC6B07"/>
    <w:rsid w:val="00CC7806"/>
    <w:rsid w:val="00CC7A30"/>
    <w:rsid w:val="00CC7D81"/>
    <w:rsid w:val="00CD00AF"/>
    <w:rsid w:val="00CD01A6"/>
    <w:rsid w:val="00CD1554"/>
    <w:rsid w:val="00CD1B6A"/>
    <w:rsid w:val="00CD3411"/>
    <w:rsid w:val="00CD5468"/>
    <w:rsid w:val="00CD64C2"/>
    <w:rsid w:val="00CD68B8"/>
    <w:rsid w:val="00CE020E"/>
    <w:rsid w:val="00CE0922"/>
    <w:rsid w:val="00CE0F0C"/>
    <w:rsid w:val="00CE16DE"/>
    <w:rsid w:val="00CE33F8"/>
    <w:rsid w:val="00CE3618"/>
    <w:rsid w:val="00CE4C07"/>
    <w:rsid w:val="00CE54EE"/>
    <w:rsid w:val="00CE5923"/>
    <w:rsid w:val="00CE68AB"/>
    <w:rsid w:val="00CE6A00"/>
    <w:rsid w:val="00CE6C46"/>
    <w:rsid w:val="00CE6D22"/>
    <w:rsid w:val="00CE7092"/>
    <w:rsid w:val="00CE7425"/>
    <w:rsid w:val="00CE76C2"/>
    <w:rsid w:val="00CF07D4"/>
    <w:rsid w:val="00CF084D"/>
    <w:rsid w:val="00CF0BB7"/>
    <w:rsid w:val="00CF101C"/>
    <w:rsid w:val="00CF1FEE"/>
    <w:rsid w:val="00CF27B6"/>
    <w:rsid w:val="00CF2D3F"/>
    <w:rsid w:val="00CF3300"/>
    <w:rsid w:val="00CF383A"/>
    <w:rsid w:val="00CF44E1"/>
    <w:rsid w:val="00CF670D"/>
    <w:rsid w:val="00CF69F0"/>
    <w:rsid w:val="00CF7305"/>
    <w:rsid w:val="00CF788B"/>
    <w:rsid w:val="00D000B3"/>
    <w:rsid w:val="00D00AF4"/>
    <w:rsid w:val="00D01912"/>
    <w:rsid w:val="00D01B03"/>
    <w:rsid w:val="00D024DF"/>
    <w:rsid w:val="00D02C5E"/>
    <w:rsid w:val="00D02D3D"/>
    <w:rsid w:val="00D03A32"/>
    <w:rsid w:val="00D04D7B"/>
    <w:rsid w:val="00D04EC9"/>
    <w:rsid w:val="00D0656E"/>
    <w:rsid w:val="00D06C3B"/>
    <w:rsid w:val="00D070A3"/>
    <w:rsid w:val="00D0786E"/>
    <w:rsid w:val="00D108EC"/>
    <w:rsid w:val="00D13C6D"/>
    <w:rsid w:val="00D151CE"/>
    <w:rsid w:val="00D1577F"/>
    <w:rsid w:val="00D159CD"/>
    <w:rsid w:val="00D163E5"/>
    <w:rsid w:val="00D17B12"/>
    <w:rsid w:val="00D20645"/>
    <w:rsid w:val="00D207EF"/>
    <w:rsid w:val="00D20EBF"/>
    <w:rsid w:val="00D211E2"/>
    <w:rsid w:val="00D2257F"/>
    <w:rsid w:val="00D22EC9"/>
    <w:rsid w:val="00D23146"/>
    <w:rsid w:val="00D2315A"/>
    <w:rsid w:val="00D252E0"/>
    <w:rsid w:val="00D2560A"/>
    <w:rsid w:val="00D2583B"/>
    <w:rsid w:val="00D2614D"/>
    <w:rsid w:val="00D26387"/>
    <w:rsid w:val="00D27132"/>
    <w:rsid w:val="00D279AB"/>
    <w:rsid w:val="00D30478"/>
    <w:rsid w:val="00D30EB4"/>
    <w:rsid w:val="00D30F25"/>
    <w:rsid w:val="00D310C1"/>
    <w:rsid w:val="00D31B1F"/>
    <w:rsid w:val="00D32962"/>
    <w:rsid w:val="00D32AA5"/>
    <w:rsid w:val="00D3393B"/>
    <w:rsid w:val="00D34B50"/>
    <w:rsid w:val="00D34CE4"/>
    <w:rsid w:val="00D35975"/>
    <w:rsid w:val="00D35A13"/>
    <w:rsid w:val="00D361AD"/>
    <w:rsid w:val="00D361C6"/>
    <w:rsid w:val="00D37346"/>
    <w:rsid w:val="00D37612"/>
    <w:rsid w:val="00D379C0"/>
    <w:rsid w:val="00D37CCD"/>
    <w:rsid w:val="00D37CDD"/>
    <w:rsid w:val="00D40406"/>
    <w:rsid w:val="00D41223"/>
    <w:rsid w:val="00D414EF"/>
    <w:rsid w:val="00D417B7"/>
    <w:rsid w:val="00D41E47"/>
    <w:rsid w:val="00D43551"/>
    <w:rsid w:val="00D442F5"/>
    <w:rsid w:val="00D44373"/>
    <w:rsid w:val="00D4492C"/>
    <w:rsid w:val="00D475FE"/>
    <w:rsid w:val="00D47CC4"/>
    <w:rsid w:val="00D5012F"/>
    <w:rsid w:val="00D50BD5"/>
    <w:rsid w:val="00D50C37"/>
    <w:rsid w:val="00D511FA"/>
    <w:rsid w:val="00D51955"/>
    <w:rsid w:val="00D526D7"/>
    <w:rsid w:val="00D5311B"/>
    <w:rsid w:val="00D536E5"/>
    <w:rsid w:val="00D543DF"/>
    <w:rsid w:val="00D546DE"/>
    <w:rsid w:val="00D550DB"/>
    <w:rsid w:val="00D552A9"/>
    <w:rsid w:val="00D5567A"/>
    <w:rsid w:val="00D565F8"/>
    <w:rsid w:val="00D56C8A"/>
    <w:rsid w:val="00D60764"/>
    <w:rsid w:val="00D6080E"/>
    <w:rsid w:val="00D6373F"/>
    <w:rsid w:val="00D63BD3"/>
    <w:rsid w:val="00D644F6"/>
    <w:rsid w:val="00D64CE7"/>
    <w:rsid w:val="00D64FA5"/>
    <w:rsid w:val="00D65106"/>
    <w:rsid w:val="00D658B0"/>
    <w:rsid w:val="00D66991"/>
    <w:rsid w:val="00D67576"/>
    <w:rsid w:val="00D67BD6"/>
    <w:rsid w:val="00D67D42"/>
    <w:rsid w:val="00D70900"/>
    <w:rsid w:val="00D71563"/>
    <w:rsid w:val="00D72324"/>
    <w:rsid w:val="00D725F0"/>
    <w:rsid w:val="00D73AC7"/>
    <w:rsid w:val="00D748DA"/>
    <w:rsid w:val="00D74A24"/>
    <w:rsid w:val="00D74B7A"/>
    <w:rsid w:val="00D75EE0"/>
    <w:rsid w:val="00D762A4"/>
    <w:rsid w:val="00D76931"/>
    <w:rsid w:val="00D76DC6"/>
    <w:rsid w:val="00D80334"/>
    <w:rsid w:val="00D8088B"/>
    <w:rsid w:val="00D819A9"/>
    <w:rsid w:val="00D81CAA"/>
    <w:rsid w:val="00D81E9D"/>
    <w:rsid w:val="00D824B9"/>
    <w:rsid w:val="00D83D2B"/>
    <w:rsid w:val="00D84108"/>
    <w:rsid w:val="00D8424D"/>
    <w:rsid w:val="00D8469A"/>
    <w:rsid w:val="00D84EE9"/>
    <w:rsid w:val="00D84F3A"/>
    <w:rsid w:val="00D85E1C"/>
    <w:rsid w:val="00D864BA"/>
    <w:rsid w:val="00D871C0"/>
    <w:rsid w:val="00D872CB"/>
    <w:rsid w:val="00D874DB"/>
    <w:rsid w:val="00D87EFB"/>
    <w:rsid w:val="00D90B72"/>
    <w:rsid w:val="00D91CF1"/>
    <w:rsid w:val="00D9207B"/>
    <w:rsid w:val="00D92355"/>
    <w:rsid w:val="00D92A0F"/>
    <w:rsid w:val="00D93E0C"/>
    <w:rsid w:val="00D93FDB"/>
    <w:rsid w:val="00D952FE"/>
    <w:rsid w:val="00D95661"/>
    <w:rsid w:val="00D96498"/>
    <w:rsid w:val="00D97991"/>
    <w:rsid w:val="00DA0417"/>
    <w:rsid w:val="00DA086E"/>
    <w:rsid w:val="00DA211C"/>
    <w:rsid w:val="00DA2B6C"/>
    <w:rsid w:val="00DA344C"/>
    <w:rsid w:val="00DA34B9"/>
    <w:rsid w:val="00DA36C6"/>
    <w:rsid w:val="00DA3749"/>
    <w:rsid w:val="00DA3CFE"/>
    <w:rsid w:val="00DA5835"/>
    <w:rsid w:val="00DA5B73"/>
    <w:rsid w:val="00DA6CEE"/>
    <w:rsid w:val="00DA70CC"/>
    <w:rsid w:val="00DB05F2"/>
    <w:rsid w:val="00DB0E9B"/>
    <w:rsid w:val="00DB20C2"/>
    <w:rsid w:val="00DB3028"/>
    <w:rsid w:val="00DB44AC"/>
    <w:rsid w:val="00DB5E63"/>
    <w:rsid w:val="00DB66E7"/>
    <w:rsid w:val="00DB7BCF"/>
    <w:rsid w:val="00DB7E39"/>
    <w:rsid w:val="00DC0105"/>
    <w:rsid w:val="00DC02FF"/>
    <w:rsid w:val="00DC0FFE"/>
    <w:rsid w:val="00DC1C3F"/>
    <w:rsid w:val="00DC21FD"/>
    <w:rsid w:val="00DC2712"/>
    <w:rsid w:val="00DC31AA"/>
    <w:rsid w:val="00DC3C73"/>
    <w:rsid w:val="00DC42F2"/>
    <w:rsid w:val="00DC4488"/>
    <w:rsid w:val="00DC52FE"/>
    <w:rsid w:val="00DC58DC"/>
    <w:rsid w:val="00DC5AAB"/>
    <w:rsid w:val="00DC6E1A"/>
    <w:rsid w:val="00DC6FD1"/>
    <w:rsid w:val="00DC7AE0"/>
    <w:rsid w:val="00DC7AF1"/>
    <w:rsid w:val="00DC7E13"/>
    <w:rsid w:val="00DD2B8E"/>
    <w:rsid w:val="00DD3CB0"/>
    <w:rsid w:val="00DD3E71"/>
    <w:rsid w:val="00DD53B7"/>
    <w:rsid w:val="00DD5B45"/>
    <w:rsid w:val="00DD5F49"/>
    <w:rsid w:val="00DD79D5"/>
    <w:rsid w:val="00DD7CAF"/>
    <w:rsid w:val="00DE335C"/>
    <w:rsid w:val="00DE3E80"/>
    <w:rsid w:val="00DE4317"/>
    <w:rsid w:val="00DE43A9"/>
    <w:rsid w:val="00DE43CF"/>
    <w:rsid w:val="00DE6457"/>
    <w:rsid w:val="00DE7517"/>
    <w:rsid w:val="00DE7BF5"/>
    <w:rsid w:val="00DF052B"/>
    <w:rsid w:val="00DF0A17"/>
    <w:rsid w:val="00DF1A90"/>
    <w:rsid w:val="00DF2A41"/>
    <w:rsid w:val="00DF2CD7"/>
    <w:rsid w:val="00DF3500"/>
    <w:rsid w:val="00DF39E3"/>
    <w:rsid w:val="00DF3A5C"/>
    <w:rsid w:val="00DF3BE7"/>
    <w:rsid w:val="00DF415E"/>
    <w:rsid w:val="00DF4603"/>
    <w:rsid w:val="00DF4CF2"/>
    <w:rsid w:val="00E012F9"/>
    <w:rsid w:val="00E01316"/>
    <w:rsid w:val="00E018B4"/>
    <w:rsid w:val="00E046EE"/>
    <w:rsid w:val="00E056E5"/>
    <w:rsid w:val="00E05738"/>
    <w:rsid w:val="00E0671E"/>
    <w:rsid w:val="00E06878"/>
    <w:rsid w:val="00E07E42"/>
    <w:rsid w:val="00E11813"/>
    <w:rsid w:val="00E12104"/>
    <w:rsid w:val="00E12821"/>
    <w:rsid w:val="00E12922"/>
    <w:rsid w:val="00E14116"/>
    <w:rsid w:val="00E155E9"/>
    <w:rsid w:val="00E15848"/>
    <w:rsid w:val="00E15B96"/>
    <w:rsid w:val="00E15D1B"/>
    <w:rsid w:val="00E163D1"/>
    <w:rsid w:val="00E17EDC"/>
    <w:rsid w:val="00E203C4"/>
    <w:rsid w:val="00E203C7"/>
    <w:rsid w:val="00E20447"/>
    <w:rsid w:val="00E20E4B"/>
    <w:rsid w:val="00E210FC"/>
    <w:rsid w:val="00E22036"/>
    <w:rsid w:val="00E2220F"/>
    <w:rsid w:val="00E22FE3"/>
    <w:rsid w:val="00E2544D"/>
    <w:rsid w:val="00E255BD"/>
    <w:rsid w:val="00E25903"/>
    <w:rsid w:val="00E25AD3"/>
    <w:rsid w:val="00E25BCC"/>
    <w:rsid w:val="00E266B1"/>
    <w:rsid w:val="00E27F3B"/>
    <w:rsid w:val="00E3096A"/>
    <w:rsid w:val="00E32B40"/>
    <w:rsid w:val="00E33150"/>
    <w:rsid w:val="00E33D12"/>
    <w:rsid w:val="00E35B33"/>
    <w:rsid w:val="00E3656D"/>
    <w:rsid w:val="00E36931"/>
    <w:rsid w:val="00E36EFB"/>
    <w:rsid w:val="00E37560"/>
    <w:rsid w:val="00E402D1"/>
    <w:rsid w:val="00E4053E"/>
    <w:rsid w:val="00E40C58"/>
    <w:rsid w:val="00E4141D"/>
    <w:rsid w:val="00E416F6"/>
    <w:rsid w:val="00E41CA8"/>
    <w:rsid w:val="00E430CD"/>
    <w:rsid w:val="00E4417E"/>
    <w:rsid w:val="00E44797"/>
    <w:rsid w:val="00E44E70"/>
    <w:rsid w:val="00E46631"/>
    <w:rsid w:val="00E4684E"/>
    <w:rsid w:val="00E475F6"/>
    <w:rsid w:val="00E5003F"/>
    <w:rsid w:val="00E513FB"/>
    <w:rsid w:val="00E5256C"/>
    <w:rsid w:val="00E5263C"/>
    <w:rsid w:val="00E53B90"/>
    <w:rsid w:val="00E53FCF"/>
    <w:rsid w:val="00E550F6"/>
    <w:rsid w:val="00E558A4"/>
    <w:rsid w:val="00E55D32"/>
    <w:rsid w:val="00E565D9"/>
    <w:rsid w:val="00E569EF"/>
    <w:rsid w:val="00E60680"/>
    <w:rsid w:val="00E60E13"/>
    <w:rsid w:val="00E611AD"/>
    <w:rsid w:val="00E6144B"/>
    <w:rsid w:val="00E62122"/>
    <w:rsid w:val="00E62CFF"/>
    <w:rsid w:val="00E63441"/>
    <w:rsid w:val="00E64CE8"/>
    <w:rsid w:val="00E66352"/>
    <w:rsid w:val="00E66BDC"/>
    <w:rsid w:val="00E672DC"/>
    <w:rsid w:val="00E6791C"/>
    <w:rsid w:val="00E67CB0"/>
    <w:rsid w:val="00E70184"/>
    <w:rsid w:val="00E701E5"/>
    <w:rsid w:val="00E702B4"/>
    <w:rsid w:val="00E7080E"/>
    <w:rsid w:val="00E7106C"/>
    <w:rsid w:val="00E7131B"/>
    <w:rsid w:val="00E71C3C"/>
    <w:rsid w:val="00E7222F"/>
    <w:rsid w:val="00E72C38"/>
    <w:rsid w:val="00E72D07"/>
    <w:rsid w:val="00E7360A"/>
    <w:rsid w:val="00E743E4"/>
    <w:rsid w:val="00E74520"/>
    <w:rsid w:val="00E764E3"/>
    <w:rsid w:val="00E76D50"/>
    <w:rsid w:val="00E77AEF"/>
    <w:rsid w:val="00E77EDE"/>
    <w:rsid w:val="00E805A0"/>
    <w:rsid w:val="00E80E00"/>
    <w:rsid w:val="00E8112E"/>
    <w:rsid w:val="00E8145F"/>
    <w:rsid w:val="00E8233E"/>
    <w:rsid w:val="00E83847"/>
    <w:rsid w:val="00E84B06"/>
    <w:rsid w:val="00E853C6"/>
    <w:rsid w:val="00E85440"/>
    <w:rsid w:val="00E85BD1"/>
    <w:rsid w:val="00E85F64"/>
    <w:rsid w:val="00E86D11"/>
    <w:rsid w:val="00E90F42"/>
    <w:rsid w:val="00E913C8"/>
    <w:rsid w:val="00E9196D"/>
    <w:rsid w:val="00E92344"/>
    <w:rsid w:val="00E92DB2"/>
    <w:rsid w:val="00E93CC3"/>
    <w:rsid w:val="00E94F82"/>
    <w:rsid w:val="00E95DDB"/>
    <w:rsid w:val="00E95F9F"/>
    <w:rsid w:val="00E968E1"/>
    <w:rsid w:val="00E96C7E"/>
    <w:rsid w:val="00E971BA"/>
    <w:rsid w:val="00E9783C"/>
    <w:rsid w:val="00E97AFF"/>
    <w:rsid w:val="00E97E2D"/>
    <w:rsid w:val="00EA06F6"/>
    <w:rsid w:val="00EA164F"/>
    <w:rsid w:val="00EA2EB4"/>
    <w:rsid w:val="00EA3968"/>
    <w:rsid w:val="00EA4C20"/>
    <w:rsid w:val="00EA55D8"/>
    <w:rsid w:val="00EA5E9B"/>
    <w:rsid w:val="00EA693A"/>
    <w:rsid w:val="00EA71C4"/>
    <w:rsid w:val="00EA724B"/>
    <w:rsid w:val="00EA737A"/>
    <w:rsid w:val="00EA74C7"/>
    <w:rsid w:val="00EA775D"/>
    <w:rsid w:val="00EB1576"/>
    <w:rsid w:val="00EB27EB"/>
    <w:rsid w:val="00EB356A"/>
    <w:rsid w:val="00EB4042"/>
    <w:rsid w:val="00EB430D"/>
    <w:rsid w:val="00EB43B8"/>
    <w:rsid w:val="00EB4CE7"/>
    <w:rsid w:val="00EB6243"/>
    <w:rsid w:val="00EB6265"/>
    <w:rsid w:val="00EB729F"/>
    <w:rsid w:val="00EB76A6"/>
    <w:rsid w:val="00EC00D3"/>
    <w:rsid w:val="00EC07E5"/>
    <w:rsid w:val="00EC098D"/>
    <w:rsid w:val="00EC0C92"/>
    <w:rsid w:val="00EC1F39"/>
    <w:rsid w:val="00EC219C"/>
    <w:rsid w:val="00EC2B4E"/>
    <w:rsid w:val="00EC408E"/>
    <w:rsid w:val="00EC49BA"/>
    <w:rsid w:val="00EC4AFA"/>
    <w:rsid w:val="00EC4F7F"/>
    <w:rsid w:val="00EC4FC8"/>
    <w:rsid w:val="00EC5181"/>
    <w:rsid w:val="00EC5D4C"/>
    <w:rsid w:val="00EC7CB7"/>
    <w:rsid w:val="00ED0268"/>
    <w:rsid w:val="00ED0301"/>
    <w:rsid w:val="00ED049F"/>
    <w:rsid w:val="00ED2D23"/>
    <w:rsid w:val="00ED31A9"/>
    <w:rsid w:val="00ED4E35"/>
    <w:rsid w:val="00ED4F65"/>
    <w:rsid w:val="00ED6420"/>
    <w:rsid w:val="00ED6ED0"/>
    <w:rsid w:val="00ED6F48"/>
    <w:rsid w:val="00ED7C8B"/>
    <w:rsid w:val="00ED7DF4"/>
    <w:rsid w:val="00ED7DF7"/>
    <w:rsid w:val="00ED7F88"/>
    <w:rsid w:val="00EE0174"/>
    <w:rsid w:val="00EE1833"/>
    <w:rsid w:val="00EE27A0"/>
    <w:rsid w:val="00EE3005"/>
    <w:rsid w:val="00EE395A"/>
    <w:rsid w:val="00EE467D"/>
    <w:rsid w:val="00EE4C35"/>
    <w:rsid w:val="00EE520C"/>
    <w:rsid w:val="00EE53ED"/>
    <w:rsid w:val="00EE55F0"/>
    <w:rsid w:val="00EE7212"/>
    <w:rsid w:val="00EE725C"/>
    <w:rsid w:val="00EF09E2"/>
    <w:rsid w:val="00EF116E"/>
    <w:rsid w:val="00EF13CD"/>
    <w:rsid w:val="00EF1D6D"/>
    <w:rsid w:val="00EF1E28"/>
    <w:rsid w:val="00EF35CA"/>
    <w:rsid w:val="00EF3695"/>
    <w:rsid w:val="00EF3A10"/>
    <w:rsid w:val="00EF553B"/>
    <w:rsid w:val="00EF5A73"/>
    <w:rsid w:val="00EF5EF0"/>
    <w:rsid w:val="00EF5F08"/>
    <w:rsid w:val="00EF6096"/>
    <w:rsid w:val="00EF62A3"/>
    <w:rsid w:val="00EF648C"/>
    <w:rsid w:val="00F001A8"/>
    <w:rsid w:val="00F00B42"/>
    <w:rsid w:val="00F01BC1"/>
    <w:rsid w:val="00F02D7B"/>
    <w:rsid w:val="00F03115"/>
    <w:rsid w:val="00F05AAC"/>
    <w:rsid w:val="00F0640C"/>
    <w:rsid w:val="00F06E01"/>
    <w:rsid w:val="00F07388"/>
    <w:rsid w:val="00F106F2"/>
    <w:rsid w:val="00F108CE"/>
    <w:rsid w:val="00F10D37"/>
    <w:rsid w:val="00F114A6"/>
    <w:rsid w:val="00F11822"/>
    <w:rsid w:val="00F13495"/>
    <w:rsid w:val="00F13FEF"/>
    <w:rsid w:val="00F14D95"/>
    <w:rsid w:val="00F155AB"/>
    <w:rsid w:val="00F158E2"/>
    <w:rsid w:val="00F159FA"/>
    <w:rsid w:val="00F16264"/>
    <w:rsid w:val="00F1644E"/>
    <w:rsid w:val="00F17DC4"/>
    <w:rsid w:val="00F201F3"/>
    <w:rsid w:val="00F20C43"/>
    <w:rsid w:val="00F20CA5"/>
    <w:rsid w:val="00F218F8"/>
    <w:rsid w:val="00F2197D"/>
    <w:rsid w:val="00F21A29"/>
    <w:rsid w:val="00F21A44"/>
    <w:rsid w:val="00F21EA7"/>
    <w:rsid w:val="00F23B5C"/>
    <w:rsid w:val="00F23E43"/>
    <w:rsid w:val="00F24631"/>
    <w:rsid w:val="00F24ACE"/>
    <w:rsid w:val="00F251F3"/>
    <w:rsid w:val="00F272DC"/>
    <w:rsid w:val="00F2757F"/>
    <w:rsid w:val="00F27582"/>
    <w:rsid w:val="00F27C09"/>
    <w:rsid w:val="00F27DE8"/>
    <w:rsid w:val="00F32071"/>
    <w:rsid w:val="00F320F5"/>
    <w:rsid w:val="00F3496D"/>
    <w:rsid w:val="00F351C8"/>
    <w:rsid w:val="00F400A1"/>
    <w:rsid w:val="00F41C3B"/>
    <w:rsid w:val="00F4245F"/>
    <w:rsid w:val="00F42EFE"/>
    <w:rsid w:val="00F4401C"/>
    <w:rsid w:val="00F4439B"/>
    <w:rsid w:val="00F460E0"/>
    <w:rsid w:val="00F46BCA"/>
    <w:rsid w:val="00F470BE"/>
    <w:rsid w:val="00F477DB"/>
    <w:rsid w:val="00F509D8"/>
    <w:rsid w:val="00F51726"/>
    <w:rsid w:val="00F51933"/>
    <w:rsid w:val="00F52540"/>
    <w:rsid w:val="00F528C8"/>
    <w:rsid w:val="00F53D57"/>
    <w:rsid w:val="00F542E3"/>
    <w:rsid w:val="00F54949"/>
    <w:rsid w:val="00F556DF"/>
    <w:rsid w:val="00F5589C"/>
    <w:rsid w:val="00F57FAD"/>
    <w:rsid w:val="00F608FE"/>
    <w:rsid w:val="00F60C62"/>
    <w:rsid w:val="00F61598"/>
    <w:rsid w:val="00F6328E"/>
    <w:rsid w:val="00F64462"/>
    <w:rsid w:val="00F650E7"/>
    <w:rsid w:val="00F652BE"/>
    <w:rsid w:val="00F65515"/>
    <w:rsid w:val="00F65649"/>
    <w:rsid w:val="00F65B75"/>
    <w:rsid w:val="00F65BE6"/>
    <w:rsid w:val="00F6613F"/>
    <w:rsid w:val="00F66716"/>
    <w:rsid w:val="00F66D35"/>
    <w:rsid w:val="00F67A75"/>
    <w:rsid w:val="00F72091"/>
    <w:rsid w:val="00F722ED"/>
    <w:rsid w:val="00F730CC"/>
    <w:rsid w:val="00F75524"/>
    <w:rsid w:val="00F75B7F"/>
    <w:rsid w:val="00F7636B"/>
    <w:rsid w:val="00F765E7"/>
    <w:rsid w:val="00F775D2"/>
    <w:rsid w:val="00F77FD7"/>
    <w:rsid w:val="00F802A8"/>
    <w:rsid w:val="00F80D98"/>
    <w:rsid w:val="00F826B9"/>
    <w:rsid w:val="00F8422C"/>
    <w:rsid w:val="00F84681"/>
    <w:rsid w:val="00F84B44"/>
    <w:rsid w:val="00F8593D"/>
    <w:rsid w:val="00F87BF1"/>
    <w:rsid w:val="00F9103D"/>
    <w:rsid w:val="00F930D2"/>
    <w:rsid w:val="00F93D5A"/>
    <w:rsid w:val="00F945F6"/>
    <w:rsid w:val="00F946E9"/>
    <w:rsid w:val="00F94DA9"/>
    <w:rsid w:val="00F951A0"/>
    <w:rsid w:val="00F95397"/>
    <w:rsid w:val="00F954C0"/>
    <w:rsid w:val="00F963A4"/>
    <w:rsid w:val="00F96943"/>
    <w:rsid w:val="00F97848"/>
    <w:rsid w:val="00F97A29"/>
    <w:rsid w:val="00F97A73"/>
    <w:rsid w:val="00F97F71"/>
    <w:rsid w:val="00FA072B"/>
    <w:rsid w:val="00FA076A"/>
    <w:rsid w:val="00FA0F5E"/>
    <w:rsid w:val="00FA1252"/>
    <w:rsid w:val="00FA17C6"/>
    <w:rsid w:val="00FA2195"/>
    <w:rsid w:val="00FA2283"/>
    <w:rsid w:val="00FA25F4"/>
    <w:rsid w:val="00FA2AC4"/>
    <w:rsid w:val="00FA52A5"/>
    <w:rsid w:val="00FA6126"/>
    <w:rsid w:val="00FA7378"/>
    <w:rsid w:val="00FB0A7D"/>
    <w:rsid w:val="00FB1028"/>
    <w:rsid w:val="00FB1945"/>
    <w:rsid w:val="00FB2032"/>
    <w:rsid w:val="00FB2406"/>
    <w:rsid w:val="00FB33B7"/>
    <w:rsid w:val="00FB434A"/>
    <w:rsid w:val="00FB4972"/>
    <w:rsid w:val="00FB73D3"/>
    <w:rsid w:val="00FC0B65"/>
    <w:rsid w:val="00FC0DD7"/>
    <w:rsid w:val="00FC3AF4"/>
    <w:rsid w:val="00FC3BE1"/>
    <w:rsid w:val="00FC3C2B"/>
    <w:rsid w:val="00FC4307"/>
    <w:rsid w:val="00FC4B04"/>
    <w:rsid w:val="00FC62F7"/>
    <w:rsid w:val="00FC649A"/>
    <w:rsid w:val="00FC65B3"/>
    <w:rsid w:val="00FC70CF"/>
    <w:rsid w:val="00FC7292"/>
    <w:rsid w:val="00FC7EAB"/>
    <w:rsid w:val="00FD0221"/>
    <w:rsid w:val="00FD05A1"/>
    <w:rsid w:val="00FD0AAF"/>
    <w:rsid w:val="00FD1AF0"/>
    <w:rsid w:val="00FD1C08"/>
    <w:rsid w:val="00FD2C8C"/>
    <w:rsid w:val="00FD359A"/>
    <w:rsid w:val="00FD3787"/>
    <w:rsid w:val="00FD37D7"/>
    <w:rsid w:val="00FD380C"/>
    <w:rsid w:val="00FD38E5"/>
    <w:rsid w:val="00FD5F01"/>
    <w:rsid w:val="00FD6252"/>
    <w:rsid w:val="00FD6425"/>
    <w:rsid w:val="00FD6B88"/>
    <w:rsid w:val="00FD72DE"/>
    <w:rsid w:val="00FD76D5"/>
    <w:rsid w:val="00FE1212"/>
    <w:rsid w:val="00FE25E2"/>
    <w:rsid w:val="00FE26D5"/>
    <w:rsid w:val="00FE2FEC"/>
    <w:rsid w:val="00FE3576"/>
    <w:rsid w:val="00FE361C"/>
    <w:rsid w:val="00FE3696"/>
    <w:rsid w:val="00FE3698"/>
    <w:rsid w:val="00FE3E4D"/>
    <w:rsid w:val="00FE41DD"/>
    <w:rsid w:val="00FE4CE7"/>
    <w:rsid w:val="00FE4D83"/>
    <w:rsid w:val="00FE665B"/>
    <w:rsid w:val="00FE69E1"/>
    <w:rsid w:val="00FE7AFF"/>
    <w:rsid w:val="00FE7D0B"/>
    <w:rsid w:val="00FF0805"/>
    <w:rsid w:val="00FF27DD"/>
    <w:rsid w:val="00FF2959"/>
    <w:rsid w:val="00FF4E59"/>
    <w:rsid w:val="00FF5E69"/>
    <w:rsid w:val="00FF67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EF1E8"/>
  <w15:chartTrackingRefBased/>
  <w15:docId w15:val="{3491284E-809E-4F68-AA30-36CAF718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B6"/>
    <w:rPr>
      <w:sz w:val="24"/>
      <w:szCs w:val="24"/>
      <w:lang w:eastAsia="en-US"/>
    </w:rPr>
  </w:style>
  <w:style w:type="paragraph" w:styleId="Heading1">
    <w:name w:val="heading 1"/>
    <w:aliases w:val="Heading 1 Accounts"/>
    <w:basedOn w:val="Normal"/>
    <w:next w:val="Normal"/>
    <w:link w:val="Heading1Char"/>
    <w:uiPriority w:val="9"/>
    <w:qFormat/>
    <w:rsid w:val="00CF3300"/>
    <w:pPr>
      <w:keepNext/>
      <w:outlineLvl w:val="0"/>
    </w:pPr>
    <w:rPr>
      <w:rFonts w:ascii="Arial" w:hAnsi="Arial" w:cs="Arial"/>
      <w:sz w:val="56"/>
    </w:rPr>
  </w:style>
  <w:style w:type="paragraph" w:styleId="Heading2">
    <w:name w:val="heading 2"/>
    <w:aliases w:val="Heading 2 Accounts"/>
    <w:basedOn w:val="Heading3"/>
    <w:next w:val="Normal"/>
    <w:link w:val="Heading2Char"/>
    <w:uiPriority w:val="9"/>
    <w:qFormat/>
    <w:rsid w:val="00B86CD5"/>
    <w:pPr>
      <w:outlineLvl w:val="1"/>
    </w:pPr>
  </w:style>
  <w:style w:type="paragraph" w:styleId="Heading3">
    <w:name w:val="heading 3"/>
    <w:aliases w:val="Heading 3 Accounts"/>
    <w:basedOn w:val="Normal"/>
    <w:next w:val="Normal"/>
    <w:link w:val="Heading3Char"/>
    <w:uiPriority w:val="9"/>
    <w:qFormat/>
    <w:rsid w:val="00CF3300"/>
    <w:pPr>
      <w:keepNext/>
      <w:spacing w:before="240" w:after="60"/>
      <w:outlineLvl w:val="2"/>
    </w:pPr>
    <w:rPr>
      <w:rFonts w:ascii="Arial" w:hAnsi="Arial" w:cs="Arial"/>
      <w:b/>
      <w:bCs/>
      <w:sz w:val="26"/>
      <w:szCs w:val="26"/>
    </w:rPr>
  </w:style>
  <w:style w:type="paragraph" w:styleId="Heading4">
    <w:name w:val="heading 4"/>
    <w:basedOn w:val="paragraph"/>
    <w:link w:val="Heading4Char"/>
    <w:uiPriority w:val="9"/>
    <w:qFormat/>
    <w:rsid w:val="00B86CD5"/>
    <w:pPr>
      <w:numPr>
        <w:numId w:val="46"/>
      </w:numPr>
      <w:spacing w:before="0" w:beforeAutospacing="0" w:after="160" w:afterAutospacing="0"/>
      <w:ind w:left="426" w:hanging="426"/>
      <w:textAlignment w:val="baseline"/>
      <w:outlineLvl w:val="3"/>
    </w:pPr>
    <w:rPr>
      <w:rFonts w:ascii="Arial" w:eastAsia="Yu Mincho" w:hAnsi="Arial" w:cs="Arial"/>
      <w:i/>
      <w:iCs/>
    </w:rPr>
  </w:style>
  <w:style w:type="paragraph" w:styleId="Heading5">
    <w:name w:val="heading 5"/>
    <w:aliases w:val="Heading 5 Table Title"/>
    <w:basedOn w:val="Normal"/>
    <w:next w:val="Normal"/>
    <w:link w:val="Heading5Char"/>
    <w:uiPriority w:val="9"/>
    <w:qFormat/>
    <w:rsid w:val="00CF3300"/>
    <w:pPr>
      <w:keepNext/>
      <w:outlineLvl w:val="4"/>
    </w:pPr>
    <w:rPr>
      <w:rFonts w:ascii="Arial" w:hAnsi="Arial"/>
      <w:b/>
      <w:bCs/>
    </w:rPr>
  </w:style>
  <w:style w:type="paragraph" w:styleId="Heading6">
    <w:name w:val="heading 6"/>
    <w:basedOn w:val="Heading5"/>
    <w:next w:val="Normal"/>
    <w:link w:val="Heading6Char"/>
    <w:qFormat/>
    <w:rsid w:val="00924E51"/>
    <w:pPr>
      <w:outlineLvl w:val="5"/>
    </w:pPr>
  </w:style>
  <w:style w:type="paragraph" w:styleId="Heading7">
    <w:name w:val="heading 7"/>
    <w:basedOn w:val="Normal"/>
    <w:next w:val="Normal"/>
    <w:link w:val="Heading7Char"/>
    <w:uiPriority w:val="9"/>
    <w:semiHidden/>
    <w:unhideWhenUsed/>
    <w:qFormat/>
    <w:rsid w:val="000F3752"/>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0F3752"/>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0F3752"/>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F3300"/>
    <w:rPr>
      <w:rFonts w:ascii="Arial" w:hAnsi="Arial" w:cs="Arial"/>
      <w:sz w:val="72"/>
    </w:rPr>
  </w:style>
  <w:style w:type="paragraph" w:styleId="BodyText2">
    <w:name w:val="Body Text 2"/>
    <w:basedOn w:val="Normal"/>
    <w:link w:val="BodyText2Char"/>
    <w:rsid w:val="00CF3300"/>
    <w:rPr>
      <w:sz w:val="28"/>
    </w:rPr>
  </w:style>
  <w:style w:type="paragraph" w:styleId="Header">
    <w:name w:val="header"/>
    <w:basedOn w:val="Normal"/>
    <w:link w:val="HeaderChar"/>
    <w:uiPriority w:val="99"/>
    <w:rsid w:val="00CF3300"/>
    <w:pPr>
      <w:tabs>
        <w:tab w:val="center" w:pos="4153"/>
        <w:tab w:val="right" w:pos="8306"/>
      </w:tabs>
    </w:pPr>
    <w:rPr>
      <w:rFonts w:ascii="Arial" w:hAnsi="Arial"/>
    </w:rPr>
  </w:style>
  <w:style w:type="paragraph" w:styleId="Footer">
    <w:name w:val="footer"/>
    <w:basedOn w:val="Normal"/>
    <w:link w:val="FooterChar"/>
    <w:uiPriority w:val="99"/>
    <w:rsid w:val="00CF3300"/>
    <w:pPr>
      <w:tabs>
        <w:tab w:val="center" w:pos="4153"/>
        <w:tab w:val="right" w:pos="8306"/>
      </w:tabs>
    </w:pPr>
    <w:rPr>
      <w:rFonts w:ascii="Arial" w:hAnsi="Arial"/>
    </w:rPr>
  </w:style>
  <w:style w:type="character" w:styleId="PageNumber">
    <w:name w:val="page number"/>
    <w:basedOn w:val="DefaultParagraphFont"/>
    <w:rsid w:val="00CF3300"/>
  </w:style>
  <w:style w:type="paragraph" w:customStyle="1" w:styleId="SubHeader">
    <w:name w:val="Sub Header"/>
    <w:basedOn w:val="Heading3"/>
    <w:rsid w:val="00CF3300"/>
  </w:style>
  <w:style w:type="character" w:styleId="Hyperlink">
    <w:name w:val="Hyperlink"/>
    <w:uiPriority w:val="99"/>
    <w:rsid w:val="00CF3300"/>
    <w:rPr>
      <w:color w:val="0000FF"/>
      <w:u w:val="single"/>
    </w:rPr>
  </w:style>
  <w:style w:type="paragraph" w:styleId="NormalWeb">
    <w:name w:val="Normal (Web)"/>
    <w:basedOn w:val="Normal"/>
    <w:uiPriority w:val="99"/>
    <w:rsid w:val="00CF3300"/>
    <w:pPr>
      <w:spacing w:before="100" w:beforeAutospacing="1" w:after="100" w:afterAutospacing="1"/>
    </w:pPr>
    <w:rPr>
      <w:lang w:eastAsia="en-GB"/>
    </w:rPr>
  </w:style>
  <w:style w:type="paragraph" w:styleId="NoSpacing">
    <w:name w:val="No Spacing"/>
    <w:link w:val="NoSpacingChar"/>
    <w:uiPriority w:val="1"/>
    <w:qFormat/>
    <w:rsid w:val="00CF3300"/>
    <w:rPr>
      <w:rFonts w:ascii="Calibri" w:hAnsi="Calibri"/>
      <w:sz w:val="22"/>
      <w:szCs w:val="22"/>
      <w:lang w:eastAsia="en-US"/>
    </w:rPr>
  </w:style>
  <w:style w:type="character" w:customStyle="1" w:styleId="SubHeaderChar">
    <w:name w:val="Sub Header Char"/>
    <w:rsid w:val="00CF3300"/>
    <w:rPr>
      <w:rFonts w:ascii="Arial" w:hAnsi="Arial" w:cs="Arial"/>
      <w:b/>
      <w:bCs/>
      <w:sz w:val="26"/>
      <w:szCs w:val="26"/>
      <w:lang w:val="en-GB" w:eastAsia="en-US" w:bidi="ar-SA"/>
    </w:rPr>
  </w:style>
  <w:style w:type="character" w:customStyle="1" w:styleId="Heading3Char">
    <w:name w:val="Heading 3 Char"/>
    <w:aliases w:val="Heading 3 Accounts Char"/>
    <w:link w:val="Heading3"/>
    <w:uiPriority w:val="9"/>
    <w:rsid w:val="00CF3300"/>
    <w:rPr>
      <w:rFonts w:ascii="Arial" w:hAnsi="Arial" w:cs="Arial"/>
      <w:b/>
      <w:bCs/>
      <w:sz w:val="26"/>
      <w:szCs w:val="26"/>
      <w:lang w:val="en-GB" w:eastAsia="en-US" w:bidi="ar-SA"/>
    </w:rPr>
  </w:style>
  <w:style w:type="paragraph" w:styleId="ListParagraph">
    <w:name w:val="List Paragraph"/>
    <w:aliases w:val="cv list paragraph,List Paragraph1,Table Text,List Paragraph_Table text,Table text,Table text + Justified,L....,EiB Main bullet,Dot pt,No Spacing1,List Paragraph Char Char Char,Indicator Text,Numbered Para 1,Bullet 1,F5 List Paragraph,Bull"/>
    <w:basedOn w:val="Normal"/>
    <w:link w:val="ListParagraphChar"/>
    <w:uiPriority w:val="34"/>
    <w:qFormat/>
    <w:rsid w:val="00575573"/>
    <w:pPr>
      <w:spacing w:after="200" w:line="276" w:lineRule="auto"/>
      <w:ind w:left="720"/>
      <w:contextualSpacing/>
    </w:pPr>
    <w:rPr>
      <w:rFonts w:ascii="Calibri" w:hAnsi="Calibri"/>
      <w:sz w:val="22"/>
      <w:szCs w:val="22"/>
      <w:lang w:eastAsia="en-GB"/>
    </w:rPr>
  </w:style>
  <w:style w:type="paragraph" w:styleId="Title">
    <w:name w:val="Title"/>
    <w:basedOn w:val="Normal"/>
    <w:link w:val="TitleChar"/>
    <w:qFormat/>
    <w:rsid w:val="00575573"/>
    <w:pPr>
      <w:tabs>
        <w:tab w:val="left" w:pos="1134"/>
      </w:tabs>
      <w:jc w:val="center"/>
    </w:pPr>
    <w:rPr>
      <w:b/>
      <w:sz w:val="28"/>
      <w:szCs w:val="20"/>
      <w:lang w:val="en-US"/>
    </w:rPr>
  </w:style>
  <w:style w:type="character" w:customStyle="1" w:styleId="TitleChar">
    <w:name w:val="Title Char"/>
    <w:link w:val="Title"/>
    <w:rsid w:val="00575573"/>
    <w:rPr>
      <w:b/>
      <w:sz w:val="28"/>
      <w:lang w:val="en-US" w:eastAsia="en-US" w:bidi="ar-SA"/>
    </w:rPr>
  </w:style>
  <w:style w:type="paragraph" w:customStyle="1" w:styleId="1AGMAHeading1">
    <w:name w:val="#1 AGMA Heading 1"/>
    <w:next w:val="2AGMAHeading2"/>
    <w:qFormat/>
    <w:rsid w:val="004D1848"/>
    <w:pPr>
      <w:numPr>
        <w:numId w:val="5"/>
      </w:numPr>
      <w:spacing w:before="480" w:after="480"/>
      <w:jc w:val="both"/>
    </w:pPr>
    <w:rPr>
      <w:rFonts w:ascii="Arial" w:hAnsi="Arial" w:cs="Arial"/>
      <w:b/>
      <w:sz w:val="24"/>
      <w:szCs w:val="24"/>
    </w:rPr>
  </w:style>
  <w:style w:type="paragraph" w:customStyle="1" w:styleId="2AGMAHeading2">
    <w:name w:val="#2 AGMA Heading 2"/>
    <w:basedOn w:val="1AGMAHeading1"/>
    <w:qFormat/>
    <w:rsid w:val="004D1848"/>
    <w:pPr>
      <w:numPr>
        <w:ilvl w:val="1"/>
      </w:numPr>
      <w:spacing w:before="240" w:after="240"/>
    </w:pPr>
    <w:rPr>
      <w:b w:val="0"/>
    </w:rPr>
  </w:style>
  <w:style w:type="paragraph" w:customStyle="1" w:styleId="3AGMAHeading3">
    <w:name w:val="#3 AGMA Heading 3"/>
    <w:basedOn w:val="2AGMAHeading2"/>
    <w:qFormat/>
    <w:rsid w:val="004D1848"/>
    <w:pPr>
      <w:numPr>
        <w:ilvl w:val="2"/>
      </w:numPr>
    </w:pPr>
  </w:style>
  <w:style w:type="paragraph" w:customStyle="1" w:styleId="4AGMABullet1">
    <w:name w:val="#4 AGMA Bullet 1"/>
    <w:basedOn w:val="3AGMAHeading3"/>
    <w:qFormat/>
    <w:rsid w:val="004D1848"/>
    <w:pPr>
      <w:numPr>
        <w:ilvl w:val="3"/>
      </w:numPr>
      <w:spacing w:before="120" w:after="120"/>
    </w:pPr>
  </w:style>
  <w:style w:type="paragraph" w:customStyle="1" w:styleId="5AGMABullet2">
    <w:name w:val="#5 AGMA Bullet 2"/>
    <w:basedOn w:val="4AGMABullet1"/>
    <w:qFormat/>
    <w:rsid w:val="004D1848"/>
    <w:pPr>
      <w:numPr>
        <w:ilvl w:val="4"/>
      </w:numPr>
    </w:pPr>
  </w:style>
  <w:style w:type="paragraph" w:customStyle="1" w:styleId="6AGMARecommendations">
    <w:name w:val="#6 AGMA Recommendations"/>
    <w:basedOn w:val="5AGMABullet2"/>
    <w:qFormat/>
    <w:rsid w:val="004D1848"/>
    <w:pPr>
      <w:numPr>
        <w:ilvl w:val="5"/>
      </w:numPr>
      <w:ind w:left="2041" w:hanging="510"/>
    </w:pPr>
  </w:style>
  <w:style w:type="numbering" w:customStyle="1" w:styleId="AGMAList">
    <w:name w:val="# AGMA List"/>
    <w:rsid w:val="004D1848"/>
    <w:pPr>
      <w:numPr>
        <w:numId w:val="5"/>
      </w:numPr>
    </w:pPr>
  </w:style>
  <w:style w:type="table" w:styleId="TableGrid">
    <w:name w:val="Table Grid"/>
    <w:basedOn w:val="TableNormal"/>
    <w:rsid w:val="0032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6">
    <w:name w:val="Imported Style 16"/>
    <w:rsid w:val="002A1BED"/>
    <w:pPr>
      <w:numPr>
        <w:numId w:val="6"/>
      </w:numPr>
    </w:pPr>
  </w:style>
  <w:style w:type="paragraph" w:styleId="Revision">
    <w:name w:val="Revision"/>
    <w:hidden/>
    <w:uiPriority w:val="99"/>
    <w:semiHidden/>
    <w:rsid w:val="00655251"/>
    <w:rPr>
      <w:sz w:val="24"/>
      <w:szCs w:val="24"/>
      <w:lang w:eastAsia="en-US"/>
    </w:rPr>
  </w:style>
  <w:style w:type="character" w:styleId="CommentReference">
    <w:name w:val="annotation reference"/>
    <w:basedOn w:val="DefaultParagraphFont"/>
    <w:uiPriority w:val="99"/>
    <w:rsid w:val="00EE0174"/>
    <w:rPr>
      <w:sz w:val="16"/>
      <w:szCs w:val="16"/>
    </w:rPr>
  </w:style>
  <w:style w:type="paragraph" w:styleId="CommentText">
    <w:name w:val="annotation text"/>
    <w:basedOn w:val="Normal"/>
    <w:link w:val="CommentTextChar"/>
    <w:rsid w:val="00EE0174"/>
    <w:rPr>
      <w:sz w:val="20"/>
      <w:szCs w:val="20"/>
    </w:rPr>
  </w:style>
  <w:style w:type="character" w:customStyle="1" w:styleId="CommentTextChar">
    <w:name w:val="Comment Text Char"/>
    <w:basedOn w:val="DefaultParagraphFont"/>
    <w:link w:val="CommentText"/>
    <w:rsid w:val="00EE0174"/>
    <w:rPr>
      <w:lang w:eastAsia="en-US"/>
    </w:rPr>
  </w:style>
  <w:style w:type="paragraph" w:styleId="CommentSubject">
    <w:name w:val="annotation subject"/>
    <w:basedOn w:val="CommentText"/>
    <w:next w:val="CommentText"/>
    <w:link w:val="CommentSubjectChar"/>
    <w:uiPriority w:val="99"/>
    <w:rsid w:val="00EE0174"/>
    <w:rPr>
      <w:b/>
      <w:bCs/>
    </w:rPr>
  </w:style>
  <w:style w:type="character" w:customStyle="1" w:styleId="CommentSubjectChar">
    <w:name w:val="Comment Subject Char"/>
    <w:basedOn w:val="CommentTextChar"/>
    <w:link w:val="CommentSubject"/>
    <w:uiPriority w:val="99"/>
    <w:rsid w:val="00EE0174"/>
    <w:rPr>
      <w:b/>
      <w:bCs/>
      <w:lang w:eastAsia="en-US"/>
    </w:rPr>
  </w:style>
  <w:style w:type="paragraph" w:styleId="BalloonText">
    <w:name w:val="Balloon Text"/>
    <w:basedOn w:val="Normal"/>
    <w:link w:val="BalloonTextChar"/>
    <w:uiPriority w:val="99"/>
    <w:rsid w:val="00EE0174"/>
    <w:rPr>
      <w:rFonts w:ascii="Segoe UI" w:hAnsi="Segoe UI" w:cs="Segoe UI"/>
      <w:sz w:val="18"/>
      <w:szCs w:val="18"/>
    </w:rPr>
  </w:style>
  <w:style w:type="character" w:customStyle="1" w:styleId="BalloonTextChar">
    <w:name w:val="Balloon Text Char"/>
    <w:basedOn w:val="DefaultParagraphFont"/>
    <w:link w:val="BalloonText"/>
    <w:uiPriority w:val="99"/>
    <w:rsid w:val="00EE0174"/>
    <w:rPr>
      <w:rFonts w:ascii="Segoe UI" w:hAnsi="Segoe UI" w:cs="Segoe UI"/>
      <w:sz w:val="18"/>
      <w:szCs w:val="18"/>
      <w:lang w:eastAsia="en-US"/>
    </w:rPr>
  </w:style>
  <w:style w:type="paragraph" w:styleId="IntenseQuote">
    <w:name w:val="Intense Quote"/>
    <w:basedOn w:val="Normal"/>
    <w:next w:val="Normal"/>
    <w:link w:val="IntenseQuoteChar"/>
    <w:uiPriority w:val="30"/>
    <w:qFormat/>
    <w:rsid w:val="008649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49F9"/>
    <w:rPr>
      <w:i/>
      <w:iCs/>
      <w:color w:val="5B9BD5" w:themeColor="accent1"/>
      <w:sz w:val="24"/>
      <w:szCs w:val="24"/>
      <w:lang w:eastAsia="en-US"/>
    </w:rPr>
  </w:style>
  <w:style w:type="character" w:customStyle="1" w:styleId="FooterChar">
    <w:name w:val="Footer Char"/>
    <w:basedOn w:val="DefaultParagraphFont"/>
    <w:link w:val="Footer"/>
    <w:uiPriority w:val="99"/>
    <w:rsid w:val="00CB4F58"/>
    <w:rPr>
      <w:rFonts w:ascii="Arial" w:hAnsi="Arial"/>
      <w:sz w:val="24"/>
      <w:szCs w:val="24"/>
      <w:lang w:eastAsia="en-US"/>
    </w:rPr>
  </w:style>
  <w:style w:type="character" w:customStyle="1" w:styleId="Heading4Char">
    <w:name w:val="Heading 4 Char"/>
    <w:basedOn w:val="DefaultParagraphFont"/>
    <w:link w:val="Heading4"/>
    <w:uiPriority w:val="9"/>
    <w:rsid w:val="00B86CD5"/>
    <w:rPr>
      <w:rFonts w:ascii="Arial" w:eastAsia="Yu Mincho" w:hAnsi="Arial" w:cs="Arial"/>
      <w:i/>
      <w:iCs/>
      <w:sz w:val="24"/>
      <w:szCs w:val="24"/>
    </w:rPr>
  </w:style>
  <w:style w:type="character" w:customStyle="1" w:styleId="Heading1Char">
    <w:name w:val="Heading 1 Char"/>
    <w:aliases w:val="Heading 1 Accounts Char"/>
    <w:basedOn w:val="DefaultParagraphFont"/>
    <w:link w:val="Heading1"/>
    <w:uiPriority w:val="9"/>
    <w:rsid w:val="00322485"/>
    <w:rPr>
      <w:rFonts w:ascii="Arial" w:hAnsi="Arial" w:cs="Arial"/>
      <w:sz w:val="56"/>
      <w:szCs w:val="24"/>
      <w:lang w:eastAsia="en-US"/>
    </w:rPr>
  </w:style>
  <w:style w:type="character" w:customStyle="1" w:styleId="Heading2Char">
    <w:name w:val="Heading 2 Char"/>
    <w:aliases w:val="Heading 2 Accounts Char"/>
    <w:basedOn w:val="DefaultParagraphFont"/>
    <w:link w:val="Heading2"/>
    <w:uiPriority w:val="9"/>
    <w:rsid w:val="00B86CD5"/>
    <w:rPr>
      <w:rFonts w:ascii="Arial" w:hAnsi="Arial" w:cs="Arial"/>
      <w:b/>
      <w:bCs/>
      <w:sz w:val="26"/>
      <w:szCs w:val="26"/>
      <w:lang w:eastAsia="en-US"/>
    </w:rPr>
  </w:style>
  <w:style w:type="character" w:customStyle="1" w:styleId="Heading5Char">
    <w:name w:val="Heading 5 Char"/>
    <w:aliases w:val="Heading 5 Table Title Char"/>
    <w:basedOn w:val="DefaultParagraphFont"/>
    <w:link w:val="Heading5"/>
    <w:uiPriority w:val="9"/>
    <w:rsid w:val="00322485"/>
    <w:rPr>
      <w:rFonts w:ascii="Arial" w:hAnsi="Arial"/>
      <w:b/>
      <w:bCs/>
      <w:sz w:val="24"/>
      <w:szCs w:val="24"/>
      <w:lang w:eastAsia="en-US"/>
    </w:rPr>
  </w:style>
  <w:style w:type="character" w:customStyle="1" w:styleId="Heading6Char">
    <w:name w:val="Heading 6 Char"/>
    <w:basedOn w:val="DefaultParagraphFont"/>
    <w:link w:val="Heading6"/>
    <w:rsid w:val="00924E51"/>
    <w:rPr>
      <w:rFonts w:ascii="Arial" w:hAnsi="Arial"/>
      <w:b/>
      <w:bCs/>
      <w:sz w:val="24"/>
      <w:szCs w:val="24"/>
      <w:lang w:eastAsia="en-US"/>
    </w:rPr>
  </w:style>
  <w:style w:type="character" w:customStyle="1" w:styleId="BodyTextChar">
    <w:name w:val="Body Text Char"/>
    <w:basedOn w:val="DefaultParagraphFont"/>
    <w:link w:val="BodyText"/>
    <w:uiPriority w:val="99"/>
    <w:rsid w:val="00322485"/>
    <w:rPr>
      <w:rFonts w:ascii="Arial" w:hAnsi="Arial" w:cs="Arial"/>
      <w:sz w:val="72"/>
      <w:szCs w:val="24"/>
      <w:lang w:eastAsia="en-US"/>
    </w:rPr>
  </w:style>
  <w:style w:type="paragraph" w:customStyle="1" w:styleId="TableParagraph">
    <w:name w:val="Table Paragraph"/>
    <w:basedOn w:val="Normal"/>
    <w:uiPriority w:val="99"/>
    <w:rsid w:val="00322485"/>
    <w:pPr>
      <w:widowControl w:val="0"/>
    </w:pPr>
    <w:rPr>
      <w:rFonts w:ascii="Palatino Linotype" w:eastAsia="Palatino Linotype" w:hAnsi="Palatino Linotype"/>
      <w:sz w:val="22"/>
      <w:szCs w:val="22"/>
      <w:lang w:val="en-US"/>
    </w:rPr>
  </w:style>
  <w:style w:type="character" w:customStyle="1" w:styleId="HeaderChar">
    <w:name w:val="Header Char"/>
    <w:basedOn w:val="DefaultParagraphFont"/>
    <w:link w:val="Header"/>
    <w:uiPriority w:val="99"/>
    <w:rsid w:val="00322485"/>
    <w:rPr>
      <w:rFonts w:ascii="Arial" w:hAnsi="Arial"/>
      <w:sz w:val="24"/>
      <w:szCs w:val="24"/>
      <w:lang w:eastAsia="en-US"/>
    </w:rPr>
  </w:style>
  <w:style w:type="character" w:styleId="FollowedHyperlink">
    <w:name w:val="FollowedHyperlink"/>
    <w:uiPriority w:val="99"/>
    <w:rsid w:val="00322485"/>
    <w:rPr>
      <w:rFonts w:cs="Times New Roman"/>
      <w:color w:val="B2B2B2"/>
      <w:u w:val="single"/>
    </w:rPr>
  </w:style>
  <w:style w:type="character" w:customStyle="1" w:styleId="NoSpacingChar">
    <w:name w:val="No Spacing Char"/>
    <w:link w:val="NoSpacing"/>
    <w:uiPriority w:val="1"/>
    <w:locked/>
    <w:rsid w:val="00322485"/>
    <w:rPr>
      <w:rFonts w:ascii="Calibri" w:hAnsi="Calibri"/>
      <w:sz w:val="22"/>
      <w:szCs w:val="22"/>
      <w:lang w:eastAsia="en-US"/>
    </w:rPr>
  </w:style>
  <w:style w:type="paragraph" w:customStyle="1" w:styleId="FooterRight">
    <w:name w:val="Footer Right"/>
    <w:basedOn w:val="Footer"/>
    <w:uiPriority w:val="99"/>
    <w:rsid w:val="00322485"/>
    <w:pPr>
      <w:pBdr>
        <w:top w:val="dashed" w:sz="4" w:space="18" w:color="7F7F7F"/>
      </w:pBdr>
      <w:tabs>
        <w:tab w:val="clear" w:pos="4153"/>
        <w:tab w:val="clear" w:pos="8306"/>
        <w:tab w:val="center" w:pos="4320"/>
        <w:tab w:val="right" w:pos="8640"/>
      </w:tabs>
      <w:spacing w:after="200"/>
      <w:contextualSpacing/>
      <w:jc w:val="right"/>
    </w:pPr>
    <w:rPr>
      <w:rFonts w:ascii="Palatino Linotype" w:eastAsia="Palatino Linotype" w:hAnsi="Palatino Linotype"/>
      <w:color w:val="7F7F7F"/>
      <w:sz w:val="20"/>
      <w:szCs w:val="18"/>
      <w:lang w:eastAsia="ja-JP"/>
    </w:rPr>
  </w:style>
  <w:style w:type="character" w:styleId="LineNumber">
    <w:name w:val="line number"/>
    <w:uiPriority w:val="99"/>
    <w:rsid w:val="00322485"/>
    <w:rPr>
      <w:rFonts w:cs="Times New Roman"/>
    </w:rPr>
  </w:style>
  <w:style w:type="paragraph" w:customStyle="1" w:styleId="DefaultText">
    <w:name w:val="Default Text"/>
    <w:basedOn w:val="Normal"/>
    <w:rsid w:val="004219F1"/>
    <w:pPr>
      <w:overflowPunct w:val="0"/>
      <w:autoSpaceDE w:val="0"/>
      <w:autoSpaceDN w:val="0"/>
      <w:adjustRightInd w:val="0"/>
      <w:textAlignment w:val="baseline"/>
    </w:pPr>
    <w:rPr>
      <w:color w:val="000000"/>
      <w:szCs w:val="20"/>
    </w:rPr>
  </w:style>
  <w:style w:type="paragraph" w:styleId="BodyText3">
    <w:name w:val="Body Text 3"/>
    <w:basedOn w:val="Normal"/>
    <w:link w:val="BodyText3Char"/>
    <w:rsid w:val="004A0A00"/>
    <w:pPr>
      <w:spacing w:after="120"/>
    </w:pPr>
    <w:rPr>
      <w:sz w:val="16"/>
      <w:szCs w:val="16"/>
    </w:rPr>
  </w:style>
  <w:style w:type="character" w:customStyle="1" w:styleId="BodyText3Char">
    <w:name w:val="Body Text 3 Char"/>
    <w:basedOn w:val="DefaultParagraphFont"/>
    <w:link w:val="BodyText3"/>
    <w:rsid w:val="004A0A00"/>
    <w:rPr>
      <w:sz w:val="16"/>
      <w:szCs w:val="16"/>
      <w:lang w:eastAsia="en-US"/>
    </w:rPr>
  </w:style>
  <w:style w:type="table" w:customStyle="1" w:styleId="TableGrid1">
    <w:name w:val="Table Grid1"/>
    <w:basedOn w:val="TableNormal"/>
    <w:next w:val="TableGrid"/>
    <w:uiPriority w:val="39"/>
    <w:rsid w:val="00EA2EB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2F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TfGMStandardDocumentText">
    <w:name w:val="#8 TfGM Standard Document Text"/>
    <w:link w:val="8TfGMStandardDocumentTextChar"/>
    <w:qFormat/>
    <w:rsid w:val="00BC0563"/>
    <w:pPr>
      <w:spacing w:after="240"/>
      <w:jc w:val="both"/>
    </w:pPr>
    <w:rPr>
      <w:rFonts w:ascii="Calibri" w:eastAsia="MS Mincho" w:hAnsi="Calibri" w:cs="Arial"/>
      <w:sz w:val="26"/>
      <w:szCs w:val="24"/>
    </w:rPr>
  </w:style>
  <w:style w:type="character" w:customStyle="1" w:styleId="8TfGMStandardDocumentTextChar">
    <w:name w:val="#8 TfGM Standard Document Text Char"/>
    <w:basedOn w:val="DefaultParagraphFont"/>
    <w:link w:val="8TfGMStandardDocumentText"/>
    <w:rsid w:val="00BC0563"/>
    <w:rPr>
      <w:rFonts w:ascii="Calibri" w:eastAsia="MS Mincho" w:hAnsi="Calibri" w:cs="Arial"/>
      <w:sz w:val="26"/>
      <w:szCs w:val="24"/>
    </w:rPr>
  </w:style>
  <w:style w:type="paragraph" w:styleId="FootnoteText">
    <w:name w:val="footnote text"/>
    <w:aliases w:val="EKOS Footnote Text,Fußnote"/>
    <w:basedOn w:val="Normal"/>
    <w:link w:val="FootnoteTextChar"/>
    <w:uiPriority w:val="99"/>
    <w:rsid w:val="008A3D2A"/>
    <w:rPr>
      <w:rFonts w:ascii="Arial" w:hAnsi="Arial"/>
      <w:sz w:val="20"/>
      <w:szCs w:val="20"/>
    </w:rPr>
  </w:style>
  <w:style w:type="character" w:customStyle="1" w:styleId="FootnoteTextChar">
    <w:name w:val="Footnote Text Char"/>
    <w:aliases w:val="EKOS Footnote Text Char,Fußnote Char"/>
    <w:basedOn w:val="DefaultParagraphFont"/>
    <w:link w:val="FootnoteText"/>
    <w:uiPriority w:val="99"/>
    <w:rsid w:val="008A3D2A"/>
    <w:rPr>
      <w:rFonts w:ascii="Arial" w:hAnsi="Arial"/>
      <w:lang w:eastAsia="en-US"/>
    </w:rPr>
  </w:style>
  <w:style w:type="character" w:styleId="FootnoteReference">
    <w:name w:val="footnote reference"/>
    <w:aliases w:val="Footnote Reference (caveat),Footnote Reference Number"/>
    <w:uiPriority w:val="99"/>
    <w:unhideWhenUsed/>
    <w:rsid w:val="008A3D2A"/>
    <w:rPr>
      <w:vertAlign w:val="superscript"/>
    </w:rPr>
  </w:style>
  <w:style w:type="paragraph" w:customStyle="1" w:styleId="inlinenormal">
    <w:name w:val="inlinenormal"/>
    <w:basedOn w:val="Normal"/>
    <w:rsid w:val="006E0C9A"/>
    <w:pPr>
      <w:autoSpaceDN w:val="0"/>
      <w:spacing w:before="120" w:after="60" w:line="264" w:lineRule="auto"/>
    </w:pPr>
    <w:rPr>
      <w:rFonts w:ascii="Arial" w:hAnsi="Arial" w:cs="Arial"/>
      <w:lang w:eastAsia="en-GB"/>
    </w:rPr>
  </w:style>
  <w:style w:type="character" w:styleId="Emphasis">
    <w:name w:val="Emphasis"/>
    <w:uiPriority w:val="20"/>
    <w:qFormat/>
    <w:rsid w:val="006E0C9A"/>
    <w:rPr>
      <w:i/>
      <w:iCs/>
    </w:rPr>
  </w:style>
  <w:style w:type="paragraph" w:customStyle="1" w:styleId="Default">
    <w:name w:val="Default"/>
    <w:rsid w:val="006E0C9A"/>
    <w:pPr>
      <w:autoSpaceDE w:val="0"/>
      <w:autoSpaceDN w:val="0"/>
      <w:adjustRightInd w:val="0"/>
    </w:pPr>
    <w:rPr>
      <w:rFonts w:ascii="Arial" w:hAnsi="Arial" w:cs="Arial"/>
      <w:color w:val="000000"/>
      <w:sz w:val="24"/>
      <w:szCs w:val="24"/>
    </w:rPr>
  </w:style>
  <w:style w:type="paragraph" w:customStyle="1" w:styleId="Normal0">
    <w:name w:val="Normal_0"/>
    <w:qFormat/>
    <w:rsid w:val="009D79B4"/>
    <w:pPr>
      <w:spacing w:line="254" w:lineRule="auto"/>
    </w:pPr>
    <w:rPr>
      <w:rFonts w:asciiTheme="minorHAnsi" w:eastAsiaTheme="minorHAnsi" w:hAnsiTheme="minorHAnsi" w:cstheme="minorBidi"/>
      <w:lang w:val="en-US" w:eastAsia="en-US"/>
    </w:rPr>
  </w:style>
  <w:style w:type="paragraph" w:customStyle="1" w:styleId="T1TableStyle">
    <w:name w:val="T1TableStyle"/>
    <w:rsid w:val="009A7095"/>
    <w:rPr>
      <w:rFonts w:asciiTheme="minorHAnsi" w:eastAsiaTheme="minorHAnsi" w:hAnsiTheme="minorHAnsi" w:cs="Arial"/>
      <w:lang w:val="en-US" w:eastAsia="en-US"/>
    </w:rPr>
  </w:style>
  <w:style w:type="paragraph" w:customStyle="1" w:styleId="TND">
    <w:name w:val="TN D"/>
    <w:basedOn w:val="Normal"/>
    <w:link w:val="TNDChar"/>
    <w:qFormat/>
    <w:rsid w:val="008F12E4"/>
    <w:pPr>
      <w:tabs>
        <w:tab w:val="decimal" w:pos="964"/>
      </w:tabs>
    </w:pPr>
    <w:rPr>
      <w:rFonts w:ascii="Arial" w:hAnsi="Arial" w:cs="Arial"/>
      <w:bCs/>
      <w:sz w:val="18"/>
      <w:szCs w:val="18"/>
      <w:lang w:eastAsia="en-GB"/>
    </w:rPr>
  </w:style>
  <w:style w:type="character" w:customStyle="1" w:styleId="TNDChar">
    <w:name w:val="TN D Char"/>
    <w:basedOn w:val="DefaultParagraphFont"/>
    <w:link w:val="TND"/>
    <w:rsid w:val="008F12E4"/>
    <w:rPr>
      <w:rFonts w:ascii="Arial" w:hAnsi="Arial" w:cs="Arial"/>
      <w:bCs/>
      <w:sz w:val="18"/>
      <w:szCs w:val="18"/>
    </w:rPr>
  </w:style>
  <w:style w:type="paragraph" w:customStyle="1" w:styleId="TTL">
    <w:name w:val="TT L"/>
    <w:basedOn w:val="Normal"/>
    <w:link w:val="TTLChar"/>
    <w:qFormat/>
    <w:rsid w:val="008F12E4"/>
    <w:rPr>
      <w:rFonts w:ascii="Arial" w:hAnsi="Arial" w:cs="Arial"/>
      <w:bCs/>
      <w:sz w:val="18"/>
      <w:szCs w:val="18"/>
      <w:lang w:eastAsia="en-GB"/>
    </w:rPr>
  </w:style>
  <w:style w:type="character" w:customStyle="1" w:styleId="TTLChar">
    <w:name w:val="TT L Char"/>
    <w:basedOn w:val="DefaultParagraphFont"/>
    <w:link w:val="TTL"/>
    <w:rsid w:val="008F12E4"/>
    <w:rPr>
      <w:rFonts w:ascii="Arial" w:hAnsi="Arial" w:cs="Arial"/>
      <w:bCs/>
      <w:sz w:val="18"/>
      <w:szCs w:val="18"/>
    </w:rPr>
  </w:style>
  <w:style w:type="paragraph" w:customStyle="1" w:styleId="THR">
    <w:name w:val="TH R"/>
    <w:basedOn w:val="Normal"/>
    <w:link w:val="THRChar"/>
    <w:qFormat/>
    <w:rsid w:val="00322755"/>
    <w:pPr>
      <w:tabs>
        <w:tab w:val="right" w:pos="964"/>
      </w:tabs>
      <w:jc w:val="right"/>
    </w:pPr>
    <w:rPr>
      <w:rFonts w:ascii="Arial" w:hAnsi="Arial" w:cs="Arial"/>
      <w:bCs/>
      <w:sz w:val="18"/>
      <w:szCs w:val="18"/>
      <w:lang w:eastAsia="en-GB"/>
    </w:rPr>
  </w:style>
  <w:style w:type="character" w:customStyle="1" w:styleId="THRChar">
    <w:name w:val="TH R Char"/>
    <w:basedOn w:val="DefaultParagraphFont"/>
    <w:link w:val="THR"/>
    <w:rsid w:val="00322755"/>
    <w:rPr>
      <w:rFonts w:ascii="Arial" w:hAnsi="Arial" w:cs="Arial"/>
      <w:bCs/>
      <w:sz w:val="18"/>
      <w:szCs w:val="18"/>
    </w:rPr>
  </w:style>
  <w:style w:type="paragraph" w:customStyle="1" w:styleId="AGS-Bullets">
    <w:name w:val="AGS - Bullets"/>
    <w:basedOn w:val="ListParagraph"/>
    <w:link w:val="AGS-BulletsChar"/>
    <w:qFormat/>
    <w:rsid w:val="00322755"/>
    <w:pPr>
      <w:numPr>
        <w:ilvl w:val="1"/>
        <w:numId w:val="28"/>
      </w:numPr>
      <w:spacing w:after="0" w:line="240" w:lineRule="auto"/>
      <w:ind w:left="567" w:hanging="567"/>
    </w:pPr>
    <w:rPr>
      <w:rFonts w:ascii="Arial" w:eastAsiaTheme="minorHAnsi" w:hAnsi="Arial" w:cs="Arial"/>
      <w:bCs/>
    </w:rPr>
  </w:style>
  <w:style w:type="character" w:customStyle="1" w:styleId="AGS-BulletsChar">
    <w:name w:val="AGS - Bullets Char"/>
    <w:basedOn w:val="DefaultParagraphFont"/>
    <w:link w:val="AGS-Bullets"/>
    <w:rsid w:val="00322755"/>
    <w:rPr>
      <w:rFonts w:ascii="Arial" w:eastAsiaTheme="minorHAnsi" w:hAnsi="Arial" w:cs="Arial"/>
      <w:bCs/>
      <w:sz w:val="22"/>
      <w:szCs w:val="22"/>
    </w:rPr>
  </w:style>
  <w:style w:type="character" w:customStyle="1" w:styleId="Heading7Char">
    <w:name w:val="Heading 7 Char"/>
    <w:basedOn w:val="DefaultParagraphFont"/>
    <w:link w:val="Heading7"/>
    <w:uiPriority w:val="9"/>
    <w:semiHidden/>
    <w:rsid w:val="000F375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F3752"/>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F3752"/>
    <w:rPr>
      <w:rFonts w:asciiTheme="majorHAnsi" w:eastAsiaTheme="majorEastAsia" w:hAnsiTheme="majorHAnsi" w:cstheme="majorBidi"/>
      <w:sz w:val="22"/>
      <w:szCs w:val="22"/>
      <w:lang w:val="en-US" w:eastAsia="en-US"/>
    </w:rPr>
  </w:style>
  <w:style w:type="paragraph" w:customStyle="1" w:styleId="Pa27">
    <w:name w:val="Pa27"/>
    <w:basedOn w:val="Default"/>
    <w:next w:val="Default"/>
    <w:uiPriority w:val="99"/>
    <w:rsid w:val="001E052C"/>
    <w:pPr>
      <w:spacing w:line="201" w:lineRule="atLeast"/>
    </w:pPr>
    <w:rPr>
      <w:rFonts w:ascii="FS Lola" w:hAnsi="FS Lola" w:cs="Times New Roman"/>
      <w:color w:val="auto"/>
    </w:rPr>
  </w:style>
  <w:style w:type="paragraph" w:customStyle="1" w:styleId="Pa12">
    <w:name w:val="Pa12"/>
    <w:basedOn w:val="Default"/>
    <w:next w:val="Default"/>
    <w:uiPriority w:val="99"/>
    <w:rsid w:val="00AC23B0"/>
    <w:pPr>
      <w:spacing w:line="231" w:lineRule="atLeast"/>
    </w:pPr>
    <w:rPr>
      <w:rFonts w:ascii="FS Lola" w:hAnsi="FS Lola" w:cs="Times New Roman"/>
      <w:color w:val="auto"/>
    </w:rPr>
  </w:style>
  <w:style w:type="paragraph" w:customStyle="1" w:styleId="Pa28">
    <w:name w:val="Pa28"/>
    <w:basedOn w:val="Default"/>
    <w:next w:val="Default"/>
    <w:uiPriority w:val="99"/>
    <w:rsid w:val="002D3571"/>
    <w:pPr>
      <w:spacing w:line="231" w:lineRule="atLeast"/>
    </w:pPr>
    <w:rPr>
      <w:rFonts w:ascii="FS Lola Medium" w:hAnsi="FS Lola Medium" w:cs="Times New Roman"/>
      <w:color w:val="auto"/>
    </w:rPr>
  </w:style>
  <w:style w:type="character" w:customStyle="1" w:styleId="A14">
    <w:name w:val="A14"/>
    <w:uiPriority w:val="99"/>
    <w:rsid w:val="002D3571"/>
    <w:rPr>
      <w:rFonts w:ascii="FS Lola" w:hAnsi="FS Lola" w:cs="FS Lola"/>
      <w:b/>
      <w:bCs/>
      <w:color w:val="000000"/>
      <w:sz w:val="16"/>
      <w:szCs w:val="16"/>
    </w:rPr>
  </w:style>
  <w:style w:type="paragraph" w:customStyle="1" w:styleId="Standard">
    <w:name w:val="Standard"/>
    <w:rsid w:val="00571049"/>
    <w:pPr>
      <w:suppressAutoHyphens/>
      <w:autoSpaceDN w:val="0"/>
      <w:textAlignment w:val="baseline"/>
    </w:pPr>
    <w:rPr>
      <w:rFonts w:ascii="Arial" w:hAnsi="Arial" w:cs="Arial"/>
      <w:color w:val="000000"/>
      <w:kern w:val="3"/>
      <w:sz w:val="24"/>
      <w:szCs w:val="24"/>
    </w:rPr>
  </w:style>
  <w:style w:type="table" w:styleId="TableGridLight">
    <w:name w:val="Grid Table Light"/>
    <w:basedOn w:val="TableNormal"/>
    <w:uiPriority w:val="40"/>
    <w:rsid w:val="00716A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6A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mail-s1">
    <w:name w:val="gmail-s1"/>
    <w:basedOn w:val="DefaultParagraphFont"/>
    <w:rsid w:val="00031A22"/>
  </w:style>
  <w:style w:type="paragraph" w:styleId="ListNumber">
    <w:name w:val="List Number"/>
    <w:basedOn w:val="Normal"/>
    <w:rsid w:val="00031A22"/>
    <w:pPr>
      <w:numPr>
        <w:numId w:val="40"/>
      </w:numPr>
      <w:contextualSpacing/>
    </w:pPr>
  </w:style>
  <w:style w:type="paragraph" w:customStyle="1" w:styleId="FIBody">
    <w:name w:val="FI Body"/>
    <w:basedOn w:val="Normal"/>
    <w:link w:val="FIBodyChar"/>
    <w:qFormat/>
    <w:rsid w:val="009F6965"/>
    <w:pPr>
      <w:tabs>
        <w:tab w:val="num" w:pos="1800"/>
      </w:tabs>
      <w:spacing w:line="276" w:lineRule="auto"/>
      <w:ind w:left="992"/>
      <w:jc w:val="both"/>
    </w:pPr>
    <w:rPr>
      <w:rFonts w:asciiTheme="minorHAnsi" w:eastAsiaTheme="minorHAnsi" w:hAnsiTheme="minorHAnsi" w:cs="Arial"/>
      <w:color w:val="005B82"/>
      <w:sz w:val="22"/>
      <w:szCs w:val="22"/>
    </w:rPr>
  </w:style>
  <w:style w:type="character" w:customStyle="1" w:styleId="FIBodyChar">
    <w:name w:val="FI Body Char"/>
    <w:basedOn w:val="DefaultParagraphFont"/>
    <w:link w:val="FIBody"/>
    <w:rsid w:val="009F6965"/>
    <w:rPr>
      <w:rFonts w:asciiTheme="minorHAnsi" w:eastAsiaTheme="minorHAnsi" w:hAnsiTheme="minorHAnsi" w:cs="Arial"/>
      <w:color w:val="005B82"/>
      <w:sz w:val="22"/>
      <w:szCs w:val="22"/>
      <w:lang w:eastAsia="en-US"/>
    </w:rPr>
  </w:style>
  <w:style w:type="paragraph" w:customStyle="1" w:styleId="Pa10">
    <w:name w:val="Pa10"/>
    <w:basedOn w:val="Default"/>
    <w:next w:val="Default"/>
    <w:uiPriority w:val="99"/>
    <w:rsid w:val="006506FA"/>
    <w:pPr>
      <w:spacing w:line="231" w:lineRule="atLeast"/>
    </w:pPr>
    <w:rPr>
      <w:rFonts w:ascii="FS Lola" w:eastAsiaTheme="minorHAnsi" w:hAnsi="FS Lola" w:cstheme="minorBidi"/>
      <w:color w:val="auto"/>
      <w:lang w:eastAsia="en-US"/>
    </w:rPr>
  </w:style>
  <w:style w:type="character" w:customStyle="1" w:styleId="ListParagraphChar">
    <w:name w:val="List Paragraph Char"/>
    <w:aliases w:val="cv list paragraph Char,List Paragraph1 Char,Table Text Char,List Paragraph_Table text Char,Table text Char,Table text + Justified Char,L.... Char,EiB Main bullet Char,Dot pt Char,No Spacing1 Char,List Paragraph Char Char Char Char"/>
    <w:link w:val="ListParagraph"/>
    <w:uiPriority w:val="34"/>
    <w:qFormat/>
    <w:locked/>
    <w:rsid w:val="005D0823"/>
    <w:rPr>
      <w:rFonts w:ascii="Calibri" w:hAnsi="Calibri"/>
      <w:sz w:val="22"/>
      <w:szCs w:val="22"/>
    </w:rPr>
  </w:style>
  <w:style w:type="character" w:customStyle="1" w:styleId="BodyText2Char">
    <w:name w:val="Body Text 2 Char"/>
    <w:basedOn w:val="DefaultParagraphFont"/>
    <w:link w:val="BodyText2"/>
    <w:rsid w:val="00AD2D07"/>
    <w:rPr>
      <w:sz w:val="28"/>
      <w:szCs w:val="24"/>
      <w:lang w:eastAsia="en-US"/>
    </w:rPr>
  </w:style>
  <w:style w:type="character" w:customStyle="1" w:styleId="Accessiblenormaltext">
    <w:name w:val="Accessible normal text"/>
    <w:basedOn w:val="DefaultParagraphFont"/>
    <w:qFormat/>
    <w:rsid w:val="00AD2D07"/>
    <w:rPr>
      <w:rFonts w:ascii="Arial" w:hAnsi="Arial"/>
    </w:rPr>
  </w:style>
  <w:style w:type="paragraph" w:customStyle="1" w:styleId="StyleNormalAccessible">
    <w:name w:val="Style Normal_Accessible"/>
    <w:basedOn w:val="Normal0"/>
    <w:rsid w:val="00AD2D07"/>
    <w:pPr>
      <w:spacing w:after="240" w:line="360" w:lineRule="auto"/>
    </w:pPr>
    <w:rPr>
      <w:rFonts w:ascii="Arial" w:eastAsia="Times New Roman" w:hAnsi="Arial" w:cs="Times New Roman"/>
      <w:sz w:val="24"/>
    </w:rPr>
  </w:style>
  <w:style w:type="paragraph" w:customStyle="1" w:styleId="Style3">
    <w:name w:val="Style 3"/>
    <w:basedOn w:val="Heading3"/>
    <w:link w:val="Style3Char"/>
    <w:qFormat/>
    <w:rsid w:val="00AD2D07"/>
    <w:pPr>
      <w:pBdr>
        <w:top w:val="single" w:sz="4" w:space="1" w:color="auto"/>
        <w:left w:val="single" w:sz="4" w:space="4" w:color="auto"/>
        <w:bottom w:val="single" w:sz="4" w:space="1" w:color="auto"/>
        <w:right w:val="single" w:sz="4" w:space="4" w:color="auto"/>
      </w:pBdr>
      <w:shd w:val="clear" w:color="auto" w:fill="C5E0B3" w:themeFill="accent6" w:themeFillTint="66"/>
      <w:spacing w:after="240"/>
    </w:pPr>
    <w:rPr>
      <w:color w:val="000000" w:themeColor="text1"/>
    </w:rPr>
  </w:style>
  <w:style w:type="character" w:customStyle="1" w:styleId="Style3Char">
    <w:name w:val="Style 3 Char"/>
    <w:basedOn w:val="Heading3Char"/>
    <w:link w:val="Style3"/>
    <w:rsid w:val="00AD2D07"/>
    <w:rPr>
      <w:rFonts w:ascii="Arial" w:hAnsi="Arial" w:cs="Arial"/>
      <w:b/>
      <w:bCs/>
      <w:color w:val="000000" w:themeColor="text1"/>
      <w:sz w:val="26"/>
      <w:szCs w:val="26"/>
      <w:shd w:val="clear" w:color="auto" w:fill="C5E0B3" w:themeFill="accent6" w:themeFillTint="66"/>
      <w:lang w:val="en-GB" w:eastAsia="en-US" w:bidi="ar-SA"/>
    </w:rPr>
  </w:style>
  <w:style w:type="paragraph" w:styleId="TOCHeading">
    <w:name w:val="TOC Heading"/>
    <w:basedOn w:val="Heading1"/>
    <w:next w:val="Normal"/>
    <w:uiPriority w:val="39"/>
    <w:unhideWhenUsed/>
    <w:qFormat/>
    <w:rsid w:val="00AD2D07"/>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rsid w:val="00AD2D07"/>
    <w:pPr>
      <w:spacing w:after="100"/>
    </w:pPr>
  </w:style>
  <w:style w:type="paragraph" w:styleId="TOC2">
    <w:name w:val="toc 2"/>
    <w:basedOn w:val="Normal"/>
    <w:next w:val="Normal"/>
    <w:autoRedefine/>
    <w:uiPriority w:val="39"/>
    <w:rsid w:val="00760B46"/>
    <w:pPr>
      <w:tabs>
        <w:tab w:val="right" w:leader="dot" w:pos="9016"/>
      </w:tabs>
      <w:spacing w:after="100" w:line="360" w:lineRule="auto"/>
      <w:ind w:left="240"/>
    </w:pPr>
  </w:style>
  <w:style w:type="paragraph" w:styleId="TOC3">
    <w:name w:val="toc 3"/>
    <w:basedOn w:val="Normal"/>
    <w:next w:val="Normal"/>
    <w:autoRedefine/>
    <w:uiPriority w:val="39"/>
    <w:rsid w:val="00F930D2"/>
    <w:pPr>
      <w:tabs>
        <w:tab w:val="right" w:leader="dot" w:pos="9016"/>
      </w:tabs>
      <w:spacing w:after="100"/>
      <w:ind w:left="480"/>
    </w:pPr>
  </w:style>
  <w:style w:type="paragraph" w:styleId="TOC4">
    <w:name w:val="toc 4"/>
    <w:basedOn w:val="Normal"/>
    <w:next w:val="Normal"/>
    <w:autoRedefine/>
    <w:uiPriority w:val="39"/>
    <w:unhideWhenUsed/>
    <w:rsid w:val="00AD2D07"/>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D2D07"/>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D2D07"/>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D2D07"/>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D2D07"/>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D2D07"/>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AD2D07"/>
    <w:rPr>
      <w:color w:val="605E5C"/>
      <w:shd w:val="clear" w:color="auto" w:fill="E1DFDD"/>
    </w:rPr>
  </w:style>
  <w:style w:type="paragraph" w:customStyle="1" w:styleId="paragraph">
    <w:name w:val="paragraph"/>
    <w:basedOn w:val="Normal"/>
    <w:rsid w:val="00AD2D07"/>
    <w:pPr>
      <w:spacing w:before="100" w:beforeAutospacing="1" w:after="100" w:afterAutospacing="1"/>
    </w:pPr>
    <w:rPr>
      <w:lang w:eastAsia="en-GB"/>
    </w:rPr>
  </w:style>
  <w:style w:type="character" w:customStyle="1" w:styleId="normaltextrun">
    <w:name w:val="normaltextrun"/>
    <w:basedOn w:val="DefaultParagraphFont"/>
    <w:rsid w:val="00AD2D07"/>
  </w:style>
  <w:style w:type="character" w:customStyle="1" w:styleId="eop">
    <w:name w:val="eop"/>
    <w:basedOn w:val="DefaultParagraphFont"/>
    <w:rsid w:val="00AD2D07"/>
  </w:style>
  <w:style w:type="character" w:customStyle="1" w:styleId="pagebreaktextspan">
    <w:name w:val="pagebreaktextspan"/>
    <w:basedOn w:val="DefaultParagraphFont"/>
    <w:rsid w:val="00AD2D07"/>
  </w:style>
  <w:style w:type="character" w:styleId="Strong">
    <w:name w:val="Strong"/>
    <w:basedOn w:val="DefaultParagraphFont"/>
    <w:uiPriority w:val="22"/>
    <w:qFormat/>
    <w:rsid w:val="00AD2D07"/>
    <w:rPr>
      <w:rFonts w:ascii="Colfax-Medium" w:hAnsi="Colfax-Medium" w:hint="default"/>
      <w:b/>
      <w:bCs/>
    </w:rPr>
  </w:style>
  <w:style w:type="paragraph" w:customStyle="1" w:styleId="1TfGMHeading1">
    <w:name w:val="#1 TfGM Heading 1"/>
    <w:next w:val="2TfGMHeading2"/>
    <w:qFormat/>
    <w:rsid w:val="00CE76C2"/>
    <w:pPr>
      <w:numPr>
        <w:numId w:val="50"/>
      </w:numPr>
      <w:spacing w:before="480" w:after="480"/>
      <w:jc w:val="both"/>
    </w:pPr>
    <w:rPr>
      <w:rFonts w:ascii="Calibri" w:hAnsi="Calibri" w:cs="Arial"/>
      <w:b/>
      <w:sz w:val="26"/>
      <w:szCs w:val="24"/>
    </w:rPr>
  </w:style>
  <w:style w:type="paragraph" w:customStyle="1" w:styleId="2TfGMHeading2">
    <w:name w:val="#2 TfGM Heading 2"/>
    <w:basedOn w:val="1TfGMHeading1"/>
    <w:qFormat/>
    <w:rsid w:val="00CE76C2"/>
    <w:pPr>
      <w:numPr>
        <w:ilvl w:val="1"/>
      </w:numPr>
      <w:spacing w:before="240" w:after="240"/>
    </w:pPr>
    <w:rPr>
      <w:b w:val="0"/>
    </w:rPr>
  </w:style>
  <w:style w:type="paragraph" w:customStyle="1" w:styleId="3TfGMHeading3">
    <w:name w:val="#3 TfGM Heading 3"/>
    <w:basedOn w:val="2TfGMHeading2"/>
    <w:qFormat/>
    <w:rsid w:val="00CE76C2"/>
    <w:pPr>
      <w:numPr>
        <w:ilvl w:val="2"/>
      </w:numPr>
    </w:pPr>
  </w:style>
  <w:style w:type="paragraph" w:customStyle="1" w:styleId="4TfGMBullet1">
    <w:name w:val="#4 TfGM Bullet 1"/>
    <w:basedOn w:val="3TfGMHeading3"/>
    <w:qFormat/>
    <w:rsid w:val="00CE76C2"/>
    <w:pPr>
      <w:numPr>
        <w:ilvl w:val="3"/>
      </w:numPr>
      <w:tabs>
        <w:tab w:val="num" w:pos="360"/>
      </w:tabs>
      <w:spacing w:before="120" w:after="120"/>
      <w:ind w:left="360" w:hanging="360"/>
    </w:pPr>
  </w:style>
  <w:style w:type="paragraph" w:customStyle="1" w:styleId="5TfGMBullet2">
    <w:name w:val="#5 TfGM Bullet 2"/>
    <w:basedOn w:val="4TfGMBullet1"/>
    <w:qFormat/>
    <w:rsid w:val="00CE76C2"/>
    <w:pPr>
      <w:numPr>
        <w:ilvl w:val="4"/>
      </w:numPr>
      <w:tabs>
        <w:tab w:val="num" w:pos="360"/>
      </w:tabs>
      <w:ind w:left="1645" w:hanging="284"/>
    </w:pPr>
  </w:style>
  <w:style w:type="paragraph" w:customStyle="1" w:styleId="6TfGMRecommendations">
    <w:name w:val="#6 TfGM Recommendations"/>
    <w:basedOn w:val="5TfGMBullet2"/>
    <w:qFormat/>
    <w:rsid w:val="00CE76C2"/>
    <w:pPr>
      <w:numPr>
        <w:ilvl w:val="5"/>
      </w:numPr>
      <w:tabs>
        <w:tab w:val="num" w:pos="360"/>
      </w:tabs>
      <w:ind w:left="1418" w:hanging="567"/>
    </w:pPr>
    <w:rPr>
      <w:lang w:eastAsia="en-US"/>
    </w:rPr>
  </w:style>
  <w:style w:type="numbering" w:customStyle="1" w:styleId="TfGMList">
    <w:name w:val="#TfGM List"/>
    <w:uiPriority w:val="99"/>
    <w:rsid w:val="00CE76C2"/>
    <w:pPr>
      <w:numPr>
        <w:numId w:val="49"/>
      </w:numPr>
    </w:pPr>
  </w:style>
  <w:style w:type="paragraph" w:customStyle="1" w:styleId="Heading2green">
    <w:name w:val="Heading 2 green"/>
    <w:basedOn w:val="Heading2"/>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pPr>
  </w:style>
  <w:style w:type="paragraph" w:customStyle="1" w:styleId="Heading4unnumbered">
    <w:name w:val="Heading 4 unnumbered"/>
    <w:basedOn w:val="Heading4"/>
    <w:link w:val="Heading4unnumberedChar"/>
    <w:qFormat/>
    <w:rsid w:val="008711FF"/>
    <w:pPr>
      <w:numPr>
        <w:numId w:val="0"/>
      </w:numPr>
      <w:ind w:left="426" w:hanging="426"/>
    </w:pPr>
    <w:rPr>
      <w:rFonts w:eastAsia="Palatino Linotype"/>
    </w:rPr>
  </w:style>
  <w:style w:type="character" w:customStyle="1" w:styleId="Heading4unnumberedChar">
    <w:name w:val="Heading 4 unnumbered Char"/>
    <w:basedOn w:val="Heading4Char"/>
    <w:link w:val="Heading4unnumbered"/>
    <w:rsid w:val="008711FF"/>
    <w:rPr>
      <w:rFonts w:ascii="Arial" w:eastAsia="Palatino Linotype" w:hAnsi="Arial" w:cs="Arial"/>
      <w:i/>
      <w:iCs/>
      <w:sz w:val="24"/>
      <w:szCs w:val="24"/>
    </w:rPr>
  </w:style>
  <w:style w:type="paragraph" w:customStyle="1" w:styleId="Heading4bold">
    <w:name w:val="Heading 4 bold"/>
    <w:basedOn w:val="Heading6"/>
    <w:link w:val="Heading4boldChar"/>
    <w:qFormat/>
    <w:rsid w:val="005403AF"/>
    <w:pPr>
      <w:spacing w:after="160"/>
      <w:outlineLvl w:val="3"/>
    </w:pPr>
    <w:rPr>
      <w:rFonts w:cs="Arial"/>
    </w:rPr>
  </w:style>
  <w:style w:type="character" w:customStyle="1" w:styleId="Heading4boldChar">
    <w:name w:val="Heading 4 bold Char"/>
    <w:basedOn w:val="Heading6Char"/>
    <w:link w:val="Heading4bold"/>
    <w:rsid w:val="005403AF"/>
    <w:rPr>
      <w:rFonts w:ascii="Arial" w:hAnsi="Arial" w:cs="Arial"/>
      <w:b/>
      <w:bCs/>
      <w:sz w:val="24"/>
      <w:szCs w:val="24"/>
      <w:lang w:eastAsia="en-US"/>
    </w:rPr>
  </w:style>
  <w:style w:type="paragraph" w:customStyle="1" w:styleId="Heaading2green">
    <w:name w:val="Heaading 2 green"/>
    <w:basedOn w:val="Normal"/>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40"/>
      <w:szCs w:val="40"/>
    </w:rPr>
  </w:style>
  <w:style w:type="paragraph" w:customStyle="1" w:styleId="Heading3green">
    <w:name w:val="Heading 3 green"/>
    <w:basedOn w:val="Normal"/>
    <w:qFormat/>
    <w:rsid w:val="00261631"/>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28"/>
      <w:szCs w:val="28"/>
    </w:rPr>
  </w:style>
  <w:style w:type="paragraph" w:customStyle="1" w:styleId="StyleHeading3green12pt">
    <w:name w:val="Style Heading 3 green + 12 pt"/>
    <w:basedOn w:val="Heading3green"/>
    <w:rsid w:val="002A6C4C"/>
    <w:rPr>
      <w:bCs/>
      <w:sz w:val="24"/>
    </w:rPr>
  </w:style>
  <w:style w:type="paragraph" w:customStyle="1" w:styleId="Heading3greennumbered">
    <w:name w:val="Heading 3 green numbered"/>
    <w:basedOn w:val="StyleHeading3green12pt"/>
    <w:qFormat/>
    <w:rsid w:val="000A0695"/>
    <w:pPr>
      <w:jc w:val="left"/>
      <w:outlineLvl w:val="2"/>
    </w:pPr>
    <w:rPr>
      <w:rFonts w:eastAsia="Palatino Linotype"/>
      <w:lang w:val="en-US"/>
    </w:rPr>
  </w:style>
  <w:style w:type="paragraph" w:customStyle="1" w:styleId="Style1">
    <w:name w:val="Style1"/>
    <w:basedOn w:val="Heading3greennumbered"/>
    <w:qFormat/>
    <w:rsid w:val="00924E51"/>
  </w:style>
  <w:style w:type="paragraph" w:customStyle="1" w:styleId="Heading5underline">
    <w:name w:val="Heading 5 underline"/>
    <w:basedOn w:val="Heading5"/>
    <w:rsid w:val="00716403"/>
    <w:rPr>
      <w:rFonts w:eastAsiaTheme="minorHAnsi"/>
      <w:b w:val="0"/>
      <w:bCs w:val="0"/>
      <w:w w:val="101"/>
      <w:u w:val="single"/>
    </w:rPr>
  </w:style>
  <w:style w:type="paragraph" w:customStyle="1" w:styleId="Heading4underline">
    <w:name w:val="Heading 4 underline"/>
    <w:basedOn w:val="NoSpacing"/>
    <w:rsid w:val="00474D1F"/>
    <w:pPr>
      <w:outlineLvl w:val="3"/>
    </w:pPr>
    <w:rPr>
      <w:rFonts w:ascii="Arial" w:hAnsi="Arial"/>
      <w:sz w:val="24"/>
      <w:u w:val="single"/>
    </w:rPr>
  </w:style>
  <w:style w:type="paragraph" w:customStyle="1" w:styleId="Body">
    <w:name w:val="Body"/>
    <w:autoRedefine/>
    <w:rsid w:val="00655E4C"/>
    <w:pPr>
      <w:numPr>
        <w:numId w:val="51"/>
      </w:numPr>
      <w:tabs>
        <w:tab w:val="left" w:pos="709"/>
        <w:tab w:val="left" w:pos="1417"/>
        <w:tab w:val="left" w:pos="2126"/>
        <w:tab w:val="left" w:pos="2835"/>
        <w:tab w:val="left" w:pos="3543"/>
        <w:tab w:val="left" w:pos="4252"/>
        <w:tab w:val="left" w:pos="4961"/>
        <w:tab w:val="left" w:pos="5669"/>
        <w:tab w:val="left" w:pos="6378"/>
        <w:tab w:val="left" w:pos="7087"/>
        <w:tab w:val="left" w:pos="7795"/>
      </w:tabs>
    </w:pPr>
    <w:rPr>
      <w:rFonts w:asciiTheme="minorHAnsi" w:eastAsia="ヒラギノ角ゴ Pro W3" w:hAnsiTheme="minorHAnsi" w:cstheme="minorHAnsi"/>
      <w:sz w:val="24"/>
      <w:szCs w:val="24"/>
    </w:rPr>
  </w:style>
  <w:style w:type="paragraph" w:customStyle="1" w:styleId="TfGMDocumentHeading">
    <w:name w:val="##TfGM Document Heading"/>
    <w:next w:val="8TfGMStandardDocumentText"/>
    <w:qFormat/>
    <w:rsid w:val="00016C24"/>
    <w:pPr>
      <w:spacing w:after="480"/>
      <w:jc w:val="both"/>
    </w:pPr>
    <w:rPr>
      <w:rFonts w:ascii="Calibri" w:eastAsiaTheme="majorEastAsia" w:hAnsi="Calibri" w:cstheme="majorBidi"/>
      <w:b/>
      <w:noProof/>
      <w:sz w:val="26"/>
      <w:szCs w:val="44"/>
      <w:lang w:eastAsia="en-US"/>
    </w:rPr>
  </w:style>
  <w:style w:type="paragraph" w:customStyle="1" w:styleId="pf0">
    <w:name w:val="pf0"/>
    <w:basedOn w:val="Normal"/>
    <w:rsid w:val="00BE35F9"/>
    <w:pPr>
      <w:spacing w:before="100" w:beforeAutospacing="1" w:after="100" w:afterAutospacing="1"/>
    </w:pPr>
    <w:rPr>
      <w:lang w:eastAsia="en-GB"/>
    </w:rPr>
  </w:style>
  <w:style w:type="character" w:customStyle="1" w:styleId="cf21">
    <w:name w:val="cf21"/>
    <w:basedOn w:val="DefaultParagraphFont"/>
    <w:rsid w:val="00BE35F9"/>
    <w:rPr>
      <w:rFonts w:ascii="Segoe UI" w:hAnsi="Segoe UI" w:cs="Segoe UI" w:hint="default"/>
      <w:color w:val="4472C4"/>
      <w:sz w:val="18"/>
      <w:szCs w:val="18"/>
    </w:rPr>
  </w:style>
  <w:style w:type="paragraph" w:customStyle="1" w:styleId="Heading2numbered">
    <w:name w:val="Heading 2 numbered"/>
    <w:basedOn w:val="Heading2"/>
    <w:qFormat/>
    <w:rsid w:val="00BE35F9"/>
    <w:pPr>
      <w:numPr>
        <w:numId w:val="76"/>
      </w:numPr>
      <w:spacing w:before="119" w:after="119" w:line="360" w:lineRule="auto"/>
    </w:pPr>
    <w:rPr>
      <w:rFonts w:cs="Times New Roman"/>
      <w:color w:val="262626" w:themeColor="text1" w:themeTint="D9"/>
      <w:sz w:val="32"/>
      <w:szCs w:val="24"/>
      <w:lang w:eastAsia="en-GB"/>
    </w:rPr>
  </w:style>
  <w:style w:type="paragraph" w:customStyle="1" w:styleId="Heading3Numbered">
    <w:name w:val="Heading 3 Numbered"/>
    <w:basedOn w:val="Heading3"/>
    <w:qFormat/>
    <w:rsid w:val="00BE35F9"/>
    <w:pPr>
      <w:numPr>
        <w:ilvl w:val="1"/>
        <w:numId w:val="76"/>
      </w:numPr>
      <w:spacing w:before="160" w:after="120" w:line="360" w:lineRule="auto"/>
    </w:pPr>
    <w:rPr>
      <w:rFonts w:eastAsiaTheme="majorEastAsia" w:cstheme="majorBidi"/>
      <w:bCs w:val="0"/>
      <w:color w:val="262626" w:themeColor="text1" w:themeTint="D9"/>
      <w:sz w:val="28"/>
      <w:szCs w:val="24"/>
      <w:lang w:eastAsia="en-GB"/>
    </w:rPr>
  </w:style>
  <w:style w:type="paragraph" w:customStyle="1" w:styleId="Heading4Numbered">
    <w:name w:val="Heading 4 Numbered"/>
    <w:basedOn w:val="Heading4"/>
    <w:qFormat/>
    <w:rsid w:val="00BE35F9"/>
    <w:pPr>
      <w:keepNext/>
      <w:keepLines/>
      <w:numPr>
        <w:ilvl w:val="2"/>
        <w:numId w:val="76"/>
      </w:numPr>
      <w:spacing w:before="40" w:after="0" w:line="360" w:lineRule="auto"/>
      <w:textAlignment w:val="auto"/>
    </w:pPr>
    <w:rPr>
      <w:rFonts w:eastAsiaTheme="majorEastAsia" w:cstheme="majorBidi"/>
      <w:b/>
      <w:i w:val="0"/>
      <w:color w:val="262626" w:themeColor="text1" w:themeTint="D9"/>
    </w:rPr>
  </w:style>
  <w:style w:type="paragraph" w:customStyle="1" w:styleId="NormalNumbered">
    <w:name w:val="Normal Numbered"/>
    <w:basedOn w:val="Normal"/>
    <w:qFormat/>
    <w:rsid w:val="00BE35F9"/>
    <w:pPr>
      <w:spacing w:before="119" w:after="119" w:line="360" w:lineRule="auto"/>
      <w:ind w:left="1224" w:hanging="504"/>
    </w:pPr>
    <w:rPr>
      <w:rFonts w:ascii="Arial" w:hAnsi="Arial"/>
      <w:color w:val="262626" w:themeColor="text1" w:themeTint="D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05">
      <w:bodyDiv w:val="1"/>
      <w:marLeft w:val="0"/>
      <w:marRight w:val="0"/>
      <w:marTop w:val="0"/>
      <w:marBottom w:val="0"/>
      <w:divBdr>
        <w:top w:val="none" w:sz="0" w:space="0" w:color="auto"/>
        <w:left w:val="none" w:sz="0" w:space="0" w:color="auto"/>
        <w:bottom w:val="none" w:sz="0" w:space="0" w:color="auto"/>
        <w:right w:val="none" w:sz="0" w:space="0" w:color="auto"/>
      </w:divBdr>
    </w:div>
    <w:div w:id="9457803">
      <w:bodyDiv w:val="1"/>
      <w:marLeft w:val="0"/>
      <w:marRight w:val="0"/>
      <w:marTop w:val="0"/>
      <w:marBottom w:val="0"/>
      <w:divBdr>
        <w:top w:val="none" w:sz="0" w:space="0" w:color="auto"/>
        <w:left w:val="none" w:sz="0" w:space="0" w:color="auto"/>
        <w:bottom w:val="none" w:sz="0" w:space="0" w:color="auto"/>
        <w:right w:val="none" w:sz="0" w:space="0" w:color="auto"/>
      </w:divBdr>
    </w:div>
    <w:div w:id="12731865">
      <w:bodyDiv w:val="1"/>
      <w:marLeft w:val="0"/>
      <w:marRight w:val="0"/>
      <w:marTop w:val="0"/>
      <w:marBottom w:val="0"/>
      <w:divBdr>
        <w:top w:val="none" w:sz="0" w:space="0" w:color="auto"/>
        <w:left w:val="none" w:sz="0" w:space="0" w:color="auto"/>
        <w:bottom w:val="none" w:sz="0" w:space="0" w:color="auto"/>
        <w:right w:val="none" w:sz="0" w:space="0" w:color="auto"/>
      </w:divBdr>
    </w:div>
    <w:div w:id="22439248">
      <w:bodyDiv w:val="1"/>
      <w:marLeft w:val="0"/>
      <w:marRight w:val="0"/>
      <w:marTop w:val="0"/>
      <w:marBottom w:val="0"/>
      <w:divBdr>
        <w:top w:val="none" w:sz="0" w:space="0" w:color="auto"/>
        <w:left w:val="none" w:sz="0" w:space="0" w:color="auto"/>
        <w:bottom w:val="none" w:sz="0" w:space="0" w:color="auto"/>
        <w:right w:val="none" w:sz="0" w:space="0" w:color="auto"/>
      </w:divBdr>
    </w:div>
    <w:div w:id="27947757">
      <w:bodyDiv w:val="1"/>
      <w:marLeft w:val="0"/>
      <w:marRight w:val="0"/>
      <w:marTop w:val="0"/>
      <w:marBottom w:val="0"/>
      <w:divBdr>
        <w:top w:val="none" w:sz="0" w:space="0" w:color="auto"/>
        <w:left w:val="none" w:sz="0" w:space="0" w:color="auto"/>
        <w:bottom w:val="none" w:sz="0" w:space="0" w:color="auto"/>
        <w:right w:val="none" w:sz="0" w:space="0" w:color="auto"/>
      </w:divBdr>
    </w:div>
    <w:div w:id="45840316">
      <w:bodyDiv w:val="1"/>
      <w:marLeft w:val="0"/>
      <w:marRight w:val="0"/>
      <w:marTop w:val="0"/>
      <w:marBottom w:val="0"/>
      <w:divBdr>
        <w:top w:val="none" w:sz="0" w:space="0" w:color="auto"/>
        <w:left w:val="none" w:sz="0" w:space="0" w:color="auto"/>
        <w:bottom w:val="none" w:sz="0" w:space="0" w:color="auto"/>
        <w:right w:val="none" w:sz="0" w:space="0" w:color="auto"/>
      </w:divBdr>
    </w:div>
    <w:div w:id="46077213">
      <w:bodyDiv w:val="1"/>
      <w:marLeft w:val="0"/>
      <w:marRight w:val="0"/>
      <w:marTop w:val="0"/>
      <w:marBottom w:val="0"/>
      <w:divBdr>
        <w:top w:val="none" w:sz="0" w:space="0" w:color="auto"/>
        <w:left w:val="none" w:sz="0" w:space="0" w:color="auto"/>
        <w:bottom w:val="none" w:sz="0" w:space="0" w:color="auto"/>
        <w:right w:val="none" w:sz="0" w:space="0" w:color="auto"/>
      </w:divBdr>
    </w:div>
    <w:div w:id="46606448">
      <w:bodyDiv w:val="1"/>
      <w:marLeft w:val="0"/>
      <w:marRight w:val="0"/>
      <w:marTop w:val="0"/>
      <w:marBottom w:val="0"/>
      <w:divBdr>
        <w:top w:val="none" w:sz="0" w:space="0" w:color="auto"/>
        <w:left w:val="none" w:sz="0" w:space="0" w:color="auto"/>
        <w:bottom w:val="none" w:sz="0" w:space="0" w:color="auto"/>
        <w:right w:val="none" w:sz="0" w:space="0" w:color="auto"/>
      </w:divBdr>
    </w:div>
    <w:div w:id="49155668">
      <w:bodyDiv w:val="1"/>
      <w:marLeft w:val="0"/>
      <w:marRight w:val="0"/>
      <w:marTop w:val="0"/>
      <w:marBottom w:val="0"/>
      <w:divBdr>
        <w:top w:val="none" w:sz="0" w:space="0" w:color="auto"/>
        <w:left w:val="none" w:sz="0" w:space="0" w:color="auto"/>
        <w:bottom w:val="none" w:sz="0" w:space="0" w:color="auto"/>
        <w:right w:val="none" w:sz="0" w:space="0" w:color="auto"/>
      </w:divBdr>
    </w:div>
    <w:div w:id="50077004">
      <w:bodyDiv w:val="1"/>
      <w:marLeft w:val="0"/>
      <w:marRight w:val="0"/>
      <w:marTop w:val="0"/>
      <w:marBottom w:val="0"/>
      <w:divBdr>
        <w:top w:val="none" w:sz="0" w:space="0" w:color="auto"/>
        <w:left w:val="none" w:sz="0" w:space="0" w:color="auto"/>
        <w:bottom w:val="none" w:sz="0" w:space="0" w:color="auto"/>
        <w:right w:val="none" w:sz="0" w:space="0" w:color="auto"/>
      </w:divBdr>
    </w:div>
    <w:div w:id="54672385">
      <w:bodyDiv w:val="1"/>
      <w:marLeft w:val="0"/>
      <w:marRight w:val="0"/>
      <w:marTop w:val="0"/>
      <w:marBottom w:val="0"/>
      <w:divBdr>
        <w:top w:val="none" w:sz="0" w:space="0" w:color="auto"/>
        <w:left w:val="none" w:sz="0" w:space="0" w:color="auto"/>
        <w:bottom w:val="none" w:sz="0" w:space="0" w:color="auto"/>
        <w:right w:val="none" w:sz="0" w:space="0" w:color="auto"/>
      </w:divBdr>
    </w:div>
    <w:div w:id="55708806">
      <w:bodyDiv w:val="1"/>
      <w:marLeft w:val="0"/>
      <w:marRight w:val="0"/>
      <w:marTop w:val="0"/>
      <w:marBottom w:val="0"/>
      <w:divBdr>
        <w:top w:val="none" w:sz="0" w:space="0" w:color="auto"/>
        <w:left w:val="none" w:sz="0" w:space="0" w:color="auto"/>
        <w:bottom w:val="none" w:sz="0" w:space="0" w:color="auto"/>
        <w:right w:val="none" w:sz="0" w:space="0" w:color="auto"/>
      </w:divBdr>
    </w:div>
    <w:div w:id="58328540">
      <w:bodyDiv w:val="1"/>
      <w:marLeft w:val="0"/>
      <w:marRight w:val="0"/>
      <w:marTop w:val="0"/>
      <w:marBottom w:val="0"/>
      <w:divBdr>
        <w:top w:val="none" w:sz="0" w:space="0" w:color="auto"/>
        <w:left w:val="none" w:sz="0" w:space="0" w:color="auto"/>
        <w:bottom w:val="none" w:sz="0" w:space="0" w:color="auto"/>
        <w:right w:val="none" w:sz="0" w:space="0" w:color="auto"/>
      </w:divBdr>
    </w:div>
    <w:div w:id="59450139">
      <w:bodyDiv w:val="1"/>
      <w:marLeft w:val="0"/>
      <w:marRight w:val="0"/>
      <w:marTop w:val="0"/>
      <w:marBottom w:val="0"/>
      <w:divBdr>
        <w:top w:val="none" w:sz="0" w:space="0" w:color="auto"/>
        <w:left w:val="none" w:sz="0" w:space="0" w:color="auto"/>
        <w:bottom w:val="none" w:sz="0" w:space="0" w:color="auto"/>
        <w:right w:val="none" w:sz="0" w:space="0" w:color="auto"/>
      </w:divBdr>
    </w:div>
    <w:div w:id="67963473">
      <w:bodyDiv w:val="1"/>
      <w:marLeft w:val="0"/>
      <w:marRight w:val="0"/>
      <w:marTop w:val="0"/>
      <w:marBottom w:val="0"/>
      <w:divBdr>
        <w:top w:val="none" w:sz="0" w:space="0" w:color="auto"/>
        <w:left w:val="none" w:sz="0" w:space="0" w:color="auto"/>
        <w:bottom w:val="none" w:sz="0" w:space="0" w:color="auto"/>
        <w:right w:val="none" w:sz="0" w:space="0" w:color="auto"/>
      </w:divBdr>
    </w:div>
    <w:div w:id="77412873">
      <w:bodyDiv w:val="1"/>
      <w:marLeft w:val="0"/>
      <w:marRight w:val="0"/>
      <w:marTop w:val="0"/>
      <w:marBottom w:val="0"/>
      <w:divBdr>
        <w:top w:val="none" w:sz="0" w:space="0" w:color="auto"/>
        <w:left w:val="none" w:sz="0" w:space="0" w:color="auto"/>
        <w:bottom w:val="none" w:sz="0" w:space="0" w:color="auto"/>
        <w:right w:val="none" w:sz="0" w:space="0" w:color="auto"/>
      </w:divBdr>
    </w:div>
    <w:div w:id="83965498">
      <w:bodyDiv w:val="1"/>
      <w:marLeft w:val="0"/>
      <w:marRight w:val="0"/>
      <w:marTop w:val="0"/>
      <w:marBottom w:val="0"/>
      <w:divBdr>
        <w:top w:val="none" w:sz="0" w:space="0" w:color="auto"/>
        <w:left w:val="none" w:sz="0" w:space="0" w:color="auto"/>
        <w:bottom w:val="none" w:sz="0" w:space="0" w:color="auto"/>
        <w:right w:val="none" w:sz="0" w:space="0" w:color="auto"/>
      </w:divBdr>
    </w:div>
    <w:div w:id="85464565">
      <w:bodyDiv w:val="1"/>
      <w:marLeft w:val="0"/>
      <w:marRight w:val="0"/>
      <w:marTop w:val="0"/>
      <w:marBottom w:val="0"/>
      <w:divBdr>
        <w:top w:val="none" w:sz="0" w:space="0" w:color="auto"/>
        <w:left w:val="none" w:sz="0" w:space="0" w:color="auto"/>
        <w:bottom w:val="none" w:sz="0" w:space="0" w:color="auto"/>
        <w:right w:val="none" w:sz="0" w:space="0" w:color="auto"/>
      </w:divBdr>
    </w:div>
    <w:div w:id="93090303">
      <w:bodyDiv w:val="1"/>
      <w:marLeft w:val="0"/>
      <w:marRight w:val="0"/>
      <w:marTop w:val="0"/>
      <w:marBottom w:val="0"/>
      <w:divBdr>
        <w:top w:val="none" w:sz="0" w:space="0" w:color="auto"/>
        <w:left w:val="none" w:sz="0" w:space="0" w:color="auto"/>
        <w:bottom w:val="none" w:sz="0" w:space="0" w:color="auto"/>
        <w:right w:val="none" w:sz="0" w:space="0" w:color="auto"/>
      </w:divBdr>
    </w:div>
    <w:div w:id="95711823">
      <w:bodyDiv w:val="1"/>
      <w:marLeft w:val="0"/>
      <w:marRight w:val="0"/>
      <w:marTop w:val="0"/>
      <w:marBottom w:val="0"/>
      <w:divBdr>
        <w:top w:val="none" w:sz="0" w:space="0" w:color="auto"/>
        <w:left w:val="none" w:sz="0" w:space="0" w:color="auto"/>
        <w:bottom w:val="none" w:sz="0" w:space="0" w:color="auto"/>
        <w:right w:val="none" w:sz="0" w:space="0" w:color="auto"/>
      </w:divBdr>
    </w:div>
    <w:div w:id="97606444">
      <w:bodyDiv w:val="1"/>
      <w:marLeft w:val="0"/>
      <w:marRight w:val="0"/>
      <w:marTop w:val="0"/>
      <w:marBottom w:val="0"/>
      <w:divBdr>
        <w:top w:val="none" w:sz="0" w:space="0" w:color="auto"/>
        <w:left w:val="none" w:sz="0" w:space="0" w:color="auto"/>
        <w:bottom w:val="none" w:sz="0" w:space="0" w:color="auto"/>
        <w:right w:val="none" w:sz="0" w:space="0" w:color="auto"/>
      </w:divBdr>
    </w:div>
    <w:div w:id="97801244">
      <w:bodyDiv w:val="1"/>
      <w:marLeft w:val="0"/>
      <w:marRight w:val="0"/>
      <w:marTop w:val="0"/>
      <w:marBottom w:val="0"/>
      <w:divBdr>
        <w:top w:val="none" w:sz="0" w:space="0" w:color="auto"/>
        <w:left w:val="none" w:sz="0" w:space="0" w:color="auto"/>
        <w:bottom w:val="none" w:sz="0" w:space="0" w:color="auto"/>
        <w:right w:val="none" w:sz="0" w:space="0" w:color="auto"/>
      </w:divBdr>
    </w:div>
    <w:div w:id="98110162">
      <w:bodyDiv w:val="1"/>
      <w:marLeft w:val="0"/>
      <w:marRight w:val="0"/>
      <w:marTop w:val="0"/>
      <w:marBottom w:val="0"/>
      <w:divBdr>
        <w:top w:val="none" w:sz="0" w:space="0" w:color="auto"/>
        <w:left w:val="none" w:sz="0" w:space="0" w:color="auto"/>
        <w:bottom w:val="none" w:sz="0" w:space="0" w:color="auto"/>
        <w:right w:val="none" w:sz="0" w:space="0" w:color="auto"/>
      </w:divBdr>
    </w:div>
    <w:div w:id="105278682">
      <w:bodyDiv w:val="1"/>
      <w:marLeft w:val="0"/>
      <w:marRight w:val="0"/>
      <w:marTop w:val="0"/>
      <w:marBottom w:val="0"/>
      <w:divBdr>
        <w:top w:val="none" w:sz="0" w:space="0" w:color="auto"/>
        <w:left w:val="none" w:sz="0" w:space="0" w:color="auto"/>
        <w:bottom w:val="none" w:sz="0" w:space="0" w:color="auto"/>
        <w:right w:val="none" w:sz="0" w:space="0" w:color="auto"/>
      </w:divBdr>
    </w:div>
    <w:div w:id="107819659">
      <w:bodyDiv w:val="1"/>
      <w:marLeft w:val="0"/>
      <w:marRight w:val="0"/>
      <w:marTop w:val="0"/>
      <w:marBottom w:val="0"/>
      <w:divBdr>
        <w:top w:val="none" w:sz="0" w:space="0" w:color="auto"/>
        <w:left w:val="none" w:sz="0" w:space="0" w:color="auto"/>
        <w:bottom w:val="none" w:sz="0" w:space="0" w:color="auto"/>
        <w:right w:val="none" w:sz="0" w:space="0" w:color="auto"/>
      </w:divBdr>
    </w:div>
    <w:div w:id="116992476">
      <w:bodyDiv w:val="1"/>
      <w:marLeft w:val="0"/>
      <w:marRight w:val="0"/>
      <w:marTop w:val="0"/>
      <w:marBottom w:val="0"/>
      <w:divBdr>
        <w:top w:val="none" w:sz="0" w:space="0" w:color="auto"/>
        <w:left w:val="none" w:sz="0" w:space="0" w:color="auto"/>
        <w:bottom w:val="none" w:sz="0" w:space="0" w:color="auto"/>
        <w:right w:val="none" w:sz="0" w:space="0" w:color="auto"/>
      </w:divBdr>
    </w:div>
    <w:div w:id="124008782">
      <w:bodyDiv w:val="1"/>
      <w:marLeft w:val="0"/>
      <w:marRight w:val="0"/>
      <w:marTop w:val="0"/>
      <w:marBottom w:val="0"/>
      <w:divBdr>
        <w:top w:val="none" w:sz="0" w:space="0" w:color="auto"/>
        <w:left w:val="none" w:sz="0" w:space="0" w:color="auto"/>
        <w:bottom w:val="none" w:sz="0" w:space="0" w:color="auto"/>
        <w:right w:val="none" w:sz="0" w:space="0" w:color="auto"/>
      </w:divBdr>
    </w:div>
    <w:div w:id="128322845">
      <w:bodyDiv w:val="1"/>
      <w:marLeft w:val="0"/>
      <w:marRight w:val="0"/>
      <w:marTop w:val="0"/>
      <w:marBottom w:val="0"/>
      <w:divBdr>
        <w:top w:val="none" w:sz="0" w:space="0" w:color="auto"/>
        <w:left w:val="none" w:sz="0" w:space="0" w:color="auto"/>
        <w:bottom w:val="none" w:sz="0" w:space="0" w:color="auto"/>
        <w:right w:val="none" w:sz="0" w:space="0" w:color="auto"/>
      </w:divBdr>
    </w:div>
    <w:div w:id="131871734">
      <w:bodyDiv w:val="1"/>
      <w:marLeft w:val="0"/>
      <w:marRight w:val="0"/>
      <w:marTop w:val="0"/>
      <w:marBottom w:val="0"/>
      <w:divBdr>
        <w:top w:val="none" w:sz="0" w:space="0" w:color="auto"/>
        <w:left w:val="none" w:sz="0" w:space="0" w:color="auto"/>
        <w:bottom w:val="none" w:sz="0" w:space="0" w:color="auto"/>
        <w:right w:val="none" w:sz="0" w:space="0" w:color="auto"/>
      </w:divBdr>
    </w:div>
    <w:div w:id="138378769">
      <w:bodyDiv w:val="1"/>
      <w:marLeft w:val="0"/>
      <w:marRight w:val="0"/>
      <w:marTop w:val="0"/>
      <w:marBottom w:val="0"/>
      <w:divBdr>
        <w:top w:val="none" w:sz="0" w:space="0" w:color="auto"/>
        <w:left w:val="none" w:sz="0" w:space="0" w:color="auto"/>
        <w:bottom w:val="none" w:sz="0" w:space="0" w:color="auto"/>
        <w:right w:val="none" w:sz="0" w:space="0" w:color="auto"/>
      </w:divBdr>
    </w:div>
    <w:div w:id="153491245">
      <w:bodyDiv w:val="1"/>
      <w:marLeft w:val="0"/>
      <w:marRight w:val="0"/>
      <w:marTop w:val="0"/>
      <w:marBottom w:val="0"/>
      <w:divBdr>
        <w:top w:val="none" w:sz="0" w:space="0" w:color="auto"/>
        <w:left w:val="none" w:sz="0" w:space="0" w:color="auto"/>
        <w:bottom w:val="none" w:sz="0" w:space="0" w:color="auto"/>
        <w:right w:val="none" w:sz="0" w:space="0" w:color="auto"/>
      </w:divBdr>
    </w:div>
    <w:div w:id="157815081">
      <w:bodyDiv w:val="1"/>
      <w:marLeft w:val="0"/>
      <w:marRight w:val="0"/>
      <w:marTop w:val="0"/>
      <w:marBottom w:val="0"/>
      <w:divBdr>
        <w:top w:val="none" w:sz="0" w:space="0" w:color="auto"/>
        <w:left w:val="none" w:sz="0" w:space="0" w:color="auto"/>
        <w:bottom w:val="none" w:sz="0" w:space="0" w:color="auto"/>
        <w:right w:val="none" w:sz="0" w:space="0" w:color="auto"/>
      </w:divBdr>
    </w:div>
    <w:div w:id="162475298">
      <w:bodyDiv w:val="1"/>
      <w:marLeft w:val="0"/>
      <w:marRight w:val="0"/>
      <w:marTop w:val="0"/>
      <w:marBottom w:val="0"/>
      <w:divBdr>
        <w:top w:val="none" w:sz="0" w:space="0" w:color="auto"/>
        <w:left w:val="none" w:sz="0" w:space="0" w:color="auto"/>
        <w:bottom w:val="none" w:sz="0" w:space="0" w:color="auto"/>
        <w:right w:val="none" w:sz="0" w:space="0" w:color="auto"/>
      </w:divBdr>
    </w:div>
    <w:div w:id="169106884">
      <w:bodyDiv w:val="1"/>
      <w:marLeft w:val="0"/>
      <w:marRight w:val="0"/>
      <w:marTop w:val="0"/>
      <w:marBottom w:val="0"/>
      <w:divBdr>
        <w:top w:val="none" w:sz="0" w:space="0" w:color="auto"/>
        <w:left w:val="none" w:sz="0" w:space="0" w:color="auto"/>
        <w:bottom w:val="none" w:sz="0" w:space="0" w:color="auto"/>
        <w:right w:val="none" w:sz="0" w:space="0" w:color="auto"/>
      </w:divBdr>
    </w:div>
    <w:div w:id="169218632">
      <w:bodyDiv w:val="1"/>
      <w:marLeft w:val="0"/>
      <w:marRight w:val="0"/>
      <w:marTop w:val="0"/>
      <w:marBottom w:val="0"/>
      <w:divBdr>
        <w:top w:val="none" w:sz="0" w:space="0" w:color="auto"/>
        <w:left w:val="none" w:sz="0" w:space="0" w:color="auto"/>
        <w:bottom w:val="none" w:sz="0" w:space="0" w:color="auto"/>
        <w:right w:val="none" w:sz="0" w:space="0" w:color="auto"/>
      </w:divBdr>
    </w:div>
    <w:div w:id="177088709">
      <w:bodyDiv w:val="1"/>
      <w:marLeft w:val="0"/>
      <w:marRight w:val="0"/>
      <w:marTop w:val="0"/>
      <w:marBottom w:val="0"/>
      <w:divBdr>
        <w:top w:val="none" w:sz="0" w:space="0" w:color="auto"/>
        <w:left w:val="none" w:sz="0" w:space="0" w:color="auto"/>
        <w:bottom w:val="none" w:sz="0" w:space="0" w:color="auto"/>
        <w:right w:val="none" w:sz="0" w:space="0" w:color="auto"/>
      </w:divBdr>
    </w:div>
    <w:div w:id="177738542">
      <w:bodyDiv w:val="1"/>
      <w:marLeft w:val="0"/>
      <w:marRight w:val="0"/>
      <w:marTop w:val="0"/>
      <w:marBottom w:val="0"/>
      <w:divBdr>
        <w:top w:val="none" w:sz="0" w:space="0" w:color="auto"/>
        <w:left w:val="none" w:sz="0" w:space="0" w:color="auto"/>
        <w:bottom w:val="none" w:sz="0" w:space="0" w:color="auto"/>
        <w:right w:val="none" w:sz="0" w:space="0" w:color="auto"/>
      </w:divBdr>
    </w:div>
    <w:div w:id="186986003">
      <w:bodyDiv w:val="1"/>
      <w:marLeft w:val="0"/>
      <w:marRight w:val="0"/>
      <w:marTop w:val="0"/>
      <w:marBottom w:val="0"/>
      <w:divBdr>
        <w:top w:val="none" w:sz="0" w:space="0" w:color="auto"/>
        <w:left w:val="none" w:sz="0" w:space="0" w:color="auto"/>
        <w:bottom w:val="none" w:sz="0" w:space="0" w:color="auto"/>
        <w:right w:val="none" w:sz="0" w:space="0" w:color="auto"/>
      </w:divBdr>
    </w:div>
    <w:div w:id="187569440">
      <w:bodyDiv w:val="1"/>
      <w:marLeft w:val="0"/>
      <w:marRight w:val="0"/>
      <w:marTop w:val="0"/>
      <w:marBottom w:val="0"/>
      <w:divBdr>
        <w:top w:val="none" w:sz="0" w:space="0" w:color="auto"/>
        <w:left w:val="none" w:sz="0" w:space="0" w:color="auto"/>
        <w:bottom w:val="none" w:sz="0" w:space="0" w:color="auto"/>
        <w:right w:val="none" w:sz="0" w:space="0" w:color="auto"/>
      </w:divBdr>
    </w:div>
    <w:div w:id="193463822">
      <w:bodyDiv w:val="1"/>
      <w:marLeft w:val="0"/>
      <w:marRight w:val="0"/>
      <w:marTop w:val="0"/>
      <w:marBottom w:val="0"/>
      <w:divBdr>
        <w:top w:val="none" w:sz="0" w:space="0" w:color="auto"/>
        <w:left w:val="none" w:sz="0" w:space="0" w:color="auto"/>
        <w:bottom w:val="none" w:sz="0" w:space="0" w:color="auto"/>
        <w:right w:val="none" w:sz="0" w:space="0" w:color="auto"/>
      </w:divBdr>
    </w:div>
    <w:div w:id="204224156">
      <w:bodyDiv w:val="1"/>
      <w:marLeft w:val="0"/>
      <w:marRight w:val="0"/>
      <w:marTop w:val="0"/>
      <w:marBottom w:val="0"/>
      <w:divBdr>
        <w:top w:val="none" w:sz="0" w:space="0" w:color="auto"/>
        <w:left w:val="none" w:sz="0" w:space="0" w:color="auto"/>
        <w:bottom w:val="none" w:sz="0" w:space="0" w:color="auto"/>
        <w:right w:val="none" w:sz="0" w:space="0" w:color="auto"/>
      </w:divBdr>
    </w:div>
    <w:div w:id="206333564">
      <w:bodyDiv w:val="1"/>
      <w:marLeft w:val="0"/>
      <w:marRight w:val="0"/>
      <w:marTop w:val="0"/>
      <w:marBottom w:val="0"/>
      <w:divBdr>
        <w:top w:val="none" w:sz="0" w:space="0" w:color="auto"/>
        <w:left w:val="none" w:sz="0" w:space="0" w:color="auto"/>
        <w:bottom w:val="none" w:sz="0" w:space="0" w:color="auto"/>
        <w:right w:val="none" w:sz="0" w:space="0" w:color="auto"/>
      </w:divBdr>
    </w:div>
    <w:div w:id="208035555">
      <w:bodyDiv w:val="1"/>
      <w:marLeft w:val="0"/>
      <w:marRight w:val="0"/>
      <w:marTop w:val="0"/>
      <w:marBottom w:val="0"/>
      <w:divBdr>
        <w:top w:val="none" w:sz="0" w:space="0" w:color="auto"/>
        <w:left w:val="none" w:sz="0" w:space="0" w:color="auto"/>
        <w:bottom w:val="none" w:sz="0" w:space="0" w:color="auto"/>
        <w:right w:val="none" w:sz="0" w:space="0" w:color="auto"/>
      </w:divBdr>
    </w:div>
    <w:div w:id="216353844">
      <w:bodyDiv w:val="1"/>
      <w:marLeft w:val="0"/>
      <w:marRight w:val="0"/>
      <w:marTop w:val="0"/>
      <w:marBottom w:val="0"/>
      <w:divBdr>
        <w:top w:val="none" w:sz="0" w:space="0" w:color="auto"/>
        <w:left w:val="none" w:sz="0" w:space="0" w:color="auto"/>
        <w:bottom w:val="none" w:sz="0" w:space="0" w:color="auto"/>
        <w:right w:val="none" w:sz="0" w:space="0" w:color="auto"/>
      </w:divBdr>
    </w:div>
    <w:div w:id="218831285">
      <w:bodyDiv w:val="1"/>
      <w:marLeft w:val="0"/>
      <w:marRight w:val="0"/>
      <w:marTop w:val="0"/>
      <w:marBottom w:val="0"/>
      <w:divBdr>
        <w:top w:val="none" w:sz="0" w:space="0" w:color="auto"/>
        <w:left w:val="none" w:sz="0" w:space="0" w:color="auto"/>
        <w:bottom w:val="none" w:sz="0" w:space="0" w:color="auto"/>
        <w:right w:val="none" w:sz="0" w:space="0" w:color="auto"/>
      </w:divBdr>
    </w:div>
    <w:div w:id="221644206">
      <w:bodyDiv w:val="1"/>
      <w:marLeft w:val="0"/>
      <w:marRight w:val="0"/>
      <w:marTop w:val="0"/>
      <w:marBottom w:val="0"/>
      <w:divBdr>
        <w:top w:val="none" w:sz="0" w:space="0" w:color="auto"/>
        <w:left w:val="none" w:sz="0" w:space="0" w:color="auto"/>
        <w:bottom w:val="none" w:sz="0" w:space="0" w:color="auto"/>
        <w:right w:val="none" w:sz="0" w:space="0" w:color="auto"/>
      </w:divBdr>
    </w:div>
    <w:div w:id="224071447">
      <w:bodyDiv w:val="1"/>
      <w:marLeft w:val="0"/>
      <w:marRight w:val="0"/>
      <w:marTop w:val="0"/>
      <w:marBottom w:val="0"/>
      <w:divBdr>
        <w:top w:val="none" w:sz="0" w:space="0" w:color="auto"/>
        <w:left w:val="none" w:sz="0" w:space="0" w:color="auto"/>
        <w:bottom w:val="none" w:sz="0" w:space="0" w:color="auto"/>
        <w:right w:val="none" w:sz="0" w:space="0" w:color="auto"/>
      </w:divBdr>
    </w:div>
    <w:div w:id="226696632">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
    <w:div w:id="236330564">
      <w:bodyDiv w:val="1"/>
      <w:marLeft w:val="0"/>
      <w:marRight w:val="0"/>
      <w:marTop w:val="0"/>
      <w:marBottom w:val="0"/>
      <w:divBdr>
        <w:top w:val="none" w:sz="0" w:space="0" w:color="auto"/>
        <w:left w:val="none" w:sz="0" w:space="0" w:color="auto"/>
        <w:bottom w:val="none" w:sz="0" w:space="0" w:color="auto"/>
        <w:right w:val="none" w:sz="0" w:space="0" w:color="auto"/>
      </w:divBdr>
    </w:div>
    <w:div w:id="236595673">
      <w:bodyDiv w:val="1"/>
      <w:marLeft w:val="0"/>
      <w:marRight w:val="0"/>
      <w:marTop w:val="0"/>
      <w:marBottom w:val="0"/>
      <w:divBdr>
        <w:top w:val="none" w:sz="0" w:space="0" w:color="auto"/>
        <w:left w:val="none" w:sz="0" w:space="0" w:color="auto"/>
        <w:bottom w:val="none" w:sz="0" w:space="0" w:color="auto"/>
        <w:right w:val="none" w:sz="0" w:space="0" w:color="auto"/>
      </w:divBdr>
    </w:div>
    <w:div w:id="241256283">
      <w:bodyDiv w:val="1"/>
      <w:marLeft w:val="0"/>
      <w:marRight w:val="0"/>
      <w:marTop w:val="0"/>
      <w:marBottom w:val="0"/>
      <w:divBdr>
        <w:top w:val="none" w:sz="0" w:space="0" w:color="auto"/>
        <w:left w:val="none" w:sz="0" w:space="0" w:color="auto"/>
        <w:bottom w:val="none" w:sz="0" w:space="0" w:color="auto"/>
        <w:right w:val="none" w:sz="0" w:space="0" w:color="auto"/>
      </w:divBdr>
    </w:div>
    <w:div w:id="249235924">
      <w:bodyDiv w:val="1"/>
      <w:marLeft w:val="0"/>
      <w:marRight w:val="0"/>
      <w:marTop w:val="0"/>
      <w:marBottom w:val="0"/>
      <w:divBdr>
        <w:top w:val="none" w:sz="0" w:space="0" w:color="auto"/>
        <w:left w:val="none" w:sz="0" w:space="0" w:color="auto"/>
        <w:bottom w:val="none" w:sz="0" w:space="0" w:color="auto"/>
        <w:right w:val="none" w:sz="0" w:space="0" w:color="auto"/>
      </w:divBdr>
    </w:div>
    <w:div w:id="262037631">
      <w:bodyDiv w:val="1"/>
      <w:marLeft w:val="0"/>
      <w:marRight w:val="0"/>
      <w:marTop w:val="0"/>
      <w:marBottom w:val="0"/>
      <w:divBdr>
        <w:top w:val="none" w:sz="0" w:space="0" w:color="auto"/>
        <w:left w:val="none" w:sz="0" w:space="0" w:color="auto"/>
        <w:bottom w:val="none" w:sz="0" w:space="0" w:color="auto"/>
        <w:right w:val="none" w:sz="0" w:space="0" w:color="auto"/>
      </w:divBdr>
    </w:div>
    <w:div w:id="279341787">
      <w:bodyDiv w:val="1"/>
      <w:marLeft w:val="0"/>
      <w:marRight w:val="0"/>
      <w:marTop w:val="0"/>
      <w:marBottom w:val="0"/>
      <w:divBdr>
        <w:top w:val="none" w:sz="0" w:space="0" w:color="auto"/>
        <w:left w:val="none" w:sz="0" w:space="0" w:color="auto"/>
        <w:bottom w:val="none" w:sz="0" w:space="0" w:color="auto"/>
        <w:right w:val="none" w:sz="0" w:space="0" w:color="auto"/>
      </w:divBdr>
    </w:div>
    <w:div w:id="281886764">
      <w:bodyDiv w:val="1"/>
      <w:marLeft w:val="0"/>
      <w:marRight w:val="0"/>
      <w:marTop w:val="0"/>
      <w:marBottom w:val="0"/>
      <w:divBdr>
        <w:top w:val="none" w:sz="0" w:space="0" w:color="auto"/>
        <w:left w:val="none" w:sz="0" w:space="0" w:color="auto"/>
        <w:bottom w:val="none" w:sz="0" w:space="0" w:color="auto"/>
        <w:right w:val="none" w:sz="0" w:space="0" w:color="auto"/>
      </w:divBdr>
    </w:div>
    <w:div w:id="282540525">
      <w:bodyDiv w:val="1"/>
      <w:marLeft w:val="0"/>
      <w:marRight w:val="0"/>
      <w:marTop w:val="0"/>
      <w:marBottom w:val="0"/>
      <w:divBdr>
        <w:top w:val="none" w:sz="0" w:space="0" w:color="auto"/>
        <w:left w:val="none" w:sz="0" w:space="0" w:color="auto"/>
        <w:bottom w:val="none" w:sz="0" w:space="0" w:color="auto"/>
        <w:right w:val="none" w:sz="0" w:space="0" w:color="auto"/>
      </w:divBdr>
    </w:div>
    <w:div w:id="285357749">
      <w:bodyDiv w:val="1"/>
      <w:marLeft w:val="0"/>
      <w:marRight w:val="0"/>
      <w:marTop w:val="0"/>
      <w:marBottom w:val="0"/>
      <w:divBdr>
        <w:top w:val="none" w:sz="0" w:space="0" w:color="auto"/>
        <w:left w:val="none" w:sz="0" w:space="0" w:color="auto"/>
        <w:bottom w:val="none" w:sz="0" w:space="0" w:color="auto"/>
        <w:right w:val="none" w:sz="0" w:space="0" w:color="auto"/>
      </w:divBdr>
    </w:div>
    <w:div w:id="286543737">
      <w:bodyDiv w:val="1"/>
      <w:marLeft w:val="0"/>
      <w:marRight w:val="0"/>
      <w:marTop w:val="0"/>
      <w:marBottom w:val="0"/>
      <w:divBdr>
        <w:top w:val="none" w:sz="0" w:space="0" w:color="auto"/>
        <w:left w:val="none" w:sz="0" w:space="0" w:color="auto"/>
        <w:bottom w:val="none" w:sz="0" w:space="0" w:color="auto"/>
        <w:right w:val="none" w:sz="0" w:space="0" w:color="auto"/>
      </w:divBdr>
    </w:div>
    <w:div w:id="305360628">
      <w:bodyDiv w:val="1"/>
      <w:marLeft w:val="0"/>
      <w:marRight w:val="0"/>
      <w:marTop w:val="0"/>
      <w:marBottom w:val="0"/>
      <w:divBdr>
        <w:top w:val="none" w:sz="0" w:space="0" w:color="auto"/>
        <w:left w:val="none" w:sz="0" w:space="0" w:color="auto"/>
        <w:bottom w:val="none" w:sz="0" w:space="0" w:color="auto"/>
        <w:right w:val="none" w:sz="0" w:space="0" w:color="auto"/>
      </w:divBdr>
    </w:div>
    <w:div w:id="308360399">
      <w:bodyDiv w:val="1"/>
      <w:marLeft w:val="0"/>
      <w:marRight w:val="0"/>
      <w:marTop w:val="0"/>
      <w:marBottom w:val="0"/>
      <w:divBdr>
        <w:top w:val="none" w:sz="0" w:space="0" w:color="auto"/>
        <w:left w:val="none" w:sz="0" w:space="0" w:color="auto"/>
        <w:bottom w:val="none" w:sz="0" w:space="0" w:color="auto"/>
        <w:right w:val="none" w:sz="0" w:space="0" w:color="auto"/>
      </w:divBdr>
    </w:div>
    <w:div w:id="308443618">
      <w:bodyDiv w:val="1"/>
      <w:marLeft w:val="0"/>
      <w:marRight w:val="0"/>
      <w:marTop w:val="0"/>
      <w:marBottom w:val="0"/>
      <w:divBdr>
        <w:top w:val="none" w:sz="0" w:space="0" w:color="auto"/>
        <w:left w:val="none" w:sz="0" w:space="0" w:color="auto"/>
        <w:bottom w:val="none" w:sz="0" w:space="0" w:color="auto"/>
        <w:right w:val="none" w:sz="0" w:space="0" w:color="auto"/>
      </w:divBdr>
    </w:div>
    <w:div w:id="313098096">
      <w:bodyDiv w:val="1"/>
      <w:marLeft w:val="0"/>
      <w:marRight w:val="0"/>
      <w:marTop w:val="0"/>
      <w:marBottom w:val="0"/>
      <w:divBdr>
        <w:top w:val="none" w:sz="0" w:space="0" w:color="auto"/>
        <w:left w:val="none" w:sz="0" w:space="0" w:color="auto"/>
        <w:bottom w:val="none" w:sz="0" w:space="0" w:color="auto"/>
        <w:right w:val="none" w:sz="0" w:space="0" w:color="auto"/>
      </w:divBdr>
    </w:div>
    <w:div w:id="318264746">
      <w:bodyDiv w:val="1"/>
      <w:marLeft w:val="0"/>
      <w:marRight w:val="0"/>
      <w:marTop w:val="0"/>
      <w:marBottom w:val="0"/>
      <w:divBdr>
        <w:top w:val="none" w:sz="0" w:space="0" w:color="auto"/>
        <w:left w:val="none" w:sz="0" w:space="0" w:color="auto"/>
        <w:bottom w:val="none" w:sz="0" w:space="0" w:color="auto"/>
        <w:right w:val="none" w:sz="0" w:space="0" w:color="auto"/>
      </w:divBdr>
    </w:div>
    <w:div w:id="333840587">
      <w:bodyDiv w:val="1"/>
      <w:marLeft w:val="0"/>
      <w:marRight w:val="0"/>
      <w:marTop w:val="0"/>
      <w:marBottom w:val="0"/>
      <w:divBdr>
        <w:top w:val="none" w:sz="0" w:space="0" w:color="auto"/>
        <w:left w:val="none" w:sz="0" w:space="0" w:color="auto"/>
        <w:bottom w:val="none" w:sz="0" w:space="0" w:color="auto"/>
        <w:right w:val="none" w:sz="0" w:space="0" w:color="auto"/>
      </w:divBdr>
    </w:div>
    <w:div w:id="339770670">
      <w:bodyDiv w:val="1"/>
      <w:marLeft w:val="0"/>
      <w:marRight w:val="0"/>
      <w:marTop w:val="0"/>
      <w:marBottom w:val="0"/>
      <w:divBdr>
        <w:top w:val="none" w:sz="0" w:space="0" w:color="auto"/>
        <w:left w:val="none" w:sz="0" w:space="0" w:color="auto"/>
        <w:bottom w:val="none" w:sz="0" w:space="0" w:color="auto"/>
        <w:right w:val="none" w:sz="0" w:space="0" w:color="auto"/>
      </w:divBdr>
    </w:div>
    <w:div w:id="341472564">
      <w:bodyDiv w:val="1"/>
      <w:marLeft w:val="0"/>
      <w:marRight w:val="0"/>
      <w:marTop w:val="0"/>
      <w:marBottom w:val="0"/>
      <w:divBdr>
        <w:top w:val="none" w:sz="0" w:space="0" w:color="auto"/>
        <w:left w:val="none" w:sz="0" w:space="0" w:color="auto"/>
        <w:bottom w:val="none" w:sz="0" w:space="0" w:color="auto"/>
        <w:right w:val="none" w:sz="0" w:space="0" w:color="auto"/>
      </w:divBdr>
    </w:div>
    <w:div w:id="343093411">
      <w:bodyDiv w:val="1"/>
      <w:marLeft w:val="0"/>
      <w:marRight w:val="0"/>
      <w:marTop w:val="0"/>
      <w:marBottom w:val="0"/>
      <w:divBdr>
        <w:top w:val="none" w:sz="0" w:space="0" w:color="auto"/>
        <w:left w:val="none" w:sz="0" w:space="0" w:color="auto"/>
        <w:bottom w:val="none" w:sz="0" w:space="0" w:color="auto"/>
        <w:right w:val="none" w:sz="0" w:space="0" w:color="auto"/>
      </w:divBdr>
    </w:div>
    <w:div w:id="343753315">
      <w:bodyDiv w:val="1"/>
      <w:marLeft w:val="0"/>
      <w:marRight w:val="0"/>
      <w:marTop w:val="0"/>
      <w:marBottom w:val="0"/>
      <w:divBdr>
        <w:top w:val="none" w:sz="0" w:space="0" w:color="auto"/>
        <w:left w:val="none" w:sz="0" w:space="0" w:color="auto"/>
        <w:bottom w:val="none" w:sz="0" w:space="0" w:color="auto"/>
        <w:right w:val="none" w:sz="0" w:space="0" w:color="auto"/>
      </w:divBdr>
    </w:div>
    <w:div w:id="345136536">
      <w:bodyDiv w:val="1"/>
      <w:marLeft w:val="0"/>
      <w:marRight w:val="0"/>
      <w:marTop w:val="0"/>
      <w:marBottom w:val="0"/>
      <w:divBdr>
        <w:top w:val="none" w:sz="0" w:space="0" w:color="auto"/>
        <w:left w:val="none" w:sz="0" w:space="0" w:color="auto"/>
        <w:bottom w:val="none" w:sz="0" w:space="0" w:color="auto"/>
        <w:right w:val="none" w:sz="0" w:space="0" w:color="auto"/>
      </w:divBdr>
    </w:div>
    <w:div w:id="347372349">
      <w:bodyDiv w:val="1"/>
      <w:marLeft w:val="0"/>
      <w:marRight w:val="0"/>
      <w:marTop w:val="0"/>
      <w:marBottom w:val="0"/>
      <w:divBdr>
        <w:top w:val="none" w:sz="0" w:space="0" w:color="auto"/>
        <w:left w:val="none" w:sz="0" w:space="0" w:color="auto"/>
        <w:bottom w:val="none" w:sz="0" w:space="0" w:color="auto"/>
        <w:right w:val="none" w:sz="0" w:space="0" w:color="auto"/>
      </w:divBdr>
    </w:div>
    <w:div w:id="348994503">
      <w:bodyDiv w:val="1"/>
      <w:marLeft w:val="0"/>
      <w:marRight w:val="0"/>
      <w:marTop w:val="0"/>
      <w:marBottom w:val="0"/>
      <w:divBdr>
        <w:top w:val="none" w:sz="0" w:space="0" w:color="auto"/>
        <w:left w:val="none" w:sz="0" w:space="0" w:color="auto"/>
        <w:bottom w:val="none" w:sz="0" w:space="0" w:color="auto"/>
        <w:right w:val="none" w:sz="0" w:space="0" w:color="auto"/>
      </w:divBdr>
    </w:div>
    <w:div w:id="351734925">
      <w:bodyDiv w:val="1"/>
      <w:marLeft w:val="0"/>
      <w:marRight w:val="0"/>
      <w:marTop w:val="0"/>
      <w:marBottom w:val="0"/>
      <w:divBdr>
        <w:top w:val="none" w:sz="0" w:space="0" w:color="auto"/>
        <w:left w:val="none" w:sz="0" w:space="0" w:color="auto"/>
        <w:bottom w:val="none" w:sz="0" w:space="0" w:color="auto"/>
        <w:right w:val="none" w:sz="0" w:space="0" w:color="auto"/>
      </w:divBdr>
    </w:div>
    <w:div w:id="355692545">
      <w:bodyDiv w:val="1"/>
      <w:marLeft w:val="0"/>
      <w:marRight w:val="0"/>
      <w:marTop w:val="0"/>
      <w:marBottom w:val="0"/>
      <w:divBdr>
        <w:top w:val="none" w:sz="0" w:space="0" w:color="auto"/>
        <w:left w:val="none" w:sz="0" w:space="0" w:color="auto"/>
        <w:bottom w:val="none" w:sz="0" w:space="0" w:color="auto"/>
        <w:right w:val="none" w:sz="0" w:space="0" w:color="auto"/>
      </w:divBdr>
    </w:div>
    <w:div w:id="357244249">
      <w:bodyDiv w:val="1"/>
      <w:marLeft w:val="0"/>
      <w:marRight w:val="0"/>
      <w:marTop w:val="0"/>
      <w:marBottom w:val="0"/>
      <w:divBdr>
        <w:top w:val="none" w:sz="0" w:space="0" w:color="auto"/>
        <w:left w:val="none" w:sz="0" w:space="0" w:color="auto"/>
        <w:bottom w:val="none" w:sz="0" w:space="0" w:color="auto"/>
        <w:right w:val="none" w:sz="0" w:space="0" w:color="auto"/>
      </w:divBdr>
    </w:div>
    <w:div w:id="371686061">
      <w:bodyDiv w:val="1"/>
      <w:marLeft w:val="0"/>
      <w:marRight w:val="0"/>
      <w:marTop w:val="0"/>
      <w:marBottom w:val="0"/>
      <w:divBdr>
        <w:top w:val="none" w:sz="0" w:space="0" w:color="auto"/>
        <w:left w:val="none" w:sz="0" w:space="0" w:color="auto"/>
        <w:bottom w:val="none" w:sz="0" w:space="0" w:color="auto"/>
        <w:right w:val="none" w:sz="0" w:space="0" w:color="auto"/>
      </w:divBdr>
    </w:div>
    <w:div w:id="378018480">
      <w:bodyDiv w:val="1"/>
      <w:marLeft w:val="0"/>
      <w:marRight w:val="0"/>
      <w:marTop w:val="0"/>
      <w:marBottom w:val="0"/>
      <w:divBdr>
        <w:top w:val="none" w:sz="0" w:space="0" w:color="auto"/>
        <w:left w:val="none" w:sz="0" w:space="0" w:color="auto"/>
        <w:bottom w:val="none" w:sz="0" w:space="0" w:color="auto"/>
        <w:right w:val="none" w:sz="0" w:space="0" w:color="auto"/>
      </w:divBdr>
    </w:div>
    <w:div w:id="389697463">
      <w:bodyDiv w:val="1"/>
      <w:marLeft w:val="0"/>
      <w:marRight w:val="0"/>
      <w:marTop w:val="0"/>
      <w:marBottom w:val="0"/>
      <w:divBdr>
        <w:top w:val="none" w:sz="0" w:space="0" w:color="auto"/>
        <w:left w:val="none" w:sz="0" w:space="0" w:color="auto"/>
        <w:bottom w:val="none" w:sz="0" w:space="0" w:color="auto"/>
        <w:right w:val="none" w:sz="0" w:space="0" w:color="auto"/>
      </w:divBdr>
    </w:div>
    <w:div w:id="391121070">
      <w:bodyDiv w:val="1"/>
      <w:marLeft w:val="0"/>
      <w:marRight w:val="0"/>
      <w:marTop w:val="0"/>
      <w:marBottom w:val="0"/>
      <w:divBdr>
        <w:top w:val="none" w:sz="0" w:space="0" w:color="auto"/>
        <w:left w:val="none" w:sz="0" w:space="0" w:color="auto"/>
        <w:bottom w:val="none" w:sz="0" w:space="0" w:color="auto"/>
        <w:right w:val="none" w:sz="0" w:space="0" w:color="auto"/>
      </w:divBdr>
    </w:div>
    <w:div w:id="400566272">
      <w:bodyDiv w:val="1"/>
      <w:marLeft w:val="0"/>
      <w:marRight w:val="0"/>
      <w:marTop w:val="0"/>
      <w:marBottom w:val="0"/>
      <w:divBdr>
        <w:top w:val="none" w:sz="0" w:space="0" w:color="auto"/>
        <w:left w:val="none" w:sz="0" w:space="0" w:color="auto"/>
        <w:bottom w:val="none" w:sz="0" w:space="0" w:color="auto"/>
        <w:right w:val="none" w:sz="0" w:space="0" w:color="auto"/>
      </w:divBdr>
    </w:div>
    <w:div w:id="411120782">
      <w:bodyDiv w:val="1"/>
      <w:marLeft w:val="0"/>
      <w:marRight w:val="0"/>
      <w:marTop w:val="0"/>
      <w:marBottom w:val="0"/>
      <w:divBdr>
        <w:top w:val="none" w:sz="0" w:space="0" w:color="auto"/>
        <w:left w:val="none" w:sz="0" w:space="0" w:color="auto"/>
        <w:bottom w:val="none" w:sz="0" w:space="0" w:color="auto"/>
        <w:right w:val="none" w:sz="0" w:space="0" w:color="auto"/>
      </w:divBdr>
    </w:div>
    <w:div w:id="413547544">
      <w:bodyDiv w:val="1"/>
      <w:marLeft w:val="0"/>
      <w:marRight w:val="0"/>
      <w:marTop w:val="0"/>
      <w:marBottom w:val="0"/>
      <w:divBdr>
        <w:top w:val="none" w:sz="0" w:space="0" w:color="auto"/>
        <w:left w:val="none" w:sz="0" w:space="0" w:color="auto"/>
        <w:bottom w:val="none" w:sz="0" w:space="0" w:color="auto"/>
        <w:right w:val="none" w:sz="0" w:space="0" w:color="auto"/>
      </w:divBdr>
    </w:div>
    <w:div w:id="413819318">
      <w:bodyDiv w:val="1"/>
      <w:marLeft w:val="0"/>
      <w:marRight w:val="0"/>
      <w:marTop w:val="0"/>
      <w:marBottom w:val="0"/>
      <w:divBdr>
        <w:top w:val="none" w:sz="0" w:space="0" w:color="auto"/>
        <w:left w:val="none" w:sz="0" w:space="0" w:color="auto"/>
        <w:bottom w:val="none" w:sz="0" w:space="0" w:color="auto"/>
        <w:right w:val="none" w:sz="0" w:space="0" w:color="auto"/>
      </w:divBdr>
    </w:div>
    <w:div w:id="422343790">
      <w:bodyDiv w:val="1"/>
      <w:marLeft w:val="0"/>
      <w:marRight w:val="0"/>
      <w:marTop w:val="0"/>
      <w:marBottom w:val="0"/>
      <w:divBdr>
        <w:top w:val="none" w:sz="0" w:space="0" w:color="auto"/>
        <w:left w:val="none" w:sz="0" w:space="0" w:color="auto"/>
        <w:bottom w:val="none" w:sz="0" w:space="0" w:color="auto"/>
        <w:right w:val="none" w:sz="0" w:space="0" w:color="auto"/>
      </w:divBdr>
    </w:div>
    <w:div w:id="430008694">
      <w:bodyDiv w:val="1"/>
      <w:marLeft w:val="0"/>
      <w:marRight w:val="0"/>
      <w:marTop w:val="0"/>
      <w:marBottom w:val="0"/>
      <w:divBdr>
        <w:top w:val="none" w:sz="0" w:space="0" w:color="auto"/>
        <w:left w:val="none" w:sz="0" w:space="0" w:color="auto"/>
        <w:bottom w:val="none" w:sz="0" w:space="0" w:color="auto"/>
        <w:right w:val="none" w:sz="0" w:space="0" w:color="auto"/>
      </w:divBdr>
    </w:div>
    <w:div w:id="431975060">
      <w:bodyDiv w:val="1"/>
      <w:marLeft w:val="0"/>
      <w:marRight w:val="0"/>
      <w:marTop w:val="0"/>
      <w:marBottom w:val="0"/>
      <w:divBdr>
        <w:top w:val="none" w:sz="0" w:space="0" w:color="auto"/>
        <w:left w:val="none" w:sz="0" w:space="0" w:color="auto"/>
        <w:bottom w:val="none" w:sz="0" w:space="0" w:color="auto"/>
        <w:right w:val="none" w:sz="0" w:space="0" w:color="auto"/>
      </w:divBdr>
    </w:div>
    <w:div w:id="432096097">
      <w:bodyDiv w:val="1"/>
      <w:marLeft w:val="0"/>
      <w:marRight w:val="0"/>
      <w:marTop w:val="0"/>
      <w:marBottom w:val="0"/>
      <w:divBdr>
        <w:top w:val="none" w:sz="0" w:space="0" w:color="auto"/>
        <w:left w:val="none" w:sz="0" w:space="0" w:color="auto"/>
        <w:bottom w:val="none" w:sz="0" w:space="0" w:color="auto"/>
        <w:right w:val="none" w:sz="0" w:space="0" w:color="auto"/>
      </w:divBdr>
    </w:div>
    <w:div w:id="434403349">
      <w:bodyDiv w:val="1"/>
      <w:marLeft w:val="0"/>
      <w:marRight w:val="0"/>
      <w:marTop w:val="0"/>
      <w:marBottom w:val="0"/>
      <w:divBdr>
        <w:top w:val="none" w:sz="0" w:space="0" w:color="auto"/>
        <w:left w:val="none" w:sz="0" w:space="0" w:color="auto"/>
        <w:bottom w:val="none" w:sz="0" w:space="0" w:color="auto"/>
        <w:right w:val="none" w:sz="0" w:space="0" w:color="auto"/>
      </w:divBdr>
    </w:div>
    <w:div w:id="454182272">
      <w:bodyDiv w:val="1"/>
      <w:marLeft w:val="0"/>
      <w:marRight w:val="0"/>
      <w:marTop w:val="0"/>
      <w:marBottom w:val="0"/>
      <w:divBdr>
        <w:top w:val="none" w:sz="0" w:space="0" w:color="auto"/>
        <w:left w:val="none" w:sz="0" w:space="0" w:color="auto"/>
        <w:bottom w:val="none" w:sz="0" w:space="0" w:color="auto"/>
        <w:right w:val="none" w:sz="0" w:space="0" w:color="auto"/>
      </w:divBdr>
    </w:div>
    <w:div w:id="462037897">
      <w:bodyDiv w:val="1"/>
      <w:marLeft w:val="0"/>
      <w:marRight w:val="0"/>
      <w:marTop w:val="0"/>
      <w:marBottom w:val="0"/>
      <w:divBdr>
        <w:top w:val="none" w:sz="0" w:space="0" w:color="auto"/>
        <w:left w:val="none" w:sz="0" w:space="0" w:color="auto"/>
        <w:bottom w:val="none" w:sz="0" w:space="0" w:color="auto"/>
        <w:right w:val="none" w:sz="0" w:space="0" w:color="auto"/>
      </w:divBdr>
    </w:div>
    <w:div w:id="474417905">
      <w:bodyDiv w:val="1"/>
      <w:marLeft w:val="0"/>
      <w:marRight w:val="0"/>
      <w:marTop w:val="0"/>
      <w:marBottom w:val="0"/>
      <w:divBdr>
        <w:top w:val="none" w:sz="0" w:space="0" w:color="auto"/>
        <w:left w:val="none" w:sz="0" w:space="0" w:color="auto"/>
        <w:bottom w:val="none" w:sz="0" w:space="0" w:color="auto"/>
        <w:right w:val="none" w:sz="0" w:space="0" w:color="auto"/>
      </w:divBdr>
    </w:div>
    <w:div w:id="490174546">
      <w:bodyDiv w:val="1"/>
      <w:marLeft w:val="0"/>
      <w:marRight w:val="0"/>
      <w:marTop w:val="0"/>
      <w:marBottom w:val="0"/>
      <w:divBdr>
        <w:top w:val="none" w:sz="0" w:space="0" w:color="auto"/>
        <w:left w:val="none" w:sz="0" w:space="0" w:color="auto"/>
        <w:bottom w:val="none" w:sz="0" w:space="0" w:color="auto"/>
        <w:right w:val="none" w:sz="0" w:space="0" w:color="auto"/>
      </w:divBdr>
    </w:div>
    <w:div w:id="493377985">
      <w:bodyDiv w:val="1"/>
      <w:marLeft w:val="0"/>
      <w:marRight w:val="0"/>
      <w:marTop w:val="0"/>
      <w:marBottom w:val="0"/>
      <w:divBdr>
        <w:top w:val="none" w:sz="0" w:space="0" w:color="auto"/>
        <w:left w:val="none" w:sz="0" w:space="0" w:color="auto"/>
        <w:bottom w:val="none" w:sz="0" w:space="0" w:color="auto"/>
        <w:right w:val="none" w:sz="0" w:space="0" w:color="auto"/>
      </w:divBdr>
    </w:div>
    <w:div w:id="494732055">
      <w:bodyDiv w:val="1"/>
      <w:marLeft w:val="0"/>
      <w:marRight w:val="0"/>
      <w:marTop w:val="0"/>
      <w:marBottom w:val="0"/>
      <w:divBdr>
        <w:top w:val="none" w:sz="0" w:space="0" w:color="auto"/>
        <w:left w:val="none" w:sz="0" w:space="0" w:color="auto"/>
        <w:bottom w:val="none" w:sz="0" w:space="0" w:color="auto"/>
        <w:right w:val="none" w:sz="0" w:space="0" w:color="auto"/>
      </w:divBdr>
    </w:div>
    <w:div w:id="501703900">
      <w:bodyDiv w:val="1"/>
      <w:marLeft w:val="0"/>
      <w:marRight w:val="0"/>
      <w:marTop w:val="0"/>
      <w:marBottom w:val="0"/>
      <w:divBdr>
        <w:top w:val="none" w:sz="0" w:space="0" w:color="auto"/>
        <w:left w:val="none" w:sz="0" w:space="0" w:color="auto"/>
        <w:bottom w:val="none" w:sz="0" w:space="0" w:color="auto"/>
        <w:right w:val="none" w:sz="0" w:space="0" w:color="auto"/>
      </w:divBdr>
    </w:div>
    <w:div w:id="507213954">
      <w:bodyDiv w:val="1"/>
      <w:marLeft w:val="0"/>
      <w:marRight w:val="0"/>
      <w:marTop w:val="0"/>
      <w:marBottom w:val="0"/>
      <w:divBdr>
        <w:top w:val="none" w:sz="0" w:space="0" w:color="auto"/>
        <w:left w:val="none" w:sz="0" w:space="0" w:color="auto"/>
        <w:bottom w:val="none" w:sz="0" w:space="0" w:color="auto"/>
        <w:right w:val="none" w:sz="0" w:space="0" w:color="auto"/>
      </w:divBdr>
    </w:div>
    <w:div w:id="508449339">
      <w:bodyDiv w:val="1"/>
      <w:marLeft w:val="0"/>
      <w:marRight w:val="0"/>
      <w:marTop w:val="0"/>
      <w:marBottom w:val="0"/>
      <w:divBdr>
        <w:top w:val="none" w:sz="0" w:space="0" w:color="auto"/>
        <w:left w:val="none" w:sz="0" w:space="0" w:color="auto"/>
        <w:bottom w:val="none" w:sz="0" w:space="0" w:color="auto"/>
        <w:right w:val="none" w:sz="0" w:space="0" w:color="auto"/>
      </w:divBdr>
    </w:div>
    <w:div w:id="515923341">
      <w:bodyDiv w:val="1"/>
      <w:marLeft w:val="0"/>
      <w:marRight w:val="0"/>
      <w:marTop w:val="0"/>
      <w:marBottom w:val="0"/>
      <w:divBdr>
        <w:top w:val="none" w:sz="0" w:space="0" w:color="auto"/>
        <w:left w:val="none" w:sz="0" w:space="0" w:color="auto"/>
        <w:bottom w:val="none" w:sz="0" w:space="0" w:color="auto"/>
        <w:right w:val="none" w:sz="0" w:space="0" w:color="auto"/>
      </w:divBdr>
    </w:div>
    <w:div w:id="521825449">
      <w:bodyDiv w:val="1"/>
      <w:marLeft w:val="0"/>
      <w:marRight w:val="0"/>
      <w:marTop w:val="0"/>
      <w:marBottom w:val="0"/>
      <w:divBdr>
        <w:top w:val="none" w:sz="0" w:space="0" w:color="auto"/>
        <w:left w:val="none" w:sz="0" w:space="0" w:color="auto"/>
        <w:bottom w:val="none" w:sz="0" w:space="0" w:color="auto"/>
        <w:right w:val="none" w:sz="0" w:space="0" w:color="auto"/>
      </w:divBdr>
    </w:div>
    <w:div w:id="523902664">
      <w:bodyDiv w:val="1"/>
      <w:marLeft w:val="0"/>
      <w:marRight w:val="0"/>
      <w:marTop w:val="0"/>
      <w:marBottom w:val="0"/>
      <w:divBdr>
        <w:top w:val="none" w:sz="0" w:space="0" w:color="auto"/>
        <w:left w:val="none" w:sz="0" w:space="0" w:color="auto"/>
        <w:bottom w:val="none" w:sz="0" w:space="0" w:color="auto"/>
        <w:right w:val="none" w:sz="0" w:space="0" w:color="auto"/>
      </w:divBdr>
    </w:div>
    <w:div w:id="538325043">
      <w:bodyDiv w:val="1"/>
      <w:marLeft w:val="0"/>
      <w:marRight w:val="0"/>
      <w:marTop w:val="0"/>
      <w:marBottom w:val="0"/>
      <w:divBdr>
        <w:top w:val="none" w:sz="0" w:space="0" w:color="auto"/>
        <w:left w:val="none" w:sz="0" w:space="0" w:color="auto"/>
        <w:bottom w:val="none" w:sz="0" w:space="0" w:color="auto"/>
        <w:right w:val="none" w:sz="0" w:space="0" w:color="auto"/>
      </w:divBdr>
    </w:div>
    <w:div w:id="549145907">
      <w:bodyDiv w:val="1"/>
      <w:marLeft w:val="0"/>
      <w:marRight w:val="0"/>
      <w:marTop w:val="0"/>
      <w:marBottom w:val="0"/>
      <w:divBdr>
        <w:top w:val="none" w:sz="0" w:space="0" w:color="auto"/>
        <w:left w:val="none" w:sz="0" w:space="0" w:color="auto"/>
        <w:bottom w:val="none" w:sz="0" w:space="0" w:color="auto"/>
        <w:right w:val="none" w:sz="0" w:space="0" w:color="auto"/>
      </w:divBdr>
    </w:div>
    <w:div w:id="554704559">
      <w:bodyDiv w:val="1"/>
      <w:marLeft w:val="0"/>
      <w:marRight w:val="0"/>
      <w:marTop w:val="0"/>
      <w:marBottom w:val="0"/>
      <w:divBdr>
        <w:top w:val="none" w:sz="0" w:space="0" w:color="auto"/>
        <w:left w:val="none" w:sz="0" w:space="0" w:color="auto"/>
        <w:bottom w:val="none" w:sz="0" w:space="0" w:color="auto"/>
        <w:right w:val="none" w:sz="0" w:space="0" w:color="auto"/>
      </w:divBdr>
    </w:div>
    <w:div w:id="555968196">
      <w:bodyDiv w:val="1"/>
      <w:marLeft w:val="0"/>
      <w:marRight w:val="0"/>
      <w:marTop w:val="0"/>
      <w:marBottom w:val="0"/>
      <w:divBdr>
        <w:top w:val="none" w:sz="0" w:space="0" w:color="auto"/>
        <w:left w:val="none" w:sz="0" w:space="0" w:color="auto"/>
        <w:bottom w:val="none" w:sz="0" w:space="0" w:color="auto"/>
        <w:right w:val="none" w:sz="0" w:space="0" w:color="auto"/>
      </w:divBdr>
    </w:div>
    <w:div w:id="559363821">
      <w:bodyDiv w:val="1"/>
      <w:marLeft w:val="0"/>
      <w:marRight w:val="0"/>
      <w:marTop w:val="0"/>
      <w:marBottom w:val="0"/>
      <w:divBdr>
        <w:top w:val="none" w:sz="0" w:space="0" w:color="auto"/>
        <w:left w:val="none" w:sz="0" w:space="0" w:color="auto"/>
        <w:bottom w:val="none" w:sz="0" w:space="0" w:color="auto"/>
        <w:right w:val="none" w:sz="0" w:space="0" w:color="auto"/>
      </w:divBdr>
    </w:div>
    <w:div w:id="562302387">
      <w:bodyDiv w:val="1"/>
      <w:marLeft w:val="0"/>
      <w:marRight w:val="0"/>
      <w:marTop w:val="0"/>
      <w:marBottom w:val="0"/>
      <w:divBdr>
        <w:top w:val="none" w:sz="0" w:space="0" w:color="auto"/>
        <w:left w:val="none" w:sz="0" w:space="0" w:color="auto"/>
        <w:bottom w:val="none" w:sz="0" w:space="0" w:color="auto"/>
        <w:right w:val="none" w:sz="0" w:space="0" w:color="auto"/>
      </w:divBdr>
    </w:div>
    <w:div w:id="571894180">
      <w:bodyDiv w:val="1"/>
      <w:marLeft w:val="0"/>
      <w:marRight w:val="0"/>
      <w:marTop w:val="0"/>
      <w:marBottom w:val="0"/>
      <w:divBdr>
        <w:top w:val="none" w:sz="0" w:space="0" w:color="auto"/>
        <w:left w:val="none" w:sz="0" w:space="0" w:color="auto"/>
        <w:bottom w:val="none" w:sz="0" w:space="0" w:color="auto"/>
        <w:right w:val="none" w:sz="0" w:space="0" w:color="auto"/>
      </w:divBdr>
    </w:div>
    <w:div w:id="573393132">
      <w:bodyDiv w:val="1"/>
      <w:marLeft w:val="0"/>
      <w:marRight w:val="0"/>
      <w:marTop w:val="0"/>
      <w:marBottom w:val="0"/>
      <w:divBdr>
        <w:top w:val="none" w:sz="0" w:space="0" w:color="auto"/>
        <w:left w:val="none" w:sz="0" w:space="0" w:color="auto"/>
        <w:bottom w:val="none" w:sz="0" w:space="0" w:color="auto"/>
        <w:right w:val="none" w:sz="0" w:space="0" w:color="auto"/>
      </w:divBdr>
    </w:div>
    <w:div w:id="574365467">
      <w:bodyDiv w:val="1"/>
      <w:marLeft w:val="0"/>
      <w:marRight w:val="0"/>
      <w:marTop w:val="0"/>
      <w:marBottom w:val="0"/>
      <w:divBdr>
        <w:top w:val="none" w:sz="0" w:space="0" w:color="auto"/>
        <w:left w:val="none" w:sz="0" w:space="0" w:color="auto"/>
        <w:bottom w:val="none" w:sz="0" w:space="0" w:color="auto"/>
        <w:right w:val="none" w:sz="0" w:space="0" w:color="auto"/>
      </w:divBdr>
    </w:div>
    <w:div w:id="579683449">
      <w:bodyDiv w:val="1"/>
      <w:marLeft w:val="0"/>
      <w:marRight w:val="0"/>
      <w:marTop w:val="0"/>
      <w:marBottom w:val="0"/>
      <w:divBdr>
        <w:top w:val="none" w:sz="0" w:space="0" w:color="auto"/>
        <w:left w:val="none" w:sz="0" w:space="0" w:color="auto"/>
        <w:bottom w:val="none" w:sz="0" w:space="0" w:color="auto"/>
        <w:right w:val="none" w:sz="0" w:space="0" w:color="auto"/>
      </w:divBdr>
    </w:div>
    <w:div w:id="594897460">
      <w:bodyDiv w:val="1"/>
      <w:marLeft w:val="0"/>
      <w:marRight w:val="0"/>
      <w:marTop w:val="0"/>
      <w:marBottom w:val="0"/>
      <w:divBdr>
        <w:top w:val="none" w:sz="0" w:space="0" w:color="auto"/>
        <w:left w:val="none" w:sz="0" w:space="0" w:color="auto"/>
        <w:bottom w:val="none" w:sz="0" w:space="0" w:color="auto"/>
        <w:right w:val="none" w:sz="0" w:space="0" w:color="auto"/>
      </w:divBdr>
    </w:div>
    <w:div w:id="614365570">
      <w:bodyDiv w:val="1"/>
      <w:marLeft w:val="0"/>
      <w:marRight w:val="0"/>
      <w:marTop w:val="0"/>
      <w:marBottom w:val="0"/>
      <w:divBdr>
        <w:top w:val="none" w:sz="0" w:space="0" w:color="auto"/>
        <w:left w:val="none" w:sz="0" w:space="0" w:color="auto"/>
        <w:bottom w:val="none" w:sz="0" w:space="0" w:color="auto"/>
        <w:right w:val="none" w:sz="0" w:space="0" w:color="auto"/>
      </w:divBdr>
    </w:div>
    <w:div w:id="617445684">
      <w:bodyDiv w:val="1"/>
      <w:marLeft w:val="0"/>
      <w:marRight w:val="0"/>
      <w:marTop w:val="0"/>
      <w:marBottom w:val="0"/>
      <w:divBdr>
        <w:top w:val="none" w:sz="0" w:space="0" w:color="auto"/>
        <w:left w:val="none" w:sz="0" w:space="0" w:color="auto"/>
        <w:bottom w:val="none" w:sz="0" w:space="0" w:color="auto"/>
        <w:right w:val="none" w:sz="0" w:space="0" w:color="auto"/>
      </w:divBdr>
    </w:div>
    <w:div w:id="628050170">
      <w:bodyDiv w:val="1"/>
      <w:marLeft w:val="0"/>
      <w:marRight w:val="0"/>
      <w:marTop w:val="0"/>
      <w:marBottom w:val="0"/>
      <w:divBdr>
        <w:top w:val="none" w:sz="0" w:space="0" w:color="auto"/>
        <w:left w:val="none" w:sz="0" w:space="0" w:color="auto"/>
        <w:bottom w:val="none" w:sz="0" w:space="0" w:color="auto"/>
        <w:right w:val="none" w:sz="0" w:space="0" w:color="auto"/>
      </w:divBdr>
    </w:div>
    <w:div w:id="628122800">
      <w:bodyDiv w:val="1"/>
      <w:marLeft w:val="0"/>
      <w:marRight w:val="0"/>
      <w:marTop w:val="0"/>
      <w:marBottom w:val="0"/>
      <w:divBdr>
        <w:top w:val="none" w:sz="0" w:space="0" w:color="auto"/>
        <w:left w:val="none" w:sz="0" w:space="0" w:color="auto"/>
        <w:bottom w:val="none" w:sz="0" w:space="0" w:color="auto"/>
        <w:right w:val="none" w:sz="0" w:space="0" w:color="auto"/>
      </w:divBdr>
    </w:div>
    <w:div w:id="643509726">
      <w:bodyDiv w:val="1"/>
      <w:marLeft w:val="0"/>
      <w:marRight w:val="0"/>
      <w:marTop w:val="0"/>
      <w:marBottom w:val="0"/>
      <w:divBdr>
        <w:top w:val="none" w:sz="0" w:space="0" w:color="auto"/>
        <w:left w:val="none" w:sz="0" w:space="0" w:color="auto"/>
        <w:bottom w:val="none" w:sz="0" w:space="0" w:color="auto"/>
        <w:right w:val="none" w:sz="0" w:space="0" w:color="auto"/>
      </w:divBdr>
    </w:div>
    <w:div w:id="648675992">
      <w:bodyDiv w:val="1"/>
      <w:marLeft w:val="0"/>
      <w:marRight w:val="0"/>
      <w:marTop w:val="0"/>
      <w:marBottom w:val="0"/>
      <w:divBdr>
        <w:top w:val="none" w:sz="0" w:space="0" w:color="auto"/>
        <w:left w:val="none" w:sz="0" w:space="0" w:color="auto"/>
        <w:bottom w:val="none" w:sz="0" w:space="0" w:color="auto"/>
        <w:right w:val="none" w:sz="0" w:space="0" w:color="auto"/>
      </w:divBdr>
    </w:div>
    <w:div w:id="652833961">
      <w:bodyDiv w:val="1"/>
      <w:marLeft w:val="0"/>
      <w:marRight w:val="0"/>
      <w:marTop w:val="0"/>
      <w:marBottom w:val="0"/>
      <w:divBdr>
        <w:top w:val="none" w:sz="0" w:space="0" w:color="auto"/>
        <w:left w:val="none" w:sz="0" w:space="0" w:color="auto"/>
        <w:bottom w:val="none" w:sz="0" w:space="0" w:color="auto"/>
        <w:right w:val="none" w:sz="0" w:space="0" w:color="auto"/>
      </w:divBdr>
    </w:div>
    <w:div w:id="653334333">
      <w:bodyDiv w:val="1"/>
      <w:marLeft w:val="0"/>
      <w:marRight w:val="0"/>
      <w:marTop w:val="0"/>
      <w:marBottom w:val="0"/>
      <w:divBdr>
        <w:top w:val="none" w:sz="0" w:space="0" w:color="auto"/>
        <w:left w:val="none" w:sz="0" w:space="0" w:color="auto"/>
        <w:bottom w:val="none" w:sz="0" w:space="0" w:color="auto"/>
        <w:right w:val="none" w:sz="0" w:space="0" w:color="auto"/>
      </w:divBdr>
    </w:div>
    <w:div w:id="661590086">
      <w:bodyDiv w:val="1"/>
      <w:marLeft w:val="0"/>
      <w:marRight w:val="0"/>
      <w:marTop w:val="0"/>
      <w:marBottom w:val="0"/>
      <w:divBdr>
        <w:top w:val="none" w:sz="0" w:space="0" w:color="auto"/>
        <w:left w:val="none" w:sz="0" w:space="0" w:color="auto"/>
        <w:bottom w:val="none" w:sz="0" w:space="0" w:color="auto"/>
        <w:right w:val="none" w:sz="0" w:space="0" w:color="auto"/>
      </w:divBdr>
    </w:div>
    <w:div w:id="682708959">
      <w:bodyDiv w:val="1"/>
      <w:marLeft w:val="0"/>
      <w:marRight w:val="0"/>
      <w:marTop w:val="0"/>
      <w:marBottom w:val="0"/>
      <w:divBdr>
        <w:top w:val="none" w:sz="0" w:space="0" w:color="auto"/>
        <w:left w:val="none" w:sz="0" w:space="0" w:color="auto"/>
        <w:bottom w:val="none" w:sz="0" w:space="0" w:color="auto"/>
        <w:right w:val="none" w:sz="0" w:space="0" w:color="auto"/>
      </w:divBdr>
    </w:div>
    <w:div w:id="683826918">
      <w:bodyDiv w:val="1"/>
      <w:marLeft w:val="0"/>
      <w:marRight w:val="0"/>
      <w:marTop w:val="0"/>
      <w:marBottom w:val="0"/>
      <w:divBdr>
        <w:top w:val="none" w:sz="0" w:space="0" w:color="auto"/>
        <w:left w:val="none" w:sz="0" w:space="0" w:color="auto"/>
        <w:bottom w:val="none" w:sz="0" w:space="0" w:color="auto"/>
        <w:right w:val="none" w:sz="0" w:space="0" w:color="auto"/>
      </w:divBdr>
    </w:div>
    <w:div w:id="697705917">
      <w:bodyDiv w:val="1"/>
      <w:marLeft w:val="0"/>
      <w:marRight w:val="0"/>
      <w:marTop w:val="0"/>
      <w:marBottom w:val="0"/>
      <w:divBdr>
        <w:top w:val="none" w:sz="0" w:space="0" w:color="auto"/>
        <w:left w:val="none" w:sz="0" w:space="0" w:color="auto"/>
        <w:bottom w:val="none" w:sz="0" w:space="0" w:color="auto"/>
        <w:right w:val="none" w:sz="0" w:space="0" w:color="auto"/>
      </w:divBdr>
    </w:div>
    <w:div w:id="701369811">
      <w:bodyDiv w:val="1"/>
      <w:marLeft w:val="0"/>
      <w:marRight w:val="0"/>
      <w:marTop w:val="0"/>
      <w:marBottom w:val="0"/>
      <w:divBdr>
        <w:top w:val="none" w:sz="0" w:space="0" w:color="auto"/>
        <w:left w:val="none" w:sz="0" w:space="0" w:color="auto"/>
        <w:bottom w:val="none" w:sz="0" w:space="0" w:color="auto"/>
        <w:right w:val="none" w:sz="0" w:space="0" w:color="auto"/>
      </w:divBdr>
    </w:div>
    <w:div w:id="702679084">
      <w:bodyDiv w:val="1"/>
      <w:marLeft w:val="0"/>
      <w:marRight w:val="0"/>
      <w:marTop w:val="0"/>
      <w:marBottom w:val="0"/>
      <w:divBdr>
        <w:top w:val="none" w:sz="0" w:space="0" w:color="auto"/>
        <w:left w:val="none" w:sz="0" w:space="0" w:color="auto"/>
        <w:bottom w:val="none" w:sz="0" w:space="0" w:color="auto"/>
        <w:right w:val="none" w:sz="0" w:space="0" w:color="auto"/>
      </w:divBdr>
    </w:div>
    <w:div w:id="703139294">
      <w:bodyDiv w:val="1"/>
      <w:marLeft w:val="0"/>
      <w:marRight w:val="0"/>
      <w:marTop w:val="0"/>
      <w:marBottom w:val="0"/>
      <w:divBdr>
        <w:top w:val="none" w:sz="0" w:space="0" w:color="auto"/>
        <w:left w:val="none" w:sz="0" w:space="0" w:color="auto"/>
        <w:bottom w:val="none" w:sz="0" w:space="0" w:color="auto"/>
        <w:right w:val="none" w:sz="0" w:space="0" w:color="auto"/>
      </w:divBdr>
    </w:div>
    <w:div w:id="713501311">
      <w:bodyDiv w:val="1"/>
      <w:marLeft w:val="0"/>
      <w:marRight w:val="0"/>
      <w:marTop w:val="0"/>
      <w:marBottom w:val="0"/>
      <w:divBdr>
        <w:top w:val="none" w:sz="0" w:space="0" w:color="auto"/>
        <w:left w:val="none" w:sz="0" w:space="0" w:color="auto"/>
        <w:bottom w:val="none" w:sz="0" w:space="0" w:color="auto"/>
        <w:right w:val="none" w:sz="0" w:space="0" w:color="auto"/>
      </w:divBdr>
    </w:div>
    <w:div w:id="719285740">
      <w:bodyDiv w:val="1"/>
      <w:marLeft w:val="0"/>
      <w:marRight w:val="0"/>
      <w:marTop w:val="0"/>
      <w:marBottom w:val="0"/>
      <w:divBdr>
        <w:top w:val="none" w:sz="0" w:space="0" w:color="auto"/>
        <w:left w:val="none" w:sz="0" w:space="0" w:color="auto"/>
        <w:bottom w:val="none" w:sz="0" w:space="0" w:color="auto"/>
        <w:right w:val="none" w:sz="0" w:space="0" w:color="auto"/>
      </w:divBdr>
    </w:div>
    <w:div w:id="719480862">
      <w:bodyDiv w:val="1"/>
      <w:marLeft w:val="0"/>
      <w:marRight w:val="0"/>
      <w:marTop w:val="0"/>
      <w:marBottom w:val="0"/>
      <w:divBdr>
        <w:top w:val="none" w:sz="0" w:space="0" w:color="auto"/>
        <w:left w:val="none" w:sz="0" w:space="0" w:color="auto"/>
        <w:bottom w:val="none" w:sz="0" w:space="0" w:color="auto"/>
        <w:right w:val="none" w:sz="0" w:space="0" w:color="auto"/>
      </w:divBdr>
    </w:div>
    <w:div w:id="723917145">
      <w:bodyDiv w:val="1"/>
      <w:marLeft w:val="0"/>
      <w:marRight w:val="0"/>
      <w:marTop w:val="0"/>
      <w:marBottom w:val="0"/>
      <w:divBdr>
        <w:top w:val="none" w:sz="0" w:space="0" w:color="auto"/>
        <w:left w:val="none" w:sz="0" w:space="0" w:color="auto"/>
        <w:bottom w:val="none" w:sz="0" w:space="0" w:color="auto"/>
        <w:right w:val="none" w:sz="0" w:space="0" w:color="auto"/>
      </w:divBdr>
    </w:div>
    <w:div w:id="726074215">
      <w:bodyDiv w:val="1"/>
      <w:marLeft w:val="0"/>
      <w:marRight w:val="0"/>
      <w:marTop w:val="0"/>
      <w:marBottom w:val="0"/>
      <w:divBdr>
        <w:top w:val="none" w:sz="0" w:space="0" w:color="auto"/>
        <w:left w:val="none" w:sz="0" w:space="0" w:color="auto"/>
        <w:bottom w:val="none" w:sz="0" w:space="0" w:color="auto"/>
        <w:right w:val="none" w:sz="0" w:space="0" w:color="auto"/>
      </w:divBdr>
    </w:div>
    <w:div w:id="729962464">
      <w:bodyDiv w:val="1"/>
      <w:marLeft w:val="0"/>
      <w:marRight w:val="0"/>
      <w:marTop w:val="0"/>
      <w:marBottom w:val="0"/>
      <w:divBdr>
        <w:top w:val="none" w:sz="0" w:space="0" w:color="auto"/>
        <w:left w:val="none" w:sz="0" w:space="0" w:color="auto"/>
        <w:bottom w:val="none" w:sz="0" w:space="0" w:color="auto"/>
        <w:right w:val="none" w:sz="0" w:space="0" w:color="auto"/>
      </w:divBdr>
    </w:div>
    <w:div w:id="730931863">
      <w:bodyDiv w:val="1"/>
      <w:marLeft w:val="0"/>
      <w:marRight w:val="0"/>
      <w:marTop w:val="0"/>
      <w:marBottom w:val="0"/>
      <w:divBdr>
        <w:top w:val="none" w:sz="0" w:space="0" w:color="auto"/>
        <w:left w:val="none" w:sz="0" w:space="0" w:color="auto"/>
        <w:bottom w:val="none" w:sz="0" w:space="0" w:color="auto"/>
        <w:right w:val="none" w:sz="0" w:space="0" w:color="auto"/>
      </w:divBdr>
    </w:div>
    <w:div w:id="733043172">
      <w:bodyDiv w:val="1"/>
      <w:marLeft w:val="0"/>
      <w:marRight w:val="0"/>
      <w:marTop w:val="0"/>
      <w:marBottom w:val="0"/>
      <w:divBdr>
        <w:top w:val="none" w:sz="0" w:space="0" w:color="auto"/>
        <w:left w:val="none" w:sz="0" w:space="0" w:color="auto"/>
        <w:bottom w:val="none" w:sz="0" w:space="0" w:color="auto"/>
        <w:right w:val="none" w:sz="0" w:space="0" w:color="auto"/>
      </w:divBdr>
    </w:div>
    <w:div w:id="736048431">
      <w:bodyDiv w:val="1"/>
      <w:marLeft w:val="0"/>
      <w:marRight w:val="0"/>
      <w:marTop w:val="0"/>
      <w:marBottom w:val="0"/>
      <w:divBdr>
        <w:top w:val="none" w:sz="0" w:space="0" w:color="auto"/>
        <w:left w:val="none" w:sz="0" w:space="0" w:color="auto"/>
        <w:bottom w:val="none" w:sz="0" w:space="0" w:color="auto"/>
        <w:right w:val="none" w:sz="0" w:space="0" w:color="auto"/>
      </w:divBdr>
    </w:div>
    <w:div w:id="737476794">
      <w:bodyDiv w:val="1"/>
      <w:marLeft w:val="0"/>
      <w:marRight w:val="0"/>
      <w:marTop w:val="0"/>
      <w:marBottom w:val="0"/>
      <w:divBdr>
        <w:top w:val="none" w:sz="0" w:space="0" w:color="auto"/>
        <w:left w:val="none" w:sz="0" w:space="0" w:color="auto"/>
        <w:bottom w:val="none" w:sz="0" w:space="0" w:color="auto"/>
        <w:right w:val="none" w:sz="0" w:space="0" w:color="auto"/>
      </w:divBdr>
    </w:div>
    <w:div w:id="742218211">
      <w:bodyDiv w:val="1"/>
      <w:marLeft w:val="0"/>
      <w:marRight w:val="0"/>
      <w:marTop w:val="0"/>
      <w:marBottom w:val="0"/>
      <w:divBdr>
        <w:top w:val="none" w:sz="0" w:space="0" w:color="auto"/>
        <w:left w:val="none" w:sz="0" w:space="0" w:color="auto"/>
        <w:bottom w:val="none" w:sz="0" w:space="0" w:color="auto"/>
        <w:right w:val="none" w:sz="0" w:space="0" w:color="auto"/>
      </w:divBdr>
    </w:div>
    <w:div w:id="742333930">
      <w:bodyDiv w:val="1"/>
      <w:marLeft w:val="0"/>
      <w:marRight w:val="0"/>
      <w:marTop w:val="0"/>
      <w:marBottom w:val="0"/>
      <w:divBdr>
        <w:top w:val="none" w:sz="0" w:space="0" w:color="auto"/>
        <w:left w:val="none" w:sz="0" w:space="0" w:color="auto"/>
        <w:bottom w:val="none" w:sz="0" w:space="0" w:color="auto"/>
        <w:right w:val="none" w:sz="0" w:space="0" w:color="auto"/>
      </w:divBdr>
    </w:div>
    <w:div w:id="743382020">
      <w:bodyDiv w:val="1"/>
      <w:marLeft w:val="0"/>
      <w:marRight w:val="0"/>
      <w:marTop w:val="0"/>
      <w:marBottom w:val="0"/>
      <w:divBdr>
        <w:top w:val="none" w:sz="0" w:space="0" w:color="auto"/>
        <w:left w:val="none" w:sz="0" w:space="0" w:color="auto"/>
        <w:bottom w:val="none" w:sz="0" w:space="0" w:color="auto"/>
        <w:right w:val="none" w:sz="0" w:space="0" w:color="auto"/>
      </w:divBdr>
    </w:div>
    <w:div w:id="746194070">
      <w:bodyDiv w:val="1"/>
      <w:marLeft w:val="0"/>
      <w:marRight w:val="0"/>
      <w:marTop w:val="0"/>
      <w:marBottom w:val="0"/>
      <w:divBdr>
        <w:top w:val="none" w:sz="0" w:space="0" w:color="auto"/>
        <w:left w:val="none" w:sz="0" w:space="0" w:color="auto"/>
        <w:bottom w:val="none" w:sz="0" w:space="0" w:color="auto"/>
        <w:right w:val="none" w:sz="0" w:space="0" w:color="auto"/>
      </w:divBdr>
    </w:div>
    <w:div w:id="746224760">
      <w:bodyDiv w:val="1"/>
      <w:marLeft w:val="0"/>
      <w:marRight w:val="0"/>
      <w:marTop w:val="0"/>
      <w:marBottom w:val="0"/>
      <w:divBdr>
        <w:top w:val="none" w:sz="0" w:space="0" w:color="auto"/>
        <w:left w:val="none" w:sz="0" w:space="0" w:color="auto"/>
        <w:bottom w:val="none" w:sz="0" w:space="0" w:color="auto"/>
        <w:right w:val="none" w:sz="0" w:space="0" w:color="auto"/>
      </w:divBdr>
    </w:div>
    <w:div w:id="753012403">
      <w:bodyDiv w:val="1"/>
      <w:marLeft w:val="0"/>
      <w:marRight w:val="0"/>
      <w:marTop w:val="0"/>
      <w:marBottom w:val="0"/>
      <w:divBdr>
        <w:top w:val="none" w:sz="0" w:space="0" w:color="auto"/>
        <w:left w:val="none" w:sz="0" w:space="0" w:color="auto"/>
        <w:bottom w:val="none" w:sz="0" w:space="0" w:color="auto"/>
        <w:right w:val="none" w:sz="0" w:space="0" w:color="auto"/>
      </w:divBdr>
    </w:div>
    <w:div w:id="755251524">
      <w:bodyDiv w:val="1"/>
      <w:marLeft w:val="0"/>
      <w:marRight w:val="0"/>
      <w:marTop w:val="0"/>
      <w:marBottom w:val="0"/>
      <w:divBdr>
        <w:top w:val="none" w:sz="0" w:space="0" w:color="auto"/>
        <w:left w:val="none" w:sz="0" w:space="0" w:color="auto"/>
        <w:bottom w:val="none" w:sz="0" w:space="0" w:color="auto"/>
        <w:right w:val="none" w:sz="0" w:space="0" w:color="auto"/>
      </w:divBdr>
    </w:div>
    <w:div w:id="762341627">
      <w:bodyDiv w:val="1"/>
      <w:marLeft w:val="0"/>
      <w:marRight w:val="0"/>
      <w:marTop w:val="0"/>
      <w:marBottom w:val="0"/>
      <w:divBdr>
        <w:top w:val="none" w:sz="0" w:space="0" w:color="auto"/>
        <w:left w:val="none" w:sz="0" w:space="0" w:color="auto"/>
        <w:bottom w:val="none" w:sz="0" w:space="0" w:color="auto"/>
        <w:right w:val="none" w:sz="0" w:space="0" w:color="auto"/>
      </w:divBdr>
    </w:div>
    <w:div w:id="762459399">
      <w:bodyDiv w:val="1"/>
      <w:marLeft w:val="0"/>
      <w:marRight w:val="0"/>
      <w:marTop w:val="0"/>
      <w:marBottom w:val="0"/>
      <w:divBdr>
        <w:top w:val="none" w:sz="0" w:space="0" w:color="auto"/>
        <w:left w:val="none" w:sz="0" w:space="0" w:color="auto"/>
        <w:bottom w:val="none" w:sz="0" w:space="0" w:color="auto"/>
        <w:right w:val="none" w:sz="0" w:space="0" w:color="auto"/>
      </w:divBdr>
    </w:div>
    <w:div w:id="782916046">
      <w:bodyDiv w:val="1"/>
      <w:marLeft w:val="0"/>
      <w:marRight w:val="0"/>
      <w:marTop w:val="0"/>
      <w:marBottom w:val="0"/>
      <w:divBdr>
        <w:top w:val="none" w:sz="0" w:space="0" w:color="auto"/>
        <w:left w:val="none" w:sz="0" w:space="0" w:color="auto"/>
        <w:bottom w:val="none" w:sz="0" w:space="0" w:color="auto"/>
        <w:right w:val="none" w:sz="0" w:space="0" w:color="auto"/>
      </w:divBdr>
    </w:div>
    <w:div w:id="807670343">
      <w:bodyDiv w:val="1"/>
      <w:marLeft w:val="0"/>
      <w:marRight w:val="0"/>
      <w:marTop w:val="0"/>
      <w:marBottom w:val="0"/>
      <w:divBdr>
        <w:top w:val="none" w:sz="0" w:space="0" w:color="auto"/>
        <w:left w:val="none" w:sz="0" w:space="0" w:color="auto"/>
        <w:bottom w:val="none" w:sz="0" w:space="0" w:color="auto"/>
        <w:right w:val="none" w:sz="0" w:space="0" w:color="auto"/>
      </w:divBdr>
    </w:div>
    <w:div w:id="811948475">
      <w:bodyDiv w:val="1"/>
      <w:marLeft w:val="0"/>
      <w:marRight w:val="0"/>
      <w:marTop w:val="0"/>
      <w:marBottom w:val="0"/>
      <w:divBdr>
        <w:top w:val="none" w:sz="0" w:space="0" w:color="auto"/>
        <w:left w:val="none" w:sz="0" w:space="0" w:color="auto"/>
        <w:bottom w:val="none" w:sz="0" w:space="0" w:color="auto"/>
        <w:right w:val="none" w:sz="0" w:space="0" w:color="auto"/>
      </w:divBdr>
    </w:div>
    <w:div w:id="812792681">
      <w:bodyDiv w:val="1"/>
      <w:marLeft w:val="0"/>
      <w:marRight w:val="0"/>
      <w:marTop w:val="0"/>
      <w:marBottom w:val="0"/>
      <w:divBdr>
        <w:top w:val="none" w:sz="0" w:space="0" w:color="auto"/>
        <w:left w:val="none" w:sz="0" w:space="0" w:color="auto"/>
        <w:bottom w:val="none" w:sz="0" w:space="0" w:color="auto"/>
        <w:right w:val="none" w:sz="0" w:space="0" w:color="auto"/>
      </w:divBdr>
    </w:div>
    <w:div w:id="818501259">
      <w:bodyDiv w:val="1"/>
      <w:marLeft w:val="0"/>
      <w:marRight w:val="0"/>
      <w:marTop w:val="0"/>
      <w:marBottom w:val="0"/>
      <w:divBdr>
        <w:top w:val="none" w:sz="0" w:space="0" w:color="auto"/>
        <w:left w:val="none" w:sz="0" w:space="0" w:color="auto"/>
        <w:bottom w:val="none" w:sz="0" w:space="0" w:color="auto"/>
        <w:right w:val="none" w:sz="0" w:space="0" w:color="auto"/>
      </w:divBdr>
    </w:div>
    <w:div w:id="823623667">
      <w:bodyDiv w:val="1"/>
      <w:marLeft w:val="0"/>
      <w:marRight w:val="0"/>
      <w:marTop w:val="0"/>
      <w:marBottom w:val="0"/>
      <w:divBdr>
        <w:top w:val="none" w:sz="0" w:space="0" w:color="auto"/>
        <w:left w:val="none" w:sz="0" w:space="0" w:color="auto"/>
        <w:bottom w:val="none" w:sz="0" w:space="0" w:color="auto"/>
        <w:right w:val="none" w:sz="0" w:space="0" w:color="auto"/>
      </w:divBdr>
    </w:div>
    <w:div w:id="829371564">
      <w:bodyDiv w:val="1"/>
      <w:marLeft w:val="0"/>
      <w:marRight w:val="0"/>
      <w:marTop w:val="0"/>
      <w:marBottom w:val="0"/>
      <w:divBdr>
        <w:top w:val="none" w:sz="0" w:space="0" w:color="auto"/>
        <w:left w:val="none" w:sz="0" w:space="0" w:color="auto"/>
        <w:bottom w:val="none" w:sz="0" w:space="0" w:color="auto"/>
        <w:right w:val="none" w:sz="0" w:space="0" w:color="auto"/>
      </w:divBdr>
    </w:div>
    <w:div w:id="834881326">
      <w:bodyDiv w:val="1"/>
      <w:marLeft w:val="0"/>
      <w:marRight w:val="0"/>
      <w:marTop w:val="0"/>
      <w:marBottom w:val="0"/>
      <w:divBdr>
        <w:top w:val="none" w:sz="0" w:space="0" w:color="auto"/>
        <w:left w:val="none" w:sz="0" w:space="0" w:color="auto"/>
        <w:bottom w:val="none" w:sz="0" w:space="0" w:color="auto"/>
        <w:right w:val="none" w:sz="0" w:space="0" w:color="auto"/>
      </w:divBdr>
    </w:div>
    <w:div w:id="837889901">
      <w:bodyDiv w:val="1"/>
      <w:marLeft w:val="0"/>
      <w:marRight w:val="0"/>
      <w:marTop w:val="0"/>
      <w:marBottom w:val="0"/>
      <w:divBdr>
        <w:top w:val="none" w:sz="0" w:space="0" w:color="auto"/>
        <w:left w:val="none" w:sz="0" w:space="0" w:color="auto"/>
        <w:bottom w:val="none" w:sz="0" w:space="0" w:color="auto"/>
        <w:right w:val="none" w:sz="0" w:space="0" w:color="auto"/>
      </w:divBdr>
    </w:div>
    <w:div w:id="845822918">
      <w:bodyDiv w:val="1"/>
      <w:marLeft w:val="0"/>
      <w:marRight w:val="0"/>
      <w:marTop w:val="0"/>
      <w:marBottom w:val="0"/>
      <w:divBdr>
        <w:top w:val="none" w:sz="0" w:space="0" w:color="auto"/>
        <w:left w:val="none" w:sz="0" w:space="0" w:color="auto"/>
        <w:bottom w:val="none" w:sz="0" w:space="0" w:color="auto"/>
        <w:right w:val="none" w:sz="0" w:space="0" w:color="auto"/>
      </w:divBdr>
    </w:div>
    <w:div w:id="854999369">
      <w:bodyDiv w:val="1"/>
      <w:marLeft w:val="0"/>
      <w:marRight w:val="0"/>
      <w:marTop w:val="0"/>
      <w:marBottom w:val="0"/>
      <w:divBdr>
        <w:top w:val="none" w:sz="0" w:space="0" w:color="auto"/>
        <w:left w:val="none" w:sz="0" w:space="0" w:color="auto"/>
        <w:bottom w:val="none" w:sz="0" w:space="0" w:color="auto"/>
        <w:right w:val="none" w:sz="0" w:space="0" w:color="auto"/>
      </w:divBdr>
    </w:div>
    <w:div w:id="859122102">
      <w:bodyDiv w:val="1"/>
      <w:marLeft w:val="0"/>
      <w:marRight w:val="0"/>
      <w:marTop w:val="0"/>
      <w:marBottom w:val="0"/>
      <w:divBdr>
        <w:top w:val="none" w:sz="0" w:space="0" w:color="auto"/>
        <w:left w:val="none" w:sz="0" w:space="0" w:color="auto"/>
        <w:bottom w:val="none" w:sz="0" w:space="0" w:color="auto"/>
        <w:right w:val="none" w:sz="0" w:space="0" w:color="auto"/>
      </w:divBdr>
    </w:div>
    <w:div w:id="860509397">
      <w:bodyDiv w:val="1"/>
      <w:marLeft w:val="0"/>
      <w:marRight w:val="0"/>
      <w:marTop w:val="0"/>
      <w:marBottom w:val="0"/>
      <w:divBdr>
        <w:top w:val="none" w:sz="0" w:space="0" w:color="auto"/>
        <w:left w:val="none" w:sz="0" w:space="0" w:color="auto"/>
        <w:bottom w:val="none" w:sz="0" w:space="0" w:color="auto"/>
        <w:right w:val="none" w:sz="0" w:space="0" w:color="auto"/>
      </w:divBdr>
    </w:div>
    <w:div w:id="882446492">
      <w:bodyDiv w:val="1"/>
      <w:marLeft w:val="0"/>
      <w:marRight w:val="0"/>
      <w:marTop w:val="0"/>
      <w:marBottom w:val="0"/>
      <w:divBdr>
        <w:top w:val="none" w:sz="0" w:space="0" w:color="auto"/>
        <w:left w:val="none" w:sz="0" w:space="0" w:color="auto"/>
        <w:bottom w:val="none" w:sz="0" w:space="0" w:color="auto"/>
        <w:right w:val="none" w:sz="0" w:space="0" w:color="auto"/>
      </w:divBdr>
    </w:div>
    <w:div w:id="884097511">
      <w:bodyDiv w:val="1"/>
      <w:marLeft w:val="0"/>
      <w:marRight w:val="0"/>
      <w:marTop w:val="0"/>
      <w:marBottom w:val="0"/>
      <w:divBdr>
        <w:top w:val="none" w:sz="0" w:space="0" w:color="auto"/>
        <w:left w:val="none" w:sz="0" w:space="0" w:color="auto"/>
        <w:bottom w:val="none" w:sz="0" w:space="0" w:color="auto"/>
        <w:right w:val="none" w:sz="0" w:space="0" w:color="auto"/>
      </w:divBdr>
    </w:div>
    <w:div w:id="885264995">
      <w:bodyDiv w:val="1"/>
      <w:marLeft w:val="0"/>
      <w:marRight w:val="0"/>
      <w:marTop w:val="0"/>
      <w:marBottom w:val="0"/>
      <w:divBdr>
        <w:top w:val="none" w:sz="0" w:space="0" w:color="auto"/>
        <w:left w:val="none" w:sz="0" w:space="0" w:color="auto"/>
        <w:bottom w:val="none" w:sz="0" w:space="0" w:color="auto"/>
        <w:right w:val="none" w:sz="0" w:space="0" w:color="auto"/>
      </w:divBdr>
    </w:div>
    <w:div w:id="886843025">
      <w:bodyDiv w:val="1"/>
      <w:marLeft w:val="0"/>
      <w:marRight w:val="0"/>
      <w:marTop w:val="0"/>
      <w:marBottom w:val="0"/>
      <w:divBdr>
        <w:top w:val="none" w:sz="0" w:space="0" w:color="auto"/>
        <w:left w:val="none" w:sz="0" w:space="0" w:color="auto"/>
        <w:bottom w:val="none" w:sz="0" w:space="0" w:color="auto"/>
        <w:right w:val="none" w:sz="0" w:space="0" w:color="auto"/>
      </w:divBdr>
    </w:div>
    <w:div w:id="888347249">
      <w:bodyDiv w:val="1"/>
      <w:marLeft w:val="0"/>
      <w:marRight w:val="0"/>
      <w:marTop w:val="0"/>
      <w:marBottom w:val="0"/>
      <w:divBdr>
        <w:top w:val="none" w:sz="0" w:space="0" w:color="auto"/>
        <w:left w:val="none" w:sz="0" w:space="0" w:color="auto"/>
        <w:bottom w:val="none" w:sz="0" w:space="0" w:color="auto"/>
        <w:right w:val="none" w:sz="0" w:space="0" w:color="auto"/>
      </w:divBdr>
    </w:div>
    <w:div w:id="897714819">
      <w:bodyDiv w:val="1"/>
      <w:marLeft w:val="0"/>
      <w:marRight w:val="0"/>
      <w:marTop w:val="0"/>
      <w:marBottom w:val="0"/>
      <w:divBdr>
        <w:top w:val="none" w:sz="0" w:space="0" w:color="auto"/>
        <w:left w:val="none" w:sz="0" w:space="0" w:color="auto"/>
        <w:bottom w:val="none" w:sz="0" w:space="0" w:color="auto"/>
        <w:right w:val="none" w:sz="0" w:space="0" w:color="auto"/>
      </w:divBdr>
    </w:div>
    <w:div w:id="915937460">
      <w:bodyDiv w:val="1"/>
      <w:marLeft w:val="0"/>
      <w:marRight w:val="0"/>
      <w:marTop w:val="0"/>
      <w:marBottom w:val="0"/>
      <w:divBdr>
        <w:top w:val="none" w:sz="0" w:space="0" w:color="auto"/>
        <w:left w:val="none" w:sz="0" w:space="0" w:color="auto"/>
        <w:bottom w:val="none" w:sz="0" w:space="0" w:color="auto"/>
        <w:right w:val="none" w:sz="0" w:space="0" w:color="auto"/>
      </w:divBdr>
    </w:div>
    <w:div w:id="921372365">
      <w:bodyDiv w:val="1"/>
      <w:marLeft w:val="0"/>
      <w:marRight w:val="0"/>
      <w:marTop w:val="0"/>
      <w:marBottom w:val="0"/>
      <w:divBdr>
        <w:top w:val="none" w:sz="0" w:space="0" w:color="auto"/>
        <w:left w:val="none" w:sz="0" w:space="0" w:color="auto"/>
        <w:bottom w:val="none" w:sz="0" w:space="0" w:color="auto"/>
        <w:right w:val="none" w:sz="0" w:space="0" w:color="auto"/>
      </w:divBdr>
    </w:div>
    <w:div w:id="921990799">
      <w:bodyDiv w:val="1"/>
      <w:marLeft w:val="0"/>
      <w:marRight w:val="0"/>
      <w:marTop w:val="0"/>
      <w:marBottom w:val="0"/>
      <w:divBdr>
        <w:top w:val="none" w:sz="0" w:space="0" w:color="auto"/>
        <w:left w:val="none" w:sz="0" w:space="0" w:color="auto"/>
        <w:bottom w:val="none" w:sz="0" w:space="0" w:color="auto"/>
        <w:right w:val="none" w:sz="0" w:space="0" w:color="auto"/>
      </w:divBdr>
    </w:div>
    <w:div w:id="922446746">
      <w:bodyDiv w:val="1"/>
      <w:marLeft w:val="0"/>
      <w:marRight w:val="0"/>
      <w:marTop w:val="0"/>
      <w:marBottom w:val="0"/>
      <w:divBdr>
        <w:top w:val="none" w:sz="0" w:space="0" w:color="auto"/>
        <w:left w:val="none" w:sz="0" w:space="0" w:color="auto"/>
        <w:bottom w:val="none" w:sz="0" w:space="0" w:color="auto"/>
        <w:right w:val="none" w:sz="0" w:space="0" w:color="auto"/>
      </w:divBdr>
    </w:div>
    <w:div w:id="927617070">
      <w:bodyDiv w:val="1"/>
      <w:marLeft w:val="0"/>
      <w:marRight w:val="0"/>
      <w:marTop w:val="0"/>
      <w:marBottom w:val="0"/>
      <w:divBdr>
        <w:top w:val="none" w:sz="0" w:space="0" w:color="auto"/>
        <w:left w:val="none" w:sz="0" w:space="0" w:color="auto"/>
        <w:bottom w:val="none" w:sz="0" w:space="0" w:color="auto"/>
        <w:right w:val="none" w:sz="0" w:space="0" w:color="auto"/>
      </w:divBdr>
    </w:div>
    <w:div w:id="940642865">
      <w:bodyDiv w:val="1"/>
      <w:marLeft w:val="0"/>
      <w:marRight w:val="0"/>
      <w:marTop w:val="0"/>
      <w:marBottom w:val="0"/>
      <w:divBdr>
        <w:top w:val="none" w:sz="0" w:space="0" w:color="auto"/>
        <w:left w:val="none" w:sz="0" w:space="0" w:color="auto"/>
        <w:bottom w:val="none" w:sz="0" w:space="0" w:color="auto"/>
        <w:right w:val="none" w:sz="0" w:space="0" w:color="auto"/>
      </w:divBdr>
    </w:div>
    <w:div w:id="942499320">
      <w:bodyDiv w:val="1"/>
      <w:marLeft w:val="0"/>
      <w:marRight w:val="0"/>
      <w:marTop w:val="0"/>
      <w:marBottom w:val="0"/>
      <w:divBdr>
        <w:top w:val="none" w:sz="0" w:space="0" w:color="auto"/>
        <w:left w:val="none" w:sz="0" w:space="0" w:color="auto"/>
        <w:bottom w:val="none" w:sz="0" w:space="0" w:color="auto"/>
        <w:right w:val="none" w:sz="0" w:space="0" w:color="auto"/>
      </w:divBdr>
    </w:div>
    <w:div w:id="946155224">
      <w:bodyDiv w:val="1"/>
      <w:marLeft w:val="0"/>
      <w:marRight w:val="0"/>
      <w:marTop w:val="0"/>
      <w:marBottom w:val="0"/>
      <w:divBdr>
        <w:top w:val="none" w:sz="0" w:space="0" w:color="auto"/>
        <w:left w:val="none" w:sz="0" w:space="0" w:color="auto"/>
        <w:bottom w:val="none" w:sz="0" w:space="0" w:color="auto"/>
        <w:right w:val="none" w:sz="0" w:space="0" w:color="auto"/>
      </w:divBdr>
    </w:div>
    <w:div w:id="949974085">
      <w:bodyDiv w:val="1"/>
      <w:marLeft w:val="0"/>
      <w:marRight w:val="0"/>
      <w:marTop w:val="0"/>
      <w:marBottom w:val="0"/>
      <w:divBdr>
        <w:top w:val="none" w:sz="0" w:space="0" w:color="auto"/>
        <w:left w:val="none" w:sz="0" w:space="0" w:color="auto"/>
        <w:bottom w:val="none" w:sz="0" w:space="0" w:color="auto"/>
        <w:right w:val="none" w:sz="0" w:space="0" w:color="auto"/>
      </w:divBdr>
    </w:div>
    <w:div w:id="954554298">
      <w:bodyDiv w:val="1"/>
      <w:marLeft w:val="0"/>
      <w:marRight w:val="0"/>
      <w:marTop w:val="0"/>
      <w:marBottom w:val="0"/>
      <w:divBdr>
        <w:top w:val="none" w:sz="0" w:space="0" w:color="auto"/>
        <w:left w:val="none" w:sz="0" w:space="0" w:color="auto"/>
        <w:bottom w:val="none" w:sz="0" w:space="0" w:color="auto"/>
        <w:right w:val="none" w:sz="0" w:space="0" w:color="auto"/>
      </w:divBdr>
    </w:div>
    <w:div w:id="958027311">
      <w:bodyDiv w:val="1"/>
      <w:marLeft w:val="0"/>
      <w:marRight w:val="0"/>
      <w:marTop w:val="0"/>
      <w:marBottom w:val="0"/>
      <w:divBdr>
        <w:top w:val="none" w:sz="0" w:space="0" w:color="auto"/>
        <w:left w:val="none" w:sz="0" w:space="0" w:color="auto"/>
        <w:bottom w:val="none" w:sz="0" w:space="0" w:color="auto"/>
        <w:right w:val="none" w:sz="0" w:space="0" w:color="auto"/>
      </w:divBdr>
    </w:div>
    <w:div w:id="958149469">
      <w:bodyDiv w:val="1"/>
      <w:marLeft w:val="0"/>
      <w:marRight w:val="0"/>
      <w:marTop w:val="0"/>
      <w:marBottom w:val="0"/>
      <w:divBdr>
        <w:top w:val="none" w:sz="0" w:space="0" w:color="auto"/>
        <w:left w:val="none" w:sz="0" w:space="0" w:color="auto"/>
        <w:bottom w:val="none" w:sz="0" w:space="0" w:color="auto"/>
        <w:right w:val="none" w:sz="0" w:space="0" w:color="auto"/>
      </w:divBdr>
    </w:div>
    <w:div w:id="974876718">
      <w:bodyDiv w:val="1"/>
      <w:marLeft w:val="0"/>
      <w:marRight w:val="0"/>
      <w:marTop w:val="0"/>
      <w:marBottom w:val="0"/>
      <w:divBdr>
        <w:top w:val="none" w:sz="0" w:space="0" w:color="auto"/>
        <w:left w:val="none" w:sz="0" w:space="0" w:color="auto"/>
        <w:bottom w:val="none" w:sz="0" w:space="0" w:color="auto"/>
        <w:right w:val="none" w:sz="0" w:space="0" w:color="auto"/>
      </w:divBdr>
    </w:div>
    <w:div w:id="983319083">
      <w:bodyDiv w:val="1"/>
      <w:marLeft w:val="0"/>
      <w:marRight w:val="0"/>
      <w:marTop w:val="0"/>
      <w:marBottom w:val="0"/>
      <w:divBdr>
        <w:top w:val="none" w:sz="0" w:space="0" w:color="auto"/>
        <w:left w:val="none" w:sz="0" w:space="0" w:color="auto"/>
        <w:bottom w:val="none" w:sz="0" w:space="0" w:color="auto"/>
        <w:right w:val="none" w:sz="0" w:space="0" w:color="auto"/>
      </w:divBdr>
    </w:div>
    <w:div w:id="991637029">
      <w:bodyDiv w:val="1"/>
      <w:marLeft w:val="0"/>
      <w:marRight w:val="0"/>
      <w:marTop w:val="0"/>
      <w:marBottom w:val="0"/>
      <w:divBdr>
        <w:top w:val="none" w:sz="0" w:space="0" w:color="auto"/>
        <w:left w:val="none" w:sz="0" w:space="0" w:color="auto"/>
        <w:bottom w:val="none" w:sz="0" w:space="0" w:color="auto"/>
        <w:right w:val="none" w:sz="0" w:space="0" w:color="auto"/>
      </w:divBdr>
    </w:div>
    <w:div w:id="992567534">
      <w:bodyDiv w:val="1"/>
      <w:marLeft w:val="0"/>
      <w:marRight w:val="0"/>
      <w:marTop w:val="0"/>
      <w:marBottom w:val="0"/>
      <w:divBdr>
        <w:top w:val="none" w:sz="0" w:space="0" w:color="auto"/>
        <w:left w:val="none" w:sz="0" w:space="0" w:color="auto"/>
        <w:bottom w:val="none" w:sz="0" w:space="0" w:color="auto"/>
        <w:right w:val="none" w:sz="0" w:space="0" w:color="auto"/>
      </w:divBdr>
    </w:div>
    <w:div w:id="1013336364">
      <w:bodyDiv w:val="1"/>
      <w:marLeft w:val="0"/>
      <w:marRight w:val="0"/>
      <w:marTop w:val="0"/>
      <w:marBottom w:val="0"/>
      <w:divBdr>
        <w:top w:val="none" w:sz="0" w:space="0" w:color="auto"/>
        <w:left w:val="none" w:sz="0" w:space="0" w:color="auto"/>
        <w:bottom w:val="none" w:sz="0" w:space="0" w:color="auto"/>
        <w:right w:val="none" w:sz="0" w:space="0" w:color="auto"/>
      </w:divBdr>
    </w:div>
    <w:div w:id="1016619306">
      <w:bodyDiv w:val="1"/>
      <w:marLeft w:val="0"/>
      <w:marRight w:val="0"/>
      <w:marTop w:val="0"/>
      <w:marBottom w:val="0"/>
      <w:divBdr>
        <w:top w:val="none" w:sz="0" w:space="0" w:color="auto"/>
        <w:left w:val="none" w:sz="0" w:space="0" w:color="auto"/>
        <w:bottom w:val="none" w:sz="0" w:space="0" w:color="auto"/>
        <w:right w:val="none" w:sz="0" w:space="0" w:color="auto"/>
      </w:divBdr>
    </w:div>
    <w:div w:id="1018891983">
      <w:bodyDiv w:val="1"/>
      <w:marLeft w:val="0"/>
      <w:marRight w:val="0"/>
      <w:marTop w:val="0"/>
      <w:marBottom w:val="0"/>
      <w:divBdr>
        <w:top w:val="none" w:sz="0" w:space="0" w:color="auto"/>
        <w:left w:val="none" w:sz="0" w:space="0" w:color="auto"/>
        <w:bottom w:val="none" w:sz="0" w:space="0" w:color="auto"/>
        <w:right w:val="none" w:sz="0" w:space="0" w:color="auto"/>
      </w:divBdr>
    </w:div>
    <w:div w:id="1023172743">
      <w:bodyDiv w:val="1"/>
      <w:marLeft w:val="0"/>
      <w:marRight w:val="0"/>
      <w:marTop w:val="0"/>
      <w:marBottom w:val="0"/>
      <w:divBdr>
        <w:top w:val="none" w:sz="0" w:space="0" w:color="auto"/>
        <w:left w:val="none" w:sz="0" w:space="0" w:color="auto"/>
        <w:bottom w:val="none" w:sz="0" w:space="0" w:color="auto"/>
        <w:right w:val="none" w:sz="0" w:space="0" w:color="auto"/>
      </w:divBdr>
    </w:div>
    <w:div w:id="1025517973">
      <w:bodyDiv w:val="1"/>
      <w:marLeft w:val="0"/>
      <w:marRight w:val="0"/>
      <w:marTop w:val="0"/>
      <w:marBottom w:val="0"/>
      <w:divBdr>
        <w:top w:val="none" w:sz="0" w:space="0" w:color="auto"/>
        <w:left w:val="none" w:sz="0" w:space="0" w:color="auto"/>
        <w:bottom w:val="none" w:sz="0" w:space="0" w:color="auto"/>
        <w:right w:val="none" w:sz="0" w:space="0" w:color="auto"/>
      </w:divBdr>
    </w:div>
    <w:div w:id="1034958938">
      <w:bodyDiv w:val="1"/>
      <w:marLeft w:val="0"/>
      <w:marRight w:val="0"/>
      <w:marTop w:val="0"/>
      <w:marBottom w:val="0"/>
      <w:divBdr>
        <w:top w:val="none" w:sz="0" w:space="0" w:color="auto"/>
        <w:left w:val="none" w:sz="0" w:space="0" w:color="auto"/>
        <w:bottom w:val="none" w:sz="0" w:space="0" w:color="auto"/>
        <w:right w:val="none" w:sz="0" w:space="0" w:color="auto"/>
      </w:divBdr>
    </w:div>
    <w:div w:id="1056010884">
      <w:bodyDiv w:val="1"/>
      <w:marLeft w:val="0"/>
      <w:marRight w:val="0"/>
      <w:marTop w:val="0"/>
      <w:marBottom w:val="0"/>
      <w:divBdr>
        <w:top w:val="none" w:sz="0" w:space="0" w:color="auto"/>
        <w:left w:val="none" w:sz="0" w:space="0" w:color="auto"/>
        <w:bottom w:val="none" w:sz="0" w:space="0" w:color="auto"/>
        <w:right w:val="none" w:sz="0" w:space="0" w:color="auto"/>
      </w:divBdr>
    </w:div>
    <w:div w:id="1056470466">
      <w:bodyDiv w:val="1"/>
      <w:marLeft w:val="0"/>
      <w:marRight w:val="0"/>
      <w:marTop w:val="0"/>
      <w:marBottom w:val="0"/>
      <w:divBdr>
        <w:top w:val="none" w:sz="0" w:space="0" w:color="auto"/>
        <w:left w:val="none" w:sz="0" w:space="0" w:color="auto"/>
        <w:bottom w:val="none" w:sz="0" w:space="0" w:color="auto"/>
        <w:right w:val="none" w:sz="0" w:space="0" w:color="auto"/>
      </w:divBdr>
    </w:div>
    <w:div w:id="1059478729">
      <w:bodyDiv w:val="1"/>
      <w:marLeft w:val="0"/>
      <w:marRight w:val="0"/>
      <w:marTop w:val="0"/>
      <w:marBottom w:val="0"/>
      <w:divBdr>
        <w:top w:val="none" w:sz="0" w:space="0" w:color="auto"/>
        <w:left w:val="none" w:sz="0" w:space="0" w:color="auto"/>
        <w:bottom w:val="none" w:sz="0" w:space="0" w:color="auto"/>
        <w:right w:val="none" w:sz="0" w:space="0" w:color="auto"/>
      </w:divBdr>
    </w:div>
    <w:div w:id="1066413074">
      <w:bodyDiv w:val="1"/>
      <w:marLeft w:val="0"/>
      <w:marRight w:val="0"/>
      <w:marTop w:val="0"/>
      <w:marBottom w:val="0"/>
      <w:divBdr>
        <w:top w:val="none" w:sz="0" w:space="0" w:color="auto"/>
        <w:left w:val="none" w:sz="0" w:space="0" w:color="auto"/>
        <w:bottom w:val="none" w:sz="0" w:space="0" w:color="auto"/>
        <w:right w:val="none" w:sz="0" w:space="0" w:color="auto"/>
      </w:divBdr>
    </w:div>
    <w:div w:id="1072312066">
      <w:bodyDiv w:val="1"/>
      <w:marLeft w:val="0"/>
      <w:marRight w:val="0"/>
      <w:marTop w:val="0"/>
      <w:marBottom w:val="0"/>
      <w:divBdr>
        <w:top w:val="none" w:sz="0" w:space="0" w:color="auto"/>
        <w:left w:val="none" w:sz="0" w:space="0" w:color="auto"/>
        <w:bottom w:val="none" w:sz="0" w:space="0" w:color="auto"/>
        <w:right w:val="none" w:sz="0" w:space="0" w:color="auto"/>
      </w:divBdr>
    </w:div>
    <w:div w:id="1076780460">
      <w:bodyDiv w:val="1"/>
      <w:marLeft w:val="0"/>
      <w:marRight w:val="0"/>
      <w:marTop w:val="0"/>
      <w:marBottom w:val="0"/>
      <w:divBdr>
        <w:top w:val="none" w:sz="0" w:space="0" w:color="auto"/>
        <w:left w:val="none" w:sz="0" w:space="0" w:color="auto"/>
        <w:bottom w:val="none" w:sz="0" w:space="0" w:color="auto"/>
        <w:right w:val="none" w:sz="0" w:space="0" w:color="auto"/>
      </w:divBdr>
    </w:div>
    <w:div w:id="1084379466">
      <w:bodyDiv w:val="1"/>
      <w:marLeft w:val="0"/>
      <w:marRight w:val="0"/>
      <w:marTop w:val="0"/>
      <w:marBottom w:val="0"/>
      <w:divBdr>
        <w:top w:val="none" w:sz="0" w:space="0" w:color="auto"/>
        <w:left w:val="none" w:sz="0" w:space="0" w:color="auto"/>
        <w:bottom w:val="none" w:sz="0" w:space="0" w:color="auto"/>
        <w:right w:val="none" w:sz="0" w:space="0" w:color="auto"/>
      </w:divBdr>
    </w:div>
    <w:div w:id="1092628244">
      <w:bodyDiv w:val="1"/>
      <w:marLeft w:val="0"/>
      <w:marRight w:val="0"/>
      <w:marTop w:val="0"/>
      <w:marBottom w:val="0"/>
      <w:divBdr>
        <w:top w:val="none" w:sz="0" w:space="0" w:color="auto"/>
        <w:left w:val="none" w:sz="0" w:space="0" w:color="auto"/>
        <w:bottom w:val="none" w:sz="0" w:space="0" w:color="auto"/>
        <w:right w:val="none" w:sz="0" w:space="0" w:color="auto"/>
      </w:divBdr>
    </w:div>
    <w:div w:id="1092817973">
      <w:bodyDiv w:val="1"/>
      <w:marLeft w:val="0"/>
      <w:marRight w:val="0"/>
      <w:marTop w:val="0"/>
      <w:marBottom w:val="0"/>
      <w:divBdr>
        <w:top w:val="none" w:sz="0" w:space="0" w:color="auto"/>
        <w:left w:val="none" w:sz="0" w:space="0" w:color="auto"/>
        <w:bottom w:val="none" w:sz="0" w:space="0" w:color="auto"/>
        <w:right w:val="none" w:sz="0" w:space="0" w:color="auto"/>
      </w:divBdr>
    </w:div>
    <w:div w:id="1099910031">
      <w:bodyDiv w:val="1"/>
      <w:marLeft w:val="0"/>
      <w:marRight w:val="0"/>
      <w:marTop w:val="0"/>
      <w:marBottom w:val="0"/>
      <w:divBdr>
        <w:top w:val="none" w:sz="0" w:space="0" w:color="auto"/>
        <w:left w:val="none" w:sz="0" w:space="0" w:color="auto"/>
        <w:bottom w:val="none" w:sz="0" w:space="0" w:color="auto"/>
        <w:right w:val="none" w:sz="0" w:space="0" w:color="auto"/>
      </w:divBdr>
    </w:div>
    <w:div w:id="1101878508">
      <w:bodyDiv w:val="1"/>
      <w:marLeft w:val="0"/>
      <w:marRight w:val="0"/>
      <w:marTop w:val="0"/>
      <w:marBottom w:val="0"/>
      <w:divBdr>
        <w:top w:val="none" w:sz="0" w:space="0" w:color="auto"/>
        <w:left w:val="none" w:sz="0" w:space="0" w:color="auto"/>
        <w:bottom w:val="none" w:sz="0" w:space="0" w:color="auto"/>
        <w:right w:val="none" w:sz="0" w:space="0" w:color="auto"/>
      </w:divBdr>
    </w:div>
    <w:div w:id="1104693302">
      <w:bodyDiv w:val="1"/>
      <w:marLeft w:val="0"/>
      <w:marRight w:val="0"/>
      <w:marTop w:val="0"/>
      <w:marBottom w:val="0"/>
      <w:divBdr>
        <w:top w:val="none" w:sz="0" w:space="0" w:color="auto"/>
        <w:left w:val="none" w:sz="0" w:space="0" w:color="auto"/>
        <w:bottom w:val="none" w:sz="0" w:space="0" w:color="auto"/>
        <w:right w:val="none" w:sz="0" w:space="0" w:color="auto"/>
      </w:divBdr>
    </w:div>
    <w:div w:id="1112211838">
      <w:bodyDiv w:val="1"/>
      <w:marLeft w:val="0"/>
      <w:marRight w:val="0"/>
      <w:marTop w:val="0"/>
      <w:marBottom w:val="0"/>
      <w:divBdr>
        <w:top w:val="none" w:sz="0" w:space="0" w:color="auto"/>
        <w:left w:val="none" w:sz="0" w:space="0" w:color="auto"/>
        <w:bottom w:val="none" w:sz="0" w:space="0" w:color="auto"/>
        <w:right w:val="none" w:sz="0" w:space="0" w:color="auto"/>
      </w:divBdr>
    </w:div>
    <w:div w:id="1123503568">
      <w:bodyDiv w:val="1"/>
      <w:marLeft w:val="0"/>
      <w:marRight w:val="0"/>
      <w:marTop w:val="0"/>
      <w:marBottom w:val="0"/>
      <w:divBdr>
        <w:top w:val="none" w:sz="0" w:space="0" w:color="auto"/>
        <w:left w:val="none" w:sz="0" w:space="0" w:color="auto"/>
        <w:bottom w:val="none" w:sz="0" w:space="0" w:color="auto"/>
        <w:right w:val="none" w:sz="0" w:space="0" w:color="auto"/>
      </w:divBdr>
    </w:div>
    <w:div w:id="1139155437">
      <w:bodyDiv w:val="1"/>
      <w:marLeft w:val="0"/>
      <w:marRight w:val="0"/>
      <w:marTop w:val="0"/>
      <w:marBottom w:val="0"/>
      <w:divBdr>
        <w:top w:val="none" w:sz="0" w:space="0" w:color="auto"/>
        <w:left w:val="none" w:sz="0" w:space="0" w:color="auto"/>
        <w:bottom w:val="none" w:sz="0" w:space="0" w:color="auto"/>
        <w:right w:val="none" w:sz="0" w:space="0" w:color="auto"/>
      </w:divBdr>
    </w:div>
    <w:div w:id="1140342774">
      <w:bodyDiv w:val="1"/>
      <w:marLeft w:val="0"/>
      <w:marRight w:val="0"/>
      <w:marTop w:val="0"/>
      <w:marBottom w:val="0"/>
      <w:divBdr>
        <w:top w:val="none" w:sz="0" w:space="0" w:color="auto"/>
        <w:left w:val="none" w:sz="0" w:space="0" w:color="auto"/>
        <w:bottom w:val="none" w:sz="0" w:space="0" w:color="auto"/>
        <w:right w:val="none" w:sz="0" w:space="0" w:color="auto"/>
      </w:divBdr>
    </w:div>
    <w:div w:id="1160996731">
      <w:bodyDiv w:val="1"/>
      <w:marLeft w:val="0"/>
      <w:marRight w:val="0"/>
      <w:marTop w:val="0"/>
      <w:marBottom w:val="0"/>
      <w:divBdr>
        <w:top w:val="none" w:sz="0" w:space="0" w:color="auto"/>
        <w:left w:val="none" w:sz="0" w:space="0" w:color="auto"/>
        <w:bottom w:val="none" w:sz="0" w:space="0" w:color="auto"/>
        <w:right w:val="none" w:sz="0" w:space="0" w:color="auto"/>
      </w:divBdr>
    </w:div>
    <w:div w:id="1167476417">
      <w:bodyDiv w:val="1"/>
      <w:marLeft w:val="0"/>
      <w:marRight w:val="0"/>
      <w:marTop w:val="0"/>
      <w:marBottom w:val="0"/>
      <w:divBdr>
        <w:top w:val="none" w:sz="0" w:space="0" w:color="auto"/>
        <w:left w:val="none" w:sz="0" w:space="0" w:color="auto"/>
        <w:bottom w:val="none" w:sz="0" w:space="0" w:color="auto"/>
        <w:right w:val="none" w:sz="0" w:space="0" w:color="auto"/>
      </w:divBdr>
    </w:div>
    <w:div w:id="1168132139">
      <w:bodyDiv w:val="1"/>
      <w:marLeft w:val="0"/>
      <w:marRight w:val="0"/>
      <w:marTop w:val="0"/>
      <w:marBottom w:val="0"/>
      <w:divBdr>
        <w:top w:val="none" w:sz="0" w:space="0" w:color="auto"/>
        <w:left w:val="none" w:sz="0" w:space="0" w:color="auto"/>
        <w:bottom w:val="none" w:sz="0" w:space="0" w:color="auto"/>
        <w:right w:val="none" w:sz="0" w:space="0" w:color="auto"/>
      </w:divBdr>
    </w:div>
    <w:div w:id="1171990227">
      <w:bodyDiv w:val="1"/>
      <w:marLeft w:val="0"/>
      <w:marRight w:val="0"/>
      <w:marTop w:val="0"/>
      <w:marBottom w:val="0"/>
      <w:divBdr>
        <w:top w:val="none" w:sz="0" w:space="0" w:color="auto"/>
        <w:left w:val="none" w:sz="0" w:space="0" w:color="auto"/>
        <w:bottom w:val="none" w:sz="0" w:space="0" w:color="auto"/>
        <w:right w:val="none" w:sz="0" w:space="0" w:color="auto"/>
      </w:divBdr>
    </w:div>
    <w:div w:id="1173910167">
      <w:bodyDiv w:val="1"/>
      <w:marLeft w:val="0"/>
      <w:marRight w:val="0"/>
      <w:marTop w:val="0"/>
      <w:marBottom w:val="0"/>
      <w:divBdr>
        <w:top w:val="none" w:sz="0" w:space="0" w:color="auto"/>
        <w:left w:val="none" w:sz="0" w:space="0" w:color="auto"/>
        <w:bottom w:val="none" w:sz="0" w:space="0" w:color="auto"/>
        <w:right w:val="none" w:sz="0" w:space="0" w:color="auto"/>
      </w:divBdr>
    </w:div>
    <w:div w:id="1180117800">
      <w:bodyDiv w:val="1"/>
      <w:marLeft w:val="0"/>
      <w:marRight w:val="0"/>
      <w:marTop w:val="0"/>
      <w:marBottom w:val="0"/>
      <w:divBdr>
        <w:top w:val="none" w:sz="0" w:space="0" w:color="auto"/>
        <w:left w:val="none" w:sz="0" w:space="0" w:color="auto"/>
        <w:bottom w:val="none" w:sz="0" w:space="0" w:color="auto"/>
        <w:right w:val="none" w:sz="0" w:space="0" w:color="auto"/>
      </w:divBdr>
    </w:div>
    <w:div w:id="1197813270">
      <w:bodyDiv w:val="1"/>
      <w:marLeft w:val="0"/>
      <w:marRight w:val="0"/>
      <w:marTop w:val="0"/>
      <w:marBottom w:val="0"/>
      <w:divBdr>
        <w:top w:val="none" w:sz="0" w:space="0" w:color="auto"/>
        <w:left w:val="none" w:sz="0" w:space="0" w:color="auto"/>
        <w:bottom w:val="none" w:sz="0" w:space="0" w:color="auto"/>
        <w:right w:val="none" w:sz="0" w:space="0" w:color="auto"/>
      </w:divBdr>
    </w:div>
    <w:div w:id="1200824375">
      <w:bodyDiv w:val="1"/>
      <w:marLeft w:val="0"/>
      <w:marRight w:val="0"/>
      <w:marTop w:val="0"/>
      <w:marBottom w:val="0"/>
      <w:divBdr>
        <w:top w:val="none" w:sz="0" w:space="0" w:color="auto"/>
        <w:left w:val="none" w:sz="0" w:space="0" w:color="auto"/>
        <w:bottom w:val="none" w:sz="0" w:space="0" w:color="auto"/>
        <w:right w:val="none" w:sz="0" w:space="0" w:color="auto"/>
      </w:divBdr>
    </w:div>
    <w:div w:id="1203786190">
      <w:bodyDiv w:val="1"/>
      <w:marLeft w:val="0"/>
      <w:marRight w:val="0"/>
      <w:marTop w:val="0"/>
      <w:marBottom w:val="0"/>
      <w:divBdr>
        <w:top w:val="none" w:sz="0" w:space="0" w:color="auto"/>
        <w:left w:val="none" w:sz="0" w:space="0" w:color="auto"/>
        <w:bottom w:val="none" w:sz="0" w:space="0" w:color="auto"/>
        <w:right w:val="none" w:sz="0" w:space="0" w:color="auto"/>
      </w:divBdr>
    </w:div>
    <w:div w:id="1206332187">
      <w:bodyDiv w:val="1"/>
      <w:marLeft w:val="0"/>
      <w:marRight w:val="0"/>
      <w:marTop w:val="0"/>
      <w:marBottom w:val="0"/>
      <w:divBdr>
        <w:top w:val="none" w:sz="0" w:space="0" w:color="auto"/>
        <w:left w:val="none" w:sz="0" w:space="0" w:color="auto"/>
        <w:bottom w:val="none" w:sz="0" w:space="0" w:color="auto"/>
        <w:right w:val="none" w:sz="0" w:space="0" w:color="auto"/>
      </w:divBdr>
    </w:div>
    <w:div w:id="1206525864">
      <w:bodyDiv w:val="1"/>
      <w:marLeft w:val="0"/>
      <w:marRight w:val="0"/>
      <w:marTop w:val="0"/>
      <w:marBottom w:val="0"/>
      <w:divBdr>
        <w:top w:val="none" w:sz="0" w:space="0" w:color="auto"/>
        <w:left w:val="none" w:sz="0" w:space="0" w:color="auto"/>
        <w:bottom w:val="none" w:sz="0" w:space="0" w:color="auto"/>
        <w:right w:val="none" w:sz="0" w:space="0" w:color="auto"/>
      </w:divBdr>
    </w:div>
    <w:div w:id="1208025917">
      <w:bodyDiv w:val="1"/>
      <w:marLeft w:val="0"/>
      <w:marRight w:val="0"/>
      <w:marTop w:val="0"/>
      <w:marBottom w:val="0"/>
      <w:divBdr>
        <w:top w:val="none" w:sz="0" w:space="0" w:color="auto"/>
        <w:left w:val="none" w:sz="0" w:space="0" w:color="auto"/>
        <w:bottom w:val="none" w:sz="0" w:space="0" w:color="auto"/>
        <w:right w:val="none" w:sz="0" w:space="0" w:color="auto"/>
      </w:divBdr>
    </w:div>
    <w:div w:id="1211188381">
      <w:bodyDiv w:val="1"/>
      <w:marLeft w:val="0"/>
      <w:marRight w:val="0"/>
      <w:marTop w:val="0"/>
      <w:marBottom w:val="0"/>
      <w:divBdr>
        <w:top w:val="none" w:sz="0" w:space="0" w:color="auto"/>
        <w:left w:val="none" w:sz="0" w:space="0" w:color="auto"/>
        <w:bottom w:val="none" w:sz="0" w:space="0" w:color="auto"/>
        <w:right w:val="none" w:sz="0" w:space="0" w:color="auto"/>
      </w:divBdr>
    </w:div>
    <w:div w:id="1218665609">
      <w:bodyDiv w:val="1"/>
      <w:marLeft w:val="0"/>
      <w:marRight w:val="0"/>
      <w:marTop w:val="0"/>
      <w:marBottom w:val="0"/>
      <w:divBdr>
        <w:top w:val="none" w:sz="0" w:space="0" w:color="auto"/>
        <w:left w:val="none" w:sz="0" w:space="0" w:color="auto"/>
        <w:bottom w:val="none" w:sz="0" w:space="0" w:color="auto"/>
        <w:right w:val="none" w:sz="0" w:space="0" w:color="auto"/>
      </w:divBdr>
    </w:div>
    <w:div w:id="1223326401">
      <w:bodyDiv w:val="1"/>
      <w:marLeft w:val="0"/>
      <w:marRight w:val="0"/>
      <w:marTop w:val="0"/>
      <w:marBottom w:val="0"/>
      <w:divBdr>
        <w:top w:val="none" w:sz="0" w:space="0" w:color="auto"/>
        <w:left w:val="none" w:sz="0" w:space="0" w:color="auto"/>
        <w:bottom w:val="none" w:sz="0" w:space="0" w:color="auto"/>
        <w:right w:val="none" w:sz="0" w:space="0" w:color="auto"/>
      </w:divBdr>
    </w:div>
    <w:div w:id="1224633907">
      <w:bodyDiv w:val="1"/>
      <w:marLeft w:val="0"/>
      <w:marRight w:val="0"/>
      <w:marTop w:val="0"/>
      <w:marBottom w:val="0"/>
      <w:divBdr>
        <w:top w:val="none" w:sz="0" w:space="0" w:color="auto"/>
        <w:left w:val="none" w:sz="0" w:space="0" w:color="auto"/>
        <w:bottom w:val="none" w:sz="0" w:space="0" w:color="auto"/>
        <w:right w:val="none" w:sz="0" w:space="0" w:color="auto"/>
      </w:divBdr>
    </w:div>
    <w:div w:id="1228108732">
      <w:bodyDiv w:val="1"/>
      <w:marLeft w:val="0"/>
      <w:marRight w:val="0"/>
      <w:marTop w:val="0"/>
      <w:marBottom w:val="0"/>
      <w:divBdr>
        <w:top w:val="none" w:sz="0" w:space="0" w:color="auto"/>
        <w:left w:val="none" w:sz="0" w:space="0" w:color="auto"/>
        <w:bottom w:val="none" w:sz="0" w:space="0" w:color="auto"/>
        <w:right w:val="none" w:sz="0" w:space="0" w:color="auto"/>
      </w:divBdr>
    </w:div>
    <w:div w:id="1233546967">
      <w:bodyDiv w:val="1"/>
      <w:marLeft w:val="0"/>
      <w:marRight w:val="0"/>
      <w:marTop w:val="0"/>
      <w:marBottom w:val="0"/>
      <w:divBdr>
        <w:top w:val="none" w:sz="0" w:space="0" w:color="auto"/>
        <w:left w:val="none" w:sz="0" w:space="0" w:color="auto"/>
        <w:bottom w:val="none" w:sz="0" w:space="0" w:color="auto"/>
        <w:right w:val="none" w:sz="0" w:space="0" w:color="auto"/>
      </w:divBdr>
    </w:div>
    <w:div w:id="1241137447">
      <w:bodyDiv w:val="1"/>
      <w:marLeft w:val="0"/>
      <w:marRight w:val="0"/>
      <w:marTop w:val="0"/>
      <w:marBottom w:val="0"/>
      <w:divBdr>
        <w:top w:val="none" w:sz="0" w:space="0" w:color="auto"/>
        <w:left w:val="none" w:sz="0" w:space="0" w:color="auto"/>
        <w:bottom w:val="none" w:sz="0" w:space="0" w:color="auto"/>
        <w:right w:val="none" w:sz="0" w:space="0" w:color="auto"/>
      </w:divBdr>
    </w:div>
    <w:div w:id="1247418131">
      <w:bodyDiv w:val="1"/>
      <w:marLeft w:val="0"/>
      <w:marRight w:val="0"/>
      <w:marTop w:val="0"/>
      <w:marBottom w:val="0"/>
      <w:divBdr>
        <w:top w:val="none" w:sz="0" w:space="0" w:color="auto"/>
        <w:left w:val="none" w:sz="0" w:space="0" w:color="auto"/>
        <w:bottom w:val="none" w:sz="0" w:space="0" w:color="auto"/>
        <w:right w:val="none" w:sz="0" w:space="0" w:color="auto"/>
      </w:divBdr>
    </w:div>
    <w:div w:id="1248348524">
      <w:bodyDiv w:val="1"/>
      <w:marLeft w:val="0"/>
      <w:marRight w:val="0"/>
      <w:marTop w:val="0"/>
      <w:marBottom w:val="0"/>
      <w:divBdr>
        <w:top w:val="none" w:sz="0" w:space="0" w:color="auto"/>
        <w:left w:val="none" w:sz="0" w:space="0" w:color="auto"/>
        <w:bottom w:val="none" w:sz="0" w:space="0" w:color="auto"/>
        <w:right w:val="none" w:sz="0" w:space="0" w:color="auto"/>
      </w:divBdr>
    </w:div>
    <w:div w:id="1252153972">
      <w:bodyDiv w:val="1"/>
      <w:marLeft w:val="0"/>
      <w:marRight w:val="0"/>
      <w:marTop w:val="0"/>
      <w:marBottom w:val="0"/>
      <w:divBdr>
        <w:top w:val="none" w:sz="0" w:space="0" w:color="auto"/>
        <w:left w:val="none" w:sz="0" w:space="0" w:color="auto"/>
        <w:bottom w:val="none" w:sz="0" w:space="0" w:color="auto"/>
        <w:right w:val="none" w:sz="0" w:space="0" w:color="auto"/>
      </w:divBdr>
    </w:div>
    <w:div w:id="1263731943">
      <w:bodyDiv w:val="1"/>
      <w:marLeft w:val="0"/>
      <w:marRight w:val="0"/>
      <w:marTop w:val="0"/>
      <w:marBottom w:val="0"/>
      <w:divBdr>
        <w:top w:val="none" w:sz="0" w:space="0" w:color="auto"/>
        <w:left w:val="none" w:sz="0" w:space="0" w:color="auto"/>
        <w:bottom w:val="none" w:sz="0" w:space="0" w:color="auto"/>
        <w:right w:val="none" w:sz="0" w:space="0" w:color="auto"/>
      </w:divBdr>
    </w:div>
    <w:div w:id="1276862710">
      <w:bodyDiv w:val="1"/>
      <w:marLeft w:val="0"/>
      <w:marRight w:val="0"/>
      <w:marTop w:val="0"/>
      <w:marBottom w:val="0"/>
      <w:divBdr>
        <w:top w:val="none" w:sz="0" w:space="0" w:color="auto"/>
        <w:left w:val="none" w:sz="0" w:space="0" w:color="auto"/>
        <w:bottom w:val="none" w:sz="0" w:space="0" w:color="auto"/>
        <w:right w:val="none" w:sz="0" w:space="0" w:color="auto"/>
      </w:divBdr>
    </w:div>
    <w:div w:id="1277903382">
      <w:bodyDiv w:val="1"/>
      <w:marLeft w:val="0"/>
      <w:marRight w:val="0"/>
      <w:marTop w:val="0"/>
      <w:marBottom w:val="0"/>
      <w:divBdr>
        <w:top w:val="none" w:sz="0" w:space="0" w:color="auto"/>
        <w:left w:val="none" w:sz="0" w:space="0" w:color="auto"/>
        <w:bottom w:val="none" w:sz="0" w:space="0" w:color="auto"/>
        <w:right w:val="none" w:sz="0" w:space="0" w:color="auto"/>
      </w:divBdr>
    </w:div>
    <w:div w:id="1278369372">
      <w:bodyDiv w:val="1"/>
      <w:marLeft w:val="0"/>
      <w:marRight w:val="0"/>
      <w:marTop w:val="0"/>
      <w:marBottom w:val="0"/>
      <w:divBdr>
        <w:top w:val="none" w:sz="0" w:space="0" w:color="auto"/>
        <w:left w:val="none" w:sz="0" w:space="0" w:color="auto"/>
        <w:bottom w:val="none" w:sz="0" w:space="0" w:color="auto"/>
        <w:right w:val="none" w:sz="0" w:space="0" w:color="auto"/>
      </w:divBdr>
    </w:div>
    <w:div w:id="1284459682">
      <w:bodyDiv w:val="1"/>
      <w:marLeft w:val="0"/>
      <w:marRight w:val="0"/>
      <w:marTop w:val="0"/>
      <w:marBottom w:val="0"/>
      <w:divBdr>
        <w:top w:val="none" w:sz="0" w:space="0" w:color="auto"/>
        <w:left w:val="none" w:sz="0" w:space="0" w:color="auto"/>
        <w:bottom w:val="none" w:sz="0" w:space="0" w:color="auto"/>
        <w:right w:val="none" w:sz="0" w:space="0" w:color="auto"/>
      </w:divBdr>
    </w:div>
    <w:div w:id="1307052841">
      <w:bodyDiv w:val="1"/>
      <w:marLeft w:val="0"/>
      <w:marRight w:val="0"/>
      <w:marTop w:val="0"/>
      <w:marBottom w:val="0"/>
      <w:divBdr>
        <w:top w:val="none" w:sz="0" w:space="0" w:color="auto"/>
        <w:left w:val="none" w:sz="0" w:space="0" w:color="auto"/>
        <w:bottom w:val="none" w:sz="0" w:space="0" w:color="auto"/>
        <w:right w:val="none" w:sz="0" w:space="0" w:color="auto"/>
      </w:divBdr>
    </w:div>
    <w:div w:id="1310555883">
      <w:bodyDiv w:val="1"/>
      <w:marLeft w:val="0"/>
      <w:marRight w:val="0"/>
      <w:marTop w:val="0"/>
      <w:marBottom w:val="0"/>
      <w:divBdr>
        <w:top w:val="none" w:sz="0" w:space="0" w:color="auto"/>
        <w:left w:val="none" w:sz="0" w:space="0" w:color="auto"/>
        <w:bottom w:val="none" w:sz="0" w:space="0" w:color="auto"/>
        <w:right w:val="none" w:sz="0" w:space="0" w:color="auto"/>
      </w:divBdr>
    </w:div>
    <w:div w:id="1311711665">
      <w:bodyDiv w:val="1"/>
      <w:marLeft w:val="0"/>
      <w:marRight w:val="0"/>
      <w:marTop w:val="0"/>
      <w:marBottom w:val="0"/>
      <w:divBdr>
        <w:top w:val="none" w:sz="0" w:space="0" w:color="auto"/>
        <w:left w:val="none" w:sz="0" w:space="0" w:color="auto"/>
        <w:bottom w:val="none" w:sz="0" w:space="0" w:color="auto"/>
        <w:right w:val="none" w:sz="0" w:space="0" w:color="auto"/>
      </w:divBdr>
    </w:div>
    <w:div w:id="1316951029">
      <w:bodyDiv w:val="1"/>
      <w:marLeft w:val="0"/>
      <w:marRight w:val="0"/>
      <w:marTop w:val="0"/>
      <w:marBottom w:val="0"/>
      <w:divBdr>
        <w:top w:val="none" w:sz="0" w:space="0" w:color="auto"/>
        <w:left w:val="none" w:sz="0" w:space="0" w:color="auto"/>
        <w:bottom w:val="none" w:sz="0" w:space="0" w:color="auto"/>
        <w:right w:val="none" w:sz="0" w:space="0" w:color="auto"/>
      </w:divBdr>
    </w:div>
    <w:div w:id="1327515240">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562316">
      <w:bodyDiv w:val="1"/>
      <w:marLeft w:val="0"/>
      <w:marRight w:val="0"/>
      <w:marTop w:val="0"/>
      <w:marBottom w:val="0"/>
      <w:divBdr>
        <w:top w:val="none" w:sz="0" w:space="0" w:color="auto"/>
        <w:left w:val="none" w:sz="0" w:space="0" w:color="auto"/>
        <w:bottom w:val="none" w:sz="0" w:space="0" w:color="auto"/>
        <w:right w:val="none" w:sz="0" w:space="0" w:color="auto"/>
      </w:divBdr>
    </w:div>
    <w:div w:id="1337151672">
      <w:bodyDiv w:val="1"/>
      <w:marLeft w:val="0"/>
      <w:marRight w:val="0"/>
      <w:marTop w:val="0"/>
      <w:marBottom w:val="0"/>
      <w:divBdr>
        <w:top w:val="none" w:sz="0" w:space="0" w:color="auto"/>
        <w:left w:val="none" w:sz="0" w:space="0" w:color="auto"/>
        <w:bottom w:val="none" w:sz="0" w:space="0" w:color="auto"/>
        <w:right w:val="none" w:sz="0" w:space="0" w:color="auto"/>
      </w:divBdr>
    </w:div>
    <w:div w:id="1345668428">
      <w:bodyDiv w:val="1"/>
      <w:marLeft w:val="0"/>
      <w:marRight w:val="0"/>
      <w:marTop w:val="0"/>
      <w:marBottom w:val="0"/>
      <w:divBdr>
        <w:top w:val="none" w:sz="0" w:space="0" w:color="auto"/>
        <w:left w:val="none" w:sz="0" w:space="0" w:color="auto"/>
        <w:bottom w:val="none" w:sz="0" w:space="0" w:color="auto"/>
        <w:right w:val="none" w:sz="0" w:space="0" w:color="auto"/>
      </w:divBdr>
    </w:div>
    <w:div w:id="1345745643">
      <w:bodyDiv w:val="1"/>
      <w:marLeft w:val="0"/>
      <w:marRight w:val="0"/>
      <w:marTop w:val="0"/>
      <w:marBottom w:val="0"/>
      <w:divBdr>
        <w:top w:val="none" w:sz="0" w:space="0" w:color="auto"/>
        <w:left w:val="none" w:sz="0" w:space="0" w:color="auto"/>
        <w:bottom w:val="none" w:sz="0" w:space="0" w:color="auto"/>
        <w:right w:val="none" w:sz="0" w:space="0" w:color="auto"/>
      </w:divBdr>
    </w:div>
    <w:div w:id="1345784584">
      <w:bodyDiv w:val="1"/>
      <w:marLeft w:val="0"/>
      <w:marRight w:val="0"/>
      <w:marTop w:val="0"/>
      <w:marBottom w:val="0"/>
      <w:divBdr>
        <w:top w:val="none" w:sz="0" w:space="0" w:color="auto"/>
        <w:left w:val="none" w:sz="0" w:space="0" w:color="auto"/>
        <w:bottom w:val="none" w:sz="0" w:space="0" w:color="auto"/>
        <w:right w:val="none" w:sz="0" w:space="0" w:color="auto"/>
      </w:divBdr>
    </w:div>
    <w:div w:id="1346404169">
      <w:bodyDiv w:val="1"/>
      <w:marLeft w:val="0"/>
      <w:marRight w:val="0"/>
      <w:marTop w:val="0"/>
      <w:marBottom w:val="0"/>
      <w:divBdr>
        <w:top w:val="none" w:sz="0" w:space="0" w:color="auto"/>
        <w:left w:val="none" w:sz="0" w:space="0" w:color="auto"/>
        <w:bottom w:val="none" w:sz="0" w:space="0" w:color="auto"/>
        <w:right w:val="none" w:sz="0" w:space="0" w:color="auto"/>
      </w:divBdr>
    </w:div>
    <w:div w:id="1364669508">
      <w:bodyDiv w:val="1"/>
      <w:marLeft w:val="0"/>
      <w:marRight w:val="0"/>
      <w:marTop w:val="0"/>
      <w:marBottom w:val="0"/>
      <w:divBdr>
        <w:top w:val="none" w:sz="0" w:space="0" w:color="auto"/>
        <w:left w:val="none" w:sz="0" w:space="0" w:color="auto"/>
        <w:bottom w:val="none" w:sz="0" w:space="0" w:color="auto"/>
        <w:right w:val="none" w:sz="0" w:space="0" w:color="auto"/>
      </w:divBdr>
    </w:div>
    <w:div w:id="1373119479">
      <w:bodyDiv w:val="1"/>
      <w:marLeft w:val="0"/>
      <w:marRight w:val="0"/>
      <w:marTop w:val="0"/>
      <w:marBottom w:val="0"/>
      <w:divBdr>
        <w:top w:val="none" w:sz="0" w:space="0" w:color="auto"/>
        <w:left w:val="none" w:sz="0" w:space="0" w:color="auto"/>
        <w:bottom w:val="none" w:sz="0" w:space="0" w:color="auto"/>
        <w:right w:val="none" w:sz="0" w:space="0" w:color="auto"/>
      </w:divBdr>
    </w:div>
    <w:div w:id="1374113271">
      <w:bodyDiv w:val="1"/>
      <w:marLeft w:val="0"/>
      <w:marRight w:val="0"/>
      <w:marTop w:val="0"/>
      <w:marBottom w:val="0"/>
      <w:divBdr>
        <w:top w:val="none" w:sz="0" w:space="0" w:color="auto"/>
        <w:left w:val="none" w:sz="0" w:space="0" w:color="auto"/>
        <w:bottom w:val="none" w:sz="0" w:space="0" w:color="auto"/>
        <w:right w:val="none" w:sz="0" w:space="0" w:color="auto"/>
      </w:divBdr>
    </w:div>
    <w:div w:id="1380206442">
      <w:bodyDiv w:val="1"/>
      <w:marLeft w:val="0"/>
      <w:marRight w:val="0"/>
      <w:marTop w:val="0"/>
      <w:marBottom w:val="0"/>
      <w:divBdr>
        <w:top w:val="none" w:sz="0" w:space="0" w:color="auto"/>
        <w:left w:val="none" w:sz="0" w:space="0" w:color="auto"/>
        <w:bottom w:val="none" w:sz="0" w:space="0" w:color="auto"/>
        <w:right w:val="none" w:sz="0" w:space="0" w:color="auto"/>
      </w:divBdr>
    </w:div>
    <w:div w:id="1388186154">
      <w:bodyDiv w:val="1"/>
      <w:marLeft w:val="0"/>
      <w:marRight w:val="0"/>
      <w:marTop w:val="0"/>
      <w:marBottom w:val="0"/>
      <w:divBdr>
        <w:top w:val="none" w:sz="0" w:space="0" w:color="auto"/>
        <w:left w:val="none" w:sz="0" w:space="0" w:color="auto"/>
        <w:bottom w:val="none" w:sz="0" w:space="0" w:color="auto"/>
        <w:right w:val="none" w:sz="0" w:space="0" w:color="auto"/>
      </w:divBdr>
    </w:div>
    <w:div w:id="1389302421">
      <w:bodyDiv w:val="1"/>
      <w:marLeft w:val="0"/>
      <w:marRight w:val="0"/>
      <w:marTop w:val="0"/>
      <w:marBottom w:val="0"/>
      <w:divBdr>
        <w:top w:val="none" w:sz="0" w:space="0" w:color="auto"/>
        <w:left w:val="none" w:sz="0" w:space="0" w:color="auto"/>
        <w:bottom w:val="none" w:sz="0" w:space="0" w:color="auto"/>
        <w:right w:val="none" w:sz="0" w:space="0" w:color="auto"/>
      </w:divBdr>
    </w:div>
    <w:div w:id="1391536925">
      <w:bodyDiv w:val="1"/>
      <w:marLeft w:val="0"/>
      <w:marRight w:val="0"/>
      <w:marTop w:val="0"/>
      <w:marBottom w:val="0"/>
      <w:divBdr>
        <w:top w:val="none" w:sz="0" w:space="0" w:color="auto"/>
        <w:left w:val="none" w:sz="0" w:space="0" w:color="auto"/>
        <w:bottom w:val="none" w:sz="0" w:space="0" w:color="auto"/>
        <w:right w:val="none" w:sz="0" w:space="0" w:color="auto"/>
      </w:divBdr>
    </w:div>
    <w:div w:id="1393430354">
      <w:bodyDiv w:val="1"/>
      <w:marLeft w:val="0"/>
      <w:marRight w:val="0"/>
      <w:marTop w:val="0"/>
      <w:marBottom w:val="0"/>
      <w:divBdr>
        <w:top w:val="none" w:sz="0" w:space="0" w:color="auto"/>
        <w:left w:val="none" w:sz="0" w:space="0" w:color="auto"/>
        <w:bottom w:val="none" w:sz="0" w:space="0" w:color="auto"/>
        <w:right w:val="none" w:sz="0" w:space="0" w:color="auto"/>
      </w:divBdr>
    </w:div>
    <w:div w:id="1394036528">
      <w:bodyDiv w:val="1"/>
      <w:marLeft w:val="0"/>
      <w:marRight w:val="0"/>
      <w:marTop w:val="0"/>
      <w:marBottom w:val="0"/>
      <w:divBdr>
        <w:top w:val="none" w:sz="0" w:space="0" w:color="auto"/>
        <w:left w:val="none" w:sz="0" w:space="0" w:color="auto"/>
        <w:bottom w:val="none" w:sz="0" w:space="0" w:color="auto"/>
        <w:right w:val="none" w:sz="0" w:space="0" w:color="auto"/>
      </w:divBdr>
    </w:div>
    <w:div w:id="1394306902">
      <w:bodyDiv w:val="1"/>
      <w:marLeft w:val="0"/>
      <w:marRight w:val="0"/>
      <w:marTop w:val="0"/>
      <w:marBottom w:val="0"/>
      <w:divBdr>
        <w:top w:val="none" w:sz="0" w:space="0" w:color="auto"/>
        <w:left w:val="none" w:sz="0" w:space="0" w:color="auto"/>
        <w:bottom w:val="none" w:sz="0" w:space="0" w:color="auto"/>
        <w:right w:val="none" w:sz="0" w:space="0" w:color="auto"/>
      </w:divBdr>
    </w:div>
    <w:div w:id="1400595024">
      <w:bodyDiv w:val="1"/>
      <w:marLeft w:val="0"/>
      <w:marRight w:val="0"/>
      <w:marTop w:val="0"/>
      <w:marBottom w:val="0"/>
      <w:divBdr>
        <w:top w:val="none" w:sz="0" w:space="0" w:color="auto"/>
        <w:left w:val="none" w:sz="0" w:space="0" w:color="auto"/>
        <w:bottom w:val="none" w:sz="0" w:space="0" w:color="auto"/>
        <w:right w:val="none" w:sz="0" w:space="0" w:color="auto"/>
      </w:divBdr>
    </w:div>
    <w:div w:id="1408960354">
      <w:bodyDiv w:val="1"/>
      <w:marLeft w:val="0"/>
      <w:marRight w:val="0"/>
      <w:marTop w:val="0"/>
      <w:marBottom w:val="0"/>
      <w:divBdr>
        <w:top w:val="none" w:sz="0" w:space="0" w:color="auto"/>
        <w:left w:val="none" w:sz="0" w:space="0" w:color="auto"/>
        <w:bottom w:val="none" w:sz="0" w:space="0" w:color="auto"/>
        <w:right w:val="none" w:sz="0" w:space="0" w:color="auto"/>
      </w:divBdr>
    </w:div>
    <w:div w:id="1411542992">
      <w:bodyDiv w:val="1"/>
      <w:marLeft w:val="0"/>
      <w:marRight w:val="0"/>
      <w:marTop w:val="0"/>
      <w:marBottom w:val="0"/>
      <w:divBdr>
        <w:top w:val="none" w:sz="0" w:space="0" w:color="auto"/>
        <w:left w:val="none" w:sz="0" w:space="0" w:color="auto"/>
        <w:bottom w:val="none" w:sz="0" w:space="0" w:color="auto"/>
        <w:right w:val="none" w:sz="0" w:space="0" w:color="auto"/>
      </w:divBdr>
    </w:div>
    <w:div w:id="1433865996">
      <w:bodyDiv w:val="1"/>
      <w:marLeft w:val="0"/>
      <w:marRight w:val="0"/>
      <w:marTop w:val="0"/>
      <w:marBottom w:val="0"/>
      <w:divBdr>
        <w:top w:val="none" w:sz="0" w:space="0" w:color="auto"/>
        <w:left w:val="none" w:sz="0" w:space="0" w:color="auto"/>
        <w:bottom w:val="none" w:sz="0" w:space="0" w:color="auto"/>
        <w:right w:val="none" w:sz="0" w:space="0" w:color="auto"/>
      </w:divBdr>
    </w:div>
    <w:div w:id="1447503513">
      <w:bodyDiv w:val="1"/>
      <w:marLeft w:val="0"/>
      <w:marRight w:val="0"/>
      <w:marTop w:val="0"/>
      <w:marBottom w:val="0"/>
      <w:divBdr>
        <w:top w:val="none" w:sz="0" w:space="0" w:color="auto"/>
        <w:left w:val="none" w:sz="0" w:space="0" w:color="auto"/>
        <w:bottom w:val="none" w:sz="0" w:space="0" w:color="auto"/>
        <w:right w:val="none" w:sz="0" w:space="0" w:color="auto"/>
      </w:divBdr>
    </w:div>
    <w:div w:id="1462071256">
      <w:bodyDiv w:val="1"/>
      <w:marLeft w:val="0"/>
      <w:marRight w:val="0"/>
      <w:marTop w:val="0"/>
      <w:marBottom w:val="0"/>
      <w:divBdr>
        <w:top w:val="none" w:sz="0" w:space="0" w:color="auto"/>
        <w:left w:val="none" w:sz="0" w:space="0" w:color="auto"/>
        <w:bottom w:val="none" w:sz="0" w:space="0" w:color="auto"/>
        <w:right w:val="none" w:sz="0" w:space="0" w:color="auto"/>
      </w:divBdr>
    </w:div>
    <w:div w:id="1465539893">
      <w:bodyDiv w:val="1"/>
      <w:marLeft w:val="0"/>
      <w:marRight w:val="0"/>
      <w:marTop w:val="0"/>
      <w:marBottom w:val="0"/>
      <w:divBdr>
        <w:top w:val="none" w:sz="0" w:space="0" w:color="auto"/>
        <w:left w:val="none" w:sz="0" w:space="0" w:color="auto"/>
        <w:bottom w:val="none" w:sz="0" w:space="0" w:color="auto"/>
        <w:right w:val="none" w:sz="0" w:space="0" w:color="auto"/>
      </w:divBdr>
    </w:div>
    <w:div w:id="1466893534">
      <w:bodyDiv w:val="1"/>
      <w:marLeft w:val="0"/>
      <w:marRight w:val="0"/>
      <w:marTop w:val="0"/>
      <w:marBottom w:val="0"/>
      <w:divBdr>
        <w:top w:val="none" w:sz="0" w:space="0" w:color="auto"/>
        <w:left w:val="none" w:sz="0" w:space="0" w:color="auto"/>
        <w:bottom w:val="none" w:sz="0" w:space="0" w:color="auto"/>
        <w:right w:val="none" w:sz="0" w:space="0" w:color="auto"/>
      </w:divBdr>
    </w:div>
    <w:div w:id="1469934788">
      <w:bodyDiv w:val="1"/>
      <w:marLeft w:val="0"/>
      <w:marRight w:val="0"/>
      <w:marTop w:val="0"/>
      <w:marBottom w:val="0"/>
      <w:divBdr>
        <w:top w:val="none" w:sz="0" w:space="0" w:color="auto"/>
        <w:left w:val="none" w:sz="0" w:space="0" w:color="auto"/>
        <w:bottom w:val="none" w:sz="0" w:space="0" w:color="auto"/>
        <w:right w:val="none" w:sz="0" w:space="0" w:color="auto"/>
      </w:divBdr>
    </w:div>
    <w:div w:id="1474714626">
      <w:bodyDiv w:val="1"/>
      <w:marLeft w:val="0"/>
      <w:marRight w:val="0"/>
      <w:marTop w:val="0"/>
      <w:marBottom w:val="0"/>
      <w:divBdr>
        <w:top w:val="none" w:sz="0" w:space="0" w:color="auto"/>
        <w:left w:val="none" w:sz="0" w:space="0" w:color="auto"/>
        <w:bottom w:val="none" w:sz="0" w:space="0" w:color="auto"/>
        <w:right w:val="none" w:sz="0" w:space="0" w:color="auto"/>
      </w:divBdr>
    </w:div>
    <w:div w:id="1479759845">
      <w:bodyDiv w:val="1"/>
      <w:marLeft w:val="0"/>
      <w:marRight w:val="0"/>
      <w:marTop w:val="0"/>
      <w:marBottom w:val="0"/>
      <w:divBdr>
        <w:top w:val="none" w:sz="0" w:space="0" w:color="auto"/>
        <w:left w:val="none" w:sz="0" w:space="0" w:color="auto"/>
        <w:bottom w:val="none" w:sz="0" w:space="0" w:color="auto"/>
        <w:right w:val="none" w:sz="0" w:space="0" w:color="auto"/>
      </w:divBdr>
    </w:div>
    <w:div w:id="1480883126">
      <w:bodyDiv w:val="1"/>
      <w:marLeft w:val="0"/>
      <w:marRight w:val="0"/>
      <w:marTop w:val="0"/>
      <w:marBottom w:val="0"/>
      <w:divBdr>
        <w:top w:val="none" w:sz="0" w:space="0" w:color="auto"/>
        <w:left w:val="none" w:sz="0" w:space="0" w:color="auto"/>
        <w:bottom w:val="none" w:sz="0" w:space="0" w:color="auto"/>
        <w:right w:val="none" w:sz="0" w:space="0" w:color="auto"/>
      </w:divBdr>
    </w:div>
    <w:div w:id="1490096775">
      <w:bodyDiv w:val="1"/>
      <w:marLeft w:val="0"/>
      <w:marRight w:val="0"/>
      <w:marTop w:val="0"/>
      <w:marBottom w:val="0"/>
      <w:divBdr>
        <w:top w:val="none" w:sz="0" w:space="0" w:color="auto"/>
        <w:left w:val="none" w:sz="0" w:space="0" w:color="auto"/>
        <w:bottom w:val="none" w:sz="0" w:space="0" w:color="auto"/>
        <w:right w:val="none" w:sz="0" w:space="0" w:color="auto"/>
      </w:divBdr>
    </w:div>
    <w:div w:id="1502544873">
      <w:bodyDiv w:val="1"/>
      <w:marLeft w:val="0"/>
      <w:marRight w:val="0"/>
      <w:marTop w:val="0"/>
      <w:marBottom w:val="0"/>
      <w:divBdr>
        <w:top w:val="none" w:sz="0" w:space="0" w:color="auto"/>
        <w:left w:val="none" w:sz="0" w:space="0" w:color="auto"/>
        <w:bottom w:val="none" w:sz="0" w:space="0" w:color="auto"/>
        <w:right w:val="none" w:sz="0" w:space="0" w:color="auto"/>
      </w:divBdr>
    </w:div>
    <w:div w:id="1517890644">
      <w:bodyDiv w:val="1"/>
      <w:marLeft w:val="0"/>
      <w:marRight w:val="0"/>
      <w:marTop w:val="0"/>
      <w:marBottom w:val="0"/>
      <w:divBdr>
        <w:top w:val="none" w:sz="0" w:space="0" w:color="auto"/>
        <w:left w:val="none" w:sz="0" w:space="0" w:color="auto"/>
        <w:bottom w:val="none" w:sz="0" w:space="0" w:color="auto"/>
        <w:right w:val="none" w:sz="0" w:space="0" w:color="auto"/>
      </w:divBdr>
    </w:div>
    <w:div w:id="1519468700">
      <w:bodyDiv w:val="1"/>
      <w:marLeft w:val="0"/>
      <w:marRight w:val="0"/>
      <w:marTop w:val="0"/>
      <w:marBottom w:val="0"/>
      <w:divBdr>
        <w:top w:val="none" w:sz="0" w:space="0" w:color="auto"/>
        <w:left w:val="none" w:sz="0" w:space="0" w:color="auto"/>
        <w:bottom w:val="none" w:sz="0" w:space="0" w:color="auto"/>
        <w:right w:val="none" w:sz="0" w:space="0" w:color="auto"/>
      </w:divBdr>
    </w:div>
    <w:div w:id="1521776618">
      <w:bodyDiv w:val="1"/>
      <w:marLeft w:val="0"/>
      <w:marRight w:val="0"/>
      <w:marTop w:val="0"/>
      <w:marBottom w:val="0"/>
      <w:divBdr>
        <w:top w:val="none" w:sz="0" w:space="0" w:color="auto"/>
        <w:left w:val="none" w:sz="0" w:space="0" w:color="auto"/>
        <w:bottom w:val="none" w:sz="0" w:space="0" w:color="auto"/>
        <w:right w:val="none" w:sz="0" w:space="0" w:color="auto"/>
      </w:divBdr>
    </w:div>
    <w:div w:id="1526557697">
      <w:bodyDiv w:val="1"/>
      <w:marLeft w:val="0"/>
      <w:marRight w:val="0"/>
      <w:marTop w:val="0"/>
      <w:marBottom w:val="0"/>
      <w:divBdr>
        <w:top w:val="none" w:sz="0" w:space="0" w:color="auto"/>
        <w:left w:val="none" w:sz="0" w:space="0" w:color="auto"/>
        <w:bottom w:val="none" w:sz="0" w:space="0" w:color="auto"/>
        <w:right w:val="none" w:sz="0" w:space="0" w:color="auto"/>
      </w:divBdr>
    </w:div>
    <w:div w:id="1531189036">
      <w:bodyDiv w:val="1"/>
      <w:marLeft w:val="0"/>
      <w:marRight w:val="0"/>
      <w:marTop w:val="0"/>
      <w:marBottom w:val="0"/>
      <w:divBdr>
        <w:top w:val="none" w:sz="0" w:space="0" w:color="auto"/>
        <w:left w:val="none" w:sz="0" w:space="0" w:color="auto"/>
        <w:bottom w:val="none" w:sz="0" w:space="0" w:color="auto"/>
        <w:right w:val="none" w:sz="0" w:space="0" w:color="auto"/>
      </w:divBdr>
    </w:div>
    <w:div w:id="1539703484">
      <w:bodyDiv w:val="1"/>
      <w:marLeft w:val="0"/>
      <w:marRight w:val="0"/>
      <w:marTop w:val="0"/>
      <w:marBottom w:val="0"/>
      <w:divBdr>
        <w:top w:val="none" w:sz="0" w:space="0" w:color="auto"/>
        <w:left w:val="none" w:sz="0" w:space="0" w:color="auto"/>
        <w:bottom w:val="none" w:sz="0" w:space="0" w:color="auto"/>
        <w:right w:val="none" w:sz="0" w:space="0" w:color="auto"/>
      </w:divBdr>
    </w:div>
    <w:div w:id="1540313600">
      <w:bodyDiv w:val="1"/>
      <w:marLeft w:val="0"/>
      <w:marRight w:val="0"/>
      <w:marTop w:val="0"/>
      <w:marBottom w:val="0"/>
      <w:divBdr>
        <w:top w:val="none" w:sz="0" w:space="0" w:color="auto"/>
        <w:left w:val="none" w:sz="0" w:space="0" w:color="auto"/>
        <w:bottom w:val="none" w:sz="0" w:space="0" w:color="auto"/>
        <w:right w:val="none" w:sz="0" w:space="0" w:color="auto"/>
      </w:divBdr>
    </w:div>
    <w:div w:id="1554194396">
      <w:bodyDiv w:val="1"/>
      <w:marLeft w:val="0"/>
      <w:marRight w:val="0"/>
      <w:marTop w:val="0"/>
      <w:marBottom w:val="0"/>
      <w:divBdr>
        <w:top w:val="none" w:sz="0" w:space="0" w:color="auto"/>
        <w:left w:val="none" w:sz="0" w:space="0" w:color="auto"/>
        <w:bottom w:val="none" w:sz="0" w:space="0" w:color="auto"/>
        <w:right w:val="none" w:sz="0" w:space="0" w:color="auto"/>
      </w:divBdr>
    </w:div>
    <w:div w:id="1558930202">
      <w:bodyDiv w:val="1"/>
      <w:marLeft w:val="0"/>
      <w:marRight w:val="0"/>
      <w:marTop w:val="0"/>
      <w:marBottom w:val="0"/>
      <w:divBdr>
        <w:top w:val="none" w:sz="0" w:space="0" w:color="auto"/>
        <w:left w:val="none" w:sz="0" w:space="0" w:color="auto"/>
        <w:bottom w:val="none" w:sz="0" w:space="0" w:color="auto"/>
        <w:right w:val="none" w:sz="0" w:space="0" w:color="auto"/>
      </w:divBdr>
    </w:div>
    <w:div w:id="1559321125">
      <w:bodyDiv w:val="1"/>
      <w:marLeft w:val="0"/>
      <w:marRight w:val="0"/>
      <w:marTop w:val="0"/>
      <w:marBottom w:val="0"/>
      <w:divBdr>
        <w:top w:val="none" w:sz="0" w:space="0" w:color="auto"/>
        <w:left w:val="none" w:sz="0" w:space="0" w:color="auto"/>
        <w:bottom w:val="none" w:sz="0" w:space="0" w:color="auto"/>
        <w:right w:val="none" w:sz="0" w:space="0" w:color="auto"/>
      </w:divBdr>
    </w:div>
    <w:div w:id="1562399747">
      <w:bodyDiv w:val="1"/>
      <w:marLeft w:val="0"/>
      <w:marRight w:val="0"/>
      <w:marTop w:val="0"/>
      <w:marBottom w:val="0"/>
      <w:divBdr>
        <w:top w:val="none" w:sz="0" w:space="0" w:color="auto"/>
        <w:left w:val="none" w:sz="0" w:space="0" w:color="auto"/>
        <w:bottom w:val="none" w:sz="0" w:space="0" w:color="auto"/>
        <w:right w:val="none" w:sz="0" w:space="0" w:color="auto"/>
      </w:divBdr>
    </w:div>
    <w:div w:id="1563105018">
      <w:bodyDiv w:val="1"/>
      <w:marLeft w:val="0"/>
      <w:marRight w:val="0"/>
      <w:marTop w:val="0"/>
      <w:marBottom w:val="0"/>
      <w:divBdr>
        <w:top w:val="none" w:sz="0" w:space="0" w:color="auto"/>
        <w:left w:val="none" w:sz="0" w:space="0" w:color="auto"/>
        <w:bottom w:val="none" w:sz="0" w:space="0" w:color="auto"/>
        <w:right w:val="none" w:sz="0" w:space="0" w:color="auto"/>
      </w:divBdr>
    </w:div>
    <w:div w:id="1567186723">
      <w:bodyDiv w:val="1"/>
      <w:marLeft w:val="0"/>
      <w:marRight w:val="0"/>
      <w:marTop w:val="0"/>
      <w:marBottom w:val="0"/>
      <w:divBdr>
        <w:top w:val="none" w:sz="0" w:space="0" w:color="auto"/>
        <w:left w:val="none" w:sz="0" w:space="0" w:color="auto"/>
        <w:bottom w:val="none" w:sz="0" w:space="0" w:color="auto"/>
        <w:right w:val="none" w:sz="0" w:space="0" w:color="auto"/>
      </w:divBdr>
    </w:div>
    <w:div w:id="1569271025">
      <w:bodyDiv w:val="1"/>
      <w:marLeft w:val="0"/>
      <w:marRight w:val="0"/>
      <w:marTop w:val="0"/>
      <w:marBottom w:val="0"/>
      <w:divBdr>
        <w:top w:val="none" w:sz="0" w:space="0" w:color="auto"/>
        <w:left w:val="none" w:sz="0" w:space="0" w:color="auto"/>
        <w:bottom w:val="none" w:sz="0" w:space="0" w:color="auto"/>
        <w:right w:val="none" w:sz="0" w:space="0" w:color="auto"/>
      </w:divBdr>
    </w:div>
    <w:div w:id="1581140716">
      <w:bodyDiv w:val="1"/>
      <w:marLeft w:val="0"/>
      <w:marRight w:val="0"/>
      <w:marTop w:val="0"/>
      <w:marBottom w:val="0"/>
      <w:divBdr>
        <w:top w:val="none" w:sz="0" w:space="0" w:color="auto"/>
        <w:left w:val="none" w:sz="0" w:space="0" w:color="auto"/>
        <w:bottom w:val="none" w:sz="0" w:space="0" w:color="auto"/>
        <w:right w:val="none" w:sz="0" w:space="0" w:color="auto"/>
      </w:divBdr>
    </w:div>
    <w:div w:id="1582374816">
      <w:bodyDiv w:val="1"/>
      <w:marLeft w:val="0"/>
      <w:marRight w:val="0"/>
      <w:marTop w:val="0"/>
      <w:marBottom w:val="0"/>
      <w:divBdr>
        <w:top w:val="none" w:sz="0" w:space="0" w:color="auto"/>
        <w:left w:val="none" w:sz="0" w:space="0" w:color="auto"/>
        <w:bottom w:val="none" w:sz="0" w:space="0" w:color="auto"/>
        <w:right w:val="none" w:sz="0" w:space="0" w:color="auto"/>
      </w:divBdr>
    </w:div>
    <w:div w:id="1583829379">
      <w:bodyDiv w:val="1"/>
      <w:marLeft w:val="0"/>
      <w:marRight w:val="0"/>
      <w:marTop w:val="0"/>
      <w:marBottom w:val="0"/>
      <w:divBdr>
        <w:top w:val="none" w:sz="0" w:space="0" w:color="auto"/>
        <w:left w:val="none" w:sz="0" w:space="0" w:color="auto"/>
        <w:bottom w:val="none" w:sz="0" w:space="0" w:color="auto"/>
        <w:right w:val="none" w:sz="0" w:space="0" w:color="auto"/>
      </w:divBdr>
    </w:div>
    <w:div w:id="1584947900">
      <w:bodyDiv w:val="1"/>
      <w:marLeft w:val="0"/>
      <w:marRight w:val="0"/>
      <w:marTop w:val="0"/>
      <w:marBottom w:val="0"/>
      <w:divBdr>
        <w:top w:val="none" w:sz="0" w:space="0" w:color="auto"/>
        <w:left w:val="none" w:sz="0" w:space="0" w:color="auto"/>
        <w:bottom w:val="none" w:sz="0" w:space="0" w:color="auto"/>
        <w:right w:val="none" w:sz="0" w:space="0" w:color="auto"/>
      </w:divBdr>
    </w:div>
    <w:div w:id="1589926219">
      <w:bodyDiv w:val="1"/>
      <w:marLeft w:val="0"/>
      <w:marRight w:val="0"/>
      <w:marTop w:val="0"/>
      <w:marBottom w:val="0"/>
      <w:divBdr>
        <w:top w:val="none" w:sz="0" w:space="0" w:color="auto"/>
        <w:left w:val="none" w:sz="0" w:space="0" w:color="auto"/>
        <w:bottom w:val="none" w:sz="0" w:space="0" w:color="auto"/>
        <w:right w:val="none" w:sz="0" w:space="0" w:color="auto"/>
      </w:divBdr>
    </w:div>
    <w:div w:id="1590306340">
      <w:bodyDiv w:val="1"/>
      <w:marLeft w:val="0"/>
      <w:marRight w:val="0"/>
      <w:marTop w:val="0"/>
      <w:marBottom w:val="0"/>
      <w:divBdr>
        <w:top w:val="none" w:sz="0" w:space="0" w:color="auto"/>
        <w:left w:val="none" w:sz="0" w:space="0" w:color="auto"/>
        <w:bottom w:val="none" w:sz="0" w:space="0" w:color="auto"/>
        <w:right w:val="none" w:sz="0" w:space="0" w:color="auto"/>
      </w:divBdr>
    </w:div>
    <w:div w:id="1593008349">
      <w:bodyDiv w:val="1"/>
      <w:marLeft w:val="0"/>
      <w:marRight w:val="0"/>
      <w:marTop w:val="0"/>
      <w:marBottom w:val="0"/>
      <w:divBdr>
        <w:top w:val="none" w:sz="0" w:space="0" w:color="auto"/>
        <w:left w:val="none" w:sz="0" w:space="0" w:color="auto"/>
        <w:bottom w:val="none" w:sz="0" w:space="0" w:color="auto"/>
        <w:right w:val="none" w:sz="0" w:space="0" w:color="auto"/>
      </w:divBdr>
    </w:div>
    <w:div w:id="1595017805">
      <w:bodyDiv w:val="1"/>
      <w:marLeft w:val="0"/>
      <w:marRight w:val="0"/>
      <w:marTop w:val="0"/>
      <w:marBottom w:val="0"/>
      <w:divBdr>
        <w:top w:val="none" w:sz="0" w:space="0" w:color="auto"/>
        <w:left w:val="none" w:sz="0" w:space="0" w:color="auto"/>
        <w:bottom w:val="none" w:sz="0" w:space="0" w:color="auto"/>
        <w:right w:val="none" w:sz="0" w:space="0" w:color="auto"/>
      </w:divBdr>
    </w:div>
    <w:div w:id="1599288495">
      <w:bodyDiv w:val="1"/>
      <w:marLeft w:val="0"/>
      <w:marRight w:val="0"/>
      <w:marTop w:val="0"/>
      <w:marBottom w:val="0"/>
      <w:divBdr>
        <w:top w:val="none" w:sz="0" w:space="0" w:color="auto"/>
        <w:left w:val="none" w:sz="0" w:space="0" w:color="auto"/>
        <w:bottom w:val="none" w:sz="0" w:space="0" w:color="auto"/>
        <w:right w:val="none" w:sz="0" w:space="0" w:color="auto"/>
      </w:divBdr>
    </w:div>
    <w:div w:id="1601522863">
      <w:bodyDiv w:val="1"/>
      <w:marLeft w:val="0"/>
      <w:marRight w:val="0"/>
      <w:marTop w:val="0"/>
      <w:marBottom w:val="0"/>
      <w:divBdr>
        <w:top w:val="none" w:sz="0" w:space="0" w:color="auto"/>
        <w:left w:val="none" w:sz="0" w:space="0" w:color="auto"/>
        <w:bottom w:val="none" w:sz="0" w:space="0" w:color="auto"/>
        <w:right w:val="none" w:sz="0" w:space="0" w:color="auto"/>
      </w:divBdr>
    </w:div>
    <w:div w:id="1602646968">
      <w:bodyDiv w:val="1"/>
      <w:marLeft w:val="0"/>
      <w:marRight w:val="0"/>
      <w:marTop w:val="0"/>
      <w:marBottom w:val="0"/>
      <w:divBdr>
        <w:top w:val="none" w:sz="0" w:space="0" w:color="auto"/>
        <w:left w:val="none" w:sz="0" w:space="0" w:color="auto"/>
        <w:bottom w:val="none" w:sz="0" w:space="0" w:color="auto"/>
        <w:right w:val="none" w:sz="0" w:space="0" w:color="auto"/>
      </w:divBdr>
    </w:div>
    <w:div w:id="1611006261">
      <w:bodyDiv w:val="1"/>
      <w:marLeft w:val="0"/>
      <w:marRight w:val="0"/>
      <w:marTop w:val="0"/>
      <w:marBottom w:val="0"/>
      <w:divBdr>
        <w:top w:val="none" w:sz="0" w:space="0" w:color="auto"/>
        <w:left w:val="none" w:sz="0" w:space="0" w:color="auto"/>
        <w:bottom w:val="none" w:sz="0" w:space="0" w:color="auto"/>
        <w:right w:val="none" w:sz="0" w:space="0" w:color="auto"/>
      </w:divBdr>
    </w:div>
    <w:div w:id="1613122338">
      <w:bodyDiv w:val="1"/>
      <w:marLeft w:val="0"/>
      <w:marRight w:val="0"/>
      <w:marTop w:val="0"/>
      <w:marBottom w:val="0"/>
      <w:divBdr>
        <w:top w:val="none" w:sz="0" w:space="0" w:color="auto"/>
        <w:left w:val="none" w:sz="0" w:space="0" w:color="auto"/>
        <w:bottom w:val="none" w:sz="0" w:space="0" w:color="auto"/>
        <w:right w:val="none" w:sz="0" w:space="0" w:color="auto"/>
      </w:divBdr>
    </w:div>
    <w:div w:id="1629239473">
      <w:bodyDiv w:val="1"/>
      <w:marLeft w:val="0"/>
      <w:marRight w:val="0"/>
      <w:marTop w:val="0"/>
      <w:marBottom w:val="0"/>
      <w:divBdr>
        <w:top w:val="none" w:sz="0" w:space="0" w:color="auto"/>
        <w:left w:val="none" w:sz="0" w:space="0" w:color="auto"/>
        <w:bottom w:val="none" w:sz="0" w:space="0" w:color="auto"/>
        <w:right w:val="none" w:sz="0" w:space="0" w:color="auto"/>
      </w:divBdr>
    </w:div>
    <w:div w:id="1641184205">
      <w:bodyDiv w:val="1"/>
      <w:marLeft w:val="0"/>
      <w:marRight w:val="0"/>
      <w:marTop w:val="0"/>
      <w:marBottom w:val="0"/>
      <w:divBdr>
        <w:top w:val="none" w:sz="0" w:space="0" w:color="auto"/>
        <w:left w:val="none" w:sz="0" w:space="0" w:color="auto"/>
        <w:bottom w:val="none" w:sz="0" w:space="0" w:color="auto"/>
        <w:right w:val="none" w:sz="0" w:space="0" w:color="auto"/>
      </w:divBdr>
    </w:div>
    <w:div w:id="1643001087">
      <w:bodyDiv w:val="1"/>
      <w:marLeft w:val="0"/>
      <w:marRight w:val="0"/>
      <w:marTop w:val="0"/>
      <w:marBottom w:val="0"/>
      <w:divBdr>
        <w:top w:val="none" w:sz="0" w:space="0" w:color="auto"/>
        <w:left w:val="none" w:sz="0" w:space="0" w:color="auto"/>
        <w:bottom w:val="none" w:sz="0" w:space="0" w:color="auto"/>
        <w:right w:val="none" w:sz="0" w:space="0" w:color="auto"/>
      </w:divBdr>
    </w:div>
    <w:div w:id="1650859782">
      <w:bodyDiv w:val="1"/>
      <w:marLeft w:val="0"/>
      <w:marRight w:val="0"/>
      <w:marTop w:val="0"/>
      <w:marBottom w:val="0"/>
      <w:divBdr>
        <w:top w:val="none" w:sz="0" w:space="0" w:color="auto"/>
        <w:left w:val="none" w:sz="0" w:space="0" w:color="auto"/>
        <w:bottom w:val="none" w:sz="0" w:space="0" w:color="auto"/>
        <w:right w:val="none" w:sz="0" w:space="0" w:color="auto"/>
      </w:divBdr>
    </w:div>
    <w:div w:id="1652058239">
      <w:bodyDiv w:val="1"/>
      <w:marLeft w:val="0"/>
      <w:marRight w:val="0"/>
      <w:marTop w:val="0"/>
      <w:marBottom w:val="0"/>
      <w:divBdr>
        <w:top w:val="none" w:sz="0" w:space="0" w:color="auto"/>
        <w:left w:val="none" w:sz="0" w:space="0" w:color="auto"/>
        <w:bottom w:val="none" w:sz="0" w:space="0" w:color="auto"/>
        <w:right w:val="none" w:sz="0" w:space="0" w:color="auto"/>
      </w:divBdr>
    </w:div>
    <w:div w:id="1656716964">
      <w:bodyDiv w:val="1"/>
      <w:marLeft w:val="0"/>
      <w:marRight w:val="0"/>
      <w:marTop w:val="0"/>
      <w:marBottom w:val="0"/>
      <w:divBdr>
        <w:top w:val="none" w:sz="0" w:space="0" w:color="auto"/>
        <w:left w:val="none" w:sz="0" w:space="0" w:color="auto"/>
        <w:bottom w:val="none" w:sz="0" w:space="0" w:color="auto"/>
        <w:right w:val="none" w:sz="0" w:space="0" w:color="auto"/>
      </w:divBdr>
    </w:div>
    <w:div w:id="1657220257">
      <w:bodyDiv w:val="1"/>
      <w:marLeft w:val="0"/>
      <w:marRight w:val="0"/>
      <w:marTop w:val="0"/>
      <w:marBottom w:val="0"/>
      <w:divBdr>
        <w:top w:val="none" w:sz="0" w:space="0" w:color="auto"/>
        <w:left w:val="none" w:sz="0" w:space="0" w:color="auto"/>
        <w:bottom w:val="none" w:sz="0" w:space="0" w:color="auto"/>
        <w:right w:val="none" w:sz="0" w:space="0" w:color="auto"/>
      </w:divBdr>
    </w:div>
    <w:div w:id="1666398480">
      <w:bodyDiv w:val="1"/>
      <w:marLeft w:val="0"/>
      <w:marRight w:val="0"/>
      <w:marTop w:val="0"/>
      <w:marBottom w:val="0"/>
      <w:divBdr>
        <w:top w:val="none" w:sz="0" w:space="0" w:color="auto"/>
        <w:left w:val="none" w:sz="0" w:space="0" w:color="auto"/>
        <w:bottom w:val="none" w:sz="0" w:space="0" w:color="auto"/>
        <w:right w:val="none" w:sz="0" w:space="0" w:color="auto"/>
      </w:divBdr>
    </w:div>
    <w:div w:id="1679186424">
      <w:bodyDiv w:val="1"/>
      <w:marLeft w:val="0"/>
      <w:marRight w:val="0"/>
      <w:marTop w:val="0"/>
      <w:marBottom w:val="0"/>
      <w:divBdr>
        <w:top w:val="none" w:sz="0" w:space="0" w:color="auto"/>
        <w:left w:val="none" w:sz="0" w:space="0" w:color="auto"/>
        <w:bottom w:val="none" w:sz="0" w:space="0" w:color="auto"/>
        <w:right w:val="none" w:sz="0" w:space="0" w:color="auto"/>
      </w:divBdr>
    </w:div>
    <w:div w:id="1687098040">
      <w:bodyDiv w:val="1"/>
      <w:marLeft w:val="0"/>
      <w:marRight w:val="0"/>
      <w:marTop w:val="0"/>
      <w:marBottom w:val="0"/>
      <w:divBdr>
        <w:top w:val="none" w:sz="0" w:space="0" w:color="auto"/>
        <w:left w:val="none" w:sz="0" w:space="0" w:color="auto"/>
        <w:bottom w:val="none" w:sz="0" w:space="0" w:color="auto"/>
        <w:right w:val="none" w:sz="0" w:space="0" w:color="auto"/>
      </w:divBdr>
    </w:div>
    <w:div w:id="1696492934">
      <w:bodyDiv w:val="1"/>
      <w:marLeft w:val="0"/>
      <w:marRight w:val="0"/>
      <w:marTop w:val="0"/>
      <w:marBottom w:val="0"/>
      <w:divBdr>
        <w:top w:val="none" w:sz="0" w:space="0" w:color="auto"/>
        <w:left w:val="none" w:sz="0" w:space="0" w:color="auto"/>
        <w:bottom w:val="none" w:sz="0" w:space="0" w:color="auto"/>
        <w:right w:val="none" w:sz="0" w:space="0" w:color="auto"/>
      </w:divBdr>
    </w:div>
    <w:div w:id="1704475929">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
    <w:div w:id="1712920088">
      <w:bodyDiv w:val="1"/>
      <w:marLeft w:val="0"/>
      <w:marRight w:val="0"/>
      <w:marTop w:val="0"/>
      <w:marBottom w:val="0"/>
      <w:divBdr>
        <w:top w:val="none" w:sz="0" w:space="0" w:color="auto"/>
        <w:left w:val="none" w:sz="0" w:space="0" w:color="auto"/>
        <w:bottom w:val="none" w:sz="0" w:space="0" w:color="auto"/>
        <w:right w:val="none" w:sz="0" w:space="0" w:color="auto"/>
      </w:divBdr>
    </w:div>
    <w:div w:id="1717777180">
      <w:bodyDiv w:val="1"/>
      <w:marLeft w:val="0"/>
      <w:marRight w:val="0"/>
      <w:marTop w:val="0"/>
      <w:marBottom w:val="0"/>
      <w:divBdr>
        <w:top w:val="none" w:sz="0" w:space="0" w:color="auto"/>
        <w:left w:val="none" w:sz="0" w:space="0" w:color="auto"/>
        <w:bottom w:val="none" w:sz="0" w:space="0" w:color="auto"/>
        <w:right w:val="none" w:sz="0" w:space="0" w:color="auto"/>
      </w:divBdr>
    </w:div>
    <w:div w:id="1721130519">
      <w:bodyDiv w:val="1"/>
      <w:marLeft w:val="0"/>
      <w:marRight w:val="0"/>
      <w:marTop w:val="0"/>
      <w:marBottom w:val="0"/>
      <w:divBdr>
        <w:top w:val="none" w:sz="0" w:space="0" w:color="auto"/>
        <w:left w:val="none" w:sz="0" w:space="0" w:color="auto"/>
        <w:bottom w:val="none" w:sz="0" w:space="0" w:color="auto"/>
        <w:right w:val="none" w:sz="0" w:space="0" w:color="auto"/>
      </w:divBdr>
    </w:div>
    <w:div w:id="1726757597">
      <w:bodyDiv w:val="1"/>
      <w:marLeft w:val="0"/>
      <w:marRight w:val="0"/>
      <w:marTop w:val="0"/>
      <w:marBottom w:val="0"/>
      <w:divBdr>
        <w:top w:val="none" w:sz="0" w:space="0" w:color="auto"/>
        <w:left w:val="none" w:sz="0" w:space="0" w:color="auto"/>
        <w:bottom w:val="none" w:sz="0" w:space="0" w:color="auto"/>
        <w:right w:val="none" w:sz="0" w:space="0" w:color="auto"/>
      </w:divBdr>
    </w:div>
    <w:div w:id="1727341498">
      <w:bodyDiv w:val="1"/>
      <w:marLeft w:val="0"/>
      <w:marRight w:val="0"/>
      <w:marTop w:val="0"/>
      <w:marBottom w:val="0"/>
      <w:divBdr>
        <w:top w:val="none" w:sz="0" w:space="0" w:color="auto"/>
        <w:left w:val="none" w:sz="0" w:space="0" w:color="auto"/>
        <w:bottom w:val="none" w:sz="0" w:space="0" w:color="auto"/>
        <w:right w:val="none" w:sz="0" w:space="0" w:color="auto"/>
      </w:divBdr>
    </w:div>
    <w:div w:id="1727753186">
      <w:bodyDiv w:val="1"/>
      <w:marLeft w:val="0"/>
      <w:marRight w:val="0"/>
      <w:marTop w:val="0"/>
      <w:marBottom w:val="0"/>
      <w:divBdr>
        <w:top w:val="none" w:sz="0" w:space="0" w:color="auto"/>
        <w:left w:val="none" w:sz="0" w:space="0" w:color="auto"/>
        <w:bottom w:val="none" w:sz="0" w:space="0" w:color="auto"/>
        <w:right w:val="none" w:sz="0" w:space="0" w:color="auto"/>
      </w:divBdr>
    </w:div>
    <w:div w:id="1734624556">
      <w:bodyDiv w:val="1"/>
      <w:marLeft w:val="0"/>
      <w:marRight w:val="0"/>
      <w:marTop w:val="0"/>
      <w:marBottom w:val="0"/>
      <w:divBdr>
        <w:top w:val="none" w:sz="0" w:space="0" w:color="auto"/>
        <w:left w:val="none" w:sz="0" w:space="0" w:color="auto"/>
        <w:bottom w:val="none" w:sz="0" w:space="0" w:color="auto"/>
        <w:right w:val="none" w:sz="0" w:space="0" w:color="auto"/>
      </w:divBdr>
    </w:div>
    <w:div w:id="1737898895">
      <w:bodyDiv w:val="1"/>
      <w:marLeft w:val="0"/>
      <w:marRight w:val="0"/>
      <w:marTop w:val="0"/>
      <w:marBottom w:val="0"/>
      <w:divBdr>
        <w:top w:val="none" w:sz="0" w:space="0" w:color="auto"/>
        <w:left w:val="none" w:sz="0" w:space="0" w:color="auto"/>
        <w:bottom w:val="none" w:sz="0" w:space="0" w:color="auto"/>
        <w:right w:val="none" w:sz="0" w:space="0" w:color="auto"/>
      </w:divBdr>
    </w:div>
    <w:div w:id="1739748131">
      <w:bodyDiv w:val="1"/>
      <w:marLeft w:val="0"/>
      <w:marRight w:val="0"/>
      <w:marTop w:val="0"/>
      <w:marBottom w:val="0"/>
      <w:divBdr>
        <w:top w:val="none" w:sz="0" w:space="0" w:color="auto"/>
        <w:left w:val="none" w:sz="0" w:space="0" w:color="auto"/>
        <w:bottom w:val="none" w:sz="0" w:space="0" w:color="auto"/>
        <w:right w:val="none" w:sz="0" w:space="0" w:color="auto"/>
      </w:divBdr>
    </w:div>
    <w:div w:id="1765571660">
      <w:bodyDiv w:val="1"/>
      <w:marLeft w:val="0"/>
      <w:marRight w:val="0"/>
      <w:marTop w:val="0"/>
      <w:marBottom w:val="0"/>
      <w:divBdr>
        <w:top w:val="none" w:sz="0" w:space="0" w:color="auto"/>
        <w:left w:val="none" w:sz="0" w:space="0" w:color="auto"/>
        <w:bottom w:val="none" w:sz="0" w:space="0" w:color="auto"/>
        <w:right w:val="none" w:sz="0" w:space="0" w:color="auto"/>
      </w:divBdr>
    </w:div>
    <w:div w:id="1766342745">
      <w:bodyDiv w:val="1"/>
      <w:marLeft w:val="0"/>
      <w:marRight w:val="0"/>
      <w:marTop w:val="0"/>
      <w:marBottom w:val="0"/>
      <w:divBdr>
        <w:top w:val="none" w:sz="0" w:space="0" w:color="auto"/>
        <w:left w:val="none" w:sz="0" w:space="0" w:color="auto"/>
        <w:bottom w:val="none" w:sz="0" w:space="0" w:color="auto"/>
        <w:right w:val="none" w:sz="0" w:space="0" w:color="auto"/>
      </w:divBdr>
    </w:div>
    <w:div w:id="1771657618">
      <w:bodyDiv w:val="1"/>
      <w:marLeft w:val="0"/>
      <w:marRight w:val="0"/>
      <w:marTop w:val="0"/>
      <w:marBottom w:val="0"/>
      <w:divBdr>
        <w:top w:val="none" w:sz="0" w:space="0" w:color="auto"/>
        <w:left w:val="none" w:sz="0" w:space="0" w:color="auto"/>
        <w:bottom w:val="none" w:sz="0" w:space="0" w:color="auto"/>
        <w:right w:val="none" w:sz="0" w:space="0" w:color="auto"/>
      </w:divBdr>
    </w:div>
    <w:div w:id="1772703831">
      <w:bodyDiv w:val="1"/>
      <w:marLeft w:val="0"/>
      <w:marRight w:val="0"/>
      <w:marTop w:val="0"/>
      <w:marBottom w:val="0"/>
      <w:divBdr>
        <w:top w:val="none" w:sz="0" w:space="0" w:color="auto"/>
        <w:left w:val="none" w:sz="0" w:space="0" w:color="auto"/>
        <w:bottom w:val="none" w:sz="0" w:space="0" w:color="auto"/>
        <w:right w:val="none" w:sz="0" w:space="0" w:color="auto"/>
      </w:divBdr>
    </w:div>
    <w:div w:id="1774281346">
      <w:bodyDiv w:val="1"/>
      <w:marLeft w:val="0"/>
      <w:marRight w:val="0"/>
      <w:marTop w:val="0"/>
      <w:marBottom w:val="0"/>
      <w:divBdr>
        <w:top w:val="none" w:sz="0" w:space="0" w:color="auto"/>
        <w:left w:val="none" w:sz="0" w:space="0" w:color="auto"/>
        <w:bottom w:val="none" w:sz="0" w:space="0" w:color="auto"/>
        <w:right w:val="none" w:sz="0" w:space="0" w:color="auto"/>
      </w:divBdr>
    </w:div>
    <w:div w:id="1776360714">
      <w:bodyDiv w:val="1"/>
      <w:marLeft w:val="0"/>
      <w:marRight w:val="0"/>
      <w:marTop w:val="0"/>
      <w:marBottom w:val="0"/>
      <w:divBdr>
        <w:top w:val="none" w:sz="0" w:space="0" w:color="auto"/>
        <w:left w:val="none" w:sz="0" w:space="0" w:color="auto"/>
        <w:bottom w:val="none" w:sz="0" w:space="0" w:color="auto"/>
        <w:right w:val="none" w:sz="0" w:space="0" w:color="auto"/>
      </w:divBdr>
    </w:div>
    <w:div w:id="1782383572">
      <w:bodyDiv w:val="1"/>
      <w:marLeft w:val="0"/>
      <w:marRight w:val="0"/>
      <w:marTop w:val="0"/>
      <w:marBottom w:val="0"/>
      <w:divBdr>
        <w:top w:val="none" w:sz="0" w:space="0" w:color="auto"/>
        <w:left w:val="none" w:sz="0" w:space="0" w:color="auto"/>
        <w:bottom w:val="none" w:sz="0" w:space="0" w:color="auto"/>
        <w:right w:val="none" w:sz="0" w:space="0" w:color="auto"/>
      </w:divBdr>
    </w:div>
    <w:div w:id="1784111536">
      <w:bodyDiv w:val="1"/>
      <w:marLeft w:val="0"/>
      <w:marRight w:val="0"/>
      <w:marTop w:val="0"/>
      <w:marBottom w:val="0"/>
      <w:divBdr>
        <w:top w:val="none" w:sz="0" w:space="0" w:color="auto"/>
        <w:left w:val="none" w:sz="0" w:space="0" w:color="auto"/>
        <w:bottom w:val="none" w:sz="0" w:space="0" w:color="auto"/>
        <w:right w:val="none" w:sz="0" w:space="0" w:color="auto"/>
      </w:divBdr>
    </w:div>
    <w:div w:id="1784959877">
      <w:bodyDiv w:val="1"/>
      <w:marLeft w:val="0"/>
      <w:marRight w:val="0"/>
      <w:marTop w:val="0"/>
      <w:marBottom w:val="0"/>
      <w:divBdr>
        <w:top w:val="none" w:sz="0" w:space="0" w:color="auto"/>
        <w:left w:val="none" w:sz="0" w:space="0" w:color="auto"/>
        <w:bottom w:val="none" w:sz="0" w:space="0" w:color="auto"/>
        <w:right w:val="none" w:sz="0" w:space="0" w:color="auto"/>
      </w:divBdr>
    </w:div>
    <w:div w:id="1798913576">
      <w:bodyDiv w:val="1"/>
      <w:marLeft w:val="0"/>
      <w:marRight w:val="0"/>
      <w:marTop w:val="0"/>
      <w:marBottom w:val="0"/>
      <w:divBdr>
        <w:top w:val="none" w:sz="0" w:space="0" w:color="auto"/>
        <w:left w:val="none" w:sz="0" w:space="0" w:color="auto"/>
        <w:bottom w:val="none" w:sz="0" w:space="0" w:color="auto"/>
        <w:right w:val="none" w:sz="0" w:space="0" w:color="auto"/>
      </w:divBdr>
    </w:div>
    <w:div w:id="1814828401">
      <w:bodyDiv w:val="1"/>
      <w:marLeft w:val="0"/>
      <w:marRight w:val="0"/>
      <w:marTop w:val="0"/>
      <w:marBottom w:val="0"/>
      <w:divBdr>
        <w:top w:val="none" w:sz="0" w:space="0" w:color="auto"/>
        <w:left w:val="none" w:sz="0" w:space="0" w:color="auto"/>
        <w:bottom w:val="none" w:sz="0" w:space="0" w:color="auto"/>
        <w:right w:val="none" w:sz="0" w:space="0" w:color="auto"/>
      </w:divBdr>
    </w:div>
    <w:div w:id="1820268794">
      <w:bodyDiv w:val="1"/>
      <w:marLeft w:val="0"/>
      <w:marRight w:val="0"/>
      <w:marTop w:val="0"/>
      <w:marBottom w:val="0"/>
      <w:divBdr>
        <w:top w:val="none" w:sz="0" w:space="0" w:color="auto"/>
        <w:left w:val="none" w:sz="0" w:space="0" w:color="auto"/>
        <w:bottom w:val="none" w:sz="0" w:space="0" w:color="auto"/>
        <w:right w:val="none" w:sz="0" w:space="0" w:color="auto"/>
      </w:divBdr>
    </w:div>
    <w:div w:id="1831560772">
      <w:bodyDiv w:val="1"/>
      <w:marLeft w:val="0"/>
      <w:marRight w:val="0"/>
      <w:marTop w:val="0"/>
      <w:marBottom w:val="0"/>
      <w:divBdr>
        <w:top w:val="none" w:sz="0" w:space="0" w:color="auto"/>
        <w:left w:val="none" w:sz="0" w:space="0" w:color="auto"/>
        <w:bottom w:val="none" w:sz="0" w:space="0" w:color="auto"/>
        <w:right w:val="none" w:sz="0" w:space="0" w:color="auto"/>
      </w:divBdr>
    </w:div>
    <w:div w:id="1839150160">
      <w:bodyDiv w:val="1"/>
      <w:marLeft w:val="0"/>
      <w:marRight w:val="0"/>
      <w:marTop w:val="0"/>
      <w:marBottom w:val="0"/>
      <w:divBdr>
        <w:top w:val="none" w:sz="0" w:space="0" w:color="auto"/>
        <w:left w:val="none" w:sz="0" w:space="0" w:color="auto"/>
        <w:bottom w:val="none" w:sz="0" w:space="0" w:color="auto"/>
        <w:right w:val="none" w:sz="0" w:space="0" w:color="auto"/>
      </w:divBdr>
    </w:div>
    <w:div w:id="1853176542">
      <w:bodyDiv w:val="1"/>
      <w:marLeft w:val="0"/>
      <w:marRight w:val="0"/>
      <w:marTop w:val="0"/>
      <w:marBottom w:val="0"/>
      <w:divBdr>
        <w:top w:val="none" w:sz="0" w:space="0" w:color="auto"/>
        <w:left w:val="none" w:sz="0" w:space="0" w:color="auto"/>
        <w:bottom w:val="none" w:sz="0" w:space="0" w:color="auto"/>
        <w:right w:val="none" w:sz="0" w:space="0" w:color="auto"/>
      </w:divBdr>
    </w:div>
    <w:div w:id="1861888924">
      <w:bodyDiv w:val="1"/>
      <w:marLeft w:val="0"/>
      <w:marRight w:val="0"/>
      <w:marTop w:val="0"/>
      <w:marBottom w:val="0"/>
      <w:divBdr>
        <w:top w:val="none" w:sz="0" w:space="0" w:color="auto"/>
        <w:left w:val="none" w:sz="0" w:space="0" w:color="auto"/>
        <w:bottom w:val="none" w:sz="0" w:space="0" w:color="auto"/>
        <w:right w:val="none" w:sz="0" w:space="0" w:color="auto"/>
      </w:divBdr>
    </w:div>
    <w:div w:id="1862356200">
      <w:bodyDiv w:val="1"/>
      <w:marLeft w:val="0"/>
      <w:marRight w:val="0"/>
      <w:marTop w:val="0"/>
      <w:marBottom w:val="0"/>
      <w:divBdr>
        <w:top w:val="none" w:sz="0" w:space="0" w:color="auto"/>
        <w:left w:val="none" w:sz="0" w:space="0" w:color="auto"/>
        <w:bottom w:val="none" w:sz="0" w:space="0" w:color="auto"/>
        <w:right w:val="none" w:sz="0" w:space="0" w:color="auto"/>
      </w:divBdr>
    </w:div>
    <w:div w:id="1862935271">
      <w:bodyDiv w:val="1"/>
      <w:marLeft w:val="0"/>
      <w:marRight w:val="0"/>
      <w:marTop w:val="0"/>
      <w:marBottom w:val="0"/>
      <w:divBdr>
        <w:top w:val="none" w:sz="0" w:space="0" w:color="auto"/>
        <w:left w:val="none" w:sz="0" w:space="0" w:color="auto"/>
        <w:bottom w:val="none" w:sz="0" w:space="0" w:color="auto"/>
        <w:right w:val="none" w:sz="0" w:space="0" w:color="auto"/>
      </w:divBdr>
    </w:div>
    <w:div w:id="1867253582">
      <w:bodyDiv w:val="1"/>
      <w:marLeft w:val="0"/>
      <w:marRight w:val="0"/>
      <w:marTop w:val="0"/>
      <w:marBottom w:val="0"/>
      <w:divBdr>
        <w:top w:val="none" w:sz="0" w:space="0" w:color="auto"/>
        <w:left w:val="none" w:sz="0" w:space="0" w:color="auto"/>
        <w:bottom w:val="none" w:sz="0" w:space="0" w:color="auto"/>
        <w:right w:val="none" w:sz="0" w:space="0" w:color="auto"/>
      </w:divBdr>
    </w:div>
    <w:div w:id="1867988268">
      <w:bodyDiv w:val="1"/>
      <w:marLeft w:val="0"/>
      <w:marRight w:val="0"/>
      <w:marTop w:val="0"/>
      <w:marBottom w:val="0"/>
      <w:divBdr>
        <w:top w:val="none" w:sz="0" w:space="0" w:color="auto"/>
        <w:left w:val="none" w:sz="0" w:space="0" w:color="auto"/>
        <w:bottom w:val="none" w:sz="0" w:space="0" w:color="auto"/>
        <w:right w:val="none" w:sz="0" w:space="0" w:color="auto"/>
      </w:divBdr>
    </w:div>
    <w:div w:id="1870143343">
      <w:bodyDiv w:val="1"/>
      <w:marLeft w:val="0"/>
      <w:marRight w:val="0"/>
      <w:marTop w:val="0"/>
      <w:marBottom w:val="0"/>
      <w:divBdr>
        <w:top w:val="none" w:sz="0" w:space="0" w:color="auto"/>
        <w:left w:val="none" w:sz="0" w:space="0" w:color="auto"/>
        <w:bottom w:val="none" w:sz="0" w:space="0" w:color="auto"/>
        <w:right w:val="none" w:sz="0" w:space="0" w:color="auto"/>
      </w:divBdr>
    </w:div>
    <w:div w:id="1871915344">
      <w:bodyDiv w:val="1"/>
      <w:marLeft w:val="0"/>
      <w:marRight w:val="0"/>
      <w:marTop w:val="0"/>
      <w:marBottom w:val="0"/>
      <w:divBdr>
        <w:top w:val="none" w:sz="0" w:space="0" w:color="auto"/>
        <w:left w:val="none" w:sz="0" w:space="0" w:color="auto"/>
        <w:bottom w:val="none" w:sz="0" w:space="0" w:color="auto"/>
        <w:right w:val="none" w:sz="0" w:space="0" w:color="auto"/>
      </w:divBdr>
    </w:div>
    <w:div w:id="1878813885">
      <w:bodyDiv w:val="1"/>
      <w:marLeft w:val="0"/>
      <w:marRight w:val="0"/>
      <w:marTop w:val="0"/>
      <w:marBottom w:val="0"/>
      <w:divBdr>
        <w:top w:val="none" w:sz="0" w:space="0" w:color="auto"/>
        <w:left w:val="none" w:sz="0" w:space="0" w:color="auto"/>
        <w:bottom w:val="none" w:sz="0" w:space="0" w:color="auto"/>
        <w:right w:val="none" w:sz="0" w:space="0" w:color="auto"/>
      </w:divBdr>
    </w:div>
    <w:div w:id="1885020414">
      <w:bodyDiv w:val="1"/>
      <w:marLeft w:val="0"/>
      <w:marRight w:val="0"/>
      <w:marTop w:val="0"/>
      <w:marBottom w:val="0"/>
      <w:divBdr>
        <w:top w:val="none" w:sz="0" w:space="0" w:color="auto"/>
        <w:left w:val="none" w:sz="0" w:space="0" w:color="auto"/>
        <w:bottom w:val="none" w:sz="0" w:space="0" w:color="auto"/>
        <w:right w:val="none" w:sz="0" w:space="0" w:color="auto"/>
      </w:divBdr>
    </w:div>
    <w:div w:id="1885483566">
      <w:bodyDiv w:val="1"/>
      <w:marLeft w:val="0"/>
      <w:marRight w:val="0"/>
      <w:marTop w:val="0"/>
      <w:marBottom w:val="0"/>
      <w:divBdr>
        <w:top w:val="none" w:sz="0" w:space="0" w:color="auto"/>
        <w:left w:val="none" w:sz="0" w:space="0" w:color="auto"/>
        <w:bottom w:val="none" w:sz="0" w:space="0" w:color="auto"/>
        <w:right w:val="none" w:sz="0" w:space="0" w:color="auto"/>
      </w:divBdr>
    </w:div>
    <w:div w:id="1894269175">
      <w:bodyDiv w:val="1"/>
      <w:marLeft w:val="0"/>
      <w:marRight w:val="0"/>
      <w:marTop w:val="0"/>
      <w:marBottom w:val="0"/>
      <w:divBdr>
        <w:top w:val="none" w:sz="0" w:space="0" w:color="auto"/>
        <w:left w:val="none" w:sz="0" w:space="0" w:color="auto"/>
        <w:bottom w:val="none" w:sz="0" w:space="0" w:color="auto"/>
        <w:right w:val="none" w:sz="0" w:space="0" w:color="auto"/>
      </w:divBdr>
    </w:div>
    <w:div w:id="1900631125">
      <w:bodyDiv w:val="1"/>
      <w:marLeft w:val="0"/>
      <w:marRight w:val="0"/>
      <w:marTop w:val="0"/>
      <w:marBottom w:val="0"/>
      <w:divBdr>
        <w:top w:val="none" w:sz="0" w:space="0" w:color="auto"/>
        <w:left w:val="none" w:sz="0" w:space="0" w:color="auto"/>
        <w:bottom w:val="none" w:sz="0" w:space="0" w:color="auto"/>
        <w:right w:val="none" w:sz="0" w:space="0" w:color="auto"/>
      </w:divBdr>
    </w:div>
    <w:div w:id="1913932398">
      <w:bodyDiv w:val="1"/>
      <w:marLeft w:val="0"/>
      <w:marRight w:val="0"/>
      <w:marTop w:val="0"/>
      <w:marBottom w:val="0"/>
      <w:divBdr>
        <w:top w:val="none" w:sz="0" w:space="0" w:color="auto"/>
        <w:left w:val="none" w:sz="0" w:space="0" w:color="auto"/>
        <w:bottom w:val="none" w:sz="0" w:space="0" w:color="auto"/>
        <w:right w:val="none" w:sz="0" w:space="0" w:color="auto"/>
      </w:divBdr>
    </w:div>
    <w:div w:id="1915357298">
      <w:bodyDiv w:val="1"/>
      <w:marLeft w:val="0"/>
      <w:marRight w:val="0"/>
      <w:marTop w:val="0"/>
      <w:marBottom w:val="0"/>
      <w:divBdr>
        <w:top w:val="none" w:sz="0" w:space="0" w:color="auto"/>
        <w:left w:val="none" w:sz="0" w:space="0" w:color="auto"/>
        <w:bottom w:val="none" w:sz="0" w:space="0" w:color="auto"/>
        <w:right w:val="none" w:sz="0" w:space="0" w:color="auto"/>
      </w:divBdr>
    </w:div>
    <w:div w:id="1923104157">
      <w:bodyDiv w:val="1"/>
      <w:marLeft w:val="0"/>
      <w:marRight w:val="0"/>
      <w:marTop w:val="0"/>
      <w:marBottom w:val="0"/>
      <w:divBdr>
        <w:top w:val="none" w:sz="0" w:space="0" w:color="auto"/>
        <w:left w:val="none" w:sz="0" w:space="0" w:color="auto"/>
        <w:bottom w:val="none" w:sz="0" w:space="0" w:color="auto"/>
        <w:right w:val="none" w:sz="0" w:space="0" w:color="auto"/>
      </w:divBdr>
    </w:div>
    <w:div w:id="1924336611">
      <w:bodyDiv w:val="1"/>
      <w:marLeft w:val="0"/>
      <w:marRight w:val="0"/>
      <w:marTop w:val="0"/>
      <w:marBottom w:val="0"/>
      <w:divBdr>
        <w:top w:val="none" w:sz="0" w:space="0" w:color="auto"/>
        <w:left w:val="none" w:sz="0" w:space="0" w:color="auto"/>
        <w:bottom w:val="none" w:sz="0" w:space="0" w:color="auto"/>
        <w:right w:val="none" w:sz="0" w:space="0" w:color="auto"/>
      </w:divBdr>
    </w:div>
    <w:div w:id="1933196515">
      <w:bodyDiv w:val="1"/>
      <w:marLeft w:val="0"/>
      <w:marRight w:val="0"/>
      <w:marTop w:val="0"/>
      <w:marBottom w:val="0"/>
      <w:divBdr>
        <w:top w:val="none" w:sz="0" w:space="0" w:color="auto"/>
        <w:left w:val="none" w:sz="0" w:space="0" w:color="auto"/>
        <w:bottom w:val="none" w:sz="0" w:space="0" w:color="auto"/>
        <w:right w:val="none" w:sz="0" w:space="0" w:color="auto"/>
      </w:divBdr>
    </w:div>
    <w:div w:id="1945261696">
      <w:bodyDiv w:val="1"/>
      <w:marLeft w:val="0"/>
      <w:marRight w:val="0"/>
      <w:marTop w:val="0"/>
      <w:marBottom w:val="0"/>
      <w:divBdr>
        <w:top w:val="none" w:sz="0" w:space="0" w:color="auto"/>
        <w:left w:val="none" w:sz="0" w:space="0" w:color="auto"/>
        <w:bottom w:val="none" w:sz="0" w:space="0" w:color="auto"/>
        <w:right w:val="none" w:sz="0" w:space="0" w:color="auto"/>
      </w:divBdr>
    </w:div>
    <w:div w:id="1947348472">
      <w:bodyDiv w:val="1"/>
      <w:marLeft w:val="0"/>
      <w:marRight w:val="0"/>
      <w:marTop w:val="0"/>
      <w:marBottom w:val="0"/>
      <w:divBdr>
        <w:top w:val="none" w:sz="0" w:space="0" w:color="auto"/>
        <w:left w:val="none" w:sz="0" w:space="0" w:color="auto"/>
        <w:bottom w:val="none" w:sz="0" w:space="0" w:color="auto"/>
        <w:right w:val="none" w:sz="0" w:space="0" w:color="auto"/>
      </w:divBdr>
    </w:div>
    <w:div w:id="1951744226">
      <w:bodyDiv w:val="1"/>
      <w:marLeft w:val="0"/>
      <w:marRight w:val="0"/>
      <w:marTop w:val="0"/>
      <w:marBottom w:val="0"/>
      <w:divBdr>
        <w:top w:val="none" w:sz="0" w:space="0" w:color="auto"/>
        <w:left w:val="none" w:sz="0" w:space="0" w:color="auto"/>
        <w:bottom w:val="none" w:sz="0" w:space="0" w:color="auto"/>
        <w:right w:val="none" w:sz="0" w:space="0" w:color="auto"/>
      </w:divBdr>
    </w:div>
    <w:div w:id="1956055764">
      <w:bodyDiv w:val="1"/>
      <w:marLeft w:val="0"/>
      <w:marRight w:val="0"/>
      <w:marTop w:val="0"/>
      <w:marBottom w:val="0"/>
      <w:divBdr>
        <w:top w:val="none" w:sz="0" w:space="0" w:color="auto"/>
        <w:left w:val="none" w:sz="0" w:space="0" w:color="auto"/>
        <w:bottom w:val="none" w:sz="0" w:space="0" w:color="auto"/>
        <w:right w:val="none" w:sz="0" w:space="0" w:color="auto"/>
      </w:divBdr>
    </w:div>
    <w:div w:id="1958175133">
      <w:bodyDiv w:val="1"/>
      <w:marLeft w:val="0"/>
      <w:marRight w:val="0"/>
      <w:marTop w:val="0"/>
      <w:marBottom w:val="0"/>
      <w:divBdr>
        <w:top w:val="none" w:sz="0" w:space="0" w:color="auto"/>
        <w:left w:val="none" w:sz="0" w:space="0" w:color="auto"/>
        <w:bottom w:val="none" w:sz="0" w:space="0" w:color="auto"/>
        <w:right w:val="none" w:sz="0" w:space="0" w:color="auto"/>
      </w:divBdr>
    </w:div>
    <w:div w:id="1962682821">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67542674">
      <w:bodyDiv w:val="1"/>
      <w:marLeft w:val="0"/>
      <w:marRight w:val="0"/>
      <w:marTop w:val="0"/>
      <w:marBottom w:val="0"/>
      <w:divBdr>
        <w:top w:val="none" w:sz="0" w:space="0" w:color="auto"/>
        <w:left w:val="none" w:sz="0" w:space="0" w:color="auto"/>
        <w:bottom w:val="none" w:sz="0" w:space="0" w:color="auto"/>
        <w:right w:val="none" w:sz="0" w:space="0" w:color="auto"/>
      </w:divBdr>
    </w:div>
    <w:div w:id="1977374301">
      <w:bodyDiv w:val="1"/>
      <w:marLeft w:val="0"/>
      <w:marRight w:val="0"/>
      <w:marTop w:val="0"/>
      <w:marBottom w:val="0"/>
      <w:divBdr>
        <w:top w:val="none" w:sz="0" w:space="0" w:color="auto"/>
        <w:left w:val="none" w:sz="0" w:space="0" w:color="auto"/>
        <w:bottom w:val="none" w:sz="0" w:space="0" w:color="auto"/>
        <w:right w:val="none" w:sz="0" w:space="0" w:color="auto"/>
      </w:divBdr>
    </w:div>
    <w:div w:id="1979719912">
      <w:bodyDiv w:val="1"/>
      <w:marLeft w:val="0"/>
      <w:marRight w:val="0"/>
      <w:marTop w:val="0"/>
      <w:marBottom w:val="0"/>
      <w:divBdr>
        <w:top w:val="none" w:sz="0" w:space="0" w:color="auto"/>
        <w:left w:val="none" w:sz="0" w:space="0" w:color="auto"/>
        <w:bottom w:val="none" w:sz="0" w:space="0" w:color="auto"/>
        <w:right w:val="none" w:sz="0" w:space="0" w:color="auto"/>
      </w:divBdr>
    </w:div>
    <w:div w:id="1986884594">
      <w:bodyDiv w:val="1"/>
      <w:marLeft w:val="0"/>
      <w:marRight w:val="0"/>
      <w:marTop w:val="0"/>
      <w:marBottom w:val="0"/>
      <w:divBdr>
        <w:top w:val="none" w:sz="0" w:space="0" w:color="auto"/>
        <w:left w:val="none" w:sz="0" w:space="0" w:color="auto"/>
        <w:bottom w:val="none" w:sz="0" w:space="0" w:color="auto"/>
        <w:right w:val="none" w:sz="0" w:space="0" w:color="auto"/>
      </w:divBdr>
    </w:div>
    <w:div w:id="1987931220">
      <w:bodyDiv w:val="1"/>
      <w:marLeft w:val="0"/>
      <w:marRight w:val="0"/>
      <w:marTop w:val="0"/>
      <w:marBottom w:val="0"/>
      <w:divBdr>
        <w:top w:val="none" w:sz="0" w:space="0" w:color="auto"/>
        <w:left w:val="none" w:sz="0" w:space="0" w:color="auto"/>
        <w:bottom w:val="none" w:sz="0" w:space="0" w:color="auto"/>
        <w:right w:val="none" w:sz="0" w:space="0" w:color="auto"/>
      </w:divBdr>
    </w:div>
    <w:div w:id="1990595030">
      <w:bodyDiv w:val="1"/>
      <w:marLeft w:val="0"/>
      <w:marRight w:val="0"/>
      <w:marTop w:val="0"/>
      <w:marBottom w:val="0"/>
      <w:divBdr>
        <w:top w:val="none" w:sz="0" w:space="0" w:color="auto"/>
        <w:left w:val="none" w:sz="0" w:space="0" w:color="auto"/>
        <w:bottom w:val="none" w:sz="0" w:space="0" w:color="auto"/>
        <w:right w:val="none" w:sz="0" w:space="0" w:color="auto"/>
      </w:divBdr>
    </w:div>
    <w:div w:id="1994526185">
      <w:bodyDiv w:val="1"/>
      <w:marLeft w:val="0"/>
      <w:marRight w:val="0"/>
      <w:marTop w:val="0"/>
      <w:marBottom w:val="0"/>
      <w:divBdr>
        <w:top w:val="none" w:sz="0" w:space="0" w:color="auto"/>
        <w:left w:val="none" w:sz="0" w:space="0" w:color="auto"/>
        <w:bottom w:val="none" w:sz="0" w:space="0" w:color="auto"/>
        <w:right w:val="none" w:sz="0" w:space="0" w:color="auto"/>
      </w:divBdr>
    </w:div>
    <w:div w:id="1995252202">
      <w:bodyDiv w:val="1"/>
      <w:marLeft w:val="0"/>
      <w:marRight w:val="0"/>
      <w:marTop w:val="0"/>
      <w:marBottom w:val="0"/>
      <w:divBdr>
        <w:top w:val="none" w:sz="0" w:space="0" w:color="auto"/>
        <w:left w:val="none" w:sz="0" w:space="0" w:color="auto"/>
        <w:bottom w:val="none" w:sz="0" w:space="0" w:color="auto"/>
        <w:right w:val="none" w:sz="0" w:space="0" w:color="auto"/>
      </w:divBdr>
    </w:div>
    <w:div w:id="1999843275">
      <w:bodyDiv w:val="1"/>
      <w:marLeft w:val="0"/>
      <w:marRight w:val="0"/>
      <w:marTop w:val="0"/>
      <w:marBottom w:val="0"/>
      <w:divBdr>
        <w:top w:val="none" w:sz="0" w:space="0" w:color="auto"/>
        <w:left w:val="none" w:sz="0" w:space="0" w:color="auto"/>
        <w:bottom w:val="none" w:sz="0" w:space="0" w:color="auto"/>
        <w:right w:val="none" w:sz="0" w:space="0" w:color="auto"/>
      </w:divBdr>
    </w:div>
    <w:div w:id="2006739814">
      <w:bodyDiv w:val="1"/>
      <w:marLeft w:val="0"/>
      <w:marRight w:val="0"/>
      <w:marTop w:val="0"/>
      <w:marBottom w:val="0"/>
      <w:divBdr>
        <w:top w:val="none" w:sz="0" w:space="0" w:color="auto"/>
        <w:left w:val="none" w:sz="0" w:space="0" w:color="auto"/>
        <w:bottom w:val="none" w:sz="0" w:space="0" w:color="auto"/>
        <w:right w:val="none" w:sz="0" w:space="0" w:color="auto"/>
      </w:divBdr>
    </w:div>
    <w:div w:id="2007173149">
      <w:bodyDiv w:val="1"/>
      <w:marLeft w:val="0"/>
      <w:marRight w:val="0"/>
      <w:marTop w:val="0"/>
      <w:marBottom w:val="0"/>
      <w:divBdr>
        <w:top w:val="none" w:sz="0" w:space="0" w:color="auto"/>
        <w:left w:val="none" w:sz="0" w:space="0" w:color="auto"/>
        <w:bottom w:val="none" w:sz="0" w:space="0" w:color="auto"/>
        <w:right w:val="none" w:sz="0" w:space="0" w:color="auto"/>
      </w:divBdr>
    </w:div>
    <w:div w:id="2008314788">
      <w:bodyDiv w:val="1"/>
      <w:marLeft w:val="0"/>
      <w:marRight w:val="0"/>
      <w:marTop w:val="0"/>
      <w:marBottom w:val="0"/>
      <w:divBdr>
        <w:top w:val="none" w:sz="0" w:space="0" w:color="auto"/>
        <w:left w:val="none" w:sz="0" w:space="0" w:color="auto"/>
        <w:bottom w:val="none" w:sz="0" w:space="0" w:color="auto"/>
        <w:right w:val="none" w:sz="0" w:space="0" w:color="auto"/>
      </w:divBdr>
    </w:div>
    <w:div w:id="2010324590">
      <w:bodyDiv w:val="1"/>
      <w:marLeft w:val="0"/>
      <w:marRight w:val="0"/>
      <w:marTop w:val="0"/>
      <w:marBottom w:val="0"/>
      <w:divBdr>
        <w:top w:val="none" w:sz="0" w:space="0" w:color="auto"/>
        <w:left w:val="none" w:sz="0" w:space="0" w:color="auto"/>
        <w:bottom w:val="none" w:sz="0" w:space="0" w:color="auto"/>
        <w:right w:val="none" w:sz="0" w:space="0" w:color="auto"/>
      </w:divBdr>
    </w:div>
    <w:div w:id="2014793381">
      <w:bodyDiv w:val="1"/>
      <w:marLeft w:val="0"/>
      <w:marRight w:val="0"/>
      <w:marTop w:val="0"/>
      <w:marBottom w:val="0"/>
      <w:divBdr>
        <w:top w:val="none" w:sz="0" w:space="0" w:color="auto"/>
        <w:left w:val="none" w:sz="0" w:space="0" w:color="auto"/>
        <w:bottom w:val="none" w:sz="0" w:space="0" w:color="auto"/>
        <w:right w:val="none" w:sz="0" w:space="0" w:color="auto"/>
      </w:divBdr>
    </w:div>
    <w:div w:id="2017608194">
      <w:bodyDiv w:val="1"/>
      <w:marLeft w:val="0"/>
      <w:marRight w:val="0"/>
      <w:marTop w:val="0"/>
      <w:marBottom w:val="0"/>
      <w:divBdr>
        <w:top w:val="none" w:sz="0" w:space="0" w:color="auto"/>
        <w:left w:val="none" w:sz="0" w:space="0" w:color="auto"/>
        <w:bottom w:val="none" w:sz="0" w:space="0" w:color="auto"/>
        <w:right w:val="none" w:sz="0" w:space="0" w:color="auto"/>
      </w:divBdr>
    </w:div>
    <w:div w:id="2031027058">
      <w:bodyDiv w:val="1"/>
      <w:marLeft w:val="0"/>
      <w:marRight w:val="0"/>
      <w:marTop w:val="0"/>
      <w:marBottom w:val="0"/>
      <w:divBdr>
        <w:top w:val="none" w:sz="0" w:space="0" w:color="auto"/>
        <w:left w:val="none" w:sz="0" w:space="0" w:color="auto"/>
        <w:bottom w:val="none" w:sz="0" w:space="0" w:color="auto"/>
        <w:right w:val="none" w:sz="0" w:space="0" w:color="auto"/>
      </w:divBdr>
    </w:div>
    <w:div w:id="2038966589">
      <w:bodyDiv w:val="1"/>
      <w:marLeft w:val="0"/>
      <w:marRight w:val="0"/>
      <w:marTop w:val="0"/>
      <w:marBottom w:val="0"/>
      <w:divBdr>
        <w:top w:val="none" w:sz="0" w:space="0" w:color="auto"/>
        <w:left w:val="none" w:sz="0" w:space="0" w:color="auto"/>
        <w:bottom w:val="none" w:sz="0" w:space="0" w:color="auto"/>
        <w:right w:val="none" w:sz="0" w:space="0" w:color="auto"/>
      </w:divBdr>
    </w:div>
    <w:div w:id="2044556079">
      <w:bodyDiv w:val="1"/>
      <w:marLeft w:val="0"/>
      <w:marRight w:val="0"/>
      <w:marTop w:val="0"/>
      <w:marBottom w:val="0"/>
      <w:divBdr>
        <w:top w:val="none" w:sz="0" w:space="0" w:color="auto"/>
        <w:left w:val="none" w:sz="0" w:space="0" w:color="auto"/>
        <w:bottom w:val="none" w:sz="0" w:space="0" w:color="auto"/>
        <w:right w:val="none" w:sz="0" w:space="0" w:color="auto"/>
      </w:divBdr>
    </w:div>
    <w:div w:id="2050639511">
      <w:bodyDiv w:val="1"/>
      <w:marLeft w:val="0"/>
      <w:marRight w:val="0"/>
      <w:marTop w:val="0"/>
      <w:marBottom w:val="0"/>
      <w:divBdr>
        <w:top w:val="none" w:sz="0" w:space="0" w:color="auto"/>
        <w:left w:val="none" w:sz="0" w:space="0" w:color="auto"/>
        <w:bottom w:val="none" w:sz="0" w:space="0" w:color="auto"/>
        <w:right w:val="none" w:sz="0" w:space="0" w:color="auto"/>
      </w:divBdr>
    </w:div>
    <w:div w:id="2052144611">
      <w:bodyDiv w:val="1"/>
      <w:marLeft w:val="0"/>
      <w:marRight w:val="0"/>
      <w:marTop w:val="0"/>
      <w:marBottom w:val="0"/>
      <w:divBdr>
        <w:top w:val="none" w:sz="0" w:space="0" w:color="auto"/>
        <w:left w:val="none" w:sz="0" w:space="0" w:color="auto"/>
        <w:bottom w:val="none" w:sz="0" w:space="0" w:color="auto"/>
        <w:right w:val="none" w:sz="0" w:space="0" w:color="auto"/>
      </w:divBdr>
    </w:div>
    <w:div w:id="2052220577">
      <w:bodyDiv w:val="1"/>
      <w:marLeft w:val="0"/>
      <w:marRight w:val="0"/>
      <w:marTop w:val="0"/>
      <w:marBottom w:val="0"/>
      <w:divBdr>
        <w:top w:val="none" w:sz="0" w:space="0" w:color="auto"/>
        <w:left w:val="none" w:sz="0" w:space="0" w:color="auto"/>
        <w:bottom w:val="none" w:sz="0" w:space="0" w:color="auto"/>
        <w:right w:val="none" w:sz="0" w:space="0" w:color="auto"/>
      </w:divBdr>
    </w:div>
    <w:div w:id="2055999163">
      <w:bodyDiv w:val="1"/>
      <w:marLeft w:val="0"/>
      <w:marRight w:val="0"/>
      <w:marTop w:val="0"/>
      <w:marBottom w:val="0"/>
      <w:divBdr>
        <w:top w:val="none" w:sz="0" w:space="0" w:color="auto"/>
        <w:left w:val="none" w:sz="0" w:space="0" w:color="auto"/>
        <w:bottom w:val="none" w:sz="0" w:space="0" w:color="auto"/>
        <w:right w:val="none" w:sz="0" w:space="0" w:color="auto"/>
      </w:divBdr>
    </w:div>
    <w:div w:id="2057655583">
      <w:bodyDiv w:val="1"/>
      <w:marLeft w:val="0"/>
      <w:marRight w:val="0"/>
      <w:marTop w:val="0"/>
      <w:marBottom w:val="0"/>
      <w:divBdr>
        <w:top w:val="none" w:sz="0" w:space="0" w:color="auto"/>
        <w:left w:val="none" w:sz="0" w:space="0" w:color="auto"/>
        <w:bottom w:val="none" w:sz="0" w:space="0" w:color="auto"/>
        <w:right w:val="none" w:sz="0" w:space="0" w:color="auto"/>
      </w:divBdr>
    </w:div>
    <w:div w:id="2059281350">
      <w:bodyDiv w:val="1"/>
      <w:marLeft w:val="0"/>
      <w:marRight w:val="0"/>
      <w:marTop w:val="0"/>
      <w:marBottom w:val="0"/>
      <w:divBdr>
        <w:top w:val="none" w:sz="0" w:space="0" w:color="auto"/>
        <w:left w:val="none" w:sz="0" w:space="0" w:color="auto"/>
        <w:bottom w:val="none" w:sz="0" w:space="0" w:color="auto"/>
        <w:right w:val="none" w:sz="0" w:space="0" w:color="auto"/>
      </w:divBdr>
    </w:div>
    <w:div w:id="2067606982">
      <w:bodyDiv w:val="1"/>
      <w:marLeft w:val="0"/>
      <w:marRight w:val="0"/>
      <w:marTop w:val="0"/>
      <w:marBottom w:val="0"/>
      <w:divBdr>
        <w:top w:val="none" w:sz="0" w:space="0" w:color="auto"/>
        <w:left w:val="none" w:sz="0" w:space="0" w:color="auto"/>
        <w:bottom w:val="none" w:sz="0" w:space="0" w:color="auto"/>
        <w:right w:val="none" w:sz="0" w:space="0" w:color="auto"/>
      </w:divBdr>
    </w:div>
    <w:div w:id="2071536825">
      <w:bodyDiv w:val="1"/>
      <w:marLeft w:val="0"/>
      <w:marRight w:val="0"/>
      <w:marTop w:val="0"/>
      <w:marBottom w:val="0"/>
      <w:divBdr>
        <w:top w:val="none" w:sz="0" w:space="0" w:color="auto"/>
        <w:left w:val="none" w:sz="0" w:space="0" w:color="auto"/>
        <w:bottom w:val="none" w:sz="0" w:space="0" w:color="auto"/>
        <w:right w:val="none" w:sz="0" w:space="0" w:color="auto"/>
      </w:divBdr>
    </w:div>
    <w:div w:id="2082411999">
      <w:bodyDiv w:val="1"/>
      <w:marLeft w:val="0"/>
      <w:marRight w:val="0"/>
      <w:marTop w:val="0"/>
      <w:marBottom w:val="0"/>
      <w:divBdr>
        <w:top w:val="none" w:sz="0" w:space="0" w:color="auto"/>
        <w:left w:val="none" w:sz="0" w:space="0" w:color="auto"/>
        <w:bottom w:val="none" w:sz="0" w:space="0" w:color="auto"/>
        <w:right w:val="none" w:sz="0" w:space="0" w:color="auto"/>
      </w:divBdr>
    </w:div>
    <w:div w:id="2086492417">
      <w:bodyDiv w:val="1"/>
      <w:marLeft w:val="0"/>
      <w:marRight w:val="0"/>
      <w:marTop w:val="0"/>
      <w:marBottom w:val="0"/>
      <w:divBdr>
        <w:top w:val="none" w:sz="0" w:space="0" w:color="auto"/>
        <w:left w:val="none" w:sz="0" w:space="0" w:color="auto"/>
        <w:bottom w:val="none" w:sz="0" w:space="0" w:color="auto"/>
        <w:right w:val="none" w:sz="0" w:space="0" w:color="auto"/>
      </w:divBdr>
    </w:div>
    <w:div w:id="2088841750">
      <w:bodyDiv w:val="1"/>
      <w:marLeft w:val="0"/>
      <w:marRight w:val="0"/>
      <w:marTop w:val="0"/>
      <w:marBottom w:val="0"/>
      <w:divBdr>
        <w:top w:val="none" w:sz="0" w:space="0" w:color="auto"/>
        <w:left w:val="none" w:sz="0" w:space="0" w:color="auto"/>
        <w:bottom w:val="none" w:sz="0" w:space="0" w:color="auto"/>
        <w:right w:val="none" w:sz="0" w:space="0" w:color="auto"/>
      </w:divBdr>
    </w:div>
    <w:div w:id="2096396545">
      <w:bodyDiv w:val="1"/>
      <w:marLeft w:val="0"/>
      <w:marRight w:val="0"/>
      <w:marTop w:val="0"/>
      <w:marBottom w:val="0"/>
      <w:divBdr>
        <w:top w:val="none" w:sz="0" w:space="0" w:color="auto"/>
        <w:left w:val="none" w:sz="0" w:space="0" w:color="auto"/>
        <w:bottom w:val="none" w:sz="0" w:space="0" w:color="auto"/>
        <w:right w:val="none" w:sz="0" w:space="0" w:color="auto"/>
      </w:divBdr>
    </w:div>
    <w:div w:id="2100254096">
      <w:bodyDiv w:val="1"/>
      <w:marLeft w:val="0"/>
      <w:marRight w:val="0"/>
      <w:marTop w:val="0"/>
      <w:marBottom w:val="0"/>
      <w:divBdr>
        <w:top w:val="none" w:sz="0" w:space="0" w:color="auto"/>
        <w:left w:val="none" w:sz="0" w:space="0" w:color="auto"/>
        <w:bottom w:val="none" w:sz="0" w:space="0" w:color="auto"/>
        <w:right w:val="none" w:sz="0" w:space="0" w:color="auto"/>
      </w:divBdr>
    </w:div>
    <w:div w:id="2103720094">
      <w:bodyDiv w:val="1"/>
      <w:marLeft w:val="0"/>
      <w:marRight w:val="0"/>
      <w:marTop w:val="0"/>
      <w:marBottom w:val="0"/>
      <w:divBdr>
        <w:top w:val="none" w:sz="0" w:space="0" w:color="auto"/>
        <w:left w:val="none" w:sz="0" w:space="0" w:color="auto"/>
        <w:bottom w:val="none" w:sz="0" w:space="0" w:color="auto"/>
        <w:right w:val="none" w:sz="0" w:space="0" w:color="auto"/>
      </w:divBdr>
    </w:div>
    <w:div w:id="2110079980">
      <w:bodyDiv w:val="1"/>
      <w:marLeft w:val="0"/>
      <w:marRight w:val="0"/>
      <w:marTop w:val="0"/>
      <w:marBottom w:val="0"/>
      <w:divBdr>
        <w:top w:val="none" w:sz="0" w:space="0" w:color="auto"/>
        <w:left w:val="none" w:sz="0" w:space="0" w:color="auto"/>
        <w:bottom w:val="none" w:sz="0" w:space="0" w:color="auto"/>
        <w:right w:val="none" w:sz="0" w:space="0" w:color="auto"/>
      </w:divBdr>
    </w:div>
    <w:div w:id="2115515904">
      <w:bodyDiv w:val="1"/>
      <w:marLeft w:val="0"/>
      <w:marRight w:val="0"/>
      <w:marTop w:val="0"/>
      <w:marBottom w:val="0"/>
      <w:divBdr>
        <w:top w:val="none" w:sz="0" w:space="0" w:color="auto"/>
        <w:left w:val="none" w:sz="0" w:space="0" w:color="auto"/>
        <w:bottom w:val="none" w:sz="0" w:space="0" w:color="auto"/>
        <w:right w:val="none" w:sz="0" w:space="0" w:color="auto"/>
      </w:divBdr>
    </w:div>
    <w:div w:id="2117358274">
      <w:bodyDiv w:val="1"/>
      <w:marLeft w:val="0"/>
      <w:marRight w:val="0"/>
      <w:marTop w:val="0"/>
      <w:marBottom w:val="0"/>
      <w:divBdr>
        <w:top w:val="none" w:sz="0" w:space="0" w:color="auto"/>
        <w:left w:val="none" w:sz="0" w:space="0" w:color="auto"/>
        <w:bottom w:val="none" w:sz="0" w:space="0" w:color="auto"/>
        <w:right w:val="none" w:sz="0" w:space="0" w:color="auto"/>
      </w:divBdr>
    </w:div>
    <w:div w:id="2118744467">
      <w:bodyDiv w:val="1"/>
      <w:marLeft w:val="0"/>
      <w:marRight w:val="0"/>
      <w:marTop w:val="0"/>
      <w:marBottom w:val="0"/>
      <w:divBdr>
        <w:top w:val="none" w:sz="0" w:space="0" w:color="auto"/>
        <w:left w:val="none" w:sz="0" w:space="0" w:color="auto"/>
        <w:bottom w:val="none" w:sz="0" w:space="0" w:color="auto"/>
        <w:right w:val="none" w:sz="0" w:space="0" w:color="auto"/>
      </w:divBdr>
    </w:div>
    <w:div w:id="21211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emf"/><Relationship Id="rId21" Type="http://schemas.openxmlformats.org/officeDocument/2006/relationships/image" Target="media/image8.emf"/><Relationship Id="rId42" Type="http://schemas.openxmlformats.org/officeDocument/2006/relationships/image" Target="media/image29.emf"/><Relationship Id="rId63" Type="http://schemas.openxmlformats.org/officeDocument/2006/relationships/image" Target="media/image50.emf"/><Relationship Id="rId84" Type="http://schemas.openxmlformats.org/officeDocument/2006/relationships/image" Target="media/image71.emf"/><Relationship Id="rId138" Type="http://schemas.openxmlformats.org/officeDocument/2006/relationships/image" Target="media/image123.emf"/><Relationship Id="rId159" Type="http://schemas.openxmlformats.org/officeDocument/2006/relationships/image" Target="media/image144.emf"/><Relationship Id="rId170" Type="http://schemas.openxmlformats.org/officeDocument/2006/relationships/image" Target="media/image155.emf"/><Relationship Id="rId107" Type="http://schemas.openxmlformats.org/officeDocument/2006/relationships/image" Target="media/image94.emf"/><Relationship Id="rId11" Type="http://schemas.openxmlformats.org/officeDocument/2006/relationships/header" Target="header1.xml"/><Relationship Id="rId32" Type="http://schemas.openxmlformats.org/officeDocument/2006/relationships/image" Target="media/image19.emf"/><Relationship Id="rId53" Type="http://schemas.openxmlformats.org/officeDocument/2006/relationships/image" Target="media/image40.emf"/><Relationship Id="rId74" Type="http://schemas.openxmlformats.org/officeDocument/2006/relationships/image" Target="media/image61.emf"/><Relationship Id="rId128" Type="http://schemas.openxmlformats.org/officeDocument/2006/relationships/image" Target="media/image113.emf"/><Relationship Id="rId149" Type="http://schemas.openxmlformats.org/officeDocument/2006/relationships/image" Target="media/image134.emf"/><Relationship Id="rId5" Type="http://schemas.openxmlformats.org/officeDocument/2006/relationships/webSettings" Target="webSettings.xml"/><Relationship Id="rId95" Type="http://schemas.openxmlformats.org/officeDocument/2006/relationships/image" Target="media/image82.emf"/><Relationship Id="rId160" Type="http://schemas.openxmlformats.org/officeDocument/2006/relationships/image" Target="media/image145.emf"/><Relationship Id="rId181" Type="http://schemas.openxmlformats.org/officeDocument/2006/relationships/image" Target="media/image166.emf"/><Relationship Id="rId22" Type="http://schemas.openxmlformats.org/officeDocument/2006/relationships/image" Target="media/image9.emf"/><Relationship Id="rId43" Type="http://schemas.openxmlformats.org/officeDocument/2006/relationships/image" Target="media/image30.emf"/><Relationship Id="rId64" Type="http://schemas.openxmlformats.org/officeDocument/2006/relationships/image" Target="media/image51.emf"/><Relationship Id="rId118" Type="http://schemas.openxmlformats.org/officeDocument/2006/relationships/header" Target="header4.xml"/><Relationship Id="rId139" Type="http://schemas.openxmlformats.org/officeDocument/2006/relationships/image" Target="media/image124.emf"/><Relationship Id="rId85" Type="http://schemas.openxmlformats.org/officeDocument/2006/relationships/image" Target="media/image72.emf"/><Relationship Id="rId150" Type="http://schemas.openxmlformats.org/officeDocument/2006/relationships/image" Target="media/image135.emf"/><Relationship Id="rId171" Type="http://schemas.openxmlformats.org/officeDocument/2006/relationships/image" Target="media/image156.emf"/><Relationship Id="rId12" Type="http://schemas.openxmlformats.org/officeDocument/2006/relationships/footer" Target="footer3.xml"/><Relationship Id="rId33" Type="http://schemas.openxmlformats.org/officeDocument/2006/relationships/image" Target="media/image20.emf"/><Relationship Id="rId108" Type="http://schemas.openxmlformats.org/officeDocument/2006/relationships/image" Target="media/image95.emf"/><Relationship Id="rId129" Type="http://schemas.openxmlformats.org/officeDocument/2006/relationships/image" Target="media/image114.emf"/><Relationship Id="rId54" Type="http://schemas.openxmlformats.org/officeDocument/2006/relationships/image" Target="media/image41.emf"/><Relationship Id="rId75" Type="http://schemas.openxmlformats.org/officeDocument/2006/relationships/image" Target="media/image62.emf"/><Relationship Id="rId96" Type="http://schemas.openxmlformats.org/officeDocument/2006/relationships/image" Target="media/image83.emf"/><Relationship Id="rId140" Type="http://schemas.openxmlformats.org/officeDocument/2006/relationships/image" Target="media/image125.emf"/><Relationship Id="rId161" Type="http://schemas.openxmlformats.org/officeDocument/2006/relationships/image" Target="media/image146.emf"/><Relationship Id="rId182" Type="http://schemas.openxmlformats.org/officeDocument/2006/relationships/image" Target="media/image167.emf"/><Relationship Id="rId6" Type="http://schemas.openxmlformats.org/officeDocument/2006/relationships/footnotes" Target="footnotes.xml"/><Relationship Id="rId23" Type="http://schemas.openxmlformats.org/officeDocument/2006/relationships/image" Target="media/image10.emf"/><Relationship Id="rId119" Type="http://schemas.openxmlformats.org/officeDocument/2006/relationships/image" Target="media/image104.emf"/><Relationship Id="rId44" Type="http://schemas.openxmlformats.org/officeDocument/2006/relationships/image" Target="media/image31.emf"/><Relationship Id="rId65" Type="http://schemas.openxmlformats.org/officeDocument/2006/relationships/image" Target="media/image52.emf"/><Relationship Id="rId86" Type="http://schemas.openxmlformats.org/officeDocument/2006/relationships/image" Target="media/image73.emf"/><Relationship Id="rId130" Type="http://schemas.openxmlformats.org/officeDocument/2006/relationships/image" Target="media/image115.emf"/><Relationship Id="rId151" Type="http://schemas.openxmlformats.org/officeDocument/2006/relationships/image" Target="media/image136.emf"/><Relationship Id="rId172" Type="http://schemas.openxmlformats.org/officeDocument/2006/relationships/image" Target="media/image157.emf"/><Relationship Id="rId13" Type="http://schemas.openxmlformats.org/officeDocument/2006/relationships/hyperlink" Target="http://insidegmca.gmfs.local/media/542610/gmca-self-assessment-oct-2022.pdf" TargetMode="External"/><Relationship Id="rId18" Type="http://schemas.openxmlformats.org/officeDocument/2006/relationships/image" Target="media/image5.emf"/><Relationship Id="rId39" Type="http://schemas.openxmlformats.org/officeDocument/2006/relationships/image" Target="media/image26.emf"/><Relationship Id="rId109" Type="http://schemas.openxmlformats.org/officeDocument/2006/relationships/image" Target="media/image96.emf"/><Relationship Id="rId34" Type="http://schemas.openxmlformats.org/officeDocument/2006/relationships/image" Target="media/image21.emf"/><Relationship Id="rId50" Type="http://schemas.openxmlformats.org/officeDocument/2006/relationships/image" Target="media/image37.emf"/><Relationship Id="rId55" Type="http://schemas.openxmlformats.org/officeDocument/2006/relationships/image" Target="media/image42.emf"/><Relationship Id="rId76" Type="http://schemas.openxmlformats.org/officeDocument/2006/relationships/image" Target="media/image63.emf"/><Relationship Id="rId97" Type="http://schemas.openxmlformats.org/officeDocument/2006/relationships/image" Target="media/image84.emf"/><Relationship Id="rId104" Type="http://schemas.openxmlformats.org/officeDocument/2006/relationships/image" Target="media/image91.emf"/><Relationship Id="rId120" Type="http://schemas.openxmlformats.org/officeDocument/2006/relationships/image" Target="media/image105.png"/><Relationship Id="rId125" Type="http://schemas.openxmlformats.org/officeDocument/2006/relationships/image" Target="media/image110.emf"/><Relationship Id="rId141" Type="http://schemas.openxmlformats.org/officeDocument/2006/relationships/image" Target="media/image126.emf"/><Relationship Id="rId146" Type="http://schemas.openxmlformats.org/officeDocument/2006/relationships/image" Target="media/image131.emf"/><Relationship Id="rId167" Type="http://schemas.openxmlformats.org/officeDocument/2006/relationships/image" Target="media/image152.emf"/><Relationship Id="rId7" Type="http://schemas.openxmlformats.org/officeDocument/2006/relationships/endnotes" Target="endnotes.xml"/><Relationship Id="rId71" Type="http://schemas.openxmlformats.org/officeDocument/2006/relationships/image" Target="media/image58.emf"/><Relationship Id="rId92" Type="http://schemas.openxmlformats.org/officeDocument/2006/relationships/image" Target="media/image79.emf"/><Relationship Id="rId162" Type="http://schemas.openxmlformats.org/officeDocument/2006/relationships/image" Target="media/image147.emf"/><Relationship Id="rId183" Type="http://schemas.openxmlformats.org/officeDocument/2006/relationships/image" Target="media/image168.emf"/><Relationship Id="rId2" Type="http://schemas.openxmlformats.org/officeDocument/2006/relationships/numbering" Target="numbering.xml"/><Relationship Id="rId29" Type="http://schemas.openxmlformats.org/officeDocument/2006/relationships/image" Target="media/image16.emf"/><Relationship Id="rId24" Type="http://schemas.openxmlformats.org/officeDocument/2006/relationships/image" Target="media/image11.emf"/><Relationship Id="rId40" Type="http://schemas.openxmlformats.org/officeDocument/2006/relationships/image" Target="media/image27.emf"/><Relationship Id="rId45" Type="http://schemas.openxmlformats.org/officeDocument/2006/relationships/image" Target="media/image32.emf"/><Relationship Id="rId66" Type="http://schemas.openxmlformats.org/officeDocument/2006/relationships/image" Target="media/image53.emf"/><Relationship Id="rId87" Type="http://schemas.openxmlformats.org/officeDocument/2006/relationships/image" Target="media/image74.emf"/><Relationship Id="rId110" Type="http://schemas.openxmlformats.org/officeDocument/2006/relationships/image" Target="media/image97.emf"/><Relationship Id="rId115" Type="http://schemas.openxmlformats.org/officeDocument/2006/relationships/image" Target="media/image101.emf"/><Relationship Id="rId131" Type="http://schemas.openxmlformats.org/officeDocument/2006/relationships/image" Target="media/image116.emf"/><Relationship Id="rId136" Type="http://schemas.openxmlformats.org/officeDocument/2006/relationships/image" Target="media/image121.emf"/><Relationship Id="rId157" Type="http://schemas.openxmlformats.org/officeDocument/2006/relationships/image" Target="media/image142.emf"/><Relationship Id="rId178" Type="http://schemas.openxmlformats.org/officeDocument/2006/relationships/image" Target="media/image163.emf"/><Relationship Id="rId61" Type="http://schemas.openxmlformats.org/officeDocument/2006/relationships/image" Target="media/image48.emf"/><Relationship Id="rId82" Type="http://schemas.openxmlformats.org/officeDocument/2006/relationships/image" Target="media/image69.emf"/><Relationship Id="rId152" Type="http://schemas.openxmlformats.org/officeDocument/2006/relationships/image" Target="media/image137.emf"/><Relationship Id="rId173" Type="http://schemas.openxmlformats.org/officeDocument/2006/relationships/image" Target="media/image158.emf"/><Relationship Id="rId19" Type="http://schemas.openxmlformats.org/officeDocument/2006/relationships/image" Target="media/image6.emf"/><Relationship Id="rId14" Type="http://schemas.openxmlformats.org/officeDocument/2006/relationships/image" Target="media/image2.emf"/><Relationship Id="rId30" Type="http://schemas.openxmlformats.org/officeDocument/2006/relationships/image" Target="media/image17.emf"/><Relationship Id="rId35" Type="http://schemas.openxmlformats.org/officeDocument/2006/relationships/image" Target="media/image22.emf"/><Relationship Id="rId56" Type="http://schemas.openxmlformats.org/officeDocument/2006/relationships/image" Target="media/image43.emf"/><Relationship Id="rId77" Type="http://schemas.openxmlformats.org/officeDocument/2006/relationships/image" Target="media/image64.emf"/><Relationship Id="rId100" Type="http://schemas.openxmlformats.org/officeDocument/2006/relationships/image" Target="media/image87.emf"/><Relationship Id="rId105" Type="http://schemas.openxmlformats.org/officeDocument/2006/relationships/image" Target="media/image92.emf"/><Relationship Id="rId126" Type="http://schemas.openxmlformats.org/officeDocument/2006/relationships/image" Target="media/image111.emf"/><Relationship Id="rId147" Type="http://schemas.openxmlformats.org/officeDocument/2006/relationships/image" Target="media/image132.emf"/><Relationship Id="rId168" Type="http://schemas.openxmlformats.org/officeDocument/2006/relationships/image" Target="media/image153.emf"/><Relationship Id="rId8" Type="http://schemas.openxmlformats.org/officeDocument/2006/relationships/image" Target="media/image1.png"/><Relationship Id="rId51" Type="http://schemas.openxmlformats.org/officeDocument/2006/relationships/image" Target="media/image38.emf"/><Relationship Id="rId72" Type="http://schemas.openxmlformats.org/officeDocument/2006/relationships/image" Target="media/image59.emf"/><Relationship Id="rId93" Type="http://schemas.openxmlformats.org/officeDocument/2006/relationships/image" Target="media/image80.emf"/><Relationship Id="rId98" Type="http://schemas.openxmlformats.org/officeDocument/2006/relationships/image" Target="media/image85.emf"/><Relationship Id="rId121" Type="http://schemas.openxmlformats.org/officeDocument/2006/relationships/image" Target="media/image106.emf"/><Relationship Id="rId142" Type="http://schemas.openxmlformats.org/officeDocument/2006/relationships/image" Target="media/image127.emf"/><Relationship Id="rId163" Type="http://schemas.openxmlformats.org/officeDocument/2006/relationships/image" Target="media/image148.e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2.emf"/><Relationship Id="rId46" Type="http://schemas.openxmlformats.org/officeDocument/2006/relationships/image" Target="media/image33.emf"/><Relationship Id="rId67" Type="http://schemas.openxmlformats.org/officeDocument/2006/relationships/image" Target="media/image54.emf"/><Relationship Id="rId116" Type="http://schemas.openxmlformats.org/officeDocument/2006/relationships/image" Target="media/image102.emf"/><Relationship Id="rId137" Type="http://schemas.openxmlformats.org/officeDocument/2006/relationships/image" Target="media/image122.emf"/><Relationship Id="rId158" Type="http://schemas.openxmlformats.org/officeDocument/2006/relationships/image" Target="media/image143.emf"/><Relationship Id="rId20" Type="http://schemas.openxmlformats.org/officeDocument/2006/relationships/image" Target="media/image7.emf"/><Relationship Id="rId41" Type="http://schemas.openxmlformats.org/officeDocument/2006/relationships/image" Target="media/image28.emf"/><Relationship Id="rId62" Type="http://schemas.openxmlformats.org/officeDocument/2006/relationships/image" Target="media/image49.emf"/><Relationship Id="rId83" Type="http://schemas.openxmlformats.org/officeDocument/2006/relationships/image" Target="media/image70.emf"/><Relationship Id="rId88" Type="http://schemas.openxmlformats.org/officeDocument/2006/relationships/image" Target="media/image75.emf"/><Relationship Id="rId111" Type="http://schemas.openxmlformats.org/officeDocument/2006/relationships/image" Target="media/image98.emf"/><Relationship Id="rId132" Type="http://schemas.openxmlformats.org/officeDocument/2006/relationships/image" Target="media/image117.emf"/><Relationship Id="rId153" Type="http://schemas.openxmlformats.org/officeDocument/2006/relationships/image" Target="media/image138.emf"/><Relationship Id="rId174" Type="http://schemas.openxmlformats.org/officeDocument/2006/relationships/image" Target="media/image159.emf"/><Relationship Id="rId179" Type="http://schemas.openxmlformats.org/officeDocument/2006/relationships/image" Target="media/image164.emf"/><Relationship Id="rId15" Type="http://schemas.openxmlformats.org/officeDocument/2006/relationships/image" Target="media/image3.png"/><Relationship Id="rId36" Type="http://schemas.openxmlformats.org/officeDocument/2006/relationships/image" Target="media/image23.emf"/><Relationship Id="rId57" Type="http://schemas.openxmlformats.org/officeDocument/2006/relationships/image" Target="media/image44.emf"/><Relationship Id="rId106" Type="http://schemas.openxmlformats.org/officeDocument/2006/relationships/image" Target="media/image93.emf"/><Relationship Id="rId127" Type="http://schemas.openxmlformats.org/officeDocument/2006/relationships/image" Target="media/image112.emf"/><Relationship Id="rId10" Type="http://schemas.openxmlformats.org/officeDocument/2006/relationships/footer" Target="footer2.xml"/><Relationship Id="rId31" Type="http://schemas.openxmlformats.org/officeDocument/2006/relationships/image" Target="media/image18.emf"/><Relationship Id="rId52" Type="http://schemas.openxmlformats.org/officeDocument/2006/relationships/image" Target="media/image39.emf"/><Relationship Id="rId73" Type="http://schemas.openxmlformats.org/officeDocument/2006/relationships/image" Target="media/image60.emf"/><Relationship Id="rId78" Type="http://schemas.openxmlformats.org/officeDocument/2006/relationships/image" Target="media/image65.emf"/><Relationship Id="rId94" Type="http://schemas.openxmlformats.org/officeDocument/2006/relationships/image" Target="media/image81.emf"/><Relationship Id="rId99" Type="http://schemas.openxmlformats.org/officeDocument/2006/relationships/image" Target="media/image86.emf"/><Relationship Id="rId101" Type="http://schemas.openxmlformats.org/officeDocument/2006/relationships/image" Target="media/image88.emf"/><Relationship Id="rId122" Type="http://schemas.openxmlformats.org/officeDocument/2006/relationships/image" Target="media/image107.emf"/><Relationship Id="rId143" Type="http://schemas.openxmlformats.org/officeDocument/2006/relationships/image" Target="media/image128.emf"/><Relationship Id="rId148" Type="http://schemas.openxmlformats.org/officeDocument/2006/relationships/image" Target="media/image133.emf"/><Relationship Id="rId164" Type="http://schemas.openxmlformats.org/officeDocument/2006/relationships/image" Target="media/image149.emf"/><Relationship Id="rId169" Type="http://schemas.openxmlformats.org/officeDocument/2006/relationships/image" Target="media/image154.emf"/><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165.emf"/><Relationship Id="rId26" Type="http://schemas.openxmlformats.org/officeDocument/2006/relationships/image" Target="media/image13.emf"/><Relationship Id="rId47" Type="http://schemas.openxmlformats.org/officeDocument/2006/relationships/image" Target="media/image34.emf"/><Relationship Id="rId68" Type="http://schemas.openxmlformats.org/officeDocument/2006/relationships/image" Target="media/image55.emf"/><Relationship Id="rId89" Type="http://schemas.openxmlformats.org/officeDocument/2006/relationships/image" Target="media/image76.emf"/><Relationship Id="rId112" Type="http://schemas.openxmlformats.org/officeDocument/2006/relationships/image" Target="media/image99.emf"/><Relationship Id="rId133" Type="http://schemas.openxmlformats.org/officeDocument/2006/relationships/image" Target="media/image118.emf"/><Relationship Id="rId154" Type="http://schemas.openxmlformats.org/officeDocument/2006/relationships/image" Target="media/image139.emf"/><Relationship Id="rId175" Type="http://schemas.openxmlformats.org/officeDocument/2006/relationships/image" Target="media/image160.emf"/><Relationship Id="rId16" Type="http://schemas.openxmlformats.org/officeDocument/2006/relationships/header" Target="header2.xml"/><Relationship Id="rId37" Type="http://schemas.openxmlformats.org/officeDocument/2006/relationships/image" Target="media/image24.emf"/><Relationship Id="rId58" Type="http://schemas.openxmlformats.org/officeDocument/2006/relationships/image" Target="media/image45.emf"/><Relationship Id="rId79" Type="http://schemas.openxmlformats.org/officeDocument/2006/relationships/image" Target="media/image66.emf"/><Relationship Id="rId102" Type="http://schemas.openxmlformats.org/officeDocument/2006/relationships/image" Target="media/image89.emf"/><Relationship Id="rId123" Type="http://schemas.openxmlformats.org/officeDocument/2006/relationships/image" Target="media/image108.emf"/><Relationship Id="rId144" Type="http://schemas.openxmlformats.org/officeDocument/2006/relationships/image" Target="media/image129.emf"/><Relationship Id="rId90" Type="http://schemas.openxmlformats.org/officeDocument/2006/relationships/image" Target="media/image77.emf"/><Relationship Id="rId165" Type="http://schemas.openxmlformats.org/officeDocument/2006/relationships/image" Target="media/image150.emf"/><Relationship Id="rId27" Type="http://schemas.openxmlformats.org/officeDocument/2006/relationships/image" Target="media/image14.emf"/><Relationship Id="rId48" Type="http://schemas.openxmlformats.org/officeDocument/2006/relationships/image" Target="media/image35.emf"/><Relationship Id="rId69" Type="http://schemas.openxmlformats.org/officeDocument/2006/relationships/image" Target="media/image56.emf"/><Relationship Id="rId113" Type="http://schemas.openxmlformats.org/officeDocument/2006/relationships/image" Target="media/image100.emf"/><Relationship Id="rId134" Type="http://schemas.openxmlformats.org/officeDocument/2006/relationships/image" Target="media/image119.emf"/><Relationship Id="rId80" Type="http://schemas.openxmlformats.org/officeDocument/2006/relationships/image" Target="media/image67.emf"/><Relationship Id="rId155" Type="http://schemas.openxmlformats.org/officeDocument/2006/relationships/image" Target="media/image140.emf"/><Relationship Id="rId176" Type="http://schemas.openxmlformats.org/officeDocument/2006/relationships/image" Target="media/image161.emf"/><Relationship Id="rId17" Type="http://schemas.openxmlformats.org/officeDocument/2006/relationships/image" Target="media/image4.emf"/><Relationship Id="rId38" Type="http://schemas.openxmlformats.org/officeDocument/2006/relationships/image" Target="media/image25.emf"/><Relationship Id="rId59" Type="http://schemas.openxmlformats.org/officeDocument/2006/relationships/image" Target="media/image46.emf"/><Relationship Id="rId103" Type="http://schemas.openxmlformats.org/officeDocument/2006/relationships/image" Target="media/image90.emf"/><Relationship Id="rId124" Type="http://schemas.openxmlformats.org/officeDocument/2006/relationships/image" Target="media/image109.emf"/><Relationship Id="rId70" Type="http://schemas.openxmlformats.org/officeDocument/2006/relationships/image" Target="media/image57.emf"/><Relationship Id="rId91" Type="http://schemas.openxmlformats.org/officeDocument/2006/relationships/image" Target="media/image78.emf"/><Relationship Id="rId145" Type="http://schemas.openxmlformats.org/officeDocument/2006/relationships/image" Target="media/image130.emf"/><Relationship Id="rId166" Type="http://schemas.openxmlformats.org/officeDocument/2006/relationships/image" Target="media/image151.emf"/><Relationship Id="rId1" Type="http://schemas.openxmlformats.org/officeDocument/2006/relationships/customXml" Target="../customXml/item1.xml"/><Relationship Id="rId28" Type="http://schemas.openxmlformats.org/officeDocument/2006/relationships/image" Target="media/image15.emf"/><Relationship Id="rId49" Type="http://schemas.openxmlformats.org/officeDocument/2006/relationships/image" Target="media/image36.emf"/><Relationship Id="rId114" Type="http://schemas.openxmlformats.org/officeDocument/2006/relationships/header" Target="header3.xml"/><Relationship Id="rId60" Type="http://schemas.openxmlformats.org/officeDocument/2006/relationships/image" Target="media/image47.emf"/><Relationship Id="rId81" Type="http://schemas.openxmlformats.org/officeDocument/2006/relationships/image" Target="media/image68.emf"/><Relationship Id="rId135" Type="http://schemas.openxmlformats.org/officeDocument/2006/relationships/image" Target="media/image120.emf"/><Relationship Id="rId156" Type="http://schemas.openxmlformats.org/officeDocument/2006/relationships/image" Target="media/image141.emf"/><Relationship Id="rId177" Type="http://schemas.openxmlformats.org/officeDocument/2006/relationships/image" Target="media/image16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2110-BDCC-47C2-85E2-9336450A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246</Pages>
  <Words>48685</Words>
  <Characters>277510</Characters>
  <Application>Microsoft Office Word</Application>
  <DocSecurity>0</DocSecurity>
  <Lines>2312</Lines>
  <Paragraphs>651</Paragraphs>
  <ScaleCrop>false</ScaleCrop>
  <HeadingPairs>
    <vt:vector size="2" baseType="variant">
      <vt:variant>
        <vt:lpstr>Title</vt:lpstr>
      </vt:variant>
      <vt:variant>
        <vt:i4>1</vt:i4>
      </vt:variant>
    </vt:vector>
  </HeadingPairs>
  <TitlesOfParts>
    <vt:vector size="1" baseType="lpstr">
      <vt:lpstr>The Greater Manchester Combined Authority</vt:lpstr>
    </vt:vector>
  </TitlesOfParts>
  <Company>Manchester City Council</Company>
  <LinksUpToDate>false</LinksUpToDate>
  <CharactersWithSpaces>325544</CharactersWithSpaces>
  <SharedDoc>false</SharedDoc>
  <HLinks>
    <vt:vector size="24" baseType="variant">
      <vt:variant>
        <vt:i4>5570586</vt:i4>
      </vt:variant>
      <vt:variant>
        <vt:i4>9</vt:i4>
      </vt:variant>
      <vt:variant>
        <vt:i4>0</vt:i4>
      </vt:variant>
      <vt:variant>
        <vt:i4>5</vt:i4>
      </vt:variant>
      <vt:variant>
        <vt:lpwstr>http://www.tfgmc.com/</vt:lpwstr>
      </vt:variant>
      <vt:variant>
        <vt:lpwstr/>
      </vt:variant>
      <vt:variant>
        <vt:i4>2687091</vt:i4>
      </vt:variant>
      <vt:variant>
        <vt:i4>6</vt:i4>
      </vt:variant>
      <vt:variant>
        <vt:i4>0</vt:i4>
      </vt:variant>
      <vt:variant>
        <vt:i4>5</vt:i4>
      </vt:variant>
      <vt:variant>
        <vt:lpwstr>http://www.greatermanchester-ca.gov.uk/</vt:lpwstr>
      </vt:variant>
      <vt:variant>
        <vt:lpwstr/>
      </vt:variant>
      <vt:variant>
        <vt:i4>8060984</vt:i4>
      </vt:variant>
      <vt:variant>
        <vt:i4>3</vt:i4>
      </vt:variant>
      <vt:variant>
        <vt:i4>0</vt:i4>
      </vt:variant>
      <vt:variant>
        <vt:i4>5</vt:i4>
      </vt:variant>
      <vt:variant>
        <vt:lpwstr>http://www.transformationinformation.co.uk/transformation/2nd-city-crossing</vt:lpwstr>
      </vt:variant>
      <vt:variant>
        <vt:lpwstr/>
      </vt:variant>
      <vt:variant>
        <vt:i4>6160478</vt:i4>
      </vt:variant>
      <vt:variant>
        <vt:i4>0</vt:i4>
      </vt:variant>
      <vt:variant>
        <vt:i4>0</vt:i4>
      </vt:variant>
      <vt:variant>
        <vt:i4>5</vt:i4>
      </vt:variant>
      <vt:variant>
        <vt:lpwstr>http://www.tfgm.com/GMLES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Manchester Combined Authority</dc:title>
  <dc:subject/>
  <dc:creator>foxa</dc:creator>
  <cp:keywords/>
  <dc:description/>
  <cp:lastModifiedBy>Macrae, Karen</cp:lastModifiedBy>
  <cp:revision>2</cp:revision>
  <cp:lastPrinted>2023-07-11T10:07:00Z</cp:lastPrinted>
  <dcterms:created xsi:type="dcterms:W3CDTF">2024-12-02T09:34:00Z</dcterms:created>
  <dcterms:modified xsi:type="dcterms:W3CDTF">2024-12-02T09:34:00Z</dcterms:modified>
</cp:coreProperties>
</file>